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C37F" w14:textId="2787A637" w:rsidR="00AE65A9" w:rsidRPr="00FC0322" w:rsidRDefault="00F319AD" w:rsidP="00AE65A9">
      <w:pPr>
        <w:pBdr>
          <w:top w:val="single" w:sz="12" w:space="0" w:color="000000"/>
          <w:left w:val="single" w:sz="12" w:space="4" w:color="000000"/>
          <w:bottom w:val="single" w:sz="12" w:space="0" w:color="000000"/>
          <w:right w:val="single" w:sz="12" w:space="7" w:color="000000"/>
        </w:pBdr>
        <w:ind w:right="4491"/>
        <w:rPr>
          <w:rFonts w:eastAsia="Calibri"/>
          <w:sz w:val="24"/>
          <w:szCs w:val="24"/>
          <w:lang w:val="fr-FR"/>
        </w:rPr>
      </w:pPr>
      <w:r w:rsidRPr="00FC0322">
        <w:rPr>
          <w:rFonts w:eastAsia="Calibri"/>
          <w:sz w:val="24"/>
          <w:szCs w:val="24"/>
          <w:lang w:val="fr-FR"/>
        </w:rPr>
        <w:t xml:space="preserve">CONVENTION </w:t>
      </w:r>
      <w:r w:rsidR="00DA2775" w:rsidRPr="00FC0322">
        <w:rPr>
          <w:rFonts w:eastAsia="Calibri"/>
          <w:sz w:val="24"/>
          <w:szCs w:val="24"/>
          <w:lang w:val="fr-FR"/>
        </w:rPr>
        <w:t>SUR LES ZONES HUMIDES</w:t>
      </w:r>
    </w:p>
    <w:p w14:paraId="6BD2A69E" w14:textId="36F91F87" w:rsidR="00AE65A9" w:rsidRPr="00DA2775" w:rsidRDefault="00F319AD" w:rsidP="00AE65A9">
      <w:pPr>
        <w:pBdr>
          <w:top w:val="single" w:sz="12" w:space="0" w:color="000000"/>
          <w:left w:val="single" w:sz="12" w:space="4" w:color="000000"/>
          <w:bottom w:val="single" w:sz="12" w:space="0" w:color="000000"/>
          <w:right w:val="single" w:sz="12" w:space="7" w:color="000000"/>
        </w:pBdr>
        <w:ind w:right="4491"/>
        <w:rPr>
          <w:rFonts w:eastAsia="Calibri"/>
          <w:sz w:val="24"/>
          <w:szCs w:val="24"/>
          <w:lang w:val="fr-FR"/>
        </w:rPr>
      </w:pPr>
      <w:r w:rsidRPr="00DA2775">
        <w:rPr>
          <w:rFonts w:eastAsia="Calibri"/>
          <w:sz w:val="24"/>
          <w:szCs w:val="24"/>
          <w:lang w:val="fr-FR"/>
        </w:rPr>
        <w:t>64</w:t>
      </w:r>
      <w:r w:rsidR="00DA2775" w:rsidRPr="00404A84">
        <w:rPr>
          <w:rFonts w:eastAsia="Calibri"/>
          <w:sz w:val="24"/>
          <w:szCs w:val="24"/>
          <w:vertAlign w:val="superscript"/>
          <w:lang w:val="fr-FR"/>
        </w:rPr>
        <w:t>e</w:t>
      </w:r>
      <w:r w:rsidRPr="00404A84">
        <w:rPr>
          <w:rFonts w:eastAsia="Calibri"/>
          <w:sz w:val="24"/>
          <w:szCs w:val="24"/>
          <w:vertAlign w:val="superscript"/>
          <w:lang w:val="fr-FR"/>
        </w:rPr>
        <w:t xml:space="preserve"> </w:t>
      </w:r>
      <w:r w:rsidR="00DA2775" w:rsidRPr="00DA2775">
        <w:rPr>
          <w:rFonts w:eastAsia="Calibri"/>
          <w:sz w:val="24"/>
          <w:szCs w:val="24"/>
          <w:lang w:val="fr-FR"/>
        </w:rPr>
        <w:t>Réunion du</w:t>
      </w:r>
      <w:r w:rsidRPr="00DA2775">
        <w:rPr>
          <w:rFonts w:eastAsia="Calibri"/>
          <w:sz w:val="24"/>
          <w:szCs w:val="24"/>
          <w:lang w:val="fr-FR"/>
        </w:rPr>
        <w:t xml:space="preserve"> </w:t>
      </w:r>
      <w:bookmarkStart w:id="0" w:name="_Hlk181001665"/>
      <w:r w:rsidRPr="00DA2775">
        <w:rPr>
          <w:rFonts w:eastAsia="Calibri"/>
          <w:sz w:val="24"/>
          <w:szCs w:val="24"/>
          <w:lang w:val="fr-FR"/>
        </w:rPr>
        <w:t>Comit</w:t>
      </w:r>
      <w:r w:rsidR="00DA2775" w:rsidRPr="00DA2775">
        <w:rPr>
          <w:rFonts w:eastAsia="Calibri"/>
          <w:sz w:val="24"/>
          <w:szCs w:val="24"/>
          <w:lang w:val="fr-FR"/>
        </w:rPr>
        <w:t>é p</w:t>
      </w:r>
      <w:r w:rsidR="00DA2775">
        <w:rPr>
          <w:rFonts w:eastAsia="Calibri"/>
          <w:sz w:val="24"/>
          <w:szCs w:val="24"/>
          <w:lang w:val="fr-FR"/>
        </w:rPr>
        <w:t>ermanent</w:t>
      </w:r>
      <w:bookmarkEnd w:id="0"/>
    </w:p>
    <w:p w14:paraId="0B4EE02E" w14:textId="09C8DCC2" w:rsidR="00AE65A9" w:rsidRPr="00FC0322" w:rsidRDefault="00F319AD" w:rsidP="00AE65A9">
      <w:pPr>
        <w:pBdr>
          <w:top w:val="single" w:sz="12" w:space="0" w:color="000000"/>
          <w:left w:val="single" w:sz="12" w:space="4" w:color="000000"/>
          <w:bottom w:val="single" w:sz="12" w:space="0" w:color="000000"/>
          <w:right w:val="single" w:sz="12" w:space="7" w:color="000000"/>
        </w:pBdr>
        <w:ind w:right="4491"/>
        <w:rPr>
          <w:rFonts w:eastAsia="Calibri"/>
          <w:sz w:val="24"/>
          <w:szCs w:val="24"/>
          <w:lang w:val="fr-FR"/>
        </w:rPr>
      </w:pPr>
      <w:r w:rsidRPr="00FC0322">
        <w:rPr>
          <w:rFonts w:eastAsia="Calibri"/>
          <w:sz w:val="24"/>
          <w:szCs w:val="24"/>
          <w:lang w:val="fr-FR"/>
        </w:rPr>
        <w:t xml:space="preserve">Gland, </w:t>
      </w:r>
      <w:r w:rsidR="004F7AD1" w:rsidRPr="00FC0322">
        <w:rPr>
          <w:rFonts w:eastAsia="Calibri"/>
          <w:sz w:val="24"/>
          <w:szCs w:val="24"/>
          <w:lang w:val="fr-FR"/>
        </w:rPr>
        <w:t>S</w:t>
      </w:r>
      <w:r w:rsidR="00DA2775" w:rsidRPr="00FC0322">
        <w:rPr>
          <w:rFonts w:eastAsia="Calibri"/>
          <w:sz w:val="24"/>
          <w:szCs w:val="24"/>
          <w:lang w:val="fr-FR"/>
        </w:rPr>
        <w:t>uisse</w:t>
      </w:r>
      <w:r w:rsidR="004F7AD1" w:rsidRPr="00FC0322">
        <w:rPr>
          <w:rFonts w:eastAsia="Calibri"/>
          <w:sz w:val="24"/>
          <w:szCs w:val="24"/>
          <w:lang w:val="fr-FR"/>
        </w:rPr>
        <w:t>, 20</w:t>
      </w:r>
      <w:r w:rsidR="00DA2775" w:rsidRPr="00FC0322">
        <w:rPr>
          <w:rFonts w:eastAsia="Calibri"/>
          <w:sz w:val="24"/>
          <w:szCs w:val="24"/>
          <w:lang w:val="fr-FR"/>
        </w:rPr>
        <w:t xml:space="preserve"> au </w:t>
      </w:r>
      <w:r w:rsidR="004F7AD1" w:rsidRPr="00FC0322">
        <w:rPr>
          <w:rFonts w:eastAsia="Calibri"/>
          <w:sz w:val="24"/>
          <w:szCs w:val="24"/>
          <w:lang w:val="fr-FR"/>
        </w:rPr>
        <w:t xml:space="preserve">24 </w:t>
      </w:r>
      <w:r w:rsidR="00DA2775" w:rsidRPr="00FC0322">
        <w:rPr>
          <w:rFonts w:eastAsia="Calibri"/>
          <w:sz w:val="24"/>
          <w:szCs w:val="24"/>
          <w:lang w:val="fr-FR"/>
        </w:rPr>
        <w:t>janvier</w:t>
      </w:r>
      <w:r w:rsidR="004F7AD1" w:rsidRPr="00FC0322">
        <w:rPr>
          <w:rFonts w:eastAsia="Calibri"/>
          <w:sz w:val="24"/>
          <w:szCs w:val="24"/>
          <w:lang w:val="fr-FR"/>
        </w:rPr>
        <w:t xml:space="preserve"> 2025</w:t>
      </w:r>
    </w:p>
    <w:p w14:paraId="6BFB0406" w14:textId="77777777" w:rsidR="00AE65A9" w:rsidRPr="00D629F5" w:rsidRDefault="00AE65A9" w:rsidP="00CC2E0C">
      <w:pPr>
        <w:rPr>
          <w:sz w:val="28"/>
          <w:szCs w:val="28"/>
          <w:lang w:val="fr-FR"/>
        </w:rPr>
      </w:pPr>
    </w:p>
    <w:p w14:paraId="17D646AE" w14:textId="0A4882BA" w:rsidR="00AE65A9" w:rsidRPr="00D629F5" w:rsidRDefault="00F319AD" w:rsidP="00AE65A9">
      <w:pPr>
        <w:jc w:val="right"/>
        <w:rPr>
          <w:rFonts w:eastAsia="Calibri"/>
          <w:b/>
          <w:sz w:val="28"/>
          <w:szCs w:val="28"/>
          <w:lang w:val="fr-FR"/>
        </w:rPr>
      </w:pPr>
      <w:r w:rsidRPr="00D629F5">
        <w:rPr>
          <w:rFonts w:eastAsia="Calibri"/>
          <w:b/>
          <w:sz w:val="28"/>
          <w:szCs w:val="28"/>
          <w:lang w:val="fr-FR"/>
        </w:rPr>
        <w:t>SC64 Doc.</w:t>
      </w:r>
      <w:r w:rsidR="000D0240" w:rsidRPr="00D629F5">
        <w:rPr>
          <w:rFonts w:eastAsia="Calibri"/>
          <w:b/>
          <w:sz w:val="28"/>
          <w:szCs w:val="28"/>
          <w:lang w:val="fr-FR"/>
        </w:rPr>
        <w:t>1</w:t>
      </w:r>
      <w:r w:rsidR="006E6FED" w:rsidRPr="00D629F5">
        <w:rPr>
          <w:rFonts w:eastAsia="Calibri"/>
          <w:b/>
          <w:sz w:val="28"/>
          <w:szCs w:val="28"/>
          <w:lang w:val="fr-FR"/>
        </w:rPr>
        <w:t>8</w:t>
      </w:r>
    </w:p>
    <w:p w14:paraId="1262354A" w14:textId="77777777" w:rsidR="00AE65A9" w:rsidRPr="00D629F5" w:rsidRDefault="00AE65A9" w:rsidP="00AE65A9">
      <w:pPr>
        <w:jc w:val="center"/>
        <w:rPr>
          <w:rFonts w:eastAsia="Calibri"/>
          <w:b/>
          <w:sz w:val="28"/>
          <w:szCs w:val="28"/>
          <w:lang w:val="fr-FR"/>
        </w:rPr>
      </w:pPr>
    </w:p>
    <w:p w14:paraId="5CA31493" w14:textId="2B348A06" w:rsidR="00AE65A9" w:rsidRPr="00D629F5" w:rsidRDefault="00F319AD" w:rsidP="00AE65A9">
      <w:pPr>
        <w:jc w:val="center"/>
        <w:rPr>
          <w:rFonts w:eastAsia="Calibri"/>
          <w:b/>
          <w:sz w:val="28"/>
          <w:szCs w:val="28"/>
          <w:lang w:val="fr-FR"/>
        </w:rPr>
      </w:pPr>
      <w:bookmarkStart w:id="1" w:name="_Hlk181001731"/>
      <w:r w:rsidRPr="00D629F5">
        <w:rPr>
          <w:rFonts w:eastAsia="Calibri"/>
          <w:b/>
          <w:sz w:val="28"/>
          <w:szCs w:val="28"/>
          <w:lang w:val="fr-FR"/>
        </w:rPr>
        <w:t>R</w:t>
      </w:r>
      <w:r w:rsidR="00DA2775" w:rsidRPr="00D629F5">
        <w:rPr>
          <w:rFonts w:eastAsia="Calibri"/>
          <w:b/>
          <w:sz w:val="28"/>
          <w:szCs w:val="28"/>
          <w:lang w:val="fr-FR"/>
        </w:rPr>
        <w:t>ap</w:t>
      </w:r>
      <w:r w:rsidRPr="00D629F5">
        <w:rPr>
          <w:rFonts w:eastAsia="Calibri"/>
          <w:b/>
          <w:sz w:val="28"/>
          <w:szCs w:val="28"/>
          <w:lang w:val="fr-FR"/>
        </w:rPr>
        <w:t xml:space="preserve">port </w:t>
      </w:r>
      <w:r w:rsidR="00DA2775" w:rsidRPr="00D629F5">
        <w:rPr>
          <w:rFonts w:eastAsia="Calibri"/>
          <w:b/>
          <w:sz w:val="28"/>
          <w:szCs w:val="28"/>
          <w:lang w:val="fr-FR"/>
        </w:rPr>
        <w:t>du Président</w:t>
      </w:r>
      <w:r w:rsidRPr="00D629F5">
        <w:rPr>
          <w:rFonts w:eastAsia="Calibri"/>
          <w:b/>
          <w:sz w:val="28"/>
          <w:szCs w:val="28"/>
          <w:lang w:val="fr-FR"/>
        </w:rPr>
        <w:t xml:space="preserve"> </w:t>
      </w:r>
      <w:bookmarkEnd w:id="1"/>
      <w:r w:rsidR="00DA2775" w:rsidRPr="00D629F5">
        <w:rPr>
          <w:rFonts w:eastAsia="Calibri"/>
          <w:b/>
          <w:sz w:val="28"/>
          <w:szCs w:val="28"/>
          <w:lang w:val="fr-FR"/>
        </w:rPr>
        <w:t>du Groupe d’évaluation scientifique et technique</w:t>
      </w:r>
    </w:p>
    <w:p w14:paraId="32B444A9" w14:textId="77777777" w:rsidR="00AE65A9" w:rsidRPr="00D629F5" w:rsidRDefault="00AE65A9" w:rsidP="00AE65A9">
      <w:pPr>
        <w:rPr>
          <w:sz w:val="28"/>
          <w:szCs w:val="28"/>
          <w:lang w:val="fr-FR"/>
        </w:rPr>
      </w:pPr>
    </w:p>
    <w:p w14:paraId="48BADD56" w14:textId="77777777" w:rsidR="00AE65A9" w:rsidRPr="00C54E6D" w:rsidRDefault="00F319AD" w:rsidP="00AE65A9">
      <w:pPr>
        <w:autoSpaceDE w:val="0"/>
        <w:autoSpaceDN w:val="0"/>
        <w:adjustRightInd w:val="0"/>
        <w:rPr>
          <w:rFonts w:eastAsiaTheme="minorHAnsi"/>
          <w:b/>
          <w:bCs w:val="0"/>
          <w:sz w:val="24"/>
          <w:szCs w:val="24"/>
        </w:rPr>
      </w:pPr>
      <w:r w:rsidRPr="00C54E6D">
        <w:rPr>
          <w:noProof/>
          <w:sz w:val="24"/>
          <w:szCs w:val="24"/>
          <w:lang w:val="en-CA" w:eastAsia="en-CA"/>
        </w:rPr>
        <mc:AlternateContent>
          <mc:Choice Requires="wps">
            <w:drawing>
              <wp:inline distT="0" distB="0" distL="0" distR="0" wp14:anchorId="11A3FC30" wp14:editId="42FA7CAE">
                <wp:extent cx="5731510" cy="3087585"/>
                <wp:effectExtent l="0" t="0" r="2159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87585"/>
                        </a:xfrm>
                        <a:prstGeom prst="rect">
                          <a:avLst/>
                        </a:prstGeom>
                        <a:solidFill>
                          <a:srgbClr val="FFFFFF"/>
                        </a:solidFill>
                        <a:ln w="9525">
                          <a:solidFill>
                            <a:srgbClr val="000000"/>
                          </a:solidFill>
                          <a:miter lim="800000"/>
                          <a:headEnd/>
                          <a:tailEnd/>
                        </a:ln>
                      </wps:spPr>
                      <wps:txbx>
                        <w:txbxContent>
                          <w:p w14:paraId="046049E8" w14:textId="737B4452" w:rsidR="00AE65A9" w:rsidRPr="007136B5" w:rsidRDefault="00DA2775" w:rsidP="00AE65A9">
                            <w:pPr>
                              <w:rPr>
                                <w:rFonts w:asciiTheme="majorHAnsi" w:hAnsiTheme="majorHAnsi" w:cstheme="majorHAnsi"/>
                                <w:b/>
                                <w:bCs w:val="0"/>
                                <w:lang w:val="fr-FR"/>
                              </w:rPr>
                            </w:pPr>
                            <w:r w:rsidRPr="007136B5">
                              <w:rPr>
                                <w:rFonts w:asciiTheme="majorHAnsi" w:hAnsiTheme="majorHAnsi" w:cstheme="majorHAnsi"/>
                                <w:b/>
                                <w:lang w:val="fr-FR"/>
                              </w:rPr>
                              <w:t>Mesures requises </w:t>
                            </w:r>
                            <w:r w:rsidR="00F319AD" w:rsidRPr="007136B5">
                              <w:rPr>
                                <w:rFonts w:asciiTheme="majorHAnsi" w:hAnsiTheme="majorHAnsi" w:cstheme="majorHAnsi"/>
                                <w:b/>
                                <w:lang w:val="fr-FR"/>
                              </w:rPr>
                              <w:t xml:space="preserve">: </w:t>
                            </w:r>
                          </w:p>
                          <w:p w14:paraId="7D0003CC" w14:textId="77777777" w:rsidR="00AE65A9" w:rsidRPr="007136B5" w:rsidRDefault="00AE65A9" w:rsidP="00AE65A9">
                            <w:pPr>
                              <w:pStyle w:val="ColorfulList-Accent11"/>
                              <w:ind w:left="0"/>
                              <w:rPr>
                                <w:rFonts w:asciiTheme="majorHAnsi" w:hAnsiTheme="majorHAnsi" w:cstheme="majorHAnsi"/>
                                <w:lang w:val="fr-FR"/>
                              </w:rPr>
                            </w:pPr>
                          </w:p>
                          <w:p w14:paraId="049EA3FF" w14:textId="15A26E76" w:rsidR="00AE65A9" w:rsidRPr="007136B5" w:rsidRDefault="00DA2775" w:rsidP="00AE65A9">
                            <w:pPr>
                              <w:pStyle w:val="ColorfulList-Accent11"/>
                              <w:ind w:left="0" w:firstLine="0"/>
                              <w:rPr>
                                <w:rFonts w:cs="Calibri"/>
                                <w:lang w:val="fr-FR"/>
                              </w:rPr>
                            </w:pPr>
                            <w:r w:rsidRPr="007136B5">
                              <w:rPr>
                                <w:rFonts w:cs="Calibri"/>
                                <w:lang w:val="fr-FR"/>
                              </w:rPr>
                              <w:t>Le</w:t>
                            </w:r>
                            <w:r w:rsidR="008E7ED2" w:rsidRPr="007136B5">
                              <w:rPr>
                                <w:rFonts w:cs="Calibri"/>
                                <w:lang w:val="fr-FR"/>
                              </w:rPr>
                              <w:t xml:space="preserve"> </w:t>
                            </w:r>
                            <w:r w:rsidRPr="007136B5">
                              <w:rPr>
                                <w:rFonts w:cs="Calibri"/>
                                <w:lang w:val="fr-FR"/>
                              </w:rPr>
                              <w:t>Comité permanent est invité à </w:t>
                            </w:r>
                            <w:r w:rsidR="00F319AD" w:rsidRPr="007136B5">
                              <w:rPr>
                                <w:rFonts w:cs="Calibri"/>
                                <w:lang w:val="fr-FR"/>
                              </w:rPr>
                              <w:t>:</w:t>
                            </w:r>
                          </w:p>
                          <w:p w14:paraId="55061CEA" w14:textId="77777777" w:rsidR="00AE65A9" w:rsidRPr="007136B5" w:rsidRDefault="00AE65A9" w:rsidP="00AE65A9">
                            <w:pPr>
                              <w:pStyle w:val="ColorfulList-Accent11"/>
                              <w:ind w:left="0"/>
                              <w:rPr>
                                <w:rFonts w:cs="Calibri"/>
                                <w:lang w:val="fr-FR"/>
                              </w:rPr>
                            </w:pPr>
                          </w:p>
                          <w:p w14:paraId="66902E72" w14:textId="6760A563" w:rsidR="00AE65A9" w:rsidRPr="007136B5" w:rsidRDefault="00F319AD" w:rsidP="00EF7423">
                            <w:pPr>
                              <w:pStyle w:val="ColorfulList-Accent11"/>
                              <w:ind w:left="426" w:hanging="426"/>
                              <w:rPr>
                                <w:rFonts w:cs="Calibri"/>
                                <w:lang w:val="fr-FR"/>
                              </w:rPr>
                            </w:pPr>
                            <w:r w:rsidRPr="007136B5">
                              <w:rPr>
                                <w:rFonts w:cs="Calibri"/>
                                <w:lang w:val="fr-FR"/>
                              </w:rPr>
                              <w:t>i</w:t>
                            </w:r>
                            <w:r w:rsidR="00DA2775" w:rsidRPr="007136B5">
                              <w:rPr>
                                <w:rFonts w:cs="Calibri"/>
                                <w:lang w:val="fr-FR"/>
                              </w:rPr>
                              <w:t>)</w:t>
                            </w:r>
                            <w:r w:rsidRPr="007136B5">
                              <w:rPr>
                                <w:rFonts w:cs="Calibri"/>
                                <w:lang w:val="fr-FR"/>
                              </w:rPr>
                              <w:tab/>
                            </w:r>
                            <w:r w:rsidR="00DA2775" w:rsidRPr="007136B5">
                              <w:rPr>
                                <w:rFonts w:cs="Calibri"/>
                                <w:lang w:val="fr-FR"/>
                              </w:rPr>
                              <w:t xml:space="preserve">prendre </w:t>
                            </w:r>
                            <w:r w:rsidRPr="007136B5">
                              <w:rPr>
                                <w:rFonts w:cs="Calibri"/>
                                <w:lang w:val="fr-FR"/>
                              </w:rPr>
                              <w:t xml:space="preserve">note </w:t>
                            </w:r>
                            <w:r w:rsidR="00DA2775" w:rsidRPr="007136B5">
                              <w:rPr>
                                <w:rFonts w:cs="Calibri"/>
                                <w:lang w:val="fr-FR"/>
                              </w:rPr>
                              <w:t>du</w:t>
                            </w:r>
                            <w:r w:rsidRPr="007136B5">
                              <w:rPr>
                                <w:rFonts w:cs="Calibri"/>
                                <w:lang w:val="fr-FR"/>
                              </w:rPr>
                              <w:t xml:space="preserve"> </w:t>
                            </w:r>
                            <w:r w:rsidR="00DA2775" w:rsidRPr="007136B5">
                              <w:rPr>
                                <w:rFonts w:cs="Calibri"/>
                                <w:lang w:val="fr-FR"/>
                              </w:rPr>
                              <w:t>Rapport du Président du GEST </w:t>
                            </w:r>
                            <w:r w:rsidRPr="007136B5">
                              <w:rPr>
                                <w:rFonts w:cs="Calibri"/>
                                <w:lang w:val="fr-FR"/>
                              </w:rPr>
                              <w:t>;</w:t>
                            </w:r>
                          </w:p>
                          <w:p w14:paraId="4452CBC4" w14:textId="77777777" w:rsidR="00AE65A9" w:rsidRPr="007136B5" w:rsidRDefault="00AE65A9" w:rsidP="00EF7423">
                            <w:pPr>
                              <w:pStyle w:val="ColorfulList-Accent11"/>
                              <w:ind w:left="426" w:hanging="426"/>
                              <w:rPr>
                                <w:rFonts w:cs="Calibri"/>
                                <w:lang w:val="fr-FR"/>
                              </w:rPr>
                            </w:pPr>
                          </w:p>
                          <w:p w14:paraId="375FFDD0" w14:textId="262FB1F7" w:rsidR="00AE65A9" w:rsidRPr="007136B5" w:rsidRDefault="00F319AD" w:rsidP="00EF7423">
                            <w:pPr>
                              <w:pStyle w:val="ColorfulList-Accent11"/>
                              <w:ind w:left="426" w:hanging="426"/>
                              <w:rPr>
                                <w:rFonts w:cs="Calibri"/>
                                <w:lang w:val="fr-FR"/>
                              </w:rPr>
                            </w:pPr>
                            <w:r w:rsidRPr="007136B5">
                              <w:rPr>
                                <w:rFonts w:cs="Calibri"/>
                                <w:lang w:val="fr-FR"/>
                              </w:rPr>
                              <w:t>ii</w:t>
                            </w:r>
                            <w:r w:rsidR="00DA2775" w:rsidRPr="007136B5">
                              <w:rPr>
                                <w:rFonts w:cs="Calibri"/>
                                <w:lang w:val="fr-FR"/>
                              </w:rPr>
                              <w:t>)</w:t>
                            </w:r>
                            <w:r w:rsidRPr="007136B5">
                              <w:rPr>
                                <w:rFonts w:cs="Calibri"/>
                                <w:lang w:val="fr-FR"/>
                              </w:rPr>
                              <w:tab/>
                            </w:r>
                            <w:r w:rsidR="00DA2775" w:rsidRPr="007136B5">
                              <w:rPr>
                                <w:rFonts w:cs="Calibri"/>
                                <w:lang w:val="fr-FR"/>
                              </w:rPr>
                              <w:t>examiner les</w:t>
                            </w:r>
                            <w:r w:rsidRPr="007136B5">
                              <w:rPr>
                                <w:rFonts w:cs="Calibri"/>
                                <w:lang w:val="fr-FR"/>
                              </w:rPr>
                              <w:t xml:space="preserve"> recomm</w:t>
                            </w:r>
                            <w:r w:rsidR="00DA2775" w:rsidRPr="007136B5">
                              <w:rPr>
                                <w:rFonts w:cs="Calibri"/>
                                <w:lang w:val="fr-FR"/>
                              </w:rPr>
                              <w:t>a</w:t>
                            </w:r>
                            <w:r w:rsidRPr="007136B5">
                              <w:rPr>
                                <w:rFonts w:cs="Calibri"/>
                                <w:lang w:val="fr-FR"/>
                              </w:rPr>
                              <w:t xml:space="preserve">ndations </w:t>
                            </w:r>
                            <w:r w:rsidR="00DA2775" w:rsidRPr="007136B5">
                              <w:rPr>
                                <w:rFonts w:cs="Calibri"/>
                                <w:lang w:val="fr-FR"/>
                              </w:rPr>
                              <w:t>présentées</w:t>
                            </w:r>
                            <w:r w:rsidRPr="007136B5">
                              <w:rPr>
                                <w:rFonts w:cs="Calibri"/>
                                <w:lang w:val="fr-FR"/>
                              </w:rPr>
                              <w:t xml:space="preserve"> </w:t>
                            </w:r>
                            <w:r w:rsidR="00DA2775" w:rsidRPr="007136B5">
                              <w:rPr>
                                <w:rFonts w:cs="Calibri"/>
                                <w:lang w:val="fr-FR"/>
                              </w:rPr>
                              <w:t>par le GEST dans le</w:t>
                            </w:r>
                            <w:r w:rsidRPr="007136B5">
                              <w:rPr>
                                <w:rFonts w:cs="Calibri"/>
                                <w:lang w:val="fr-FR"/>
                              </w:rPr>
                              <w:t xml:space="preserve"> para</w:t>
                            </w:r>
                            <w:r w:rsidR="0022105A" w:rsidRPr="007136B5">
                              <w:rPr>
                                <w:rFonts w:cs="Calibri"/>
                                <w:lang w:val="fr-FR"/>
                              </w:rPr>
                              <w:t>graph</w:t>
                            </w:r>
                            <w:r w:rsidR="00DA2775" w:rsidRPr="007136B5">
                              <w:rPr>
                                <w:rFonts w:cs="Calibri"/>
                                <w:lang w:val="fr-FR"/>
                              </w:rPr>
                              <w:t>e</w:t>
                            </w:r>
                            <w:r w:rsidRPr="007136B5">
                              <w:rPr>
                                <w:rFonts w:cs="Calibri"/>
                                <w:lang w:val="fr-FR"/>
                              </w:rPr>
                              <w:t xml:space="preserve"> </w:t>
                            </w:r>
                            <w:r w:rsidR="00C56446" w:rsidRPr="007136B5">
                              <w:rPr>
                                <w:rFonts w:cs="Calibri"/>
                                <w:lang w:val="fr-FR"/>
                              </w:rPr>
                              <w:t>3</w:t>
                            </w:r>
                            <w:r w:rsidR="00336E88">
                              <w:rPr>
                                <w:rFonts w:cs="Calibri"/>
                                <w:lang w:val="fr-FR"/>
                              </w:rPr>
                              <w:t>4</w:t>
                            </w:r>
                            <w:r w:rsidRPr="007136B5">
                              <w:rPr>
                                <w:rFonts w:cs="Calibri"/>
                                <w:lang w:val="fr-FR"/>
                              </w:rPr>
                              <w:t xml:space="preserve"> </w:t>
                            </w:r>
                            <w:r w:rsidR="00DA2775" w:rsidRPr="007136B5">
                              <w:rPr>
                                <w:rFonts w:cs="Calibri"/>
                                <w:lang w:val="fr-FR"/>
                              </w:rPr>
                              <w:t>du présent rapport</w:t>
                            </w:r>
                            <w:r w:rsidRPr="007136B5">
                              <w:rPr>
                                <w:rFonts w:cs="Calibri"/>
                                <w:lang w:val="fr-FR"/>
                              </w:rPr>
                              <w:t xml:space="preserve">, </w:t>
                            </w:r>
                            <w:r w:rsidR="00DA2775" w:rsidRPr="007136B5">
                              <w:rPr>
                                <w:rFonts w:cs="Calibri"/>
                                <w:lang w:val="fr-FR"/>
                              </w:rPr>
                              <w:t>concernant en</w:t>
                            </w:r>
                            <w:r w:rsidRPr="007136B5">
                              <w:rPr>
                                <w:rFonts w:cs="Calibri"/>
                                <w:lang w:val="fr-FR"/>
                              </w:rPr>
                              <w:t xml:space="preserve"> particul</w:t>
                            </w:r>
                            <w:r w:rsidR="00DA2775" w:rsidRPr="007136B5">
                              <w:rPr>
                                <w:rFonts w:cs="Calibri"/>
                                <w:lang w:val="fr-FR"/>
                              </w:rPr>
                              <w:t>ier </w:t>
                            </w:r>
                            <w:r w:rsidRPr="007136B5">
                              <w:rPr>
                                <w:rFonts w:cs="Calibri"/>
                                <w:lang w:val="fr-FR"/>
                              </w:rPr>
                              <w:t xml:space="preserve">: </w:t>
                            </w:r>
                          </w:p>
                          <w:p w14:paraId="7898E5B5" w14:textId="4A6276D0" w:rsidR="00AE65A9" w:rsidRPr="007136B5" w:rsidRDefault="00DA2775" w:rsidP="00332D1A">
                            <w:pPr>
                              <w:pStyle w:val="ColorfulList-Accent11"/>
                              <w:numPr>
                                <w:ilvl w:val="0"/>
                                <w:numId w:val="5"/>
                              </w:numPr>
                              <w:rPr>
                                <w:rFonts w:cs="Calibri"/>
                                <w:lang w:val="fr-FR"/>
                              </w:rPr>
                            </w:pPr>
                            <w:r w:rsidRPr="007136B5">
                              <w:rPr>
                                <w:rFonts w:cs="Calibri"/>
                                <w:lang w:val="fr-FR"/>
                              </w:rPr>
                              <w:t>les priorités du GEST pour</w:t>
                            </w:r>
                            <w:r w:rsidR="008E7ED2" w:rsidRPr="007136B5">
                              <w:rPr>
                                <w:rFonts w:cs="Calibri"/>
                                <w:lang w:val="fr-FR"/>
                              </w:rPr>
                              <w:t xml:space="preserve"> </w:t>
                            </w:r>
                            <w:r w:rsidR="00F319AD" w:rsidRPr="007136B5">
                              <w:rPr>
                                <w:rFonts w:cs="Calibri"/>
                                <w:lang w:val="fr-FR"/>
                              </w:rPr>
                              <w:t>2026-2028</w:t>
                            </w:r>
                            <w:r w:rsidRPr="007136B5">
                              <w:rPr>
                                <w:rFonts w:cs="Calibri"/>
                                <w:lang w:val="fr-FR"/>
                              </w:rPr>
                              <w:t> </w:t>
                            </w:r>
                            <w:r w:rsidR="008E7ED2" w:rsidRPr="007136B5">
                              <w:rPr>
                                <w:rFonts w:cs="Calibri"/>
                                <w:lang w:val="fr-FR"/>
                              </w:rPr>
                              <w:t>;</w:t>
                            </w:r>
                          </w:p>
                          <w:p w14:paraId="5D9F9D35" w14:textId="019BAE0B" w:rsidR="00DA2775" w:rsidRPr="007136B5" w:rsidRDefault="000534F9" w:rsidP="00332D1A">
                            <w:pPr>
                              <w:pStyle w:val="ColorfulList-Accent11"/>
                              <w:numPr>
                                <w:ilvl w:val="0"/>
                                <w:numId w:val="5"/>
                              </w:numPr>
                              <w:rPr>
                                <w:rFonts w:cs="Calibri"/>
                                <w:lang w:val="fr-FR"/>
                              </w:rPr>
                            </w:pPr>
                            <w:r w:rsidRPr="007136B5">
                              <w:rPr>
                                <w:rFonts w:cs="Calibri"/>
                                <w:lang w:val="fr-FR"/>
                              </w:rPr>
                              <w:t xml:space="preserve">les orientations relatives à l’utilisation d’autres estimations de populations </w:t>
                            </w:r>
                            <w:r w:rsidR="0067566D">
                              <w:rPr>
                                <w:rFonts w:cs="Calibri"/>
                                <w:lang w:val="fr-FR"/>
                              </w:rPr>
                              <w:t>pour l’application</w:t>
                            </w:r>
                            <w:r w:rsidRPr="007136B5">
                              <w:rPr>
                                <w:rFonts w:cs="Calibri"/>
                                <w:lang w:val="fr-FR"/>
                              </w:rPr>
                              <w:t xml:space="preserve"> du Critère </w:t>
                            </w:r>
                            <w:r w:rsidR="00DA2775" w:rsidRPr="007136B5">
                              <w:rPr>
                                <w:rFonts w:cs="Calibri"/>
                                <w:lang w:val="fr-FR"/>
                              </w:rPr>
                              <w:t>6</w:t>
                            </w:r>
                            <w:r w:rsidRPr="007136B5">
                              <w:rPr>
                                <w:rFonts w:cs="Calibri"/>
                                <w:lang w:val="fr-FR"/>
                              </w:rPr>
                              <w:t> </w:t>
                            </w:r>
                            <w:r w:rsidR="00DA2775" w:rsidRPr="007136B5">
                              <w:rPr>
                                <w:rFonts w:cs="Calibri"/>
                                <w:lang w:val="fr-FR"/>
                              </w:rPr>
                              <w:t>;</w:t>
                            </w:r>
                          </w:p>
                          <w:p w14:paraId="0811BF52" w14:textId="3505576E" w:rsidR="00DA2775" w:rsidRPr="007136B5" w:rsidRDefault="000534F9" w:rsidP="00332D1A">
                            <w:pPr>
                              <w:pStyle w:val="ColorfulList-Accent11"/>
                              <w:numPr>
                                <w:ilvl w:val="0"/>
                                <w:numId w:val="5"/>
                              </w:numPr>
                              <w:rPr>
                                <w:rFonts w:cs="Calibri"/>
                                <w:lang w:val="fr-FR"/>
                              </w:rPr>
                            </w:pPr>
                            <w:r w:rsidRPr="007136B5">
                              <w:rPr>
                                <w:rFonts w:cs="Calibri"/>
                                <w:lang w:val="fr-FR"/>
                              </w:rPr>
                              <w:t xml:space="preserve">le rapport </w:t>
                            </w:r>
                            <w:r w:rsidR="006730FD">
                              <w:rPr>
                                <w:rFonts w:cs="Calibri"/>
                                <w:lang w:val="fr-FR"/>
                              </w:rPr>
                              <w:t>technique</w:t>
                            </w:r>
                            <w:r w:rsidR="00DA2775" w:rsidRPr="007136B5">
                              <w:rPr>
                                <w:rFonts w:cs="Calibri"/>
                                <w:lang w:val="fr-FR"/>
                              </w:rPr>
                              <w:t xml:space="preserve"> </w:t>
                            </w:r>
                            <w:r w:rsidRPr="007136B5">
                              <w:rPr>
                                <w:rFonts w:cs="Calibri"/>
                                <w:lang w:val="fr-FR"/>
                              </w:rPr>
                              <w:t>en vue de réviser les cadres juridique</w:t>
                            </w:r>
                            <w:r w:rsidR="00E041C1">
                              <w:rPr>
                                <w:rFonts w:cs="Calibri"/>
                                <w:lang w:val="fr-FR"/>
                              </w:rPr>
                              <w:t>s</w:t>
                            </w:r>
                            <w:r w:rsidRPr="007136B5">
                              <w:rPr>
                                <w:rFonts w:cs="Calibri"/>
                                <w:lang w:val="fr-FR"/>
                              </w:rPr>
                              <w:t xml:space="preserve"> et politique</w:t>
                            </w:r>
                            <w:r w:rsidR="00E041C1">
                              <w:rPr>
                                <w:rFonts w:cs="Calibri"/>
                                <w:lang w:val="fr-FR"/>
                              </w:rPr>
                              <w:t>s</w:t>
                            </w:r>
                            <w:r w:rsidRPr="007136B5">
                              <w:rPr>
                                <w:rFonts w:cs="Calibri"/>
                                <w:lang w:val="fr-FR"/>
                              </w:rPr>
                              <w:t xml:space="preserve"> en matière de conservation et d’utilisation rationnelle des zones humides </w:t>
                            </w:r>
                            <w:r w:rsidR="00DA2775" w:rsidRPr="007136B5">
                              <w:rPr>
                                <w:rFonts w:cs="Calibri"/>
                                <w:lang w:val="fr-FR"/>
                              </w:rPr>
                              <w:t>;</w:t>
                            </w:r>
                          </w:p>
                          <w:p w14:paraId="190429E1" w14:textId="4C707DDD" w:rsidR="00DA2775" w:rsidRPr="007136B5" w:rsidRDefault="000534F9" w:rsidP="00332D1A">
                            <w:pPr>
                              <w:pStyle w:val="ColorfulList-Accent11"/>
                              <w:numPr>
                                <w:ilvl w:val="0"/>
                                <w:numId w:val="5"/>
                              </w:numPr>
                              <w:rPr>
                                <w:rFonts w:cs="Calibri"/>
                                <w:lang w:val="fr-FR"/>
                              </w:rPr>
                            </w:pPr>
                            <w:r w:rsidRPr="007136B5">
                              <w:rPr>
                                <w:rFonts w:cs="Calibri"/>
                                <w:lang w:val="fr-FR"/>
                              </w:rPr>
                              <w:t>l’approche proposée pour les futures Perspectives mondiales des zones humides </w:t>
                            </w:r>
                            <w:r w:rsidR="00DA2775" w:rsidRPr="007136B5">
                              <w:rPr>
                                <w:rFonts w:cs="Calibri"/>
                                <w:lang w:val="fr-FR"/>
                              </w:rPr>
                              <w:t xml:space="preserve">; </w:t>
                            </w:r>
                            <w:r w:rsidRPr="007136B5">
                              <w:rPr>
                                <w:rFonts w:cs="Calibri"/>
                                <w:lang w:val="fr-FR"/>
                              </w:rPr>
                              <w:t>et</w:t>
                            </w:r>
                          </w:p>
                          <w:p w14:paraId="2D9F112B" w14:textId="1609574B" w:rsidR="00DA2775" w:rsidRPr="007136B5" w:rsidRDefault="000534F9" w:rsidP="00332D1A">
                            <w:pPr>
                              <w:pStyle w:val="ColorfulList-Accent11"/>
                              <w:numPr>
                                <w:ilvl w:val="0"/>
                                <w:numId w:val="5"/>
                              </w:numPr>
                              <w:rPr>
                                <w:rFonts w:cs="Calibri"/>
                                <w:lang w:val="fr-FR"/>
                              </w:rPr>
                            </w:pPr>
                            <w:r w:rsidRPr="007136B5">
                              <w:rPr>
                                <w:rFonts w:cs="Calibri"/>
                                <w:lang w:val="fr-FR"/>
                              </w:rPr>
                              <w:t xml:space="preserve">le financement de la création du </w:t>
                            </w:r>
                            <w:r w:rsidR="00C337FB" w:rsidRPr="007136B5">
                              <w:rPr>
                                <w:rFonts w:cs="Calibri"/>
                                <w:lang w:val="fr-FR"/>
                              </w:rPr>
                              <w:t>Partenariat pour les estimations des populations d’oiseaux d’eau</w:t>
                            </w:r>
                            <w:r w:rsidR="007714E6">
                              <w:rPr>
                                <w:rFonts w:cs="Calibri"/>
                                <w:lang w:val="fr-FR"/>
                              </w:rPr>
                              <w:t xml:space="preserve"> (WEP)</w:t>
                            </w:r>
                            <w:r w:rsidR="00C337FB" w:rsidRPr="007136B5">
                              <w:rPr>
                                <w:rFonts w:cs="Calibri"/>
                                <w:lang w:val="fr-FR"/>
                              </w:rPr>
                              <w:t xml:space="preserve"> </w:t>
                            </w:r>
                            <w:r w:rsidRPr="007136B5">
                              <w:rPr>
                                <w:rFonts w:cs="Calibri"/>
                                <w:lang w:val="fr-FR"/>
                              </w:rPr>
                              <w:t xml:space="preserve">et la réalisation de l’édition de </w:t>
                            </w:r>
                            <w:r w:rsidR="00DA2775" w:rsidRPr="007136B5">
                              <w:rPr>
                                <w:rFonts w:cs="Calibri"/>
                                <w:lang w:val="fr-FR"/>
                              </w:rPr>
                              <w:t xml:space="preserve">2027 </w:t>
                            </w:r>
                            <w:r w:rsidR="00C337FB" w:rsidRPr="007136B5">
                              <w:rPr>
                                <w:rFonts w:cs="Calibri"/>
                                <w:lang w:val="fr-FR"/>
                              </w:rPr>
                              <w:t xml:space="preserve">du rapport </w:t>
                            </w:r>
                            <w:r w:rsidR="00C337FB" w:rsidRPr="007136B5">
                              <w:rPr>
                                <w:rFonts w:cs="Calibri"/>
                                <w:i/>
                                <w:iCs/>
                                <w:lang w:val="fr-FR"/>
                              </w:rPr>
                              <w:t>Waterbird Population Estimates</w:t>
                            </w:r>
                            <w:r w:rsidRPr="007136B5">
                              <w:rPr>
                                <w:rFonts w:cs="Calibri"/>
                                <w:lang w:val="fr-FR"/>
                              </w:rPr>
                              <w:t xml:space="preserve"> (WPE2027</w:t>
                            </w:r>
                            <w:r w:rsidR="007714E6">
                              <w:rPr>
                                <w:rFonts w:cs="Calibri"/>
                                <w:lang w:val="fr-FR"/>
                              </w:rPr>
                              <w:t>-Estimations des populations d’oiseaux d’eau</w:t>
                            </w:r>
                            <w:r w:rsidRPr="007136B5">
                              <w:rPr>
                                <w:rFonts w:cs="Calibri"/>
                                <w:lang w:val="fr-FR"/>
                              </w:rPr>
                              <w:t>)</w:t>
                            </w:r>
                            <w:r w:rsidR="00DA2775" w:rsidRPr="007136B5">
                              <w:rPr>
                                <w:rFonts w:cs="Calibri"/>
                                <w:lang w:val="fr-FR"/>
                              </w:rPr>
                              <w:t>.</w:t>
                            </w:r>
                          </w:p>
                          <w:p w14:paraId="6BFACC5C" w14:textId="77777777" w:rsidR="00DA2775" w:rsidRPr="000534F9" w:rsidRDefault="00DA2775" w:rsidP="00DA2775">
                            <w:pPr>
                              <w:pStyle w:val="ColorfulList-Accent11"/>
                              <w:ind w:left="786" w:firstLine="0"/>
                              <w:rPr>
                                <w:rFonts w:cs="Calibri"/>
                                <w:lang w:val="fr-FR"/>
                              </w:rPr>
                            </w:pPr>
                          </w:p>
                        </w:txbxContent>
                      </wps:txbx>
                      <wps:bodyPr rot="0" vert="horz" wrap="square" lIns="91440" tIns="45720" rIns="91440" bIns="45720" anchor="t" anchorCtr="0" upright="1"/>
                    </wps:wsp>
                  </a:graphicData>
                </a:graphic>
              </wp:inline>
            </w:drawing>
          </mc:Choice>
          <mc:Fallback>
            <w:pict>
              <v:shapetype w14:anchorId="11A3FC30" id="_x0000_t202" coordsize="21600,21600" o:spt="202" path="m,l,21600r21600,l21600,xe">
                <v:stroke joinstyle="miter"/>
                <v:path gradientshapeok="t" o:connecttype="rect"/>
              </v:shapetype>
              <v:shape id="Text Box 1" o:spid="_x0000_s1026" type="#_x0000_t202" style="width:451.3pt;height:2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">
                <v:textbox>
                  <w:txbxContent>
                    <w:p w14:paraId="046049E8" w14:textId="737B4452" w:rsidR="00AE65A9" w:rsidRPr="007136B5" w:rsidRDefault="00DA2775" w:rsidP="00AE65A9">
                      <w:pPr>
                        <w:rPr>
                          <w:rFonts w:asciiTheme="majorHAnsi" w:hAnsiTheme="majorHAnsi" w:cstheme="majorHAnsi"/>
                          <w:b/>
                          <w:bCs w:val="0"/>
                          <w:lang w:val="fr-FR"/>
                        </w:rPr>
                      </w:pPr>
                      <w:r w:rsidRPr="007136B5">
                        <w:rPr>
                          <w:rFonts w:asciiTheme="majorHAnsi" w:hAnsiTheme="majorHAnsi" w:cstheme="majorHAnsi"/>
                          <w:b/>
                          <w:lang w:val="fr-FR"/>
                        </w:rPr>
                        <w:t>Mesures requises </w:t>
                      </w:r>
                      <w:r w:rsidR="00F319AD" w:rsidRPr="007136B5">
                        <w:rPr>
                          <w:rFonts w:asciiTheme="majorHAnsi" w:hAnsiTheme="majorHAnsi" w:cstheme="majorHAnsi"/>
                          <w:b/>
                          <w:lang w:val="fr-FR"/>
                        </w:rPr>
                        <w:t xml:space="preserve">: </w:t>
                      </w:r>
                    </w:p>
                    <w:p w14:paraId="7D0003CC" w14:textId="77777777" w:rsidR="00AE65A9" w:rsidRPr="007136B5" w:rsidRDefault="00AE65A9" w:rsidP="00AE65A9">
                      <w:pPr>
                        <w:pStyle w:val="ColorfulList-Accent11"/>
                        <w:ind w:left="0"/>
                        <w:rPr>
                          <w:rFonts w:asciiTheme="majorHAnsi" w:hAnsiTheme="majorHAnsi" w:cstheme="majorHAnsi"/>
                          <w:lang w:val="fr-FR"/>
                        </w:rPr>
                      </w:pPr>
                    </w:p>
                    <w:p w14:paraId="049EA3FF" w14:textId="15A26E76" w:rsidR="00AE65A9" w:rsidRPr="007136B5" w:rsidRDefault="00DA2775" w:rsidP="00AE65A9">
                      <w:pPr>
                        <w:pStyle w:val="ColorfulList-Accent11"/>
                        <w:ind w:left="0" w:firstLine="0"/>
                        <w:rPr>
                          <w:rFonts w:cs="Calibri"/>
                          <w:lang w:val="fr-FR"/>
                        </w:rPr>
                      </w:pPr>
                      <w:r w:rsidRPr="007136B5">
                        <w:rPr>
                          <w:rFonts w:cs="Calibri"/>
                          <w:lang w:val="fr-FR"/>
                        </w:rPr>
                        <w:t>Le</w:t>
                      </w:r>
                      <w:r w:rsidR="008E7ED2" w:rsidRPr="007136B5">
                        <w:rPr>
                          <w:rFonts w:cs="Calibri"/>
                          <w:lang w:val="fr-FR"/>
                        </w:rPr>
                        <w:t xml:space="preserve"> </w:t>
                      </w:r>
                      <w:r w:rsidRPr="007136B5">
                        <w:rPr>
                          <w:rFonts w:cs="Calibri"/>
                          <w:lang w:val="fr-FR"/>
                        </w:rPr>
                        <w:t>Comité permanent est invité à </w:t>
                      </w:r>
                      <w:r w:rsidR="00F319AD" w:rsidRPr="007136B5">
                        <w:rPr>
                          <w:rFonts w:cs="Calibri"/>
                          <w:lang w:val="fr-FR"/>
                        </w:rPr>
                        <w:t>:</w:t>
                      </w:r>
                    </w:p>
                    <w:p w14:paraId="55061CEA" w14:textId="77777777" w:rsidR="00AE65A9" w:rsidRPr="007136B5" w:rsidRDefault="00AE65A9" w:rsidP="00AE65A9">
                      <w:pPr>
                        <w:pStyle w:val="ColorfulList-Accent11"/>
                        <w:ind w:left="0"/>
                        <w:rPr>
                          <w:rFonts w:cs="Calibri"/>
                          <w:lang w:val="fr-FR"/>
                        </w:rPr>
                      </w:pPr>
                    </w:p>
                    <w:p w14:paraId="66902E72" w14:textId="6760A563" w:rsidR="00AE65A9" w:rsidRPr="007136B5" w:rsidRDefault="00F319AD" w:rsidP="00EF7423">
                      <w:pPr>
                        <w:pStyle w:val="ColorfulList-Accent11"/>
                        <w:ind w:left="426" w:hanging="426"/>
                        <w:rPr>
                          <w:rFonts w:cs="Calibri"/>
                          <w:lang w:val="fr-FR"/>
                        </w:rPr>
                      </w:pPr>
                      <w:r w:rsidRPr="007136B5">
                        <w:rPr>
                          <w:rFonts w:cs="Calibri"/>
                          <w:lang w:val="fr-FR"/>
                        </w:rPr>
                        <w:t>i</w:t>
                      </w:r>
                      <w:r w:rsidR="00DA2775" w:rsidRPr="007136B5">
                        <w:rPr>
                          <w:rFonts w:cs="Calibri"/>
                          <w:lang w:val="fr-FR"/>
                        </w:rPr>
                        <w:t>)</w:t>
                      </w:r>
                      <w:r w:rsidRPr="007136B5">
                        <w:rPr>
                          <w:rFonts w:cs="Calibri"/>
                          <w:lang w:val="fr-FR"/>
                        </w:rPr>
                        <w:tab/>
                      </w:r>
                      <w:r w:rsidR="00DA2775" w:rsidRPr="007136B5">
                        <w:rPr>
                          <w:rFonts w:cs="Calibri"/>
                          <w:lang w:val="fr-FR"/>
                        </w:rPr>
                        <w:t xml:space="preserve">prendre </w:t>
                      </w:r>
                      <w:r w:rsidRPr="007136B5">
                        <w:rPr>
                          <w:rFonts w:cs="Calibri"/>
                          <w:lang w:val="fr-FR"/>
                        </w:rPr>
                        <w:t xml:space="preserve">note </w:t>
                      </w:r>
                      <w:r w:rsidR="00DA2775" w:rsidRPr="007136B5">
                        <w:rPr>
                          <w:rFonts w:cs="Calibri"/>
                          <w:lang w:val="fr-FR"/>
                        </w:rPr>
                        <w:t>du</w:t>
                      </w:r>
                      <w:r w:rsidRPr="007136B5">
                        <w:rPr>
                          <w:rFonts w:cs="Calibri"/>
                          <w:lang w:val="fr-FR"/>
                        </w:rPr>
                        <w:t xml:space="preserve"> </w:t>
                      </w:r>
                      <w:r w:rsidR="00DA2775" w:rsidRPr="007136B5">
                        <w:rPr>
                          <w:rFonts w:cs="Calibri"/>
                          <w:lang w:val="fr-FR"/>
                        </w:rPr>
                        <w:t>Rapport du Président du GEST </w:t>
                      </w:r>
                      <w:r w:rsidRPr="007136B5">
                        <w:rPr>
                          <w:rFonts w:cs="Calibri"/>
                          <w:lang w:val="fr-FR"/>
                        </w:rPr>
                        <w:t>;</w:t>
                      </w:r>
                    </w:p>
                    <w:p w14:paraId="4452CBC4" w14:textId="77777777" w:rsidR="00AE65A9" w:rsidRPr="007136B5" w:rsidRDefault="00AE65A9" w:rsidP="00EF7423">
                      <w:pPr>
                        <w:pStyle w:val="ColorfulList-Accent11"/>
                        <w:ind w:left="426" w:hanging="426"/>
                        <w:rPr>
                          <w:rFonts w:cs="Calibri"/>
                          <w:lang w:val="fr-FR"/>
                        </w:rPr>
                      </w:pPr>
                    </w:p>
                    <w:p w14:paraId="375FFDD0" w14:textId="262FB1F7" w:rsidR="00AE65A9" w:rsidRPr="007136B5" w:rsidRDefault="00F319AD" w:rsidP="00EF7423">
                      <w:pPr>
                        <w:pStyle w:val="ColorfulList-Accent11"/>
                        <w:ind w:left="426" w:hanging="426"/>
                        <w:rPr>
                          <w:rFonts w:cs="Calibri"/>
                          <w:lang w:val="fr-FR"/>
                        </w:rPr>
                      </w:pPr>
                      <w:r w:rsidRPr="007136B5">
                        <w:rPr>
                          <w:rFonts w:cs="Calibri"/>
                          <w:lang w:val="fr-FR"/>
                        </w:rPr>
                        <w:t>ii</w:t>
                      </w:r>
                      <w:r w:rsidR="00DA2775" w:rsidRPr="007136B5">
                        <w:rPr>
                          <w:rFonts w:cs="Calibri"/>
                          <w:lang w:val="fr-FR"/>
                        </w:rPr>
                        <w:t>)</w:t>
                      </w:r>
                      <w:r w:rsidRPr="007136B5">
                        <w:rPr>
                          <w:rFonts w:cs="Calibri"/>
                          <w:lang w:val="fr-FR"/>
                        </w:rPr>
                        <w:tab/>
                      </w:r>
                      <w:r w:rsidR="00DA2775" w:rsidRPr="007136B5">
                        <w:rPr>
                          <w:rFonts w:cs="Calibri"/>
                          <w:lang w:val="fr-FR"/>
                        </w:rPr>
                        <w:t>examiner les</w:t>
                      </w:r>
                      <w:r w:rsidRPr="007136B5">
                        <w:rPr>
                          <w:rFonts w:cs="Calibri"/>
                          <w:lang w:val="fr-FR"/>
                        </w:rPr>
                        <w:t xml:space="preserve"> recomm</w:t>
                      </w:r>
                      <w:r w:rsidR="00DA2775" w:rsidRPr="007136B5">
                        <w:rPr>
                          <w:rFonts w:cs="Calibri"/>
                          <w:lang w:val="fr-FR"/>
                        </w:rPr>
                        <w:t>a</w:t>
                      </w:r>
                      <w:r w:rsidRPr="007136B5">
                        <w:rPr>
                          <w:rFonts w:cs="Calibri"/>
                          <w:lang w:val="fr-FR"/>
                        </w:rPr>
                        <w:t xml:space="preserve">ndations </w:t>
                      </w:r>
                      <w:r w:rsidR="00DA2775" w:rsidRPr="007136B5">
                        <w:rPr>
                          <w:rFonts w:cs="Calibri"/>
                          <w:lang w:val="fr-FR"/>
                        </w:rPr>
                        <w:t>présentées</w:t>
                      </w:r>
                      <w:r w:rsidRPr="007136B5">
                        <w:rPr>
                          <w:rFonts w:cs="Calibri"/>
                          <w:lang w:val="fr-FR"/>
                        </w:rPr>
                        <w:t xml:space="preserve"> </w:t>
                      </w:r>
                      <w:r w:rsidR="00DA2775" w:rsidRPr="007136B5">
                        <w:rPr>
                          <w:rFonts w:cs="Calibri"/>
                          <w:lang w:val="fr-FR"/>
                        </w:rPr>
                        <w:t>par le GEST dans le</w:t>
                      </w:r>
                      <w:r w:rsidRPr="007136B5">
                        <w:rPr>
                          <w:rFonts w:cs="Calibri"/>
                          <w:lang w:val="fr-FR"/>
                        </w:rPr>
                        <w:t xml:space="preserve"> para</w:t>
                      </w:r>
                      <w:r w:rsidR="0022105A" w:rsidRPr="007136B5">
                        <w:rPr>
                          <w:rFonts w:cs="Calibri"/>
                          <w:lang w:val="fr-FR"/>
                        </w:rPr>
                        <w:t>graph</w:t>
                      </w:r>
                      <w:r w:rsidR="00DA2775" w:rsidRPr="007136B5">
                        <w:rPr>
                          <w:rFonts w:cs="Calibri"/>
                          <w:lang w:val="fr-FR"/>
                        </w:rPr>
                        <w:t>e</w:t>
                      </w:r>
                      <w:r w:rsidRPr="007136B5">
                        <w:rPr>
                          <w:rFonts w:cs="Calibri"/>
                          <w:lang w:val="fr-FR"/>
                        </w:rPr>
                        <w:t xml:space="preserve"> </w:t>
                      </w:r>
                      <w:r w:rsidR="00C56446" w:rsidRPr="007136B5">
                        <w:rPr>
                          <w:rFonts w:cs="Calibri"/>
                          <w:lang w:val="fr-FR"/>
                        </w:rPr>
                        <w:t>3</w:t>
                      </w:r>
                      <w:r w:rsidR="00336E88">
                        <w:rPr>
                          <w:rFonts w:cs="Calibri"/>
                          <w:lang w:val="fr-FR"/>
                        </w:rPr>
                        <w:t>4</w:t>
                      </w:r>
                      <w:r w:rsidRPr="007136B5">
                        <w:rPr>
                          <w:rFonts w:cs="Calibri"/>
                          <w:lang w:val="fr-FR"/>
                        </w:rPr>
                        <w:t xml:space="preserve"> </w:t>
                      </w:r>
                      <w:r w:rsidR="00DA2775" w:rsidRPr="007136B5">
                        <w:rPr>
                          <w:rFonts w:cs="Calibri"/>
                          <w:lang w:val="fr-FR"/>
                        </w:rPr>
                        <w:t>du présent rapport</w:t>
                      </w:r>
                      <w:r w:rsidRPr="007136B5">
                        <w:rPr>
                          <w:rFonts w:cs="Calibri"/>
                          <w:lang w:val="fr-FR"/>
                        </w:rPr>
                        <w:t xml:space="preserve">, </w:t>
                      </w:r>
                      <w:r w:rsidR="00DA2775" w:rsidRPr="007136B5">
                        <w:rPr>
                          <w:rFonts w:cs="Calibri"/>
                          <w:lang w:val="fr-FR"/>
                        </w:rPr>
                        <w:t>concernant en</w:t>
                      </w:r>
                      <w:r w:rsidRPr="007136B5">
                        <w:rPr>
                          <w:rFonts w:cs="Calibri"/>
                          <w:lang w:val="fr-FR"/>
                        </w:rPr>
                        <w:t xml:space="preserve"> particul</w:t>
                      </w:r>
                      <w:r w:rsidR="00DA2775" w:rsidRPr="007136B5">
                        <w:rPr>
                          <w:rFonts w:cs="Calibri"/>
                          <w:lang w:val="fr-FR"/>
                        </w:rPr>
                        <w:t>ier </w:t>
                      </w:r>
                      <w:r w:rsidRPr="007136B5">
                        <w:rPr>
                          <w:rFonts w:cs="Calibri"/>
                          <w:lang w:val="fr-FR"/>
                        </w:rPr>
                        <w:t xml:space="preserve">: </w:t>
                      </w:r>
                    </w:p>
                    <w:p w14:paraId="7898E5B5" w14:textId="4A6276D0" w:rsidR="00AE65A9" w:rsidRPr="007136B5" w:rsidRDefault="00DA2775" w:rsidP="00332D1A">
                      <w:pPr>
                        <w:pStyle w:val="ColorfulList-Accent11"/>
                        <w:numPr>
                          <w:ilvl w:val="0"/>
                          <w:numId w:val="5"/>
                        </w:numPr>
                        <w:rPr>
                          <w:rFonts w:cs="Calibri"/>
                          <w:lang w:val="fr-FR"/>
                        </w:rPr>
                      </w:pPr>
                      <w:r w:rsidRPr="007136B5">
                        <w:rPr>
                          <w:rFonts w:cs="Calibri"/>
                          <w:lang w:val="fr-FR"/>
                        </w:rPr>
                        <w:t>les priorités du GEST pour</w:t>
                      </w:r>
                      <w:r w:rsidR="008E7ED2" w:rsidRPr="007136B5">
                        <w:rPr>
                          <w:rFonts w:cs="Calibri"/>
                          <w:lang w:val="fr-FR"/>
                        </w:rPr>
                        <w:t xml:space="preserve"> </w:t>
                      </w:r>
                      <w:r w:rsidR="00F319AD" w:rsidRPr="007136B5">
                        <w:rPr>
                          <w:rFonts w:cs="Calibri"/>
                          <w:lang w:val="fr-FR"/>
                        </w:rPr>
                        <w:t>2026-2028</w:t>
                      </w:r>
                      <w:r w:rsidRPr="007136B5">
                        <w:rPr>
                          <w:rFonts w:cs="Calibri"/>
                          <w:lang w:val="fr-FR"/>
                        </w:rPr>
                        <w:t> </w:t>
                      </w:r>
                      <w:r w:rsidR="008E7ED2" w:rsidRPr="007136B5">
                        <w:rPr>
                          <w:rFonts w:cs="Calibri"/>
                          <w:lang w:val="fr-FR"/>
                        </w:rPr>
                        <w:t>;</w:t>
                      </w:r>
                    </w:p>
                    <w:p w14:paraId="5D9F9D35" w14:textId="019BAE0B" w:rsidR="00DA2775" w:rsidRPr="007136B5" w:rsidRDefault="000534F9" w:rsidP="00332D1A">
                      <w:pPr>
                        <w:pStyle w:val="ColorfulList-Accent11"/>
                        <w:numPr>
                          <w:ilvl w:val="0"/>
                          <w:numId w:val="5"/>
                        </w:numPr>
                        <w:rPr>
                          <w:rFonts w:cs="Calibri"/>
                          <w:lang w:val="fr-FR"/>
                        </w:rPr>
                      </w:pPr>
                      <w:r w:rsidRPr="007136B5">
                        <w:rPr>
                          <w:rFonts w:cs="Calibri"/>
                          <w:lang w:val="fr-FR"/>
                        </w:rPr>
                        <w:t xml:space="preserve">les orientations relatives à l’utilisation d’autres estimations de populations </w:t>
                      </w:r>
                      <w:r w:rsidR="0067566D">
                        <w:rPr>
                          <w:rFonts w:cs="Calibri"/>
                          <w:lang w:val="fr-FR"/>
                        </w:rPr>
                        <w:t>pour l’application</w:t>
                      </w:r>
                      <w:r w:rsidRPr="007136B5">
                        <w:rPr>
                          <w:rFonts w:cs="Calibri"/>
                          <w:lang w:val="fr-FR"/>
                        </w:rPr>
                        <w:t xml:space="preserve"> du Critère </w:t>
                      </w:r>
                      <w:r w:rsidR="00DA2775" w:rsidRPr="007136B5">
                        <w:rPr>
                          <w:rFonts w:cs="Calibri"/>
                          <w:lang w:val="fr-FR"/>
                        </w:rPr>
                        <w:t>6</w:t>
                      </w:r>
                      <w:r w:rsidRPr="007136B5">
                        <w:rPr>
                          <w:rFonts w:cs="Calibri"/>
                          <w:lang w:val="fr-FR"/>
                        </w:rPr>
                        <w:t> </w:t>
                      </w:r>
                      <w:r w:rsidR="00DA2775" w:rsidRPr="007136B5">
                        <w:rPr>
                          <w:rFonts w:cs="Calibri"/>
                          <w:lang w:val="fr-FR"/>
                        </w:rPr>
                        <w:t>;</w:t>
                      </w:r>
                    </w:p>
                    <w:p w14:paraId="0811BF52" w14:textId="3505576E" w:rsidR="00DA2775" w:rsidRPr="007136B5" w:rsidRDefault="000534F9" w:rsidP="00332D1A">
                      <w:pPr>
                        <w:pStyle w:val="ColorfulList-Accent11"/>
                        <w:numPr>
                          <w:ilvl w:val="0"/>
                          <w:numId w:val="5"/>
                        </w:numPr>
                        <w:rPr>
                          <w:rFonts w:cs="Calibri"/>
                          <w:lang w:val="fr-FR"/>
                        </w:rPr>
                      </w:pPr>
                      <w:r w:rsidRPr="007136B5">
                        <w:rPr>
                          <w:rFonts w:cs="Calibri"/>
                          <w:lang w:val="fr-FR"/>
                        </w:rPr>
                        <w:t xml:space="preserve">le rapport </w:t>
                      </w:r>
                      <w:r w:rsidR="006730FD">
                        <w:rPr>
                          <w:rFonts w:cs="Calibri"/>
                          <w:lang w:val="fr-FR"/>
                        </w:rPr>
                        <w:t>technique</w:t>
                      </w:r>
                      <w:r w:rsidR="00DA2775" w:rsidRPr="007136B5">
                        <w:rPr>
                          <w:rFonts w:cs="Calibri"/>
                          <w:lang w:val="fr-FR"/>
                        </w:rPr>
                        <w:t xml:space="preserve"> </w:t>
                      </w:r>
                      <w:r w:rsidRPr="007136B5">
                        <w:rPr>
                          <w:rFonts w:cs="Calibri"/>
                          <w:lang w:val="fr-FR"/>
                        </w:rPr>
                        <w:t>en vue de réviser les cadres juridique</w:t>
                      </w:r>
                      <w:r w:rsidR="00E041C1">
                        <w:rPr>
                          <w:rFonts w:cs="Calibri"/>
                          <w:lang w:val="fr-FR"/>
                        </w:rPr>
                        <w:t>s</w:t>
                      </w:r>
                      <w:r w:rsidRPr="007136B5">
                        <w:rPr>
                          <w:rFonts w:cs="Calibri"/>
                          <w:lang w:val="fr-FR"/>
                        </w:rPr>
                        <w:t xml:space="preserve"> et politique</w:t>
                      </w:r>
                      <w:r w:rsidR="00E041C1">
                        <w:rPr>
                          <w:rFonts w:cs="Calibri"/>
                          <w:lang w:val="fr-FR"/>
                        </w:rPr>
                        <w:t>s</w:t>
                      </w:r>
                      <w:r w:rsidRPr="007136B5">
                        <w:rPr>
                          <w:rFonts w:cs="Calibri"/>
                          <w:lang w:val="fr-FR"/>
                        </w:rPr>
                        <w:t xml:space="preserve"> en matière de conservation et d’utilisation rationnelle des zones humides </w:t>
                      </w:r>
                      <w:r w:rsidR="00DA2775" w:rsidRPr="007136B5">
                        <w:rPr>
                          <w:rFonts w:cs="Calibri"/>
                          <w:lang w:val="fr-FR"/>
                        </w:rPr>
                        <w:t>;</w:t>
                      </w:r>
                    </w:p>
                    <w:p w14:paraId="190429E1" w14:textId="4C707DDD" w:rsidR="00DA2775" w:rsidRPr="007136B5" w:rsidRDefault="000534F9" w:rsidP="00332D1A">
                      <w:pPr>
                        <w:pStyle w:val="ColorfulList-Accent11"/>
                        <w:numPr>
                          <w:ilvl w:val="0"/>
                          <w:numId w:val="5"/>
                        </w:numPr>
                        <w:rPr>
                          <w:rFonts w:cs="Calibri"/>
                          <w:lang w:val="fr-FR"/>
                        </w:rPr>
                      </w:pPr>
                      <w:r w:rsidRPr="007136B5">
                        <w:rPr>
                          <w:rFonts w:cs="Calibri"/>
                          <w:lang w:val="fr-FR"/>
                        </w:rPr>
                        <w:t>l’approche proposée pour les futures Perspectives mondiales des zones humides </w:t>
                      </w:r>
                      <w:r w:rsidR="00DA2775" w:rsidRPr="007136B5">
                        <w:rPr>
                          <w:rFonts w:cs="Calibri"/>
                          <w:lang w:val="fr-FR"/>
                        </w:rPr>
                        <w:t xml:space="preserve">; </w:t>
                      </w:r>
                      <w:r w:rsidRPr="007136B5">
                        <w:rPr>
                          <w:rFonts w:cs="Calibri"/>
                          <w:lang w:val="fr-FR"/>
                        </w:rPr>
                        <w:t>et</w:t>
                      </w:r>
                    </w:p>
                    <w:p w14:paraId="2D9F112B" w14:textId="1609574B" w:rsidR="00DA2775" w:rsidRPr="007136B5" w:rsidRDefault="000534F9" w:rsidP="00332D1A">
                      <w:pPr>
                        <w:pStyle w:val="ColorfulList-Accent11"/>
                        <w:numPr>
                          <w:ilvl w:val="0"/>
                          <w:numId w:val="5"/>
                        </w:numPr>
                        <w:rPr>
                          <w:rFonts w:cs="Calibri"/>
                          <w:lang w:val="fr-FR"/>
                        </w:rPr>
                      </w:pPr>
                      <w:r w:rsidRPr="007136B5">
                        <w:rPr>
                          <w:rFonts w:cs="Calibri"/>
                          <w:lang w:val="fr-FR"/>
                        </w:rPr>
                        <w:t xml:space="preserve">le financement de la création du </w:t>
                      </w:r>
                      <w:r w:rsidR="00C337FB" w:rsidRPr="007136B5">
                        <w:rPr>
                          <w:rFonts w:cs="Calibri"/>
                          <w:lang w:val="fr-FR"/>
                        </w:rPr>
                        <w:t>Partenariat pour les estimations des populations d’oiseaux d’eau</w:t>
                      </w:r>
                      <w:r w:rsidR="007714E6">
                        <w:rPr>
                          <w:rFonts w:cs="Calibri"/>
                          <w:lang w:val="fr-FR"/>
                        </w:rPr>
                        <w:t xml:space="preserve"> (WEP)</w:t>
                      </w:r>
                      <w:r w:rsidR="00C337FB" w:rsidRPr="007136B5">
                        <w:rPr>
                          <w:rFonts w:cs="Calibri"/>
                          <w:lang w:val="fr-FR"/>
                        </w:rPr>
                        <w:t xml:space="preserve"> </w:t>
                      </w:r>
                      <w:r w:rsidRPr="007136B5">
                        <w:rPr>
                          <w:rFonts w:cs="Calibri"/>
                          <w:lang w:val="fr-FR"/>
                        </w:rPr>
                        <w:t xml:space="preserve">et la réalisation de l’édition de </w:t>
                      </w:r>
                      <w:r w:rsidR="00DA2775" w:rsidRPr="007136B5">
                        <w:rPr>
                          <w:rFonts w:cs="Calibri"/>
                          <w:lang w:val="fr-FR"/>
                        </w:rPr>
                        <w:t xml:space="preserve">2027 </w:t>
                      </w:r>
                      <w:r w:rsidR="00C337FB" w:rsidRPr="007136B5">
                        <w:rPr>
                          <w:rFonts w:cs="Calibri"/>
                          <w:lang w:val="fr-FR"/>
                        </w:rPr>
                        <w:t xml:space="preserve">du rapport </w:t>
                      </w:r>
                      <w:r w:rsidR="00C337FB" w:rsidRPr="007136B5">
                        <w:rPr>
                          <w:rFonts w:cs="Calibri"/>
                          <w:i/>
                          <w:iCs/>
                          <w:lang w:val="fr-FR"/>
                        </w:rPr>
                        <w:t>Waterbird Population Estimates</w:t>
                      </w:r>
                      <w:r w:rsidRPr="007136B5">
                        <w:rPr>
                          <w:rFonts w:cs="Calibri"/>
                          <w:lang w:val="fr-FR"/>
                        </w:rPr>
                        <w:t xml:space="preserve"> (WPE2027</w:t>
                      </w:r>
                      <w:r w:rsidR="007714E6">
                        <w:rPr>
                          <w:rFonts w:cs="Calibri"/>
                          <w:lang w:val="fr-FR"/>
                        </w:rPr>
                        <w:t>-Estimations des populations d’oiseaux d’eau</w:t>
                      </w:r>
                      <w:r w:rsidRPr="007136B5">
                        <w:rPr>
                          <w:rFonts w:cs="Calibri"/>
                          <w:lang w:val="fr-FR"/>
                        </w:rPr>
                        <w:t>)</w:t>
                      </w:r>
                      <w:r w:rsidR="00DA2775" w:rsidRPr="007136B5">
                        <w:rPr>
                          <w:rFonts w:cs="Calibri"/>
                          <w:lang w:val="fr-FR"/>
                        </w:rPr>
                        <w:t>.</w:t>
                      </w:r>
                    </w:p>
                    <w:p w14:paraId="6BFACC5C" w14:textId="77777777" w:rsidR="00DA2775" w:rsidRPr="000534F9" w:rsidRDefault="00DA2775" w:rsidP="00DA2775">
                      <w:pPr>
                        <w:pStyle w:val="ColorfulList-Accent11"/>
                        <w:ind w:left="786" w:firstLine="0"/>
                        <w:rPr>
                          <w:rFonts w:cs="Calibri"/>
                          <w:lang w:val="fr-FR"/>
                        </w:rPr>
                      </w:pPr>
                    </w:p>
                  </w:txbxContent>
                </v:textbox>
                <w10:anchorlock/>
              </v:shape>
            </w:pict>
          </mc:Fallback>
        </mc:AlternateContent>
      </w:r>
    </w:p>
    <w:p w14:paraId="43CA1332" w14:textId="77777777" w:rsidR="00995BCF" w:rsidRPr="00C54E6D" w:rsidRDefault="00995BCF" w:rsidP="00E952E3">
      <w:pPr>
        <w:rPr>
          <w:sz w:val="24"/>
          <w:szCs w:val="24"/>
          <w:lang w:eastAsia="zh-CN"/>
        </w:rPr>
      </w:pPr>
    </w:p>
    <w:p w14:paraId="3A4F2EAB" w14:textId="77777777" w:rsidR="00C14273" w:rsidRPr="00D629F5" w:rsidRDefault="00F319AD" w:rsidP="00C14273">
      <w:pPr>
        <w:keepNext/>
        <w:ind w:left="425" w:hanging="425"/>
        <w:rPr>
          <w:rFonts w:eastAsia="Calibri"/>
          <w:b/>
          <w:lang w:val="fr-FR"/>
        </w:rPr>
      </w:pPr>
      <w:r w:rsidRPr="00D629F5">
        <w:rPr>
          <w:rFonts w:eastAsia="Calibri"/>
          <w:b/>
          <w:lang w:val="fr-FR"/>
        </w:rPr>
        <w:t>Introduction</w:t>
      </w:r>
    </w:p>
    <w:p w14:paraId="0ABE373B" w14:textId="77777777" w:rsidR="002921ED" w:rsidRPr="00D629F5" w:rsidRDefault="002921ED" w:rsidP="002921ED">
      <w:pPr>
        <w:rPr>
          <w:rFonts w:eastAsia="Calibri"/>
          <w:lang w:val="fr-FR"/>
        </w:rPr>
      </w:pPr>
    </w:p>
    <w:p w14:paraId="3E59957F" w14:textId="39E4D30C" w:rsidR="009D24B1" w:rsidRPr="00D629F5" w:rsidRDefault="00F319AD" w:rsidP="009D24B1">
      <w:pPr>
        <w:ind w:left="432" w:hanging="432"/>
        <w:rPr>
          <w:rFonts w:eastAsia="Calibri"/>
          <w:lang w:val="fr-FR"/>
        </w:rPr>
      </w:pPr>
      <w:r w:rsidRPr="00D629F5">
        <w:rPr>
          <w:rFonts w:eastAsia="Calibri"/>
          <w:bCs w:val="0"/>
          <w:lang w:val="fr-FR"/>
        </w:rPr>
        <w:t>1.</w:t>
      </w:r>
      <w:r w:rsidRPr="00D629F5">
        <w:rPr>
          <w:rFonts w:eastAsia="Calibri"/>
          <w:bCs w:val="0"/>
          <w:lang w:val="fr-FR"/>
        </w:rPr>
        <w:tab/>
      </w:r>
      <w:r w:rsidR="00404A84" w:rsidRPr="00D629F5">
        <w:rPr>
          <w:rFonts w:eastAsia="Calibri"/>
          <w:bCs w:val="0"/>
          <w:lang w:val="fr-FR"/>
        </w:rPr>
        <w:t>Depuis son dernier rapport</w:t>
      </w:r>
      <w:r w:rsidR="007714E6" w:rsidRPr="00D629F5">
        <w:rPr>
          <w:rFonts w:eastAsia="Calibri"/>
          <w:bCs w:val="0"/>
          <w:lang w:val="fr-FR"/>
        </w:rPr>
        <w:t>,</w:t>
      </w:r>
      <w:r w:rsidR="00404A84" w:rsidRPr="00D629F5">
        <w:rPr>
          <w:rFonts w:eastAsia="Calibri"/>
          <w:bCs w:val="0"/>
          <w:lang w:val="fr-FR"/>
        </w:rPr>
        <w:t xml:space="preserve"> présenté à la 63</w:t>
      </w:r>
      <w:r w:rsidR="00404A84" w:rsidRPr="00D629F5">
        <w:rPr>
          <w:rFonts w:eastAsia="Calibri"/>
          <w:bCs w:val="0"/>
          <w:vertAlign w:val="superscript"/>
          <w:lang w:val="fr-FR"/>
        </w:rPr>
        <w:t>e</w:t>
      </w:r>
      <w:r w:rsidR="00404A84" w:rsidRPr="00D629F5">
        <w:rPr>
          <w:rFonts w:eastAsia="Calibri"/>
          <w:bCs w:val="0"/>
          <w:lang w:val="fr-FR"/>
        </w:rPr>
        <w:t> Réunion du Comité permanent (SC63), l</w:t>
      </w:r>
      <w:r w:rsidR="00404A84" w:rsidRPr="00D629F5">
        <w:rPr>
          <w:rFonts w:eastAsia="Calibri"/>
          <w:lang w:val="fr-FR"/>
        </w:rPr>
        <w:t xml:space="preserve">e Groupe d’évaluation scientifique et technique (GEST) a </w:t>
      </w:r>
      <w:r w:rsidR="007714E6" w:rsidRPr="00D629F5">
        <w:rPr>
          <w:rFonts w:eastAsia="Calibri"/>
          <w:lang w:val="fr-FR"/>
        </w:rPr>
        <w:t>progressé de manière</w:t>
      </w:r>
      <w:r w:rsidR="00404A84" w:rsidRPr="00D629F5">
        <w:rPr>
          <w:rFonts w:eastAsia="Calibri"/>
          <w:lang w:val="fr-FR"/>
        </w:rPr>
        <w:t xml:space="preserve"> significati</w:t>
      </w:r>
      <w:r w:rsidR="007714E6" w:rsidRPr="00D629F5">
        <w:rPr>
          <w:rFonts w:eastAsia="Calibri"/>
          <w:lang w:val="fr-FR"/>
        </w:rPr>
        <w:t>ve</w:t>
      </w:r>
      <w:r w:rsidR="00404A84" w:rsidRPr="00D629F5">
        <w:rPr>
          <w:rFonts w:eastAsia="Calibri"/>
          <w:lang w:val="fr-FR"/>
        </w:rPr>
        <w:t xml:space="preserve">. Il a notamment </w:t>
      </w:r>
      <w:r w:rsidR="007714E6" w:rsidRPr="00D629F5">
        <w:rPr>
          <w:rFonts w:eastAsia="Calibri"/>
          <w:lang w:val="fr-FR"/>
        </w:rPr>
        <w:t>exécuté les</w:t>
      </w:r>
      <w:r w:rsidR="00404A84" w:rsidRPr="00D629F5">
        <w:rPr>
          <w:rFonts w:eastAsia="Calibri"/>
          <w:lang w:val="fr-FR"/>
        </w:rPr>
        <w:t xml:space="preserve"> tâches clés décrites dans le plan de travail du GEST </w:t>
      </w:r>
      <w:r w:rsidR="00543848" w:rsidRPr="00D629F5">
        <w:rPr>
          <w:rFonts w:eastAsia="Calibri"/>
          <w:lang w:val="fr-FR"/>
        </w:rPr>
        <w:t>2023</w:t>
      </w:r>
      <w:r w:rsidR="00404A84" w:rsidRPr="00D629F5">
        <w:rPr>
          <w:rFonts w:eastAsia="Calibri"/>
          <w:lang w:val="fr-FR"/>
        </w:rPr>
        <w:t>­</w:t>
      </w:r>
      <w:r w:rsidR="00543848" w:rsidRPr="00D629F5">
        <w:rPr>
          <w:rFonts w:eastAsia="Calibri"/>
          <w:lang w:val="fr-FR"/>
        </w:rPr>
        <w:t xml:space="preserve">2025 </w:t>
      </w:r>
      <w:r w:rsidR="00404A84" w:rsidRPr="00D629F5">
        <w:rPr>
          <w:rFonts w:eastAsia="Calibri"/>
          <w:lang w:val="fr-FR"/>
        </w:rPr>
        <w:t xml:space="preserve">et a organisé avec succès la troisième réunion intersessions du GEST. Le Groupe a participé activement à différents groupes de travail établis par le Comité permanent et a </w:t>
      </w:r>
      <w:r w:rsidR="007714E6" w:rsidRPr="00D629F5">
        <w:rPr>
          <w:rFonts w:eastAsia="Calibri"/>
          <w:lang w:val="fr-FR"/>
        </w:rPr>
        <w:t>apporté une réponse</w:t>
      </w:r>
      <w:r w:rsidR="00404A84" w:rsidRPr="00D629F5">
        <w:rPr>
          <w:rFonts w:eastAsia="Calibri"/>
          <w:lang w:val="fr-FR"/>
        </w:rPr>
        <w:t xml:space="preserve"> à différentes requêtes spéciales. Le présent rapport retrace les activités du Groupe depuis la 63</w:t>
      </w:r>
      <w:r w:rsidR="00404A84" w:rsidRPr="00D629F5">
        <w:rPr>
          <w:rFonts w:eastAsia="Calibri"/>
          <w:vertAlign w:val="superscript"/>
          <w:lang w:val="fr-FR"/>
        </w:rPr>
        <w:t>e</w:t>
      </w:r>
      <w:r w:rsidR="00404A84" w:rsidRPr="00D629F5">
        <w:rPr>
          <w:rFonts w:eastAsia="Calibri"/>
          <w:lang w:val="fr-FR"/>
        </w:rPr>
        <w:t xml:space="preserve"> Réunion du Comité permanent </w:t>
      </w:r>
      <w:r w:rsidR="007714E6" w:rsidRPr="00D629F5">
        <w:rPr>
          <w:rFonts w:eastAsia="Calibri"/>
          <w:lang w:val="fr-FR"/>
        </w:rPr>
        <w:t>et met</w:t>
      </w:r>
      <w:r w:rsidR="00404A84" w:rsidRPr="00D629F5">
        <w:rPr>
          <w:rFonts w:eastAsia="Calibri"/>
          <w:lang w:val="fr-FR"/>
        </w:rPr>
        <w:t xml:space="preserve"> tout particulièrement l’accent sur les réalisations majeures et les initiatives à venir.</w:t>
      </w:r>
    </w:p>
    <w:p w14:paraId="0DC8F26C" w14:textId="77777777" w:rsidR="009D24B1" w:rsidRPr="00D629F5" w:rsidRDefault="009D24B1" w:rsidP="002921ED">
      <w:pPr>
        <w:rPr>
          <w:rFonts w:eastAsia="Calibri"/>
          <w:lang w:val="fr-FR"/>
        </w:rPr>
      </w:pPr>
    </w:p>
    <w:p w14:paraId="7108BF12" w14:textId="7BBBB6CE" w:rsidR="002921ED" w:rsidRPr="00D629F5" w:rsidRDefault="00404A84" w:rsidP="002921ED">
      <w:pPr>
        <w:keepNext/>
        <w:ind w:left="425" w:hanging="425"/>
        <w:rPr>
          <w:rFonts w:eastAsia="Calibri"/>
          <w:b/>
          <w:lang w:val="fr-FR"/>
        </w:rPr>
      </w:pPr>
      <w:r w:rsidRPr="00D629F5">
        <w:rPr>
          <w:rFonts w:eastAsia="Calibri"/>
          <w:b/>
          <w:lang w:val="fr-FR"/>
        </w:rPr>
        <w:t>Réunions intersessions en ligne du GEST</w:t>
      </w:r>
    </w:p>
    <w:p w14:paraId="77970B53" w14:textId="77777777" w:rsidR="00757263" w:rsidRPr="00D629F5" w:rsidRDefault="00757263" w:rsidP="00757263">
      <w:pPr>
        <w:ind w:left="432" w:hanging="432"/>
        <w:rPr>
          <w:rFonts w:eastAsia="Calibri"/>
          <w:bCs w:val="0"/>
          <w:lang w:val="fr-FR"/>
        </w:rPr>
      </w:pPr>
    </w:p>
    <w:p w14:paraId="08AF41F7" w14:textId="6C4C8DB7" w:rsidR="001B1E6C" w:rsidRPr="00D629F5" w:rsidRDefault="00F319AD" w:rsidP="001B1E6C">
      <w:pPr>
        <w:ind w:left="432" w:hanging="432"/>
        <w:rPr>
          <w:lang w:val="fr-FR" w:eastAsia="zh-CN"/>
        </w:rPr>
      </w:pPr>
      <w:r w:rsidRPr="00D629F5">
        <w:rPr>
          <w:rFonts w:eastAsia="Calibri"/>
          <w:bCs w:val="0"/>
          <w:lang w:val="fr-FR"/>
        </w:rPr>
        <w:t>2.</w:t>
      </w:r>
      <w:r w:rsidRPr="00D629F5">
        <w:rPr>
          <w:rFonts w:eastAsia="Calibri"/>
          <w:bCs w:val="0"/>
          <w:lang w:val="fr-FR"/>
        </w:rPr>
        <w:tab/>
      </w:r>
      <w:r w:rsidR="00404A84" w:rsidRPr="00D629F5">
        <w:rPr>
          <w:rFonts w:eastAsia="Calibri"/>
          <w:bCs w:val="0"/>
          <w:lang w:val="fr-FR"/>
        </w:rPr>
        <w:t>Avec l’appui du Secrétariat, la troisième réunion intersessions en ligne des membres du GEST</w:t>
      </w:r>
      <w:r w:rsidR="00776CB8" w:rsidRPr="00D629F5">
        <w:rPr>
          <w:rFonts w:eastAsia="Calibri"/>
          <w:bCs w:val="0"/>
          <w:lang w:val="fr-FR"/>
        </w:rPr>
        <w:t xml:space="preserve">, </w:t>
      </w:r>
      <w:r w:rsidR="00D02E92" w:rsidRPr="00D629F5">
        <w:rPr>
          <w:rFonts w:eastAsia="Calibri"/>
          <w:bCs w:val="0"/>
          <w:lang w:val="fr-FR"/>
        </w:rPr>
        <w:t xml:space="preserve">notamment </w:t>
      </w:r>
      <w:r w:rsidR="00776CB8" w:rsidRPr="00D629F5">
        <w:rPr>
          <w:rFonts w:eastAsia="Calibri"/>
          <w:bCs w:val="0"/>
          <w:lang w:val="fr-FR"/>
        </w:rPr>
        <w:t xml:space="preserve">des </w:t>
      </w:r>
      <w:r w:rsidR="00D02E92" w:rsidRPr="00D629F5">
        <w:rPr>
          <w:rFonts w:eastAsia="Calibri"/>
          <w:bCs w:val="0"/>
          <w:lang w:val="fr-FR"/>
        </w:rPr>
        <w:t>auteurs principaux et</w:t>
      </w:r>
      <w:r w:rsidR="00776CB8" w:rsidRPr="00D629F5">
        <w:rPr>
          <w:rFonts w:eastAsia="Calibri"/>
          <w:bCs w:val="0"/>
          <w:lang w:val="fr-FR"/>
        </w:rPr>
        <w:t xml:space="preserve"> </w:t>
      </w:r>
      <w:r w:rsidR="00CA26A0" w:rsidRPr="00D629F5">
        <w:rPr>
          <w:rFonts w:eastAsia="Calibri"/>
          <w:bCs w:val="0"/>
          <w:lang w:val="fr-FR"/>
        </w:rPr>
        <w:t>des auteurs collaborateurs</w:t>
      </w:r>
      <w:r w:rsidR="00776CB8" w:rsidRPr="00D629F5">
        <w:rPr>
          <w:rFonts w:eastAsia="Calibri"/>
          <w:bCs w:val="0"/>
          <w:lang w:val="fr-FR"/>
        </w:rPr>
        <w:t xml:space="preserve">, a eu lieu du 3 au 4 septembre 2024, </w:t>
      </w:r>
      <w:r w:rsidR="00D02E92" w:rsidRPr="00D629F5">
        <w:rPr>
          <w:rFonts w:eastAsia="Calibri"/>
          <w:bCs w:val="0"/>
          <w:lang w:val="fr-FR"/>
        </w:rPr>
        <w:t>avec</w:t>
      </w:r>
      <w:r w:rsidR="00776CB8" w:rsidRPr="00D629F5">
        <w:rPr>
          <w:rFonts w:eastAsia="Calibri"/>
          <w:bCs w:val="0"/>
          <w:lang w:val="fr-FR"/>
        </w:rPr>
        <w:t xml:space="preserve"> 41 participants. Les objectifs étaient les suivants : </w:t>
      </w:r>
    </w:p>
    <w:p w14:paraId="10FC45E5" w14:textId="3E4C0A52" w:rsidR="001B1E6C" w:rsidRPr="00D629F5" w:rsidRDefault="00D02E92" w:rsidP="00D629F5">
      <w:pPr>
        <w:pStyle w:val="ListParagraph"/>
        <w:numPr>
          <w:ilvl w:val="0"/>
          <w:numId w:val="1"/>
        </w:numPr>
        <w:ind w:left="810" w:hanging="384"/>
        <w:rPr>
          <w:rFonts w:eastAsia="Calibri"/>
          <w:bCs w:val="0"/>
          <w:lang w:val="fr-FR"/>
        </w:rPr>
      </w:pPr>
      <w:r w:rsidRPr="00D629F5">
        <w:rPr>
          <w:lang w:val="fr-FR" w:eastAsia="zh-CN"/>
        </w:rPr>
        <w:t>le</w:t>
      </w:r>
      <w:r w:rsidR="00776CB8" w:rsidRPr="00D629F5">
        <w:rPr>
          <w:lang w:val="fr-FR" w:eastAsia="zh-CN"/>
        </w:rPr>
        <w:t xml:space="preserve"> Président du GEST et </w:t>
      </w:r>
      <w:r w:rsidRPr="00D629F5">
        <w:rPr>
          <w:lang w:val="fr-FR" w:eastAsia="zh-CN"/>
        </w:rPr>
        <w:t>le</w:t>
      </w:r>
      <w:r w:rsidR="00776CB8" w:rsidRPr="00D629F5">
        <w:rPr>
          <w:lang w:val="fr-FR" w:eastAsia="zh-CN"/>
        </w:rPr>
        <w:t xml:space="preserve"> Secrétariat</w:t>
      </w:r>
      <w:r w:rsidRPr="00D629F5">
        <w:rPr>
          <w:lang w:val="fr-FR" w:eastAsia="zh-CN"/>
        </w:rPr>
        <w:t xml:space="preserve"> ont fait le point sur la situation</w:t>
      </w:r>
      <w:r w:rsidR="00776CB8" w:rsidRPr="00D629F5">
        <w:rPr>
          <w:lang w:val="fr-FR" w:eastAsia="zh-CN"/>
        </w:rPr>
        <w:t xml:space="preserve"> ; </w:t>
      </w:r>
    </w:p>
    <w:p w14:paraId="39121A9D" w14:textId="347F762B" w:rsidR="001B1E6C" w:rsidRPr="00D629F5" w:rsidRDefault="00D02E92" w:rsidP="00D629F5">
      <w:pPr>
        <w:pStyle w:val="ListParagraph"/>
        <w:numPr>
          <w:ilvl w:val="0"/>
          <w:numId w:val="1"/>
        </w:numPr>
        <w:ind w:left="810" w:hanging="384"/>
        <w:rPr>
          <w:lang w:val="fr-FR" w:eastAsia="zh-CN"/>
        </w:rPr>
      </w:pPr>
      <w:r w:rsidRPr="00D629F5">
        <w:rPr>
          <w:rFonts w:eastAsia="Calibri"/>
          <w:bCs w:val="0"/>
          <w:lang w:val="fr-FR"/>
        </w:rPr>
        <w:t>les</w:t>
      </w:r>
      <w:r w:rsidR="00776CB8" w:rsidRPr="00D629F5">
        <w:rPr>
          <w:rFonts w:eastAsia="Calibri"/>
          <w:bCs w:val="0"/>
          <w:lang w:val="fr-FR"/>
        </w:rPr>
        <w:t xml:space="preserve"> </w:t>
      </w:r>
      <w:r w:rsidR="00C538EE" w:rsidRPr="00D629F5">
        <w:rPr>
          <w:rFonts w:eastAsia="Calibri"/>
          <w:bCs w:val="0"/>
          <w:lang w:val="fr-FR"/>
        </w:rPr>
        <w:t>auteurs principaux chargés de la coordination</w:t>
      </w:r>
      <w:r w:rsidR="00776CB8" w:rsidRPr="00D629F5">
        <w:rPr>
          <w:rFonts w:eastAsia="Calibri"/>
          <w:bCs w:val="0"/>
          <w:lang w:val="fr-FR"/>
        </w:rPr>
        <w:t xml:space="preserve"> des </w:t>
      </w:r>
      <w:r w:rsidR="00533B4A" w:rsidRPr="00D629F5">
        <w:rPr>
          <w:rFonts w:eastAsia="Calibri"/>
          <w:bCs w:val="0"/>
          <w:lang w:val="fr-FR"/>
        </w:rPr>
        <w:t>D</w:t>
      </w:r>
      <w:r w:rsidR="00776CB8" w:rsidRPr="00D629F5">
        <w:rPr>
          <w:rFonts w:eastAsia="Calibri"/>
          <w:bCs w:val="0"/>
          <w:lang w:val="fr-FR"/>
        </w:rPr>
        <w:t xml:space="preserve">omaines de travail thématiques </w:t>
      </w:r>
      <w:r w:rsidRPr="00D629F5">
        <w:rPr>
          <w:rFonts w:eastAsia="Calibri"/>
          <w:bCs w:val="0"/>
          <w:lang w:val="fr-FR"/>
        </w:rPr>
        <w:t xml:space="preserve">ont </w:t>
      </w:r>
      <w:r w:rsidR="006730FD" w:rsidRPr="00D629F5">
        <w:rPr>
          <w:rFonts w:eastAsia="Calibri"/>
          <w:bCs w:val="0"/>
          <w:lang w:val="fr-FR"/>
        </w:rPr>
        <w:t xml:space="preserve">informé </w:t>
      </w:r>
      <w:r w:rsidRPr="00D629F5">
        <w:rPr>
          <w:rFonts w:eastAsia="Calibri"/>
          <w:bCs w:val="0"/>
          <w:lang w:val="fr-FR"/>
        </w:rPr>
        <w:t>les membres des</w:t>
      </w:r>
      <w:r w:rsidR="00776CB8" w:rsidRPr="00D629F5">
        <w:rPr>
          <w:rFonts w:eastAsia="Calibri"/>
          <w:bCs w:val="0"/>
          <w:lang w:val="fr-FR"/>
        </w:rPr>
        <w:t xml:space="preserve"> progrès du plan de travail du GEST ;</w:t>
      </w:r>
    </w:p>
    <w:p w14:paraId="2F630401" w14:textId="140432F5" w:rsidR="00CC2345" w:rsidRPr="00D629F5" w:rsidRDefault="00D02E92" w:rsidP="00D629F5">
      <w:pPr>
        <w:pStyle w:val="ListParagraph"/>
        <w:numPr>
          <w:ilvl w:val="0"/>
          <w:numId w:val="1"/>
        </w:numPr>
        <w:ind w:left="810" w:hanging="384"/>
        <w:rPr>
          <w:lang w:val="fr-FR" w:eastAsia="zh-CN"/>
        </w:rPr>
      </w:pPr>
      <w:r w:rsidRPr="00D629F5">
        <w:rPr>
          <w:lang w:val="fr-FR" w:eastAsia="zh-CN"/>
        </w:rPr>
        <w:t>l</w:t>
      </w:r>
      <w:r w:rsidR="00776CB8" w:rsidRPr="00D629F5">
        <w:rPr>
          <w:lang w:val="fr-FR" w:eastAsia="zh-CN"/>
        </w:rPr>
        <w:t>es projets de résolutions à soumettre à la 64</w:t>
      </w:r>
      <w:r w:rsidR="00776CB8" w:rsidRPr="00D629F5">
        <w:rPr>
          <w:vertAlign w:val="superscript"/>
          <w:lang w:val="fr-FR" w:eastAsia="zh-CN"/>
        </w:rPr>
        <w:t>e</w:t>
      </w:r>
      <w:r w:rsidR="00776CB8" w:rsidRPr="00D629F5">
        <w:rPr>
          <w:lang w:val="fr-FR" w:eastAsia="zh-CN"/>
        </w:rPr>
        <w:t> Réunion du Comité permanent</w:t>
      </w:r>
      <w:r w:rsidRPr="00D629F5">
        <w:rPr>
          <w:lang w:val="fr-FR" w:eastAsia="zh-CN"/>
        </w:rPr>
        <w:t xml:space="preserve"> ont été discutés</w:t>
      </w:r>
      <w:r w:rsidR="00776CB8" w:rsidRPr="00D629F5">
        <w:rPr>
          <w:lang w:val="fr-FR" w:eastAsia="zh-CN"/>
        </w:rPr>
        <w:t xml:space="preserve"> : </w:t>
      </w:r>
      <w:r w:rsidR="000F76B8" w:rsidRPr="00D629F5">
        <w:rPr>
          <w:lang w:val="fr-FR" w:eastAsia="zh-CN"/>
        </w:rPr>
        <w:t xml:space="preserve">projet de résolution sur l’application future des aspects scientifiques et techniques de la Convention pour 2026-2028 </w:t>
      </w:r>
      <w:r w:rsidR="00E8368C" w:rsidRPr="00D629F5">
        <w:rPr>
          <w:lang w:val="fr-FR" w:eastAsia="zh-CN"/>
        </w:rPr>
        <w:t>(</w:t>
      </w:r>
      <w:r w:rsidR="00BD1E66" w:rsidRPr="00D629F5">
        <w:rPr>
          <w:lang w:val="fr-FR" w:eastAsia="zh-CN"/>
        </w:rPr>
        <w:t>SC64 Doc.19)</w:t>
      </w:r>
      <w:r w:rsidR="000F76B8" w:rsidRPr="00D629F5">
        <w:rPr>
          <w:lang w:val="fr-FR" w:eastAsia="zh-CN"/>
        </w:rPr>
        <w:t> </w:t>
      </w:r>
      <w:r w:rsidR="00F14062" w:rsidRPr="00D629F5">
        <w:rPr>
          <w:lang w:val="fr-FR" w:eastAsia="zh-CN"/>
        </w:rPr>
        <w:t>;</w:t>
      </w:r>
      <w:r w:rsidR="00BE5EDB" w:rsidRPr="00D629F5">
        <w:rPr>
          <w:lang w:val="fr-FR" w:eastAsia="zh-CN"/>
        </w:rPr>
        <w:t xml:space="preserve"> </w:t>
      </w:r>
      <w:r w:rsidRPr="00D629F5">
        <w:rPr>
          <w:lang w:val="fr-FR" w:eastAsia="zh-CN"/>
        </w:rPr>
        <w:t>projet de résolution sur la création du Partenariat pour les estimations des populations d’oiseaux d’eau</w:t>
      </w:r>
      <w:r w:rsidR="00C538EE" w:rsidRPr="00D629F5">
        <w:rPr>
          <w:lang w:val="fr-FR" w:eastAsia="zh-CN"/>
        </w:rPr>
        <w:t xml:space="preserve"> </w:t>
      </w:r>
      <w:r w:rsidR="001A6198" w:rsidRPr="00D629F5">
        <w:rPr>
          <w:lang w:val="fr-FR" w:eastAsia="zh-CN"/>
        </w:rPr>
        <w:t xml:space="preserve">(SC64 Doc.20) et publication de l’édition 2027 du rapport </w:t>
      </w:r>
      <w:bookmarkStart w:id="2" w:name="_Hlk181522439"/>
      <w:r w:rsidR="001A6198" w:rsidRPr="00D629F5">
        <w:rPr>
          <w:i/>
          <w:iCs/>
          <w:lang w:val="fr-FR" w:eastAsia="zh-CN"/>
        </w:rPr>
        <w:t>Waterbird Population Estimates</w:t>
      </w:r>
      <w:bookmarkEnd w:id="2"/>
      <w:r w:rsidR="001A6198" w:rsidRPr="00D629F5">
        <w:rPr>
          <w:lang w:val="fr-FR" w:eastAsia="zh-CN"/>
        </w:rPr>
        <w:t xml:space="preserve"> (WPE2027) ; et</w:t>
      </w:r>
      <w:r w:rsidRPr="00D629F5">
        <w:rPr>
          <w:lang w:val="fr-FR" w:eastAsia="zh-CN"/>
        </w:rPr>
        <w:t xml:space="preserve"> </w:t>
      </w:r>
      <w:r w:rsidR="001A6198" w:rsidRPr="00D629F5">
        <w:rPr>
          <w:lang w:val="fr-FR" w:eastAsia="zh-CN"/>
        </w:rPr>
        <w:t>projet de résolution sur l’application des Critères 6 et 9 aux zones humides d’importance internationale, nouvelles et existantes (SC64 Doc.21)</w:t>
      </w:r>
      <w:r w:rsidR="0000218A" w:rsidRPr="00D629F5">
        <w:rPr>
          <w:lang w:val="fr-FR" w:eastAsia="zh-CN"/>
        </w:rPr>
        <w:t>.</w:t>
      </w:r>
      <w:r w:rsidR="00F14062" w:rsidRPr="00D629F5">
        <w:rPr>
          <w:lang w:val="fr-FR" w:eastAsia="zh-CN"/>
        </w:rPr>
        <w:t xml:space="preserve"> </w:t>
      </w:r>
      <w:r w:rsidR="00776CB8" w:rsidRPr="00D629F5">
        <w:rPr>
          <w:lang w:val="fr-FR" w:eastAsia="zh-CN"/>
        </w:rPr>
        <w:t xml:space="preserve">D’autres détails sur ces résolutions sont fournis </w:t>
      </w:r>
      <w:r w:rsidR="00C538EE" w:rsidRPr="00D629F5">
        <w:rPr>
          <w:lang w:val="fr-FR" w:eastAsia="zh-CN"/>
        </w:rPr>
        <w:t>ci-après</w:t>
      </w:r>
      <w:r w:rsidR="00776CB8" w:rsidRPr="00D629F5">
        <w:rPr>
          <w:lang w:val="fr-FR" w:eastAsia="zh-CN"/>
        </w:rPr>
        <w:t>.</w:t>
      </w:r>
      <w:r w:rsidR="00B17EA2" w:rsidRPr="00D629F5">
        <w:rPr>
          <w:lang w:val="fr-FR" w:eastAsia="zh-CN"/>
        </w:rPr>
        <w:t xml:space="preserve"> </w:t>
      </w:r>
    </w:p>
    <w:p w14:paraId="049D59E8" w14:textId="77777777" w:rsidR="00CC2345" w:rsidRPr="00D629F5" w:rsidRDefault="00CC2345" w:rsidP="00F14062">
      <w:pPr>
        <w:ind w:left="432" w:hanging="432"/>
        <w:rPr>
          <w:lang w:val="fr-FR" w:eastAsia="zh-CN"/>
        </w:rPr>
      </w:pPr>
    </w:p>
    <w:p w14:paraId="238ECDF5" w14:textId="1E618BEF" w:rsidR="00757263" w:rsidRPr="00D629F5" w:rsidRDefault="00336E88" w:rsidP="00F14062">
      <w:pPr>
        <w:ind w:left="432" w:hanging="432"/>
        <w:rPr>
          <w:lang w:val="fr-FR" w:eastAsia="zh-CN"/>
        </w:rPr>
      </w:pPr>
      <w:r>
        <w:rPr>
          <w:lang w:val="fr-FR" w:eastAsia="zh-CN"/>
        </w:rPr>
        <w:t>3</w:t>
      </w:r>
      <w:r w:rsidR="00CC2345" w:rsidRPr="00D629F5">
        <w:rPr>
          <w:lang w:val="fr-FR" w:eastAsia="zh-CN"/>
        </w:rPr>
        <w:t>.</w:t>
      </w:r>
      <w:r w:rsidR="00CC2345" w:rsidRPr="00D629F5">
        <w:rPr>
          <w:lang w:val="fr-FR" w:eastAsia="zh-CN"/>
        </w:rPr>
        <w:tab/>
      </w:r>
      <w:r w:rsidR="0084648E" w:rsidRPr="00D629F5">
        <w:rPr>
          <w:lang w:val="fr-FR" w:eastAsia="zh-CN"/>
        </w:rPr>
        <w:t xml:space="preserve">Le GEST a également examiné les progrès de tâches spécifiques du GEST axées sur : le projet de Note d’information sur d’autres mesures efficaces de conservation par zone pour l’utilisation des zones humides (tâche 4.1) ; </w:t>
      </w:r>
      <w:r w:rsidR="001A6198" w:rsidRPr="00D629F5">
        <w:rPr>
          <w:lang w:val="fr-FR" w:eastAsia="zh-CN"/>
        </w:rPr>
        <w:t>l</w:t>
      </w:r>
      <w:r w:rsidR="0084648E" w:rsidRPr="00D629F5">
        <w:rPr>
          <w:lang w:val="fr-FR" w:eastAsia="zh-CN"/>
        </w:rPr>
        <w:t xml:space="preserve">es travaux entrepris par un consultant sur l’évaluation des coûts de la perte et de la dégradation des zones humides pour les Perspectives mondiales </w:t>
      </w:r>
      <w:r w:rsidR="006A741E" w:rsidRPr="00D629F5">
        <w:rPr>
          <w:lang w:val="fr-FR" w:eastAsia="zh-CN"/>
        </w:rPr>
        <w:t>d</w:t>
      </w:r>
      <w:r w:rsidR="00E26474" w:rsidRPr="00D629F5">
        <w:rPr>
          <w:lang w:val="fr-FR" w:eastAsia="zh-CN"/>
        </w:rPr>
        <w:t>es</w:t>
      </w:r>
      <w:r w:rsidR="0084648E" w:rsidRPr="00D629F5">
        <w:rPr>
          <w:lang w:val="fr-FR" w:eastAsia="zh-CN"/>
        </w:rPr>
        <w:t xml:space="preserve"> zones humides (tâche 5.1) ; l’approche proposée pour les futures Perspectives mondiales </w:t>
      </w:r>
      <w:r w:rsidR="006A741E" w:rsidRPr="00D629F5">
        <w:rPr>
          <w:lang w:val="fr-FR" w:eastAsia="zh-CN"/>
        </w:rPr>
        <w:t>d</w:t>
      </w:r>
      <w:r w:rsidR="00E26474" w:rsidRPr="00D629F5">
        <w:rPr>
          <w:lang w:val="fr-FR" w:eastAsia="zh-CN"/>
        </w:rPr>
        <w:t>es</w:t>
      </w:r>
      <w:r w:rsidR="0084648E" w:rsidRPr="00D629F5">
        <w:rPr>
          <w:lang w:val="fr-FR" w:eastAsia="zh-CN"/>
        </w:rPr>
        <w:t xml:space="preserve"> zones humides (tâche 5.3) ; et l’examen proposé des cadres </w:t>
      </w:r>
      <w:r w:rsidR="00386EC8" w:rsidRPr="00D629F5">
        <w:rPr>
          <w:lang w:val="fr-FR" w:eastAsia="zh-CN"/>
        </w:rPr>
        <w:t>politique</w:t>
      </w:r>
      <w:r w:rsidR="00E041C1" w:rsidRPr="00D629F5">
        <w:rPr>
          <w:lang w:val="fr-FR" w:eastAsia="zh-CN"/>
        </w:rPr>
        <w:t>s</w:t>
      </w:r>
      <w:r w:rsidR="00386EC8" w:rsidRPr="00D629F5">
        <w:rPr>
          <w:lang w:val="fr-FR" w:eastAsia="zh-CN"/>
        </w:rPr>
        <w:t xml:space="preserve"> et </w:t>
      </w:r>
      <w:r w:rsidR="0084648E" w:rsidRPr="00D629F5">
        <w:rPr>
          <w:lang w:val="fr-FR" w:eastAsia="zh-CN"/>
        </w:rPr>
        <w:t>juridique</w:t>
      </w:r>
      <w:r w:rsidR="00E041C1" w:rsidRPr="00D629F5">
        <w:rPr>
          <w:lang w:val="fr-FR" w:eastAsia="zh-CN"/>
        </w:rPr>
        <w:t>s</w:t>
      </w:r>
      <w:r w:rsidR="0084648E" w:rsidRPr="00D629F5">
        <w:rPr>
          <w:lang w:val="fr-FR" w:eastAsia="zh-CN"/>
        </w:rPr>
        <w:t xml:space="preserve"> pour la conservation et l’utilisation rationnelle des zones humides (tâche 5.4).</w:t>
      </w:r>
    </w:p>
    <w:p w14:paraId="387FFE14" w14:textId="77777777" w:rsidR="008A29B8" w:rsidRPr="00D629F5" w:rsidRDefault="008A29B8" w:rsidP="008A29B8">
      <w:pPr>
        <w:rPr>
          <w:rFonts w:eastAsia="Calibri"/>
          <w:b/>
          <w:lang w:val="fr-FR"/>
        </w:rPr>
      </w:pPr>
    </w:p>
    <w:p w14:paraId="21432972" w14:textId="1BA29424" w:rsidR="008A29B8" w:rsidRPr="00D629F5" w:rsidRDefault="0084648E" w:rsidP="008A29B8">
      <w:pPr>
        <w:rPr>
          <w:rFonts w:eastAsia="Calibri"/>
          <w:b/>
          <w:lang w:val="fr-FR"/>
        </w:rPr>
      </w:pPr>
      <w:r w:rsidRPr="00D629F5">
        <w:rPr>
          <w:rFonts w:eastAsia="Calibri"/>
          <w:b/>
          <w:lang w:val="fr-FR"/>
        </w:rPr>
        <w:t>Communiqué du GEST</w:t>
      </w:r>
    </w:p>
    <w:p w14:paraId="2899CEA3" w14:textId="77777777" w:rsidR="008A29B8" w:rsidRPr="00D629F5" w:rsidRDefault="008A29B8" w:rsidP="008A29B8">
      <w:pPr>
        <w:rPr>
          <w:rFonts w:eastAsia="Calibri"/>
          <w:bCs w:val="0"/>
          <w:lang w:val="fr-FR"/>
        </w:rPr>
      </w:pPr>
    </w:p>
    <w:p w14:paraId="2F98FCFC" w14:textId="477359DF" w:rsidR="008A29B8" w:rsidRPr="00D629F5" w:rsidRDefault="00336E88" w:rsidP="008A29B8">
      <w:pPr>
        <w:ind w:left="432" w:hanging="432"/>
        <w:rPr>
          <w:rFonts w:eastAsia="Calibri"/>
          <w:bCs w:val="0"/>
          <w:lang w:val="fr-FR"/>
        </w:rPr>
      </w:pPr>
      <w:r>
        <w:rPr>
          <w:lang w:val="fr-FR" w:eastAsia="zh-CN"/>
        </w:rPr>
        <w:t>4</w:t>
      </w:r>
      <w:r w:rsidR="00F319AD" w:rsidRPr="00D629F5">
        <w:rPr>
          <w:lang w:val="fr-FR" w:eastAsia="zh-CN"/>
        </w:rPr>
        <w:t>.</w:t>
      </w:r>
      <w:r w:rsidR="00F319AD" w:rsidRPr="00D629F5">
        <w:rPr>
          <w:lang w:val="fr-FR" w:eastAsia="zh-CN"/>
        </w:rPr>
        <w:tab/>
      </w:r>
      <w:r w:rsidR="0084648E" w:rsidRPr="00D629F5">
        <w:rPr>
          <w:rFonts w:eastAsia="Calibri"/>
          <w:bCs w:val="0"/>
          <w:lang w:val="fr-FR"/>
        </w:rPr>
        <w:t>Dans le s</w:t>
      </w:r>
      <w:r w:rsidR="00A0374B" w:rsidRPr="00D629F5">
        <w:rPr>
          <w:rFonts w:eastAsia="Calibri"/>
          <w:bCs w:val="0"/>
          <w:lang w:val="fr-FR"/>
        </w:rPr>
        <w:t>illage</w:t>
      </w:r>
      <w:r w:rsidR="0084648E" w:rsidRPr="00D629F5">
        <w:rPr>
          <w:rFonts w:eastAsia="Calibri"/>
          <w:bCs w:val="0"/>
          <w:lang w:val="fr-FR"/>
        </w:rPr>
        <w:t xml:space="preserve"> de la </w:t>
      </w:r>
      <w:r w:rsidR="00A0374B" w:rsidRPr="00D629F5">
        <w:rPr>
          <w:rFonts w:eastAsia="Calibri"/>
          <w:bCs w:val="0"/>
          <w:lang w:val="fr-FR"/>
        </w:rPr>
        <w:t>26</w:t>
      </w:r>
      <w:r w:rsidR="00A0374B" w:rsidRPr="00D629F5">
        <w:rPr>
          <w:rFonts w:eastAsia="Calibri"/>
          <w:bCs w:val="0"/>
          <w:vertAlign w:val="superscript"/>
          <w:lang w:val="fr-FR"/>
        </w:rPr>
        <w:t>e</w:t>
      </w:r>
      <w:r w:rsidR="00A0374B" w:rsidRPr="00D629F5">
        <w:rPr>
          <w:rFonts w:eastAsia="Calibri"/>
          <w:bCs w:val="0"/>
          <w:lang w:val="fr-FR"/>
        </w:rPr>
        <w:t xml:space="preserve"> réunion du GEST (GEST26), le Président, avec l’appui du Secrétariat, a </w:t>
      </w:r>
      <w:r w:rsidR="001933BB" w:rsidRPr="00D629F5">
        <w:rPr>
          <w:rFonts w:eastAsia="Calibri"/>
          <w:bCs w:val="0"/>
          <w:lang w:val="fr-FR"/>
        </w:rPr>
        <w:t>lancé</w:t>
      </w:r>
      <w:r w:rsidR="00A0374B" w:rsidRPr="00D629F5">
        <w:rPr>
          <w:rFonts w:eastAsia="Calibri"/>
          <w:bCs w:val="0"/>
          <w:lang w:val="fr-FR"/>
        </w:rPr>
        <w:t xml:space="preserve"> </w:t>
      </w:r>
      <w:r w:rsidR="001933BB" w:rsidRPr="00D629F5">
        <w:rPr>
          <w:rFonts w:eastAsia="Calibri"/>
          <w:bCs w:val="0"/>
          <w:lang w:val="fr-FR"/>
        </w:rPr>
        <w:t>le</w:t>
      </w:r>
      <w:r w:rsidR="00A0374B" w:rsidRPr="00D629F5">
        <w:rPr>
          <w:rFonts w:eastAsia="Calibri"/>
          <w:bCs w:val="0"/>
          <w:lang w:val="fr-FR"/>
        </w:rPr>
        <w:t xml:space="preserve"> </w:t>
      </w:r>
      <w:hyperlink r:id="rId10" w:history="1">
        <w:r w:rsidR="001933BB" w:rsidRPr="00D629F5">
          <w:rPr>
            <w:rStyle w:val="Hyperlink"/>
            <w:rFonts w:eastAsia="Calibri"/>
            <w:bCs w:val="0"/>
            <w:lang w:val="fr-FR"/>
          </w:rPr>
          <w:t>C</w:t>
        </w:r>
        <w:r w:rsidR="00CE4218" w:rsidRPr="00D629F5">
          <w:rPr>
            <w:rStyle w:val="Hyperlink"/>
            <w:rFonts w:eastAsia="Calibri"/>
            <w:bCs w:val="0"/>
            <w:lang w:val="fr-FR"/>
          </w:rPr>
          <w:t>ommuniqué</w:t>
        </w:r>
      </w:hyperlink>
      <w:r w:rsidR="00CE4218" w:rsidRPr="00D629F5">
        <w:rPr>
          <w:rFonts w:eastAsia="Calibri"/>
          <w:bCs w:val="0"/>
          <w:lang w:val="fr-FR"/>
        </w:rPr>
        <w:t xml:space="preserve"> </w:t>
      </w:r>
      <w:r w:rsidR="001933BB" w:rsidRPr="00D629F5">
        <w:rPr>
          <w:rFonts w:eastAsia="Calibri"/>
          <w:bCs w:val="0"/>
          <w:lang w:val="fr-FR"/>
        </w:rPr>
        <w:t>du GEST afin de</w:t>
      </w:r>
      <w:r w:rsidR="005516EF" w:rsidRPr="00D629F5">
        <w:rPr>
          <w:rFonts w:eastAsia="Calibri"/>
          <w:bCs w:val="0"/>
          <w:lang w:val="fr-FR"/>
        </w:rPr>
        <w:t xml:space="preserve"> </w:t>
      </w:r>
      <w:r w:rsidR="001933BB" w:rsidRPr="00D629F5">
        <w:rPr>
          <w:rFonts w:eastAsia="Calibri"/>
          <w:bCs w:val="0"/>
          <w:lang w:val="fr-FR"/>
        </w:rPr>
        <w:t>tenir les</w:t>
      </w:r>
      <w:r w:rsidR="00A0374B" w:rsidRPr="00D629F5">
        <w:rPr>
          <w:rFonts w:eastAsia="Calibri"/>
          <w:bCs w:val="0"/>
          <w:lang w:val="fr-FR"/>
        </w:rPr>
        <w:t xml:space="preserve"> OIP, </w:t>
      </w:r>
      <w:r w:rsidR="001933BB" w:rsidRPr="00D629F5">
        <w:rPr>
          <w:rFonts w:eastAsia="Calibri"/>
          <w:bCs w:val="0"/>
          <w:lang w:val="fr-FR"/>
        </w:rPr>
        <w:t xml:space="preserve">les </w:t>
      </w:r>
      <w:r w:rsidR="00A0374B" w:rsidRPr="00D629F5">
        <w:rPr>
          <w:rFonts w:eastAsia="Calibri"/>
          <w:bCs w:val="0"/>
          <w:lang w:val="fr-FR"/>
        </w:rPr>
        <w:t xml:space="preserve">observateurs et </w:t>
      </w:r>
      <w:r w:rsidR="001933BB" w:rsidRPr="00D629F5">
        <w:rPr>
          <w:rFonts w:eastAsia="Calibri"/>
          <w:bCs w:val="0"/>
          <w:lang w:val="fr-FR"/>
        </w:rPr>
        <w:t>les</w:t>
      </w:r>
      <w:r w:rsidR="00A0374B" w:rsidRPr="00D629F5">
        <w:rPr>
          <w:rFonts w:eastAsia="Calibri"/>
          <w:bCs w:val="0"/>
          <w:lang w:val="fr-FR"/>
        </w:rPr>
        <w:t xml:space="preserve"> correspondants du GEST</w:t>
      </w:r>
      <w:r w:rsidR="001933BB" w:rsidRPr="00D629F5">
        <w:rPr>
          <w:rFonts w:eastAsia="Calibri"/>
          <w:bCs w:val="0"/>
          <w:lang w:val="fr-FR"/>
        </w:rPr>
        <w:t xml:space="preserve"> au courant des progrès</w:t>
      </w:r>
      <w:r w:rsidR="00A0374B" w:rsidRPr="00D629F5">
        <w:rPr>
          <w:rFonts w:eastAsia="Calibri"/>
          <w:bCs w:val="0"/>
          <w:lang w:val="fr-FR"/>
        </w:rPr>
        <w:t xml:space="preserve">. Le premier communiqué a été publié le 15 mai 2024 ; il était consacré au partage des informations sur les progrès relatifs aux tâches du GEST et aux publications pertinentes. Le communiqué </w:t>
      </w:r>
      <w:r w:rsidR="005516EF" w:rsidRPr="00D629F5">
        <w:rPr>
          <w:rFonts w:eastAsia="Calibri"/>
          <w:bCs w:val="0"/>
          <w:lang w:val="fr-FR"/>
        </w:rPr>
        <w:t>fournit</w:t>
      </w:r>
      <w:r w:rsidR="00A0374B" w:rsidRPr="00D629F5">
        <w:rPr>
          <w:rFonts w:eastAsia="Calibri"/>
          <w:bCs w:val="0"/>
          <w:lang w:val="fr-FR"/>
        </w:rPr>
        <w:t xml:space="preserve"> aussi </w:t>
      </w:r>
      <w:r w:rsidR="005516EF" w:rsidRPr="00D629F5">
        <w:rPr>
          <w:rFonts w:eastAsia="Calibri"/>
          <w:bCs w:val="0"/>
          <w:lang w:val="fr-FR"/>
        </w:rPr>
        <w:t>une</w:t>
      </w:r>
      <w:r w:rsidR="00A0374B" w:rsidRPr="00D629F5">
        <w:rPr>
          <w:rFonts w:eastAsia="Calibri"/>
          <w:bCs w:val="0"/>
          <w:lang w:val="fr-FR"/>
        </w:rPr>
        <w:t xml:space="preserve"> occasion de partage</w:t>
      </w:r>
      <w:r w:rsidR="005516EF" w:rsidRPr="00D629F5">
        <w:rPr>
          <w:rFonts w:eastAsia="Calibri"/>
          <w:bCs w:val="0"/>
          <w:lang w:val="fr-FR"/>
        </w:rPr>
        <w:t>r</w:t>
      </w:r>
      <w:r w:rsidR="00A0374B" w:rsidRPr="00D629F5">
        <w:rPr>
          <w:rFonts w:eastAsia="Calibri"/>
          <w:bCs w:val="0"/>
          <w:lang w:val="fr-FR"/>
        </w:rPr>
        <w:t xml:space="preserve"> </w:t>
      </w:r>
      <w:r w:rsidR="005516EF" w:rsidRPr="00D629F5">
        <w:rPr>
          <w:rFonts w:eastAsia="Calibri"/>
          <w:bCs w:val="0"/>
          <w:lang w:val="fr-FR"/>
        </w:rPr>
        <w:t>l</w:t>
      </w:r>
      <w:r w:rsidR="00A0374B" w:rsidRPr="00D629F5">
        <w:rPr>
          <w:rFonts w:eastAsia="Calibri"/>
          <w:bCs w:val="0"/>
          <w:lang w:val="fr-FR"/>
        </w:rPr>
        <w:t>es mises à jour avec les Organisations internationales partenaires (OIP). L</w:t>
      </w:r>
      <w:r w:rsidR="001933BB" w:rsidRPr="00D629F5">
        <w:rPr>
          <w:rFonts w:eastAsia="Calibri"/>
          <w:bCs w:val="0"/>
          <w:lang w:val="fr-FR"/>
        </w:rPr>
        <w:t>a prochaine</w:t>
      </w:r>
      <w:r w:rsidR="00A0374B" w:rsidRPr="00D629F5">
        <w:rPr>
          <w:rFonts w:eastAsia="Calibri"/>
          <w:bCs w:val="0"/>
          <w:lang w:val="fr-FR"/>
        </w:rPr>
        <w:t xml:space="preserve"> </w:t>
      </w:r>
      <w:r w:rsidR="006730FD" w:rsidRPr="00D629F5">
        <w:rPr>
          <w:rFonts w:eastAsia="Calibri"/>
          <w:bCs w:val="0"/>
          <w:lang w:val="fr-FR"/>
        </w:rPr>
        <w:t xml:space="preserve">publication </w:t>
      </w:r>
      <w:r w:rsidR="00A0374B" w:rsidRPr="00D629F5">
        <w:rPr>
          <w:rFonts w:eastAsia="Calibri"/>
          <w:bCs w:val="0"/>
          <w:lang w:val="fr-FR"/>
        </w:rPr>
        <w:t>du communiqué est prévue pour décembre 2024.</w:t>
      </w:r>
    </w:p>
    <w:p w14:paraId="1B2E2B1D" w14:textId="77777777" w:rsidR="008A29B8" w:rsidRPr="00D629F5" w:rsidRDefault="008A29B8" w:rsidP="00E952E3">
      <w:pPr>
        <w:rPr>
          <w:lang w:val="fr-FR" w:eastAsia="zh-CN"/>
        </w:rPr>
      </w:pPr>
    </w:p>
    <w:p w14:paraId="5538A9A9" w14:textId="0FF452EC" w:rsidR="007044CD" w:rsidRPr="00D629F5" w:rsidRDefault="00F319AD" w:rsidP="007044CD">
      <w:pPr>
        <w:keepNext/>
        <w:ind w:left="425" w:hanging="425"/>
        <w:rPr>
          <w:rFonts w:eastAsia="Calibri"/>
          <w:b/>
          <w:lang w:val="fr-FR"/>
        </w:rPr>
      </w:pPr>
      <w:r w:rsidRPr="00D629F5">
        <w:rPr>
          <w:rFonts w:eastAsia="Calibri"/>
          <w:b/>
          <w:lang w:val="fr-FR"/>
        </w:rPr>
        <w:t>Progr</w:t>
      </w:r>
      <w:r w:rsidR="009C55B4" w:rsidRPr="00D629F5">
        <w:rPr>
          <w:rFonts w:eastAsia="Calibri"/>
          <w:b/>
          <w:lang w:val="fr-FR"/>
        </w:rPr>
        <w:t xml:space="preserve">ès </w:t>
      </w:r>
      <w:r w:rsidR="00C538EE" w:rsidRPr="00D629F5">
        <w:rPr>
          <w:rFonts w:eastAsia="Calibri"/>
          <w:b/>
          <w:lang w:val="fr-FR"/>
        </w:rPr>
        <w:t>des</w:t>
      </w:r>
      <w:r w:rsidR="009C55B4" w:rsidRPr="00D629F5">
        <w:rPr>
          <w:rFonts w:eastAsia="Calibri"/>
          <w:b/>
          <w:lang w:val="fr-FR"/>
        </w:rPr>
        <w:t xml:space="preserve"> tâches hautement prioritaires décrites dans le </w:t>
      </w:r>
      <w:r w:rsidR="00F5742B" w:rsidRPr="00D629F5">
        <w:rPr>
          <w:rFonts w:eastAsia="Calibri"/>
          <w:b/>
          <w:lang w:val="fr-FR"/>
        </w:rPr>
        <w:t>p</w:t>
      </w:r>
      <w:r w:rsidR="009C55B4" w:rsidRPr="00D629F5">
        <w:rPr>
          <w:rFonts w:eastAsia="Calibri"/>
          <w:b/>
          <w:lang w:val="fr-FR"/>
        </w:rPr>
        <w:t xml:space="preserve">lan de travail du GEST </w:t>
      </w:r>
      <w:r w:rsidR="009C55B4" w:rsidRPr="00D629F5">
        <w:rPr>
          <w:rFonts w:eastAsia="Calibri"/>
          <w:b/>
          <w:bCs w:val="0"/>
          <w:lang w:val="fr-FR"/>
        </w:rPr>
        <w:t>2023­2025</w:t>
      </w:r>
      <w:r w:rsidR="009C55B4" w:rsidRPr="00D629F5">
        <w:rPr>
          <w:rFonts w:eastAsia="Calibri"/>
          <w:lang w:val="fr-FR"/>
        </w:rPr>
        <w:t xml:space="preserve"> </w:t>
      </w:r>
    </w:p>
    <w:p w14:paraId="79D1A616" w14:textId="77777777" w:rsidR="00CF6E6E" w:rsidRPr="00D629F5" w:rsidRDefault="00CF6E6E" w:rsidP="00CF6E6E">
      <w:pPr>
        <w:rPr>
          <w:rFonts w:eastAsia="Calibri"/>
          <w:lang w:val="fr-FR"/>
        </w:rPr>
      </w:pPr>
    </w:p>
    <w:p w14:paraId="1E5A30E0" w14:textId="015FFD1F" w:rsidR="00795D93" w:rsidRPr="00D629F5" w:rsidRDefault="00336E88" w:rsidP="00795D93">
      <w:pPr>
        <w:ind w:left="432" w:hanging="432"/>
        <w:rPr>
          <w:rFonts w:eastAsia="Calibri"/>
          <w:lang w:val="fr-FR"/>
        </w:rPr>
      </w:pPr>
      <w:r>
        <w:rPr>
          <w:lang w:val="fr-FR" w:eastAsia="zh-CN"/>
        </w:rPr>
        <w:t>5</w:t>
      </w:r>
      <w:r w:rsidR="00795D93" w:rsidRPr="00D629F5">
        <w:rPr>
          <w:lang w:val="fr-FR" w:eastAsia="zh-CN"/>
        </w:rPr>
        <w:t>.</w:t>
      </w:r>
      <w:r w:rsidR="00795D93" w:rsidRPr="00D629F5">
        <w:rPr>
          <w:lang w:val="fr-FR" w:eastAsia="zh-CN"/>
        </w:rPr>
        <w:tab/>
      </w:r>
      <w:r w:rsidR="009C55B4" w:rsidRPr="00D629F5">
        <w:rPr>
          <w:lang w:val="fr-FR" w:eastAsia="zh-CN"/>
        </w:rPr>
        <w:t>Le GEST a fait des progrès considérables sur les tâches hautement prioritaires :</w:t>
      </w:r>
    </w:p>
    <w:p w14:paraId="14E36EE5" w14:textId="77777777" w:rsidR="00795D93" w:rsidRPr="00D629F5" w:rsidRDefault="00795D93" w:rsidP="00CF6E6E">
      <w:pPr>
        <w:rPr>
          <w:rFonts w:eastAsia="Calibri"/>
          <w:lang w:val="fr-FR"/>
        </w:rPr>
      </w:pPr>
    </w:p>
    <w:p w14:paraId="7ADD9732" w14:textId="08347BEC" w:rsidR="00D23B75" w:rsidRPr="00D629F5" w:rsidRDefault="00B56080" w:rsidP="00B56080">
      <w:pPr>
        <w:rPr>
          <w:rFonts w:eastAsia="Calibri"/>
          <w:u w:val="single"/>
          <w:lang w:val="fr-FR"/>
        </w:rPr>
      </w:pPr>
      <w:r w:rsidRPr="00D629F5">
        <w:rPr>
          <w:rFonts w:eastAsia="Calibri"/>
          <w:u w:val="single"/>
          <w:lang w:val="fr-FR"/>
        </w:rPr>
        <w:t>Domaine de travail thématique</w:t>
      </w:r>
      <w:r w:rsidR="00F319AD" w:rsidRPr="00D629F5">
        <w:rPr>
          <w:rFonts w:eastAsia="Calibri"/>
          <w:u w:val="single"/>
          <w:lang w:val="fr-FR"/>
        </w:rPr>
        <w:t xml:space="preserve"> 1 </w:t>
      </w:r>
      <w:r w:rsidRPr="00D629F5">
        <w:rPr>
          <w:rFonts w:eastAsia="Calibri"/>
          <w:u w:val="single"/>
          <w:lang w:val="fr-FR"/>
        </w:rPr>
        <w:t>: Les zones humides d’importance internationale, le développement du réseau des sites et l’application des critères</w:t>
      </w:r>
      <w:r w:rsidR="00F319AD" w:rsidRPr="00D629F5">
        <w:rPr>
          <w:rFonts w:eastAsia="Calibri"/>
          <w:u w:val="single"/>
          <w:lang w:val="fr-FR"/>
        </w:rPr>
        <w:t>.</w:t>
      </w:r>
    </w:p>
    <w:p w14:paraId="21FE4716" w14:textId="77777777" w:rsidR="00D23B75" w:rsidRPr="00D629F5" w:rsidRDefault="00D23B75" w:rsidP="00CF6E6E">
      <w:pPr>
        <w:rPr>
          <w:rFonts w:eastAsia="Calibri"/>
          <w:lang w:val="fr-FR"/>
        </w:rPr>
      </w:pPr>
    </w:p>
    <w:p w14:paraId="0FFA62DB" w14:textId="3A984B38" w:rsidR="00995074" w:rsidRPr="00D629F5" w:rsidRDefault="00336E88" w:rsidP="00B56080">
      <w:pPr>
        <w:ind w:left="432" w:hanging="432"/>
        <w:rPr>
          <w:lang w:val="fr-FR"/>
        </w:rPr>
      </w:pPr>
      <w:r>
        <w:rPr>
          <w:rFonts w:eastAsia="Calibri"/>
          <w:lang w:val="fr-FR"/>
        </w:rPr>
        <w:t>6</w:t>
      </w:r>
      <w:r w:rsidR="001632D1" w:rsidRPr="00D629F5">
        <w:rPr>
          <w:rFonts w:eastAsia="Calibri"/>
          <w:lang w:val="fr-FR"/>
        </w:rPr>
        <w:t>.</w:t>
      </w:r>
      <w:r w:rsidR="001632D1" w:rsidRPr="00D629F5">
        <w:rPr>
          <w:rFonts w:eastAsia="Calibri"/>
          <w:lang w:val="fr-FR"/>
        </w:rPr>
        <w:tab/>
      </w:r>
      <w:r w:rsidR="00F319AD" w:rsidRPr="00D629F5">
        <w:rPr>
          <w:rFonts w:eastAsia="Calibri"/>
          <w:bCs w:val="0"/>
          <w:i/>
          <w:iCs/>
          <w:lang w:val="fr-FR"/>
        </w:rPr>
        <w:t>T</w:t>
      </w:r>
      <w:r w:rsidR="00B56080" w:rsidRPr="00D629F5">
        <w:rPr>
          <w:rFonts w:eastAsia="Calibri"/>
          <w:bCs w:val="0"/>
          <w:i/>
          <w:iCs/>
          <w:lang w:val="fr-FR"/>
        </w:rPr>
        <w:t>âche</w:t>
      </w:r>
      <w:r w:rsidR="00F319AD" w:rsidRPr="00D629F5">
        <w:rPr>
          <w:rFonts w:eastAsia="Calibri"/>
          <w:bCs w:val="0"/>
          <w:i/>
          <w:iCs/>
          <w:lang w:val="fr-FR"/>
        </w:rPr>
        <w:t xml:space="preserve"> 1.1 a). </w:t>
      </w:r>
      <w:r w:rsidR="00B56080" w:rsidRPr="00D629F5">
        <w:rPr>
          <w:rFonts w:eastAsia="Calibri"/>
          <w:bCs w:val="0"/>
          <w:i/>
          <w:iCs/>
          <w:lang w:val="fr-FR"/>
        </w:rPr>
        <w:t>Orientations supplémentaires sur l’application des Critères Ramsar relatifs à la désignation des zones humides d’importance internationale </w:t>
      </w:r>
      <w:r w:rsidR="00F319AD" w:rsidRPr="00D629F5">
        <w:rPr>
          <w:rFonts w:eastAsia="Calibri"/>
          <w:bCs w:val="0"/>
          <w:lang w:val="fr-FR"/>
        </w:rPr>
        <w:t xml:space="preserve">: </w:t>
      </w:r>
      <w:r w:rsidR="009C55B4" w:rsidRPr="00D629F5">
        <w:rPr>
          <w:lang w:val="fr-FR"/>
        </w:rPr>
        <w:t>La tâche </w:t>
      </w:r>
      <w:r w:rsidR="00F43510" w:rsidRPr="00D629F5">
        <w:rPr>
          <w:lang w:val="fr-FR"/>
        </w:rPr>
        <w:t>1.1.</w:t>
      </w:r>
      <w:r w:rsidR="009C55B4" w:rsidRPr="00D629F5">
        <w:rPr>
          <w:lang w:val="fr-FR"/>
        </w:rPr>
        <w:t> </w:t>
      </w:r>
      <w:r w:rsidR="00F43510" w:rsidRPr="00D629F5">
        <w:rPr>
          <w:lang w:val="fr-FR"/>
        </w:rPr>
        <w:t xml:space="preserve">a) </w:t>
      </w:r>
      <w:r w:rsidR="009C55B4" w:rsidRPr="00D629F5">
        <w:rPr>
          <w:lang w:val="fr-FR"/>
        </w:rPr>
        <w:t>a été mené</w:t>
      </w:r>
      <w:r w:rsidR="00C4219A" w:rsidRPr="00D629F5">
        <w:rPr>
          <w:lang w:val="fr-FR"/>
        </w:rPr>
        <w:t>e</w:t>
      </w:r>
      <w:r w:rsidR="009C55B4" w:rsidRPr="00D629F5">
        <w:rPr>
          <w:lang w:val="fr-FR"/>
        </w:rPr>
        <w:t xml:space="preserve"> à bien. </w:t>
      </w:r>
      <w:r w:rsidR="001933BB" w:rsidRPr="00D629F5">
        <w:rPr>
          <w:lang w:val="fr-FR"/>
        </w:rPr>
        <w:t>Le Cadre stratégique a été examiné et des</w:t>
      </w:r>
      <w:r w:rsidR="009C55B4" w:rsidRPr="00D629F5">
        <w:rPr>
          <w:lang w:val="fr-FR"/>
        </w:rPr>
        <w:t xml:space="preserve"> mises à jour </w:t>
      </w:r>
      <w:r w:rsidR="001933BB" w:rsidRPr="00D629F5">
        <w:rPr>
          <w:lang w:val="fr-FR"/>
        </w:rPr>
        <w:t xml:space="preserve">sont </w:t>
      </w:r>
      <w:r w:rsidR="009C55B4" w:rsidRPr="00D629F5">
        <w:rPr>
          <w:lang w:val="fr-FR"/>
        </w:rPr>
        <w:t xml:space="preserve">proposées </w:t>
      </w:r>
      <w:r w:rsidR="001933BB" w:rsidRPr="00D629F5">
        <w:rPr>
          <w:lang w:val="fr-FR"/>
        </w:rPr>
        <w:t xml:space="preserve">pour </w:t>
      </w:r>
      <w:r w:rsidR="009C55B4" w:rsidRPr="00D629F5">
        <w:rPr>
          <w:lang w:val="fr-FR"/>
        </w:rPr>
        <w:t xml:space="preserve">les orientations </w:t>
      </w:r>
      <w:r w:rsidR="001933BB" w:rsidRPr="00D629F5">
        <w:rPr>
          <w:lang w:val="fr-FR"/>
        </w:rPr>
        <w:t>relatives à la</w:t>
      </w:r>
      <w:r w:rsidR="009C55B4" w:rsidRPr="00D629F5">
        <w:rPr>
          <w:lang w:val="fr-FR"/>
        </w:rPr>
        <w:t xml:space="preserve"> désignation des zones humides d’importance internationale selon le Critère 9</w:t>
      </w:r>
      <w:r w:rsidR="004E0521" w:rsidRPr="00D629F5">
        <w:rPr>
          <w:lang w:val="fr-FR"/>
        </w:rPr>
        <w:t> ; il est en outre</w:t>
      </w:r>
      <w:r w:rsidR="001933BB" w:rsidRPr="00D629F5">
        <w:rPr>
          <w:lang w:val="fr-FR"/>
        </w:rPr>
        <w:t xml:space="preserve"> proposé de renforcer l</w:t>
      </w:r>
      <w:r w:rsidR="009C55B4" w:rsidRPr="00D629F5">
        <w:rPr>
          <w:lang w:val="fr-FR"/>
        </w:rPr>
        <w:t xml:space="preserve">a collaboration avec les acteurs pertinents et </w:t>
      </w:r>
      <w:r w:rsidR="001933BB" w:rsidRPr="00D629F5">
        <w:rPr>
          <w:lang w:val="fr-FR"/>
        </w:rPr>
        <w:t>d’identifier</w:t>
      </w:r>
      <w:r w:rsidR="009C55B4" w:rsidRPr="00D629F5">
        <w:rPr>
          <w:lang w:val="fr-FR"/>
        </w:rPr>
        <w:t xml:space="preserve"> de nouvelles sources de données pour la désignation des sites. </w:t>
      </w:r>
      <w:r w:rsidR="004E0521" w:rsidRPr="00D629F5">
        <w:rPr>
          <w:lang w:val="fr-FR"/>
        </w:rPr>
        <w:t>Dans le cadre de cette tâche, le d</w:t>
      </w:r>
      <w:r w:rsidR="009C55B4" w:rsidRPr="00D629F5">
        <w:rPr>
          <w:lang w:val="fr-FR"/>
        </w:rPr>
        <w:t xml:space="preserve">ocument </w:t>
      </w:r>
      <w:r w:rsidR="003C4350" w:rsidRPr="00D629F5">
        <w:rPr>
          <w:i/>
          <w:iCs/>
          <w:lang w:val="fr-FR"/>
        </w:rPr>
        <w:t>Population estimates and 1% thresholds for wetland-dependent non-avian animal species, for the application of Criterion 9</w:t>
      </w:r>
      <w:r w:rsidR="0038220F" w:rsidRPr="00D629F5">
        <w:rPr>
          <w:i/>
          <w:iCs/>
          <w:lang w:val="fr-FR"/>
        </w:rPr>
        <w:t>,</w:t>
      </w:r>
      <w:r w:rsidR="0038220F" w:rsidRPr="00D629F5">
        <w:rPr>
          <w:lang w:val="fr-FR"/>
        </w:rPr>
        <w:t xml:space="preserve"> </w:t>
      </w:r>
      <w:r w:rsidR="009C55B4" w:rsidRPr="00D629F5">
        <w:rPr>
          <w:lang w:val="fr-FR"/>
        </w:rPr>
        <w:t>publié à l’origine en 2006</w:t>
      </w:r>
      <w:r w:rsidR="00A44542" w:rsidRPr="00D629F5">
        <w:rPr>
          <w:rStyle w:val="FootnoteReference"/>
          <w:lang w:val="fr-FR"/>
        </w:rPr>
        <w:footnoteReference w:id="2"/>
      </w:r>
      <w:r w:rsidR="004E0521" w:rsidRPr="00D629F5">
        <w:rPr>
          <w:lang w:val="fr-FR"/>
        </w:rPr>
        <w:t xml:space="preserve"> a également été mis à jour</w:t>
      </w:r>
      <w:r w:rsidR="00C4219A" w:rsidRPr="00D629F5">
        <w:rPr>
          <w:lang w:val="fr-FR"/>
        </w:rPr>
        <w:t xml:space="preserve">. </w:t>
      </w:r>
      <w:r w:rsidR="00C538EE" w:rsidRPr="00D629F5">
        <w:rPr>
          <w:lang w:val="fr-FR"/>
        </w:rPr>
        <w:t>Par ailleurs, l</w:t>
      </w:r>
      <w:r w:rsidR="00C4219A" w:rsidRPr="00D629F5">
        <w:rPr>
          <w:lang w:val="fr-FR"/>
        </w:rPr>
        <w:t xml:space="preserve">e </w:t>
      </w:r>
      <w:r w:rsidR="00C4219A" w:rsidRPr="00D629F5">
        <w:rPr>
          <w:lang w:val="fr-FR"/>
        </w:rPr>
        <w:lastRenderedPageBreak/>
        <w:t xml:space="preserve">GEST a soumis un projet de résolution sur l’application des Critères 6 et 9 aux zones humides d’importance internationale nouvelles et existantes </w:t>
      </w:r>
      <w:r w:rsidR="00F319AD" w:rsidRPr="00D629F5">
        <w:rPr>
          <w:lang w:val="fr-FR"/>
        </w:rPr>
        <w:t>(SC64 Doc.21).</w:t>
      </w:r>
      <w:r w:rsidR="00416D23" w:rsidRPr="00D629F5">
        <w:rPr>
          <w:lang w:val="fr-FR"/>
        </w:rPr>
        <w:t xml:space="preserve"> </w:t>
      </w:r>
    </w:p>
    <w:p w14:paraId="13AF209C" w14:textId="77777777" w:rsidR="00995074" w:rsidRPr="00D629F5" w:rsidRDefault="00995074" w:rsidP="00995074">
      <w:pPr>
        <w:ind w:left="432" w:hanging="432"/>
        <w:rPr>
          <w:rFonts w:eastAsia="Calibri"/>
          <w:bCs w:val="0"/>
          <w:lang w:val="fr-FR"/>
        </w:rPr>
      </w:pPr>
    </w:p>
    <w:p w14:paraId="4E857309" w14:textId="7E788B2D" w:rsidR="00995074" w:rsidRPr="00D629F5" w:rsidRDefault="00336E88" w:rsidP="00276823">
      <w:pPr>
        <w:ind w:left="432" w:hanging="432"/>
        <w:rPr>
          <w:rFonts w:eastAsia="Calibri"/>
          <w:bCs w:val="0"/>
          <w:lang w:val="fr-FR"/>
        </w:rPr>
      </w:pPr>
      <w:r>
        <w:rPr>
          <w:rFonts w:eastAsia="Calibri"/>
          <w:lang w:val="fr-FR"/>
        </w:rPr>
        <w:t>7</w:t>
      </w:r>
      <w:r w:rsidR="00F319AD" w:rsidRPr="00D629F5">
        <w:rPr>
          <w:rFonts w:eastAsia="Calibri"/>
          <w:lang w:val="fr-FR"/>
        </w:rPr>
        <w:t>.</w:t>
      </w:r>
      <w:r w:rsidR="00F319AD" w:rsidRPr="00D629F5">
        <w:rPr>
          <w:rFonts w:eastAsia="Calibri"/>
          <w:lang w:val="fr-FR"/>
        </w:rPr>
        <w:tab/>
      </w:r>
      <w:r w:rsidR="00B56080" w:rsidRPr="00D629F5">
        <w:rPr>
          <w:rFonts w:eastAsia="Calibri"/>
          <w:bCs w:val="0"/>
          <w:i/>
          <w:iCs/>
          <w:lang w:val="fr-FR"/>
        </w:rPr>
        <w:t>Tâche</w:t>
      </w:r>
      <w:r w:rsidR="00F319AD" w:rsidRPr="00D629F5">
        <w:rPr>
          <w:rFonts w:eastAsia="Calibri"/>
          <w:bCs w:val="0"/>
          <w:i/>
          <w:iCs/>
          <w:lang w:val="fr-FR"/>
        </w:rPr>
        <w:t xml:space="preserve"> 1.1 b). </w:t>
      </w:r>
      <w:r w:rsidR="00B56080" w:rsidRPr="00D629F5">
        <w:rPr>
          <w:rFonts w:eastAsia="Calibri"/>
          <w:i/>
          <w:iCs/>
          <w:lang w:val="fr-FR"/>
        </w:rPr>
        <w:t xml:space="preserve">Orientations pour faciliter l’application du Critère Ramsar 6 </w:t>
      </w:r>
      <w:r w:rsidR="00F319AD" w:rsidRPr="00D629F5">
        <w:rPr>
          <w:rFonts w:eastAsia="Calibri"/>
          <w:bCs w:val="0"/>
          <w:lang w:val="fr-FR"/>
        </w:rPr>
        <w:t xml:space="preserve">: </w:t>
      </w:r>
      <w:r w:rsidR="00BA2266" w:rsidRPr="00D629F5">
        <w:rPr>
          <w:rFonts w:eastAsia="Calibri"/>
          <w:bCs w:val="0"/>
          <w:lang w:val="fr-FR"/>
        </w:rPr>
        <w:t>C</w:t>
      </w:r>
      <w:r w:rsidR="00C4219A" w:rsidRPr="00D629F5">
        <w:rPr>
          <w:rFonts w:eastAsia="Calibri"/>
          <w:bCs w:val="0"/>
          <w:lang w:val="fr-FR"/>
        </w:rPr>
        <w:t xml:space="preserve">ette tâche a supposé un examen </w:t>
      </w:r>
      <w:r w:rsidR="004E0521" w:rsidRPr="00D629F5">
        <w:rPr>
          <w:rFonts w:eastAsia="Calibri"/>
          <w:bCs w:val="0"/>
          <w:lang w:val="fr-FR"/>
        </w:rPr>
        <w:t>d</w:t>
      </w:r>
      <w:r w:rsidR="00C4219A" w:rsidRPr="00D629F5">
        <w:rPr>
          <w:rFonts w:eastAsia="Calibri"/>
          <w:bCs w:val="0"/>
          <w:lang w:val="fr-FR"/>
        </w:rPr>
        <w:t>u Cadre stratégique</w:t>
      </w:r>
      <w:r w:rsidR="006730FD" w:rsidRPr="00D629F5">
        <w:rPr>
          <w:rFonts w:eastAsia="Calibri"/>
          <w:bCs w:val="0"/>
          <w:lang w:val="fr-FR"/>
        </w:rPr>
        <w:t>,</w:t>
      </w:r>
      <w:r w:rsidR="00C4219A" w:rsidRPr="00D629F5">
        <w:rPr>
          <w:rFonts w:eastAsia="Calibri"/>
          <w:bCs w:val="0"/>
          <w:lang w:val="fr-FR"/>
        </w:rPr>
        <w:t xml:space="preserve"> </w:t>
      </w:r>
      <w:r w:rsidR="00C538EE" w:rsidRPr="00D629F5">
        <w:rPr>
          <w:rFonts w:eastAsia="Calibri"/>
          <w:bCs w:val="0"/>
          <w:lang w:val="fr-FR"/>
        </w:rPr>
        <w:t>suivi de</w:t>
      </w:r>
      <w:r w:rsidR="004E0521" w:rsidRPr="00D629F5">
        <w:rPr>
          <w:rFonts w:eastAsia="Calibri"/>
          <w:bCs w:val="0"/>
          <w:lang w:val="fr-FR"/>
        </w:rPr>
        <w:t xml:space="preserve"> la proposition de le mettre à jour </w:t>
      </w:r>
      <w:r w:rsidR="00C4219A" w:rsidRPr="00D629F5">
        <w:rPr>
          <w:rFonts w:eastAsia="Calibri"/>
          <w:bCs w:val="0"/>
          <w:lang w:val="fr-FR"/>
        </w:rPr>
        <w:t>du point de vue de l’utilisation des estimations de</w:t>
      </w:r>
      <w:r w:rsidR="008D10B8" w:rsidRPr="00D629F5">
        <w:rPr>
          <w:rFonts w:eastAsia="Calibri"/>
          <w:bCs w:val="0"/>
          <w:lang w:val="fr-FR"/>
        </w:rPr>
        <w:t>s</w:t>
      </w:r>
      <w:r w:rsidR="00C4219A" w:rsidRPr="00D629F5">
        <w:rPr>
          <w:rFonts w:eastAsia="Calibri"/>
          <w:bCs w:val="0"/>
          <w:lang w:val="fr-FR"/>
        </w:rPr>
        <w:t xml:space="preserve"> populations d’oiseaux d’eau </w:t>
      </w:r>
      <w:r w:rsidR="004E0521" w:rsidRPr="00D629F5">
        <w:rPr>
          <w:rFonts w:eastAsia="Calibri"/>
          <w:bCs w:val="0"/>
          <w:lang w:val="fr-FR"/>
        </w:rPr>
        <w:t>pour l’application du</w:t>
      </w:r>
      <w:r w:rsidR="00C4219A" w:rsidRPr="00D629F5">
        <w:rPr>
          <w:rFonts w:eastAsia="Calibri"/>
          <w:bCs w:val="0"/>
          <w:lang w:val="fr-FR"/>
        </w:rPr>
        <w:t xml:space="preserve"> Critère 6 ainsi que </w:t>
      </w:r>
      <w:r w:rsidR="004E0521" w:rsidRPr="00D629F5">
        <w:rPr>
          <w:rFonts w:eastAsia="Calibri"/>
          <w:bCs w:val="0"/>
          <w:lang w:val="fr-FR"/>
        </w:rPr>
        <w:t>de collaborer</w:t>
      </w:r>
      <w:r w:rsidR="00C4219A" w:rsidRPr="00D629F5">
        <w:rPr>
          <w:rFonts w:eastAsia="Calibri"/>
          <w:bCs w:val="0"/>
          <w:lang w:val="fr-FR"/>
        </w:rPr>
        <w:t xml:space="preserve"> avec les OIP </w:t>
      </w:r>
      <w:r w:rsidR="00C538EE" w:rsidRPr="00D629F5">
        <w:rPr>
          <w:rFonts w:eastAsia="Calibri"/>
          <w:bCs w:val="0"/>
          <w:lang w:val="fr-FR"/>
        </w:rPr>
        <w:t>concernées</w:t>
      </w:r>
      <w:r w:rsidR="00C4219A" w:rsidRPr="00D629F5">
        <w:rPr>
          <w:rFonts w:eastAsia="Calibri"/>
          <w:bCs w:val="0"/>
          <w:lang w:val="fr-FR"/>
        </w:rPr>
        <w:t xml:space="preserve"> et les initiatives sur les voies de migration. La tâche </w:t>
      </w:r>
      <w:r w:rsidR="00F319AD" w:rsidRPr="00D629F5">
        <w:rPr>
          <w:rFonts w:eastAsia="Calibri"/>
          <w:bCs w:val="0"/>
          <w:lang w:val="fr-FR"/>
        </w:rPr>
        <w:t>1.1.</w:t>
      </w:r>
      <w:r w:rsidR="00C4219A" w:rsidRPr="00D629F5">
        <w:rPr>
          <w:rFonts w:eastAsia="Calibri"/>
          <w:bCs w:val="0"/>
          <w:lang w:val="fr-FR"/>
        </w:rPr>
        <w:t> </w:t>
      </w:r>
      <w:r w:rsidR="00F319AD" w:rsidRPr="00D629F5">
        <w:rPr>
          <w:rFonts w:eastAsia="Calibri"/>
          <w:bCs w:val="0"/>
          <w:lang w:val="fr-FR"/>
        </w:rPr>
        <w:t xml:space="preserve">b) </w:t>
      </w:r>
      <w:r w:rsidR="00C4219A" w:rsidRPr="00D629F5">
        <w:rPr>
          <w:rFonts w:eastAsia="Calibri"/>
          <w:bCs w:val="0"/>
          <w:lang w:val="fr-FR"/>
        </w:rPr>
        <w:t xml:space="preserve">a été menée à bien. Le GEST a présenté un projet de résolution sur l’application des Critères 6 et 9 aux zones humides d’importance internationale nouvelles et existantes </w:t>
      </w:r>
      <w:r w:rsidR="00F319AD" w:rsidRPr="00D629F5">
        <w:rPr>
          <w:rFonts w:eastAsia="Calibri"/>
          <w:bCs w:val="0"/>
          <w:lang w:val="fr-FR"/>
        </w:rPr>
        <w:t>(SC64 Doc.21)</w:t>
      </w:r>
      <w:r w:rsidR="001E3504" w:rsidRPr="00D629F5">
        <w:rPr>
          <w:rFonts w:eastAsia="Calibri"/>
          <w:bCs w:val="0"/>
          <w:lang w:val="fr-FR"/>
        </w:rPr>
        <w:t>,</w:t>
      </w:r>
      <w:r w:rsidR="001F27D0" w:rsidRPr="00D629F5">
        <w:rPr>
          <w:rFonts w:eastAsia="Calibri"/>
          <w:bCs w:val="0"/>
          <w:lang w:val="fr-FR"/>
        </w:rPr>
        <w:t xml:space="preserve"> </w:t>
      </w:r>
      <w:r w:rsidR="00C4219A" w:rsidRPr="00D629F5">
        <w:rPr>
          <w:rFonts w:eastAsia="Calibri"/>
          <w:bCs w:val="0"/>
          <w:lang w:val="fr-FR"/>
        </w:rPr>
        <w:t xml:space="preserve">qui comprend des </w:t>
      </w:r>
      <w:r w:rsidR="004E0521" w:rsidRPr="00D629F5">
        <w:rPr>
          <w:rFonts w:eastAsia="Calibri"/>
          <w:bCs w:val="0"/>
          <w:lang w:val="fr-FR"/>
        </w:rPr>
        <w:t>modifications</w:t>
      </w:r>
      <w:r w:rsidR="00C4219A" w:rsidRPr="00D629F5">
        <w:rPr>
          <w:rFonts w:eastAsia="Calibri"/>
          <w:bCs w:val="0"/>
          <w:lang w:val="fr-FR"/>
        </w:rPr>
        <w:t xml:space="preserve"> proposé</w:t>
      </w:r>
      <w:r w:rsidR="004E0521" w:rsidRPr="00D629F5">
        <w:rPr>
          <w:rFonts w:eastAsia="Calibri"/>
          <w:bCs w:val="0"/>
          <w:lang w:val="fr-FR"/>
        </w:rPr>
        <w:t>e</w:t>
      </w:r>
      <w:r w:rsidR="00C4219A" w:rsidRPr="00D629F5">
        <w:rPr>
          <w:rFonts w:eastAsia="Calibri"/>
          <w:bCs w:val="0"/>
          <w:lang w:val="fr-FR"/>
        </w:rPr>
        <w:t xml:space="preserve">s au Cadre stratégique, </w:t>
      </w:r>
      <w:r w:rsidR="004E0521" w:rsidRPr="00D629F5">
        <w:rPr>
          <w:rFonts w:eastAsia="Calibri"/>
          <w:bCs w:val="0"/>
          <w:lang w:val="fr-FR"/>
        </w:rPr>
        <w:t>ainsi qu</w:t>
      </w:r>
      <w:r w:rsidR="00624D7B" w:rsidRPr="00D629F5">
        <w:rPr>
          <w:rFonts w:eastAsia="Calibri"/>
          <w:bCs w:val="0"/>
          <w:lang w:val="fr-FR"/>
        </w:rPr>
        <w:t>’</w:t>
      </w:r>
      <w:r w:rsidR="00C4219A" w:rsidRPr="00D629F5">
        <w:rPr>
          <w:rFonts w:eastAsia="Calibri"/>
          <w:bCs w:val="0"/>
          <w:lang w:val="fr-FR"/>
        </w:rPr>
        <w:t xml:space="preserve">au Critère 5 </w:t>
      </w:r>
      <w:r w:rsidR="00624D7B" w:rsidRPr="00D629F5">
        <w:rPr>
          <w:rFonts w:eastAsia="Calibri"/>
          <w:bCs w:val="0"/>
          <w:lang w:val="fr-FR"/>
        </w:rPr>
        <w:t>par souci de</w:t>
      </w:r>
      <w:r w:rsidR="00C4219A" w:rsidRPr="00D629F5">
        <w:rPr>
          <w:rFonts w:eastAsia="Calibri"/>
          <w:bCs w:val="0"/>
          <w:lang w:val="fr-FR"/>
        </w:rPr>
        <w:t xml:space="preserve"> cohérence.</w:t>
      </w:r>
    </w:p>
    <w:p w14:paraId="709AEEDE" w14:textId="77777777" w:rsidR="00995074" w:rsidRPr="00D629F5" w:rsidRDefault="00995074" w:rsidP="00995074">
      <w:pPr>
        <w:ind w:left="432" w:hanging="432"/>
        <w:rPr>
          <w:rFonts w:eastAsia="Calibri"/>
          <w:bCs w:val="0"/>
          <w:lang w:val="fr-FR"/>
        </w:rPr>
      </w:pPr>
    </w:p>
    <w:p w14:paraId="22F6FFBD" w14:textId="36F4AD35" w:rsidR="00995074" w:rsidRPr="00D629F5" w:rsidRDefault="00336E88" w:rsidP="00276823">
      <w:pPr>
        <w:ind w:left="432" w:hanging="432"/>
        <w:rPr>
          <w:rFonts w:eastAsia="Calibri"/>
          <w:bCs w:val="0"/>
          <w:lang w:val="fr-FR"/>
        </w:rPr>
      </w:pPr>
      <w:r>
        <w:rPr>
          <w:rFonts w:eastAsia="Calibri"/>
          <w:lang w:val="fr-FR"/>
        </w:rPr>
        <w:t>8</w:t>
      </w:r>
      <w:r w:rsidR="00F319AD" w:rsidRPr="00D629F5">
        <w:rPr>
          <w:rFonts w:eastAsia="Calibri"/>
          <w:lang w:val="fr-FR"/>
        </w:rPr>
        <w:t>.</w:t>
      </w:r>
      <w:r w:rsidR="00F319AD" w:rsidRPr="00D629F5">
        <w:rPr>
          <w:rFonts w:eastAsia="Calibri"/>
          <w:lang w:val="fr-FR"/>
        </w:rPr>
        <w:tab/>
      </w:r>
      <w:r w:rsidR="00F319AD" w:rsidRPr="00D629F5">
        <w:rPr>
          <w:rFonts w:eastAsia="Calibri"/>
          <w:bCs w:val="0"/>
          <w:i/>
          <w:iCs/>
          <w:lang w:val="fr-FR"/>
        </w:rPr>
        <w:t>T</w:t>
      </w:r>
      <w:r w:rsidR="00B56080" w:rsidRPr="00D629F5">
        <w:rPr>
          <w:rFonts w:eastAsia="Calibri"/>
          <w:bCs w:val="0"/>
          <w:i/>
          <w:iCs/>
          <w:lang w:val="fr-FR"/>
        </w:rPr>
        <w:t>âche</w:t>
      </w:r>
      <w:r w:rsidR="00F319AD" w:rsidRPr="00D629F5">
        <w:rPr>
          <w:rFonts w:eastAsia="Calibri"/>
          <w:bCs w:val="0"/>
          <w:i/>
          <w:iCs/>
          <w:lang w:val="fr-FR"/>
        </w:rPr>
        <w:t xml:space="preserve"> 1.1 c). </w:t>
      </w:r>
      <w:r w:rsidR="00B56080" w:rsidRPr="00D629F5">
        <w:rPr>
          <w:rFonts w:eastAsia="Calibri"/>
          <w:i/>
          <w:iCs/>
          <w:lang w:val="fr-FR"/>
        </w:rPr>
        <w:t xml:space="preserve">Proposition technique pour la mobilisation de ressources et réalisation de la mise à jour des </w:t>
      </w:r>
      <w:r w:rsidR="00352C32" w:rsidRPr="00D629F5">
        <w:rPr>
          <w:rFonts w:eastAsia="Calibri"/>
          <w:i/>
          <w:iCs/>
          <w:lang w:val="fr-FR"/>
        </w:rPr>
        <w:t>e</w:t>
      </w:r>
      <w:r w:rsidR="00B56080" w:rsidRPr="00D629F5">
        <w:rPr>
          <w:rFonts w:eastAsia="Calibri"/>
          <w:i/>
          <w:iCs/>
          <w:lang w:val="fr-FR"/>
        </w:rPr>
        <w:t>stimations de</w:t>
      </w:r>
      <w:r w:rsidR="008D10B8" w:rsidRPr="00D629F5">
        <w:rPr>
          <w:rFonts w:eastAsia="Calibri"/>
          <w:i/>
          <w:iCs/>
          <w:lang w:val="fr-FR"/>
        </w:rPr>
        <w:t>s</w:t>
      </w:r>
      <w:r w:rsidR="00B56080" w:rsidRPr="00D629F5">
        <w:rPr>
          <w:rFonts w:eastAsia="Calibri"/>
          <w:i/>
          <w:iCs/>
          <w:lang w:val="fr-FR"/>
        </w:rPr>
        <w:t xml:space="preserve"> populations d’oiseaux d’eau </w:t>
      </w:r>
      <w:r w:rsidR="00F319AD" w:rsidRPr="00D629F5">
        <w:rPr>
          <w:rFonts w:eastAsia="Calibri"/>
          <w:bCs w:val="0"/>
          <w:lang w:val="fr-FR"/>
        </w:rPr>
        <w:t xml:space="preserve">: </w:t>
      </w:r>
      <w:r w:rsidR="00C4219A" w:rsidRPr="00D629F5">
        <w:rPr>
          <w:rFonts w:eastAsia="Calibri"/>
          <w:bCs w:val="0"/>
          <w:lang w:val="fr-FR"/>
        </w:rPr>
        <w:t>La tâche</w:t>
      </w:r>
      <w:r w:rsidR="00F43510" w:rsidRPr="00D629F5">
        <w:rPr>
          <w:rFonts w:eastAsia="Calibri"/>
          <w:bCs w:val="0"/>
          <w:lang w:val="fr-FR"/>
        </w:rPr>
        <w:t xml:space="preserve"> 1.1.</w:t>
      </w:r>
      <w:r w:rsidR="00C4219A" w:rsidRPr="00D629F5">
        <w:rPr>
          <w:rFonts w:eastAsia="Calibri"/>
          <w:bCs w:val="0"/>
          <w:lang w:val="fr-FR"/>
        </w:rPr>
        <w:t> </w:t>
      </w:r>
      <w:r w:rsidR="00F43510" w:rsidRPr="00D629F5">
        <w:rPr>
          <w:rFonts w:eastAsia="Calibri"/>
          <w:bCs w:val="0"/>
          <w:lang w:val="fr-FR"/>
        </w:rPr>
        <w:t xml:space="preserve">c) </w:t>
      </w:r>
      <w:r w:rsidR="00C4219A" w:rsidRPr="00D629F5">
        <w:rPr>
          <w:rFonts w:eastAsia="Calibri"/>
          <w:bCs w:val="0"/>
          <w:lang w:val="fr-FR"/>
        </w:rPr>
        <w:t xml:space="preserve">a été menée à bien. </w:t>
      </w:r>
      <w:r w:rsidR="008E5727" w:rsidRPr="00D629F5">
        <w:rPr>
          <w:rFonts w:eastAsia="Calibri"/>
          <w:bCs w:val="0"/>
          <w:lang w:val="fr-FR"/>
        </w:rPr>
        <w:t xml:space="preserve">Une proposition technique décrivant les différentes </w:t>
      </w:r>
      <w:r w:rsidR="00352C32" w:rsidRPr="00D629F5">
        <w:rPr>
          <w:rFonts w:eastAsia="Calibri"/>
          <w:bCs w:val="0"/>
          <w:lang w:val="fr-FR"/>
        </w:rPr>
        <w:t>possibilités</w:t>
      </w:r>
      <w:r w:rsidR="008E5727" w:rsidRPr="00D629F5">
        <w:rPr>
          <w:rFonts w:eastAsia="Calibri"/>
          <w:bCs w:val="0"/>
          <w:lang w:val="fr-FR"/>
        </w:rPr>
        <w:t xml:space="preserve"> de mise en œuvre et de mobilisation de ressources pour les mises à jour des </w:t>
      </w:r>
      <w:r w:rsidR="00A944F8" w:rsidRPr="00D629F5">
        <w:rPr>
          <w:i/>
          <w:iCs/>
          <w:lang w:val="fr-FR" w:eastAsia="zh-CN"/>
        </w:rPr>
        <w:t>Waterbird Population Estimates</w:t>
      </w:r>
      <w:r w:rsidR="00A944F8" w:rsidRPr="00D629F5">
        <w:rPr>
          <w:rFonts w:eastAsia="Calibri"/>
          <w:lang w:val="fr-FR"/>
        </w:rPr>
        <w:t xml:space="preserve"> </w:t>
      </w:r>
      <w:r w:rsidR="00352C32" w:rsidRPr="00D629F5">
        <w:rPr>
          <w:rFonts w:eastAsia="Calibri"/>
          <w:lang w:val="fr-FR"/>
        </w:rPr>
        <w:t>(WPE</w:t>
      </w:r>
      <w:r w:rsidR="00352C32" w:rsidRPr="00D629F5">
        <w:rPr>
          <w:rFonts w:eastAsia="Calibri"/>
          <w:bCs w:val="0"/>
          <w:lang w:val="fr-FR"/>
        </w:rPr>
        <w:t>)</w:t>
      </w:r>
      <w:r w:rsidR="008E5727" w:rsidRPr="00D629F5">
        <w:rPr>
          <w:rFonts w:eastAsia="Calibri"/>
          <w:bCs w:val="0"/>
          <w:lang w:val="fr-FR"/>
        </w:rPr>
        <w:t xml:space="preserve"> a été présentée dans le document </w:t>
      </w:r>
      <w:r w:rsidR="00E864E5" w:rsidRPr="00D629F5">
        <w:rPr>
          <w:rFonts w:eastAsia="Calibri"/>
          <w:bCs w:val="0"/>
          <w:lang w:val="fr-FR"/>
        </w:rPr>
        <w:t>SC63 Doc.19</w:t>
      </w:r>
      <w:r w:rsidR="005E6A94" w:rsidRPr="00D629F5">
        <w:rPr>
          <w:rFonts w:eastAsia="Calibri"/>
          <w:bCs w:val="0"/>
          <w:lang w:val="fr-FR"/>
        </w:rPr>
        <w:t xml:space="preserve">, </w:t>
      </w:r>
      <w:r w:rsidR="008E5727" w:rsidRPr="00D629F5">
        <w:rPr>
          <w:rFonts w:eastAsia="Calibri"/>
          <w:bCs w:val="0"/>
          <w:lang w:val="fr-FR"/>
        </w:rPr>
        <w:t xml:space="preserve">soulignant les synergies avec des accords apparentés, </w:t>
      </w:r>
      <w:r w:rsidR="008D10B8" w:rsidRPr="00D629F5">
        <w:rPr>
          <w:rFonts w:eastAsia="Calibri"/>
          <w:bCs w:val="0"/>
          <w:lang w:val="fr-FR"/>
        </w:rPr>
        <w:t xml:space="preserve">des partenariats de financement institutionnels, des priorités en matière de renforcement des capacités et </w:t>
      </w:r>
      <w:r w:rsidR="00352C32" w:rsidRPr="00D629F5">
        <w:rPr>
          <w:rFonts w:eastAsia="Calibri"/>
          <w:bCs w:val="0"/>
          <w:lang w:val="fr-FR"/>
        </w:rPr>
        <w:t>suggérant des</w:t>
      </w:r>
      <w:r w:rsidR="008D10B8" w:rsidRPr="00D629F5">
        <w:rPr>
          <w:rFonts w:eastAsia="Calibri"/>
          <w:bCs w:val="0"/>
          <w:lang w:val="fr-FR"/>
        </w:rPr>
        <w:t xml:space="preserve"> mesures économiques pour la production des WPE. Conformément à la Décision</w:t>
      </w:r>
      <w:r w:rsidR="002D7CF0" w:rsidRPr="00D629F5">
        <w:rPr>
          <w:rFonts w:eastAsia="Calibri"/>
          <w:bCs w:val="0"/>
          <w:lang w:val="fr-FR"/>
        </w:rPr>
        <w:t xml:space="preserve"> SC63-31,</w:t>
      </w:r>
      <w:r w:rsidR="00F319AD" w:rsidRPr="00D629F5">
        <w:rPr>
          <w:rFonts w:eastAsia="Calibri"/>
          <w:bCs w:val="0"/>
          <w:lang w:val="fr-FR"/>
        </w:rPr>
        <w:t xml:space="preserve"> </w:t>
      </w:r>
      <w:r w:rsidR="008D10B8" w:rsidRPr="00D629F5">
        <w:rPr>
          <w:rFonts w:eastAsia="Calibri"/>
          <w:bCs w:val="0"/>
          <w:lang w:val="fr-FR"/>
        </w:rPr>
        <w:t>le GEST a préparé un projet de résolution sur la création d’un Partenariat pour les estimations des populations d’oiseaux d’eau</w:t>
      </w:r>
      <w:r w:rsidR="00352C32" w:rsidRPr="00D629F5">
        <w:rPr>
          <w:rFonts w:eastAsia="Calibri"/>
          <w:bCs w:val="0"/>
          <w:lang w:val="fr-FR"/>
        </w:rPr>
        <w:t xml:space="preserve"> (WEP)</w:t>
      </w:r>
      <w:r w:rsidR="008D10B8" w:rsidRPr="00D629F5">
        <w:rPr>
          <w:rFonts w:eastAsia="Calibri"/>
          <w:bCs w:val="0"/>
          <w:lang w:val="fr-FR"/>
        </w:rPr>
        <w:t xml:space="preserve"> et la réalisation de l’édition 2027 de</w:t>
      </w:r>
      <w:r w:rsidR="00352C32" w:rsidRPr="00D629F5">
        <w:rPr>
          <w:rFonts w:eastAsia="Calibri"/>
          <w:bCs w:val="0"/>
          <w:lang w:val="fr-FR"/>
        </w:rPr>
        <w:t>s</w:t>
      </w:r>
      <w:r w:rsidR="008D10B8" w:rsidRPr="00D629F5">
        <w:rPr>
          <w:rFonts w:eastAsia="Calibri"/>
          <w:bCs w:val="0"/>
          <w:lang w:val="fr-FR"/>
        </w:rPr>
        <w:t xml:space="preserve"> </w:t>
      </w:r>
      <w:r w:rsidR="00A944F8" w:rsidRPr="00D629F5">
        <w:rPr>
          <w:i/>
          <w:iCs/>
          <w:lang w:val="fr-FR" w:eastAsia="zh-CN"/>
        </w:rPr>
        <w:t>Waterbird Population Estimates</w:t>
      </w:r>
      <w:r w:rsidR="00A944F8" w:rsidRPr="00D629F5">
        <w:rPr>
          <w:rFonts w:eastAsia="Calibri"/>
          <w:bCs w:val="0"/>
          <w:lang w:val="fr-FR"/>
        </w:rPr>
        <w:t xml:space="preserve"> </w:t>
      </w:r>
      <w:r w:rsidR="00F319AD" w:rsidRPr="00D629F5">
        <w:rPr>
          <w:rFonts w:eastAsia="Calibri"/>
          <w:bCs w:val="0"/>
          <w:lang w:val="fr-FR"/>
        </w:rPr>
        <w:t>(WPE2027)</w:t>
      </w:r>
      <w:r w:rsidR="00F319AD" w:rsidRPr="00D629F5" w:rsidDel="00613071">
        <w:rPr>
          <w:rFonts w:eastAsia="Calibri"/>
          <w:bCs w:val="0"/>
          <w:lang w:val="fr-FR"/>
        </w:rPr>
        <w:t xml:space="preserve"> </w:t>
      </w:r>
      <w:r w:rsidR="00B33638" w:rsidRPr="00D629F5">
        <w:rPr>
          <w:rFonts w:eastAsia="Calibri"/>
          <w:bCs w:val="0"/>
          <w:lang w:val="fr-FR"/>
        </w:rPr>
        <w:t>(SC64-</w:t>
      </w:r>
      <w:r w:rsidR="0061306A" w:rsidRPr="00D629F5">
        <w:rPr>
          <w:rFonts w:eastAsia="Calibri"/>
          <w:bCs w:val="0"/>
          <w:lang w:val="fr-FR"/>
        </w:rPr>
        <w:t>2</w:t>
      </w:r>
      <w:r w:rsidR="00352C32" w:rsidRPr="00D629F5">
        <w:rPr>
          <w:rFonts w:eastAsia="Calibri"/>
          <w:bCs w:val="0"/>
          <w:lang w:val="fr-FR"/>
        </w:rPr>
        <w:t>0</w:t>
      </w:r>
      <w:r w:rsidR="0061306A" w:rsidRPr="00D629F5">
        <w:rPr>
          <w:rFonts w:eastAsia="Calibri"/>
          <w:bCs w:val="0"/>
          <w:lang w:val="fr-FR"/>
        </w:rPr>
        <w:t>)</w:t>
      </w:r>
      <w:r w:rsidR="002D7CF0" w:rsidRPr="00D629F5">
        <w:rPr>
          <w:rFonts w:eastAsia="Calibri"/>
          <w:bCs w:val="0"/>
          <w:lang w:val="fr-FR"/>
        </w:rPr>
        <w:t xml:space="preserve">, </w:t>
      </w:r>
      <w:r w:rsidR="008D10B8" w:rsidRPr="00D629F5">
        <w:rPr>
          <w:rFonts w:eastAsia="Calibri"/>
          <w:bCs w:val="0"/>
          <w:lang w:val="fr-FR"/>
        </w:rPr>
        <w:t xml:space="preserve">avec des informations additionnelles sur les </w:t>
      </w:r>
      <w:r w:rsidR="00A6342B" w:rsidRPr="00D629F5">
        <w:rPr>
          <w:rFonts w:eastAsia="Calibri"/>
          <w:bCs w:val="0"/>
          <w:lang w:val="fr-FR"/>
        </w:rPr>
        <w:t>incidences</w:t>
      </w:r>
      <w:r w:rsidR="008D10B8" w:rsidRPr="00D629F5">
        <w:rPr>
          <w:rFonts w:eastAsia="Calibri"/>
          <w:bCs w:val="0"/>
          <w:lang w:val="fr-FR"/>
        </w:rPr>
        <w:t xml:space="preserve"> financières du </w:t>
      </w:r>
      <w:r w:rsidR="00A944F8" w:rsidRPr="00D629F5">
        <w:rPr>
          <w:rFonts w:eastAsia="Calibri"/>
          <w:bCs w:val="0"/>
          <w:lang w:val="fr-FR"/>
        </w:rPr>
        <w:t>Partenariat pour les estimations des populations d’oiseaux d’eau (</w:t>
      </w:r>
      <w:r w:rsidR="008D10B8" w:rsidRPr="00D629F5">
        <w:rPr>
          <w:rFonts w:eastAsia="Calibri"/>
          <w:bCs w:val="0"/>
          <w:lang w:val="fr-FR"/>
        </w:rPr>
        <w:t>W</w:t>
      </w:r>
      <w:r w:rsidR="0089557B" w:rsidRPr="00D629F5">
        <w:rPr>
          <w:rFonts w:eastAsia="Calibri"/>
          <w:bCs w:val="0"/>
          <w:lang w:val="fr-FR"/>
        </w:rPr>
        <w:t>EP</w:t>
      </w:r>
      <w:r w:rsidR="00A944F8" w:rsidRPr="00D629F5">
        <w:rPr>
          <w:rFonts w:eastAsia="Calibri"/>
          <w:bCs w:val="0"/>
          <w:lang w:val="fr-FR"/>
        </w:rPr>
        <w:t>)</w:t>
      </w:r>
      <w:r w:rsidR="008D10B8" w:rsidRPr="00D629F5">
        <w:rPr>
          <w:rFonts w:eastAsia="Calibri"/>
          <w:bCs w:val="0"/>
          <w:lang w:val="fr-FR"/>
        </w:rPr>
        <w:t xml:space="preserve"> </w:t>
      </w:r>
      <w:r w:rsidR="00AF38AA" w:rsidRPr="00D629F5">
        <w:rPr>
          <w:rFonts w:eastAsia="Calibri"/>
          <w:bCs w:val="0"/>
          <w:lang w:val="fr-FR"/>
        </w:rPr>
        <w:t>figurant</w:t>
      </w:r>
      <w:r w:rsidR="008D10B8" w:rsidRPr="00D629F5">
        <w:rPr>
          <w:rFonts w:eastAsia="Calibri"/>
          <w:bCs w:val="0"/>
          <w:lang w:val="fr-FR"/>
        </w:rPr>
        <w:t xml:space="preserve"> dans le présent rapport </w:t>
      </w:r>
      <w:r w:rsidR="003F10FE" w:rsidRPr="00D629F5">
        <w:rPr>
          <w:rFonts w:eastAsia="Calibri"/>
          <w:bCs w:val="0"/>
          <w:lang w:val="fr-FR"/>
        </w:rPr>
        <w:t>(</w:t>
      </w:r>
      <w:r w:rsidR="007255DA" w:rsidRPr="00D629F5">
        <w:rPr>
          <w:rFonts w:eastAsia="Calibri"/>
          <w:bCs w:val="0"/>
          <w:lang w:val="fr-FR"/>
        </w:rPr>
        <w:t>A</w:t>
      </w:r>
      <w:r w:rsidR="003F10FE" w:rsidRPr="00D629F5">
        <w:rPr>
          <w:rFonts w:eastAsia="Calibri"/>
          <w:bCs w:val="0"/>
          <w:lang w:val="fr-FR"/>
        </w:rPr>
        <w:t>nnex</w:t>
      </w:r>
      <w:r w:rsidR="008D10B8" w:rsidRPr="00D629F5">
        <w:rPr>
          <w:rFonts w:eastAsia="Calibri"/>
          <w:bCs w:val="0"/>
          <w:lang w:val="fr-FR"/>
        </w:rPr>
        <w:t>e </w:t>
      </w:r>
      <w:r w:rsidR="003F10FE" w:rsidRPr="00D629F5">
        <w:rPr>
          <w:rFonts w:eastAsia="Calibri"/>
          <w:bCs w:val="0"/>
          <w:lang w:val="fr-FR"/>
        </w:rPr>
        <w:t>5)</w:t>
      </w:r>
      <w:r w:rsidR="00F319AD" w:rsidRPr="00D629F5">
        <w:rPr>
          <w:rFonts w:eastAsia="Calibri"/>
          <w:bCs w:val="0"/>
          <w:lang w:val="fr-FR"/>
        </w:rPr>
        <w:t>.</w:t>
      </w:r>
      <w:r w:rsidR="002D7CF0" w:rsidRPr="00D629F5">
        <w:rPr>
          <w:lang w:val="fr-FR"/>
        </w:rPr>
        <w:t xml:space="preserve"> </w:t>
      </w:r>
    </w:p>
    <w:p w14:paraId="78BDA935" w14:textId="77777777" w:rsidR="00995074" w:rsidRPr="00D629F5" w:rsidRDefault="00995074" w:rsidP="00995074">
      <w:pPr>
        <w:ind w:left="432" w:hanging="432"/>
        <w:rPr>
          <w:rFonts w:eastAsia="Calibri"/>
          <w:bCs w:val="0"/>
          <w:lang w:val="fr-FR"/>
        </w:rPr>
      </w:pPr>
    </w:p>
    <w:p w14:paraId="6D2D115B" w14:textId="64C8BC10" w:rsidR="00D23B75" w:rsidRPr="00D629F5" w:rsidRDefault="00336E88" w:rsidP="00276823">
      <w:pPr>
        <w:ind w:left="432" w:hanging="432"/>
        <w:rPr>
          <w:rFonts w:eastAsia="Calibri"/>
          <w:bCs w:val="0"/>
          <w:lang w:val="fr-FR"/>
        </w:rPr>
      </w:pPr>
      <w:r>
        <w:rPr>
          <w:rFonts w:eastAsia="Calibri"/>
          <w:lang w:val="fr-FR"/>
        </w:rPr>
        <w:t>9</w:t>
      </w:r>
      <w:r w:rsidR="00F319AD" w:rsidRPr="00D629F5">
        <w:rPr>
          <w:rFonts w:eastAsia="Calibri"/>
          <w:lang w:val="fr-FR"/>
        </w:rPr>
        <w:t>.</w:t>
      </w:r>
      <w:r w:rsidR="00F319AD" w:rsidRPr="00D629F5">
        <w:rPr>
          <w:rFonts w:eastAsia="Calibri"/>
          <w:lang w:val="fr-FR"/>
        </w:rPr>
        <w:tab/>
      </w:r>
      <w:r w:rsidR="00B56080" w:rsidRPr="00D629F5">
        <w:rPr>
          <w:rFonts w:eastAsia="Calibri"/>
          <w:bCs w:val="0"/>
          <w:i/>
          <w:iCs/>
          <w:lang w:val="fr-FR"/>
        </w:rPr>
        <w:t xml:space="preserve">Tâche </w:t>
      </w:r>
      <w:r w:rsidR="00F319AD" w:rsidRPr="00D629F5">
        <w:rPr>
          <w:rFonts w:eastAsia="Calibri"/>
          <w:bCs w:val="0"/>
          <w:i/>
          <w:iCs/>
          <w:lang w:val="fr-FR"/>
        </w:rPr>
        <w:t xml:space="preserve">1.2. </w:t>
      </w:r>
      <w:r w:rsidR="00B56080" w:rsidRPr="00D629F5">
        <w:rPr>
          <w:rFonts w:eastAsia="Calibri"/>
          <w:i/>
          <w:iCs/>
          <w:lang w:val="fr-FR"/>
        </w:rPr>
        <w:t xml:space="preserve">Évaluation mondiale des lacunes dans le réseau Ramsar des zones humides d’importance internationale, et synergies avec les objectifs mondiaux sur le climat et la biodiversité </w:t>
      </w:r>
      <w:r w:rsidR="00F319AD" w:rsidRPr="00D629F5">
        <w:rPr>
          <w:rFonts w:eastAsia="Calibri"/>
          <w:bCs w:val="0"/>
          <w:lang w:val="fr-FR"/>
        </w:rPr>
        <w:t xml:space="preserve">: </w:t>
      </w:r>
      <w:r w:rsidR="004E69C4" w:rsidRPr="00D629F5">
        <w:rPr>
          <w:rFonts w:eastAsia="Calibri"/>
          <w:bCs w:val="0"/>
          <w:lang w:val="fr-FR"/>
        </w:rPr>
        <w:t>Faute de ressources humaines suffisantes pour faire progresser les travaux l</w:t>
      </w:r>
      <w:r w:rsidR="00AF38AA" w:rsidRPr="00D629F5">
        <w:rPr>
          <w:rFonts w:eastAsia="Calibri"/>
          <w:bCs w:val="0"/>
          <w:lang w:val="fr-FR"/>
        </w:rPr>
        <w:t>a tâche </w:t>
      </w:r>
      <w:r w:rsidR="00AE5A18" w:rsidRPr="00D629F5">
        <w:rPr>
          <w:rFonts w:eastAsia="Calibri"/>
          <w:bCs w:val="0"/>
          <w:lang w:val="fr-FR"/>
        </w:rPr>
        <w:t xml:space="preserve">1.2 </w:t>
      </w:r>
      <w:r w:rsidR="00533B4A" w:rsidRPr="00D629F5">
        <w:rPr>
          <w:rFonts w:eastAsia="Calibri"/>
          <w:bCs w:val="0"/>
          <w:lang w:val="fr-FR"/>
        </w:rPr>
        <w:t>a été mise en attente. À ce jour, l’objectif du Domaine de travail thématique</w:t>
      </w:r>
      <w:r w:rsidR="00B2328F" w:rsidRPr="00D629F5">
        <w:rPr>
          <w:rFonts w:eastAsia="Calibri"/>
          <w:bCs w:val="0"/>
          <w:lang w:val="fr-FR"/>
        </w:rPr>
        <w:t xml:space="preserve"> 1 a été de veiller à la réalisation des tâches </w:t>
      </w:r>
      <w:r w:rsidR="00AE5A18" w:rsidRPr="00D629F5">
        <w:rPr>
          <w:rFonts w:eastAsia="Calibri"/>
          <w:bCs w:val="0"/>
          <w:lang w:val="fr-FR"/>
        </w:rPr>
        <w:t>1.1a, 1.1b</w:t>
      </w:r>
      <w:r w:rsidR="00B2328F" w:rsidRPr="00D629F5">
        <w:rPr>
          <w:rFonts w:eastAsia="Calibri"/>
          <w:bCs w:val="0"/>
          <w:lang w:val="fr-FR"/>
        </w:rPr>
        <w:t xml:space="preserve"> et</w:t>
      </w:r>
      <w:r w:rsidR="00AE5A18" w:rsidRPr="00D629F5">
        <w:rPr>
          <w:rFonts w:eastAsia="Calibri"/>
          <w:bCs w:val="0"/>
          <w:lang w:val="fr-FR"/>
        </w:rPr>
        <w:t xml:space="preserve"> 1.1c. </w:t>
      </w:r>
      <w:r w:rsidR="00B2328F" w:rsidRPr="00D629F5">
        <w:rPr>
          <w:rFonts w:eastAsia="Calibri"/>
          <w:bCs w:val="0"/>
          <w:lang w:val="fr-FR"/>
        </w:rPr>
        <w:t>Les activités associées à la tâche </w:t>
      </w:r>
      <w:r w:rsidR="00AE5A18" w:rsidRPr="00D629F5">
        <w:rPr>
          <w:rFonts w:eastAsia="Calibri"/>
          <w:bCs w:val="0"/>
          <w:lang w:val="fr-FR"/>
        </w:rPr>
        <w:t xml:space="preserve">1.2 </w:t>
      </w:r>
      <w:r w:rsidR="00B2328F" w:rsidRPr="00D629F5">
        <w:rPr>
          <w:rFonts w:eastAsia="Calibri"/>
          <w:bCs w:val="0"/>
          <w:lang w:val="fr-FR"/>
        </w:rPr>
        <w:t xml:space="preserve">ont été intégrées en tant que tâche prioritaire pour la prochaine période triennale (voir Annexe 1 Priorités du GEST </w:t>
      </w:r>
      <w:r w:rsidR="00AE5A18" w:rsidRPr="00D629F5">
        <w:rPr>
          <w:rFonts w:eastAsia="Calibri"/>
          <w:lang w:val="fr-FR"/>
        </w:rPr>
        <w:t>2026-2028</w:t>
      </w:r>
      <w:r w:rsidR="00AE5A18" w:rsidRPr="00D629F5">
        <w:rPr>
          <w:rFonts w:eastAsia="Calibri"/>
          <w:bCs w:val="0"/>
          <w:lang w:val="fr-FR"/>
        </w:rPr>
        <w:t xml:space="preserve">). </w:t>
      </w:r>
      <w:r w:rsidR="007255DA" w:rsidRPr="00D629F5">
        <w:rPr>
          <w:rFonts w:eastAsia="Calibri"/>
          <w:bCs w:val="0"/>
          <w:lang w:val="fr-FR"/>
        </w:rPr>
        <w:t>Pour c</w:t>
      </w:r>
      <w:r w:rsidR="00A760A4" w:rsidRPr="00D629F5">
        <w:rPr>
          <w:rFonts w:eastAsia="Calibri"/>
          <w:bCs w:val="0"/>
          <w:lang w:val="fr-FR"/>
        </w:rPr>
        <w:t>ela</w:t>
      </w:r>
      <w:r w:rsidR="007255DA" w:rsidRPr="00D629F5">
        <w:rPr>
          <w:rFonts w:eastAsia="Calibri"/>
          <w:bCs w:val="0"/>
          <w:lang w:val="fr-FR"/>
        </w:rPr>
        <w:t>,</w:t>
      </w:r>
      <w:r w:rsidR="00A760A4" w:rsidRPr="00D629F5">
        <w:rPr>
          <w:rFonts w:eastAsia="Calibri"/>
          <w:bCs w:val="0"/>
          <w:lang w:val="fr-FR"/>
        </w:rPr>
        <w:t xml:space="preserve"> une évaluation mondiale </w:t>
      </w:r>
      <w:r w:rsidR="007255DA" w:rsidRPr="00D629F5">
        <w:rPr>
          <w:rFonts w:eastAsia="Calibri"/>
          <w:bCs w:val="0"/>
          <w:lang w:val="fr-FR"/>
        </w:rPr>
        <w:t xml:space="preserve">sera nécessaire pour </w:t>
      </w:r>
      <w:r w:rsidR="00A760A4" w:rsidRPr="00D629F5">
        <w:rPr>
          <w:rFonts w:eastAsia="Calibri"/>
          <w:bCs w:val="0"/>
          <w:lang w:val="fr-FR"/>
        </w:rPr>
        <w:t xml:space="preserve">identifier les types de zones humides, les espèces et les habitats sous-représentés dans </w:t>
      </w:r>
      <w:r w:rsidR="007255DA" w:rsidRPr="00D629F5">
        <w:rPr>
          <w:rFonts w:eastAsia="Calibri"/>
          <w:bCs w:val="0"/>
          <w:lang w:val="fr-FR"/>
        </w:rPr>
        <w:t>l</w:t>
      </w:r>
      <w:r w:rsidR="00A760A4" w:rsidRPr="00D629F5">
        <w:rPr>
          <w:rFonts w:eastAsia="Calibri"/>
          <w:bCs w:val="0"/>
          <w:lang w:val="fr-FR"/>
        </w:rPr>
        <w:t xml:space="preserve">es zones biogéographiques, en </w:t>
      </w:r>
      <w:r w:rsidR="007255DA" w:rsidRPr="00D629F5">
        <w:rPr>
          <w:rFonts w:eastAsia="Calibri"/>
          <w:bCs w:val="0"/>
          <w:lang w:val="fr-FR"/>
        </w:rPr>
        <w:t>ayant recours au</w:t>
      </w:r>
      <w:r w:rsidR="00A760A4" w:rsidRPr="00D629F5">
        <w:rPr>
          <w:rFonts w:eastAsia="Calibri"/>
          <w:bCs w:val="0"/>
          <w:lang w:val="fr-FR"/>
        </w:rPr>
        <w:t xml:space="preserve"> Service d’information sur les Sites Ramsar (SISR) et </w:t>
      </w:r>
      <w:r w:rsidR="007255DA" w:rsidRPr="00D629F5">
        <w:rPr>
          <w:rFonts w:eastAsia="Calibri"/>
          <w:bCs w:val="0"/>
          <w:lang w:val="fr-FR"/>
        </w:rPr>
        <w:t xml:space="preserve">à </w:t>
      </w:r>
      <w:r w:rsidR="00A760A4" w:rsidRPr="00D629F5">
        <w:rPr>
          <w:rFonts w:eastAsia="Calibri"/>
          <w:bCs w:val="0"/>
          <w:lang w:val="fr-FR"/>
        </w:rPr>
        <w:t xml:space="preserve">d’autres sources. Une approche normalisée </w:t>
      </w:r>
      <w:r w:rsidR="007B3C4F" w:rsidRPr="00D629F5">
        <w:rPr>
          <w:rFonts w:eastAsia="Calibri"/>
          <w:bCs w:val="0"/>
          <w:lang w:val="fr-FR"/>
        </w:rPr>
        <w:t>permettra d’obtenir</w:t>
      </w:r>
      <w:r w:rsidR="00A760A4" w:rsidRPr="00D629F5">
        <w:rPr>
          <w:rFonts w:eastAsia="Calibri"/>
          <w:bCs w:val="0"/>
          <w:lang w:val="fr-FR"/>
        </w:rPr>
        <w:t xml:space="preserve"> des </w:t>
      </w:r>
      <w:r w:rsidR="007B3C4F" w:rsidRPr="00D629F5">
        <w:rPr>
          <w:rFonts w:eastAsia="Calibri"/>
          <w:bCs w:val="0"/>
          <w:lang w:val="fr-FR"/>
        </w:rPr>
        <w:t>données</w:t>
      </w:r>
      <w:r w:rsidR="00A760A4" w:rsidRPr="00D629F5">
        <w:rPr>
          <w:rFonts w:eastAsia="Calibri"/>
          <w:bCs w:val="0"/>
          <w:lang w:val="fr-FR"/>
        </w:rPr>
        <w:t xml:space="preserve"> techniques en appui à la désignation future et à la priorisation de zones humides d’importance internationale à travers différents types de zones humides et de régions.</w:t>
      </w:r>
      <w:r w:rsidR="009E4EE3" w:rsidRPr="00D629F5">
        <w:rPr>
          <w:rFonts w:eastAsia="Calibri"/>
          <w:bCs w:val="0"/>
          <w:lang w:val="fr-FR"/>
        </w:rPr>
        <w:t xml:space="preserve"> </w:t>
      </w:r>
    </w:p>
    <w:p w14:paraId="681EAAF9" w14:textId="77777777" w:rsidR="0076015D" w:rsidRPr="00D629F5" w:rsidRDefault="0076015D" w:rsidP="00CF6E6E">
      <w:pPr>
        <w:rPr>
          <w:rFonts w:eastAsia="Calibri"/>
          <w:lang w:val="fr-FR"/>
        </w:rPr>
      </w:pPr>
    </w:p>
    <w:p w14:paraId="11A99156" w14:textId="4E19D41A" w:rsidR="00D23B75" w:rsidRPr="00D629F5" w:rsidRDefault="00B56080" w:rsidP="00A760A4">
      <w:pPr>
        <w:keepNext/>
        <w:keepLines/>
        <w:rPr>
          <w:rFonts w:eastAsia="Calibri"/>
          <w:u w:val="single"/>
          <w:lang w:val="fr-FR"/>
        </w:rPr>
      </w:pPr>
      <w:bookmarkStart w:id="3" w:name="_Hlk181003614"/>
      <w:r w:rsidRPr="00D629F5">
        <w:rPr>
          <w:rFonts w:eastAsia="Calibri"/>
          <w:u w:val="single"/>
          <w:lang w:val="fr-FR"/>
        </w:rPr>
        <w:lastRenderedPageBreak/>
        <w:t xml:space="preserve">Domaine de travail thématique </w:t>
      </w:r>
      <w:bookmarkEnd w:id="3"/>
      <w:r w:rsidR="00F319AD" w:rsidRPr="00D629F5">
        <w:rPr>
          <w:rFonts w:eastAsia="Calibri"/>
          <w:u w:val="single"/>
          <w:lang w:val="fr-FR"/>
        </w:rPr>
        <w:t>2</w:t>
      </w:r>
      <w:r w:rsidRPr="00D629F5">
        <w:rPr>
          <w:rFonts w:eastAsia="Calibri"/>
          <w:u w:val="single"/>
          <w:lang w:val="fr-FR"/>
        </w:rPr>
        <w:t xml:space="preserve"> </w:t>
      </w:r>
      <w:r w:rsidR="00F319AD" w:rsidRPr="00D629F5">
        <w:rPr>
          <w:rFonts w:eastAsia="Calibri"/>
          <w:u w:val="single"/>
          <w:lang w:val="fr-FR"/>
        </w:rPr>
        <w:t xml:space="preserve">: </w:t>
      </w:r>
      <w:r w:rsidRPr="00D629F5">
        <w:rPr>
          <w:rFonts w:eastAsia="Calibri"/>
          <w:u w:val="single"/>
          <w:lang w:val="fr-FR"/>
        </w:rPr>
        <w:t>Outils pour l’évaluation, la cartographie et le suivi, et l’élaboration d’inventaires des zones humides</w:t>
      </w:r>
      <w:r w:rsidR="00F319AD" w:rsidRPr="00D629F5">
        <w:rPr>
          <w:rFonts w:eastAsia="Calibri"/>
          <w:u w:val="single"/>
          <w:lang w:val="fr-FR"/>
        </w:rPr>
        <w:t>.</w:t>
      </w:r>
    </w:p>
    <w:p w14:paraId="313947EA" w14:textId="77777777" w:rsidR="00D23B75" w:rsidRPr="00D629F5" w:rsidRDefault="00D23B75" w:rsidP="00A760A4">
      <w:pPr>
        <w:keepNext/>
        <w:keepLines/>
        <w:rPr>
          <w:rFonts w:eastAsia="Calibri"/>
          <w:lang w:val="fr-FR"/>
        </w:rPr>
      </w:pPr>
    </w:p>
    <w:p w14:paraId="383400FF" w14:textId="4BC1D3B8" w:rsidR="00E32947" w:rsidRPr="00D629F5" w:rsidRDefault="00F319AD" w:rsidP="00A760A4">
      <w:pPr>
        <w:keepNext/>
        <w:keepLines/>
        <w:ind w:left="432" w:hanging="432"/>
        <w:rPr>
          <w:lang w:val="fr-FR"/>
        </w:rPr>
      </w:pPr>
      <w:r w:rsidRPr="00D629F5">
        <w:rPr>
          <w:rFonts w:eastAsia="Calibri"/>
          <w:lang w:val="fr-FR"/>
        </w:rPr>
        <w:t>1</w:t>
      </w:r>
      <w:r w:rsidR="00336E88">
        <w:rPr>
          <w:rFonts w:eastAsia="Calibri"/>
          <w:lang w:val="fr-FR"/>
        </w:rPr>
        <w:t>0</w:t>
      </w:r>
      <w:r w:rsidRPr="00D629F5">
        <w:rPr>
          <w:rFonts w:eastAsia="Calibri"/>
          <w:lang w:val="fr-FR"/>
        </w:rPr>
        <w:t>.</w:t>
      </w:r>
      <w:r w:rsidRPr="00D629F5">
        <w:rPr>
          <w:rFonts w:eastAsia="Calibri"/>
          <w:lang w:val="fr-FR"/>
        </w:rPr>
        <w:tab/>
      </w:r>
      <w:r w:rsidR="00B56080" w:rsidRPr="00D629F5">
        <w:rPr>
          <w:rFonts w:eastAsia="Calibri"/>
          <w:bCs w:val="0"/>
          <w:i/>
          <w:iCs/>
          <w:lang w:val="fr-FR"/>
        </w:rPr>
        <w:t xml:space="preserve">Tâche </w:t>
      </w:r>
      <w:r w:rsidRPr="00D629F5">
        <w:rPr>
          <w:rFonts w:eastAsia="Calibri"/>
          <w:i/>
          <w:iCs/>
          <w:lang w:val="fr-FR"/>
        </w:rPr>
        <w:t xml:space="preserve">2.1. </w:t>
      </w:r>
      <w:r w:rsidR="00B56080" w:rsidRPr="00D629F5">
        <w:rPr>
          <w:rFonts w:eastAsia="Calibri"/>
          <w:i/>
          <w:iCs/>
          <w:lang w:val="fr-FR"/>
        </w:rPr>
        <w:t>Cartographie et inventaires des zones humides afin de catalyser une plus grande utilisation des méthodologies disponibles pour les évaluations du carbone des zones humides </w:t>
      </w:r>
      <w:r w:rsidRPr="00D629F5">
        <w:rPr>
          <w:rFonts w:eastAsia="Calibri"/>
          <w:lang w:val="fr-FR"/>
        </w:rPr>
        <w:t xml:space="preserve">: </w:t>
      </w:r>
      <w:r w:rsidR="00110596" w:rsidRPr="00D629F5">
        <w:rPr>
          <w:rFonts w:eastAsia="Calibri"/>
          <w:lang w:val="fr-FR"/>
        </w:rPr>
        <w:t>Il s’agissait</w:t>
      </w:r>
      <w:r w:rsidR="003E4D97" w:rsidRPr="00D629F5">
        <w:rPr>
          <w:rFonts w:eastAsia="Calibri"/>
          <w:lang w:val="fr-FR"/>
        </w:rPr>
        <w:t xml:space="preserve"> de produire des orientations pour renforcer l’utilité des inventaires nationaux des zones humides dans le cadre des </w:t>
      </w:r>
      <w:r w:rsidR="003C5F4E" w:rsidRPr="00D629F5">
        <w:rPr>
          <w:rFonts w:eastAsia="Calibri"/>
          <w:lang w:val="fr-FR"/>
        </w:rPr>
        <w:t>décomptes nationaux des émissions de gaz à effet de serre</w:t>
      </w:r>
      <w:r w:rsidR="003E4D97" w:rsidRPr="00D629F5">
        <w:rPr>
          <w:rFonts w:eastAsia="Calibri"/>
          <w:lang w:val="fr-FR"/>
        </w:rPr>
        <w:t xml:space="preserve"> (GES) et de</w:t>
      </w:r>
      <w:r w:rsidR="003C5F4E" w:rsidRPr="00D629F5">
        <w:rPr>
          <w:rFonts w:eastAsia="Calibri"/>
          <w:lang w:val="fr-FR"/>
        </w:rPr>
        <w:t>s</w:t>
      </w:r>
      <w:r w:rsidR="003E4D97" w:rsidRPr="00D629F5">
        <w:rPr>
          <w:rFonts w:eastAsia="Calibri"/>
          <w:lang w:val="fr-FR"/>
        </w:rPr>
        <w:t xml:space="preserve"> Contributions déterminées au niveau national (CDN), </w:t>
      </w:r>
      <w:r w:rsidR="003C5F4E" w:rsidRPr="00D629F5">
        <w:rPr>
          <w:rFonts w:eastAsia="Calibri"/>
          <w:lang w:val="fr-FR"/>
        </w:rPr>
        <w:t>et de prendre en compte les</w:t>
      </w:r>
      <w:r w:rsidR="003E4D97" w:rsidRPr="00D629F5">
        <w:rPr>
          <w:rFonts w:eastAsia="Calibri"/>
          <w:lang w:val="fr-FR"/>
        </w:rPr>
        <w:t xml:space="preserve"> facteurs d’émission de différents types de zones humides, d’autres sources de données et contraintes techniques. La tâche est mise en œuvre en coordination avec l’équipe responsable de la tâche 3.2. La tâche 2.1 est en cours, et un Rapport technique est attendu pour la 27</w:t>
      </w:r>
      <w:r w:rsidR="003E4D97" w:rsidRPr="00D629F5">
        <w:rPr>
          <w:rFonts w:eastAsia="Calibri"/>
          <w:vertAlign w:val="superscript"/>
          <w:lang w:val="fr-FR"/>
        </w:rPr>
        <w:t>e</w:t>
      </w:r>
      <w:r w:rsidR="003E4D97" w:rsidRPr="00D629F5">
        <w:rPr>
          <w:rFonts w:eastAsia="Calibri"/>
          <w:lang w:val="fr-FR"/>
        </w:rPr>
        <w:t> réunion du GEST</w:t>
      </w:r>
      <w:r w:rsidR="004B652B" w:rsidRPr="00D629F5">
        <w:rPr>
          <w:rFonts w:eastAsia="Calibri"/>
          <w:lang w:val="fr-FR"/>
        </w:rPr>
        <w:t xml:space="preserve"> (GEST27) du 2 au 6 décembre 2024.</w:t>
      </w:r>
      <w:r w:rsidRPr="00D629F5">
        <w:rPr>
          <w:rFonts w:eastAsia="Calibri"/>
          <w:lang w:val="fr-FR"/>
        </w:rPr>
        <w:t xml:space="preserve"> </w:t>
      </w:r>
    </w:p>
    <w:p w14:paraId="60859C73" w14:textId="77777777" w:rsidR="00366870" w:rsidRPr="00D629F5" w:rsidRDefault="00366870" w:rsidP="00276823">
      <w:pPr>
        <w:ind w:left="432" w:hanging="432"/>
        <w:rPr>
          <w:rFonts w:eastAsia="Calibri"/>
          <w:lang w:val="fr-FR"/>
        </w:rPr>
      </w:pPr>
    </w:p>
    <w:p w14:paraId="0952F6EC" w14:textId="79B73389" w:rsidR="004604B5" w:rsidRPr="00D629F5" w:rsidRDefault="00F319AD" w:rsidP="00B57C22">
      <w:pPr>
        <w:ind w:left="432" w:hanging="432"/>
        <w:rPr>
          <w:rFonts w:eastAsia="Calibri"/>
          <w:lang w:val="fr-FR"/>
        </w:rPr>
      </w:pPr>
      <w:r w:rsidRPr="00D629F5">
        <w:rPr>
          <w:rFonts w:eastAsia="Calibri"/>
          <w:lang w:val="fr-FR"/>
        </w:rPr>
        <w:t>1</w:t>
      </w:r>
      <w:r w:rsidR="00336E88">
        <w:rPr>
          <w:rFonts w:eastAsia="Calibri"/>
          <w:lang w:val="fr-FR"/>
        </w:rPr>
        <w:t>1</w:t>
      </w:r>
      <w:r w:rsidRPr="00D629F5">
        <w:rPr>
          <w:rFonts w:eastAsia="Calibri"/>
          <w:lang w:val="fr-FR"/>
        </w:rPr>
        <w:t>.</w:t>
      </w:r>
      <w:r w:rsidRPr="00D629F5">
        <w:rPr>
          <w:rFonts w:eastAsia="Calibri"/>
          <w:lang w:val="fr-FR"/>
        </w:rPr>
        <w:tab/>
      </w:r>
      <w:r w:rsidR="00B57C22" w:rsidRPr="00D629F5">
        <w:rPr>
          <w:rFonts w:eastAsia="Calibri"/>
          <w:bCs w:val="0"/>
          <w:i/>
          <w:iCs/>
          <w:lang w:val="fr-FR"/>
        </w:rPr>
        <w:t xml:space="preserve">Tâche </w:t>
      </w:r>
      <w:r w:rsidRPr="00D629F5">
        <w:rPr>
          <w:rFonts w:eastAsia="Calibri"/>
          <w:i/>
          <w:iCs/>
          <w:lang w:val="fr-FR"/>
        </w:rPr>
        <w:t>2.2</w:t>
      </w:r>
      <w:r w:rsidR="003E4D97" w:rsidRPr="00D629F5">
        <w:rPr>
          <w:rFonts w:eastAsia="Calibri"/>
          <w:i/>
          <w:iCs/>
          <w:lang w:val="fr-FR"/>
        </w:rPr>
        <w:t>.</w:t>
      </w:r>
      <w:r w:rsidR="00B57C22" w:rsidRPr="00D629F5">
        <w:rPr>
          <w:lang w:val="fr-FR"/>
        </w:rPr>
        <w:t xml:space="preserve"> </w:t>
      </w:r>
      <w:r w:rsidR="00B57C22" w:rsidRPr="00D629F5">
        <w:rPr>
          <w:rFonts w:eastAsia="Calibri"/>
          <w:i/>
          <w:iCs/>
          <w:lang w:val="fr-FR"/>
        </w:rPr>
        <w:t>Préparer des orientations sur les inventaires et la surveillance des petites zones humides et leurs multiples valeurs pour la conservation de la biodiversité, en particulier dans le contexte de la gestion des paysages et du changement climatique.</w:t>
      </w:r>
      <w:r w:rsidRPr="00D629F5">
        <w:rPr>
          <w:rFonts w:eastAsia="Calibri"/>
          <w:lang w:val="fr-FR"/>
        </w:rPr>
        <w:t xml:space="preserve"> </w:t>
      </w:r>
      <w:r w:rsidR="00D53F5D" w:rsidRPr="00D629F5">
        <w:rPr>
          <w:rFonts w:eastAsia="Calibri"/>
          <w:lang w:val="fr-FR"/>
        </w:rPr>
        <w:t xml:space="preserve">Dans le cadre de cette tâche, une Note d’orientation sera publiée afin de sensibiliser à l’importance des petites zones humides pour la biodiversité, la connectivité des habitats </w:t>
      </w:r>
      <w:r w:rsidR="00465C9C" w:rsidRPr="00D629F5">
        <w:rPr>
          <w:rFonts w:eastAsia="Calibri"/>
          <w:lang w:val="fr-FR"/>
        </w:rPr>
        <w:t xml:space="preserve">et la régulation du cycle </w:t>
      </w:r>
      <w:r w:rsidR="00D25FC9" w:rsidRPr="00D629F5">
        <w:rPr>
          <w:rFonts w:eastAsia="Calibri"/>
          <w:lang w:val="fr-FR"/>
        </w:rPr>
        <w:t>hydrologique</w:t>
      </w:r>
      <w:r w:rsidRPr="00D629F5">
        <w:rPr>
          <w:rFonts w:eastAsia="Calibri"/>
          <w:lang w:val="fr-FR"/>
        </w:rPr>
        <w:t xml:space="preserve">, </w:t>
      </w:r>
      <w:r w:rsidR="00D53F5D" w:rsidRPr="00D629F5">
        <w:rPr>
          <w:rFonts w:eastAsia="Calibri"/>
          <w:lang w:val="fr-FR"/>
        </w:rPr>
        <w:t>mettant en évidence leur vulnérabilité au changement climatique. La tâche 2.2 est presque terminée et la Note d’orientation devrait être finalisée par l’équipe avant la 27</w:t>
      </w:r>
      <w:r w:rsidR="00D53F5D" w:rsidRPr="00D629F5">
        <w:rPr>
          <w:rFonts w:eastAsia="Calibri"/>
          <w:vertAlign w:val="superscript"/>
          <w:lang w:val="fr-FR"/>
        </w:rPr>
        <w:t>e</w:t>
      </w:r>
      <w:r w:rsidR="00D53F5D" w:rsidRPr="00D629F5">
        <w:rPr>
          <w:rFonts w:eastAsia="Calibri"/>
          <w:lang w:val="fr-FR"/>
        </w:rPr>
        <w:t xml:space="preserve"> réunion du GEST. </w:t>
      </w:r>
    </w:p>
    <w:p w14:paraId="37C9F3B3" w14:textId="77777777" w:rsidR="004604B5" w:rsidRPr="00D629F5" w:rsidRDefault="004604B5" w:rsidP="00B57C22">
      <w:pPr>
        <w:ind w:left="432" w:hanging="432"/>
        <w:rPr>
          <w:rFonts w:eastAsia="Calibri"/>
          <w:lang w:val="fr-FR"/>
        </w:rPr>
      </w:pPr>
    </w:p>
    <w:p w14:paraId="722A37D3" w14:textId="751AE507" w:rsidR="009C4137" w:rsidRPr="00D629F5" w:rsidRDefault="00B57C22" w:rsidP="00CF6E6E">
      <w:pPr>
        <w:rPr>
          <w:rFonts w:eastAsia="Calibri"/>
          <w:u w:val="single"/>
          <w:lang w:val="fr-FR"/>
        </w:rPr>
      </w:pPr>
      <w:bookmarkStart w:id="4" w:name="_Hlk181003672"/>
      <w:r w:rsidRPr="00D629F5">
        <w:rPr>
          <w:rFonts w:eastAsia="Calibri"/>
          <w:u w:val="single"/>
          <w:lang w:val="fr-FR"/>
        </w:rPr>
        <w:t xml:space="preserve">Domaine de travail thématique </w:t>
      </w:r>
      <w:bookmarkEnd w:id="4"/>
      <w:r w:rsidR="00F319AD" w:rsidRPr="00D629F5">
        <w:rPr>
          <w:rFonts w:eastAsia="Calibri"/>
          <w:u w:val="single"/>
          <w:lang w:val="fr-FR"/>
        </w:rPr>
        <w:t>3</w:t>
      </w:r>
      <w:r w:rsidRPr="00D629F5">
        <w:rPr>
          <w:rFonts w:eastAsia="Calibri"/>
          <w:u w:val="single"/>
          <w:lang w:val="fr-FR"/>
        </w:rPr>
        <w:t xml:space="preserve"> </w:t>
      </w:r>
      <w:r w:rsidR="00F319AD" w:rsidRPr="00D629F5">
        <w:rPr>
          <w:rFonts w:eastAsia="Calibri"/>
          <w:u w:val="single"/>
          <w:lang w:val="fr-FR"/>
        </w:rPr>
        <w:t xml:space="preserve">: </w:t>
      </w:r>
      <w:r w:rsidRPr="00D629F5">
        <w:rPr>
          <w:rFonts w:eastAsia="Calibri"/>
          <w:u w:val="single"/>
          <w:lang w:val="fr-FR"/>
        </w:rPr>
        <w:t>Les pressions directes et liées aux changements climatiques sur les zones humides, les effets et les réponses</w:t>
      </w:r>
      <w:r w:rsidR="00F319AD" w:rsidRPr="00D629F5">
        <w:rPr>
          <w:rFonts w:eastAsia="Calibri"/>
          <w:u w:val="single"/>
          <w:lang w:val="fr-FR"/>
        </w:rPr>
        <w:t>.</w:t>
      </w:r>
    </w:p>
    <w:p w14:paraId="36FAF569" w14:textId="77777777" w:rsidR="00AC0792" w:rsidRPr="00D629F5" w:rsidRDefault="00AC0792" w:rsidP="00CF6E6E">
      <w:pPr>
        <w:rPr>
          <w:rFonts w:eastAsia="Calibri"/>
          <w:lang w:val="fr-FR"/>
        </w:rPr>
      </w:pPr>
    </w:p>
    <w:p w14:paraId="4F6101CB" w14:textId="4F443411" w:rsidR="005C4ED4" w:rsidRPr="00D629F5" w:rsidRDefault="00F319AD" w:rsidP="00B57C22">
      <w:pPr>
        <w:ind w:left="432" w:hanging="432"/>
        <w:rPr>
          <w:rFonts w:eastAsia="Calibri"/>
          <w:bCs w:val="0"/>
          <w:lang w:val="fr-FR"/>
        </w:rPr>
      </w:pPr>
      <w:r w:rsidRPr="00D629F5">
        <w:rPr>
          <w:rFonts w:eastAsia="Calibri"/>
          <w:lang w:val="fr-FR"/>
        </w:rPr>
        <w:t>1</w:t>
      </w:r>
      <w:r w:rsidR="00336E88">
        <w:rPr>
          <w:rFonts w:eastAsia="Calibri"/>
          <w:lang w:val="fr-FR"/>
        </w:rPr>
        <w:t>2</w:t>
      </w:r>
      <w:r w:rsidRPr="00D629F5">
        <w:rPr>
          <w:rFonts w:eastAsia="Calibri"/>
          <w:lang w:val="fr-FR"/>
        </w:rPr>
        <w:t>.</w:t>
      </w:r>
      <w:r w:rsidRPr="00D629F5">
        <w:rPr>
          <w:rFonts w:eastAsia="Calibri"/>
          <w:lang w:val="fr-FR"/>
        </w:rPr>
        <w:tab/>
      </w:r>
      <w:r w:rsidR="00B57C22" w:rsidRPr="00D629F5">
        <w:rPr>
          <w:rFonts w:eastAsia="Calibri"/>
          <w:bCs w:val="0"/>
          <w:i/>
          <w:iCs/>
          <w:lang w:val="fr-FR"/>
        </w:rPr>
        <w:t xml:space="preserve">Tâche </w:t>
      </w:r>
      <w:r w:rsidRPr="00D629F5">
        <w:rPr>
          <w:rFonts w:eastAsia="Calibri"/>
          <w:bCs w:val="0"/>
          <w:i/>
          <w:iCs/>
          <w:lang w:val="fr-FR"/>
        </w:rPr>
        <w:t xml:space="preserve">3.1. </w:t>
      </w:r>
      <w:r w:rsidR="00B57C22" w:rsidRPr="00D629F5">
        <w:rPr>
          <w:rFonts w:eastAsia="Calibri"/>
          <w:bCs w:val="0"/>
          <w:i/>
          <w:iCs/>
          <w:lang w:val="fr-FR"/>
        </w:rPr>
        <w:t xml:space="preserve">Changement climatique et zones humides - informations actualisées sur les effets actuels et prévus du changement climatique sur les zones humides de la planète et sur les réponses à y apporter </w:t>
      </w:r>
      <w:r w:rsidRPr="00D629F5">
        <w:rPr>
          <w:rFonts w:eastAsia="Calibri"/>
          <w:bCs w:val="0"/>
          <w:lang w:val="fr-FR"/>
        </w:rPr>
        <w:t xml:space="preserve">: </w:t>
      </w:r>
      <w:r w:rsidR="00BA2266" w:rsidRPr="00D629F5">
        <w:rPr>
          <w:rFonts w:eastAsia="Calibri"/>
          <w:bCs w:val="0"/>
          <w:lang w:val="fr-FR"/>
        </w:rPr>
        <w:t>I</w:t>
      </w:r>
      <w:r w:rsidR="00D25FC9" w:rsidRPr="00D629F5">
        <w:rPr>
          <w:rFonts w:eastAsia="Calibri"/>
          <w:bCs w:val="0"/>
          <w:lang w:val="fr-FR"/>
        </w:rPr>
        <w:t>l s’agit</w:t>
      </w:r>
      <w:r w:rsidR="003168EC" w:rsidRPr="00D629F5">
        <w:rPr>
          <w:rFonts w:eastAsia="Calibri"/>
          <w:bCs w:val="0"/>
          <w:lang w:val="fr-FR"/>
        </w:rPr>
        <w:t xml:space="preserve"> de faire la synthèse de l’information technique sur les zones humides contenu</w:t>
      </w:r>
      <w:r w:rsidR="00D25FC9" w:rsidRPr="00D629F5">
        <w:rPr>
          <w:rFonts w:eastAsia="Calibri"/>
          <w:bCs w:val="0"/>
          <w:lang w:val="fr-FR"/>
        </w:rPr>
        <w:t>e</w:t>
      </w:r>
      <w:r w:rsidR="003168EC" w:rsidRPr="00D629F5">
        <w:rPr>
          <w:rFonts w:eastAsia="Calibri"/>
          <w:bCs w:val="0"/>
          <w:lang w:val="fr-FR"/>
        </w:rPr>
        <w:t xml:space="preserve"> dans le 6</w:t>
      </w:r>
      <w:r w:rsidR="003168EC" w:rsidRPr="00D629F5">
        <w:rPr>
          <w:rFonts w:eastAsia="Calibri"/>
          <w:bCs w:val="0"/>
          <w:vertAlign w:val="superscript"/>
          <w:lang w:val="fr-FR"/>
        </w:rPr>
        <w:t>e</w:t>
      </w:r>
      <w:r w:rsidR="003168EC" w:rsidRPr="00D629F5">
        <w:rPr>
          <w:rFonts w:eastAsia="Calibri"/>
          <w:bCs w:val="0"/>
          <w:lang w:val="fr-FR"/>
        </w:rPr>
        <w:t xml:space="preserve"> Rapport d’évaluation du </w:t>
      </w:r>
      <w:r w:rsidR="001F045A" w:rsidRPr="00D629F5">
        <w:rPr>
          <w:rFonts w:eastAsia="Calibri"/>
          <w:bCs w:val="0"/>
          <w:lang w:val="fr-FR"/>
        </w:rPr>
        <w:t>Groupe d'experts intergouvernemental sur l’évolution du climat (</w:t>
      </w:r>
      <w:r w:rsidR="003168EC" w:rsidRPr="00D629F5">
        <w:rPr>
          <w:rFonts w:eastAsia="Calibri"/>
          <w:bCs w:val="0"/>
          <w:lang w:val="fr-FR"/>
        </w:rPr>
        <w:t>GIEC</w:t>
      </w:r>
      <w:r w:rsidR="001F045A" w:rsidRPr="00D629F5">
        <w:rPr>
          <w:rFonts w:eastAsia="Calibri"/>
          <w:bCs w:val="0"/>
          <w:lang w:val="fr-FR"/>
        </w:rPr>
        <w:t>)</w:t>
      </w:r>
      <w:r w:rsidR="003168EC" w:rsidRPr="00D629F5">
        <w:rPr>
          <w:rFonts w:eastAsia="Calibri"/>
          <w:bCs w:val="0"/>
          <w:lang w:val="fr-FR"/>
        </w:rPr>
        <w:t xml:space="preserve">, en se concentrant sur les effets des changements climatiques et les stratégies d’adaptation. </w:t>
      </w:r>
      <w:r w:rsidR="009C68B7" w:rsidRPr="00D629F5">
        <w:rPr>
          <w:rFonts w:eastAsia="Calibri"/>
          <w:bCs w:val="0"/>
          <w:lang w:val="fr-FR"/>
        </w:rPr>
        <w:t>Cette tâche est</w:t>
      </w:r>
      <w:r w:rsidR="003168EC" w:rsidRPr="00D629F5">
        <w:rPr>
          <w:rFonts w:eastAsia="Calibri"/>
          <w:bCs w:val="0"/>
          <w:lang w:val="fr-FR"/>
        </w:rPr>
        <w:t xml:space="preserve"> parallèle à la tâche 2.1 et tient compte des </w:t>
      </w:r>
      <w:r w:rsidR="009C68B7" w:rsidRPr="00D629F5">
        <w:rPr>
          <w:rFonts w:eastAsia="Calibri"/>
          <w:bCs w:val="0"/>
          <w:lang w:val="fr-FR"/>
        </w:rPr>
        <w:t>résultats</w:t>
      </w:r>
      <w:r w:rsidR="003168EC" w:rsidRPr="00D629F5">
        <w:rPr>
          <w:rFonts w:eastAsia="Calibri"/>
          <w:bCs w:val="0"/>
          <w:lang w:val="fr-FR"/>
        </w:rPr>
        <w:t xml:space="preserve"> de différents rapports mondiaux. La tâche 3.1 est en cours et une Note d’information devrait être produite </w:t>
      </w:r>
      <w:r w:rsidR="009C68B7" w:rsidRPr="00D629F5">
        <w:rPr>
          <w:rFonts w:eastAsia="Calibri"/>
          <w:bCs w:val="0"/>
          <w:lang w:val="fr-FR"/>
        </w:rPr>
        <w:t xml:space="preserve">en vue </w:t>
      </w:r>
      <w:r w:rsidR="003168EC" w:rsidRPr="00D629F5">
        <w:rPr>
          <w:rFonts w:eastAsia="Calibri"/>
          <w:bCs w:val="0"/>
          <w:lang w:val="fr-FR"/>
        </w:rPr>
        <w:t>de la 27</w:t>
      </w:r>
      <w:r w:rsidR="003168EC" w:rsidRPr="00D629F5">
        <w:rPr>
          <w:rFonts w:eastAsia="Calibri"/>
          <w:bCs w:val="0"/>
          <w:vertAlign w:val="superscript"/>
          <w:lang w:val="fr-FR"/>
        </w:rPr>
        <w:t>e</w:t>
      </w:r>
      <w:r w:rsidR="003168EC" w:rsidRPr="00D629F5">
        <w:rPr>
          <w:rFonts w:eastAsia="Calibri"/>
          <w:bCs w:val="0"/>
          <w:lang w:val="fr-FR"/>
        </w:rPr>
        <w:t xml:space="preserve"> réunion du GEST. </w:t>
      </w:r>
      <w:r w:rsidR="007D77A0" w:rsidRPr="00D629F5">
        <w:rPr>
          <w:rFonts w:eastAsia="Calibri"/>
          <w:bCs w:val="0"/>
          <w:lang w:val="fr-FR"/>
        </w:rPr>
        <w:t xml:space="preserve"> </w:t>
      </w:r>
    </w:p>
    <w:p w14:paraId="484D6546" w14:textId="77777777" w:rsidR="00365F17" w:rsidRPr="00D629F5" w:rsidRDefault="00365F17" w:rsidP="00276823">
      <w:pPr>
        <w:rPr>
          <w:rFonts w:eastAsia="Calibri"/>
          <w:lang w:val="fr-FR"/>
        </w:rPr>
      </w:pPr>
    </w:p>
    <w:p w14:paraId="5C3309EA" w14:textId="1A307ED8" w:rsidR="00365F17" w:rsidRPr="00D629F5" w:rsidRDefault="00F319AD" w:rsidP="00365F17">
      <w:pPr>
        <w:ind w:left="432" w:hanging="432"/>
        <w:rPr>
          <w:rFonts w:eastAsia="Calibri"/>
          <w:bCs w:val="0"/>
          <w:lang w:val="fr-FR"/>
        </w:rPr>
      </w:pPr>
      <w:r w:rsidRPr="00D629F5">
        <w:rPr>
          <w:rFonts w:eastAsia="Calibri"/>
          <w:lang w:val="fr-FR"/>
        </w:rPr>
        <w:t>1</w:t>
      </w:r>
      <w:r w:rsidR="00336E88">
        <w:rPr>
          <w:rFonts w:eastAsia="Calibri"/>
          <w:lang w:val="fr-FR"/>
        </w:rPr>
        <w:t>3</w:t>
      </w:r>
      <w:r w:rsidRPr="00D629F5">
        <w:rPr>
          <w:rFonts w:eastAsia="Calibri"/>
          <w:lang w:val="fr-FR"/>
        </w:rPr>
        <w:t>.</w:t>
      </w:r>
      <w:r w:rsidRPr="00D629F5">
        <w:rPr>
          <w:rFonts w:eastAsia="Calibri"/>
          <w:lang w:val="fr-FR"/>
        </w:rPr>
        <w:tab/>
      </w:r>
      <w:r w:rsidR="00B57C22" w:rsidRPr="00D629F5">
        <w:rPr>
          <w:rFonts w:eastAsia="Calibri"/>
          <w:bCs w:val="0"/>
          <w:i/>
          <w:iCs/>
          <w:lang w:val="fr-FR"/>
        </w:rPr>
        <w:t xml:space="preserve">Tâche </w:t>
      </w:r>
      <w:r w:rsidRPr="00D629F5">
        <w:rPr>
          <w:rFonts w:eastAsia="Calibri"/>
          <w:bCs w:val="0"/>
          <w:i/>
          <w:iCs/>
          <w:lang w:val="fr-FR"/>
        </w:rPr>
        <w:t>3.2</w:t>
      </w:r>
      <w:r w:rsidR="00B57C22" w:rsidRPr="00D629F5">
        <w:rPr>
          <w:rFonts w:eastAsia="Calibri"/>
          <w:bCs w:val="0"/>
          <w:i/>
          <w:iCs/>
          <w:lang w:val="fr-FR"/>
        </w:rPr>
        <w:t>.</w:t>
      </w:r>
      <w:r w:rsidRPr="00D629F5">
        <w:rPr>
          <w:rFonts w:eastAsia="Calibri"/>
          <w:bCs w:val="0"/>
          <w:i/>
          <w:iCs/>
          <w:lang w:val="fr-FR"/>
        </w:rPr>
        <w:t xml:space="preserve"> </w:t>
      </w:r>
      <w:r w:rsidR="00B57C22" w:rsidRPr="00D629F5">
        <w:rPr>
          <w:rFonts w:eastAsia="Calibri"/>
          <w:i/>
          <w:iCs/>
          <w:lang w:val="fr-FR"/>
        </w:rPr>
        <w:t>Orientations, données et modèles sur le carbone bleu et appui à l’intégration du carbone bleu dans les cadres de planification de la lutte contre les changements climatiques </w:t>
      </w:r>
      <w:r w:rsidRPr="00D629F5">
        <w:rPr>
          <w:rFonts w:eastAsia="Calibri"/>
          <w:bCs w:val="0"/>
          <w:lang w:val="fr-FR"/>
        </w:rPr>
        <w:t xml:space="preserve">: </w:t>
      </w:r>
    </w:p>
    <w:p w14:paraId="306B003D" w14:textId="77777777" w:rsidR="0063785A" w:rsidRPr="00D629F5" w:rsidRDefault="00B57C22" w:rsidP="00332D1A">
      <w:pPr>
        <w:pStyle w:val="ListParagraph"/>
        <w:numPr>
          <w:ilvl w:val="0"/>
          <w:numId w:val="2"/>
        </w:numPr>
        <w:ind w:left="720" w:hanging="270"/>
        <w:rPr>
          <w:rFonts w:eastAsia="Calibri"/>
          <w:bCs w:val="0"/>
          <w:lang w:val="fr-FR"/>
        </w:rPr>
      </w:pPr>
      <w:r w:rsidRPr="00D629F5">
        <w:rPr>
          <w:rFonts w:eastAsia="Calibri"/>
          <w:bCs w:val="0"/>
          <w:i/>
          <w:iCs/>
          <w:lang w:val="fr-FR"/>
        </w:rPr>
        <w:t xml:space="preserve">Tâche </w:t>
      </w:r>
      <w:r w:rsidR="00F319AD" w:rsidRPr="00D629F5">
        <w:rPr>
          <w:rFonts w:eastAsia="Calibri"/>
          <w:bCs w:val="0"/>
          <w:i/>
          <w:iCs/>
          <w:lang w:val="fr-FR"/>
        </w:rPr>
        <w:t xml:space="preserve">3.2 a). </w:t>
      </w:r>
      <w:r w:rsidRPr="00D629F5">
        <w:rPr>
          <w:rFonts w:eastAsia="Calibri"/>
          <w:bCs w:val="0"/>
          <w:i/>
          <w:iCs/>
          <w:lang w:val="fr-FR"/>
        </w:rPr>
        <w:t xml:space="preserve">Élaboration d’orientations sur la priorisation des écosystèmes côtiers de carbone bleu </w:t>
      </w:r>
      <w:r w:rsidR="0063785A" w:rsidRPr="00D629F5">
        <w:rPr>
          <w:rFonts w:eastAsia="Calibri"/>
          <w:bCs w:val="0"/>
          <w:i/>
          <w:iCs/>
          <w:lang w:val="fr-FR"/>
        </w:rPr>
        <w:t>en vue de les conserver et les restaurer</w:t>
      </w:r>
      <w:r w:rsidR="00F319AD" w:rsidRPr="00D629F5">
        <w:rPr>
          <w:rFonts w:eastAsia="Calibri"/>
          <w:bCs w:val="0"/>
          <w:lang w:val="fr-FR"/>
        </w:rPr>
        <w:t xml:space="preserve">. </w:t>
      </w:r>
      <w:r w:rsidR="00C741D5" w:rsidRPr="00D629F5">
        <w:rPr>
          <w:rFonts w:eastAsia="Calibri"/>
          <w:bCs w:val="0"/>
          <w:lang w:val="fr-FR"/>
        </w:rPr>
        <w:t xml:space="preserve">Cette tâche porte sur les écosystèmes côtiers de carbone bleu tels que les mangroves, les herbiers marins et les marais/marais salés intertidaux. </w:t>
      </w:r>
      <w:r w:rsidR="005D11A9" w:rsidRPr="00D629F5">
        <w:rPr>
          <w:rFonts w:eastAsia="Calibri"/>
          <w:bCs w:val="0"/>
          <w:lang w:val="fr-FR"/>
        </w:rPr>
        <w:t xml:space="preserve">Une étude théorique est en cours </w:t>
      </w:r>
      <w:r w:rsidR="0063785A" w:rsidRPr="00D629F5">
        <w:rPr>
          <w:rFonts w:eastAsia="Calibri"/>
          <w:bCs w:val="0"/>
          <w:lang w:val="fr-FR"/>
        </w:rPr>
        <w:t>qui évalue</w:t>
      </w:r>
      <w:r w:rsidR="005D11A9" w:rsidRPr="00D629F5">
        <w:rPr>
          <w:rFonts w:eastAsia="Calibri"/>
          <w:bCs w:val="0"/>
          <w:lang w:val="fr-FR"/>
        </w:rPr>
        <w:t xml:space="preserve"> les méthodes et orientations </w:t>
      </w:r>
      <w:r w:rsidR="0063785A" w:rsidRPr="00D629F5">
        <w:rPr>
          <w:rFonts w:eastAsia="Calibri"/>
          <w:bCs w:val="0"/>
          <w:lang w:val="fr-FR"/>
        </w:rPr>
        <w:t xml:space="preserve">existantes permettant de prioriser les </w:t>
      </w:r>
      <w:r w:rsidR="005D11A9" w:rsidRPr="00D629F5">
        <w:rPr>
          <w:rFonts w:eastAsia="Calibri"/>
          <w:bCs w:val="0"/>
          <w:lang w:val="fr-FR"/>
        </w:rPr>
        <w:t xml:space="preserve">écosystèmes de carbone bleu </w:t>
      </w:r>
      <w:r w:rsidR="0063785A" w:rsidRPr="00D629F5">
        <w:rPr>
          <w:rFonts w:eastAsia="Calibri"/>
          <w:bCs w:val="0"/>
          <w:lang w:val="fr-FR"/>
        </w:rPr>
        <w:t>en vue de leur</w:t>
      </w:r>
      <w:r w:rsidR="005D11A9" w:rsidRPr="00D629F5">
        <w:rPr>
          <w:rFonts w:eastAsia="Calibri"/>
          <w:bCs w:val="0"/>
          <w:lang w:val="fr-FR"/>
        </w:rPr>
        <w:t xml:space="preserve"> conservation et </w:t>
      </w:r>
      <w:r w:rsidR="0063785A" w:rsidRPr="00D629F5">
        <w:rPr>
          <w:rFonts w:eastAsia="Calibri"/>
          <w:bCs w:val="0"/>
          <w:lang w:val="fr-FR"/>
        </w:rPr>
        <w:t>de leur</w:t>
      </w:r>
      <w:r w:rsidR="005D11A9" w:rsidRPr="00D629F5">
        <w:rPr>
          <w:rFonts w:eastAsia="Calibri"/>
          <w:bCs w:val="0"/>
          <w:lang w:val="fr-FR"/>
        </w:rPr>
        <w:t xml:space="preserve"> restauration.</w:t>
      </w:r>
    </w:p>
    <w:p w14:paraId="2D104DE5" w14:textId="44ACB365" w:rsidR="00365F17" w:rsidRPr="00D629F5" w:rsidRDefault="00F319AD" w:rsidP="0063785A">
      <w:pPr>
        <w:pStyle w:val="ListParagraph"/>
        <w:rPr>
          <w:rFonts w:eastAsia="Calibri"/>
          <w:bCs w:val="0"/>
          <w:lang w:val="fr-FR"/>
        </w:rPr>
      </w:pPr>
      <w:r w:rsidRPr="00D629F5">
        <w:rPr>
          <w:rFonts w:eastAsia="Calibri"/>
          <w:bCs w:val="0"/>
          <w:lang w:val="fr-FR"/>
        </w:rPr>
        <w:t xml:space="preserve"> </w:t>
      </w:r>
    </w:p>
    <w:p w14:paraId="06AC2DD2" w14:textId="77777777" w:rsidR="00203298" w:rsidRPr="00D629F5" w:rsidRDefault="00B57C22" w:rsidP="00332D1A">
      <w:pPr>
        <w:pStyle w:val="ListParagraph"/>
        <w:numPr>
          <w:ilvl w:val="0"/>
          <w:numId w:val="2"/>
        </w:numPr>
        <w:ind w:left="851" w:hanging="284"/>
        <w:rPr>
          <w:rFonts w:eastAsia="Calibri"/>
          <w:bCs w:val="0"/>
          <w:lang w:val="fr-FR"/>
        </w:rPr>
      </w:pPr>
      <w:r w:rsidRPr="00D629F5">
        <w:rPr>
          <w:rFonts w:eastAsia="Calibri"/>
          <w:bCs w:val="0"/>
          <w:i/>
          <w:iCs/>
          <w:lang w:val="fr-FR"/>
        </w:rPr>
        <w:lastRenderedPageBreak/>
        <w:t xml:space="preserve">Tâche </w:t>
      </w:r>
      <w:r w:rsidR="00F319AD" w:rsidRPr="00D629F5">
        <w:rPr>
          <w:rFonts w:eastAsia="Calibri"/>
          <w:bCs w:val="0"/>
          <w:i/>
          <w:iCs/>
          <w:lang w:val="fr-FR"/>
        </w:rPr>
        <w:t xml:space="preserve">3.2 b). </w:t>
      </w:r>
      <w:r w:rsidRPr="00D629F5">
        <w:rPr>
          <w:rFonts w:eastAsia="Calibri"/>
          <w:i/>
          <w:iCs/>
          <w:lang w:val="fr-FR"/>
        </w:rPr>
        <w:t>Compilation et examen des données et modèles sur les stocks et les flux de carbone</w:t>
      </w:r>
      <w:r w:rsidR="00F319AD" w:rsidRPr="00D629F5">
        <w:rPr>
          <w:rFonts w:eastAsia="Calibri"/>
          <w:bCs w:val="0"/>
          <w:lang w:val="fr-FR"/>
        </w:rPr>
        <w:t xml:space="preserve">. </w:t>
      </w:r>
      <w:r w:rsidR="00DF11E6" w:rsidRPr="00D629F5">
        <w:rPr>
          <w:rFonts w:eastAsia="Calibri"/>
          <w:bCs w:val="0"/>
          <w:lang w:val="fr-FR"/>
        </w:rPr>
        <w:t>La tâche consiste à examiner les stocks, émissions et dynamiques du carbone dans les écosystèmes de carbone bleu côtiers</w:t>
      </w:r>
      <w:r w:rsidR="0063785A" w:rsidRPr="00D629F5">
        <w:rPr>
          <w:rFonts w:eastAsia="Calibri"/>
          <w:bCs w:val="0"/>
          <w:lang w:val="fr-FR"/>
        </w:rPr>
        <w:t>, plus</w:t>
      </w:r>
      <w:r w:rsidR="00DF11E6" w:rsidRPr="00D629F5">
        <w:rPr>
          <w:rFonts w:eastAsia="Calibri"/>
          <w:bCs w:val="0"/>
          <w:lang w:val="fr-FR"/>
        </w:rPr>
        <w:t xml:space="preserve"> particulièrement les mangroves, les marais salés et les herbiers marins</w:t>
      </w:r>
      <w:r w:rsidR="0063785A" w:rsidRPr="00D629F5">
        <w:rPr>
          <w:rFonts w:eastAsia="Calibri"/>
          <w:bCs w:val="0"/>
          <w:lang w:val="fr-FR"/>
        </w:rPr>
        <w:t xml:space="preserve"> mais sans oublier</w:t>
      </w:r>
      <w:r w:rsidR="00DF11E6" w:rsidRPr="00D629F5">
        <w:rPr>
          <w:rFonts w:eastAsia="Calibri"/>
          <w:bCs w:val="0"/>
          <w:lang w:val="fr-FR"/>
        </w:rPr>
        <w:t xml:space="preserve"> les vasières</w:t>
      </w:r>
      <w:r w:rsidR="004E69C4" w:rsidRPr="00D629F5">
        <w:rPr>
          <w:rFonts w:eastAsia="Calibri"/>
          <w:bCs w:val="0"/>
          <w:lang w:val="fr-FR"/>
        </w:rPr>
        <w:t xml:space="preserve"> et d’autres écosystèmes de carbone bleu côtiers</w:t>
      </w:r>
      <w:r w:rsidR="00DF11E6" w:rsidRPr="00D629F5">
        <w:rPr>
          <w:rFonts w:eastAsia="Calibri"/>
          <w:bCs w:val="0"/>
          <w:lang w:val="fr-FR"/>
        </w:rPr>
        <w:t xml:space="preserve">. Ces travaux </w:t>
      </w:r>
      <w:r w:rsidR="004E69C4" w:rsidRPr="00D629F5">
        <w:rPr>
          <w:rFonts w:eastAsia="Calibri"/>
          <w:bCs w:val="0"/>
          <w:lang w:val="fr-FR"/>
        </w:rPr>
        <w:t>ont pour vocation de</w:t>
      </w:r>
      <w:r w:rsidR="00DF11E6" w:rsidRPr="00D629F5">
        <w:rPr>
          <w:rFonts w:eastAsia="Calibri"/>
          <w:bCs w:val="0"/>
          <w:lang w:val="fr-FR"/>
        </w:rPr>
        <w:t xml:space="preserve"> contribuer à d’éventuelles mises à jour futures du Supplément zones humides</w:t>
      </w:r>
      <w:r w:rsidR="0038466A" w:rsidRPr="00D629F5">
        <w:rPr>
          <w:rFonts w:eastAsia="Calibri"/>
          <w:bCs w:val="0"/>
          <w:lang w:val="fr-FR"/>
        </w:rPr>
        <w:t xml:space="preserve"> du GIEC</w:t>
      </w:r>
      <w:r w:rsidR="00DF11E6" w:rsidRPr="00D629F5">
        <w:rPr>
          <w:rFonts w:eastAsia="Calibri"/>
          <w:bCs w:val="0"/>
          <w:lang w:val="fr-FR"/>
        </w:rPr>
        <w:t xml:space="preserve">, </w:t>
      </w:r>
      <w:r w:rsidR="0038466A" w:rsidRPr="00D629F5">
        <w:rPr>
          <w:rFonts w:eastAsia="Calibri"/>
          <w:bCs w:val="0"/>
          <w:lang w:val="fr-FR"/>
        </w:rPr>
        <w:t>pour s’assurer</w:t>
      </w:r>
      <w:r w:rsidR="00DF11E6" w:rsidRPr="00D629F5">
        <w:rPr>
          <w:rFonts w:eastAsia="Calibri"/>
          <w:bCs w:val="0"/>
          <w:lang w:val="fr-FR"/>
        </w:rPr>
        <w:t xml:space="preserve"> que les modèles relatifs au carbone mondial reflètent les dernières données et analyses sur les écosystèmes de carbone bleu.</w:t>
      </w:r>
    </w:p>
    <w:p w14:paraId="16667BA0" w14:textId="77777777" w:rsidR="00203298" w:rsidRPr="00D629F5" w:rsidRDefault="00203298" w:rsidP="00203298">
      <w:pPr>
        <w:pStyle w:val="ListParagraph"/>
        <w:rPr>
          <w:rFonts w:eastAsia="Calibri"/>
          <w:bCs w:val="0"/>
          <w:lang w:val="fr-FR"/>
        </w:rPr>
      </w:pPr>
    </w:p>
    <w:p w14:paraId="23445426" w14:textId="446A4090" w:rsidR="00D23B75" w:rsidRPr="00D629F5" w:rsidRDefault="00DF11E6" w:rsidP="00276823">
      <w:pPr>
        <w:ind w:left="450"/>
        <w:rPr>
          <w:rFonts w:eastAsia="Calibri"/>
          <w:bCs w:val="0"/>
          <w:lang w:val="fr-FR"/>
        </w:rPr>
      </w:pPr>
      <w:r w:rsidRPr="00D629F5">
        <w:rPr>
          <w:rFonts w:eastAsia="Calibri"/>
          <w:bCs w:val="0"/>
          <w:lang w:val="fr-FR"/>
        </w:rPr>
        <w:t xml:space="preserve">Les deux tâches sont conduites en </w:t>
      </w:r>
      <w:r w:rsidR="0038466A" w:rsidRPr="00D629F5">
        <w:rPr>
          <w:rFonts w:eastAsia="Calibri"/>
          <w:bCs w:val="0"/>
          <w:lang w:val="fr-FR"/>
        </w:rPr>
        <w:t>collaboration</w:t>
      </w:r>
      <w:r w:rsidRPr="00D629F5">
        <w:rPr>
          <w:rFonts w:eastAsia="Calibri"/>
          <w:bCs w:val="0"/>
          <w:lang w:val="fr-FR"/>
        </w:rPr>
        <w:t xml:space="preserve"> étroite avec l’équipe responsable de la tâche 2.1. Une Note d’information (</w:t>
      </w:r>
      <w:r w:rsidR="003E0B65" w:rsidRPr="00D629F5">
        <w:rPr>
          <w:rFonts w:eastAsia="Calibri"/>
          <w:bCs w:val="0"/>
          <w:lang w:val="fr-FR"/>
        </w:rPr>
        <w:t>t</w:t>
      </w:r>
      <w:r w:rsidRPr="00D629F5">
        <w:rPr>
          <w:rFonts w:eastAsia="Calibri"/>
          <w:bCs w:val="0"/>
          <w:lang w:val="fr-FR"/>
        </w:rPr>
        <w:t>âche 3.2.a) ainsi qu’un Rapport technique et une Note d’orientation (</w:t>
      </w:r>
      <w:r w:rsidR="003E0B65" w:rsidRPr="00D629F5">
        <w:rPr>
          <w:rFonts w:eastAsia="Calibri"/>
          <w:bCs w:val="0"/>
          <w:lang w:val="fr-FR"/>
        </w:rPr>
        <w:t>t</w:t>
      </w:r>
      <w:r w:rsidRPr="00D629F5">
        <w:rPr>
          <w:rFonts w:eastAsia="Calibri"/>
          <w:bCs w:val="0"/>
          <w:lang w:val="fr-FR"/>
        </w:rPr>
        <w:t xml:space="preserve">âche 3.2.b) </w:t>
      </w:r>
      <w:r w:rsidR="003E0B65" w:rsidRPr="00D629F5">
        <w:rPr>
          <w:rFonts w:eastAsia="Calibri"/>
          <w:bCs w:val="0"/>
          <w:lang w:val="fr-FR"/>
        </w:rPr>
        <w:t>sont en préparation.</w:t>
      </w:r>
      <w:r w:rsidR="00F319AD" w:rsidRPr="00D629F5">
        <w:rPr>
          <w:rFonts w:eastAsia="Calibri"/>
          <w:bCs w:val="0"/>
          <w:lang w:val="fr-FR"/>
        </w:rPr>
        <w:t xml:space="preserve"> </w:t>
      </w:r>
    </w:p>
    <w:p w14:paraId="0F5D08D4" w14:textId="77777777" w:rsidR="00171F09" w:rsidRPr="00D629F5" w:rsidRDefault="00171F09" w:rsidP="002867AE">
      <w:pPr>
        <w:ind w:left="432" w:hanging="432"/>
        <w:rPr>
          <w:rFonts w:eastAsia="Calibri"/>
          <w:bCs w:val="0"/>
          <w:lang w:val="fr-FR"/>
        </w:rPr>
      </w:pPr>
    </w:p>
    <w:p w14:paraId="4C15EF85" w14:textId="0E3CE1E7" w:rsidR="00AC0792" w:rsidRPr="00D629F5" w:rsidRDefault="00F319AD" w:rsidP="00276823">
      <w:pPr>
        <w:ind w:left="432" w:hanging="432"/>
        <w:rPr>
          <w:rFonts w:eastAsia="Calibri"/>
          <w:lang w:val="fr-FR"/>
        </w:rPr>
      </w:pPr>
      <w:r w:rsidRPr="00D629F5">
        <w:rPr>
          <w:rFonts w:eastAsia="Calibri"/>
          <w:lang w:val="fr-FR"/>
        </w:rPr>
        <w:t>1</w:t>
      </w:r>
      <w:r w:rsidR="00336E88">
        <w:rPr>
          <w:rFonts w:eastAsia="Calibri"/>
          <w:lang w:val="fr-FR"/>
        </w:rPr>
        <w:t>4</w:t>
      </w:r>
      <w:r w:rsidRPr="00D629F5">
        <w:rPr>
          <w:rFonts w:eastAsia="Calibri"/>
          <w:lang w:val="fr-FR"/>
        </w:rPr>
        <w:t>.</w:t>
      </w:r>
      <w:r w:rsidRPr="00D629F5">
        <w:rPr>
          <w:rFonts w:eastAsia="Calibri"/>
          <w:lang w:val="fr-FR"/>
        </w:rPr>
        <w:tab/>
      </w:r>
      <w:bookmarkStart w:id="5" w:name="_Hlk181004207"/>
      <w:r w:rsidR="00B57C22" w:rsidRPr="00D629F5">
        <w:rPr>
          <w:rFonts w:eastAsia="Calibri"/>
          <w:bCs w:val="0"/>
          <w:i/>
          <w:iCs/>
          <w:lang w:val="fr-FR"/>
        </w:rPr>
        <w:t xml:space="preserve">Tâche </w:t>
      </w:r>
      <w:bookmarkEnd w:id="5"/>
      <w:r w:rsidRPr="00D629F5">
        <w:rPr>
          <w:rFonts w:eastAsia="Calibri"/>
          <w:i/>
          <w:iCs/>
          <w:lang w:val="fr-FR"/>
        </w:rPr>
        <w:t xml:space="preserve">3.3. </w:t>
      </w:r>
      <w:r w:rsidR="00B57C22" w:rsidRPr="00D629F5">
        <w:rPr>
          <w:rFonts w:eastAsia="Calibri"/>
          <w:i/>
          <w:iCs/>
          <w:lang w:val="fr-FR"/>
        </w:rPr>
        <w:t>Agriculture et zones humides : maintenir et restaurer le caractère écologique des zones humides en milieu agricole </w:t>
      </w:r>
      <w:r w:rsidRPr="00D629F5">
        <w:rPr>
          <w:rFonts w:eastAsia="Calibri"/>
          <w:lang w:val="fr-FR"/>
        </w:rPr>
        <w:t xml:space="preserve">: </w:t>
      </w:r>
      <w:r w:rsidR="00BA2266" w:rsidRPr="00D629F5">
        <w:rPr>
          <w:rFonts w:eastAsia="Calibri"/>
          <w:lang w:val="fr-FR"/>
        </w:rPr>
        <w:t>C</w:t>
      </w:r>
      <w:r w:rsidR="00D34373" w:rsidRPr="00D629F5">
        <w:rPr>
          <w:rFonts w:eastAsia="Calibri"/>
          <w:lang w:val="fr-FR"/>
        </w:rPr>
        <w:t>ette tâche vise à élaborer des</w:t>
      </w:r>
      <w:r w:rsidR="00292BB7" w:rsidRPr="00D629F5">
        <w:rPr>
          <w:rFonts w:eastAsia="Calibri"/>
          <w:lang w:val="fr-FR"/>
        </w:rPr>
        <w:t xml:space="preserve"> lignes directrices </w:t>
      </w:r>
      <w:r w:rsidR="00D34373" w:rsidRPr="00D629F5">
        <w:rPr>
          <w:rFonts w:eastAsia="Calibri"/>
          <w:lang w:val="fr-FR"/>
        </w:rPr>
        <w:t>dans le but</w:t>
      </w:r>
      <w:r w:rsidR="00292BB7" w:rsidRPr="00D629F5">
        <w:rPr>
          <w:rFonts w:eastAsia="Calibri"/>
          <w:lang w:val="fr-FR"/>
        </w:rPr>
        <w:t xml:space="preserve"> </w:t>
      </w:r>
      <w:r w:rsidR="00D34373" w:rsidRPr="00D629F5">
        <w:rPr>
          <w:rFonts w:eastAsia="Calibri"/>
          <w:lang w:val="fr-FR"/>
        </w:rPr>
        <w:t>de renforcer</w:t>
      </w:r>
      <w:r w:rsidR="00292BB7" w:rsidRPr="00D629F5">
        <w:rPr>
          <w:rFonts w:eastAsia="Calibri"/>
          <w:lang w:val="fr-FR"/>
        </w:rPr>
        <w:t xml:space="preserve"> les services écosystémiques des zones humides </w:t>
      </w:r>
      <w:r w:rsidR="00D34373" w:rsidRPr="00D629F5">
        <w:rPr>
          <w:rFonts w:eastAsia="Calibri"/>
          <w:lang w:val="fr-FR"/>
        </w:rPr>
        <w:t>au sein des</w:t>
      </w:r>
      <w:r w:rsidR="00292BB7" w:rsidRPr="00D629F5">
        <w:rPr>
          <w:rFonts w:eastAsia="Calibri"/>
          <w:lang w:val="fr-FR"/>
        </w:rPr>
        <w:t xml:space="preserve"> paysages agricoles. </w:t>
      </w:r>
      <w:r w:rsidR="00D34373" w:rsidRPr="00D629F5">
        <w:rPr>
          <w:rFonts w:eastAsia="Calibri"/>
          <w:lang w:val="fr-FR"/>
        </w:rPr>
        <w:t>La participation des</w:t>
      </w:r>
      <w:r w:rsidR="005A1A27" w:rsidRPr="00D629F5">
        <w:rPr>
          <w:rFonts w:eastAsia="Calibri"/>
          <w:lang w:val="fr-FR"/>
        </w:rPr>
        <w:t xml:space="preserve"> Correspondants nationaux et </w:t>
      </w:r>
      <w:r w:rsidR="00D34373" w:rsidRPr="00D629F5">
        <w:rPr>
          <w:rFonts w:eastAsia="Calibri"/>
          <w:lang w:val="fr-FR"/>
        </w:rPr>
        <w:t>du</w:t>
      </w:r>
      <w:r w:rsidR="005A1A27" w:rsidRPr="00D629F5">
        <w:rPr>
          <w:rFonts w:eastAsia="Calibri"/>
          <w:lang w:val="fr-FR"/>
        </w:rPr>
        <w:t xml:space="preserve"> réseau du GEST</w:t>
      </w:r>
      <w:r w:rsidR="00D34373" w:rsidRPr="00D629F5">
        <w:rPr>
          <w:rFonts w:eastAsia="Calibri"/>
          <w:lang w:val="fr-FR"/>
        </w:rPr>
        <w:t xml:space="preserve"> est recherchée</w:t>
      </w:r>
      <w:r w:rsidR="005A1A27" w:rsidRPr="00D629F5">
        <w:rPr>
          <w:rFonts w:eastAsia="Calibri"/>
          <w:lang w:val="fr-FR"/>
        </w:rPr>
        <w:t xml:space="preserve"> afin d’obtenir des informations sur </w:t>
      </w:r>
      <w:r w:rsidR="00D34373" w:rsidRPr="00D629F5">
        <w:rPr>
          <w:rFonts w:eastAsia="Calibri"/>
          <w:lang w:val="fr-FR"/>
        </w:rPr>
        <w:t>d</w:t>
      </w:r>
      <w:r w:rsidR="005A1A27" w:rsidRPr="00D629F5">
        <w:rPr>
          <w:rFonts w:eastAsia="Calibri"/>
          <w:lang w:val="fr-FR"/>
        </w:rPr>
        <w:t xml:space="preserve">es agroécosystèmes et </w:t>
      </w:r>
      <w:r w:rsidR="00D34373" w:rsidRPr="00D629F5">
        <w:rPr>
          <w:rFonts w:eastAsia="Calibri"/>
          <w:lang w:val="fr-FR"/>
        </w:rPr>
        <w:t>d</w:t>
      </w:r>
      <w:r w:rsidR="005A1A27" w:rsidRPr="00D629F5">
        <w:rPr>
          <w:rFonts w:eastAsia="Calibri"/>
          <w:lang w:val="fr-FR"/>
        </w:rPr>
        <w:t xml:space="preserve">es types de zones humides </w:t>
      </w:r>
      <w:r w:rsidR="00D34373" w:rsidRPr="00D629F5">
        <w:rPr>
          <w:rFonts w:eastAsia="Calibri"/>
          <w:lang w:val="fr-FR"/>
        </w:rPr>
        <w:t xml:space="preserve">spécifiques </w:t>
      </w:r>
      <w:r w:rsidR="005A1A27" w:rsidRPr="00D629F5">
        <w:rPr>
          <w:rFonts w:eastAsia="Calibri"/>
          <w:lang w:val="fr-FR"/>
        </w:rPr>
        <w:t xml:space="preserve">et d’améliorer les rapports du SISR sur les dynamiques entre l’agriculture et les zones humides. Un atelier technique a été organisé en collaboration avec l’Organisation des Nations Unies pour l’alimentation et l’agriculture (FAO). </w:t>
      </w:r>
      <w:r w:rsidR="00D34373" w:rsidRPr="00D629F5">
        <w:rPr>
          <w:rFonts w:eastAsia="Calibri"/>
          <w:lang w:val="fr-FR"/>
        </w:rPr>
        <w:t>La</w:t>
      </w:r>
      <w:r w:rsidR="005A1A27" w:rsidRPr="00D629F5">
        <w:rPr>
          <w:rFonts w:eastAsia="Calibri"/>
          <w:lang w:val="fr-FR"/>
        </w:rPr>
        <w:t xml:space="preserve"> tâche 3.3 </w:t>
      </w:r>
      <w:r w:rsidR="00D34373" w:rsidRPr="00D629F5">
        <w:rPr>
          <w:rFonts w:eastAsia="Calibri"/>
          <w:lang w:val="fr-FR"/>
        </w:rPr>
        <w:t>produira</w:t>
      </w:r>
      <w:r w:rsidR="005A1A27" w:rsidRPr="00D629F5">
        <w:rPr>
          <w:rFonts w:eastAsia="Calibri"/>
          <w:lang w:val="fr-FR"/>
        </w:rPr>
        <w:t xml:space="preserve"> un Rapport technique et une Note d’orientation. Le Rapport technique devrait être finalisé avant la 27</w:t>
      </w:r>
      <w:r w:rsidR="005A1A27" w:rsidRPr="00D629F5">
        <w:rPr>
          <w:rFonts w:eastAsia="Calibri"/>
          <w:vertAlign w:val="superscript"/>
          <w:lang w:val="fr-FR"/>
        </w:rPr>
        <w:t>e</w:t>
      </w:r>
      <w:r w:rsidR="005A1A27" w:rsidRPr="00D629F5">
        <w:rPr>
          <w:rFonts w:eastAsia="Calibri"/>
          <w:lang w:val="fr-FR"/>
        </w:rPr>
        <w:t> réunion du GEST. La Note d’orientation sera rédigée après que le Rapport technique aura été terminé</w:t>
      </w:r>
      <w:r w:rsidR="00D34373" w:rsidRPr="00D629F5">
        <w:rPr>
          <w:rFonts w:eastAsia="Calibri"/>
          <w:lang w:val="fr-FR"/>
        </w:rPr>
        <w:t>,</w:t>
      </w:r>
      <w:r w:rsidR="005A1A27" w:rsidRPr="00D629F5">
        <w:rPr>
          <w:rFonts w:eastAsia="Calibri"/>
          <w:lang w:val="fr-FR"/>
        </w:rPr>
        <w:t xml:space="preserve"> dans les deux premiers mois de 2025. En outre, un module de formation </w:t>
      </w:r>
      <w:r w:rsidR="001F045A" w:rsidRPr="00D629F5">
        <w:rPr>
          <w:rFonts w:eastAsia="Calibri"/>
          <w:lang w:val="fr-FR"/>
        </w:rPr>
        <w:t xml:space="preserve">à accès ouvert </w:t>
      </w:r>
      <w:r w:rsidR="005A1A27" w:rsidRPr="00D629F5">
        <w:rPr>
          <w:rFonts w:eastAsia="Calibri"/>
          <w:lang w:val="fr-FR"/>
        </w:rPr>
        <w:t xml:space="preserve">en ligne sera préparé et publié sur </w:t>
      </w:r>
      <w:r w:rsidR="00820E27" w:rsidRPr="00D629F5">
        <w:rPr>
          <w:rFonts w:eastAsia="Calibri"/>
          <w:lang w:val="fr-FR"/>
        </w:rPr>
        <w:t>l’Académie numérique de la</w:t>
      </w:r>
      <w:r w:rsidRPr="00D629F5">
        <w:rPr>
          <w:rFonts w:eastAsia="Calibri"/>
          <w:lang w:val="fr-FR"/>
        </w:rPr>
        <w:t xml:space="preserve"> FAO</w:t>
      </w:r>
      <w:r w:rsidR="00F94E31" w:rsidRPr="00D629F5">
        <w:rPr>
          <w:rStyle w:val="FootnoteReference"/>
          <w:rFonts w:eastAsia="Calibri"/>
          <w:lang w:val="fr-FR"/>
        </w:rPr>
        <w:footnoteReference w:id="3"/>
      </w:r>
      <w:r w:rsidRPr="00D629F5">
        <w:rPr>
          <w:rFonts w:eastAsia="Calibri"/>
          <w:lang w:val="fr-FR"/>
        </w:rPr>
        <w:t xml:space="preserve"> </w:t>
      </w:r>
      <w:r w:rsidR="005A1A27" w:rsidRPr="00D629F5">
        <w:rPr>
          <w:rFonts w:eastAsia="Calibri"/>
          <w:lang w:val="fr-FR"/>
        </w:rPr>
        <w:t xml:space="preserve">avec un financement du Partenariat de la Convention avec Danone. </w:t>
      </w:r>
    </w:p>
    <w:p w14:paraId="037247CC" w14:textId="23FD3FEC" w:rsidR="00546347" w:rsidRPr="00D629F5" w:rsidRDefault="00546347" w:rsidP="008F72AA">
      <w:pPr>
        <w:rPr>
          <w:rFonts w:eastAsia="Calibri"/>
          <w:u w:val="single"/>
          <w:lang w:val="fr-FR"/>
        </w:rPr>
      </w:pPr>
    </w:p>
    <w:p w14:paraId="1559A80F" w14:textId="664E8FBE" w:rsidR="008F72AA" w:rsidRPr="00D629F5" w:rsidRDefault="00B57C22" w:rsidP="008F72AA">
      <w:pPr>
        <w:rPr>
          <w:rFonts w:eastAsia="Calibri"/>
          <w:u w:val="single"/>
          <w:lang w:val="fr-FR"/>
        </w:rPr>
      </w:pPr>
      <w:r w:rsidRPr="00D629F5">
        <w:rPr>
          <w:rFonts w:eastAsia="Calibri"/>
          <w:u w:val="single"/>
          <w:lang w:val="fr-FR"/>
        </w:rPr>
        <w:t xml:space="preserve">Domaine de travail thématique </w:t>
      </w:r>
      <w:r w:rsidR="00F319AD" w:rsidRPr="00D629F5">
        <w:rPr>
          <w:rFonts w:eastAsia="Calibri"/>
          <w:u w:val="single"/>
          <w:lang w:val="fr-FR"/>
        </w:rPr>
        <w:t>4</w:t>
      </w:r>
      <w:r w:rsidRPr="00D629F5">
        <w:rPr>
          <w:rFonts w:eastAsia="Calibri"/>
          <w:u w:val="single"/>
          <w:lang w:val="fr-FR"/>
        </w:rPr>
        <w:t xml:space="preserve"> </w:t>
      </w:r>
      <w:r w:rsidR="00F319AD" w:rsidRPr="00D629F5">
        <w:rPr>
          <w:rFonts w:eastAsia="Calibri"/>
          <w:u w:val="single"/>
          <w:lang w:val="fr-FR"/>
        </w:rPr>
        <w:t xml:space="preserve">: </w:t>
      </w:r>
      <w:r w:rsidR="003F10BD" w:rsidRPr="00D629F5">
        <w:rPr>
          <w:rFonts w:eastAsia="Calibri"/>
          <w:u w:val="single"/>
          <w:lang w:val="fr-FR"/>
        </w:rPr>
        <w:t>L’utilisation rationnelle, la gestion durable et la restauration des zones humides dans le paysage terrestre et marin général</w:t>
      </w:r>
      <w:r w:rsidR="00F319AD" w:rsidRPr="00D629F5">
        <w:rPr>
          <w:rFonts w:eastAsia="Calibri"/>
          <w:u w:val="single"/>
          <w:lang w:val="fr-FR"/>
        </w:rPr>
        <w:t>.</w:t>
      </w:r>
    </w:p>
    <w:p w14:paraId="2B90F1B6" w14:textId="77777777" w:rsidR="008F72AA" w:rsidRPr="00D629F5" w:rsidRDefault="008F72AA" w:rsidP="008F72AA">
      <w:pPr>
        <w:rPr>
          <w:rFonts w:eastAsia="Calibri"/>
          <w:lang w:val="fr-FR"/>
        </w:rPr>
      </w:pPr>
    </w:p>
    <w:p w14:paraId="6AF03F8A" w14:textId="016F9C88" w:rsidR="008F72AA" w:rsidRPr="00D629F5" w:rsidRDefault="00F319AD" w:rsidP="00276823">
      <w:pPr>
        <w:ind w:left="432" w:hanging="432"/>
        <w:rPr>
          <w:rFonts w:eastAsia="Calibri"/>
          <w:lang w:val="fr-FR"/>
        </w:rPr>
      </w:pPr>
      <w:r w:rsidRPr="00D629F5">
        <w:rPr>
          <w:rFonts w:eastAsia="Calibri"/>
          <w:lang w:val="fr-FR"/>
        </w:rPr>
        <w:t>1</w:t>
      </w:r>
      <w:r w:rsidR="00336E88">
        <w:rPr>
          <w:rFonts w:eastAsia="Calibri"/>
          <w:lang w:val="fr-FR"/>
        </w:rPr>
        <w:t>5</w:t>
      </w:r>
      <w:r w:rsidRPr="00D629F5">
        <w:rPr>
          <w:rFonts w:eastAsia="Calibri"/>
          <w:lang w:val="fr-FR"/>
        </w:rPr>
        <w:t>.</w:t>
      </w:r>
      <w:r w:rsidRPr="00D629F5">
        <w:rPr>
          <w:rFonts w:eastAsia="Calibri"/>
          <w:lang w:val="fr-FR"/>
        </w:rPr>
        <w:tab/>
      </w:r>
      <w:r w:rsidR="003F10BD" w:rsidRPr="00D629F5">
        <w:rPr>
          <w:rFonts w:eastAsia="Calibri"/>
          <w:i/>
          <w:iCs/>
          <w:lang w:val="fr-FR"/>
        </w:rPr>
        <w:t xml:space="preserve">Tâche </w:t>
      </w:r>
      <w:r w:rsidRPr="00D629F5">
        <w:rPr>
          <w:rFonts w:eastAsia="Calibri"/>
          <w:i/>
          <w:iCs/>
          <w:lang w:val="fr-FR"/>
        </w:rPr>
        <w:t xml:space="preserve">4.1. </w:t>
      </w:r>
      <w:r w:rsidR="00A00737" w:rsidRPr="00D629F5">
        <w:rPr>
          <w:rFonts w:eastAsia="Calibri"/>
          <w:i/>
          <w:iCs/>
          <w:lang w:val="fr-FR"/>
        </w:rPr>
        <w:t>Les Autres mesures de conservation efficaces par zone (AMCE) comme possibilité de promouvoir la conservation et l’utilisation rationnelle des zones humides</w:t>
      </w:r>
      <w:r w:rsidRPr="00D629F5">
        <w:rPr>
          <w:rFonts w:eastAsia="Calibri"/>
          <w:i/>
          <w:iCs/>
          <w:lang w:val="fr-FR"/>
        </w:rPr>
        <w:t xml:space="preserve">. </w:t>
      </w:r>
      <w:r w:rsidR="00D659CC" w:rsidRPr="00D629F5">
        <w:rPr>
          <w:rFonts w:eastAsia="Calibri"/>
          <w:i/>
          <w:iCs/>
          <w:lang w:val="fr-FR"/>
        </w:rPr>
        <w:t xml:space="preserve">Dans le cadre de cette tâche seront préparées des orientations sur les zones humides en tant qu’Autres mesures de conservation </w:t>
      </w:r>
      <w:r w:rsidR="000A094C" w:rsidRPr="00D629F5">
        <w:rPr>
          <w:rFonts w:eastAsia="Calibri"/>
          <w:i/>
          <w:iCs/>
          <w:lang w:val="fr-FR"/>
        </w:rPr>
        <w:t xml:space="preserve">efficaces </w:t>
      </w:r>
      <w:r w:rsidR="00D659CC" w:rsidRPr="00D629F5">
        <w:rPr>
          <w:rFonts w:eastAsia="Calibri"/>
          <w:i/>
          <w:iCs/>
          <w:lang w:val="fr-FR"/>
        </w:rPr>
        <w:t>par zone (AMCE)</w:t>
      </w:r>
      <w:r w:rsidR="00FC0322" w:rsidRPr="00D629F5">
        <w:rPr>
          <w:rFonts w:eastAsia="Calibri"/>
          <w:i/>
          <w:iCs/>
          <w:lang w:val="fr-FR"/>
        </w:rPr>
        <w:t> </w:t>
      </w:r>
      <w:r w:rsidRPr="00D629F5">
        <w:rPr>
          <w:rFonts w:eastAsia="Calibri"/>
          <w:lang w:val="fr-FR"/>
        </w:rPr>
        <w:t xml:space="preserve">: </w:t>
      </w:r>
      <w:r w:rsidR="00BA2266" w:rsidRPr="00D629F5">
        <w:rPr>
          <w:rFonts w:eastAsia="Calibri"/>
          <w:lang w:val="fr-FR"/>
        </w:rPr>
        <w:t>C</w:t>
      </w:r>
      <w:r w:rsidR="0057280B" w:rsidRPr="00D629F5">
        <w:rPr>
          <w:rFonts w:eastAsia="Calibri"/>
          <w:lang w:val="fr-FR"/>
        </w:rPr>
        <w:t>ette tâche porte sur les méthodes d’identification, de reconnaissance et de gestion des zones humides, y compris des zones humides d’importance internationale, en tant qu’AMCE</w:t>
      </w:r>
      <w:r w:rsidR="00BA2266" w:rsidRPr="00D629F5">
        <w:rPr>
          <w:rFonts w:eastAsia="Calibri"/>
          <w:lang w:val="fr-FR"/>
        </w:rPr>
        <w:t>,</w:t>
      </w:r>
      <w:r w:rsidR="0057280B" w:rsidRPr="00D629F5">
        <w:rPr>
          <w:rFonts w:eastAsia="Calibri"/>
          <w:lang w:val="fr-FR"/>
        </w:rPr>
        <w:t xml:space="preserve"> afin d’atteindre les objectifs et les cibles du Cadre mondial de la biodiversité de Kunming-Montréal</w:t>
      </w:r>
      <w:r w:rsidR="001F045A" w:rsidRPr="00D629F5">
        <w:rPr>
          <w:rFonts w:eastAsia="Calibri"/>
          <w:lang w:val="fr-FR"/>
        </w:rPr>
        <w:t xml:space="preserve"> (CMB-KM)</w:t>
      </w:r>
      <w:r w:rsidR="0057280B" w:rsidRPr="00D629F5">
        <w:rPr>
          <w:rFonts w:eastAsia="Calibri"/>
          <w:lang w:val="fr-FR"/>
        </w:rPr>
        <w:t xml:space="preserve">, </w:t>
      </w:r>
      <w:r w:rsidR="001D3C43" w:rsidRPr="00D629F5">
        <w:rPr>
          <w:rFonts w:eastAsia="Calibri"/>
          <w:lang w:val="fr-FR"/>
        </w:rPr>
        <w:t>et les</w:t>
      </w:r>
      <w:r w:rsidR="0057280B" w:rsidRPr="00D629F5">
        <w:rPr>
          <w:rFonts w:eastAsia="Calibri"/>
          <w:lang w:val="fr-FR"/>
        </w:rPr>
        <w:t xml:space="preserve"> mises à jour requises </w:t>
      </w:r>
      <w:r w:rsidR="001D3C43" w:rsidRPr="00D629F5">
        <w:rPr>
          <w:rFonts w:eastAsia="Calibri"/>
          <w:lang w:val="fr-FR"/>
        </w:rPr>
        <w:t>de</w:t>
      </w:r>
      <w:r w:rsidR="0057280B" w:rsidRPr="00D629F5">
        <w:rPr>
          <w:rFonts w:eastAsia="Calibri"/>
          <w:lang w:val="fr-FR"/>
        </w:rPr>
        <w:t xml:space="preserve"> la Fiche descriptive Ramsar (FDR). La tâche 4.1 se poursuit. Une note d’information devrait être publiée pour la 27</w:t>
      </w:r>
      <w:r w:rsidR="0057280B" w:rsidRPr="00D629F5">
        <w:rPr>
          <w:rFonts w:eastAsia="Calibri"/>
          <w:vertAlign w:val="superscript"/>
          <w:lang w:val="fr-FR"/>
        </w:rPr>
        <w:t>e</w:t>
      </w:r>
      <w:r w:rsidR="0057280B" w:rsidRPr="00D629F5">
        <w:rPr>
          <w:rFonts w:eastAsia="Calibri"/>
          <w:lang w:val="fr-FR"/>
        </w:rPr>
        <w:t xml:space="preserve"> réunion du GEST. </w:t>
      </w:r>
      <w:r w:rsidR="001D3C43" w:rsidRPr="00D629F5">
        <w:rPr>
          <w:rFonts w:eastAsia="Calibri"/>
          <w:lang w:val="fr-FR"/>
        </w:rPr>
        <w:t>Elle</w:t>
      </w:r>
      <w:r w:rsidR="0057280B" w:rsidRPr="00D629F5">
        <w:rPr>
          <w:rFonts w:eastAsia="Calibri"/>
          <w:lang w:val="fr-FR"/>
        </w:rPr>
        <w:t xml:space="preserve"> est élaborée en partenariat avec d’autres organisations concernées, </w:t>
      </w:r>
      <w:r w:rsidR="00FC0322" w:rsidRPr="00D629F5">
        <w:rPr>
          <w:rFonts w:eastAsia="Calibri"/>
          <w:lang w:val="fr-FR"/>
        </w:rPr>
        <w:t>telles que</w:t>
      </w:r>
      <w:r w:rsidR="00066464" w:rsidRPr="00D629F5">
        <w:rPr>
          <w:rFonts w:eastAsia="Calibri"/>
          <w:lang w:val="fr-FR"/>
        </w:rPr>
        <w:t xml:space="preserve"> </w:t>
      </w:r>
      <w:r w:rsidR="00FC0322" w:rsidRPr="00D629F5">
        <w:rPr>
          <w:rFonts w:eastAsia="Calibri"/>
          <w:lang w:val="fr-FR"/>
        </w:rPr>
        <w:t xml:space="preserve">le Groupe de spécialistes des </w:t>
      </w:r>
      <w:r w:rsidR="001D3C43" w:rsidRPr="00D629F5">
        <w:rPr>
          <w:rFonts w:eastAsia="Calibri"/>
          <w:lang w:val="fr-FR"/>
        </w:rPr>
        <w:t>A</w:t>
      </w:r>
      <w:r w:rsidR="00FC0322" w:rsidRPr="00D629F5">
        <w:rPr>
          <w:rFonts w:eastAsia="Calibri"/>
          <w:lang w:val="fr-FR"/>
        </w:rPr>
        <w:t xml:space="preserve">utres mesures de conservation </w:t>
      </w:r>
      <w:r w:rsidR="0057280B" w:rsidRPr="00D629F5">
        <w:rPr>
          <w:rFonts w:eastAsia="Calibri"/>
          <w:lang w:val="fr-FR"/>
        </w:rPr>
        <w:t xml:space="preserve">efficaces </w:t>
      </w:r>
      <w:r w:rsidR="00FC0322" w:rsidRPr="00D629F5">
        <w:rPr>
          <w:rFonts w:eastAsia="Calibri"/>
          <w:lang w:val="fr-FR"/>
        </w:rPr>
        <w:t>par zone</w:t>
      </w:r>
      <w:r w:rsidR="00FC0322" w:rsidRPr="00D629F5">
        <w:rPr>
          <w:rFonts w:eastAsia="Calibri"/>
          <w:i/>
          <w:iCs/>
          <w:lang w:val="fr-FR"/>
        </w:rPr>
        <w:t xml:space="preserve"> </w:t>
      </w:r>
      <w:r w:rsidR="00FC0322" w:rsidRPr="00D629F5">
        <w:rPr>
          <w:rFonts w:eastAsia="Calibri"/>
          <w:lang w:val="fr-FR"/>
        </w:rPr>
        <w:t xml:space="preserve">de la </w:t>
      </w:r>
      <w:r w:rsidR="00066464" w:rsidRPr="00D629F5">
        <w:rPr>
          <w:rFonts w:eastAsia="Calibri"/>
          <w:lang w:val="fr-FR"/>
        </w:rPr>
        <w:t xml:space="preserve">Commission </w:t>
      </w:r>
      <w:r w:rsidR="00FC0322" w:rsidRPr="00D629F5">
        <w:rPr>
          <w:rFonts w:eastAsia="Calibri"/>
          <w:lang w:val="fr-FR"/>
        </w:rPr>
        <w:t xml:space="preserve">mondiale </w:t>
      </w:r>
      <w:r w:rsidR="001D3C43" w:rsidRPr="00D629F5">
        <w:rPr>
          <w:rFonts w:eastAsia="Calibri"/>
          <w:lang w:val="fr-FR"/>
        </w:rPr>
        <w:t>des</w:t>
      </w:r>
      <w:r w:rsidR="00FC0322" w:rsidRPr="00D629F5">
        <w:rPr>
          <w:rFonts w:eastAsia="Calibri"/>
          <w:lang w:val="fr-FR"/>
        </w:rPr>
        <w:t xml:space="preserve"> aires protégées de l’UICN</w:t>
      </w:r>
      <w:r w:rsidR="008A20E4" w:rsidRPr="00D629F5">
        <w:rPr>
          <w:rFonts w:eastAsia="Calibri"/>
          <w:lang w:val="fr-FR"/>
        </w:rPr>
        <w:t>.</w:t>
      </w:r>
    </w:p>
    <w:p w14:paraId="1DC291F0" w14:textId="77777777" w:rsidR="008F72AA" w:rsidRPr="00D629F5" w:rsidRDefault="008F72AA" w:rsidP="008F72AA">
      <w:pPr>
        <w:rPr>
          <w:rFonts w:eastAsia="Calibri"/>
          <w:lang w:val="fr-FR"/>
        </w:rPr>
      </w:pPr>
    </w:p>
    <w:p w14:paraId="47102DCB" w14:textId="470FF145" w:rsidR="008F72AA" w:rsidRPr="00D629F5" w:rsidRDefault="00FD4D50" w:rsidP="00276823">
      <w:pPr>
        <w:ind w:left="432" w:hanging="432"/>
        <w:rPr>
          <w:rFonts w:eastAsia="Calibri"/>
          <w:lang w:val="fr-FR"/>
        </w:rPr>
      </w:pPr>
      <w:r w:rsidRPr="00D629F5">
        <w:rPr>
          <w:rFonts w:eastAsia="Calibri"/>
          <w:lang w:val="fr-FR"/>
        </w:rPr>
        <w:lastRenderedPageBreak/>
        <w:t>1</w:t>
      </w:r>
      <w:r w:rsidR="00336E88">
        <w:rPr>
          <w:rFonts w:eastAsia="Calibri"/>
          <w:lang w:val="fr-FR"/>
        </w:rPr>
        <w:t>6</w:t>
      </w:r>
      <w:r w:rsidR="00F319AD" w:rsidRPr="00D629F5">
        <w:rPr>
          <w:rFonts w:eastAsia="Calibri"/>
          <w:lang w:val="fr-FR"/>
        </w:rPr>
        <w:t>.</w:t>
      </w:r>
      <w:r w:rsidR="00F319AD" w:rsidRPr="00D629F5">
        <w:rPr>
          <w:rFonts w:eastAsia="Calibri"/>
          <w:lang w:val="fr-FR"/>
        </w:rPr>
        <w:tab/>
      </w:r>
      <w:r w:rsidR="003F10BD" w:rsidRPr="00D629F5">
        <w:rPr>
          <w:rFonts w:eastAsia="Calibri"/>
          <w:i/>
          <w:iCs/>
          <w:lang w:val="fr-FR"/>
        </w:rPr>
        <w:t xml:space="preserve">Tâche </w:t>
      </w:r>
      <w:r w:rsidR="00F319AD" w:rsidRPr="00D629F5">
        <w:rPr>
          <w:rFonts w:eastAsia="Calibri"/>
          <w:i/>
          <w:iCs/>
          <w:lang w:val="fr-FR"/>
        </w:rPr>
        <w:t>4.2</w:t>
      </w:r>
      <w:r w:rsidR="0057280B" w:rsidRPr="00D629F5">
        <w:rPr>
          <w:rFonts w:eastAsia="Calibri"/>
          <w:i/>
          <w:iCs/>
          <w:lang w:val="fr-FR"/>
        </w:rPr>
        <w:t>.</w:t>
      </w:r>
      <w:r w:rsidR="00F319AD" w:rsidRPr="00D629F5">
        <w:rPr>
          <w:rFonts w:eastAsia="Calibri"/>
          <w:i/>
          <w:iCs/>
          <w:lang w:val="fr-FR"/>
        </w:rPr>
        <w:t xml:space="preserve"> </w:t>
      </w:r>
      <w:r w:rsidR="00A00737" w:rsidRPr="00D629F5">
        <w:rPr>
          <w:rFonts w:eastAsia="Calibri"/>
          <w:i/>
          <w:iCs/>
          <w:lang w:val="fr-FR"/>
        </w:rPr>
        <w:t>Élaborer des orientations sur la conservation, l’utilisation rationnelle et la gestion des « habitats côtiers fonctionnels », assorties d’une synthèse des pressions mondiales sur les zones humides côtières </w:t>
      </w:r>
      <w:r w:rsidR="00F319AD" w:rsidRPr="00D629F5">
        <w:rPr>
          <w:rFonts w:eastAsia="Calibri"/>
          <w:lang w:val="fr-FR"/>
        </w:rPr>
        <w:t xml:space="preserve">: </w:t>
      </w:r>
      <w:r w:rsidR="00913604" w:rsidRPr="00D629F5">
        <w:rPr>
          <w:rFonts w:eastAsia="Calibri"/>
          <w:lang w:val="fr-FR"/>
        </w:rPr>
        <w:t>La tâche </w:t>
      </w:r>
      <w:r w:rsidR="003F1BCE" w:rsidRPr="00D629F5">
        <w:rPr>
          <w:rFonts w:eastAsia="Calibri"/>
          <w:lang w:val="fr-FR"/>
        </w:rPr>
        <w:t xml:space="preserve">4.2 </w:t>
      </w:r>
      <w:r w:rsidR="00913604" w:rsidRPr="00D629F5">
        <w:rPr>
          <w:rFonts w:eastAsia="Calibri"/>
          <w:lang w:val="fr-FR"/>
        </w:rPr>
        <w:t xml:space="preserve">est en attente </w:t>
      </w:r>
      <w:r w:rsidR="00C42646" w:rsidRPr="00D629F5">
        <w:rPr>
          <w:rFonts w:eastAsia="Calibri"/>
          <w:lang w:val="fr-FR"/>
        </w:rPr>
        <w:t>faute</w:t>
      </w:r>
      <w:r w:rsidR="00913604" w:rsidRPr="00D629F5">
        <w:rPr>
          <w:rFonts w:eastAsia="Calibri"/>
          <w:lang w:val="fr-FR"/>
        </w:rPr>
        <w:t xml:space="preserve"> de ressources humaines </w:t>
      </w:r>
      <w:r w:rsidR="00C42646" w:rsidRPr="00D629F5">
        <w:rPr>
          <w:rFonts w:eastAsia="Calibri"/>
          <w:lang w:val="fr-FR"/>
        </w:rPr>
        <w:t>suffisantes</w:t>
      </w:r>
      <w:r w:rsidR="00913604" w:rsidRPr="00D629F5">
        <w:rPr>
          <w:rFonts w:eastAsia="Calibri"/>
          <w:lang w:val="fr-FR"/>
        </w:rPr>
        <w:t xml:space="preserve"> pour faire progresser les travaux. Dans le cadre de cette tâche, il était prévu d’élaborer des orientations pour la conservation, l’utilisation rationnelle et la gestion « d’habitats côtiers fonctionnels ».</w:t>
      </w:r>
      <w:r w:rsidR="007D77A0" w:rsidRPr="00D629F5">
        <w:rPr>
          <w:rFonts w:eastAsia="Calibri"/>
          <w:lang w:val="fr-FR"/>
        </w:rPr>
        <w:t xml:space="preserve"> </w:t>
      </w:r>
      <w:r w:rsidR="00913604" w:rsidRPr="00D629F5">
        <w:rPr>
          <w:rFonts w:eastAsia="Calibri"/>
          <w:lang w:val="fr-FR"/>
        </w:rPr>
        <w:t xml:space="preserve">Elle devait inclure des mises à jour du Manuel 12 sur l’utilisation rationnelle et regrouper </w:t>
      </w:r>
      <w:r w:rsidR="00B932D4" w:rsidRPr="00D629F5">
        <w:rPr>
          <w:rFonts w:eastAsia="Calibri"/>
          <w:lang w:val="fr-FR"/>
        </w:rPr>
        <w:t>d</w:t>
      </w:r>
      <w:r w:rsidR="00913604" w:rsidRPr="00D629F5">
        <w:rPr>
          <w:rFonts w:eastAsia="Calibri"/>
          <w:lang w:val="fr-FR"/>
        </w:rPr>
        <w:t>es approches d’une gestion efficace des habitats côtiers.</w:t>
      </w:r>
      <w:r w:rsidR="00A55F80" w:rsidRPr="00D629F5">
        <w:rPr>
          <w:rFonts w:eastAsia="Calibri"/>
          <w:lang w:val="fr-FR"/>
        </w:rPr>
        <w:t xml:space="preserve"> </w:t>
      </w:r>
    </w:p>
    <w:p w14:paraId="52B99B10" w14:textId="77777777" w:rsidR="008F72AA" w:rsidRPr="00D629F5" w:rsidRDefault="008F72AA" w:rsidP="008F72AA">
      <w:pPr>
        <w:rPr>
          <w:rFonts w:eastAsia="Calibri"/>
          <w:lang w:val="fr-FR"/>
        </w:rPr>
      </w:pPr>
    </w:p>
    <w:p w14:paraId="1A51CB01" w14:textId="43CFA79C" w:rsidR="00307F11" w:rsidRPr="00D629F5" w:rsidRDefault="00F319AD" w:rsidP="00276823">
      <w:pPr>
        <w:ind w:left="432" w:hanging="432"/>
        <w:rPr>
          <w:rFonts w:eastAsia="Calibri"/>
          <w:lang w:val="fr-FR"/>
        </w:rPr>
      </w:pPr>
      <w:r w:rsidRPr="00D629F5">
        <w:rPr>
          <w:rFonts w:eastAsia="Calibri"/>
          <w:lang w:val="fr-FR"/>
        </w:rPr>
        <w:t>1</w:t>
      </w:r>
      <w:r w:rsidR="00336E88">
        <w:rPr>
          <w:rFonts w:eastAsia="Calibri"/>
          <w:lang w:val="fr-FR"/>
        </w:rPr>
        <w:t>7</w:t>
      </w:r>
      <w:r w:rsidRPr="00D629F5">
        <w:rPr>
          <w:rFonts w:eastAsia="Calibri"/>
          <w:lang w:val="fr-FR"/>
        </w:rPr>
        <w:t>.</w:t>
      </w:r>
      <w:r w:rsidRPr="00D629F5">
        <w:rPr>
          <w:rFonts w:eastAsia="Calibri"/>
          <w:lang w:val="fr-FR"/>
        </w:rPr>
        <w:tab/>
      </w:r>
      <w:r w:rsidR="003F10BD" w:rsidRPr="00D629F5">
        <w:rPr>
          <w:rFonts w:eastAsia="Calibri"/>
          <w:i/>
          <w:iCs/>
          <w:lang w:val="fr-FR"/>
        </w:rPr>
        <w:t xml:space="preserve">Tâche </w:t>
      </w:r>
      <w:r w:rsidRPr="00D629F5">
        <w:rPr>
          <w:rFonts w:eastAsia="Calibri"/>
          <w:i/>
          <w:iCs/>
          <w:lang w:val="fr-FR"/>
        </w:rPr>
        <w:t>4.3</w:t>
      </w:r>
      <w:r w:rsidR="003F10BD" w:rsidRPr="00D629F5">
        <w:rPr>
          <w:rFonts w:eastAsia="Calibri"/>
          <w:i/>
          <w:iCs/>
          <w:lang w:val="fr-FR"/>
        </w:rPr>
        <w:t>.</w:t>
      </w:r>
      <w:r w:rsidR="00A00737" w:rsidRPr="00D629F5">
        <w:rPr>
          <w:rFonts w:eastAsia="Calibri"/>
          <w:i/>
          <w:iCs/>
          <w:lang w:val="fr-FR"/>
        </w:rPr>
        <w:t xml:space="preserve"> Intégrer la protection, la conservation, la restauration, l’utilisation durable et la gestion des zones humides dans les stratégies nationales de développement durable </w:t>
      </w:r>
      <w:r w:rsidRPr="00D629F5">
        <w:rPr>
          <w:rFonts w:eastAsia="Calibri"/>
          <w:lang w:val="fr-FR"/>
        </w:rPr>
        <w:t xml:space="preserve">: </w:t>
      </w:r>
      <w:r w:rsidR="00B932D4" w:rsidRPr="00D629F5">
        <w:rPr>
          <w:rFonts w:eastAsia="Calibri"/>
          <w:lang w:val="fr-FR"/>
        </w:rPr>
        <w:t xml:space="preserve">Cette tâche permanente est axée sur une compilation et une synthèse d’études de cas et d’outils </w:t>
      </w:r>
      <w:r w:rsidR="003424D3" w:rsidRPr="00D629F5">
        <w:rPr>
          <w:rFonts w:eastAsia="Calibri"/>
          <w:lang w:val="fr-FR"/>
        </w:rPr>
        <w:t>permettant d’</w:t>
      </w:r>
      <w:r w:rsidR="00B932D4" w:rsidRPr="00D629F5">
        <w:rPr>
          <w:rFonts w:eastAsia="Calibri"/>
          <w:lang w:val="fr-FR"/>
        </w:rPr>
        <w:t xml:space="preserve">intégrer la conservation et la restauration des zones humides dans les stratégies nationales de développement durable. Elle comprend la mise au point d’une base de données numérique pour les études de cas qui sera hébergée sur le site </w:t>
      </w:r>
      <w:r w:rsidR="003424D3" w:rsidRPr="00D629F5">
        <w:rPr>
          <w:rFonts w:eastAsia="Calibri"/>
          <w:lang w:val="fr-FR"/>
        </w:rPr>
        <w:t>W</w:t>
      </w:r>
      <w:r w:rsidR="00B932D4" w:rsidRPr="00D629F5">
        <w:rPr>
          <w:rFonts w:eastAsia="Calibri"/>
          <w:lang w:val="fr-FR"/>
        </w:rPr>
        <w:t>eb de la Convention sur les zones humides ou l</w:t>
      </w:r>
      <w:r w:rsidR="003424D3" w:rsidRPr="00D629F5">
        <w:rPr>
          <w:rFonts w:eastAsia="Calibri"/>
          <w:lang w:val="fr-FR"/>
        </w:rPr>
        <w:t>a plateforme</w:t>
      </w:r>
      <w:r w:rsidR="00B932D4" w:rsidRPr="00D629F5">
        <w:rPr>
          <w:rFonts w:eastAsia="Calibri"/>
          <w:lang w:val="fr-FR"/>
        </w:rPr>
        <w:t xml:space="preserve"> d’apprentissage du WWT. La tâche 4.3 devrait produire une Note d’information publiée avant la 27</w:t>
      </w:r>
      <w:r w:rsidR="00B932D4" w:rsidRPr="00D629F5">
        <w:rPr>
          <w:rFonts w:eastAsia="Calibri"/>
          <w:vertAlign w:val="superscript"/>
          <w:lang w:val="fr-FR"/>
        </w:rPr>
        <w:t>e</w:t>
      </w:r>
      <w:r w:rsidR="00B932D4" w:rsidRPr="00D629F5">
        <w:rPr>
          <w:rFonts w:eastAsia="Calibri"/>
          <w:lang w:val="fr-FR"/>
        </w:rPr>
        <w:t> réunion du GEST.</w:t>
      </w:r>
    </w:p>
    <w:p w14:paraId="4EE596D1" w14:textId="77777777" w:rsidR="00365F17" w:rsidRPr="00D629F5" w:rsidRDefault="00365F17" w:rsidP="00CF6E6E">
      <w:pPr>
        <w:rPr>
          <w:rFonts w:eastAsia="Calibri"/>
          <w:b/>
          <w:bCs w:val="0"/>
          <w:lang w:val="fr-FR"/>
        </w:rPr>
      </w:pPr>
    </w:p>
    <w:p w14:paraId="58D7A545" w14:textId="280D603C" w:rsidR="00506E0B" w:rsidRPr="00D629F5" w:rsidRDefault="003F10BD" w:rsidP="00CF6E6E">
      <w:pPr>
        <w:rPr>
          <w:rFonts w:eastAsia="Calibri"/>
          <w:u w:val="single"/>
          <w:lang w:val="fr-FR"/>
        </w:rPr>
      </w:pPr>
      <w:r w:rsidRPr="00D629F5">
        <w:rPr>
          <w:rFonts w:eastAsia="Calibri"/>
          <w:u w:val="single"/>
          <w:lang w:val="fr-FR"/>
        </w:rPr>
        <w:t xml:space="preserve">Domaine de travail thématique </w:t>
      </w:r>
      <w:r w:rsidR="00F319AD" w:rsidRPr="00D629F5">
        <w:rPr>
          <w:rFonts w:eastAsia="Calibri"/>
          <w:u w:val="single"/>
          <w:lang w:val="fr-FR"/>
        </w:rPr>
        <w:t>5</w:t>
      </w:r>
      <w:r w:rsidRPr="00D629F5">
        <w:rPr>
          <w:rFonts w:eastAsia="Calibri"/>
          <w:u w:val="single"/>
          <w:lang w:val="fr-FR"/>
        </w:rPr>
        <w:t> </w:t>
      </w:r>
      <w:r w:rsidR="00F319AD" w:rsidRPr="00D629F5">
        <w:rPr>
          <w:rFonts w:eastAsia="Calibri"/>
          <w:u w:val="single"/>
          <w:lang w:val="fr-FR"/>
        </w:rPr>
        <w:t xml:space="preserve">: </w:t>
      </w:r>
      <w:r w:rsidR="00A00737" w:rsidRPr="00D629F5">
        <w:rPr>
          <w:rFonts w:eastAsia="Calibri"/>
          <w:u w:val="single"/>
          <w:lang w:val="fr-FR"/>
        </w:rPr>
        <w:t>Questions transversales, fonctions d’appui et synergies avec d’autres AME</w:t>
      </w:r>
      <w:r w:rsidR="00F319AD" w:rsidRPr="00D629F5">
        <w:rPr>
          <w:rFonts w:eastAsia="Calibri"/>
          <w:u w:val="single"/>
          <w:lang w:val="fr-FR"/>
        </w:rPr>
        <w:t>.</w:t>
      </w:r>
    </w:p>
    <w:p w14:paraId="63EC1DA2" w14:textId="77777777" w:rsidR="00D23B75" w:rsidRPr="00D629F5" w:rsidRDefault="00D23B75" w:rsidP="00CF6E6E">
      <w:pPr>
        <w:rPr>
          <w:rFonts w:eastAsia="Calibri"/>
          <w:lang w:val="fr-FR"/>
        </w:rPr>
      </w:pPr>
    </w:p>
    <w:p w14:paraId="5A814993" w14:textId="7C3DAFA4" w:rsidR="006A0CA6" w:rsidRPr="00D629F5" w:rsidRDefault="007A3156" w:rsidP="00276823">
      <w:pPr>
        <w:ind w:left="432" w:hanging="432"/>
        <w:rPr>
          <w:rFonts w:eastAsia="Calibri"/>
          <w:lang w:val="fr-FR"/>
        </w:rPr>
      </w:pPr>
      <w:r w:rsidRPr="00D629F5">
        <w:rPr>
          <w:rFonts w:eastAsia="Calibri"/>
          <w:lang w:val="fr-FR"/>
        </w:rPr>
        <w:t>1</w:t>
      </w:r>
      <w:r w:rsidR="00336E88">
        <w:rPr>
          <w:rFonts w:eastAsia="Calibri"/>
          <w:lang w:val="fr-FR"/>
        </w:rPr>
        <w:t>8</w:t>
      </w:r>
      <w:r w:rsidR="001632D1" w:rsidRPr="00D629F5">
        <w:rPr>
          <w:rFonts w:eastAsia="Calibri"/>
          <w:lang w:val="fr-FR"/>
        </w:rPr>
        <w:t>.</w:t>
      </w:r>
      <w:r w:rsidR="001632D1" w:rsidRPr="00D629F5">
        <w:rPr>
          <w:rFonts w:eastAsia="Calibri"/>
          <w:lang w:val="fr-FR"/>
        </w:rPr>
        <w:tab/>
      </w:r>
      <w:r w:rsidR="00A00737" w:rsidRPr="00D629F5">
        <w:rPr>
          <w:rFonts w:eastAsia="Calibri"/>
          <w:i/>
          <w:iCs/>
          <w:lang w:val="fr-FR"/>
        </w:rPr>
        <w:t xml:space="preserve">Tâche </w:t>
      </w:r>
      <w:r w:rsidR="00F319AD" w:rsidRPr="00D629F5">
        <w:rPr>
          <w:rFonts w:eastAsia="Calibri"/>
          <w:bCs w:val="0"/>
          <w:i/>
          <w:iCs/>
          <w:lang w:val="fr-FR"/>
        </w:rPr>
        <w:t xml:space="preserve">5.1. </w:t>
      </w:r>
      <w:r w:rsidR="004E302D" w:rsidRPr="00D629F5">
        <w:rPr>
          <w:rFonts w:eastAsia="Calibri"/>
          <w:i/>
          <w:iCs/>
          <w:lang w:val="fr-FR"/>
        </w:rPr>
        <w:t xml:space="preserve">Coût financier de la perte et de la dégradation des zones humides, et investissements nécessaires pour maintenir et restaurer les zones humides (Perspectives mondiales </w:t>
      </w:r>
      <w:r w:rsidR="006A741E" w:rsidRPr="00D629F5">
        <w:rPr>
          <w:rFonts w:eastAsia="Calibri"/>
          <w:i/>
          <w:iCs/>
          <w:lang w:val="fr-FR"/>
        </w:rPr>
        <w:t>d</w:t>
      </w:r>
      <w:r w:rsidR="004E302D" w:rsidRPr="00D629F5">
        <w:rPr>
          <w:rFonts w:eastAsia="Calibri"/>
          <w:i/>
          <w:iCs/>
          <w:lang w:val="fr-FR"/>
        </w:rPr>
        <w:t>es zones humides 2025) </w:t>
      </w:r>
      <w:r w:rsidR="00F319AD" w:rsidRPr="00D629F5">
        <w:rPr>
          <w:rFonts w:eastAsia="Calibri"/>
          <w:bCs w:val="0"/>
          <w:lang w:val="fr-FR"/>
        </w:rPr>
        <w:t xml:space="preserve">: </w:t>
      </w:r>
      <w:r w:rsidR="00FC1E5E" w:rsidRPr="00D629F5">
        <w:rPr>
          <w:rFonts w:eastAsia="Calibri"/>
          <w:bCs w:val="0"/>
          <w:lang w:val="fr-FR"/>
        </w:rPr>
        <w:t>Il s’agit</w:t>
      </w:r>
      <w:r w:rsidR="00201916" w:rsidRPr="00D629F5">
        <w:rPr>
          <w:rFonts w:eastAsia="Calibri"/>
          <w:bCs w:val="0"/>
          <w:lang w:val="fr-FR"/>
        </w:rPr>
        <w:t>, dans le cadre de cette tâche,</w:t>
      </w:r>
      <w:r w:rsidR="00FC1E5E" w:rsidRPr="00D629F5">
        <w:rPr>
          <w:rFonts w:eastAsia="Calibri"/>
          <w:bCs w:val="0"/>
          <w:lang w:val="fr-FR"/>
        </w:rPr>
        <w:t xml:space="preserve"> d’analyser les </w:t>
      </w:r>
      <w:r w:rsidR="00201916" w:rsidRPr="00D629F5">
        <w:rPr>
          <w:rFonts w:eastAsia="Calibri"/>
          <w:bCs w:val="0"/>
          <w:lang w:val="fr-FR"/>
        </w:rPr>
        <w:t>incidences</w:t>
      </w:r>
      <w:r w:rsidR="00FC1E5E" w:rsidRPr="00D629F5">
        <w:rPr>
          <w:rFonts w:eastAsia="Calibri"/>
          <w:bCs w:val="0"/>
          <w:lang w:val="fr-FR"/>
        </w:rPr>
        <w:t xml:space="preserve"> économiques de la disparition des zones humides, d’évaluer le financement requis pour la conservation des zones humides et d’explorer les synergies avec les </w:t>
      </w:r>
      <w:r w:rsidR="00835111" w:rsidRPr="00D629F5">
        <w:rPr>
          <w:rFonts w:eastAsia="Calibri"/>
          <w:bCs w:val="0"/>
          <w:lang w:val="fr-FR"/>
        </w:rPr>
        <w:t>accords</w:t>
      </w:r>
      <w:r w:rsidR="00FC1E5E" w:rsidRPr="00D629F5">
        <w:rPr>
          <w:rFonts w:eastAsia="Calibri"/>
          <w:bCs w:val="0"/>
          <w:lang w:val="fr-FR"/>
        </w:rPr>
        <w:t xml:space="preserve"> mondiaux pour l’environnement. Le but est </w:t>
      </w:r>
      <w:r w:rsidR="00835111" w:rsidRPr="00D629F5">
        <w:rPr>
          <w:rFonts w:eastAsia="Calibri"/>
          <w:bCs w:val="0"/>
          <w:lang w:val="fr-FR"/>
        </w:rPr>
        <w:t>de proposer</w:t>
      </w:r>
      <w:r w:rsidR="00FC1E5E" w:rsidRPr="00D629F5">
        <w:rPr>
          <w:rFonts w:eastAsia="Calibri"/>
          <w:bCs w:val="0"/>
          <w:lang w:val="fr-FR"/>
        </w:rPr>
        <w:t xml:space="preserve"> des </w:t>
      </w:r>
      <w:r w:rsidR="003360D8" w:rsidRPr="00D629F5">
        <w:rPr>
          <w:rFonts w:eastAsia="Calibri"/>
          <w:bCs w:val="0"/>
          <w:lang w:val="fr-FR"/>
        </w:rPr>
        <w:t>idées</w:t>
      </w:r>
      <w:r w:rsidR="00FC1E5E" w:rsidRPr="00D629F5">
        <w:rPr>
          <w:rFonts w:eastAsia="Calibri"/>
          <w:bCs w:val="0"/>
          <w:lang w:val="fr-FR"/>
        </w:rPr>
        <w:t xml:space="preserve"> d’investissement pour la gestion des zones humides, l’accent étant mis sur les solutions fondées sur la nature et l’intégration des perspectives des communautés autochtones et locales. Les Perspectives mondiales </w:t>
      </w:r>
      <w:r w:rsidR="006A741E" w:rsidRPr="00D629F5">
        <w:rPr>
          <w:rFonts w:eastAsia="Calibri"/>
          <w:bCs w:val="0"/>
          <w:lang w:val="fr-FR"/>
        </w:rPr>
        <w:t>d</w:t>
      </w:r>
      <w:r w:rsidR="00FC1E5E" w:rsidRPr="00D629F5">
        <w:rPr>
          <w:rFonts w:eastAsia="Calibri"/>
          <w:bCs w:val="0"/>
          <w:lang w:val="fr-FR"/>
        </w:rPr>
        <w:t xml:space="preserve">es zones humides devraient être finalisées au deuxième trimestre de 2025. Des consultants ont été recrutés pour préparer une étude théorique </w:t>
      </w:r>
      <w:r w:rsidR="003360D8" w:rsidRPr="00D629F5">
        <w:rPr>
          <w:rFonts w:eastAsia="Calibri"/>
          <w:bCs w:val="0"/>
          <w:lang w:val="fr-FR"/>
        </w:rPr>
        <w:t>faisant</w:t>
      </w:r>
      <w:r w:rsidR="00FC1E5E" w:rsidRPr="00D629F5">
        <w:rPr>
          <w:rFonts w:eastAsia="Calibri"/>
          <w:bCs w:val="0"/>
          <w:lang w:val="fr-FR"/>
        </w:rPr>
        <w:t xml:space="preserve"> la synthèse et rassembl</w:t>
      </w:r>
      <w:r w:rsidR="003360D8" w:rsidRPr="00D629F5">
        <w:rPr>
          <w:rFonts w:eastAsia="Calibri"/>
          <w:bCs w:val="0"/>
          <w:lang w:val="fr-FR"/>
        </w:rPr>
        <w:t>ant</w:t>
      </w:r>
      <w:r w:rsidR="00FC1E5E" w:rsidRPr="00D629F5">
        <w:rPr>
          <w:rFonts w:eastAsia="Calibri"/>
          <w:bCs w:val="0"/>
          <w:lang w:val="fr-FR"/>
        </w:rPr>
        <w:t xml:space="preserve"> </w:t>
      </w:r>
      <w:r w:rsidR="003360D8" w:rsidRPr="00D629F5">
        <w:rPr>
          <w:rFonts w:eastAsia="Calibri"/>
          <w:bCs w:val="0"/>
          <w:lang w:val="fr-FR"/>
        </w:rPr>
        <w:t>d</w:t>
      </w:r>
      <w:r w:rsidR="00FC1E5E" w:rsidRPr="00D629F5">
        <w:rPr>
          <w:rFonts w:eastAsia="Calibri"/>
          <w:bCs w:val="0"/>
          <w:lang w:val="fr-FR"/>
        </w:rPr>
        <w:t>es informations financières sur la perte et la dégradation des zones humides. Cette étude théorique sera publiée pour la 27</w:t>
      </w:r>
      <w:r w:rsidR="00FC1E5E" w:rsidRPr="00D629F5">
        <w:rPr>
          <w:rFonts w:eastAsia="Calibri"/>
          <w:bCs w:val="0"/>
          <w:vertAlign w:val="superscript"/>
          <w:lang w:val="fr-FR"/>
        </w:rPr>
        <w:t>e</w:t>
      </w:r>
      <w:r w:rsidR="00FC1E5E" w:rsidRPr="00D629F5">
        <w:rPr>
          <w:rFonts w:eastAsia="Calibri"/>
          <w:bCs w:val="0"/>
          <w:lang w:val="fr-FR"/>
        </w:rPr>
        <w:t xml:space="preserve"> réunion du GEST. Il est recommandé </w:t>
      </w:r>
      <w:r w:rsidR="003360D8" w:rsidRPr="00D629F5">
        <w:rPr>
          <w:rFonts w:eastAsia="Calibri"/>
          <w:bCs w:val="0"/>
          <w:lang w:val="fr-FR"/>
        </w:rPr>
        <w:t>de lancer</w:t>
      </w:r>
      <w:r w:rsidR="00FC1E5E" w:rsidRPr="00D629F5">
        <w:rPr>
          <w:rFonts w:eastAsia="Calibri"/>
          <w:bCs w:val="0"/>
          <w:lang w:val="fr-FR"/>
        </w:rPr>
        <w:t xml:space="preserve"> les Perspectives mondiales </w:t>
      </w:r>
      <w:r w:rsidR="006A741E" w:rsidRPr="00D629F5">
        <w:rPr>
          <w:rFonts w:eastAsia="Calibri"/>
          <w:bCs w:val="0"/>
          <w:lang w:val="fr-FR"/>
        </w:rPr>
        <w:t>d</w:t>
      </w:r>
      <w:r w:rsidR="00FC1E5E" w:rsidRPr="00D629F5">
        <w:rPr>
          <w:rFonts w:eastAsia="Calibri"/>
          <w:bCs w:val="0"/>
          <w:lang w:val="fr-FR"/>
        </w:rPr>
        <w:t>es zones humides 2025 peu avant la COP15 et d’organiser</w:t>
      </w:r>
      <w:r w:rsidR="003360D8" w:rsidRPr="00D629F5">
        <w:rPr>
          <w:rFonts w:eastAsia="Calibri"/>
          <w:bCs w:val="0"/>
          <w:lang w:val="fr-FR"/>
        </w:rPr>
        <w:t>, durant la COP,</w:t>
      </w:r>
      <w:r w:rsidR="00FC1E5E" w:rsidRPr="00D629F5">
        <w:rPr>
          <w:rFonts w:eastAsia="Calibri"/>
          <w:bCs w:val="0"/>
          <w:lang w:val="fr-FR"/>
        </w:rPr>
        <w:t xml:space="preserve"> une activité parallèle </w:t>
      </w:r>
      <w:r w:rsidR="003360D8" w:rsidRPr="00D629F5">
        <w:rPr>
          <w:rFonts w:eastAsia="Calibri"/>
          <w:bCs w:val="0"/>
          <w:lang w:val="fr-FR"/>
        </w:rPr>
        <w:t>sur les</w:t>
      </w:r>
      <w:r w:rsidR="00FC1E5E" w:rsidRPr="00D629F5">
        <w:rPr>
          <w:rFonts w:eastAsia="Calibri"/>
          <w:bCs w:val="0"/>
          <w:lang w:val="fr-FR"/>
        </w:rPr>
        <w:t xml:space="preserve"> Perspectives mondiales </w:t>
      </w:r>
      <w:r w:rsidR="006A741E" w:rsidRPr="00D629F5">
        <w:rPr>
          <w:rFonts w:eastAsia="Calibri"/>
          <w:bCs w:val="0"/>
          <w:lang w:val="fr-FR"/>
        </w:rPr>
        <w:t>d</w:t>
      </w:r>
      <w:r w:rsidR="00FC1E5E" w:rsidRPr="00D629F5">
        <w:rPr>
          <w:rFonts w:eastAsia="Calibri"/>
          <w:bCs w:val="0"/>
          <w:lang w:val="fr-FR"/>
        </w:rPr>
        <w:t>es zones humides.</w:t>
      </w:r>
      <w:r w:rsidR="00F319AD" w:rsidRPr="00D629F5">
        <w:rPr>
          <w:rFonts w:eastAsia="Calibri"/>
          <w:lang w:val="fr-FR"/>
        </w:rPr>
        <w:t xml:space="preserve"> </w:t>
      </w:r>
    </w:p>
    <w:p w14:paraId="2CF06113" w14:textId="77777777" w:rsidR="006A0CA6" w:rsidRPr="00D629F5" w:rsidRDefault="006A0CA6" w:rsidP="006A0CA6">
      <w:pPr>
        <w:ind w:left="432" w:hanging="432"/>
        <w:rPr>
          <w:rFonts w:eastAsia="Calibri"/>
          <w:bCs w:val="0"/>
          <w:lang w:val="fr-FR"/>
        </w:rPr>
      </w:pPr>
    </w:p>
    <w:p w14:paraId="08D0FD23" w14:textId="36ED3B0C" w:rsidR="00D92B4A" w:rsidRPr="00D629F5" w:rsidRDefault="00336E88" w:rsidP="00FB7EF2">
      <w:pPr>
        <w:ind w:left="432" w:hanging="432"/>
        <w:rPr>
          <w:rFonts w:eastAsia="Calibri"/>
          <w:bCs w:val="0"/>
          <w:lang w:val="fr-FR"/>
        </w:rPr>
      </w:pPr>
      <w:r>
        <w:rPr>
          <w:rFonts w:eastAsia="Calibri"/>
          <w:lang w:val="fr-FR"/>
        </w:rPr>
        <w:t>19</w:t>
      </w:r>
      <w:r w:rsidR="00F319AD" w:rsidRPr="00D629F5">
        <w:rPr>
          <w:rFonts w:eastAsia="Calibri"/>
          <w:lang w:val="fr-FR"/>
        </w:rPr>
        <w:t>.</w:t>
      </w:r>
      <w:r w:rsidR="00F319AD" w:rsidRPr="00D629F5">
        <w:rPr>
          <w:rFonts w:eastAsia="Calibri"/>
          <w:lang w:val="fr-FR"/>
        </w:rPr>
        <w:tab/>
      </w:r>
      <w:r w:rsidR="00A00737" w:rsidRPr="00D629F5">
        <w:rPr>
          <w:rFonts w:eastAsia="Calibri"/>
          <w:i/>
          <w:iCs/>
          <w:lang w:val="fr-FR"/>
        </w:rPr>
        <w:t xml:space="preserve">Tâche </w:t>
      </w:r>
      <w:r w:rsidR="00F319AD" w:rsidRPr="00D629F5">
        <w:rPr>
          <w:rFonts w:eastAsia="Calibri"/>
          <w:bCs w:val="0"/>
          <w:i/>
          <w:iCs/>
          <w:lang w:val="fr-FR"/>
        </w:rPr>
        <w:t xml:space="preserve">5.2. </w:t>
      </w:r>
      <w:r w:rsidR="004E302D" w:rsidRPr="00D629F5">
        <w:rPr>
          <w:rFonts w:eastAsia="Calibri"/>
          <w:i/>
          <w:iCs/>
          <w:lang w:val="fr-FR"/>
        </w:rPr>
        <w:t xml:space="preserve">Orientations pour soutenir la mise en œuvre mondiale du Cadre mondial de la biodiversité de Kunming-Montréal pour les zones humides </w:t>
      </w:r>
      <w:r w:rsidR="00F319AD" w:rsidRPr="00D629F5">
        <w:rPr>
          <w:rFonts w:eastAsia="Calibri"/>
          <w:bCs w:val="0"/>
          <w:lang w:val="fr-FR"/>
        </w:rPr>
        <w:t xml:space="preserve">: </w:t>
      </w:r>
      <w:r w:rsidR="00FC1E5E" w:rsidRPr="00D629F5">
        <w:rPr>
          <w:rFonts w:eastAsia="Calibri"/>
          <w:bCs w:val="0"/>
          <w:lang w:val="fr-FR"/>
        </w:rPr>
        <w:t>La tâche</w:t>
      </w:r>
      <w:r w:rsidR="00FB7EF2" w:rsidRPr="00D629F5">
        <w:rPr>
          <w:rFonts w:eastAsia="Calibri"/>
          <w:bCs w:val="0"/>
          <w:lang w:val="fr-FR"/>
        </w:rPr>
        <w:t xml:space="preserve"> 5.2 </w:t>
      </w:r>
      <w:r w:rsidR="00FC1E5E" w:rsidRPr="00D629F5">
        <w:rPr>
          <w:rFonts w:eastAsia="Calibri"/>
          <w:bCs w:val="0"/>
          <w:lang w:val="fr-FR"/>
        </w:rPr>
        <w:t xml:space="preserve">a été menée à bien. </w:t>
      </w:r>
      <w:r w:rsidR="00BA2266" w:rsidRPr="00D629F5">
        <w:rPr>
          <w:rFonts w:eastAsia="Calibri"/>
          <w:bCs w:val="0"/>
          <w:lang w:val="fr-FR"/>
        </w:rPr>
        <w:t>Elle</w:t>
      </w:r>
      <w:r w:rsidR="00FC1E5E" w:rsidRPr="00D629F5">
        <w:rPr>
          <w:rFonts w:eastAsia="Calibri"/>
          <w:bCs w:val="0"/>
          <w:lang w:val="fr-FR"/>
        </w:rPr>
        <w:t xml:space="preserve"> portait sur des orientations relatives à la place des zones humides dans la mise en œuvre du Cadre mondial de la biodiversité de Kunming-Montréal</w:t>
      </w:r>
      <w:r w:rsidR="00FD5A18" w:rsidRPr="00D629F5">
        <w:rPr>
          <w:rFonts w:eastAsia="Calibri"/>
          <w:bCs w:val="0"/>
          <w:lang w:val="fr-FR"/>
        </w:rPr>
        <w:t xml:space="preserve"> (</w:t>
      </w:r>
      <w:r w:rsidR="00305D4D" w:rsidRPr="00D629F5">
        <w:rPr>
          <w:rFonts w:eastAsia="Calibri"/>
          <w:bCs w:val="0"/>
          <w:lang w:val="fr-FR"/>
        </w:rPr>
        <w:t>CMB­KM</w:t>
      </w:r>
      <w:r w:rsidR="00FD5A18" w:rsidRPr="00D629F5">
        <w:rPr>
          <w:rFonts w:eastAsia="Calibri"/>
          <w:bCs w:val="0"/>
          <w:lang w:val="fr-FR"/>
        </w:rPr>
        <w:t xml:space="preserve">) et </w:t>
      </w:r>
      <w:r w:rsidR="000068FF" w:rsidRPr="00D629F5">
        <w:rPr>
          <w:rFonts w:eastAsia="Calibri"/>
          <w:bCs w:val="0"/>
          <w:lang w:val="fr-FR"/>
        </w:rPr>
        <w:t xml:space="preserve">sur </w:t>
      </w:r>
      <w:r w:rsidR="00FD5A18" w:rsidRPr="00D629F5">
        <w:rPr>
          <w:rFonts w:eastAsia="Calibri"/>
          <w:bCs w:val="0"/>
          <w:lang w:val="fr-FR"/>
        </w:rPr>
        <w:t xml:space="preserve">des recommandations </w:t>
      </w:r>
      <w:r w:rsidR="000068FF" w:rsidRPr="00D629F5">
        <w:rPr>
          <w:rFonts w:eastAsia="Calibri"/>
          <w:bCs w:val="0"/>
          <w:lang w:val="fr-FR"/>
        </w:rPr>
        <w:t>relatives à</w:t>
      </w:r>
      <w:r w:rsidR="00FD5A18" w:rsidRPr="00D629F5">
        <w:rPr>
          <w:rFonts w:eastAsia="Calibri"/>
          <w:bCs w:val="0"/>
          <w:lang w:val="fr-FR"/>
        </w:rPr>
        <w:t xml:space="preserve"> la place adéquate des zones humides dans le cadre d’indicateurs du </w:t>
      </w:r>
      <w:r w:rsidR="00305D4D" w:rsidRPr="00D629F5">
        <w:rPr>
          <w:rFonts w:eastAsia="Calibri"/>
          <w:bCs w:val="0"/>
          <w:lang w:val="fr-FR"/>
        </w:rPr>
        <w:t>CMB-KM</w:t>
      </w:r>
      <w:r w:rsidR="00FD5A18" w:rsidRPr="00D629F5">
        <w:rPr>
          <w:rFonts w:eastAsia="Calibri"/>
          <w:bCs w:val="0"/>
          <w:lang w:val="fr-FR"/>
        </w:rPr>
        <w:t xml:space="preserve">. Les résultats suivants ont été obtenus : </w:t>
      </w:r>
    </w:p>
    <w:p w14:paraId="108617FA" w14:textId="1C06721F" w:rsidR="00F73F1C" w:rsidRPr="00D629F5" w:rsidRDefault="00227756" w:rsidP="00332D1A">
      <w:pPr>
        <w:pStyle w:val="ListParagraph"/>
        <w:numPr>
          <w:ilvl w:val="0"/>
          <w:numId w:val="1"/>
        </w:numPr>
        <w:rPr>
          <w:rFonts w:eastAsia="Calibri"/>
          <w:bCs w:val="0"/>
          <w:lang w:val="fr-FR"/>
        </w:rPr>
      </w:pPr>
      <w:r w:rsidRPr="00D629F5">
        <w:rPr>
          <w:rFonts w:eastAsia="Calibri"/>
          <w:bCs w:val="0"/>
          <w:lang w:val="fr-FR"/>
        </w:rPr>
        <w:t>Présentation</w:t>
      </w:r>
      <w:r w:rsidR="000068FF" w:rsidRPr="00D629F5">
        <w:rPr>
          <w:rFonts w:eastAsia="Calibri"/>
          <w:bCs w:val="0"/>
          <w:lang w:val="fr-FR"/>
        </w:rPr>
        <w:t>,</w:t>
      </w:r>
      <w:r w:rsidRPr="00D629F5">
        <w:rPr>
          <w:rFonts w:eastAsia="Calibri"/>
          <w:bCs w:val="0"/>
          <w:lang w:val="fr-FR"/>
        </w:rPr>
        <w:t xml:space="preserve"> </w:t>
      </w:r>
      <w:r w:rsidR="000068FF" w:rsidRPr="00D629F5">
        <w:rPr>
          <w:rFonts w:eastAsia="Calibri"/>
          <w:lang w:val="fr-FR"/>
        </w:rPr>
        <w:t xml:space="preserve">le 29 février 2024 (SC63 Inf.3), </w:t>
      </w:r>
      <w:r w:rsidRPr="00D629F5">
        <w:rPr>
          <w:rFonts w:eastAsia="Calibri"/>
          <w:bCs w:val="0"/>
          <w:lang w:val="fr-FR"/>
        </w:rPr>
        <w:t xml:space="preserve">à la </w:t>
      </w:r>
      <w:r w:rsidRPr="00D629F5">
        <w:rPr>
          <w:rFonts w:eastAsia="Calibri"/>
          <w:bCs w:val="0"/>
          <w:i/>
          <w:iCs/>
          <w:lang w:val="fr-FR"/>
        </w:rPr>
        <w:t>6</w:t>
      </w:r>
      <w:r w:rsidRPr="00D629F5">
        <w:rPr>
          <w:rFonts w:eastAsia="Calibri"/>
          <w:bCs w:val="0"/>
          <w:i/>
          <w:iCs/>
          <w:vertAlign w:val="superscript"/>
          <w:lang w:val="fr-FR"/>
        </w:rPr>
        <w:t>e</w:t>
      </w:r>
      <w:r w:rsidRPr="00D629F5">
        <w:rPr>
          <w:rFonts w:eastAsia="Calibri"/>
          <w:bCs w:val="0"/>
          <w:i/>
          <w:iCs/>
          <w:lang w:val="fr-FR"/>
        </w:rPr>
        <w:t xml:space="preserve"> session du</w:t>
      </w:r>
      <w:r w:rsidR="00F319AD" w:rsidRPr="00D629F5">
        <w:rPr>
          <w:rFonts w:eastAsia="Calibri"/>
          <w:i/>
          <w:lang w:val="fr-FR"/>
        </w:rPr>
        <w:t xml:space="preserve"> </w:t>
      </w:r>
      <w:r w:rsidRPr="00D629F5">
        <w:rPr>
          <w:rFonts w:eastAsia="Calibri"/>
          <w:i/>
          <w:lang w:val="fr-FR"/>
        </w:rPr>
        <w:t xml:space="preserve">Groupe spécial d’experts techniques sur les indicateurs de la prise en compte réelle des zones humides dans le Cadre de </w:t>
      </w:r>
      <w:r w:rsidR="00192DEB" w:rsidRPr="00D629F5">
        <w:rPr>
          <w:rFonts w:eastAsia="Calibri"/>
          <w:i/>
          <w:lang w:val="fr-FR"/>
        </w:rPr>
        <w:t xml:space="preserve">suivi </w:t>
      </w:r>
      <w:r w:rsidRPr="00D629F5">
        <w:rPr>
          <w:rFonts w:eastAsia="Calibri"/>
          <w:i/>
          <w:lang w:val="fr-FR"/>
        </w:rPr>
        <w:t xml:space="preserve">du </w:t>
      </w:r>
      <w:r w:rsidR="00305D4D" w:rsidRPr="00D629F5">
        <w:rPr>
          <w:rFonts w:eastAsia="Calibri"/>
          <w:i/>
          <w:lang w:val="fr-FR"/>
        </w:rPr>
        <w:t>CMB-KM</w:t>
      </w:r>
      <w:r w:rsidR="00166460" w:rsidRPr="00D629F5">
        <w:rPr>
          <w:rStyle w:val="FootnoteReference"/>
          <w:rFonts w:eastAsia="Calibri"/>
          <w:bCs w:val="0"/>
          <w:lang w:val="fr-FR"/>
        </w:rPr>
        <w:footnoteReference w:id="4"/>
      </w:r>
      <w:r w:rsidR="00F319AD" w:rsidRPr="00D629F5">
        <w:rPr>
          <w:rFonts w:eastAsia="Calibri"/>
          <w:lang w:val="fr-FR"/>
        </w:rPr>
        <w:t xml:space="preserve">. </w:t>
      </w:r>
      <w:r w:rsidR="00255CC6" w:rsidRPr="00D629F5">
        <w:rPr>
          <w:rFonts w:eastAsia="Calibri"/>
          <w:bCs w:val="0"/>
          <w:lang w:val="fr-FR"/>
        </w:rPr>
        <w:t>Elle comprenai</w:t>
      </w:r>
      <w:r w:rsidR="00845FA5" w:rsidRPr="00D629F5">
        <w:rPr>
          <w:rFonts w:eastAsia="Calibri"/>
          <w:bCs w:val="0"/>
          <w:lang w:val="fr-FR"/>
        </w:rPr>
        <w:t xml:space="preserve">t </w:t>
      </w:r>
      <w:r w:rsidR="00255CC6" w:rsidRPr="00D629F5">
        <w:rPr>
          <w:rFonts w:eastAsia="Calibri"/>
          <w:bCs w:val="0"/>
          <w:lang w:val="fr-FR"/>
        </w:rPr>
        <w:t xml:space="preserve">un examen des indicateurs et des mécanismes d’établissement des rapports pertinents pour le cadre d’indicateurs du </w:t>
      </w:r>
      <w:r w:rsidR="00305D4D" w:rsidRPr="00D629F5">
        <w:rPr>
          <w:rFonts w:eastAsia="Calibri"/>
          <w:bCs w:val="0"/>
          <w:lang w:val="fr-FR"/>
        </w:rPr>
        <w:t>CMB-KM</w:t>
      </w:r>
      <w:r w:rsidR="000068FF" w:rsidRPr="00D629F5">
        <w:rPr>
          <w:rFonts w:eastAsia="Calibri"/>
          <w:bCs w:val="0"/>
          <w:lang w:val="fr-FR"/>
        </w:rPr>
        <w:t> ; elle</w:t>
      </w:r>
      <w:r w:rsidR="00255CC6" w:rsidRPr="00D629F5">
        <w:rPr>
          <w:rFonts w:eastAsia="Calibri"/>
          <w:bCs w:val="0"/>
          <w:lang w:val="fr-FR"/>
        </w:rPr>
        <w:t xml:space="preserve"> a été produite grâce à un appui financier additionnel du Royaume-Uni de Grande-Bretagne et d’Irlande du Nord. </w:t>
      </w:r>
    </w:p>
    <w:p w14:paraId="541CAA74" w14:textId="55EBC20E" w:rsidR="00B4439E" w:rsidRPr="00D629F5" w:rsidRDefault="000068FF" w:rsidP="00332D1A">
      <w:pPr>
        <w:pStyle w:val="ListParagraph"/>
        <w:numPr>
          <w:ilvl w:val="0"/>
          <w:numId w:val="1"/>
        </w:numPr>
        <w:rPr>
          <w:rFonts w:eastAsia="Calibri"/>
          <w:bCs w:val="0"/>
          <w:lang w:val="fr-FR"/>
        </w:rPr>
      </w:pPr>
      <w:r w:rsidRPr="00D629F5">
        <w:rPr>
          <w:rFonts w:eastAsia="Calibri"/>
          <w:bCs w:val="0"/>
          <w:lang w:val="fr-FR"/>
        </w:rPr>
        <w:t>D</w:t>
      </w:r>
      <w:r w:rsidR="001D470E" w:rsidRPr="00D629F5">
        <w:rPr>
          <w:rFonts w:eastAsia="Calibri"/>
          <w:bCs w:val="0"/>
          <w:lang w:val="fr-FR"/>
        </w:rPr>
        <w:t>ocument d’information sur le</w:t>
      </w:r>
      <w:r w:rsidR="00B4439E" w:rsidRPr="00D629F5">
        <w:rPr>
          <w:rFonts w:eastAsia="Calibri"/>
          <w:lang w:val="fr-FR"/>
        </w:rPr>
        <w:t xml:space="preserve"> </w:t>
      </w:r>
      <w:r w:rsidR="001D470E" w:rsidRPr="00D629F5">
        <w:rPr>
          <w:rFonts w:eastAsia="Calibri"/>
          <w:i/>
          <w:lang w:val="fr-FR"/>
        </w:rPr>
        <w:t>Cadre mondial de la biodiversité de Kunming-Montréal : Changer l’échelle de la conservation, la restauration et l’utilisation rationnelle des zones humides dans les SPANB</w:t>
      </w:r>
      <w:r w:rsidR="00B4439E" w:rsidRPr="00D629F5">
        <w:rPr>
          <w:rStyle w:val="FootnoteReference"/>
          <w:rFonts w:eastAsia="Calibri"/>
          <w:bCs w:val="0"/>
          <w:i/>
          <w:iCs/>
          <w:lang w:val="fr-FR"/>
        </w:rPr>
        <w:footnoteReference w:id="5"/>
      </w:r>
      <w:r w:rsidR="00255CC6" w:rsidRPr="00D629F5">
        <w:rPr>
          <w:rFonts w:eastAsia="Calibri"/>
          <w:i/>
          <w:lang w:val="fr-FR"/>
        </w:rPr>
        <w:t>,</w:t>
      </w:r>
      <w:r w:rsidR="00B4439E" w:rsidRPr="00D629F5">
        <w:rPr>
          <w:rFonts w:eastAsia="Calibri"/>
          <w:bCs w:val="0"/>
          <w:i/>
          <w:iCs/>
          <w:lang w:val="fr-FR"/>
        </w:rPr>
        <w:t xml:space="preserve"> </w:t>
      </w:r>
      <w:r w:rsidR="00B4439E" w:rsidRPr="00D629F5">
        <w:rPr>
          <w:rFonts w:eastAsia="Calibri"/>
          <w:lang w:val="fr-FR"/>
        </w:rPr>
        <w:t>publi</w:t>
      </w:r>
      <w:r w:rsidR="001D470E" w:rsidRPr="00D629F5">
        <w:rPr>
          <w:rFonts w:eastAsia="Calibri"/>
          <w:lang w:val="fr-FR"/>
        </w:rPr>
        <w:t>é le</w:t>
      </w:r>
      <w:r w:rsidR="00B4439E" w:rsidRPr="00D629F5">
        <w:rPr>
          <w:rFonts w:eastAsia="Calibri"/>
          <w:lang w:val="fr-FR"/>
        </w:rPr>
        <w:t xml:space="preserve"> 23 </w:t>
      </w:r>
      <w:r w:rsidR="001D470E" w:rsidRPr="00D629F5">
        <w:rPr>
          <w:rFonts w:eastAsia="Calibri"/>
          <w:lang w:val="fr-FR"/>
        </w:rPr>
        <w:t>n</w:t>
      </w:r>
      <w:r w:rsidR="00B4439E" w:rsidRPr="00D629F5">
        <w:rPr>
          <w:rFonts w:eastAsia="Calibri"/>
          <w:lang w:val="fr-FR"/>
        </w:rPr>
        <w:t>ovemb</w:t>
      </w:r>
      <w:r w:rsidR="001D470E" w:rsidRPr="00D629F5">
        <w:rPr>
          <w:rFonts w:eastAsia="Calibri"/>
          <w:lang w:val="fr-FR"/>
        </w:rPr>
        <w:t>re</w:t>
      </w:r>
      <w:r w:rsidR="00B4439E" w:rsidRPr="00D629F5">
        <w:rPr>
          <w:rFonts w:eastAsia="Calibri"/>
          <w:lang w:val="fr-FR"/>
        </w:rPr>
        <w:t xml:space="preserve"> 2023. </w:t>
      </w:r>
    </w:p>
    <w:p w14:paraId="50480CD2" w14:textId="28A6EBA6" w:rsidR="006A0CA6" w:rsidRPr="00D629F5" w:rsidRDefault="00E33D9D" w:rsidP="00332D1A">
      <w:pPr>
        <w:pStyle w:val="ListParagraph"/>
        <w:numPr>
          <w:ilvl w:val="0"/>
          <w:numId w:val="1"/>
        </w:numPr>
        <w:rPr>
          <w:rFonts w:eastAsia="Calibri"/>
          <w:lang w:val="fr-FR"/>
        </w:rPr>
      </w:pPr>
      <w:r w:rsidRPr="00D629F5">
        <w:rPr>
          <w:rFonts w:eastAsia="Calibri"/>
          <w:lang w:val="fr-FR"/>
        </w:rPr>
        <w:t>Rapport t</w:t>
      </w:r>
      <w:r w:rsidR="00F319AD" w:rsidRPr="00D629F5">
        <w:rPr>
          <w:rFonts w:eastAsia="Calibri"/>
          <w:lang w:val="fr-FR"/>
        </w:rPr>
        <w:t>echni</w:t>
      </w:r>
      <w:r w:rsidRPr="00D629F5">
        <w:rPr>
          <w:rFonts w:eastAsia="Calibri"/>
          <w:lang w:val="fr-FR"/>
        </w:rPr>
        <w:t>que</w:t>
      </w:r>
      <w:r w:rsidR="00634833" w:rsidRPr="00D629F5">
        <w:rPr>
          <w:rFonts w:eastAsia="Calibri"/>
          <w:bCs w:val="0"/>
          <w:lang w:val="fr-FR"/>
        </w:rPr>
        <w:t xml:space="preserve"> 1</w:t>
      </w:r>
      <w:r w:rsidR="00C71031" w:rsidRPr="00D629F5">
        <w:rPr>
          <w:rFonts w:eastAsia="Calibri"/>
          <w:bCs w:val="0"/>
          <w:lang w:val="fr-FR"/>
        </w:rPr>
        <w:t>2</w:t>
      </w:r>
      <w:r w:rsidRPr="00D629F5">
        <w:rPr>
          <w:rFonts w:eastAsia="Calibri"/>
          <w:bCs w:val="0"/>
          <w:lang w:val="fr-FR"/>
        </w:rPr>
        <w:t xml:space="preserve"> </w:t>
      </w:r>
      <w:r w:rsidR="00C71031" w:rsidRPr="00D629F5">
        <w:rPr>
          <w:rFonts w:eastAsia="Calibri"/>
          <w:bCs w:val="0"/>
          <w:lang w:val="fr-FR"/>
        </w:rPr>
        <w:t>:</w:t>
      </w:r>
      <w:r w:rsidR="00F319AD" w:rsidRPr="00D629F5">
        <w:rPr>
          <w:rFonts w:eastAsia="Calibri"/>
          <w:lang w:val="fr-FR"/>
        </w:rPr>
        <w:t xml:space="preserve"> </w:t>
      </w:r>
      <w:r w:rsidRPr="00D629F5">
        <w:rPr>
          <w:rFonts w:eastAsia="Calibri"/>
          <w:i/>
          <w:lang w:val="fr-FR"/>
        </w:rPr>
        <w:t>Intensifier les efforts de conservation et de restauration des zones humides pour mettre en œuvre le Cadre mondial de la biodiversité de Kunming-Montréal </w:t>
      </w:r>
      <w:r w:rsidR="00F319AD" w:rsidRPr="00D629F5">
        <w:rPr>
          <w:rFonts w:eastAsia="Calibri"/>
          <w:i/>
          <w:lang w:val="fr-FR"/>
        </w:rPr>
        <w:t xml:space="preserve">: </w:t>
      </w:r>
      <w:r w:rsidRPr="00D629F5">
        <w:rPr>
          <w:rFonts w:eastAsia="Calibri"/>
          <w:i/>
          <w:lang w:val="fr-FR"/>
        </w:rPr>
        <w:t>Orientations sur les moyens d’inscrire les zones humides dans les Stratégies et plans d’action nationaux pour la biodiversité (SPANB) afin de renforcer la biodiversité et de faire cesser la perte et la dégradation des zones humides</w:t>
      </w:r>
      <w:r w:rsidR="00166460" w:rsidRPr="00D629F5">
        <w:rPr>
          <w:rStyle w:val="FootnoteReference"/>
          <w:rFonts w:eastAsia="Calibri"/>
          <w:bCs w:val="0"/>
          <w:i/>
          <w:iCs/>
          <w:lang w:val="fr-FR"/>
        </w:rPr>
        <w:footnoteReference w:id="6"/>
      </w:r>
      <w:r w:rsidR="00F319AD" w:rsidRPr="00D629F5">
        <w:rPr>
          <w:rFonts w:eastAsia="Calibri"/>
          <w:lang w:val="fr-FR"/>
        </w:rPr>
        <w:t xml:space="preserve"> publi</w:t>
      </w:r>
      <w:r w:rsidR="00255CC6" w:rsidRPr="00D629F5">
        <w:rPr>
          <w:rFonts w:eastAsia="Calibri"/>
          <w:lang w:val="fr-FR"/>
        </w:rPr>
        <w:t xml:space="preserve">é le 15 mai 2024 et </w:t>
      </w:r>
      <w:r w:rsidR="0013713C" w:rsidRPr="00D629F5">
        <w:rPr>
          <w:rFonts w:eastAsia="Calibri"/>
          <w:lang w:val="fr-FR"/>
        </w:rPr>
        <w:t>présenté</w:t>
      </w:r>
      <w:r w:rsidR="00255CC6" w:rsidRPr="00D629F5">
        <w:rPr>
          <w:rFonts w:eastAsia="Calibri"/>
          <w:lang w:val="fr-FR"/>
        </w:rPr>
        <w:t xml:space="preserve"> lors d’un webinaire conjoint organisé avec la CDB, le 19 juin 2024.</w:t>
      </w:r>
      <w:r w:rsidR="00F319AD" w:rsidRPr="00D629F5">
        <w:rPr>
          <w:rFonts w:eastAsia="Calibri"/>
          <w:lang w:val="fr-FR"/>
        </w:rPr>
        <w:t xml:space="preserve"> </w:t>
      </w:r>
    </w:p>
    <w:p w14:paraId="5357F060" w14:textId="449BAE2B" w:rsidR="006A0CA6" w:rsidRPr="00D629F5" w:rsidRDefault="006A0CA6" w:rsidP="006A0CA6">
      <w:pPr>
        <w:ind w:left="432" w:hanging="432"/>
        <w:rPr>
          <w:rFonts w:eastAsia="Calibri"/>
          <w:bCs w:val="0"/>
          <w:lang w:val="fr-FR"/>
        </w:rPr>
      </w:pPr>
    </w:p>
    <w:p w14:paraId="0AFEF6AC" w14:textId="64B224A6" w:rsidR="006A0CA6" w:rsidRPr="00D629F5" w:rsidRDefault="00F319AD" w:rsidP="00CC2E0C">
      <w:pPr>
        <w:ind w:left="432" w:hanging="432"/>
        <w:rPr>
          <w:rFonts w:eastAsia="Calibri"/>
          <w:bCs w:val="0"/>
          <w:lang w:val="fr-FR"/>
        </w:rPr>
      </w:pPr>
      <w:r w:rsidRPr="00D629F5">
        <w:rPr>
          <w:rFonts w:eastAsia="Calibri"/>
          <w:lang w:val="fr-FR"/>
        </w:rPr>
        <w:t>2</w:t>
      </w:r>
      <w:r w:rsidR="00336E88">
        <w:rPr>
          <w:rFonts w:eastAsia="Calibri"/>
          <w:lang w:val="fr-FR"/>
        </w:rPr>
        <w:t>0</w:t>
      </w:r>
      <w:r w:rsidRPr="00D629F5">
        <w:rPr>
          <w:rFonts w:eastAsia="Calibri"/>
          <w:lang w:val="fr-FR"/>
        </w:rPr>
        <w:t>.</w:t>
      </w:r>
      <w:r w:rsidR="0019242E" w:rsidRPr="00D629F5">
        <w:rPr>
          <w:rFonts w:eastAsia="Calibri"/>
          <w:lang w:val="fr-FR"/>
        </w:rPr>
        <w:tab/>
      </w:r>
      <w:r w:rsidR="00A00737" w:rsidRPr="00D629F5">
        <w:rPr>
          <w:rFonts w:eastAsia="Calibri"/>
          <w:i/>
          <w:iCs/>
          <w:lang w:val="fr-FR"/>
        </w:rPr>
        <w:t xml:space="preserve">Tâche </w:t>
      </w:r>
      <w:r w:rsidRPr="00D629F5">
        <w:rPr>
          <w:rFonts w:eastAsia="Calibri"/>
          <w:bCs w:val="0"/>
          <w:i/>
          <w:iCs/>
          <w:lang w:val="fr-FR"/>
        </w:rPr>
        <w:t xml:space="preserve">5.3. </w:t>
      </w:r>
      <w:r w:rsidR="004E302D" w:rsidRPr="00D629F5">
        <w:rPr>
          <w:rFonts w:eastAsia="Calibri"/>
          <w:i/>
          <w:iCs/>
          <w:lang w:val="fr-FR"/>
        </w:rPr>
        <w:t xml:space="preserve">Élaborer une approche pour la réalisation des futures éditions des Perspectives mondiales </w:t>
      </w:r>
      <w:r w:rsidR="006A741E" w:rsidRPr="00D629F5">
        <w:rPr>
          <w:rFonts w:eastAsia="Calibri"/>
          <w:i/>
          <w:iCs/>
          <w:lang w:val="fr-FR"/>
        </w:rPr>
        <w:t>d</w:t>
      </w:r>
      <w:r w:rsidR="004E302D" w:rsidRPr="00D629F5">
        <w:rPr>
          <w:rFonts w:eastAsia="Calibri"/>
          <w:i/>
          <w:iCs/>
          <w:lang w:val="fr-FR"/>
        </w:rPr>
        <w:t>es zones humides </w:t>
      </w:r>
      <w:r w:rsidRPr="00D629F5">
        <w:rPr>
          <w:rFonts w:eastAsia="Calibri"/>
          <w:bCs w:val="0"/>
          <w:lang w:val="fr-FR"/>
        </w:rPr>
        <w:t xml:space="preserve">: </w:t>
      </w:r>
      <w:r w:rsidR="005C1704" w:rsidRPr="00D629F5">
        <w:rPr>
          <w:rFonts w:eastAsia="Calibri"/>
          <w:bCs w:val="0"/>
          <w:lang w:val="fr-FR"/>
        </w:rPr>
        <w:t xml:space="preserve">Un plan intégral pour les futures Perspectives mondiales </w:t>
      </w:r>
      <w:r w:rsidR="006A741E" w:rsidRPr="00D629F5">
        <w:rPr>
          <w:rFonts w:eastAsia="Calibri"/>
          <w:bCs w:val="0"/>
          <w:lang w:val="fr-FR"/>
        </w:rPr>
        <w:t>d</w:t>
      </w:r>
      <w:r w:rsidR="005C1704" w:rsidRPr="00D629F5">
        <w:rPr>
          <w:rFonts w:eastAsia="Calibri"/>
          <w:bCs w:val="0"/>
          <w:lang w:val="fr-FR"/>
        </w:rPr>
        <w:t>es zones humides a été élaboré</w:t>
      </w:r>
      <w:r w:rsidR="00AC49FB" w:rsidRPr="00D629F5">
        <w:rPr>
          <w:rFonts w:eastAsia="Calibri"/>
          <w:bCs w:val="0"/>
          <w:lang w:val="fr-FR"/>
        </w:rPr>
        <w:t> ;</w:t>
      </w:r>
      <w:r w:rsidR="005C1704" w:rsidRPr="00D629F5">
        <w:rPr>
          <w:rFonts w:eastAsia="Calibri"/>
          <w:bCs w:val="0"/>
          <w:lang w:val="fr-FR"/>
        </w:rPr>
        <w:t xml:space="preserve"> les méthodologies, les calendriers et les besoins en ressources ont été pris en considération sur la base d’éditions précédentes et d’autres évaluations internationales. L’Annexe 4 du présent rapport décrit des </w:t>
      </w:r>
      <w:r w:rsidR="00AC49FB" w:rsidRPr="00D629F5">
        <w:rPr>
          <w:rFonts w:eastAsia="Calibri"/>
          <w:bCs w:val="0"/>
          <w:lang w:val="fr-FR"/>
        </w:rPr>
        <w:t>options</w:t>
      </w:r>
      <w:r w:rsidR="005C1704" w:rsidRPr="00D629F5">
        <w:rPr>
          <w:rFonts w:eastAsia="Calibri"/>
          <w:bCs w:val="0"/>
          <w:lang w:val="fr-FR"/>
        </w:rPr>
        <w:t xml:space="preserve"> possibles pour les futures Perspectives mondiales </w:t>
      </w:r>
      <w:r w:rsidR="006A741E" w:rsidRPr="00D629F5">
        <w:rPr>
          <w:rFonts w:eastAsia="Calibri"/>
          <w:bCs w:val="0"/>
          <w:lang w:val="fr-FR"/>
        </w:rPr>
        <w:t>d</w:t>
      </w:r>
      <w:r w:rsidR="005C1704" w:rsidRPr="00D629F5">
        <w:rPr>
          <w:rFonts w:eastAsia="Calibri"/>
          <w:bCs w:val="0"/>
          <w:lang w:val="fr-FR"/>
        </w:rPr>
        <w:t>es zones humides, pour examen par le Comité permanent.</w:t>
      </w:r>
    </w:p>
    <w:p w14:paraId="7249DB41" w14:textId="77777777" w:rsidR="006A0CA6" w:rsidRPr="00D629F5" w:rsidRDefault="006A0CA6" w:rsidP="006A0CA6">
      <w:pPr>
        <w:ind w:left="432" w:hanging="432"/>
        <w:rPr>
          <w:rFonts w:eastAsia="Calibri"/>
          <w:bCs w:val="0"/>
          <w:lang w:val="fr-FR"/>
        </w:rPr>
      </w:pPr>
    </w:p>
    <w:p w14:paraId="5B3C2C11" w14:textId="02C0E883" w:rsidR="00D23B75" w:rsidRPr="00D629F5" w:rsidRDefault="00F319AD" w:rsidP="00CC2E0C">
      <w:pPr>
        <w:ind w:left="432" w:hanging="432"/>
        <w:rPr>
          <w:rFonts w:eastAsia="Calibri"/>
          <w:lang w:val="fr-FR"/>
        </w:rPr>
      </w:pPr>
      <w:r w:rsidRPr="00D629F5">
        <w:rPr>
          <w:rFonts w:eastAsia="Calibri"/>
          <w:lang w:val="fr-FR"/>
        </w:rPr>
        <w:t>2</w:t>
      </w:r>
      <w:r w:rsidR="00336E88">
        <w:rPr>
          <w:rFonts w:eastAsia="Calibri"/>
          <w:lang w:val="fr-FR"/>
        </w:rPr>
        <w:t>1</w:t>
      </w:r>
      <w:r w:rsidRPr="00D629F5">
        <w:rPr>
          <w:rFonts w:eastAsia="Calibri"/>
          <w:lang w:val="fr-FR"/>
        </w:rPr>
        <w:t>.</w:t>
      </w:r>
      <w:r w:rsidRPr="00D629F5">
        <w:rPr>
          <w:rFonts w:eastAsia="Calibri"/>
          <w:b/>
          <w:lang w:val="fr-FR"/>
        </w:rPr>
        <w:tab/>
      </w:r>
      <w:r w:rsidR="00A00737" w:rsidRPr="00D629F5">
        <w:rPr>
          <w:rFonts w:eastAsia="Calibri"/>
          <w:i/>
          <w:iCs/>
          <w:lang w:val="fr-FR"/>
        </w:rPr>
        <w:t xml:space="preserve">Tâche </w:t>
      </w:r>
      <w:r w:rsidRPr="00D629F5">
        <w:rPr>
          <w:rFonts w:eastAsia="Calibri"/>
          <w:bCs w:val="0"/>
          <w:i/>
          <w:iCs/>
          <w:lang w:val="fr-FR"/>
        </w:rPr>
        <w:t xml:space="preserve">5.4. </w:t>
      </w:r>
      <w:r w:rsidR="008060EF" w:rsidRPr="00D629F5">
        <w:rPr>
          <w:rFonts w:eastAsia="Calibri"/>
          <w:i/>
          <w:iCs/>
          <w:lang w:val="fr-FR"/>
        </w:rPr>
        <w:t>Examen des cadres politique</w:t>
      </w:r>
      <w:r w:rsidR="0013713C" w:rsidRPr="00D629F5">
        <w:rPr>
          <w:rFonts w:eastAsia="Calibri"/>
          <w:i/>
          <w:iCs/>
          <w:lang w:val="fr-FR"/>
        </w:rPr>
        <w:t>s</w:t>
      </w:r>
      <w:r w:rsidR="008060EF" w:rsidRPr="00D629F5">
        <w:rPr>
          <w:rFonts w:eastAsia="Calibri"/>
          <w:i/>
          <w:iCs/>
          <w:lang w:val="fr-FR"/>
        </w:rPr>
        <w:t xml:space="preserve"> et juridique</w:t>
      </w:r>
      <w:r w:rsidR="0013713C" w:rsidRPr="00D629F5">
        <w:rPr>
          <w:rFonts w:eastAsia="Calibri"/>
          <w:i/>
          <w:iCs/>
          <w:lang w:val="fr-FR"/>
        </w:rPr>
        <w:t>s</w:t>
      </w:r>
      <w:r w:rsidR="008060EF" w:rsidRPr="00D629F5">
        <w:rPr>
          <w:rFonts w:eastAsia="Calibri"/>
          <w:i/>
          <w:iCs/>
          <w:lang w:val="fr-FR"/>
        </w:rPr>
        <w:t xml:space="preserve"> pour la conservation et l’utilisation rationnelle des zones humides : document d’orientation technique :</w:t>
      </w:r>
      <w:r w:rsidR="008060EF" w:rsidRPr="00D629F5">
        <w:rPr>
          <w:rFonts w:eastAsia="Calibri"/>
          <w:bCs w:val="0"/>
          <w:i/>
          <w:iCs/>
          <w:lang w:val="fr-FR"/>
        </w:rPr>
        <w:t xml:space="preserve"> </w:t>
      </w:r>
      <w:r w:rsidR="005C1704" w:rsidRPr="00D629F5">
        <w:rPr>
          <w:rFonts w:eastAsia="Calibri"/>
          <w:bCs w:val="0"/>
          <w:lang w:val="fr-FR"/>
        </w:rPr>
        <w:t>La tâche </w:t>
      </w:r>
      <w:r w:rsidR="00FD139B" w:rsidRPr="00D629F5">
        <w:rPr>
          <w:rFonts w:eastAsia="Calibri"/>
          <w:bCs w:val="0"/>
          <w:lang w:val="fr-FR"/>
        </w:rPr>
        <w:t xml:space="preserve">5.4 </w:t>
      </w:r>
      <w:r w:rsidR="005C1704" w:rsidRPr="00D629F5">
        <w:rPr>
          <w:rFonts w:eastAsia="Calibri"/>
          <w:bCs w:val="0"/>
          <w:lang w:val="fr-FR"/>
        </w:rPr>
        <w:t xml:space="preserve">a été menée à bien. </w:t>
      </w:r>
      <w:r w:rsidR="00AC49FB" w:rsidRPr="00D629F5">
        <w:rPr>
          <w:rFonts w:eastAsia="Calibri"/>
          <w:bCs w:val="0"/>
          <w:lang w:val="fr-FR"/>
        </w:rPr>
        <w:t>U</w:t>
      </w:r>
      <w:r w:rsidR="005C1704" w:rsidRPr="00D629F5">
        <w:rPr>
          <w:rFonts w:eastAsia="Calibri"/>
          <w:bCs w:val="0"/>
          <w:lang w:val="fr-FR"/>
        </w:rPr>
        <w:t xml:space="preserve">n document d’orientation </w:t>
      </w:r>
      <w:r w:rsidR="00AC23A0" w:rsidRPr="00D629F5">
        <w:rPr>
          <w:rFonts w:eastAsia="Calibri"/>
          <w:bCs w:val="0"/>
          <w:lang w:val="fr-FR"/>
        </w:rPr>
        <w:t>technique</w:t>
      </w:r>
      <w:r w:rsidR="00AC49FB" w:rsidRPr="00D629F5">
        <w:rPr>
          <w:rFonts w:eastAsia="Calibri"/>
          <w:bCs w:val="0"/>
          <w:lang w:val="fr-FR"/>
        </w:rPr>
        <w:t xml:space="preserve"> a été produit qui présente</w:t>
      </w:r>
      <w:r w:rsidR="00AC23A0" w:rsidRPr="00D629F5">
        <w:rPr>
          <w:rFonts w:eastAsia="Calibri"/>
          <w:bCs w:val="0"/>
          <w:lang w:val="fr-FR"/>
        </w:rPr>
        <w:t xml:space="preserve"> un plan d’évaluation des cadres politique</w:t>
      </w:r>
      <w:r w:rsidR="00E041C1" w:rsidRPr="00D629F5">
        <w:rPr>
          <w:rFonts w:eastAsia="Calibri"/>
          <w:bCs w:val="0"/>
          <w:lang w:val="fr-FR"/>
        </w:rPr>
        <w:t>s</w:t>
      </w:r>
      <w:r w:rsidR="00AC23A0" w:rsidRPr="00D629F5">
        <w:rPr>
          <w:rFonts w:eastAsia="Calibri"/>
          <w:bCs w:val="0"/>
          <w:lang w:val="fr-FR"/>
        </w:rPr>
        <w:t xml:space="preserve"> et juridique</w:t>
      </w:r>
      <w:r w:rsidR="00E041C1" w:rsidRPr="00D629F5">
        <w:rPr>
          <w:rFonts w:eastAsia="Calibri"/>
          <w:bCs w:val="0"/>
          <w:lang w:val="fr-FR"/>
        </w:rPr>
        <w:t>s</w:t>
      </w:r>
      <w:r w:rsidR="00AC23A0" w:rsidRPr="00D629F5">
        <w:rPr>
          <w:rFonts w:eastAsia="Calibri"/>
          <w:bCs w:val="0"/>
          <w:lang w:val="fr-FR"/>
        </w:rPr>
        <w:t xml:space="preserve"> concernant la conservation, la restauration et l’utilisation rationnelle des zones humides et proposant des options politiques </w:t>
      </w:r>
      <w:r w:rsidR="00AC49FB" w:rsidRPr="00D629F5">
        <w:rPr>
          <w:rFonts w:eastAsia="Calibri"/>
          <w:bCs w:val="0"/>
          <w:lang w:val="fr-FR"/>
        </w:rPr>
        <w:t xml:space="preserve">ambitieuses </w:t>
      </w:r>
      <w:r w:rsidR="00AC23A0" w:rsidRPr="00D629F5">
        <w:rPr>
          <w:rFonts w:eastAsia="Calibri"/>
          <w:bCs w:val="0"/>
          <w:lang w:val="fr-FR"/>
        </w:rPr>
        <w:t>ainsi que des approches intégrées pour la prochaine période triennale. Le document d’orientation technique figure en Annexe 3 du présent rapport à la 64</w:t>
      </w:r>
      <w:r w:rsidR="00AC23A0" w:rsidRPr="00D629F5">
        <w:rPr>
          <w:rFonts w:eastAsia="Calibri"/>
          <w:bCs w:val="0"/>
          <w:vertAlign w:val="superscript"/>
          <w:lang w:val="fr-FR"/>
        </w:rPr>
        <w:t>e</w:t>
      </w:r>
      <w:r w:rsidR="00AC23A0" w:rsidRPr="00D629F5">
        <w:rPr>
          <w:rFonts w:eastAsia="Calibri"/>
          <w:bCs w:val="0"/>
          <w:lang w:val="fr-FR"/>
        </w:rPr>
        <w:t xml:space="preserve"> Réunion du Comité permanent, et d’autres travaux sur le sujet ont été intégrés </w:t>
      </w:r>
      <w:r w:rsidR="00AC49FB" w:rsidRPr="00D629F5">
        <w:rPr>
          <w:rFonts w:eastAsia="Calibri"/>
          <w:bCs w:val="0"/>
          <w:lang w:val="fr-FR"/>
        </w:rPr>
        <w:t>dans les</w:t>
      </w:r>
      <w:r w:rsidR="00AC23A0" w:rsidRPr="00D629F5">
        <w:rPr>
          <w:rFonts w:eastAsia="Calibri"/>
          <w:bCs w:val="0"/>
          <w:lang w:val="fr-FR"/>
        </w:rPr>
        <w:t xml:space="preserve"> tâche</w:t>
      </w:r>
      <w:r w:rsidR="00AC49FB" w:rsidRPr="00D629F5">
        <w:rPr>
          <w:rFonts w:eastAsia="Calibri"/>
          <w:bCs w:val="0"/>
          <w:lang w:val="fr-FR"/>
        </w:rPr>
        <w:t>s</w:t>
      </w:r>
      <w:r w:rsidR="00AC23A0" w:rsidRPr="00D629F5">
        <w:rPr>
          <w:rFonts w:eastAsia="Calibri"/>
          <w:bCs w:val="0"/>
          <w:lang w:val="fr-FR"/>
        </w:rPr>
        <w:t xml:space="preserve"> prioritaire</w:t>
      </w:r>
      <w:r w:rsidR="00AC49FB" w:rsidRPr="00D629F5">
        <w:rPr>
          <w:rFonts w:eastAsia="Calibri"/>
          <w:bCs w:val="0"/>
          <w:lang w:val="fr-FR"/>
        </w:rPr>
        <w:t>s</w:t>
      </w:r>
      <w:r w:rsidR="00AC23A0" w:rsidRPr="00D629F5">
        <w:rPr>
          <w:rFonts w:eastAsia="Calibri"/>
          <w:bCs w:val="0"/>
          <w:lang w:val="fr-FR"/>
        </w:rPr>
        <w:t xml:space="preserve"> </w:t>
      </w:r>
      <w:r w:rsidR="00AC49FB" w:rsidRPr="00D629F5">
        <w:rPr>
          <w:rFonts w:eastAsia="Calibri"/>
          <w:bCs w:val="0"/>
          <w:lang w:val="fr-FR"/>
        </w:rPr>
        <w:t>du</w:t>
      </w:r>
      <w:r w:rsidR="00AC23A0" w:rsidRPr="00D629F5">
        <w:rPr>
          <w:rFonts w:eastAsia="Calibri"/>
          <w:bCs w:val="0"/>
          <w:lang w:val="fr-FR"/>
        </w:rPr>
        <w:t xml:space="preserve"> GEST, pour la prochaine période triennale (voir Annexe 1 Tâches prioritaires du GEST pour </w:t>
      </w:r>
      <w:r w:rsidR="00A04500" w:rsidRPr="00D629F5">
        <w:rPr>
          <w:rFonts w:eastAsia="Calibri"/>
          <w:bCs w:val="0"/>
          <w:lang w:val="fr-FR"/>
        </w:rPr>
        <w:t>2026-2028</w:t>
      </w:r>
      <w:r w:rsidRPr="00D629F5">
        <w:rPr>
          <w:rFonts w:eastAsia="Calibri"/>
          <w:lang w:val="fr-FR"/>
        </w:rPr>
        <w:t>).</w:t>
      </w:r>
      <w:r w:rsidR="00EE1BED" w:rsidRPr="00D629F5">
        <w:rPr>
          <w:lang w:val="fr-FR" w:eastAsia="zh-CN"/>
        </w:rPr>
        <w:t xml:space="preserve"> </w:t>
      </w:r>
      <w:r w:rsidR="00AC23A0" w:rsidRPr="00D629F5">
        <w:rPr>
          <w:lang w:val="fr-FR" w:eastAsia="zh-CN"/>
        </w:rPr>
        <w:t>Les membres du Comité permanent sont invités à commenter les recommandations énoncées dans le document d’orientation technique afin de veiller à ce que l’examen proposé des instruments politiques soutien</w:t>
      </w:r>
      <w:r w:rsidR="00AC49FB" w:rsidRPr="00D629F5">
        <w:rPr>
          <w:lang w:val="fr-FR" w:eastAsia="zh-CN"/>
        </w:rPr>
        <w:t>ne</w:t>
      </w:r>
      <w:r w:rsidR="00AC23A0" w:rsidRPr="00D629F5">
        <w:rPr>
          <w:lang w:val="fr-FR" w:eastAsia="zh-CN"/>
        </w:rPr>
        <w:t xml:space="preserve"> effectivement la mise en œuvre de la Convention.</w:t>
      </w:r>
    </w:p>
    <w:p w14:paraId="2E7370B4" w14:textId="77777777" w:rsidR="0075379B" w:rsidRPr="00D629F5" w:rsidRDefault="0075379B" w:rsidP="0075379B">
      <w:pPr>
        <w:rPr>
          <w:rFonts w:eastAsia="Calibri"/>
          <w:bCs w:val="0"/>
          <w:lang w:val="fr-FR"/>
        </w:rPr>
      </w:pPr>
    </w:p>
    <w:p w14:paraId="1DB76BC8" w14:textId="394E0420" w:rsidR="009F39FC" w:rsidRPr="00D629F5" w:rsidRDefault="00A00737" w:rsidP="009F39FC">
      <w:pPr>
        <w:rPr>
          <w:b/>
          <w:bCs w:val="0"/>
          <w:lang w:val="fr-FR" w:eastAsia="zh-CN"/>
        </w:rPr>
      </w:pPr>
      <w:r w:rsidRPr="00D629F5">
        <w:rPr>
          <w:b/>
          <w:bCs w:val="0"/>
          <w:lang w:val="fr-FR" w:eastAsia="zh-CN"/>
        </w:rPr>
        <w:t xml:space="preserve">Projets de </w:t>
      </w:r>
      <w:r w:rsidR="00F319AD" w:rsidRPr="00D629F5">
        <w:rPr>
          <w:b/>
          <w:bCs w:val="0"/>
          <w:lang w:val="fr-FR" w:eastAsia="zh-CN"/>
        </w:rPr>
        <w:t>r</w:t>
      </w:r>
      <w:r w:rsidRPr="00D629F5">
        <w:rPr>
          <w:b/>
          <w:bCs w:val="0"/>
          <w:lang w:val="fr-FR" w:eastAsia="zh-CN"/>
        </w:rPr>
        <w:t>é</w:t>
      </w:r>
      <w:r w:rsidR="00F319AD" w:rsidRPr="00D629F5">
        <w:rPr>
          <w:b/>
          <w:bCs w:val="0"/>
          <w:lang w:val="fr-FR" w:eastAsia="zh-CN"/>
        </w:rPr>
        <w:t xml:space="preserve">solutions </w:t>
      </w:r>
      <w:r w:rsidRPr="00D629F5">
        <w:rPr>
          <w:b/>
          <w:bCs w:val="0"/>
          <w:lang w:val="fr-FR" w:eastAsia="zh-CN"/>
        </w:rPr>
        <w:t>présentés à la 64</w:t>
      </w:r>
      <w:r w:rsidRPr="00D629F5">
        <w:rPr>
          <w:b/>
          <w:bCs w:val="0"/>
          <w:vertAlign w:val="superscript"/>
          <w:lang w:val="fr-FR" w:eastAsia="zh-CN"/>
        </w:rPr>
        <w:t>e</w:t>
      </w:r>
      <w:r w:rsidRPr="00D629F5">
        <w:rPr>
          <w:b/>
          <w:bCs w:val="0"/>
          <w:lang w:val="fr-FR" w:eastAsia="zh-CN"/>
        </w:rPr>
        <w:t xml:space="preserve"> Réunion du Comité permanent</w:t>
      </w:r>
      <w:r w:rsidR="00F319AD" w:rsidRPr="00D629F5">
        <w:rPr>
          <w:b/>
          <w:bCs w:val="0"/>
          <w:lang w:val="fr-FR" w:eastAsia="zh-CN"/>
        </w:rPr>
        <w:t xml:space="preserve"> (SC6</w:t>
      </w:r>
      <w:r w:rsidRPr="00D629F5">
        <w:rPr>
          <w:b/>
          <w:bCs w:val="0"/>
          <w:lang w:val="fr-FR" w:eastAsia="zh-CN"/>
        </w:rPr>
        <w:t>4</w:t>
      </w:r>
      <w:r w:rsidR="00F319AD" w:rsidRPr="00D629F5">
        <w:rPr>
          <w:b/>
          <w:bCs w:val="0"/>
          <w:lang w:val="fr-FR" w:eastAsia="zh-CN"/>
        </w:rPr>
        <w:t>)</w:t>
      </w:r>
    </w:p>
    <w:p w14:paraId="20AE8896" w14:textId="77777777" w:rsidR="009F39FC" w:rsidRPr="00D629F5" w:rsidRDefault="009F39FC" w:rsidP="009F39FC">
      <w:pPr>
        <w:rPr>
          <w:lang w:val="fr-FR" w:eastAsia="zh-CN"/>
        </w:rPr>
      </w:pPr>
    </w:p>
    <w:p w14:paraId="62BAAD6B" w14:textId="7032DAF3" w:rsidR="009F39FC" w:rsidRPr="00D629F5" w:rsidRDefault="00F319AD" w:rsidP="009F39FC">
      <w:pPr>
        <w:ind w:left="432" w:hanging="432"/>
        <w:rPr>
          <w:rFonts w:eastAsia="Calibri"/>
          <w:bCs w:val="0"/>
          <w:lang w:val="fr-FR"/>
        </w:rPr>
      </w:pPr>
      <w:r w:rsidRPr="00D629F5">
        <w:rPr>
          <w:rFonts w:eastAsia="Calibri"/>
          <w:lang w:val="fr-FR"/>
        </w:rPr>
        <w:t>2</w:t>
      </w:r>
      <w:r w:rsidR="00336E88">
        <w:rPr>
          <w:rFonts w:eastAsia="Calibri"/>
          <w:lang w:val="fr-FR"/>
        </w:rPr>
        <w:t>2</w:t>
      </w:r>
      <w:r w:rsidRPr="00D629F5">
        <w:rPr>
          <w:rFonts w:eastAsia="Calibri"/>
          <w:lang w:val="fr-FR"/>
        </w:rPr>
        <w:t>.</w:t>
      </w:r>
      <w:r w:rsidRPr="00D629F5">
        <w:rPr>
          <w:rFonts w:eastAsia="Calibri"/>
          <w:lang w:val="fr-FR"/>
        </w:rPr>
        <w:tab/>
      </w:r>
      <w:r w:rsidR="00CA2A7B" w:rsidRPr="00D629F5">
        <w:rPr>
          <w:rFonts w:eastAsia="Calibri"/>
          <w:bCs w:val="0"/>
          <w:lang w:val="fr-FR"/>
        </w:rPr>
        <w:t>En préparation de la 64</w:t>
      </w:r>
      <w:r w:rsidR="00CA2A7B" w:rsidRPr="00D629F5">
        <w:rPr>
          <w:rFonts w:eastAsia="Calibri"/>
          <w:bCs w:val="0"/>
          <w:vertAlign w:val="superscript"/>
          <w:lang w:val="fr-FR"/>
        </w:rPr>
        <w:t>e</w:t>
      </w:r>
      <w:r w:rsidR="00CA2A7B" w:rsidRPr="00D629F5">
        <w:rPr>
          <w:rFonts w:eastAsia="Calibri"/>
          <w:bCs w:val="0"/>
          <w:lang w:val="fr-FR"/>
        </w:rPr>
        <w:t> Réunio</w:t>
      </w:r>
      <w:r w:rsidR="00C059C9" w:rsidRPr="00D629F5">
        <w:rPr>
          <w:rFonts w:eastAsia="Calibri"/>
          <w:bCs w:val="0"/>
          <w:lang w:val="fr-FR"/>
        </w:rPr>
        <w:t xml:space="preserve">n </w:t>
      </w:r>
      <w:r w:rsidR="00CA2A7B" w:rsidRPr="00D629F5">
        <w:rPr>
          <w:rFonts w:eastAsia="Calibri"/>
          <w:bCs w:val="0"/>
          <w:lang w:val="fr-FR"/>
        </w:rPr>
        <w:t>du Comité permanent (SC64), le GEST a soumis trois projets de résolutions pour examen à la 15</w:t>
      </w:r>
      <w:r w:rsidR="00CA2A7B" w:rsidRPr="00D629F5">
        <w:rPr>
          <w:rFonts w:eastAsia="Calibri"/>
          <w:bCs w:val="0"/>
          <w:vertAlign w:val="superscript"/>
          <w:lang w:val="fr-FR"/>
        </w:rPr>
        <w:t>e</w:t>
      </w:r>
      <w:r w:rsidR="00CA2A7B" w:rsidRPr="00D629F5">
        <w:rPr>
          <w:rFonts w:eastAsia="Calibri"/>
          <w:bCs w:val="0"/>
          <w:lang w:val="fr-FR"/>
        </w:rPr>
        <w:t xml:space="preserve"> Session de la Conférence des Parties contractantes </w:t>
      </w:r>
      <w:r w:rsidR="00C059C9" w:rsidRPr="00D629F5">
        <w:rPr>
          <w:rFonts w:eastAsia="Calibri"/>
          <w:bCs w:val="0"/>
          <w:lang w:val="fr-FR"/>
        </w:rPr>
        <w:t>(COP15)</w:t>
      </w:r>
      <w:r w:rsidR="00CA2A7B" w:rsidRPr="00D629F5">
        <w:rPr>
          <w:rFonts w:eastAsia="Calibri"/>
          <w:bCs w:val="0"/>
          <w:lang w:val="fr-FR"/>
        </w:rPr>
        <w:t> </w:t>
      </w:r>
      <w:r w:rsidR="00C059C9" w:rsidRPr="00D629F5">
        <w:rPr>
          <w:rFonts w:eastAsia="Calibri"/>
          <w:bCs w:val="0"/>
          <w:lang w:val="fr-FR"/>
        </w:rPr>
        <w:t>:</w:t>
      </w:r>
    </w:p>
    <w:p w14:paraId="2E9BD44A" w14:textId="32BD997A" w:rsidR="009F39FC" w:rsidRPr="00D629F5" w:rsidRDefault="009F39FC" w:rsidP="009F39FC">
      <w:pPr>
        <w:ind w:left="432" w:hanging="432"/>
        <w:rPr>
          <w:rFonts w:eastAsia="Calibri"/>
          <w:bCs w:val="0"/>
          <w:lang w:val="fr-FR"/>
        </w:rPr>
      </w:pPr>
    </w:p>
    <w:p w14:paraId="2B2BDC5F" w14:textId="34CE96FE" w:rsidR="009F39FC" w:rsidRPr="00D629F5" w:rsidRDefault="00F319AD" w:rsidP="009F39FC">
      <w:pPr>
        <w:ind w:left="900" w:hanging="450"/>
        <w:rPr>
          <w:rFonts w:eastAsia="Calibri"/>
          <w:bCs w:val="0"/>
          <w:lang w:val="fr-FR"/>
        </w:rPr>
      </w:pPr>
      <w:r w:rsidRPr="00D629F5">
        <w:rPr>
          <w:rFonts w:eastAsia="Calibri"/>
          <w:bCs w:val="0"/>
          <w:lang w:val="fr-FR"/>
        </w:rPr>
        <w:t>a)</w:t>
      </w:r>
      <w:r w:rsidRPr="00D629F5">
        <w:rPr>
          <w:rFonts w:eastAsia="Calibri"/>
          <w:bCs w:val="0"/>
          <w:lang w:val="fr-FR"/>
        </w:rPr>
        <w:tab/>
      </w:r>
      <w:r w:rsidR="00D629F5" w:rsidRPr="00D629F5">
        <w:rPr>
          <w:rFonts w:eastAsia="Calibri"/>
          <w:b/>
          <w:lang w:val="fr-FR"/>
        </w:rPr>
        <w:t>SC64 Doc.19</w:t>
      </w:r>
      <w:r w:rsidR="00D629F5" w:rsidRPr="00D629F5">
        <w:rPr>
          <w:rFonts w:eastAsia="Calibri"/>
          <w:b/>
          <w:lang w:val="fr-FR"/>
        </w:rPr>
        <w:t xml:space="preserve"> </w:t>
      </w:r>
      <w:r w:rsidRPr="00D629F5">
        <w:rPr>
          <w:rFonts w:eastAsia="Calibri"/>
          <w:b/>
          <w:lang w:val="fr-FR"/>
        </w:rPr>
        <w:t xml:space="preserve">: </w:t>
      </w:r>
      <w:bookmarkStart w:id="6" w:name="_Hlk181018003"/>
      <w:r w:rsidR="008060EF" w:rsidRPr="00D629F5">
        <w:rPr>
          <w:rFonts w:eastAsia="Calibri"/>
          <w:b/>
          <w:lang w:val="fr-FR"/>
        </w:rPr>
        <w:t>Projet de résolution sur l’application future des aspects scientifiques et techniques de la Convention pour 2026-2028</w:t>
      </w:r>
      <w:bookmarkEnd w:id="6"/>
      <w:r w:rsidRPr="00D629F5">
        <w:rPr>
          <w:rFonts w:eastAsia="Calibri"/>
          <w:b/>
          <w:lang w:val="fr-FR"/>
        </w:rPr>
        <w:t>.</w:t>
      </w:r>
    </w:p>
    <w:p w14:paraId="4CB1F8E9" w14:textId="59C666C5" w:rsidR="009F39FC" w:rsidRPr="00D629F5" w:rsidRDefault="00EC38D5" w:rsidP="009F39FC">
      <w:pPr>
        <w:ind w:left="900"/>
        <w:rPr>
          <w:rFonts w:eastAsia="Calibri"/>
          <w:bCs w:val="0"/>
          <w:lang w:val="fr-FR"/>
        </w:rPr>
      </w:pPr>
      <w:r w:rsidRPr="00D629F5">
        <w:rPr>
          <w:lang w:val="fr-FR"/>
        </w:rPr>
        <w:t xml:space="preserve">Pour maintenir la continuité et veiller à une approche cohérente, les Domaines de travail thématiques ont été repris de la précédente période triennale. Le GEST a identifié plusieurs priorités scientifiques et techniques émergentes nécessitant d’être prises en compte et méritant une action. Ces priorités comprennent l’amélioration du suivi et des rapports sur les caractéristiques écologiques des zones humides d’importance internationale, l’avancement de la cartographie des zones humides et des outils d’inventaire, </w:t>
      </w:r>
      <w:r w:rsidR="00E26474" w:rsidRPr="00D629F5">
        <w:rPr>
          <w:lang w:val="fr-FR"/>
        </w:rPr>
        <w:t xml:space="preserve">l’évaluation des proliférations d’algues et les </w:t>
      </w:r>
      <w:r w:rsidR="00AC49FB" w:rsidRPr="00D629F5">
        <w:rPr>
          <w:lang w:val="fr-FR"/>
        </w:rPr>
        <w:t>feux dans les</w:t>
      </w:r>
      <w:r w:rsidR="00E26474" w:rsidRPr="00D629F5">
        <w:rPr>
          <w:lang w:val="fr-FR"/>
        </w:rPr>
        <w:t xml:space="preserve"> zones humides, ainsi que la préparation des prochaines Perspectives mondiales </w:t>
      </w:r>
      <w:r w:rsidR="006A741E" w:rsidRPr="00D629F5">
        <w:rPr>
          <w:lang w:val="fr-FR"/>
        </w:rPr>
        <w:t>d</w:t>
      </w:r>
      <w:r w:rsidR="00E26474" w:rsidRPr="00D629F5">
        <w:rPr>
          <w:lang w:val="fr-FR"/>
        </w:rPr>
        <w:t xml:space="preserve">es zones humides. Le projet de résolution demande en outre au Secrétariat </w:t>
      </w:r>
      <w:r w:rsidR="003101D1" w:rsidRPr="00D629F5">
        <w:rPr>
          <w:lang w:val="fr-FR"/>
        </w:rPr>
        <w:t xml:space="preserve">d’émettre des appels à nomination </w:t>
      </w:r>
      <w:r w:rsidR="00AC49FB" w:rsidRPr="00D629F5">
        <w:rPr>
          <w:lang w:val="fr-FR"/>
        </w:rPr>
        <w:t>pour les</w:t>
      </w:r>
      <w:r w:rsidR="003101D1" w:rsidRPr="00D629F5">
        <w:rPr>
          <w:lang w:val="fr-FR"/>
        </w:rPr>
        <w:t xml:space="preserve"> membres du GEST</w:t>
      </w:r>
      <w:r w:rsidR="00AC49FB" w:rsidRPr="00D629F5">
        <w:rPr>
          <w:lang w:val="fr-FR"/>
        </w:rPr>
        <w:t>,</w:t>
      </w:r>
      <w:r w:rsidR="003101D1" w:rsidRPr="00D629F5">
        <w:rPr>
          <w:lang w:val="fr-FR"/>
        </w:rPr>
        <w:t xml:space="preserve"> après la réunion annuelle du Comité permanent, l’année précédant chaque COP. Cette approche permettra la nomination opportune de nouveaux membres du GEST immédiatement après la COP, laissant suffisamment de temps au GEST </w:t>
      </w:r>
      <w:r w:rsidR="00AC49FB" w:rsidRPr="00D629F5">
        <w:rPr>
          <w:lang w:val="fr-FR"/>
        </w:rPr>
        <w:t xml:space="preserve">pour </w:t>
      </w:r>
      <w:r w:rsidR="003101D1" w:rsidRPr="00D629F5">
        <w:rPr>
          <w:lang w:val="fr-FR"/>
        </w:rPr>
        <w:t>élaborer et appliquer effectivement son plan de travail.</w:t>
      </w:r>
    </w:p>
    <w:p w14:paraId="1EB818DB" w14:textId="77777777" w:rsidR="0039666B" w:rsidRPr="00D629F5" w:rsidRDefault="0039666B" w:rsidP="009F39FC">
      <w:pPr>
        <w:ind w:left="900"/>
        <w:rPr>
          <w:rFonts w:eastAsia="Calibri"/>
          <w:bCs w:val="0"/>
          <w:lang w:val="fr-FR"/>
        </w:rPr>
      </w:pPr>
    </w:p>
    <w:p w14:paraId="63AE1C79" w14:textId="609482A8" w:rsidR="0039666B" w:rsidRPr="00D629F5" w:rsidRDefault="003101D1" w:rsidP="009F39FC">
      <w:pPr>
        <w:ind w:left="900"/>
        <w:rPr>
          <w:rFonts w:eastAsia="Calibri"/>
          <w:bCs w:val="0"/>
          <w:lang w:val="fr-FR"/>
        </w:rPr>
      </w:pPr>
      <w:r w:rsidRPr="00D629F5">
        <w:rPr>
          <w:rFonts w:eastAsia="Calibri"/>
          <w:bCs w:val="0"/>
          <w:lang w:val="fr-FR"/>
        </w:rPr>
        <w:t xml:space="preserve">L’Annexe 1 du présent rapport présente une description des Domaines de travail thématiques et des tâches du plan de travail du GEST </w:t>
      </w:r>
      <w:r w:rsidR="005B68B7" w:rsidRPr="00D629F5">
        <w:rPr>
          <w:rFonts w:eastAsia="Calibri"/>
          <w:bCs w:val="0"/>
          <w:lang w:val="fr-FR"/>
        </w:rPr>
        <w:t>2026-2028</w:t>
      </w:r>
      <w:r w:rsidR="004F719D" w:rsidRPr="00D629F5">
        <w:rPr>
          <w:rFonts w:eastAsia="Calibri"/>
          <w:bCs w:val="0"/>
          <w:lang w:val="fr-FR"/>
        </w:rPr>
        <w:t xml:space="preserve">, </w:t>
      </w:r>
      <w:r w:rsidRPr="00D629F5">
        <w:rPr>
          <w:rFonts w:eastAsia="Calibri"/>
          <w:bCs w:val="0"/>
          <w:lang w:val="fr-FR"/>
        </w:rPr>
        <w:t>en appui au projet de résolution.</w:t>
      </w:r>
    </w:p>
    <w:p w14:paraId="62A6D8A9" w14:textId="7BFD5D61" w:rsidR="0022105A" w:rsidRPr="00D629F5" w:rsidRDefault="0022105A" w:rsidP="009F39FC">
      <w:pPr>
        <w:ind w:left="432" w:hanging="432"/>
        <w:rPr>
          <w:rFonts w:eastAsia="Calibri"/>
          <w:bCs w:val="0"/>
          <w:lang w:val="fr-FR"/>
        </w:rPr>
      </w:pPr>
    </w:p>
    <w:p w14:paraId="68B94C30" w14:textId="472D3A4B" w:rsidR="009F39FC" w:rsidRPr="00D629F5" w:rsidRDefault="00F319AD" w:rsidP="009F39FC">
      <w:pPr>
        <w:ind w:left="900" w:hanging="450"/>
        <w:rPr>
          <w:rFonts w:eastAsia="Calibri"/>
          <w:bCs w:val="0"/>
          <w:lang w:val="fr-FR"/>
        </w:rPr>
      </w:pPr>
      <w:r w:rsidRPr="00D629F5">
        <w:rPr>
          <w:rFonts w:eastAsia="Calibri"/>
          <w:bCs w:val="0"/>
          <w:lang w:val="fr-FR"/>
        </w:rPr>
        <w:t>b)</w:t>
      </w:r>
      <w:r w:rsidRPr="00D629F5">
        <w:rPr>
          <w:rFonts w:eastAsia="Calibri"/>
          <w:bCs w:val="0"/>
          <w:lang w:val="fr-FR"/>
        </w:rPr>
        <w:tab/>
      </w:r>
      <w:r w:rsidR="00D629F5" w:rsidRPr="00D629F5">
        <w:rPr>
          <w:rFonts w:eastAsia="Calibri"/>
          <w:b/>
          <w:lang w:val="fr-FR"/>
        </w:rPr>
        <w:t>SC64 Doc.21</w:t>
      </w:r>
      <w:r w:rsidR="00D629F5" w:rsidRPr="00D629F5">
        <w:rPr>
          <w:rFonts w:eastAsia="Calibri"/>
          <w:b/>
          <w:lang w:val="fr-FR"/>
        </w:rPr>
        <w:t xml:space="preserve"> </w:t>
      </w:r>
      <w:r w:rsidRPr="00D629F5">
        <w:rPr>
          <w:rFonts w:eastAsia="Calibri"/>
          <w:b/>
          <w:lang w:val="fr-FR"/>
        </w:rPr>
        <w:t xml:space="preserve">: </w:t>
      </w:r>
      <w:bookmarkStart w:id="7" w:name="_Hlk181017951"/>
      <w:r w:rsidR="008060EF" w:rsidRPr="00D629F5">
        <w:rPr>
          <w:rFonts w:eastAsia="Calibri"/>
          <w:b/>
          <w:lang w:val="fr-FR"/>
        </w:rPr>
        <w:t xml:space="preserve">Projet de résolution sur la création du Partenariat </w:t>
      </w:r>
      <w:bookmarkStart w:id="8" w:name="_Hlk180412333"/>
      <w:r w:rsidR="008060EF" w:rsidRPr="00D629F5">
        <w:rPr>
          <w:rFonts w:eastAsia="Calibri"/>
          <w:b/>
          <w:lang w:val="fr-FR"/>
        </w:rPr>
        <w:t xml:space="preserve">pour les estimations des populations d’oiseaux d’eau </w:t>
      </w:r>
      <w:bookmarkEnd w:id="8"/>
      <w:r w:rsidR="008060EF" w:rsidRPr="00D629F5">
        <w:rPr>
          <w:rFonts w:eastAsia="Calibri"/>
          <w:b/>
          <w:lang w:val="fr-FR"/>
        </w:rPr>
        <w:t xml:space="preserve">et la publication de l’édition 2027 du </w:t>
      </w:r>
      <w:bookmarkStart w:id="9" w:name="_Hlk181009877"/>
      <w:r w:rsidR="008060EF" w:rsidRPr="00D629F5">
        <w:rPr>
          <w:rFonts w:eastAsia="Calibri"/>
          <w:b/>
          <w:lang w:val="fr-FR"/>
        </w:rPr>
        <w:t>rapport</w:t>
      </w:r>
      <w:r w:rsidR="001556F0" w:rsidRPr="00D629F5">
        <w:rPr>
          <w:rFonts w:eastAsia="Calibri"/>
          <w:b/>
          <w:lang w:val="fr-FR"/>
        </w:rPr>
        <w:t xml:space="preserve"> sur les </w:t>
      </w:r>
      <w:bookmarkStart w:id="10" w:name="_Hlk182123839"/>
      <w:r w:rsidR="001556F0" w:rsidRPr="00D629F5">
        <w:rPr>
          <w:rFonts w:eastAsia="Calibri"/>
          <w:b/>
          <w:lang w:val="fr-FR"/>
        </w:rPr>
        <w:t>estimations des populations d’oiseaux d’eau</w:t>
      </w:r>
      <w:bookmarkEnd w:id="10"/>
      <w:r w:rsidR="001556F0" w:rsidRPr="00D629F5">
        <w:rPr>
          <w:rFonts w:eastAsia="Calibri"/>
          <w:b/>
          <w:lang w:val="fr-FR"/>
        </w:rPr>
        <w:t>,</w:t>
      </w:r>
      <w:r w:rsidR="008060EF" w:rsidRPr="00D629F5">
        <w:rPr>
          <w:rFonts w:eastAsia="Calibri"/>
          <w:b/>
          <w:lang w:val="fr-FR"/>
        </w:rPr>
        <w:t xml:space="preserve"> </w:t>
      </w:r>
      <w:r w:rsidR="008060EF" w:rsidRPr="00D629F5">
        <w:rPr>
          <w:rFonts w:eastAsia="Calibri"/>
          <w:b/>
          <w:i/>
          <w:iCs/>
          <w:lang w:val="fr-FR"/>
        </w:rPr>
        <w:t>Waterbird Population Estimates</w:t>
      </w:r>
      <w:r w:rsidRPr="00D629F5">
        <w:rPr>
          <w:rFonts w:eastAsia="Calibri"/>
          <w:b/>
          <w:lang w:val="fr-FR"/>
        </w:rPr>
        <w:t xml:space="preserve"> </w:t>
      </w:r>
      <w:bookmarkEnd w:id="9"/>
      <w:r w:rsidRPr="00D629F5">
        <w:rPr>
          <w:rFonts w:eastAsia="Calibri"/>
          <w:b/>
          <w:lang w:val="fr-FR"/>
        </w:rPr>
        <w:t>(WPE2027)</w:t>
      </w:r>
      <w:r w:rsidRPr="00D629F5">
        <w:rPr>
          <w:rFonts w:eastAsia="Calibri"/>
          <w:bCs w:val="0"/>
          <w:lang w:val="fr-FR"/>
        </w:rPr>
        <w:t>.</w:t>
      </w:r>
      <w:bookmarkEnd w:id="7"/>
    </w:p>
    <w:p w14:paraId="27ACAF73" w14:textId="48EEED15" w:rsidR="009F39FC" w:rsidRPr="00D629F5" w:rsidRDefault="00705416" w:rsidP="009F39FC">
      <w:pPr>
        <w:ind w:left="900"/>
        <w:rPr>
          <w:rFonts w:eastAsia="Calibri"/>
          <w:bCs w:val="0"/>
          <w:lang w:val="fr-FR"/>
        </w:rPr>
      </w:pPr>
      <w:r w:rsidRPr="00D629F5">
        <w:rPr>
          <w:rFonts w:eastAsia="Calibri"/>
          <w:bCs w:val="0"/>
          <w:lang w:val="fr-FR"/>
        </w:rPr>
        <w:t>Le GEST a préparé un projet de résolution qui s’appuie sur la proposition technique relative au financement et à l’application des mises à jour des</w:t>
      </w:r>
      <w:r w:rsidR="001556F0" w:rsidRPr="00D629F5">
        <w:rPr>
          <w:lang w:val="fr-FR"/>
        </w:rPr>
        <w:t xml:space="preserve"> </w:t>
      </w:r>
      <w:r w:rsidR="001556F0" w:rsidRPr="00D629F5">
        <w:rPr>
          <w:rFonts w:eastAsia="Calibri"/>
          <w:bCs w:val="0"/>
          <w:lang w:val="fr-FR"/>
        </w:rPr>
        <w:t>estimations des populations d’oiseaux d’eau,</w:t>
      </w:r>
      <w:r w:rsidRPr="00D629F5">
        <w:rPr>
          <w:rFonts w:eastAsia="Calibri"/>
          <w:bCs w:val="0"/>
          <w:lang w:val="fr-FR"/>
        </w:rPr>
        <w:t xml:space="preserve"> </w:t>
      </w:r>
      <w:r w:rsidR="00F319AD" w:rsidRPr="00D629F5">
        <w:rPr>
          <w:rFonts w:eastAsia="Calibri"/>
          <w:bCs w:val="0"/>
          <w:i/>
          <w:iCs/>
          <w:lang w:val="fr-FR"/>
        </w:rPr>
        <w:t xml:space="preserve">Waterbird Population Estimates </w:t>
      </w:r>
      <w:r w:rsidR="00F319AD" w:rsidRPr="00D629F5">
        <w:rPr>
          <w:rFonts w:eastAsia="Calibri"/>
          <w:bCs w:val="0"/>
          <w:lang w:val="fr-FR"/>
        </w:rPr>
        <w:t>(WPE)</w:t>
      </w:r>
      <w:r w:rsidR="001556F0" w:rsidRPr="00D629F5">
        <w:rPr>
          <w:rFonts w:eastAsia="Calibri"/>
          <w:bCs w:val="0"/>
          <w:lang w:val="fr-FR"/>
        </w:rPr>
        <w:t>,</w:t>
      </w:r>
      <w:r w:rsidR="00F319AD" w:rsidRPr="00D629F5">
        <w:rPr>
          <w:rFonts w:eastAsia="Calibri"/>
          <w:bCs w:val="0"/>
          <w:lang w:val="fr-FR"/>
        </w:rPr>
        <w:t xml:space="preserve"> </w:t>
      </w:r>
      <w:r w:rsidRPr="00D629F5">
        <w:rPr>
          <w:rFonts w:eastAsia="Calibri"/>
          <w:bCs w:val="0"/>
          <w:lang w:val="fr-FR"/>
        </w:rPr>
        <w:t>présentées à la 63</w:t>
      </w:r>
      <w:r w:rsidRPr="00D629F5">
        <w:rPr>
          <w:rFonts w:eastAsia="Calibri"/>
          <w:bCs w:val="0"/>
          <w:vertAlign w:val="superscript"/>
          <w:lang w:val="fr-FR"/>
        </w:rPr>
        <w:t>e</w:t>
      </w:r>
      <w:r w:rsidRPr="00D629F5">
        <w:rPr>
          <w:rFonts w:eastAsia="Calibri"/>
          <w:bCs w:val="0"/>
          <w:lang w:val="fr-FR"/>
        </w:rPr>
        <w:t> Réunion du Comité permanent (Doc </w:t>
      </w:r>
      <w:r w:rsidR="00F319AD" w:rsidRPr="00D629F5">
        <w:rPr>
          <w:rFonts w:eastAsia="Calibri"/>
          <w:bCs w:val="0"/>
          <w:lang w:val="fr-FR"/>
        </w:rPr>
        <w:t xml:space="preserve">SC63.20). </w:t>
      </w:r>
      <w:r w:rsidRPr="00D629F5">
        <w:rPr>
          <w:rFonts w:eastAsia="Calibri"/>
          <w:bCs w:val="0"/>
          <w:lang w:val="fr-FR"/>
        </w:rPr>
        <w:t xml:space="preserve">Le projet de résolution porte sur les besoins urgents d’une mise à jour des populations d’oiseaux d’eau résidentes et migratrices par la réalisation de l’édition de 2027 des </w:t>
      </w:r>
      <w:r w:rsidR="00F319AD" w:rsidRPr="00D629F5">
        <w:rPr>
          <w:rFonts w:eastAsia="Calibri"/>
          <w:bCs w:val="0"/>
          <w:i/>
          <w:iCs/>
          <w:lang w:val="fr-FR"/>
        </w:rPr>
        <w:t>Waterbird Population Estimates</w:t>
      </w:r>
      <w:r w:rsidR="00F319AD" w:rsidRPr="00D629F5">
        <w:rPr>
          <w:rFonts w:eastAsia="Calibri"/>
          <w:bCs w:val="0"/>
          <w:lang w:val="fr-FR"/>
        </w:rPr>
        <w:t xml:space="preserve"> (WPE2027)</w:t>
      </w:r>
      <w:r w:rsidR="00F1413B" w:rsidRPr="00D629F5">
        <w:rPr>
          <w:rFonts w:eastAsia="Calibri"/>
          <w:bCs w:val="0"/>
          <w:lang w:val="fr-FR"/>
        </w:rPr>
        <w:t xml:space="preserve">, </w:t>
      </w:r>
      <w:r w:rsidRPr="00D629F5">
        <w:rPr>
          <w:rFonts w:eastAsia="Calibri"/>
          <w:bCs w:val="0"/>
          <w:lang w:val="fr-FR"/>
        </w:rPr>
        <w:t xml:space="preserve">et la mise en place du </w:t>
      </w:r>
      <w:r w:rsidR="00982A2A" w:rsidRPr="00D629F5">
        <w:rPr>
          <w:rFonts w:eastAsia="Calibri"/>
          <w:bCs w:val="0"/>
          <w:lang w:val="fr-FR"/>
        </w:rPr>
        <w:t xml:space="preserve">Partenariat pour les estimations des populations d’oiseaux d’eau </w:t>
      </w:r>
      <w:r w:rsidR="00F319AD" w:rsidRPr="00D629F5">
        <w:rPr>
          <w:rFonts w:eastAsia="Calibri"/>
          <w:bCs w:val="0"/>
          <w:lang w:val="fr-FR"/>
        </w:rPr>
        <w:t>(W</w:t>
      </w:r>
      <w:r w:rsidR="00B90E6E" w:rsidRPr="00D629F5">
        <w:rPr>
          <w:rFonts w:eastAsia="Calibri"/>
          <w:bCs w:val="0"/>
          <w:lang w:val="fr-FR"/>
        </w:rPr>
        <w:t>E</w:t>
      </w:r>
      <w:r w:rsidR="000473C3" w:rsidRPr="00D629F5">
        <w:rPr>
          <w:rFonts w:eastAsia="Calibri"/>
          <w:bCs w:val="0"/>
          <w:lang w:val="fr-FR"/>
        </w:rPr>
        <w:t>P</w:t>
      </w:r>
      <w:r w:rsidR="00F319AD" w:rsidRPr="00D629F5">
        <w:rPr>
          <w:rFonts w:eastAsia="Calibri"/>
          <w:bCs w:val="0"/>
          <w:lang w:val="fr-FR"/>
        </w:rPr>
        <w:t>)</w:t>
      </w:r>
      <w:r w:rsidR="000F4EBF" w:rsidRPr="00D629F5">
        <w:rPr>
          <w:rFonts w:eastAsia="Calibri"/>
          <w:bCs w:val="0"/>
          <w:lang w:val="fr-FR"/>
        </w:rPr>
        <w:t xml:space="preserve"> </w:t>
      </w:r>
      <w:r w:rsidRPr="00D629F5">
        <w:rPr>
          <w:rFonts w:eastAsia="Calibri"/>
          <w:bCs w:val="0"/>
          <w:lang w:val="fr-FR"/>
        </w:rPr>
        <w:t xml:space="preserve">qui sera lancé à la </w:t>
      </w:r>
      <w:r w:rsidR="00F319AD" w:rsidRPr="00D629F5">
        <w:rPr>
          <w:rFonts w:eastAsia="Calibri"/>
          <w:bCs w:val="0"/>
          <w:lang w:val="fr-FR"/>
        </w:rPr>
        <w:t xml:space="preserve">COP15. </w:t>
      </w:r>
      <w:r w:rsidRPr="00D629F5">
        <w:rPr>
          <w:rFonts w:eastAsia="Calibri"/>
          <w:bCs w:val="0"/>
          <w:lang w:val="fr-FR"/>
        </w:rPr>
        <w:t>Le</w:t>
      </w:r>
      <w:r w:rsidR="000473C3" w:rsidRPr="00D629F5">
        <w:rPr>
          <w:rFonts w:eastAsia="Calibri"/>
          <w:bCs w:val="0"/>
          <w:lang w:val="fr-FR"/>
        </w:rPr>
        <w:t xml:space="preserve"> Partenariat pour les estimations des populations d’oiseaux d’eau</w:t>
      </w:r>
      <w:r w:rsidR="00F319AD" w:rsidRPr="00D629F5">
        <w:rPr>
          <w:rFonts w:eastAsia="Calibri"/>
          <w:bCs w:val="0"/>
          <w:lang w:val="fr-FR"/>
        </w:rPr>
        <w:t xml:space="preserve"> </w:t>
      </w:r>
      <w:r w:rsidR="00CD5133" w:rsidRPr="00D629F5">
        <w:rPr>
          <w:rFonts w:eastAsia="Calibri"/>
          <w:bCs w:val="0"/>
          <w:lang w:val="fr-FR"/>
        </w:rPr>
        <w:t>assurera</w:t>
      </w:r>
      <w:r w:rsidR="000473C3" w:rsidRPr="00D629F5">
        <w:rPr>
          <w:rFonts w:eastAsia="Calibri"/>
          <w:bCs w:val="0"/>
          <w:lang w:val="fr-FR"/>
        </w:rPr>
        <w:t xml:space="preserve"> une coordination internationale essentielle et un appui aux mises à jour permanentes des </w:t>
      </w:r>
      <w:r w:rsidR="001556F0" w:rsidRPr="00D629F5">
        <w:rPr>
          <w:rFonts w:eastAsia="Calibri"/>
          <w:bCs w:val="0"/>
          <w:lang w:val="fr-FR"/>
        </w:rPr>
        <w:t>WPE</w:t>
      </w:r>
      <w:r w:rsidR="000473C3" w:rsidRPr="00D629F5">
        <w:rPr>
          <w:rFonts w:eastAsia="Calibri"/>
          <w:bCs w:val="0"/>
          <w:lang w:val="fr-FR"/>
        </w:rPr>
        <w:t xml:space="preserve">, </w:t>
      </w:r>
      <w:r w:rsidR="00CD5133" w:rsidRPr="00D629F5">
        <w:rPr>
          <w:rFonts w:eastAsia="Calibri"/>
          <w:bCs w:val="0"/>
          <w:lang w:val="fr-FR"/>
        </w:rPr>
        <w:t>veillant à ce que</w:t>
      </w:r>
      <w:r w:rsidR="000473C3" w:rsidRPr="00D629F5">
        <w:rPr>
          <w:rFonts w:eastAsia="Calibri"/>
          <w:bCs w:val="0"/>
          <w:lang w:val="fr-FR"/>
        </w:rPr>
        <w:t xml:space="preserve"> les données sur les populations d’oiseaux d’eau restent actualisées et accessibles</w:t>
      </w:r>
      <w:r w:rsidR="001556F0" w:rsidRPr="00D629F5">
        <w:rPr>
          <w:rFonts w:eastAsia="Calibri"/>
          <w:bCs w:val="0"/>
          <w:lang w:val="fr-FR"/>
        </w:rPr>
        <w:t>,</w:t>
      </w:r>
      <w:r w:rsidR="000473C3" w:rsidRPr="00D629F5">
        <w:rPr>
          <w:rFonts w:eastAsia="Calibri"/>
          <w:bCs w:val="0"/>
          <w:lang w:val="fr-FR"/>
        </w:rPr>
        <w:t xml:space="preserve"> </w:t>
      </w:r>
      <w:r w:rsidR="00CD5133" w:rsidRPr="00D629F5">
        <w:rPr>
          <w:rFonts w:eastAsia="Calibri"/>
          <w:bCs w:val="0"/>
          <w:lang w:val="fr-FR"/>
        </w:rPr>
        <w:t>à l’appui</w:t>
      </w:r>
      <w:r w:rsidR="000473C3" w:rsidRPr="00D629F5">
        <w:rPr>
          <w:rFonts w:eastAsia="Calibri"/>
          <w:bCs w:val="0"/>
          <w:lang w:val="fr-FR"/>
        </w:rPr>
        <w:t xml:space="preserve"> des efforts de conservation des zones humides, dans le cadre de la Convention.</w:t>
      </w:r>
    </w:p>
    <w:p w14:paraId="5AD231D5" w14:textId="77777777" w:rsidR="00AC49FB" w:rsidRPr="00D629F5" w:rsidRDefault="00AC49FB" w:rsidP="009F39FC">
      <w:pPr>
        <w:ind w:left="900"/>
        <w:rPr>
          <w:rFonts w:eastAsia="Calibri"/>
          <w:bCs w:val="0"/>
          <w:lang w:val="fr-FR"/>
        </w:rPr>
      </w:pPr>
    </w:p>
    <w:p w14:paraId="6ED79EFE" w14:textId="31832AB5" w:rsidR="00AC49FB" w:rsidRPr="00D629F5" w:rsidRDefault="00AC49FB" w:rsidP="00AC49FB">
      <w:pPr>
        <w:ind w:left="900" w:hanging="450"/>
        <w:rPr>
          <w:rFonts w:eastAsia="Calibri"/>
          <w:b/>
          <w:lang w:val="fr-FR"/>
        </w:rPr>
      </w:pPr>
      <w:r w:rsidRPr="00D629F5">
        <w:rPr>
          <w:rFonts w:eastAsia="Calibri"/>
          <w:bCs w:val="0"/>
          <w:lang w:val="fr-FR"/>
        </w:rPr>
        <w:t>c)</w:t>
      </w:r>
      <w:r w:rsidRPr="00D629F5">
        <w:rPr>
          <w:rFonts w:eastAsia="Calibri"/>
          <w:bCs w:val="0"/>
          <w:lang w:val="fr-FR"/>
        </w:rPr>
        <w:tab/>
      </w:r>
      <w:r w:rsidR="00D629F5" w:rsidRPr="00D629F5">
        <w:rPr>
          <w:rFonts w:eastAsia="Calibri"/>
          <w:b/>
          <w:lang w:val="fr-FR"/>
        </w:rPr>
        <w:t>SC64 Doc.20</w:t>
      </w:r>
      <w:r w:rsidR="00D629F5" w:rsidRPr="00D629F5">
        <w:rPr>
          <w:rFonts w:eastAsia="Calibri"/>
          <w:b/>
          <w:lang w:val="fr-FR"/>
        </w:rPr>
        <w:t xml:space="preserve"> </w:t>
      </w:r>
      <w:r w:rsidRPr="00D629F5">
        <w:rPr>
          <w:rFonts w:eastAsia="Calibri"/>
          <w:b/>
          <w:lang w:val="fr-FR"/>
        </w:rPr>
        <w:t>:</w:t>
      </w:r>
      <w:r w:rsidRPr="00D629F5">
        <w:rPr>
          <w:rFonts w:eastAsia="Calibri"/>
          <w:bCs w:val="0"/>
          <w:lang w:val="fr-FR"/>
        </w:rPr>
        <w:t xml:space="preserve"> </w:t>
      </w:r>
      <w:r w:rsidRPr="00D629F5">
        <w:rPr>
          <w:rFonts w:eastAsia="Calibri"/>
          <w:b/>
          <w:lang w:val="fr-FR"/>
        </w:rPr>
        <w:t>Projet de résolution sur l’application des Critères 6 et 9 aux zones humides d’importance internationale, nouvelles et existantes</w:t>
      </w:r>
    </w:p>
    <w:p w14:paraId="60FB5E0C" w14:textId="0F8BAAD1" w:rsidR="00AC49FB" w:rsidRPr="00D629F5" w:rsidRDefault="00AC49FB" w:rsidP="00AC49FB">
      <w:pPr>
        <w:ind w:left="900"/>
        <w:rPr>
          <w:rFonts w:eastAsia="Calibri"/>
          <w:bCs w:val="0"/>
          <w:lang w:val="fr-FR"/>
        </w:rPr>
      </w:pPr>
      <w:r w:rsidRPr="00D629F5">
        <w:rPr>
          <w:rFonts w:eastAsia="Calibri"/>
          <w:bCs w:val="0"/>
          <w:lang w:val="fr-FR"/>
        </w:rPr>
        <w:t>Inspiré des amendements au Cadre stratégique, introduits par la Résolution XIV.18, ce projet de résolution porte sur des questions qui n’ont pas été totalement prises en considération lors de la COP14. Plus précisément, il explique quand et comment d’autres estimations des populations peuvent être utilisées par les Parties contractantes et aborde les aspects connexes du Critère 5 tels que les renvois au Critère 6. Par ailleurs, le projet de résolution prévoit des amendements au Cadre stratégique relatifs au Critère 9 qui concerne les espèces animales dépendant des zones humides et n’appartenant pas à l’avifaune, facilitant ainsi la désignation de zones humides d’importance internationale sur la base de ce critère. Les amendements proposés au Cadre stratégique et lignes directrices pour l’évolution de la Liste des zones humides d’importance internationale sont décrits dans les Annexes 1 et 2 du projet de résolution.</w:t>
      </w:r>
    </w:p>
    <w:p w14:paraId="2EDCFCB6" w14:textId="77777777" w:rsidR="00AC49FB" w:rsidRPr="00D629F5" w:rsidRDefault="00AC49FB" w:rsidP="009F39FC">
      <w:pPr>
        <w:ind w:left="900"/>
        <w:rPr>
          <w:rFonts w:eastAsia="Calibri"/>
          <w:bCs w:val="0"/>
          <w:lang w:val="fr-FR"/>
        </w:rPr>
      </w:pPr>
    </w:p>
    <w:p w14:paraId="5EECE044" w14:textId="77777777" w:rsidR="00C445AE" w:rsidRPr="00D629F5" w:rsidRDefault="00C445AE" w:rsidP="00C445AE">
      <w:pPr>
        <w:rPr>
          <w:rFonts w:eastAsia="Calibri"/>
          <w:lang w:val="fr-FR"/>
        </w:rPr>
      </w:pPr>
    </w:p>
    <w:p w14:paraId="406477A8" w14:textId="4E426A15" w:rsidR="00C445AE" w:rsidRPr="00D629F5" w:rsidRDefault="00C445AE" w:rsidP="00C445AE">
      <w:pPr>
        <w:rPr>
          <w:b/>
          <w:bCs w:val="0"/>
          <w:lang w:val="fr-FR" w:eastAsia="zh-CN"/>
        </w:rPr>
      </w:pPr>
      <w:r w:rsidRPr="00D629F5">
        <w:rPr>
          <w:b/>
          <w:bCs w:val="0"/>
          <w:lang w:val="fr-FR" w:eastAsia="zh-CN"/>
        </w:rPr>
        <w:t>Financ</w:t>
      </w:r>
      <w:r w:rsidR="000634B4" w:rsidRPr="00D629F5">
        <w:rPr>
          <w:b/>
          <w:bCs w:val="0"/>
          <w:lang w:val="fr-FR" w:eastAsia="zh-CN"/>
        </w:rPr>
        <w:t>ement de la création du</w:t>
      </w:r>
      <w:r w:rsidRPr="00D629F5">
        <w:rPr>
          <w:b/>
          <w:bCs w:val="0"/>
          <w:lang w:val="fr-FR" w:eastAsia="zh-CN"/>
        </w:rPr>
        <w:t xml:space="preserve"> </w:t>
      </w:r>
      <w:r w:rsidR="00C337FB" w:rsidRPr="00D629F5">
        <w:rPr>
          <w:b/>
          <w:lang w:val="fr-FR" w:eastAsia="zh-CN"/>
        </w:rPr>
        <w:t xml:space="preserve">Partenariat pour les estimations des populations d’oiseaux d’eau </w:t>
      </w:r>
      <w:r w:rsidR="000634B4" w:rsidRPr="00D629F5">
        <w:rPr>
          <w:b/>
          <w:lang w:val="fr-FR" w:eastAsia="zh-CN"/>
        </w:rPr>
        <w:t xml:space="preserve">et de la réalisation </w:t>
      </w:r>
      <w:r w:rsidR="000634B4" w:rsidRPr="00D629F5">
        <w:rPr>
          <w:b/>
          <w:bCs w:val="0"/>
          <w:lang w:val="fr-FR" w:eastAsia="zh-CN"/>
        </w:rPr>
        <w:t>de l’é</w:t>
      </w:r>
      <w:r w:rsidRPr="00D629F5">
        <w:rPr>
          <w:b/>
          <w:bCs w:val="0"/>
          <w:lang w:val="fr-FR" w:eastAsia="zh-CN"/>
        </w:rPr>
        <w:t xml:space="preserve">dition </w:t>
      </w:r>
      <w:r w:rsidR="000634B4" w:rsidRPr="00D629F5">
        <w:rPr>
          <w:b/>
          <w:bCs w:val="0"/>
          <w:lang w:val="fr-FR" w:eastAsia="zh-CN"/>
        </w:rPr>
        <w:t>2027 du rapport</w:t>
      </w:r>
      <w:r w:rsidRPr="00D629F5">
        <w:rPr>
          <w:b/>
          <w:bCs w:val="0"/>
          <w:lang w:val="fr-FR" w:eastAsia="zh-CN"/>
        </w:rPr>
        <w:t xml:space="preserve"> </w:t>
      </w:r>
      <w:r w:rsidRPr="00D629F5">
        <w:rPr>
          <w:b/>
          <w:bCs w:val="0"/>
          <w:i/>
          <w:iCs/>
          <w:lang w:val="fr-FR" w:eastAsia="zh-CN"/>
        </w:rPr>
        <w:t>Waterbird Population Estimates</w:t>
      </w:r>
      <w:r w:rsidRPr="00D629F5">
        <w:rPr>
          <w:b/>
          <w:bCs w:val="0"/>
          <w:lang w:val="fr-FR" w:eastAsia="zh-CN"/>
        </w:rPr>
        <w:t xml:space="preserve"> (WPE2027)</w:t>
      </w:r>
    </w:p>
    <w:p w14:paraId="694F3189" w14:textId="77777777" w:rsidR="00C445AE" w:rsidRPr="00D629F5" w:rsidRDefault="00C445AE" w:rsidP="00C445AE">
      <w:pPr>
        <w:rPr>
          <w:rFonts w:eastAsia="Calibri"/>
          <w:lang w:val="fr-FR"/>
        </w:rPr>
      </w:pPr>
    </w:p>
    <w:p w14:paraId="1E2C35E1" w14:textId="18FBDFE3" w:rsidR="00C445AE" w:rsidRPr="00D629F5" w:rsidRDefault="00C445AE" w:rsidP="00C445AE">
      <w:pPr>
        <w:ind w:left="432" w:hanging="432"/>
        <w:rPr>
          <w:rFonts w:eastAsia="Calibri"/>
          <w:bCs w:val="0"/>
          <w:lang w:val="fr-FR"/>
        </w:rPr>
      </w:pPr>
      <w:r w:rsidRPr="00D629F5">
        <w:rPr>
          <w:rFonts w:eastAsia="Calibri"/>
          <w:lang w:val="fr-FR"/>
        </w:rPr>
        <w:t>2</w:t>
      </w:r>
      <w:r w:rsidR="00336E88">
        <w:rPr>
          <w:rFonts w:eastAsia="Calibri"/>
          <w:lang w:val="fr-FR"/>
        </w:rPr>
        <w:t>3</w:t>
      </w:r>
      <w:r w:rsidRPr="00D629F5">
        <w:rPr>
          <w:rFonts w:eastAsia="Calibri"/>
          <w:lang w:val="fr-FR"/>
        </w:rPr>
        <w:t>.</w:t>
      </w:r>
      <w:r w:rsidRPr="00D629F5">
        <w:rPr>
          <w:rFonts w:eastAsia="Calibri"/>
          <w:lang w:val="fr-FR"/>
        </w:rPr>
        <w:tab/>
      </w:r>
      <w:r w:rsidR="001C34C5" w:rsidRPr="00D629F5">
        <w:rPr>
          <w:rFonts w:eastAsia="Calibri"/>
          <w:lang w:val="fr-FR"/>
        </w:rPr>
        <w:t>L’</w:t>
      </w:r>
      <w:r w:rsidRPr="00D629F5">
        <w:rPr>
          <w:rFonts w:eastAsia="Calibri"/>
          <w:bCs w:val="0"/>
          <w:lang w:val="fr-FR"/>
        </w:rPr>
        <w:t>Annex</w:t>
      </w:r>
      <w:r w:rsidR="001C34C5" w:rsidRPr="00D629F5">
        <w:rPr>
          <w:rFonts w:eastAsia="Calibri"/>
          <w:bCs w:val="0"/>
          <w:lang w:val="fr-FR"/>
        </w:rPr>
        <w:t>e </w:t>
      </w:r>
      <w:r w:rsidRPr="00D629F5">
        <w:rPr>
          <w:rFonts w:eastAsia="Calibri"/>
          <w:bCs w:val="0"/>
          <w:lang w:val="fr-FR"/>
        </w:rPr>
        <w:t xml:space="preserve">5 </w:t>
      </w:r>
      <w:r w:rsidR="001C34C5" w:rsidRPr="00D629F5">
        <w:rPr>
          <w:rFonts w:eastAsia="Calibri"/>
          <w:bCs w:val="0"/>
          <w:lang w:val="fr-FR"/>
        </w:rPr>
        <w:t xml:space="preserve">décrit les besoins de </w:t>
      </w:r>
      <w:r w:rsidR="006B28E7" w:rsidRPr="00D629F5">
        <w:rPr>
          <w:rFonts w:eastAsia="Calibri"/>
          <w:bCs w:val="0"/>
          <w:lang w:val="fr-FR"/>
        </w:rPr>
        <w:t>financement</w:t>
      </w:r>
      <w:r w:rsidR="001C34C5" w:rsidRPr="00D629F5">
        <w:rPr>
          <w:rFonts w:eastAsia="Calibri"/>
          <w:bCs w:val="0"/>
          <w:lang w:val="fr-FR"/>
        </w:rPr>
        <w:t xml:space="preserve"> pour la création du Partenariat pour les estimations des populations d’oiseaux d’eau (W</w:t>
      </w:r>
      <w:r w:rsidR="00B90E6E" w:rsidRPr="00D629F5">
        <w:rPr>
          <w:rFonts w:eastAsia="Calibri"/>
          <w:bCs w:val="0"/>
          <w:lang w:val="fr-FR"/>
        </w:rPr>
        <w:t>EP</w:t>
      </w:r>
      <w:r w:rsidR="001C34C5" w:rsidRPr="00D629F5">
        <w:rPr>
          <w:rFonts w:eastAsia="Calibri"/>
          <w:bCs w:val="0"/>
          <w:lang w:val="fr-FR"/>
        </w:rPr>
        <w:t xml:space="preserve">) </w:t>
      </w:r>
      <w:r w:rsidR="00E200A3" w:rsidRPr="00D629F5">
        <w:rPr>
          <w:rFonts w:eastAsia="Calibri"/>
          <w:bCs w:val="0"/>
          <w:lang w:val="fr-FR"/>
        </w:rPr>
        <w:t>et la production de l’édition de 2027</w:t>
      </w:r>
      <w:r w:rsidR="00BF59E0" w:rsidRPr="00D629F5">
        <w:rPr>
          <w:rFonts w:eastAsia="Calibri"/>
          <w:bCs w:val="0"/>
          <w:lang w:val="fr-FR"/>
        </w:rPr>
        <w:t xml:space="preserve"> des estimations des populations d’oiseaux d’eau,</w:t>
      </w:r>
      <w:r w:rsidR="00E200A3" w:rsidRPr="00D629F5">
        <w:rPr>
          <w:rFonts w:eastAsia="Calibri"/>
          <w:bCs w:val="0"/>
          <w:lang w:val="fr-FR"/>
        </w:rPr>
        <w:t xml:space="preserve"> </w:t>
      </w:r>
      <w:r w:rsidRPr="00D629F5">
        <w:rPr>
          <w:rFonts w:eastAsia="Calibri"/>
          <w:bCs w:val="0"/>
          <w:i/>
          <w:iCs/>
          <w:lang w:val="fr-FR"/>
        </w:rPr>
        <w:t xml:space="preserve">Waterbird </w:t>
      </w:r>
      <w:r w:rsidR="006B28E7" w:rsidRPr="00D629F5">
        <w:rPr>
          <w:rFonts w:eastAsia="Calibri"/>
          <w:bCs w:val="0"/>
          <w:i/>
          <w:iCs/>
          <w:lang w:val="fr-FR"/>
        </w:rPr>
        <w:t xml:space="preserve">Population </w:t>
      </w:r>
      <w:r w:rsidRPr="00D629F5">
        <w:rPr>
          <w:rFonts w:eastAsia="Calibri"/>
          <w:bCs w:val="0"/>
          <w:i/>
          <w:iCs/>
          <w:lang w:val="fr-FR"/>
        </w:rPr>
        <w:t>Estimates</w:t>
      </w:r>
      <w:r w:rsidRPr="00D629F5">
        <w:rPr>
          <w:rFonts w:eastAsia="Calibri"/>
          <w:bCs w:val="0"/>
          <w:lang w:val="fr-FR"/>
        </w:rPr>
        <w:t xml:space="preserve"> (WPE2027). </w:t>
      </w:r>
      <w:r w:rsidR="00950138" w:rsidRPr="00D629F5">
        <w:rPr>
          <w:rFonts w:eastAsia="Calibri"/>
          <w:bCs w:val="0"/>
          <w:lang w:val="fr-FR"/>
        </w:rPr>
        <w:t xml:space="preserve">L’annexe complète le projet de résolution soumis </w:t>
      </w:r>
      <w:r w:rsidRPr="00D629F5">
        <w:rPr>
          <w:rFonts w:eastAsia="Calibri"/>
          <w:bCs w:val="0"/>
          <w:lang w:val="fr-FR"/>
        </w:rPr>
        <w:t>(SC64-2</w:t>
      </w:r>
      <w:r w:rsidR="000A61FF" w:rsidRPr="00D629F5">
        <w:rPr>
          <w:rFonts w:eastAsia="Calibri"/>
          <w:bCs w:val="0"/>
          <w:lang w:val="fr-FR"/>
        </w:rPr>
        <w:t>0</w:t>
      </w:r>
      <w:r w:rsidRPr="00D629F5">
        <w:rPr>
          <w:rFonts w:eastAsia="Calibri"/>
          <w:bCs w:val="0"/>
          <w:lang w:val="fr-FR"/>
        </w:rPr>
        <w:t xml:space="preserve">) </w:t>
      </w:r>
      <w:r w:rsidR="00950138" w:rsidRPr="00D629F5">
        <w:rPr>
          <w:rFonts w:eastAsia="Calibri"/>
          <w:bCs w:val="0"/>
          <w:lang w:val="fr-FR"/>
        </w:rPr>
        <w:t>et donne des estimations de coûts pour la mise en place d</w:t>
      </w:r>
      <w:r w:rsidR="00257D7A" w:rsidRPr="00D629F5">
        <w:rPr>
          <w:rFonts w:eastAsia="Calibri"/>
          <w:bCs w:val="0"/>
          <w:lang w:val="fr-FR"/>
        </w:rPr>
        <w:t>u</w:t>
      </w:r>
      <w:r w:rsidR="00257D7A" w:rsidRPr="00D629F5">
        <w:rPr>
          <w:rFonts w:eastAsia="Calibri"/>
          <w:b/>
          <w:lang w:val="fr-FR"/>
        </w:rPr>
        <w:t xml:space="preserve"> estimations des populations d’oiseaux d’eau</w:t>
      </w:r>
      <w:r w:rsidR="00950138" w:rsidRPr="00D629F5">
        <w:rPr>
          <w:rFonts w:eastAsia="Calibri"/>
          <w:bCs w:val="0"/>
          <w:lang w:val="fr-FR"/>
        </w:rPr>
        <w:t xml:space="preserve"> WEP, qui supervisera et coordonnera les mises à jour des données sur les populations d’oiseaux d’eau à </w:t>
      </w:r>
      <w:r w:rsidR="00C1672D" w:rsidRPr="00D629F5">
        <w:rPr>
          <w:rFonts w:eastAsia="Calibri"/>
          <w:bCs w:val="0"/>
          <w:lang w:val="fr-FR"/>
        </w:rPr>
        <w:t>l’échelle</w:t>
      </w:r>
      <w:r w:rsidR="00950138" w:rsidRPr="00D629F5">
        <w:rPr>
          <w:rFonts w:eastAsia="Calibri"/>
          <w:bCs w:val="0"/>
          <w:lang w:val="fr-FR"/>
        </w:rPr>
        <w:t xml:space="preserve"> de multiples régions. </w:t>
      </w:r>
      <w:r w:rsidR="00C1672D" w:rsidRPr="00D629F5">
        <w:rPr>
          <w:rFonts w:eastAsia="Calibri"/>
          <w:bCs w:val="0"/>
          <w:lang w:val="fr-FR"/>
        </w:rPr>
        <w:t>Elle</w:t>
      </w:r>
      <w:r w:rsidR="00950138" w:rsidRPr="00D629F5">
        <w:rPr>
          <w:rFonts w:eastAsia="Calibri"/>
          <w:bCs w:val="0"/>
          <w:lang w:val="fr-FR"/>
        </w:rPr>
        <w:t xml:space="preserve"> décrit aussi en détail les ressources nécessaires pour mettre à jour </w:t>
      </w:r>
      <w:r w:rsidR="00C1672D" w:rsidRPr="00D629F5">
        <w:rPr>
          <w:rFonts w:eastAsia="Calibri"/>
          <w:bCs w:val="0"/>
          <w:lang w:val="fr-FR"/>
        </w:rPr>
        <w:t xml:space="preserve">les données sur </w:t>
      </w:r>
      <w:r w:rsidR="00950138" w:rsidRPr="00D629F5">
        <w:rPr>
          <w:rFonts w:eastAsia="Calibri"/>
          <w:bCs w:val="0"/>
          <w:lang w:val="fr-FR"/>
        </w:rPr>
        <w:t xml:space="preserve">1600 populations d’oiseaux d’eau prioritaires et maintenir le </w:t>
      </w:r>
      <w:r w:rsidRPr="00D629F5">
        <w:rPr>
          <w:rFonts w:eastAsia="Calibri"/>
          <w:bCs w:val="0"/>
          <w:lang w:val="fr-FR"/>
        </w:rPr>
        <w:t>Waterbird Populations Portal</w:t>
      </w:r>
      <w:r w:rsidR="00982A2A" w:rsidRPr="00D629F5">
        <w:rPr>
          <w:rFonts w:eastAsia="Calibri"/>
          <w:bCs w:val="0"/>
          <w:lang w:val="fr-FR"/>
        </w:rPr>
        <w:t xml:space="preserve"> (Portail des populations d’oiseaux d’eau)</w:t>
      </w:r>
      <w:r w:rsidRPr="00D629F5">
        <w:rPr>
          <w:rFonts w:eastAsia="Calibri"/>
          <w:bCs w:val="0"/>
          <w:lang w:val="fr-FR"/>
        </w:rPr>
        <w:t xml:space="preserve">. </w:t>
      </w:r>
    </w:p>
    <w:p w14:paraId="211BBBCD" w14:textId="77777777" w:rsidR="00C445AE" w:rsidRPr="00D629F5" w:rsidRDefault="00C445AE" w:rsidP="00C445AE">
      <w:pPr>
        <w:rPr>
          <w:rFonts w:eastAsia="Calibri"/>
          <w:bCs w:val="0"/>
          <w:lang w:val="fr-FR"/>
        </w:rPr>
      </w:pPr>
    </w:p>
    <w:p w14:paraId="400070C1" w14:textId="5DEC1362" w:rsidR="00C445AE" w:rsidRPr="00D629F5" w:rsidRDefault="00C445AE" w:rsidP="00C445AE">
      <w:pPr>
        <w:ind w:left="432" w:hanging="432"/>
        <w:rPr>
          <w:rFonts w:eastAsia="Calibri"/>
          <w:bCs w:val="0"/>
          <w:lang w:val="fr-FR"/>
        </w:rPr>
      </w:pPr>
      <w:r w:rsidRPr="00D629F5">
        <w:rPr>
          <w:rFonts w:eastAsia="Calibri"/>
          <w:lang w:val="fr-FR"/>
        </w:rPr>
        <w:t>2</w:t>
      </w:r>
      <w:r w:rsidR="00336E88">
        <w:rPr>
          <w:rFonts w:eastAsia="Calibri"/>
          <w:lang w:val="fr-FR"/>
        </w:rPr>
        <w:t>4</w:t>
      </w:r>
      <w:r w:rsidRPr="00D629F5">
        <w:rPr>
          <w:rFonts w:eastAsia="Calibri"/>
          <w:lang w:val="fr-FR"/>
        </w:rPr>
        <w:t>.</w:t>
      </w:r>
      <w:r w:rsidRPr="00D629F5">
        <w:rPr>
          <w:rFonts w:eastAsia="Calibri"/>
          <w:lang w:val="fr-FR"/>
        </w:rPr>
        <w:tab/>
      </w:r>
      <w:r w:rsidR="00950138" w:rsidRPr="00D629F5">
        <w:rPr>
          <w:rFonts w:eastAsia="Calibri"/>
          <w:lang w:val="fr-FR"/>
        </w:rPr>
        <w:t xml:space="preserve">Trois options de financement – intégral, intermédiaire et minimal – sont proposées avec une recommandation </w:t>
      </w:r>
      <w:r w:rsidR="00730FA8" w:rsidRPr="00D629F5">
        <w:rPr>
          <w:rFonts w:eastAsia="Calibri"/>
          <w:lang w:val="fr-FR"/>
        </w:rPr>
        <w:t>en faveur de</w:t>
      </w:r>
      <w:r w:rsidR="00950138" w:rsidRPr="00D629F5">
        <w:rPr>
          <w:rFonts w:eastAsia="Calibri"/>
          <w:lang w:val="fr-FR"/>
        </w:rPr>
        <w:t xml:space="preserve"> l’</w:t>
      </w:r>
      <w:r w:rsidR="00730FA8" w:rsidRPr="00D629F5">
        <w:rPr>
          <w:rFonts w:eastAsia="Calibri"/>
          <w:lang w:val="fr-FR"/>
        </w:rPr>
        <w:t>ad</w:t>
      </w:r>
      <w:r w:rsidR="00950138" w:rsidRPr="00D629F5">
        <w:rPr>
          <w:rFonts w:eastAsia="Calibri"/>
          <w:lang w:val="fr-FR"/>
        </w:rPr>
        <w:t>option d</w:t>
      </w:r>
      <w:r w:rsidR="00730FA8" w:rsidRPr="00D629F5">
        <w:rPr>
          <w:rFonts w:eastAsia="Calibri"/>
          <w:lang w:val="fr-FR"/>
        </w:rPr>
        <w:t>u</w:t>
      </w:r>
      <w:r w:rsidR="00950138" w:rsidRPr="00D629F5">
        <w:rPr>
          <w:rFonts w:eastAsia="Calibri"/>
          <w:lang w:val="fr-FR"/>
        </w:rPr>
        <w:t xml:space="preserve"> financement intégral </w:t>
      </w:r>
      <w:r w:rsidR="00730FA8" w:rsidRPr="00D629F5">
        <w:rPr>
          <w:rFonts w:eastAsia="Calibri"/>
          <w:lang w:val="fr-FR"/>
        </w:rPr>
        <w:t>si l’on veut</w:t>
      </w:r>
      <w:r w:rsidR="00950138" w:rsidRPr="00D629F5">
        <w:rPr>
          <w:rFonts w:eastAsia="Calibri"/>
          <w:lang w:val="fr-FR"/>
        </w:rPr>
        <w:t xml:space="preserve"> </w:t>
      </w:r>
      <w:r w:rsidR="00730FA8" w:rsidRPr="00D629F5">
        <w:rPr>
          <w:rFonts w:eastAsia="Calibri"/>
          <w:lang w:val="fr-FR"/>
        </w:rPr>
        <w:t>réaliser l’ensemble</w:t>
      </w:r>
      <w:r w:rsidR="00950138" w:rsidRPr="00D629F5">
        <w:rPr>
          <w:rFonts w:eastAsia="Calibri"/>
          <w:lang w:val="fr-FR"/>
        </w:rPr>
        <w:t xml:space="preserve"> des mises à jour. L’annexe souligne </w:t>
      </w:r>
      <w:r w:rsidR="00730FA8" w:rsidRPr="00D629F5">
        <w:rPr>
          <w:rFonts w:eastAsia="Calibri"/>
          <w:lang w:val="fr-FR"/>
        </w:rPr>
        <w:t>qu’il importe d</w:t>
      </w:r>
      <w:r w:rsidR="00950138" w:rsidRPr="00D629F5">
        <w:rPr>
          <w:rFonts w:eastAsia="Calibri"/>
          <w:lang w:val="fr-FR"/>
        </w:rPr>
        <w:t xml:space="preserve">’obtenir des ressources financières adéquates dès le début de 2025 pour </w:t>
      </w:r>
      <w:r w:rsidR="009E0D1D" w:rsidRPr="00D629F5">
        <w:rPr>
          <w:rFonts w:eastAsia="Calibri"/>
          <w:lang w:val="fr-FR"/>
        </w:rPr>
        <w:t>respecter</w:t>
      </w:r>
      <w:r w:rsidR="00950138" w:rsidRPr="00D629F5">
        <w:rPr>
          <w:rFonts w:eastAsia="Calibri"/>
          <w:lang w:val="fr-FR"/>
        </w:rPr>
        <w:t xml:space="preserve"> le calendrier ambitieux de la création du WEP et de la production du </w:t>
      </w:r>
      <w:r w:rsidRPr="00D629F5">
        <w:rPr>
          <w:rFonts w:eastAsia="Calibri"/>
          <w:bCs w:val="0"/>
          <w:lang w:val="fr-FR"/>
        </w:rPr>
        <w:t xml:space="preserve">WPE2027. </w:t>
      </w:r>
      <w:r w:rsidR="00950138" w:rsidRPr="00D629F5">
        <w:rPr>
          <w:rFonts w:eastAsia="Calibri"/>
          <w:bCs w:val="0"/>
          <w:lang w:val="fr-FR"/>
        </w:rPr>
        <w:t xml:space="preserve">En cas de financement partiel, </w:t>
      </w:r>
      <w:r w:rsidR="009E0D1D" w:rsidRPr="00D629F5">
        <w:rPr>
          <w:rFonts w:eastAsia="Calibri"/>
          <w:bCs w:val="0"/>
          <w:lang w:val="fr-FR"/>
        </w:rPr>
        <w:t xml:space="preserve">il faudra déployer </w:t>
      </w:r>
      <w:r w:rsidR="00950138" w:rsidRPr="00D629F5">
        <w:rPr>
          <w:rFonts w:eastAsia="Calibri"/>
          <w:bCs w:val="0"/>
          <w:lang w:val="fr-FR"/>
        </w:rPr>
        <w:t xml:space="preserve">des efforts de mobilisation des ressources additionnels pour </w:t>
      </w:r>
      <w:r w:rsidR="009E0D1D" w:rsidRPr="00D629F5">
        <w:rPr>
          <w:rFonts w:eastAsia="Calibri"/>
          <w:bCs w:val="0"/>
          <w:lang w:val="fr-FR"/>
        </w:rPr>
        <w:t xml:space="preserve">obtenir l’intégralité </w:t>
      </w:r>
      <w:r w:rsidR="00950138" w:rsidRPr="00D629F5">
        <w:rPr>
          <w:rFonts w:eastAsia="Calibri"/>
          <w:bCs w:val="0"/>
          <w:lang w:val="fr-FR"/>
        </w:rPr>
        <w:t>des résultats.</w:t>
      </w:r>
    </w:p>
    <w:p w14:paraId="26D38960" w14:textId="77777777" w:rsidR="009F39FC" w:rsidRPr="00D629F5" w:rsidRDefault="009F39FC" w:rsidP="0075379B">
      <w:pPr>
        <w:rPr>
          <w:rFonts w:eastAsia="Calibri"/>
          <w:bCs w:val="0"/>
          <w:lang w:val="fr-FR"/>
        </w:rPr>
      </w:pPr>
    </w:p>
    <w:p w14:paraId="1C49DD00" w14:textId="1ECFD8A8" w:rsidR="0075379B" w:rsidRPr="00D629F5" w:rsidRDefault="00E078DE" w:rsidP="0075379B">
      <w:pPr>
        <w:rPr>
          <w:b/>
          <w:bCs w:val="0"/>
          <w:lang w:val="fr-FR" w:eastAsia="zh-CN"/>
        </w:rPr>
      </w:pPr>
      <w:r w:rsidRPr="00D629F5">
        <w:rPr>
          <w:b/>
          <w:bCs w:val="0"/>
          <w:lang w:val="fr-FR" w:eastAsia="zh-CN"/>
        </w:rPr>
        <w:t>Orientations supplémentaires sur l’utilisation d’autres estimations des populations d’oiseaux d’eau</w:t>
      </w:r>
    </w:p>
    <w:p w14:paraId="58B01A85" w14:textId="77777777" w:rsidR="0075379B" w:rsidRPr="00D629F5" w:rsidRDefault="0075379B" w:rsidP="0075379B">
      <w:pPr>
        <w:rPr>
          <w:lang w:val="fr-FR" w:eastAsia="zh-CN"/>
        </w:rPr>
      </w:pPr>
    </w:p>
    <w:p w14:paraId="76F65221" w14:textId="42ADB001" w:rsidR="000B7A15" w:rsidRPr="00D629F5" w:rsidRDefault="00F319AD" w:rsidP="0075379B">
      <w:pPr>
        <w:ind w:left="432" w:hanging="432"/>
        <w:rPr>
          <w:rFonts w:eastAsia="Calibri"/>
          <w:bCs w:val="0"/>
          <w:lang w:val="fr-FR"/>
        </w:rPr>
      </w:pPr>
      <w:r w:rsidRPr="00D629F5">
        <w:rPr>
          <w:rFonts w:eastAsia="Calibri"/>
          <w:lang w:val="fr-FR"/>
        </w:rPr>
        <w:t>2</w:t>
      </w:r>
      <w:r w:rsidR="00336E88">
        <w:rPr>
          <w:rFonts w:eastAsia="Calibri"/>
          <w:lang w:val="fr-FR"/>
        </w:rPr>
        <w:t>5</w:t>
      </w:r>
      <w:r w:rsidRPr="00D629F5">
        <w:rPr>
          <w:rFonts w:eastAsia="Calibri"/>
          <w:lang w:val="fr-FR"/>
        </w:rPr>
        <w:t>.</w:t>
      </w:r>
      <w:r w:rsidRPr="00D629F5">
        <w:rPr>
          <w:rFonts w:eastAsia="Calibri"/>
          <w:lang w:val="fr-FR"/>
        </w:rPr>
        <w:tab/>
      </w:r>
      <w:r w:rsidR="00741F01" w:rsidRPr="00D629F5">
        <w:rPr>
          <w:rFonts w:eastAsia="Calibri"/>
          <w:lang w:val="fr-FR"/>
        </w:rPr>
        <w:t>Dans l’</w:t>
      </w:r>
      <w:r w:rsidRPr="00D629F5">
        <w:rPr>
          <w:rFonts w:eastAsia="Calibri"/>
          <w:bCs w:val="0"/>
          <w:lang w:val="fr-FR"/>
        </w:rPr>
        <w:t>Annex</w:t>
      </w:r>
      <w:r w:rsidR="00741F01" w:rsidRPr="00D629F5">
        <w:rPr>
          <w:rFonts w:eastAsia="Calibri"/>
          <w:bCs w:val="0"/>
          <w:lang w:val="fr-FR"/>
        </w:rPr>
        <w:t>e </w:t>
      </w:r>
      <w:r w:rsidRPr="00D629F5">
        <w:rPr>
          <w:rFonts w:eastAsia="Calibri"/>
          <w:bCs w:val="0"/>
          <w:lang w:val="fr-FR"/>
        </w:rPr>
        <w:t>2</w:t>
      </w:r>
      <w:r w:rsidR="00741F01" w:rsidRPr="00D629F5">
        <w:rPr>
          <w:rFonts w:eastAsia="Calibri"/>
          <w:bCs w:val="0"/>
          <w:lang w:val="fr-FR"/>
        </w:rPr>
        <w:t>, les Parties contractantes trouveront d</w:t>
      </w:r>
      <w:r w:rsidR="00966A22" w:rsidRPr="00D629F5">
        <w:rPr>
          <w:rFonts w:eastAsia="Calibri"/>
          <w:bCs w:val="0"/>
          <w:lang w:val="fr-FR"/>
        </w:rPr>
        <w:t>es</w:t>
      </w:r>
      <w:r w:rsidR="00741F01" w:rsidRPr="00D629F5">
        <w:rPr>
          <w:rFonts w:eastAsia="Calibri"/>
          <w:bCs w:val="0"/>
          <w:lang w:val="fr-FR"/>
        </w:rPr>
        <w:t xml:space="preserve"> orientations </w:t>
      </w:r>
      <w:r w:rsidR="00966A22" w:rsidRPr="00D629F5">
        <w:rPr>
          <w:rFonts w:eastAsia="Calibri"/>
          <w:bCs w:val="0"/>
          <w:lang w:val="fr-FR"/>
        </w:rPr>
        <w:t xml:space="preserve">supplémentaires </w:t>
      </w:r>
      <w:r w:rsidR="00741F01" w:rsidRPr="00D629F5">
        <w:rPr>
          <w:rFonts w:eastAsia="Calibri"/>
          <w:bCs w:val="0"/>
          <w:lang w:val="fr-FR"/>
        </w:rPr>
        <w:t xml:space="preserve">sur l’utilisation d’autres estimations des populations pour appliquer le Critère 6 à la désignation de zones humides d’importance internationale. </w:t>
      </w:r>
      <w:r w:rsidR="00966A22" w:rsidRPr="00D629F5">
        <w:rPr>
          <w:rFonts w:eastAsia="Calibri"/>
          <w:bCs w:val="0"/>
          <w:lang w:val="fr-FR"/>
        </w:rPr>
        <w:t>Ces orientations viennent s’ajouter</w:t>
      </w:r>
      <w:r w:rsidR="00741F01" w:rsidRPr="00D629F5">
        <w:rPr>
          <w:rFonts w:eastAsia="Calibri"/>
          <w:bCs w:val="0"/>
          <w:lang w:val="fr-FR"/>
        </w:rPr>
        <w:t xml:space="preserve"> aux changements proposés au Cadre stratégique </w:t>
      </w:r>
      <w:r w:rsidR="00D5278A" w:rsidRPr="00D629F5">
        <w:rPr>
          <w:rFonts w:eastAsia="Calibri"/>
          <w:lang w:val="fr-FR"/>
        </w:rPr>
        <w:t>(SC63-20)</w:t>
      </w:r>
      <w:r w:rsidRPr="00D629F5">
        <w:rPr>
          <w:rFonts w:eastAsia="Calibri"/>
          <w:bCs w:val="0"/>
          <w:lang w:val="fr-FR"/>
        </w:rPr>
        <w:t xml:space="preserve">. </w:t>
      </w:r>
      <w:r w:rsidR="00741F01" w:rsidRPr="00D629F5">
        <w:rPr>
          <w:rFonts w:eastAsia="Calibri"/>
          <w:bCs w:val="0"/>
          <w:lang w:val="fr-FR"/>
        </w:rPr>
        <w:t>L’Annexe 2 décrit</w:t>
      </w:r>
      <w:r w:rsidR="00966A22" w:rsidRPr="00D629F5">
        <w:rPr>
          <w:rFonts w:eastAsia="Calibri"/>
          <w:bCs w:val="0"/>
          <w:lang w:val="fr-FR"/>
        </w:rPr>
        <w:t>,</w:t>
      </w:r>
      <w:r w:rsidR="00741F01" w:rsidRPr="00D629F5">
        <w:rPr>
          <w:rFonts w:eastAsia="Calibri"/>
          <w:bCs w:val="0"/>
          <w:lang w:val="fr-FR"/>
        </w:rPr>
        <w:t xml:space="preserve"> étape par étape</w:t>
      </w:r>
      <w:r w:rsidR="00966A22" w:rsidRPr="00D629F5">
        <w:rPr>
          <w:rFonts w:eastAsia="Calibri"/>
          <w:bCs w:val="0"/>
          <w:lang w:val="fr-FR"/>
        </w:rPr>
        <w:t>,</w:t>
      </w:r>
      <w:r w:rsidR="00741F01" w:rsidRPr="00D629F5">
        <w:rPr>
          <w:rFonts w:eastAsia="Calibri"/>
          <w:bCs w:val="0"/>
          <w:lang w:val="fr-FR"/>
        </w:rPr>
        <w:t xml:space="preserve"> </w:t>
      </w:r>
      <w:r w:rsidR="00966A22" w:rsidRPr="00D629F5">
        <w:rPr>
          <w:rFonts w:eastAsia="Calibri"/>
          <w:bCs w:val="0"/>
          <w:lang w:val="fr-FR"/>
        </w:rPr>
        <w:t>comment</w:t>
      </w:r>
      <w:r w:rsidR="00741F01" w:rsidRPr="00D629F5">
        <w:rPr>
          <w:rFonts w:eastAsia="Calibri"/>
          <w:bCs w:val="0"/>
          <w:lang w:val="fr-FR"/>
        </w:rPr>
        <w:t xml:space="preserve"> soumettre d’autres estimations, en particulier </w:t>
      </w:r>
      <w:r w:rsidR="00966A22" w:rsidRPr="00D629F5">
        <w:rPr>
          <w:rFonts w:eastAsia="Calibri"/>
          <w:bCs w:val="0"/>
          <w:lang w:val="fr-FR"/>
        </w:rPr>
        <w:t>lorsque</w:t>
      </w:r>
      <w:r w:rsidR="00741F01" w:rsidRPr="00D629F5">
        <w:rPr>
          <w:rFonts w:eastAsia="Calibri"/>
          <w:bCs w:val="0"/>
          <w:lang w:val="fr-FR"/>
        </w:rPr>
        <w:t xml:space="preserve"> les estimations actuelles de</w:t>
      </w:r>
      <w:r w:rsidR="00966A22" w:rsidRPr="00D629F5">
        <w:rPr>
          <w:rFonts w:eastAsia="Calibri"/>
          <w:bCs w:val="0"/>
          <w:lang w:val="fr-FR"/>
        </w:rPr>
        <w:t>s</w:t>
      </w:r>
      <w:r w:rsidR="00741F01" w:rsidRPr="00D629F5">
        <w:rPr>
          <w:rFonts w:eastAsia="Calibri"/>
          <w:bCs w:val="0"/>
          <w:lang w:val="fr-FR"/>
        </w:rPr>
        <w:t xml:space="preserve"> </w:t>
      </w:r>
      <w:r w:rsidRPr="00D629F5">
        <w:rPr>
          <w:rFonts w:eastAsia="Calibri"/>
          <w:bCs w:val="0"/>
          <w:lang w:val="fr-FR"/>
        </w:rPr>
        <w:t xml:space="preserve">WPE </w:t>
      </w:r>
      <w:r w:rsidR="001E6CBF" w:rsidRPr="00D629F5">
        <w:rPr>
          <w:rFonts w:eastAsia="Calibri"/>
          <w:bCs w:val="0"/>
          <w:lang w:val="fr-FR"/>
        </w:rPr>
        <w:t xml:space="preserve">ou des </w:t>
      </w:r>
      <w:r w:rsidR="00835111" w:rsidRPr="00D629F5">
        <w:rPr>
          <w:rFonts w:eastAsia="Calibri"/>
          <w:bCs w:val="0"/>
          <w:lang w:val="fr-FR"/>
        </w:rPr>
        <w:t>Rapports sur</w:t>
      </w:r>
      <w:r w:rsidR="001E6CBF" w:rsidRPr="00D629F5">
        <w:rPr>
          <w:rFonts w:eastAsia="Calibri"/>
          <w:bCs w:val="0"/>
          <w:lang w:val="fr-FR"/>
        </w:rPr>
        <w:t xml:space="preserve"> l’état de conservation</w:t>
      </w:r>
      <w:r w:rsidR="00835111" w:rsidRPr="00D629F5">
        <w:rPr>
          <w:rFonts w:eastAsia="Calibri"/>
          <w:bCs w:val="0"/>
          <w:lang w:val="fr-FR"/>
        </w:rPr>
        <w:t xml:space="preserve"> (CSR)</w:t>
      </w:r>
      <w:r w:rsidR="001E6CBF" w:rsidRPr="00D629F5">
        <w:rPr>
          <w:rFonts w:eastAsia="Calibri"/>
          <w:bCs w:val="0"/>
          <w:lang w:val="fr-FR"/>
        </w:rPr>
        <w:t xml:space="preserve"> sont obsolètes ou non disponibles.</w:t>
      </w:r>
      <w:r w:rsidRPr="00D629F5">
        <w:rPr>
          <w:rFonts w:eastAsia="Calibri"/>
          <w:bCs w:val="0"/>
          <w:lang w:val="fr-FR"/>
        </w:rPr>
        <w:t xml:space="preserve"> </w:t>
      </w:r>
    </w:p>
    <w:p w14:paraId="62B9B8D1" w14:textId="77777777" w:rsidR="000B7A15" w:rsidRPr="00D629F5" w:rsidRDefault="000B7A15" w:rsidP="0075379B">
      <w:pPr>
        <w:ind w:left="432" w:hanging="432"/>
        <w:rPr>
          <w:rFonts w:eastAsia="Calibri"/>
          <w:bCs w:val="0"/>
          <w:lang w:val="fr-FR"/>
        </w:rPr>
      </w:pPr>
    </w:p>
    <w:p w14:paraId="09F41B72" w14:textId="4105F91B" w:rsidR="0075379B" w:rsidRPr="00D629F5" w:rsidRDefault="00F319AD" w:rsidP="0075379B">
      <w:pPr>
        <w:ind w:left="432" w:hanging="432"/>
        <w:rPr>
          <w:rFonts w:eastAsia="Calibri"/>
          <w:bCs w:val="0"/>
          <w:lang w:val="fr-FR"/>
        </w:rPr>
      </w:pPr>
      <w:r w:rsidRPr="00D629F5">
        <w:rPr>
          <w:rFonts w:eastAsia="Calibri"/>
          <w:lang w:val="fr-FR"/>
        </w:rPr>
        <w:t>2</w:t>
      </w:r>
      <w:r w:rsidR="00336E88">
        <w:rPr>
          <w:rFonts w:eastAsia="Calibri"/>
          <w:lang w:val="fr-FR"/>
        </w:rPr>
        <w:t>6</w:t>
      </w:r>
      <w:r w:rsidRPr="00D629F5">
        <w:rPr>
          <w:rFonts w:eastAsia="Calibri"/>
          <w:lang w:val="fr-FR"/>
        </w:rPr>
        <w:t>.</w:t>
      </w:r>
      <w:r w:rsidRPr="00D629F5">
        <w:rPr>
          <w:rFonts w:eastAsia="Calibri"/>
          <w:lang w:val="fr-FR"/>
        </w:rPr>
        <w:tab/>
      </w:r>
      <w:r w:rsidR="0028332C" w:rsidRPr="00D629F5">
        <w:rPr>
          <w:rFonts w:eastAsia="Calibri"/>
          <w:lang w:val="fr-FR"/>
        </w:rPr>
        <w:t>Dans ces</w:t>
      </w:r>
      <w:r w:rsidR="001E6CBF" w:rsidRPr="00D629F5">
        <w:rPr>
          <w:rFonts w:eastAsia="Calibri"/>
          <w:lang w:val="fr-FR"/>
        </w:rPr>
        <w:t xml:space="preserve"> orientations</w:t>
      </w:r>
      <w:r w:rsidR="0028332C" w:rsidRPr="00D629F5">
        <w:rPr>
          <w:rFonts w:eastAsia="Calibri"/>
          <w:lang w:val="fr-FR"/>
        </w:rPr>
        <w:t xml:space="preserve">, il </w:t>
      </w:r>
      <w:r w:rsidR="00FA3CFA" w:rsidRPr="00D629F5">
        <w:rPr>
          <w:rFonts w:eastAsia="Calibri"/>
          <w:lang w:val="fr-FR"/>
        </w:rPr>
        <w:t>est dit</w:t>
      </w:r>
      <w:r w:rsidR="0028332C" w:rsidRPr="00D629F5">
        <w:rPr>
          <w:rFonts w:eastAsia="Calibri"/>
          <w:lang w:val="fr-FR"/>
        </w:rPr>
        <w:t xml:space="preserve"> clairement qu’il importe</w:t>
      </w:r>
      <w:r w:rsidR="001E6CBF" w:rsidRPr="00D629F5">
        <w:rPr>
          <w:rFonts w:eastAsia="Calibri"/>
          <w:lang w:val="fr-FR"/>
        </w:rPr>
        <w:t xml:space="preserve"> d’adhérer à des méthodologies normalisées et </w:t>
      </w:r>
      <w:r w:rsidR="0028332C" w:rsidRPr="00D629F5">
        <w:rPr>
          <w:rFonts w:eastAsia="Calibri"/>
          <w:lang w:val="fr-FR"/>
        </w:rPr>
        <w:t>de</w:t>
      </w:r>
      <w:r w:rsidR="001E6CBF" w:rsidRPr="00D629F5">
        <w:rPr>
          <w:rFonts w:eastAsia="Calibri"/>
          <w:lang w:val="fr-FR"/>
        </w:rPr>
        <w:t xml:space="preserve"> fournir des données </w:t>
      </w:r>
      <w:r w:rsidR="0028332C" w:rsidRPr="00D629F5">
        <w:rPr>
          <w:rFonts w:eastAsia="Calibri"/>
          <w:lang w:val="fr-FR"/>
        </w:rPr>
        <w:t>fiables</w:t>
      </w:r>
      <w:r w:rsidR="001E6CBF" w:rsidRPr="00D629F5">
        <w:rPr>
          <w:rFonts w:eastAsia="Calibri"/>
          <w:lang w:val="fr-FR"/>
        </w:rPr>
        <w:t>, revues par des pairs</w:t>
      </w:r>
      <w:r w:rsidR="00FA3CFA" w:rsidRPr="00D629F5">
        <w:rPr>
          <w:rFonts w:eastAsia="Calibri"/>
          <w:lang w:val="fr-FR"/>
        </w:rPr>
        <w:t>,</w:t>
      </w:r>
      <w:r w:rsidR="001E6CBF" w:rsidRPr="00D629F5">
        <w:rPr>
          <w:rFonts w:eastAsia="Calibri"/>
          <w:lang w:val="fr-FR"/>
        </w:rPr>
        <w:t xml:space="preserve"> pour </w:t>
      </w:r>
      <w:r w:rsidR="00FA3CFA" w:rsidRPr="00D629F5">
        <w:rPr>
          <w:rFonts w:eastAsia="Calibri"/>
          <w:lang w:val="fr-FR"/>
        </w:rPr>
        <w:t>justifier</w:t>
      </w:r>
      <w:r w:rsidR="001E6CBF" w:rsidRPr="00D629F5">
        <w:rPr>
          <w:rFonts w:eastAsia="Calibri"/>
          <w:lang w:val="fr-FR"/>
        </w:rPr>
        <w:t xml:space="preserve"> les soumissions. </w:t>
      </w:r>
      <w:r w:rsidR="00FA3CFA" w:rsidRPr="00D629F5">
        <w:rPr>
          <w:rFonts w:eastAsia="Calibri"/>
          <w:lang w:val="fr-FR"/>
        </w:rPr>
        <w:t>Parmi les étapes, il y a aussi celle</w:t>
      </w:r>
      <w:r w:rsidR="00257D7A" w:rsidRPr="00D629F5">
        <w:rPr>
          <w:rFonts w:eastAsia="Calibri"/>
          <w:lang w:val="fr-FR"/>
        </w:rPr>
        <w:t>s</w:t>
      </w:r>
      <w:r w:rsidR="00FA3CFA" w:rsidRPr="00D629F5">
        <w:rPr>
          <w:rFonts w:eastAsia="Calibri"/>
          <w:lang w:val="fr-FR"/>
        </w:rPr>
        <w:t>, nécessaire</w:t>
      </w:r>
      <w:r w:rsidR="00257D7A" w:rsidRPr="00D629F5">
        <w:rPr>
          <w:rFonts w:eastAsia="Calibri"/>
          <w:lang w:val="fr-FR"/>
        </w:rPr>
        <w:t>s</w:t>
      </w:r>
      <w:r w:rsidR="00FA3CFA" w:rsidRPr="00D629F5">
        <w:rPr>
          <w:rFonts w:eastAsia="Calibri"/>
          <w:lang w:val="fr-FR"/>
        </w:rPr>
        <w:t>, de l’</w:t>
      </w:r>
      <w:r w:rsidR="001E6CBF" w:rsidRPr="00D629F5">
        <w:rPr>
          <w:rFonts w:eastAsia="Calibri"/>
          <w:lang w:val="fr-FR"/>
        </w:rPr>
        <w:t xml:space="preserve">examen par le GEST et </w:t>
      </w:r>
      <w:r w:rsidR="00257D7A" w:rsidRPr="00D629F5">
        <w:rPr>
          <w:rFonts w:eastAsia="Calibri"/>
          <w:lang w:val="fr-FR"/>
        </w:rPr>
        <w:t xml:space="preserve">par </w:t>
      </w:r>
      <w:r w:rsidR="001E6CBF" w:rsidRPr="00D629F5">
        <w:rPr>
          <w:rFonts w:eastAsia="Calibri"/>
          <w:lang w:val="fr-FR"/>
        </w:rPr>
        <w:t xml:space="preserve">le Secrétariat, </w:t>
      </w:r>
      <w:r w:rsidR="00FA3CFA" w:rsidRPr="00D629F5">
        <w:rPr>
          <w:rFonts w:eastAsia="Calibri"/>
          <w:lang w:val="fr-FR"/>
        </w:rPr>
        <w:t>qui garantissent</w:t>
      </w:r>
      <w:r w:rsidR="001E6CBF" w:rsidRPr="00D629F5">
        <w:rPr>
          <w:rFonts w:eastAsia="Calibri"/>
          <w:lang w:val="fr-FR"/>
        </w:rPr>
        <w:t xml:space="preserve"> la transparence et l’exactitude. Les orientations cherchent à faciliter l’utilisation des données les plus à jour et les plus précises sur les populations en vue de la conservation des oiseaux d’eau dans le cadre de la Convention.</w:t>
      </w:r>
    </w:p>
    <w:p w14:paraId="74CD9F01" w14:textId="77777777" w:rsidR="0075379B" w:rsidRPr="00D629F5" w:rsidRDefault="0075379B" w:rsidP="0075379B">
      <w:pPr>
        <w:rPr>
          <w:rFonts w:eastAsia="Calibri"/>
          <w:lang w:val="fr-FR"/>
        </w:rPr>
      </w:pPr>
    </w:p>
    <w:p w14:paraId="21A9008B" w14:textId="6F1A2B38" w:rsidR="00DF6F64" w:rsidRPr="00D629F5" w:rsidRDefault="00336E88" w:rsidP="00EC1799">
      <w:pPr>
        <w:ind w:left="432" w:hanging="432"/>
        <w:rPr>
          <w:b/>
          <w:bCs w:val="0"/>
          <w:lang w:val="fr-FR" w:eastAsia="zh-CN"/>
        </w:rPr>
      </w:pPr>
      <w:r>
        <w:rPr>
          <w:rFonts w:eastAsia="Calibri"/>
          <w:lang w:val="fr-FR"/>
        </w:rPr>
        <w:t>27.</w:t>
      </w:r>
      <w:r w:rsidR="002A7BC2" w:rsidRPr="00D629F5">
        <w:rPr>
          <w:rFonts w:eastAsia="Calibri"/>
          <w:lang w:val="fr-FR"/>
        </w:rPr>
        <w:tab/>
      </w:r>
      <w:r w:rsidR="001E6CBF" w:rsidRPr="00D629F5">
        <w:rPr>
          <w:rFonts w:eastAsia="Calibri"/>
          <w:lang w:val="fr-FR"/>
        </w:rPr>
        <w:t>Le Comité permanent est invité à approuver les orientations décrites dans l’Annexe 2 du présent rapport. Cela permettra leur publication en tant que document d’orientation, facilitant l’utilisation par les Parties contractantes.</w:t>
      </w:r>
      <w:r w:rsidR="002A7BC2" w:rsidRPr="00D629F5">
        <w:rPr>
          <w:rFonts w:eastAsia="Calibri"/>
          <w:lang w:val="fr-FR"/>
        </w:rPr>
        <w:t xml:space="preserve"> </w:t>
      </w:r>
    </w:p>
    <w:p w14:paraId="2C62EADB" w14:textId="22708DD3" w:rsidR="0022105A" w:rsidRPr="00D629F5" w:rsidRDefault="0022105A" w:rsidP="0022105A">
      <w:pPr>
        <w:ind w:left="432" w:hanging="432"/>
        <w:rPr>
          <w:rFonts w:eastAsia="Calibri"/>
          <w:bCs w:val="0"/>
          <w:lang w:val="fr-FR"/>
        </w:rPr>
      </w:pPr>
    </w:p>
    <w:p w14:paraId="2B20DF3C" w14:textId="708C8CCF" w:rsidR="00BC6270" w:rsidRPr="00D629F5" w:rsidRDefault="00F319AD" w:rsidP="001E6CBF">
      <w:pPr>
        <w:keepNext/>
        <w:keepLines/>
        <w:rPr>
          <w:b/>
          <w:bCs w:val="0"/>
          <w:lang w:val="fr-FR" w:eastAsia="zh-CN"/>
        </w:rPr>
      </w:pPr>
      <w:r w:rsidRPr="00D629F5">
        <w:rPr>
          <w:b/>
          <w:bCs w:val="0"/>
          <w:lang w:val="fr-FR" w:eastAsia="zh-CN"/>
        </w:rPr>
        <w:t xml:space="preserve">Consultation </w:t>
      </w:r>
      <w:r w:rsidR="00FF7BAA" w:rsidRPr="00D629F5">
        <w:rPr>
          <w:b/>
          <w:bCs w:val="0"/>
          <w:lang w:val="fr-FR" w:eastAsia="zh-CN"/>
        </w:rPr>
        <w:t xml:space="preserve">avec la communauté d’observation de la Terre </w:t>
      </w:r>
    </w:p>
    <w:p w14:paraId="2720C954" w14:textId="77777777" w:rsidR="00BC6270" w:rsidRPr="00D629F5" w:rsidRDefault="00BC6270" w:rsidP="001E6CBF">
      <w:pPr>
        <w:keepNext/>
        <w:keepLines/>
        <w:rPr>
          <w:lang w:val="fr-FR" w:eastAsia="zh-CN"/>
        </w:rPr>
      </w:pPr>
    </w:p>
    <w:p w14:paraId="36B6461F" w14:textId="3DDC6822" w:rsidR="00FC4148" w:rsidRPr="00D629F5" w:rsidRDefault="00EE1BED" w:rsidP="001E6CBF">
      <w:pPr>
        <w:keepNext/>
        <w:keepLines/>
        <w:ind w:left="432" w:hanging="432"/>
        <w:rPr>
          <w:rFonts w:eastAsia="Calibri"/>
          <w:lang w:val="fr-FR"/>
        </w:rPr>
      </w:pPr>
      <w:r w:rsidRPr="00D629F5">
        <w:rPr>
          <w:rFonts w:eastAsia="Calibri"/>
          <w:lang w:val="fr-FR"/>
        </w:rPr>
        <w:t>2</w:t>
      </w:r>
      <w:r w:rsidR="00336E88">
        <w:rPr>
          <w:rFonts w:eastAsia="Calibri"/>
          <w:lang w:val="fr-FR"/>
        </w:rPr>
        <w:t>8</w:t>
      </w:r>
      <w:r w:rsidR="00BC6270" w:rsidRPr="00D629F5">
        <w:rPr>
          <w:rFonts w:eastAsia="Calibri"/>
          <w:lang w:val="fr-FR"/>
        </w:rPr>
        <w:t>.</w:t>
      </w:r>
      <w:r w:rsidR="00BC6270" w:rsidRPr="00D629F5">
        <w:rPr>
          <w:rFonts w:eastAsia="Calibri"/>
          <w:lang w:val="fr-FR"/>
        </w:rPr>
        <w:tab/>
      </w:r>
      <w:r w:rsidR="00934CD4" w:rsidRPr="00D629F5">
        <w:rPr>
          <w:rFonts w:eastAsia="Calibri"/>
          <w:lang w:val="fr-FR"/>
        </w:rPr>
        <w:t>Conformément à la Décision</w:t>
      </w:r>
      <w:r w:rsidR="00093F8C" w:rsidRPr="00D629F5">
        <w:rPr>
          <w:rFonts w:eastAsia="Calibri"/>
          <w:lang w:val="fr-FR"/>
        </w:rPr>
        <w:t xml:space="preserve"> SC63-30, </w:t>
      </w:r>
      <w:r w:rsidR="00934CD4" w:rsidRPr="00D629F5">
        <w:rPr>
          <w:rFonts w:eastAsia="Calibri"/>
          <w:lang w:val="fr-FR"/>
        </w:rPr>
        <w:t>le GEST, en collaboration avec le Secrétariat, a lancé un processus de consultation auprès de la communauté d’observation de la Terre</w:t>
      </w:r>
      <w:r w:rsidR="00AB5E74" w:rsidRPr="00D629F5">
        <w:rPr>
          <w:rFonts w:eastAsia="Calibri"/>
          <w:lang w:val="fr-FR"/>
        </w:rPr>
        <w:t>, dans le</w:t>
      </w:r>
      <w:r w:rsidR="00934CD4" w:rsidRPr="00D629F5">
        <w:rPr>
          <w:rFonts w:eastAsia="Calibri"/>
          <w:lang w:val="fr-FR"/>
        </w:rPr>
        <w:t xml:space="preserve"> but </w:t>
      </w:r>
      <w:r w:rsidR="00835111" w:rsidRPr="00D629F5">
        <w:rPr>
          <w:rFonts w:eastAsia="Calibri"/>
          <w:lang w:val="fr-FR"/>
        </w:rPr>
        <w:t xml:space="preserve">de déterminer comment </w:t>
      </w:r>
      <w:r w:rsidR="00934CD4" w:rsidRPr="00D629F5">
        <w:rPr>
          <w:rFonts w:eastAsia="Calibri"/>
          <w:lang w:val="fr-FR"/>
        </w:rPr>
        <w:t>l’observation de la Terre peut soutenir les Parties contractantes dans leur application de la Convention</w:t>
      </w:r>
      <w:r w:rsidR="00835111" w:rsidRPr="00D629F5">
        <w:rPr>
          <w:rFonts w:eastAsia="Calibri"/>
          <w:lang w:val="fr-FR"/>
        </w:rPr>
        <w:t>, faire des recommandations</w:t>
      </w:r>
      <w:r w:rsidR="00934CD4" w:rsidRPr="00D629F5">
        <w:rPr>
          <w:rFonts w:eastAsia="Calibri"/>
          <w:lang w:val="fr-FR"/>
        </w:rPr>
        <w:t xml:space="preserve"> et encourager un dialogue permanent et l’échange de connaissances à ce sujet. </w:t>
      </w:r>
      <w:r w:rsidR="00483B3C" w:rsidRPr="00D629F5">
        <w:rPr>
          <w:rFonts w:eastAsia="Calibri"/>
          <w:lang w:val="fr-FR"/>
        </w:rPr>
        <w:t>Plus précisément, il s'agira de déterminer comment les données d'observation de la Terre peuvent être mises à disposition et soutenir les inventaires nationaux, la conservation, la gestion, la restauration et l'utilisation rationnelle des zones humides, et comment elles peuvent contribuer au renforcement du suivi et des rapports, dans le cadre de la Convention</w:t>
      </w:r>
      <w:r w:rsidR="00934CD4" w:rsidRPr="00D629F5">
        <w:rPr>
          <w:rFonts w:eastAsia="Calibri"/>
          <w:lang w:val="fr-FR"/>
        </w:rPr>
        <w:t xml:space="preserve"> et du point de vue des cibles pertinentes des ODD et du </w:t>
      </w:r>
      <w:r w:rsidR="00305D4D" w:rsidRPr="00D629F5">
        <w:rPr>
          <w:rFonts w:eastAsia="Calibri"/>
          <w:lang w:val="fr-FR"/>
        </w:rPr>
        <w:t>CMB-KM</w:t>
      </w:r>
      <w:r w:rsidR="00934CD4" w:rsidRPr="00D629F5">
        <w:rPr>
          <w:rFonts w:eastAsia="Calibri"/>
          <w:lang w:val="fr-FR"/>
        </w:rPr>
        <w:t xml:space="preserve">. Les résultats de cette consultation </w:t>
      </w:r>
      <w:r w:rsidR="00483B3C" w:rsidRPr="00D629F5">
        <w:rPr>
          <w:rFonts w:eastAsia="Calibri"/>
          <w:lang w:val="fr-FR"/>
        </w:rPr>
        <w:t>contribueront aussi à l’élaboration du</w:t>
      </w:r>
      <w:r w:rsidR="00934CD4" w:rsidRPr="00D629F5">
        <w:rPr>
          <w:rFonts w:eastAsia="Calibri"/>
          <w:lang w:val="fr-FR"/>
        </w:rPr>
        <w:t xml:space="preserve"> plan de travail du GEST pour la période triennale </w:t>
      </w:r>
      <w:r w:rsidR="000053A9" w:rsidRPr="00D629F5">
        <w:rPr>
          <w:rFonts w:eastAsia="Calibri"/>
          <w:lang w:val="fr-FR"/>
        </w:rPr>
        <w:t>2026</w:t>
      </w:r>
      <w:r w:rsidR="00934CD4" w:rsidRPr="00D629F5">
        <w:rPr>
          <w:rFonts w:eastAsia="Calibri"/>
          <w:lang w:val="fr-FR"/>
        </w:rPr>
        <w:t xml:space="preserve"> à </w:t>
      </w:r>
      <w:r w:rsidR="000053A9" w:rsidRPr="00D629F5">
        <w:rPr>
          <w:rFonts w:eastAsia="Calibri"/>
          <w:lang w:val="fr-FR"/>
        </w:rPr>
        <w:t>2028.</w:t>
      </w:r>
    </w:p>
    <w:p w14:paraId="1D1E011D" w14:textId="77777777" w:rsidR="00C56630" w:rsidRPr="00D629F5" w:rsidRDefault="00C56630" w:rsidP="00CF6E6E">
      <w:pPr>
        <w:rPr>
          <w:rFonts w:eastAsia="Calibri"/>
          <w:lang w:val="fr-FR"/>
        </w:rPr>
      </w:pPr>
    </w:p>
    <w:p w14:paraId="60D9B284" w14:textId="48BF7292" w:rsidR="00673374" w:rsidRPr="00D629F5" w:rsidRDefault="00336E88" w:rsidP="003060C0">
      <w:pPr>
        <w:ind w:left="432" w:hanging="432"/>
        <w:rPr>
          <w:lang w:val="fr-FR"/>
        </w:rPr>
      </w:pPr>
      <w:r>
        <w:rPr>
          <w:rFonts w:eastAsia="Calibri"/>
          <w:lang w:val="fr-FR"/>
        </w:rPr>
        <w:t>29</w:t>
      </w:r>
      <w:r w:rsidR="00F319AD" w:rsidRPr="00D629F5">
        <w:rPr>
          <w:rFonts w:eastAsia="Calibri"/>
          <w:lang w:val="fr-FR"/>
        </w:rPr>
        <w:tab/>
      </w:r>
      <w:r w:rsidR="00296A9E" w:rsidRPr="00D629F5">
        <w:rPr>
          <w:rFonts w:eastAsia="Calibri"/>
          <w:lang w:val="fr-FR"/>
        </w:rPr>
        <w:t xml:space="preserve">Le Secrétariat a lancé le processus de consultation en </w:t>
      </w:r>
      <w:r w:rsidR="00841203" w:rsidRPr="00D629F5">
        <w:rPr>
          <w:rFonts w:eastAsia="Calibri"/>
          <w:lang w:val="fr-FR"/>
        </w:rPr>
        <w:t>organisant</w:t>
      </w:r>
      <w:r w:rsidR="00296A9E" w:rsidRPr="00D629F5">
        <w:rPr>
          <w:rFonts w:eastAsia="Calibri"/>
          <w:lang w:val="fr-FR"/>
        </w:rPr>
        <w:t xml:space="preserve"> des entretiens ciblés avec </w:t>
      </w:r>
      <w:r w:rsidR="00841203" w:rsidRPr="00D629F5">
        <w:rPr>
          <w:rFonts w:eastAsia="Calibri"/>
          <w:lang w:val="fr-FR"/>
        </w:rPr>
        <w:t>d</w:t>
      </w:r>
      <w:r w:rsidR="00296A9E" w:rsidRPr="00D629F5">
        <w:rPr>
          <w:rFonts w:eastAsia="Calibri"/>
          <w:lang w:val="fr-FR"/>
        </w:rPr>
        <w:t>es experts éminents de l’observation de la Terre</w:t>
      </w:r>
      <w:r w:rsidR="00841203" w:rsidRPr="00D629F5">
        <w:rPr>
          <w:rFonts w:eastAsia="Calibri"/>
          <w:lang w:val="fr-FR"/>
        </w:rPr>
        <w:t xml:space="preserve"> et</w:t>
      </w:r>
      <w:r w:rsidR="00296A9E" w:rsidRPr="00D629F5">
        <w:rPr>
          <w:rFonts w:eastAsia="Calibri"/>
          <w:lang w:val="fr-FR"/>
        </w:rPr>
        <w:t xml:space="preserve"> en se concentrant sur l’application potentielle des technologies. Une « Journée d’observation de la Terre » aura lieu en association avec la 27</w:t>
      </w:r>
      <w:r w:rsidR="00296A9E" w:rsidRPr="00D629F5">
        <w:rPr>
          <w:rFonts w:eastAsia="Calibri"/>
          <w:vertAlign w:val="superscript"/>
          <w:lang w:val="fr-FR"/>
        </w:rPr>
        <w:t>e</w:t>
      </w:r>
      <w:r w:rsidR="00296A9E" w:rsidRPr="00D629F5">
        <w:rPr>
          <w:rFonts w:eastAsia="Calibri"/>
          <w:lang w:val="fr-FR"/>
        </w:rPr>
        <w:t xml:space="preserve"> réunion du GEST, le 6 décembre 2024, pour explorer </w:t>
      </w:r>
      <w:r w:rsidR="00841203" w:rsidRPr="00D629F5">
        <w:rPr>
          <w:rFonts w:eastAsia="Calibri"/>
          <w:lang w:val="fr-FR"/>
        </w:rPr>
        <w:t>plus à fond</w:t>
      </w:r>
      <w:r w:rsidR="00296A9E" w:rsidRPr="00D629F5">
        <w:rPr>
          <w:rFonts w:eastAsia="Calibri"/>
          <w:lang w:val="fr-FR"/>
        </w:rPr>
        <w:t xml:space="preserve"> les possibilités de partenariat à long terme avec la communauté d’observation de la Terre. </w:t>
      </w:r>
    </w:p>
    <w:p w14:paraId="1AA26E7D" w14:textId="77777777" w:rsidR="00EC3ACE" w:rsidRPr="00D629F5" w:rsidRDefault="00EC3ACE" w:rsidP="00CF6E6E">
      <w:pPr>
        <w:rPr>
          <w:rFonts w:eastAsia="Calibri"/>
          <w:lang w:val="fr-FR"/>
        </w:rPr>
      </w:pPr>
    </w:p>
    <w:p w14:paraId="6475608A" w14:textId="1FD1B535" w:rsidR="00EC3ACE" w:rsidRPr="00D629F5" w:rsidRDefault="00F319AD" w:rsidP="00816C1A">
      <w:pPr>
        <w:ind w:left="432" w:hanging="432"/>
        <w:rPr>
          <w:rFonts w:eastAsia="Calibri"/>
          <w:lang w:val="fr-FR"/>
        </w:rPr>
      </w:pPr>
      <w:r w:rsidRPr="00D629F5">
        <w:rPr>
          <w:rFonts w:eastAsia="Calibri"/>
          <w:lang w:val="fr-FR"/>
        </w:rPr>
        <w:t>3</w:t>
      </w:r>
      <w:r w:rsidR="00336E88">
        <w:rPr>
          <w:rFonts w:eastAsia="Calibri"/>
          <w:lang w:val="fr-FR"/>
        </w:rPr>
        <w:t>0</w:t>
      </w:r>
      <w:r w:rsidRPr="00D629F5">
        <w:rPr>
          <w:rFonts w:eastAsia="Calibri"/>
          <w:lang w:val="fr-FR"/>
        </w:rPr>
        <w:t>.</w:t>
      </w:r>
      <w:r w:rsidRPr="00D629F5">
        <w:rPr>
          <w:rFonts w:eastAsia="Calibri"/>
          <w:lang w:val="fr-FR"/>
        </w:rPr>
        <w:tab/>
      </w:r>
      <w:r w:rsidR="00296A9E" w:rsidRPr="00D629F5">
        <w:rPr>
          <w:rFonts w:eastAsia="Calibri"/>
          <w:lang w:val="fr-FR"/>
        </w:rPr>
        <w:t>Il convient de noter que le présent rapport à la 64</w:t>
      </w:r>
      <w:r w:rsidR="00296A9E" w:rsidRPr="00D629F5">
        <w:rPr>
          <w:rFonts w:eastAsia="Calibri"/>
          <w:vertAlign w:val="superscript"/>
          <w:lang w:val="fr-FR"/>
        </w:rPr>
        <w:t>e</w:t>
      </w:r>
      <w:r w:rsidR="00296A9E" w:rsidRPr="00D629F5">
        <w:rPr>
          <w:rFonts w:eastAsia="Calibri"/>
          <w:lang w:val="fr-FR"/>
        </w:rPr>
        <w:t xml:space="preserve"> Réunion du Comité permanent est préparé avant la conclusion du processus de consultation. Le Président du GEST </w:t>
      </w:r>
      <w:r w:rsidR="00316E08" w:rsidRPr="00D629F5">
        <w:rPr>
          <w:rFonts w:eastAsia="Calibri"/>
          <w:lang w:val="fr-FR"/>
        </w:rPr>
        <w:t>fera</w:t>
      </w:r>
      <w:r w:rsidR="00296A9E" w:rsidRPr="00D629F5">
        <w:rPr>
          <w:rFonts w:eastAsia="Calibri"/>
          <w:lang w:val="fr-FR"/>
        </w:rPr>
        <w:t xml:space="preserve"> une mise à jour verbale </w:t>
      </w:r>
      <w:r w:rsidR="00316E08" w:rsidRPr="00D629F5">
        <w:rPr>
          <w:rFonts w:eastAsia="Calibri"/>
          <w:lang w:val="fr-FR"/>
        </w:rPr>
        <w:t>à l’intention du</w:t>
      </w:r>
      <w:r w:rsidR="00296A9E" w:rsidRPr="00D629F5">
        <w:rPr>
          <w:rFonts w:eastAsia="Calibri"/>
          <w:lang w:val="fr-FR"/>
        </w:rPr>
        <w:t xml:space="preserve"> Comité permanent sur les conclusions </w:t>
      </w:r>
      <w:r w:rsidR="00316E08" w:rsidRPr="00D629F5">
        <w:rPr>
          <w:rFonts w:eastAsia="Calibri"/>
          <w:lang w:val="fr-FR"/>
        </w:rPr>
        <w:t>principales</w:t>
      </w:r>
      <w:r w:rsidR="00296A9E" w:rsidRPr="00D629F5">
        <w:rPr>
          <w:rFonts w:eastAsia="Calibri"/>
          <w:lang w:val="fr-FR"/>
        </w:rPr>
        <w:t xml:space="preserve"> et les recommandations issues de la consultation. </w:t>
      </w:r>
      <w:r w:rsidR="00316E08" w:rsidRPr="00D629F5">
        <w:rPr>
          <w:rFonts w:eastAsia="Calibri"/>
          <w:lang w:val="fr-FR"/>
        </w:rPr>
        <w:t>Des</w:t>
      </w:r>
      <w:r w:rsidR="00296A9E" w:rsidRPr="00D629F5">
        <w:rPr>
          <w:rFonts w:eastAsia="Calibri"/>
          <w:lang w:val="fr-FR"/>
        </w:rPr>
        <w:t xml:space="preserve"> ajouts </w:t>
      </w:r>
      <w:r w:rsidR="00E66998" w:rsidRPr="00D629F5">
        <w:rPr>
          <w:rFonts w:eastAsia="Calibri"/>
          <w:lang w:val="fr-FR"/>
        </w:rPr>
        <w:t xml:space="preserve">pourraient être </w:t>
      </w:r>
      <w:r w:rsidR="00296A9E" w:rsidRPr="00D629F5">
        <w:rPr>
          <w:rFonts w:eastAsia="Calibri"/>
          <w:lang w:val="fr-FR"/>
        </w:rPr>
        <w:t>proposés au projet de résolution</w:t>
      </w:r>
      <w:r w:rsidR="00A967CF" w:rsidRPr="00D629F5">
        <w:rPr>
          <w:rFonts w:eastAsia="Calibri"/>
          <w:lang w:val="fr-FR"/>
        </w:rPr>
        <w:t xml:space="preserve"> sur la mise en œuvre future des aspects scientifiques et techniques de la Convention pour la période </w:t>
      </w:r>
      <w:r w:rsidR="0045178D" w:rsidRPr="00D629F5">
        <w:rPr>
          <w:rFonts w:eastAsia="Calibri"/>
          <w:lang w:val="fr-FR"/>
        </w:rPr>
        <w:t>2026-2028.</w:t>
      </w:r>
      <w:r w:rsidR="00816C1A" w:rsidRPr="00D629F5">
        <w:rPr>
          <w:rFonts w:eastAsia="Calibri"/>
          <w:lang w:val="fr-FR"/>
        </w:rPr>
        <w:t xml:space="preserve"> </w:t>
      </w:r>
    </w:p>
    <w:p w14:paraId="3C897178" w14:textId="77777777" w:rsidR="0022105A" w:rsidRPr="00D629F5" w:rsidRDefault="0022105A" w:rsidP="00816C1A">
      <w:pPr>
        <w:ind w:left="432" w:hanging="432"/>
        <w:rPr>
          <w:rFonts w:eastAsia="Calibri"/>
          <w:lang w:val="fr-FR"/>
        </w:rPr>
      </w:pPr>
    </w:p>
    <w:p w14:paraId="33DDAEEA" w14:textId="5D925058" w:rsidR="00010DF0" w:rsidRPr="00D629F5" w:rsidRDefault="00A967CF" w:rsidP="00010DF0">
      <w:pPr>
        <w:rPr>
          <w:b/>
          <w:bCs w:val="0"/>
          <w:lang w:val="fr-FR" w:eastAsia="zh-CN"/>
        </w:rPr>
      </w:pPr>
      <w:r w:rsidRPr="00D629F5">
        <w:rPr>
          <w:b/>
          <w:bCs w:val="0"/>
          <w:lang w:val="fr-FR" w:eastAsia="zh-CN"/>
        </w:rPr>
        <w:t xml:space="preserve">Approche proposée pour </w:t>
      </w:r>
      <w:r w:rsidR="00E66998" w:rsidRPr="00D629F5">
        <w:rPr>
          <w:b/>
          <w:bCs w:val="0"/>
          <w:lang w:val="fr-FR" w:eastAsia="zh-CN"/>
        </w:rPr>
        <w:t xml:space="preserve">les </w:t>
      </w:r>
      <w:r w:rsidRPr="00D629F5">
        <w:rPr>
          <w:b/>
          <w:bCs w:val="0"/>
          <w:lang w:val="fr-FR" w:eastAsia="zh-CN"/>
        </w:rPr>
        <w:t xml:space="preserve">futures Perspectives mondiales </w:t>
      </w:r>
      <w:r w:rsidR="006A741E" w:rsidRPr="00D629F5">
        <w:rPr>
          <w:b/>
          <w:bCs w:val="0"/>
          <w:lang w:val="fr-FR" w:eastAsia="zh-CN"/>
        </w:rPr>
        <w:t>d</w:t>
      </w:r>
      <w:r w:rsidRPr="00D629F5">
        <w:rPr>
          <w:b/>
          <w:bCs w:val="0"/>
          <w:lang w:val="fr-FR" w:eastAsia="zh-CN"/>
        </w:rPr>
        <w:t>es zones humides</w:t>
      </w:r>
    </w:p>
    <w:p w14:paraId="5A8C0BF1" w14:textId="77777777" w:rsidR="00010DF0" w:rsidRPr="00D629F5" w:rsidRDefault="00010DF0" w:rsidP="00010DF0">
      <w:pPr>
        <w:rPr>
          <w:lang w:val="fr-FR" w:eastAsia="zh-CN"/>
        </w:rPr>
      </w:pPr>
    </w:p>
    <w:p w14:paraId="57CB59BC" w14:textId="5FA3D66D" w:rsidR="003106CF" w:rsidRPr="00D629F5" w:rsidRDefault="00F319AD" w:rsidP="003106CF">
      <w:pPr>
        <w:ind w:left="432" w:hanging="432"/>
        <w:rPr>
          <w:rFonts w:eastAsia="Calibri"/>
          <w:lang w:val="fr-FR"/>
        </w:rPr>
      </w:pPr>
      <w:r w:rsidRPr="00D629F5">
        <w:rPr>
          <w:rFonts w:eastAsia="Calibri"/>
          <w:lang w:val="fr-FR"/>
        </w:rPr>
        <w:t>3</w:t>
      </w:r>
      <w:r w:rsidR="00336E88">
        <w:rPr>
          <w:rFonts w:eastAsia="Calibri"/>
          <w:lang w:val="fr-FR"/>
        </w:rPr>
        <w:t>1</w:t>
      </w:r>
      <w:r w:rsidRPr="00D629F5">
        <w:rPr>
          <w:rFonts w:eastAsia="Calibri"/>
          <w:lang w:val="fr-FR"/>
        </w:rPr>
        <w:t>.</w:t>
      </w:r>
      <w:r w:rsidRPr="00D629F5">
        <w:rPr>
          <w:rFonts w:eastAsia="Calibri"/>
          <w:lang w:val="fr-FR"/>
        </w:rPr>
        <w:tab/>
      </w:r>
      <w:r w:rsidR="00E66998" w:rsidRPr="00D629F5">
        <w:rPr>
          <w:rFonts w:eastAsia="Calibri"/>
          <w:lang w:val="fr-FR"/>
        </w:rPr>
        <w:t>L</w:t>
      </w:r>
      <w:r w:rsidR="00E624AA" w:rsidRPr="00D629F5">
        <w:rPr>
          <w:rFonts w:eastAsia="Calibri"/>
          <w:lang w:val="fr-FR"/>
        </w:rPr>
        <w:t>’</w:t>
      </w:r>
      <w:r w:rsidR="003B65CB" w:rsidRPr="00D629F5">
        <w:rPr>
          <w:rFonts w:eastAsia="Calibri"/>
          <w:lang w:val="fr-FR"/>
        </w:rPr>
        <w:t>Annex</w:t>
      </w:r>
      <w:r w:rsidR="00E624AA" w:rsidRPr="00D629F5">
        <w:rPr>
          <w:rFonts w:eastAsia="Calibri"/>
          <w:lang w:val="fr-FR"/>
        </w:rPr>
        <w:t>e </w:t>
      </w:r>
      <w:r w:rsidR="003B65CB" w:rsidRPr="00D629F5">
        <w:rPr>
          <w:rFonts w:eastAsia="Calibri"/>
          <w:lang w:val="fr-FR"/>
        </w:rPr>
        <w:t xml:space="preserve">4 </w:t>
      </w:r>
      <w:r w:rsidR="00E66998" w:rsidRPr="00D629F5">
        <w:rPr>
          <w:rFonts w:eastAsia="Calibri"/>
          <w:lang w:val="fr-FR"/>
        </w:rPr>
        <w:t>contient</w:t>
      </w:r>
      <w:r w:rsidR="002A2C7D" w:rsidRPr="00D629F5">
        <w:rPr>
          <w:rFonts w:eastAsia="Calibri"/>
          <w:lang w:val="fr-FR"/>
        </w:rPr>
        <w:t xml:space="preserve"> </w:t>
      </w:r>
      <w:r w:rsidR="00E624AA" w:rsidRPr="00D629F5">
        <w:rPr>
          <w:rFonts w:eastAsia="Calibri"/>
          <w:lang w:val="fr-FR"/>
        </w:rPr>
        <w:t xml:space="preserve">un cadre conceptuel détaillé </w:t>
      </w:r>
      <w:r w:rsidR="002A2C7D" w:rsidRPr="00D629F5">
        <w:rPr>
          <w:rFonts w:eastAsia="Calibri"/>
          <w:lang w:val="fr-FR"/>
        </w:rPr>
        <w:t xml:space="preserve">pour la réalisation des </w:t>
      </w:r>
      <w:r w:rsidR="00E66998" w:rsidRPr="00D629F5">
        <w:rPr>
          <w:rFonts w:eastAsia="Calibri"/>
          <w:lang w:val="fr-FR"/>
        </w:rPr>
        <w:t xml:space="preserve">futures </w:t>
      </w:r>
      <w:r w:rsidR="00E624AA" w:rsidRPr="00D629F5">
        <w:rPr>
          <w:rFonts w:eastAsia="Calibri"/>
          <w:lang w:val="fr-FR"/>
        </w:rPr>
        <w:t xml:space="preserve">Perspectives mondiales </w:t>
      </w:r>
      <w:r w:rsidR="006A741E" w:rsidRPr="00D629F5">
        <w:rPr>
          <w:rFonts w:eastAsia="Calibri"/>
          <w:lang w:val="fr-FR"/>
        </w:rPr>
        <w:t>d</w:t>
      </w:r>
      <w:r w:rsidR="00E624AA" w:rsidRPr="00D629F5">
        <w:rPr>
          <w:rFonts w:eastAsia="Calibri"/>
          <w:lang w:val="fr-FR"/>
        </w:rPr>
        <w:t xml:space="preserve">es zones humides, préparé </w:t>
      </w:r>
      <w:r w:rsidR="002A2C7D" w:rsidRPr="00D629F5">
        <w:rPr>
          <w:rFonts w:eastAsia="Calibri"/>
          <w:lang w:val="fr-FR"/>
        </w:rPr>
        <w:t xml:space="preserve">par le GEST conformément au plan de travail du GEST </w:t>
      </w:r>
      <w:r w:rsidR="003B65CB" w:rsidRPr="00D629F5">
        <w:rPr>
          <w:rFonts w:eastAsia="Calibri"/>
          <w:lang w:val="fr-FR"/>
        </w:rPr>
        <w:t xml:space="preserve">2023-2025 </w:t>
      </w:r>
      <w:r w:rsidR="00D42AA1" w:rsidRPr="00D629F5">
        <w:rPr>
          <w:rFonts w:eastAsia="Calibri"/>
          <w:lang w:val="fr-FR"/>
        </w:rPr>
        <w:t>(</w:t>
      </w:r>
      <w:r w:rsidR="002A2C7D" w:rsidRPr="00D629F5">
        <w:rPr>
          <w:rFonts w:eastAsia="Calibri"/>
          <w:lang w:val="fr-FR"/>
        </w:rPr>
        <w:t>tâche </w:t>
      </w:r>
      <w:r w:rsidR="00D42AA1" w:rsidRPr="00D629F5">
        <w:rPr>
          <w:rFonts w:eastAsia="Calibri"/>
          <w:lang w:val="fr-FR"/>
        </w:rPr>
        <w:t>5.3)</w:t>
      </w:r>
      <w:r w:rsidR="003B65CB" w:rsidRPr="00D629F5">
        <w:rPr>
          <w:rFonts w:eastAsia="Calibri"/>
          <w:lang w:val="fr-FR"/>
        </w:rPr>
        <w:t xml:space="preserve">. </w:t>
      </w:r>
      <w:r w:rsidR="003106CF" w:rsidRPr="00D629F5">
        <w:rPr>
          <w:rFonts w:eastAsia="Calibri"/>
          <w:lang w:val="fr-FR"/>
        </w:rPr>
        <w:t>Le</w:t>
      </w:r>
      <w:r w:rsidR="002A2C7D" w:rsidRPr="00D629F5">
        <w:rPr>
          <w:rFonts w:eastAsia="Calibri"/>
          <w:lang w:val="fr-FR"/>
        </w:rPr>
        <w:t xml:space="preserve"> </w:t>
      </w:r>
      <w:r w:rsidR="003106CF" w:rsidRPr="00D629F5">
        <w:rPr>
          <w:rFonts w:eastAsia="Calibri"/>
          <w:lang w:val="fr-FR"/>
        </w:rPr>
        <w:t xml:space="preserve">document définit le </w:t>
      </w:r>
      <w:r w:rsidR="002A2C7D" w:rsidRPr="00D629F5">
        <w:rPr>
          <w:rFonts w:eastAsia="Calibri"/>
          <w:lang w:val="fr-FR"/>
        </w:rPr>
        <w:t>but des Perspectives</w:t>
      </w:r>
      <w:r w:rsidR="003106CF" w:rsidRPr="00D629F5">
        <w:rPr>
          <w:rFonts w:eastAsia="Calibri"/>
          <w:lang w:val="fr-FR"/>
        </w:rPr>
        <w:t>,</w:t>
      </w:r>
      <w:r w:rsidR="002A2C7D" w:rsidRPr="00D629F5">
        <w:rPr>
          <w:rFonts w:eastAsia="Calibri"/>
          <w:lang w:val="fr-FR"/>
        </w:rPr>
        <w:t xml:space="preserve"> en tant que produit phare de la Convention sur les zones humides, harmonisé avec le Plan stratégique et d’autres accords multilatéraux sur l’environnement (AME). </w:t>
      </w:r>
      <w:r w:rsidR="003106CF" w:rsidRPr="00D629F5">
        <w:rPr>
          <w:rFonts w:eastAsia="Calibri"/>
          <w:lang w:val="fr-FR"/>
        </w:rPr>
        <w:t>Il</w:t>
      </w:r>
      <w:r w:rsidR="003B65CB" w:rsidRPr="00D629F5">
        <w:rPr>
          <w:rFonts w:eastAsia="Calibri"/>
          <w:lang w:val="fr-FR"/>
        </w:rPr>
        <w:t xml:space="preserve"> </w:t>
      </w:r>
      <w:r w:rsidR="00742354" w:rsidRPr="00D629F5">
        <w:rPr>
          <w:rFonts w:eastAsia="Calibri"/>
          <w:lang w:val="fr-FR"/>
        </w:rPr>
        <w:t xml:space="preserve">présente une approche </w:t>
      </w:r>
      <w:r w:rsidR="00880323" w:rsidRPr="00D629F5">
        <w:rPr>
          <w:rFonts w:eastAsia="Calibri"/>
          <w:lang w:val="fr-FR"/>
        </w:rPr>
        <w:t>par étapes</w:t>
      </w:r>
      <w:r w:rsidR="00742354" w:rsidRPr="00D629F5">
        <w:rPr>
          <w:rFonts w:eastAsia="Calibri"/>
          <w:lang w:val="fr-FR"/>
        </w:rPr>
        <w:t xml:space="preserve"> pour la production des Perspectives, couvrant la portée, l’évaluation, l’examen</w:t>
      </w:r>
      <w:r w:rsidR="00BD3304" w:rsidRPr="00D629F5">
        <w:rPr>
          <w:rFonts w:eastAsia="Calibri"/>
          <w:lang w:val="fr-FR"/>
        </w:rPr>
        <w:t xml:space="preserve"> par des experts</w:t>
      </w:r>
      <w:r w:rsidR="00742354" w:rsidRPr="00D629F5">
        <w:rPr>
          <w:rFonts w:eastAsia="Calibri"/>
          <w:lang w:val="fr-FR"/>
        </w:rPr>
        <w:t xml:space="preserve"> et la communication. L’approche met l’accent sur les équipes d’experts structurées, y compris les auteurs principaux chargés de la coordination et les </w:t>
      </w:r>
      <w:r w:rsidR="006A741E" w:rsidRPr="00D629F5">
        <w:rPr>
          <w:rFonts w:eastAsia="Calibri"/>
          <w:lang w:val="fr-FR"/>
        </w:rPr>
        <w:t xml:space="preserve">auteurs principaux, soutenues par de </w:t>
      </w:r>
      <w:r w:rsidR="00956DED" w:rsidRPr="00D629F5">
        <w:rPr>
          <w:rFonts w:eastAsia="Calibri"/>
          <w:lang w:val="fr-FR"/>
        </w:rPr>
        <w:t xml:space="preserve">jeunes </w:t>
      </w:r>
      <w:r w:rsidR="006A741E" w:rsidRPr="00D629F5">
        <w:rPr>
          <w:rFonts w:eastAsia="Calibri"/>
          <w:lang w:val="fr-FR"/>
        </w:rPr>
        <w:t>professionnels</w:t>
      </w:r>
      <w:r w:rsidR="00742354" w:rsidRPr="00D629F5">
        <w:rPr>
          <w:rFonts w:eastAsia="Calibri"/>
          <w:lang w:val="fr-FR"/>
        </w:rPr>
        <w:t>, afin d’</w:t>
      </w:r>
      <w:r w:rsidR="006A741E" w:rsidRPr="00D629F5">
        <w:rPr>
          <w:rFonts w:eastAsia="Calibri"/>
          <w:lang w:val="fr-FR"/>
        </w:rPr>
        <w:t xml:space="preserve">améliorer le renforcement des capacités et la diversité. </w:t>
      </w:r>
      <w:r w:rsidR="00742354" w:rsidRPr="00D629F5">
        <w:rPr>
          <w:rFonts w:eastAsia="Calibri"/>
          <w:lang w:val="fr-FR"/>
        </w:rPr>
        <w:t xml:space="preserve">Les </w:t>
      </w:r>
      <w:r w:rsidR="006A741E" w:rsidRPr="00D629F5">
        <w:rPr>
          <w:rFonts w:eastAsia="Calibri"/>
          <w:lang w:val="fr-FR"/>
        </w:rPr>
        <w:t xml:space="preserve">méthodologies pertinentes, </w:t>
      </w:r>
      <w:r w:rsidR="00742354" w:rsidRPr="00D629F5">
        <w:rPr>
          <w:rFonts w:eastAsia="Calibri"/>
          <w:lang w:val="fr-FR"/>
        </w:rPr>
        <w:t>l</w:t>
      </w:r>
      <w:r w:rsidR="006A741E" w:rsidRPr="00D629F5">
        <w:rPr>
          <w:rFonts w:eastAsia="Calibri"/>
          <w:lang w:val="fr-FR"/>
        </w:rPr>
        <w:t xml:space="preserve">es stratégies de communication et </w:t>
      </w:r>
      <w:r w:rsidR="00742354" w:rsidRPr="00D629F5">
        <w:rPr>
          <w:rFonts w:eastAsia="Calibri"/>
          <w:lang w:val="fr-FR"/>
        </w:rPr>
        <w:t>l</w:t>
      </w:r>
      <w:r w:rsidR="006A741E" w:rsidRPr="00D629F5">
        <w:rPr>
          <w:rFonts w:eastAsia="Calibri"/>
          <w:lang w:val="fr-FR"/>
        </w:rPr>
        <w:t xml:space="preserve">es mécanismes de financement </w:t>
      </w:r>
      <w:r w:rsidR="00742354" w:rsidRPr="00D629F5">
        <w:rPr>
          <w:rFonts w:eastAsia="Calibri"/>
          <w:lang w:val="fr-FR"/>
        </w:rPr>
        <w:t xml:space="preserve">sont aussi discutés </w:t>
      </w:r>
      <w:r w:rsidR="006A741E" w:rsidRPr="00D629F5">
        <w:rPr>
          <w:rFonts w:eastAsia="Calibri"/>
          <w:lang w:val="fr-FR"/>
        </w:rPr>
        <w:t xml:space="preserve">pour </w:t>
      </w:r>
      <w:r w:rsidR="00742354" w:rsidRPr="00D629F5">
        <w:rPr>
          <w:rFonts w:eastAsia="Calibri"/>
          <w:lang w:val="fr-FR"/>
        </w:rPr>
        <w:t xml:space="preserve">assurer une </w:t>
      </w:r>
      <w:r w:rsidR="006A741E" w:rsidRPr="00D629F5">
        <w:rPr>
          <w:rFonts w:eastAsia="Calibri"/>
          <w:lang w:val="fr-FR"/>
        </w:rPr>
        <w:t xml:space="preserve">large diffusion et </w:t>
      </w:r>
      <w:r w:rsidR="00742354" w:rsidRPr="00D629F5">
        <w:rPr>
          <w:rFonts w:eastAsia="Calibri"/>
          <w:lang w:val="fr-FR"/>
        </w:rPr>
        <w:t xml:space="preserve">un véritable </w:t>
      </w:r>
      <w:r w:rsidR="006A741E" w:rsidRPr="00D629F5">
        <w:rPr>
          <w:rFonts w:eastAsia="Calibri"/>
          <w:lang w:val="fr-FR"/>
        </w:rPr>
        <w:t>impact</w:t>
      </w:r>
      <w:r w:rsidR="00E65A7E" w:rsidRPr="00D629F5">
        <w:rPr>
          <w:rFonts w:eastAsia="Calibri"/>
          <w:lang w:val="fr-FR"/>
        </w:rPr>
        <w:t xml:space="preserve"> du rapport.</w:t>
      </w:r>
    </w:p>
    <w:p w14:paraId="3B42FF44" w14:textId="0218DEEE" w:rsidR="00DD5BDE" w:rsidRPr="00D629F5" w:rsidRDefault="00C84CDE" w:rsidP="00C84CDE">
      <w:pPr>
        <w:ind w:left="432" w:hanging="432"/>
        <w:rPr>
          <w:rFonts w:eastAsia="Calibri"/>
          <w:lang w:val="fr-FR"/>
        </w:rPr>
      </w:pPr>
      <w:r w:rsidRPr="00D629F5">
        <w:rPr>
          <w:rFonts w:eastAsia="Calibri"/>
          <w:lang w:val="fr-FR"/>
        </w:rPr>
        <w:t>3</w:t>
      </w:r>
      <w:r w:rsidR="00336E88">
        <w:rPr>
          <w:rFonts w:eastAsia="Calibri"/>
          <w:lang w:val="fr-FR"/>
        </w:rPr>
        <w:t>2</w:t>
      </w:r>
      <w:r w:rsidRPr="00D629F5">
        <w:rPr>
          <w:rFonts w:eastAsia="Calibri"/>
          <w:lang w:val="fr-FR"/>
        </w:rPr>
        <w:t>.</w:t>
      </w:r>
      <w:r w:rsidRPr="00D629F5">
        <w:rPr>
          <w:rFonts w:eastAsia="Calibri"/>
          <w:lang w:val="fr-FR"/>
        </w:rPr>
        <w:tab/>
      </w:r>
      <w:r w:rsidR="00956DED" w:rsidRPr="00D629F5">
        <w:rPr>
          <w:rFonts w:eastAsia="Calibri"/>
          <w:lang w:val="fr-FR"/>
        </w:rPr>
        <w:t xml:space="preserve">Certes, d’autres approches </w:t>
      </w:r>
      <w:r w:rsidR="00E65A7E" w:rsidRPr="00D629F5">
        <w:rPr>
          <w:rFonts w:eastAsia="Calibri"/>
          <w:lang w:val="fr-FR"/>
        </w:rPr>
        <w:t xml:space="preserve">pourraient être envisagées, notamment celles qui ont été adoptées </w:t>
      </w:r>
      <w:r w:rsidR="00956DED" w:rsidRPr="00D629F5">
        <w:rPr>
          <w:rFonts w:eastAsia="Calibri"/>
          <w:lang w:val="fr-FR"/>
        </w:rPr>
        <w:t xml:space="preserve">pour les Perspectives mondiales de la biodiversité (CDB) ou </w:t>
      </w:r>
      <w:r w:rsidR="00022528" w:rsidRPr="00D629F5">
        <w:rPr>
          <w:rFonts w:eastAsia="Calibri"/>
          <w:lang w:val="fr-FR"/>
        </w:rPr>
        <w:t>L’Avenir de l’environnement mondial</w:t>
      </w:r>
      <w:r w:rsidR="00956DED" w:rsidRPr="00D629F5">
        <w:rPr>
          <w:rFonts w:eastAsia="Calibri"/>
          <w:lang w:val="fr-FR"/>
        </w:rPr>
        <w:t xml:space="preserve"> (PNUE), mais </w:t>
      </w:r>
      <w:r w:rsidR="00E65A7E" w:rsidRPr="00D629F5">
        <w:rPr>
          <w:rFonts w:eastAsia="Calibri"/>
          <w:lang w:val="fr-FR"/>
        </w:rPr>
        <w:t xml:space="preserve">il est recommandé de discuter de </w:t>
      </w:r>
      <w:r w:rsidR="00956DED" w:rsidRPr="00D629F5">
        <w:rPr>
          <w:rFonts w:eastAsia="Calibri"/>
          <w:lang w:val="fr-FR"/>
        </w:rPr>
        <w:t>l’approche figurant dans l’Annexe 4 à la 64</w:t>
      </w:r>
      <w:r w:rsidR="00956DED" w:rsidRPr="00D629F5">
        <w:rPr>
          <w:rFonts w:eastAsia="Calibri"/>
          <w:vertAlign w:val="superscript"/>
          <w:lang w:val="fr-FR"/>
        </w:rPr>
        <w:t>e</w:t>
      </w:r>
      <w:r w:rsidR="00956DED" w:rsidRPr="00D629F5">
        <w:rPr>
          <w:rFonts w:eastAsia="Calibri"/>
          <w:lang w:val="fr-FR"/>
        </w:rPr>
        <w:t xml:space="preserve"> Réunion du Comité permanent </w:t>
      </w:r>
      <w:r w:rsidR="00E65A7E" w:rsidRPr="00D629F5">
        <w:rPr>
          <w:rFonts w:eastAsia="Calibri"/>
          <w:lang w:val="fr-FR"/>
        </w:rPr>
        <w:t xml:space="preserve">car elle est taillée pour </w:t>
      </w:r>
      <w:r w:rsidR="00956DED" w:rsidRPr="00D629F5">
        <w:rPr>
          <w:rFonts w:eastAsia="Calibri"/>
          <w:lang w:val="fr-FR"/>
        </w:rPr>
        <w:t xml:space="preserve">les besoins de la Convention. </w:t>
      </w:r>
      <w:r w:rsidR="00E65A7E" w:rsidRPr="00D629F5">
        <w:rPr>
          <w:rFonts w:eastAsia="Calibri"/>
          <w:lang w:val="fr-FR"/>
        </w:rPr>
        <w:t>Elle</w:t>
      </w:r>
      <w:r w:rsidR="00956DED" w:rsidRPr="00D629F5">
        <w:rPr>
          <w:rFonts w:eastAsia="Calibri"/>
          <w:lang w:val="fr-FR"/>
        </w:rPr>
        <w:t xml:space="preserve"> vise à orienter l’évolution des </w:t>
      </w:r>
      <w:r w:rsidR="00E65A7E" w:rsidRPr="00D629F5">
        <w:rPr>
          <w:rFonts w:eastAsia="Calibri"/>
          <w:lang w:val="fr-FR"/>
        </w:rPr>
        <w:t xml:space="preserve">futures </w:t>
      </w:r>
      <w:r w:rsidR="00956DED" w:rsidRPr="00D629F5">
        <w:rPr>
          <w:rFonts w:eastAsia="Calibri"/>
          <w:lang w:val="fr-FR"/>
        </w:rPr>
        <w:t xml:space="preserve">Perspectives mondiales des zones humides et à </w:t>
      </w:r>
      <w:r w:rsidR="00E65A7E" w:rsidRPr="00D629F5">
        <w:rPr>
          <w:rFonts w:eastAsia="Calibri"/>
          <w:lang w:val="fr-FR"/>
        </w:rPr>
        <w:t>s’assurer qu’elles contribuent</w:t>
      </w:r>
      <w:r w:rsidR="00956DED" w:rsidRPr="00D629F5">
        <w:rPr>
          <w:rFonts w:eastAsia="Calibri"/>
          <w:lang w:val="fr-FR"/>
        </w:rPr>
        <w:t xml:space="preserve"> </w:t>
      </w:r>
      <w:r w:rsidR="003C6A17" w:rsidRPr="00D629F5">
        <w:rPr>
          <w:rFonts w:eastAsia="Calibri"/>
          <w:lang w:val="fr-FR"/>
        </w:rPr>
        <w:t>aux efforts mondiaux de conservation des zones humides.</w:t>
      </w:r>
    </w:p>
    <w:p w14:paraId="1E43AEE0" w14:textId="5E870552" w:rsidR="00525329" w:rsidRPr="00D629F5" w:rsidRDefault="00525329" w:rsidP="00211058">
      <w:pPr>
        <w:rPr>
          <w:rFonts w:eastAsia="Calibri"/>
          <w:lang w:val="fr-FR"/>
        </w:rPr>
      </w:pPr>
    </w:p>
    <w:p w14:paraId="25988C3C" w14:textId="51B0AB12" w:rsidR="00CF6E6E" w:rsidRPr="00D629F5" w:rsidRDefault="003C6A17" w:rsidP="00CF6E6E">
      <w:pPr>
        <w:keepNext/>
        <w:ind w:left="425" w:hanging="425"/>
        <w:rPr>
          <w:rFonts w:eastAsia="Calibri"/>
          <w:b/>
          <w:lang w:val="fr-FR"/>
        </w:rPr>
      </w:pPr>
      <w:r w:rsidRPr="00D629F5">
        <w:rPr>
          <w:rFonts w:eastAsia="Calibri"/>
          <w:b/>
          <w:lang w:val="fr-FR"/>
        </w:rPr>
        <w:t>Autres travaux en cours et demandes particulières</w:t>
      </w:r>
    </w:p>
    <w:p w14:paraId="6848B0DD" w14:textId="77777777" w:rsidR="00930A41" w:rsidRPr="00D629F5" w:rsidRDefault="00930A41" w:rsidP="00B0075C">
      <w:pPr>
        <w:rPr>
          <w:rFonts w:eastAsia="Calibri"/>
          <w:b/>
          <w:lang w:val="fr-FR"/>
        </w:rPr>
      </w:pPr>
    </w:p>
    <w:p w14:paraId="65417E48" w14:textId="4D13DED4" w:rsidR="00525329" w:rsidRPr="00D629F5" w:rsidRDefault="00211058" w:rsidP="00525329">
      <w:pPr>
        <w:ind w:left="432" w:hanging="432"/>
        <w:rPr>
          <w:rFonts w:eastAsia="Calibri"/>
          <w:bCs w:val="0"/>
          <w:lang w:val="fr-FR"/>
        </w:rPr>
      </w:pPr>
      <w:r w:rsidRPr="00D629F5">
        <w:rPr>
          <w:rFonts w:eastAsia="Calibri"/>
          <w:lang w:val="fr-FR"/>
        </w:rPr>
        <w:t>3</w:t>
      </w:r>
      <w:r w:rsidR="00336E88">
        <w:rPr>
          <w:rFonts w:eastAsia="Calibri"/>
          <w:lang w:val="fr-FR"/>
        </w:rPr>
        <w:t>3</w:t>
      </w:r>
      <w:r w:rsidR="00F319AD" w:rsidRPr="00D629F5">
        <w:rPr>
          <w:rFonts w:eastAsia="Calibri"/>
          <w:lang w:val="fr-FR"/>
        </w:rPr>
        <w:t>.</w:t>
      </w:r>
      <w:r w:rsidR="00F319AD" w:rsidRPr="00D629F5">
        <w:rPr>
          <w:rFonts w:eastAsia="Calibri"/>
          <w:lang w:val="fr-FR"/>
        </w:rPr>
        <w:tab/>
      </w:r>
      <w:r w:rsidR="003C6A17" w:rsidRPr="00D629F5">
        <w:rPr>
          <w:rFonts w:eastAsia="Calibri"/>
          <w:lang w:val="fr-FR"/>
        </w:rPr>
        <w:t xml:space="preserve">Le GEST </w:t>
      </w:r>
      <w:r w:rsidR="00FA412E" w:rsidRPr="00D629F5">
        <w:rPr>
          <w:rFonts w:eastAsia="Calibri"/>
          <w:lang w:val="fr-FR"/>
        </w:rPr>
        <w:t>a</w:t>
      </w:r>
      <w:r w:rsidR="003C6A17" w:rsidRPr="00D629F5">
        <w:rPr>
          <w:rFonts w:eastAsia="Calibri"/>
          <w:lang w:val="fr-FR"/>
        </w:rPr>
        <w:t xml:space="preserve"> plusieurs fonctions permanentes et fonctions consultatives particulières</w:t>
      </w:r>
      <w:r w:rsidR="00FA412E" w:rsidRPr="00D629F5">
        <w:rPr>
          <w:rFonts w:eastAsia="Calibri"/>
          <w:lang w:val="fr-FR"/>
        </w:rPr>
        <w:t xml:space="preserve"> et </w:t>
      </w:r>
      <w:r w:rsidR="003C6A17" w:rsidRPr="00D629F5">
        <w:rPr>
          <w:rFonts w:eastAsia="Calibri"/>
          <w:lang w:val="fr-FR"/>
        </w:rPr>
        <w:t>contribue aux groupes et forums suivants :</w:t>
      </w:r>
    </w:p>
    <w:p w14:paraId="1C966B1F" w14:textId="77777777" w:rsidR="00525329" w:rsidRPr="00D629F5" w:rsidRDefault="00525329" w:rsidP="00525329">
      <w:pPr>
        <w:ind w:left="432" w:hanging="432"/>
        <w:rPr>
          <w:rFonts w:eastAsia="Calibri"/>
          <w:bCs w:val="0"/>
          <w:lang w:val="fr-FR"/>
        </w:rPr>
      </w:pPr>
    </w:p>
    <w:p w14:paraId="51984B5E" w14:textId="23E6B85F" w:rsidR="00525329" w:rsidRPr="00D629F5" w:rsidRDefault="0014481D" w:rsidP="00332D1A">
      <w:pPr>
        <w:pStyle w:val="ListParagraph"/>
        <w:numPr>
          <w:ilvl w:val="0"/>
          <w:numId w:val="3"/>
        </w:numPr>
        <w:ind w:left="851" w:hanging="425"/>
        <w:rPr>
          <w:rFonts w:eastAsia="Calibri"/>
          <w:bCs w:val="0"/>
          <w:lang w:val="fr-FR"/>
        </w:rPr>
      </w:pPr>
      <w:r w:rsidRPr="00D629F5">
        <w:rPr>
          <w:rFonts w:eastAsia="Calibri"/>
          <w:bCs w:val="0"/>
          <w:lang w:val="fr-FR"/>
        </w:rPr>
        <w:t xml:space="preserve">Le Groupe de travail sur le Plan stratégique : conformément à la Résolution </w:t>
      </w:r>
      <w:r w:rsidR="00F319AD" w:rsidRPr="00D629F5">
        <w:rPr>
          <w:rFonts w:eastAsia="Calibri"/>
          <w:bCs w:val="0"/>
          <w:lang w:val="fr-FR"/>
        </w:rPr>
        <w:t>XIV.4, paragraph</w:t>
      </w:r>
      <w:r w:rsidRPr="00D629F5">
        <w:rPr>
          <w:rFonts w:eastAsia="Calibri"/>
          <w:bCs w:val="0"/>
          <w:lang w:val="fr-FR"/>
        </w:rPr>
        <w:t>e </w:t>
      </w:r>
      <w:r w:rsidR="00F319AD" w:rsidRPr="00D629F5">
        <w:rPr>
          <w:rFonts w:eastAsia="Calibri"/>
          <w:bCs w:val="0"/>
          <w:lang w:val="fr-FR"/>
        </w:rPr>
        <w:t xml:space="preserve">23, </w:t>
      </w:r>
      <w:r w:rsidRPr="00D629F5">
        <w:rPr>
          <w:rFonts w:eastAsia="Calibri"/>
          <w:bCs w:val="0"/>
          <w:lang w:val="fr-FR"/>
        </w:rPr>
        <w:t>M. </w:t>
      </w:r>
      <w:r w:rsidR="00F319AD" w:rsidRPr="00D629F5">
        <w:rPr>
          <w:rFonts w:eastAsia="Calibri"/>
          <w:bCs w:val="0"/>
          <w:lang w:val="fr-FR"/>
        </w:rPr>
        <w:t xml:space="preserve">Hugh Robertson, </w:t>
      </w:r>
      <w:r w:rsidRPr="00D629F5">
        <w:rPr>
          <w:rFonts w:eastAsia="Calibri"/>
          <w:bCs w:val="0"/>
          <w:lang w:val="fr-FR"/>
        </w:rPr>
        <w:t>Président du GEST, a participé aux réunions du Groupe de travail sur le Plan stratégique au nom du GEST, et a donné des conseils techniques.</w:t>
      </w:r>
    </w:p>
    <w:p w14:paraId="5A903D73" w14:textId="758BAC34" w:rsidR="00BF4284" w:rsidRPr="00D629F5" w:rsidRDefault="0014481D" w:rsidP="00332D1A">
      <w:pPr>
        <w:pStyle w:val="ListParagraph"/>
        <w:numPr>
          <w:ilvl w:val="0"/>
          <w:numId w:val="3"/>
        </w:numPr>
        <w:ind w:left="851" w:hanging="425"/>
        <w:rPr>
          <w:rFonts w:eastAsia="Calibri"/>
          <w:bCs w:val="0"/>
          <w:lang w:val="fr-FR"/>
        </w:rPr>
      </w:pPr>
      <w:r w:rsidRPr="00D629F5">
        <w:rPr>
          <w:rFonts w:eastAsia="Calibri"/>
          <w:bCs w:val="0"/>
          <w:lang w:val="fr-FR"/>
        </w:rPr>
        <w:t>Le Groupe de travail sur la mise à jour des Fiches descriptives Ramsar</w:t>
      </w:r>
      <w:r w:rsidR="004D63A0" w:rsidRPr="00D629F5">
        <w:rPr>
          <w:rFonts w:eastAsia="Calibri"/>
          <w:bCs w:val="0"/>
          <w:lang w:val="fr-FR"/>
        </w:rPr>
        <w:t xml:space="preserve"> (FDR)</w:t>
      </w:r>
      <w:r w:rsidRPr="00D629F5">
        <w:rPr>
          <w:rFonts w:eastAsia="Calibri"/>
          <w:bCs w:val="0"/>
          <w:lang w:val="fr-FR"/>
        </w:rPr>
        <w:t> : le Président du GEST a participé à la réunion du Groupe de travail sur les FDR au nom du GEST.</w:t>
      </w:r>
    </w:p>
    <w:p w14:paraId="6A92389F" w14:textId="721E5223" w:rsidR="003B1406" w:rsidRPr="00D629F5" w:rsidRDefault="0014481D" w:rsidP="00332D1A">
      <w:pPr>
        <w:pStyle w:val="ListParagraph"/>
        <w:numPr>
          <w:ilvl w:val="0"/>
          <w:numId w:val="3"/>
        </w:numPr>
        <w:ind w:left="851" w:hanging="425"/>
        <w:rPr>
          <w:rFonts w:eastAsia="Calibri"/>
          <w:bCs w:val="0"/>
          <w:lang w:val="fr-FR"/>
        </w:rPr>
      </w:pPr>
      <w:r w:rsidRPr="00D629F5">
        <w:rPr>
          <w:rFonts w:eastAsia="Calibri"/>
          <w:bCs w:val="0"/>
          <w:lang w:val="fr-FR"/>
        </w:rPr>
        <w:t xml:space="preserve">Le Comité consultatif indépendant du label Ville des Zones Humides : </w:t>
      </w:r>
      <w:r w:rsidR="00F319AD" w:rsidRPr="00D629F5">
        <w:rPr>
          <w:rFonts w:eastAsia="Calibri"/>
          <w:bCs w:val="0"/>
          <w:lang w:val="fr-FR"/>
        </w:rPr>
        <w:t xml:space="preserve">Matthew Simpson, </w:t>
      </w:r>
      <w:r w:rsidRPr="00D629F5">
        <w:rPr>
          <w:rFonts w:eastAsia="Calibri"/>
          <w:bCs w:val="0"/>
          <w:lang w:val="fr-FR"/>
        </w:rPr>
        <w:t>Observateur pour le GEST, a participé aux réunions du Comité consultatif.</w:t>
      </w:r>
      <w:r w:rsidR="00106632" w:rsidRPr="00D629F5">
        <w:rPr>
          <w:rFonts w:eastAsia="Calibri"/>
          <w:bCs w:val="0"/>
          <w:lang w:val="fr-FR"/>
        </w:rPr>
        <w:t xml:space="preserve"> </w:t>
      </w:r>
    </w:p>
    <w:p w14:paraId="06930F6C" w14:textId="48A0B8D4" w:rsidR="00525329" w:rsidRPr="00D629F5" w:rsidRDefault="0014481D" w:rsidP="00332D1A">
      <w:pPr>
        <w:pStyle w:val="ListParagraph"/>
        <w:numPr>
          <w:ilvl w:val="0"/>
          <w:numId w:val="3"/>
        </w:numPr>
        <w:ind w:left="851" w:hanging="425"/>
        <w:rPr>
          <w:rFonts w:eastAsia="Calibri"/>
          <w:bCs w:val="0"/>
          <w:lang w:val="fr-FR"/>
        </w:rPr>
      </w:pPr>
      <w:r w:rsidRPr="00D629F5">
        <w:rPr>
          <w:rFonts w:eastAsia="Calibri"/>
          <w:bCs w:val="0"/>
          <w:lang w:val="fr-FR"/>
        </w:rPr>
        <w:t xml:space="preserve">Le Groupe de surveillance des activités de CESP : la Résolution </w:t>
      </w:r>
      <w:r w:rsidR="00F319AD" w:rsidRPr="00D629F5">
        <w:rPr>
          <w:rFonts w:eastAsia="Calibri"/>
          <w:bCs w:val="0"/>
          <w:lang w:val="fr-FR"/>
        </w:rPr>
        <w:t>XIV.8, Annex</w:t>
      </w:r>
      <w:r w:rsidRPr="00D629F5">
        <w:rPr>
          <w:rFonts w:eastAsia="Calibri"/>
          <w:bCs w:val="0"/>
          <w:lang w:val="fr-FR"/>
        </w:rPr>
        <w:t>e </w:t>
      </w:r>
      <w:r w:rsidR="00F319AD" w:rsidRPr="00D629F5">
        <w:rPr>
          <w:rFonts w:eastAsia="Calibri"/>
          <w:bCs w:val="0"/>
          <w:lang w:val="fr-FR"/>
        </w:rPr>
        <w:t xml:space="preserve">3 </w:t>
      </w:r>
      <w:r w:rsidRPr="00D629F5">
        <w:rPr>
          <w:rFonts w:eastAsia="Calibri"/>
          <w:bCs w:val="0"/>
          <w:lang w:val="fr-FR"/>
        </w:rPr>
        <w:t>demand</w:t>
      </w:r>
      <w:r w:rsidR="004D63A0" w:rsidRPr="00D629F5">
        <w:rPr>
          <w:rFonts w:eastAsia="Calibri"/>
          <w:bCs w:val="0"/>
          <w:lang w:val="fr-FR"/>
        </w:rPr>
        <w:t>ait</w:t>
      </w:r>
      <w:r w:rsidRPr="00D629F5">
        <w:rPr>
          <w:rFonts w:eastAsia="Calibri"/>
          <w:bCs w:val="0"/>
          <w:lang w:val="fr-FR"/>
        </w:rPr>
        <w:t xml:space="preserve"> que le GEST désigne un représentant pour siéger au Groupe de surveillance </w:t>
      </w:r>
      <w:r w:rsidR="003F7F89" w:rsidRPr="00D629F5">
        <w:rPr>
          <w:rFonts w:eastAsia="Calibri"/>
          <w:bCs w:val="0"/>
          <w:lang w:val="fr-FR"/>
        </w:rPr>
        <w:t xml:space="preserve">des activités de CESP. </w:t>
      </w:r>
      <w:r w:rsidR="00F43307" w:rsidRPr="00D629F5">
        <w:rPr>
          <w:rFonts w:eastAsia="Calibri"/>
          <w:bCs w:val="0"/>
          <w:lang w:val="fr-FR"/>
        </w:rPr>
        <w:t xml:space="preserve">M. </w:t>
      </w:r>
      <w:r w:rsidR="00F319AD" w:rsidRPr="00D629F5">
        <w:rPr>
          <w:rFonts w:eastAsia="Calibri"/>
          <w:bCs w:val="0"/>
          <w:lang w:val="fr-FR"/>
        </w:rPr>
        <w:t xml:space="preserve">Ritesh Kumar, </w:t>
      </w:r>
      <w:r w:rsidR="003F7F89" w:rsidRPr="00D629F5">
        <w:rPr>
          <w:rFonts w:eastAsia="Calibri"/>
          <w:bCs w:val="0"/>
          <w:lang w:val="fr-FR"/>
        </w:rPr>
        <w:t xml:space="preserve">Expert technique du GEST, a été nommé représentant du GEST et participe activement aux réunions du Groupe de surveillance des activités de CESP. </w:t>
      </w:r>
    </w:p>
    <w:p w14:paraId="52C345AD" w14:textId="74DB8147" w:rsidR="00525329" w:rsidRPr="00D629F5" w:rsidRDefault="00FF56D8" w:rsidP="00332D1A">
      <w:pPr>
        <w:pStyle w:val="ListParagraph"/>
        <w:numPr>
          <w:ilvl w:val="0"/>
          <w:numId w:val="3"/>
        </w:numPr>
        <w:ind w:left="851" w:hanging="425"/>
        <w:rPr>
          <w:rFonts w:eastAsia="Calibri"/>
          <w:bCs w:val="0"/>
          <w:lang w:val="fr-FR"/>
        </w:rPr>
      </w:pPr>
      <w:r w:rsidRPr="00D629F5">
        <w:rPr>
          <w:rFonts w:eastAsia="Calibri"/>
          <w:bCs w:val="0"/>
          <w:lang w:val="fr-FR"/>
        </w:rPr>
        <w:t>Le Groupe d’experts multidisciplinaire (GEM) de la Plateforme intergouvernementale scientifique et politique sur la biodiversité et les services écosystémiques (IPBES) : le Président du GEST est un membre de droit du GEM. Le Président du GEST a assisté à la 22</w:t>
      </w:r>
      <w:r w:rsidRPr="00D629F5">
        <w:rPr>
          <w:rFonts w:eastAsia="Calibri"/>
          <w:bCs w:val="0"/>
          <w:vertAlign w:val="superscript"/>
          <w:lang w:val="fr-FR"/>
        </w:rPr>
        <w:t>e</w:t>
      </w:r>
      <w:r w:rsidRPr="00D629F5">
        <w:rPr>
          <w:rFonts w:eastAsia="Calibri"/>
          <w:bCs w:val="0"/>
          <w:lang w:val="fr-FR"/>
        </w:rPr>
        <w:t> Réunion du GEM et du Bureau de l’IPBES qui a eu lieu du 1</w:t>
      </w:r>
      <w:r w:rsidRPr="00D629F5">
        <w:rPr>
          <w:rFonts w:eastAsia="Calibri"/>
          <w:bCs w:val="0"/>
          <w:vertAlign w:val="superscript"/>
          <w:lang w:val="fr-FR"/>
        </w:rPr>
        <w:t>er</w:t>
      </w:r>
      <w:r w:rsidRPr="00D629F5">
        <w:rPr>
          <w:rFonts w:eastAsia="Calibri"/>
          <w:bCs w:val="0"/>
          <w:lang w:val="fr-FR"/>
        </w:rPr>
        <w:t xml:space="preserve"> au 8 juillet 2024, et a fait un bref exposé sur les tâches hautement prioritaires du GEST correspondant au programme de travail de l’IPBES. </w:t>
      </w:r>
      <w:r w:rsidR="007D77A0" w:rsidRPr="00D629F5">
        <w:rPr>
          <w:rFonts w:eastAsia="Calibri"/>
          <w:bCs w:val="0"/>
          <w:lang w:val="fr-FR"/>
        </w:rPr>
        <w:t xml:space="preserve"> </w:t>
      </w:r>
    </w:p>
    <w:p w14:paraId="2854D477" w14:textId="5AF98ED8" w:rsidR="00711323" w:rsidRPr="00D629F5" w:rsidRDefault="00FF56D8" w:rsidP="00332D1A">
      <w:pPr>
        <w:pStyle w:val="ListParagraph"/>
        <w:numPr>
          <w:ilvl w:val="0"/>
          <w:numId w:val="3"/>
        </w:numPr>
        <w:ind w:left="851" w:hanging="425"/>
        <w:rPr>
          <w:rFonts w:eastAsia="Calibri"/>
          <w:bCs w:val="0"/>
          <w:lang w:val="fr-FR"/>
        </w:rPr>
      </w:pPr>
      <w:r w:rsidRPr="00D629F5">
        <w:rPr>
          <w:rFonts w:eastAsia="Calibri"/>
          <w:bCs w:val="0"/>
          <w:lang w:val="fr-FR"/>
        </w:rPr>
        <w:t xml:space="preserve">Le Conseil consultatif </w:t>
      </w:r>
      <w:r w:rsidR="00F43307" w:rsidRPr="00D629F5">
        <w:rPr>
          <w:rFonts w:eastAsia="Calibri"/>
          <w:bCs w:val="0"/>
          <w:lang w:val="fr-FR"/>
        </w:rPr>
        <w:t>sur</w:t>
      </w:r>
      <w:r w:rsidRPr="00D629F5">
        <w:rPr>
          <w:rFonts w:eastAsia="Calibri"/>
          <w:bCs w:val="0"/>
          <w:lang w:val="fr-FR"/>
        </w:rPr>
        <w:t xml:space="preserve"> l’</w:t>
      </w:r>
      <w:r w:rsidR="004D63A0" w:rsidRPr="00D629F5">
        <w:rPr>
          <w:rFonts w:eastAsia="Calibri"/>
          <w:bCs w:val="0"/>
          <w:lang w:val="fr-FR"/>
        </w:rPr>
        <w:t>é</w:t>
      </w:r>
      <w:r w:rsidRPr="00D629F5">
        <w:rPr>
          <w:rFonts w:eastAsia="Calibri"/>
          <w:bCs w:val="0"/>
          <w:lang w:val="fr-FR"/>
        </w:rPr>
        <w:t>valuation des Sites Ramsar d’Ukraine : M. </w:t>
      </w:r>
      <w:r w:rsidR="00F319AD" w:rsidRPr="00D629F5">
        <w:rPr>
          <w:rFonts w:eastAsia="Calibri"/>
          <w:bCs w:val="0"/>
          <w:lang w:val="fr-FR"/>
        </w:rPr>
        <w:t xml:space="preserve">Laurent Durieux, </w:t>
      </w:r>
      <w:r w:rsidRPr="00D629F5">
        <w:rPr>
          <w:rFonts w:eastAsia="Calibri"/>
          <w:bCs w:val="0"/>
          <w:lang w:val="fr-FR"/>
        </w:rPr>
        <w:t>Expert scientifique auprès du GEST, participe au Conseil consultatif.</w:t>
      </w:r>
    </w:p>
    <w:p w14:paraId="60957951" w14:textId="77777777" w:rsidR="00307F11" w:rsidRPr="00D629F5" w:rsidRDefault="00307F11" w:rsidP="00B0075C">
      <w:pPr>
        <w:rPr>
          <w:rFonts w:eastAsia="Calibri"/>
          <w:b/>
          <w:lang w:val="fr-FR"/>
        </w:rPr>
      </w:pPr>
    </w:p>
    <w:p w14:paraId="615C0897" w14:textId="7C620C9E" w:rsidR="00CF6E6E" w:rsidRPr="00D629F5" w:rsidRDefault="00FF56D8" w:rsidP="00B0075C">
      <w:pPr>
        <w:keepNext/>
        <w:ind w:left="425" w:hanging="425"/>
        <w:rPr>
          <w:rFonts w:eastAsia="Calibri"/>
          <w:b/>
          <w:lang w:val="fr-FR"/>
        </w:rPr>
      </w:pPr>
      <w:r w:rsidRPr="00D629F5">
        <w:rPr>
          <w:rFonts w:eastAsia="Calibri"/>
          <w:b/>
          <w:lang w:val="fr-FR"/>
        </w:rPr>
        <w:t>Recommandations</w:t>
      </w:r>
    </w:p>
    <w:p w14:paraId="22C285D7" w14:textId="77777777" w:rsidR="00DF7BA8" w:rsidRPr="00D629F5" w:rsidRDefault="00DF7BA8" w:rsidP="00E952E3">
      <w:pPr>
        <w:rPr>
          <w:lang w:val="fr-FR" w:eastAsia="zh-CN"/>
        </w:rPr>
      </w:pPr>
    </w:p>
    <w:p w14:paraId="1B953BAF" w14:textId="4DC31FB1" w:rsidR="001A75C9" w:rsidRPr="00D629F5" w:rsidRDefault="00C56446" w:rsidP="00267954">
      <w:pPr>
        <w:ind w:left="432" w:hanging="432"/>
        <w:rPr>
          <w:lang w:val="fr-FR" w:eastAsia="zh-CN"/>
        </w:rPr>
      </w:pPr>
      <w:r w:rsidRPr="00D629F5">
        <w:rPr>
          <w:lang w:val="fr-FR" w:eastAsia="zh-CN"/>
        </w:rPr>
        <w:t>3</w:t>
      </w:r>
      <w:r w:rsidR="00336E88">
        <w:rPr>
          <w:lang w:val="fr-FR" w:eastAsia="zh-CN"/>
        </w:rPr>
        <w:t>4</w:t>
      </w:r>
      <w:r w:rsidR="00F319AD" w:rsidRPr="00D629F5">
        <w:rPr>
          <w:lang w:val="fr-FR" w:eastAsia="zh-CN"/>
        </w:rPr>
        <w:t>.</w:t>
      </w:r>
      <w:r w:rsidR="00F319AD" w:rsidRPr="00D629F5">
        <w:rPr>
          <w:lang w:val="fr-FR" w:eastAsia="zh-CN"/>
        </w:rPr>
        <w:tab/>
      </w:r>
      <w:r w:rsidR="00FF56D8" w:rsidRPr="00D629F5">
        <w:rPr>
          <w:lang w:val="fr-FR" w:eastAsia="zh-CN"/>
        </w:rPr>
        <w:t>Le Comité permanent est invité à :</w:t>
      </w:r>
    </w:p>
    <w:p w14:paraId="471F735A" w14:textId="77777777" w:rsidR="001A75C9" w:rsidRPr="00D629F5" w:rsidRDefault="001A75C9" w:rsidP="00E952E3">
      <w:pPr>
        <w:rPr>
          <w:lang w:val="fr-FR" w:eastAsia="zh-CN"/>
        </w:rPr>
      </w:pPr>
    </w:p>
    <w:p w14:paraId="1C99282D" w14:textId="01DE1AE4" w:rsidR="009866AA" w:rsidRPr="00D629F5" w:rsidRDefault="00BA58C7" w:rsidP="002034DD">
      <w:pPr>
        <w:pStyle w:val="ListParagraph"/>
        <w:pBdr>
          <w:top w:val="nil"/>
          <w:left w:val="nil"/>
          <w:bottom w:val="nil"/>
          <w:right w:val="nil"/>
          <w:between w:val="nil"/>
        </w:pBdr>
        <w:ind w:left="845" w:hanging="420"/>
        <w:rPr>
          <w:lang w:val="fr-FR" w:eastAsia="zh-CN"/>
        </w:rPr>
      </w:pPr>
      <w:r w:rsidRPr="00D629F5">
        <w:rPr>
          <w:lang w:val="fr-FR" w:eastAsia="zh-CN"/>
        </w:rPr>
        <w:t>a</w:t>
      </w:r>
      <w:r w:rsidR="00FF56D8" w:rsidRPr="00D629F5">
        <w:rPr>
          <w:lang w:val="fr-FR" w:eastAsia="zh-CN"/>
        </w:rPr>
        <w:t>)</w:t>
      </w:r>
      <w:r w:rsidR="00995BCF" w:rsidRPr="00D629F5">
        <w:rPr>
          <w:lang w:val="fr-FR" w:eastAsia="zh-CN"/>
        </w:rPr>
        <w:tab/>
      </w:r>
      <w:r w:rsidR="009C4887" w:rsidRPr="00D629F5">
        <w:rPr>
          <w:lang w:val="fr-FR" w:eastAsia="zh-CN"/>
        </w:rPr>
        <w:t xml:space="preserve">Prendre note des progrès significatifs réalisés par le GEST dans l’avancement de tâches hautement prioritaires, y compris pour </w:t>
      </w:r>
      <w:r w:rsidR="00CB5F62" w:rsidRPr="00D629F5">
        <w:rPr>
          <w:lang w:val="fr-FR" w:eastAsia="zh-CN"/>
        </w:rPr>
        <w:t>finaliser</w:t>
      </w:r>
      <w:r w:rsidR="009C4887" w:rsidRPr="00D629F5">
        <w:rPr>
          <w:lang w:val="fr-FR" w:eastAsia="zh-CN"/>
        </w:rPr>
        <w:t xml:space="preserve"> des produits techniques clés et élaborer des documents d’orientation qui soutiennent la conservation et l’utilisation rationnelle des zones humides.</w:t>
      </w:r>
    </w:p>
    <w:p w14:paraId="3AA71014" w14:textId="77777777" w:rsidR="005C5539" w:rsidRPr="00D629F5" w:rsidRDefault="005C5539" w:rsidP="00781F47">
      <w:pPr>
        <w:ind w:left="864" w:hanging="432"/>
        <w:rPr>
          <w:lang w:val="fr-FR" w:eastAsia="zh-CN"/>
        </w:rPr>
      </w:pPr>
    </w:p>
    <w:p w14:paraId="36209EEA" w14:textId="7E379333" w:rsidR="005C5539"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b</w:t>
      </w:r>
      <w:r w:rsidR="00FF56D8" w:rsidRPr="00D629F5">
        <w:rPr>
          <w:lang w:val="fr-FR" w:eastAsia="zh-CN"/>
        </w:rPr>
        <w:t>)</w:t>
      </w:r>
      <w:r w:rsidR="00F319AD" w:rsidRPr="00D629F5">
        <w:rPr>
          <w:lang w:val="fr-FR" w:eastAsia="zh-CN"/>
        </w:rPr>
        <w:tab/>
      </w:r>
      <w:r w:rsidR="009C4887" w:rsidRPr="00D629F5">
        <w:rPr>
          <w:lang w:val="fr-FR" w:eastAsia="zh-CN"/>
        </w:rPr>
        <w:t xml:space="preserve">Examiner les tâches prioritaires proposées pour le plan de travail du GEST </w:t>
      </w:r>
      <w:r w:rsidR="00955AD3" w:rsidRPr="00D629F5">
        <w:rPr>
          <w:lang w:val="fr-FR" w:eastAsia="zh-CN"/>
        </w:rPr>
        <w:t>2026</w:t>
      </w:r>
      <w:r w:rsidR="009C4887" w:rsidRPr="00D629F5">
        <w:rPr>
          <w:lang w:val="fr-FR" w:eastAsia="zh-CN"/>
        </w:rPr>
        <w:t>­</w:t>
      </w:r>
      <w:r w:rsidR="00955AD3" w:rsidRPr="00D629F5">
        <w:rPr>
          <w:lang w:val="fr-FR" w:eastAsia="zh-CN"/>
        </w:rPr>
        <w:t xml:space="preserve">2028, </w:t>
      </w:r>
      <w:r w:rsidR="009C4887" w:rsidRPr="00D629F5">
        <w:rPr>
          <w:lang w:val="fr-FR" w:eastAsia="zh-CN"/>
        </w:rPr>
        <w:t xml:space="preserve">qui portent sur l’amélioration de l’inventaire, du suivi, de la restauration, du développement des politiques pour les zones humides et l’application de nouvelles technologies comme décrit dans l’Annexe 1. </w:t>
      </w:r>
    </w:p>
    <w:p w14:paraId="1C7D5412" w14:textId="77777777" w:rsidR="004F7AD1" w:rsidRPr="00D629F5" w:rsidRDefault="004F7AD1" w:rsidP="00781F47">
      <w:pPr>
        <w:ind w:left="864" w:hanging="432"/>
        <w:rPr>
          <w:lang w:val="fr-FR" w:eastAsia="zh-CN"/>
        </w:rPr>
      </w:pPr>
    </w:p>
    <w:p w14:paraId="0F0F00F2" w14:textId="6559962E" w:rsidR="00995BCF"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c</w:t>
      </w:r>
      <w:r w:rsidR="002A2C7D" w:rsidRPr="00D629F5">
        <w:rPr>
          <w:lang w:val="fr-FR" w:eastAsia="zh-CN"/>
        </w:rPr>
        <w:t>)</w:t>
      </w:r>
      <w:r w:rsidR="00522DEC" w:rsidRPr="00D629F5">
        <w:rPr>
          <w:lang w:val="fr-FR" w:eastAsia="zh-CN"/>
        </w:rPr>
        <w:tab/>
      </w:r>
      <w:r w:rsidR="00BD0901" w:rsidRPr="00D629F5">
        <w:rPr>
          <w:lang w:val="fr-FR" w:eastAsia="zh-CN"/>
        </w:rPr>
        <w:t xml:space="preserve">Demander au Secrétariat d’informer les Parties contractantes sur les processus et calendriers de nomination des membres du GEST pour la période triennale </w:t>
      </w:r>
      <w:r w:rsidR="003023D4" w:rsidRPr="00D629F5">
        <w:rPr>
          <w:lang w:val="fr-FR" w:eastAsia="zh-CN"/>
        </w:rPr>
        <w:t>2026­2028 avant la COP15, afin de faciliter la soumission opportune de candidatures et la nomination d’un nouveau Groupe après la COP15.</w:t>
      </w:r>
    </w:p>
    <w:p w14:paraId="4DA4058D" w14:textId="77777777" w:rsidR="001D4202" w:rsidRPr="00D629F5" w:rsidRDefault="001D4202" w:rsidP="00D57B0B">
      <w:pPr>
        <w:ind w:left="864" w:hanging="432"/>
        <w:rPr>
          <w:lang w:val="fr-FR" w:eastAsia="zh-CN"/>
        </w:rPr>
      </w:pPr>
    </w:p>
    <w:p w14:paraId="2875D08F" w14:textId="7012440A" w:rsidR="00A5799E"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d</w:t>
      </w:r>
      <w:r w:rsidR="002A2C7D" w:rsidRPr="00D629F5">
        <w:rPr>
          <w:lang w:val="fr-FR" w:eastAsia="zh-CN"/>
        </w:rPr>
        <w:t>)</w:t>
      </w:r>
      <w:r w:rsidR="00F319AD" w:rsidRPr="00D629F5">
        <w:rPr>
          <w:lang w:val="fr-FR" w:eastAsia="zh-CN"/>
        </w:rPr>
        <w:tab/>
      </w:r>
      <w:r w:rsidR="003C1DFA" w:rsidRPr="00D629F5">
        <w:rPr>
          <w:lang w:val="fr-FR" w:eastAsia="zh-CN"/>
        </w:rPr>
        <w:t>Prendre note des progrès réalisés dans la mise en œuvre de la consultation avec la communauté d’observation de la Terre et examiner ses conclusions et recommandations, lorsqu’elles seront disponibles, dans les discussions sur les aspects scientifiques et techniques futurs de la Convention pour la période 2026­2028.</w:t>
      </w:r>
      <w:r w:rsidR="00F319AD" w:rsidRPr="00D629F5">
        <w:rPr>
          <w:lang w:val="fr-FR" w:eastAsia="zh-CN"/>
        </w:rPr>
        <w:t xml:space="preserve"> </w:t>
      </w:r>
    </w:p>
    <w:p w14:paraId="4ACECBB9" w14:textId="77777777" w:rsidR="00A5799E" w:rsidRPr="00D629F5" w:rsidRDefault="00A5799E" w:rsidP="00A5799E">
      <w:pPr>
        <w:ind w:left="864" w:hanging="432"/>
        <w:rPr>
          <w:lang w:val="fr-FR" w:eastAsia="zh-CN"/>
        </w:rPr>
      </w:pPr>
    </w:p>
    <w:p w14:paraId="7A6A66DF" w14:textId="72CC344A" w:rsidR="00E53445"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e</w:t>
      </w:r>
      <w:r w:rsidR="002A2C7D" w:rsidRPr="00D629F5">
        <w:rPr>
          <w:lang w:val="fr-FR" w:eastAsia="zh-CN"/>
        </w:rPr>
        <w:t>)</w:t>
      </w:r>
      <w:r w:rsidR="00C8794A" w:rsidRPr="00D629F5">
        <w:rPr>
          <w:lang w:val="fr-FR" w:eastAsia="zh-CN"/>
        </w:rPr>
        <w:tab/>
      </w:r>
      <w:r w:rsidR="006F6F04" w:rsidRPr="00D629F5">
        <w:rPr>
          <w:lang w:val="fr-FR" w:eastAsia="zh-CN"/>
        </w:rPr>
        <w:t>Examiner les orientations sur l’utilisation d’autres estimations des populations pour</w:t>
      </w:r>
      <w:r w:rsidR="00CB5F62" w:rsidRPr="00D629F5">
        <w:rPr>
          <w:lang w:val="fr-FR" w:eastAsia="zh-CN"/>
        </w:rPr>
        <w:t xml:space="preserve"> l’application du</w:t>
      </w:r>
      <w:r w:rsidR="006F6F04" w:rsidRPr="00D629F5">
        <w:rPr>
          <w:lang w:val="fr-FR" w:eastAsia="zh-CN"/>
        </w:rPr>
        <w:t xml:space="preserve"> Critère 6, décrites dans l’Annexe 2 ; et demander au Secrétariat de diffuser le document d’orientation pour garantir un processus transparent pour la soumission, l’examen et l’approbation d’autres estimations, conformément à la Résolution </w:t>
      </w:r>
      <w:r w:rsidR="00A11F04" w:rsidRPr="00D629F5">
        <w:rPr>
          <w:lang w:val="fr-FR" w:eastAsia="zh-CN"/>
        </w:rPr>
        <w:t>XIV.18.</w:t>
      </w:r>
    </w:p>
    <w:p w14:paraId="5EF98414" w14:textId="77777777" w:rsidR="00E53445" w:rsidRPr="00D629F5" w:rsidRDefault="00E53445" w:rsidP="00E53445">
      <w:pPr>
        <w:ind w:left="864" w:hanging="432"/>
        <w:rPr>
          <w:lang w:val="fr-FR" w:eastAsia="zh-CN"/>
        </w:rPr>
      </w:pPr>
    </w:p>
    <w:p w14:paraId="254CD1E7" w14:textId="3AB975C3" w:rsidR="00A5799E"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f</w:t>
      </w:r>
      <w:r w:rsidR="002A2C7D" w:rsidRPr="00D629F5">
        <w:rPr>
          <w:lang w:val="fr-FR" w:eastAsia="zh-CN"/>
        </w:rPr>
        <w:t>)</w:t>
      </w:r>
      <w:r w:rsidR="00C8794A" w:rsidRPr="00D629F5">
        <w:rPr>
          <w:lang w:val="fr-FR" w:eastAsia="zh-CN"/>
        </w:rPr>
        <w:tab/>
      </w:r>
      <w:r w:rsidR="00BC46E3" w:rsidRPr="00D629F5">
        <w:rPr>
          <w:lang w:val="fr-FR" w:eastAsia="zh-CN"/>
        </w:rPr>
        <w:t>Encourage</w:t>
      </w:r>
      <w:r w:rsidR="00D517B9" w:rsidRPr="00D629F5">
        <w:rPr>
          <w:lang w:val="fr-FR" w:eastAsia="zh-CN"/>
        </w:rPr>
        <w:t>r les Parties contractantes à adopter le processus de soumission décrit dans l’Annexe 2</w:t>
      </w:r>
      <w:r w:rsidR="00CB5F62" w:rsidRPr="00D629F5">
        <w:rPr>
          <w:lang w:val="fr-FR" w:eastAsia="zh-CN"/>
        </w:rPr>
        <w:t>,</w:t>
      </w:r>
      <w:r w:rsidR="00D517B9" w:rsidRPr="00D629F5">
        <w:rPr>
          <w:lang w:val="fr-FR" w:eastAsia="zh-CN"/>
        </w:rPr>
        <w:t xml:space="preserve"> relatif à l’approbation d’autres estimations pour </w:t>
      </w:r>
      <w:r w:rsidR="00CB5F62" w:rsidRPr="00D629F5">
        <w:rPr>
          <w:lang w:val="fr-FR" w:eastAsia="zh-CN"/>
        </w:rPr>
        <w:t>l’application du</w:t>
      </w:r>
      <w:r w:rsidR="00D517B9" w:rsidRPr="00D629F5">
        <w:rPr>
          <w:lang w:val="fr-FR" w:eastAsia="zh-CN"/>
        </w:rPr>
        <w:t xml:space="preserve"> Critère 6, garantissant </w:t>
      </w:r>
      <w:r w:rsidR="00CB5F62" w:rsidRPr="00D629F5">
        <w:rPr>
          <w:lang w:val="fr-FR" w:eastAsia="zh-CN"/>
        </w:rPr>
        <w:t>le respect des</w:t>
      </w:r>
      <w:r w:rsidR="00D517B9" w:rsidRPr="00D629F5">
        <w:rPr>
          <w:lang w:val="fr-FR" w:eastAsia="zh-CN"/>
        </w:rPr>
        <w:t xml:space="preserve"> méthodes établies pour obtenir le seuil de 1 %. </w:t>
      </w:r>
      <w:r w:rsidR="00BC46E3" w:rsidRPr="00D629F5">
        <w:rPr>
          <w:lang w:val="fr-FR" w:eastAsia="zh-CN"/>
        </w:rPr>
        <w:t xml:space="preserve"> </w:t>
      </w:r>
    </w:p>
    <w:p w14:paraId="0F1D4E35" w14:textId="77777777" w:rsidR="00A5799E" w:rsidRPr="00D629F5" w:rsidRDefault="00A5799E" w:rsidP="00D57B0B">
      <w:pPr>
        <w:ind w:left="864" w:hanging="432"/>
        <w:rPr>
          <w:lang w:val="fr-FR" w:eastAsia="zh-CN"/>
        </w:rPr>
      </w:pPr>
    </w:p>
    <w:p w14:paraId="724DFF13" w14:textId="25543BBB" w:rsidR="00EC0CAC"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g</w:t>
      </w:r>
      <w:r w:rsidR="002A2C7D" w:rsidRPr="00D629F5">
        <w:rPr>
          <w:lang w:val="fr-FR" w:eastAsia="zh-CN"/>
        </w:rPr>
        <w:t>)</w:t>
      </w:r>
      <w:r w:rsidR="00F319AD" w:rsidRPr="00D629F5">
        <w:rPr>
          <w:lang w:val="fr-FR" w:eastAsia="zh-CN"/>
        </w:rPr>
        <w:tab/>
      </w:r>
      <w:r w:rsidR="00D517B9" w:rsidRPr="00D629F5">
        <w:rPr>
          <w:lang w:val="fr-FR" w:eastAsia="zh-CN"/>
        </w:rPr>
        <w:t xml:space="preserve">Prendre note de la proposition technique préparée par le GEST pour l’examen des instruments juridiques et politiques visant à améliorer la conservation, la restauration et l’utilisation rationnelle des zones humides, dans l’Annexe 3, pour intégration parmi les tâches prioritaires du plan de travail du GEST pour </w:t>
      </w:r>
      <w:r w:rsidR="009727BE" w:rsidRPr="00D629F5">
        <w:rPr>
          <w:lang w:val="fr-FR" w:eastAsia="zh-CN"/>
        </w:rPr>
        <w:t>202</w:t>
      </w:r>
      <w:r w:rsidR="00551159" w:rsidRPr="00D629F5">
        <w:rPr>
          <w:lang w:val="fr-FR" w:eastAsia="zh-CN"/>
        </w:rPr>
        <w:t>6</w:t>
      </w:r>
      <w:r w:rsidR="009727BE" w:rsidRPr="00D629F5">
        <w:rPr>
          <w:lang w:val="fr-FR" w:eastAsia="zh-CN"/>
        </w:rPr>
        <w:t>-202</w:t>
      </w:r>
      <w:r w:rsidR="00551159" w:rsidRPr="00D629F5">
        <w:rPr>
          <w:lang w:val="fr-FR" w:eastAsia="zh-CN"/>
        </w:rPr>
        <w:t>8</w:t>
      </w:r>
      <w:r w:rsidR="00AE16D6" w:rsidRPr="00D629F5">
        <w:rPr>
          <w:lang w:val="fr-FR" w:eastAsia="zh-CN"/>
        </w:rPr>
        <w:t>.</w:t>
      </w:r>
    </w:p>
    <w:p w14:paraId="353F621B" w14:textId="77777777" w:rsidR="00A5799E" w:rsidRPr="00D629F5" w:rsidRDefault="00A5799E" w:rsidP="00D57B0B">
      <w:pPr>
        <w:ind w:left="864" w:hanging="432"/>
        <w:rPr>
          <w:lang w:val="fr-FR" w:eastAsia="zh-CN"/>
        </w:rPr>
      </w:pPr>
    </w:p>
    <w:p w14:paraId="5BA3765B" w14:textId="1BE561F4" w:rsidR="005E74C9"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h</w:t>
      </w:r>
      <w:r w:rsidR="002A2C7D" w:rsidRPr="00D629F5">
        <w:rPr>
          <w:lang w:val="fr-FR" w:eastAsia="zh-CN"/>
        </w:rPr>
        <w:t>)</w:t>
      </w:r>
      <w:r w:rsidR="00F319AD" w:rsidRPr="00D629F5">
        <w:rPr>
          <w:lang w:val="fr-FR" w:eastAsia="zh-CN"/>
        </w:rPr>
        <w:tab/>
        <w:t>Encourage</w:t>
      </w:r>
      <w:r w:rsidR="00D517B9" w:rsidRPr="00D629F5">
        <w:rPr>
          <w:lang w:val="fr-FR" w:eastAsia="zh-CN"/>
        </w:rPr>
        <w:t xml:space="preserve">r les Parties contractantes et autres parties prenantes à fournir des contributions financières pour soutenir la création et le fonctionnement du Partenariat </w:t>
      </w:r>
      <w:r w:rsidR="00496FCD" w:rsidRPr="00D629F5">
        <w:rPr>
          <w:lang w:val="fr-FR" w:eastAsia="zh-CN"/>
        </w:rPr>
        <w:t>pour les estimations des populations d’oiseaux d’eau</w:t>
      </w:r>
      <w:r w:rsidR="00F319AD" w:rsidRPr="00D629F5">
        <w:rPr>
          <w:lang w:val="fr-FR" w:eastAsia="zh-CN"/>
        </w:rPr>
        <w:t xml:space="preserve"> </w:t>
      </w:r>
      <w:r w:rsidR="00496FCD" w:rsidRPr="00D629F5">
        <w:rPr>
          <w:lang w:val="fr-FR" w:eastAsia="zh-CN"/>
        </w:rPr>
        <w:t xml:space="preserve">(WEP) et la réalisation de l’édition 2027 </w:t>
      </w:r>
      <w:r w:rsidR="00383A2F" w:rsidRPr="00D629F5">
        <w:rPr>
          <w:lang w:val="fr-FR" w:eastAsia="zh-CN"/>
        </w:rPr>
        <w:t>des</w:t>
      </w:r>
      <w:r w:rsidR="00496FCD" w:rsidRPr="00D629F5">
        <w:rPr>
          <w:lang w:val="fr-FR" w:eastAsia="zh-CN"/>
        </w:rPr>
        <w:t xml:space="preserve"> </w:t>
      </w:r>
      <w:r w:rsidR="005E6ADA" w:rsidRPr="00D629F5">
        <w:rPr>
          <w:i/>
          <w:iCs/>
          <w:lang w:val="fr-FR" w:eastAsia="zh-CN"/>
        </w:rPr>
        <w:t>Waterbird Population Estimates</w:t>
      </w:r>
      <w:r w:rsidR="005E6ADA" w:rsidRPr="00D629F5">
        <w:rPr>
          <w:lang w:val="fr-FR" w:eastAsia="zh-CN"/>
        </w:rPr>
        <w:t xml:space="preserve"> (WPE2027), reco</w:t>
      </w:r>
      <w:r w:rsidR="00496FCD" w:rsidRPr="00D629F5">
        <w:rPr>
          <w:lang w:val="fr-FR" w:eastAsia="zh-CN"/>
        </w:rPr>
        <w:t xml:space="preserve">nnaissant le rôle d’importance critique des données mises à jour sur les populations d’oiseaux d’eau pour la conservation des zones humides et l’application réussie de la Convention, comme décrit dans l’Annexe 5. </w:t>
      </w:r>
    </w:p>
    <w:p w14:paraId="29006504" w14:textId="77777777" w:rsidR="005E74C9" w:rsidRPr="00D629F5" w:rsidRDefault="005E74C9" w:rsidP="005E74C9">
      <w:pPr>
        <w:ind w:left="864" w:hanging="432"/>
        <w:rPr>
          <w:lang w:val="fr-FR" w:eastAsia="zh-CN"/>
        </w:rPr>
      </w:pPr>
    </w:p>
    <w:p w14:paraId="0F3009C5" w14:textId="621659A2" w:rsidR="00DF6B4A"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i</w:t>
      </w:r>
      <w:r w:rsidR="002A2C7D" w:rsidRPr="00D629F5">
        <w:rPr>
          <w:lang w:val="fr-FR" w:eastAsia="zh-CN"/>
        </w:rPr>
        <w:t>)</w:t>
      </w:r>
      <w:r w:rsidR="00F319AD" w:rsidRPr="00D629F5">
        <w:rPr>
          <w:lang w:val="fr-FR" w:eastAsia="zh-CN"/>
        </w:rPr>
        <w:tab/>
      </w:r>
      <w:r w:rsidR="00496FCD" w:rsidRPr="00D629F5">
        <w:rPr>
          <w:lang w:val="fr-FR" w:eastAsia="zh-CN"/>
        </w:rPr>
        <w:t>Demander au Secrétariat d’explorer les possibilités de mobilisation de ressources additionnelles, y compris de partenariats avec des organisations internationales, le secteur privé et d’autres mécanismes de financement, afin d’obtenir les ressources nécessaires à l’application pleine et entière du WEP et d</w:t>
      </w:r>
      <w:r w:rsidR="009A1B91" w:rsidRPr="00D629F5">
        <w:rPr>
          <w:lang w:val="fr-FR" w:eastAsia="zh-CN"/>
        </w:rPr>
        <w:t>es</w:t>
      </w:r>
      <w:r w:rsidR="00496FCD" w:rsidRPr="00D629F5">
        <w:rPr>
          <w:lang w:val="fr-FR" w:eastAsia="zh-CN"/>
        </w:rPr>
        <w:t xml:space="preserve"> </w:t>
      </w:r>
      <w:r w:rsidR="005E6ADA" w:rsidRPr="00D629F5">
        <w:rPr>
          <w:lang w:val="fr-FR" w:eastAsia="zh-CN"/>
        </w:rPr>
        <w:t>WPE2027</w:t>
      </w:r>
      <w:r w:rsidR="00F319AD" w:rsidRPr="00D629F5">
        <w:rPr>
          <w:lang w:val="fr-FR" w:eastAsia="zh-CN"/>
        </w:rPr>
        <w:t>.</w:t>
      </w:r>
    </w:p>
    <w:p w14:paraId="40F390B3" w14:textId="77777777" w:rsidR="00DF6B4A" w:rsidRPr="00D629F5" w:rsidRDefault="00DF6B4A" w:rsidP="00D57B0B">
      <w:pPr>
        <w:ind w:left="864" w:hanging="432"/>
        <w:rPr>
          <w:lang w:val="fr-FR" w:eastAsia="zh-CN"/>
        </w:rPr>
      </w:pPr>
    </w:p>
    <w:p w14:paraId="57D4A97B" w14:textId="1D7BA1E8" w:rsidR="00316B1D" w:rsidRPr="00D629F5" w:rsidRDefault="00BA58C7" w:rsidP="00BA58C7">
      <w:pPr>
        <w:pStyle w:val="ListParagraph"/>
        <w:pBdr>
          <w:top w:val="nil"/>
          <w:left w:val="nil"/>
          <w:bottom w:val="nil"/>
          <w:right w:val="nil"/>
          <w:between w:val="nil"/>
        </w:pBdr>
        <w:ind w:left="845" w:hanging="420"/>
        <w:rPr>
          <w:lang w:val="fr-FR" w:eastAsia="zh-CN"/>
        </w:rPr>
      </w:pPr>
      <w:r w:rsidRPr="00D629F5">
        <w:rPr>
          <w:lang w:val="fr-FR" w:eastAsia="zh-CN"/>
        </w:rPr>
        <w:t>j</w:t>
      </w:r>
      <w:r w:rsidR="002A2C7D" w:rsidRPr="00D629F5">
        <w:rPr>
          <w:lang w:val="fr-FR" w:eastAsia="zh-CN"/>
        </w:rPr>
        <w:t>)</w:t>
      </w:r>
      <w:r w:rsidR="00F319AD" w:rsidRPr="00D629F5">
        <w:rPr>
          <w:lang w:val="fr-FR" w:eastAsia="zh-CN"/>
        </w:rPr>
        <w:tab/>
      </w:r>
      <w:r w:rsidR="00C71752" w:rsidRPr="00D629F5">
        <w:rPr>
          <w:lang w:val="fr-FR" w:eastAsia="zh-CN"/>
        </w:rPr>
        <w:t>Examiner l’approche proposée pour les futures Perspectives mondiales des zones</w:t>
      </w:r>
      <w:r w:rsidR="007D77A0" w:rsidRPr="00D629F5">
        <w:rPr>
          <w:lang w:val="fr-FR" w:eastAsia="zh-CN"/>
        </w:rPr>
        <w:t xml:space="preserve"> </w:t>
      </w:r>
      <w:r w:rsidR="00C71752" w:rsidRPr="00D629F5">
        <w:rPr>
          <w:lang w:val="fr-FR" w:eastAsia="zh-CN"/>
        </w:rPr>
        <w:t>humides, décrite dans l’Annexe 4, qui met en évidence un processus structuré</w:t>
      </w:r>
      <w:r w:rsidR="00CB5F62" w:rsidRPr="00D629F5">
        <w:rPr>
          <w:lang w:val="fr-FR" w:eastAsia="zh-CN"/>
        </w:rPr>
        <w:t xml:space="preserve"> et par</w:t>
      </w:r>
      <w:r w:rsidR="00C71752" w:rsidRPr="00D629F5">
        <w:rPr>
          <w:lang w:val="fr-FR" w:eastAsia="zh-CN"/>
        </w:rPr>
        <w:t xml:space="preserve"> étapes pour l’évaluation, l’examen et la communication des conclusions clés ; à partir de quoi une approche finale pour les futures Perspectives </w:t>
      </w:r>
      <w:r w:rsidR="00DB5743" w:rsidRPr="00D629F5">
        <w:rPr>
          <w:lang w:val="fr-FR" w:eastAsia="zh-CN"/>
        </w:rPr>
        <w:t xml:space="preserve">mondiales des zones humides </w:t>
      </w:r>
      <w:r w:rsidR="00C71752" w:rsidRPr="00D629F5">
        <w:rPr>
          <w:lang w:val="fr-FR" w:eastAsia="zh-CN"/>
        </w:rPr>
        <w:t>sera préparée pour intégration dans le Rapport du Président du GEST soumis à la COP15.</w:t>
      </w:r>
      <w:r w:rsidR="00316B1D" w:rsidRPr="00D629F5">
        <w:rPr>
          <w:lang w:val="fr-FR" w:eastAsia="zh-CN"/>
        </w:rPr>
        <w:t xml:space="preserve"> </w:t>
      </w:r>
    </w:p>
    <w:p w14:paraId="451BDF0C" w14:textId="77777777" w:rsidR="004C16CA" w:rsidRPr="00D629F5" w:rsidRDefault="004C16CA" w:rsidP="008E7CDC">
      <w:pPr>
        <w:ind w:left="432" w:hanging="432"/>
        <w:rPr>
          <w:lang w:val="fr-FR" w:eastAsia="zh-CN"/>
        </w:rPr>
      </w:pPr>
    </w:p>
    <w:p w14:paraId="1CC2A14A" w14:textId="6B013884" w:rsidR="0041360B" w:rsidRPr="00D629F5" w:rsidRDefault="00F319AD" w:rsidP="00C71752">
      <w:pPr>
        <w:keepNext/>
        <w:keepLines/>
        <w:rPr>
          <w:b/>
          <w:bCs w:val="0"/>
          <w:lang w:val="fr-FR" w:eastAsia="zh-CN"/>
        </w:rPr>
      </w:pPr>
      <w:r w:rsidRPr="00D629F5">
        <w:rPr>
          <w:b/>
          <w:bCs w:val="0"/>
          <w:lang w:val="fr-FR" w:eastAsia="zh-CN"/>
        </w:rPr>
        <w:t>Future</w:t>
      </w:r>
      <w:r w:rsidR="00C71752" w:rsidRPr="00D629F5">
        <w:rPr>
          <w:b/>
          <w:bCs w:val="0"/>
          <w:lang w:val="fr-FR" w:eastAsia="zh-CN"/>
        </w:rPr>
        <w:t>s réunions du GEST</w:t>
      </w:r>
    </w:p>
    <w:p w14:paraId="71B24C4D" w14:textId="77777777" w:rsidR="0041360B" w:rsidRPr="00D629F5" w:rsidRDefault="0041360B" w:rsidP="00C71752">
      <w:pPr>
        <w:keepNext/>
        <w:keepLines/>
        <w:rPr>
          <w:lang w:val="fr-FR" w:eastAsia="zh-CN"/>
        </w:rPr>
      </w:pPr>
    </w:p>
    <w:p w14:paraId="60261D8E" w14:textId="0FF833C2" w:rsidR="0041360B" w:rsidRPr="00D629F5" w:rsidRDefault="00C56446" w:rsidP="00C71752">
      <w:pPr>
        <w:keepNext/>
        <w:keepLines/>
        <w:ind w:left="432" w:hanging="432"/>
        <w:rPr>
          <w:lang w:val="fr-FR" w:eastAsia="zh-CN"/>
        </w:rPr>
      </w:pPr>
      <w:r w:rsidRPr="00D629F5">
        <w:rPr>
          <w:lang w:val="fr-FR" w:eastAsia="zh-CN"/>
        </w:rPr>
        <w:t>3</w:t>
      </w:r>
      <w:r w:rsidR="00336E88">
        <w:rPr>
          <w:lang w:val="fr-FR" w:eastAsia="zh-CN"/>
        </w:rPr>
        <w:t>5</w:t>
      </w:r>
      <w:r w:rsidR="00F319AD" w:rsidRPr="00D629F5">
        <w:rPr>
          <w:lang w:val="fr-FR" w:eastAsia="zh-CN"/>
        </w:rPr>
        <w:t>.</w:t>
      </w:r>
      <w:r w:rsidR="00F319AD" w:rsidRPr="00D629F5">
        <w:rPr>
          <w:lang w:val="fr-FR" w:eastAsia="zh-CN"/>
        </w:rPr>
        <w:tab/>
      </w:r>
      <w:r w:rsidR="00C71752" w:rsidRPr="00D629F5">
        <w:rPr>
          <w:lang w:val="fr-FR" w:eastAsia="zh-CN"/>
        </w:rPr>
        <w:t xml:space="preserve">Le GEST27 aura lieu du 2 au 6 décembre 2024 à Gland, Suisse, pour </w:t>
      </w:r>
      <w:r w:rsidR="00CB5F62" w:rsidRPr="00D629F5">
        <w:rPr>
          <w:lang w:val="fr-FR" w:eastAsia="zh-CN"/>
        </w:rPr>
        <w:t>que les</w:t>
      </w:r>
      <w:r w:rsidR="00C71752" w:rsidRPr="00D629F5">
        <w:rPr>
          <w:lang w:val="fr-FR" w:eastAsia="zh-CN"/>
        </w:rPr>
        <w:t xml:space="preserve"> tâches hautement prioritaires pertinentes </w:t>
      </w:r>
      <w:r w:rsidR="00CB5F62" w:rsidRPr="00D629F5">
        <w:rPr>
          <w:lang w:val="fr-FR" w:eastAsia="zh-CN"/>
        </w:rPr>
        <w:t xml:space="preserve">puissent </w:t>
      </w:r>
      <w:r w:rsidR="00C71752" w:rsidRPr="00D629F5">
        <w:rPr>
          <w:lang w:val="fr-FR" w:eastAsia="zh-CN"/>
        </w:rPr>
        <w:t>être terminées avant la 15</w:t>
      </w:r>
      <w:r w:rsidR="00C71752" w:rsidRPr="00D629F5">
        <w:rPr>
          <w:vertAlign w:val="superscript"/>
          <w:lang w:val="fr-FR" w:eastAsia="zh-CN"/>
        </w:rPr>
        <w:t>e</w:t>
      </w:r>
      <w:r w:rsidR="00C71752" w:rsidRPr="00D629F5">
        <w:rPr>
          <w:lang w:val="fr-FR" w:eastAsia="zh-CN"/>
        </w:rPr>
        <w:t> Session de la Conférence des Parties contractantes.</w:t>
      </w:r>
      <w:r w:rsidR="00C61C87" w:rsidRPr="00D629F5">
        <w:rPr>
          <w:lang w:val="fr-FR" w:eastAsia="zh-CN"/>
        </w:rPr>
        <w:t xml:space="preserve"> </w:t>
      </w:r>
    </w:p>
    <w:p w14:paraId="3148CCE5" w14:textId="77777777" w:rsidR="00983832" w:rsidRPr="00D629F5" w:rsidRDefault="00983832" w:rsidP="0041360B">
      <w:pPr>
        <w:ind w:left="432" w:hanging="432"/>
        <w:rPr>
          <w:lang w:val="fr-FR" w:eastAsia="zh-CN"/>
        </w:rPr>
      </w:pPr>
    </w:p>
    <w:p w14:paraId="50E92DC7" w14:textId="036A8410" w:rsidR="00983832" w:rsidRPr="00D629F5" w:rsidRDefault="00C56446" w:rsidP="00905D25">
      <w:pPr>
        <w:ind w:left="432" w:hanging="432"/>
        <w:rPr>
          <w:lang w:val="fr-FR" w:eastAsia="zh-CN"/>
        </w:rPr>
      </w:pPr>
      <w:r w:rsidRPr="00D629F5">
        <w:rPr>
          <w:lang w:val="fr-FR" w:eastAsia="zh-CN"/>
        </w:rPr>
        <w:t>3</w:t>
      </w:r>
      <w:r w:rsidR="00336E88">
        <w:rPr>
          <w:lang w:val="fr-FR" w:eastAsia="zh-CN"/>
        </w:rPr>
        <w:t>6</w:t>
      </w:r>
      <w:r w:rsidR="00F319AD" w:rsidRPr="00D629F5">
        <w:rPr>
          <w:lang w:val="fr-FR" w:eastAsia="zh-CN"/>
        </w:rPr>
        <w:t>.</w:t>
      </w:r>
      <w:r w:rsidR="00F319AD" w:rsidRPr="00D629F5">
        <w:rPr>
          <w:lang w:val="fr-FR" w:eastAsia="zh-CN"/>
        </w:rPr>
        <w:tab/>
      </w:r>
      <w:r w:rsidR="00C71752" w:rsidRPr="00D629F5">
        <w:rPr>
          <w:lang w:val="fr-FR" w:eastAsia="zh-CN"/>
        </w:rPr>
        <w:t xml:space="preserve">Une réunion intersessions en ligne du GEST sera organisée en collaboration avec le Secrétariat. La date de cette réunion sera décidée </w:t>
      </w:r>
      <w:r w:rsidR="00CB5F62" w:rsidRPr="00D629F5">
        <w:rPr>
          <w:lang w:val="fr-FR" w:eastAsia="zh-CN"/>
        </w:rPr>
        <w:t>lors de</w:t>
      </w:r>
      <w:r w:rsidR="00C71752" w:rsidRPr="00D629F5">
        <w:rPr>
          <w:lang w:val="fr-FR" w:eastAsia="zh-CN"/>
        </w:rPr>
        <w:t xml:space="preserve"> la 27</w:t>
      </w:r>
      <w:r w:rsidR="00C71752" w:rsidRPr="00D629F5">
        <w:rPr>
          <w:vertAlign w:val="superscript"/>
          <w:lang w:val="fr-FR" w:eastAsia="zh-CN"/>
        </w:rPr>
        <w:t>e</w:t>
      </w:r>
      <w:r w:rsidR="00C71752" w:rsidRPr="00D629F5">
        <w:rPr>
          <w:lang w:val="fr-FR" w:eastAsia="zh-CN"/>
        </w:rPr>
        <w:t> réunion du GEST.</w:t>
      </w:r>
      <w:r w:rsidR="00936B00" w:rsidRPr="00D629F5">
        <w:rPr>
          <w:lang w:val="fr-FR" w:eastAsia="zh-CN"/>
        </w:rPr>
        <w:t xml:space="preserve"> </w:t>
      </w:r>
    </w:p>
    <w:p w14:paraId="1C8E1B2A" w14:textId="77777777" w:rsidR="0041360B" w:rsidRPr="00D629F5" w:rsidRDefault="0041360B" w:rsidP="00E952E3">
      <w:pPr>
        <w:rPr>
          <w:lang w:val="fr-FR" w:eastAsia="zh-CN"/>
        </w:rPr>
      </w:pPr>
    </w:p>
    <w:p w14:paraId="5D66386D" w14:textId="6E968199" w:rsidR="00FF30E4" w:rsidRDefault="00F319AD" w:rsidP="00FF30E4">
      <w:pPr>
        <w:rPr>
          <w:b/>
          <w:bCs w:val="0"/>
          <w:sz w:val="24"/>
          <w:szCs w:val="24"/>
          <w:lang w:val="fr-FR" w:eastAsia="zh-CN"/>
        </w:rPr>
      </w:pPr>
      <w:r w:rsidRPr="00D629F5">
        <w:rPr>
          <w:b/>
          <w:bCs w:val="0"/>
          <w:lang w:val="fr-FR" w:eastAsia="zh-CN"/>
        </w:rPr>
        <w:br w:type="page"/>
      </w:r>
      <w:bookmarkStart w:id="11" w:name="_Hlk179983037"/>
      <w:r w:rsidR="00FF30E4">
        <w:rPr>
          <w:b/>
          <w:bCs w:val="0"/>
          <w:sz w:val="24"/>
          <w:szCs w:val="24"/>
          <w:lang w:val="fr-FR" w:eastAsia="zh-CN"/>
        </w:rPr>
        <w:t xml:space="preserve">Annexe 1 </w:t>
      </w:r>
    </w:p>
    <w:p w14:paraId="358FA08A" w14:textId="77777777" w:rsidR="00FF30E4" w:rsidRDefault="00FF30E4" w:rsidP="00FF30E4">
      <w:pPr>
        <w:rPr>
          <w:b/>
          <w:bCs w:val="0"/>
          <w:sz w:val="24"/>
          <w:szCs w:val="24"/>
          <w:lang w:val="fr-FR"/>
        </w:rPr>
      </w:pPr>
      <w:r>
        <w:rPr>
          <w:b/>
          <w:bCs w:val="0"/>
          <w:sz w:val="24"/>
          <w:szCs w:val="24"/>
          <w:lang w:val="fr-FR"/>
        </w:rPr>
        <w:t>Priorités du GEST 2026-2028</w:t>
      </w:r>
      <w:bookmarkEnd w:id="11"/>
    </w:p>
    <w:p w14:paraId="620E9A09" w14:textId="77777777" w:rsidR="00FF30E4" w:rsidRDefault="00FF30E4" w:rsidP="00FF30E4">
      <w:pPr>
        <w:rPr>
          <w:sz w:val="24"/>
          <w:szCs w:val="24"/>
          <w:lang w:val="fr-FR"/>
        </w:rPr>
      </w:pPr>
    </w:p>
    <w:p w14:paraId="6538252E" w14:textId="77777777" w:rsidR="00FF30E4" w:rsidRPr="00D629F5" w:rsidRDefault="00FF30E4" w:rsidP="00FF30E4">
      <w:pPr>
        <w:ind w:left="432" w:hanging="432"/>
        <w:rPr>
          <w:lang w:val="fr-FR"/>
        </w:rPr>
      </w:pPr>
      <w:r w:rsidRPr="00D629F5">
        <w:rPr>
          <w:lang w:val="fr-FR"/>
        </w:rPr>
        <w:t>1.</w:t>
      </w:r>
      <w:r w:rsidRPr="00D629F5">
        <w:rPr>
          <w:lang w:val="fr-FR"/>
        </w:rPr>
        <w:tab/>
        <w:t>Dans le cadre d’un processus consultatif entamé par une discussion initiale sur les questions émergentes au cours de la 26</w:t>
      </w:r>
      <w:r w:rsidRPr="00D629F5">
        <w:rPr>
          <w:vertAlign w:val="superscript"/>
          <w:lang w:val="fr-FR"/>
        </w:rPr>
        <w:t>e</w:t>
      </w:r>
      <w:r w:rsidRPr="00D629F5">
        <w:rPr>
          <w:lang w:val="fr-FR"/>
        </w:rPr>
        <w:t> réunion du Groupe d’évaluation scientifique et technique (</w:t>
      </w:r>
      <w:hyperlink r:id="rId11" w:history="1">
        <w:r w:rsidRPr="00D629F5">
          <w:rPr>
            <w:rStyle w:val="Hyperlink"/>
            <w:lang w:val="fr-FR"/>
          </w:rPr>
          <w:t>Annexe 2, SC63.19</w:t>
        </w:r>
      </w:hyperlink>
      <w:r w:rsidRPr="00D629F5">
        <w:rPr>
          <w:lang w:val="fr-FR"/>
        </w:rPr>
        <w:t>), des recommandations pour le prochain plan de travail du GEST 2026-2028 ont été conçues avec les commentaires reçus à la 63</w:t>
      </w:r>
      <w:r w:rsidRPr="00D629F5">
        <w:rPr>
          <w:vertAlign w:val="superscript"/>
          <w:lang w:val="fr-FR"/>
        </w:rPr>
        <w:t>e</w:t>
      </w:r>
      <w:r w:rsidRPr="00D629F5">
        <w:rPr>
          <w:lang w:val="fr-FR"/>
        </w:rPr>
        <w:t> Réunion du Comité permanent (</w:t>
      </w:r>
      <w:hyperlink r:id="rId12" w:history="1">
        <w:r w:rsidRPr="00D629F5">
          <w:rPr>
            <w:rStyle w:val="Hyperlink"/>
            <w:lang w:val="fr-FR"/>
          </w:rPr>
          <w:t>Rapport et Décisions de la 63</w:t>
        </w:r>
        <w:r w:rsidRPr="00D629F5">
          <w:rPr>
            <w:rStyle w:val="Hyperlink"/>
            <w:vertAlign w:val="superscript"/>
            <w:lang w:val="fr-FR"/>
          </w:rPr>
          <w:t>e</w:t>
        </w:r>
        <w:r w:rsidRPr="00D629F5">
          <w:rPr>
            <w:rStyle w:val="Hyperlink"/>
            <w:lang w:val="fr-FR"/>
          </w:rPr>
          <w:t xml:space="preserve"> Réunion du Comité permanent</w:t>
        </w:r>
      </w:hyperlink>
      <w:r w:rsidRPr="00D629F5">
        <w:rPr>
          <w:lang w:val="fr-FR"/>
        </w:rPr>
        <w:t xml:space="preserve">) et des consultations ultérieures avec les membres du GEST, les Correspondants nationaux, les observateurs et les OIP, y compris la troisième réunion intersessions en ligne du GEST. </w:t>
      </w:r>
    </w:p>
    <w:p w14:paraId="35F754B7" w14:textId="77777777" w:rsidR="00FF30E4" w:rsidRPr="00D629F5" w:rsidRDefault="00FF30E4" w:rsidP="00FF30E4">
      <w:pPr>
        <w:rPr>
          <w:lang w:val="fr-FR"/>
        </w:rPr>
      </w:pPr>
    </w:p>
    <w:p w14:paraId="6C79C5BF" w14:textId="77777777" w:rsidR="00FF30E4" w:rsidRPr="00D629F5" w:rsidRDefault="00FF30E4" w:rsidP="00FF30E4">
      <w:pPr>
        <w:rPr>
          <w:b/>
          <w:bCs w:val="0"/>
          <w:lang w:val="fr-FR"/>
        </w:rPr>
      </w:pPr>
      <w:r w:rsidRPr="00D629F5">
        <w:rPr>
          <w:b/>
          <w:bCs w:val="0"/>
          <w:lang w:val="fr-FR"/>
        </w:rPr>
        <w:t>Domaines de travail thématiques (DTT) :</w:t>
      </w:r>
    </w:p>
    <w:p w14:paraId="16A4255A" w14:textId="77777777" w:rsidR="00FF30E4" w:rsidRPr="00D629F5" w:rsidRDefault="00FF30E4" w:rsidP="00FF30E4">
      <w:pPr>
        <w:rPr>
          <w:lang w:val="fr-FR"/>
        </w:rPr>
      </w:pPr>
    </w:p>
    <w:p w14:paraId="3239B601" w14:textId="77777777" w:rsidR="00FF30E4" w:rsidRPr="00D629F5" w:rsidRDefault="00FF30E4" w:rsidP="00FF30E4">
      <w:pPr>
        <w:ind w:left="432" w:hanging="432"/>
        <w:rPr>
          <w:lang w:val="fr-FR"/>
        </w:rPr>
      </w:pPr>
      <w:r w:rsidRPr="00D629F5">
        <w:rPr>
          <w:lang w:val="fr-FR"/>
        </w:rPr>
        <w:t>2.</w:t>
      </w:r>
      <w:r w:rsidRPr="00D629F5">
        <w:rPr>
          <w:lang w:val="fr-FR"/>
        </w:rPr>
        <w:tab/>
        <w:t xml:space="preserve">Par souci de continuité et pour veiller à une approche cohérente, les Domaines de travail thématiques (DTT) de la période triennale écoulée (définis dans la </w:t>
      </w:r>
      <w:hyperlink r:id="rId13" w:history="1">
        <w:r w:rsidRPr="00D629F5">
          <w:rPr>
            <w:rStyle w:val="Hyperlink"/>
            <w:lang w:val="fr-FR"/>
          </w:rPr>
          <w:t>Résolution XIV.14</w:t>
        </w:r>
      </w:hyperlink>
      <w:r w:rsidRPr="00D629F5">
        <w:rPr>
          <w:lang w:val="fr-FR"/>
        </w:rPr>
        <w:t>,</w:t>
      </w:r>
      <w:hyperlink r:id="rId14" w:history="1">
        <w:r w:rsidRPr="00D629F5">
          <w:rPr>
            <w:rStyle w:val="Hyperlink"/>
            <w:lang w:val="fr-FR"/>
          </w:rPr>
          <w:t xml:space="preserve"> Décision intersessions 04</w:t>
        </w:r>
      </w:hyperlink>
      <w:r w:rsidRPr="00D629F5">
        <w:rPr>
          <w:u w:val="single"/>
          <w:lang w:val="fr-FR"/>
        </w:rPr>
        <w:t xml:space="preserve"> </w:t>
      </w:r>
      <w:r w:rsidRPr="00D629F5">
        <w:rPr>
          <w:rStyle w:val="Hyperlink"/>
          <w:lang w:val="fr-FR"/>
        </w:rPr>
        <w:t>pré-SC62</w:t>
      </w:r>
      <w:r w:rsidRPr="00D629F5">
        <w:rPr>
          <w:lang w:val="fr-FR"/>
        </w:rPr>
        <w:t xml:space="preserve"> sur le plan de travail du GEST 2023-2025) ont été conservés : </w:t>
      </w:r>
    </w:p>
    <w:p w14:paraId="6B0802B4" w14:textId="77777777" w:rsidR="00FF30E4" w:rsidRPr="00D629F5" w:rsidRDefault="00FF30E4" w:rsidP="00FF30E4">
      <w:pPr>
        <w:rPr>
          <w:lang w:val="fr-FR"/>
        </w:rPr>
      </w:pPr>
    </w:p>
    <w:p w14:paraId="2D5C9207" w14:textId="77777777" w:rsidR="00FF30E4" w:rsidRPr="00D629F5" w:rsidRDefault="00FF30E4" w:rsidP="00FF30E4">
      <w:pPr>
        <w:tabs>
          <w:tab w:val="left" w:pos="810"/>
        </w:tabs>
        <w:ind w:left="810" w:hanging="810"/>
        <w:rPr>
          <w:lang w:val="fr-FR"/>
        </w:rPr>
      </w:pPr>
      <w:r w:rsidRPr="00D629F5">
        <w:rPr>
          <w:b/>
          <w:lang w:val="fr-FR"/>
        </w:rPr>
        <w:t>DTT 1.</w:t>
      </w:r>
      <w:r w:rsidRPr="00D629F5">
        <w:rPr>
          <w:lang w:val="fr-FR"/>
        </w:rPr>
        <w:tab/>
        <w:t>Les zones humides d’importance internationale, le développement du réseau des sites et l’application des critères.</w:t>
      </w:r>
    </w:p>
    <w:p w14:paraId="535AD9E7" w14:textId="77777777" w:rsidR="00FF30E4" w:rsidRPr="00D629F5" w:rsidRDefault="00FF30E4" w:rsidP="00FF30E4">
      <w:pPr>
        <w:tabs>
          <w:tab w:val="left" w:pos="810"/>
        </w:tabs>
        <w:ind w:left="810" w:hanging="810"/>
        <w:rPr>
          <w:lang w:val="fr-FR"/>
        </w:rPr>
      </w:pPr>
    </w:p>
    <w:tbl>
      <w:tblPr>
        <w:tblStyle w:val="TableGrid"/>
        <w:tblW w:w="0" w:type="auto"/>
        <w:tblInd w:w="805" w:type="dxa"/>
        <w:tblLook w:val="04A0" w:firstRow="1" w:lastRow="0" w:firstColumn="1" w:lastColumn="0" w:noHBand="0" w:noVBand="1"/>
      </w:tblPr>
      <w:tblGrid>
        <w:gridCol w:w="8211"/>
      </w:tblGrid>
      <w:tr w:rsidR="00FF30E4" w:rsidRPr="00D629F5" w14:paraId="744D8C9E" w14:textId="77777777" w:rsidTr="00FF30E4">
        <w:tc>
          <w:tcPr>
            <w:tcW w:w="8545" w:type="dxa"/>
            <w:tcBorders>
              <w:top w:val="single" w:sz="4" w:space="0" w:color="auto"/>
              <w:left w:val="single" w:sz="4" w:space="0" w:color="auto"/>
              <w:bottom w:val="single" w:sz="4" w:space="0" w:color="auto"/>
              <w:right w:val="single" w:sz="4" w:space="0" w:color="auto"/>
            </w:tcBorders>
            <w:hideMark/>
          </w:tcPr>
          <w:p w14:paraId="5F665812" w14:textId="77777777" w:rsidR="00FF30E4" w:rsidRPr="00D629F5" w:rsidRDefault="00FF30E4">
            <w:pPr>
              <w:tabs>
                <w:tab w:val="left" w:pos="810"/>
              </w:tabs>
              <w:rPr>
                <w:lang w:val="fr-FR"/>
              </w:rPr>
            </w:pPr>
            <w:r w:rsidRPr="00D629F5">
              <w:rPr>
                <w:lang w:val="fr-FR"/>
              </w:rPr>
              <w:t xml:space="preserve">Ce domaine de travail est axé sur les informations à fournir pour aider les Parties contractantes à désigner, gérer et surveiller les zones humides d’importance internationale, conformément aux objectifs de la Convention sur les zones humides. Il comprend des orientations sur l’application des critères pour la désignation de sites et l’évaluation de types de zones humides sous-représentés dans le réseau des sites. Le DTT 1 peut aussi fournir des orientations sur les moyens de tenir compte des zones humides d’importance internationale dans les objectifs mondiaux plus généraux pour la biodiversité, en renforçant leur rôle dans la réalisation des objectifs de conservation internationaux. </w:t>
            </w:r>
          </w:p>
        </w:tc>
      </w:tr>
    </w:tbl>
    <w:p w14:paraId="5E1880AF" w14:textId="77777777" w:rsidR="00FF30E4" w:rsidRPr="00D629F5" w:rsidRDefault="00FF30E4" w:rsidP="00FF30E4">
      <w:pPr>
        <w:tabs>
          <w:tab w:val="left" w:pos="810"/>
        </w:tabs>
        <w:ind w:left="810" w:hanging="810"/>
        <w:rPr>
          <w:lang w:val="fr-FR"/>
        </w:rPr>
      </w:pPr>
    </w:p>
    <w:p w14:paraId="6D0D9A01" w14:textId="77777777" w:rsidR="00FF30E4" w:rsidRPr="00D629F5" w:rsidRDefault="00FF30E4" w:rsidP="00FF30E4">
      <w:pPr>
        <w:tabs>
          <w:tab w:val="left" w:pos="810"/>
        </w:tabs>
        <w:ind w:left="810" w:hanging="810"/>
        <w:rPr>
          <w:lang w:val="fr-FR"/>
        </w:rPr>
      </w:pPr>
      <w:r w:rsidRPr="00D629F5">
        <w:rPr>
          <w:b/>
          <w:lang w:val="fr-FR"/>
        </w:rPr>
        <w:t>DTT 2.</w:t>
      </w:r>
      <w:r w:rsidRPr="00D629F5">
        <w:rPr>
          <w:b/>
          <w:lang w:val="fr-FR"/>
        </w:rPr>
        <w:tab/>
      </w:r>
      <w:r w:rsidRPr="00D629F5">
        <w:rPr>
          <w:lang w:val="fr-FR"/>
        </w:rPr>
        <w:t xml:space="preserve">Outils pour l’évaluation, la cartographie et le suivi, et l’élaboration d’inventaires des zones humides. </w:t>
      </w:r>
    </w:p>
    <w:p w14:paraId="3DDA0FCD" w14:textId="77777777" w:rsidR="00FF30E4" w:rsidRPr="00D629F5" w:rsidRDefault="00FF30E4" w:rsidP="00FF30E4">
      <w:pPr>
        <w:tabs>
          <w:tab w:val="left" w:pos="810"/>
        </w:tabs>
        <w:rPr>
          <w:lang w:val="fr-FR"/>
        </w:rPr>
      </w:pPr>
    </w:p>
    <w:tbl>
      <w:tblPr>
        <w:tblStyle w:val="TableGrid"/>
        <w:tblW w:w="0" w:type="auto"/>
        <w:tblInd w:w="805" w:type="dxa"/>
        <w:tblLook w:val="04A0" w:firstRow="1" w:lastRow="0" w:firstColumn="1" w:lastColumn="0" w:noHBand="0" w:noVBand="1"/>
      </w:tblPr>
      <w:tblGrid>
        <w:gridCol w:w="8211"/>
      </w:tblGrid>
      <w:tr w:rsidR="00FF30E4" w:rsidRPr="00D629F5" w14:paraId="2D3B3E42" w14:textId="77777777" w:rsidTr="00FF30E4">
        <w:tc>
          <w:tcPr>
            <w:tcW w:w="8545" w:type="dxa"/>
            <w:tcBorders>
              <w:top w:val="single" w:sz="4" w:space="0" w:color="auto"/>
              <w:left w:val="single" w:sz="4" w:space="0" w:color="auto"/>
              <w:bottom w:val="single" w:sz="4" w:space="0" w:color="auto"/>
              <w:right w:val="single" w:sz="4" w:space="0" w:color="auto"/>
            </w:tcBorders>
            <w:hideMark/>
          </w:tcPr>
          <w:p w14:paraId="719CF3A0" w14:textId="77777777" w:rsidR="00FF30E4" w:rsidRPr="00D629F5" w:rsidRDefault="00FF30E4">
            <w:pPr>
              <w:tabs>
                <w:tab w:val="left" w:pos="810"/>
              </w:tabs>
              <w:rPr>
                <w:lang w:val="fr-FR"/>
              </w:rPr>
            </w:pPr>
            <w:r w:rsidRPr="00D629F5">
              <w:rPr>
                <w:lang w:val="fr-FR"/>
              </w:rPr>
              <w:t>Ce domaine de travail vise à améliorer les outils et méthodologies requis pour l’évaluation, la cartographie et le suivi des zones humides, y compris l’évaluation des zones humides en fonction du carbone et le suivi de la biodiversité. Le DTT 2 explorera des techniques innovantes pour rationaliser les inventaires et les rapports sur les zones humides, notamment la télédétection et l’observation de la Terre. Les mesures à venir veilleront à ce que ces outils soient accessibles et adaptables, permettant aux Parties contractantes de remplir leurs obligations en matière d’établissement de rapport dans le cadre de la Convention et d’autres cadres internationaux tenant compte des zones humides.</w:t>
            </w:r>
          </w:p>
        </w:tc>
      </w:tr>
    </w:tbl>
    <w:p w14:paraId="54D02AA4" w14:textId="77777777" w:rsidR="00FF30E4" w:rsidRPr="00D629F5" w:rsidRDefault="00FF30E4" w:rsidP="00FF30E4">
      <w:pPr>
        <w:tabs>
          <w:tab w:val="left" w:pos="810"/>
        </w:tabs>
        <w:rPr>
          <w:lang w:val="fr-FR"/>
        </w:rPr>
      </w:pPr>
    </w:p>
    <w:p w14:paraId="5100A60D" w14:textId="77777777" w:rsidR="00FF30E4" w:rsidRPr="00D629F5" w:rsidRDefault="00FF30E4" w:rsidP="00FF30E4">
      <w:pPr>
        <w:keepNext/>
        <w:keepLines/>
        <w:tabs>
          <w:tab w:val="left" w:pos="810"/>
        </w:tabs>
        <w:ind w:left="810" w:hanging="810"/>
        <w:rPr>
          <w:lang w:val="fr-FR"/>
        </w:rPr>
      </w:pPr>
      <w:r w:rsidRPr="00D629F5">
        <w:rPr>
          <w:b/>
          <w:lang w:val="fr-FR"/>
        </w:rPr>
        <w:t>DTT 3.</w:t>
      </w:r>
      <w:r w:rsidRPr="00D629F5">
        <w:rPr>
          <w:b/>
          <w:lang w:val="fr-FR"/>
        </w:rPr>
        <w:tab/>
      </w:r>
      <w:r w:rsidRPr="00D629F5">
        <w:rPr>
          <w:lang w:val="fr-FR"/>
        </w:rPr>
        <w:t xml:space="preserve">Les pressions directes et liées aux changements climatiques sur les zones humides, les effets et les réponses. </w:t>
      </w:r>
    </w:p>
    <w:p w14:paraId="20EF1DB6" w14:textId="77777777" w:rsidR="00FF30E4" w:rsidRPr="00D629F5" w:rsidRDefault="00FF30E4" w:rsidP="00FF30E4">
      <w:pPr>
        <w:keepNext/>
        <w:keepLines/>
        <w:tabs>
          <w:tab w:val="left" w:pos="810"/>
        </w:tabs>
        <w:rPr>
          <w:lang w:val="fr-FR"/>
        </w:rPr>
      </w:pPr>
    </w:p>
    <w:tbl>
      <w:tblPr>
        <w:tblStyle w:val="TableGrid"/>
        <w:tblW w:w="0" w:type="auto"/>
        <w:tblInd w:w="805" w:type="dxa"/>
        <w:tblLook w:val="04A0" w:firstRow="1" w:lastRow="0" w:firstColumn="1" w:lastColumn="0" w:noHBand="0" w:noVBand="1"/>
      </w:tblPr>
      <w:tblGrid>
        <w:gridCol w:w="8211"/>
      </w:tblGrid>
      <w:tr w:rsidR="00FF30E4" w:rsidRPr="00D629F5" w14:paraId="712A1757" w14:textId="77777777" w:rsidTr="00FF30E4">
        <w:tc>
          <w:tcPr>
            <w:tcW w:w="8545" w:type="dxa"/>
            <w:tcBorders>
              <w:top w:val="single" w:sz="4" w:space="0" w:color="auto"/>
              <w:left w:val="single" w:sz="4" w:space="0" w:color="auto"/>
              <w:bottom w:val="single" w:sz="4" w:space="0" w:color="auto"/>
              <w:right w:val="single" w:sz="4" w:space="0" w:color="auto"/>
            </w:tcBorders>
            <w:hideMark/>
          </w:tcPr>
          <w:p w14:paraId="1053928E" w14:textId="77777777" w:rsidR="00FF30E4" w:rsidRPr="00D629F5" w:rsidRDefault="00FF30E4">
            <w:pPr>
              <w:tabs>
                <w:tab w:val="left" w:pos="810"/>
              </w:tabs>
              <w:rPr>
                <w:lang w:val="fr-FR"/>
              </w:rPr>
            </w:pPr>
            <w:r w:rsidRPr="00D629F5">
              <w:rPr>
                <w:color w:val="000000"/>
                <w:lang w:val="fr-FR"/>
              </w:rPr>
              <w:t>Ce domaine de travail fournit des orientations scientifiques et techniques sur les pressions essentielles qui s’exercent sur les zones humides, notamment les impacts actuels et prévus des changements climatiques, en prenant appui sur les dernières évaluations internationales. Le DTT 3 vise à fournir aux Parties contractantes des informations qui leur permettront de prendre des mesures d’adaptation et de renforcement de la résilience des zones humides, de promouvoir des solutions fondées sur la nature ou des approches par écosystème pour protéger les services écosystémiques face à l’évolution des conditions climatiques et d’autres pressions directes, notamment l’expansion de l’agriculture, la pollution et le développement urbain.</w:t>
            </w:r>
          </w:p>
        </w:tc>
      </w:tr>
    </w:tbl>
    <w:p w14:paraId="76CE68ED" w14:textId="77777777" w:rsidR="00FF30E4" w:rsidRPr="00D629F5" w:rsidRDefault="00FF30E4" w:rsidP="00FF30E4">
      <w:pPr>
        <w:tabs>
          <w:tab w:val="left" w:pos="810"/>
        </w:tabs>
        <w:rPr>
          <w:lang w:val="fr-FR"/>
        </w:rPr>
      </w:pPr>
    </w:p>
    <w:p w14:paraId="679C43E8" w14:textId="77777777" w:rsidR="00FF30E4" w:rsidRPr="00D629F5" w:rsidRDefault="00FF30E4" w:rsidP="00FF30E4">
      <w:pPr>
        <w:keepNext/>
        <w:tabs>
          <w:tab w:val="left" w:pos="810"/>
        </w:tabs>
        <w:ind w:left="810" w:hanging="810"/>
        <w:rPr>
          <w:lang w:val="fr-FR"/>
        </w:rPr>
      </w:pPr>
      <w:r w:rsidRPr="00D629F5">
        <w:rPr>
          <w:b/>
          <w:lang w:val="fr-FR"/>
        </w:rPr>
        <w:t>DTT 4.</w:t>
      </w:r>
      <w:r w:rsidRPr="00D629F5">
        <w:rPr>
          <w:b/>
          <w:lang w:val="fr-FR"/>
        </w:rPr>
        <w:tab/>
      </w:r>
      <w:r w:rsidRPr="00D629F5">
        <w:rPr>
          <w:lang w:val="fr-FR"/>
        </w:rPr>
        <w:t xml:space="preserve">L’utilisation rationnelle, la gestion durable et la restauration des zones humides dans le paysage terrestre et marin général. </w:t>
      </w:r>
    </w:p>
    <w:p w14:paraId="70E60634" w14:textId="77777777" w:rsidR="00FF30E4" w:rsidRPr="00D629F5" w:rsidRDefault="00FF30E4" w:rsidP="00FF30E4">
      <w:pPr>
        <w:keepNext/>
        <w:tabs>
          <w:tab w:val="left" w:pos="810"/>
        </w:tabs>
        <w:rPr>
          <w:lang w:val="fr-FR"/>
        </w:rPr>
      </w:pPr>
    </w:p>
    <w:tbl>
      <w:tblPr>
        <w:tblStyle w:val="TableGrid"/>
        <w:tblW w:w="0" w:type="auto"/>
        <w:tblInd w:w="805" w:type="dxa"/>
        <w:tblLook w:val="04A0" w:firstRow="1" w:lastRow="0" w:firstColumn="1" w:lastColumn="0" w:noHBand="0" w:noVBand="1"/>
      </w:tblPr>
      <w:tblGrid>
        <w:gridCol w:w="8211"/>
      </w:tblGrid>
      <w:tr w:rsidR="00FF30E4" w:rsidRPr="00D629F5" w14:paraId="7431346F" w14:textId="77777777" w:rsidTr="00FF30E4">
        <w:tc>
          <w:tcPr>
            <w:tcW w:w="8545" w:type="dxa"/>
            <w:tcBorders>
              <w:top w:val="single" w:sz="4" w:space="0" w:color="auto"/>
              <w:left w:val="single" w:sz="4" w:space="0" w:color="auto"/>
              <w:bottom w:val="single" w:sz="4" w:space="0" w:color="auto"/>
              <w:right w:val="single" w:sz="4" w:space="0" w:color="auto"/>
            </w:tcBorders>
            <w:hideMark/>
          </w:tcPr>
          <w:p w14:paraId="4388DA73" w14:textId="77777777" w:rsidR="00FF30E4" w:rsidRPr="00D629F5" w:rsidRDefault="00FF30E4">
            <w:pPr>
              <w:tabs>
                <w:tab w:val="left" w:pos="810"/>
              </w:tabs>
              <w:rPr>
                <w:lang w:val="fr-FR"/>
              </w:rPr>
            </w:pPr>
            <w:r w:rsidRPr="00D629F5">
              <w:rPr>
                <w:color w:val="000000"/>
                <w:lang w:val="fr-FR"/>
              </w:rPr>
              <w:t>Ce domaine de travail aidera les Parties contractantes à mettre en œuvre des mesures qui encouragent l’utilisation rationnelle et la gestion durable des zones humides ainsi que leur restauration. Le DTT 4 comprend l’évaluation d’options pour des changements transformateurs afin de parvenir à l’utilisation rationnelle des zones humides parallèlement aux Objectifs de développement durable et d’aider à faire une place aux zones humides dans les stratégies nationales de développement. Les futures activités comprennent des orientations visant à renforcer le rôle des zones humides en matière de réduction des risques de catastrophe, promouvoir la sécurité alimentaire et permettre la restauration des zones humides.</w:t>
            </w:r>
          </w:p>
        </w:tc>
      </w:tr>
    </w:tbl>
    <w:p w14:paraId="1EB56B2E" w14:textId="77777777" w:rsidR="00FF30E4" w:rsidRPr="00D629F5" w:rsidRDefault="00FF30E4" w:rsidP="00FF30E4">
      <w:pPr>
        <w:tabs>
          <w:tab w:val="left" w:pos="810"/>
        </w:tabs>
        <w:rPr>
          <w:lang w:val="fr-FR"/>
        </w:rPr>
      </w:pPr>
    </w:p>
    <w:p w14:paraId="30DD8A12" w14:textId="77777777" w:rsidR="00FF30E4" w:rsidRPr="00D629F5" w:rsidRDefault="00FF30E4" w:rsidP="00FF30E4">
      <w:pPr>
        <w:tabs>
          <w:tab w:val="left" w:pos="810"/>
        </w:tabs>
        <w:ind w:left="810" w:hanging="810"/>
        <w:rPr>
          <w:lang w:val="fr-FR"/>
        </w:rPr>
      </w:pPr>
      <w:r w:rsidRPr="00D629F5">
        <w:rPr>
          <w:b/>
          <w:lang w:val="fr-FR"/>
        </w:rPr>
        <w:t>DTT 5.</w:t>
      </w:r>
      <w:r w:rsidRPr="00D629F5">
        <w:rPr>
          <w:lang w:val="fr-FR"/>
        </w:rPr>
        <w:tab/>
        <w:t>Questions transversales, fonctions d’appui et synergies avec d’autres accords multilatéraux sur l’environnement (AME).</w:t>
      </w:r>
    </w:p>
    <w:p w14:paraId="3E069D85" w14:textId="77777777" w:rsidR="00FF30E4" w:rsidRPr="00D629F5" w:rsidRDefault="00FF30E4" w:rsidP="00FF30E4">
      <w:pPr>
        <w:tabs>
          <w:tab w:val="left" w:pos="810"/>
        </w:tabs>
        <w:ind w:left="810" w:hanging="810"/>
        <w:rPr>
          <w:lang w:val="fr-FR"/>
        </w:rPr>
      </w:pPr>
    </w:p>
    <w:tbl>
      <w:tblPr>
        <w:tblStyle w:val="TableGrid"/>
        <w:tblW w:w="0" w:type="auto"/>
        <w:tblInd w:w="805" w:type="dxa"/>
        <w:tblLook w:val="04A0" w:firstRow="1" w:lastRow="0" w:firstColumn="1" w:lastColumn="0" w:noHBand="0" w:noVBand="1"/>
      </w:tblPr>
      <w:tblGrid>
        <w:gridCol w:w="8211"/>
      </w:tblGrid>
      <w:tr w:rsidR="00FF30E4" w:rsidRPr="00D629F5" w14:paraId="0B4D02A3" w14:textId="77777777" w:rsidTr="00FF30E4">
        <w:tc>
          <w:tcPr>
            <w:tcW w:w="8545" w:type="dxa"/>
            <w:tcBorders>
              <w:top w:val="single" w:sz="4" w:space="0" w:color="auto"/>
              <w:left w:val="single" w:sz="4" w:space="0" w:color="auto"/>
              <w:bottom w:val="single" w:sz="4" w:space="0" w:color="auto"/>
              <w:right w:val="single" w:sz="4" w:space="0" w:color="auto"/>
            </w:tcBorders>
            <w:hideMark/>
          </w:tcPr>
          <w:p w14:paraId="1ED5CE03" w14:textId="77777777" w:rsidR="00FF30E4" w:rsidRPr="00D629F5" w:rsidRDefault="00FF30E4">
            <w:pPr>
              <w:tabs>
                <w:tab w:val="left" w:pos="810"/>
              </w:tabs>
              <w:rPr>
                <w:lang w:val="fr-FR"/>
              </w:rPr>
            </w:pPr>
            <w:r w:rsidRPr="00D629F5">
              <w:rPr>
                <w:color w:val="000000"/>
                <w:lang w:val="fr-FR"/>
              </w:rPr>
              <w:t xml:space="preserve">Ce domaine de travail concerne les questions transectorielles qui ont un effet sur la conservation des zones humides et les rapports sur l’état mondial des zones humides (Perspectives mondiales des zones humides) ; il fournira des orientations techniques afin de faciliter les synergies avec d’autres accords multilatéraux sur l’environnement (AME). Le DTT5 fournira des informations qui aideront les Parties contractantes à appliquer des approches efficaces en matière de conservation, restauration et utilisation rationnelle des zones humides et encouragera l’adoption de mécanismes d’établissement de rapports harmonisés avec ceux de différents cadres internationaux, notamment les ODD et le CMB-KM. </w:t>
            </w:r>
          </w:p>
        </w:tc>
      </w:tr>
    </w:tbl>
    <w:p w14:paraId="246AEDE0" w14:textId="77777777" w:rsidR="00FF30E4" w:rsidRPr="00D629F5" w:rsidRDefault="00FF30E4" w:rsidP="00FF30E4">
      <w:pPr>
        <w:rPr>
          <w:lang w:val="fr-FR"/>
        </w:rPr>
      </w:pPr>
    </w:p>
    <w:p w14:paraId="353468DE" w14:textId="77777777" w:rsidR="00FF30E4" w:rsidRPr="00D629F5" w:rsidRDefault="00FF30E4" w:rsidP="00FF30E4">
      <w:pPr>
        <w:rPr>
          <w:lang w:val="fr-FR"/>
        </w:rPr>
      </w:pPr>
    </w:p>
    <w:p w14:paraId="36A7D2DB" w14:textId="77777777" w:rsidR="00FF30E4" w:rsidRPr="00D629F5" w:rsidRDefault="00FF30E4" w:rsidP="00FF30E4">
      <w:pPr>
        <w:rPr>
          <w:lang w:val="fr-FR"/>
        </w:rPr>
        <w:sectPr w:rsidR="00FF30E4" w:rsidRPr="00D629F5" w:rsidSect="00D629F5">
          <w:footerReference w:type="default" r:id="rId15"/>
          <w:pgSz w:w="11906" w:h="16838"/>
          <w:pgMar w:top="1440" w:right="1440" w:bottom="1440" w:left="1440" w:header="720" w:footer="720" w:gutter="0"/>
          <w:cols w:space="720"/>
          <w:titlePg/>
          <w:docGrid w:linePitch="299"/>
        </w:sectPr>
      </w:pPr>
    </w:p>
    <w:p w14:paraId="5F50FCF7" w14:textId="77777777" w:rsidR="00FF30E4" w:rsidRPr="00D629F5" w:rsidRDefault="00FF30E4" w:rsidP="00FF30E4">
      <w:pPr>
        <w:rPr>
          <w:b/>
          <w:lang w:val="fr-FR"/>
        </w:rPr>
      </w:pPr>
      <w:r w:rsidRPr="00D629F5">
        <w:rPr>
          <w:b/>
          <w:lang w:val="fr-FR"/>
        </w:rPr>
        <w:t xml:space="preserve">Tâches prioritaires du GEST pour la période triennale 2026-2028 </w:t>
      </w:r>
    </w:p>
    <w:p w14:paraId="41056EAA" w14:textId="77777777" w:rsidR="00FF30E4" w:rsidRPr="00D629F5" w:rsidRDefault="00FF30E4" w:rsidP="00FF30E4">
      <w:pPr>
        <w:ind w:left="432" w:hanging="432"/>
        <w:rPr>
          <w:lang w:val="fr-FR"/>
        </w:rPr>
      </w:pPr>
    </w:p>
    <w:p w14:paraId="08734EEC" w14:textId="77777777" w:rsidR="00FF30E4" w:rsidRPr="00D629F5" w:rsidRDefault="00FF30E4" w:rsidP="00FF30E4">
      <w:pPr>
        <w:ind w:left="432" w:hanging="432"/>
        <w:rPr>
          <w:lang w:val="fr-FR"/>
        </w:rPr>
      </w:pPr>
      <w:r w:rsidRPr="00D629F5">
        <w:rPr>
          <w:lang w:val="fr-FR"/>
        </w:rPr>
        <w:t>3.</w:t>
      </w:r>
      <w:r w:rsidRPr="00D629F5">
        <w:rPr>
          <w:lang w:val="fr-FR"/>
        </w:rPr>
        <w:tab/>
        <w:t>Chaque tâche du GEST est assignée au DTT le plus pertinent même si certaines tâches contribuent probablement à l’exécution des travaux de multiples DTT. Le(s) type(s) probable(s) de résultat(s)/produit(s) figurent également pour chaque tâche mais pourraient changer à mesure que les travaux progressent et que le champ d’action se précise.</w:t>
      </w:r>
    </w:p>
    <w:p w14:paraId="4AA75B12" w14:textId="77777777" w:rsidR="00FF30E4" w:rsidRDefault="00FF30E4" w:rsidP="00FF30E4">
      <w:pPr>
        <w:rPr>
          <w:sz w:val="24"/>
          <w:szCs w:val="24"/>
          <w:lang w:val="fr-FR"/>
        </w:rPr>
      </w:pPr>
    </w:p>
    <w:tbl>
      <w:tblPr>
        <w:tblW w:w="0" w:type="auto"/>
        <w:tblLayout w:type="fixed"/>
        <w:tblLook w:val="0400" w:firstRow="0" w:lastRow="0" w:firstColumn="0" w:lastColumn="0" w:noHBand="0" w:noVBand="1"/>
      </w:tblPr>
      <w:tblGrid>
        <w:gridCol w:w="2967"/>
        <w:gridCol w:w="5663"/>
        <w:gridCol w:w="7"/>
        <w:gridCol w:w="1418"/>
        <w:gridCol w:w="1913"/>
        <w:gridCol w:w="1914"/>
      </w:tblGrid>
      <w:tr w:rsidR="00FF30E4" w:rsidRPr="00D629F5" w14:paraId="3DF4637F" w14:textId="77777777" w:rsidTr="00FF30E4">
        <w:trPr>
          <w:tblHead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15DA93E" w14:textId="77777777" w:rsidR="00FF30E4" w:rsidRPr="00D629F5" w:rsidRDefault="00FF30E4">
            <w:pPr>
              <w:spacing w:before="60" w:after="60" w:line="256" w:lineRule="auto"/>
              <w:rPr>
                <w:b/>
                <w:color w:val="000000"/>
                <w:lang w:val="fr-FR"/>
              </w:rPr>
            </w:pPr>
            <w:r w:rsidRPr="00D629F5">
              <w:rPr>
                <w:b/>
                <w:color w:val="000000"/>
                <w:lang w:val="fr-FR"/>
              </w:rPr>
              <w:t>Tâche du GEST</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13271FC" w14:textId="77777777" w:rsidR="00FF30E4" w:rsidRPr="00D629F5" w:rsidRDefault="00FF30E4">
            <w:pPr>
              <w:spacing w:before="60" w:after="60" w:line="256" w:lineRule="auto"/>
              <w:rPr>
                <w:b/>
                <w:lang w:val="fr-FR"/>
              </w:rPr>
            </w:pPr>
            <w:r w:rsidRPr="00D629F5">
              <w:rPr>
                <w:b/>
                <w:lang w:val="fr-FR"/>
              </w:rPr>
              <w:t>Description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74BAECF" w14:textId="77777777" w:rsidR="00FF30E4" w:rsidRPr="00D629F5" w:rsidRDefault="00FF30E4">
            <w:pPr>
              <w:spacing w:before="60" w:after="60" w:line="256" w:lineRule="auto"/>
              <w:rPr>
                <w:b/>
                <w:color w:val="000000"/>
                <w:lang w:val="fr-FR"/>
              </w:rPr>
            </w:pPr>
            <w:r w:rsidRPr="00D629F5">
              <w:rPr>
                <w:b/>
                <w:color w:val="000000"/>
                <w:lang w:val="fr-FR"/>
              </w:rPr>
              <w:t>Calendrier</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D7E0202" w14:textId="77777777" w:rsidR="00FF30E4" w:rsidRPr="00D629F5" w:rsidRDefault="00FF30E4">
            <w:pPr>
              <w:spacing w:before="60" w:after="60" w:line="256" w:lineRule="auto"/>
              <w:rPr>
                <w:lang w:val="fr-FR"/>
              </w:rPr>
            </w:pPr>
            <w:r w:rsidRPr="00D629F5">
              <w:rPr>
                <w:b/>
                <w:color w:val="000000"/>
                <w:lang w:val="fr-FR"/>
              </w:rPr>
              <w:t>Résultat(s)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1FD327" w14:textId="77777777" w:rsidR="00FF30E4" w:rsidRPr="00D629F5" w:rsidRDefault="00FF30E4">
            <w:pPr>
              <w:spacing w:before="60" w:after="60" w:line="256" w:lineRule="auto"/>
              <w:rPr>
                <w:b/>
                <w:color w:val="000000"/>
                <w:lang w:val="fr-FR"/>
              </w:rPr>
            </w:pPr>
            <w:r w:rsidRPr="00D629F5">
              <w:rPr>
                <w:b/>
                <w:color w:val="000000"/>
                <w:lang w:val="fr-FR"/>
              </w:rPr>
              <w:t>Mandat(s)</w:t>
            </w:r>
          </w:p>
        </w:tc>
      </w:tr>
      <w:tr w:rsidR="00FF30E4" w:rsidRPr="00D629F5" w14:paraId="2167B203" w14:textId="77777777" w:rsidTr="00FF30E4">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399E15E" w14:textId="77777777" w:rsidR="00FF30E4" w:rsidRPr="00D629F5" w:rsidRDefault="00FF30E4">
            <w:pPr>
              <w:spacing w:before="60" w:after="60" w:line="256" w:lineRule="auto"/>
              <w:rPr>
                <w:color w:val="000000" w:themeColor="text1"/>
                <w:lang w:val="fr-FR"/>
              </w:rPr>
            </w:pPr>
            <w:r w:rsidRPr="00D629F5">
              <w:rPr>
                <w:b/>
                <w:color w:val="000000" w:themeColor="text1"/>
                <w:lang w:val="fr-FR"/>
              </w:rPr>
              <w:t>DTT 1 : Les zones humides d’importance internationale, le développement du réseau des sites et l’application des critères.</w:t>
            </w:r>
          </w:p>
        </w:tc>
      </w:tr>
      <w:tr w:rsidR="00FF30E4" w:rsidRPr="00D629F5" w14:paraId="38FFCAF8" w14:textId="77777777" w:rsidTr="00FF30E4">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24CEEB" w14:textId="77777777" w:rsidR="00FF30E4" w:rsidRPr="00D629F5" w:rsidRDefault="00FF30E4">
            <w:pPr>
              <w:spacing w:before="60" w:after="60" w:line="256" w:lineRule="auto"/>
              <w:rPr>
                <w:color w:val="000000" w:themeColor="text1"/>
                <w:lang w:val="fr-FR"/>
              </w:rPr>
            </w:pPr>
            <w:r w:rsidRPr="00D629F5">
              <w:rPr>
                <w:b/>
                <w:bCs w:val="0"/>
                <w:color w:val="000000" w:themeColor="text1"/>
                <w:lang w:val="fr-FR"/>
              </w:rPr>
              <w:t>Tâche 1.1.</w:t>
            </w:r>
            <w:r w:rsidRPr="00D629F5">
              <w:rPr>
                <w:color w:val="000000" w:themeColor="text1"/>
                <w:lang w:val="fr-FR"/>
              </w:rPr>
              <w:t xml:space="preserve"> Appui scientifique et technique pour un suivi et des rapports efficaces sur les caractéristiques écologiques des zones humides d’importance internationale dans la Fiche descriptive Ramsar (FDR).</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2DF31" w14:textId="77777777" w:rsidR="00FF30E4" w:rsidRPr="00D629F5" w:rsidRDefault="00FF30E4">
            <w:pPr>
              <w:spacing w:before="60" w:after="60" w:line="256" w:lineRule="auto"/>
              <w:rPr>
                <w:lang w:val="fr-FR"/>
              </w:rPr>
            </w:pPr>
            <w:r w:rsidRPr="00D629F5">
              <w:rPr>
                <w:lang w:val="fr-FR"/>
              </w:rPr>
              <w:t>La tâche 1.1. mettra à jour les orientations sur l’évaluation et les rapports concernant les caractéristiques écologiques (et les changements dans les caractéristiques écologiques) des zones humides d’importance internationale (Sites Ramsar).</w:t>
            </w:r>
          </w:p>
          <w:p w14:paraId="49D94220" w14:textId="77777777" w:rsidR="00FF30E4" w:rsidRPr="00D629F5" w:rsidRDefault="00FF30E4">
            <w:pPr>
              <w:spacing w:before="60" w:after="60" w:line="256" w:lineRule="auto"/>
              <w:rPr>
                <w:lang w:val="fr-FR"/>
              </w:rPr>
            </w:pPr>
          </w:p>
          <w:p w14:paraId="2ECAB20C" w14:textId="77777777" w:rsidR="00FF30E4" w:rsidRPr="00D629F5" w:rsidRDefault="00FF30E4">
            <w:pPr>
              <w:spacing w:before="60" w:after="60" w:line="256" w:lineRule="auto"/>
              <w:rPr>
                <w:lang w:val="fr-FR"/>
              </w:rPr>
            </w:pPr>
            <w:r w:rsidRPr="00D629F5">
              <w:rPr>
                <w:lang w:val="fr-FR"/>
              </w:rPr>
              <w:t xml:space="preserve">Dans ce domaine, seront également examinées toutes les demandes supplémentaires du Groupe de travail sur la FDR, sous réserve de ressources disponibles.  </w:t>
            </w:r>
          </w:p>
        </w:tc>
        <w:tc>
          <w:tcPr>
            <w:tcW w:w="1418" w:type="dxa"/>
            <w:tcBorders>
              <w:top w:val="nil"/>
              <w:left w:val="single" w:sz="8" w:space="0" w:color="000000" w:themeColor="text1"/>
              <w:bottom w:val="single" w:sz="8" w:space="0" w:color="000000" w:themeColor="text1"/>
              <w:right w:val="single" w:sz="8" w:space="0" w:color="000000" w:themeColor="text1"/>
            </w:tcBorders>
            <w:hideMark/>
          </w:tcPr>
          <w:p w14:paraId="311D49D5" w14:textId="77777777" w:rsidR="00FF30E4" w:rsidRPr="00D629F5" w:rsidRDefault="00FF30E4">
            <w:pPr>
              <w:spacing w:before="60" w:after="60" w:line="256" w:lineRule="auto"/>
              <w:rPr>
                <w:lang w:val="fr-FR"/>
              </w:rPr>
            </w:pPr>
            <w:r w:rsidRPr="00D629F5">
              <w:rPr>
                <w:lang w:val="fr-FR"/>
              </w:rPr>
              <w:t>2026-2028</w:t>
            </w:r>
          </w:p>
        </w:tc>
        <w:tc>
          <w:tcPr>
            <w:tcW w:w="1913" w:type="dxa"/>
            <w:tcBorders>
              <w:top w:val="nil"/>
              <w:left w:val="single" w:sz="8" w:space="0" w:color="000000" w:themeColor="text1"/>
              <w:bottom w:val="single" w:sz="8" w:space="0" w:color="000000" w:themeColor="text1"/>
              <w:right w:val="single" w:sz="8" w:space="0" w:color="000000" w:themeColor="text1"/>
            </w:tcBorders>
            <w:hideMark/>
          </w:tcPr>
          <w:p w14:paraId="4BA63131" w14:textId="77777777" w:rsidR="00FF30E4" w:rsidRPr="00D629F5" w:rsidRDefault="00FF30E4">
            <w:pPr>
              <w:spacing w:before="60" w:after="60" w:line="256" w:lineRule="auto"/>
              <w:rPr>
                <w:lang w:val="fr-FR"/>
              </w:rPr>
            </w:pPr>
            <w:r w:rsidRPr="00D629F5">
              <w:rPr>
                <w:lang w:val="fr-FR"/>
              </w:rPr>
              <w:t xml:space="preserve">Révisions au Cadre stratégique et à la FDR. </w:t>
            </w:r>
          </w:p>
        </w:tc>
        <w:tc>
          <w:tcPr>
            <w:tcW w:w="1914" w:type="dxa"/>
            <w:tcBorders>
              <w:top w:val="nil"/>
              <w:left w:val="single" w:sz="8" w:space="0" w:color="000000" w:themeColor="text1"/>
              <w:bottom w:val="single" w:sz="8" w:space="0" w:color="000000" w:themeColor="text1"/>
              <w:right w:val="single" w:sz="8" w:space="0" w:color="000000" w:themeColor="text1"/>
            </w:tcBorders>
            <w:hideMark/>
          </w:tcPr>
          <w:p w14:paraId="41BA0336" w14:textId="77777777" w:rsidR="00FF30E4" w:rsidRPr="00D629F5" w:rsidRDefault="00FF30E4">
            <w:pPr>
              <w:spacing w:before="60" w:after="60" w:line="256" w:lineRule="auto"/>
              <w:rPr>
                <w:lang w:val="fr-FR"/>
              </w:rPr>
            </w:pPr>
            <w:r w:rsidRPr="00D629F5">
              <w:rPr>
                <w:lang w:val="fr-FR"/>
              </w:rPr>
              <w:t>Doc. SC63.19 (par. 19-21 &amp; Annexe 2).</w:t>
            </w:r>
          </w:p>
          <w:p w14:paraId="181A035D" w14:textId="77777777" w:rsidR="00FF30E4" w:rsidRPr="00D629F5" w:rsidRDefault="00FF30E4">
            <w:pPr>
              <w:spacing w:before="60" w:after="60" w:line="256" w:lineRule="auto"/>
              <w:rPr>
                <w:lang w:val="fr-FR"/>
              </w:rPr>
            </w:pPr>
            <w:r w:rsidRPr="00D629F5">
              <w:rPr>
                <w:lang w:val="fr-FR"/>
              </w:rPr>
              <w:t>Rapport et Décisions de la 63</w:t>
            </w:r>
            <w:r w:rsidRPr="00D629F5">
              <w:rPr>
                <w:vertAlign w:val="superscript"/>
                <w:lang w:val="fr-FR"/>
              </w:rPr>
              <w:t>e</w:t>
            </w:r>
            <w:r w:rsidRPr="00D629F5">
              <w:rPr>
                <w:lang w:val="fr-FR"/>
              </w:rPr>
              <w:t xml:space="preserve"> Réunion du Comité permanent.</w:t>
            </w:r>
          </w:p>
        </w:tc>
      </w:tr>
      <w:tr w:rsidR="00FF30E4" w:rsidRPr="00D629F5" w14:paraId="1DD6D1B0" w14:textId="77777777" w:rsidTr="00FF30E4">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81A712C" w14:textId="77777777" w:rsidR="00FF30E4" w:rsidRPr="00D629F5" w:rsidRDefault="00FF30E4">
            <w:pPr>
              <w:spacing w:before="60" w:after="60" w:line="256" w:lineRule="auto"/>
              <w:rPr>
                <w:color w:val="000000" w:themeColor="text1"/>
                <w:lang w:val="fr-FR"/>
              </w:rPr>
            </w:pPr>
            <w:r w:rsidRPr="00D629F5">
              <w:rPr>
                <w:b/>
                <w:bCs w:val="0"/>
                <w:color w:val="000000" w:themeColor="text1"/>
                <w:lang w:val="fr-FR"/>
              </w:rPr>
              <w:t>Tâche 1.2.</w:t>
            </w:r>
            <w:r w:rsidRPr="00D629F5">
              <w:rPr>
                <w:color w:val="000000" w:themeColor="text1"/>
                <w:lang w:val="fr-FR"/>
              </w:rPr>
              <w:t xml:space="preserve"> Évaluation mondiale des lacunes dans le réseau de zones humides d’importance internationale et synergies avec les objectifs pour le climat mondial, la biodiversité et le développement durable.</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748019" w14:textId="77777777" w:rsidR="00FF30E4" w:rsidRPr="00D629F5" w:rsidRDefault="00FF30E4">
            <w:pPr>
              <w:spacing w:before="60" w:after="60" w:line="256" w:lineRule="auto"/>
              <w:rPr>
                <w:lang w:val="fr-FR"/>
              </w:rPr>
            </w:pPr>
            <w:r w:rsidRPr="00D629F5">
              <w:rPr>
                <w:lang w:val="fr-FR"/>
              </w:rPr>
              <w:t>Dans le cadre de la tâche 1.2. aura lieu une évaluation mondiale permettant d’identifier les types de zones humides sous-représentés, comprenant la biodiversité associée et les habitats à l’échelle de régions biogéographiques (y compris dans les zones humides transfrontières), en s’appuyant sur les détails relatifs aux sites consignés par le Service d’information sur les Sites Ramsar (SISR) et d’autres sources pertinentes, afin de mettre en évidence, pour les Parties contractantes, les possibilités d’améliorer la désignation de zones humides d’importance internationale en fonction des objectifs relatifs à la biodiversité, au climat et au développement durable.</w:t>
            </w:r>
          </w:p>
        </w:tc>
        <w:tc>
          <w:tcPr>
            <w:tcW w:w="1418" w:type="dxa"/>
            <w:tcBorders>
              <w:top w:val="nil"/>
              <w:left w:val="single" w:sz="8" w:space="0" w:color="000000" w:themeColor="text1"/>
              <w:bottom w:val="single" w:sz="8" w:space="0" w:color="000000" w:themeColor="text1"/>
              <w:right w:val="single" w:sz="8" w:space="0" w:color="000000" w:themeColor="text1"/>
            </w:tcBorders>
            <w:hideMark/>
          </w:tcPr>
          <w:p w14:paraId="45631420" w14:textId="77777777" w:rsidR="00FF30E4" w:rsidRPr="00D629F5" w:rsidRDefault="00FF30E4">
            <w:pPr>
              <w:spacing w:before="60" w:after="60" w:line="256" w:lineRule="auto"/>
              <w:rPr>
                <w:lang w:val="fr-FR"/>
              </w:rPr>
            </w:pPr>
            <w:r w:rsidRPr="00D629F5">
              <w:rPr>
                <w:lang w:val="fr-FR"/>
              </w:rPr>
              <w:t>2026-2028</w:t>
            </w:r>
          </w:p>
        </w:tc>
        <w:tc>
          <w:tcPr>
            <w:tcW w:w="1913" w:type="dxa"/>
            <w:tcBorders>
              <w:top w:val="nil"/>
              <w:left w:val="single" w:sz="8" w:space="0" w:color="000000" w:themeColor="text1"/>
              <w:bottom w:val="single" w:sz="8" w:space="0" w:color="000000" w:themeColor="text1"/>
              <w:right w:val="single" w:sz="8" w:space="0" w:color="000000" w:themeColor="text1"/>
            </w:tcBorders>
            <w:hideMark/>
          </w:tcPr>
          <w:p w14:paraId="0507EFB0" w14:textId="77777777" w:rsidR="00FF30E4" w:rsidRPr="00D629F5" w:rsidRDefault="00FF30E4">
            <w:pPr>
              <w:spacing w:before="60" w:after="60" w:line="256" w:lineRule="auto"/>
              <w:rPr>
                <w:lang w:val="fr-FR"/>
              </w:rPr>
            </w:pPr>
            <w:r w:rsidRPr="00D629F5">
              <w:rPr>
                <w:lang w:val="fr-FR"/>
              </w:rPr>
              <w:t>Rapport technique et/ou Note d’information.</w:t>
            </w:r>
          </w:p>
        </w:tc>
        <w:tc>
          <w:tcPr>
            <w:tcW w:w="1914" w:type="dxa"/>
            <w:tcBorders>
              <w:top w:val="nil"/>
              <w:left w:val="single" w:sz="8" w:space="0" w:color="000000" w:themeColor="text1"/>
              <w:bottom w:val="single" w:sz="8" w:space="0" w:color="000000" w:themeColor="text1"/>
              <w:right w:val="single" w:sz="8" w:space="0" w:color="000000" w:themeColor="text1"/>
            </w:tcBorders>
            <w:hideMark/>
          </w:tcPr>
          <w:p w14:paraId="1C82E12C" w14:textId="77777777" w:rsidR="00FF30E4" w:rsidRPr="00D629F5" w:rsidRDefault="00FF30E4">
            <w:pPr>
              <w:spacing w:before="60" w:after="60" w:line="256" w:lineRule="auto"/>
              <w:rPr>
                <w:lang w:val="fr-FR"/>
              </w:rPr>
            </w:pPr>
            <w:r w:rsidRPr="00D629F5">
              <w:rPr>
                <w:lang w:val="fr-FR"/>
              </w:rPr>
              <w:t xml:space="preserve">Rés. XII.5, </w:t>
            </w:r>
          </w:p>
          <w:p w14:paraId="64050B3B" w14:textId="77777777" w:rsidR="00FF30E4" w:rsidRPr="00D629F5" w:rsidRDefault="00FF30E4">
            <w:pPr>
              <w:spacing w:before="60" w:after="60" w:line="256" w:lineRule="auto"/>
              <w:rPr>
                <w:lang w:val="fr-FR"/>
              </w:rPr>
            </w:pPr>
            <w:r w:rsidRPr="00D629F5">
              <w:rPr>
                <w:lang w:val="fr-FR"/>
              </w:rPr>
              <w:t>Annexe 1.</w:t>
            </w:r>
          </w:p>
          <w:p w14:paraId="308CC3C1" w14:textId="77777777" w:rsidR="00FF30E4" w:rsidRPr="00D629F5" w:rsidRDefault="00FF30E4">
            <w:pPr>
              <w:spacing w:before="60" w:after="60" w:line="256" w:lineRule="auto"/>
              <w:rPr>
                <w:lang w:val="fr-FR"/>
              </w:rPr>
            </w:pPr>
            <w:r w:rsidRPr="00D629F5">
              <w:rPr>
                <w:lang w:val="fr-FR"/>
              </w:rPr>
              <w:t>Rés. XIV.14, Annexe 2.</w:t>
            </w:r>
          </w:p>
          <w:p w14:paraId="233E9D7B" w14:textId="77777777" w:rsidR="00FF30E4" w:rsidRPr="00D629F5" w:rsidRDefault="00FF30E4">
            <w:pPr>
              <w:spacing w:before="60" w:after="60" w:line="256" w:lineRule="auto"/>
              <w:rPr>
                <w:lang w:val="fr-FR"/>
              </w:rPr>
            </w:pPr>
            <w:r w:rsidRPr="00D629F5">
              <w:rPr>
                <w:lang w:val="fr-FR"/>
              </w:rPr>
              <w:t>Rés. XIV.6, par. 38</w:t>
            </w:r>
          </w:p>
          <w:p w14:paraId="342C2D69" w14:textId="77777777" w:rsidR="00FF30E4" w:rsidRPr="00D629F5" w:rsidRDefault="00FF30E4">
            <w:pPr>
              <w:spacing w:before="60" w:after="60" w:line="256" w:lineRule="auto"/>
              <w:rPr>
                <w:lang w:val="fr-FR"/>
              </w:rPr>
            </w:pPr>
            <w:r w:rsidRPr="00D629F5">
              <w:rPr>
                <w:lang w:val="fr-FR"/>
              </w:rPr>
              <w:t>Poursuite du plan de travail du GEST 2023-2025 (Décision intersessions 04 pré-SC62).</w:t>
            </w:r>
          </w:p>
        </w:tc>
      </w:tr>
      <w:tr w:rsidR="00FF30E4" w:rsidRPr="00D629F5" w14:paraId="3E7E817C" w14:textId="77777777" w:rsidTr="00FF30E4">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5371DC9" w14:textId="77777777" w:rsidR="00FF30E4" w:rsidRPr="00D629F5" w:rsidRDefault="00FF30E4">
            <w:pPr>
              <w:keepNext/>
              <w:spacing w:before="60" w:after="60" w:line="256" w:lineRule="auto"/>
              <w:rPr>
                <w:b/>
                <w:color w:val="000000"/>
                <w:lang w:val="fr-FR"/>
              </w:rPr>
            </w:pPr>
            <w:r w:rsidRPr="00D629F5">
              <w:rPr>
                <w:b/>
                <w:color w:val="000000"/>
                <w:lang w:val="fr-FR"/>
              </w:rPr>
              <w:t>DTT 2 : Outils pour l’évaluation, la cartographie et le suivi, et l’élaboration d’inventaires des zones humides.</w:t>
            </w:r>
          </w:p>
        </w:tc>
      </w:tr>
      <w:tr w:rsidR="00FF30E4" w:rsidRPr="00D629F5" w14:paraId="2939A5C4" w14:textId="77777777" w:rsidTr="00FF30E4">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3A473E" w14:textId="77777777" w:rsidR="00FF30E4" w:rsidRPr="00D629F5" w:rsidRDefault="00FF30E4">
            <w:pPr>
              <w:spacing w:before="60" w:after="60" w:line="256" w:lineRule="auto"/>
              <w:rPr>
                <w:color w:val="000000"/>
                <w:lang w:val="fr-FR"/>
              </w:rPr>
            </w:pPr>
            <w:r w:rsidRPr="00D629F5">
              <w:rPr>
                <w:b/>
                <w:bCs w:val="0"/>
                <w:color w:val="000000" w:themeColor="text1"/>
                <w:lang w:val="fr-FR"/>
              </w:rPr>
              <w:t>Tâche 2.1.</w:t>
            </w:r>
            <w:r w:rsidRPr="00D629F5">
              <w:rPr>
                <w:color w:val="000000" w:themeColor="text1"/>
                <w:lang w:val="fr-FR"/>
              </w:rPr>
              <w:t xml:space="preserve"> Examen du système de classification des types de zones humides de la Convention.</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4CBDD27" w14:textId="77777777" w:rsidR="00FF30E4" w:rsidRPr="00D629F5" w:rsidRDefault="00FF30E4">
            <w:pPr>
              <w:spacing w:before="60" w:after="60" w:line="256" w:lineRule="auto"/>
              <w:rPr>
                <w:color w:val="000000"/>
                <w:lang w:val="fr-FR"/>
              </w:rPr>
            </w:pPr>
            <w:r w:rsidRPr="00D629F5">
              <w:rPr>
                <w:color w:val="000000" w:themeColor="text1"/>
                <w:lang w:val="fr-FR"/>
              </w:rPr>
              <w:t xml:space="preserve">Dans le cadre de la tâche 2.1, un examen en deux étapes sera entrepris concernant le système de classification des types de zones humides : </w:t>
            </w:r>
          </w:p>
          <w:p w14:paraId="2BF013E2" w14:textId="77777777" w:rsidR="00FF30E4" w:rsidRPr="00D629F5" w:rsidRDefault="00FF30E4" w:rsidP="00332D1A">
            <w:pPr>
              <w:pStyle w:val="ListParagraph"/>
              <w:numPr>
                <w:ilvl w:val="0"/>
                <w:numId w:val="6"/>
              </w:numPr>
              <w:spacing w:before="60" w:after="60" w:line="256" w:lineRule="auto"/>
              <w:ind w:left="336" w:hanging="336"/>
              <w:rPr>
                <w:color w:val="000000" w:themeColor="text1"/>
                <w:lang w:val="fr-FR"/>
              </w:rPr>
            </w:pPr>
            <w:r w:rsidRPr="00D629F5">
              <w:rPr>
                <w:color w:val="000000" w:themeColor="text1"/>
                <w:lang w:val="fr-FR"/>
              </w:rPr>
              <w:t>Étape 1 : Évaluation initiale pour déterminer s’il y a suffisamment de raisons justifiant une révision en profondeur. Cette mesure permettra de préciser les raisons pour lesquelles un examen est nécessaire, par exemple, pour répondre aux évaluations nationales et mondiales et aux objectifs d’établissement de rapports.</w:t>
            </w:r>
          </w:p>
          <w:p w14:paraId="3437A277" w14:textId="77777777" w:rsidR="00FF30E4" w:rsidRPr="00D629F5" w:rsidRDefault="00FF30E4" w:rsidP="00332D1A">
            <w:pPr>
              <w:pStyle w:val="ListParagraph"/>
              <w:numPr>
                <w:ilvl w:val="0"/>
                <w:numId w:val="6"/>
              </w:numPr>
              <w:spacing w:before="60" w:after="60" w:line="256" w:lineRule="auto"/>
              <w:ind w:left="336" w:hanging="336"/>
              <w:rPr>
                <w:color w:val="000000" w:themeColor="text1"/>
                <w:lang w:val="fr-FR"/>
              </w:rPr>
            </w:pPr>
            <w:r w:rsidRPr="00D629F5">
              <w:rPr>
                <w:color w:val="000000" w:themeColor="text1"/>
                <w:lang w:val="fr-FR"/>
              </w:rPr>
              <w:t>Étape 2 : Une évaluation en profondeur sera entreprise pour traiter les problèmes et les possibilités déterminés durant l’étape 1.</w:t>
            </w:r>
          </w:p>
          <w:p w14:paraId="55606F25" w14:textId="77777777" w:rsidR="00FF30E4" w:rsidRPr="00D629F5" w:rsidRDefault="00FF30E4">
            <w:pPr>
              <w:spacing w:before="60" w:after="60" w:line="256" w:lineRule="auto"/>
              <w:rPr>
                <w:color w:val="000000"/>
                <w:lang w:val="fr-FR"/>
              </w:rPr>
            </w:pPr>
            <w:r w:rsidRPr="00D629F5">
              <w:rPr>
                <w:color w:val="000000" w:themeColor="text1"/>
                <w:lang w:val="fr-FR"/>
              </w:rPr>
              <w:t xml:space="preserve">La tâche 2.1 permettra d’examiner la possibilité d’améliorer le système de classification des zones humides, notamment par des amendements mineurs, par souci d’harmonisation avec les systèmes de classification utilisés par d’autres AME et les rapports nationaux et mondiaux sur l’étendue et l’état des zones humides. </w:t>
            </w:r>
          </w:p>
        </w:tc>
        <w:tc>
          <w:tcPr>
            <w:tcW w:w="1418" w:type="dxa"/>
            <w:tcBorders>
              <w:top w:val="nil"/>
              <w:left w:val="single" w:sz="8" w:space="0" w:color="000000" w:themeColor="text1"/>
              <w:bottom w:val="single" w:sz="8" w:space="0" w:color="000000" w:themeColor="text1"/>
              <w:right w:val="single" w:sz="8" w:space="0" w:color="000000" w:themeColor="text1"/>
            </w:tcBorders>
            <w:hideMark/>
          </w:tcPr>
          <w:p w14:paraId="6F94B5F4" w14:textId="77777777" w:rsidR="00FF30E4" w:rsidRPr="00D629F5" w:rsidRDefault="00FF30E4">
            <w:pPr>
              <w:spacing w:before="60" w:after="60" w:line="256" w:lineRule="auto"/>
              <w:rPr>
                <w:lang w:val="fr-FR"/>
              </w:rPr>
            </w:pPr>
            <w:r w:rsidRPr="00D629F5">
              <w:rPr>
                <w:lang w:val="fr-FR"/>
              </w:rPr>
              <w:t>2026-2028</w:t>
            </w:r>
          </w:p>
        </w:tc>
        <w:tc>
          <w:tcPr>
            <w:tcW w:w="1913" w:type="dxa"/>
            <w:tcBorders>
              <w:top w:val="nil"/>
              <w:left w:val="single" w:sz="8" w:space="0" w:color="000000" w:themeColor="text1"/>
              <w:bottom w:val="single" w:sz="8" w:space="0" w:color="000000" w:themeColor="text1"/>
              <w:right w:val="single" w:sz="8" w:space="0" w:color="000000" w:themeColor="text1"/>
            </w:tcBorders>
            <w:hideMark/>
          </w:tcPr>
          <w:p w14:paraId="371557D7" w14:textId="77777777" w:rsidR="00FF30E4" w:rsidRPr="00D629F5" w:rsidRDefault="00FF30E4">
            <w:pPr>
              <w:spacing w:before="60" w:after="60" w:line="256" w:lineRule="auto"/>
              <w:rPr>
                <w:lang w:val="fr-FR"/>
              </w:rPr>
            </w:pPr>
            <w:r w:rsidRPr="00D629F5">
              <w:rPr>
                <w:lang w:val="fr-FR"/>
              </w:rPr>
              <w:t>Rapports au Comité permanent (un rapport pour l’étape 1 et un rapport pour l’étape 2, si possible).</w:t>
            </w:r>
          </w:p>
          <w:p w14:paraId="48D792DF" w14:textId="77777777" w:rsidR="00FF30E4" w:rsidRPr="00D629F5" w:rsidRDefault="00FF30E4">
            <w:pPr>
              <w:spacing w:before="60" w:after="60" w:line="256" w:lineRule="auto"/>
              <w:rPr>
                <w:lang w:val="fr-FR"/>
              </w:rPr>
            </w:pPr>
            <w:r w:rsidRPr="00D629F5">
              <w:rPr>
                <w:lang w:val="fr-FR"/>
              </w:rPr>
              <w:t xml:space="preserve">Le cas échéant, le GEST préparera une résolution pour la COP16.  </w:t>
            </w:r>
          </w:p>
        </w:tc>
        <w:tc>
          <w:tcPr>
            <w:tcW w:w="1914" w:type="dxa"/>
            <w:tcBorders>
              <w:top w:val="nil"/>
              <w:left w:val="single" w:sz="8" w:space="0" w:color="000000" w:themeColor="text1"/>
              <w:bottom w:val="single" w:sz="8" w:space="0" w:color="000000" w:themeColor="text1"/>
              <w:right w:val="single" w:sz="8" w:space="0" w:color="000000" w:themeColor="text1"/>
            </w:tcBorders>
            <w:hideMark/>
          </w:tcPr>
          <w:p w14:paraId="112A3E98" w14:textId="77777777" w:rsidR="00FF30E4" w:rsidRPr="00D629F5" w:rsidRDefault="00FF30E4">
            <w:pPr>
              <w:spacing w:before="60" w:after="60" w:line="256" w:lineRule="auto"/>
              <w:rPr>
                <w:lang w:val="fr-FR"/>
              </w:rPr>
            </w:pPr>
            <w:r w:rsidRPr="00D629F5">
              <w:rPr>
                <w:lang w:val="fr-FR"/>
              </w:rPr>
              <w:t>Doc. SC63.19 (par. 16-18 &amp; Annexe 1).</w:t>
            </w:r>
          </w:p>
          <w:p w14:paraId="1CB00EEF" w14:textId="77777777" w:rsidR="00FF30E4" w:rsidRPr="00D629F5" w:rsidRDefault="00FF30E4">
            <w:pPr>
              <w:spacing w:before="60" w:after="60" w:line="256" w:lineRule="auto"/>
              <w:rPr>
                <w:color w:val="000000"/>
                <w:lang w:val="fr-FR"/>
              </w:rPr>
            </w:pPr>
            <w:r w:rsidRPr="00D629F5">
              <w:rPr>
                <w:lang w:val="fr-FR"/>
              </w:rPr>
              <w:t>Rapport et Décisions de la 63</w:t>
            </w:r>
            <w:r w:rsidRPr="00D629F5">
              <w:rPr>
                <w:vertAlign w:val="superscript"/>
                <w:lang w:val="fr-FR"/>
              </w:rPr>
              <w:t>e</w:t>
            </w:r>
            <w:r w:rsidRPr="00D629F5">
              <w:rPr>
                <w:lang w:val="fr-FR"/>
              </w:rPr>
              <w:t xml:space="preserve"> Réunion du Comité permanent</w:t>
            </w:r>
            <w:r w:rsidRPr="00D629F5">
              <w:rPr>
                <w:color w:val="000000"/>
                <w:lang w:val="fr-FR"/>
              </w:rPr>
              <w:t xml:space="preserve"> (Décision SC63-30).</w:t>
            </w:r>
          </w:p>
        </w:tc>
      </w:tr>
      <w:tr w:rsidR="00FF30E4" w:rsidRPr="00D629F5" w14:paraId="71489902" w14:textId="77777777" w:rsidTr="00FF30E4">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39919DC" w14:textId="77777777" w:rsidR="00FF30E4" w:rsidRPr="00D629F5" w:rsidRDefault="00FF30E4">
            <w:pPr>
              <w:spacing w:before="60" w:after="60" w:line="256" w:lineRule="auto"/>
              <w:rPr>
                <w:color w:val="000000" w:themeColor="text1"/>
                <w:lang w:val="fr-FR"/>
              </w:rPr>
            </w:pPr>
            <w:r w:rsidRPr="00D629F5">
              <w:rPr>
                <w:b/>
                <w:color w:val="000000" w:themeColor="text1"/>
                <w:lang w:val="fr-FR"/>
              </w:rPr>
              <w:t xml:space="preserve">Tâche </w:t>
            </w:r>
            <w:r w:rsidRPr="00D629F5">
              <w:rPr>
                <w:b/>
                <w:bCs w:val="0"/>
                <w:color w:val="000000" w:themeColor="text1"/>
                <w:lang w:val="fr-FR"/>
              </w:rPr>
              <w:t>2.2.</w:t>
            </w:r>
            <w:r w:rsidRPr="00D629F5">
              <w:rPr>
                <w:color w:val="000000" w:themeColor="text1"/>
                <w:lang w:val="fr-FR"/>
              </w:rPr>
              <w:t xml:space="preserve"> Faire avancer le développement et l’utilisation de la technologie pour la cartographie et l’inventaire des zones humides.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81D59A" w14:textId="77777777" w:rsidR="00FF30E4" w:rsidRPr="00D629F5" w:rsidRDefault="00FF30E4">
            <w:pPr>
              <w:spacing w:before="60" w:after="60" w:line="256" w:lineRule="auto"/>
              <w:rPr>
                <w:color w:val="000000" w:themeColor="text1"/>
                <w:lang w:val="fr-FR"/>
              </w:rPr>
            </w:pPr>
            <w:r w:rsidRPr="00D629F5">
              <w:rPr>
                <w:color w:val="000000"/>
                <w:lang w:val="fr-FR"/>
              </w:rPr>
              <w:t xml:space="preserve">La tâche 2.2 portera sur le développement d’une initiative triennale visant à encourager le dialogue, l’échange des connaissances et les orientations sur l’utilisation de l’observation de la Terre pour l’inventaire, l’évaluation, le suivi et la conservation des zones humides (voir Décision </w:t>
            </w:r>
            <w:r w:rsidRPr="00D629F5">
              <w:rPr>
                <w:color w:val="000000" w:themeColor="text1"/>
                <w:lang w:val="fr-FR"/>
              </w:rPr>
              <w:t>SC63-30), c’est-à-dire en poursuivant le développement de l’initiative GEO-Wetlands, en s’appuyant sur des modèles fournis par des produits phares GEO tels que Digital Earth Africa, GEO Land Degradation Neutrality (GEO-LDN).</w:t>
            </w:r>
          </w:p>
          <w:p w14:paraId="66EC5620" w14:textId="77777777" w:rsidR="00FF30E4" w:rsidRPr="00D629F5" w:rsidRDefault="00FF30E4">
            <w:pPr>
              <w:spacing w:before="60" w:after="60" w:line="256" w:lineRule="auto"/>
              <w:rPr>
                <w:color w:val="000000" w:themeColor="text1"/>
                <w:lang w:val="fr-FR"/>
              </w:rPr>
            </w:pPr>
            <w:r w:rsidRPr="00D629F5">
              <w:rPr>
                <w:color w:val="000000" w:themeColor="text1"/>
                <w:lang w:val="fr-FR"/>
              </w:rPr>
              <w:t>La tâche 2.2 informera aussi les Parties contractantes sur les progrès technologiques en matière de cartographie et d’évaluation des zones humides ainsi que d’application des typologies écosystémiques mondiales, comprenant l’harmonisation des approches de cartographie et d’inventaire (par exemple, celles qui sont utilisées dans les inventaires nationaux des zones humides) pour établir des rapports sur la conservation et l’utilisation rationnelle des zones humides, surveiller l’état et les tendances des zones humides et mettre en œuvre des objectifs et cibles internationaux, par exemple, la Cible 3 du Cadre mondial de la biodiversité de la CDB (30x30) et la Cible 6.6.1 des ODD sur les changements dans l’étendue des écosystèmes liés à l’eau dans le temps.</w:t>
            </w:r>
          </w:p>
        </w:tc>
        <w:tc>
          <w:tcPr>
            <w:tcW w:w="1418" w:type="dxa"/>
            <w:tcBorders>
              <w:top w:val="nil"/>
              <w:left w:val="single" w:sz="8" w:space="0" w:color="000000" w:themeColor="text1"/>
              <w:bottom w:val="single" w:sz="8" w:space="0" w:color="000000" w:themeColor="text1"/>
              <w:right w:val="single" w:sz="8" w:space="0" w:color="000000" w:themeColor="text1"/>
            </w:tcBorders>
            <w:hideMark/>
          </w:tcPr>
          <w:p w14:paraId="13B0FA05" w14:textId="77777777" w:rsidR="00FF30E4" w:rsidRPr="00D629F5" w:rsidRDefault="00FF30E4">
            <w:pPr>
              <w:spacing w:before="60" w:after="60" w:line="256" w:lineRule="auto"/>
              <w:rPr>
                <w:lang w:val="fr-FR"/>
              </w:rPr>
            </w:pPr>
            <w:r w:rsidRPr="00D629F5">
              <w:rPr>
                <w:lang w:val="fr-FR"/>
              </w:rPr>
              <w:t>Tâche triennale (sous réserve de ressources humaines et financières).</w:t>
            </w:r>
          </w:p>
        </w:tc>
        <w:tc>
          <w:tcPr>
            <w:tcW w:w="1913" w:type="dxa"/>
            <w:tcBorders>
              <w:top w:val="nil"/>
              <w:left w:val="single" w:sz="8" w:space="0" w:color="000000" w:themeColor="text1"/>
              <w:bottom w:val="single" w:sz="8" w:space="0" w:color="000000" w:themeColor="text1"/>
              <w:right w:val="single" w:sz="8" w:space="0" w:color="000000" w:themeColor="text1"/>
            </w:tcBorders>
            <w:hideMark/>
          </w:tcPr>
          <w:p w14:paraId="077456FB" w14:textId="77777777" w:rsidR="00FF30E4" w:rsidRPr="00D629F5" w:rsidRDefault="00FF30E4">
            <w:pPr>
              <w:spacing w:before="60" w:after="60" w:line="256" w:lineRule="auto"/>
              <w:rPr>
                <w:lang w:val="fr-FR"/>
              </w:rPr>
            </w:pPr>
            <w:r w:rsidRPr="00D629F5">
              <w:rPr>
                <w:lang w:val="fr-FR"/>
              </w:rPr>
              <w:t xml:space="preserve">Rapport technique et/ou Note d’information. </w:t>
            </w:r>
          </w:p>
          <w:p w14:paraId="15398166" w14:textId="77777777" w:rsidR="00FF30E4" w:rsidRPr="00D629F5" w:rsidRDefault="00FF30E4">
            <w:pPr>
              <w:spacing w:before="60" w:after="60" w:line="256" w:lineRule="auto"/>
              <w:rPr>
                <w:lang w:val="fr-FR"/>
              </w:rPr>
            </w:pPr>
            <w:r w:rsidRPr="00D629F5">
              <w:rPr>
                <w:lang w:val="fr-FR"/>
              </w:rPr>
              <w:t xml:space="preserve">Rapport au Comité permanent sur les progrès conformément à la Décision </w:t>
            </w:r>
            <w:r w:rsidRPr="00D629F5">
              <w:rPr>
                <w:color w:val="000000"/>
                <w:lang w:val="fr-FR"/>
              </w:rPr>
              <w:t>SC63-30</w:t>
            </w:r>
            <w:r w:rsidRPr="00D629F5">
              <w:rPr>
                <w:lang w:val="fr-FR"/>
              </w:rPr>
              <w:t>.</w:t>
            </w:r>
          </w:p>
        </w:tc>
        <w:tc>
          <w:tcPr>
            <w:tcW w:w="1914" w:type="dxa"/>
            <w:tcBorders>
              <w:top w:val="nil"/>
              <w:left w:val="single" w:sz="8" w:space="0" w:color="000000" w:themeColor="text1"/>
              <w:bottom w:val="single" w:sz="8" w:space="0" w:color="000000" w:themeColor="text1"/>
              <w:right w:val="single" w:sz="8" w:space="0" w:color="000000" w:themeColor="text1"/>
            </w:tcBorders>
            <w:hideMark/>
          </w:tcPr>
          <w:p w14:paraId="5A25F1F5" w14:textId="77777777" w:rsidR="00FF30E4" w:rsidRPr="00D629F5" w:rsidRDefault="00FF30E4">
            <w:pPr>
              <w:spacing w:before="60" w:after="60" w:line="256" w:lineRule="auto"/>
              <w:rPr>
                <w:lang w:val="fr-FR"/>
              </w:rPr>
            </w:pPr>
            <w:r w:rsidRPr="00D629F5">
              <w:rPr>
                <w:lang w:val="fr-FR"/>
              </w:rPr>
              <w:t>Doc. SC63.19 [par. 49 h)].</w:t>
            </w:r>
          </w:p>
          <w:p w14:paraId="7CC01DEA" w14:textId="77777777" w:rsidR="00FF30E4" w:rsidRPr="00D629F5" w:rsidRDefault="00FF30E4">
            <w:pPr>
              <w:spacing w:before="60" w:after="60" w:line="256" w:lineRule="auto"/>
              <w:rPr>
                <w:highlight w:val="yellow"/>
                <w:lang w:val="fr-FR"/>
              </w:rPr>
            </w:pPr>
            <w:r w:rsidRPr="00D629F5">
              <w:rPr>
                <w:lang w:val="fr-FR"/>
              </w:rPr>
              <w:t>Rapport et Décisions de la 63</w:t>
            </w:r>
            <w:r w:rsidRPr="00D629F5">
              <w:rPr>
                <w:vertAlign w:val="superscript"/>
                <w:lang w:val="fr-FR"/>
              </w:rPr>
              <w:t>e</w:t>
            </w:r>
            <w:r w:rsidRPr="00D629F5">
              <w:rPr>
                <w:lang w:val="fr-FR"/>
              </w:rPr>
              <w:t xml:space="preserve"> Réunion du Comité permanent</w:t>
            </w:r>
            <w:r w:rsidRPr="00D629F5">
              <w:rPr>
                <w:color w:val="000000"/>
                <w:lang w:val="fr-FR"/>
              </w:rPr>
              <w:t xml:space="preserve"> (Décision SC63-30).</w:t>
            </w:r>
          </w:p>
        </w:tc>
      </w:tr>
      <w:tr w:rsidR="00FF30E4" w:rsidRPr="00D629F5" w14:paraId="1995C0F8" w14:textId="77777777" w:rsidTr="00FF30E4">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922DD70" w14:textId="77777777" w:rsidR="00FF30E4" w:rsidRPr="00D629F5" w:rsidRDefault="00FF30E4">
            <w:pPr>
              <w:spacing w:before="60" w:after="60" w:line="256" w:lineRule="auto"/>
              <w:rPr>
                <w:b/>
                <w:color w:val="000000"/>
                <w:lang w:val="fr-FR"/>
              </w:rPr>
            </w:pPr>
            <w:r w:rsidRPr="00D629F5">
              <w:rPr>
                <w:b/>
                <w:color w:val="000000"/>
                <w:lang w:val="fr-FR"/>
              </w:rPr>
              <w:t>DTT 3 : Les pressions directes et liées aux changements climatiques sur les zones humides, les effets et les réponses.</w:t>
            </w:r>
          </w:p>
        </w:tc>
      </w:tr>
      <w:tr w:rsidR="00FF30E4" w:rsidRPr="00D629F5" w14:paraId="0EA93BE7" w14:textId="77777777" w:rsidTr="00FF30E4">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18B52D" w14:textId="77777777" w:rsidR="00FF30E4" w:rsidRPr="00D629F5" w:rsidRDefault="00FF30E4">
            <w:pPr>
              <w:spacing w:before="60" w:after="60" w:line="256" w:lineRule="auto"/>
              <w:rPr>
                <w:color w:val="000000"/>
                <w:lang w:val="fr-FR"/>
              </w:rPr>
            </w:pPr>
            <w:r w:rsidRPr="00D629F5">
              <w:rPr>
                <w:b/>
                <w:bCs w:val="0"/>
                <w:color w:val="000000" w:themeColor="text1"/>
                <w:lang w:val="fr-FR"/>
              </w:rPr>
              <w:t>Tâche 3.1.</w:t>
            </w:r>
            <w:r w:rsidRPr="00D629F5">
              <w:rPr>
                <w:color w:val="000000" w:themeColor="text1"/>
                <w:lang w:val="fr-FR"/>
              </w:rPr>
              <w:t xml:space="preserve"> Évaluation des impacts des efflorescences algales nuisibles dans les zones humides.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EB32F9" w14:textId="77777777" w:rsidR="00FF30E4" w:rsidRPr="00D629F5" w:rsidRDefault="00FF30E4">
            <w:pPr>
              <w:spacing w:before="60" w:after="60" w:line="256" w:lineRule="auto"/>
              <w:rPr>
                <w:color w:val="000000" w:themeColor="text1"/>
                <w:lang w:val="fr-FR"/>
              </w:rPr>
            </w:pPr>
            <w:r w:rsidRPr="00D629F5">
              <w:rPr>
                <w:color w:val="000000" w:themeColor="text1"/>
                <w:lang w:val="fr-FR"/>
              </w:rPr>
              <w:t xml:space="preserve">La tâche 3.1 a pour objet de faire une synthèse des informations sur la présence et la fréquence des efflorescences algales nuisibles dans les zones humides, les causes principales des efflorescences algales nuisibles et leur impact sur la biodiversité et les services écosystémiques, y compris sur la santé humaine et l’accès à de l’eau propre pour l’agriculture, entre autres.  </w:t>
            </w:r>
          </w:p>
          <w:p w14:paraId="190F5A11" w14:textId="77777777" w:rsidR="00FF30E4" w:rsidRPr="00D629F5" w:rsidRDefault="00FF30E4">
            <w:pPr>
              <w:spacing w:before="60" w:after="60" w:line="256" w:lineRule="auto"/>
              <w:rPr>
                <w:color w:val="000000" w:themeColor="text1"/>
                <w:lang w:val="fr-FR"/>
              </w:rPr>
            </w:pPr>
            <w:r w:rsidRPr="00D629F5">
              <w:rPr>
                <w:color w:val="000000" w:themeColor="text1"/>
                <w:lang w:val="fr-FR"/>
              </w:rPr>
              <w:t xml:space="preserve">Dans le cadre de la tâche 3.1, des orientations seront aussi développées sur les méthodes de meilleures pratiques permettant de prévenir et de gérer les efflorescences algales nuisibles, de maintenir les caractéristiques écologiques des zones humides et de protéger la santé humaine (par exemple, en termes d’impact sur les services écosystémiques).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FF0F52" w14:textId="77777777" w:rsidR="00FF30E4" w:rsidRPr="00D629F5" w:rsidRDefault="00FF30E4">
            <w:pPr>
              <w:spacing w:before="60" w:after="60" w:line="256" w:lineRule="auto"/>
              <w:rPr>
                <w:lang w:val="fr-FR"/>
              </w:rPr>
            </w:pPr>
            <w:r w:rsidRPr="00D629F5">
              <w:rPr>
                <w:lang w:val="fr-FR"/>
              </w:rPr>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FBB220" w14:textId="77777777" w:rsidR="00FF30E4" w:rsidRPr="00D629F5" w:rsidRDefault="00FF30E4">
            <w:pPr>
              <w:spacing w:before="60" w:after="60" w:line="256" w:lineRule="auto"/>
              <w:rPr>
                <w:lang w:val="fr-FR"/>
              </w:rPr>
            </w:pPr>
            <w:r w:rsidRPr="00D629F5">
              <w:rPr>
                <w:lang w:val="fr-FR"/>
              </w:rPr>
              <w:t>Rapport technique et/ou Note d’information.</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ED60D9" w14:textId="77777777" w:rsidR="00FF30E4" w:rsidRPr="00D629F5" w:rsidRDefault="00FF30E4">
            <w:pPr>
              <w:spacing w:before="60" w:after="60" w:line="256" w:lineRule="auto"/>
              <w:rPr>
                <w:lang w:val="fr-FR"/>
              </w:rPr>
            </w:pPr>
            <w:r w:rsidRPr="00D629F5">
              <w:rPr>
                <w:lang w:val="fr-FR"/>
              </w:rPr>
              <w:t>Doc. SC63.19 (par. 19-21 &amp; Annexe 2).</w:t>
            </w:r>
          </w:p>
        </w:tc>
      </w:tr>
      <w:tr w:rsidR="00FF30E4" w:rsidRPr="00D629F5" w14:paraId="60E88B37" w14:textId="77777777" w:rsidTr="00FF30E4">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6BC2F2" w14:textId="77777777" w:rsidR="00FF30E4" w:rsidRPr="00D629F5" w:rsidRDefault="00FF30E4">
            <w:pPr>
              <w:spacing w:before="60" w:after="60" w:line="256" w:lineRule="auto"/>
              <w:rPr>
                <w:b/>
                <w:bCs w:val="0"/>
                <w:color w:val="000000" w:themeColor="text1"/>
                <w:lang w:val="fr-FR"/>
              </w:rPr>
            </w:pPr>
            <w:r w:rsidRPr="00D629F5">
              <w:rPr>
                <w:b/>
                <w:bCs w:val="0"/>
                <w:color w:val="000000" w:themeColor="text1"/>
                <w:lang w:val="fr-FR"/>
              </w:rPr>
              <w:t>Tâche 3.2.</w:t>
            </w:r>
            <w:r w:rsidRPr="00D629F5">
              <w:rPr>
                <w:color w:val="000000" w:themeColor="text1"/>
                <w:lang w:val="fr-FR"/>
              </w:rPr>
              <w:t xml:space="preserve"> Évaluation des impacts des feux dans les zones humides.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226FF7" w14:textId="77777777" w:rsidR="00FF30E4" w:rsidRPr="00D629F5" w:rsidRDefault="00FF30E4">
            <w:pPr>
              <w:spacing w:before="60" w:after="60" w:line="256" w:lineRule="auto"/>
              <w:rPr>
                <w:color w:val="000000" w:themeColor="text1"/>
                <w:lang w:val="fr-FR"/>
              </w:rPr>
            </w:pPr>
            <w:r w:rsidRPr="00D629F5">
              <w:rPr>
                <w:color w:val="000000" w:themeColor="text1"/>
                <w:lang w:val="fr-FR"/>
              </w:rPr>
              <w:t xml:space="preserve">Dans le cadre de la tâche 3.2, l’occurrence et les changements dans la fréquence et l’étendue des feux dans les zones humides seront évalués ainsi que leur impact sur i) la protection de la biodiversité, ii) les stocks de carbone et le potentiel de séquestration du carbone dans les zones humides et iii) la santé humaine. La tâche couvrira les impacts pour la population (par exemple, les problèmes de santé dus à la fumée) et les effets sur les services écosystémiques tels que les aliments, les fibres et l’accès à de l’eau propre, le cas échant.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2E3D76" w14:textId="77777777" w:rsidR="00FF30E4" w:rsidRPr="00D629F5" w:rsidRDefault="00FF30E4">
            <w:pPr>
              <w:spacing w:before="60" w:after="60" w:line="256" w:lineRule="auto"/>
              <w:rPr>
                <w:lang w:val="fr-FR"/>
              </w:rPr>
            </w:pPr>
            <w:r w:rsidRPr="00D629F5">
              <w:rPr>
                <w:lang w:val="fr-FR"/>
              </w:rPr>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F88C8C" w14:textId="77777777" w:rsidR="00FF30E4" w:rsidRPr="00D629F5" w:rsidRDefault="00FF30E4">
            <w:pPr>
              <w:spacing w:before="60" w:after="60" w:line="256" w:lineRule="auto"/>
              <w:rPr>
                <w:lang w:val="fr-FR"/>
              </w:rPr>
            </w:pPr>
            <w:r w:rsidRPr="00D629F5">
              <w:rPr>
                <w:lang w:val="fr-FR"/>
              </w:rPr>
              <w:t>Rapport technique et/ou Note d’information.</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8347E93" w14:textId="77777777" w:rsidR="00FF30E4" w:rsidRPr="00D629F5" w:rsidRDefault="00FF30E4">
            <w:pPr>
              <w:spacing w:before="60" w:after="60" w:line="256" w:lineRule="auto"/>
              <w:rPr>
                <w:lang w:val="fr-FR"/>
              </w:rPr>
            </w:pPr>
            <w:r w:rsidRPr="00D629F5">
              <w:rPr>
                <w:lang w:val="fr-FR"/>
              </w:rPr>
              <w:t>Doc. SC63.19 (par. 19-21 &amp; Annexe 2).</w:t>
            </w:r>
          </w:p>
        </w:tc>
      </w:tr>
      <w:tr w:rsidR="00FF30E4" w:rsidRPr="00D629F5" w14:paraId="125BEF73" w14:textId="77777777" w:rsidTr="00FF30E4">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431B790" w14:textId="77777777" w:rsidR="00FF30E4" w:rsidRPr="00D629F5" w:rsidRDefault="00FF30E4">
            <w:pPr>
              <w:keepNext/>
              <w:spacing w:before="60" w:after="60" w:line="256" w:lineRule="auto"/>
              <w:rPr>
                <w:b/>
                <w:color w:val="000000"/>
                <w:lang w:val="fr-FR"/>
              </w:rPr>
            </w:pPr>
            <w:r w:rsidRPr="00D629F5">
              <w:rPr>
                <w:b/>
                <w:color w:val="000000"/>
                <w:lang w:val="fr-FR"/>
              </w:rPr>
              <w:t>DTT 4 : L’utilisation rationnelle, la gestion durable et la restauration des zones humides dans le paysage terrestre et marin général.</w:t>
            </w:r>
          </w:p>
        </w:tc>
      </w:tr>
      <w:tr w:rsidR="00FF30E4" w:rsidRPr="00D629F5" w14:paraId="0F7AD51E" w14:textId="77777777" w:rsidTr="00FF30E4">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FDC3F9" w14:textId="77777777" w:rsidR="00FF30E4" w:rsidRPr="00D629F5" w:rsidRDefault="00FF30E4">
            <w:pPr>
              <w:spacing w:before="60" w:after="60" w:line="256" w:lineRule="auto"/>
              <w:rPr>
                <w:color w:val="000000"/>
                <w:lang w:val="fr-FR"/>
              </w:rPr>
            </w:pPr>
            <w:r w:rsidRPr="00D629F5">
              <w:rPr>
                <w:b/>
                <w:color w:val="000000" w:themeColor="text1"/>
                <w:lang w:val="fr-FR"/>
              </w:rPr>
              <w:t xml:space="preserve">Tâche </w:t>
            </w:r>
            <w:r w:rsidRPr="00D629F5">
              <w:rPr>
                <w:b/>
                <w:bCs w:val="0"/>
                <w:color w:val="000000" w:themeColor="text1"/>
                <w:lang w:val="fr-FR"/>
              </w:rPr>
              <w:t>4.1.</w:t>
            </w:r>
            <w:r w:rsidRPr="00D629F5">
              <w:rPr>
                <w:color w:val="000000" w:themeColor="text1"/>
                <w:lang w:val="fr-FR"/>
              </w:rPr>
              <w:t xml:space="preserve"> Évaluation des voies du changement transformateur en vue de la conservation et de l’utilisation rationnelle des zones humides pour la nature, le climat et l’humanité.  </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542651" w14:textId="77777777" w:rsidR="00FF30E4" w:rsidRPr="00D629F5" w:rsidRDefault="00FF30E4">
            <w:pPr>
              <w:spacing w:before="60" w:after="60" w:line="256" w:lineRule="auto"/>
              <w:rPr>
                <w:color w:val="000000" w:themeColor="text1"/>
                <w:lang w:val="fr-FR"/>
              </w:rPr>
            </w:pPr>
            <w:r w:rsidRPr="00D629F5">
              <w:rPr>
                <w:color w:val="000000" w:themeColor="text1"/>
                <w:lang w:val="fr-FR"/>
              </w:rPr>
              <w:t xml:space="preserve">La tâche 4.1 portera sur l’examen et l’évaluation de modèles, de scénarios et de voies du changement transformateur pour s’attaquer à la triple crise planétaire (changements climatiques, pollution et perte de biodiversité), de même que sur les Objectifs stratégiques de la Convention sur les zones humides et d’autres objectifs et cibles pertinents tels que les ODD et le CMB-KM, en s’appuyant sur les évaluations correspondantes de l’IPBES (par exemple, l’Évaluation Nexus et l’Évaluation des changements transformateurs).   </w:t>
            </w:r>
          </w:p>
          <w:p w14:paraId="144E9279" w14:textId="77777777" w:rsidR="00FF30E4" w:rsidRPr="00D629F5" w:rsidRDefault="00FF30E4">
            <w:pPr>
              <w:spacing w:before="60" w:after="60" w:line="256" w:lineRule="auto"/>
              <w:rPr>
                <w:color w:val="000000" w:themeColor="text1"/>
                <w:lang w:val="fr-FR"/>
              </w:rPr>
            </w:pPr>
            <w:r w:rsidRPr="00D629F5">
              <w:rPr>
                <w:color w:val="000000" w:themeColor="text1"/>
                <w:lang w:val="fr-FR"/>
              </w:rPr>
              <w:t>Le cas échéant, la tâche s’efforcera d’intégrer des activités prévues à l’origine dans le cadre de la tâche 3.4 du plan de travail 2023-2025, couvrant une synthèse des solutions fondées sur la nature (SFN) appliquées avec succès ou des approches par écosystème pour la protection, la conservation, la restauration, l’utilisation durable et la gestion des écosystèmes des zones humides en vue de traiter les changements climatiques et d’obtenir d’autres avantages concomitants. Si possible, diverses valeurs et opinions autochtones ainsi que des savoirs traditionnels seront également examinées pour contribuer à la dynamique en faveur d’un changement transformateur.</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55E368" w14:textId="77777777" w:rsidR="00FF30E4" w:rsidRPr="00D629F5" w:rsidRDefault="00FF30E4">
            <w:pPr>
              <w:spacing w:before="60" w:after="60" w:line="256" w:lineRule="auto"/>
              <w:rPr>
                <w:lang w:val="fr-FR"/>
              </w:rPr>
            </w:pPr>
            <w:r w:rsidRPr="00D629F5">
              <w:rPr>
                <w:lang w:val="fr-FR"/>
              </w:rPr>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1DBA4" w14:textId="77777777" w:rsidR="00FF30E4" w:rsidRPr="00D629F5" w:rsidRDefault="00FF30E4">
            <w:pPr>
              <w:spacing w:before="60" w:after="60" w:line="256" w:lineRule="auto"/>
              <w:rPr>
                <w:lang w:val="fr-FR"/>
              </w:rPr>
            </w:pPr>
            <w:r w:rsidRPr="00D629F5">
              <w:rPr>
                <w:lang w:val="fr-FR"/>
              </w:rPr>
              <w:t>Rapport technique et/ou Note d’information.</w:t>
            </w:r>
          </w:p>
          <w:p w14:paraId="41541661" w14:textId="77777777" w:rsidR="00FF30E4" w:rsidRPr="00D629F5" w:rsidRDefault="00FF30E4">
            <w:pPr>
              <w:spacing w:before="60" w:after="60" w:line="256" w:lineRule="auto"/>
              <w:rPr>
                <w:lang w:val="fr-FR"/>
              </w:rPr>
            </w:pPr>
          </w:p>
          <w:p w14:paraId="51EB69C5" w14:textId="77777777" w:rsidR="00FF30E4" w:rsidRPr="00D629F5" w:rsidRDefault="00FF30E4">
            <w:pPr>
              <w:spacing w:before="60" w:after="60" w:line="256" w:lineRule="auto"/>
              <w:rPr>
                <w:color w:val="000000" w:themeColor="text1"/>
                <w:lang w:val="fr-FR"/>
              </w:rPr>
            </w:pPr>
            <w:r w:rsidRPr="00D629F5">
              <w:rPr>
                <w:color w:val="000000" w:themeColor="text1"/>
                <w:lang w:val="fr-FR"/>
              </w:rPr>
              <w:t>Thème potentiel pour les futures Perspectives mondiales des zones humides.</w:t>
            </w:r>
          </w:p>
          <w:p w14:paraId="4F457EEF" w14:textId="77777777" w:rsidR="00FF30E4" w:rsidRPr="00D629F5" w:rsidRDefault="00FF30E4">
            <w:pPr>
              <w:spacing w:before="60" w:after="60" w:line="256" w:lineRule="auto"/>
              <w:rPr>
                <w:color w:val="000000" w:themeColor="text1"/>
                <w:lang w:val="fr-FR"/>
              </w:rPr>
            </w:pPr>
          </w:p>
          <w:p w14:paraId="382384E5" w14:textId="77777777" w:rsidR="00FF30E4" w:rsidRPr="00D629F5" w:rsidRDefault="00FF30E4">
            <w:pPr>
              <w:spacing w:before="60" w:after="60" w:line="256" w:lineRule="auto"/>
              <w:rPr>
                <w:lang w:val="fr-FR"/>
              </w:rPr>
            </w:pPr>
            <w:r w:rsidRPr="00D629F5">
              <w:rPr>
                <w:color w:val="000000" w:themeColor="text1"/>
                <w:lang w:val="fr-FR"/>
              </w:rPr>
              <w:t xml:space="preserve">Base de données avec des solutions fondées sur la nature. </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E1883" w14:textId="77777777" w:rsidR="00FF30E4" w:rsidRPr="00D629F5" w:rsidRDefault="00FF30E4">
            <w:pPr>
              <w:spacing w:before="60" w:after="60" w:line="256" w:lineRule="auto"/>
              <w:rPr>
                <w:lang w:val="fr-FR"/>
              </w:rPr>
            </w:pPr>
            <w:r w:rsidRPr="00D629F5">
              <w:rPr>
                <w:lang w:val="fr-FR"/>
              </w:rPr>
              <w:t>Doc. SC63.19 (par. 19-21 &amp; Annexe 2).</w:t>
            </w:r>
          </w:p>
          <w:p w14:paraId="42EF32D4" w14:textId="77777777" w:rsidR="00FF30E4" w:rsidRPr="00D629F5" w:rsidRDefault="00FF30E4">
            <w:pPr>
              <w:spacing w:before="60" w:after="60" w:line="256" w:lineRule="auto"/>
              <w:rPr>
                <w:lang w:val="fr-FR"/>
              </w:rPr>
            </w:pPr>
          </w:p>
          <w:p w14:paraId="6D7DD5AA" w14:textId="77777777" w:rsidR="00FF30E4" w:rsidRPr="00D629F5" w:rsidRDefault="00FF30E4">
            <w:pPr>
              <w:spacing w:before="60" w:after="60" w:line="256" w:lineRule="auto"/>
              <w:rPr>
                <w:lang w:val="fr-FR"/>
              </w:rPr>
            </w:pPr>
            <w:r w:rsidRPr="00D629F5">
              <w:rPr>
                <w:lang w:val="fr-FR"/>
              </w:rPr>
              <w:t>Vision du cinquième Plan stratégique (À confirmer)</w:t>
            </w:r>
          </w:p>
        </w:tc>
      </w:tr>
      <w:tr w:rsidR="00FF30E4" w:rsidRPr="00D629F5" w14:paraId="1B55B1D5" w14:textId="77777777" w:rsidTr="00FF30E4">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64EAB33" w14:textId="77777777" w:rsidR="00FF30E4" w:rsidRPr="00D629F5" w:rsidRDefault="00FF30E4">
            <w:pPr>
              <w:spacing w:before="60" w:after="60" w:line="256" w:lineRule="auto"/>
              <w:rPr>
                <w:b/>
                <w:bCs w:val="0"/>
                <w:color w:val="000000" w:themeColor="text1"/>
                <w:lang w:val="fr-FR"/>
              </w:rPr>
            </w:pPr>
            <w:r w:rsidRPr="00D629F5">
              <w:rPr>
                <w:b/>
                <w:color w:val="000000" w:themeColor="text1"/>
                <w:lang w:val="fr-FR"/>
              </w:rPr>
              <w:t xml:space="preserve">Tâche </w:t>
            </w:r>
            <w:r w:rsidRPr="00D629F5">
              <w:rPr>
                <w:b/>
                <w:bCs w:val="0"/>
                <w:color w:val="000000" w:themeColor="text1"/>
                <w:lang w:val="fr-FR"/>
              </w:rPr>
              <w:t>4.2.</w:t>
            </w:r>
            <w:r w:rsidRPr="00D629F5">
              <w:rPr>
                <w:color w:val="000000" w:themeColor="text1"/>
                <w:lang w:val="fr-FR"/>
              </w:rPr>
              <w:t xml:space="preserve"> Stimulation de la restauration des zones humides pour renforcer la résilience climatique et la restauration de la biodiversité : En s’appuyant sur les résultats du GEST et les cadres mondiaux.</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0AB26C" w14:textId="77777777" w:rsidR="00FF30E4" w:rsidRPr="00D629F5" w:rsidRDefault="00FF30E4">
            <w:pPr>
              <w:spacing w:before="60" w:after="60" w:line="256" w:lineRule="auto"/>
              <w:rPr>
                <w:color w:val="000000" w:themeColor="text1"/>
                <w:lang w:val="fr-FR"/>
              </w:rPr>
            </w:pPr>
            <w:r w:rsidRPr="00D629F5">
              <w:rPr>
                <w:color w:val="000000" w:themeColor="text1"/>
                <w:lang w:val="fr-FR"/>
              </w:rPr>
              <w:t xml:space="preserve">Dans le cadre de la tâche 4.2, les connaissances et les orientations relatives à la restauration des zones humides feront l’objet d’une synthèse et seront promues afin d’améliorer la résilience climatique et de soutenir le rétablissement de la biodiversité.  </w:t>
            </w:r>
          </w:p>
          <w:p w14:paraId="0C6BAC7C" w14:textId="77777777" w:rsidR="00FF30E4" w:rsidRPr="00D629F5" w:rsidRDefault="00FF30E4">
            <w:pPr>
              <w:spacing w:before="60" w:after="60" w:line="256" w:lineRule="auto"/>
              <w:rPr>
                <w:color w:val="000000" w:themeColor="text1"/>
                <w:lang w:val="fr-FR"/>
              </w:rPr>
            </w:pPr>
            <w:r w:rsidRPr="00D629F5">
              <w:rPr>
                <w:color w:val="000000" w:themeColor="text1"/>
                <w:lang w:val="fr-FR"/>
              </w:rPr>
              <w:t xml:space="preserve">La tâche 4.2 s’inspirera de la gamme des produits du GEST relatifs à la restauration, tels que la Note d’information 10 sur la restauration des zones humides pour la résilience aux changements climatiques, la Note d’information 11 sur la restauration pratique des tourbières et les Perspectives mondiales des zones humides : Édition spéciale 2025. Les travaux garantiront aussi l’intégration et la communication des progrès internationaux en matière de restauration, tels que les futures orientations associées à la Cible 2 du CMB-KM et la Décennie des Nations Unies pour la restauration.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C4BCF5" w14:textId="77777777" w:rsidR="00FF30E4" w:rsidRPr="00D629F5" w:rsidRDefault="00FF30E4">
            <w:pPr>
              <w:spacing w:before="60" w:after="60" w:line="256" w:lineRule="auto"/>
              <w:rPr>
                <w:lang w:val="fr-FR"/>
              </w:rPr>
            </w:pPr>
            <w:r w:rsidRPr="00D629F5">
              <w:rPr>
                <w:lang w:val="fr-FR"/>
              </w:rPr>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91C76A" w14:textId="77777777" w:rsidR="00FF30E4" w:rsidRPr="00D629F5" w:rsidRDefault="00FF30E4">
            <w:pPr>
              <w:spacing w:before="60" w:after="60" w:line="256" w:lineRule="auto"/>
              <w:rPr>
                <w:lang w:val="fr-FR"/>
              </w:rPr>
            </w:pPr>
            <w:r w:rsidRPr="00D629F5">
              <w:rPr>
                <w:lang w:val="fr-FR"/>
              </w:rPr>
              <w:t xml:space="preserve">Élaborer des supports de communication, notamment des Notes d’orientation et/ou des Notes d’information, si nécessaire. </w:t>
            </w:r>
          </w:p>
          <w:p w14:paraId="129C0122" w14:textId="77777777" w:rsidR="00FF30E4" w:rsidRPr="00D629F5" w:rsidRDefault="00FF30E4">
            <w:pPr>
              <w:spacing w:before="60" w:after="60" w:line="256" w:lineRule="auto"/>
              <w:rPr>
                <w:lang w:val="fr-FR"/>
              </w:rPr>
            </w:pPr>
            <w:r w:rsidRPr="00D629F5">
              <w:rPr>
                <w:lang w:val="fr-FR"/>
              </w:rPr>
              <w:t xml:space="preserve">Mettre en œuvre des activités de renforcement des capacités et d’échange des connaissances. </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5E41DBE" w14:textId="77777777" w:rsidR="00FF30E4" w:rsidRPr="00D629F5" w:rsidRDefault="00FF30E4">
            <w:pPr>
              <w:spacing w:before="60" w:after="60" w:line="256" w:lineRule="auto"/>
              <w:rPr>
                <w:lang w:val="fr-FR"/>
              </w:rPr>
            </w:pPr>
            <w:r w:rsidRPr="00D629F5">
              <w:rPr>
                <w:lang w:val="fr-FR"/>
              </w:rPr>
              <w:t>Activités pertinentes du GEST : p.ex., Rés. XIV.6, par. 45 ; Rés. XIV.14, Annexe 2 ; Rés. XIV.16, par. 21 ; Rés. XIV.17, par. 14.</w:t>
            </w:r>
          </w:p>
        </w:tc>
      </w:tr>
      <w:tr w:rsidR="00FF30E4" w:rsidRPr="00D629F5" w14:paraId="622549BB" w14:textId="77777777" w:rsidTr="00FF30E4">
        <w:trPr>
          <w:cantSplit/>
          <w:trHeight w:val="300"/>
        </w:trPr>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193E782" w14:textId="77777777" w:rsidR="00FF30E4" w:rsidRPr="00D629F5" w:rsidRDefault="00FF30E4">
            <w:pPr>
              <w:keepNext/>
              <w:spacing w:before="60" w:after="60" w:line="256" w:lineRule="auto"/>
              <w:rPr>
                <w:b/>
                <w:color w:val="000000"/>
                <w:lang w:val="fr-FR"/>
              </w:rPr>
            </w:pPr>
            <w:r w:rsidRPr="00D629F5">
              <w:rPr>
                <w:b/>
                <w:color w:val="000000" w:themeColor="text1"/>
                <w:lang w:val="fr-FR"/>
              </w:rPr>
              <w:t>DTT 5 : Questions transversales, fonctions d’appui et synergies avec d’autres accords multilatéraux sur l’environnement (AME).</w:t>
            </w:r>
          </w:p>
        </w:tc>
      </w:tr>
      <w:tr w:rsidR="00FF30E4" w:rsidRPr="00D629F5" w14:paraId="5FCDEDD4" w14:textId="77777777" w:rsidTr="00FF30E4">
        <w:trPr>
          <w:cantSplit/>
          <w:trHeight w:val="30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8A6D2A" w14:textId="77777777" w:rsidR="00FF30E4" w:rsidRPr="00D629F5" w:rsidRDefault="00FF30E4">
            <w:pPr>
              <w:spacing w:before="60" w:after="60" w:line="256" w:lineRule="auto"/>
              <w:rPr>
                <w:color w:val="000000"/>
                <w:lang w:val="fr-FR"/>
              </w:rPr>
            </w:pPr>
            <w:r w:rsidRPr="00D629F5">
              <w:rPr>
                <w:b/>
                <w:bCs w:val="0"/>
                <w:color w:val="000000" w:themeColor="text1"/>
                <w:lang w:val="fr-FR"/>
              </w:rPr>
              <w:t>Tâche 5.1.</w:t>
            </w:r>
            <w:r w:rsidRPr="00D629F5">
              <w:rPr>
                <w:color w:val="000000" w:themeColor="text1"/>
                <w:lang w:val="fr-FR"/>
              </w:rPr>
              <w:t xml:space="preserve"> Perspectives mondiales des zones humides</w:t>
            </w:r>
          </w:p>
        </w:tc>
        <w:tc>
          <w:tcPr>
            <w:tcW w:w="566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8AC31F" w14:textId="77777777" w:rsidR="00FF30E4" w:rsidRPr="00D629F5" w:rsidRDefault="00FF30E4">
            <w:pPr>
              <w:spacing w:before="60" w:after="60" w:line="256" w:lineRule="auto"/>
              <w:rPr>
                <w:color w:val="000000" w:themeColor="text1"/>
                <w:lang w:val="fr-FR"/>
              </w:rPr>
            </w:pPr>
            <w:r w:rsidRPr="00D629F5">
              <w:rPr>
                <w:color w:val="000000" w:themeColor="text1"/>
                <w:lang w:val="fr-FR"/>
              </w:rPr>
              <w:t xml:space="preserve">La tâche 5.1. porte sur une publication phare de la Convention, fournissant des évaluations complètes et factuelles de l’état mondial des zones humides, évaluant les progrès accomplis par rapport au Plan stratégique et proposant des recommandations ciblées aux décideurs. Le processus d’évaluation suivra une approche par étapes structurée, tenant compte de la portée, de la collecte de données, de l’examen par des experts et d’efforts de communication considérables.  </w:t>
            </w:r>
          </w:p>
        </w:tc>
        <w:tc>
          <w:tcPr>
            <w:tcW w:w="1425" w:type="dxa"/>
            <w:gridSpan w:val="2"/>
            <w:tcBorders>
              <w:top w:val="nil"/>
              <w:left w:val="single" w:sz="8" w:space="0" w:color="000000" w:themeColor="text1"/>
              <w:bottom w:val="single" w:sz="4" w:space="0" w:color="auto"/>
              <w:right w:val="single" w:sz="8" w:space="0" w:color="000000" w:themeColor="text1"/>
            </w:tcBorders>
            <w:hideMark/>
          </w:tcPr>
          <w:p w14:paraId="1E6C2E17" w14:textId="77777777" w:rsidR="00FF30E4" w:rsidRPr="00D629F5" w:rsidRDefault="00FF30E4">
            <w:pPr>
              <w:spacing w:before="60" w:after="60" w:line="256" w:lineRule="auto"/>
              <w:rPr>
                <w:lang w:val="fr-FR"/>
              </w:rPr>
            </w:pPr>
            <w:r w:rsidRPr="00D629F5">
              <w:rPr>
                <w:lang w:val="fr-FR"/>
              </w:rPr>
              <w:t>Tâche triennale (sous réserve de ressources humaines et financières).</w:t>
            </w:r>
          </w:p>
        </w:tc>
        <w:tc>
          <w:tcPr>
            <w:tcW w:w="1913" w:type="dxa"/>
            <w:tcBorders>
              <w:top w:val="nil"/>
              <w:left w:val="single" w:sz="8" w:space="0" w:color="000000" w:themeColor="text1"/>
              <w:bottom w:val="single" w:sz="4" w:space="0" w:color="auto"/>
              <w:right w:val="single" w:sz="8" w:space="0" w:color="000000" w:themeColor="text1"/>
            </w:tcBorders>
            <w:hideMark/>
          </w:tcPr>
          <w:p w14:paraId="3730FA2E" w14:textId="77777777" w:rsidR="00FF30E4" w:rsidRPr="00D629F5" w:rsidRDefault="00FF30E4">
            <w:pPr>
              <w:spacing w:before="60" w:after="60" w:line="256" w:lineRule="auto"/>
              <w:rPr>
                <w:lang w:val="fr-FR"/>
              </w:rPr>
            </w:pPr>
            <w:r w:rsidRPr="00D629F5">
              <w:rPr>
                <w:lang w:val="fr-FR"/>
              </w:rPr>
              <w:t>Perspectives mondiales des zones humides 2028.</w:t>
            </w:r>
          </w:p>
        </w:tc>
        <w:tc>
          <w:tcPr>
            <w:tcW w:w="1914" w:type="dxa"/>
            <w:tcBorders>
              <w:top w:val="nil"/>
              <w:left w:val="single" w:sz="8" w:space="0" w:color="000000" w:themeColor="text1"/>
              <w:bottom w:val="single" w:sz="4" w:space="0" w:color="auto"/>
              <w:right w:val="single" w:sz="8" w:space="0" w:color="000000" w:themeColor="text1"/>
            </w:tcBorders>
            <w:hideMark/>
          </w:tcPr>
          <w:p w14:paraId="6CFA77AC" w14:textId="77777777" w:rsidR="00FF30E4" w:rsidRPr="00D629F5" w:rsidRDefault="00FF30E4">
            <w:pPr>
              <w:spacing w:before="60" w:after="60" w:line="256" w:lineRule="auto"/>
              <w:rPr>
                <w:lang w:val="fr-FR"/>
              </w:rPr>
            </w:pPr>
            <w:r w:rsidRPr="00D629F5">
              <w:rPr>
                <w:lang w:val="fr-FR"/>
              </w:rPr>
              <w:t>Doc. SC64.18</w:t>
            </w:r>
          </w:p>
        </w:tc>
      </w:tr>
      <w:tr w:rsidR="00FF30E4" w:rsidRPr="00D629F5" w14:paraId="58EE99BC" w14:textId="77777777" w:rsidTr="00FF30E4">
        <w:trPr>
          <w:cantSplit/>
          <w:trHeight w:val="300"/>
        </w:trPr>
        <w:tc>
          <w:tcPr>
            <w:tcW w:w="2967" w:type="dxa"/>
            <w:tcBorders>
              <w:top w:val="single" w:sz="4" w:space="0" w:color="auto"/>
              <w:left w:val="single" w:sz="8" w:space="0" w:color="000000" w:themeColor="text1"/>
              <w:bottom w:val="single" w:sz="4" w:space="0" w:color="auto"/>
              <w:right w:val="single" w:sz="8" w:space="0" w:color="000000" w:themeColor="text1"/>
            </w:tcBorders>
            <w:hideMark/>
          </w:tcPr>
          <w:p w14:paraId="7A29D107" w14:textId="77777777" w:rsidR="00FF30E4" w:rsidRPr="00D629F5" w:rsidRDefault="00FF30E4">
            <w:pPr>
              <w:spacing w:before="60" w:after="60" w:line="256" w:lineRule="auto"/>
              <w:rPr>
                <w:color w:val="000000"/>
                <w:lang w:val="fr-FR"/>
              </w:rPr>
            </w:pPr>
            <w:r w:rsidRPr="00D629F5">
              <w:rPr>
                <w:b/>
                <w:color w:val="000000" w:themeColor="text1"/>
                <w:lang w:val="fr-FR"/>
              </w:rPr>
              <w:t>Tâche 5.2.</w:t>
            </w:r>
            <w:r w:rsidRPr="00D629F5">
              <w:rPr>
                <w:color w:val="000000" w:themeColor="text1"/>
                <w:lang w:val="fr-FR"/>
              </w:rPr>
              <w:t xml:space="preserve"> Amélioration des rapports sur les zones humides, au plan mondial : synergies dans le développement des indicateurs et méthodes pour le cinquième Plan stratégique de la Convention et d’autres processus mondiaux.</w:t>
            </w:r>
          </w:p>
        </w:tc>
        <w:tc>
          <w:tcPr>
            <w:tcW w:w="5663" w:type="dxa"/>
            <w:tcBorders>
              <w:top w:val="single" w:sz="4" w:space="0" w:color="auto"/>
              <w:left w:val="single" w:sz="8" w:space="0" w:color="000000" w:themeColor="text1"/>
              <w:bottom w:val="single" w:sz="4" w:space="0" w:color="auto"/>
              <w:right w:val="single" w:sz="8" w:space="0" w:color="000000" w:themeColor="text1"/>
            </w:tcBorders>
            <w:hideMark/>
          </w:tcPr>
          <w:p w14:paraId="3144F2C7" w14:textId="77777777" w:rsidR="00FF30E4" w:rsidRPr="00D629F5" w:rsidRDefault="00FF30E4">
            <w:pPr>
              <w:spacing w:before="60" w:after="60" w:line="256" w:lineRule="auto"/>
              <w:rPr>
                <w:color w:val="000000"/>
                <w:lang w:val="fr-FR"/>
              </w:rPr>
            </w:pPr>
            <w:r w:rsidRPr="00D629F5">
              <w:rPr>
                <w:color w:val="000000" w:themeColor="text1"/>
                <w:lang w:val="fr-FR"/>
              </w:rPr>
              <w:t xml:space="preserve">Dans la tâche 5.2 seront développées des orientations sur les moyens de combler les lacunes dans les indicateurs et des outils d’établissement de rapports sur les zones humides pour soutenir l’évaluation des indicateurs et des cibles associés au cinquième Plan stratégique de la Convention et à d’autres évaluations et processus d’établissement de rapports mondiaux (par exemple, CMB-KM). Ce sera principalement l’occasion de poursuivre les travaux en parallèle avec le CMB-KM pour fixer des objectifs ambitieux et liés pour les zones humides et des indicateurs de suivi, par exemple, dans le cadre des Stratégies et plans d’action nationaux pour la biodiversité (SPANB). </w:t>
            </w:r>
          </w:p>
        </w:tc>
        <w:tc>
          <w:tcPr>
            <w:tcW w:w="1425" w:type="dxa"/>
            <w:gridSpan w:val="2"/>
            <w:tcBorders>
              <w:top w:val="single" w:sz="4" w:space="0" w:color="auto"/>
              <w:left w:val="single" w:sz="8" w:space="0" w:color="000000" w:themeColor="text1"/>
              <w:bottom w:val="single" w:sz="4" w:space="0" w:color="auto"/>
              <w:right w:val="single" w:sz="8" w:space="0" w:color="000000" w:themeColor="text1"/>
            </w:tcBorders>
            <w:hideMark/>
          </w:tcPr>
          <w:p w14:paraId="3D22923C" w14:textId="77777777" w:rsidR="00FF30E4" w:rsidRPr="00D629F5" w:rsidRDefault="00FF30E4">
            <w:pPr>
              <w:spacing w:before="60" w:after="60" w:line="256" w:lineRule="auto"/>
              <w:rPr>
                <w:lang w:val="fr-FR"/>
              </w:rPr>
            </w:pPr>
            <w:r w:rsidRPr="00D629F5">
              <w:rPr>
                <w:lang w:val="fr-FR"/>
              </w:rPr>
              <w:t>2026-2028</w:t>
            </w:r>
          </w:p>
        </w:tc>
        <w:tc>
          <w:tcPr>
            <w:tcW w:w="1913" w:type="dxa"/>
            <w:tcBorders>
              <w:top w:val="single" w:sz="4" w:space="0" w:color="auto"/>
              <w:left w:val="single" w:sz="8" w:space="0" w:color="000000" w:themeColor="text1"/>
              <w:bottom w:val="single" w:sz="4" w:space="0" w:color="auto"/>
              <w:right w:val="single" w:sz="8" w:space="0" w:color="000000" w:themeColor="text1"/>
            </w:tcBorders>
            <w:hideMark/>
          </w:tcPr>
          <w:p w14:paraId="7250EEBF" w14:textId="77777777" w:rsidR="00FF30E4" w:rsidRPr="00D629F5" w:rsidRDefault="00FF30E4">
            <w:pPr>
              <w:spacing w:before="60" w:after="60" w:line="256" w:lineRule="auto"/>
              <w:rPr>
                <w:lang w:val="fr-FR"/>
              </w:rPr>
            </w:pPr>
            <w:r w:rsidRPr="00D629F5">
              <w:rPr>
                <w:lang w:val="fr-FR"/>
              </w:rPr>
              <w:t>Rapport technique et/ou Note d’information.</w:t>
            </w:r>
          </w:p>
        </w:tc>
        <w:tc>
          <w:tcPr>
            <w:tcW w:w="1914" w:type="dxa"/>
            <w:tcBorders>
              <w:top w:val="single" w:sz="4" w:space="0" w:color="auto"/>
              <w:left w:val="single" w:sz="8" w:space="0" w:color="000000" w:themeColor="text1"/>
              <w:bottom w:val="single" w:sz="4" w:space="0" w:color="auto"/>
              <w:right w:val="single" w:sz="8" w:space="0" w:color="000000" w:themeColor="text1"/>
            </w:tcBorders>
            <w:hideMark/>
          </w:tcPr>
          <w:p w14:paraId="25E40542" w14:textId="77777777" w:rsidR="00FF30E4" w:rsidRPr="00D629F5" w:rsidRDefault="00FF30E4">
            <w:pPr>
              <w:spacing w:before="60" w:after="60" w:line="256" w:lineRule="auto"/>
              <w:rPr>
                <w:lang w:val="fr-FR"/>
              </w:rPr>
            </w:pPr>
            <w:r w:rsidRPr="00D629F5">
              <w:rPr>
                <w:lang w:val="fr-FR"/>
              </w:rPr>
              <w:t>Doc. SC63.19 (par. 19-21 &amp; Annexe 2).</w:t>
            </w:r>
          </w:p>
          <w:p w14:paraId="37AA6FCC" w14:textId="77777777" w:rsidR="00FF30E4" w:rsidRPr="00D629F5" w:rsidRDefault="00FF30E4">
            <w:pPr>
              <w:spacing w:before="60" w:after="60" w:line="256" w:lineRule="auto"/>
              <w:rPr>
                <w:lang w:val="fr-FR"/>
              </w:rPr>
            </w:pPr>
            <w:r w:rsidRPr="00D629F5">
              <w:rPr>
                <w:lang w:val="fr-FR"/>
              </w:rPr>
              <w:t>Rés. XIII.5</w:t>
            </w:r>
          </w:p>
          <w:p w14:paraId="208FAF24" w14:textId="77777777" w:rsidR="00FF30E4" w:rsidRPr="00D629F5" w:rsidRDefault="00FF30E4">
            <w:pPr>
              <w:spacing w:before="60" w:after="60" w:line="256" w:lineRule="auto"/>
              <w:rPr>
                <w:lang w:val="fr-FR"/>
              </w:rPr>
            </w:pPr>
            <w:r w:rsidRPr="00D629F5">
              <w:rPr>
                <w:lang w:val="fr-FR"/>
              </w:rPr>
              <w:t>Rés. XIV.14, Annexe 2</w:t>
            </w:r>
          </w:p>
          <w:p w14:paraId="433EBD3D" w14:textId="77777777" w:rsidR="00FF30E4" w:rsidRPr="00D629F5" w:rsidRDefault="00FF30E4">
            <w:pPr>
              <w:spacing w:before="60" w:after="60" w:line="256" w:lineRule="auto"/>
              <w:rPr>
                <w:lang w:val="fr-FR"/>
              </w:rPr>
            </w:pPr>
            <w:r w:rsidRPr="00D629F5">
              <w:rPr>
                <w:lang w:val="fr-FR"/>
              </w:rPr>
              <w:t>Rés. XIV.6, par. 24 &amp; 44</w:t>
            </w:r>
          </w:p>
        </w:tc>
      </w:tr>
      <w:tr w:rsidR="00FF30E4" w:rsidRPr="00D629F5" w14:paraId="6FD85F65" w14:textId="77777777" w:rsidTr="00FF30E4">
        <w:trPr>
          <w:cantSplit/>
          <w:trHeight w:val="300"/>
        </w:trPr>
        <w:tc>
          <w:tcPr>
            <w:tcW w:w="2967" w:type="dxa"/>
            <w:tcBorders>
              <w:top w:val="single" w:sz="4" w:space="0" w:color="000000" w:themeColor="text1"/>
              <w:left w:val="single" w:sz="8" w:space="0" w:color="000000" w:themeColor="text1"/>
              <w:bottom w:val="single" w:sz="8" w:space="0" w:color="000000" w:themeColor="text1"/>
              <w:right w:val="single" w:sz="8" w:space="0" w:color="000000" w:themeColor="text1"/>
            </w:tcBorders>
            <w:hideMark/>
          </w:tcPr>
          <w:p w14:paraId="548CB390" w14:textId="77777777" w:rsidR="00FF30E4" w:rsidRPr="00D629F5" w:rsidRDefault="00FF30E4">
            <w:pPr>
              <w:spacing w:before="60" w:after="60" w:line="256" w:lineRule="auto"/>
              <w:rPr>
                <w:lang w:val="fr-FR"/>
              </w:rPr>
            </w:pPr>
            <w:r w:rsidRPr="00D629F5">
              <w:rPr>
                <w:b/>
                <w:color w:val="000000" w:themeColor="text1"/>
                <w:lang w:val="fr-FR"/>
              </w:rPr>
              <w:t xml:space="preserve">Tâche </w:t>
            </w:r>
            <w:r w:rsidRPr="00D629F5">
              <w:rPr>
                <w:b/>
                <w:bCs w:val="0"/>
                <w:color w:val="000000" w:themeColor="text1"/>
                <w:lang w:val="fr-FR"/>
              </w:rPr>
              <w:t>5.3.</w:t>
            </w:r>
            <w:r w:rsidRPr="00D629F5">
              <w:rPr>
                <w:color w:val="000000" w:themeColor="text1"/>
                <w:lang w:val="fr-FR"/>
              </w:rPr>
              <w:t xml:space="preserve"> </w:t>
            </w:r>
            <w:r w:rsidRPr="00D629F5">
              <w:rPr>
                <w:rFonts w:eastAsia="Calibri"/>
                <w:lang w:val="fr-FR"/>
              </w:rPr>
              <w:t xml:space="preserve">Examen des cadres politiques et juridiques pour la conservation et l’utilisation rationnelle des zones humides. </w:t>
            </w:r>
          </w:p>
        </w:tc>
        <w:tc>
          <w:tcPr>
            <w:tcW w:w="5663"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34D1753A" w14:textId="77777777" w:rsidR="00FF30E4" w:rsidRPr="00D629F5" w:rsidRDefault="00FF30E4">
            <w:pPr>
              <w:spacing w:before="60" w:after="60" w:line="256" w:lineRule="auto"/>
              <w:rPr>
                <w:color w:val="000000" w:themeColor="text1"/>
                <w:lang w:val="fr-FR"/>
              </w:rPr>
            </w:pPr>
            <w:r w:rsidRPr="00D629F5">
              <w:rPr>
                <w:color w:val="000000" w:themeColor="text1"/>
                <w:lang w:val="fr-FR"/>
              </w:rPr>
              <w:t>La tâche 5.3 évaluera les cadres politiques et juridiques pour estimer l’efficacité de leur appui à la conservation, la restauration et l’utilisation rationnelle des zones humides. Cette évaluation s’appuiera sur les orientations et informations fournies dans le Manuel 3 : Lois et institutions, tout en tenant compte d’études de cas plus récentes et de l’évolution des lois. La tâche permettra d’identifier et de présenter des exemples de réussites en matière de lois et politiques pour les zones humides ayant donné des résultats positifs encourageant l’utilisation rationnelle, la conservation et la restauration de zones humides, et fournira des recommandations pour améliorer la mise en œuvre de ces cadres.</w:t>
            </w:r>
          </w:p>
        </w:tc>
        <w:tc>
          <w:tcPr>
            <w:tcW w:w="1425" w:type="dxa"/>
            <w:gridSpan w:val="2"/>
            <w:tcBorders>
              <w:top w:val="single" w:sz="4" w:space="0" w:color="auto"/>
              <w:left w:val="single" w:sz="8" w:space="0" w:color="000000" w:themeColor="text1"/>
              <w:bottom w:val="single" w:sz="8" w:space="0" w:color="000000" w:themeColor="text1"/>
              <w:right w:val="single" w:sz="8" w:space="0" w:color="000000" w:themeColor="text1"/>
            </w:tcBorders>
            <w:hideMark/>
          </w:tcPr>
          <w:p w14:paraId="628B0AB5" w14:textId="77777777" w:rsidR="00FF30E4" w:rsidRPr="00D629F5" w:rsidRDefault="00FF30E4">
            <w:pPr>
              <w:spacing w:before="60" w:after="60" w:line="256" w:lineRule="auto"/>
              <w:rPr>
                <w:lang w:val="fr-FR"/>
              </w:rPr>
            </w:pPr>
            <w:r w:rsidRPr="00D629F5">
              <w:rPr>
                <w:lang w:val="fr-FR"/>
              </w:rPr>
              <w:t>2026-2028</w:t>
            </w:r>
          </w:p>
        </w:tc>
        <w:tc>
          <w:tcPr>
            <w:tcW w:w="1913" w:type="dxa"/>
            <w:tcBorders>
              <w:top w:val="single" w:sz="4" w:space="0" w:color="auto"/>
              <w:left w:val="single" w:sz="8" w:space="0" w:color="000000" w:themeColor="text1"/>
              <w:bottom w:val="single" w:sz="8" w:space="0" w:color="000000" w:themeColor="text1"/>
              <w:right w:val="single" w:sz="8" w:space="0" w:color="000000" w:themeColor="text1"/>
            </w:tcBorders>
          </w:tcPr>
          <w:p w14:paraId="0B26BD64" w14:textId="77777777" w:rsidR="00FF30E4" w:rsidRPr="00D629F5" w:rsidRDefault="00FF30E4">
            <w:pPr>
              <w:spacing w:before="60" w:after="60" w:line="256" w:lineRule="auto"/>
              <w:rPr>
                <w:lang w:val="fr-FR"/>
              </w:rPr>
            </w:pPr>
            <w:r w:rsidRPr="00D629F5">
              <w:rPr>
                <w:lang w:val="fr-FR"/>
              </w:rPr>
              <w:t>Rapport technique et/ou Note d’information.</w:t>
            </w:r>
          </w:p>
          <w:p w14:paraId="683C4D90" w14:textId="77777777" w:rsidR="00FF30E4" w:rsidRPr="00D629F5" w:rsidRDefault="00FF30E4">
            <w:pPr>
              <w:spacing w:before="60" w:after="60" w:line="256" w:lineRule="auto"/>
              <w:rPr>
                <w:lang w:val="fr-FR"/>
              </w:rPr>
            </w:pPr>
          </w:p>
          <w:p w14:paraId="6C787BE7" w14:textId="77777777" w:rsidR="00FF30E4" w:rsidRPr="00D629F5" w:rsidRDefault="00FF30E4">
            <w:pPr>
              <w:spacing w:before="60" w:after="60" w:line="256" w:lineRule="auto"/>
              <w:rPr>
                <w:lang w:val="fr-FR"/>
              </w:rPr>
            </w:pPr>
            <w:r w:rsidRPr="00D629F5">
              <w:rPr>
                <w:lang w:val="fr-FR"/>
              </w:rPr>
              <w:t xml:space="preserve">Base de données sur les politiques. </w:t>
            </w:r>
          </w:p>
        </w:tc>
        <w:tc>
          <w:tcPr>
            <w:tcW w:w="1914"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65365104" w14:textId="77777777" w:rsidR="00FF30E4" w:rsidRPr="00D629F5" w:rsidRDefault="00FF30E4">
            <w:pPr>
              <w:spacing w:before="60" w:after="60" w:line="256" w:lineRule="auto"/>
              <w:rPr>
                <w:lang w:val="fr-FR"/>
              </w:rPr>
            </w:pPr>
            <w:r w:rsidRPr="00D629F5">
              <w:rPr>
                <w:lang w:val="fr-FR"/>
              </w:rPr>
              <w:t xml:space="preserve">SC57 Doc.8 ; Rés. XIV.14., Annexe 2 ; &amp; </w:t>
            </w:r>
          </w:p>
          <w:p w14:paraId="6FCEE948" w14:textId="77777777" w:rsidR="00FF30E4" w:rsidRPr="00D629F5" w:rsidRDefault="00FF30E4">
            <w:pPr>
              <w:spacing w:before="60" w:after="60" w:line="256" w:lineRule="auto"/>
              <w:rPr>
                <w:lang w:val="fr-FR"/>
              </w:rPr>
            </w:pPr>
            <w:r w:rsidRPr="00D629F5">
              <w:rPr>
                <w:lang w:val="fr-FR"/>
              </w:rPr>
              <w:t>Poursuite du plan de travail du GEST 2023-2025 (Décision 04 pré-SC62).</w:t>
            </w:r>
          </w:p>
        </w:tc>
      </w:tr>
    </w:tbl>
    <w:p w14:paraId="5AD0A9CA" w14:textId="77777777" w:rsidR="00FF30E4" w:rsidRPr="00D629F5" w:rsidRDefault="00FF30E4" w:rsidP="00FF30E4">
      <w:pPr>
        <w:rPr>
          <w:lang w:val="fr-FR"/>
        </w:rPr>
        <w:sectPr w:rsidR="00FF30E4" w:rsidRPr="00D629F5">
          <w:footerReference w:type="default" r:id="rId16"/>
          <w:pgSz w:w="16838" w:h="11906" w:orient="landscape"/>
          <w:pgMar w:top="1440" w:right="1440" w:bottom="1440" w:left="1440" w:header="720" w:footer="720" w:gutter="0"/>
          <w:cols w:space="720"/>
        </w:sectPr>
      </w:pPr>
    </w:p>
    <w:p w14:paraId="120E8D37" w14:textId="77777777" w:rsidR="00FF30E4" w:rsidRPr="00D629F5" w:rsidRDefault="00FF30E4" w:rsidP="00FF30E4">
      <w:pPr>
        <w:rPr>
          <w:b/>
          <w:bCs w:val="0"/>
          <w:lang w:val="fr-FR"/>
        </w:rPr>
      </w:pPr>
      <w:r w:rsidRPr="00D629F5">
        <w:rPr>
          <w:b/>
          <w:bCs w:val="0"/>
          <w:lang w:val="fr-FR"/>
        </w:rPr>
        <w:t>Tâches additionnelles du GEST</w:t>
      </w:r>
    </w:p>
    <w:p w14:paraId="534C40DC" w14:textId="77777777" w:rsidR="00FF30E4" w:rsidRPr="00D629F5" w:rsidRDefault="00FF30E4" w:rsidP="00FF30E4">
      <w:pPr>
        <w:rPr>
          <w:lang w:val="fr-FR"/>
        </w:rPr>
      </w:pPr>
    </w:p>
    <w:p w14:paraId="2F611582" w14:textId="77777777" w:rsidR="00FF30E4" w:rsidRPr="00D629F5" w:rsidRDefault="00FF30E4" w:rsidP="00FF30E4">
      <w:pPr>
        <w:ind w:left="432" w:hanging="432"/>
        <w:rPr>
          <w:lang w:val="fr-FR"/>
        </w:rPr>
      </w:pPr>
      <w:r w:rsidRPr="00D629F5">
        <w:rPr>
          <w:lang w:val="fr-FR"/>
        </w:rPr>
        <w:t>4.</w:t>
      </w:r>
      <w:r w:rsidRPr="00D629F5">
        <w:rPr>
          <w:lang w:val="fr-FR"/>
        </w:rPr>
        <w:tab/>
        <w:t>D’autres tâches pourraient être incluses dans le plan de travail du GEST pour la période triennale 2026-2028.</w:t>
      </w:r>
    </w:p>
    <w:p w14:paraId="3A82F10C" w14:textId="77777777" w:rsidR="00FF30E4" w:rsidRPr="00D629F5" w:rsidRDefault="00FF30E4" w:rsidP="00FF30E4">
      <w:pPr>
        <w:rPr>
          <w:lang w:val="fr-FR"/>
        </w:rPr>
      </w:pPr>
    </w:p>
    <w:p w14:paraId="4C662483" w14:textId="77777777" w:rsidR="00FF30E4" w:rsidRPr="00D629F5" w:rsidRDefault="00FF30E4" w:rsidP="00FF30E4">
      <w:pPr>
        <w:rPr>
          <w:lang w:val="fr-FR"/>
        </w:rPr>
      </w:pPr>
      <w:r w:rsidRPr="00D629F5">
        <w:rPr>
          <w:lang w:val="fr-FR"/>
        </w:rPr>
        <w:t xml:space="preserve">Durant la consultation du GEST sur les éventuelles priorités, des tâches potentielles ont été identifiées et sont brièvement décrites dans le tableau ci-dessous. Toutefois, au moment d’établir le plan de travail du GEST pour la période triennale 2026-2028, il conviendra de réfléchir avec soin à la disponibilité des ressources humaines et financières. </w:t>
      </w:r>
    </w:p>
    <w:p w14:paraId="0593968D" w14:textId="77777777" w:rsidR="00FF30E4" w:rsidRPr="00D629F5" w:rsidRDefault="00FF30E4" w:rsidP="00FF30E4">
      <w:pPr>
        <w:rPr>
          <w:lang w:val="fr-FR"/>
        </w:rPr>
      </w:pPr>
    </w:p>
    <w:tbl>
      <w:tblPr>
        <w:tblW w:w="0" w:type="dxa"/>
        <w:tblLayout w:type="fixed"/>
        <w:tblLook w:val="0400" w:firstRow="0" w:lastRow="0" w:firstColumn="0" w:lastColumn="0" w:noHBand="0" w:noVBand="1"/>
      </w:tblPr>
      <w:tblGrid>
        <w:gridCol w:w="3676"/>
        <w:gridCol w:w="5224"/>
      </w:tblGrid>
      <w:tr w:rsidR="00FF30E4" w:rsidRPr="00D629F5" w14:paraId="5318BC03" w14:textId="77777777" w:rsidTr="00FF30E4">
        <w:trPr>
          <w:cantSplit/>
          <w:tblHeader/>
        </w:trPr>
        <w:tc>
          <w:tcPr>
            <w:tcW w:w="3676" w:type="dxa"/>
            <w:tcBorders>
              <w:top w:val="single" w:sz="8" w:space="0" w:color="000000"/>
              <w:left w:val="single" w:sz="8" w:space="0" w:color="000000"/>
              <w:bottom w:val="single" w:sz="8" w:space="0" w:color="000000"/>
              <w:right w:val="single" w:sz="8" w:space="0" w:color="000000"/>
            </w:tcBorders>
            <w:shd w:val="clear" w:color="auto" w:fill="D9D9D9"/>
            <w:hideMark/>
          </w:tcPr>
          <w:p w14:paraId="0A03545A" w14:textId="77777777" w:rsidR="00FF30E4" w:rsidRPr="00D629F5" w:rsidRDefault="00FF30E4">
            <w:pPr>
              <w:spacing w:line="256" w:lineRule="auto"/>
              <w:rPr>
                <w:b/>
                <w:color w:val="000000"/>
                <w:lang w:val="fr-FR"/>
              </w:rPr>
            </w:pPr>
            <w:r w:rsidRPr="00D629F5">
              <w:rPr>
                <w:b/>
                <w:color w:val="000000"/>
                <w:lang w:val="fr-FR"/>
              </w:rPr>
              <w:t>Nouvelles questions émergentes identifiées par le GEST</w:t>
            </w:r>
          </w:p>
        </w:tc>
        <w:tc>
          <w:tcPr>
            <w:tcW w:w="5224" w:type="dxa"/>
            <w:tcBorders>
              <w:top w:val="single" w:sz="8" w:space="0" w:color="000000"/>
              <w:left w:val="single" w:sz="8" w:space="0" w:color="000000"/>
              <w:bottom w:val="single" w:sz="8" w:space="0" w:color="000000"/>
              <w:right w:val="single" w:sz="8" w:space="0" w:color="000000"/>
            </w:tcBorders>
            <w:shd w:val="clear" w:color="auto" w:fill="D9D9D9"/>
            <w:hideMark/>
          </w:tcPr>
          <w:p w14:paraId="3CC7ABDB" w14:textId="77777777" w:rsidR="00FF30E4" w:rsidRPr="00D629F5" w:rsidRDefault="00FF30E4">
            <w:pPr>
              <w:spacing w:line="256" w:lineRule="auto"/>
              <w:rPr>
                <w:b/>
                <w:lang w:val="fr-FR"/>
              </w:rPr>
            </w:pPr>
            <w:r w:rsidRPr="00D629F5">
              <w:rPr>
                <w:b/>
                <w:lang w:val="fr-FR"/>
              </w:rPr>
              <w:t>Description</w:t>
            </w:r>
          </w:p>
        </w:tc>
      </w:tr>
      <w:tr w:rsidR="00FF30E4" w:rsidRPr="00D629F5" w14:paraId="749EB8BC"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76F1958E"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Cadre révisé pour la Convention et d’autres AME afin de coordonner les rapports au niveau mondial sur l’étendue et la dégradation des zones humides</w:t>
            </w:r>
          </w:p>
        </w:tc>
        <w:tc>
          <w:tcPr>
            <w:tcW w:w="5224" w:type="dxa"/>
            <w:tcBorders>
              <w:top w:val="single" w:sz="8" w:space="0" w:color="000000"/>
              <w:left w:val="single" w:sz="8" w:space="0" w:color="000000"/>
              <w:bottom w:val="single" w:sz="8" w:space="0" w:color="000000"/>
              <w:right w:val="single" w:sz="8" w:space="0" w:color="000000"/>
            </w:tcBorders>
            <w:hideMark/>
          </w:tcPr>
          <w:p w14:paraId="2D0359F4" w14:textId="77777777" w:rsidR="00FF30E4" w:rsidRPr="00D629F5" w:rsidRDefault="00FF30E4">
            <w:pPr>
              <w:spacing w:line="256" w:lineRule="auto"/>
              <w:rPr>
                <w:color w:val="000000"/>
                <w:lang w:val="fr-FR"/>
              </w:rPr>
            </w:pPr>
            <w:r w:rsidRPr="00D629F5">
              <w:rPr>
                <w:color w:val="000000"/>
                <w:lang w:val="fr-FR"/>
              </w:rPr>
              <w:t>Élaborer un cadre d’établissement des rapports normalisé pour harmoniser et améliorer la coordination mondiale des données sur l’étendue, l’état et la dégradation des zones humides à l’échelle de multiples AME, afin d’améliorer le suivi et les rapports sur la santé des zones humides.</w:t>
            </w:r>
          </w:p>
        </w:tc>
      </w:tr>
      <w:tr w:rsidR="00FF30E4" w:rsidRPr="00D629F5" w14:paraId="106BDEC2"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0821EF00"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Élaboration d’un inventaire mondial des zones humides exhaustif</w:t>
            </w:r>
          </w:p>
        </w:tc>
        <w:tc>
          <w:tcPr>
            <w:tcW w:w="5224" w:type="dxa"/>
            <w:tcBorders>
              <w:top w:val="single" w:sz="8" w:space="0" w:color="000000"/>
              <w:left w:val="single" w:sz="8" w:space="0" w:color="000000"/>
              <w:bottom w:val="single" w:sz="8" w:space="0" w:color="000000"/>
              <w:right w:val="single" w:sz="8" w:space="0" w:color="000000"/>
            </w:tcBorders>
            <w:hideMark/>
          </w:tcPr>
          <w:p w14:paraId="18DA794B" w14:textId="77777777" w:rsidR="00FF30E4" w:rsidRPr="00D629F5" w:rsidRDefault="00FF30E4">
            <w:pPr>
              <w:spacing w:line="256" w:lineRule="auto"/>
              <w:rPr>
                <w:color w:val="000000"/>
                <w:lang w:val="fr-FR"/>
              </w:rPr>
            </w:pPr>
            <w:r w:rsidRPr="00D629F5">
              <w:rPr>
                <w:color w:val="000000"/>
                <w:lang w:val="fr-FR"/>
              </w:rPr>
              <w:t>Élaborer un inventaire mondial des zones humides qui regroupe les données existantes et comble les lacunes afin de fournir une vue d’ensemble précise et complète des écosystèmes des zones humides à l’échelle mondiale.</w:t>
            </w:r>
          </w:p>
        </w:tc>
      </w:tr>
      <w:tr w:rsidR="00FF30E4" w:rsidRPr="00D629F5" w14:paraId="44831D5B"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154D67E9"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 xml:space="preserve">Cartographie et inventaire des zones humides dans le contexte périurbain </w:t>
            </w:r>
          </w:p>
        </w:tc>
        <w:tc>
          <w:tcPr>
            <w:tcW w:w="5224" w:type="dxa"/>
            <w:tcBorders>
              <w:top w:val="single" w:sz="8" w:space="0" w:color="000000"/>
              <w:left w:val="single" w:sz="8" w:space="0" w:color="000000"/>
              <w:bottom w:val="single" w:sz="8" w:space="0" w:color="000000"/>
              <w:right w:val="single" w:sz="8" w:space="0" w:color="000000"/>
            </w:tcBorders>
            <w:hideMark/>
          </w:tcPr>
          <w:p w14:paraId="5598084C" w14:textId="77777777" w:rsidR="00FF30E4" w:rsidRPr="00D629F5" w:rsidRDefault="00FF30E4">
            <w:pPr>
              <w:spacing w:line="256" w:lineRule="auto"/>
              <w:rPr>
                <w:color w:val="000000"/>
                <w:lang w:val="fr-FR"/>
              </w:rPr>
            </w:pPr>
            <w:r w:rsidRPr="00D629F5">
              <w:rPr>
                <w:color w:val="000000"/>
                <w:lang w:val="fr-FR"/>
              </w:rPr>
              <w:t>Traiter les difficultés particulières de la cartographie et de l’inventaire des zones humides en milieu périurbain, où l’expansion urbaine et les changements dans l’affectation des sols exercent des menaces importantes sur les écosystèmes des zones humides.</w:t>
            </w:r>
          </w:p>
        </w:tc>
      </w:tr>
      <w:tr w:rsidR="00FF30E4" w:rsidRPr="00D629F5" w14:paraId="7F95F905"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750A0C6A"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 xml:space="preserve">Évolution des cycles de l’eau et gestion des cycles de sécheresse </w:t>
            </w:r>
          </w:p>
        </w:tc>
        <w:tc>
          <w:tcPr>
            <w:tcW w:w="5224" w:type="dxa"/>
            <w:tcBorders>
              <w:top w:val="single" w:sz="8" w:space="0" w:color="000000"/>
              <w:left w:val="single" w:sz="8" w:space="0" w:color="000000"/>
              <w:bottom w:val="single" w:sz="8" w:space="0" w:color="000000"/>
              <w:right w:val="single" w:sz="8" w:space="0" w:color="000000"/>
            </w:tcBorders>
            <w:hideMark/>
          </w:tcPr>
          <w:p w14:paraId="1D8B2EFA" w14:textId="77777777" w:rsidR="00FF30E4" w:rsidRPr="00D629F5" w:rsidRDefault="00FF30E4">
            <w:pPr>
              <w:spacing w:line="256" w:lineRule="auto"/>
              <w:rPr>
                <w:color w:val="000000"/>
                <w:lang w:val="fr-FR"/>
              </w:rPr>
            </w:pPr>
            <w:r w:rsidRPr="00D629F5">
              <w:rPr>
                <w:color w:val="000000"/>
                <w:lang w:val="fr-FR"/>
              </w:rPr>
              <w:t xml:space="preserve">Explorer les effets de l’évolution des cycles de l’eau, notamment de l’augmentation de la fréquence des sécheresses sur les écosystèmes des zones humides et élaborer des stratégies pour gérer cette évolution afin de préserver la résilience et les fonctions des zones humides. </w:t>
            </w:r>
          </w:p>
        </w:tc>
      </w:tr>
      <w:tr w:rsidR="00FF30E4" w:rsidRPr="00D629F5" w14:paraId="1A596000"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377F2A9B"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 xml:space="preserve">Soutien pour les moyens d’existence des communautés résidant dans les zones humides </w:t>
            </w:r>
          </w:p>
        </w:tc>
        <w:tc>
          <w:tcPr>
            <w:tcW w:w="5224" w:type="dxa"/>
            <w:tcBorders>
              <w:top w:val="single" w:sz="8" w:space="0" w:color="000000"/>
              <w:left w:val="single" w:sz="8" w:space="0" w:color="000000"/>
              <w:bottom w:val="single" w:sz="8" w:space="0" w:color="000000"/>
              <w:right w:val="single" w:sz="8" w:space="0" w:color="000000"/>
            </w:tcBorders>
            <w:hideMark/>
          </w:tcPr>
          <w:p w14:paraId="24924477" w14:textId="77777777" w:rsidR="00FF30E4" w:rsidRPr="00D629F5" w:rsidRDefault="00FF30E4">
            <w:pPr>
              <w:spacing w:line="256" w:lineRule="auto"/>
              <w:rPr>
                <w:color w:val="000000"/>
                <w:lang w:val="fr-FR"/>
              </w:rPr>
            </w:pPr>
            <w:r w:rsidRPr="00D629F5">
              <w:rPr>
                <w:color w:val="000000"/>
                <w:lang w:val="fr-FR"/>
              </w:rPr>
              <w:t>Élaboration de stratégies pour soutenir et renforcer les moyens d’existence des communautés résidant dans les zones humides ou à proximité, en veillant à ce que la conservation et l’utilisation rationnelle des zones humides soient harmonisées avec le bien-être social et économique des populations locales.</w:t>
            </w:r>
          </w:p>
        </w:tc>
      </w:tr>
      <w:tr w:rsidR="00FF30E4" w:rsidRPr="00D629F5" w14:paraId="27EF62A4"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71C4A083"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 xml:space="preserve">Impacts sur les zones humides de la transition vers de nouvelles sources d’énergie électrique et l’utilisation accrue de minerais </w:t>
            </w:r>
          </w:p>
        </w:tc>
        <w:tc>
          <w:tcPr>
            <w:tcW w:w="5224" w:type="dxa"/>
            <w:tcBorders>
              <w:top w:val="single" w:sz="8" w:space="0" w:color="000000"/>
              <w:left w:val="single" w:sz="8" w:space="0" w:color="000000"/>
              <w:bottom w:val="single" w:sz="8" w:space="0" w:color="000000"/>
              <w:right w:val="single" w:sz="8" w:space="0" w:color="000000"/>
            </w:tcBorders>
            <w:hideMark/>
          </w:tcPr>
          <w:p w14:paraId="1F4EAA7E" w14:textId="77777777" w:rsidR="00FF30E4" w:rsidRPr="00D629F5" w:rsidRDefault="00FF30E4">
            <w:pPr>
              <w:spacing w:line="256" w:lineRule="auto"/>
              <w:rPr>
                <w:color w:val="000000"/>
                <w:lang w:val="fr-FR"/>
              </w:rPr>
            </w:pPr>
            <w:r w:rsidRPr="00D629F5">
              <w:rPr>
                <w:color w:val="000000"/>
                <w:lang w:val="fr-FR"/>
              </w:rPr>
              <w:t xml:space="preserve">Examiner les impacts environnementaux sur les zones humides d’une demande croissante d’énergie électrique et d’extraction de minerais, en s’intéressant particulièrement aux changements dans l’utilisation des sols, à la pollution et à la dégradation des habitats.  </w:t>
            </w:r>
          </w:p>
        </w:tc>
      </w:tr>
      <w:tr w:rsidR="00FF30E4" w:rsidRPr="00D629F5" w14:paraId="79138EAB"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25A7F044"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 xml:space="preserve">Défis associés à la biodiversité et aux crédits carbone </w:t>
            </w:r>
          </w:p>
        </w:tc>
        <w:tc>
          <w:tcPr>
            <w:tcW w:w="5224" w:type="dxa"/>
            <w:tcBorders>
              <w:top w:val="single" w:sz="8" w:space="0" w:color="000000"/>
              <w:left w:val="single" w:sz="8" w:space="0" w:color="000000"/>
              <w:bottom w:val="single" w:sz="8" w:space="0" w:color="000000"/>
              <w:right w:val="single" w:sz="8" w:space="0" w:color="000000"/>
            </w:tcBorders>
            <w:hideMark/>
          </w:tcPr>
          <w:p w14:paraId="36B92D81" w14:textId="77777777" w:rsidR="00FF30E4" w:rsidRPr="00D629F5" w:rsidRDefault="00FF30E4">
            <w:pPr>
              <w:spacing w:line="256" w:lineRule="auto"/>
              <w:rPr>
                <w:color w:val="000000"/>
                <w:lang w:val="fr-FR"/>
              </w:rPr>
            </w:pPr>
            <w:r w:rsidRPr="00D629F5">
              <w:rPr>
                <w:color w:val="000000"/>
                <w:lang w:val="fr-FR"/>
              </w:rPr>
              <w:t xml:space="preserve">Aborder le caractère complexe et les défis de l’application des mécanismes de la conservation de la biodiversité et des crédits carbone aux écosystèmes des zones humides en vue de proposer des cadres pouvant maximiser aussi bien la séquestration du carbone que la protection de la biodiversité. </w:t>
            </w:r>
          </w:p>
        </w:tc>
      </w:tr>
      <w:tr w:rsidR="00FF30E4" w:rsidRPr="00D629F5" w14:paraId="71AB84EA"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7E552A08" w14:textId="77777777" w:rsidR="00FF30E4" w:rsidRPr="00D629F5" w:rsidRDefault="00FF30E4" w:rsidP="00332D1A">
            <w:pPr>
              <w:pStyle w:val="ListParagraph"/>
              <w:numPr>
                <w:ilvl w:val="0"/>
                <w:numId w:val="7"/>
              </w:numPr>
              <w:spacing w:line="256" w:lineRule="auto"/>
              <w:ind w:left="242" w:hanging="242"/>
              <w:rPr>
                <w:color w:val="000000"/>
                <w:lang w:val="fr-FR"/>
              </w:rPr>
            </w:pPr>
            <w:r w:rsidRPr="00D629F5">
              <w:rPr>
                <w:lang w:val="fr-FR"/>
              </w:rPr>
              <w:t>Évaluations intégrées des zones humides pour faire face aux menaces à l’échelle des bassins fluviaux</w:t>
            </w:r>
          </w:p>
        </w:tc>
        <w:tc>
          <w:tcPr>
            <w:tcW w:w="5224" w:type="dxa"/>
            <w:tcBorders>
              <w:top w:val="single" w:sz="8" w:space="0" w:color="000000"/>
              <w:left w:val="single" w:sz="8" w:space="0" w:color="000000"/>
              <w:bottom w:val="single" w:sz="8" w:space="0" w:color="000000"/>
              <w:right w:val="single" w:sz="8" w:space="0" w:color="000000"/>
            </w:tcBorders>
            <w:hideMark/>
          </w:tcPr>
          <w:p w14:paraId="243A751C" w14:textId="77777777" w:rsidR="00FF30E4" w:rsidRPr="00D629F5" w:rsidRDefault="00FF30E4">
            <w:pPr>
              <w:spacing w:line="256" w:lineRule="auto"/>
              <w:rPr>
                <w:color w:val="000000"/>
                <w:lang w:val="fr-FR"/>
              </w:rPr>
            </w:pPr>
            <w:r w:rsidRPr="00D629F5">
              <w:rPr>
                <w:color w:val="000000"/>
                <w:lang w:val="fr-FR"/>
              </w:rPr>
              <w:t>Évaluer les écosystèmes des zones humides au niveau du bassin fluvial, en intégrant les facteurs hydrologiques, écologiques et socioéconomiques, pour lutter contre les menaces de manière globale et promouvoir une gestion des zones humides à l’échelle du bassin versant.</w:t>
            </w:r>
          </w:p>
        </w:tc>
      </w:tr>
      <w:tr w:rsidR="00FF30E4" w:rsidRPr="00D629F5" w14:paraId="0DFE3E81"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5C170BBA" w14:textId="77777777" w:rsidR="00FF30E4" w:rsidRPr="00D629F5" w:rsidRDefault="00FF30E4" w:rsidP="00332D1A">
            <w:pPr>
              <w:pStyle w:val="ListParagraph"/>
              <w:numPr>
                <w:ilvl w:val="0"/>
                <w:numId w:val="7"/>
              </w:numPr>
              <w:spacing w:line="256" w:lineRule="auto"/>
              <w:ind w:left="242" w:hanging="242"/>
              <w:rPr>
                <w:color w:val="000000"/>
                <w:lang w:val="fr-FR"/>
              </w:rPr>
            </w:pPr>
            <w:r w:rsidRPr="00D629F5">
              <w:rPr>
                <w:lang w:val="fr-FR"/>
              </w:rPr>
              <w:t xml:space="preserve">Potentiel de capture du carbone des zones humides sur sol minéral </w:t>
            </w:r>
          </w:p>
        </w:tc>
        <w:tc>
          <w:tcPr>
            <w:tcW w:w="5224" w:type="dxa"/>
            <w:tcBorders>
              <w:top w:val="single" w:sz="8" w:space="0" w:color="000000"/>
              <w:left w:val="single" w:sz="8" w:space="0" w:color="000000"/>
              <w:bottom w:val="single" w:sz="8" w:space="0" w:color="000000"/>
              <w:right w:val="single" w:sz="8" w:space="0" w:color="000000"/>
            </w:tcBorders>
            <w:hideMark/>
          </w:tcPr>
          <w:p w14:paraId="7B29CF2F" w14:textId="77777777" w:rsidR="00FF30E4" w:rsidRPr="00D629F5" w:rsidRDefault="00FF30E4">
            <w:pPr>
              <w:spacing w:line="256" w:lineRule="auto"/>
              <w:rPr>
                <w:color w:val="000000"/>
                <w:lang w:val="fr-FR"/>
              </w:rPr>
            </w:pPr>
            <w:r w:rsidRPr="00D629F5">
              <w:rPr>
                <w:color w:val="000000"/>
                <w:lang w:val="fr-FR"/>
              </w:rPr>
              <w:t xml:space="preserve">Explorer les capacités de séquestration du carbone des zones humides sur sol minéral, en évaluant leur rôle dans l’atténuation des changements climatiques et en élaborant les meilleures pratiques pour leur conservation et restauration. </w:t>
            </w:r>
          </w:p>
        </w:tc>
      </w:tr>
      <w:tr w:rsidR="00FF30E4" w:rsidRPr="00D629F5" w14:paraId="4BC2AF87"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6DB09B39"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 xml:space="preserve">Pollution par les plastiques dans les zones humides et pour les espèces des zones humides </w:t>
            </w:r>
          </w:p>
        </w:tc>
        <w:tc>
          <w:tcPr>
            <w:tcW w:w="5224" w:type="dxa"/>
            <w:tcBorders>
              <w:top w:val="single" w:sz="8" w:space="0" w:color="000000"/>
              <w:left w:val="single" w:sz="8" w:space="0" w:color="000000"/>
              <w:bottom w:val="single" w:sz="8" w:space="0" w:color="000000"/>
              <w:right w:val="single" w:sz="8" w:space="0" w:color="000000"/>
            </w:tcBorders>
            <w:hideMark/>
          </w:tcPr>
          <w:p w14:paraId="2B3FDB09" w14:textId="77777777" w:rsidR="00FF30E4" w:rsidRPr="00D629F5" w:rsidRDefault="00FF30E4">
            <w:pPr>
              <w:spacing w:line="256" w:lineRule="auto"/>
              <w:rPr>
                <w:color w:val="000000"/>
                <w:lang w:val="fr-FR"/>
              </w:rPr>
            </w:pPr>
            <w:r w:rsidRPr="00D629F5">
              <w:rPr>
                <w:color w:val="000000"/>
                <w:lang w:val="fr-FR"/>
              </w:rPr>
              <w:t xml:space="preserve">Examiner l’étendue et les impacts de la pollution par les plastiques dans les écosystèmes des zones humides, et en particulier leurs effets sur les espèces des zones humides, et proposer des stratégies pour réduire et gérer les déchets plastiques dans ces habitats d’importance critique.  </w:t>
            </w:r>
          </w:p>
        </w:tc>
      </w:tr>
      <w:tr w:rsidR="00FF30E4" w:rsidRPr="00D629F5" w14:paraId="13C733DD"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06D49DEC" w14:textId="77777777" w:rsidR="00FF30E4" w:rsidRPr="00D629F5" w:rsidRDefault="00FF30E4" w:rsidP="00332D1A">
            <w:pPr>
              <w:pStyle w:val="ListParagraph"/>
              <w:numPr>
                <w:ilvl w:val="0"/>
                <w:numId w:val="7"/>
              </w:numPr>
              <w:spacing w:line="256" w:lineRule="auto"/>
              <w:ind w:left="242" w:hanging="242"/>
              <w:rPr>
                <w:color w:val="000000"/>
                <w:lang w:val="fr-FR"/>
              </w:rPr>
            </w:pPr>
            <w:r w:rsidRPr="00D629F5">
              <w:rPr>
                <w:lang w:val="fr-FR"/>
              </w:rPr>
              <w:t>Les zones humides d’importance internationale – orientations sur des références en évolution (caractéristiques écologiques)</w:t>
            </w:r>
          </w:p>
        </w:tc>
        <w:tc>
          <w:tcPr>
            <w:tcW w:w="5224" w:type="dxa"/>
            <w:tcBorders>
              <w:top w:val="single" w:sz="8" w:space="0" w:color="000000"/>
              <w:left w:val="single" w:sz="8" w:space="0" w:color="000000"/>
              <w:bottom w:val="single" w:sz="8" w:space="0" w:color="000000"/>
              <w:right w:val="single" w:sz="8" w:space="0" w:color="000000"/>
            </w:tcBorders>
            <w:hideMark/>
          </w:tcPr>
          <w:p w14:paraId="25BB0BFA" w14:textId="77777777" w:rsidR="00FF30E4" w:rsidRPr="00D629F5" w:rsidRDefault="00FF30E4">
            <w:pPr>
              <w:spacing w:line="256" w:lineRule="auto"/>
              <w:rPr>
                <w:color w:val="000000"/>
                <w:lang w:val="fr-FR"/>
              </w:rPr>
            </w:pPr>
            <w:r w:rsidRPr="00D629F5">
              <w:rPr>
                <w:color w:val="000000"/>
                <w:lang w:val="fr-FR"/>
              </w:rPr>
              <w:t>Fournir des orientations actualisées sur la gestion des zones humides d’importance internationale face à des références écologiques en évolution.</w:t>
            </w:r>
          </w:p>
        </w:tc>
      </w:tr>
      <w:tr w:rsidR="00FF30E4" w:rsidRPr="00D629F5" w14:paraId="3C0096AD"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5C1D680B"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 xml:space="preserve">Évaluation Nexus – sur la base de l’évaluation de l’IPBES dans le contexte des zones humides </w:t>
            </w:r>
          </w:p>
        </w:tc>
        <w:tc>
          <w:tcPr>
            <w:tcW w:w="5224" w:type="dxa"/>
            <w:tcBorders>
              <w:top w:val="single" w:sz="8" w:space="0" w:color="000000"/>
              <w:left w:val="single" w:sz="8" w:space="0" w:color="000000"/>
              <w:bottom w:val="single" w:sz="8" w:space="0" w:color="000000"/>
              <w:right w:val="single" w:sz="8" w:space="0" w:color="000000"/>
            </w:tcBorders>
            <w:hideMark/>
          </w:tcPr>
          <w:p w14:paraId="6F2D6820" w14:textId="77777777" w:rsidR="00FF30E4" w:rsidRPr="00D629F5" w:rsidRDefault="00FF30E4">
            <w:pPr>
              <w:spacing w:line="256" w:lineRule="auto"/>
              <w:rPr>
                <w:color w:val="000000"/>
                <w:lang w:val="fr-FR"/>
              </w:rPr>
            </w:pPr>
            <w:r w:rsidRPr="00D629F5">
              <w:rPr>
                <w:color w:val="000000"/>
                <w:lang w:val="fr-FR"/>
              </w:rPr>
              <w:t>En s’appuyant sur l’évaluation de l’IPBES, appliquer son cadre Nexus aux zones humides afin d’évaluer les liens d’interdépendance entre l’eau, la biodiversité, l’alimentation et le climat.</w:t>
            </w:r>
          </w:p>
        </w:tc>
      </w:tr>
      <w:tr w:rsidR="00FF30E4" w:rsidRPr="00D629F5" w14:paraId="29041057"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7DA138D8" w14:textId="77777777" w:rsidR="00FF30E4" w:rsidRPr="00D629F5" w:rsidRDefault="00FF30E4" w:rsidP="00332D1A">
            <w:pPr>
              <w:pStyle w:val="ListParagraph"/>
              <w:numPr>
                <w:ilvl w:val="0"/>
                <w:numId w:val="7"/>
              </w:numPr>
              <w:spacing w:line="256" w:lineRule="auto"/>
              <w:ind w:left="242" w:hanging="242"/>
              <w:rPr>
                <w:lang w:val="fr-FR"/>
              </w:rPr>
            </w:pPr>
            <w:r w:rsidRPr="00D629F5">
              <w:rPr>
                <w:lang w:val="fr-FR"/>
              </w:rPr>
              <w:t xml:space="preserve">Utilisation rationnelle des zones humides : actualisation des orientations </w:t>
            </w:r>
          </w:p>
        </w:tc>
        <w:tc>
          <w:tcPr>
            <w:tcW w:w="5224" w:type="dxa"/>
            <w:tcBorders>
              <w:top w:val="single" w:sz="8" w:space="0" w:color="000000"/>
              <w:left w:val="single" w:sz="8" w:space="0" w:color="000000"/>
              <w:bottom w:val="single" w:sz="8" w:space="0" w:color="000000"/>
              <w:right w:val="single" w:sz="8" w:space="0" w:color="000000"/>
            </w:tcBorders>
            <w:hideMark/>
          </w:tcPr>
          <w:p w14:paraId="2D0EBA0B" w14:textId="77777777" w:rsidR="00FF30E4" w:rsidRPr="00D629F5" w:rsidRDefault="00FF30E4">
            <w:pPr>
              <w:spacing w:line="256" w:lineRule="auto"/>
              <w:rPr>
                <w:color w:val="000000"/>
                <w:lang w:val="fr-FR"/>
              </w:rPr>
            </w:pPr>
            <w:r w:rsidRPr="00D629F5">
              <w:rPr>
                <w:color w:val="000000"/>
                <w:lang w:val="fr-FR"/>
              </w:rPr>
              <w:t xml:space="preserve">Proposer des révisions et des mises à jour aux orientations de la Convention sur l’utilisation rationnelle des zones humides en intégrant de nouvelles connaissances scientifiques, des meilleures pratiques et des défis environnementaux émergents.   </w:t>
            </w:r>
          </w:p>
        </w:tc>
      </w:tr>
      <w:tr w:rsidR="00FF30E4" w:rsidRPr="00D629F5" w14:paraId="4A9C80B9" w14:textId="77777777" w:rsidTr="00FF30E4">
        <w:trPr>
          <w:cantSplit/>
        </w:trPr>
        <w:tc>
          <w:tcPr>
            <w:tcW w:w="3676" w:type="dxa"/>
            <w:tcBorders>
              <w:top w:val="single" w:sz="8" w:space="0" w:color="000000"/>
              <w:left w:val="single" w:sz="8" w:space="0" w:color="000000"/>
              <w:bottom w:val="single" w:sz="8" w:space="0" w:color="000000"/>
              <w:right w:val="single" w:sz="8" w:space="0" w:color="000000"/>
            </w:tcBorders>
            <w:hideMark/>
          </w:tcPr>
          <w:p w14:paraId="1BF39301" w14:textId="77777777" w:rsidR="00FF30E4" w:rsidRPr="00D629F5" w:rsidRDefault="00FF30E4" w:rsidP="00332D1A">
            <w:pPr>
              <w:pStyle w:val="ListParagraph"/>
              <w:numPr>
                <w:ilvl w:val="0"/>
                <w:numId w:val="7"/>
              </w:numPr>
              <w:spacing w:line="256" w:lineRule="auto"/>
              <w:ind w:left="242" w:hanging="242"/>
              <w:rPr>
                <w:color w:val="000000"/>
                <w:lang w:val="fr-FR"/>
              </w:rPr>
            </w:pPr>
            <w:r w:rsidRPr="00D629F5">
              <w:rPr>
                <w:lang w:val="fr-FR"/>
              </w:rPr>
              <w:t>Poursuite des travaux sur « d’autres mesures de conservation efficaces par zone » (AMCE)</w:t>
            </w:r>
          </w:p>
        </w:tc>
        <w:tc>
          <w:tcPr>
            <w:tcW w:w="5224" w:type="dxa"/>
            <w:tcBorders>
              <w:top w:val="single" w:sz="8" w:space="0" w:color="000000"/>
              <w:left w:val="single" w:sz="8" w:space="0" w:color="000000"/>
              <w:bottom w:val="single" w:sz="8" w:space="0" w:color="000000"/>
              <w:right w:val="single" w:sz="8" w:space="0" w:color="000000"/>
            </w:tcBorders>
            <w:hideMark/>
          </w:tcPr>
          <w:p w14:paraId="6A5B4615" w14:textId="77777777" w:rsidR="00FF30E4" w:rsidRPr="00D629F5" w:rsidRDefault="00FF30E4">
            <w:pPr>
              <w:spacing w:line="256" w:lineRule="auto"/>
              <w:rPr>
                <w:color w:val="000000"/>
                <w:lang w:val="fr-FR"/>
              </w:rPr>
            </w:pPr>
            <w:r w:rsidRPr="00D629F5">
              <w:rPr>
                <w:color w:val="000000"/>
                <w:lang w:val="fr-FR"/>
              </w:rPr>
              <w:t>Explorer plus à fond l’application et l’intégration des AMCE dans la conservation des zones humides, en identifiant des possibilités de reconnaissance et d’appui à des zones de conservation non traditionnelles.</w:t>
            </w:r>
          </w:p>
        </w:tc>
      </w:tr>
    </w:tbl>
    <w:p w14:paraId="71032507" w14:textId="77777777" w:rsidR="00FF30E4" w:rsidRDefault="00FF30E4" w:rsidP="00FF30E4">
      <w:pPr>
        <w:rPr>
          <w:sz w:val="24"/>
          <w:szCs w:val="24"/>
          <w:lang w:val="fr-FR"/>
        </w:rPr>
      </w:pPr>
      <w:r w:rsidRPr="00D629F5">
        <w:rPr>
          <w:lang w:val="fr-FR"/>
        </w:rPr>
        <w:br w:type="page"/>
      </w:r>
    </w:p>
    <w:p w14:paraId="20B065FF" w14:textId="77777777" w:rsidR="00FF30E4" w:rsidRDefault="00FF30E4" w:rsidP="00FF30E4">
      <w:pPr>
        <w:rPr>
          <w:rFonts w:eastAsia="Times New Roman"/>
          <w:b/>
          <w:bCs w:val="0"/>
          <w:sz w:val="24"/>
          <w:szCs w:val="24"/>
          <w:lang w:val="fr-FR"/>
        </w:rPr>
      </w:pPr>
      <w:r>
        <w:rPr>
          <w:rFonts w:eastAsia="Times New Roman"/>
          <w:b/>
          <w:sz w:val="24"/>
          <w:szCs w:val="24"/>
          <w:lang w:val="fr-FR"/>
        </w:rPr>
        <w:t>Annexe 2</w:t>
      </w:r>
    </w:p>
    <w:p w14:paraId="2A45A335" w14:textId="77777777" w:rsidR="00FF30E4" w:rsidRDefault="00FF30E4" w:rsidP="00FF30E4">
      <w:pPr>
        <w:rPr>
          <w:rFonts w:eastAsia="Times New Roman"/>
          <w:b/>
          <w:bCs w:val="0"/>
          <w:sz w:val="24"/>
          <w:szCs w:val="24"/>
          <w:lang w:val="fr-FR"/>
        </w:rPr>
      </w:pPr>
      <w:r>
        <w:rPr>
          <w:rFonts w:eastAsia="Times New Roman"/>
          <w:b/>
          <w:sz w:val="24"/>
          <w:szCs w:val="24"/>
          <w:lang w:val="fr-FR"/>
        </w:rPr>
        <w:t>Orientations sur l’utilisation d’autres estimations des populations, pour l’application du Critère 6</w:t>
      </w:r>
    </w:p>
    <w:p w14:paraId="4C92EB3D" w14:textId="77777777" w:rsidR="00FF30E4" w:rsidRDefault="00FF30E4" w:rsidP="00FF30E4">
      <w:pPr>
        <w:rPr>
          <w:rFonts w:eastAsia="Times New Roman"/>
          <w:b/>
          <w:bCs w:val="0"/>
          <w:sz w:val="24"/>
          <w:szCs w:val="24"/>
          <w:lang w:val="fr-FR"/>
        </w:rPr>
      </w:pPr>
    </w:p>
    <w:p w14:paraId="3B576BD6" w14:textId="77777777" w:rsidR="00FF30E4" w:rsidRPr="00D629F5" w:rsidRDefault="00FF30E4" w:rsidP="00FF30E4">
      <w:pPr>
        <w:rPr>
          <w:rFonts w:eastAsia="Times New Roman"/>
          <w:b/>
          <w:bCs w:val="0"/>
          <w:lang w:val="fr-FR"/>
        </w:rPr>
      </w:pPr>
      <w:r w:rsidRPr="00D629F5">
        <w:rPr>
          <w:rFonts w:eastAsia="Times New Roman"/>
          <w:b/>
          <w:lang w:val="fr-FR"/>
        </w:rPr>
        <w:t>Contexte</w:t>
      </w:r>
    </w:p>
    <w:p w14:paraId="23D0C111" w14:textId="77777777" w:rsidR="00FF30E4" w:rsidRPr="00D629F5" w:rsidRDefault="00FF30E4" w:rsidP="00FF30E4">
      <w:pPr>
        <w:ind w:left="432" w:hanging="432"/>
        <w:rPr>
          <w:rFonts w:eastAsia="Calibri"/>
          <w:lang w:val="fr-FR"/>
        </w:rPr>
      </w:pPr>
    </w:p>
    <w:p w14:paraId="1A8B783A" w14:textId="62B59538" w:rsidR="00FF30E4" w:rsidRPr="00D629F5" w:rsidRDefault="00FF30E4" w:rsidP="00FF30E4">
      <w:pPr>
        <w:ind w:left="432" w:hanging="432"/>
        <w:rPr>
          <w:rFonts w:eastAsia="Calibri"/>
          <w:lang w:val="fr-FR"/>
        </w:rPr>
      </w:pPr>
      <w:r w:rsidRPr="00D629F5">
        <w:rPr>
          <w:rFonts w:eastAsia="Calibri"/>
          <w:lang w:val="fr-FR"/>
        </w:rPr>
        <w:t>1.</w:t>
      </w:r>
      <w:r w:rsidRPr="00D629F5">
        <w:rPr>
          <w:rFonts w:eastAsia="Calibri"/>
          <w:lang w:val="fr-FR"/>
        </w:rPr>
        <w:tab/>
        <w:t>Le Waterbirds Populations Portal (WPP-Portail des populations d’oiseaux d’eau), géré par Wetlands International, contient des informations tirées des</w:t>
      </w:r>
      <w:r w:rsidR="00383A2F" w:rsidRPr="00D629F5">
        <w:rPr>
          <w:rFonts w:eastAsia="Calibri"/>
          <w:lang w:val="fr-FR"/>
        </w:rPr>
        <w:t xml:space="preserve"> Waterbird Population Estimates (</w:t>
      </w:r>
      <w:r w:rsidRPr="00D629F5">
        <w:rPr>
          <w:rFonts w:eastAsia="Calibri"/>
          <w:lang w:val="fr-FR"/>
        </w:rPr>
        <w:t>WPE</w:t>
      </w:r>
      <w:r w:rsidR="00383A2F" w:rsidRPr="00D629F5">
        <w:rPr>
          <w:rFonts w:eastAsia="Calibri"/>
          <w:lang w:val="fr-FR"/>
        </w:rPr>
        <w:t xml:space="preserve">, </w:t>
      </w:r>
      <w:r w:rsidRPr="00D629F5">
        <w:rPr>
          <w:rFonts w:eastAsia="Calibri"/>
          <w:lang w:val="fr-FR"/>
        </w:rPr>
        <w:t>éditions 1 à 5</w:t>
      </w:r>
      <w:r w:rsidR="00383A2F" w:rsidRPr="00D629F5">
        <w:rPr>
          <w:rFonts w:eastAsia="Calibri"/>
          <w:lang w:val="fr-FR"/>
        </w:rPr>
        <w:t xml:space="preserve"> – estimations des populations d’oiseaux d’eau)</w:t>
      </w:r>
      <w:r w:rsidRPr="00D629F5">
        <w:rPr>
          <w:rFonts w:eastAsia="Calibri"/>
          <w:lang w:val="fr-FR"/>
        </w:rPr>
        <w:t xml:space="preserve"> et, pour les espèces migratrices, de Conservation Status Reviews (CSR-Rapports sur l’état de conservation) produits par l’Accord Afrique-Eurasie sur les oiseaux d’eau (AEWA) et le Partenariat pour les voies de migration d’Asie de l’Est-Australasie (EAAFP). </w:t>
      </w:r>
    </w:p>
    <w:p w14:paraId="739014BF" w14:textId="77777777" w:rsidR="00FF30E4" w:rsidRPr="00D629F5" w:rsidRDefault="00FF30E4" w:rsidP="00FF30E4">
      <w:pPr>
        <w:ind w:left="432" w:hanging="432"/>
        <w:rPr>
          <w:rFonts w:eastAsia="Calibri"/>
          <w:lang w:val="fr-FR"/>
        </w:rPr>
      </w:pPr>
    </w:p>
    <w:p w14:paraId="7978CEC1" w14:textId="77777777" w:rsidR="00FF30E4" w:rsidRPr="00D629F5" w:rsidRDefault="00FF30E4" w:rsidP="00FF30E4">
      <w:pPr>
        <w:ind w:left="432" w:hanging="432"/>
        <w:rPr>
          <w:rFonts w:eastAsia="Calibri"/>
          <w:lang w:val="fr-FR"/>
        </w:rPr>
      </w:pPr>
      <w:r w:rsidRPr="00D629F5">
        <w:rPr>
          <w:rFonts w:eastAsia="Calibri"/>
          <w:lang w:val="fr-FR"/>
        </w:rPr>
        <w:t>2.</w:t>
      </w:r>
      <w:r w:rsidRPr="00D629F5">
        <w:rPr>
          <w:rFonts w:eastAsia="Calibri"/>
          <w:lang w:val="fr-FR"/>
        </w:rPr>
        <w:tab/>
        <w:t>La 5</w:t>
      </w:r>
      <w:r w:rsidRPr="00D629F5">
        <w:rPr>
          <w:rFonts w:eastAsia="Calibri"/>
          <w:vertAlign w:val="superscript"/>
          <w:lang w:val="fr-FR"/>
        </w:rPr>
        <w:t>e</w:t>
      </w:r>
      <w:r w:rsidRPr="00D629F5">
        <w:rPr>
          <w:rFonts w:eastAsia="Calibri"/>
          <w:lang w:val="fr-FR"/>
        </w:rPr>
        <w:t> édition des WPE mondiales a été produite en 2021. Les estimations de la taille des populations et des tendances et les seuils de 1 % dérivés, fournis par les CSR, donnent les informations les plus récentes pour ces populations et devraient être utilisés pour la désignation des zones humides d’importance internationale. L’AEWA et l’EAAFP revoient et mettent à jour les CSR selon leurs propres processus. Les informations contenues dans les CSR alimentent les mises à jour des WPE. Elles devraient être utilisées chaque fois qu’un CSR donne, pour une espèce migratrice, des informations plus à jour que celles qui étaient présentées dans les WPE5.</w:t>
      </w:r>
    </w:p>
    <w:p w14:paraId="2AA0CD8E" w14:textId="77777777" w:rsidR="00FF30E4" w:rsidRPr="00D629F5" w:rsidRDefault="00FF30E4" w:rsidP="00FF30E4">
      <w:pPr>
        <w:ind w:left="432" w:hanging="432"/>
        <w:rPr>
          <w:rFonts w:eastAsia="Calibri"/>
          <w:lang w:val="fr-FR"/>
        </w:rPr>
      </w:pPr>
    </w:p>
    <w:p w14:paraId="75FA9BC5" w14:textId="77777777" w:rsidR="00FF30E4" w:rsidRPr="00D629F5" w:rsidRDefault="00FF30E4" w:rsidP="00FF30E4">
      <w:pPr>
        <w:ind w:left="432" w:hanging="432"/>
        <w:rPr>
          <w:rFonts w:eastAsia="Calibri"/>
          <w:lang w:val="fr-FR"/>
        </w:rPr>
      </w:pPr>
      <w:r w:rsidRPr="00D629F5">
        <w:rPr>
          <w:rFonts w:eastAsia="Calibri"/>
          <w:lang w:val="fr-FR"/>
        </w:rPr>
        <w:t>3.</w:t>
      </w:r>
      <w:r w:rsidRPr="00D629F5">
        <w:rPr>
          <w:rFonts w:eastAsia="Calibri"/>
          <w:lang w:val="fr-FR"/>
        </w:rPr>
        <w:tab/>
        <w:t xml:space="preserve">Selon la </w:t>
      </w:r>
      <w:hyperlink r:id="rId17" w:history="1">
        <w:r w:rsidRPr="00D629F5">
          <w:rPr>
            <w:rStyle w:val="Hyperlink"/>
            <w:rFonts w:eastAsia="Calibri"/>
            <w:lang w:val="fr-FR"/>
          </w:rPr>
          <w:t>Résolution XIV.18</w:t>
        </w:r>
      </w:hyperlink>
      <w:r w:rsidRPr="00D629F5">
        <w:rPr>
          <w:rFonts w:eastAsia="Calibri"/>
          <w:lang w:val="fr-FR"/>
        </w:rPr>
        <w:t xml:space="preserve"> « Estimations des populations d’oiseaux d’eau pour soutenir les inscriptions de Sites Ramsar nouveaux et existants en vertu du Critère 6 Ramsar - utilisation de nouvelles estimations » :</w:t>
      </w:r>
    </w:p>
    <w:p w14:paraId="2A36D6F1" w14:textId="77777777" w:rsidR="00FF30E4" w:rsidRPr="00D629F5" w:rsidRDefault="00FF30E4" w:rsidP="00FF30E4">
      <w:pPr>
        <w:ind w:left="432" w:hanging="432"/>
        <w:rPr>
          <w:rFonts w:eastAsia="Calibri"/>
          <w:lang w:val="fr-FR"/>
        </w:rPr>
      </w:pPr>
    </w:p>
    <w:tbl>
      <w:tblPr>
        <w:tblStyle w:val="TableGrid"/>
        <w:tblW w:w="9639" w:type="dxa"/>
        <w:tblInd w:w="-5" w:type="dxa"/>
        <w:tblLook w:val="04A0" w:firstRow="1" w:lastRow="0" w:firstColumn="1" w:lastColumn="0" w:noHBand="0" w:noVBand="1"/>
      </w:tblPr>
      <w:tblGrid>
        <w:gridCol w:w="9639"/>
      </w:tblGrid>
      <w:tr w:rsidR="00FF30E4" w:rsidRPr="00D629F5" w14:paraId="540FD474" w14:textId="77777777" w:rsidTr="00FF30E4">
        <w:tc>
          <w:tcPr>
            <w:tcW w:w="9639" w:type="dxa"/>
            <w:tcBorders>
              <w:top w:val="single" w:sz="4" w:space="0" w:color="auto"/>
              <w:left w:val="single" w:sz="4" w:space="0" w:color="auto"/>
              <w:bottom w:val="single" w:sz="4" w:space="0" w:color="auto"/>
              <w:right w:val="single" w:sz="4" w:space="0" w:color="auto"/>
            </w:tcBorders>
          </w:tcPr>
          <w:p w14:paraId="14E0B77E" w14:textId="77777777" w:rsidR="00FF30E4" w:rsidRPr="00D629F5" w:rsidRDefault="00FF30E4">
            <w:pPr>
              <w:ind w:left="321" w:hanging="321"/>
              <w:rPr>
                <w:rFonts w:eastAsia="Calibri"/>
                <w:lang w:val="fr-FR"/>
              </w:rPr>
            </w:pPr>
            <w:r w:rsidRPr="00D629F5">
              <w:rPr>
                <w:rFonts w:eastAsia="Calibri"/>
                <w:lang w:val="fr-FR"/>
              </w:rPr>
              <w:t>11. « CONVIENT que tant que les Estimations des populations d’oiseaux d’eau ne sont pas mises à jour, les Parties contractantes peuvent se référer à d’autres sources de données pour déterminer le seuil de 1% dans le contexte de l’application du Critère 6 Ramsar, à condition :</w:t>
            </w:r>
          </w:p>
          <w:p w14:paraId="0BEC0B62" w14:textId="77777777" w:rsidR="00FF30E4" w:rsidRPr="00D629F5" w:rsidRDefault="00FF30E4">
            <w:pPr>
              <w:ind w:left="321" w:hanging="321"/>
              <w:rPr>
                <w:rFonts w:eastAsia="Calibri"/>
                <w:lang w:val="fr-FR"/>
              </w:rPr>
            </w:pPr>
          </w:p>
          <w:p w14:paraId="797D6153" w14:textId="77777777" w:rsidR="00FF30E4" w:rsidRPr="00D629F5" w:rsidRDefault="00FF30E4" w:rsidP="00332D1A">
            <w:pPr>
              <w:pStyle w:val="ListParagraph"/>
              <w:numPr>
                <w:ilvl w:val="0"/>
                <w:numId w:val="8"/>
              </w:numPr>
              <w:ind w:left="814"/>
              <w:rPr>
                <w:rFonts w:eastAsia="Calibri"/>
                <w:lang w:val="fr-FR"/>
              </w:rPr>
            </w:pPr>
            <w:r w:rsidRPr="00D629F5">
              <w:rPr>
                <w:rFonts w:eastAsia="Calibri"/>
                <w:lang w:val="fr-FR"/>
              </w:rPr>
              <w:t>que la population biogéographique de l’espèce concernée soit clairement indiquée pour l’espèce telle qu’elle figure dans les Estimations des populations d’oiseaux disponibles sur le Waterbirds Populations Portal (Portail des populations d’oiseaux d’eau) ;</w:t>
            </w:r>
          </w:p>
          <w:p w14:paraId="5A0BAC3B" w14:textId="77777777" w:rsidR="00FF30E4" w:rsidRPr="00D629F5" w:rsidRDefault="00FF30E4" w:rsidP="00332D1A">
            <w:pPr>
              <w:pStyle w:val="ListParagraph"/>
              <w:numPr>
                <w:ilvl w:val="0"/>
                <w:numId w:val="8"/>
              </w:numPr>
              <w:ind w:left="814"/>
              <w:rPr>
                <w:rFonts w:eastAsia="Calibri"/>
                <w:lang w:val="fr-FR"/>
              </w:rPr>
            </w:pPr>
            <w:r w:rsidRPr="00D629F5">
              <w:rPr>
                <w:rFonts w:eastAsia="Calibri"/>
                <w:lang w:val="fr-FR"/>
              </w:rPr>
              <w:t>que ces seuils proviennent d’estimations publiées sur le Waterbirds Populations Portal (Portail des populations d’oiseaux d’eau), pour les espèces migratrices, en se fondant sur des Rapports sur l’état de conservation (CSR) produits sous les auspices d’instruments relatifs aux voies de migration ou d’autres évaluations revues par des pairs pour d’autres populations migratrices pour lesquelles il n’existe pas d’évaluations semblables aux CSR, ainsi que pour les populations non migratrices et endémiques ;</w:t>
            </w:r>
          </w:p>
          <w:p w14:paraId="0CDB2FAC" w14:textId="77777777" w:rsidR="00FF30E4" w:rsidRPr="00D629F5" w:rsidRDefault="00FF30E4" w:rsidP="00332D1A">
            <w:pPr>
              <w:pStyle w:val="ListParagraph"/>
              <w:numPr>
                <w:ilvl w:val="0"/>
                <w:numId w:val="8"/>
              </w:numPr>
              <w:ind w:left="814"/>
              <w:rPr>
                <w:rFonts w:eastAsia="Calibri"/>
                <w:lang w:val="fr-FR"/>
              </w:rPr>
            </w:pPr>
            <w:r w:rsidRPr="00D629F5">
              <w:rPr>
                <w:rFonts w:eastAsia="Calibri"/>
                <w:lang w:val="fr-FR"/>
              </w:rPr>
              <w:t>que les raisons pour lesquelles une nouvelle estimation est considérée comme plus appropriée soient documentées avec des sources originales clairement identifiables pour permettre à des tiers de vérifier tout détournement de l’estimation ;</w:t>
            </w:r>
          </w:p>
          <w:p w14:paraId="4FC0A3F6" w14:textId="77777777" w:rsidR="00FF30E4" w:rsidRPr="00D629F5" w:rsidRDefault="00FF30E4" w:rsidP="00332D1A">
            <w:pPr>
              <w:pStyle w:val="ListParagraph"/>
              <w:numPr>
                <w:ilvl w:val="0"/>
                <w:numId w:val="8"/>
              </w:numPr>
              <w:ind w:left="814"/>
              <w:rPr>
                <w:rFonts w:eastAsia="Calibri"/>
                <w:lang w:val="fr-FR"/>
              </w:rPr>
            </w:pPr>
            <w:r w:rsidRPr="00D629F5">
              <w:rPr>
                <w:rFonts w:eastAsia="Calibri"/>
                <w:lang w:val="fr-FR"/>
              </w:rPr>
              <w:t>que la méthodologie normalisée utilisée pour le Waterbirds Populations Portal (Portail des populations d’oiseaux d’eau) afin de convertir la taille d’une estimation biogéographique de population en un seuil de population de 1 % soit utilisée ; et</w:t>
            </w:r>
          </w:p>
          <w:p w14:paraId="2C5F0356" w14:textId="77777777" w:rsidR="00FF30E4" w:rsidRPr="00D629F5" w:rsidRDefault="00FF30E4" w:rsidP="00332D1A">
            <w:pPr>
              <w:pStyle w:val="ListParagraph"/>
              <w:numPr>
                <w:ilvl w:val="0"/>
                <w:numId w:val="8"/>
              </w:numPr>
              <w:ind w:left="814"/>
              <w:rPr>
                <w:rFonts w:eastAsia="Calibri"/>
                <w:lang w:val="fr-FR"/>
              </w:rPr>
            </w:pPr>
            <w:r w:rsidRPr="00D629F5">
              <w:rPr>
                <w:rFonts w:eastAsia="Calibri"/>
                <w:lang w:val="fr-FR"/>
              </w:rPr>
              <w:t>que tout autre seuil utilisé par les Parties contractantes aux fins du Critère 6 ainsi que sa justification soient communiqués au Secrétariat (afin de tenir un registre de ces cas) et à Wetlands International. »</w:t>
            </w:r>
          </w:p>
        </w:tc>
      </w:tr>
    </w:tbl>
    <w:p w14:paraId="7E565AA7" w14:textId="77777777" w:rsidR="00FF30E4" w:rsidRPr="00D629F5" w:rsidRDefault="00FF30E4" w:rsidP="00FF30E4">
      <w:pPr>
        <w:ind w:left="432" w:hanging="432"/>
        <w:rPr>
          <w:rFonts w:eastAsia="Calibri"/>
          <w:lang w:val="fr-FR"/>
        </w:rPr>
      </w:pPr>
    </w:p>
    <w:p w14:paraId="51E0A3D1" w14:textId="77777777" w:rsidR="00FF30E4" w:rsidRPr="00D629F5" w:rsidRDefault="00FF30E4" w:rsidP="00FF30E4">
      <w:pPr>
        <w:rPr>
          <w:rFonts w:eastAsia="Calibri"/>
          <w:lang w:val="fr-FR"/>
        </w:rPr>
      </w:pPr>
    </w:p>
    <w:p w14:paraId="31F9592D" w14:textId="77777777" w:rsidR="00FF30E4" w:rsidRPr="00D629F5" w:rsidRDefault="00FF30E4" w:rsidP="006F153D">
      <w:pPr>
        <w:keepNext/>
        <w:ind w:left="431" w:hanging="431"/>
        <w:rPr>
          <w:rFonts w:eastAsia="Times New Roman"/>
          <w:b/>
          <w:lang w:val="fr-FR"/>
        </w:rPr>
      </w:pPr>
      <w:r w:rsidRPr="00D629F5">
        <w:rPr>
          <w:rFonts w:eastAsia="Times New Roman"/>
          <w:b/>
          <w:lang w:val="fr-FR"/>
        </w:rPr>
        <w:t>Utilisation d’autres estimations des populations</w:t>
      </w:r>
    </w:p>
    <w:p w14:paraId="45DEDB6E" w14:textId="77777777" w:rsidR="00FF30E4" w:rsidRPr="00D629F5" w:rsidRDefault="00FF30E4" w:rsidP="00FF30E4">
      <w:pPr>
        <w:ind w:left="432" w:hanging="432"/>
        <w:rPr>
          <w:rFonts w:eastAsia="Calibri"/>
          <w:lang w:val="fr-FR"/>
        </w:rPr>
      </w:pPr>
    </w:p>
    <w:p w14:paraId="1194DAC3" w14:textId="77777777" w:rsidR="00FF30E4" w:rsidRPr="00D629F5" w:rsidRDefault="00FF30E4" w:rsidP="00FF30E4">
      <w:pPr>
        <w:ind w:left="432" w:hanging="432"/>
        <w:rPr>
          <w:rFonts w:eastAsia="Calibri"/>
          <w:lang w:val="fr-FR"/>
        </w:rPr>
      </w:pPr>
      <w:r w:rsidRPr="00D629F5">
        <w:rPr>
          <w:rFonts w:eastAsia="Calibri"/>
          <w:lang w:val="fr-FR"/>
        </w:rPr>
        <w:t>4.</w:t>
      </w:r>
      <w:r w:rsidRPr="00D629F5">
        <w:rPr>
          <w:rFonts w:eastAsia="Calibri"/>
          <w:lang w:val="fr-FR"/>
        </w:rPr>
        <w:tab/>
        <w:t xml:space="preserve">En complément du document SC63 Doc.19 (Annexe 4 sur les orientations pour faciliter l’application du Critère 6) et de la Résolution XIV.18, le présent document décrit les étapes que les Parties contractantes doivent suivre pour soumettre, si elles le souhaitent, une autre estimation de la taille d’une population et du seuil de 1 % dérivé, en application du Critère 6 de la Convention sur les zones humides. Cependant, une nouvelle estimation ne devrait être soumise que lorsque l’estimation d’une population est obsolète et que de nouvelles informations sont disponibles et ne figurent pas dans un CSR. Si un CSR couvre la population, aucune soumission ne devrait être proposée ; il convient d’indiquer le lien internet de la population faisant l’objet d’un CSR à utiliser dans la soumission d’une Fiche descriptive Ramsar (FDR). </w:t>
      </w:r>
    </w:p>
    <w:p w14:paraId="16992F7A" w14:textId="77777777" w:rsidR="00FF30E4" w:rsidRPr="00D629F5" w:rsidRDefault="00FF30E4" w:rsidP="00FF30E4">
      <w:pPr>
        <w:rPr>
          <w:lang w:val="fr-FR"/>
        </w:rPr>
      </w:pPr>
    </w:p>
    <w:p w14:paraId="0DBF1D7C" w14:textId="77777777" w:rsidR="00FF30E4" w:rsidRPr="00D629F5" w:rsidRDefault="00FF30E4" w:rsidP="00FF30E4">
      <w:pPr>
        <w:rPr>
          <w:rFonts w:eastAsia="Times New Roman"/>
          <w:b/>
          <w:lang w:val="fr-FR"/>
        </w:rPr>
      </w:pPr>
      <w:r w:rsidRPr="00D629F5">
        <w:rPr>
          <w:rFonts w:eastAsia="Times New Roman"/>
          <w:b/>
          <w:lang w:val="fr-FR"/>
        </w:rPr>
        <w:t xml:space="preserve">Étapes de la soumission d’autres estimations de la taille d’une population pour l’application du Critère 6 </w:t>
      </w:r>
    </w:p>
    <w:p w14:paraId="77DAE06E" w14:textId="77777777" w:rsidR="00FF30E4" w:rsidRPr="00D629F5" w:rsidRDefault="00FF30E4" w:rsidP="00FF30E4">
      <w:pPr>
        <w:rPr>
          <w:rFonts w:eastAsia="Times New Roman"/>
          <w:b/>
          <w:bCs w:val="0"/>
          <w:lang w:val="fr-FR"/>
        </w:rPr>
      </w:pPr>
    </w:p>
    <w:p w14:paraId="22E0D99E" w14:textId="77777777" w:rsidR="00FF30E4" w:rsidRPr="00D629F5" w:rsidRDefault="00FF30E4" w:rsidP="00FF30E4">
      <w:pPr>
        <w:ind w:left="432" w:hanging="432"/>
        <w:rPr>
          <w:rFonts w:eastAsia="Calibri"/>
          <w:lang w:val="fr-FR"/>
        </w:rPr>
      </w:pPr>
      <w:r w:rsidRPr="00D629F5">
        <w:rPr>
          <w:rFonts w:eastAsia="Calibri"/>
          <w:lang w:val="fr-FR"/>
        </w:rPr>
        <w:t>5.</w:t>
      </w:r>
      <w:r w:rsidRPr="00D629F5">
        <w:rPr>
          <w:rFonts w:eastAsia="Calibri"/>
          <w:lang w:val="fr-FR"/>
        </w:rPr>
        <w:tab/>
      </w:r>
      <w:r w:rsidRPr="00D629F5">
        <w:rPr>
          <w:rFonts w:eastAsia="Calibri"/>
          <w:u w:val="single"/>
          <w:lang w:val="fr-FR"/>
        </w:rPr>
        <w:t xml:space="preserve">Étape 1 : Déterminer la nécessité de recourir à une autre estimation de la taille de la population </w:t>
      </w:r>
    </w:p>
    <w:p w14:paraId="27094D67" w14:textId="77777777" w:rsidR="00FF30E4" w:rsidRPr="00D629F5" w:rsidRDefault="00FF30E4" w:rsidP="00FF30E4">
      <w:pPr>
        <w:ind w:left="450"/>
        <w:rPr>
          <w:rFonts w:eastAsia="Calibri"/>
          <w:lang w:val="fr-FR"/>
        </w:rPr>
      </w:pPr>
      <w:r w:rsidRPr="00D629F5">
        <w:rPr>
          <w:rFonts w:eastAsia="Calibri"/>
          <w:lang w:val="fr-FR"/>
        </w:rPr>
        <w:t>La Partie contractante signale une espèce ou une population d’oiseau d’eau pour laquelle :</w:t>
      </w:r>
    </w:p>
    <w:p w14:paraId="2AEB3B71" w14:textId="77777777" w:rsidR="00FF30E4" w:rsidRPr="00D629F5" w:rsidRDefault="00FF30E4" w:rsidP="00332D1A">
      <w:pPr>
        <w:pStyle w:val="ListParagraph"/>
        <w:numPr>
          <w:ilvl w:val="0"/>
          <w:numId w:val="9"/>
        </w:numPr>
        <w:ind w:left="810"/>
        <w:rPr>
          <w:rFonts w:eastAsia="Calibri"/>
          <w:lang w:val="fr-FR"/>
        </w:rPr>
      </w:pPr>
      <w:r w:rsidRPr="00D629F5">
        <w:rPr>
          <w:rFonts w:eastAsia="Calibri"/>
          <w:lang w:val="fr-FR"/>
        </w:rPr>
        <w:t>Le seuil de 1 % dans les Estimations des populations d’oiseaux d’eau (WPE) ne figure pas dans le Rapport sur l’état de conservation (CSR) et n’est pas fourni, obsolète ou considéré inexact.</w:t>
      </w:r>
    </w:p>
    <w:p w14:paraId="1D541B6B" w14:textId="77777777" w:rsidR="00FF30E4" w:rsidRPr="00D629F5" w:rsidRDefault="00FF30E4" w:rsidP="00332D1A">
      <w:pPr>
        <w:pStyle w:val="ListParagraph"/>
        <w:numPr>
          <w:ilvl w:val="0"/>
          <w:numId w:val="9"/>
        </w:numPr>
        <w:ind w:left="810"/>
        <w:rPr>
          <w:rFonts w:eastAsia="Calibri"/>
          <w:lang w:val="fr-FR"/>
        </w:rPr>
      </w:pPr>
      <w:r w:rsidRPr="00D629F5">
        <w:rPr>
          <w:rFonts w:eastAsia="Calibri"/>
          <w:lang w:val="fr-FR"/>
        </w:rPr>
        <w:t>La Partie contractante a identifié des données pertinentes provenant de sources revues par des pairs et/ou d’autres évaluations fiables et/ou de la littérature grise.</w:t>
      </w:r>
    </w:p>
    <w:p w14:paraId="3EACA8A5" w14:textId="77777777" w:rsidR="00FF30E4" w:rsidRPr="00D629F5" w:rsidRDefault="00FF30E4" w:rsidP="00FF30E4">
      <w:pPr>
        <w:ind w:left="432" w:hanging="432"/>
        <w:rPr>
          <w:rFonts w:eastAsia="Calibri"/>
          <w:lang w:val="fr-FR"/>
        </w:rPr>
      </w:pPr>
    </w:p>
    <w:p w14:paraId="00CE9471" w14:textId="77777777" w:rsidR="00FF30E4" w:rsidRPr="00D629F5" w:rsidRDefault="00FF30E4" w:rsidP="00FF30E4">
      <w:pPr>
        <w:ind w:left="432" w:hanging="432"/>
        <w:rPr>
          <w:rFonts w:eastAsia="Calibri"/>
          <w:u w:val="single"/>
          <w:lang w:val="fr-FR"/>
        </w:rPr>
      </w:pPr>
      <w:r w:rsidRPr="00D629F5">
        <w:rPr>
          <w:rFonts w:eastAsia="Calibri"/>
          <w:lang w:val="fr-FR"/>
        </w:rPr>
        <w:t>6.</w:t>
      </w:r>
      <w:r w:rsidRPr="00D629F5">
        <w:rPr>
          <w:rFonts w:eastAsia="Calibri"/>
          <w:lang w:val="fr-FR"/>
        </w:rPr>
        <w:tab/>
      </w:r>
      <w:r w:rsidRPr="00D629F5">
        <w:rPr>
          <w:rFonts w:eastAsia="Calibri"/>
          <w:u w:val="single"/>
          <w:lang w:val="fr-FR"/>
        </w:rPr>
        <w:t>Étape 2 : Compiler un dossier à soumettre</w:t>
      </w:r>
    </w:p>
    <w:p w14:paraId="10216601" w14:textId="77777777" w:rsidR="00FF30E4" w:rsidRPr="00D629F5" w:rsidRDefault="00FF30E4" w:rsidP="00FF30E4">
      <w:pPr>
        <w:pStyle w:val="ListParagraph"/>
        <w:ind w:left="432" w:firstLine="18"/>
        <w:rPr>
          <w:lang w:val="fr-FR"/>
        </w:rPr>
      </w:pPr>
      <w:r w:rsidRPr="00D629F5">
        <w:rPr>
          <w:lang w:val="fr-FR"/>
        </w:rPr>
        <w:t>Préparer un rapport contenant les informations suivantes :</w:t>
      </w:r>
    </w:p>
    <w:p w14:paraId="6C52FB9E" w14:textId="77777777" w:rsidR="00FF30E4" w:rsidRPr="00D629F5" w:rsidRDefault="00FF30E4" w:rsidP="00332D1A">
      <w:pPr>
        <w:pStyle w:val="ListParagraph"/>
        <w:numPr>
          <w:ilvl w:val="0"/>
          <w:numId w:val="9"/>
        </w:numPr>
        <w:ind w:left="810"/>
        <w:rPr>
          <w:lang w:val="fr-FR"/>
        </w:rPr>
      </w:pPr>
      <w:r w:rsidRPr="00D629F5">
        <w:rPr>
          <w:i/>
          <w:iCs/>
          <w:lang w:val="fr-FR"/>
        </w:rPr>
        <w:t>État de la population biogéographique</w:t>
      </w:r>
      <w:r w:rsidRPr="00D629F5">
        <w:rPr>
          <w:lang w:val="fr-FR"/>
        </w:rPr>
        <w:t xml:space="preserve"> : Indiquer clairement la population biogéographique de l’espèce concernée telle qu’elle est inscrite sur le </w:t>
      </w:r>
      <w:hyperlink r:id="rId18" w:history="1">
        <w:r w:rsidRPr="00D629F5">
          <w:rPr>
            <w:rStyle w:val="Hyperlink"/>
            <w:lang w:val="fr-FR"/>
          </w:rPr>
          <w:t>Waterbirds Populations Portal</w:t>
        </w:r>
      </w:hyperlink>
      <w:r w:rsidRPr="00D629F5">
        <w:rPr>
          <w:rStyle w:val="Hyperlink"/>
          <w:lang w:val="fr-FR"/>
        </w:rPr>
        <w:t xml:space="preserve"> </w:t>
      </w:r>
      <w:r w:rsidRPr="00D629F5">
        <w:rPr>
          <w:lang w:val="fr-FR"/>
        </w:rPr>
        <w:t xml:space="preserve">(fournir le lien internet spécifique vers la page de la population concernée sur le Portail). </w:t>
      </w:r>
    </w:p>
    <w:p w14:paraId="468BDE23" w14:textId="77777777" w:rsidR="00FF30E4" w:rsidRPr="00D629F5" w:rsidRDefault="00FF30E4" w:rsidP="00332D1A">
      <w:pPr>
        <w:pStyle w:val="ListParagraph"/>
        <w:numPr>
          <w:ilvl w:val="0"/>
          <w:numId w:val="9"/>
        </w:numPr>
        <w:ind w:left="810"/>
        <w:rPr>
          <w:lang w:val="fr-FR"/>
        </w:rPr>
      </w:pPr>
      <w:r w:rsidRPr="00D629F5">
        <w:rPr>
          <w:i/>
          <w:iCs/>
          <w:lang w:val="fr-FR"/>
        </w:rPr>
        <w:t>Documenter les nouvelles estimations de taille </w:t>
      </w:r>
      <w:r w:rsidRPr="00D629F5">
        <w:rPr>
          <w:lang w:val="fr-FR"/>
        </w:rPr>
        <w:t xml:space="preserve">: Décrire en détail les raisons pour lesquelles une nouvelle estimation de la taille, soit en un seul chiffre, soit sous forme d’estimation minimale et maximale, avec l’intervalle de temps sur lequel est fait le calcul, est considérée plus appropriée, avec une trace de vérification claire vers les sources originales, pour qu’un examen par un tiers soit possible (voir étape 4). La description des méthodologies doit au moins inclure une description des données, de la manière dont les estimations ont été faites, des lacunes dans les données et des hypothèses retenues. </w:t>
      </w:r>
    </w:p>
    <w:p w14:paraId="7ED5BF00" w14:textId="77777777" w:rsidR="00FF30E4" w:rsidRPr="00D629F5" w:rsidRDefault="00FF30E4" w:rsidP="00332D1A">
      <w:pPr>
        <w:pStyle w:val="ListParagraph"/>
        <w:numPr>
          <w:ilvl w:val="0"/>
          <w:numId w:val="9"/>
        </w:numPr>
        <w:ind w:left="810"/>
        <w:rPr>
          <w:lang w:val="fr-FR"/>
        </w:rPr>
      </w:pPr>
      <w:r w:rsidRPr="00D629F5">
        <w:rPr>
          <w:i/>
          <w:iCs/>
          <w:lang w:val="fr-FR"/>
        </w:rPr>
        <w:t>Utiliser une méthodologie normalisée pour le calcul du seuil de 1 % </w:t>
      </w:r>
      <w:r w:rsidRPr="00D629F5">
        <w:rPr>
          <w:lang w:val="fr-FR"/>
        </w:rPr>
        <w:t xml:space="preserve">: Veiller à ce que la </w:t>
      </w:r>
      <w:hyperlink r:id="rId19" w:history="1">
        <w:r w:rsidRPr="00D629F5">
          <w:rPr>
            <w:rStyle w:val="Hyperlink"/>
            <w:lang w:val="fr-FR"/>
          </w:rPr>
          <w:t>méthodologie normalisée</w:t>
        </w:r>
      </w:hyperlink>
      <w:r w:rsidRPr="00D629F5">
        <w:rPr>
          <w:lang w:val="fr-FR"/>
        </w:rPr>
        <w:t xml:space="preserve"> utilisée pour convertir les estimations des populations biogéographiques en un seuil de population de 1 % soit appliquée. Cela comprend deux étapes : 1) convertir une estimation de l’aire de répartition en une estimation à un seul chiffre en utilisant la moyenne géométrique et 2) dériver la valeur de 1 % arrondie (voir « Arrondir les seuils de 1 % » au même lien). </w:t>
      </w:r>
    </w:p>
    <w:p w14:paraId="690D5E7B" w14:textId="77777777" w:rsidR="00FF30E4" w:rsidRPr="00D629F5" w:rsidRDefault="00FF30E4" w:rsidP="00332D1A">
      <w:pPr>
        <w:pStyle w:val="ListParagraph"/>
        <w:numPr>
          <w:ilvl w:val="0"/>
          <w:numId w:val="9"/>
        </w:numPr>
        <w:ind w:left="810"/>
        <w:rPr>
          <w:lang w:val="fr-FR"/>
        </w:rPr>
      </w:pPr>
      <w:r w:rsidRPr="00D629F5">
        <w:rPr>
          <w:i/>
          <w:iCs/>
          <w:lang w:val="fr-FR"/>
        </w:rPr>
        <w:t>Annexes </w:t>
      </w:r>
      <w:r w:rsidRPr="00D629F5">
        <w:rPr>
          <w:lang w:val="fr-FR"/>
        </w:rPr>
        <w:t>: Une piste d’audit claire (voir modèle de rapport standard ci-dessous) pour toutes les données et estimations utilisées, avec une copie des sources utilisées, y compris les sources revues par des pairs, d’autres évaluations fiables et/ou la littérature grise.</w:t>
      </w:r>
    </w:p>
    <w:p w14:paraId="40EE7BB6" w14:textId="77777777" w:rsidR="00FF30E4" w:rsidRPr="00D629F5" w:rsidRDefault="00FF30E4" w:rsidP="00FF30E4">
      <w:pPr>
        <w:rPr>
          <w:lang w:val="fr-FR"/>
        </w:rPr>
      </w:pPr>
    </w:p>
    <w:p w14:paraId="180CC598" w14:textId="77777777" w:rsidR="00FF30E4" w:rsidRPr="00D629F5" w:rsidRDefault="00FF30E4" w:rsidP="00FF30E4">
      <w:pPr>
        <w:ind w:left="432" w:hanging="432"/>
        <w:rPr>
          <w:rFonts w:eastAsia="Calibri"/>
          <w:u w:val="single"/>
          <w:lang w:val="fr-FR"/>
        </w:rPr>
      </w:pPr>
      <w:r w:rsidRPr="00D629F5">
        <w:rPr>
          <w:rFonts w:eastAsia="Calibri"/>
          <w:lang w:val="fr-FR"/>
        </w:rPr>
        <w:t>7.</w:t>
      </w:r>
      <w:r w:rsidRPr="00D629F5">
        <w:rPr>
          <w:rFonts w:eastAsia="Calibri"/>
          <w:lang w:val="fr-FR"/>
        </w:rPr>
        <w:tab/>
      </w:r>
      <w:r w:rsidRPr="00D629F5">
        <w:rPr>
          <w:rFonts w:eastAsia="Calibri"/>
          <w:u w:val="single"/>
          <w:lang w:val="fr-FR"/>
        </w:rPr>
        <w:t>Étape 3 : Soumission au Secrétariat</w:t>
      </w:r>
    </w:p>
    <w:p w14:paraId="3D050ED8" w14:textId="77777777" w:rsidR="00FF30E4" w:rsidRPr="00D629F5" w:rsidRDefault="00FF30E4" w:rsidP="00332D1A">
      <w:pPr>
        <w:pStyle w:val="ListParagraph"/>
        <w:numPr>
          <w:ilvl w:val="0"/>
          <w:numId w:val="9"/>
        </w:numPr>
        <w:ind w:left="810"/>
        <w:rPr>
          <w:lang w:val="fr-FR"/>
        </w:rPr>
      </w:pPr>
      <w:r w:rsidRPr="00D629F5">
        <w:rPr>
          <w:i/>
          <w:iCs/>
          <w:lang w:val="fr-FR"/>
        </w:rPr>
        <w:t>Soumettre au Secrétariat </w:t>
      </w:r>
      <w:r w:rsidRPr="00D629F5">
        <w:rPr>
          <w:lang w:val="fr-FR"/>
        </w:rPr>
        <w:t xml:space="preserve">: Soumettre le rapport rempli au Secrétariat en utilisant la section 6.1 Rapports et documents additionnels et référencer le présent document dans la section 3.3 Justification dans la FDR. </w:t>
      </w:r>
    </w:p>
    <w:p w14:paraId="061737E8" w14:textId="77777777" w:rsidR="00FF30E4" w:rsidRPr="00D629F5" w:rsidRDefault="00FF30E4" w:rsidP="00332D1A">
      <w:pPr>
        <w:pStyle w:val="ListParagraph"/>
        <w:numPr>
          <w:ilvl w:val="0"/>
          <w:numId w:val="9"/>
        </w:numPr>
        <w:ind w:left="810"/>
        <w:rPr>
          <w:lang w:val="fr-FR"/>
        </w:rPr>
      </w:pPr>
      <w:r w:rsidRPr="00D629F5">
        <w:rPr>
          <w:lang w:val="fr-FR"/>
        </w:rPr>
        <w:t xml:space="preserve">Faire en sorte qu’une copie de la soumission soit envoyée directement au Groupe d’évaluation scientifique et technique (GEST) et à Wetlands International pour enregistrement de l’autre estimation de taille utilisée : </w:t>
      </w:r>
      <w:hyperlink r:id="rId20" w:history="1">
        <w:r w:rsidRPr="00D629F5">
          <w:rPr>
            <w:rStyle w:val="Hyperlink"/>
            <w:lang w:val="fr-FR"/>
          </w:rPr>
          <w:t>strp@ramsar.org</w:t>
        </w:r>
      </w:hyperlink>
      <w:r w:rsidRPr="00D629F5">
        <w:rPr>
          <w:lang w:val="fr-FR"/>
        </w:rPr>
        <w:t xml:space="preserve"> et </w:t>
      </w:r>
      <w:hyperlink r:id="rId21" w:history="1">
        <w:r w:rsidRPr="00D629F5">
          <w:rPr>
            <w:rStyle w:val="Hyperlink"/>
            <w:lang w:val="fr-FR"/>
          </w:rPr>
          <w:t>wpe@wetlands.org</w:t>
        </w:r>
      </w:hyperlink>
      <w:r w:rsidRPr="00D629F5">
        <w:rPr>
          <w:lang w:val="fr-FR"/>
        </w:rPr>
        <w:t xml:space="preserve">. </w:t>
      </w:r>
    </w:p>
    <w:p w14:paraId="43C8850A" w14:textId="77777777" w:rsidR="00FF30E4" w:rsidRPr="00D629F5" w:rsidRDefault="00FF30E4" w:rsidP="00FF30E4">
      <w:pPr>
        <w:rPr>
          <w:lang w:val="fr-FR"/>
        </w:rPr>
      </w:pPr>
    </w:p>
    <w:p w14:paraId="7EA4AE97" w14:textId="77777777" w:rsidR="00FF30E4" w:rsidRPr="00D629F5" w:rsidRDefault="00FF30E4" w:rsidP="00FF30E4">
      <w:pPr>
        <w:ind w:left="432" w:hanging="432"/>
        <w:rPr>
          <w:rFonts w:eastAsia="Calibri"/>
          <w:u w:val="single"/>
          <w:lang w:val="fr-FR"/>
        </w:rPr>
      </w:pPr>
      <w:r w:rsidRPr="00D629F5">
        <w:rPr>
          <w:rFonts w:eastAsia="Calibri"/>
          <w:lang w:val="fr-FR"/>
        </w:rPr>
        <w:t>8.</w:t>
      </w:r>
      <w:r w:rsidRPr="00D629F5">
        <w:rPr>
          <w:rFonts w:eastAsia="Calibri"/>
          <w:lang w:val="fr-FR"/>
        </w:rPr>
        <w:tab/>
      </w:r>
      <w:r w:rsidRPr="00D629F5">
        <w:rPr>
          <w:rFonts w:eastAsia="Calibri"/>
          <w:u w:val="single"/>
          <w:lang w:val="fr-FR"/>
        </w:rPr>
        <w:t>Étape 4 : Examen et évaluation par le GEST</w:t>
      </w:r>
    </w:p>
    <w:p w14:paraId="0ECACE85" w14:textId="77777777" w:rsidR="00FF30E4" w:rsidRPr="00D629F5" w:rsidRDefault="00FF30E4" w:rsidP="00332D1A">
      <w:pPr>
        <w:pStyle w:val="ListParagraph"/>
        <w:numPr>
          <w:ilvl w:val="0"/>
          <w:numId w:val="9"/>
        </w:numPr>
        <w:ind w:left="810"/>
        <w:rPr>
          <w:lang w:val="fr-FR"/>
        </w:rPr>
      </w:pPr>
      <w:r w:rsidRPr="00D629F5">
        <w:rPr>
          <w:i/>
          <w:iCs/>
          <w:lang w:val="fr-FR"/>
        </w:rPr>
        <w:t>Examen initial par le Secrétariat </w:t>
      </w:r>
      <w:r w:rsidRPr="00D629F5">
        <w:rPr>
          <w:lang w:val="fr-FR"/>
        </w:rPr>
        <w:t>: Le Secrétariat procède à un examen initial pour veiller à la complétude de la soumission et au respect des lignes directrices sur la soumission.</w:t>
      </w:r>
    </w:p>
    <w:p w14:paraId="15617AF1" w14:textId="77777777" w:rsidR="00FF30E4" w:rsidRPr="00D629F5" w:rsidRDefault="00FF30E4" w:rsidP="00332D1A">
      <w:pPr>
        <w:pStyle w:val="ListParagraph"/>
        <w:numPr>
          <w:ilvl w:val="0"/>
          <w:numId w:val="9"/>
        </w:numPr>
        <w:ind w:left="810"/>
        <w:rPr>
          <w:lang w:val="fr-FR"/>
        </w:rPr>
      </w:pPr>
      <w:r w:rsidRPr="00D629F5">
        <w:rPr>
          <w:i/>
          <w:iCs/>
          <w:lang w:val="fr-FR"/>
        </w:rPr>
        <w:t>Transmission au GEST </w:t>
      </w:r>
      <w:r w:rsidRPr="00D629F5">
        <w:rPr>
          <w:lang w:val="fr-FR"/>
        </w:rPr>
        <w:t>: Le Secrétariat transmet la soumission au GEST pour évaluation.</w:t>
      </w:r>
    </w:p>
    <w:p w14:paraId="57B632FC" w14:textId="77777777" w:rsidR="00FF30E4" w:rsidRPr="00D629F5" w:rsidRDefault="00FF30E4" w:rsidP="00332D1A">
      <w:pPr>
        <w:pStyle w:val="ListParagraph"/>
        <w:numPr>
          <w:ilvl w:val="0"/>
          <w:numId w:val="9"/>
        </w:numPr>
        <w:ind w:left="810"/>
        <w:rPr>
          <w:lang w:val="fr-FR"/>
        </w:rPr>
      </w:pPr>
      <w:r w:rsidRPr="00D629F5">
        <w:rPr>
          <w:i/>
          <w:iCs/>
          <w:lang w:val="fr-FR"/>
        </w:rPr>
        <w:t>Examen par le GEST </w:t>
      </w:r>
      <w:r w:rsidRPr="00D629F5">
        <w:rPr>
          <w:lang w:val="fr-FR"/>
        </w:rPr>
        <w:t>: Le GEST supervise un processus dans lequel des experts des oiseaux d’eau sont priés d’examiner les méthodologies et les sources de données utilisées dans la soumission, y compris celles provenant de Wetlands International et d’autres organes compétents.</w:t>
      </w:r>
    </w:p>
    <w:p w14:paraId="03CED9AC" w14:textId="77777777" w:rsidR="00FF30E4" w:rsidRPr="00D629F5" w:rsidRDefault="00FF30E4" w:rsidP="00FF30E4">
      <w:pPr>
        <w:keepNext/>
        <w:rPr>
          <w:lang w:val="fr-FR"/>
        </w:rPr>
      </w:pPr>
    </w:p>
    <w:p w14:paraId="31815315" w14:textId="77777777" w:rsidR="00FF30E4" w:rsidRPr="00D629F5" w:rsidRDefault="00FF30E4" w:rsidP="00FF30E4">
      <w:pPr>
        <w:keepNext/>
        <w:ind w:left="432" w:hanging="432"/>
        <w:rPr>
          <w:rFonts w:eastAsia="Calibri"/>
          <w:u w:val="single"/>
          <w:lang w:val="fr-FR"/>
        </w:rPr>
      </w:pPr>
      <w:r w:rsidRPr="00D629F5">
        <w:rPr>
          <w:rFonts w:eastAsia="Calibri"/>
          <w:lang w:val="fr-FR"/>
        </w:rPr>
        <w:t>9.</w:t>
      </w:r>
      <w:r w:rsidRPr="00D629F5">
        <w:rPr>
          <w:rFonts w:eastAsia="Calibri"/>
          <w:lang w:val="fr-FR"/>
        </w:rPr>
        <w:tab/>
      </w:r>
      <w:r w:rsidRPr="00D629F5">
        <w:rPr>
          <w:rFonts w:eastAsia="Calibri"/>
          <w:u w:val="single"/>
          <w:lang w:val="fr-FR"/>
        </w:rPr>
        <w:t>Étape 5 : Commentaires et révisions</w:t>
      </w:r>
    </w:p>
    <w:p w14:paraId="495D1DED" w14:textId="77777777" w:rsidR="00FF30E4" w:rsidRPr="00D629F5" w:rsidRDefault="00FF30E4" w:rsidP="00332D1A">
      <w:pPr>
        <w:pStyle w:val="ListParagraph"/>
        <w:numPr>
          <w:ilvl w:val="0"/>
          <w:numId w:val="9"/>
        </w:numPr>
        <w:ind w:left="810"/>
        <w:rPr>
          <w:lang w:val="fr-FR"/>
        </w:rPr>
      </w:pPr>
      <w:r w:rsidRPr="00D629F5">
        <w:rPr>
          <w:i/>
          <w:iCs/>
          <w:lang w:val="fr-FR"/>
        </w:rPr>
        <w:t>Demande d’informations supplémentaires </w:t>
      </w:r>
      <w:r w:rsidRPr="00D629F5">
        <w:rPr>
          <w:lang w:val="fr-FR"/>
        </w:rPr>
        <w:t xml:space="preserve">: Si nécessaire, le Secrétariat ou le GEST peuvent demander des informations supplémentaires ou un éclaircissement à la Partie contractante qui soumet le rapport. </w:t>
      </w:r>
    </w:p>
    <w:p w14:paraId="1451EA03" w14:textId="77777777" w:rsidR="00FF30E4" w:rsidRPr="00D629F5" w:rsidRDefault="00FF30E4" w:rsidP="00332D1A">
      <w:pPr>
        <w:pStyle w:val="ListParagraph"/>
        <w:numPr>
          <w:ilvl w:val="0"/>
          <w:numId w:val="9"/>
        </w:numPr>
        <w:ind w:left="810"/>
        <w:rPr>
          <w:lang w:val="fr-FR"/>
        </w:rPr>
      </w:pPr>
      <w:r w:rsidRPr="00D629F5">
        <w:rPr>
          <w:i/>
          <w:iCs/>
          <w:lang w:val="fr-FR"/>
        </w:rPr>
        <w:t>Nouvelle soumission </w:t>
      </w:r>
      <w:r w:rsidRPr="00D629F5">
        <w:rPr>
          <w:lang w:val="fr-FR"/>
        </w:rPr>
        <w:t xml:space="preserve">: La Partie contractante fournit les informations demandées ou procède aux révisions nécessaires et soumet à nouveau la documentation. </w:t>
      </w:r>
    </w:p>
    <w:p w14:paraId="258B318F" w14:textId="77777777" w:rsidR="00FF30E4" w:rsidRPr="00D629F5" w:rsidRDefault="00FF30E4" w:rsidP="00FF30E4">
      <w:pPr>
        <w:rPr>
          <w:lang w:val="fr-FR"/>
        </w:rPr>
      </w:pPr>
    </w:p>
    <w:p w14:paraId="67F904D4" w14:textId="77777777" w:rsidR="00FF30E4" w:rsidRPr="00D629F5" w:rsidRDefault="00FF30E4" w:rsidP="00FF30E4">
      <w:pPr>
        <w:ind w:left="432" w:hanging="432"/>
        <w:rPr>
          <w:rFonts w:eastAsia="Calibri"/>
          <w:u w:val="single"/>
          <w:lang w:val="fr-FR"/>
        </w:rPr>
      </w:pPr>
      <w:r w:rsidRPr="00D629F5">
        <w:rPr>
          <w:rFonts w:eastAsia="Calibri"/>
          <w:lang w:val="fr-FR"/>
        </w:rPr>
        <w:t>10.</w:t>
      </w:r>
      <w:r w:rsidRPr="00D629F5">
        <w:rPr>
          <w:rFonts w:eastAsia="Calibri"/>
          <w:lang w:val="fr-FR"/>
        </w:rPr>
        <w:tab/>
      </w:r>
      <w:r w:rsidRPr="00D629F5">
        <w:rPr>
          <w:rFonts w:eastAsia="Calibri"/>
          <w:u w:val="single"/>
          <w:lang w:val="fr-FR"/>
        </w:rPr>
        <w:t>Étape 6 : Recommandation et communication</w:t>
      </w:r>
    </w:p>
    <w:p w14:paraId="573B169A" w14:textId="77777777" w:rsidR="00FF30E4" w:rsidRPr="00D629F5" w:rsidRDefault="00FF30E4" w:rsidP="00332D1A">
      <w:pPr>
        <w:pStyle w:val="ListParagraph"/>
        <w:numPr>
          <w:ilvl w:val="0"/>
          <w:numId w:val="9"/>
        </w:numPr>
        <w:ind w:left="810"/>
        <w:rPr>
          <w:lang w:val="fr-FR"/>
        </w:rPr>
      </w:pPr>
      <w:r w:rsidRPr="00D629F5">
        <w:rPr>
          <w:i/>
          <w:iCs/>
          <w:lang w:val="fr-FR"/>
        </w:rPr>
        <w:t>Recommandation du GEST </w:t>
      </w:r>
      <w:r w:rsidRPr="00D629F5">
        <w:rPr>
          <w:lang w:val="fr-FR"/>
        </w:rPr>
        <w:t>: Sur examen satisfaisant, le GEST recommande au Secrétariat et à la Partie contractante de soumettre l’autre estimation de taille et seuil de 1 % dérivé.</w:t>
      </w:r>
    </w:p>
    <w:p w14:paraId="10DEE6C4" w14:textId="77777777" w:rsidR="00FF30E4" w:rsidRPr="00D629F5" w:rsidRDefault="00FF30E4" w:rsidP="00332D1A">
      <w:pPr>
        <w:pStyle w:val="ListParagraph"/>
        <w:numPr>
          <w:ilvl w:val="0"/>
          <w:numId w:val="9"/>
        </w:numPr>
        <w:ind w:left="810"/>
        <w:rPr>
          <w:lang w:val="fr-FR"/>
        </w:rPr>
      </w:pPr>
      <w:r w:rsidRPr="00D629F5">
        <w:rPr>
          <w:i/>
          <w:iCs/>
          <w:lang w:val="fr-FR" w:eastAsia="ko-KR"/>
        </w:rPr>
        <w:t xml:space="preserve">Sur la base de la recommandation du GEST, </w:t>
      </w:r>
      <w:r w:rsidRPr="00D629F5">
        <w:rPr>
          <w:lang w:val="fr-FR"/>
        </w:rPr>
        <w:t>le Secrétariat examine la FDR soumise.</w:t>
      </w:r>
      <w:r w:rsidRPr="00D629F5">
        <w:rPr>
          <w:lang w:val="fr-FR" w:eastAsia="ko-KR"/>
        </w:rPr>
        <w:t xml:space="preserve"> </w:t>
      </w:r>
    </w:p>
    <w:p w14:paraId="5247B85B" w14:textId="77777777" w:rsidR="00FF30E4" w:rsidRPr="00D629F5" w:rsidRDefault="00FF30E4" w:rsidP="00FF30E4">
      <w:pPr>
        <w:rPr>
          <w:lang w:val="fr-FR"/>
        </w:rPr>
      </w:pPr>
    </w:p>
    <w:p w14:paraId="24785C05" w14:textId="77777777" w:rsidR="00FF30E4" w:rsidRPr="00D629F5" w:rsidRDefault="00FF30E4" w:rsidP="00FF30E4">
      <w:pPr>
        <w:keepNext/>
        <w:keepLines/>
        <w:rPr>
          <w:rFonts w:eastAsia="Times New Roman"/>
          <w:bCs w:val="0"/>
          <w:i/>
          <w:iCs/>
          <w:lang w:val="fr-FR"/>
        </w:rPr>
      </w:pPr>
      <w:r w:rsidRPr="00D629F5">
        <w:rPr>
          <w:rFonts w:eastAsia="Times New Roman"/>
          <w:bCs w:val="0"/>
          <w:i/>
          <w:iCs/>
          <w:lang w:val="fr-FR"/>
        </w:rPr>
        <w:t>Modèle de rapport pour la soumission d’une autre estimation de taille</w:t>
      </w:r>
    </w:p>
    <w:tbl>
      <w:tblPr>
        <w:tblStyle w:val="TableGrid"/>
        <w:tblW w:w="0" w:type="auto"/>
        <w:tblLook w:val="04A0" w:firstRow="1" w:lastRow="0" w:firstColumn="1" w:lastColumn="0" w:noHBand="0" w:noVBand="1"/>
      </w:tblPr>
      <w:tblGrid>
        <w:gridCol w:w="9016"/>
      </w:tblGrid>
      <w:tr w:rsidR="00FF30E4" w:rsidRPr="00D629F5" w14:paraId="7CD34874" w14:textId="77777777" w:rsidTr="00FF30E4">
        <w:tc>
          <w:tcPr>
            <w:tcW w:w="9350" w:type="dxa"/>
            <w:tcBorders>
              <w:top w:val="single" w:sz="4" w:space="0" w:color="auto"/>
              <w:left w:val="single" w:sz="4" w:space="0" w:color="auto"/>
              <w:bottom w:val="single" w:sz="4" w:space="0" w:color="auto"/>
              <w:right w:val="single" w:sz="4" w:space="0" w:color="auto"/>
            </w:tcBorders>
          </w:tcPr>
          <w:p w14:paraId="386EE0F1" w14:textId="77777777" w:rsidR="00FF30E4" w:rsidRPr="00D629F5" w:rsidRDefault="00FF30E4">
            <w:pPr>
              <w:keepNext/>
              <w:keepLines/>
              <w:spacing w:before="120"/>
              <w:rPr>
                <w:b/>
                <w:bCs w:val="0"/>
                <w:lang w:val="fr-FR"/>
              </w:rPr>
            </w:pPr>
            <w:r w:rsidRPr="00D629F5">
              <w:rPr>
                <w:b/>
                <w:lang w:val="fr-FR"/>
              </w:rPr>
              <w:t>Soumission d’une autre estimation de taille</w:t>
            </w:r>
          </w:p>
          <w:p w14:paraId="10B84F13" w14:textId="77777777" w:rsidR="00FF30E4" w:rsidRPr="00D629F5" w:rsidRDefault="00FF30E4">
            <w:pPr>
              <w:keepNext/>
              <w:keepLines/>
              <w:rPr>
                <w:lang w:val="fr-FR"/>
              </w:rPr>
            </w:pPr>
          </w:p>
          <w:p w14:paraId="09BE575C" w14:textId="77777777" w:rsidR="00FF30E4" w:rsidRPr="00D629F5" w:rsidRDefault="00FF30E4" w:rsidP="00332D1A">
            <w:pPr>
              <w:pStyle w:val="ListParagraph"/>
              <w:keepNext/>
              <w:keepLines/>
              <w:numPr>
                <w:ilvl w:val="0"/>
                <w:numId w:val="10"/>
              </w:numPr>
              <w:rPr>
                <w:lang w:val="fr-FR"/>
              </w:rPr>
            </w:pPr>
            <w:r w:rsidRPr="00D629F5">
              <w:rPr>
                <w:lang w:val="fr-FR"/>
              </w:rPr>
              <w:t>Coordonnées :</w:t>
            </w:r>
          </w:p>
          <w:p w14:paraId="662A1486" w14:textId="77777777" w:rsidR="00FF30E4" w:rsidRPr="00D629F5" w:rsidRDefault="00FF30E4" w:rsidP="00332D1A">
            <w:pPr>
              <w:pStyle w:val="ListParagraph"/>
              <w:keepNext/>
              <w:keepLines/>
              <w:numPr>
                <w:ilvl w:val="1"/>
                <w:numId w:val="10"/>
              </w:numPr>
              <w:rPr>
                <w:lang w:val="fr-FR"/>
              </w:rPr>
            </w:pPr>
            <w:r w:rsidRPr="00D629F5">
              <w:rPr>
                <w:lang w:val="fr-FR"/>
              </w:rPr>
              <w:t>Personne contact.</w:t>
            </w:r>
          </w:p>
          <w:p w14:paraId="77624A0B" w14:textId="77777777" w:rsidR="00FF30E4" w:rsidRPr="00D629F5" w:rsidRDefault="00FF30E4" w:rsidP="00332D1A">
            <w:pPr>
              <w:pStyle w:val="ListParagraph"/>
              <w:keepNext/>
              <w:keepLines/>
              <w:numPr>
                <w:ilvl w:val="1"/>
                <w:numId w:val="10"/>
              </w:numPr>
              <w:rPr>
                <w:lang w:val="fr-FR"/>
              </w:rPr>
            </w:pPr>
            <w:r w:rsidRPr="00D629F5">
              <w:rPr>
                <w:lang w:val="fr-FR"/>
              </w:rPr>
              <w:t>Courriel.</w:t>
            </w:r>
          </w:p>
          <w:p w14:paraId="10BF8162" w14:textId="77777777" w:rsidR="00FF30E4" w:rsidRPr="00D629F5" w:rsidRDefault="00FF30E4" w:rsidP="00332D1A">
            <w:pPr>
              <w:pStyle w:val="ListParagraph"/>
              <w:keepNext/>
              <w:keepLines/>
              <w:numPr>
                <w:ilvl w:val="1"/>
                <w:numId w:val="10"/>
              </w:numPr>
              <w:rPr>
                <w:lang w:val="fr-FR"/>
              </w:rPr>
            </w:pPr>
            <w:r w:rsidRPr="00D629F5">
              <w:rPr>
                <w:lang w:val="fr-FR"/>
              </w:rPr>
              <w:t>Téléphone.</w:t>
            </w:r>
          </w:p>
          <w:p w14:paraId="1DD349F8" w14:textId="77777777" w:rsidR="00FF30E4" w:rsidRPr="00D629F5" w:rsidRDefault="00FF30E4">
            <w:pPr>
              <w:keepNext/>
              <w:keepLines/>
              <w:rPr>
                <w:lang w:val="fr-FR"/>
              </w:rPr>
            </w:pPr>
          </w:p>
          <w:p w14:paraId="4DC97FDE" w14:textId="77777777" w:rsidR="00FF30E4" w:rsidRPr="00D629F5" w:rsidRDefault="00FF30E4" w:rsidP="00332D1A">
            <w:pPr>
              <w:pStyle w:val="ListParagraph"/>
              <w:keepNext/>
              <w:keepLines/>
              <w:numPr>
                <w:ilvl w:val="0"/>
                <w:numId w:val="10"/>
              </w:numPr>
              <w:rPr>
                <w:lang w:val="fr-FR"/>
              </w:rPr>
            </w:pPr>
            <w:r w:rsidRPr="00D629F5">
              <w:rPr>
                <w:lang w:val="fr-FR"/>
              </w:rPr>
              <w:t xml:space="preserve">Taille de la population biogéographique proposée </w:t>
            </w:r>
          </w:p>
          <w:p w14:paraId="463B3A25" w14:textId="77777777" w:rsidR="00FF30E4" w:rsidRPr="00D629F5" w:rsidRDefault="00FF30E4" w:rsidP="00332D1A">
            <w:pPr>
              <w:pStyle w:val="ListParagraph"/>
              <w:keepNext/>
              <w:keepLines/>
              <w:numPr>
                <w:ilvl w:val="1"/>
                <w:numId w:val="10"/>
              </w:numPr>
              <w:rPr>
                <w:lang w:val="fr-FR"/>
              </w:rPr>
            </w:pPr>
            <w:r w:rsidRPr="00D629F5">
              <w:rPr>
                <w:lang w:val="fr-FR"/>
              </w:rPr>
              <w:t>Nom de la population biogéographique (fournir aussi le lien internet spécifique vers la page de la population concernée sur le Waterbirds Populations Portal) (Portail des populations d’oiseaux d’eau).</w:t>
            </w:r>
          </w:p>
          <w:p w14:paraId="693276C1" w14:textId="77777777" w:rsidR="00FF30E4" w:rsidRPr="00D629F5" w:rsidRDefault="00FF30E4" w:rsidP="00332D1A">
            <w:pPr>
              <w:pStyle w:val="ListParagraph"/>
              <w:keepNext/>
              <w:keepLines/>
              <w:numPr>
                <w:ilvl w:val="1"/>
                <w:numId w:val="10"/>
              </w:numPr>
              <w:rPr>
                <w:lang w:val="fr-FR"/>
              </w:rPr>
            </w:pPr>
            <w:r w:rsidRPr="00D629F5">
              <w:rPr>
                <w:lang w:val="fr-FR"/>
              </w:rPr>
              <w:t>Source(s) des données actuelles sur la population.</w:t>
            </w:r>
          </w:p>
          <w:p w14:paraId="5002B7BC" w14:textId="77777777" w:rsidR="00FF30E4" w:rsidRPr="00D629F5" w:rsidRDefault="00FF30E4" w:rsidP="00332D1A">
            <w:pPr>
              <w:pStyle w:val="ListParagraph"/>
              <w:keepNext/>
              <w:keepLines/>
              <w:numPr>
                <w:ilvl w:val="1"/>
                <w:numId w:val="10"/>
              </w:numPr>
              <w:rPr>
                <w:lang w:val="fr-FR"/>
              </w:rPr>
            </w:pPr>
            <w:r w:rsidRPr="00D629F5">
              <w:rPr>
                <w:lang w:val="fr-FR"/>
              </w:rPr>
              <w:t>Estimation de la taille actuelle de la population et seuil de 1 %.</w:t>
            </w:r>
          </w:p>
          <w:p w14:paraId="134F772C" w14:textId="77777777" w:rsidR="00FF30E4" w:rsidRPr="00D629F5" w:rsidRDefault="00FF30E4" w:rsidP="00332D1A">
            <w:pPr>
              <w:pStyle w:val="ListParagraph"/>
              <w:keepNext/>
              <w:keepLines/>
              <w:numPr>
                <w:ilvl w:val="1"/>
                <w:numId w:val="10"/>
              </w:numPr>
              <w:rPr>
                <w:lang w:val="fr-FR"/>
              </w:rPr>
            </w:pPr>
            <w:r w:rsidRPr="00D629F5">
              <w:rPr>
                <w:lang w:val="fr-FR"/>
              </w:rPr>
              <w:t>Raison de la soumission.</w:t>
            </w:r>
          </w:p>
          <w:p w14:paraId="6A9B9E96" w14:textId="77777777" w:rsidR="00FF30E4" w:rsidRPr="00D629F5" w:rsidRDefault="00FF30E4">
            <w:pPr>
              <w:keepNext/>
              <w:keepLines/>
              <w:rPr>
                <w:lang w:val="fr-FR"/>
              </w:rPr>
            </w:pPr>
          </w:p>
          <w:p w14:paraId="6F1FC4E5" w14:textId="77777777" w:rsidR="00FF30E4" w:rsidRPr="00D629F5" w:rsidRDefault="00FF30E4" w:rsidP="00332D1A">
            <w:pPr>
              <w:pStyle w:val="ListParagraph"/>
              <w:keepNext/>
              <w:keepLines/>
              <w:numPr>
                <w:ilvl w:val="0"/>
                <w:numId w:val="10"/>
              </w:numPr>
              <w:rPr>
                <w:lang w:val="fr-FR"/>
              </w:rPr>
            </w:pPr>
            <w:r w:rsidRPr="00D629F5">
              <w:rPr>
                <w:lang w:val="fr-FR"/>
              </w:rPr>
              <w:t xml:space="preserve">Nouvelle estimation de la taille de la population </w:t>
            </w:r>
          </w:p>
          <w:p w14:paraId="30D16E51" w14:textId="77777777" w:rsidR="00FF30E4" w:rsidRPr="00D629F5" w:rsidRDefault="00FF30E4" w:rsidP="00332D1A">
            <w:pPr>
              <w:pStyle w:val="ListParagraph"/>
              <w:keepNext/>
              <w:keepLines/>
              <w:numPr>
                <w:ilvl w:val="1"/>
                <w:numId w:val="10"/>
              </w:numPr>
              <w:rPr>
                <w:lang w:val="fr-FR"/>
              </w:rPr>
            </w:pPr>
            <w:r w:rsidRPr="00D629F5">
              <w:rPr>
                <w:lang w:val="fr-FR"/>
              </w:rPr>
              <w:t>Nouvelle estimation de la taille de la population.</w:t>
            </w:r>
          </w:p>
          <w:p w14:paraId="6D81ED45" w14:textId="77777777" w:rsidR="00FF30E4" w:rsidRPr="00D629F5" w:rsidRDefault="00FF30E4" w:rsidP="00332D1A">
            <w:pPr>
              <w:pStyle w:val="ListParagraph"/>
              <w:keepNext/>
              <w:keepLines/>
              <w:numPr>
                <w:ilvl w:val="1"/>
                <w:numId w:val="10"/>
              </w:numPr>
              <w:rPr>
                <w:lang w:val="fr-FR"/>
              </w:rPr>
            </w:pPr>
            <w:r w:rsidRPr="00D629F5">
              <w:rPr>
                <w:lang w:val="fr-FR"/>
              </w:rPr>
              <w:t>Méthodologie/ Étapes détaillées pour dériver la nouvelle estimation de la taille de la population.</w:t>
            </w:r>
          </w:p>
          <w:p w14:paraId="2C7853B9" w14:textId="77777777" w:rsidR="00FF30E4" w:rsidRPr="00D629F5" w:rsidRDefault="00FF30E4" w:rsidP="00332D1A">
            <w:pPr>
              <w:pStyle w:val="ListParagraph"/>
              <w:keepNext/>
              <w:keepLines/>
              <w:numPr>
                <w:ilvl w:val="1"/>
                <w:numId w:val="10"/>
              </w:numPr>
              <w:rPr>
                <w:lang w:val="fr-FR"/>
              </w:rPr>
            </w:pPr>
            <w:r w:rsidRPr="00D629F5">
              <w:rPr>
                <w:lang w:val="fr-FR"/>
              </w:rPr>
              <w:t>Références vers les sources originales.</w:t>
            </w:r>
          </w:p>
          <w:p w14:paraId="1F30AA2A" w14:textId="77777777" w:rsidR="00FF30E4" w:rsidRPr="00D629F5" w:rsidRDefault="00FF30E4">
            <w:pPr>
              <w:keepNext/>
              <w:keepLines/>
              <w:tabs>
                <w:tab w:val="left" w:pos="1614"/>
              </w:tabs>
              <w:rPr>
                <w:lang w:val="fr-FR"/>
              </w:rPr>
            </w:pPr>
          </w:p>
          <w:p w14:paraId="28FCCB73" w14:textId="77777777" w:rsidR="00FF30E4" w:rsidRPr="00D629F5" w:rsidRDefault="00FF30E4" w:rsidP="00332D1A">
            <w:pPr>
              <w:pStyle w:val="ListParagraph"/>
              <w:keepNext/>
              <w:keepLines/>
              <w:numPr>
                <w:ilvl w:val="0"/>
                <w:numId w:val="10"/>
              </w:numPr>
              <w:rPr>
                <w:lang w:val="fr-FR"/>
              </w:rPr>
            </w:pPr>
            <w:r w:rsidRPr="00D629F5">
              <w:rPr>
                <w:lang w:val="fr-FR"/>
              </w:rPr>
              <w:t>Calcul du seuil de 1 %</w:t>
            </w:r>
          </w:p>
          <w:p w14:paraId="0515CB7B" w14:textId="77777777" w:rsidR="00FF30E4" w:rsidRPr="00D629F5" w:rsidRDefault="00FF30E4" w:rsidP="00332D1A">
            <w:pPr>
              <w:pStyle w:val="ListParagraph"/>
              <w:keepNext/>
              <w:keepLines/>
              <w:numPr>
                <w:ilvl w:val="1"/>
                <w:numId w:val="10"/>
              </w:numPr>
              <w:rPr>
                <w:lang w:val="fr-FR"/>
              </w:rPr>
            </w:pPr>
            <w:r w:rsidRPr="00D629F5">
              <w:rPr>
                <w:lang w:val="fr-FR"/>
              </w:rPr>
              <w:t>Méthode de calcul.</w:t>
            </w:r>
          </w:p>
          <w:p w14:paraId="302BD2D9" w14:textId="77777777" w:rsidR="00FF30E4" w:rsidRPr="00D629F5" w:rsidRDefault="00FF30E4" w:rsidP="00332D1A">
            <w:pPr>
              <w:pStyle w:val="ListParagraph"/>
              <w:keepNext/>
              <w:keepLines/>
              <w:numPr>
                <w:ilvl w:val="1"/>
                <w:numId w:val="10"/>
              </w:numPr>
              <w:rPr>
                <w:lang w:val="fr-FR"/>
              </w:rPr>
            </w:pPr>
            <w:r w:rsidRPr="00D629F5">
              <w:rPr>
                <w:lang w:val="fr-FR"/>
              </w:rPr>
              <w:t>Seuil de 1 % résultant.</w:t>
            </w:r>
          </w:p>
          <w:p w14:paraId="1C44AC45" w14:textId="77777777" w:rsidR="00FF30E4" w:rsidRPr="00D629F5" w:rsidRDefault="00FF30E4">
            <w:pPr>
              <w:keepNext/>
              <w:keepLines/>
              <w:rPr>
                <w:lang w:val="fr-FR"/>
              </w:rPr>
            </w:pPr>
          </w:p>
          <w:p w14:paraId="119199F4" w14:textId="77777777" w:rsidR="00FF30E4" w:rsidRPr="00D629F5" w:rsidRDefault="00FF30E4" w:rsidP="00332D1A">
            <w:pPr>
              <w:pStyle w:val="ListParagraph"/>
              <w:keepNext/>
              <w:keepLines/>
              <w:numPr>
                <w:ilvl w:val="0"/>
                <w:numId w:val="10"/>
              </w:numPr>
              <w:rPr>
                <w:lang w:val="fr-FR"/>
              </w:rPr>
            </w:pPr>
            <w:r w:rsidRPr="00D629F5">
              <w:rPr>
                <w:lang w:val="fr-FR"/>
              </w:rPr>
              <w:t>Liste des pièces jointes/annexes</w:t>
            </w:r>
          </w:p>
          <w:p w14:paraId="19CBD2AD" w14:textId="77777777" w:rsidR="00FF30E4" w:rsidRPr="00D629F5" w:rsidRDefault="00FF30E4" w:rsidP="00332D1A">
            <w:pPr>
              <w:pStyle w:val="ListParagraph"/>
              <w:keepNext/>
              <w:keepLines/>
              <w:numPr>
                <w:ilvl w:val="1"/>
                <w:numId w:val="10"/>
              </w:numPr>
              <w:rPr>
                <w:lang w:val="fr-FR"/>
              </w:rPr>
            </w:pPr>
            <w:r w:rsidRPr="00D629F5">
              <w:rPr>
                <w:lang w:val="fr-FR"/>
              </w:rPr>
              <w:t>Tableaux de données pertinents.</w:t>
            </w:r>
          </w:p>
          <w:p w14:paraId="3B5DF0B1" w14:textId="77777777" w:rsidR="00FF30E4" w:rsidRPr="00D629F5" w:rsidRDefault="00FF30E4" w:rsidP="00332D1A">
            <w:pPr>
              <w:pStyle w:val="ListParagraph"/>
              <w:keepNext/>
              <w:keepLines/>
              <w:numPr>
                <w:ilvl w:val="1"/>
                <w:numId w:val="10"/>
              </w:numPr>
              <w:rPr>
                <w:lang w:val="fr-FR"/>
              </w:rPr>
            </w:pPr>
            <w:r w:rsidRPr="00D629F5">
              <w:rPr>
                <w:lang w:val="fr-FR"/>
              </w:rPr>
              <w:t>Copies des sources originales.</w:t>
            </w:r>
          </w:p>
          <w:p w14:paraId="1DE798D5" w14:textId="77777777" w:rsidR="00FF30E4" w:rsidRPr="00D629F5" w:rsidRDefault="00FF30E4" w:rsidP="00332D1A">
            <w:pPr>
              <w:pStyle w:val="ListParagraph"/>
              <w:keepNext/>
              <w:keepLines/>
              <w:numPr>
                <w:ilvl w:val="1"/>
                <w:numId w:val="10"/>
              </w:numPr>
              <w:rPr>
                <w:lang w:val="fr-FR"/>
              </w:rPr>
            </w:pPr>
            <w:r w:rsidRPr="00D629F5">
              <w:rPr>
                <w:lang w:val="fr-FR"/>
              </w:rPr>
              <w:t>Documents d’appui additionnels.</w:t>
            </w:r>
          </w:p>
          <w:p w14:paraId="58DEF7BF" w14:textId="77777777" w:rsidR="00FF30E4" w:rsidRPr="00D629F5" w:rsidRDefault="00FF30E4">
            <w:pPr>
              <w:pStyle w:val="ListParagraph"/>
              <w:keepNext/>
              <w:keepLines/>
              <w:ind w:left="792"/>
              <w:rPr>
                <w:lang w:val="fr-FR"/>
              </w:rPr>
            </w:pPr>
          </w:p>
        </w:tc>
      </w:tr>
    </w:tbl>
    <w:p w14:paraId="508F83D3" w14:textId="77777777" w:rsidR="00FF30E4" w:rsidRDefault="00FF30E4" w:rsidP="00FF30E4">
      <w:pPr>
        <w:spacing w:after="160" w:line="256" w:lineRule="auto"/>
        <w:rPr>
          <w:sz w:val="24"/>
          <w:szCs w:val="24"/>
        </w:rPr>
      </w:pPr>
      <w:r w:rsidRPr="00D629F5">
        <w:br w:type="page"/>
      </w:r>
    </w:p>
    <w:p w14:paraId="2CC10EE5" w14:textId="77777777" w:rsidR="00FF30E4" w:rsidRDefault="00FF30E4" w:rsidP="00FF30E4">
      <w:pPr>
        <w:rPr>
          <w:rFonts w:eastAsia="Times New Roman"/>
          <w:b/>
          <w:sz w:val="24"/>
          <w:szCs w:val="24"/>
          <w:lang w:val="fr-FR"/>
        </w:rPr>
      </w:pPr>
      <w:r>
        <w:rPr>
          <w:rFonts w:eastAsia="Times New Roman"/>
          <w:b/>
          <w:sz w:val="24"/>
          <w:szCs w:val="24"/>
          <w:lang w:val="fr-FR"/>
        </w:rPr>
        <w:t>Annexe 3</w:t>
      </w:r>
    </w:p>
    <w:p w14:paraId="0565277C" w14:textId="77777777" w:rsidR="00FF30E4" w:rsidRDefault="00FF30E4" w:rsidP="00FF30E4">
      <w:pPr>
        <w:rPr>
          <w:rFonts w:eastAsia="Times New Roman"/>
          <w:b/>
          <w:sz w:val="24"/>
          <w:szCs w:val="24"/>
          <w:lang w:val="fr-FR"/>
        </w:rPr>
      </w:pPr>
      <w:r>
        <w:rPr>
          <w:rFonts w:eastAsia="Times New Roman"/>
          <w:b/>
          <w:sz w:val="24"/>
          <w:szCs w:val="24"/>
          <w:lang w:val="fr-FR"/>
        </w:rPr>
        <w:t xml:space="preserve">Note sur la portée de l’examen des cadres juridiques et politiques pour la conservation et l’utilisation rationnelle des zones humides </w:t>
      </w:r>
    </w:p>
    <w:p w14:paraId="14A86DAE" w14:textId="77777777" w:rsidR="00FF30E4" w:rsidRDefault="00FF30E4" w:rsidP="00FF30E4">
      <w:pPr>
        <w:rPr>
          <w:sz w:val="24"/>
          <w:szCs w:val="24"/>
          <w:lang w:val="fr-FR"/>
        </w:rPr>
      </w:pPr>
    </w:p>
    <w:p w14:paraId="1C847771" w14:textId="77777777" w:rsidR="00FF30E4" w:rsidRPr="00D629F5" w:rsidRDefault="00FF30E4" w:rsidP="00FF30E4">
      <w:pPr>
        <w:ind w:left="432" w:hanging="432"/>
        <w:rPr>
          <w:lang w:val="fr-FR"/>
        </w:rPr>
      </w:pPr>
      <w:r w:rsidRPr="00D629F5">
        <w:rPr>
          <w:lang w:val="fr-FR"/>
        </w:rPr>
        <w:t>1.</w:t>
      </w:r>
      <w:r w:rsidRPr="00D629F5">
        <w:rPr>
          <w:lang w:val="fr-FR"/>
        </w:rPr>
        <w:tab/>
        <w:t>Le Groupe d’évaluation scientifique et technique (GEST) a préparé cette note technique sur la portée de l’examen, conformément à la Résolution XIV.14 et à la tâche 5.4 du plan de travail du GEST 2023-2025. On y trouve des orientations en vue d’un examen des instruments politiques relatifs à la conservation, la restauration et l’utilisation rationnelle des zones humides qui devrait avoir lieu au cours de la prochaine période triennale, sous réserve de l’approbation de la Conférence des Parties contractantes et du Comité permanent, dans le cadre du plan de travail du GEST 2026</w:t>
      </w:r>
      <w:r w:rsidRPr="00D629F5">
        <w:rPr>
          <w:lang w:val="fr-FR"/>
        </w:rPr>
        <w:softHyphen/>
        <w:t xml:space="preserve">2028. </w:t>
      </w:r>
    </w:p>
    <w:p w14:paraId="20E6EB9E" w14:textId="77777777" w:rsidR="00FF30E4" w:rsidRPr="00D629F5" w:rsidRDefault="00FF30E4" w:rsidP="00FF30E4">
      <w:pPr>
        <w:rPr>
          <w:lang w:val="fr-FR"/>
        </w:rPr>
      </w:pPr>
    </w:p>
    <w:p w14:paraId="55E9BD67" w14:textId="77777777" w:rsidR="00FF30E4" w:rsidRPr="00D629F5" w:rsidRDefault="00FF30E4" w:rsidP="00FF30E4">
      <w:pPr>
        <w:ind w:left="432" w:hanging="432"/>
        <w:rPr>
          <w:lang w:val="fr-FR"/>
        </w:rPr>
      </w:pPr>
      <w:r w:rsidRPr="00D629F5">
        <w:rPr>
          <w:lang w:val="fr-FR"/>
        </w:rPr>
        <w:t>2.</w:t>
      </w:r>
      <w:r w:rsidRPr="00D629F5">
        <w:rPr>
          <w:lang w:val="fr-FR"/>
        </w:rPr>
        <w:tab/>
        <w:t>Les Perspectives mondiales des zones humides (2018, 2021) mettent en lumière la perte et la dégradation constantes des zones humides à l’échelle mondiale. Or, si l’on veut mettre un terme à la perte des zones humides, conformément aux objectifs de la Convention, il est crucial de mettre en œuvre des instruments politiques efficaces. Le Manuel 3 de la Convention sur les zones humides : Lois et institutions souligne la nécessité de disposer de lois, règlements et politiques sur les zones humides aux niveaux national et infranational dans le contexte des obligations relatives à l’utilisation rationnelle. De même, la conservation des zones humides d’importance internationale nécessite des lois et des règlements concernant les aires protégées et autres mécanismes de conservation. Il est à remarquer que plusieurs Résolutions de la Convention fournissent des orientations sur le contenu de tels instruments, notamment la Résolution VII.7 sur l’étude des lois et des institutions, la Résolution VIII.4 sur la gestion intégrée des zones côtières, la Résolution X.19 sur la gestion des bassins hydrographiques et la Résolution XI.9 sur les moyens d’éviter, atténuer et compenser les pertes en zones humides.</w:t>
      </w:r>
    </w:p>
    <w:p w14:paraId="0313EA52" w14:textId="77777777" w:rsidR="00FF30E4" w:rsidRPr="00D629F5" w:rsidRDefault="00FF30E4" w:rsidP="00FF30E4">
      <w:pPr>
        <w:rPr>
          <w:lang w:val="fr-FR"/>
        </w:rPr>
      </w:pPr>
    </w:p>
    <w:p w14:paraId="2E10ED5C" w14:textId="77777777" w:rsidR="00FF30E4" w:rsidRPr="00D629F5" w:rsidRDefault="00FF30E4" w:rsidP="00FF30E4">
      <w:pPr>
        <w:ind w:left="432" w:hanging="432"/>
        <w:rPr>
          <w:lang w:val="fr-FR"/>
        </w:rPr>
      </w:pPr>
      <w:r w:rsidRPr="00D629F5">
        <w:rPr>
          <w:lang w:val="fr-FR"/>
        </w:rPr>
        <w:t>3.</w:t>
      </w:r>
      <w:r w:rsidRPr="00D629F5">
        <w:rPr>
          <w:lang w:val="fr-FR"/>
        </w:rPr>
        <w:tab/>
        <w:t>La portée des lois et politiques relatives aux zones humides est vaste, comprenant aussi bien des instruments spécifiques aux zones humides que des règlements environnementaux plus généraux ayant un effet sur les zones humides. Certaines lois peuvent toucher indirectement les zones humides, de manière soit positive, soit négative. Ces instruments fonctionnent à différents niveaux de gouvernance – local, national, régional et international. En conséquence, il faudra que l’examen définisse clairement les types d’instruments politiques à examiner, leur thème et leur échelle ainsi que les limites établies de l’examen. Cette note fournit le cadre nécessaire pour que l’examen soit mené avec efficacité et se saisisse des lois et politiques à différents niveaux de précision et par rapport à différents paramètres.</w:t>
      </w:r>
    </w:p>
    <w:p w14:paraId="5A6EA449" w14:textId="77777777" w:rsidR="00FF30E4" w:rsidRPr="00D629F5" w:rsidRDefault="00FF30E4" w:rsidP="00FF30E4">
      <w:pPr>
        <w:rPr>
          <w:lang w:val="fr-FR"/>
        </w:rPr>
      </w:pPr>
    </w:p>
    <w:p w14:paraId="61A16866" w14:textId="77777777" w:rsidR="00FF30E4" w:rsidRPr="00D629F5" w:rsidRDefault="00FF30E4" w:rsidP="00FF30E4">
      <w:pPr>
        <w:rPr>
          <w:b/>
          <w:lang w:val="fr-FR"/>
        </w:rPr>
      </w:pPr>
      <w:r w:rsidRPr="00D629F5">
        <w:rPr>
          <w:b/>
          <w:lang w:val="fr-FR"/>
        </w:rPr>
        <w:t>Avantages/buts</w:t>
      </w:r>
    </w:p>
    <w:p w14:paraId="082EEFC5" w14:textId="77777777" w:rsidR="00FF30E4" w:rsidRPr="00D629F5" w:rsidRDefault="00FF30E4" w:rsidP="00FF30E4">
      <w:pPr>
        <w:rPr>
          <w:lang w:val="fr-FR"/>
        </w:rPr>
      </w:pPr>
    </w:p>
    <w:p w14:paraId="0BB0FC76" w14:textId="77777777" w:rsidR="00FF30E4" w:rsidRPr="00D629F5" w:rsidRDefault="00FF30E4" w:rsidP="00FF30E4">
      <w:pPr>
        <w:ind w:left="432" w:hanging="432"/>
        <w:rPr>
          <w:lang w:val="fr-FR"/>
        </w:rPr>
      </w:pPr>
      <w:r w:rsidRPr="00D629F5">
        <w:rPr>
          <w:lang w:val="fr-FR"/>
        </w:rPr>
        <w:t>4.</w:t>
      </w:r>
      <w:r w:rsidRPr="00D629F5">
        <w:rPr>
          <w:lang w:val="fr-FR"/>
        </w:rPr>
        <w:tab/>
        <w:t xml:space="preserve">La synthèse globale des instruments politiques relatifs aux zones humides fournira aux Parties contractantes une vision précieuse de toute la gamme de lois et politiques qui encouragent l’utilisation rationnelle et la conservation des zones humides tout en s’attaquant aux moteurs clés de la perte et de la dégradation des zones humides. </w:t>
      </w:r>
    </w:p>
    <w:p w14:paraId="1FD1EE92" w14:textId="77777777" w:rsidR="00FF30E4" w:rsidRPr="00D629F5" w:rsidRDefault="00FF30E4" w:rsidP="00FF30E4">
      <w:pPr>
        <w:rPr>
          <w:lang w:val="fr-FR"/>
        </w:rPr>
      </w:pPr>
    </w:p>
    <w:p w14:paraId="53BA1740" w14:textId="77777777" w:rsidR="00FF30E4" w:rsidRPr="00D629F5" w:rsidRDefault="00FF30E4" w:rsidP="00FF30E4">
      <w:pPr>
        <w:ind w:left="432" w:hanging="432"/>
        <w:rPr>
          <w:lang w:val="fr-FR"/>
        </w:rPr>
      </w:pPr>
      <w:r w:rsidRPr="00D629F5">
        <w:rPr>
          <w:lang w:val="fr-FR"/>
        </w:rPr>
        <w:t>5.</w:t>
      </w:r>
      <w:r w:rsidRPr="00D629F5">
        <w:rPr>
          <w:lang w:val="fr-FR"/>
        </w:rPr>
        <w:tab/>
        <w:t xml:space="preserve">L’information obtenue sera un des piliers de la mise en œuvre de la Convention sur les zones humides aux niveaux local, national et régional, et même dans les zones humides transfrontières. Les conclusions seront particulièrement utiles aux Parties contractantes qui cherchent à réviser ou renforcer leurs cadres juridiques et institutionnels pour les zones humides, et contribueront à la réalisation des objectifs de développement durable (ODD), et en particulier de l’indicateur 6.6.1 sur les écosystèmes liés à l’eau. </w:t>
      </w:r>
    </w:p>
    <w:p w14:paraId="251AE5A4" w14:textId="77777777" w:rsidR="00FF30E4" w:rsidRPr="00D629F5" w:rsidRDefault="00FF30E4" w:rsidP="00FF30E4">
      <w:pPr>
        <w:rPr>
          <w:lang w:val="fr-FR"/>
        </w:rPr>
      </w:pPr>
    </w:p>
    <w:p w14:paraId="13E893EE" w14:textId="77777777" w:rsidR="00FF30E4" w:rsidRPr="00D629F5" w:rsidRDefault="00FF30E4" w:rsidP="006F153D">
      <w:pPr>
        <w:keepNext/>
        <w:rPr>
          <w:b/>
          <w:lang w:val="fr-FR"/>
        </w:rPr>
      </w:pPr>
      <w:r w:rsidRPr="00D629F5">
        <w:rPr>
          <w:b/>
          <w:lang w:val="fr-FR"/>
        </w:rPr>
        <w:t>Définitions</w:t>
      </w:r>
    </w:p>
    <w:p w14:paraId="5C7FD2A6" w14:textId="77777777" w:rsidR="00FF30E4" w:rsidRPr="00D629F5" w:rsidRDefault="00FF30E4" w:rsidP="00FF30E4">
      <w:pPr>
        <w:rPr>
          <w:lang w:val="fr-FR"/>
        </w:rPr>
      </w:pPr>
    </w:p>
    <w:p w14:paraId="2EC10532" w14:textId="77777777" w:rsidR="00FF30E4" w:rsidRPr="00D629F5" w:rsidRDefault="00FF30E4" w:rsidP="00FF30E4">
      <w:pPr>
        <w:ind w:left="432" w:hanging="432"/>
        <w:rPr>
          <w:lang w:val="fr-FR"/>
        </w:rPr>
      </w:pPr>
      <w:r w:rsidRPr="00D629F5">
        <w:rPr>
          <w:lang w:val="fr-FR"/>
        </w:rPr>
        <w:t>6.</w:t>
      </w:r>
      <w:r w:rsidRPr="00D629F5">
        <w:rPr>
          <w:lang w:val="fr-FR"/>
        </w:rPr>
        <w:tab/>
        <w:t>Pour les besoins de cet examen, les lois et politiques sur les zones humides renvoient à des règlements adoptés par les gouvernements pour régir les activités qui ont un impact sur les zones humides, notamment la législation (lois, décrets, ordonnances), les règlements qui ont force de loi et les politiques qui guident les prises de décisions. Cette définition englobe les décisions judiciaires interprétant ces lois ainsi que le droit coutumier appliqué aux zones humides.</w:t>
      </w:r>
    </w:p>
    <w:p w14:paraId="3DF10F4E" w14:textId="77777777" w:rsidR="00FF30E4" w:rsidRPr="00D629F5" w:rsidRDefault="00FF30E4" w:rsidP="00FF30E4">
      <w:pPr>
        <w:rPr>
          <w:lang w:val="fr-FR"/>
        </w:rPr>
      </w:pPr>
    </w:p>
    <w:p w14:paraId="63E4E964" w14:textId="77777777" w:rsidR="00FF30E4" w:rsidRPr="00D629F5" w:rsidRDefault="00FF30E4" w:rsidP="00FF30E4">
      <w:pPr>
        <w:ind w:left="432" w:hanging="432"/>
        <w:rPr>
          <w:lang w:val="fr-FR"/>
        </w:rPr>
      </w:pPr>
      <w:r w:rsidRPr="00D629F5">
        <w:rPr>
          <w:lang w:val="fr-FR"/>
        </w:rPr>
        <w:t>7.</w:t>
      </w:r>
      <w:r w:rsidRPr="00D629F5">
        <w:rPr>
          <w:lang w:val="fr-FR"/>
        </w:rPr>
        <w:tab/>
        <w:t>Comme mentionné dans le Manuel 3, les lois et règlements fournissent la base juridique des pouvoirs réglementaires, des cadres de planification et des dépenses publiques qui influencent la gestion des zones humides. Les lois coutumières, quant à elles, gouvernent souvent les droits et les devoirs des peuples autochtones et des communautés locales en ce qui concerne les ressources des zones humides</w:t>
      </w:r>
      <w:r w:rsidRPr="00D629F5">
        <w:rPr>
          <w:vertAlign w:val="superscript"/>
          <w:lang w:val="fr-FR"/>
        </w:rPr>
        <w:footnoteReference w:id="7"/>
      </w:r>
      <w:r w:rsidRPr="00D629F5">
        <w:rPr>
          <w:lang w:val="fr-FR"/>
        </w:rPr>
        <w:t>.</w:t>
      </w:r>
    </w:p>
    <w:p w14:paraId="5FDA9B29" w14:textId="77777777" w:rsidR="00FF30E4" w:rsidRPr="00D629F5" w:rsidRDefault="00FF30E4" w:rsidP="00FF30E4">
      <w:pPr>
        <w:rPr>
          <w:lang w:val="fr-FR"/>
        </w:rPr>
      </w:pPr>
    </w:p>
    <w:p w14:paraId="607F5B12" w14:textId="77777777" w:rsidR="00FF30E4" w:rsidRPr="00D629F5" w:rsidRDefault="00FF30E4" w:rsidP="00FF30E4">
      <w:pPr>
        <w:ind w:left="432" w:hanging="432"/>
        <w:rPr>
          <w:lang w:val="fr-FR"/>
        </w:rPr>
      </w:pPr>
      <w:r w:rsidRPr="00D629F5">
        <w:rPr>
          <w:lang w:val="fr-FR"/>
        </w:rPr>
        <w:t>8.</w:t>
      </w:r>
      <w:r w:rsidRPr="00D629F5">
        <w:rPr>
          <w:lang w:val="fr-FR"/>
        </w:rPr>
        <w:tab/>
        <w:t xml:space="preserve">Le tableau qui suit mentionne les sources potentielles des lois et politiques pertinentes relatives aux zones humides. </w:t>
      </w:r>
    </w:p>
    <w:p w14:paraId="10D59FF4" w14:textId="77777777" w:rsidR="00FF30E4" w:rsidRPr="00D629F5" w:rsidRDefault="00FF30E4" w:rsidP="00FF30E4">
      <w:pPr>
        <w:rPr>
          <w:lang w:val="fr-FR"/>
        </w:rPr>
      </w:pPr>
    </w:p>
    <w:tbl>
      <w:tblPr>
        <w:tblStyle w:val="TableGrid"/>
        <w:tblW w:w="0" w:type="auto"/>
        <w:tblInd w:w="-5" w:type="dxa"/>
        <w:tblLook w:val="04A0" w:firstRow="1" w:lastRow="0" w:firstColumn="1" w:lastColumn="0" w:noHBand="0" w:noVBand="1"/>
      </w:tblPr>
      <w:tblGrid>
        <w:gridCol w:w="4504"/>
        <w:gridCol w:w="4517"/>
      </w:tblGrid>
      <w:tr w:rsidR="00FF30E4" w:rsidRPr="00D629F5" w14:paraId="5A68645D" w14:textId="77777777" w:rsidTr="00FF30E4">
        <w:tc>
          <w:tcPr>
            <w:tcW w:w="9270" w:type="dxa"/>
            <w:gridSpan w:val="2"/>
            <w:tcBorders>
              <w:top w:val="single" w:sz="4" w:space="0" w:color="auto"/>
              <w:left w:val="single" w:sz="4" w:space="0" w:color="auto"/>
              <w:bottom w:val="single" w:sz="4" w:space="0" w:color="auto"/>
              <w:right w:val="single" w:sz="4" w:space="0" w:color="auto"/>
            </w:tcBorders>
            <w:hideMark/>
          </w:tcPr>
          <w:p w14:paraId="6E660205" w14:textId="77777777" w:rsidR="00FF30E4" w:rsidRPr="00D629F5" w:rsidRDefault="00FF30E4">
            <w:pPr>
              <w:rPr>
                <w:b/>
                <w:lang w:val="fr-FR"/>
              </w:rPr>
            </w:pPr>
            <w:r w:rsidRPr="00D629F5">
              <w:rPr>
                <w:b/>
                <w:lang w:val="fr-FR"/>
              </w:rPr>
              <w:t>Sources possibles de droit</w:t>
            </w:r>
          </w:p>
        </w:tc>
      </w:tr>
      <w:tr w:rsidR="00FF30E4" w:rsidRPr="00D629F5" w14:paraId="2B10CF08" w14:textId="77777777" w:rsidTr="00FF30E4">
        <w:tc>
          <w:tcPr>
            <w:tcW w:w="4624" w:type="dxa"/>
            <w:tcBorders>
              <w:top w:val="single" w:sz="4" w:space="0" w:color="auto"/>
              <w:left w:val="single" w:sz="4" w:space="0" w:color="auto"/>
              <w:bottom w:val="single" w:sz="4" w:space="0" w:color="auto"/>
              <w:right w:val="single" w:sz="4" w:space="0" w:color="auto"/>
            </w:tcBorders>
            <w:hideMark/>
          </w:tcPr>
          <w:p w14:paraId="71DF2903" w14:textId="77777777" w:rsidR="00FF30E4" w:rsidRPr="00D629F5" w:rsidRDefault="00FF30E4">
            <w:pPr>
              <w:rPr>
                <w:lang w:val="fr-FR"/>
              </w:rPr>
            </w:pPr>
            <w:r w:rsidRPr="00D629F5">
              <w:rPr>
                <w:lang w:val="fr-FR"/>
              </w:rPr>
              <w:t>Obligations découlant du droit international</w:t>
            </w:r>
          </w:p>
        </w:tc>
        <w:tc>
          <w:tcPr>
            <w:tcW w:w="4646" w:type="dxa"/>
            <w:tcBorders>
              <w:top w:val="single" w:sz="4" w:space="0" w:color="auto"/>
              <w:left w:val="single" w:sz="4" w:space="0" w:color="auto"/>
              <w:bottom w:val="single" w:sz="4" w:space="0" w:color="auto"/>
              <w:right w:val="single" w:sz="4" w:space="0" w:color="auto"/>
            </w:tcBorders>
            <w:hideMark/>
          </w:tcPr>
          <w:p w14:paraId="19354124" w14:textId="77777777" w:rsidR="00FF30E4" w:rsidRPr="00D629F5" w:rsidRDefault="00FF30E4">
            <w:pPr>
              <w:rPr>
                <w:lang w:val="fr-FR"/>
              </w:rPr>
            </w:pPr>
            <w:r w:rsidRPr="00D629F5">
              <w:rPr>
                <w:lang w:val="fr-FR"/>
              </w:rPr>
              <w:t>Règlements municipaux</w:t>
            </w:r>
          </w:p>
        </w:tc>
      </w:tr>
      <w:tr w:rsidR="00FF30E4" w:rsidRPr="00D629F5" w14:paraId="68BC3C50" w14:textId="77777777" w:rsidTr="00FF30E4">
        <w:tc>
          <w:tcPr>
            <w:tcW w:w="4624" w:type="dxa"/>
            <w:tcBorders>
              <w:top w:val="single" w:sz="4" w:space="0" w:color="auto"/>
              <w:left w:val="single" w:sz="4" w:space="0" w:color="auto"/>
              <w:bottom w:val="single" w:sz="4" w:space="0" w:color="auto"/>
              <w:right w:val="single" w:sz="4" w:space="0" w:color="auto"/>
            </w:tcBorders>
            <w:hideMark/>
          </w:tcPr>
          <w:p w14:paraId="3EE32E4A" w14:textId="77777777" w:rsidR="00FF30E4" w:rsidRPr="00D629F5" w:rsidRDefault="00FF30E4">
            <w:pPr>
              <w:rPr>
                <w:lang w:val="fr-FR"/>
              </w:rPr>
            </w:pPr>
            <w:r w:rsidRPr="00D629F5">
              <w:rPr>
                <w:lang w:val="fr-FR"/>
              </w:rPr>
              <w:t>Dispositions constitutionnelles pertinentes</w:t>
            </w:r>
          </w:p>
        </w:tc>
        <w:tc>
          <w:tcPr>
            <w:tcW w:w="4646" w:type="dxa"/>
            <w:tcBorders>
              <w:top w:val="single" w:sz="4" w:space="0" w:color="auto"/>
              <w:left w:val="single" w:sz="4" w:space="0" w:color="auto"/>
              <w:bottom w:val="single" w:sz="4" w:space="0" w:color="auto"/>
              <w:right w:val="single" w:sz="4" w:space="0" w:color="auto"/>
            </w:tcBorders>
            <w:hideMark/>
          </w:tcPr>
          <w:p w14:paraId="2C739231" w14:textId="77777777" w:rsidR="00FF30E4" w:rsidRPr="00D629F5" w:rsidRDefault="00FF30E4">
            <w:pPr>
              <w:rPr>
                <w:lang w:val="fr-FR"/>
              </w:rPr>
            </w:pPr>
            <w:r w:rsidRPr="00D629F5">
              <w:rPr>
                <w:lang w:val="fr-FR"/>
              </w:rPr>
              <w:t>Directives ministérielles techniques/ d’aménagement</w:t>
            </w:r>
          </w:p>
        </w:tc>
      </w:tr>
      <w:tr w:rsidR="00FF30E4" w:rsidRPr="00D629F5" w14:paraId="664D57A0" w14:textId="77777777" w:rsidTr="00FF30E4">
        <w:tc>
          <w:tcPr>
            <w:tcW w:w="4624" w:type="dxa"/>
            <w:tcBorders>
              <w:top w:val="single" w:sz="4" w:space="0" w:color="auto"/>
              <w:left w:val="single" w:sz="4" w:space="0" w:color="auto"/>
              <w:bottom w:val="single" w:sz="4" w:space="0" w:color="auto"/>
              <w:right w:val="single" w:sz="4" w:space="0" w:color="auto"/>
            </w:tcBorders>
            <w:hideMark/>
          </w:tcPr>
          <w:p w14:paraId="1862B317" w14:textId="77777777" w:rsidR="00FF30E4" w:rsidRPr="00D629F5" w:rsidRDefault="00FF30E4">
            <w:pPr>
              <w:rPr>
                <w:lang w:val="fr-FR"/>
              </w:rPr>
            </w:pPr>
            <w:r w:rsidRPr="00D629F5">
              <w:rPr>
                <w:lang w:val="fr-FR"/>
              </w:rPr>
              <w:t>Accords régionaux/ locaux</w:t>
            </w:r>
          </w:p>
        </w:tc>
        <w:tc>
          <w:tcPr>
            <w:tcW w:w="4646" w:type="dxa"/>
            <w:tcBorders>
              <w:top w:val="single" w:sz="4" w:space="0" w:color="auto"/>
              <w:left w:val="single" w:sz="4" w:space="0" w:color="auto"/>
              <w:bottom w:val="single" w:sz="4" w:space="0" w:color="auto"/>
              <w:right w:val="single" w:sz="4" w:space="0" w:color="auto"/>
            </w:tcBorders>
          </w:tcPr>
          <w:p w14:paraId="1D7D2DA8" w14:textId="77777777" w:rsidR="00FF30E4" w:rsidRPr="00D629F5" w:rsidRDefault="00FF30E4">
            <w:pPr>
              <w:rPr>
                <w:lang w:val="fr-FR"/>
              </w:rPr>
            </w:pPr>
          </w:p>
        </w:tc>
      </w:tr>
      <w:tr w:rsidR="00FF30E4" w:rsidRPr="00D629F5" w14:paraId="5698DCA6" w14:textId="77777777" w:rsidTr="00FF30E4">
        <w:tc>
          <w:tcPr>
            <w:tcW w:w="4624" w:type="dxa"/>
            <w:tcBorders>
              <w:top w:val="single" w:sz="4" w:space="0" w:color="auto"/>
              <w:left w:val="single" w:sz="4" w:space="0" w:color="auto"/>
              <w:bottom w:val="single" w:sz="4" w:space="0" w:color="auto"/>
              <w:right w:val="single" w:sz="4" w:space="0" w:color="auto"/>
            </w:tcBorders>
            <w:hideMark/>
          </w:tcPr>
          <w:p w14:paraId="40278DE9" w14:textId="77777777" w:rsidR="00FF30E4" w:rsidRPr="00D629F5" w:rsidRDefault="00FF30E4">
            <w:pPr>
              <w:rPr>
                <w:lang w:val="fr-FR"/>
              </w:rPr>
            </w:pPr>
            <w:r w:rsidRPr="00D629F5">
              <w:rPr>
                <w:lang w:val="fr-FR"/>
              </w:rPr>
              <w:t>Lois fondamentales (statuts)</w:t>
            </w:r>
          </w:p>
        </w:tc>
        <w:tc>
          <w:tcPr>
            <w:tcW w:w="4646" w:type="dxa"/>
            <w:tcBorders>
              <w:top w:val="single" w:sz="4" w:space="0" w:color="auto"/>
              <w:left w:val="single" w:sz="4" w:space="0" w:color="auto"/>
              <w:bottom w:val="single" w:sz="4" w:space="0" w:color="auto"/>
              <w:right w:val="single" w:sz="4" w:space="0" w:color="auto"/>
            </w:tcBorders>
            <w:hideMark/>
          </w:tcPr>
          <w:p w14:paraId="487BF5FE" w14:textId="77777777" w:rsidR="00FF30E4" w:rsidRPr="00D629F5" w:rsidRDefault="00FF30E4">
            <w:pPr>
              <w:rPr>
                <w:lang w:val="fr-FR"/>
              </w:rPr>
            </w:pPr>
            <w:r w:rsidRPr="00D629F5">
              <w:rPr>
                <w:lang w:val="fr-FR"/>
              </w:rPr>
              <w:t>Règlements sur le régime foncier et l’utilisation des ressources</w:t>
            </w:r>
          </w:p>
        </w:tc>
      </w:tr>
      <w:tr w:rsidR="00FF30E4" w:rsidRPr="00D629F5" w14:paraId="27370409" w14:textId="77777777" w:rsidTr="00FF30E4">
        <w:tc>
          <w:tcPr>
            <w:tcW w:w="4624" w:type="dxa"/>
            <w:tcBorders>
              <w:top w:val="single" w:sz="4" w:space="0" w:color="auto"/>
              <w:left w:val="single" w:sz="4" w:space="0" w:color="auto"/>
              <w:bottom w:val="single" w:sz="4" w:space="0" w:color="auto"/>
              <w:right w:val="single" w:sz="4" w:space="0" w:color="auto"/>
            </w:tcBorders>
            <w:hideMark/>
          </w:tcPr>
          <w:p w14:paraId="4155C22B" w14:textId="77777777" w:rsidR="00FF30E4" w:rsidRPr="00D629F5" w:rsidRDefault="00FF30E4">
            <w:pPr>
              <w:rPr>
                <w:lang w:val="fr-FR"/>
              </w:rPr>
            </w:pPr>
            <w:r w:rsidRPr="00D629F5">
              <w:rPr>
                <w:lang w:val="fr-FR"/>
              </w:rPr>
              <w:t>Règlements d’application</w:t>
            </w:r>
          </w:p>
        </w:tc>
        <w:tc>
          <w:tcPr>
            <w:tcW w:w="4646" w:type="dxa"/>
            <w:tcBorders>
              <w:top w:val="single" w:sz="4" w:space="0" w:color="auto"/>
              <w:left w:val="single" w:sz="4" w:space="0" w:color="auto"/>
              <w:bottom w:val="single" w:sz="4" w:space="0" w:color="auto"/>
              <w:right w:val="single" w:sz="4" w:space="0" w:color="auto"/>
            </w:tcBorders>
            <w:hideMark/>
          </w:tcPr>
          <w:p w14:paraId="1206BAC0" w14:textId="77777777" w:rsidR="00FF30E4" w:rsidRPr="00D629F5" w:rsidRDefault="00FF30E4">
            <w:pPr>
              <w:rPr>
                <w:lang w:val="fr-FR"/>
              </w:rPr>
            </w:pPr>
            <w:r w:rsidRPr="00D629F5">
              <w:rPr>
                <w:lang w:val="fr-FR"/>
              </w:rPr>
              <w:t>Contrats et concessions</w:t>
            </w:r>
          </w:p>
        </w:tc>
      </w:tr>
      <w:tr w:rsidR="00FF30E4" w:rsidRPr="00D629F5" w14:paraId="5735B044" w14:textId="77777777" w:rsidTr="00FF30E4">
        <w:tc>
          <w:tcPr>
            <w:tcW w:w="4624" w:type="dxa"/>
            <w:tcBorders>
              <w:top w:val="single" w:sz="4" w:space="0" w:color="auto"/>
              <w:left w:val="single" w:sz="4" w:space="0" w:color="auto"/>
              <w:bottom w:val="single" w:sz="4" w:space="0" w:color="auto"/>
              <w:right w:val="single" w:sz="4" w:space="0" w:color="auto"/>
            </w:tcBorders>
            <w:hideMark/>
          </w:tcPr>
          <w:p w14:paraId="04A28E29" w14:textId="77777777" w:rsidR="00FF30E4" w:rsidRPr="00D629F5" w:rsidRDefault="00FF30E4">
            <w:pPr>
              <w:rPr>
                <w:lang w:val="fr-FR"/>
              </w:rPr>
            </w:pPr>
            <w:r w:rsidRPr="00D629F5">
              <w:rPr>
                <w:lang w:val="fr-FR"/>
              </w:rPr>
              <w:t>Droit coutumier (y compris jurisprudence)</w:t>
            </w:r>
          </w:p>
        </w:tc>
        <w:tc>
          <w:tcPr>
            <w:tcW w:w="4646" w:type="dxa"/>
            <w:tcBorders>
              <w:top w:val="single" w:sz="4" w:space="0" w:color="auto"/>
              <w:left w:val="single" w:sz="4" w:space="0" w:color="auto"/>
              <w:bottom w:val="single" w:sz="4" w:space="0" w:color="auto"/>
              <w:right w:val="single" w:sz="4" w:space="0" w:color="auto"/>
            </w:tcBorders>
            <w:hideMark/>
          </w:tcPr>
          <w:p w14:paraId="6B3479E8" w14:textId="77777777" w:rsidR="00FF30E4" w:rsidRPr="00D629F5" w:rsidRDefault="00FF30E4">
            <w:pPr>
              <w:rPr>
                <w:lang w:val="fr-FR"/>
              </w:rPr>
            </w:pPr>
            <w:r w:rsidRPr="00D629F5">
              <w:rPr>
                <w:lang w:val="fr-FR"/>
              </w:rPr>
              <w:t>Lois et meilleures pratiques coutumières</w:t>
            </w:r>
          </w:p>
        </w:tc>
      </w:tr>
      <w:tr w:rsidR="00FF30E4" w:rsidRPr="00D629F5" w14:paraId="1EAC3216" w14:textId="77777777" w:rsidTr="00FF30E4">
        <w:tc>
          <w:tcPr>
            <w:tcW w:w="4624" w:type="dxa"/>
            <w:tcBorders>
              <w:top w:val="single" w:sz="4" w:space="0" w:color="auto"/>
              <w:left w:val="single" w:sz="4" w:space="0" w:color="auto"/>
              <w:bottom w:val="single" w:sz="4" w:space="0" w:color="auto"/>
              <w:right w:val="single" w:sz="4" w:space="0" w:color="auto"/>
            </w:tcBorders>
            <w:hideMark/>
          </w:tcPr>
          <w:p w14:paraId="41B80BA0" w14:textId="77777777" w:rsidR="00FF30E4" w:rsidRPr="00D629F5" w:rsidRDefault="00FF30E4">
            <w:pPr>
              <w:rPr>
                <w:lang w:val="fr-FR"/>
              </w:rPr>
            </w:pPr>
            <w:r w:rsidRPr="00D629F5">
              <w:rPr>
                <w:lang w:val="fr-FR"/>
              </w:rPr>
              <w:t>Politiques gouvernementales officielles</w:t>
            </w:r>
          </w:p>
        </w:tc>
        <w:tc>
          <w:tcPr>
            <w:tcW w:w="4646" w:type="dxa"/>
            <w:tcBorders>
              <w:top w:val="single" w:sz="4" w:space="0" w:color="auto"/>
              <w:left w:val="single" w:sz="4" w:space="0" w:color="auto"/>
              <w:bottom w:val="single" w:sz="4" w:space="0" w:color="auto"/>
              <w:right w:val="single" w:sz="4" w:space="0" w:color="auto"/>
            </w:tcBorders>
            <w:hideMark/>
          </w:tcPr>
          <w:p w14:paraId="4CA2DAAE" w14:textId="77777777" w:rsidR="00FF30E4" w:rsidRPr="00D629F5" w:rsidRDefault="00FF30E4">
            <w:pPr>
              <w:rPr>
                <w:lang w:val="fr-FR"/>
              </w:rPr>
            </w:pPr>
            <w:r w:rsidRPr="00D629F5">
              <w:rPr>
                <w:lang w:val="fr-FR"/>
              </w:rPr>
              <w:t>Normes culturelles ou religieuses pertinentes</w:t>
            </w:r>
          </w:p>
        </w:tc>
      </w:tr>
      <w:tr w:rsidR="00FF30E4" w:rsidRPr="00D629F5" w14:paraId="1F0D930A" w14:textId="77777777" w:rsidTr="00FF30E4">
        <w:tc>
          <w:tcPr>
            <w:tcW w:w="4624" w:type="dxa"/>
            <w:tcBorders>
              <w:top w:val="single" w:sz="4" w:space="0" w:color="auto"/>
              <w:left w:val="single" w:sz="4" w:space="0" w:color="auto"/>
              <w:bottom w:val="single" w:sz="4" w:space="0" w:color="auto"/>
              <w:right w:val="single" w:sz="4" w:space="0" w:color="auto"/>
            </w:tcBorders>
            <w:hideMark/>
          </w:tcPr>
          <w:p w14:paraId="4F0A268C" w14:textId="77777777" w:rsidR="00FF30E4" w:rsidRPr="00D629F5" w:rsidRDefault="00FF30E4">
            <w:pPr>
              <w:rPr>
                <w:lang w:val="fr-FR"/>
              </w:rPr>
            </w:pPr>
            <w:r w:rsidRPr="00D629F5">
              <w:rPr>
                <w:lang w:val="fr-FR"/>
              </w:rPr>
              <w:t>Lois et pratiques autochtones</w:t>
            </w:r>
          </w:p>
        </w:tc>
        <w:tc>
          <w:tcPr>
            <w:tcW w:w="4646" w:type="dxa"/>
            <w:tcBorders>
              <w:top w:val="single" w:sz="4" w:space="0" w:color="auto"/>
              <w:left w:val="single" w:sz="4" w:space="0" w:color="auto"/>
              <w:bottom w:val="single" w:sz="4" w:space="0" w:color="auto"/>
              <w:right w:val="single" w:sz="4" w:space="0" w:color="auto"/>
            </w:tcBorders>
            <w:hideMark/>
          </w:tcPr>
          <w:p w14:paraId="5375974F" w14:textId="77777777" w:rsidR="00FF30E4" w:rsidRPr="00D629F5" w:rsidRDefault="00FF30E4">
            <w:pPr>
              <w:rPr>
                <w:lang w:val="fr-FR"/>
              </w:rPr>
            </w:pPr>
            <w:r w:rsidRPr="00D629F5">
              <w:rPr>
                <w:lang w:val="fr-FR"/>
              </w:rPr>
              <w:t xml:space="preserve">Cadres de connaissances écologiques traditionnelles </w:t>
            </w:r>
          </w:p>
          <w:p w14:paraId="613A925B" w14:textId="77777777" w:rsidR="00FF30E4" w:rsidRPr="00D629F5" w:rsidRDefault="00FF30E4">
            <w:pPr>
              <w:rPr>
                <w:lang w:val="fr-FR"/>
              </w:rPr>
            </w:pPr>
            <w:r w:rsidRPr="00D629F5">
              <w:rPr>
                <w:lang w:val="fr-FR"/>
              </w:rPr>
              <w:t>Politiques autochtones de gestion foncière</w:t>
            </w:r>
          </w:p>
        </w:tc>
      </w:tr>
    </w:tbl>
    <w:p w14:paraId="66CEA246" w14:textId="77777777" w:rsidR="00FF30E4" w:rsidRPr="00D629F5" w:rsidRDefault="00FF30E4" w:rsidP="00FF30E4">
      <w:pPr>
        <w:rPr>
          <w:lang w:val="fr-FR"/>
        </w:rPr>
      </w:pPr>
      <w:r w:rsidRPr="00D629F5">
        <w:rPr>
          <w:i/>
          <w:iCs/>
          <w:lang w:val="fr-FR"/>
        </w:rPr>
        <w:t xml:space="preserve">Source </w:t>
      </w:r>
      <w:r w:rsidRPr="00D629F5">
        <w:rPr>
          <w:lang w:val="fr-FR"/>
        </w:rPr>
        <w:t xml:space="preserve">: Adapté du Manuel 3 de la Convention sur les zones humides, </w:t>
      </w:r>
      <w:r w:rsidRPr="00D629F5">
        <w:rPr>
          <w:i/>
          <w:iCs/>
          <w:lang w:val="fr-FR"/>
        </w:rPr>
        <w:t>Lois et institutions</w:t>
      </w:r>
      <w:r w:rsidRPr="00D629F5">
        <w:rPr>
          <w:lang w:val="fr-FR"/>
        </w:rPr>
        <w:t>.</w:t>
      </w:r>
    </w:p>
    <w:p w14:paraId="203447C0" w14:textId="77777777" w:rsidR="00FF30E4" w:rsidRPr="00D629F5" w:rsidRDefault="00FF30E4" w:rsidP="00FF30E4">
      <w:pPr>
        <w:rPr>
          <w:lang w:val="fr-FR"/>
        </w:rPr>
      </w:pPr>
      <w:r w:rsidRPr="00D629F5">
        <w:rPr>
          <w:lang w:val="fr-FR"/>
        </w:rPr>
        <w:t xml:space="preserve">  </w:t>
      </w:r>
    </w:p>
    <w:p w14:paraId="10B14EF2" w14:textId="77777777" w:rsidR="00FF30E4" w:rsidRPr="00D629F5" w:rsidRDefault="00FF30E4" w:rsidP="00FF30E4">
      <w:pPr>
        <w:ind w:left="432" w:hanging="432"/>
        <w:rPr>
          <w:lang w:val="fr-FR"/>
        </w:rPr>
      </w:pPr>
      <w:r w:rsidRPr="00D629F5">
        <w:rPr>
          <w:lang w:val="fr-FR"/>
        </w:rPr>
        <w:t>9.</w:t>
      </w:r>
      <w:r w:rsidRPr="00D629F5">
        <w:rPr>
          <w:lang w:val="fr-FR"/>
        </w:rPr>
        <w:tab/>
        <w:t>Pour les besoins de l’examen, la définition des zones humides donnée par la Convention sur les zones humides (Article 1.1) est applicable : « étendues de marais, de fagnes, de tourbières ou d'eaux naturelles ou artificielles, permanentes ou temporaires, où l'eau est stagnante ou courante, douce, saumâtre ou salée, y compris des étendues d'eau marine dont la profondeur à marée basse n'excède pas six mètres. » L’examen tiendra compte de tous les types de zones humides du Système de classification de la Convention, c’est-à-dire les zones humides marines, côtières, continentales et artificielles, et notamment les récifs coralliens, les marais, les mangroves, les lagunes, les cours d’eau, les lacs et les tourbières</w:t>
      </w:r>
      <w:r w:rsidRPr="00D629F5">
        <w:rPr>
          <w:vertAlign w:val="superscript"/>
          <w:lang w:val="fr-FR"/>
        </w:rPr>
        <w:footnoteReference w:id="8"/>
      </w:r>
      <w:r w:rsidRPr="00D629F5">
        <w:rPr>
          <w:lang w:val="fr-FR"/>
        </w:rPr>
        <w:t>.</w:t>
      </w:r>
    </w:p>
    <w:p w14:paraId="7D2E443F" w14:textId="77777777" w:rsidR="00FF30E4" w:rsidRPr="00D629F5" w:rsidRDefault="00FF30E4" w:rsidP="00FF30E4">
      <w:pPr>
        <w:rPr>
          <w:lang w:val="fr-FR"/>
        </w:rPr>
      </w:pPr>
    </w:p>
    <w:p w14:paraId="72FD16C6" w14:textId="77777777" w:rsidR="00FF30E4" w:rsidRPr="00D629F5" w:rsidRDefault="00FF30E4" w:rsidP="006F153D">
      <w:pPr>
        <w:keepNext/>
        <w:rPr>
          <w:b/>
          <w:lang w:val="fr-FR"/>
        </w:rPr>
      </w:pPr>
      <w:r w:rsidRPr="00D629F5">
        <w:rPr>
          <w:b/>
          <w:lang w:val="fr-FR"/>
        </w:rPr>
        <w:t>Portée des travaux</w:t>
      </w:r>
    </w:p>
    <w:p w14:paraId="725FADBA" w14:textId="77777777" w:rsidR="00FF30E4" w:rsidRPr="00D629F5" w:rsidRDefault="00FF30E4" w:rsidP="00FF30E4">
      <w:pPr>
        <w:rPr>
          <w:lang w:val="fr-FR"/>
        </w:rPr>
      </w:pPr>
    </w:p>
    <w:p w14:paraId="5B98A5E4" w14:textId="77777777" w:rsidR="00FF30E4" w:rsidRPr="00D629F5" w:rsidRDefault="00FF30E4" w:rsidP="00FF30E4">
      <w:pPr>
        <w:ind w:left="432" w:hanging="432"/>
        <w:rPr>
          <w:lang w:val="fr-FR"/>
        </w:rPr>
      </w:pPr>
      <w:r w:rsidRPr="00D629F5">
        <w:rPr>
          <w:lang w:val="fr-FR"/>
        </w:rPr>
        <w:t>10.</w:t>
      </w:r>
      <w:r w:rsidRPr="00D629F5">
        <w:rPr>
          <w:lang w:val="fr-FR"/>
        </w:rPr>
        <w:tab/>
        <w:t xml:space="preserve">L’examen portera sur toutes les régions de la Convention sur les zones humides dans le cadre d’une étude théorique et de consultations avec les Correspondants nationaux, les Correspondants du GEST et les représentants des Initiatives régionales. Toute une gamme d’instruments juridiques et politiques seront identifiés, à différents niveaux, et prendront en compte des exemples de lois autochtones et coutumières. Dans la mesure du possible, les lois et politiques efficaces qui ont réussi à promouvoir l’utilisation rationnelle et la conservation des zones humides seront mises en évidence. </w:t>
      </w:r>
    </w:p>
    <w:p w14:paraId="0A20F645" w14:textId="77777777" w:rsidR="00FF30E4" w:rsidRPr="00D629F5" w:rsidRDefault="00FF30E4" w:rsidP="00FF30E4">
      <w:pPr>
        <w:rPr>
          <w:lang w:val="fr-FR"/>
        </w:rPr>
      </w:pPr>
    </w:p>
    <w:p w14:paraId="2D9471C3" w14:textId="77777777" w:rsidR="00FF30E4" w:rsidRPr="00D629F5" w:rsidRDefault="00FF30E4" w:rsidP="00FF30E4">
      <w:pPr>
        <w:ind w:left="432" w:hanging="432"/>
        <w:rPr>
          <w:lang w:val="fr-FR"/>
        </w:rPr>
      </w:pPr>
      <w:r w:rsidRPr="00D629F5">
        <w:rPr>
          <w:lang w:val="fr-FR"/>
        </w:rPr>
        <w:t>11.</w:t>
      </w:r>
      <w:r w:rsidRPr="00D629F5">
        <w:rPr>
          <w:lang w:val="fr-FR"/>
        </w:rPr>
        <w:tab/>
        <w:t>L’examen évaluera aussi bien les textes juridiques des instruments politiques que le bilan de leur mise en œuvre, scrutant leurs résultats sur le plan juridique, social et écologique. Des facteurs tels que la précision, la rigueur, le fondement scientifique, la participation du public, l’applicabilité et le contrôle administratif seront pris en compte pour déterminer leur efficacité. Les enseignements tirés et les meilleures pratiques seront également déterminés.</w:t>
      </w:r>
    </w:p>
    <w:p w14:paraId="32DCFE43" w14:textId="77777777" w:rsidR="00FF30E4" w:rsidRPr="00D629F5" w:rsidRDefault="00FF30E4" w:rsidP="00FF30E4">
      <w:pPr>
        <w:rPr>
          <w:lang w:val="fr-FR"/>
        </w:rPr>
      </w:pPr>
    </w:p>
    <w:p w14:paraId="6313218F" w14:textId="77777777" w:rsidR="00FF30E4" w:rsidRPr="00D629F5" w:rsidRDefault="00FF30E4" w:rsidP="00FF30E4">
      <w:pPr>
        <w:keepNext/>
        <w:rPr>
          <w:b/>
          <w:lang w:val="fr-FR"/>
        </w:rPr>
      </w:pPr>
      <w:r w:rsidRPr="00D629F5">
        <w:rPr>
          <w:b/>
          <w:lang w:val="fr-FR"/>
        </w:rPr>
        <w:t>Étude théorique et consultation</w:t>
      </w:r>
    </w:p>
    <w:p w14:paraId="6FFB6741" w14:textId="77777777" w:rsidR="00FF30E4" w:rsidRPr="00D629F5" w:rsidRDefault="00FF30E4" w:rsidP="00FF30E4">
      <w:pPr>
        <w:keepNext/>
        <w:rPr>
          <w:lang w:val="fr-FR"/>
        </w:rPr>
      </w:pPr>
    </w:p>
    <w:p w14:paraId="1AB50F91" w14:textId="77777777" w:rsidR="00FF30E4" w:rsidRPr="00D629F5" w:rsidRDefault="00FF30E4" w:rsidP="00FF30E4">
      <w:pPr>
        <w:ind w:left="432" w:hanging="432"/>
        <w:rPr>
          <w:lang w:val="fr-FR"/>
        </w:rPr>
      </w:pPr>
      <w:r w:rsidRPr="00D629F5">
        <w:rPr>
          <w:lang w:val="fr-FR"/>
        </w:rPr>
        <w:t>12.</w:t>
      </w:r>
      <w:r w:rsidRPr="00D629F5">
        <w:rPr>
          <w:lang w:val="fr-FR"/>
        </w:rPr>
        <w:tab/>
        <w:t>L’étude théorique analysera la littérature et les bases de données existantes telles que Legal Atlas qui prépare une base de données mondiale sur les lois relatives à la gestion des eaux douces (</w:t>
      </w:r>
      <w:hyperlink r:id="rId22" w:history="1">
        <w:r w:rsidRPr="00D629F5">
          <w:rPr>
            <w:rStyle w:val="Hyperlink"/>
            <w:lang w:val="fr-FR"/>
          </w:rPr>
          <w:t>https://www.legal-atlas.com/legal-intelligence-platform.html</w:t>
        </w:r>
      </w:hyperlink>
      <w:r w:rsidRPr="00D629F5">
        <w:rPr>
          <w:lang w:val="fr-FR"/>
        </w:rPr>
        <w:t xml:space="preserve">). </w:t>
      </w:r>
    </w:p>
    <w:p w14:paraId="2F22F755" w14:textId="77777777" w:rsidR="00FF30E4" w:rsidRPr="00D629F5" w:rsidRDefault="00FF30E4" w:rsidP="00FF30E4">
      <w:pPr>
        <w:rPr>
          <w:lang w:val="fr-FR"/>
        </w:rPr>
      </w:pPr>
    </w:p>
    <w:p w14:paraId="6B77408F" w14:textId="77777777" w:rsidR="00FF30E4" w:rsidRPr="00D629F5" w:rsidRDefault="00FF30E4" w:rsidP="00FF30E4">
      <w:pPr>
        <w:ind w:left="432" w:hanging="432"/>
        <w:rPr>
          <w:lang w:val="fr-FR"/>
        </w:rPr>
      </w:pPr>
      <w:r w:rsidRPr="00D629F5">
        <w:rPr>
          <w:lang w:val="fr-FR"/>
        </w:rPr>
        <w:t>13.</w:t>
      </w:r>
      <w:r w:rsidRPr="00D629F5">
        <w:rPr>
          <w:lang w:val="fr-FR"/>
        </w:rPr>
        <w:tab/>
        <w:t>Par ailleurs, les bases de données juridiques existantes seront explorées pour identifier les instruments politiques relatifs aux zones humides de toutes les catégories</w:t>
      </w:r>
      <w:r w:rsidRPr="00D629F5">
        <w:rPr>
          <w:vertAlign w:val="superscript"/>
          <w:lang w:val="fr-FR"/>
        </w:rPr>
        <w:footnoteReference w:id="9"/>
      </w:r>
      <w:r w:rsidRPr="00D629F5">
        <w:rPr>
          <w:lang w:val="fr-FR"/>
        </w:rPr>
        <w:t> :</w:t>
      </w:r>
    </w:p>
    <w:p w14:paraId="58F48F21" w14:textId="77777777" w:rsidR="00FF30E4" w:rsidRPr="00D629F5" w:rsidRDefault="00FF30E4" w:rsidP="00332D1A">
      <w:pPr>
        <w:numPr>
          <w:ilvl w:val="0"/>
          <w:numId w:val="4"/>
        </w:numPr>
        <w:rPr>
          <w:lang w:val="fr-FR"/>
        </w:rPr>
      </w:pPr>
      <w:r w:rsidRPr="00D629F5">
        <w:rPr>
          <w:lang w:val="fr-FR"/>
        </w:rPr>
        <w:t xml:space="preserve">Protection – Aires protégées et autres instruments de conservation par zone : Lois et politiques sur les aires protégées relatives aux zones humides ; </w:t>
      </w:r>
    </w:p>
    <w:p w14:paraId="3923D575" w14:textId="77777777" w:rsidR="00FF30E4" w:rsidRPr="00D629F5" w:rsidRDefault="00FF30E4" w:rsidP="00332D1A">
      <w:pPr>
        <w:numPr>
          <w:ilvl w:val="0"/>
          <w:numId w:val="4"/>
        </w:numPr>
        <w:rPr>
          <w:lang w:val="fr-FR"/>
        </w:rPr>
      </w:pPr>
      <w:r w:rsidRPr="00D629F5">
        <w:rPr>
          <w:lang w:val="fr-FR"/>
        </w:rPr>
        <w:t xml:space="preserve">Prescription – Directives relatives aux activités qui touchent les zones humides. Cette catégorie comprend les régimes de permis, les restrictions en matière d’utilisation des sols, les restrictions en matière d’utilisation de l’eau et beaucoup d’autres outils ;   </w:t>
      </w:r>
    </w:p>
    <w:p w14:paraId="2EC0B5A2" w14:textId="77777777" w:rsidR="00FF30E4" w:rsidRPr="00D629F5" w:rsidRDefault="00FF30E4" w:rsidP="00332D1A">
      <w:pPr>
        <w:numPr>
          <w:ilvl w:val="0"/>
          <w:numId w:val="4"/>
        </w:numPr>
        <w:rPr>
          <w:lang w:val="fr-FR"/>
        </w:rPr>
      </w:pPr>
      <w:r w:rsidRPr="00D629F5">
        <w:rPr>
          <w:lang w:val="fr-FR"/>
        </w:rPr>
        <w:t>Pénalités – Sanctions et paiements : Dispositions en vue de sanctionner des activités ayant causé la perte et la dégradation des zones humides, et plans et programmes financiers encourageant la conservation, la restauration et l’utilisation rationnelle des zones humides ;</w:t>
      </w:r>
    </w:p>
    <w:p w14:paraId="3204D04F" w14:textId="77777777" w:rsidR="00FF30E4" w:rsidRPr="00D629F5" w:rsidRDefault="00FF30E4" w:rsidP="00332D1A">
      <w:pPr>
        <w:numPr>
          <w:ilvl w:val="0"/>
          <w:numId w:val="4"/>
        </w:numPr>
        <w:rPr>
          <w:lang w:val="fr-FR"/>
        </w:rPr>
      </w:pPr>
      <w:r w:rsidRPr="00D629F5">
        <w:rPr>
          <w:lang w:val="fr-FR"/>
        </w:rPr>
        <w:t xml:space="preserve">Persuasion – Procédures fondées sur la persuasion demandant une prise de décisions informée, comme par exemple des évaluations d’impact sur l’environnement, liées à des activités qui touchent les zones humides ; </w:t>
      </w:r>
    </w:p>
    <w:p w14:paraId="7DB832F9" w14:textId="77777777" w:rsidR="00FF30E4" w:rsidRPr="00D629F5" w:rsidRDefault="00FF30E4" w:rsidP="00332D1A">
      <w:pPr>
        <w:numPr>
          <w:ilvl w:val="0"/>
          <w:numId w:val="4"/>
        </w:numPr>
        <w:rPr>
          <w:lang w:val="fr-FR"/>
        </w:rPr>
      </w:pPr>
      <w:r w:rsidRPr="00D629F5">
        <w:rPr>
          <w:lang w:val="fr-FR"/>
        </w:rPr>
        <w:t xml:space="preserve">Propriété – Droits de propriété fondés sur des approches de la conservation et de l’utilisation rationnelle des zones humides ; </w:t>
      </w:r>
    </w:p>
    <w:p w14:paraId="1E887737" w14:textId="77777777" w:rsidR="00FF30E4" w:rsidRPr="00D629F5" w:rsidRDefault="00FF30E4" w:rsidP="00332D1A">
      <w:pPr>
        <w:numPr>
          <w:ilvl w:val="0"/>
          <w:numId w:val="4"/>
        </w:numPr>
        <w:rPr>
          <w:lang w:val="fr-FR"/>
        </w:rPr>
      </w:pPr>
      <w:r w:rsidRPr="00D629F5">
        <w:rPr>
          <w:lang w:val="fr-FR"/>
        </w:rPr>
        <w:t xml:space="preserve">Procuration – Lois et politiques qui protègent les zones humides par procuration – par exemple, en protégeant les espèces dépendant des zones humides ou en intégrant les droits de la nature pour les zones humides et/ou les droits des peuples autochtones dans les lois et coutumes ; </w:t>
      </w:r>
    </w:p>
    <w:p w14:paraId="74523D16" w14:textId="77777777" w:rsidR="00FF30E4" w:rsidRPr="00D629F5" w:rsidRDefault="00FF30E4" w:rsidP="00332D1A">
      <w:pPr>
        <w:numPr>
          <w:ilvl w:val="0"/>
          <w:numId w:val="4"/>
        </w:numPr>
        <w:rPr>
          <w:lang w:val="fr-FR"/>
        </w:rPr>
      </w:pPr>
      <w:r w:rsidRPr="00D629F5">
        <w:rPr>
          <w:lang w:val="fr-FR"/>
        </w:rPr>
        <w:t xml:space="preserve">Planification – Intégration de la protection et de la restauration des zones humides dans les plans d’aménagement, habituellement dans le contexte de la gestion des bassins versants. La planification ne traite pas seulement de la conservation des zones humides mais aussi du contexte général. Par exemple, l’impact du feu peut accentuer la dégradation des zones humides. En intégrant des stratégies d’atténuation des risques d’incendie et en encourageant la restauration, les efforts de planification peuvent améliorer la résilience des zones humides et soutenir la santé écologique au sens large. </w:t>
      </w:r>
    </w:p>
    <w:p w14:paraId="11FE7978" w14:textId="77777777" w:rsidR="00FF30E4" w:rsidRPr="00D629F5" w:rsidRDefault="00FF30E4" w:rsidP="00FF30E4">
      <w:pPr>
        <w:rPr>
          <w:lang w:val="fr-FR"/>
        </w:rPr>
      </w:pPr>
    </w:p>
    <w:p w14:paraId="6A86A976" w14:textId="77777777" w:rsidR="00FF30E4" w:rsidRPr="00D629F5" w:rsidRDefault="00FF30E4" w:rsidP="00FF30E4">
      <w:pPr>
        <w:ind w:left="432" w:hanging="432"/>
        <w:rPr>
          <w:lang w:val="fr-FR"/>
        </w:rPr>
      </w:pPr>
      <w:r w:rsidRPr="00D629F5">
        <w:rPr>
          <w:lang w:val="fr-FR"/>
        </w:rPr>
        <w:t>14.</w:t>
      </w:r>
      <w:r w:rsidRPr="00D629F5">
        <w:rPr>
          <w:lang w:val="fr-FR"/>
        </w:rPr>
        <w:tab/>
        <w:t>Les exemples de lois et politiques sur les zones humides seront classés en catégories pour construire une base de données juridique complète permettant la comparaison et l’analyse.</w:t>
      </w:r>
    </w:p>
    <w:p w14:paraId="4B200EE6" w14:textId="77777777" w:rsidR="00FF30E4" w:rsidRPr="00D629F5" w:rsidRDefault="00FF30E4" w:rsidP="00FF30E4">
      <w:pPr>
        <w:rPr>
          <w:lang w:val="fr-FR"/>
        </w:rPr>
      </w:pPr>
    </w:p>
    <w:p w14:paraId="27E87123" w14:textId="77777777" w:rsidR="00FF30E4" w:rsidRPr="00D629F5" w:rsidRDefault="00FF30E4" w:rsidP="00FF30E4">
      <w:pPr>
        <w:ind w:left="432" w:hanging="432"/>
        <w:rPr>
          <w:lang w:val="fr-FR"/>
        </w:rPr>
      </w:pPr>
      <w:r w:rsidRPr="00D629F5">
        <w:rPr>
          <w:lang w:val="fr-FR"/>
        </w:rPr>
        <w:t>15.</w:t>
      </w:r>
      <w:r w:rsidRPr="00D629F5">
        <w:rPr>
          <w:lang w:val="fr-FR"/>
        </w:rPr>
        <w:tab/>
        <w:t xml:space="preserve">Les bases de données juridiques utiles pour cet examen pourraient inclure : </w:t>
      </w:r>
    </w:p>
    <w:p w14:paraId="1B490E8E" w14:textId="77777777" w:rsidR="00FF30E4" w:rsidRPr="00D629F5" w:rsidRDefault="00FF30E4" w:rsidP="00332D1A">
      <w:pPr>
        <w:numPr>
          <w:ilvl w:val="0"/>
          <w:numId w:val="11"/>
        </w:numPr>
        <w:rPr>
          <w:lang w:val="fr-FR"/>
        </w:rPr>
      </w:pPr>
      <w:r w:rsidRPr="00D629F5">
        <w:rPr>
          <w:lang w:val="fr-FR"/>
        </w:rPr>
        <w:t>Ecolex et Faolex, gérées conjointement par la FAO, l’UICN et le PNUE, et dont l’accès est gratuit (</w:t>
      </w:r>
      <w:hyperlink r:id="rId23" w:history="1">
        <w:r w:rsidRPr="00D629F5">
          <w:rPr>
            <w:rStyle w:val="Hyperlink"/>
            <w:lang w:val="fr-FR"/>
          </w:rPr>
          <w:t>https://www.ecolex.org/</w:t>
        </w:r>
      </w:hyperlink>
      <w:r w:rsidRPr="00D629F5">
        <w:rPr>
          <w:lang w:val="fr-FR"/>
        </w:rPr>
        <w:t>) ;</w:t>
      </w:r>
    </w:p>
    <w:p w14:paraId="5CC011F6" w14:textId="77777777" w:rsidR="00FF30E4" w:rsidRPr="00D629F5" w:rsidRDefault="00FF30E4" w:rsidP="00332D1A">
      <w:pPr>
        <w:numPr>
          <w:ilvl w:val="0"/>
          <w:numId w:val="11"/>
        </w:numPr>
        <w:rPr>
          <w:lang w:val="fr-FR"/>
        </w:rPr>
      </w:pPr>
      <w:r w:rsidRPr="00D629F5">
        <w:rPr>
          <w:lang w:val="fr-FR"/>
        </w:rPr>
        <w:t>Les recherches pays par pays peuvent aussi être menées dans le cadre de guides de recherche nationaux contenus sur NYU GlobaLex (</w:t>
      </w:r>
      <w:hyperlink r:id="rId24" w:history="1">
        <w:r w:rsidRPr="00D629F5">
          <w:rPr>
            <w:rStyle w:val="Hyperlink"/>
            <w:lang w:val="fr-FR"/>
          </w:rPr>
          <w:t>https://www.nyulawglobal.org/globalex/flr.html</w:t>
        </w:r>
      </w:hyperlink>
      <w:r w:rsidRPr="00D629F5">
        <w:rPr>
          <w:lang w:val="fr-FR"/>
        </w:rPr>
        <w:t>) ;</w:t>
      </w:r>
    </w:p>
    <w:p w14:paraId="4F7DE2EF" w14:textId="77777777" w:rsidR="00FF30E4" w:rsidRPr="00D629F5" w:rsidRDefault="00FF30E4" w:rsidP="00332D1A">
      <w:pPr>
        <w:numPr>
          <w:ilvl w:val="0"/>
          <w:numId w:val="11"/>
        </w:numPr>
        <w:rPr>
          <w:lang w:val="fr-FR"/>
        </w:rPr>
      </w:pPr>
      <w:r w:rsidRPr="00D629F5">
        <w:rPr>
          <w:lang w:val="fr-FR"/>
        </w:rPr>
        <w:t>La Librairie juridique du Congrès (États-Unis), dont l’accès est libre (</w:t>
      </w:r>
      <w:hyperlink r:id="rId25" w:history="1">
        <w:r w:rsidRPr="00D629F5">
          <w:rPr>
            <w:rStyle w:val="Hyperlink"/>
            <w:lang w:val="fr-FR"/>
          </w:rPr>
          <w:t>https://guides.loc.gov/nations-world</w:t>
        </w:r>
      </w:hyperlink>
      <w:r w:rsidRPr="00D629F5">
        <w:rPr>
          <w:lang w:val="fr-FR"/>
        </w:rPr>
        <w:t>) ;</w:t>
      </w:r>
    </w:p>
    <w:p w14:paraId="2B77B920" w14:textId="77777777" w:rsidR="00FF30E4" w:rsidRPr="00D629F5" w:rsidRDefault="00FF30E4" w:rsidP="00332D1A">
      <w:pPr>
        <w:numPr>
          <w:ilvl w:val="0"/>
          <w:numId w:val="11"/>
        </w:numPr>
        <w:rPr>
          <w:lang w:val="fr-FR"/>
        </w:rPr>
      </w:pPr>
      <w:r w:rsidRPr="00D629F5">
        <w:rPr>
          <w:lang w:val="fr-FR"/>
        </w:rPr>
        <w:t>Des services par abonnement, tels que Brill’s Foreign Law Guide, sont aussi des outils utiles (</w:t>
      </w:r>
      <w:hyperlink r:id="rId26" w:history="1">
        <w:r w:rsidRPr="00D629F5">
          <w:rPr>
            <w:rStyle w:val="Hyperlink"/>
            <w:lang w:val="fr-FR"/>
          </w:rPr>
          <w:t>https://referenceworks.brillonline.com/browse/foreign-law-guide</w:t>
        </w:r>
      </w:hyperlink>
      <w:r w:rsidRPr="00D629F5">
        <w:rPr>
          <w:lang w:val="fr-FR"/>
        </w:rPr>
        <w:t>) ;</w:t>
      </w:r>
    </w:p>
    <w:p w14:paraId="2B05D359" w14:textId="77777777" w:rsidR="00FF30E4" w:rsidRPr="00D629F5" w:rsidRDefault="00FF30E4" w:rsidP="00332D1A">
      <w:pPr>
        <w:numPr>
          <w:ilvl w:val="0"/>
          <w:numId w:val="11"/>
        </w:numPr>
        <w:rPr>
          <w:lang w:val="fr-FR"/>
        </w:rPr>
      </w:pPr>
      <w:r w:rsidRPr="00D629F5">
        <w:rPr>
          <w:lang w:val="fr-FR"/>
        </w:rPr>
        <w:t>EUR-Lex [</w:t>
      </w:r>
      <w:hyperlink r:id="rId27" w:history="1">
        <w:r w:rsidRPr="00D629F5">
          <w:rPr>
            <w:rStyle w:val="Hyperlink"/>
            <w:lang w:val="fr-FR"/>
          </w:rPr>
          <w:t>EU law - EUR-Lex (europa.eu)</w:t>
        </w:r>
      </w:hyperlink>
      <w:r w:rsidRPr="00D629F5">
        <w:rPr>
          <w:lang w:val="fr-FR"/>
        </w:rPr>
        <w:t>] ;</w:t>
      </w:r>
    </w:p>
    <w:p w14:paraId="1989C531" w14:textId="77777777" w:rsidR="00FF30E4" w:rsidRPr="00D629F5" w:rsidRDefault="00FF30E4" w:rsidP="00332D1A">
      <w:pPr>
        <w:numPr>
          <w:ilvl w:val="0"/>
          <w:numId w:val="11"/>
        </w:numPr>
        <w:rPr>
          <w:lang w:val="fr-FR"/>
        </w:rPr>
      </w:pPr>
      <w:r w:rsidRPr="00D629F5">
        <w:rPr>
          <w:lang w:val="fr-FR"/>
        </w:rPr>
        <w:t>International Environmental Agreements Database Project (</w:t>
      </w:r>
      <w:hyperlink r:id="rId28" w:history="1">
        <w:r w:rsidRPr="00D629F5">
          <w:rPr>
            <w:rStyle w:val="Hyperlink"/>
            <w:lang w:val="fr-FR"/>
          </w:rPr>
          <w:t>https://iea.uoregon.edu/</w:t>
        </w:r>
      </w:hyperlink>
      <w:r w:rsidRPr="00D629F5">
        <w:rPr>
          <w:lang w:val="fr-FR"/>
        </w:rPr>
        <w:t>) ;</w:t>
      </w:r>
    </w:p>
    <w:p w14:paraId="555EA3B2" w14:textId="77777777" w:rsidR="00FF30E4" w:rsidRPr="00D629F5" w:rsidRDefault="00FF30E4" w:rsidP="00332D1A">
      <w:pPr>
        <w:numPr>
          <w:ilvl w:val="0"/>
          <w:numId w:val="11"/>
        </w:numPr>
      </w:pPr>
      <w:r w:rsidRPr="00D629F5">
        <w:t>World Bank Environmental and Social Policies Database (</w:t>
      </w:r>
      <w:hyperlink r:id="rId29" w:history="1">
        <w:r w:rsidRPr="00D629F5">
          <w:rPr>
            <w:rStyle w:val="Hyperlink"/>
          </w:rPr>
          <w:t>https://policies.worldbank.org/</w:t>
        </w:r>
      </w:hyperlink>
      <w:r w:rsidRPr="00D629F5">
        <w:t>) ;</w:t>
      </w:r>
    </w:p>
    <w:p w14:paraId="2ABAB4AA" w14:textId="77777777" w:rsidR="00FF30E4" w:rsidRPr="00D629F5" w:rsidRDefault="00FF30E4" w:rsidP="00332D1A">
      <w:pPr>
        <w:numPr>
          <w:ilvl w:val="0"/>
          <w:numId w:val="11"/>
        </w:numPr>
        <w:rPr>
          <w:lang w:val="fr-FR"/>
        </w:rPr>
      </w:pPr>
      <w:r w:rsidRPr="00D629F5">
        <w:rPr>
          <w:lang w:val="fr-FR"/>
        </w:rPr>
        <w:t>La Collection des Traités des Nations Unies (</w:t>
      </w:r>
      <w:hyperlink r:id="rId30" w:history="1">
        <w:r w:rsidRPr="00D629F5">
          <w:rPr>
            <w:rStyle w:val="Hyperlink"/>
            <w:lang w:val="fr-FR"/>
          </w:rPr>
          <w:t>https://treaties.un.org/</w:t>
        </w:r>
      </w:hyperlink>
      <w:r w:rsidRPr="00D629F5">
        <w:rPr>
          <w:lang w:val="fr-FR"/>
        </w:rPr>
        <w:t>).</w:t>
      </w:r>
    </w:p>
    <w:p w14:paraId="57B19ECB" w14:textId="77777777" w:rsidR="00FF30E4" w:rsidRPr="00D629F5" w:rsidRDefault="00FF30E4" w:rsidP="00FF30E4">
      <w:pPr>
        <w:rPr>
          <w:lang w:val="fr-FR"/>
        </w:rPr>
      </w:pPr>
    </w:p>
    <w:p w14:paraId="5425C50F" w14:textId="77777777" w:rsidR="00FF30E4" w:rsidRPr="00D629F5" w:rsidRDefault="00FF30E4" w:rsidP="00FF30E4">
      <w:pPr>
        <w:ind w:left="432" w:hanging="432"/>
        <w:rPr>
          <w:lang w:val="fr-FR"/>
        </w:rPr>
      </w:pPr>
      <w:r w:rsidRPr="00D629F5">
        <w:rPr>
          <w:lang w:val="fr-FR"/>
        </w:rPr>
        <w:t>16.</w:t>
      </w:r>
      <w:r w:rsidRPr="00D629F5">
        <w:rPr>
          <w:lang w:val="fr-FR"/>
        </w:rPr>
        <w:tab/>
        <w:t>Les rapports nationaux soumis par les Parties contractantes seront également analysés pour repérer des exemples de lois et politiques pertinentes cités par les Parties. Par exemple, plusieurs questions contenues dans les rapports nationaux soumis avant la COP14 peuvent contenir des informations pertinentes. Ainsi, la question 9.2 demandait si des amendements avaient été apportés à la législation en vigueur pour refléter les engagements de la Convention sur les zones humides. La question 1.1 demandait s’il existait une politique nationale pour les zones humides et si la conservation des zones humides et l’identification des avantages des zones humides avaient été intégrées dans les approches durables des stratégies nationales et processus de planification pour 15 secteurs et activités différents</w:t>
      </w:r>
      <w:r w:rsidRPr="00D629F5">
        <w:rPr>
          <w:vertAlign w:val="superscript"/>
          <w:lang w:val="fr-FR"/>
        </w:rPr>
        <w:footnoteReference w:id="10"/>
      </w:r>
      <w:r w:rsidRPr="00D629F5">
        <w:rPr>
          <w:lang w:val="fr-FR"/>
        </w:rPr>
        <w:t>. Les interactions entre les lois et politiques pour les zones humides et des cadres juridiques pour d’autres ressources naturelles pourraient donc être décrites afin de discuter de la manière dont un champ d’action peut contribuer de façon positive à la protection et à la restauration des zones humides ou non. En outre, les questions 10.1 et 10.3 peuvent révéler des informations sur les lois et politiques élaborées par [les peuples autochtones et les communautés locales].</w:t>
      </w:r>
    </w:p>
    <w:p w14:paraId="4805BF31" w14:textId="77777777" w:rsidR="00FF30E4" w:rsidRPr="00D629F5" w:rsidRDefault="00FF30E4" w:rsidP="00FF30E4">
      <w:pPr>
        <w:rPr>
          <w:lang w:val="fr-FR"/>
        </w:rPr>
      </w:pPr>
    </w:p>
    <w:p w14:paraId="1F84A67A" w14:textId="77777777" w:rsidR="00FF30E4" w:rsidRPr="00D629F5" w:rsidRDefault="00FF30E4" w:rsidP="00FF30E4">
      <w:pPr>
        <w:ind w:left="432" w:hanging="432"/>
        <w:rPr>
          <w:lang w:val="fr-FR"/>
        </w:rPr>
      </w:pPr>
      <w:r w:rsidRPr="00D629F5">
        <w:rPr>
          <w:lang w:val="fr-FR"/>
        </w:rPr>
        <w:t>17.</w:t>
      </w:r>
      <w:r w:rsidRPr="00D629F5">
        <w:rPr>
          <w:lang w:val="fr-FR"/>
        </w:rPr>
        <w:tab/>
        <w:t>Les Correspondants nationaux, les Correspondants du GEST et des Initiatives régionales seront consultés pour veiller à ce que toutes les lois et politiques sur les zones humides à l’échelle de toutes les régions soient identifiées. Les premières conclusions seront partagées et des commentaires seront sollicités pour remplir les lacunes et mettre en évidence les instruments efficaces.</w:t>
      </w:r>
    </w:p>
    <w:p w14:paraId="3EF34A79" w14:textId="77777777" w:rsidR="00FF30E4" w:rsidRPr="00D629F5" w:rsidRDefault="00FF30E4" w:rsidP="00FF30E4">
      <w:pPr>
        <w:rPr>
          <w:lang w:val="fr-FR"/>
        </w:rPr>
      </w:pPr>
    </w:p>
    <w:p w14:paraId="167CC79F" w14:textId="77777777" w:rsidR="00FF30E4" w:rsidRPr="00D629F5" w:rsidRDefault="00FF30E4" w:rsidP="00FF30E4">
      <w:pPr>
        <w:rPr>
          <w:b/>
          <w:lang w:val="fr-FR"/>
        </w:rPr>
      </w:pPr>
      <w:r w:rsidRPr="00D629F5">
        <w:rPr>
          <w:b/>
          <w:lang w:val="fr-FR"/>
        </w:rPr>
        <w:t>Produits</w:t>
      </w:r>
    </w:p>
    <w:p w14:paraId="4C02D310" w14:textId="77777777" w:rsidR="00FF30E4" w:rsidRPr="00D629F5" w:rsidRDefault="00FF30E4" w:rsidP="00FF30E4">
      <w:pPr>
        <w:rPr>
          <w:lang w:val="fr-FR"/>
        </w:rPr>
      </w:pPr>
    </w:p>
    <w:p w14:paraId="2367DE69" w14:textId="77777777" w:rsidR="00FF30E4" w:rsidRPr="00D629F5" w:rsidRDefault="00FF30E4" w:rsidP="00FF30E4">
      <w:pPr>
        <w:ind w:left="432" w:hanging="432"/>
        <w:rPr>
          <w:lang w:val="fr-FR"/>
        </w:rPr>
      </w:pPr>
      <w:r w:rsidRPr="00D629F5">
        <w:rPr>
          <w:lang w:val="fr-FR"/>
        </w:rPr>
        <w:t>18.</w:t>
      </w:r>
      <w:r w:rsidRPr="00D629F5">
        <w:rPr>
          <w:lang w:val="fr-FR"/>
        </w:rPr>
        <w:tab/>
        <w:t xml:space="preserve">Les produits suivants résulteront de l’examen : </w:t>
      </w:r>
    </w:p>
    <w:p w14:paraId="62CC3490" w14:textId="77777777" w:rsidR="00FF30E4" w:rsidRPr="00D629F5" w:rsidRDefault="00FF30E4" w:rsidP="00332D1A">
      <w:pPr>
        <w:numPr>
          <w:ilvl w:val="0"/>
          <w:numId w:val="11"/>
        </w:numPr>
        <w:ind w:left="851" w:hanging="425"/>
        <w:rPr>
          <w:lang w:val="fr-FR"/>
        </w:rPr>
      </w:pPr>
      <w:r w:rsidRPr="00D629F5">
        <w:rPr>
          <w:lang w:val="fr-FR"/>
        </w:rPr>
        <w:t>Un rapport technique : Un rapport technique sur les conclusions de l’examen.</w:t>
      </w:r>
    </w:p>
    <w:p w14:paraId="4F097105" w14:textId="77777777" w:rsidR="00FF30E4" w:rsidRPr="00D629F5" w:rsidRDefault="00FF30E4" w:rsidP="00332D1A">
      <w:pPr>
        <w:numPr>
          <w:ilvl w:val="0"/>
          <w:numId w:val="11"/>
        </w:numPr>
        <w:ind w:left="851" w:hanging="425"/>
        <w:rPr>
          <w:lang w:val="fr-FR"/>
        </w:rPr>
      </w:pPr>
      <w:r w:rsidRPr="00D629F5">
        <w:rPr>
          <w:lang w:val="fr-FR"/>
        </w:rPr>
        <w:t>Une base de données juridique : Une base de données présentant les lois et politiques efficaces pour chaque région de la Convention.</w:t>
      </w:r>
    </w:p>
    <w:p w14:paraId="3841BE8F" w14:textId="77777777" w:rsidR="00FF30E4" w:rsidRPr="00D629F5" w:rsidRDefault="00FF30E4" w:rsidP="00332D1A">
      <w:pPr>
        <w:numPr>
          <w:ilvl w:val="0"/>
          <w:numId w:val="11"/>
        </w:numPr>
        <w:ind w:left="851" w:hanging="425"/>
        <w:rPr>
          <w:lang w:val="fr-FR"/>
        </w:rPr>
      </w:pPr>
      <w:r w:rsidRPr="00D629F5">
        <w:rPr>
          <w:lang w:val="fr-FR"/>
        </w:rPr>
        <w:t>Une infographie : Un résumé visuel des éléments clés à prendre en compte dans un examen des lois et politiques pour les zones humides.</w:t>
      </w:r>
    </w:p>
    <w:p w14:paraId="4D384373" w14:textId="77777777" w:rsidR="00FF30E4" w:rsidRPr="00D629F5" w:rsidRDefault="00FF30E4" w:rsidP="00332D1A">
      <w:pPr>
        <w:numPr>
          <w:ilvl w:val="0"/>
          <w:numId w:val="11"/>
        </w:numPr>
        <w:ind w:left="851" w:hanging="425"/>
        <w:rPr>
          <w:lang w:val="fr-FR"/>
        </w:rPr>
      </w:pPr>
      <w:r w:rsidRPr="00D629F5">
        <w:rPr>
          <w:lang w:val="fr-FR"/>
        </w:rPr>
        <w:t>Un cours de formation : Une série de séances de formation ou de webinaires pour chaque région de la Convention afin de promouvoir le cadre juridique qui soutient la conservation et l’utilisation rationnelle des zones humides.</w:t>
      </w:r>
    </w:p>
    <w:p w14:paraId="028061E8" w14:textId="77777777" w:rsidR="00FF30E4" w:rsidRPr="00D629F5" w:rsidRDefault="00FF30E4" w:rsidP="00FF30E4">
      <w:pPr>
        <w:rPr>
          <w:b/>
          <w:lang w:val="fr-FR"/>
        </w:rPr>
      </w:pPr>
    </w:p>
    <w:p w14:paraId="1238AD91" w14:textId="77777777" w:rsidR="00FF30E4" w:rsidRPr="00D629F5" w:rsidRDefault="00FF30E4" w:rsidP="00FF30E4">
      <w:pPr>
        <w:rPr>
          <w:b/>
          <w:lang w:val="fr-FR"/>
        </w:rPr>
      </w:pPr>
      <w:r w:rsidRPr="00D629F5">
        <w:rPr>
          <w:b/>
          <w:lang w:val="fr-FR"/>
        </w:rPr>
        <w:t>Références</w:t>
      </w:r>
    </w:p>
    <w:p w14:paraId="23675491" w14:textId="77777777" w:rsidR="00FF30E4" w:rsidRPr="00D629F5" w:rsidRDefault="00FF30E4" w:rsidP="00FF30E4">
      <w:pPr>
        <w:rPr>
          <w:lang w:val="fr-FR"/>
        </w:rPr>
      </w:pPr>
    </w:p>
    <w:p w14:paraId="4E2414B1" w14:textId="77777777" w:rsidR="00FF30E4" w:rsidRPr="00D629F5" w:rsidRDefault="00FF30E4" w:rsidP="00FF30E4">
      <w:pPr>
        <w:rPr>
          <w:lang w:val="en-GB"/>
        </w:rPr>
      </w:pPr>
      <w:r w:rsidRPr="00D629F5">
        <w:rPr>
          <w:lang w:val="fr-FR"/>
        </w:rPr>
        <w:t xml:space="preserve">Commission mondiale de l’UICN sur le droit de l’environnement (2023), </w:t>
      </w:r>
      <w:r w:rsidRPr="00D629F5">
        <w:rPr>
          <w:i/>
          <w:lang w:val="fr-FR"/>
        </w:rPr>
        <w:t>Measuring the effectiveness of environmental law through legal indicators and quality analyses</w:t>
      </w:r>
      <w:r w:rsidRPr="00D629F5">
        <w:rPr>
          <w:lang w:val="fr-FR"/>
        </w:rPr>
        <w:t xml:space="preserve">. </w:t>
      </w:r>
      <w:r w:rsidRPr="00D629F5">
        <w:rPr>
          <w:lang w:val="en-GB"/>
        </w:rPr>
        <w:t>IUCN Environmental Policy and Law Paper, No. 91. Gland, Suisse, UICN.</w:t>
      </w:r>
    </w:p>
    <w:p w14:paraId="593AB838" w14:textId="77777777" w:rsidR="00FF30E4" w:rsidRPr="00D629F5" w:rsidRDefault="00FF30E4" w:rsidP="00FF30E4">
      <w:pPr>
        <w:rPr>
          <w:lang w:val="en-GB"/>
        </w:rPr>
      </w:pPr>
    </w:p>
    <w:p w14:paraId="3CBA2817" w14:textId="77777777" w:rsidR="00FF30E4" w:rsidRPr="00D629F5" w:rsidRDefault="00FF30E4" w:rsidP="00FF30E4">
      <w:pPr>
        <w:rPr>
          <w:lang w:val="fr-FR"/>
        </w:rPr>
      </w:pPr>
      <w:r w:rsidRPr="00D629F5">
        <w:rPr>
          <w:lang w:val="fr-FR"/>
        </w:rPr>
        <w:t>Convention sur les zones humides. (2018). Perspectives mondiales des zones humides : L’état mondial des zones humides et de leurs services à l’humanité. Gland, Suisse : Secrétariat de la Convention sur les zones humides.</w:t>
      </w:r>
    </w:p>
    <w:p w14:paraId="4CA0DBD6" w14:textId="77777777" w:rsidR="00FF30E4" w:rsidRPr="00D629F5" w:rsidRDefault="00FF30E4" w:rsidP="00FF30E4">
      <w:pPr>
        <w:rPr>
          <w:lang w:val="fr-FR"/>
        </w:rPr>
      </w:pPr>
    </w:p>
    <w:p w14:paraId="521E86A5" w14:textId="77777777" w:rsidR="00FF30E4" w:rsidRPr="00D629F5" w:rsidRDefault="00FF30E4" w:rsidP="00FF30E4">
      <w:pPr>
        <w:rPr>
          <w:lang w:val="fr-FR"/>
        </w:rPr>
      </w:pPr>
      <w:r w:rsidRPr="00D629F5">
        <w:rPr>
          <w:lang w:val="fr-FR"/>
        </w:rPr>
        <w:t>Convention sur les zones humides. (2021). Perspectives mondiales des zones humides : Édition spéciale 2021. Gland, Suisse : Secrétariat de la Convention sur les zones humides.</w:t>
      </w:r>
    </w:p>
    <w:p w14:paraId="782042FA" w14:textId="77777777" w:rsidR="00FF30E4" w:rsidRPr="00D629F5" w:rsidRDefault="00FF30E4" w:rsidP="00FF30E4">
      <w:pPr>
        <w:rPr>
          <w:lang w:val="fr-FR"/>
        </w:rPr>
      </w:pPr>
    </w:p>
    <w:p w14:paraId="08B66543" w14:textId="77777777" w:rsidR="00FF30E4" w:rsidRPr="00D629F5" w:rsidRDefault="00FF30E4" w:rsidP="00FF30E4">
      <w:pPr>
        <w:rPr>
          <w:lang w:val="fr-FR"/>
        </w:rPr>
      </w:pPr>
      <w:r w:rsidRPr="00D629F5">
        <w:rPr>
          <w:lang w:val="fr-FR"/>
        </w:rPr>
        <w:t xml:space="preserve">Convention sur les zones humides (2010). Lois et institutions : Étude des lois et des institutions en vue de promouvoir la conservation et l’utilisation rationnelle des zones humides. </w:t>
      </w:r>
      <w:bookmarkStart w:id="12" w:name="_Hlk181260413"/>
      <w:r w:rsidRPr="00D629F5">
        <w:rPr>
          <w:lang w:val="fr-FR"/>
        </w:rPr>
        <w:t>Manuels de la Convention sur les zones humides pour l’utilisation rationnelle des zones humides, 4</w:t>
      </w:r>
      <w:r w:rsidRPr="00D629F5">
        <w:rPr>
          <w:vertAlign w:val="superscript"/>
          <w:lang w:val="fr-FR"/>
        </w:rPr>
        <w:t>e</w:t>
      </w:r>
      <w:r w:rsidRPr="00D629F5">
        <w:rPr>
          <w:lang w:val="fr-FR"/>
        </w:rPr>
        <w:t xml:space="preserve"> édition</w:t>
      </w:r>
      <w:bookmarkEnd w:id="12"/>
      <w:r w:rsidRPr="00D629F5">
        <w:rPr>
          <w:lang w:val="fr-FR"/>
        </w:rPr>
        <w:t>, vol. 3. Convention sur les zones humides, Gland, Suisse.</w:t>
      </w:r>
    </w:p>
    <w:p w14:paraId="5857794E" w14:textId="77777777" w:rsidR="00FF30E4" w:rsidRPr="00D629F5" w:rsidRDefault="00FF30E4" w:rsidP="00FF30E4">
      <w:pPr>
        <w:rPr>
          <w:lang w:val="fr-FR"/>
        </w:rPr>
      </w:pPr>
    </w:p>
    <w:p w14:paraId="2ED5877E" w14:textId="77777777" w:rsidR="00FF30E4" w:rsidRPr="00D629F5" w:rsidRDefault="00FF30E4" w:rsidP="00FF30E4">
      <w:pPr>
        <w:rPr>
          <w:lang w:val="fr-FR"/>
        </w:rPr>
      </w:pPr>
      <w:r w:rsidRPr="00D629F5">
        <w:rPr>
          <w:lang w:val="fr-FR"/>
        </w:rPr>
        <w:t xml:space="preserve">Convention sur les zones humides, 2010, </w:t>
      </w:r>
      <w:r w:rsidRPr="00D629F5">
        <w:rPr>
          <w:i/>
          <w:lang w:val="fr-FR"/>
        </w:rPr>
        <w:t>Inscription de Sites Ramsar : Cadre stratégique et lignes directrices pour orienter l’évolution de la Liste des zones humides d’importance internationale de la Convention sur les zones humides</w:t>
      </w:r>
      <w:r w:rsidRPr="00D629F5">
        <w:rPr>
          <w:lang w:val="fr-FR"/>
        </w:rPr>
        <w:t>, Manuels de la Convention sur les zones humides pour l’utilisation rationnelle des zones humides, 4</w:t>
      </w:r>
      <w:r w:rsidRPr="00D629F5">
        <w:rPr>
          <w:vertAlign w:val="superscript"/>
          <w:lang w:val="fr-FR"/>
        </w:rPr>
        <w:t>e</w:t>
      </w:r>
      <w:r w:rsidRPr="00D629F5">
        <w:rPr>
          <w:lang w:val="fr-FR"/>
        </w:rPr>
        <w:t xml:space="preserve"> édition, vol. 17, Convention sur les zones humides, Gland, Suisse, pages 80-82.</w:t>
      </w:r>
    </w:p>
    <w:p w14:paraId="50BBC4AA" w14:textId="77777777" w:rsidR="00FF30E4" w:rsidRPr="00D629F5" w:rsidRDefault="00FF30E4" w:rsidP="00FF30E4">
      <w:pPr>
        <w:rPr>
          <w:lang w:val="fr-FR"/>
        </w:rPr>
      </w:pPr>
    </w:p>
    <w:p w14:paraId="4E748A12" w14:textId="77777777" w:rsidR="00FF30E4" w:rsidRPr="00D629F5" w:rsidRDefault="00FF30E4" w:rsidP="00FF30E4">
      <w:pPr>
        <w:rPr>
          <w:lang w:val="en-GB"/>
        </w:rPr>
      </w:pPr>
      <w:r w:rsidRPr="00D629F5">
        <w:t xml:space="preserve">Gardner, R.C. (2008). </w:t>
      </w:r>
      <w:r w:rsidRPr="00D629F5">
        <w:rPr>
          <w:i/>
          <w:iCs/>
          <w:lang w:val="en-GB"/>
        </w:rPr>
        <w:t>Rehabilitating Nature: A Comparative Review of Legal Mechanisms that Encourage Wetland Restoration Efforts</w:t>
      </w:r>
      <w:r w:rsidRPr="00D629F5">
        <w:rPr>
          <w:lang w:val="en-GB"/>
        </w:rPr>
        <w:t xml:space="preserve">, Catholic University Law Review 52(3): 573-620, disponible à </w:t>
      </w:r>
      <w:r w:rsidRPr="00D629F5">
        <w:t xml:space="preserve">l’adresse </w:t>
      </w:r>
      <w:hyperlink r:id="rId31" w:history="1">
        <w:r w:rsidRPr="00D629F5">
          <w:rPr>
            <w:rStyle w:val="Hyperlink"/>
          </w:rPr>
          <w:t>https://papers.ssrn.com/sol3/papers.cfm?abstract_id=1129993</w:t>
        </w:r>
      </w:hyperlink>
      <w:r w:rsidRPr="00D629F5">
        <w:rPr>
          <w:lang w:val="en-GB"/>
        </w:rPr>
        <w:t>.</w:t>
      </w:r>
    </w:p>
    <w:p w14:paraId="67E1A5FC" w14:textId="77777777" w:rsidR="00FF30E4" w:rsidRPr="00D629F5" w:rsidRDefault="00FF30E4" w:rsidP="00FF30E4">
      <w:pPr>
        <w:rPr>
          <w:lang w:val="en-GB"/>
        </w:rPr>
      </w:pPr>
    </w:p>
    <w:p w14:paraId="56A99F65" w14:textId="77777777" w:rsidR="00FF30E4" w:rsidRPr="00D629F5" w:rsidRDefault="00FF30E4" w:rsidP="00FF30E4">
      <w:pPr>
        <w:rPr>
          <w:lang w:val="fr-FR"/>
        </w:rPr>
      </w:pPr>
      <w:r w:rsidRPr="00D629F5">
        <w:rPr>
          <w:lang w:val="sv-SE"/>
        </w:rPr>
        <w:t xml:space="preserve">Gardner, R.C., Bonells, M., Okuno, E., Zarama, J.M. (2012). </w:t>
      </w:r>
      <w:r w:rsidRPr="00D629F5">
        <w:rPr>
          <w:i/>
          <w:iCs/>
          <w:lang w:val="fr-FR"/>
        </w:rPr>
        <w:t xml:space="preserve">Éviter, atténuer et compenser la perte et la dégradation des zones humides dans les lois et les politiques nationales. </w:t>
      </w:r>
      <w:r w:rsidRPr="00D629F5">
        <w:rPr>
          <w:lang w:val="fr-FR"/>
        </w:rPr>
        <w:t>Note d’information scientifique et technique de la Convention sur les zones humides no. 3. Gland, Suisse : Secrétariat de la Convention sur les zones humides.</w:t>
      </w:r>
    </w:p>
    <w:p w14:paraId="4454C048" w14:textId="77777777" w:rsidR="00FF30E4" w:rsidRPr="00D629F5" w:rsidRDefault="00FF30E4" w:rsidP="00FF30E4">
      <w:pPr>
        <w:rPr>
          <w:lang w:val="fr-FR"/>
        </w:rPr>
      </w:pPr>
    </w:p>
    <w:p w14:paraId="026154CA" w14:textId="77777777" w:rsidR="00FF30E4" w:rsidRPr="00D629F5" w:rsidRDefault="00FF30E4" w:rsidP="00FF30E4">
      <w:pPr>
        <w:rPr>
          <w:lang w:val="fr-FR"/>
        </w:rPr>
      </w:pPr>
      <w:r w:rsidRPr="00D629F5">
        <w:rPr>
          <w:lang w:val="fr-FR"/>
        </w:rPr>
        <w:t>Résolution XIV. 16, Intégrer la protection, la conservation, la restauration, l’utilisation durable et la gestion des zones humides dans les stratégies nationales de développement durable.</w:t>
      </w:r>
    </w:p>
    <w:p w14:paraId="6AFE798F" w14:textId="77777777" w:rsidR="00FF30E4" w:rsidRPr="00D629F5" w:rsidRDefault="00FF30E4" w:rsidP="00FF30E4">
      <w:pPr>
        <w:rPr>
          <w:lang w:val="fr-FR"/>
        </w:rPr>
      </w:pPr>
    </w:p>
    <w:p w14:paraId="3F8A5B49" w14:textId="77777777" w:rsidR="00FF30E4" w:rsidRPr="00D629F5" w:rsidRDefault="00FF30E4" w:rsidP="00FF30E4">
      <w:pPr>
        <w:rPr>
          <w:lang w:val="en-GB"/>
        </w:rPr>
      </w:pPr>
      <w:r w:rsidRPr="00D629F5">
        <w:rPr>
          <w:lang w:val="en-GB"/>
        </w:rPr>
        <w:t xml:space="preserve">Salzman, J. (2013). </w:t>
      </w:r>
      <w:r w:rsidRPr="00D629F5">
        <w:rPr>
          <w:i/>
          <w:iCs/>
          <w:lang w:val="en-GB"/>
        </w:rPr>
        <w:t>Teaching Policy Instrument Choice in Environmental Law: The Five P’s</w:t>
      </w:r>
      <w:r w:rsidRPr="00D629F5">
        <w:rPr>
          <w:lang w:val="en-GB"/>
        </w:rPr>
        <w:t>, Duke Environmental Law &amp; Policy Forum 23:363-376.</w:t>
      </w:r>
    </w:p>
    <w:p w14:paraId="39DCE57F" w14:textId="77777777" w:rsidR="00FF30E4" w:rsidRDefault="00FF30E4" w:rsidP="00FF30E4">
      <w:pPr>
        <w:spacing w:after="160" w:line="256" w:lineRule="auto"/>
        <w:rPr>
          <w:b/>
          <w:sz w:val="24"/>
          <w:szCs w:val="24"/>
          <w:lang w:val="en-GB"/>
        </w:rPr>
      </w:pPr>
      <w:r w:rsidRPr="00D629F5">
        <w:rPr>
          <w:b/>
          <w:lang w:val="en-GB"/>
        </w:rPr>
        <w:br w:type="page"/>
      </w:r>
    </w:p>
    <w:p w14:paraId="6A5D1B24" w14:textId="2DDC78D7" w:rsidR="00FF30E4" w:rsidRDefault="00FF30E4" w:rsidP="00FF30E4">
      <w:pPr>
        <w:rPr>
          <w:b/>
          <w:sz w:val="24"/>
          <w:szCs w:val="24"/>
          <w:lang w:val="fr-FR"/>
        </w:rPr>
      </w:pPr>
      <w:r>
        <w:rPr>
          <w:b/>
          <w:sz w:val="24"/>
          <w:szCs w:val="24"/>
          <w:lang w:val="fr-FR"/>
        </w:rPr>
        <w:t xml:space="preserve">Appendice 1 </w:t>
      </w:r>
    </w:p>
    <w:p w14:paraId="10E72466" w14:textId="77777777" w:rsidR="00FF30E4" w:rsidRDefault="00FF30E4" w:rsidP="00FF30E4">
      <w:pPr>
        <w:rPr>
          <w:b/>
          <w:sz w:val="24"/>
          <w:szCs w:val="24"/>
          <w:lang w:val="fr-FR"/>
        </w:rPr>
      </w:pPr>
      <w:r>
        <w:rPr>
          <w:b/>
          <w:sz w:val="24"/>
          <w:szCs w:val="24"/>
          <w:lang w:val="fr-FR"/>
        </w:rPr>
        <w:t xml:space="preserve">Réponses juridiques aux facteurs des changements défavorables dans les zones humides </w:t>
      </w:r>
    </w:p>
    <w:p w14:paraId="0E6C1B40" w14:textId="77777777" w:rsidR="00FF30E4" w:rsidRDefault="00FF30E4" w:rsidP="00FF30E4">
      <w:pPr>
        <w:rPr>
          <w:sz w:val="24"/>
          <w:szCs w:val="24"/>
          <w:lang w:val="fr-FR"/>
        </w:rPr>
      </w:pPr>
    </w:p>
    <w:p w14:paraId="645E1095" w14:textId="77777777" w:rsidR="00FF30E4" w:rsidRPr="00D629F5" w:rsidRDefault="00FF30E4" w:rsidP="00FF30E4">
      <w:pPr>
        <w:ind w:left="392" w:hanging="378"/>
        <w:rPr>
          <w:lang w:val="fr-FR"/>
        </w:rPr>
      </w:pPr>
      <w:r w:rsidRPr="00D629F5">
        <w:rPr>
          <w:lang w:val="fr-FR"/>
        </w:rPr>
        <w:t>1.</w:t>
      </w:r>
      <w:r w:rsidRPr="00D629F5">
        <w:rPr>
          <w:lang w:val="fr-FR"/>
        </w:rPr>
        <w:tab/>
        <w:t xml:space="preserve">Dans cet appendice figurent des exemples de lois et politiques sur les zones humides selon le type des outils que l’on souhaite appliquer. Les exemples appartiennent à différentes juridictions et beaucoup d’autres pourraient être ajoutés à cette liste. Pour simplifier, les instruments politiques peuvent être classés en catégories (les 7P) permettant de mieux comprendre les choix possibles, dans le but, nous l’espérons, d’aider à cerner les avantages et les inconvénients de chaque instrument (Salzman 2013). </w:t>
      </w:r>
    </w:p>
    <w:p w14:paraId="07AF1606" w14:textId="77777777" w:rsidR="00FF30E4" w:rsidRPr="00D629F5" w:rsidRDefault="00FF30E4" w:rsidP="00FF30E4">
      <w:pPr>
        <w:rPr>
          <w:lang w:val="fr-FR"/>
        </w:rPr>
      </w:pPr>
    </w:p>
    <w:p w14:paraId="62EC9B40" w14:textId="77777777" w:rsidR="00FF30E4" w:rsidRPr="00D629F5" w:rsidRDefault="00FF30E4" w:rsidP="00FF30E4">
      <w:pPr>
        <w:rPr>
          <w:b/>
          <w:lang w:val="fr-FR"/>
        </w:rPr>
      </w:pPr>
      <w:r w:rsidRPr="00D629F5">
        <w:rPr>
          <w:b/>
          <w:lang w:val="fr-FR"/>
        </w:rPr>
        <w:t>Protection : Aires protégées</w:t>
      </w:r>
    </w:p>
    <w:p w14:paraId="2A0CD37F" w14:textId="77777777" w:rsidR="00FF30E4" w:rsidRPr="00D629F5" w:rsidRDefault="00FF30E4" w:rsidP="00332D1A">
      <w:pPr>
        <w:numPr>
          <w:ilvl w:val="0"/>
          <w:numId w:val="11"/>
        </w:numPr>
        <w:rPr>
          <w:lang w:val="fr-FR"/>
        </w:rPr>
      </w:pPr>
      <w:r w:rsidRPr="00D629F5">
        <w:rPr>
          <w:lang w:val="fr-FR"/>
        </w:rPr>
        <w:t>Les Résolutions Ramsar comme source de protection</w:t>
      </w:r>
    </w:p>
    <w:p w14:paraId="491A8288" w14:textId="77777777" w:rsidR="00FF30E4" w:rsidRPr="00D629F5" w:rsidRDefault="00FF30E4" w:rsidP="00332D1A">
      <w:pPr>
        <w:numPr>
          <w:ilvl w:val="1"/>
          <w:numId w:val="11"/>
        </w:numPr>
        <w:rPr>
          <w:lang w:val="fr-FR"/>
        </w:rPr>
      </w:pPr>
      <w:r w:rsidRPr="00D629F5">
        <w:rPr>
          <w:lang w:val="fr-FR"/>
        </w:rPr>
        <w:t>Lac Baai (anciennement Het Lac), Bonaire (Pays-Bas)</w:t>
      </w:r>
    </w:p>
    <w:p w14:paraId="190E7B9E" w14:textId="77777777" w:rsidR="00FF30E4" w:rsidRPr="00D629F5" w:rsidRDefault="00FF30E4" w:rsidP="00332D1A">
      <w:pPr>
        <w:numPr>
          <w:ilvl w:val="0"/>
          <w:numId w:val="11"/>
        </w:numPr>
        <w:rPr>
          <w:lang w:val="fr-FR"/>
        </w:rPr>
      </w:pPr>
      <w:r w:rsidRPr="00D629F5">
        <w:rPr>
          <w:lang w:val="fr-FR"/>
        </w:rPr>
        <w:t>La législation nationale sur les aires protégées</w:t>
      </w:r>
    </w:p>
    <w:p w14:paraId="5BA91891" w14:textId="77777777" w:rsidR="00FF30E4" w:rsidRPr="00D629F5" w:rsidRDefault="00FF30E4" w:rsidP="00332D1A">
      <w:pPr>
        <w:numPr>
          <w:ilvl w:val="1"/>
          <w:numId w:val="11"/>
        </w:numPr>
        <w:rPr>
          <w:lang w:val="fr-FR"/>
        </w:rPr>
      </w:pPr>
      <w:r w:rsidRPr="00D629F5">
        <w:rPr>
          <w:lang w:val="fr-FR"/>
        </w:rPr>
        <w:t>Loi sur le Réseau d’aires protégées (Belize, Côte d’Ivoire)</w:t>
      </w:r>
    </w:p>
    <w:p w14:paraId="0120470D" w14:textId="77777777" w:rsidR="00FF30E4" w:rsidRPr="00D629F5" w:rsidRDefault="00FF30E4" w:rsidP="00332D1A">
      <w:pPr>
        <w:numPr>
          <w:ilvl w:val="1"/>
          <w:numId w:val="11"/>
        </w:numPr>
        <w:rPr>
          <w:lang w:val="es-ES"/>
        </w:rPr>
      </w:pPr>
      <w:r w:rsidRPr="00D629F5">
        <w:rPr>
          <w:lang w:val="es-ES"/>
        </w:rPr>
        <w:t>Decreto-Ley del Sistema Nacional de Areas Protegidas (Cuba)</w:t>
      </w:r>
    </w:p>
    <w:p w14:paraId="4E525F11" w14:textId="77777777" w:rsidR="00FF30E4" w:rsidRPr="00D629F5" w:rsidRDefault="00FF30E4" w:rsidP="00332D1A">
      <w:pPr>
        <w:numPr>
          <w:ilvl w:val="1"/>
          <w:numId w:val="11"/>
        </w:numPr>
        <w:rPr>
          <w:lang w:val="fr-FR"/>
        </w:rPr>
      </w:pPr>
      <w:r w:rsidRPr="00D629F5">
        <w:rPr>
          <w:lang w:val="fr-FR"/>
        </w:rPr>
        <w:t>Loi portant sur le Réseau national des unités de conservation de la nature (Brésil)</w:t>
      </w:r>
    </w:p>
    <w:p w14:paraId="4915E27F" w14:textId="77777777" w:rsidR="00FF30E4" w:rsidRPr="00D629F5" w:rsidRDefault="00FF30E4" w:rsidP="00332D1A">
      <w:pPr>
        <w:numPr>
          <w:ilvl w:val="1"/>
          <w:numId w:val="11"/>
        </w:numPr>
        <w:rPr>
          <w:lang w:val="fr-FR"/>
        </w:rPr>
      </w:pPr>
      <w:r w:rsidRPr="00D629F5">
        <w:rPr>
          <w:lang w:val="fr-FR"/>
        </w:rPr>
        <w:t>Directive Natura 2000 de l’Union européenne</w:t>
      </w:r>
    </w:p>
    <w:p w14:paraId="679F06D7" w14:textId="77777777" w:rsidR="00FF30E4" w:rsidRPr="00D629F5" w:rsidRDefault="00FF30E4" w:rsidP="00332D1A">
      <w:pPr>
        <w:numPr>
          <w:ilvl w:val="1"/>
          <w:numId w:val="11"/>
        </w:numPr>
        <w:rPr>
          <w:lang w:val="fr-FR"/>
        </w:rPr>
      </w:pPr>
      <w:r w:rsidRPr="00D629F5">
        <w:rPr>
          <w:lang w:val="fr-FR"/>
        </w:rPr>
        <w:t xml:space="preserve">Loi de restauration de la nature – clauses spécifiques pour les zones humides et la réhumidification (Côte d’Ivoire) </w:t>
      </w:r>
    </w:p>
    <w:p w14:paraId="5AD644BD" w14:textId="77777777" w:rsidR="00FF30E4" w:rsidRPr="00D629F5" w:rsidRDefault="00FF30E4" w:rsidP="00332D1A">
      <w:pPr>
        <w:numPr>
          <w:ilvl w:val="1"/>
          <w:numId w:val="11"/>
        </w:numPr>
        <w:rPr>
          <w:lang w:val="fr-FR"/>
        </w:rPr>
      </w:pPr>
      <w:r w:rsidRPr="00D629F5">
        <w:rPr>
          <w:lang w:val="fr-FR"/>
        </w:rPr>
        <w:t>Loi sur la conservation du patrimoine naturel (Québec, Canada)</w:t>
      </w:r>
    </w:p>
    <w:p w14:paraId="6917F04F" w14:textId="77777777" w:rsidR="00FF30E4" w:rsidRPr="00D629F5" w:rsidRDefault="00FF30E4" w:rsidP="00332D1A">
      <w:pPr>
        <w:numPr>
          <w:ilvl w:val="0"/>
          <w:numId w:val="11"/>
        </w:numPr>
        <w:rPr>
          <w:lang w:val="fr-FR"/>
        </w:rPr>
      </w:pPr>
      <w:r w:rsidRPr="00D629F5">
        <w:rPr>
          <w:lang w:val="fr-FR"/>
        </w:rPr>
        <w:t>Les aires protégées autochtones</w:t>
      </w:r>
    </w:p>
    <w:p w14:paraId="566AE4E2" w14:textId="77777777" w:rsidR="00FF30E4" w:rsidRPr="00D629F5" w:rsidRDefault="00FF30E4" w:rsidP="00332D1A">
      <w:pPr>
        <w:numPr>
          <w:ilvl w:val="1"/>
          <w:numId w:val="11"/>
        </w:numPr>
        <w:rPr>
          <w:lang w:val="fr-FR"/>
        </w:rPr>
      </w:pPr>
      <w:r w:rsidRPr="00D629F5">
        <w:rPr>
          <w:lang w:val="fr-FR"/>
        </w:rPr>
        <w:t>Québec, Canada : aire protégée d’initiative autochtone</w:t>
      </w:r>
    </w:p>
    <w:p w14:paraId="5DDB984D" w14:textId="77777777" w:rsidR="00FF30E4" w:rsidRPr="00D629F5" w:rsidRDefault="00FF30E4" w:rsidP="00332D1A">
      <w:pPr>
        <w:numPr>
          <w:ilvl w:val="1"/>
          <w:numId w:val="11"/>
        </w:numPr>
        <w:rPr>
          <w:lang w:val="fr-FR"/>
        </w:rPr>
      </w:pPr>
      <w:r w:rsidRPr="00D629F5">
        <w:rPr>
          <w:lang w:val="fr-FR"/>
        </w:rPr>
        <w:t>Nouvelle-Zélande : Ngā Whenua Rāhui Kawenata</w:t>
      </w:r>
    </w:p>
    <w:p w14:paraId="4C6EB8E2" w14:textId="77777777" w:rsidR="00FF30E4" w:rsidRPr="00D629F5" w:rsidRDefault="00FF30E4" w:rsidP="00332D1A">
      <w:pPr>
        <w:numPr>
          <w:ilvl w:val="0"/>
          <w:numId w:val="11"/>
        </w:numPr>
        <w:rPr>
          <w:lang w:val="fr-FR"/>
        </w:rPr>
      </w:pPr>
      <w:r w:rsidRPr="00D629F5">
        <w:rPr>
          <w:lang w:val="fr-FR"/>
        </w:rPr>
        <w:t>Les réserves naturelles privées</w:t>
      </w:r>
    </w:p>
    <w:p w14:paraId="4EB79A0E" w14:textId="77777777" w:rsidR="00FF30E4" w:rsidRPr="00D629F5" w:rsidRDefault="00FF30E4" w:rsidP="00FF30E4">
      <w:pPr>
        <w:rPr>
          <w:lang w:val="fr-FR"/>
        </w:rPr>
      </w:pPr>
    </w:p>
    <w:p w14:paraId="749DF0C3" w14:textId="77777777" w:rsidR="00FF30E4" w:rsidRPr="00D629F5" w:rsidRDefault="00FF30E4" w:rsidP="00FF30E4">
      <w:pPr>
        <w:rPr>
          <w:b/>
          <w:lang w:val="fr-FR"/>
        </w:rPr>
      </w:pPr>
      <w:r w:rsidRPr="00D629F5">
        <w:rPr>
          <w:b/>
          <w:lang w:val="fr-FR"/>
        </w:rPr>
        <w:t>Prescription : Directives</w:t>
      </w:r>
    </w:p>
    <w:p w14:paraId="6A2A5555" w14:textId="77777777" w:rsidR="00FF30E4" w:rsidRPr="00D629F5" w:rsidRDefault="00FF30E4" w:rsidP="00332D1A">
      <w:pPr>
        <w:numPr>
          <w:ilvl w:val="0"/>
          <w:numId w:val="11"/>
        </w:numPr>
        <w:rPr>
          <w:lang w:val="fr-FR"/>
        </w:rPr>
      </w:pPr>
      <w:r w:rsidRPr="00D629F5">
        <w:rPr>
          <w:lang w:val="fr-FR"/>
        </w:rPr>
        <w:t xml:space="preserve">Régimes de permis </w:t>
      </w:r>
    </w:p>
    <w:p w14:paraId="75189EAD" w14:textId="77777777" w:rsidR="00FF30E4" w:rsidRPr="00D629F5" w:rsidRDefault="00FF30E4" w:rsidP="00332D1A">
      <w:pPr>
        <w:numPr>
          <w:ilvl w:val="1"/>
          <w:numId w:val="11"/>
        </w:numPr>
        <w:rPr>
          <w:lang w:val="fr-FR"/>
        </w:rPr>
      </w:pPr>
      <w:r w:rsidRPr="00D629F5">
        <w:rPr>
          <w:lang w:val="fr-FR"/>
        </w:rPr>
        <w:t>« Pas de perte nette » (dans &gt; 80 pays) / Compensations pour la biodiversité</w:t>
      </w:r>
    </w:p>
    <w:p w14:paraId="4C8C5C44" w14:textId="77777777" w:rsidR="00FF30E4" w:rsidRPr="00D629F5" w:rsidRDefault="00FF30E4" w:rsidP="00332D1A">
      <w:pPr>
        <w:numPr>
          <w:ilvl w:val="1"/>
          <w:numId w:val="11"/>
        </w:numPr>
        <w:rPr>
          <w:lang w:val="fr-FR"/>
        </w:rPr>
      </w:pPr>
      <w:r w:rsidRPr="00D629F5">
        <w:rPr>
          <w:lang w:val="fr-FR"/>
        </w:rPr>
        <w:t>« Pas de perte » des zones humides importantes au niveau provincial dans la Déclaration de politique provinciale (Ontario, Canada)</w:t>
      </w:r>
    </w:p>
    <w:p w14:paraId="3FBC7BA3" w14:textId="77777777" w:rsidR="00FF30E4" w:rsidRPr="00D629F5" w:rsidRDefault="00FF30E4" w:rsidP="00332D1A">
      <w:pPr>
        <w:numPr>
          <w:ilvl w:val="1"/>
          <w:numId w:val="11"/>
        </w:numPr>
        <w:rPr>
          <w:lang w:val="fr-FR"/>
        </w:rPr>
      </w:pPr>
      <w:r w:rsidRPr="00D629F5">
        <w:rPr>
          <w:lang w:val="fr-FR"/>
        </w:rPr>
        <w:t>Planification urbaine et rurale (par exemple, Barbade, Jamaïque)</w:t>
      </w:r>
    </w:p>
    <w:p w14:paraId="3CDFFB60" w14:textId="77777777" w:rsidR="00FF30E4" w:rsidRPr="00D629F5" w:rsidRDefault="00FF30E4" w:rsidP="00332D1A">
      <w:pPr>
        <w:numPr>
          <w:ilvl w:val="1"/>
          <w:numId w:val="11"/>
        </w:numPr>
        <w:rPr>
          <w:lang w:val="fr-FR"/>
        </w:rPr>
      </w:pPr>
      <w:r w:rsidRPr="00D629F5">
        <w:rPr>
          <w:lang w:val="fr-FR"/>
        </w:rPr>
        <w:t>Loi sur l’eau (Alberta, Canada)</w:t>
      </w:r>
    </w:p>
    <w:p w14:paraId="77BB5F93" w14:textId="77777777" w:rsidR="00FF30E4" w:rsidRPr="00D629F5" w:rsidRDefault="00FF30E4" w:rsidP="00332D1A">
      <w:pPr>
        <w:numPr>
          <w:ilvl w:val="1"/>
          <w:numId w:val="11"/>
        </w:numPr>
        <w:rPr>
          <w:lang w:val="fr-FR"/>
        </w:rPr>
      </w:pPr>
      <w:r w:rsidRPr="00D629F5">
        <w:rPr>
          <w:lang w:val="fr-FR"/>
        </w:rPr>
        <w:t xml:space="preserve">Gain net (Royaume-Uni) </w:t>
      </w:r>
    </w:p>
    <w:p w14:paraId="6A4E721A" w14:textId="77777777" w:rsidR="00FF30E4" w:rsidRPr="00D629F5" w:rsidRDefault="00FF30E4" w:rsidP="00332D1A">
      <w:pPr>
        <w:numPr>
          <w:ilvl w:val="0"/>
          <w:numId w:val="11"/>
        </w:numPr>
        <w:rPr>
          <w:lang w:val="fr-FR"/>
        </w:rPr>
      </w:pPr>
      <w:r w:rsidRPr="00D629F5">
        <w:rPr>
          <w:lang w:val="fr-FR"/>
        </w:rPr>
        <w:t>Interdictions</w:t>
      </w:r>
    </w:p>
    <w:p w14:paraId="5E7C3845" w14:textId="77777777" w:rsidR="00FF30E4" w:rsidRPr="00D629F5" w:rsidRDefault="00FF30E4" w:rsidP="00332D1A">
      <w:pPr>
        <w:numPr>
          <w:ilvl w:val="1"/>
          <w:numId w:val="11"/>
        </w:numPr>
        <w:rPr>
          <w:lang w:val="fr-FR"/>
        </w:rPr>
      </w:pPr>
      <w:r w:rsidRPr="00D629F5">
        <w:rPr>
          <w:lang w:val="fr-FR"/>
        </w:rPr>
        <w:t>Interdictions de l’utilisation des plastiques à usage unique (12 pays des Caraïbes)</w:t>
      </w:r>
    </w:p>
    <w:p w14:paraId="5E878D53" w14:textId="77777777" w:rsidR="00FF30E4" w:rsidRPr="00D629F5" w:rsidRDefault="00FF30E4" w:rsidP="00332D1A">
      <w:pPr>
        <w:numPr>
          <w:ilvl w:val="1"/>
          <w:numId w:val="11"/>
        </w:numPr>
        <w:rPr>
          <w:lang w:val="fr-FR"/>
        </w:rPr>
      </w:pPr>
      <w:r w:rsidRPr="00D629F5">
        <w:rPr>
          <w:lang w:val="fr-FR"/>
        </w:rPr>
        <w:t>Interdiction des produits solaires (Hawaii)</w:t>
      </w:r>
    </w:p>
    <w:p w14:paraId="11459653" w14:textId="77777777" w:rsidR="00FF30E4" w:rsidRPr="00D629F5" w:rsidRDefault="00FF30E4" w:rsidP="00332D1A">
      <w:pPr>
        <w:numPr>
          <w:ilvl w:val="1"/>
          <w:numId w:val="11"/>
        </w:numPr>
        <w:rPr>
          <w:lang w:val="fr-FR"/>
        </w:rPr>
      </w:pPr>
      <w:r w:rsidRPr="00D629F5">
        <w:rPr>
          <w:lang w:val="fr-FR"/>
        </w:rPr>
        <w:t>Plan de sortie de la tourbe (Suisse)</w:t>
      </w:r>
    </w:p>
    <w:p w14:paraId="35A4BA95" w14:textId="77777777" w:rsidR="00FF30E4" w:rsidRPr="00D629F5" w:rsidRDefault="00FF30E4" w:rsidP="00332D1A">
      <w:pPr>
        <w:numPr>
          <w:ilvl w:val="1"/>
          <w:numId w:val="11"/>
        </w:numPr>
        <w:rPr>
          <w:lang w:val="fr-FR"/>
        </w:rPr>
      </w:pPr>
      <w:r w:rsidRPr="00D629F5">
        <w:rPr>
          <w:lang w:val="fr-FR"/>
        </w:rPr>
        <w:t>Loi sur la Ceinture de verdure (Ontario)</w:t>
      </w:r>
    </w:p>
    <w:p w14:paraId="0B96A419" w14:textId="77777777" w:rsidR="00FF30E4" w:rsidRPr="00D629F5" w:rsidRDefault="00FF30E4" w:rsidP="00332D1A">
      <w:pPr>
        <w:numPr>
          <w:ilvl w:val="0"/>
          <w:numId w:val="11"/>
        </w:numPr>
        <w:rPr>
          <w:lang w:val="fr-FR"/>
        </w:rPr>
      </w:pPr>
      <w:r w:rsidRPr="00D629F5">
        <w:rPr>
          <w:lang w:val="fr-FR"/>
        </w:rPr>
        <w:t>Limites de qualité de l’eau</w:t>
      </w:r>
    </w:p>
    <w:p w14:paraId="2D220EE0" w14:textId="77777777" w:rsidR="00FF30E4" w:rsidRPr="00D629F5" w:rsidRDefault="00FF30E4" w:rsidP="00332D1A">
      <w:pPr>
        <w:numPr>
          <w:ilvl w:val="1"/>
          <w:numId w:val="11"/>
        </w:numPr>
        <w:rPr>
          <w:lang w:val="fr-FR"/>
        </w:rPr>
      </w:pPr>
      <w:r w:rsidRPr="00D629F5">
        <w:rPr>
          <w:lang w:val="fr-FR"/>
        </w:rPr>
        <w:t xml:space="preserve">Par exemple, normes/plans pour la qualité des eaux de surface </w:t>
      </w:r>
    </w:p>
    <w:p w14:paraId="0EA17F45" w14:textId="77777777" w:rsidR="00FF30E4" w:rsidRPr="00D629F5" w:rsidRDefault="00FF30E4" w:rsidP="00332D1A">
      <w:pPr>
        <w:numPr>
          <w:ilvl w:val="0"/>
          <w:numId w:val="11"/>
        </w:numPr>
        <w:rPr>
          <w:lang w:val="fr-FR"/>
        </w:rPr>
      </w:pPr>
      <w:r w:rsidRPr="00D629F5">
        <w:rPr>
          <w:lang w:val="fr-FR"/>
        </w:rPr>
        <w:t>Flux environnemental minimal</w:t>
      </w:r>
    </w:p>
    <w:p w14:paraId="649C3003" w14:textId="77777777" w:rsidR="00FF30E4" w:rsidRPr="00D629F5" w:rsidRDefault="00FF30E4" w:rsidP="00332D1A">
      <w:pPr>
        <w:numPr>
          <w:ilvl w:val="1"/>
          <w:numId w:val="11"/>
        </w:numPr>
        <w:rPr>
          <w:lang w:val="fr-FR"/>
        </w:rPr>
      </w:pPr>
      <w:r w:rsidRPr="00D629F5">
        <w:rPr>
          <w:lang w:val="fr-FR"/>
        </w:rPr>
        <w:t>Mexique : Norme pour la détermination des flux environnementaux (Rés. XII.12)</w:t>
      </w:r>
    </w:p>
    <w:p w14:paraId="56EADAE6" w14:textId="77777777" w:rsidR="00FF30E4" w:rsidRPr="00D629F5" w:rsidRDefault="00FF30E4" w:rsidP="00332D1A">
      <w:pPr>
        <w:numPr>
          <w:ilvl w:val="1"/>
          <w:numId w:val="11"/>
        </w:numPr>
        <w:rPr>
          <w:lang w:val="fr-FR"/>
        </w:rPr>
      </w:pPr>
      <w:r w:rsidRPr="00D629F5">
        <w:rPr>
          <w:lang w:val="fr-FR"/>
        </w:rPr>
        <w:t>Australie : Plans de partage de l’eau</w:t>
      </w:r>
    </w:p>
    <w:p w14:paraId="0ADC9468" w14:textId="77777777" w:rsidR="00FF30E4" w:rsidRPr="00D629F5" w:rsidRDefault="00FF30E4" w:rsidP="00FF30E4">
      <w:pPr>
        <w:rPr>
          <w:lang w:val="fr-FR"/>
        </w:rPr>
      </w:pPr>
    </w:p>
    <w:p w14:paraId="4B360E02" w14:textId="77777777" w:rsidR="00FF30E4" w:rsidRPr="00D629F5" w:rsidRDefault="00FF30E4" w:rsidP="00FF30E4">
      <w:pPr>
        <w:rPr>
          <w:b/>
          <w:lang w:val="fr-FR"/>
        </w:rPr>
      </w:pPr>
      <w:r w:rsidRPr="00D629F5">
        <w:rPr>
          <w:b/>
          <w:lang w:val="fr-FR"/>
        </w:rPr>
        <w:t>Pénalités : Sanctions et paiements</w:t>
      </w:r>
    </w:p>
    <w:p w14:paraId="73C42D5A" w14:textId="77777777" w:rsidR="00FF30E4" w:rsidRPr="00D629F5" w:rsidRDefault="00FF30E4" w:rsidP="00332D1A">
      <w:pPr>
        <w:numPr>
          <w:ilvl w:val="0"/>
          <w:numId w:val="11"/>
        </w:numPr>
        <w:rPr>
          <w:lang w:val="fr-FR"/>
        </w:rPr>
      </w:pPr>
      <w:r w:rsidRPr="00D629F5">
        <w:rPr>
          <w:lang w:val="fr-FR"/>
        </w:rPr>
        <w:t xml:space="preserve">Sanctions : </w:t>
      </w:r>
    </w:p>
    <w:p w14:paraId="480CD29A" w14:textId="77777777" w:rsidR="00FF30E4" w:rsidRPr="00D629F5" w:rsidRDefault="00FF30E4" w:rsidP="00332D1A">
      <w:pPr>
        <w:numPr>
          <w:ilvl w:val="1"/>
          <w:numId w:val="11"/>
        </w:numPr>
        <w:rPr>
          <w:lang w:val="fr-FR"/>
        </w:rPr>
      </w:pPr>
      <w:r w:rsidRPr="00D629F5">
        <w:rPr>
          <w:lang w:val="fr-FR"/>
        </w:rPr>
        <w:t>Perte de subventions agricoles</w:t>
      </w:r>
    </w:p>
    <w:p w14:paraId="2EF82FFE" w14:textId="77777777" w:rsidR="00FF30E4" w:rsidRPr="00D629F5" w:rsidRDefault="00FF30E4" w:rsidP="00332D1A">
      <w:pPr>
        <w:numPr>
          <w:ilvl w:val="0"/>
          <w:numId w:val="11"/>
        </w:numPr>
        <w:rPr>
          <w:lang w:val="fr-FR"/>
        </w:rPr>
      </w:pPr>
      <w:r w:rsidRPr="00D629F5">
        <w:rPr>
          <w:lang w:val="fr-FR"/>
        </w:rPr>
        <w:t xml:space="preserve">Paiements : </w:t>
      </w:r>
    </w:p>
    <w:p w14:paraId="0255F925" w14:textId="1CFD6004" w:rsidR="00FF30E4" w:rsidRPr="00D629F5" w:rsidRDefault="00FF30E4" w:rsidP="00332D1A">
      <w:pPr>
        <w:numPr>
          <w:ilvl w:val="1"/>
          <w:numId w:val="11"/>
        </w:numPr>
        <w:rPr>
          <w:lang w:val="fr-FR"/>
        </w:rPr>
      </w:pPr>
      <w:r w:rsidRPr="00D629F5">
        <w:rPr>
          <w:lang w:val="fr-FR"/>
        </w:rPr>
        <w:t>Swampbuster (États-Unis)</w:t>
      </w:r>
    </w:p>
    <w:p w14:paraId="3743BA10" w14:textId="5D7EDCB7" w:rsidR="00FF30E4" w:rsidRPr="00D629F5" w:rsidRDefault="00FF30E4" w:rsidP="00332D1A">
      <w:pPr>
        <w:numPr>
          <w:ilvl w:val="1"/>
          <w:numId w:val="11"/>
        </w:numPr>
        <w:rPr>
          <w:lang w:val="fr-FR"/>
        </w:rPr>
      </w:pPr>
      <w:r w:rsidRPr="00D629F5">
        <w:rPr>
          <w:lang w:val="fr-FR"/>
        </w:rPr>
        <w:t>Projets de restauration à coûts partagés</w:t>
      </w:r>
    </w:p>
    <w:p w14:paraId="3C45C571" w14:textId="77777777" w:rsidR="00FF30E4" w:rsidRPr="00D629F5" w:rsidRDefault="00FF30E4" w:rsidP="00332D1A">
      <w:pPr>
        <w:numPr>
          <w:ilvl w:val="2"/>
          <w:numId w:val="11"/>
        </w:numPr>
        <w:rPr>
          <w:lang w:val="fr-FR"/>
        </w:rPr>
      </w:pPr>
      <w:r w:rsidRPr="00D629F5">
        <w:rPr>
          <w:lang w:val="fr-FR"/>
        </w:rPr>
        <w:t>Wetlands Reserve Program (États-Unis)</w:t>
      </w:r>
    </w:p>
    <w:p w14:paraId="5BB4516C" w14:textId="77777777" w:rsidR="00FF30E4" w:rsidRPr="00D629F5" w:rsidRDefault="00FF30E4" w:rsidP="00332D1A">
      <w:pPr>
        <w:numPr>
          <w:ilvl w:val="2"/>
          <w:numId w:val="11"/>
        </w:numPr>
        <w:rPr>
          <w:lang w:val="fr-FR"/>
        </w:rPr>
      </w:pPr>
      <w:r w:rsidRPr="00D629F5">
        <w:rPr>
          <w:lang w:val="fr-FR"/>
        </w:rPr>
        <w:t>LIFE, Politique agricole commune 2023-2027 (UE)</w:t>
      </w:r>
    </w:p>
    <w:p w14:paraId="2FA4801D" w14:textId="2961773D" w:rsidR="00FF30E4" w:rsidRPr="00D629F5" w:rsidRDefault="00FF30E4" w:rsidP="00332D1A">
      <w:pPr>
        <w:numPr>
          <w:ilvl w:val="1"/>
          <w:numId w:val="11"/>
        </w:numPr>
        <w:rPr>
          <w:lang w:val="fr-FR"/>
        </w:rPr>
      </w:pPr>
      <w:r w:rsidRPr="00D629F5">
        <w:rPr>
          <w:lang w:val="fr-FR"/>
        </w:rPr>
        <w:t>Déductions fiscales ou crédits</w:t>
      </w:r>
    </w:p>
    <w:p w14:paraId="54D3B73E" w14:textId="77777777" w:rsidR="00FF30E4" w:rsidRPr="00D629F5" w:rsidRDefault="00FF30E4" w:rsidP="00332D1A">
      <w:pPr>
        <w:numPr>
          <w:ilvl w:val="2"/>
          <w:numId w:val="11"/>
        </w:numPr>
        <w:rPr>
          <w:lang w:val="fr-FR"/>
        </w:rPr>
      </w:pPr>
      <w:r w:rsidRPr="00D629F5">
        <w:rPr>
          <w:lang w:val="fr-FR"/>
        </w:rPr>
        <w:t>Afrique du Sud</w:t>
      </w:r>
    </w:p>
    <w:p w14:paraId="5929B624" w14:textId="77777777" w:rsidR="00FF30E4" w:rsidRPr="00D629F5" w:rsidRDefault="00FF30E4" w:rsidP="00332D1A">
      <w:pPr>
        <w:numPr>
          <w:ilvl w:val="2"/>
          <w:numId w:val="11"/>
        </w:numPr>
        <w:rPr>
          <w:lang w:val="fr-FR"/>
        </w:rPr>
      </w:pPr>
      <w:r w:rsidRPr="00D629F5">
        <w:rPr>
          <w:lang w:val="fr-FR"/>
        </w:rPr>
        <w:t>Australie</w:t>
      </w:r>
    </w:p>
    <w:p w14:paraId="303D5D25" w14:textId="77777777" w:rsidR="00FF30E4" w:rsidRPr="00D629F5" w:rsidRDefault="00FF30E4" w:rsidP="00332D1A">
      <w:pPr>
        <w:numPr>
          <w:ilvl w:val="1"/>
          <w:numId w:val="11"/>
        </w:numPr>
        <w:rPr>
          <w:lang w:val="fr-FR"/>
        </w:rPr>
      </w:pPr>
      <w:r w:rsidRPr="00D629F5">
        <w:rPr>
          <w:lang w:val="fr-FR"/>
        </w:rPr>
        <w:t>Marchés internationaux du carbone/Norme de carbone vérifiée (VCS)</w:t>
      </w:r>
    </w:p>
    <w:p w14:paraId="3D2B14A8" w14:textId="77777777" w:rsidR="00FF30E4" w:rsidRPr="00D629F5" w:rsidRDefault="00FF30E4" w:rsidP="00332D1A">
      <w:pPr>
        <w:numPr>
          <w:ilvl w:val="1"/>
          <w:numId w:val="11"/>
        </w:numPr>
      </w:pPr>
      <w:r w:rsidRPr="00D629F5">
        <w:t>National Wetland Mitigation Banking Program (États</w:t>
      </w:r>
      <w:r w:rsidRPr="00D629F5">
        <w:softHyphen/>
        <w:t>Unis)</w:t>
      </w:r>
    </w:p>
    <w:p w14:paraId="38C43E0F" w14:textId="77777777" w:rsidR="00FF30E4" w:rsidRPr="00D629F5" w:rsidRDefault="00FF30E4" w:rsidP="00FF30E4"/>
    <w:p w14:paraId="5B8D94CC" w14:textId="77777777" w:rsidR="00FF30E4" w:rsidRPr="00D629F5" w:rsidRDefault="00FF30E4" w:rsidP="00FF30E4">
      <w:pPr>
        <w:rPr>
          <w:b/>
          <w:lang w:val="fr-FR"/>
        </w:rPr>
      </w:pPr>
      <w:r w:rsidRPr="00D629F5">
        <w:rPr>
          <w:b/>
          <w:lang w:val="fr-FR"/>
        </w:rPr>
        <w:t>Persuasion</w:t>
      </w:r>
    </w:p>
    <w:p w14:paraId="61923DA9" w14:textId="77777777" w:rsidR="00FF30E4" w:rsidRPr="00D629F5" w:rsidRDefault="00FF30E4" w:rsidP="00332D1A">
      <w:pPr>
        <w:numPr>
          <w:ilvl w:val="0"/>
          <w:numId w:val="11"/>
        </w:numPr>
        <w:rPr>
          <w:lang w:val="fr-FR"/>
        </w:rPr>
      </w:pPr>
      <w:r w:rsidRPr="00D629F5">
        <w:rPr>
          <w:lang w:val="fr-FR"/>
        </w:rPr>
        <w:t xml:space="preserve">Législation sur les EIE </w:t>
      </w:r>
    </w:p>
    <w:p w14:paraId="42545748" w14:textId="77777777" w:rsidR="00FF30E4" w:rsidRPr="00D629F5" w:rsidRDefault="00FF30E4" w:rsidP="00332D1A">
      <w:pPr>
        <w:numPr>
          <w:ilvl w:val="0"/>
          <w:numId w:val="11"/>
        </w:numPr>
        <w:rPr>
          <w:lang w:val="fr-FR"/>
        </w:rPr>
      </w:pPr>
      <w:r w:rsidRPr="00D629F5">
        <w:rPr>
          <w:lang w:val="fr-FR"/>
        </w:rPr>
        <w:t> Lois publiques « Le droit de savoir »</w:t>
      </w:r>
    </w:p>
    <w:p w14:paraId="38A54BA9" w14:textId="77777777" w:rsidR="00FF30E4" w:rsidRPr="00D629F5" w:rsidRDefault="00FF30E4" w:rsidP="00332D1A">
      <w:pPr>
        <w:numPr>
          <w:ilvl w:val="1"/>
          <w:numId w:val="11"/>
        </w:numPr>
        <w:rPr>
          <w:lang w:val="fr-FR"/>
        </w:rPr>
      </w:pPr>
      <w:r w:rsidRPr="00D629F5">
        <w:rPr>
          <w:lang w:val="fr-FR"/>
        </w:rPr>
        <w:t>Inventaire des déversements toxiques (États</w:t>
      </w:r>
      <w:r w:rsidRPr="00D629F5">
        <w:rPr>
          <w:lang w:val="fr-FR"/>
        </w:rPr>
        <w:softHyphen/>
        <w:t>Unis)</w:t>
      </w:r>
    </w:p>
    <w:p w14:paraId="38545874" w14:textId="77777777" w:rsidR="00FF30E4" w:rsidRPr="00D629F5" w:rsidRDefault="00FF30E4" w:rsidP="00332D1A">
      <w:pPr>
        <w:numPr>
          <w:ilvl w:val="0"/>
          <w:numId w:val="11"/>
        </w:numPr>
        <w:rPr>
          <w:lang w:val="fr-FR"/>
        </w:rPr>
      </w:pPr>
      <w:r w:rsidRPr="00D629F5">
        <w:rPr>
          <w:lang w:val="fr-FR"/>
        </w:rPr>
        <w:t>Éco-étiquetage ou certifications</w:t>
      </w:r>
    </w:p>
    <w:p w14:paraId="16D22D9D" w14:textId="77777777" w:rsidR="00FF30E4" w:rsidRPr="00D629F5" w:rsidRDefault="00FF30E4" w:rsidP="00332D1A">
      <w:pPr>
        <w:numPr>
          <w:ilvl w:val="1"/>
          <w:numId w:val="11"/>
        </w:numPr>
        <w:rPr>
          <w:lang w:val="fr-FR"/>
        </w:rPr>
      </w:pPr>
      <w:r w:rsidRPr="00D629F5">
        <w:rPr>
          <w:lang w:val="fr-FR"/>
        </w:rPr>
        <w:t>Australie</w:t>
      </w:r>
    </w:p>
    <w:p w14:paraId="182CA0DA" w14:textId="77777777" w:rsidR="00FF30E4" w:rsidRPr="00D629F5" w:rsidRDefault="00FF30E4" w:rsidP="00332D1A">
      <w:pPr>
        <w:numPr>
          <w:ilvl w:val="1"/>
          <w:numId w:val="11"/>
        </w:numPr>
        <w:rPr>
          <w:lang w:val="fr-FR"/>
        </w:rPr>
      </w:pPr>
      <w:r w:rsidRPr="00D629F5">
        <w:rPr>
          <w:lang w:val="fr-FR"/>
        </w:rPr>
        <w:t xml:space="preserve">Règlement de l’UE pour favoriser les investissements durables </w:t>
      </w:r>
    </w:p>
    <w:p w14:paraId="0323833F" w14:textId="77777777" w:rsidR="00FF30E4" w:rsidRPr="00D629F5" w:rsidRDefault="00FF30E4" w:rsidP="00FF30E4">
      <w:pPr>
        <w:rPr>
          <w:lang w:val="fr-FR"/>
        </w:rPr>
      </w:pPr>
    </w:p>
    <w:p w14:paraId="046EB645" w14:textId="77777777" w:rsidR="00FF30E4" w:rsidRPr="00D629F5" w:rsidRDefault="00FF30E4" w:rsidP="00FF30E4">
      <w:pPr>
        <w:rPr>
          <w:b/>
          <w:lang w:val="fr-FR"/>
        </w:rPr>
      </w:pPr>
      <w:r w:rsidRPr="00D629F5">
        <w:rPr>
          <w:b/>
          <w:lang w:val="fr-FR"/>
        </w:rPr>
        <w:t>Propriété : Droits de propriété</w:t>
      </w:r>
    </w:p>
    <w:p w14:paraId="26533941" w14:textId="77777777" w:rsidR="00FF30E4" w:rsidRPr="00D629F5" w:rsidRDefault="00FF30E4" w:rsidP="00332D1A">
      <w:pPr>
        <w:numPr>
          <w:ilvl w:val="0"/>
          <w:numId w:val="11"/>
        </w:numPr>
        <w:rPr>
          <w:lang w:val="fr-FR"/>
        </w:rPr>
      </w:pPr>
      <w:r w:rsidRPr="00D629F5">
        <w:rPr>
          <w:lang w:val="fr-FR"/>
        </w:rPr>
        <w:t xml:space="preserve">Utilisation exclusive par les communautés locales </w:t>
      </w:r>
    </w:p>
    <w:p w14:paraId="61C84852" w14:textId="77777777" w:rsidR="00FF30E4" w:rsidRPr="00D629F5" w:rsidRDefault="00FF30E4" w:rsidP="00332D1A">
      <w:pPr>
        <w:numPr>
          <w:ilvl w:val="1"/>
          <w:numId w:val="11"/>
        </w:numPr>
        <w:rPr>
          <w:lang w:val="fr-FR"/>
        </w:rPr>
      </w:pPr>
      <w:r w:rsidRPr="00D629F5">
        <w:rPr>
          <w:lang w:val="fr-FR"/>
        </w:rPr>
        <w:t>Philippines</w:t>
      </w:r>
    </w:p>
    <w:p w14:paraId="5B8B5AF3" w14:textId="77777777" w:rsidR="00FF30E4" w:rsidRPr="00D629F5" w:rsidRDefault="00FF30E4" w:rsidP="00332D1A">
      <w:pPr>
        <w:numPr>
          <w:ilvl w:val="1"/>
          <w:numId w:val="11"/>
        </w:numPr>
        <w:rPr>
          <w:lang w:val="fr-FR"/>
        </w:rPr>
      </w:pPr>
      <w:r w:rsidRPr="00D629F5">
        <w:rPr>
          <w:lang w:val="fr-FR"/>
        </w:rPr>
        <w:t>Viet Nam</w:t>
      </w:r>
    </w:p>
    <w:p w14:paraId="0C2D06AE" w14:textId="77777777" w:rsidR="00FF30E4" w:rsidRPr="00D629F5" w:rsidRDefault="00FF30E4" w:rsidP="00332D1A">
      <w:pPr>
        <w:numPr>
          <w:ilvl w:val="0"/>
          <w:numId w:val="11"/>
        </w:numPr>
        <w:rPr>
          <w:lang w:val="fr-FR"/>
        </w:rPr>
      </w:pPr>
      <w:r w:rsidRPr="00D629F5">
        <w:rPr>
          <w:lang w:val="fr-FR"/>
        </w:rPr>
        <w:t xml:space="preserve">Dispositions Safe Harbor </w:t>
      </w:r>
    </w:p>
    <w:p w14:paraId="3665F1FD" w14:textId="77777777" w:rsidR="00FF30E4" w:rsidRPr="00D629F5" w:rsidRDefault="00FF30E4" w:rsidP="00332D1A">
      <w:pPr>
        <w:numPr>
          <w:ilvl w:val="0"/>
          <w:numId w:val="11"/>
        </w:numPr>
        <w:rPr>
          <w:lang w:val="fr-FR"/>
        </w:rPr>
      </w:pPr>
      <w:r w:rsidRPr="00D629F5">
        <w:rPr>
          <w:lang w:val="fr-FR"/>
        </w:rPr>
        <w:t>Berges de réhabilitation en zones humides ou « bioberges »</w:t>
      </w:r>
    </w:p>
    <w:p w14:paraId="00015A45" w14:textId="77777777" w:rsidR="00FF30E4" w:rsidRPr="00D629F5" w:rsidRDefault="00FF30E4" w:rsidP="00332D1A">
      <w:pPr>
        <w:numPr>
          <w:ilvl w:val="0"/>
          <w:numId w:val="11"/>
        </w:numPr>
        <w:rPr>
          <w:lang w:val="fr-FR"/>
        </w:rPr>
      </w:pPr>
      <w:r w:rsidRPr="00D629F5">
        <w:rPr>
          <w:lang w:val="fr-FR"/>
        </w:rPr>
        <w:t>Servitudes pour la conservation (États-Unis, Canada)</w:t>
      </w:r>
    </w:p>
    <w:p w14:paraId="4EF0B6FF" w14:textId="77777777" w:rsidR="00FF30E4" w:rsidRPr="00D629F5" w:rsidRDefault="00FF30E4" w:rsidP="00FF30E4">
      <w:pPr>
        <w:rPr>
          <w:lang w:val="fr-FR"/>
        </w:rPr>
      </w:pPr>
    </w:p>
    <w:p w14:paraId="03A93BBE" w14:textId="77777777" w:rsidR="00FF30E4" w:rsidRPr="00D629F5" w:rsidRDefault="00FF30E4" w:rsidP="00FF30E4">
      <w:pPr>
        <w:rPr>
          <w:lang w:val="fr-FR"/>
        </w:rPr>
      </w:pPr>
      <w:r w:rsidRPr="00D629F5">
        <w:rPr>
          <w:b/>
          <w:lang w:val="fr-FR"/>
        </w:rPr>
        <w:t>Procuration</w:t>
      </w:r>
    </w:p>
    <w:p w14:paraId="0E65A6F7" w14:textId="77777777" w:rsidR="00FF30E4" w:rsidRPr="00D629F5" w:rsidRDefault="00FF30E4" w:rsidP="00332D1A">
      <w:pPr>
        <w:numPr>
          <w:ilvl w:val="0"/>
          <w:numId w:val="11"/>
        </w:numPr>
        <w:rPr>
          <w:lang w:val="fr-FR"/>
        </w:rPr>
      </w:pPr>
      <w:r w:rsidRPr="00D629F5">
        <w:rPr>
          <w:lang w:val="fr-FR"/>
        </w:rPr>
        <w:t>Lois ou règlements fondés sur les espèces sauvages ou certaines espèces (Loi sur les espèces à risque, Canada, Côte d’Ivoire, Bénin)</w:t>
      </w:r>
    </w:p>
    <w:p w14:paraId="6CC31B62" w14:textId="77777777" w:rsidR="00FF30E4" w:rsidRPr="00D629F5" w:rsidRDefault="00FF30E4" w:rsidP="00332D1A">
      <w:pPr>
        <w:numPr>
          <w:ilvl w:val="0"/>
          <w:numId w:val="11"/>
        </w:numPr>
        <w:rPr>
          <w:lang w:val="fr-FR"/>
        </w:rPr>
      </w:pPr>
      <w:r w:rsidRPr="00D629F5">
        <w:rPr>
          <w:lang w:val="fr-FR"/>
        </w:rPr>
        <w:t>Loi sur la Ceinture de verdure (Ontario)</w:t>
      </w:r>
    </w:p>
    <w:p w14:paraId="13FE6DA6" w14:textId="77777777" w:rsidR="00FF30E4" w:rsidRPr="00D629F5" w:rsidRDefault="00FF30E4" w:rsidP="00FF30E4">
      <w:pPr>
        <w:rPr>
          <w:lang w:val="fr-FR"/>
        </w:rPr>
      </w:pPr>
    </w:p>
    <w:p w14:paraId="22C13446" w14:textId="77777777" w:rsidR="00FF30E4" w:rsidRPr="00D629F5" w:rsidRDefault="00FF30E4" w:rsidP="00FF30E4">
      <w:pPr>
        <w:rPr>
          <w:b/>
          <w:lang w:val="fr-FR"/>
        </w:rPr>
      </w:pPr>
      <w:r w:rsidRPr="00D629F5">
        <w:rPr>
          <w:b/>
          <w:lang w:val="fr-FR"/>
        </w:rPr>
        <w:t>Planification</w:t>
      </w:r>
    </w:p>
    <w:p w14:paraId="68FF3965" w14:textId="77777777" w:rsidR="00FF30E4" w:rsidRPr="00D629F5" w:rsidRDefault="00FF30E4" w:rsidP="00332D1A">
      <w:pPr>
        <w:numPr>
          <w:ilvl w:val="0"/>
          <w:numId w:val="11"/>
        </w:numPr>
      </w:pPr>
      <w:r w:rsidRPr="00D629F5">
        <w:t xml:space="preserve">Plans </w:t>
      </w:r>
      <w:r w:rsidRPr="00D629F5">
        <w:rPr>
          <w:lang w:val="fr-CH"/>
        </w:rPr>
        <w:t xml:space="preserve">régionaux </w:t>
      </w:r>
      <w:r w:rsidRPr="00D629F5">
        <w:t>de la Land Stewardship Act Alberta (Alberta, Canada)</w:t>
      </w:r>
    </w:p>
    <w:p w14:paraId="2249BAF9" w14:textId="77777777" w:rsidR="00FF30E4" w:rsidRPr="00D629F5" w:rsidRDefault="00FF30E4" w:rsidP="00332D1A">
      <w:pPr>
        <w:numPr>
          <w:ilvl w:val="0"/>
          <w:numId w:val="11"/>
        </w:numPr>
        <w:rPr>
          <w:lang w:val="fr-FR"/>
        </w:rPr>
      </w:pPr>
      <w:r w:rsidRPr="00D629F5">
        <w:rPr>
          <w:lang w:val="fr-FR"/>
        </w:rPr>
        <w:t>Plans régionaux des milieux humides et hydriques (Québec, Canada)</w:t>
      </w:r>
    </w:p>
    <w:p w14:paraId="0196AFCA" w14:textId="77777777" w:rsidR="00FF30E4" w:rsidRPr="00D629F5" w:rsidRDefault="00FF30E4" w:rsidP="00332D1A">
      <w:pPr>
        <w:numPr>
          <w:ilvl w:val="0"/>
          <w:numId w:val="11"/>
        </w:numPr>
        <w:rPr>
          <w:lang w:val="fr-FR"/>
        </w:rPr>
      </w:pPr>
      <w:r w:rsidRPr="00D629F5">
        <w:rPr>
          <w:lang w:val="fr-FR"/>
        </w:rPr>
        <w:t>Schéma directeur d’aménagement et de gestion des eaux (France)</w:t>
      </w:r>
    </w:p>
    <w:p w14:paraId="0CE276E2" w14:textId="77777777" w:rsidR="00FF30E4" w:rsidRPr="00D629F5" w:rsidRDefault="00FF30E4" w:rsidP="00FF30E4">
      <w:pPr>
        <w:rPr>
          <w:lang w:val="fr-FR"/>
        </w:rPr>
      </w:pPr>
    </w:p>
    <w:p w14:paraId="66F76CCE" w14:textId="77777777" w:rsidR="00FF30E4" w:rsidRPr="00D629F5" w:rsidRDefault="00FF30E4" w:rsidP="00FF30E4">
      <w:pPr>
        <w:rPr>
          <w:lang w:val="fr-FR"/>
        </w:rPr>
      </w:pPr>
      <w:r w:rsidRPr="00D629F5">
        <w:rPr>
          <w:lang w:val="fr-FR"/>
        </w:rPr>
        <w:br w:type="page"/>
      </w:r>
    </w:p>
    <w:p w14:paraId="3D1602B9" w14:textId="77777777" w:rsidR="00FF30E4" w:rsidRDefault="00FF30E4" w:rsidP="00FF30E4">
      <w:pPr>
        <w:rPr>
          <w:b/>
          <w:sz w:val="24"/>
          <w:szCs w:val="24"/>
          <w:lang w:val="fr-FR"/>
        </w:rPr>
      </w:pPr>
      <w:r>
        <w:rPr>
          <w:b/>
          <w:sz w:val="24"/>
          <w:szCs w:val="24"/>
          <w:lang w:val="fr-FR"/>
        </w:rPr>
        <w:t xml:space="preserve">Annexe 4 </w:t>
      </w:r>
    </w:p>
    <w:p w14:paraId="10735A50" w14:textId="77777777" w:rsidR="00FF30E4" w:rsidRDefault="00FF30E4" w:rsidP="00FF30E4">
      <w:pPr>
        <w:rPr>
          <w:b/>
          <w:sz w:val="24"/>
          <w:szCs w:val="24"/>
          <w:lang w:val="fr-FR"/>
        </w:rPr>
      </w:pPr>
      <w:r>
        <w:rPr>
          <w:b/>
          <w:sz w:val="24"/>
          <w:szCs w:val="24"/>
          <w:lang w:val="fr-FR" w:eastAsia="zh-CN"/>
        </w:rPr>
        <w:t>Approche proposée pour les futures Perspectives mondiales des zones humides</w:t>
      </w:r>
    </w:p>
    <w:p w14:paraId="345C6024" w14:textId="77777777" w:rsidR="00FF30E4" w:rsidRDefault="00FF30E4" w:rsidP="00FF30E4">
      <w:pPr>
        <w:rPr>
          <w:sz w:val="24"/>
          <w:szCs w:val="24"/>
          <w:lang w:val="fr-FR"/>
        </w:rPr>
      </w:pPr>
    </w:p>
    <w:p w14:paraId="56E11DF1" w14:textId="77777777" w:rsidR="00FF30E4" w:rsidRPr="00D629F5" w:rsidRDefault="00FF30E4" w:rsidP="00FF30E4">
      <w:pPr>
        <w:ind w:left="432" w:hanging="432"/>
        <w:rPr>
          <w:lang w:val="fr-FR"/>
        </w:rPr>
      </w:pPr>
      <w:r w:rsidRPr="00D629F5">
        <w:rPr>
          <w:lang w:val="fr-FR"/>
        </w:rPr>
        <w:t>1.</w:t>
      </w:r>
      <w:r w:rsidRPr="00D629F5">
        <w:rPr>
          <w:lang w:val="fr-FR"/>
        </w:rPr>
        <w:tab/>
        <w:t>Les Perspectives mondiales des zones humides sont une publication phare du Groupe d’évaluation scientifique et technique (GEST) de la Convention sur les zones humides. Dans le cadre de son plan de travail 2023-2025 (tâche 5.3), le GEST a été chargé de préparer un rapport pour le Comité permanent décrivant un cadre conceptuel et un plan détaillé pour de futures éditions des Perspectives. Ce travail supposait :</w:t>
      </w:r>
    </w:p>
    <w:p w14:paraId="154690BA" w14:textId="77777777" w:rsidR="00FF30E4" w:rsidRPr="00D629F5" w:rsidRDefault="00FF30E4" w:rsidP="00332D1A">
      <w:pPr>
        <w:pStyle w:val="ListParagraph"/>
        <w:numPr>
          <w:ilvl w:val="0"/>
          <w:numId w:val="12"/>
        </w:numPr>
        <w:ind w:left="810"/>
        <w:rPr>
          <w:lang w:val="fr-FR"/>
        </w:rPr>
      </w:pPr>
      <w:r w:rsidRPr="00D629F5">
        <w:rPr>
          <w:rFonts w:eastAsia="Calibri"/>
          <w:lang w:val="fr-FR"/>
        </w:rPr>
        <w:t>de définir le but des Perspectives en tant que produit phare de la Convention, en harmonie avec les objectifs du Plan stratégique et d’autres accords multilatéraux sur l’environnement (AME) ; et</w:t>
      </w:r>
    </w:p>
    <w:p w14:paraId="4F2AF1CE" w14:textId="77777777" w:rsidR="00FF30E4" w:rsidRPr="00D629F5" w:rsidRDefault="00FF30E4" w:rsidP="00332D1A">
      <w:pPr>
        <w:pStyle w:val="ListParagraph"/>
        <w:numPr>
          <w:ilvl w:val="0"/>
          <w:numId w:val="12"/>
        </w:numPr>
        <w:ind w:left="810"/>
        <w:rPr>
          <w:lang w:val="fr-FR"/>
        </w:rPr>
      </w:pPr>
      <w:r w:rsidRPr="00D629F5">
        <w:rPr>
          <w:lang w:val="fr-FR"/>
        </w:rPr>
        <w:t>d’élaborer une approche structurée pour faciliter la publication de futures Perspectives mondiales des zones humides, en réfléchissant aux cadres méthodologiques, aux calendriers, aux besoins en ressources (y compris les besoins financiers), aux stratégies de communication et aux sources d’information.</w:t>
      </w:r>
    </w:p>
    <w:p w14:paraId="3D8B5B8E" w14:textId="77777777" w:rsidR="00FF30E4" w:rsidRPr="00D629F5" w:rsidRDefault="00FF30E4" w:rsidP="00FF30E4">
      <w:pPr>
        <w:ind w:left="432"/>
        <w:rPr>
          <w:lang w:val="fr-FR"/>
        </w:rPr>
      </w:pPr>
      <w:r w:rsidRPr="00D629F5">
        <w:rPr>
          <w:lang w:val="fr-FR"/>
        </w:rPr>
        <w:t>Le plan actuel tient compte des enseignements acquis avec les Perspectives mondiales des zones humides 2018 et l’édition spéciale produite dans le cadre du plan de travail 2019-2021, ainsi que de l’expérience d’autres évaluations mondiales.</w:t>
      </w:r>
    </w:p>
    <w:p w14:paraId="264429C2" w14:textId="77777777" w:rsidR="00FF30E4" w:rsidRPr="00D629F5" w:rsidRDefault="00FF30E4" w:rsidP="00FF30E4">
      <w:pPr>
        <w:rPr>
          <w:lang w:val="fr-FR"/>
        </w:rPr>
      </w:pPr>
    </w:p>
    <w:p w14:paraId="2002C2C8" w14:textId="77777777" w:rsidR="00FF30E4" w:rsidRPr="00D629F5" w:rsidRDefault="00FF30E4" w:rsidP="00FF30E4">
      <w:pPr>
        <w:ind w:left="432" w:hanging="432"/>
        <w:rPr>
          <w:lang w:val="fr-FR"/>
        </w:rPr>
      </w:pPr>
      <w:r w:rsidRPr="00D629F5">
        <w:rPr>
          <w:lang w:val="fr-FR"/>
        </w:rPr>
        <w:t>2.</w:t>
      </w:r>
      <w:r w:rsidRPr="00D629F5">
        <w:rPr>
          <w:lang w:val="fr-FR"/>
        </w:rPr>
        <w:tab/>
        <w:t xml:space="preserve">Le GEST a constitué un groupe de travail chargé de cette tâche, dirigé par M. Hugh Robertson (Président du GEST) et M. Ritesh Kumar (Expert technique). Le groupe de travail s’est réuni deux fois de manière virtuelle et a présenté une esquisse d’approche pour de futures Perspectives mondiales des zones humides durant la réunion intersessions du GEST, en septembre 2024. Le présent rapport tient compte des commentaires issus de ces discussions. </w:t>
      </w:r>
    </w:p>
    <w:p w14:paraId="24F73B30" w14:textId="77777777" w:rsidR="00FF30E4" w:rsidRPr="00D629F5" w:rsidRDefault="00FF30E4" w:rsidP="00FF30E4">
      <w:pPr>
        <w:ind w:left="432" w:hanging="432"/>
        <w:rPr>
          <w:lang w:val="fr-FR"/>
        </w:rPr>
      </w:pPr>
    </w:p>
    <w:p w14:paraId="3BA673AF" w14:textId="77777777" w:rsidR="00FF30E4" w:rsidRPr="00D629F5" w:rsidRDefault="00FF30E4" w:rsidP="00FF30E4">
      <w:pPr>
        <w:ind w:left="432" w:hanging="432"/>
        <w:rPr>
          <w:b/>
          <w:bCs w:val="0"/>
          <w:lang w:val="fr-FR"/>
        </w:rPr>
      </w:pPr>
      <w:r w:rsidRPr="00D629F5">
        <w:rPr>
          <w:b/>
          <w:lang w:val="fr-FR"/>
        </w:rPr>
        <w:t>But des Perspectives mondiales des zones humides</w:t>
      </w:r>
    </w:p>
    <w:p w14:paraId="7BB0D2D8" w14:textId="77777777" w:rsidR="00FF30E4" w:rsidRPr="00D629F5" w:rsidRDefault="00FF30E4" w:rsidP="00FF30E4">
      <w:pPr>
        <w:ind w:left="432" w:hanging="432"/>
        <w:rPr>
          <w:lang w:val="fr-FR"/>
        </w:rPr>
      </w:pPr>
    </w:p>
    <w:p w14:paraId="4995933E" w14:textId="77777777" w:rsidR="00FF30E4" w:rsidRPr="00D629F5" w:rsidRDefault="00FF30E4" w:rsidP="00FF30E4">
      <w:pPr>
        <w:ind w:left="432" w:hanging="432"/>
        <w:rPr>
          <w:lang w:val="fr-FR"/>
        </w:rPr>
      </w:pPr>
      <w:r w:rsidRPr="00D629F5">
        <w:rPr>
          <w:lang w:val="fr-FR"/>
        </w:rPr>
        <w:t>3.</w:t>
      </w:r>
      <w:r w:rsidRPr="00D629F5">
        <w:rPr>
          <w:lang w:val="fr-FR"/>
        </w:rPr>
        <w:tab/>
        <w:t>Les Perspectives mondiales des zones humides trouvent leur origine dans la Résolution XII.5 qui appelait le GEST à mettre à jour et enrichir la Note d’information 7 : L’état mondial des zones humides et leurs services à l’humanité. La Résolution encourageait le GEST et le Secrétaire général, sous réserve de ressources disponibles, à explorer des moyens d’améliorer et de mettre à jour les Perspectives en tant que rapport phare, périodique, de la Convention, contribuant aux Perspectives mondiales de la diversité biologique de la Convention sur la diversité biologique (CDB). Le but premier des Perspectives mondiales des zones humides</w:t>
      </w:r>
      <w:r w:rsidRPr="00D629F5">
        <w:rPr>
          <w:rStyle w:val="FootnoteReference"/>
          <w:lang w:val="fr-FR"/>
        </w:rPr>
        <w:footnoteReference w:id="11"/>
      </w:r>
      <w:r w:rsidRPr="00D629F5">
        <w:rPr>
          <w:lang w:val="fr-FR"/>
        </w:rPr>
        <w:t xml:space="preserve"> est d’améliorer la compréhension des valeurs des zones humides et de proposer des recommandations sur les moyens de les conserver, de les utiliser de manière rationnelle et de reconnaître leurs avantages pour tous</w:t>
      </w:r>
      <w:r w:rsidRPr="00D629F5">
        <w:rPr>
          <w:rStyle w:val="FootnoteReference"/>
          <w:lang w:val="fr-FR"/>
        </w:rPr>
        <w:footnoteReference w:id="12"/>
      </w:r>
      <w:r w:rsidRPr="00D629F5">
        <w:rPr>
          <w:lang w:val="fr-FR"/>
        </w:rPr>
        <w:t>.</w:t>
      </w:r>
    </w:p>
    <w:p w14:paraId="0A3E8539" w14:textId="77777777" w:rsidR="00FF30E4" w:rsidRPr="00D629F5" w:rsidRDefault="00FF30E4" w:rsidP="00FF30E4">
      <w:pPr>
        <w:ind w:left="432" w:hanging="432"/>
        <w:rPr>
          <w:lang w:val="fr-FR"/>
        </w:rPr>
      </w:pPr>
    </w:p>
    <w:p w14:paraId="1B898B10" w14:textId="77777777" w:rsidR="00FF30E4" w:rsidRPr="00D629F5" w:rsidRDefault="00FF30E4" w:rsidP="00FF30E4">
      <w:pPr>
        <w:ind w:left="432" w:hanging="432"/>
        <w:rPr>
          <w:lang w:val="fr-FR"/>
        </w:rPr>
      </w:pPr>
      <w:r w:rsidRPr="00D629F5">
        <w:rPr>
          <w:lang w:val="fr-FR"/>
        </w:rPr>
        <w:t>4.</w:t>
      </w:r>
      <w:r w:rsidRPr="00D629F5">
        <w:rPr>
          <w:lang w:val="fr-FR"/>
        </w:rPr>
        <w:tab/>
        <w:t xml:space="preserve">Conformément aux pratiques adoptées par d’autres Conventions et AME qui ont des publications phares semblables, il est recommandé que le but des Perspectives soit élargi pour pleinement réaliser l’intention de la Résolution XII.5. Il est proposé que : </w:t>
      </w:r>
    </w:p>
    <w:p w14:paraId="06A8B6DD" w14:textId="77777777" w:rsidR="00FF30E4" w:rsidRPr="00D629F5" w:rsidRDefault="00FF30E4" w:rsidP="00FF30E4">
      <w:pPr>
        <w:ind w:left="432" w:hanging="432"/>
        <w:rPr>
          <w:lang w:val="fr-FR"/>
        </w:rPr>
      </w:pPr>
    </w:p>
    <w:p w14:paraId="117BEBCB" w14:textId="77777777" w:rsidR="00FF30E4" w:rsidRPr="00D629F5" w:rsidRDefault="00FF30E4" w:rsidP="00FF30E4">
      <w:pPr>
        <w:ind w:left="432"/>
        <w:rPr>
          <w:lang w:val="fr-FR"/>
        </w:rPr>
      </w:pPr>
      <w:r w:rsidRPr="00D629F5">
        <w:rPr>
          <w:lang w:val="fr-FR"/>
        </w:rPr>
        <w:t xml:space="preserve">« les Perspectives mondiales des zones humides, en tant que publication phare de la Convention sur les zones humides : </w:t>
      </w:r>
    </w:p>
    <w:p w14:paraId="5A11845D" w14:textId="77777777" w:rsidR="00FF30E4" w:rsidRPr="00D629F5" w:rsidRDefault="00FF30E4" w:rsidP="00332D1A">
      <w:pPr>
        <w:pStyle w:val="ListParagraph"/>
        <w:numPr>
          <w:ilvl w:val="0"/>
          <w:numId w:val="13"/>
        </w:numPr>
        <w:ind w:left="810"/>
        <w:rPr>
          <w:lang w:val="fr-FR"/>
        </w:rPr>
      </w:pPr>
      <w:r w:rsidRPr="00D629F5">
        <w:rPr>
          <w:lang w:val="fr-FR"/>
        </w:rPr>
        <w:t>Proposent un résumé factuel de l’état [mondial] des zones humides et des moteurs et pressions entraînant des changements négatifs dans ces écosystèmes.</w:t>
      </w:r>
    </w:p>
    <w:p w14:paraId="6D0FD7C6" w14:textId="77777777" w:rsidR="00FF30E4" w:rsidRPr="00D629F5" w:rsidRDefault="00FF30E4" w:rsidP="00332D1A">
      <w:pPr>
        <w:pStyle w:val="ListParagraph"/>
        <w:numPr>
          <w:ilvl w:val="0"/>
          <w:numId w:val="13"/>
        </w:numPr>
        <w:ind w:left="810"/>
        <w:rPr>
          <w:lang w:val="fr-FR"/>
        </w:rPr>
      </w:pPr>
      <w:r w:rsidRPr="00D629F5">
        <w:rPr>
          <w:lang w:val="fr-FR"/>
        </w:rPr>
        <w:t>Examinent les différentes manières dont les zones humides sont conservées et gérées dans différentes régions du monde et les défis à relever.</w:t>
      </w:r>
    </w:p>
    <w:p w14:paraId="13D5A7AA" w14:textId="77777777" w:rsidR="00FF30E4" w:rsidRPr="00D629F5" w:rsidRDefault="00FF30E4" w:rsidP="00332D1A">
      <w:pPr>
        <w:pStyle w:val="ListParagraph"/>
        <w:numPr>
          <w:ilvl w:val="0"/>
          <w:numId w:val="13"/>
        </w:numPr>
        <w:ind w:left="810"/>
        <w:rPr>
          <w:lang w:val="fr-FR"/>
        </w:rPr>
      </w:pPr>
      <w:r w:rsidRPr="00D629F5">
        <w:rPr>
          <w:lang w:val="fr-FR"/>
        </w:rPr>
        <w:t>Retracent périodiquement les progrès de réalisation de différents indicateurs décrits dans le Plan stratégique.</w:t>
      </w:r>
    </w:p>
    <w:p w14:paraId="068DEB6B" w14:textId="77777777" w:rsidR="00FF30E4" w:rsidRPr="00D629F5" w:rsidRDefault="00FF30E4" w:rsidP="00332D1A">
      <w:pPr>
        <w:pStyle w:val="ListParagraph"/>
        <w:numPr>
          <w:ilvl w:val="0"/>
          <w:numId w:val="13"/>
        </w:numPr>
        <w:ind w:left="810"/>
        <w:rPr>
          <w:lang w:val="fr-FR"/>
        </w:rPr>
      </w:pPr>
      <w:r w:rsidRPr="00D629F5">
        <w:rPr>
          <w:lang w:val="fr-FR"/>
        </w:rPr>
        <w:t xml:space="preserve">Offrent aux décideurs des recommandations du GEST pour une conservation et une utilisation rationnelle efficaces des zones humides. » </w:t>
      </w:r>
    </w:p>
    <w:p w14:paraId="0D8D265D" w14:textId="77777777" w:rsidR="00FF30E4" w:rsidRPr="00D629F5" w:rsidRDefault="00FF30E4" w:rsidP="00FF30E4">
      <w:pPr>
        <w:rPr>
          <w:b/>
          <w:lang w:val="fr-FR"/>
        </w:rPr>
      </w:pPr>
    </w:p>
    <w:p w14:paraId="7B0583FD" w14:textId="77777777" w:rsidR="00FF30E4" w:rsidRPr="00D629F5" w:rsidRDefault="00FF30E4" w:rsidP="00FF30E4">
      <w:pPr>
        <w:keepNext/>
        <w:rPr>
          <w:lang w:val="fr-FR"/>
        </w:rPr>
      </w:pPr>
      <w:r w:rsidRPr="00D629F5">
        <w:rPr>
          <w:b/>
          <w:lang w:val="fr-FR"/>
        </w:rPr>
        <w:t>Portée des Perspectives mondiales des zones humides</w:t>
      </w:r>
      <w:r w:rsidRPr="00D629F5">
        <w:rPr>
          <w:lang w:val="fr-FR"/>
        </w:rPr>
        <w:t xml:space="preserve"> </w:t>
      </w:r>
    </w:p>
    <w:p w14:paraId="1DA588AF" w14:textId="77777777" w:rsidR="00FF30E4" w:rsidRPr="00D629F5" w:rsidRDefault="00FF30E4" w:rsidP="00FF30E4">
      <w:pPr>
        <w:ind w:left="432" w:hanging="432"/>
        <w:rPr>
          <w:lang w:val="fr-FR"/>
        </w:rPr>
      </w:pPr>
    </w:p>
    <w:p w14:paraId="72795A24" w14:textId="77777777" w:rsidR="00FF30E4" w:rsidRPr="00D629F5" w:rsidRDefault="00FF30E4" w:rsidP="00FF30E4">
      <w:pPr>
        <w:ind w:left="432" w:hanging="432"/>
        <w:rPr>
          <w:lang w:val="fr-FR"/>
        </w:rPr>
      </w:pPr>
      <w:r w:rsidRPr="00D629F5">
        <w:rPr>
          <w:lang w:val="fr-FR"/>
        </w:rPr>
        <w:t>5.</w:t>
      </w:r>
      <w:r w:rsidRPr="00D629F5">
        <w:rPr>
          <w:lang w:val="fr-FR"/>
        </w:rPr>
        <w:tab/>
        <w:t xml:space="preserve">Les éditions 2018 et 2021 des Perspectives mondiales des zones humides adoptaient une portée d’analyse générale, et l’édition de 2018 se composait de chapitres sur l’état et les tendances des zones humides, les moteurs du changement et les réponses possibles. Toutefois, les Perspectives donnent un aperçu limité de l’état de mise en œuvre de la Convention, des caractéristiques écologiques des zones humides d’importance internationale et de l’état des zones humides signalé par les Parties contractantes. L’édition de 2021 met en lumière le pourcentage de zones humides d’importance internationale affectées par les pratiques agricoles. </w:t>
      </w:r>
    </w:p>
    <w:p w14:paraId="34841C9A" w14:textId="77777777" w:rsidR="00FF30E4" w:rsidRPr="00D629F5" w:rsidRDefault="00FF30E4" w:rsidP="00FF30E4">
      <w:pPr>
        <w:ind w:left="720"/>
        <w:rPr>
          <w:lang w:val="fr-FR"/>
        </w:rPr>
      </w:pPr>
    </w:p>
    <w:p w14:paraId="4B4A0DCC" w14:textId="77777777" w:rsidR="00FF30E4" w:rsidRPr="00D629F5" w:rsidRDefault="00FF30E4" w:rsidP="00FF30E4">
      <w:pPr>
        <w:ind w:left="432" w:hanging="432"/>
        <w:rPr>
          <w:lang w:val="fr-FR"/>
        </w:rPr>
      </w:pPr>
      <w:r w:rsidRPr="00D629F5">
        <w:rPr>
          <w:lang w:val="fr-FR"/>
        </w:rPr>
        <w:t>6.</w:t>
      </w:r>
      <w:r w:rsidRPr="00D629F5">
        <w:rPr>
          <w:lang w:val="fr-FR"/>
        </w:rPr>
        <w:tab/>
        <w:t>D’un point de vue historique, des efforts ont été déployés pour fournir des évaluations spécifiques aux zones humides découlant d’évaluations mondiales. En 1999, la Convention sur les zones humides a publié une étude des ressources en zones humides et des priorités en matière d’inventaire des zones humides</w:t>
      </w:r>
      <w:r w:rsidRPr="00D629F5">
        <w:rPr>
          <w:rStyle w:val="FootnoteReference"/>
          <w:lang w:val="fr-FR"/>
        </w:rPr>
        <w:footnoteReference w:id="13"/>
      </w:r>
      <w:r w:rsidRPr="00D629F5">
        <w:rPr>
          <w:lang w:val="fr-FR"/>
        </w:rPr>
        <w:t xml:space="preserve">. </w:t>
      </w:r>
      <w:bookmarkStart w:id="13" w:name="_Hlk182043203"/>
      <w:r w:rsidRPr="00D629F5">
        <w:rPr>
          <w:lang w:val="fr-FR"/>
        </w:rPr>
        <w:t>L’Évaluation des écosystèmes pour le millénaire </w:t>
      </w:r>
      <w:bookmarkEnd w:id="13"/>
      <w:r w:rsidRPr="00D629F5">
        <w:rPr>
          <w:lang w:val="fr-FR"/>
        </w:rPr>
        <w:t xml:space="preserve">: </w:t>
      </w:r>
      <w:bookmarkStart w:id="14" w:name="_Hlk182043372"/>
      <w:r w:rsidRPr="00D629F5">
        <w:rPr>
          <w:lang w:val="fr-FR"/>
        </w:rPr>
        <w:t>Synthèse sur les zones humides et l’eau</w:t>
      </w:r>
      <w:bookmarkEnd w:id="14"/>
      <w:r w:rsidRPr="00D629F5">
        <w:rPr>
          <w:rStyle w:val="FootnoteReference"/>
          <w:lang w:val="fr-FR"/>
        </w:rPr>
        <w:footnoteReference w:id="14"/>
      </w:r>
      <w:r w:rsidRPr="00D629F5">
        <w:rPr>
          <w:lang w:val="fr-FR"/>
        </w:rPr>
        <w:t xml:space="preserve">, publiée en 2005, se concentrait quant à elle sur la pérennité des zones humides et des ressources en eau. Par ailleurs, en réponse à la Résolution </w:t>
      </w:r>
      <w:r w:rsidRPr="00D629F5">
        <w:rPr>
          <w:rFonts w:eastAsia="Geneva"/>
          <w:lang w:val="fr-FR"/>
        </w:rPr>
        <w:t>VIII.34, le GEST a participé à l’Évaluation intégrale de la gestion de l’eau en agriculture, réalisée par l’International Water Management Institute</w:t>
      </w:r>
      <w:r w:rsidRPr="00D629F5">
        <w:rPr>
          <w:rStyle w:val="FootnoteReference"/>
          <w:rFonts w:eastAsia="Geneva"/>
          <w:lang w:val="fr-FR"/>
        </w:rPr>
        <w:footnoteReference w:id="15"/>
      </w:r>
      <w:r w:rsidRPr="00D629F5">
        <w:rPr>
          <w:rFonts w:eastAsia="Geneva"/>
          <w:lang w:val="fr-FR"/>
        </w:rPr>
        <w:t xml:space="preserve">. Fondé sur le cadre TEEB </w:t>
      </w:r>
      <w:r w:rsidRPr="00D629F5">
        <w:rPr>
          <w:lang w:val="fr-FR"/>
        </w:rPr>
        <w:t>(The Economics of Ecosystems and Biodiversity), l</w:t>
      </w:r>
      <w:r w:rsidRPr="00D629F5">
        <w:rPr>
          <w:rFonts w:eastAsia="Geneva"/>
          <w:lang w:val="fr-FR"/>
        </w:rPr>
        <w:t>e document TEEB-Wetlands and Water</w:t>
      </w:r>
      <w:r w:rsidRPr="00D629F5">
        <w:rPr>
          <w:rStyle w:val="FootnoteReference"/>
          <w:lang w:val="fr-FR"/>
        </w:rPr>
        <w:footnoteReference w:id="16"/>
      </w:r>
      <w:r w:rsidRPr="00D629F5">
        <w:rPr>
          <w:lang w:val="fr-FR"/>
        </w:rPr>
        <w:t xml:space="preserve">  cherche à mieux faire comprendre l’importance de l’eau et des zones humides en tant que services écosystémiques, encourageant une meilleure prise de décisions et un engagement plus ferme des entreprises en faveur de leur conservation, des investissements à leur consacrer et de leur utilisation rationnelle.   </w:t>
      </w:r>
    </w:p>
    <w:p w14:paraId="73001A61" w14:textId="77777777" w:rsidR="00FF30E4" w:rsidRPr="00D629F5" w:rsidRDefault="00FF30E4" w:rsidP="00FF30E4">
      <w:pPr>
        <w:ind w:left="720"/>
        <w:rPr>
          <w:lang w:val="fr-FR"/>
        </w:rPr>
      </w:pPr>
    </w:p>
    <w:p w14:paraId="6601022F" w14:textId="77777777" w:rsidR="00FF30E4" w:rsidRPr="00D629F5" w:rsidRDefault="00FF30E4" w:rsidP="00FF30E4">
      <w:pPr>
        <w:ind w:left="432" w:hanging="432"/>
        <w:rPr>
          <w:lang w:val="fr-FR"/>
        </w:rPr>
      </w:pPr>
      <w:r w:rsidRPr="00D629F5">
        <w:rPr>
          <w:lang w:val="fr-FR"/>
        </w:rPr>
        <w:t>7.</w:t>
      </w:r>
      <w:r w:rsidRPr="00D629F5">
        <w:rPr>
          <w:lang w:val="fr-FR"/>
        </w:rPr>
        <w:tab/>
        <w:t>Pour atteindre le but des Perspectives, il est proposé que les futures éditions comprennent :</w:t>
      </w:r>
    </w:p>
    <w:p w14:paraId="4FBDA428" w14:textId="77777777" w:rsidR="00FF30E4" w:rsidRPr="00D629F5" w:rsidRDefault="00FF30E4" w:rsidP="00332D1A">
      <w:pPr>
        <w:pStyle w:val="ListParagraph"/>
        <w:numPr>
          <w:ilvl w:val="0"/>
          <w:numId w:val="14"/>
        </w:numPr>
        <w:ind w:left="810"/>
        <w:rPr>
          <w:lang w:val="fr-FR"/>
        </w:rPr>
      </w:pPr>
      <w:r w:rsidRPr="00D629F5">
        <w:rPr>
          <w:b/>
          <w:lang w:val="fr-FR"/>
        </w:rPr>
        <w:t>Des évaluations mondiales </w:t>
      </w:r>
      <w:r w:rsidRPr="00D629F5">
        <w:rPr>
          <w:b/>
          <w:bCs w:val="0"/>
          <w:lang w:val="fr-FR"/>
        </w:rPr>
        <w:t>:</w:t>
      </w:r>
      <w:r w:rsidRPr="00D629F5">
        <w:rPr>
          <w:lang w:val="fr-FR"/>
        </w:rPr>
        <w:t xml:space="preserve"> Sur l’état, les tendances, la biodiversité, les services écosystémiques et le bien-être humain liés aux zones humides à l’échelle mondiale. Des évaluations régionales fourniraient des éléments clés de l’évaluation mondiale.</w:t>
      </w:r>
    </w:p>
    <w:p w14:paraId="394F7FA1" w14:textId="77777777" w:rsidR="00FF30E4" w:rsidRPr="00D629F5" w:rsidRDefault="00FF30E4" w:rsidP="00332D1A">
      <w:pPr>
        <w:pStyle w:val="ListParagraph"/>
        <w:numPr>
          <w:ilvl w:val="0"/>
          <w:numId w:val="14"/>
        </w:numPr>
        <w:ind w:left="810"/>
        <w:rPr>
          <w:lang w:val="fr-FR"/>
        </w:rPr>
      </w:pPr>
      <w:r w:rsidRPr="00D629F5">
        <w:rPr>
          <w:b/>
          <w:lang w:val="fr-FR"/>
        </w:rPr>
        <w:t>Des évaluations thématiques </w:t>
      </w:r>
      <w:r w:rsidRPr="00D629F5">
        <w:rPr>
          <w:b/>
          <w:bCs w:val="0"/>
          <w:lang w:val="fr-FR"/>
        </w:rPr>
        <w:t>:</w:t>
      </w:r>
      <w:r w:rsidRPr="00D629F5">
        <w:rPr>
          <w:lang w:val="fr-FR"/>
        </w:rPr>
        <w:t xml:space="preserve"> Se concentrant sur des questions contemporaines, par exemple, les zones humides en tant que solutions fondées sur la nature. </w:t>
      </w:r>
    </w:p>
    <w:p w14:paraId="39E008F3" w14:textId="77777777" w:rsidR="00FF30E4" w:rsidRPr="00D629F5" w:rsidRDefault="00FF30E4" w:rsidP="00332D1A">
      <w:pPr>
        <w:pStyle w:val="ListParagraph"/>
        <w:numPr>
          <w:ilvl w:val="0"/>
          <w:numId w:val="14"/>
        </w:numPr>
        <w:ind w:left="810"/>
        <w:rPr>
          <w:lang w:val="fr-FR"/>
        </w:rPr>
      </w:pPr>
      <w:r w:rsidRPr="00D629F5">
        <w:rPr>
          <w:b/>
          <w:lang w:val="fr-FR"/>
        </w:rPr>
        <w:t xml:space="preserve">Des évaluations méthodologiques : </w:t>
      </w:r>
      <w:r w:rsidRPr="00D629F5">
        <w:rPr>
          <w:lang w:val="fr-FR"/>
        </w:rPr>
        <w:t>Qui exploreraient les méthodes disponibles et applicables, telles que l’observation de la Terre pour le suivi des zones humides</w:t>
      </w:r>
      <w:r w:rsidRPr="00D629F5">
        <w:rPr>
          <w:rStyle w:val="FootnoteReference"/>
          <w:lang w:val="fr-FR"/>
        </w:rPr>
        <w:footnoteReference w:id="17"/>
      </w:r>
      <w:r w:rsidRPr="00D629F5">
        <w:rPr>
          <w:lang w:val="fr-FR"/>
        </w:rPr>
        <w:t xml:space="preserve">. </w:t>
      </w:r>
    </w:p>
    <w:p w14:paraId="62C4145D" w14:textId="77777777" w:rsidR="00FF30E4" w:rsidRPr="00D629F5" w:rsidRDefault="00FF30E4" w:rsidP="00FF30E4">
      <w:pPr>
        <w:pStyle w:val="ListParagraph"/>
        <w:rPr>
          <w:lang w:val="fr-FR"/>
        </w:rPr>
      </w:pPr>
    </w:p>
    <w:p w14:paraId="174E1592" w14:textId="77777777" w:rsidR="00FF30E4" w:rsidRPr="00D629F5" w:rsidRDefault="00FF30E4" w:rsidP="00FF30E4">
      <w:pPr>
        <w:ind w:left="432" w:hanging="432"/>
        <w:rPr>
          <w:lang w:val="fr-FR"/>
        </w:rPr>
      </w:pPr>
      <w:r w:rsidRPr="00D629F5">
        <w:rPr>
          <w:lang w:val="fr-FR"/>
        </w:rPr>
        <w:t>8.</w:t>
      </w:r>
      <w:r w:rsidRPr="00D629F5">
        <w:rPr>
          <w:lang w:val="fr-FR"/>
        </w:rPr>
        <w:tab/>
        <w:t xml:space="preserve">L’évaluation mondiale retracerait aussi la mise en œuvre des objectifs, cibles et indicateurs du Plan stratégique de la Convention, complétant les informations issues des rapports nationaux par des preuves scientifiques additionnelles. </w:t>
      </w:r>
    </w:p>
    <w:p w14:paraId="299E3717" w14:textId="77777777" w:rsidR="00FF30E4" w:rsidRPr="00D629F5" w:rsidRDefault="00FF30E4" w:rsidP="00FF30E4">
      <w:pPr>
        <w:rPr>
          <w:lang w:val="fr-FR"/>
        </w:rPr>
      </w:pPr>
    </w:p>
    <w:p w14:paraId="35B437E9" w14:textId="77777777" w:rsidR="00FF30E4" w:rsidRDefault="00FF30E4" w:rsidP="00FF30E4">
      <w:pPr>
        <w:keepNext/>
        <w:rPr>
          <w:b/>
          <w:lang w:val="fr-FR"/>
        </w:rPr>
      </w:pPr>
      <w:r w:rsidRPr="00D629F5">
        <w:rPr>
          <w:b/>
          <w:lang w:val="fr-FR"/>
        </w:rPr>
        <w:t>Approches d’autres Conventions et AME</w:t>
      </w:r>
    </w:p>
    <w:p w14:paraId="595E3D36" w14:textId="77777777" w:rsidR="006F153D" w:rsidRPr="00D629F5" w:rsidRDefault="006F153D" w:rsidP="00FF30E4">
      <w:pPr>
        <w:keepNext/>
        <w:rPr>
          <w:lang w:val="fr-FR"/>
        </w:rPr>
      </w:pPr>
    </w:p>
    <w:p w14:paraId="5DD1B538" w14:textId="77777777" w:rsidR="00FF30E4" w:rsidRPr="00D629F5" w:rsidRDefault="00FF30E4" w:rsidP="00FF30E4">
      <w:pPr>
        <w:ind w:left="432" w:hanging="432"/>
        <w:rPr>
          <w:rFonts w:eastAsia="Geneva"/>
          <w:lang w:val="fr-FR"/>
        </w:rPr>
      </w:pPr>
      <w:r w:rsidRPr="00D629F5">
        <w:rPr>
          <w:lang w:val="fr-FR"/>
        </w:rPr>
        <w:t>9.</w:t>
      </w:r>
      <w:r w:rsidRPr="00D629F5">
        <w:rPr>
          <w:lang w:val="fr-FR"/>
        </w:rPr>
        <w:tab/>
        <w:t>D’autres AME et plateformes scientifiques et politiques tels que la Plateforme intergouvernementale scientifique et politique sur la biodiversité et les services écosystémiques (IPBES)</w:t>
      </w:r>
      <w:r w:rsidRPr="00D629F5">
        <w:rPr>
          <w:rStyle w:val="FootnoteReference"/>
          <w:color w:val="000000"/>
          <w:lang w:val="fr-FR"/>
        </w:rPr>
        <w:footnoteReference w:id="18"/>
      </w:r>
      <w:r w:rsidRPr="00D629F5">
        <w:rPr>
          <w:color w:val="000000"/>
          <w:lang w:val="fr-FR"/>
        </w:rPr>
        <w:t xml:space="preserve"> et le Groupe d’experts intergouvernemental sur l’évolution du climat (GIEC)</w:t>
      </w:r>
      <w:r w:rsidRPr="00D629F5">
        <w:rPr>
          <w:rStyle w:val="FootnoteReference"/>
          <w:color w:val="000000"/>
          <w:lang w:val="fr-FR"/>
        </w:rPr>
        <w:footnoteReference w:id="19"/>
      </w:r>
      <w:r w:rsidRPr="00D629F5">
        <w:rPr>
          <w:color w:val="000000"/>
          <w:lang w:val="fr-FR"/>
        </w:rPr>
        <w:t>,</w:t>
      </w:r>
      <w:r w:rsidRPr="00D629F5">
        <w:rPr>
          <w:rFonts w:eastAsia="Geneva"/>
          <w:lang w:val="fr-FR"/>
        </w:rPr>
        <w:t xml:space="preserve"> ont établi des procédures d’évaluation structurées. L’Appendice 1 fournit une vue d’ensemble des approches adoptées par d’autres Conventions. Les Perspectives pourraient adopter des éléments clés de ces approches, notamment un but d’évaluation clair, une étape de </w:t>
      </w:r>
      <w:r w:rsidRPr="00D629F5">
        <w:rPr>
          <w:rFonts w:eastAsia="Calibri"/>
          <w:lang w:val="fr-FR"/>
        </w:rPr>
        <w:t>délimitation du champ d’évaluation</w:t>
      </w:r>
      <w:r w:rsidRPr="00D629F5">
        <w:rPr>
          <w:rFonts w:eastAsia="Geneva"/>
          <w:lang w:val="fr-FR"/>
        </w:rPr>
        <w:t xml:space="preserve"> détaillée, un important groupe d’experts, un processus d’examen explicite et une stratégie de communication pour faire accepter les résultats.</w:t>
      </w:r>
    </w:p>
    <w:p w14:paraId="5121FB70" w14:textId="77777777" w:rsidR="00FF30E4" w:rsidRPr="00D629F5" w:rsidRDefault="00FF30E4" w:rsidP="00FF30E4">
      <w:pPr>
        <w:spacing w:line="256" w:lineRule="auto"/>
        <w:rPr>
          <w:rFonts w:eastAsia="Geneva"/>
          <w:lang w:val="fr-FR"/>
        </w:rPr>
      </w:pPr>
    </w:p>
    <w:p w14:paraId="1FB7C637" w14:textId="77777777" w:rsidR="00FF30E4" w:rsidRPr="00D629F5" w:rsidRDefault="00FF30E4" w:rsidP="00FF30E4">
      <w:pPr>
        <w:ind w:left="432" w:hanging="432"/>
        <w:rPr>
          <w:lang w:val="fr-FR"/>
        </w:rPr>
      </w:pPr>
      <w:r w:rsidRPr="00D629F5">
        <w:rPr>
          <w:lang w:val="fr-FR"/>
        </w:rPr>
        <w:t>10.</w:t>
      </w:r>
      <w:r w:rsidRPr="00D629F5">
        <w:rPr>
          <w:lang w:val="fr-FR"/>
        </w:rPr>
        <w:tab/>
        <w:t xml:space="preserve">Il est en outre suggéré que les Perspectives suivent un processus d’évaluation comprenant : </w:t>
      </w:r>
    </w:p>
    <w:p w14:paraId="683BED3E" w14:textId="77777777" w:rsidR="00FF30E4" w:rsidRPr="00D629F5" w:rsidRDefault="00FF30E4" w:rsidP="00332D1A">
      <w:pPr>
        <w:pStyle w:val="ListParagraph"/>
        <w:numPr>
          <w:ilvl w:val="0"/>
          <w:numId w:val="12"/>
        </w:numPr>
        <w:ind w:left="810"/>
        <w:rPr>
          <w:rFonts w:eastAsia="Calibri"/>
          <w:lang w:val="fr-FR"/>
        </w:rPr>
      </w:pPr>
      <w:r w:rsidRPr="00D629F5">
        <w:rPr>
          <w:lang w:val="fr-FR"/>
        </w:rPr>
        <w:t xml:space="preserve">Un but d’évaluation clair, y compris d’évaluation de la mise en œuvre de la Convention ; </w:t>
      </w:r>
    </w:p>
    <w:p w14:paraId="5E094561"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Une </w:t>
      </w:r>
      <w:r w:rsidRPr="00D629F5">
        <w:rPr>
          <w:rFonts w:eastAsia="Geneva"/>
          <w:lang w:val="fr-FR"/>
        </w:rPr>
        <w:t xml:space="preserve">étape </w:t>
      </w:r>
      <w:r w:rsidRPr="00D629F5">
        <w:rPr>
          <w:rFonts w:eastAsia="Calibri"/>
          <w:lang w:val="fr-FR"/>
        </w:rPr>
        <w:t xml:space="preserve">de délimitation du champ d’évaluation détaillée, approuvée par les organes décisionnels concernés ; </w:t>
      </w:r>
    </w:p>
    <w:p w14:paraId="24B77C9F"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Une équipe importante d’experts pour entreprendre l’évaluation ; </w:t>
      </w:r>
    </w:p>
    <w:p w14:paraId="2E34A632"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Un processus d’examen explicite et transparent ; </w:t>
      </w:r>
    </w:p>
    <w:p w14:paraId="34D89C1D"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L’élaboration d’un Résumé pour les décideurs (RPD), en consultation avec les Parties contractantes ;</w:t>
      </w:r>
    </w:p>
    <w:p w14:paraId="74E9D71A" w14:textId="77777777" w:rsidR="00FF30E4" w:rsidRPr="00D629F5" w:rsidRDefault="00FF30E4" w:rsidP="00332D1A">
      <w:pPr>
        <w:pStyle w:val="ListParagraph"/>
        <w:numPr>
          <w:ilvl w:val="0"/>
          <w:numId w:val="12"/>
        </w:numPr>
        <w:ind w:left="810"/>
        <w:rPr>
          <w:rFonts w:eastAsia="Geneva"/>
          <w:lang w:val="fr-FR"/>
        </w:rPr>
      </w:pPr>
      <w:r w:rsidRPr="00D629F5">
        <w:rPr>
          <w:rFonts w:eastAsia="Calibri"/>
          <w:lang w:val="fr-FR"/>
        </w:rPr>
        <w:t>Une stratégie de communication pour soutenir l’acceptation et l’application des résultats de l’évaluation.</w:t>
      </w:r>
    </w:p>
    <w:p w14:paraId="49EE0717" w14:textId="77777777" w:rsidR="00FF30E4" w:rsidRPr="00D629F5" w:rsidRDefault="00FF30E4" w:rsidP="00FF30E4">
      <w:pPr>
        <w:rPr>
          <w:lang w:val="fr-FR"/>
        </w:rPr>
      </w:pPr>
    </w:p>
    <w:p w14:paraId="5DB20FAD" w14:textId="3802683A" w:rsidR="00FF30E4" w:rsidRPr="006F153D" w:rsidRDefault="00FF30E4" w:rsidP="006F153D">
      <w:pPr>
        <w:keepNext/>
        <w:rPr>
          <w:b/>
          <w:lang w:val="fr-FR"/>
        </w:rPr>
      </w:pPr>
      <w:r w:rsidRPr="00D629F5">
        <w:rPr>
          <w:b/>
          <w:lang w:val="fr-FR"/>
        </w:rPr>
        <w:t xml:space="preserve">Type de produit et fréquence </w:t>
      </w:r>
    </w:p>
    <w:p w14:paraId="13104A2D" w14:textId="77777777" w:rsidR="00FF30E4" w:rsidRPr="00D629F5" w:rsidRDefault="00FF30E4" w:rsidP="00FF30E4">
      <w:pPr>
        <w:rPr>
          <w:lang w:val="fr-FR"/>
        </w:rPr>
      </w:pPr>
    </w:p>
    <w:p w14:paraId="72FA4A28" w14:textId="77777777" w:rsidR="00FF30E4" w:rsidRPr="00D629F5" w:rsidRDefault="00FF30E4" w:rsidP="00FF30E4">
      <w:pPr>
        <w:ind w:left="432" w:hanging="432"/>
        <w:rPr>
          <w:lang w:val="fr-FR"/>
        </w:rPr>
      </w:pPr>
      <w:r w:rsidRPr="00D629F5">
        <w:rPr>
          <w:lang w:val="fr-FR"/>
        </w:rPr>
        <w:t>11.</w:t>
      </w:r>
      <w:r w:rsidRPr="00D629F5">
        <w:rPr>
          <w:lang w:val="fr-FR"/>
        </w:rPr>
        <w:tab/>
        <w:t>Les Perspectives mondiales des zones humides 2018, première évaluation mondiale à fournir des preuves détaillées sur l’état des zones humides de la planète, ont une portée semblable à celle de l’Évaluation des écosystèmes pour le millénaire : Synthèse sur les zones humides et l’eau publiée en 2005. L’Édition spéciale de 2021 résumait les nouvelles informations sur les tendances des zones humides, tirant des enseignements pour l’utilisation rationnelle et la protection des zones humides. Une deuxième édition spéciale, axée sur les coûts financiers de la perte et de la dégradation des zones humides et l’investissement requis pour leur restauration, est attendue en 2025.</w:t>
      </w:r>
    </w:p>
    <w:p w14:paraId="06FBC803" w14:textId="77777777" w:rsidR="00FF30E4" w:rsidRPr="00D629F5" w:rsidRDefault="00FF30E4" w:rsidP="00FF30E4">
      <w:pPr>
        <w:ind w:left="432" w:hanging="432"/>
        <w:rPr>
          <w:lang w:val="fr-FR"/>
        </w:rPr>
      </w:pPr>
    </w:p>
    <w:p w14:paraId="0434C8BA" w14:textId="77777777" w:rsidR="00FF30E4" w:rsidRPr="00D629F5" w:rsidRDefault="00FF30E4" w:rsidP="00FF30E4">
      <w:pPr>
        <w:ind w:left="432" w:hanging="432"/>
        <w:rPr>
          <w:lang w:val="fr-FR"/>
        </w:rPr>
      </w:pPr>
      <w:r w:rsidRPr="00D629F5">
        <w:rPr>
          <w:lang w:val="fr-FR"/>
        </w:rPr>
        <w:t>12.</w:t>
      </w:r>
      <w:r w:rsidRPr="00D629F5">
        <w:rPr>
          <w:lang w:val="fr-FR"/>
        </w:rPr>
        <w:tab/>
        <w:t xml:space="preserve">Les futures options pour les Perspectives mondiales des zones humides comprennent : </w:t>
      </w:r>
    </w:p>
    <w:p w14:paraId="78052C6F" w14:textId="77777777" w:rsidR="00FF30E4" w:rsidRPr="00D629F5" w:rsidRDefault="00FF30E4" w:rsidP="00332D1A">
      <w:pPr>
        <w:pStyle w:val="ListParagraph"/>
        <w:numPr>
          <w:ilvl w:val="0"/>
          <w:numId w:val="15"/>
        </w:numPr>
        <w:ind w:left="810"/>
        <w:rPr>
          <w:lang w:val="fr-FR"/>
        </w:rPr>
      </w:pPr>
      <w:r w:rsidRPr="00D629F5">
        <w:rPr>
          <w:b/>
          <w:lang w:val="fr-FR"/>
        </w:rPr>
        <w:t>Des évaluations mondiales</w:t>
      </w:r>
      <w:r w:rsidRPr="00D629F5">
        <w:rPr>
          <w:lang w:val="fr-FR"/>
        </w:rPr>
        <w:t xml:space="preserve"> publiées tous les neuf ans qui seraient un examen exhaustif de l’état et des tendances des zones humides, des moteurs de la dégradation et des solutions possibles. Ces évaluations seraient alignées sur trois sessions de la Conférence des Parties contractantes (COP) et le cycle du Plan stratégique ;</w:t>
      </w:r>
    </w:p>
    <w:p w14:paraId="7986863F" w14:textId="77777777" w:rsidR="00FF30E4" w:rsidRPr="00D629F5" w:rsidRDefault="00FF30E4" w:rsidP="00332D1A">
      <w:pPr>
        <w:pStyle w:val="ListParagraph"/>
        <w:numPr>
          <w:ilvl w:val="0"/>
          <w:numId w:val="15"/>
        </w:numPr>
        <w:ind w:left="810"/>
        <w:rPr>
          <w:lang w:val="fr-FR"/>
        </w:rPr>
      </w:pPr>
      <w:r w:rsidRPr="00D629F5">
        <w:rPr>
          <w:b/>
          <w:lang w:val="fr-FR"/>
        </w:rPr>
        <w:t>Des évaluations thématiques ou méthodologiques</w:t>
      </w:r>
      <w:r w:rsidRPr="00D629F5">
        <w:rPr>
          <w:lang w:val="fr-FR"/>
        </w:rPr>
        <w:t xml:space="preserve"> publiées tous les trois ans et portant sur des questions ou méthodologies contemporaines relevant de la conservation, de l’utilisation rationnelle et du suivi des zones humides. Ces thèmes peuvent être discernés dans les évaluations publiées par d’autres Conventions et AME, sur la base d’une tâche prioritaire du plan de travail du GEST.</w:t>
      </w:r>
    </w:p>
    <w:p w14:paraId="38D91CB1" w14:textId="77777777" w:rsidR="00FF30E4" w:rsidRPr="00D629F5" w:rsidRDefault="00FF30E4" w:rsidP="00FF30E4">
      <w:pPr>
        <w:rPr>
          <w:lang w:val="fr-FR"/>
        </w:rPr>
      </w:pPr>
    </w:p>
    <w:p w14:paraId="7C2E8B3D" w14:textId="77777777" w:rsidR="00FF30E4" w:rsidRPr="00D629F5" w:rsidRDefault="00FF30E4" w:rsidP="00FF30E4">
      <w:pPr>
        <w:rPr>
          <w:b/>
          <w:bCs w:val="0"/>
          <w:lang w:val="fr-FR"/>
        </w:rPr>
      </w:pPr>
      <w:r w:rsidRPr="00D629F5">
        <w:rPr>
          <w:b/>
          <w:lang w:val="fr-FR"/>
        </w:rPr>
        <w:t>Processus</w:t>
      </w:r>
    </w:p>
    <w:p w14:paraId="20A0944E" w14:textId="77777777" w:rsidR="00FF30E4" w:rsidRPr="00D629F5" w:rsidRDefault="00FF30E4" w:rsidP="00FF30E4">
      <w:pPr>
        <w:rPr>
          <w:b/>
          <w:bCs w:val="0"/>
          <w:lang w:val="fr-FR"/>
        </w:rPr>
      </w:pPr>
    </w:p>
    <w:p w14:paraId="4B66329A" w14:textId="77777777" w:rsidR="00FF30E4" w:rsidRPr="00D629F5" w:rsidRDefault="00FF30E4" w:rsidP="00FF30E4">
      <w:pPr>
        <w:ind w:left="432" w:hanging="432"/>
        <w:rPr>
          <w:lang w:val="fr-FR"/>
        </w:rPr>
      </w:pPr>
      <w:r w:rsidRPr="00D629F5">
        <w:rPr>
          <w:lang w:val="fr-FR"/>
        </w:rPr>
        <w:t>13.</w:t>
      </w:r>
      <w:r w:rsidRPr="00D629F5">
        <w:rPr>
          <w:lang w:val="fr-FR"/>
        </w:rPr>
        <w:tab/>
        <w:t>La publication des Perspectives mondiales des zones humides est actuellement gérée comme une tâche dans le plan de travail du GEST. En conséquence, seuls les membres du GEST et les observateurs contribuent à la rédaction du rapport, avec le soutien de consultants travaillant sous leur étroite direction. Cette approche offre des avantages – un bon rapport coût-efficacité, le contrôle du processus et le respect des calendriers – mais les Perspectives bénéficieraient d’un processus d’évaluation plus structuré. Pour cela, il faudrait, de manière stratégique, constituer une équipe diverse d’experts et incorporer des éléments de renforcement des capacités et de communication pour améliorer le rapport en profondeur et en pertinence au niveau mondial.</w:t>
      </w:r>
    </w:p>
    <w:p w14:paraId="2AB0159D" w14:textId="77777777" w:rsidR="00FF30E4" w:rsidRPr="00D629F5" w:rsidRDefault="00FF30E4" w:rsidP="00FF30E4">
      <w:pPr>
        <w:rPr>
          <w:lang w:val="fr-FR"/>
        </w:rPr>
      </w:pPr>
    </w:p>
    <w:p w14:paraId="4039EF71" w14:textId="77777777" w:rsidR="00FF30E4" w:rsidRPr="00D629F5" w:rsidRDefault="00FF30E4" w:rsidP="00FF30E4">
      <w:pPr>
        <w:rPr>
          <w:b/>
          <w:bCs w:val="0"/>
          <w:lang w:val="fr-FR"/>
        </w:rPr>
      </w:pPr>
      <w:r w:rsidRPr="00D629F5">
        <w:rPr>
          <w:b/>
          <w:lang w:val="fr-FR"/>
        </w:rPr>
        <w:t>Composition de l’équipe d’évaluation</w:t>
      </w:r>
    </w:p>
    <w:p w14:paraId="09A39FDD" w14:textId="77777777" w:rsidR="00FF30E4" w:rsidRPr="00D629F5" w:rsidRDefault="00FF30E4" w:rsidP="00FF30E4">
      <w:pPr>
        <w:ind w:left="432" w:hanging="432"/>
        <w:rPr>
          <w:lang w:val="fr-FR"/>
        </w:rPr>
      </w:pPr>
    </w:p>
    <w:p w14:paraId="6538A4A5" w14:textId="77777777" w:rsidR="00FF30E4" w:rsidRPr="00D629F5" w:rsidRDefault="00FF30E4" w:rsidP="00FF30E4">
      <w:pPr>
        <w:ind w:left="432" w:hanging="432"/>
        <w:rPr>
          <w:lang w:val="fr-FR"/>
        </w:rPr>
      </w:pPr>
      <w:r w:rsidRPr="00D629F5">
        <w:rPr>
          <w:lang w:val="fr-FR"/>
        </w:rPr>
        <w:t>14.</w:t>
      </w:r>
      <w:r w:rsidRPr="00D629F5">
        <w:rPr>
          <w:lang w:val="fr-FR"/>
        </w:rPr>
        <w:tab/>
        <w:t>Pour les éditions précédentes, les équipes d’évaluation des Perspectives mondiales des zones humides étaient principalement composées de membres du GEST : deux d’entre eux jouaient le rôle d’auteur principal chargé de la coordination. Ces dispositions ont permis la publication opportune des Perspectives et la maîtrise du processus, mais l’évaluation pourrait bénéficier de la présence d’un groupe plus large d’experts. Par exemple, des processus comme l’IPBES ont inclus le renforcement des capacités en intégrant de jeunes chercheurs en début de carrière comme assistants de recherche. Cette approche permettrait d’élargir la profondeur des Perspectives mondiales des zones humides et d’offrir un ensemble de points de vue plus divers.</w:t>
      </w:r>
    </w:p>
    <w:p w14:paraId="49113318" w14:textId="77777777" w:rsidR="00FF30E4" w:rsidRPr="00D629F5" w:rsidRDefault="00FF30E4" w:rsidP="00FF30E4">
      <w:pPr>
        <w:ind w:left="432" w:hanging="432"/>
        <w:rPr>
          <w:lang w:val="fr-FR"/>
        </w:rPr>
      </w:pPr>
    </w:p>
    <w:p w14:paraId="33E201CD" w14:textId="77777777" w:rsidR="00FF30E4" w:rsidRPr="00D629F5" w:rsidRDefault="00FF30E4" w:rsidP="00FF30E4">
      <w:pPr>
        <w:ind w:left="432" w:hanging="432"/>
        <w:rPr>
          <w:lang w:val="fr-FR"/>
        </w:rPr>
      </w:pPr>
      <w:r w:rsidRPr="00D629F5">
        <w:rPr>
          <w:lang w:val="fr-FR"/>
        </w:rPr>
        <w:t>15.</w:t>
      </w:r>
      <w:r w:rsidRPr="00D629F5">
        <w:rPr>
          <w:lang w:val="fr-FR"/>
        </w:rPr>
        <w:tab/>
        <w:t>Il est recommandé que les futures équipes d’évaluation des Perspectives soient composées comme suit</w:t>
      </w:r>
      <w:r w:rsidRPr="00D629F5">
        <w:rPr>
          <w:rStyle w:val="FootnoteReference"/>
          <w:lang w:val="fr-FR"/>
        </w:rPr>
        <w:footnoteReference w:id="20"/>
      </w:r>
      <w:r w:rsidRPr="00D629F5">
        <w:rPr>
          <w:lang w:val="fr-FR"/>
        </w:rPr>
        <w:t> :</w:t>
      </w:r>
    </w:p>
    <w:p w14:paraId="006BE666" w14:textId="77777777" w:rsidR="00FF30E4" w:rsidRPr="00D629F5" w:rsidRDefault="00FF30E4" w:rsidP="00332D1A">
      <w:pPr>
        <w:pStyle w:val="ListParagraph"/>
        <w:numPr>
          <w:ilvl w:val="0"/>
          <w:numId w:val="16"/>
        </w:numPr>
        <w:ind w:left="810"/>
        <w:rPr>
          <w:lang w:val="fr-FR"/>
        </w:rPr>
      </w:pPr>
      <w:r w:rsidRPr="00D629F5">
        <w:rPr>
          <w:lang w:val="fr-FR"/>
        </w:rPr>
        <w:t xml:space="preserve">Des auteurs principaux chargés de la coordination (APC) : Responsables de la publication de l’ensemble de l’évaluation, des calendriers de gestion et de la production du Résumé pour les décideurs.  </w:t>
      </w:r>
    </w:p>
    <w:p w14:paraId="46729120" w14:textId="77777777" w:rsidR="00FF30E4" w:rsidRPr="00D629F5" w:rsidRDefault="00FF30E4" w:rsidP="00332D1A">
      <w:pPr>
        <w:pStyle w:val="ListParagraph"/>
        <w:numPr>
          <w:ilvl w:val="0"/>
          <w:numId w:val="16"/>
        </w:numPr>
        <w:ind w:left="810"/>
        <w:rPr>
          <w:lang w:val="fr-FR"/>
        </w:rPr>
      </w:pPr>
      <w:r w:rsidRPr="00D629F5">
        <w:rPr>
          <w:lang w:val="fr-FR"/>
        </w:rPr>
        <w:t>Des auteurs principaux (AP) : Chargés de réaliser l’évaluation dans le cadre établi, choisis par appel ouvert et comprenant des membres du GEST.</w:t>
      </w:r>
    </w:p>
    <w:p w14:paraId="343649B3" w14:textId="77777777" w:rsidR="00FF30E4" w:rsidRPr="00D629F5" w:rsidRDefault="00FF30E4" w:rsidP="00332D1A">
      <w:pPr>
        <w:pStyle w:val="ListParagraph"/>
        <w:numPr>
          <w:ilvl w:val="0"/>
          <w:numId w:val="16"/>
        </w:numPr>
        <w:ind w:left="810"/>
        <w:rPr>
          <w:lang w:val="fr-FR"/>
        </w:rPr>
      </w:pPr>
      <w:r w:rsidRPr="00D629F5">
        <w:rPr>
          <w:lang w:val="fr-FR"/>
        </w:rPr>
        <w:t>Des auteurs collaborateurs (AC) : Experts invités à participer sur le plan technique ou à fournir des graphiques sur des thèmes spécifiques couverts dans l’évaluation.</w:t>
      </w:r>
    </w:p>
    <w:p w14:paraId="21B62B80" w14:textId="77777777" w:rsidR="00FF30E4" w:rsidRPr="00D629F5" w:rsidRDefault="00FF30E4" w:rsidP="00332D1A">
      <w:pPr>
        <w:pStyle w:val="ListParagraph"/>
        <w:numPr>
          <w:ilvl w:val="0"/>
          <w:numId w:val="16"/>
        </w:numPr>
        <w:ind w:left="810"/>
        <w:rPr>
          <w:lang w:val="fr-FR"/>
        </w:rPr>
      </w:pPr>
      <w:r w:rsidRPr="00D629F5">
        <w:rPr>
          <w:lang w:val="fr-FR"/>
        </w:rPr>
        <w:t>Des rédacteurs-réviseurs (RR) : Garantissant que tous les commentaires sur le fond soient pris en compte et que les questions controversées soient dûment traitées.</w:t>
      </w:r>
    </w:p>
    <w:p w14:paraId="64AF8E50" w14:textId="77777777" w:rsidR="00FF30E4" w:rsidRPr="00D629F5" w:rsidRDefault="00FF30E4" w:rsidP="00332D1A">
      <w:pPr>
        <w:pStyle w:val="ListParagraph"/>
        <w:numPr>
          <w:ilvl w:val="0"/>
          <w:numId w:val="16"/>
        </w:numPr>
        <w:ind w:left="810"/>
        <w:rPr>
          <w:lang w:val="fr-FR"/>
        </w:rPr>
      </w:pPr>
      <w:r w:rsidRPr="00D629F5">
        <w:rPr>
          <w:lang w:val="fr-FR"/>
        </w:rPr>
        <w:t xml:space="preserve">Des assistants : Jeunes chercheurs ou professionnels assistant les auteurs principaux, nommés par appel ouvert afin de promouvoir le renforcement des capacités. </w:t>
      </w:r>
    </w:p>
    <w:p w14:paraId="3DF37179" w14:textId="77777777" w:rsidR="00FF30E4" w:rsidRPr="00D629F5" w:rsidRDefault="00FF30E4" w:rsidP="00FF30E4">
      <w:pPr>
        <w:rPr>
          <w:b/>
          <w:bCs w:val="0"/>
          <w:lang w:val="fr-FR"/>
        </w:rPr>
      </w:pPr>
    </w:p>
    <w:p w14:paraId="3F5503B4" w14:textId="77777777" w:rsidR="00FF30E4" w:rsidRPr="00D629F5" w:rsidRDefault="00FF30E4" w:rsidP="00FF30E4">
      <w:pPr>
        <w:rPr>
          <w:b/>
          <w:bCs w:val="0"/>
          <w:lang w:val="fr-FR"/>
        </w:rPr>
      </w:pPr>
      <w:r w:rsidRPr="00D629F5">
        <w:rPr>
          <w:b/>
          <w:lang w:val="fr-FR"/>
        </w:rPr>
        <w:t>Les étapes de l’évaluation</w:t>
      </w:r>
    </w:p>
    <w:p w14:paraId="3B7BD493" w14:textId="77777777" w:rsidR="00FF30E4" w:rsidRPr="00D629F5" w:rsidRDefault="00FF30E4" w:rsidP="00FF30E4">
      <w:pPr>
        <w:rPr>
          <w:lang w:val="fr-FR"/>
        </w:rPr>
      </w:pPr>
    </w:p>
    <w:p w14:paraId="1896F07C" w14:textId="77777777" w:rsidR="00FF30E4" w:rsidRPr="00D629F5" w:rsidRDefault="00FF30E4" w:rsidP="00FF30E4">
      <w:pPr>
        <w:ind w:left="432" w:hanging="432"/>
        <w:rPr>
          <w:lang w:val="fr-FR"/>
        </w:rPr>
      </w:pPr>
      <w:r w:rsidRPr="00D629F5">
        <w:rPr>
          <w:lang w:val="fr-FR"/>
        </w:rPr>
        <w:t>16.</w:t>
      </w:r>
      <w:r w:rsidRPr="00D629F5">
        <w:rPr>
          <w:lang w:val="fr-FR"/>
        </w:rPr>
        <w:tab/>
        <w:t xml:space="preserve">Actuellement, l’évaluation des Perspectives mondiales des zones humides est lancée sur la base d’une description des tâches approuvée dans le cadre du plan de travail du GEST. À la première réunion, le GEST élabore une table des matières détaillée qui va guider la progression du rapport. En vue d’améliorer ce processus, il est recommandé de procéder par étapes à l’instar d’autres évaluations mondiales, et de s’assurer que ces étapes soient structurées et que les mécanismes de suivi soient adéquats. </w:t>
      </w:r>
    </w:p>
    <w:p w14:paraId="719479CB" w14:textId="77777777" w:rsidR="00FF30E4" w:rsidRPr="00D629F5" w:rsidRDefault="00FF30E4" w:rsidP="00FF30E4">
      <w:pPr>
        <w:rPr>
          <w:lang w:val="fr-FR"/>
        </w:rPr>
      </w:pPr>
    </w:p>
    <w:p w14:paraId="68115C27" w14:textId="77777777" w:rsidR="00FF30E4" w:rsidRPr="00D629F5" w:rsidRDefault="00FF30E4" w:rsidP="00FF30E4">
      <w:pPr>
        <w:ind w:left="432" w:hanging="432"/>
        <w:rPr>
          <w:lang w:val="fr-FR"/>
        </w:rPr>
      </w:pPr>
      <w:r w:rsidRPr="00D629F5">
        <w:rPr>
          <w:rFonts w:eastAsia="Geneva"/>
          <w:lang w:val="fr-FR"/>
        </w:rPr>
        <w:t>17.</w:t>
      </w:r>
      <w:r w:rsidRPr="00D629F5">
        <w:rPr>
          <w:rFonts w:eastAsia="Geneva"/>
          <w:lang w:val="fr-FR"/>
        </w:rPr>
        <w:tab/>
        <w:t>L’approche par étapes proposée comprend :</w:t>
      </w:r>
    </w:p>
    <w:p w14:paraId="7D09244C" w14:textId="77777777" w:rsidR="00FF30E4" w:rsidRPr="00D629F5" w:rsidRDefault="00FF30E4" w:rsidP="00FF30E4">
      <w:pPr>
        <w:pStyle w:val="ListParagraph"/>
        <w:rPr>
          <w:lang w:val="fr-FR"/>
        </w:rPr>
      </w:pPr>
    </w:p>
    <w:p w14:paraId="62C27989" w14:textId="77777777" w:rsidR="00FF30E4" w:rsidRPr="00D629F5" w:rsidRDefault="00FF30E4" w:rsidP="00FF30E4">
      <w:pPr>
        <w:ind w:left="432"/>
        <w:rPr>
          <w:lang w:val="fr-FR"/>
        </w:rPr>
      </w:pPr>
      <w:r w:rsidRPr="00D629F5">
        <w:rPr>
          <w:b/>
          <w:lang w:val="fr-FR"/>
        </w:rPr>
        <w:t>Étape 1 </w:t>
      </w:r>
      <w:r w:rsidRPr="00D629F5">
        <w:rPr>
          <w:lang w:val="fr-FR"/>
        </w:rPr>
        <w:t xml:space="preserve">: Délimitation de la portée de l’évaluation – Un document délimitant la portée des Perspectives sera produit à chaque cycle de publication afin de guider le processus d’évaluation. Ce document devrait décrire :  </w:t>
      </w:r>
    </w:p>
    <w:p w14:paraId="59BD5569" w14:textId="77777777" w:rsidR="00FF30E4" w:rsidRPr="00D629F5" w:rsidRDefault="00FF30E4" w:rsidP="00332D1A">
      <w:pPr>
        <w:pStyle w:val="ListParagraph"/>
        <w:numPr>
          <w:ilvl w:val="0"/>
          <w:numId w:val="17"/>
        </w:numPr>
        <w:ind w:left="990" w:hanging="540"/>
        <w:rPr>
          <w:lang w:val="fr-FR"/>
        </w:rPr>
      </w:pPr>
      <w:r w:rsidRPr="00D629F5">
        <w:rPr>
          <w:lang w:val="fr-FR"/>
        </w:rPr>
        <w:t>les questions pertinentes pour les politiques ;</w:t>
      </w:r>
    </w:p>
    <w:p w14:paraId="4F82726A" w14:textId="77777777" w:rsidR="00FF30E4" w:rsidRPr="00D629F5" w:rsidRDefault="00FF30E4" w:rsidP="00332D1A">
      <w:pPr>
        <w:pStyle w:val="ListParagraph"/>
        <w:numPr>
          <w:ilvl w:val="0"/>
          <w:numId w:val="17"/>
        </w:numPr>
        <w:ind w:left="990" w:hanging="540"/>
        <w:rPr>
          <w:lang w:val="fr-FR"/>
        </w:rPr>
      </w:pPr>
      <w:r w:rsidRPr="00D629F5">
        <w:rPr>
          <w:lang w:val="fr-FR"/>
        </w:rPr>
        <w:t>les limites géographiques de l’évaluation, si possible ;</w:t>
      </w:r>
    </w:p>
    <w:p w14:paraId="5A6C1B1B" w14:textId="77777777" w:rsidR="00FF30E4" w:rsidRPr="00D629F5" w:rsidRDefault="00FF30E4" w:rsidP="00332D1A">
      <w:pPr>
        <w:pStyle w:val="ListParagraph"/>
        <w:numPr>
          <w:ilvl w:val="0"/>
          <w:numId w:val="17"/>
        </w:numPr>
        <w:ind w:left="990" w:hanging="540"/>
        <w:rPr>
          <w:lang w:val="fr-FR"/>
        </w:rPr>
      </w:pPr>
      <w:r w:rsidRPr="00D629F5">
        <w:rPr>
          <w:lang w:val="fr-FR"/>
        </w:rPr>
        <w:t>les raisons sous-tendant l’évaluation, y compris son effet potentiel ;</w:t>
      </w:r>
    </w:p>
    <w:p w14:paraId="0058C968" w14:textId="77777777" w:rsidR="00FF30E4" w:rsidRPr="00D629F5" w:rsidRDefault="00FF30E4" w:rsidP="00332D1A">
      <w:pPr>
        <w:pStyle w:val="ListParagraph"/>
        <w:numPr>
          <w:ilvl w:val="0"/>
          <w:numId w:val="17"/>
        </w:numPr>
        <w:ind w:left="990" w:hanging="540"/>
        <w:rPr>
          <w:lang w:val="fr-FR"/>
        </w:rPr>
      </w:pPr>
      <w:r w:rsidRPr="00D629F5">
        <w:rPr>
          <w:lang w:val="fr-FR"/>
        </w:rPr>
        <w:t>l’utilité de l’évaluation, avec notamment les utilisateurs finaux ciblés ;</w:t>
      </w:r>
    </w:p>
    <w:p w14:paraId="69335227" w14:textId="77777777" w:rsidR="00FF30E4" w:rsidRPr="00D629F5" w:rsidRDefault="00FF30E4" w:rsidP="00332D1A">
      <w:pPr>
        <w:pStyle w:val="ListParagraph"/>
        <w:numPr>
          <w:ilvl w:val="0"/>
          <w:numId w:val="17"/>
        </w:numPr>
        <w:ind w:left="990" w:hanging="540"/>
        <w:rPr>
          <w:lang w:val="fr-FR"/>
        </w:rPr>
      </w:pPr>
      <w:r w:rsidRPr="00D629F5">
        <w:rPr>
          <w:lang w:val="fr-FR"/>
        </w:rPr>
        <w:t>le cadre méthodologique et l’approche d’évaluation ;</w:t>
      </w:r>
    </w:p>
    <w:p w14:paraId="70E384EC" w14:textId="77777777" w:rsidR="00FF30E4" w:rsidRPr="00D629F5" w:rsidRDefault="00FF30E4" w:rsidP="00332D1A">
      <w:pPr>
        <w:pStyle w:val="ListParagraph"/>
        <w:numPr>
          <w:ilvl w:val="0"/>
          <w:numId w:val="17"/>
        </w:numPr>
        <w:ind w:left="990" w:hanging="540"/>
        <w:rPr>
          <w:lang w:val="fr-FR"/>
        </w:rPr>
      </w:pPr>
      <w:r w:rsidRPr="00D629F5">
        <w:rPr>
          <w:lang w:val="fr-FR"/>
        </w:rPr>
        <w:t xml:space="preserve">l’ébauche des chapitres, avec une brève explication sur chaque chapitre ; </w:t>
      </w:r>
    </w:p>
    <w:p w14:paraId="636F4965" w14:textId="77777777" w:rsidR="00FF30E4" w:rsidRPr="00D629F5" w:rsidRDefault="00FF30E4" w:rsidP="00332D1A">
      <w:pPr>
        <w:pStyle w:val="ListParagraph"/>
        <w:numPr>
          <w:ilvl w:val="0"/>
          <w:numId w:val="17"/>
        </w:numPr>
        <w:ind w:left="990" w:hanging="540"/>
        <w:rPr>
          <w:lang w:val="fr-FR"/>
        </w:rPr>
      </w:pPr>
      <w:r w:rsidRPr="00D629F5">
        <w:rPr>
          <w:lang w:val="fr-FR"/>
        </w:rPr>
        <w:t>les principaux ensembles de données à utiliser ;</w:t>
      </w:r>
    </w:p>
    <w:p w14:paraId="3F5F84AE" w14:textId="77777777" w:rsidR="00FF30E4" w:rsidRPr="00D629F5" w:rsidRDefault="00FF30E4" w:rsidP="00332D1A">
      <w:pPr>
        <w:pStyle w:val="ListParagraph"/>
        <w:numPr>
          <w:ilvl w:val="0"/>
          <w:numId w:val="17"/>
        </w:numPr>
        <w:ind w:left="990" w:hanging="540"/>
        <w:rPr>
          <w:lang w:val="fr-FR"/>
        </w:rPr>
      </w:pPr>
      <w:r w:rsidRPr="00D629F5">
        <w:rPr>
          <w:lang w:val="fr-FR"/>
        </w:rPr>
        <w:t>les partenariats essentiels à la réalisation de l’évaluation ;</w:t>
      </w:r>
    </w:p>
    <w:p w14:paraId="4E71CAA5" w14:textId="77777777" w:rsidR="00FF30E4" w:rsidRPr="00D629F5" w:rsidRDefault="00FF30E4" w:rsidP="00332D1A">
      <w:pPr>
        <w:pStyle w:val="ListParagraph"/>
        <w:numPr>
          <w:ilvl w:val="0"/>
          <w:numId w:val="17"/>
        </w:numPr>
        <w:ind w:left="990" w:hanging="540"/>
        <w:rPr>
          <w:lang w:val="fr-FR"/>
        </w:rPr>
      </w:pPr>
      <w:r w:rsidRPr="00D629F5">
        <w:rPr>
          <w:lang w:val="fr-FR"/>
        </w:rPr>
        <w:t>les processus et calendriers ;</w:t>
      </w:r>
    </w:p>
    <w:p w14:paraId="7E78080F" w14:textId="77777777" w:rsidR="00FF30E4" w:rsidRPr="00D629F5" w:rsidRDefault="00FF30E4" w:rsidP="00332D1A">
      <w:pPr>
        <w:pStyle w:val="ListParagraph"/>
        <w:numPr>
          <w:ilvl w:val="0"/>
          <w:numId w:val="17"/>
        </w:numPr>
        <w:ind w:left="990" w:hanging="540"/>
        <w:rPr>
          <w:lang w:val="fr-FR"/>
        </w:rPr>
      </w:pPr>
      <w:r w:rsidRPr="00D629F5">
        <w:rPr>
          <w:lang w:val="fr-FR"/>
        </w:rPr>
        <w:t>les stratégies de communication ;</w:t>
      </w:r>
    </w:p>
    <w:p w14:paraId="5DDA2BC5" w14:textId="77777777" w:rsidR="00FF30E4" w:rsidRPr="00D629F5" w:rsidRDefault="00FF30E4" w:rsidP="00332D1A">
      <w:pPr>
        <w:pStyle w:val="ListParagraph"/>
        <w:numPr>
          <w:ilvl w:val="0"/>
          <w:numId w:val="17"/>
        </w:numPr>
        <w:ind w:left="990" w:hanging="540"/>
        <w:rPr>
          <w:lang w:val="fr-FR"/>
        </w:rPr>
      </w:pPr>
      <w:r w:rsidRPr="00D629F5">
        <w:rPr>
          <w:lang w:val="fr-FR"/>
        </w:rPr>
        <w:t xml:space="preserve">le développement des capacités, en précisant les compétences et l’expertise nécessaires pour réaliser l’évaluation ; et </w:t>
      </w:r>
    </w:p>
    <w:p w14:paraId="15CE1C61" w14:textId="77777777" w:rsidR="00FF30E4" w:rsidRPr="00D629F5" w:rsidRDefault="00FF30E4" w:rsidP="00332D1A">
      <w:pPr>
        <w:pStyle w:val="ListParagraph"/>
        <w:numPr>
          <w:ilvl w:val="0"/>
          <w:numId w:val="17"/>
        </w:numPr>
        <w:ind w:left="990" w:hanging="540"/>
        <w:rPr>
          <w:lang w:val="fr-FR"/>
        </w:rPr>
      </w:pPr>
      <w:r w:rsidRPr="00D629F5">
        <w:rPr>
          <w:lang w:val="fr-FR"/>
        </w:rPr>
        <w:t>les besoins budgétaires.</w:t>
      </w:r>
    </w:p>
    <w:p w14:paraId="1F2379BA" w14:textId="77777777" w:rsidR="00FF30E4" w:rsidRPr="00D629F5" w:rsidRDefault="00FF30E4" w:rsidP="00FF30E4">
      <w:pPr>
        <w:ind w:left="432"/>
        <w:rPr>
          <w:lang w:val="fr-FR"/>
        </w:rPr>
      </w:pPr>
    </w:p>
    <w:p w14:paraId="2F0188CC" w14:textId="77777777" w:rsidR="00FF30E4" w:rsidRPr="00D629F5" w:rsidRDefault="00FF30E4" w:rsidP="00FF30E4">
      <w:pPr>
        <w:ind w:left="432"/>
        <w:rPr>
          <w:lang w:val="fr-FR"/>
        </w:rPr>
      </w:pPr>
      <w:r w:rsidRPr="00D629F5">
        <w:rPr>
          <w:lang w:val="fr-FR"/>
        </w:rPr>
        <w:t xml:space="preserve">Il est recommandé que le GEST élabore le document délimitant la portée des Perspectives dans le cadre de son plan de travail de la prochaine période triennale et que ce document soit soumis au Comité permanent pour approbation. </w:t>
      </w:r>
    </w:p>
    <w:p w14:paraId="68E9C4BC" w14:textId="77777777" w:rsidR="00FF30E4" w:rsidRPr="00D629F5" w:rsidRDefault="00FF30E4" w:rsidP="00FF30E4">
      <w:pPr>
        <w:pStyle w:val="ListParagraph"/>
        <w:ind w:left="1440"/>
        <w:rPr>
          <w:lang w:val="fr-FR"/>
        </w:rPr>
      </w:pPr>
      <w:r w:rsidRPr="00D629F5">
        <w:rPr>
          <w:lang w:val="fr-FR"/>
        </w:rPr>
        <w:t xml:space="preserve"> </w:t>
      </w:r>
    </w:p>
    <w:p w14:paraId="6B2D5D33" w14:textId="77777777" w:rsidR="00FF30E4" w:rsidRPr="00D629F5" w:rsidRDefault="00FF30E4" w:rsidP="00FF30E4">
      <w:pPr>
        <w:ind w:left="432"/>
        <w:rPr>
          <w:lang w:val="fr-FR"/>
        </w:rPr>
      </w:pPr>
      <w:r w:rsidRPr="00D629F5">
        <w:rPr>
          <w:b/>
          <w:lang w:val="fr-FR"/>
        </w:rPr>
        <w:t>Étape 2 </w:t>
      </w:r>
      <w:r w:rsidRPr="00D629F5">
        <w:rPr>
          <w:lang w:val="fr-FR"/>
        </w:rPr>
        <w:t xml:space="preserve">: Évaluation – L’équipe chargée de l’évaluation – à savoir les APC, les AP et les assistants – évalue l’état des connaissances. Il est recommandé que le Président et le Vice-président, en consultation avec le Secrétariat, nomment les APC. Les AP peuvent être nommés dans le cadre d’un appel ouvert du Secrétariat et comprendre aussi bien des membres du GEST que des experts externes, spécialistes de la question (par invitation spécifique). Dans la formation de l’équipe d’évaluation, il importe de veiller à la diversité entre les genres, les régions et les disciplines. De même, les assistants qui aideront les AP à conduire l’évaluation et contribueront au renforcement des capacités, doivent être sélectionnés dans le cadre d’un appel ouvert. </w:t>
      </w:r>
    </w:p>
    <w:p w14:paraId="465D65DD" w14:textId="77777777" w:rsidR="00FF30E4" w:rsidRPr="00D629F5" w:rsidRDefault="00FF30E4" w:rsidP="00FF30E4">
      <w:pPr>
        <w:rPr>
          <w:lang w:val="fr-FR"/>
        </w:rPr>
      </w:pPr>
    </w:p>
    <w:p w14:paraId="08199E57" w14:textId="16324658" w:rsidR="00FF30E4" w:rsidRPr="00D629F5" w:rsidRDefault="00FF30E4" w:rsidP="00FF30E4">
      <w:pPr>
        <w:ind w:left="432"/>
        <w:rPr>
          <w:lang w:val="fr-FR"/>
        </w:rPr>
      </w:pPr>
      <w:r w:rsidRPr="00D629F5">
        <w:rPr>
          <w:lang w:val="fr-FR"/>
        </w:rPr>
        <w:t xml:space="preserve">Un des aspects clés de l’évaluation sera de communiquer efficacement la confiance que les experts ont dans les résultats. Les pratiques établies telles que celles qui sont utilisées par l’IPBES et le GIEC pour transmettre la confiance en termes qualitatifs (voir </w:t>
      </w:r>
      <w:r w:rsidR="007E320E" w:rsidRPr="007E320E">
        <w:rPr>
          <w:lang w:val="fr-FR"/>
        </w:rPr>
        <w:t>Appendice 2</w:t>
      </w:r>
      <w:r w:rsidR="007E320E">
        <w:rPr>
          <w:lang w:val="fr-FR"/>
        </w:rPr>
        <w:t xml:space="preserve"> </w:t>
      </w:r>
      <w:r w:rsidRPr="00A600AB">
        <w:rPr>
          <w:lang w:val="fr-FR"/>
        </w:rPr>
        <w:t>pour</w:t>
      </w:r>
      <w:r w:rsidRPr="00D629F5">
        <w:rPr>
          <w:lang w:val="fr-FR"/>
        </w:rPr>
        <w:t xml:space="preserve"> un exemple illustratif de l’IPBES) pourraient être adoptées, en particulier pour les résumés de chapitres et le Résumé pour les décideurs (RPD). Il est également judicieux de maintenir la traçabilité des résultats de l’évaluation et des déclarations de confiance en fournissant des références vers les sections et preuves pertinentes à l’intérieur de l’évaluation. L’élaboration de l’évaluation doit comprendre la préparation d’un RPD contenant une synthèse de haut niveau, en langage non technique, pour les décideurs.</w:t>
      </w:r>
    </w:p>
    <w:p w14:paraId="59DC14EB" w14:textId="77777777" w:rsidR="00FF30E4" w:rsidRPr="00D629F5" w:rsidRDefault="00FF30E4" w:rsidP="00FF30E4">
      <w:pPr>
        <w:ind w:left="432"/>
        <w:rPr>
          <w:lang w:val="fr-FR"/>
        </w:rPr>
      </w:pPr>
    </w:p>
    <w:p w14:paraId="6B1B66BE" w14:textId="77777777" w:rsidR="00FF30E4" w:rsidRPr="00D629F5" w:rsidRDefault="00FF30E4" w:rsidP="00FF30E4">
      <w:pPr>
        <w:ind w:left="432"/>
        <w:rPr>
          <w:lang w:val="fr-FR"/>
        </w:rPr>
      </w:pPr>
      <w:r w:rsidRPr="00D629F5">
        <w:rPr>
          <w:lang w:val="fr-FR"/>
        </w:rPr>
        <w:t>Étapes suggérées pour la finalisation de l’évaluation :</w:t>
      </w:r>
    </w:p>
    <w:p w14:paraId="15416C08" w14:textId="77777777" w:rsidR="00FF30E4" w:rsidRPr="00D629F5" w:rsidRDefault="00FF30E4" w:rsidP="00332D1A">
      <w:pPr>
        <w:pStyle w:val="ListParagraph"/>
        <w:numPr>
          <w:ilvl w:val="0"/>
          <w:numId w:val="18"/>
        </w:numPr>
        <w:ind w:left="990" w:hanging="540"/>
        <w:rPr>
          <w:lang w:val="fr-FR"/>
        </w:rPr>
      </w:pPr>
      <w:r w:rsidRPr="00D629F5">
        <w:rPr>
          <w:b/>
          <w:lang w:val="fr-FR"/>
        </w:rPr>
        <w:t>Avant-projet </w:t>
      </w:r>
      <w:r w:rsidRPr="00D629F5">
        <w:rPr>
          <w:lang w:val="fr-FR"/>
        </w:rPr>
        <w:t>: L’avant-projet comprendra une ébauche annotée, fondée sur le document délimitant la portée de l’évaluation. À cette étape, les auteurs collaborateurs (AC) seront identifiés et l’on déterminera les ensembles de données clés, les analyses et les exemples nécessaires à l’évaluation. Le calendrier de l’évaluation sera arrêté avec l’AP. Ce projet devrait être développé durant les six premiers mois de la période triennale.</w:t>
      </w:r>
    </w:p>
    <w:p w14:paraId="09DA1CB1" w14:textId="77777777" w:rsidR="00FF30E4" w:rsidRPr="00D629F5" w:rsidRDefault="00FF30E4" w:rsidP="00332D1A">
      <w:pPr>
        <w:pStyle w:val="ListParagraph"/>
        <w:numPr>
          <w:ilvl w:val="0"/>
          <w:numId w:val="18"/>
        </w:numPr>
        <w:ind w:left="990" w:hanging="540"/>
        <w:rPr>
          <w:lang w:val="fr-FR"/>
        </w:rPr>
      </w:pPr>
      <w:r w:rsidRPr="00D629F5">
        <w:rPr>
          <w:b/>
          <w:lang w:val="fr-FR"/>
        </w:rPr>
        <w:t>Premier projet </w:t>
      </w:r>
      <w:r w:rsidRPr="00D629F5">
        <w:rPr>
          <w:lang w:val="fr-FR"/>
        </w:rPr>
        <w:t>:  Le premier projet verra environ 70 % de l’évaluation réalisée, simultanément avec les premiers projets de résumés analytiques des chapitres. Les graphiques nécessaires seront aussi définis à cette étape. Les rédacteurs-réviseurs (RR) proposeront une liste d’experts chargés de réviser ce projet. Le premier projet devrait être terminé à la fin de la première année de la période triennale.</w:t>
      </w:r>
    </w:p>
    <w:p w14:paraId="0F8B651B" w14:textId="77777777" w:rsidR="00FF30E4" w:rsidRPr="00D629F5" w:rsidRDefault="00FF30E4" w:rsidP="00332D1A">
      <w:pPr>
        <w:pStyle w:val="ListParagraph"/>
        <w:numPr>
          <w:ilvl w:val="0"/>
          <w:numId w:val="18"/>
        </w:numPr>
        <w:ind w:left="990" w:hanging="540"/>
        <w:rPr>
          <w:lang w:val="fr-FR"/>
        </w:rPr>
      </w:pPr>
      <w:r w:rsidRPr="00D629F5">
        <w:rPr>
          <w:b/>
          <w:lang w:val="fr-FR"/>
        </w:rPr>
        <w:t>Deuxième projet </w:t>
      </w:r>
      <w:r w:rsidRPr="00D629F5">
        <w:rPr>
          <w:lang w:val="fr-FR"/>
        </w:rPr>
        <w:t>: Le deuxième projet comprendra la totalité du texte et des graphiques et intégrera les commentaires de l’examen du premier projet. Le projet de Résumé pour les décideurs (RPD) sera également développé à cette étape. Le deuxième projet devrait être communiqué pour examen externe par les gouvernements et les observateurs et devrait être terminé à la fin de la deuxième année de la période triennale.</w:t>
      </w:r>
    </w:p>
    <w:p w14:paraId="71B27620" w14:textId="77777777" w:rsidR="00FF30E4" w:rsidRPr="00D629F5" w:rsidRDefault="00FF30E4" w:rsidP="00332D1A">
      <w:pPr>
        <w:pStyle w:val="ListParagraph"/>
        <w:numPr>
          <w:ilvl w:val="0"/>
          <w:numId w:val="18"/>
        </w:numPr>
        <w:ind w:left="990" w:hanging="540"/>
        <w:rPr>
          <w:lang w:val="fr-FR"/>
        </w:rPr>
      </w:pPr>
      <w:r w:rsidRPr="00D629F5">
        <w:rPr>
          <w:b/>
          <w:lang w:val="fr-FR"/>
        </w:rPr>
        <w:t>Troisième projet </w:t>
      </w:r>
      <w:r w:rsidRPr="00D629F5">
        <w:rPr>
          <w:lang w:val="fr-FR"/>
        </w:rPr>
        <w:t xml:space="preserve">: Le troisième projet contiendra la totalité du texte et des graphiques et tiendra compte des commentaires des gouvernements et observateurs sur le deuxième projet et sur le Résumé pour les décideurs (RPD). Le RPD finalisé devrait être présenté à la réunion suivante du Comité permanent, et une décision devrait être prise concernant la présentation d’une résolution fondée sur les résultats de l’évaluation à la session suivante de la Conférence des Parties contractantes (COP). Le troisième projet devrait être finalisé six mois après la finalisation du deuxième projet. </w:t>
      </w:r>
    </w:p>
    <w:p w14:paraId="666AA81A" w14:textId="77777777" w:rsidR="00FF30E4" w:rsidRPr="00D629F5" w:rsidRDefault="00FF30E4" w:rsidP="00FF30E4">
      <w:pPr>
        <w:ind w:left="432"/>
        <w:rPr>
          <w:rFonts w:eastAsiaTheme="minorHAnsi"/>
          <w:kern w:val="2"/>
          <w:lang w:val="fr-FR"/>
          <w14:ligatures w14:val="standardContextual"/>
        </w:rPr>
      </w:pPr>
    </w:p>
    <w:p w14:paraId="24BFDEAA" w14:textId="77777777" w:rsidR="00FF30E4" w:rsidRPr="00D629F5" w:rsidRDefault="00FF30E4" w:rsidP="00FF30E4">
      <w:pPr>
        <w:ind w:left="432"/>
        <w:rPr>
          <w:lang w:val="fr-FR"/>
        </w:rPr>
      </w:pPr>
      <w:r w:rsidRPr="00D629F5">
        <w:rPr>
          <w:b/>
          <w:lang w:val="fr-FR"/>
        </w:rPr>
        <w:t xml:space="preserve">Étape </w:t>
      </w:r>
      <w:r w:rsidRPr="00D629F5">
        <w:rPr>
          <w:rFonts w:eastAsiaTheme="minorHAnsi"/>
          <w:b/>
          <w:kern w:val="2"/>
          <w:lang w:val="fr-FR"/>
          <w14:ligatures w14:val="standardContextual"/>
        </w:rPr>
        <w:t>3 </w:t>
      </w:r>
      <w:r w:rsidRPr="00D629F5">
        <w:rPr>
          <w:rFonts w:eastAsiaTheme="minorHAnsi"/>
          <w:kern w:val="2"/>
          <w:lang w:val="fr-FR"/>
          <w14:ligatures w14:val="standardContextual"/>
        </w:rPr>
        <w:t xml:space="preserve">: Révision et correction – Parallèlement à l’évaluation, il est recommandé de soumettre les Perspectives mondiales des zones humides à une révision et une correction indépendantes. Le premier et le deuxième projets devraient être examinés au niveau interne par le GEST et les organisations observatrices. Le deuxième projet et le Résumé pour les décideurs devraient être envoyés aux Parties contractantes pour examen et commentaires, avec un mécanisme clair permettant d’intégrer les commentaires. Le </w:t>
      </w:r>
      <w:r w:rsidRPr="00D629F5">
        <w:rPr>
          <w:lang w:val="fr-FR"/>
        </w:rPr>
        <w:t>rédacteur-réviseur</w:t>
      </w:r>
      <w:r w:rsidRPr="00D629F5">
        <w:rPr>
          <w:rFonts w:eastAsiaTheme="minorHAnsi"/>
          <w:kern w:val="2"/>
          <w:lang w:val="fr-FR"/>
          <w14:ligatures w14:val="standardContextual"/>
        </w:rPr>
        <w:t xml:space="preserve"> (RR) veillera à ce que tous les commentaires soient dûment pris en compte tout au long du processus.</w:t>
      </w:r>
    </w:p>
    <w:p w14:paraId="6FCDE4D7" w14:textId="77777777" w:rsidR="00FF30E4" w:rsidRPr="00D629F5" w:rsidRDefault="00FF30E4" w:rsidP="00FF30E4">
      <w:pPr>
        <w:pStyle w:val="ListParagraph"/>
        <w:ind w:left="1440"/>
        <w:rPr>
          <w:lang w:val="fr-FR"/>
        </w:rPr>
      </w:pPr>
    </w:p>
    <w:p w14:paraId="48D0F814" w14:textId="77777777" w:rsidR="00FF30E4" w:rsidRPr="00D629F5" w:rsidRDefault="00FF30E4" w:rsidP="00FF30E4">
      <w:pPr>
        <w:ind w:left="432"/>
        <w:rPr>
          <w:lang w:val="fr-FR"/>
        </w:rPr>
      </w:pPr>
      <w:r w:rsidRPr="00D629F5">
        <w:rPr>
          <w:b/>
          <w:lang w:val="fr-FR"/>
        </w:rPr>
        <w:t>Étape 4 </w:t>
      </w:r>
      <w:r w:rsidRPr="00D629F5">
        <w:rPr>
          <w:lang w:val="fr-FR"/>
        </w:rPr>
        <w:t xml:space="preserve">: Communication – À cette étape, une stratégie de communication élaborée en consultation avec le Groupe de surveillance des activités de communication, renforcement des capacités, éducation, participation et sensibilisation (CESP) permettra de diffuser les </w:t>
      </w:r>
      <w:r w:rsidRPr="00D629F5">
        <w:rPr>
          <w:rFonts w:eastAsiaTheme="minorHAnsi"/>
          <w:kern w:val="2"/>
          <w:lang w:val="fr-FR"/>
          <w14:ligatures w14:val="standardContextual"/>
        </w:rPr>
        <w:t xml:space="preserve">Perspectives mondiales des zones humides </w:t>
      </w:r>
      <w:r w:rsidRPr="00D629F5">
        <w:rPr>
          <w:lang w:val="fr-FR"/>
        </w:rPr>
        <w:t xml:space="preserve">et le Résumé pour les décideurs. L’impact des </w:t>
      </w:r>
      <w:r w:rsidRPr="00D629F5">
        <w:rPr>
          <w:rFonts w:eastAsiaTheme="minorHAnsi"/>
          <w:kern w:val="2"/>
          <w:lang w:val="fr-FR"/>
          <w14:ligatures w14:val="standardContextual"/>
        </w:rPr>
        <w:t xml:space="preserve">Perspectives </w:t>
      </w:r>
      <w:r w:rsidRPr="00D629F5">
        <w:rPr>
          <w:lang w:val="fr-FR"/>
        </w:rPr>
        <w:t xml:space="preserve">peut être amplifié par les mécanismes suivants : </w:t>
      </w:r>
    </w:p>
    <w:p w14:paraId="13C9E75E"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collaboration avec d’autres Conventions, AME, Organisations internationales partenaires (OIP) et Centres régionaux de promotion de l’utilisation des résultats des </w:t>
      </w:r>
      <w:r w:rsidRPr="00D629F5">
        <w:rPr>
          <w:rFonts w:eastAsiaTheme="minorHAnsi"/>
          <w:kern w:val="2"/>
          <w:lang w:val="fr-FR"/>
          <w14:ligatures w14:val="standardContextual"/>
        </w:rPr>
        <w:t>Perspectives </w:t>
      </w:r>
      <w:r w:rsidRPr="00D629F5">
        <w:rPr>
          <w:rFonts w:eastAsia="Calibri"/>
          <w:lang w:val="fr-FR"/>
        </w:rPr>
        <w:t>;</w:t>
      </w:r>
    </w:p>
    <w:p w14:paraId="43BDBB4B"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partage des lacunes identifiées dans les connaissances et les données avec la communauté scientifique et les agences de financement de la recherche pour encourager la poursuite des travaux de recherche et de suivi ;</w:t>
      </w:r>
    </w:p>
    <w:p w14:paraId="60C70449"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partenariat avec des universités et des instituts de recherche pour intégrer les conclusions des </w:t>
      </w:r>
      <w:r w:rsidRPr="00D629F5">
        <w:rPr>
          <w:rFonts w:eastAsiaTheme="minorHAnsi"/>
          <w:kern w:val="2"/>
          <w:lang w:val="fr-FR"/>
          <w14:ligatures w14:val="standardContextual"/>
        </w:rPr>
        <w:t xml:space="preserve">Perspectives </w:t>
      </w:r>
      <w:r w:rsidRPr="00D629F5">
        <w:rPr>
          <w:rFonts w:eastAsia="Calibri"/>
          <w:lang w:val="fr-FR"/>
        </w:rPr>
        <w:t>dans le programme d’enseignement et inciter les étudiants à participer à la recherche sur les zones humides ;</w:t>
      </w:r>
    </w:p>
    <w:p w14:paraId="4DFC4EC4"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collaboration avec les Parties contractantes dans le cadre des activités de CESP et de renforcement des capacités pour promouvoir les évaluations régionales et nationales des zones humides sur la base des résultats des </w:t>
      </w:r>
      <w:r w:rsidRPr="00D629F5">
        <w:rPr>
          <w:rFonts w:eastAsiaTheme="minorHAnsi"/>
          <w:kern w:val="2"/>
          <w:lang w:val="fr-FR"/>
          <w14:ligatures w14:val="standardContextual"/>
        </w:rPr>
        <w:t>Perspectives </w:t>
      </w:r>
      <w:r w:rsidRPr="00D629F5">
        <w:rPr>
          <w:rFonts w:eastAsia="Calibri"/>
          <w:lang w:val="fr-FR"/>
        </w:rPr>
        <w:t>;</w:t>
      </w:r>
    </w:p>
    <w:p w14:paraId="6366A4C5"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production de publications scientifiques sur des aspects clés des </w:t>
      </w:r>
      <w:r w:rsidRPr="00D629F5">
        <w:rPr>
          <w:rFonts w:eastAsiaTheme="minorHAnsi"/>
          <w:kern w:val="2"/>
          <w:lang w:val="fr-FR"/>
          <w14:ligatures w14:val="standardContextual"/>
        </w:rPr>
        <w:t>Perspectives</w:t>
      </w:r>
      <w:r w:rsidRPr="00D629F5">
        <w:rPr>
          <w:rFonts w:eastAsia="Calibri"/>
          <w:lang w:val="fr-FR"/>
        </w:rPr>
        <w:t xml:space="preserve">, sous l’autorité d’experts participant à l’évaluation, et mise à disposition de ces publications sur le site Web de la Convention ; </w:t>
      </w:r>
    </w:p>
    <w:p w14:paraId="73CC0529"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mise en valeur des projets et initiatives réussis en matière de conservation des zones humides sous forme d’études de cas, pour démontrer l’application pratique des recommandations des </w:t>
      </w:r>
      <w:r w:rsidRPr="00D629F5">
        <w:rPr>
          <w:rFonts w:eastAsiaTheme="minorHAnsi"/>
          <w:kern w:val="2"/>
          <w:lang w:val="fr-FR"/>
          <w14:ligatures w14:val="standardContextual"/>
        </w:rPr>
        <w:t>Perspectives </w:t>
      </w:r>
      <w:r w:rsidRPr="00D629F5">
        <w:rPr>
          <w:rFonts w:eastAsia="Calibri"/>
          <w:lang w:val="fr-FR"/>
        </w:rPr>
        <w:t xml:space="preserve">; </w:t>
      </w:r>
    </w:p>
    <w:p w14:paraId="74EEEFCD"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organisation de webinaires et d’ateliers interactifs pour diffuser les résultats des </w:t>
      </w:r>
      <w:r w:rsidRPr="00D629F5">
        <w:rPr>
          <w:rFonts w:eastAsiaTheme="minorHAnsi"/>
          <w:kern w:val="2"/>
          <w:lang w:val="fr-FR"/>
          <w14:ligatures w14:val="standardContextual"/>
        </w:rPr>
        <w:t xml:space="preserve">Perspectives </w:t>
      </w:r>
      <w:r w:rsidRPr="00D629F5">
        <w:rPr>
          <w:rFonts w:eastAsia="Calibri"/>
          <w:lang w:val="fr-FR"/>
        </w:rPr>
        <w:t>et encourager le dialogue entre les décideurs, les scientifiques et les praticiens ;</w:t>
      </w:r>
    </w:p>
    <w:p w14:paraId="0D7279B2"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sensibilisation aux résultats des </w:t>
      </w:r>
      <w:r w:rsidRPr="00D629F5">
        <w:rPr>
          <w:rFonts w:eastAsiaTheme="minorHAnsi"/>
          <w:kern w:val="2"/>
          <w:lang w:val="fr-FR"/>
          <w14:ligatures w14:val="standardContextual"/>
        </w:rPr>
        <w:t>Perspectives</w:t>
      </w:r>
      <w:r w:rsidRPr="00D629F5">
        <w:rPr>
          <w:rFonts w:eastAsia="Calibri"/>
          <w:lang w:val="fr-FR"/>
        </w:rPr>
        <w:t xml:space="preserve"> sur la base de campagnes sur les réseaux sociaux pour s’adresser à un public plus large et promouvoir la conservation des zones humides ; et </w:t>
      </w:r>
    </w:p>
    <w:p w14:paraId="7BB35CA1" w14:textId="77777777" w:rsidR="00FF30E4" w:rsidRPr="00D629F5" w:rsidRDefault="00FF30E4" w:rsidP="00332D1A">
      <w:pPr>
        <w:pStyle w:val="ListParagraph"/>
        <w:numPr>
          <w:ilvl w:val="0"/>
          <w:numId w:val="12"/>
        </w:numPr>
        <w:ind w:left="810"/>
        <w:rPr>
          <w:rFonts w:eastAsia="Calibri"/>
          <w:lang w:val="fr-FR"/>
        </w:rPr>
      </w:pPr>
      <w:r w:rsidRPr="00D629F5">
        <w:rPr>
          <w:rFonts w:eastAsia="Calibri"/>
          <w:lang w:val="fr-FR"/>
        </w:rPr>
        <w:t xml:space="preserve">publication du rapport et des résumés des </w:t>
      </w:r>
      <w:r w:rsidRPr="00D629F5">
        <w:rPr>
          <w:rFonts w:eastAsiaTheme="minorHAnsi"/>
          <w:kern w:val="2"/>
          <w:lang w:val="fr-FR"/>
          <w14:ligatures w14:val="standardContextual"/>
        </w:rPr>
        <w:t xml:space="preserve">Perspectives </w:t>
      </w:r>
      <w:r w:rsidRPr="00D629F5">
        <w:rPr>
          <w:rFonts w:eastAsia="Calibri"/>
          <w:lang w:val="fr-FR"/>
        </w:rPr>
        <w:t>en plusieurs langues pour augmenter leur accessibilité et leur influence.</w:t>
      </w:r>
    </w:p>
    <w:p w14:paraId="2AF58AD2" w14:textId="77777777" w:rsidR="00FF30E4" w:rsidRPr="00D629F5" w:rsidRDefault="00FF30E4" w:rsidP="00FF30E4">
      <w:pPr>
        <w:rPr>
          <w:lang w:val="fr-FR"/>
        </w:rPr>
      </w:pPr>
    </w:p>
    <w:p w14:paraId="28DB575B" w14:textId="77777777" w:rsidR="00FF30E4" w:rsidRPr="00D629F5" w:rsidRDefault="00FF30E4" w:rsidP="00FF30E4">
      <w:pPr>
        <w:rPr>
          <w:b/>
          <w:bCs w:val="0"/>
          <w:lang w:val="fr-FR"/>
        </w:rPr>
      </w:pPr>
      <w:r w:rsidRPr="00D629F5">
        <w:rPr>
          <w:b/>
          <w:lang w:val="fr-FR"/>
        </w:rPr>
        <w:t xml:space="preserve">Résumé pour les décideurs </w:t>
      </w:r>
    </w:p>
    <w:p w14:paraId="01B31953" w14:textId="77777777" w:rsidR="00FF30E4" w:rsidRPr="00D629F5" w:rsidRDefault="00FF30E4" w:rsidP="00FF30E4">
      <w:pPr>
        <w:rPr>
          <w:lang w:val="fr-FR"/>
        </w:rPr>
      </w:pPr>
    </w:p>
    <w:p w14:paraId="4EDF41C5" w14:textId="77777777" w:rsidR="00FF30E4" w:rsidRPr="00D629F5" w:rsidRDefault="00FF30E4" w:rsidP="00FF30E4">
      <w:pPr>
        <w:ind w:left="432" w:hanging="432"/>
        <w:rPr>
          <w:lang w:val="fr-FR"/>
        </w:rPr>
      </w:pPr>
      <w:r w:rsidRPr="00D629F5">
        <w:rPr>
          <w:lang w:val="fr-FR"/>
        </w:rPr>
        <w:t>18.</w:t>
      </w:r>
      <w:r w:rsidRPr="00D629F5">
        <w:rPr>
          <w:lang w:val="fr-FR"/>
        </w:rPr>
        <w:tab/>
        <w:t xml:space="preserve">Chaque édition des </w:t>
      </w:r>
      <w:r w:rsidRPr="00D629F5">
        <w:rPr>
          <w:rFonts w:eastAsiaTheme="minorHAnsi"/>
          <w:kern w:val="2"/>
          <w:lang w:val="fr-FR"/>
          <w14:ligatures w14:val="standardContextual"/>
        </w:rPr>
        <w:t xml:space="preserve">Perspectives </w:t>
      </w:r>
      <w:r w:rsidRPr="00D629F5">
        <w:rPr>
          <w:lang w:val="fr-FR"/>
        </w:rPr>
        <w:t xml:space="preserve">devrait comprendre un Résumé pour les décideurs (RPD) afin de distiller les principales réflexions et recommandations du rapport en messages clairs et applicables. Les auteurs principaux chargés de la coordination rédigeront le RPD qui sera ensuite présenté au Comité permanent pour approbation. Si nécessaire, une résolution fondée sur les résultats des </w:t>
      </w:r>
      <w:r w:rsidRPr="00D629F5">
        <w:rPr>
          <w:rFonts w:eastAsiaTheme="minorHAnsi"/>
          <w:kern w:val="2"/>
          <w:lang w:val="fr-FR"/>
          <w14:ligatures w14:val="standardContextual"/>
        </w:rPr>
        <w:t xml:space="preserve">Perspectives </w:t>
      </w:r>
      <w:r w:rsidRPr="00D629F5">
        <w:rPr>
          <w:lang w:val="fr-FR"/>
        </w:rPr>
        <w:t>pourrait être présentée à la Conférence des Parties contractantes.</w:t>
      </w:r>
    </w:p>
    <w:p w14:paraId="65EAFA62" w14:textId="77777777" w:rsidR="00FF30E4" w:rsidRPr="00D629F5" w:rsidRDefault="00FF30E4" w:rsidP="00FF30E4">
      <w:pPr>
        <w:ind w:left="432" w:hanging="432"/>
        <w:rPr>
          <w:lang w:val="fr-FR"/>
        </w:rPr>
      </w:pPr>
    </w:p>
    <w:p w14:paraId="02946DF4" w14:textId="77777777" w:rsidR="00FF30E4" w:rsidRPr="00D629F5" w:rsidRDefault="00FF30E4" w:rsidP="00FF30E4">
      <w:pPr>
        <w:rPr>
          <w:lang w:val="fr-FR"/>
        </w:rPr>
      </w:pPr>
      <w:r w:rsidRPr="00D629F5">
        <w:rPr>
          <w:b/>
          <w:lang w:val="fr-FR"/>
        </w:rPr>
        <w:t xml:space="preserve">Thèmes proposés pour les futures </w:t>
      </w:r>
      <w:r w:rsidRPr="00D629F5">
        <w:rPr>
          <w:rFonts w:eastAsiaTheme="minorHAnsi"/>
          <w:b/>
          <w:bCs w:val="0"/>
          <w:kern w:val="2"/>
          <w:lang w:val="fr-FR"/>
          <w14:ligatures w14:val="standardContextual"/>
        </w:rPr>
        <w:t>Perspectives mondiales des zones humides</w:t>
      </w:r>
    </w:p>
    <w:p w14:paraId="134ACFC8" w14:textId="77777777" w:rsidR="00FF30E4" w:rsidRPr="00D629F5" w:rsidRDefault="00FF30E4" w:rsidP="00FF30E4">
      <w:pPr>
        <w:rPr>
          <w:lang w:val="fr-FR"/>
        </w:rPr>
      </w:pPr>
    </w:p>
    <w:p w14:paraId="3811F098" w14:textId="77777777" w:rsidR="00FF30E4" w:rsidRPr="00D629F5" w:rsidRDefault="00FF30E4" w:rsidP="00FF30E4">
      <w:pPr>
        <w:ind w:left="432" w:hanging="432"/>
        <w:rPr>
          <w:lang w:val="fr-FR"/>
        </w:rPr>
      </w:pPr>
      <w:r w:rsidRPr="00D629F5">
        <w:rPr>
          <w:lang w:val="fr-FR"/>
        </w:rPr>
        <w:t>20.</w:t>
      </w:r>
      <w:r w:rsidRPr="00D629F5">
        <w:rPr>
          <w:lang w:val="fr-FR"/>
        </w:rPr>
        <w:tab/>
        <w:t xml:space="preserve">Il est recommandé que la prochaine édition des </w:t>
      </w:r>
      <w:r w:rsidRPr="00D629F5">
        <w:rPr>
          <w:rFonts w:eastAsiaTheme="minorHAnsi"/>
          <w:kern w:val="2"/>
          <w:lang w:val="fr-FR"/>
          <w14:ligatures w14:val="standardContextual"/>
        </w:rPr>
        <w:t>Perspectives mondiales des zones humides</w:t>
      </w:r>
      <w:r w:rsidRPr="00D629F5">
        <w:rPr>
          <w:lang w:val="fr-FR"/>
        </w:rPr>
        <w:t xml:space="preserve"> soit une évaluation mondiale semblable à celle de 2018. Il serait bon qu’elle examine de manière exhaustive l’état et les tendances des zones humides, les moteurs directs et indirects de la dégradation et les possibilités de réponses en s’appuyant sur des évaluations régionales. Par souci de cohérence méthodologique, le cadre utilisé pour l’évaluation de 2018 peut l’être, également, comme base de cette évaluation (y compris des mises à jour pertinentes telles que des révisions à l’Indice des tendances des zones humides et à l’Indice de l’état des caractéristiques écologiques). En outre, l’évaluation devrait comprendre une évaluation du quatrième Plan stratégique 2016-2024 et établir des références pour les cibles qui seront fixées dans le futur cinquième Plan stratégique</w:t>
      </w:r>
      <w:r w:rsidRPr="00D629F5">
        <w:rPr>
          <w:rStyle w:val="FootnoteReference"/>
          <w:lang w:val="fr-FR"/>
        </w:rPr>
        <w:footnoteReference w:id="21"/>
      </w:r>
      <w:r w:rsidRPr="00D629F5">
        <w:rPr>
          <w:lang w:val="fr-FR"/>
        </w:rPr>
        <w:t xml:space="preserve">. </w:t>
      </w:r>
    </w:p>
    <w:p w14:paraId="2347C5E5" w14:textId="77777777" w:rsidR="00FF30E4" w:rsidRPr="00D629F5" w:rsidRDefault="00FF30E4" w:rsidP="00FF30E4">
      <w:pPr>
        <w:ind w:left="720"/>
        <w:rPr>
          <w:lang w:val="fr-FR"/>
        </w:rPr>
      </w:pPr>
    </w:p>
    <w:p w14:paraId="137FB165" w14:textId="77777777" w:rsidR="00FF30E4" w:rsidRPr="00D629F5" w:rsidRDefault="00FF30E4" w:rsidP="00FF30E4">
      <w:pPr>
        <w:ind w:left="432" w:hanging="432"/>
        <w:rPr>
          <w:lang w:val="fr-FR"/>
        </w:rPr>
      </w:pPr>
      <w:r w:rsidRPr="00D629F5">
        <w:rPr>
          <w:lang w:val="fr-FR"/>
        </w:rPr>
        <w:t>21.</w:t>
      </w:r>
      <w:r w:rsidRPr="00D629F5">
        <w:rPr>
          <w:lang w:val="fr-FR"/>
        </w:rPr>
        <w:tab/>
        <w:t xml:space="preserve">Les évaluations futures des </w:t>
      </w:r>
      <w:r w:rsidRPr="00D629F5">
        <w:rPr>
          <w:rFonts w:eastAsiaTheme="minorHAnsi"/>
          <w:kern w:val="2"/>
          <w:lang w:val="fr-FR"/>
          <w14:ligatures w14:val="standardContextual"/>
        </w:rPr>
        <w:t xml:space="preserve">Perspectives </w:t>
      </w:r>
      <w:r w:rsidRPr="00D629F5">
        <w:rPr>
          <w:lang w:val="fr-FR"/>
        </w:rPr>
        <w:t>devraient se concentrer sur des examens mondiaux exhaustifs, semblables à ceux de l’édition de 2018, qui évalueront l’état et les tendances des zones humides ainsi que les moteurs de la dégradation et les choix de réponse. Cela pourrait comprendre :</w:t>
      </w:r>
    </w:p>
    <w:p w14:paraId="24C522F2" w14:textId="77777777" w:rsidR="00FF30E4" w:rsidRPr="00D629F5" w:rsidRDefault="00FF30E4" w:rsidP="00332D1A">
      <w:pPr>
        <w:pStyle w:val="ListParagraph"/>
        <w:numPr>
          <w:ilvl w:val="0"/>
          <w:numId w:val="19"/>
        </w:numPr>
        <w:ind w:left="810"/>
        <w:rPr>
          <w:lang w:val="fr-FR"/>
        </w:rPr>
      </w:pPr>
      <w:r w:rsidRPr="00D629F5">
        <w:rPr>
          <w:lang w:val="fr-FR"/>
        </w:rPr>
        <w:t>Les zones humides en tant que solutions fondées sur la nature.</w:t>
      </w:r>
    </w:p>
    <w:p w14:paraId="39DA5AAE" w14:textId="77777777" w:rsidR="00FF30E4" w:rsidRPr="00D629F5" w:rsidRDefault="00FF30E4" w:rsidP="00332D1A">
      <w:pPr>
        <w:pStyle w:val="ListParagraph"/>
        <w:numPr>
          <w:ilvl w:val="0"/>
          <w:numId w:val="19"/>
        </w:numPr>
        <w:ind w:left="810"/>
        <w:rPr>
          <w:lang w:val="fr-FR"/>
        </w:rPr>
      </w:pPr>
      <w:r w:rsidRPr="00D629F5">
        <w:rPr>
          <w:lang w:val="fr-FR"/>
        </w:rPr>
        <w:t>Un changement transformateur pour l’utilisation rationnelle des zones humides.</w:t>
      </w:r>
    </w:p>
    <w:p w14:paraId="08D5AAF8" w14:textId="77777777" w:rsidR="00FF30E4" w:rsidRPr="00D629F5" w:rsidRDefault="00FF30E4" w:rsidP="00332D1A">
      <w:pPr>
        <w:pStyle w:val="ListParagraph"/>
        <w:numPr>
          <w:ilvl w:val="0"/>
          <w:numId w:val="19"/>
        </w:numPr>
        <w:ind w:left="810"/>
        <w:rPr>
          <w:lang w:val="fr-FR"/>
        </w:rPr>
      </w:pPr>
      <w:r w:rsidRPr="00D629F5">
        <w:rPr>
          <w:lang w:val="fr-FR"/>
        </w:rPr>
        <w:t>Les zones humides et la culture.</w:t>
      </w:r>
    </w:p>
    <w:p w14:paraId="080C92D6" w14:textId="5CEC35C7" w:rsidR="00FF30E4" w:rsidRPr="00D629F5" w:rsidRDefault="00FF30E4" w:rsidP="00332D1A">
      <w:pPr>
        <w:pStyle w:val="ListParagraph"/>
        <w:numPr>
          <w:ilvl w:val="0"/>
          <w:numId w:val="19"/>
        </w:numPr>
        <w:ind w:left="810"/>
        <w:rPr>
          <w:lang w:val="fr-FR"/>
        </w:rPr>
      </w:pPr>
      <w:r w:rsidRPr="00D629F5">
        <w:rPr>
          <w:lang w:val="fr-FR"/>
        </w:rPr>
        <w:t>L</w:t>
      </w:r>
      <w:r w:rsidR="009035DB" w:rsidRPr="00D629F5">
        <w:rPr>
          <w:lang w:val="fr-FR"/>
        </w:rPr>
        <w:t>a résilience des zones humides aux</w:t>
      </w:r>
      <w:r w:rsidRPr="00D629F5">
        <w:rPr>
          <w:lang w:val="fr-FR"/>
        </w:rPr>
        <w:t xml:space="preserve"> changements climatiques.</w:t>
      </w:r>
    </w:p>
    <w:p w14:paraId="6569CBB2" w14:textId="77777777" w:rsidR="00FF30E4" w:rsidRPr="00D629F5" w:rsidRDefault="00FF30E4" w:rsidP="00332D1A">
      <w:pPr>
        <w:pStyle w:val="ListParagraph"/>
        <w:numPr>
          <w:ilvl w:val="0"/>
          <w:numId w:val="19"/>
        </w:numPr>
        <w:ind w:left="810"/>
        <w:rPr>
          <w:lang w:val="fr-FR"/>
        </w:rPr>
      </w:pPr>
      <w:r w:rsidRPr="00D629F5">
        <w:rPr>
          <w:lang w:val="fr-FR"/>
        </w:rPr>
        <w:t xml:space="preserve">Les espèces envahissantes et leurs effets sur les zones humides. </w:t>
      </w:r>
    </w:p>
    <w:p w14:paraId="26B84F19" w14:textId="77777777" w:rsidR="00FF30E4" w:rsidRPr="00D629F5" w:rsidRDefault="00FF30E4" w:rsidP="00332D1A">
      <w:pPr>
        <w:pStyle w:val="ListParagraph"/>
        <w:numPr>
          <w:ilvl w:val="0"/>
          <w:numId w:val="19"/>
        </w:numPr>
        <w:ind w:left="810"/>
        <w:rPr>
          <w:lang w:val="fr-FR"/>
        </w:rPr>
      </w:pPr>
      <w:r w:rsidRPr="00D629F5">
        <w:rPr>
          <w:lang w:val="fr-FR"/>
        </w:rPr>
        <w:t xml:space="preserve">Les zones humides et les maladies (dans le cadre Une Seule Santé). </w:t>
      </w:r>
    </w:p>
    <w:p w14:paraId="07BF26FC" w14:textId="77777777" w:rsidR="00FF30E4" w:rsidRPr="00D629F5" w:rsidRDefault="00FF30E4" w:rsidP="00FF30E4">
      <w:pPr>
        <w:rPr>
          <w:lang w:val="fr-FR"/>
        </w:rPr>
      </w:pPr>
    </w:p>
    <w:p w14:paraId="4B474E2A" w14:textId="77777777" w:rsidR="00FF30E4" w:rsidRPr="00D629F5" w:rsidRDefault="00FF30E4" w:rsidP="00FF30E4">
      <w:pPr>
        <w:rPr>
          <w:lang w:val="fr-FR"/>
        </w:rPr>
      </w:pPr>
      <w:r w:rsidRPr="00D629F5">
        <w:rPr>
          <w:b/>
          <w:lang w:val="fr-FR"/>
        </w:rPr>
        <w:t>Collaboration avec d’autres AME</w:t>
      </w:r>
      <w:r w:rsidRPr="00D629F5">
        <w:rPr>
          <w:lang w:val="fr-FR"/>
        </w:rPr>
        <w:t> </w:t>
      </w:r>
    </w:p>
    <w:p w14:paraId="098E7914" w14:textId="77777777" w:rsidR="00FF30E4" w:rsidRPr="00D629F5" w:rsidRDefault="00FF30E4" w:rsidP="00FF30E4">
      <w:pPr>
        <w:rPr>
          <w:lang w:val="fr-FR"/>
        </w:rPr>
      </w:pPr>
    </w:p>
    <w:p w14:paraId="39C7A33F" w14:textId="77777777" w:rsidR="00FF30E4" w:rsidRPr="00D629F5" w:rsidRDefault="00FF30E4" w:rsidP="00FF30E4">
      <w:pPr>
        <w:ind w:left="432" w:hanging="432"/>
        <w:rPr>
          <w:lang w:val="fr-FR"/>
        </w:rPr>
      </w:pPr>
      <w:r w:rsidRPr="00D629F5">
        <w:rPr>
          <w:lang w:val="fr-FR"/>
        </w:rPr>
        <w:t>22.</w:t>
      </w:r>
      <w:r w:rsidRPr="00D629F5">
        <w:rPr>
          <w:lang w:val="fr-FR"/>
        </w:rPr>
        <w:tab/>
        <w:t xml:space="preserve">Il est recommandé que le Secrétariat de la Convention sur les zones humides collabore avec d’autres AME et plateformes internationales pour produire des évaluations semblables aux </w:t>
      </w:r>
      <w:r w:rsidRPr="00D629F5">
        <w:rPr>
          <w:rFonts w:eastAsiaTheme="minorHAnsi"/>
          <w:kern w:val="2"/>
          <w:lang w:val="fr-FR"/>
          <w14:ligatures w14:val="standardContextual"/>
        </w:rPr>
        <w:t>Perspectives</w:t>
      </w:r>
      <w:r w:rsidRPr="00D629F5">
        <w:rPr>
          <w:lang w:val="fr-FR"/>
        </w:rPr>
        <w:t xml:space="preserve">. Cette collaboration pourrait viser à améliorer l’efficacité en matière de collecte des données et des connaissances, à partager les compétences, y compris les processus relatifs à l’appui technique, et à partager les meilleures pratiques pour la production et la communication d’évaluations. </w:t>
      </w:r>
    </w:p>
    <w:p w14:paraId="3ACE7D75" w14:textId="77777777" w:rsidR="00FF30E4" w:rsidRPr="00D629F5" w:rsidRDefault="00FF30E4" w:rsidP="00FF30E4">
      <w:pPr>
        <w:rPr>
          <w:b/>
          <w:bCs w:val="0"/>
          <w:lang w:val="fr-FR"/>
        </w:rPr>
      </w:pPr>
    </w:p>
    <w:p w14:paraId="1EAFB59E" w14:textId="77777777" w:rsidR="00FF30E4" w:rsidRPr="00D629F5" w:rsidRDefault="00FF30E4" w:rsidP="006F153D">
      <w:pPr>
        <w:keepNext/>
        <w:rPr>
          <w:lang w:val="fr-FR"/>
        </w:rPr>
      </w:pPr>
      <w:r w:rsidRPr="00D629F5">
        <w:rPr>
          <w:b/>
          <w:lang w:val="fr-FR"/>
        </w:rPr>
        <w:t>Plan de travail du GEST 2026-2028</w:t>
      </w:r>
    </w:p>
    <w:p w14:paraId="55D72625" w14:textId="77777777" w:rsidR="00FF30E4" w:rsidRPr="00D629F5" w:rsidRDefault="00FF30E4" w:rsidP="00FF30E4">
      <w:pPr>
        <w:rPr>
          <w:lang w:val="fr-FR"/>
        </w:rPr>
      </w:pPr>
    </w:p>
    <w:p w14:paraId="39DF38AD" w14:textId="77777777" w:rsidR="00FF30E4" w:rsidRPr="00D629F5" w:rsidRDefault="00FF30E4" w:rsidP="00FF30E4">
      <w:pPr>
        <w:ind w:left="432" w:hanging="432"/>
        <w:rPr>
          <w:lang w:val="fr-FR"/>
        </w:rPr>
      </w:pPr>
      <w:r w:rsidRPr="00D629F5">
        <w:rPr>
          <w:lang w:val="fr-FR"/>
        </w:rPr>
        <w:t>23.</w:t>
      </w:r>
      <w:r w:rsidRPr="00D629F5">
        <w:rPr>
          <w:lang w:val="fr-FR"/>
        </w:rPr>
        <w:tab/>
        <w:t>Les futures priorités proposées pour le GEST ont été décrites dans le projet de résolution soumis au Comité permanent. Elles comprennent la publication des Perspectives mondiales des zones humides (2028), une évaluation mondiale assortie de sa portée et de son calendrier.</w:t>
      </w:r>
    </w:p>
    <w:p w14:paraId="438E1984" w14:textId="77777777" w:rsidR="00FF30E4" w:rsidRPr="00D629F5" w:rsidRDefault="00FF30E4" w:rsidP="00FF30E4">
      <w:pPr>
        <w:rPr>
          <w:lang w:val="fr-FR"/>
        </w:rPr>
      </w:pPr>
    </w:p>
    <w:p w14:paraId="3D75C089" w14:textId="77777777" w:rsidR="00FF30E4" w:rsidRPr="00D629F5" w:rsidRDefault="00FF30E4" w:rsidP="00FF30E4">
      <w:pPr>
        <w:rPr>
          <w:lang w:val="fr-FR"/>
        </w:rPr>
      </w:pPr>
      <w:r w:rsidRPr="00D629F5">
        <w:rPr>
          <w:b/>
          <w:lang w:val="fr-FR"/>
        </w:rPr>
        <w:t>Collecte des données et appui technique</w:t>
      </w:r>
    </w:p>
    <w:p w14:paraId="69680A9A" w14:textId="77777777" w:rsidR="00FF30E4" w:rsidRPr="00D629F5" w:rsidRDefault="00FF30E4" w:rsidP="00FF30E4">
      <w:pPr>
        <w:rPr>
          <w:lang w:val="fr-FR"/>
        </w:rPr>
      </w:pPr>
    </w:p>
    <w:p w14:paraId="576BB70C" w14:textId="77777777" w:rsidR="00FF30E4" w:rsidRPr="00D629F5" w:rsidRDefault="00FF30E4" w:rsidP="00FF30E4">
      <w:pPr>
        <w:ind w:left="432" w:hanging="432"/>
        <w:rPr>
          <w:lang w:val="fr-FR"/>
        </w:rPr>
      </w:pPr>
      <w:r w:rsidRPr="00D629F5">
        <w:rPr>
          <w:lang w:val="fr-FR"/>
        </w:rPr>
        <w:t>24.</w:t>
      </w:r>
      <w:r w:rsidRPr="00D629F5">
        <w:rPr>
          <w:lang w:val="fr-FR"/>
        </w:rPr>
        <w:tab/>
        <w:t xml:space="preserve">Les </w:t>
      </w:r>
      <w:r w:rsidRPr="00D629F5">
        <w:rPr>
          <w:rFonts w:eastAsiaTheme="minorHAnsi"/>
          <w:kern w:val="2"/>
          <w:lang w:val="fr-FR"/>
          <w14:ligatures w14:val="standardContextual"/>
        </w:rPr>
        <w:t xml:space="preserve">Perspectives mondiales des zones humides </w:t>
      </w:r>
      <w:r w:rsidRPr="00D629F5">
        <w:rPr>
          <w:lang w:val="fr-FR"/>
        </w:rPr>
        <w:t xml:space="preserve">devraient être produites en appliquant un système exhaustif de collecte, de rassemblement et de synthèse des données propre à garantir la fiabilité de l’évaluation. Il serait bon que le Secrétariat organise un Service d’appui technique (SAT) dédié pour apporter un soutien technique à la production des </w:t>
      </w:r>
      <w:r w:rsidRPr="00D629F5">
        <w:rPr>
          <w:rFonts w:eastAsiaTheme="minorHAnsi"/>
          <w:kern w:val="2"/>
          <w:lang w:val="fr-FR"/>
          <w14:ligatures w14:val="standardContextual"/>
        </w:rPr>
        <w:t>Perspectives</w:t>
      </w:r>
      <w:r w:rsidRPr="00D629F5">
        <w:rPr>
          <w:lang w:val="fr-FR"/>
        </w:rPr>
        <w:t>. Ce service d’appui technique aurait pour tâche de :</w:t>
      </w:r>
    </w:p>
    <w:p w14:paraId="5A5A1FEC" w14:textId="77777777" w:rsidR="00FF30E4" w:rsidRPr="00D629F5" w:rsidRDefault="00FF30E4" w:rsidP="00332D1A">
      <w:pPr>
        <w:pStyle w:val="ListParagraph"/>
        <w:numPr>
          <w:ilvl w:val="0"/>
          <w:numId w:val="20"/>
        </w:numPr>
        <w:ind w:left="810"/>
        <w:rPr>
          <w:lang w:val="fr-FR"/>
        </w:rPr>
      </w:pPr>
      <w:r w:rsidRPr="00D629F5">
        <w:rPr>
          <w:lang w:val="fr-FR"/>
        </w:rPr>
        <w:t>Faciliter les travaux : Le SAT apporterait un soutien logistique, par exemple, en organisant les ateliers et les consultations.</w:t>
      </w:r>
    </w:p>
    <w:p w14:paraId="4E879566" w14:textId="77777777" w:rsidR="00FF30E4" w:rsidRPr="00D629F5" w:rsidRDefault="00FF30E4" w:rsidP="00332D1A">
      <w:pPr>
        <w:pStyle w:val="ListParagraph"/>
        <w:numPr>
          <w:ilvl w:val="0"/>
          <w:numId w:val="20"/>
        </w:numPr>
        <w:ind w:left="810"/>
        <w:rPr>
          <w:lang w:val="fr-FR"/>
        </w:rPr>
      </w:pPr>
      <w:r w:rsidRPr="00D629F5">
        <w:rPr>
          <w:lang w:val="fr-FR"/>
        </w:rPr>
        <w:t>Fournir une contribution scientifique : le SAT apporterait une contribution scientifique aux travaux d’évaluation, selon les besoins.</w:t>
      </w:r>
    </w:p>
    <w:p w14:paraId="427B3CC7" w14:textId="77777777" w:rsidR="00FF30E4" w:rsidRPr="00D629F5" w:rsidRDefault="00FF30E4" w:rsidP="00332D1A">
      <w:pPr>
        <w:pStyle w:val="ListParagraph"/>
        <w:numPr>
          <w:ilvl w:val="0"/>
          <w:numId w:val="20"/>
        </w:numPr>
        <w:ind w:left="810"/>
        <w:rPr>
          <w:lang w:val="fr-FR"/>
        </w:rPr>
      </w:pPr>
      <w:r w:rsidRPr="00D629F5">
        <w:rPr>
          <w:lang w:val="fr-FR"/>
        </w:rPr>
        <w:t>Garantir la transparence : le SAT veillerait à ce que les travaux soient mis en œuvre de manière transparente et inclusive, dans le respect des règles et procédures établies par le Comité permanent.</w:t>
      </w:r>
    </w:p>
    <w:p w14:paraId="0CD76627" w14:textId="77777777" w:rsidR="00FF30E4" w:rsidRPr="00D629F5" w:rsidRDefault="00FF30E4" w:rsidP="00332D1A">
      <w:pPr>
        <w:pStyle w:val="ListParagraph"/>
        <w:numPr>
          <w:ilvl w:val="0"/>
          <w:numId w:val="20"/>
        </w:numPr>
        <w:ind w:left="810"/>
        <w:rPr>
          <w:lang w:val="fr-FR"/>
        </w:rPr>
      </w:pPr>
      <w:r w:rsidRPr="00D629F5">
        <w:rPr>
          <w:lang w:val="fr-FR"/>
        </w:rPr>
        <w:t>Fournir un retour d’informations : le SAT établirait des mécanismes de retour d’informations pour compiler les idées et recommandations des parties prenantes concernant l’efficacité du processus de collecte de données et les résultats de l’évaluation.</w:t>
      </w:r>
    </w:p>
    <w:p w14:paraId="3E76A110" w14:textId="77777777" w:rsidR="00FF30E4" w:rsidRPr="00D629F5" w:rsidRDefault="00FF30E4" w:rsidP="00FF30E4">
      <w:pPr>
        <w:rPr>
          <w:lang w:val="fr-FR"/>
        </w:rPr>
      </w:pPr>
    </w:p>
    <w:p w14:paraId="680DB3CF" w14:textId="77777777" w:rsidR="00FF30E4" w:rsidRPr="00D629F5" w:rsidRDefault="00FF30E4" w:rsidP="00FF30E4">
      <w:pPr>
        <w:ind w:left="432" w:hanging="432"/>
        <w:rPr>
          <w:lang w:val="fr-FR"/>
        </w:rPr>
      </w:pPr>
      <w:r w:rsidRPr="00D629F5">
        <w:rPr>
          <w:lang w:val="fr-FR"/>
        </w:rPr>
        <w:t>25.</w:t>
      </w:r>
      <w:r w:rsidRPr="00D629F5">
        <w:rPr>
          <w:lang w:val="fr-FR"/>
        </w:rPr>
        <w:tab/>
        <w:t xml:space="preserve">On pourrait envisager de faire héberger le SAT par une organisation externe mais, dans l’intérim, il est recommandé que le Secrétariat nomme un administrateur de programme chargé de l’appui au processus des Perspectives mondiales des zones humides. Cet administrateur serait chargé de l’appui logistique, de l’analyse des données, de la tenue de la base de données de l’évaluation et contribuerait à la publication finale et à la communication. </w:t>
      </w:r>
    </w:p>
    <w:p w14:paraId="70B7F399" w14:textId="77777777" w:rsidR="00FF30E4" w:rsidRPr="00D629F5" w:rsidRDefault="00FF30E4" w:rsidP="00FF30E4">
      <w:pPr>
        <w:rPr>
          <w:lang w:val="fr-FR"/>
        </w:rPr>
      </w:pPr>
    </w:p>
    <w:p w14:paraId="5C0927E5" w14:textId="77777777" w:rsidR="00FF30E4" w:rsidRPr="00D629F5" w:rsidRDefault="00FF30E4" w:rsidP="00A600AB">
      <w:pPr>
        <w:keepNext/>
        <w:rPr>
          <w:lang w:val="fr-FR"/>
        </w:rPr>
      </w:pPr>
      <w:r w:rsidRPr="00D629F5">
        <w:rPr>
          <w:b/>
          <w:lang w:val="fr-FR"/>
        </w:rPr>
        <w:t>Ressources</w:t>
      </w:r>
    </w:p>
    <w:p w14:paraId="664C6B02" w14:textId="77777777" w:rsidR="00FF30E4" w:rsidRPr="00D629F5" w:rsidRDefault="00FF30E4" w:rsidP="00FF30E4">
      <w:pPr>
        <w:rPr>
          <w:lang w:val="fr-FR"/>
        </w:rPr>
      </w:pPr>
    </w:p>
    <w:p w14:paraId="1CB21E5F" w14:textId="77777777" w:rsidR="00FF30E4" w:rsidRPr="00D629F5" w:rsidRDefault="00FF30E4" w:rsidP="00FF30E4">
      <w:pPr>
        <w:ind w:left="432" w:hanging="432"/>
        <w:rPr>
          <w:lang w:val="fr-FR"/>
        </w:rPr>
      </w:pPr>
      <w:r w:rsidRPr="00D629F5">
        <w:rPr>
          <w:lang w:val="fr-FR"/>
        </w:rPr>
        <w:t>26.</w:t>
      </w:r>
      <w:r w:rsidRPr="00D629F5">
        <w:rPr>
          <w:lang w:val="fr-FR"/>
        </w:rPr>
        <w:tab/>
        <w:t>Pour assurer le succès de la publication des Perspectives mondiales des zones humides dans la prochaine période triennale il est indispensable de disposer de ressources adéquates. Cela suppose le financement d’un poste d’administrateur de programme, d’au moins une réunion des auteurs, en présentiel, et des coûts de production et de publication des Perspectives et du Résumé pour les décideurs.</w:t>
      </w:r>
    </w:p>
    <w:p w14:paraId="7843D28A" w14:textId="77777777" w:rsidR="00FF30E4" w:rsidRPr="00D629F5" w:rsidRDefault="00FF30E4" w:rsidP="00FF30E4">
      <w:pPr>
        <w:ind w:left="432" w:hanging="432"/>
        <w:rPr>
          <w:lang w:val="fr-FR"/>
        </w:rPr>
      </w:pPr>
    </w:p>
    <w:p w14:paraId="5CF0E288" w14:textId="77777777" w:rsidR="00FF30E4" w:rsidRPr="00D629F5" w:rsidRDefault="00FF30E4" w:rsidP="00FF30E4">
      <w:pPr>
        <w:ind w:left="432" w:hanging="432"/>
        <w:rPr>
          <w:lang w:val="fr-FR"/>
        </w:rPr>
      </w:pPr>
      <w:r w:rsidRPr="00D629F5">
        <w:rPr>
          <w:lang w:val="fr-FR"/>
        </w:rPr>
        <w:t>27.</w:t>
      </w:r>
      <w:r w:rsidRPr="00D629F5">
        <w:rPr>
          <w:lang w:val="fr-FR"/>
        </w:rPr>
        <w:tab/>
        <w:t xml:space="preserve">Des ressources supplémentaires devraient être attribuées aux activités de communication associées aux </w:t>
      </w:r>
      <w:r w:rsidRPr="00D629F5">
        <w:rPr>
          <w:rFonts w:eastAsiaTheme="minorHAnsi"/>
          <w:kern w:val="2"/>
          <w:lang w:val="fr-FR"/>
          <w14:ligatures w14:val="standardContextual"/>
        </w:rPr>
        <w:t>Perspectives qui</w:t>
      </w:r>
      <w:r w:rsidRPr="00D629F5">
        <w:rPr>
          <w:lang w:val="fr-FR"/>
        </w:rPr>
        <w:t xml:space="preserve"> sont d’importance critique si l’on veut que les résultats des </w:t>
      </w:r>
      <w:r w:rsidRPr="00D629F5">
        <w:rPr>
          <w:rFonts w:eastAsiaTheme="minorHAnsi"/>
          <w:kern w:val="2"/>
          <w:lang w:val="fr-FR"/>
          <w14:ligatures w14:val="standardContextual"/>
        </w:rPr>
        <w:t xml:space="preserve">Perspectives </w:t>
      </w:r>
      <w:r w:rsidRPr="00D629F5">
        <w:rPr>
          <w:lang w:val="fr-FR"/>
        </w:rPr>
        <w:t>soient effectivement communiqués à un vaste public et qu’ils aient les effets souhaités sur les efforts de conservation des zones humides au niveau mondial.</w:t>
      </w:r>
    </w:p>
    <w:p w14:paraId="202F528D" w14:textId="77777777" w:rsidR="00FF30E4" w:rsidRPr="00D629F5" w:rsidRDefault="00FF30E4" w:rsidP="00FF30E4">
      <w:pPr>
        <w:ind w:left="432" w:hanging="432"/>
        <w:rPr>
          <w:lang w:val="fr-FR"/>
        </w:rPr>
      </w:pPr>
    </w:p>
    <w:p w14:paraId="527EA837" w14:textId="77777777" w:rsidR="00FF30E4" w:rsidRPr="00D629F5" w:rsidRDefault="00FF30E4" w:rsidP="00FF30E4">
      <w:pPr>
        <w:ind w:left="432" w:hanging="432"/>
        <w:rPr>
          <w:lang w:val="fr-FR"/>
        </w:rPr>
      </w:pPr>
      <w:r w:rsidRPr="00D629F5">
        <w:rPr>
          <w:lang w:val="fr-FR"/>
        </w:rPr>
        <w:t>28.</w:t>
      </w:r>
      <w:r w:rsidRPr="00D629F5">
        <w:rPr>
          <w:lang w:val="fr-FR"/>
        </w:rPr>
        <w:tab/>
        <w:t xml:space="preserve">Le budget attribué aux </w:t>
      </w:r>
      <w:r w:rsidRPr="00D629F5">
        <w:rPr>
          <w:rFonts w:eastAsiaTheme="minorHAnsi"/>
          <w:kern w:val="2"/>
          <w:lang w:val="fr-FR"/>
          <w14:ligatures w14:val="standardContextual"/>
        </w:rPr>
        <w:t xml:space="preserve">Perspectives </w:t>
      </w:r>
      <w:r w:rsidRPr="00D629F5">
        <w:rPr>
          <w:lang w:val="fr-FR"/>
        </w:rPr>
        <w:t xml:space="preserve">dans la prochaine période triennale devrait couvrir tous les coûts essentiels, notamment de personnel, de réunions des auteurs, de publication et de communication. Un financement suffisant aura une importance critique et garantira le succès de la publication et de l’impact des </w:t>
      </w:r>
      <w:r w:rsidRPr="00D629F5">
        <w:rPr>
          <w:rFonts w:eastAsiaTheme="minorHAnsi"/>
          <w:kern w:val="2"/>
          <w:lang w:val="fr-FR"/>
          <w14:ligatures w14:val="standardContextual"/>
        </w:rPr>
        <w:t>Perspectives</w:t>
      </w:r>
      <w:r w:rsidRPr="00D629F5">
        <w:rPr>
          <w:lang w:val="fr-FR"/>
        </w:rPr>
        <w:t xml:space="preserve">. </w:t>
      </w:r>
    </w:p>
    <w:p w14:paraId="60081A46" w14:textId="77777777" w:rsidR="00FF30E4" w:rsidRDefault="00FF30E4" w:rsidP="00FF30E4">
      <w:pPr>
        <w:rPr>
          <w:sz w:val="24"/>
          <w:szCs w:val="24"/>
          <w:lang w:val="fr-FR"/>
        </w:rPr>
        <w:sectPr w:rsidR="00FF30E4">
          <w:footerReference w:type="default" r:id="rId32"/>
          <w:pgSz w:w="11906" w:h="16838"/>
          <w:pgMar w:top="1440" w:right="1440" w:bottom="1440" w:left="1440" w:header="720" w:footer="720" w:gutter="0"/>
          <w:cols w:space="720"/>
        </w:sectPr>
      </w:pPr>
    </w:p>
    <w:p w14:paraId="31E4D688" w14:textId="77777777" w:rsidR="00FF30E4" w:rsidRDefault="00FF30E4" w:rsidP="00FF30E4">
      <w:pPr>
        <w:rPr>
          <w:b/>
          <w:bCs w:val="0"/>
          <w:sz w:val="24"/>
          <w:szCs w:val="24"/>
          <w:lang w:val="fr-FR"/>
        </w:rPr>
      </w:pPr>
      <w:r>
        <w:rPr>
          <w:b/>
          <w:sz w:val="24"/>
          <w:szCs w:val="24"/>
          <w:lang w:val="fr-FR"/>
        </w:rPr>
        <w:t>Appendice 1</w:t>
      </w:r>
    </w:p>
    <w:p w14:paraId="3306F6D9" w14:textId="77777777" w:rsidR="00FF30E4" w:rsidRDefault="00FF30E4" w:rsidP="00FF30E4">
      <w:pPr>
        <w:rPr>
          <w:b/>
          <w:bCs w:val="0"/>
          <w:sz w:val="24"/>
          <w:szCs w:val="24"/>
          <w:lang w:val="fr-FR"/>
        </w:rPr>
      </w:pPr>
      <w:r>
        <w:rPr>
          <w:b/>
          <w:sz w:val="24"/>
          <w:szCs w:val="24"/>
          <w:lang w:val="fr-FR"/>
        </w:rPr>
        <w:t xml:space="preserve">Vue d’ensemble des produits d’évaluation publiés par d’autres Conventions et AME </w:t>
      </w:r>
    </w:p>
    <w:p w14:paraId="2D38BBB3" w14:textId="77777777" w:rsidR="00FF30E4" w:rsidRDefault="00FF30E4" w:rsidP="00FF30E4">
      <w:pPr>
        <w:rPr>
          <w:sz w:val="24"/>
          <w:szCs w:val="24"/>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365"/>
        <w:gridCol w:w="2109"/>
        <w:gridCol w:w="3286"/>
        <w:gridCol w:w="3271"/>
        <w:gridCol w:w="3281"/>
      </w:tblGrid>
      <w:tr w:rsidR="00FF30E4" w:rsidRPr="00D629F5" w14:paraId="04FD32C8" w14:textId="77777777" w:rsidTr="00FF30E4">
        <w:trPr>
          <w:cantSplit/>
          <w:tblHeader/>
        </w:trPr>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48585D6" w14:textId="77777777" w:rsidR="00FF30E4" w:rsidRPr="00D629F5" w:rsidRDefault="00FF30E4">
            <w:pPr>
              <w:spacing w:line="256" w:lineRule="auto"/>
              <w:rPr>
                <w:b/>
                <w:bCs w:val="0"/>
                <w:color w:val="000000" w:themeColor="text1"/>
                <w:sz w:val="20"/>
                <w:szCs w:val="20"/>
                <w:lang w:val="fr-FR"/>
              </w:rPr>
            </w:pPr>
            <w:r w:rsidRPr="00D629F5">
              <w:rPr>
                <w:b/>
                <w:color w:val="000000" w:themeColor="text1"/>
                <w:sz w:val="20"/>
                <w:szCs w:val="20"/>
                <w:lang w:val="fr-FR"/>
              </w:rPr>
              <w:t>Titre de la Convention / AME</w:t>
            </w:r>
          </w:p>
        </w:tc>
        <w:tc>
          <w:tcPr>
            <w:tcW w:w="210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16C4B58" w14:textId="77777777" w:rsidR="00FF30E4" w:rsidRPr="00D629F5" w:rsidRDefault="00FF30E4">
            <w:pPr>
              <w:spacing w:line="256" w:lineRule="auto"/>
              <w:rPr>
                <w:b/>
                <w:bCs w:val="0"/>
                <w:color w:val="000000"/>
                <w:sz w:val="20"/>
                <w:szCs w:val="20"/>
                <w:lang w:val="fr-FR"/>
              </w:rPr>
            </w:pPr>
            <w:r w:rsidRPr="00D629F5">
              <w:rPr>
                <w:b/>
                <w:color w:val="000000"/>
                <w:sz w:val="20"/>
                <w:szCs w:val="20"/>
                <w:lang w:val="fr-FR"/>
              </w:rPr>
              <w:t>Titre du rapport d’évaluation</w:t>
            </w:r>
          </w:p>
        </w:tc>
        <w:tc>
          <w:tcPr>
            <w:tcW w:w="328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933852" w14:textId="77777777" w:rsidR="00FF30E4" w:rsidRPr="00D629F5" w:rsidRDefault="00FF30E4">
            <w:pPr>
              <w:spacing w:line="256" w:lineRule="auto"/>
              <w:rPr>
                <w:b/>
                <w:bCs w:val="0"/>
                <w:color w:val="000000"/>
                <w:sz w:val="20"/>
                <w:szCs w:val="20"/>
                <w:lang w:val="fr-FR"/>
              </w:rPr>
            </w:pPr>
            <w:r w:rsidRPr="00D629F5">
              <w:rPr>
                <w:b/>
                <w:color w:val="000000"/>
                <w:sz w:val="20"/>
                <w:szCs w:val="20"/>
                <w:lang w:val="fr-FR"/>
              </w:rPr>
              <w:t>But</w:t>
            </w:r>
          </w:p>
        </w:tc>
        <w:tc>
          <w:tcPr>
            <w:tcW w:w="327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4E49B53" w14:textId="77777777" w:rsidR="00FF30E4" w:rsidRPr="00D629F5" w:rsidRDefault="00FF30E4">
            <w:pPr>
              <w:spacing w:line="256" w:lineRule="auto"/>
              <w:rPr>
                <w:b/>
                <w:bCs w:val="0"/>
                <w:color w:val="000000"/>
                <w:sz w:val="20"/>
                <w:szCs w:val="20"/>
                <w:lang w:val="fr-FR"/>
              </w:rPr>
            </w:pPr>
            <w:r w:rsidRPr="00D629F5">
              <w:rPr>
                <w:b/>
                <w:color w:val="000000"/>
                <w:sz w:val="20"/>
                <w:szCs w:val="20"/>
                <w:lang w:val="fr-FR"/>
              </w:rPr>
              <w:t>Fréquence de la publication</w:t>
            </w:r>
          </w:p>
        </w:tc>
        <w:tc>
          <w:tcPr>
            <w:tcW w:w="328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1278A9B" w14:textId="77777777" w:rsidR="00FF30E4" w:rsidRPr="00D629F5" w:rsidRDefault="00FF30E4">
            <w:pPr>
              <w:spacing w:line="256" w:lineRule="auto"/>
              <w:rPr>
                <w:b/>
                <w:bCs w:val="0"/>
                <w:color w:val="000000"/>
                <w:sz w:val="20"/>
                <w:szCs w:val="20"/>
                <w:lang w:val="fr-FR"/>
              </w:rPr>
            </w:pPr>
            <w:r w:rsidRPr="00D629F5">
              <w:rPr>
                <w:b/>
                <w:color w:val="000000"/>
                <w:sz w:val="20"/>
                <w:szCs w:val="20"/>
                <w:lang w:val="fr-FR"/>
              </w:rPr>
              <w:t>Processus d’évaluation</w:t>
            </w:r>
          </w:p>
        </w:tc>
      </w:tr>
      <w:tr w:rsidR="00FF30E4" w:rsidRPr="00D629F5" w14:paraId="7046880E" w14:textId="77777777" w:rsidTr="00FF30E4">
        <w:trPr>
          <w:cantSplit/>
        </w:trPr>
        <w:tc>
          <w:tcPr>
            <w:tcW w:w="2365" w:type="dxa"/>
            <w:tcBorders>
              <w:top w:val="single" w:sz="4" w:space="0" w:color="auto"/>
              <w:left w:val="single" w:sz="4" w:space="0" w:color="auto"/>
              <w:bottom w:val="single" w:sz="4" w:space="0" w:color="auto"/>
              <w:right w:val="single" w:sz="4" w:space="0" w:color="auto"/>
            </w:tcBorders>
            <w:hideMark/>
          </w:tcPr>
          <w:p w14:paraId="0091C74D"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Convention sur la diversité biologique (CDB) </w:t>
            </w:r>
          </w:p>
        </w:tc>
        <w:tc>
          <w:tcPr>
            <w:tcW w:w="2109" w:type="dxa"/>
            <w:tcBorders>
              <w:top w:val="single" w:sz="4" w:space="0" w:color="auto"/>
              <w:left w:val="single" w:sz="4" w:space="0" w:color="auto"/>
              <w:bottom w:val="single" w:sz="4" w:space="0" w:color="auto"/>
              <w:right w:val="single" w:sz="4" w:space="0" w:color="auto"/>
            </w:tcBorders>
            <w:hideMark/>
          </w:tcPr>
          <w:p w14:paraId="739781A1" w14:textId="77777777" w:rsidR="00FF30E4" w:rsidRPr="00D629F5" w:rsidRDefault="00FF30E4">
            <w:pPr>
              <w:spacing w:line="256" w:lineRule="auto"/>
              <w:rPr>
                <w:color w:val="000000"/>
                <w:sz w:val="20"/>
                <w:szCs w:val="20"/>
                <w:lang w:val="fr-FR"/>
              </w:rPr>
            </w:pPr>
            <w:r w:rsidRPr="00D629F5">
              <w:rPr>
                <w:color w:val="000000"/>
                <w:sz w:val="20"/>
                <w:szCs w:val="20"/>
                <w:lang w:val="fr-FR"/>
              </w:rPr>
              <w:t>Perspectives mondiales de la diversité biologique</w:t>
            </w:r>
          </w:p>
        </w:tc>
        <w:tc>
          <w:tcPr>
            <w:tcW w:w="3286" w:type="dxa"/>
            <w:tcBorders>
              <w:top w:val="single" w:sz="4" w:space="0" w:color="auto"/>
              <w:left w:val="single" w:sz="4" w:space="0" w:color="auto"/>
              <w:bottom w:val="single" w:sz="4" w:space="0" w:color="auto"/>
              <w:right w:val="single" w:sz="4" w:space="0" w:color="auto"/>
            </w:tcBorders>
            <w:hideMark/>
          </w:tcPr>
          <w:p w14:paraId="1654E139" w14:textId="77777777" w:rsidR="00FF30E4" w:rsidRPr="00D629F5" w:rsidRDefault="00FF30E4">
            <w:pPr>
              <w:spacing w:line="256" w:lineRule="auto"/>
              <w:rPr>
                <w:color w:val="000000"/>
                <w:sz w:val="20"/>
                <w:szCs w:val="20"/>
                <w:lang w:val="fr-FR"/>
              </w:rPr>
            </w:pPr>
            <w:r w:rsidRPr="00D629F5">
              <w:rPr>
                <w:color w:val="000000"/>
                <w:sz w:val="20"/>
                <w:szCs w:val="20"/>
                <w:lang w:val="fr-FR"/>
              </w:rPr>
              <w:t>Fournir un résumé sur l’état de la diversité biologique et une analyse des mesures prises par la communauté mondiale pour faire en sorte que la diversité biologique soit conservée et utilisée de manière durable et que les avantages issus de l’utilisation des ressources génétiques soient partagés équitablement.</w:t>
            </w:r>
          </w:p>
        </w:tc>
        <w:tc>
          <w:tcPr>
            <w:tcW w:w="3271" w:type="dxa"/>
            <w:tcBorders>
              <w:top w:val="single" w:sz="4" w:space="0" w:color="auto"/>
              <w:left w:val="single" w:sz="4" w:space="0" w:color="auto"/>
              <w:bottom w:val="single" w:sz="4" w:space="0" w:color="auto"/>
              <w:right w:val="single" w:sz="4" w:space="0" w:color="auto"/>
            </w:tcBorders>
            <w:hideMark/>
          </w:tcPr>
          <w:p w14:paraId="5150FDBB"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Cinq ans, publiées pour la première fois en 2001 </w:t>
            </w:r>
          </w:p>
        </w:tc>
        <w:tc>
          <w:tcPr>
            <w:tcW w:w="3281" w:type="dxa"/>
            <w:tcBorders>
              <w:top w:val="single" w:sz="4" w:space="0" w:color="auto"/>
              <w:left w:val="single" w:sz="4" w:space="0" w:color="auto"/>
              <w:bottom w:val="single" w:sz="4" w:space="0" w:color="auto"/>
              <w:right w:val="single" w:sz="4" w:space="0" w:color="auto"/>
            </w:tcBorders>
            <w:hideMark/>
          </w:tcPr>
          <w:p w14:paraId="2B22C75A"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Sous la direction d’un groupe consultatif. Évaluation par des auteurs choisis par appel ouvert. </w:t>
            </w:r>
          </w:p>
        </w:tc>
      </w:tr>
      <w:tr w:rsidR="00FF30E4" w:rsidRPr="00D629F5" w14:paraId="33D798D9" w14:textId="77777777" w:rsidTr="00FF30E4">
        <w:trPr>
          <w:cantSplit/>
        </w:trPr>
        <w:tc>
          <w:tcPr>
            <w:tcW w:w="2365" w:type="dxa"/>
            <w:tcBorders>
              <w:top w:val="single" w:sz="4" w:space="0" w:color="auto"/>
              <w:left w:val="single" w:sz="4" w:space="0" w:color="auto"/>
              <w:bottom w:val="single" w:sz="4" w:space="0" w:color="auto"/>
              <w:right w:val="single" w:sz="4" w:space="0" w:color="auto"/>
            </w:tcBorders>
            <w:hideMark/>
          </w:tcPr>
          <w:p w14:paraId="5CDE8269"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Organisation des Nations Unies pour l’éducation, la science et la culture (UNESCO) </w:t>
            </w:r>
          </w:p>
        </w:tc>
        <w:tc>
          <w:tcPr>
            <w:tcW w:w="2109" w:type="dxa"/>
            <w:tcBorders>
              <w:top w:val="single" w:sz="4" w:space="0" w:color="auto"/>
              <w:left w:val="single" w:sz="4" w:space="0" w:color="auto"/>
              <w:bottom w:val="single" w:sz="4" w:space="0" w:color="auto"/>
              <w:right w:val="single" w:sz="4" w:space="0" w:color="auto"/>
            </w:tcBorders>
            <w:hideMark/>
          </w:tcPr>
          <w:p w14:paraId="5F3DE3C3" w14:textId="77777777" w:rsidR="00FF30E4" w:rsidRPr="00D629F5" w:rsidRDefault="00FF30E4">
            <w:pPr>
              <w:spacing w:line="256" w:lineRule="auto"/>
              <w:rPr>
                <w:color w:val="000000"/>
                <w:sz w:val="20"/>
                <w:szCs w:val="20"/>
                <w:lang w:val="fr-FR"/>
              </w:rPr>
            </w:pPr>
            <w:r w:rsidRPr="00D629F5">
              <w:rPr>
                <w:color w:val="000000"/>
                <w:sz w:val="20"/>
                <w:szCs w:val="20"/>
                <w:lang w:val="fr-FR"/>
              </w:rPr>
              <w:t>Rapport mondial sur la mise en valeur des ressources en eau</w:t>
            </w:r>
          </w:p>
        </w:tc>
        <w:tc>
          <w:tcPr>
            <w:tcW w:w="3286" w:type="dxa"/>
            <w:tcBorders>
              <w:top w:val="single" w:sz="4" w:space="0" w:color="auto"/>
              <w:left w:val="single" w:sz="4" w:space="0" w:color="auto"/>
              <w:bottom w:val="single" w:sz="4" w:space="0" w:color="auto"/>
              <w:right w:val="single" w:sz="4" w:space="0" w:color="auto"/>
            </w:tcBorders>
            <w:hideMark/>
          </w:tcPr>
          <w:p w14:paraId="6457A613"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Offrir une évaluation exhaustive et faisant autorité sur l’état général, l’utilisation et la gestion des ressources mondiales en eau. Le but est de fournir aux décideurs des outils leur permettant de formuler et de mettre en œuvre des politiques durables pour l’eau. </w:t>
            </w:r>
          </w:p>
        </w:tc>
        <w:tc>
          <w:tcPr>
            <w:tcW w:w="3271" w:type="dxa"/>
            <w:tcBorders>
              <w:top w:val="single" w:sz="4" w:space="0" w:color="auto"/>
              <w:left w:val="single" w:sz="4" w:space="0" w:color="auto"/>
              <w:bottom w:val="single" w:sz="4" w:space="0" w:color="auto"/>
              <w:right w:val="single" w:sz="4" w:space="0" w:color="auto"/>
            </w:tcBorders>
            <w:hideMark/>
          </w:tcPr>
          <w:p w14:paraId="118B18DF"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De 2003 à 2012, le Rapport des Nations Unies a été produit et publié tous les trois ans. À partir de 2014, il est devenu un rapport thématique annuel axé sur une question stratégique relative à l’eau, différente chaque année. Le thème de chaque rapport annuel est harmonisé avec celui de la Journée mondiale de l’eau (22 mars) et apporte une base de connaissances aux célébrations, événements et discussions en rapport, tout au long de l’année.  </w:t>
            </w:r>
          </w:p>
        </w:tc>
        <w:tc>
          <w:tcPr>
            <w:tcW w:w="3281" w:type="dxa"/>
            <w:tcBorders>
              <w:top w:val="single" w:sz="4" w:space="0" w:color="auto"/>
              <w:left w:val="single" w:sz="4" w:space="0" w:color="auto"/>
              <w:bottom w:val="single" w:sz="4" w:space="0" w:color="auto"/>
              <w:right w:val="single" w:sz="4" w:space="0" w:color="auto"/>
            </w:tcBorders>
            <w:hideMark/>
          </w:tcPr>
          <w:p w14:paraId="2045E10E" w14:textId="77777777" w:rsidR="00FF30E4" w:rsidRPr="00D629F5" w:rsidRDefault="00FF30E4">
            <w:pPr>
              <w:spacing w:line="256" w:lineRule="auto"/>
              <w:rPr>
                <w:color w:val="000000"/>
                <w:sz w:val="20"/>
                <w:szCs w:val="20"/>
                <w:lang w:val="fr-FR"/>
              </w:rPr>
            </w:pPr>
            <w:r w:rsidRPr="00D629F5">
              <w:rPr>
                <w:color w:val="000000"/>
                <w:sz w:val="20"/>
                <w:szCs w:val="20"/>
                <w:lang w:val="fr-FR"/>
              </w:rPr>
              <w:t>Coordonné par le Programme mondial pour l’évaluation des ressources en eau de l’UNESCO au nom de la famille ONU-Eau.</w:t>
            </w:r>
          </w:p>
        </w:tc>
      </w:tr>
      <w:tr w:rsidR="00FF30E4" w:rsidRPr="00D629F5" w14:paraId="199330DC" w14:textId="77777777" w:rsidTr="00FF30E4">
        <w:trPr>
          <w:cantSplit/>
        </w:trPr>
        <w:tc>
          <w:tcPr>
            <w:tcW w:w="2365" w:type="dxa"/>
            <w:tcBorders>
              <w:top w:val="single" w:sz="4" w:space="0" w:color="auto"/>
              <w:left w:val="single" w:sz="4" w:space="0" w:color="auto"/>
              <w:bottom w:val="single" w:sz="4" w:space="0" w:color="auto"/>
              <w:right w:val="single" w:sz="4" w:space="0" w:color="auto"/>
            </w:tcBorders>
            <w:hideMark/>
          </w:tcPr>
          <w:p w14:paraId="710F9099" w14:textId="77777777" w:rsidR="00FF30E4" w:rsidRPr="00D629F5" w:rsidRDefault="00FF30E4">
            <w:pPr>
              <w:spacing w:line="256" w:lineRule="auto"/>
              <w:rPr>
                <w:color w:val="000000"/>
                <w:sz w:val="20"/>
                <w:szCs w:val="20"/>
                <w:lang w:val="fr-FR"/>
              </w:rPr>
            </w:pPr>
            <w:r w:rsidRPr="00D629F5">
              <w:rPr>
                <w:color w:val="000000"/>
                <w:sz w:val="20"/>
                <w:szCs w:val="20"/>
                <w:lang w:val="fr-FR"/>
              </w:rPr>
              <w:t>ONU Environnement (PNUE)</w:t>
            </w:r>
          </w:p>
        </w:tc>
        <w:tc>
          <w:tcPr>
            <w:tcW w:w="2109" w:type="dxa"/>
            <w:tcBorders>
              <w:top w:val="single" w:sz="4" w:space="0" w:color="auto"/>
              <w:left w:val="single" w:sz="4" w:space="0" w:color="auto"/>
              <w:bottom w:val="single" w:sz="4" w:space="0" w:color="auto"/>
              <w:right w:val="single" w:sz="4" w:space="0" w:color="auto"/>
            </w:tcBorders>
            <w:hideMark/>
          </w:tcPr>
          <w:p w14:paraId="7D2B40A1" w14:textId="77777777" w:rsidR="00FF30E4" w:rsidRPr="00D629F5" w:rsidRDefault="00FF30E4">
            <w:pPr>
              <w:spacing w:line="256" w:lineRule="auto"/>
              <w:rPr>
                <w:color w:val="000000"/>
                <w:sz w:val="20"/>
                <w:szCs w:val="20"/>
                <w:lang w:val="fr-FR"/>
              </w:rPr>
            </w:pPr>
            <w:r w:rsidRPr="00D629F5">
              <w:rPr>
                <w:color w:val="000000" w:themeColor="text1"/>
                <w:sz w:val="20"/>
                <w:szCs w:val="20"/>
                <w:lang w:val="fr-FR"/>
              </w:rPr>
              <w:t>L’avenir de l’environnement mondial</w:t>
            </w:r>
          </w:p>
        </w:tc>
        <w:tc>
          <w:tcPr>
            <w:tcW w:w="3286" w:type="dxa"/>
            <w:tcBorders>
              <w:top w:val="single" w:sz="4" w:space="0" w:color="auto"/>
              <w:left w:val="single" w:sz="4" w:space="0" w:color="auto"/>
              <w:bottom w:val="single" w:sz="4" w:space="0" w:color="auto"/>
              <w:right w:val="single" w:sz="4" w:space="0" w:color="auto"/>
            </w:tcBorders>
            <w:hideMark/>
          </w:tcPr>
          <w:p w14:paraId="7F5B54D9" w14:textId="77777777" w:rsidR="00FF30E4" w:rsidRPr="00D629F5" w:rsidRDefault="00FF30E4">
            <w:pPr>
              <w:spacing w:line="256" w:lineRule="auto"/>
              <w:rPr>
                <w:color w:val="000000"/>
                <w:sz w:val="20"/>
                <w:szCs w:val="20"/>
                <w:lang w:val="fr-FR"/>
              </w:rPr>
            </w:pPr>
            <w:r w:rsidRPr="00D629F5">
              <w:rPr>
                <w:color w:val="000000"/>
                <w:sz w:val="20"/>
                <w:szCs w:val="20"/>
                <w:lang w:val="fr-FR"/>
              </w:rPr>
              <w:t>Examiner la situation mondiale de l’environnement pour informer périodiquement et soutenir l’action collective et individuelle des États Membres et parties prenantes tout en renforçant l’interface science-politique du Programme des Nations Unies pour l’environnement.</w:t>
            </w:r>
          </w:p>
        </w:tc>
        <w:tc>
          <w:tcPr>
            <w:tcW w:w="3271" w:type="dxa"/>
            <w:tcBorders>
              <w:top w:val="single" w:sz="4" w:space="0" w:color="auto"/>
              <w:left w:val="single" w:sz="4" w:space="0" w:color="auto"/>
              <w:bottom w:val="single" w:sz="4" w:space="0" w:color="auto"/>
              <w:right w:val="single" w:sz="4" w:space="0" w:color="auto"/>
            </w:tcBorders>
            <w:hideMark/>
          </w:tcPr>
          <w:p w14:paraId="6DD30C7B"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Lancé en 1995, publié tous les quatre ans </w:t>
            </w:r>
          </w:p>
        </w:tc>
        <w:tc>
          <w:tcPr>
            <w:tcW w:w="3281" w:type="dxa"/>
            <w:tcBorders>
              <w:top w:val="single" w:sz="4" w:space="0" w:color="auto"/>
              <w:left w:val="single" w:sz="4" w:space="0" w:color="auto"/>
              <w:bottom w:val="single" w:sz="4" w:space="0" w:color="auto"/>
              <w:right w:val="single" w:sz="4" w:space="0" w:color="auto"/>
            </w:tcBorders>
            <w:hideMark/>
          </w:tcPr>
          <w:p w14:paraId="5492AA11" w14:textId="77777777" w:rsidR="00FF30E4" w:rsidRPr="00D629F5" w:rsidRDefault="00FF30E4">
            <w:pPr>
              <w:spacing w:line="256" w:lineRule="auto"/>
              <w:rPr>
                <w:color w:val="000000"/>
                <w:sz w:val="20"/>
                <w:szCs w:val="20"/>
                <w:lang w:val="fr-FR"/>
              </w:rPr>
            </w:pPr>
            <w:r w:rsidRPr="00D629F5">
              <w:rPr>
                <w:color w:val="000000" w:themeColor="text1"/>
                <w:sz w:val="20"/>
                <w:szCs w:val="20"/>
                <w:lang w:val="fr-FR"/>
              </w:rPr>
              <w:t xml:space="preserve">Le processus d’évaluation est présidé par le MESAG (Multidisciplinary Expert Scientific Advisory Group). L’évaluation est placée sous la responsabilité des auteurs principaux et chargés de la coordination, sélectionnés par appel ouvert. Le document de cadrage et un résumé pour les décideurs sont examinés et approuvés par les représentants des États Membres lors de réunions spéciales à composition non limitée.  </w:t>
            </w:r>
          </w:p>
        </w:tc>
      </w:tr>
      <w:tr w:rsidR="00FF30E4" w:rsidRPr="00D629F5" w14:paraId="715CA2BB" w14:textId="77777777" w:rsidTr="00FF30E4">
        <w:trPr>
          <w:cantSplit/>
        </w:trPr>
        <w:tc>
          <w:tcPr>
            <w:tcW w:w="2365" w:type="dxa"/>
            <w:tcBorders>
              <w:top w:val="single" w:sz="4" w:space="0" w:color="auto"/>
              <w:left w:val="single" w:sz="4" w:space="0" w:color="auto"/>
              <w:bottom w:val="single" w:sz="4" w:space="0" w:color="auto"/>
              <w:right w:val="single" w:sz="4" w:space="0" w:color="auto"/>
            </w:tcBorders>
            <w:hideMark/>
          </w:tcPr>
          <w:p w14:paraId="3EC623DD" w14:textId="77777777" w:rsidR="00FF30E4" w:rsidRPr="00D629F5" w:rsidRDefault="00FF30E4">
            <w:pPr>
              <w:spacing w:line="256" w:lineRule="auto"/>
              <w:rPr>
                <w:color w:val="000000"/>
                <w:sz w:val="20"/>
                <w:szCs w:val="20"/>
                <w:lang w:val="fr-FR"/>
              </w:rPr>
            </w:pPr>
            <w:r w:rsidRPr="00D629F5">
              <w:rPr>
                <w:color w:val="000000"/>
                <w:sz w:val="20"/>
                <w:szCs w:val="20"/>
                <w:lang w:val="fr-FR"/>
              </w:rPr>
              <w:t>Plateforme intergouvernementale scientifique et politique sur la biodiversité et les services écosystémiques (IPBES)</w:t>
            </w:r>
          </w:p>
        </w:tc>
        <w:tc>
          <w:tcPr>
            <w:tcW w:w="2109" w:type="dxa"/>
            <w:tcBorders>
              <w:top w:val="single" w:sz="4" w:space="0" w:color="auto"/>
              <w:left w:val="single" w:sz="4" w:space="0" w:color="auto"/>
              <w:bottom w:val="single" w:sz="4" w:space="0" w:color="auto"/>
              <w:right w:val="single" w:sz="4" w:space="0" w:color="auto"/>
            </w:tcBorders>
            <w:hideMark/>
          </w:tcPr>
          <w:p w14:paraId="525ABB1D" w14:textId="77777777" w:rsidR="00FF30E4" w:rsidRPr="00D629F5" w:rsidRDefault="00FF30E4">
            <w:pPr>
              <w:spacing w:line="256" w:lineRule="auto"/>
              <w:rPr>
                <w:color w:val="000000"/>
                <w:sz w:val="20"/>
                <w:szCs w:val="20"/>
                <w:lang w:val="fr-FR"/>
              </w:rPr>
            </w:pPr>
            <w:r w:rsidRPr="00D629F5">
              <w:rPr>
                <w:color w:val="000000"/>
                <w:sz w:val="20"/>
                <w:szCs w:val="20"/>
                <w:lang w:val="fr-FR"/>
              </w:rPr>
              <w:t>Plusieurs évaluations</w:t>
            </w:r>
          </w:p>
        </w:tc>
        <w:tc>
          <w:tcPr>
            <w:tcW w:w="3286" w:type="dxa"/>
            <w:tcBorders>
              <w:top w:val="single" w:sz="4" w:space="0" w:color="auto"/>
              <w:left w:val="single" w:sz="4" w:space="0" w:color="auto"/>
              <w:bottom w:val="single" w:sz="4" w:space="0" w:color="auto"/>
              <w:right w:val="single" w:sz="4" w:space="0" w:color="auto"/>
            </w:tcBorders>
            <w:hideMark/>
          </w:tcPr>
          <w:p w14:paraId="7DC91B9A"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Réaliser régulièrement et de manière opportune des évaluations des connaissances sur la biodiversité et les services écosystémiques et des liens qui les unissent, ce qui comprend des évaluations thématiques, mondiales et régionales exhaustives. </w:t>
            </w:r>
          </w:p>
        </w:tc>
        <w:tc>
          <w:tcPr>
            <w:tcW w:w="3271" w:type="dxa"/>
            <w:tcBorders>
              <w:top w:val="single" w:sz="4" w:space="0" w:color="auto"/>
              <w:left w:val="single" w:sz="4" w:space="0" w:color="auto"/>
              <w:bottom w:val="single" w:sz="4" w:space="0" w:color="auto"/>
              <w:right w:val="single" w:sz="4" w:space="0" w:color="auto"/>
            </w:tcBorders>
            <w:hideMark/>
          </w:tcPr>
          <w:p w14:paraId="2734DB82" w14:textId="77777777" w:rsidR="00FF30E4" w:rsidRPr="00D629F5" w:rsidRDefault="00FF30E4">
            <w:pPr>
              <w:spacing w:line="256" w:lineRule="auto"/>
              <w:rPr>
                <w:color w:val="000000"/>
                <w:sz w:val="20"/>
                <w:szCs w:val="20"/>
                <w:lang w:val="fr-FR"/>
              </w:rPr>
            </w:pPr>
            <w:r w:rsidRPr="00D629F5">
              <w:rPr>
                <w:color w:val="000000" w:themeColor="text1"/>
                <w:sz w:val="20"/>
                <w:szCs w:val="20"/>
                <w:lang w:val="fr-FR"/>
              </w:rPr>
              <w:t>11 évaluations menées à bien, chacune prend quatre ans ; la première année est consacrée au cadrage tandis que les deux à trois années suivantes sont axées sur l’évaluation.</w:t>
            </w:r>
          </w:p>
        </w:tc>
        <w:tc>
          <w:tcPr>
            <w:tcW w:w="3281" w:type="dxa"/>
            <w:tcBorders>
              <w:top w:val="single" w:sz="4" w:space="0" w:color="auto"/>
              <w:left w:val="single" w:sz="4" w:space="0" w:color="auto"/>
              <w:bottom w:val="single" w:sz="4" w:space="0" w:color="auto"/>
              <w:right w:val="single" w:sz="4" w:space="0" w:color="auto"/>
            </w:tcBorders>
            <w:hideMark/>
          </w:tcPr>
          <w:p w14:paraId="31D5C7BE" w14:textId="77777777" w:rsidR="00FF30E4" w:rsidRPr="00D629F5" w:rsidRDefault="00FF30E4">
            <w:pPr>
              <w:spacing w:line="256" w:lineRule="auto"/>
              <w:rPr>
                <w:color w:val="000000"/>
                <w:sz w:val="20"/>
                <w:szCs w:val="20"/>
                <w:lang w:val="fr-FR"/>
              </w:rPr>
            </w:pPr>
            <w:r w:rsidRPr="00D629F5">
              <w:rPr>
                <w:color w:val="000000" w:themeColor="text1"/>
                <w:sz w:val="20"/>
                <w:szCs w:val="20"/>
                <w:lang w:val="fr-FR"/>
              </w:rPr>
              <w:t xml:space="preserve">Quatre étapes : a) Demande et cadrage, b) Évaluation par des experts, c) Approbation et acceptation du rapport d’évaluation final et d) Utilisation des conclusions finales de l’évaluation. L’évaluation est dirigée par un groupe d’experts multidisciplinaire et coordonnée par des présidents d’évaluation. Pour chaque section/chapitre de l’évaluation, des auteurs principaux chargés de la coordination et des auteurs principaux sont sélectionnés/ nommés. Des assistants de recherche sont aussi nommés pour soutenir le développement des capacités. </w:t>
            </w:r>
          </w:p>
        </w:tc>
      </w:tr>
      <w:tr w:rsidR="00FF30E4" w:rsidRPr="00D629F5" w14:paraId="64D8A43C" w14:textId="77777777" w:rsidTr="00FF30E4">
        <w:trPr>
          <w:cantSplit/>
        </w:trPr>
        <w:tc>
          <w:tcPr>
            <w:tcW w:w="2365" w:type="dxa"/>
            <w:tcBorders>
              <w:top w:val="single" w:sz="4" w:space="0" w:color="auto"/>
              <w:left w:val="single" w:sz="4" w:space="0" w:color="auto"/>
              <w:bottom w:val="single" w:sz="4" w:space="0" w:color="auto"/>
              <w:right w:val="single" w:sz="4" w:space="0" w:color="auto"/>
            </w:tcBorders>
            <w:hideMark/>
          </w:tcPr>
          <w:p w14:paraId="09DBD08E"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Convention des Nations Unies sur la lutte contre la désertification (CNULCD) </w:t>
            </w:r>
          </w:p>
        </w:tc>
        <w:tc>
          <w:tcPr>
            <w:tcW w:w="2109" w:type="dxa"/>
            <w:tcBorders>
              <w:top w:val="single" w:sz="4" w:space="0" w:color="auto"/>
              <w:left w:val="single" w:sz="4" w:space="0" w:color="auto"/>
              <w:bottom w:val="single" w:sz="4" w:space="0" w:color="auto"/>
              <w:right w:val="single" w:sz="4" w:space="0" w:color="auto"/>
            </w:tcBorders>
            <w:hideMark/>
          </w:tcPr>
          <w:p w14:paraId="50DC8B5C" w14:textId="77777777" w:rsidR="00FF30E4" w:rsidRPr="00D629F5" w:rsidRDefault="00FF30E4">
            <w:pPr>
              <w:spacing w:line="256" w:lineRule="auto"/>
              <w:rPr>
                <w:color w:val="000000"/>
                <w:sz w:val="20"/>
                <w:szCs w:val="20"/>
                <w:lang w:val="fr-FR"/>
              </w:rPr>
            </w:pPr>
            <w:r w:rsidRPr="00D629F5">
              <w:rPr>
                <w:color w:val="000000"/>
                <w:sz w:val="20"/>
                <w:szCs w:val="20"/>
                <w:lang w:val="fr-FR"/>
              </w:rPr>
              <w:t>Perspectives mondiales sur les terres</w:t>
            </w:r>
          </w:p>
        </w:tc>
        <w:tc>
          <w:tcPr>
            <w:tcW w:w="3286" w:type="dxa"/>
            <w:tcBorders>
              <w:top w:val="single" w:sz="4" w:space="0" w:color="auto"/>
              <w:left w:val="single" w:sz="4" w:space="0" w:color="auto"/>
              <w:bottom w:val="single" w:sz="4" w:space="0" w:color="auto"/>
              <w:right w:val="single" w:sz="4" w:space="0" w:color="auto"/>
            </w:tcBorders>
            <w:hideMark/>
          </w:tcPr>
          <w:p w14:paraId="37DB35F8" w14:textId="77777777" w:rsidR="00FF30E4" w:rsidRPr="00D629F5" w:rsidRDefault="00FF30E4">
            <w:pPr>
              <w:spacing w:line="256" w:lineRule="auto"/>
              <w:rPr>
                <w:color w:val="000000"/>
                <w:sz w:val="20"/>
                <w:szCs w:val="20"/>
                <w:lang w:val="fr-FR"/>
              </w:rPr>
            </w:pPr>
            <w:r w:rsidRPr="00D629F5">
              <w:rPr>
                <w:color w:val="000000"/>
                <w:sz w:val="20"/>
                <w:szCs w:val="20"/>
                <w:lang w:val="fr-FR"/>
              </w:rPr>
              <w:t>Communiquer et sensibiliser à des informations et tendances liées à la politique pour différentes parties prenantes, y compris les gouvernements nationaux qui formulent leurs réponses aux engagements en faveur d’une meilleure gestion et restauration des ressources en terres, y compris les ODD et objectifs associés, tels que la neutralité de la dégradation des terres. Les rapports thématiques des Perspectives fournissent une analyse globale et offrent des solutions pratiques pertinentes et opportunes pour traiter les défis et possibilités de la gestion des terres dans des contextes géographiques et socioéconomiques choisis.</w:t>
            </w:r>
          </w:p>
        </w:tc>
        <w:tc>
          <w:tcPr>
            <w:tcW w:w="3271" w:type="dxa"/>
            <w:tcBorders>
              <w:top w:val="single" w:sz="4" w:space="0" w:color="auto"/>
              <w:left w:val="single" w:sz="4" w:space="0" w:color="auto"/>
              <w:bottom w:val="single" w:sz="4" w:space="0" w:color="auto"/>
              <w:right w:val="single" w:sz="4" w:space="0" w:color="auto"/>
            </w:tcBorders>
            <w:hideMark/>
          </w:tcPr>
          <w:p w14:paraId="6FB233FF"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Première édition en 2017, et deuxième en 2022 (avec des rapports régionaux et des rapports thématiques) </w:t>
            </w:r>
          </w:p>
        </w:tc>
        <w:tc>
          <w:tcPr>
            <w:tcW w:w="3281" w:type="dxa"/>
            <w:tcBorders>
              <w:top w:val="single" w:sz="4" w:space="0" w:color="auto"/>
              <w:left w:val="single" w:sz="4" w:space="0" w:color="auto"/>
              <w:bottom w:val="single" w:sz="4" w:space="0" w:color="auto"/>
              <w:right w:val="single" w:sz="4" w:space="0" w:color="auto"/>
            </w:tcBorders>
            <w:hideMark/>
          </w:tcPr>
          <w:p w14:paraId="2281B3BA" w14:textId="77777777" w:rsidR="00FF30E4" w:rsidRPr="00D629F5" w:rsidRDefault="00FF30E4">
            <w:pPr>
              <w:spacing w:line="256" w:lineRule="auto"/>
              <w:rPr>
                <w:color w:val="000000"/>
                <w:sz w:val="20"/>
                <w:szCs w:val="20"/>
                <w:lang w:val="fr-FR"/>
              </w:rPr>
            </w:pPr>
            <w:r w:rsidRPr="00D629F5">
              <w:rPr>
                <w:color w:val="000000" w:themeColor="text1"/>
                <w:sz w:val="20"/>
                <w:szCs w:val="20"/>
                <w:lang w:val="fr-FR"/>
              </w:rPr>
              <w:t>Rédigées par une équipe d’auteurs principaux et d’auteurs collaborateurs ; évaluation globale produite par l’équipe de coordonnateurs, coauteurs et assistants de recherche pour les Perspectives mondiales sur les terres, travaillant sous l’égide d’un Comité directeur.</w:t>
            </w:r>
          </w:p>
        </w:tc>
      </w:tr>
      <w:tr w:rsidR="00FF30E4" w:rsidRPr="00D629F5" w14:paraId="7D65E86C" w14:textId="77777777" w:rsidTr="00FF30E4">
        <w:trPr>
          <w:cantSplit/>
        </w:trPr>
        <w:tc>
          <w:tcPr>
            <w:tcW w:w="2365" w:type="dxa"/>
            <w:tcBorders>
              <w:top w:val="single" w:sz="4" w:space="0" w:color="auto"/>
              <w:left w:val="single" w:sz="4" w:space="0" w:color="auto"/>
              <w:bottom w:val="single" w:sz="4" w:space="0" w:color="auto"/>
              <w:right w:val="single" w:sz="4" w:space="0" w:color="auto"/>
            </w:tcBorders>
            <w:hideMark/>
          </w:tcPr>
          <w:p w14:paraId="66217E71"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Le Groupe d’experts intergouvernemental sur l’évolution du climat (GIEC) </w:t>
            </w:r>
          </w:p>
        </w:tc>
        <w:tc>
          <w:tcPr>
            <w:tcW w:w="2109" w:type="dxa"/>
            <w:tcBorders>
              <w:top w:val="single" w:sz="4" w:space="0" w:color="auto"/>
              <w:left w:val="single" w:sz="4" w:space="0" w:color="auto"/>
              <w:bottom w:val="single" w:sz="4" w:space="0" w:color="auto"/>
              <w:right w:val="single" w:sz="4" w:space="0" w:color="auto"/>
            </w:tcBorders>
            <w:hideMark/>
          </w:tcPr>
          <w:p w14:paraId="2DFC9D6D" w14:textId="77777777" w:rsidR="00FF30E4" w:rsidRPr="00D629F5" w:rsidRDefault="00FF30E4">
            <w:pPr>
              <w:spacing w:line="256" w:lineRule="auto"/>
              <w:rPr>
                <w:color w:val="000000"/>
                <w:sz w:val="20"/>
                <w:szCs w:val="20"/>
                <w:lang w:val="fr-FR"/>
              </w:rPr>
            </w:pPr>
            <w:r w:rsidRPr="00D629F5">
              <w:rPr>
                <w:color w:val="000000"/>
                <w:sz w:val="20"/>
                <w:szCs w:val="20"/>
                <w:lang w:val="fr-FR"/>
              </w:rPr>
              <w:t>Rapport d’évaluation</w:t>
            </w:r>
          </w:p>
        </w:tc>
        <w:tc>
          <w:tcPr>
            <w:tcW w:w="3286" w:type="dxa"/>
            <w:tcBorders>
              <w:top w:val="single" w:sz="4" w:space="0" w:color="auto"/>
              <w:left w:val="single" w:sz="4" w:space="0" w:color="auto"/>
              <w:bottom w:val="single" w:sz="4" w:space="0" w:color="auto"/>
              <w:right w:val="single" w:sz="4" w:space="0" w:color="auto"/>
            </w:tcBorders>
            <w:hideMark/>
          </w:tcPr>
          <w:p w14:paraId="4F303969"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Préparer des rapports d’évaluation exhaustifs sur les connaissances relatives au changement climatique, à ses causes, ses impacts potentiels et les réponses possibles. Le GIEC produit aussi des rapports spéciaux qui évaluent des questions particulières et des rapports méthodologiques qui fournissent des lignes directrices pratiques en vue de préparer des inventaires de gaz à effet de serre. </w:t>
            </w:r>
          </w:p>
        </w:tc>
        <w:tc>
          <w:tcPr>
            <w:tcW w:w="3271" w:type="dxa"/>
            <w:tcBorders>
              <w:top w:val="single" w:sz="4" w:space="0" w:color="auto"/>
              <w:left w:val="single" w:sz="4" w:space="0" w:color="auto"/>
              <w:bottom w:val="single" w:sz="4" w:space="0" w:color="auto"/>
              <w:right w:val="single" w:sz="4" w:space="0" w:color="auto"/>
            </w:tcBorders>
            <w:hideMark/>
          </w:tcPr>
          <w:p w14:paraId="081750AF" w14:textId="77777777" w:rsidR="00FF30E4" w:rsidRPr="00D629F5" w:rsidRDefault="00FF30E4">
            <w:pPr>
              <w:spacing w:line="256" w:lineRule="auto"/>
              <w:rPr>
                <w:color w:val="000000"/>
                <w:sz w:val="20"/>
                <w:szCs w:val="20"/>
                <w:lang w:val="fr-FR"/>
              </w:rPr>
            </w:pPr>
            <w:r w:rsidRPr="00D629F5">
              <w:rPr>
                <w:color w:val="000000"/>
                <w:sz w:val="20"/>
                <w:szCs w:val="20"/>
                <w:lang w:val="fr-FR"/>
              </w:rPr>
              <w:t xml:space="preserve">Tous les 5 à 7 ans. Le premier rapport d’évaluation exhaustif a été publié en 1990. </w:t>
            </w:r>
          </w:p>
        </w:tc>
        <w:tc>
          <w:tcPr>
            <w:tcW w:w="3281" w:type="dxa"/>
            <w:tcBorders>
              <w:top w:val="single" w:sz="4" w:space="0" w:color="auto"/>
              <w:left w:val="single" w:sz="4" w:space="0" w:color="auto"/>
              <w:bottom w:val="single" w:sz="4" w:space="0" w:color="auto"/>
              <w:right w:val="single" w:sz="4" w:space="0" w:color="auto"/>
            </w:tcBorders>
            <w:hideMark/>
          </w:tcPr>
          <w:p w14:paraId="017EED65" w14:textId="0D2136C2" w:rsidR="00FF30E4" w:rsidRPr="00D629F5" w:rsidRDefault="00FF30E4">
            <w:pPr>
              <w:spacing w:line="256" w:lineRule="auto"/>
              <w:rPr>
                <w:color w:val="000000"/>
                <w:sz w:val="20"/>
                <w:szCs w:val="20"/>
                <w:lang w:val="fr-FR"/>
              </w:rPr>
            </w:pPr>
            <w:r w:rsidRPr="00D629F5">
              <w:rPr>
                <w:color w:val="000000" w:themeColor="text1"/>
                <w:sz w:val="20"/>
                <w:szCs w:val="20"/>
                <w:lang w:val="fr-FR"/>
              </w:rPr>
              <w:t xml:space="preserve">Chaque rapport commence par une réunion de cadrage afin de préparer une ébauche. Les experts nommés par les gouvernements membres, les organisations observatrices et le Bureau ainsi que ceux qui sont sélectionnés par le Bureau concerné, préparent une ébauche de projet de rapport pour le </w:t>
            </w:r>
            <w:r w:rsidR="00A600AB">
              <w:rPr>
                <w:color w:val="000000" w:themeColor="text1"/>
                <w:sz w:val="20"/>
                <w:szCs w:val="20"/>
                <w:lang w:val="fr-FR"/>
              </w:rPr>
              <w:t>Groupe</w:t>
            </w:r>
            <w:r w:rsidRPr="00D629F5">
              <w:rPr>
                <w:color w:val="000000" w:themeColor="text1"/>
                <w:sz w:val="20"/>
                <w:szCs w:val="20"/>
                <w:lang w:val="fr-FR"/>
              </w:rPr>
              <w:t xml:space="preserve">. D’après le rapport de la réunion de cadrage, le </w:t>
            </w:r>
            <w:r w:rsidR="00A600AB">
              <w:rPr>
                <w:color w:val="000000" w:themeColor="text1"/>
                <w:sz w:val="20"/>
                <w:szCs w:val="20"/>
                <w:lang w:val="fr-FR"/>
              </w:rPr>
              <w:t>Groupe</w:t>
            </w:r>
            <w:r w:rsidRPr="00D629F5">
              <w:rPr>
                <w:color w:val="000000" w:themeColor="text1"/>
                <w:sz w:val="20"/>
                <w:szCs w:val="20"/>
                <w:lang w:val="fr-FR"/>
              </w:rPr>
              <w:t xml:space="preserve"> décide s’il faut continuer à préparer le rapport et convient de sa portée, de son ébauche et de son plan de travail, notamment du programme et du budget. Les gouvernements membres, les organisations observatrices et le Bureau (coprésidents et vice-présidents) du Groupe de travail ou groupe d’étude produisent le rapport puis établissent la liste d’experts parmi lesquels le Bureau ou les Bureaux pertinents choisissent les auteurs du rapport. Le Bureau peut envisager de recourir à d’autres experts connus pour leurs publications et leurs travaux. Les scientifiques nommés mais non choisis comme auteurs sont invités à s’enregistrer comme réviseurs experts du rapport. </w:t>
            </w:r>
          </w:p>
        </w:tc>
      </w:tr>
    </w:tbl>
    <w:p w14:paraId="499261EF" w14:textId="77777777" w:rsidR="00FF30E4" w:rsidRPr="00D629F5" w:rsidRDefault="00FF30E4" w:rsidP="00FF30E4">
      <w:pPr>
        <w:rPr>
          <w:sz w:val="20"/>
          <w:szCs w:val="20"/>
          <w:lang w:val="fr-FR"/>
        </w:rPr>
        <w:sectPr w:rsidR="00FF30E4" w:rsidRPr="00D629F5">
          <w:pgSz w:w="16838" w:h="11906" w:orient="landscape"/>
          <w:pgMar w:top="1440" w:right="1440" w:bottom="1440" w:left="1440" w:header="720" w:footer="720" w:gutter="0"/>
          <w:cols w:space="720"/>
        </w:sectPr>
      </w:pPr>
    </w:p>
    <w:p w14:paraId="0FC3E605" w14:textId="77777777" w:rsidR="00FF30E4" w:rsidRDefault="00FF30E4" w:rsidP="00FF30E4">
      <w:pPr>
        <w:rPr>
          <w:b/>
          <w:bCs w:val="0"/>
          <w:sz w:val="24"/>
          <w:szCs w:val="24"/>
          <w:lang w:val="fr-FR"/>
        </w:rPr>
      </w:pPr>
      <w:r w:rsidRPr="00D629F5">
        <w:rPr>
          <w:b/>
          <w:sz w:val="24"/>
          <w:szCs w:val="24"/>
          <w:lang w:val="fr-FR"/>
        </w:rPr>
        <w:t>Appendice</w:t>
      </w:r>
      <w:r>
        <w:rPr>
          <w:b/>
          <w:sz w:val="24"/>
          <w:szCs w:val="24"/>
          <w:lang w:val="fr-FR"/>
        </w:rPr>
        <w:t xml:space="preserve"> 2</w:t>
      </w:r>
    </w:p>
    <w:p w14:paraId="695BF946" w14:textId="77777777" w:rsidR="00FF30E4" w:rsidRDefault="00FF30E4" w:rsidP="00FF30E4">
      <w:pPr>
        <w:rPr>
          <w:sz w:val="24"/>
          <w:szCs w:val="24"/>
          <w:lang w:val="fr-FR"/>
        </w:rPr>
      </w:pPr>
      <w:r>
        <w:rPr>
          <w:b/>
          <w:sz w:val="24"/>
          <w:szCs w:val="24"/>
          <w:lang w:val="fr-FR"/>
        </w:rPr>
        <w:t>Utiliser une procédure d’évaluation de la confiance</w:t>
      </w:r>
    </w:p>
    <w:p w14:paraId="0876D9C2" w14:textId="77777777" w:rsidR="00FF30E4" w:rsidRDefault="00FF30E4" w:rsidP="00FF30E4">
      <w:pPr>
        <w:rPr>
          <w:b/>
          <w:bCs w:val="0"/>
          <w:sz w:val="24"/>
          <w:szCs w:val="24"/>
          <w:lang w:val="fr-FR"/>
        </w:rPr>
      </w:pPr>
    </w:p>
    <w:p w14:paraId="528CAD75" w14:textId="77777777" w:rsidR="00FF30E4" w:rsidRPr="00D629F5" w:rsidRDefault="00FF30E4" w:rsidP="00FF30E4">
      <w:pPr>
        <w:ind w:left="432" w:hanging="432"/>
        <w:rPr>
          <w:lang w:val="fr-FR"/>
        </w:rPr>
      </w:pPr>
      <w:r w:rsidRPr="00D629F5">
        <w:rPr>
          <w:lang w:val="fr-FR"/>
        </w:rPr>
        <w:t>1.</w:t>
      </w:r>
      <w:r w:rsidRPr="00D629F5">
        <w:rPr>
          <w:lang w:val="fr-FR"/>
        </w:rPr>
        <w:tab/>
        <w:t>Les Perspectives mondiales des zones humides doivent s’appuyer sur une évaluation rigoureuse des preuves. Il est donc recommandé d’utiliser des cadres d’évaluation de la confiance</w:t>
      </w:r>
      <w:r w:rsidRPr="00D629F5">
        <w:rPr>
          <w:rStyle w:val="FootnoteReference"/>
          <w:lang w:val="fr-FR"/>
        </w:rPr>
        <w:footnoteReference w:id="22"/>
      </w:r>
      <w:r w:rsidRPr="00D629F5">
        <w:rPr>
          <w:lang w:val="fr-FR"/>
        </w:rPr>
        <w:t xml:space="preserve">, dans lesquels un terme de confiance est attaché à chaque conclusion. Ces termes sont déduits à partir d’un examen de la quantité et de la qualité des preuves, ainsi que du niveau de concordance concernant les preuves. Sur la base de ces facteurs, on peut considérer quatre niveaux de confiance, à savoir :  </w:t>
      </w:r>
    </w:p>
    <w:p w14:paraId="79E7545E" w14:textId="77777777" w:rsidR="00FF30E4" w:rsidRPr="00D629F5" w:rsidRDefault="00FF30E4" w:rsidP="00FF30E4">
      <w:pPr>
        <w:ind w:left="432" w:hanging="432"/>
        <w:rPr>
          <w:lang w:val="fr-FR"/>
        </w:rPr>
      </w:pPr>
    </w:p>
    <w:p w14:paraId="3A9C8572" w14:textId="77777777" w:rsidR="00FF30E4" w:rsidRPr="00D629F5" w:rsidRDefault="00FF30E4" w:rsidP="00332D1A">
      <w:pPr>
        <w:pStyle w:val="ListParagraph"/>
        <w:numPr>
          <w:ilvl w:val="0"/>
          <w:numId w:val="21"/>
        </w:numPr>
        <w:ind w:left="810"/>
        <w:rPr>
          <w:lang w:val="fr-FR"/>
        </w:rPr>
      </w:pPr>
      <w:r w:rsidRPr="00D629F5">
        <w:rPr>
          <w:lang w:val="fr-FR"/>
        </w:rPr>
        <w:t xml:space="preserve">Bien établi : une méta-analyse exhaustive, d’autres synthèses ou des études indépendantes multiples qui concordent. </w:t>
      </w:r>
    </w:p>
    <w:p w14:paraId="21B84474" w14:textId="77777777" w:rsidR="00FF30E4" w:rsidRPr="00D629F5" w:rsidRDefault="00FF30E4" w:rsidP="00332D1A">
      <w:pPr>
        <w:pStyle w:val="ListParagraph"/>
        <w:numPr>
          <w:ilvl w:val="0"/>
          <w:numId w:val="21"/>
        </w:numPr>
        <w:ind w:left="810"/>
        <w:rPr>
          <w:lang w:val="fr-FR"/>
        </w:rPr>
      </w:pPr>
      <w:r w:rsidRPr="00D629F5">
        <w:rPr>
          <w:lang w:val="fr-FR"/>
        </w:rPr>
        <w:t xml:space="preserve">Établi mais incomplet : accord général, mais il n’existe qu’un nombre limité d’études ; pas de synthèse exhaustive et/ou les études existantes traitent de la question de manière imprécise. </w:t>
      </w:r>
    </w:p>
    <w:p w14:paraId="3526C80B" w14:textId="77777777" w:rsidR="00FF30E4" w:rsidRPr="00D629F5" w:rsidRDefault="00FF30E4" w:rsidP="00332D1A">
      <w:pPr>
        <w:pStyle w:val="ListParagraph"/>
        <w:numPr>
          <w:ilvl w:val="0"/>
          <w:numId w:val="21"/>
        </w:numPr>
        <w:ind w:left="810"/>
        <w:rPr>
          <w:lang w:val="fr-FR"/>
        </w:rPr>
      </w:pPr>
      <w:r w:rsidRPr="00D629F5">
        <w:rPr>
          <w:lang w:val="fr-FR"/>
        </w:rPr>
        <w:t xml:space="preserve">Controversé : il existe de multiples études indépendantes mais les conclusions ne concordent pas. </w:t>
      </w:r>
    </w:p>
    <w:p w14:paraId="2BD526CA" w14:textId="77777777" w:rsidR="00FF30E4" w:rsidRPr="00D629F5" w:rsidRDefault="00FF30E4" w:rsidP="00332D1A">
      <w:pPr>
        <w:pStyle w:val="ListParagraph"/>
        <w:numPr>
          <w:ilvl w:val="0"/>
          <w:numId w:val="21"/>
        </w:numPr>
        <w:ind w:left="810"/>
        <w:rPr>
          <w:lang w:val="fr-FR"/>
        </w:rPr>
      </w:pPr>
      <w:r w:rsidRPr="00D629F5">
        <w:rPr>
          <w:lang w:val="fr-FR"/>
        </w:rPr>
        <w:t>Non concluant : preuves limitées, reconnaissant d’importantes lacunes dans les connaissances.</w:t>
      </w:r>
    </w:p>
    <w:p w14:paraId="2B3DD03A" w14:textId="54D61F20" w:rsidR="00FF30E4" w:rsidRPr="00D629F5" w:rsidRDefault="00FF30E4" w:rsidP="00FF30E4">
      <w:pPr>
        <w:rPr>
          <w:lang w:val="fr-FR"/>
        </w:rPr>
      </w:pPr>
      <w:r w:rsidRPr="00D629F5">
        <w:rPr>
          <w:noProof/>
          <w:lang w:val="en-CA" w:eastAsia="en-CA"/>
        </w:rPr>
        <mc:AlternateContent>
          <mc:Choice Requires="wps">
            <w:drawing>
              <wp:anchor distT="0" distB="0" distL="114300" distR="114300" simplePos="0" relativeHeight="251659264" behindDoc="0" locked="0" layoutInCell="1" allowOverlap="1" wp14:anchorId="252A8C58" wp14:editId="6E808E0B">
                <wp:simplePos x="0" y="0"/>
                <wp:positionH relativeFrom="column">
                  <wp:posOffset>4348480</wp:posOffset>
                </wp:positionH>
                <wp:positionV relativeFrom="paragraph">
                  <wp:posOffset>118110</wp:posOffset>
                </wp:positionV>
                <wp:extent cx="1925320" cy="2458720"/>
                <wp:effectExtent l="0" t="0" r="17780" b="17780"/>
                <wp:wrapNone/>
                <wp:docPr id="693666579" name="Text Box 693666579"/>
                <wp:cNvGraphicFramePr/>
                <a:graphic xmlns:a="http://schemas.openxmlformats.org/drawingml/2006/main">
                  <a:graphicData uri="http://schemas.microsoft.com/office/word/2010/wordprocessingShape">
                    <wps:wsp>
                      <wps:cNvSpPr txBox="1"/>
                      <wps:spPr>
                        <a:xfrm>
                          <a:off x="0" y="0"/>
                          <a:ext cx="1925320" cy="2458720"/>
                        </a:xfrm>
                        <a:prstGeom prst="rect">
                          <a:avLst/>
                        </a:prstGeom>
                        <a:solidFill>
                          <a:schemeClr val="lt1"/>
                        </a:solidFill>
                        <a:ln w="6350">
                          <a:solidFill>
                            <a:prstClr val="black"/>
                          </a:solidFill>
                        </a:ln>
                      </wps:spPr>
                      <wps:txbx>
                        <w:txbxContent>
                          <w:p w14:paraId="099BD0E0" w14:textId="4E1A4042" w:rsidR="00FF30E4" w:rsidRDefault="00FF30E4" w:rsidP="00FF30E4">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2A8C58" id="Text Box 693666579" o:spid="_x0000_s1027" type="#_x0000_t202" style="position:absolute;margin-left:342.4pt;margin-top:9.3pt;width:151.6pt;height:1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" fillcolor="white [3201]" strokeweight=".5pt">
                <v:textbox>
                  <w:txbxContent>
                    <w:p w14:paraId="099BD0E0" w14:textId="4E1A4042" w:rsidR="00FF30E4" w:rsidRDefault="00FF30E4" w:rsidP="00FF30E4">
                      <w:pPr>
                        <w:rPr>
                          <w:lang w:val="fr-CA"/>
                        </w:rPr>
                      </w:pPr>
                    </w:p>
                  </w:txbxContent>
                </v:textbox>
              </v:shape>
            </w:pict>
          </mc:Fallback>
        </mc:AlternateContent>
      </w:r>
    </w:p>
    <w:p w14:paraId="7D6A076D" w14:textId="03A77859" w:rsidR="00FF30E4" w:rsidRPr="00D629F5" w:rsidRDefault="00FF30E4" w:rsidP="00FF30E4">
      <w:pPr>
        <w:rPr>
          <w:b/>
          <w:bCs w:val="0"/>
        </w:rPr>
      </w:pPr>
      <w:r w:rsidRPr="00D629F5">
        <w:rPr>
          <w:noProof/>
          <w:lang w:val="en-CA" w:eastAsia="en-CA"/>
        </w:rPr>
        <mc:AlternateContent>
          <mc:Choice Requires="wps">
            <w:drawing>
              <wp:anchor distT="0" distB="0" distL="114300" distR="114300" simplePos="0" relativeHeight="251660288" behindDoc="0" locked="0" layoutInCell="1" allowOverlap="1" wp14:anchorId="6C56E475" wp14:editId="4E3FE0FF">
                <wp:simplePos x="0" y="0"/>
                <wp:positionH relativeFrom="column">
                  <wp:posOffset>4378960</wp:posOffset>
                </wp:positionH>
                <wp:positionV relativeFrom="paragraph">
                  <wp:posOffset>2426335</wp:posOffset>
                </wp:positionV>
                <wp:extent cx="1950720" cy="1112520"/>
                <wp:effectExtent l="0" t="0" r="11430" b="11430"/>
                <wp:wrapNone/>
                <wp:docPr id="970844449" name="Text Box 970844449"/>
                <wp:cNvGraphicFramePr/>
                <a:graphic xmlns:a="http://schemas.openxmlformats.org/drawingml/2006/main">
                  <a:graphicData uri="http://schemas.microsoft.com/office/word/2010/wordprocessingShape">
                    <wps:wsp>
                      <wps:cNvSpPr txBox="1"/>
                      <wps:spPr>
                        <a:xfrm>
                          <a:off x="0" y="0"/>
                          <a:ext cx="1950720" cy="1112520"/>
                        </a:xfrm>
                        <a:prstGeom prst="rect">
                          <a:avLst/>
                        </a:prstGeom>
                        <a:solidFill>
                          <a:schemeClr val="lt1"/>
                        </a:solidFill>
                        <a:ln w="6350">
                          <a:solidFill>
                            <a:prstClr val="black"/>
                          </a:solidFill>
                        </a:ln>
                      </wps:spPr>
                      <wps:txbx>
                        <w:txbxContent>
                          <w:p w14:paraId="1CE0A209" w14:textId="45467DBC" w:rsidR="00FF30E4" w:rsidRDefault="00FF30E4" w:rsidP="00FF30E4">
                            <w:pPr>
                              <w:rPr>
                                <w:sz w:val="18"/>
                                <w:szCs w:val="18"/>
                                <w:lang w:val="fr-CA"/>
                              </w:rPr>
                            </w:pPr>
                            <w:r>
                              <w:rPr>
                                <w:b/>
                                <w:bCs w:val="0"/>
                                <w:sz w:val="18"/>
                                <w:szCs w:val="18"/>
                                <w:lang w:val="fr-CA"/>
                              </w:rPr>
                              <w:t xml:space="preserve">Figure SPM.A2 : </w:t>
                            </w:r>
                            <w:r>
                              <w:rPr>
                                <w:sz w:val="18"/>
                                <w:szCs w:val="18"/>
                                <w:vertAlign w:val="superscript"/>
                                <w:lang w:val="fr-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56E475" id="Text Box 970844449" o:spid="_x0000_s1028" type="#_x0000_t202" style="position:absolute;margin-left:344.8pt;margin-top:191.05pt;width:153.6pt;height: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" fillcolor="white [3201]" strokeweight=".5pt">
                <v:textbox>
                  <w:txbxContent>
                    <w:p w14:paraId="1CE0A209" w14:textId="45467DBC" w:rsidR="00FF30E4" w:rsidRDefault="00FF30E4" w:rsidP="00FF30E4">
                      <w:pPr>
                        <w:rPr>
                          <w:sz w:val="18"/>
                          <w:szCs w:val="18"/>
                          <w:lang w:val="fr-CA"/>
                        </w:rPr>
                      </w:pPr>
                      <w:r>
                        <w:rPr>
                          <w:b/>
                          <w:bCs w:val="0"/>
                          <w:sz w:val="18"/>
                          <w:szCs w:val="18"/>
                          <w:lang w:val="fr-CA"/>
                        </w:rPr>
                        <w:t xml:space="preserve">Figure SPM.A2 : </w:t>
                      </w:r>
                      <w:r>
                        <w:rPr>
                          <w:sz w:val="18"/>
                          <w:szCs w:val="18"/>
                          <w:vertAlign w:val="superscript"/>
                          <w:lang w:val="fr-CA"/>
                        </w:rPr>
                        <w:t>(1)</w:t>
                      </w:r>
                    </w:p>
                  </w:txbxContent>
                </v:textbox>
              </v:shape>
            </w:pict>
          </mc:Fallback>
        </mc:AlternateContent>
      </w:r>
      <w:r w:rsidRPr="00D629F5">
        <w:rPr>
          <w:b/>
          <w:noProof/>
          <w:lang w:val="en-CA" w:eastAsia="en-CA"/>
        </w:rPr>
        <w:drawing>
          <wp:inline distT="0" distB="0" distL="0" distR="0" wp14:anchorId="5C874A33" wp14:editId="7990D0BA">
            <wp:extent cx="3899417" cy="3778370"/>
            <wp:effectExtent l="0" t="0" r="6350" b="0"/>
            <wp:docPr id="2" name="Picture 2" descr="A diagram of a well-built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well-built model&#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7805" cy="3786498"/>
                    </a:xfrm>
                    <a:prstGeom prst="rect">
                      <a:avLst/>
                    </a:prstGeom>
                    <a:noFill/>
                    <a:ln>
                      <a:noFill/>
                    </a:ln>
                  </pic:spPr>
                </pic:pic>
              </a:graphicData>
            </a:graphic>
          </wp:inline>
        </w:drawing>
      </w:r>
    </w:p>
    <w:p w14:paraId="67ABCFF0" w14:textId="77777777" w:rsidR="00FF30E4" w:rsidRPr="00D629F5" w:rsidRDefault="00FF30E4" w:rsidP="00FF30E4"/>
    <w:tbl>
      <w:tblPr>
        <w:tblStyle w:val="TableGrid"/>
        <w:tblW w:w="0" w:type="auto"/>
        <w:tblLook w:val="04A0" w:firstRow="1" w:lastRow="0" w:firstColumn="1" w:lastColumn="0" w:noHBand="0" w:noVBand="1"/>
      </w:tblPr>
      <w:tblGrid>
        <w:gridCol w:w="4508"/>
        <w:gridCol w:w="4508"/>
      </w:tblGrid>
      <w:tr w:rsidR="006F153D" w14:paraId="7C15B64E" w14:textId="77777777" w:rsidTr="00A5295B">
        <w:tc>
          <w:tcPr>
            <w:tcW w:w="4508" w:type="dxa"/>
          </w:tcPr>
          <w:p w14:paraId="42B7136C" w14:textId="358B5D42" w:rsidR="006F153D" w:rsidRPr="00F71622" w:rsidRDefault="006F153D" w:rsidP="00A5295B">
            <w:pPr>
              <w:rPr>
                <w:sz w:val="20"/>
                <w:szCs w:val="20"/>
                <w:highlight w:val="yellow"/>
                <w:lang w:val="fr-FR"/>
              </w:rPr>
            </w:pPr>
            <w:r w:rsidRPr="00F71622">
              <w:rPr>
                <w:sz w:val="20"/>
                <w:szCs w:val="20"/>
                <w:highlight w:val="yellow"/>
                <w:lang w:val="fr-FR"/>
              </w:rPr>
              <w:t xml:space="preserve">Figura SPM.A2 – </w:t>
            </w:r>
            <w:r w:rsidRPr="00F71622">
              <w:rPr>
                <w:sz w:val="20"/>
                <w:szCs w:val="20"/>
                <w:highlight w:val="yellow"/>
                <w:lang w:val="fr-FR"/>
              </w:rPr>
              <w:t>texte en anglais</w:t>
            </w:r>
            <w:r w:rsidRPr="00F71622">
              <w:rPr>
                <w:sz w:val="20"/>
                <w:szCs w:val="20"/>
                <w:highlight w:val="yellow"/>
                <w:lang w:val="fr-FR"/>
              </w:rPr>
              <w:t xml:space="preserve"> </w:t>
            </w:r>
          </w:p>
        </w:tc>
        <w:tc>
          <w:tcPr>
            <w:tcW w:w="4508" w:type="dxa"/>
          </w:tcPr>
          <w:p w14:paraId="0470F28D" w14:textId="6AF6957F" w:rsidR="006F153D" w:rsidRPr="00F71622" w:rsidRDefault="006F153D" w:rsidP="00A5295B">
            <w:pPr>
              <w:rPr>
                <w:sz w:val="20"/>
                <w:szCs w:val="20"/>
                <w:lang w:val="es-ES"/>
              </w:rPr>
            </w:pPr>
            <w:r w:rsidRPr="00F71622">
              <w:rPr>
                <w:sz w:val="20"/>
                <w:szCs w:val="20"/>
                <w:highlight w:val="yellow"/>
                <w:lang w:val="es-ES"/>
              </w:rPr>
              <w:t>T</w:t>
            </w:r>
            <w:r w:rsidRPr="00F71622">
              <w:rPr>
                <w:sz w:val="20"/>
                <w:szCs w:val="20"/>
                <w:highlight w:val="yellow"/>
                <w:lang w:val="es-ES"/>
              </w:rPr>
              <w:t>raduction en français</w:t>
            </w:r>
          </w:p>
        </w:tc>
      </w:tr>
      <w:tr w:rsidR="006F153D" w14:paraId="5FC17620" w14:textId="77777777" w:rsidTr="00A5295B">
        <w:tc>
          <w:tcPr>
            <w:tcW w:w="4508" w:type="dxa"/>
          </w:tcPr>
          <w:p w14:paraId="67FFB92E" w14:textId="77777777" w:rsidR="006F153D" w:rsidRPr="00F71622" w:rsidRDefault="006F153D" w:rsidP="00A5295B">
            <w:pPr>
              <w:rPr>
                <w:sz w:val="20"/>
                <w:szCs w:val="20"/>
                <w:lang w:val="es-ES"/>
              </w:rPr>
            </w:pPr>
            <w:r w:rsidRPr="00F71622">
              <w:rPr>
                <w:sz w:val="20"/>
                <w:szCs w:val="20"/>
                <w:lang w:val="es-ES"/>
              </w:rPr>
              <w:t>Level of agreement</w:t>
            </w:r>
          </w:p>
        </w:tc>
        <w:tc>
          <w:tcPr>
            <w:tcW w:w="4508" w:type="dxa"/>
          </w:tcPr>
          <w:p w14:paraId="58701AD0" w14:textId="2D9D32D1" w:rsidR="006F153D" w:rsidRPr="00F71622" w:rsidRDefault="006F153D" w:rsidP="00A5295B">
            <w:pPr>
              <w:rPr>
                <w:sz w:val="20"/>
                <w:szCs w:val="20"/>
                <w:lang w:val="fr-CA"/>
              </w:rPr>
            </w:pPr>
            <w:r w:rsidRPr="00F71622">
              <w:rPr>
                <w:sz w:val="20"/>
                <w:szCs w:val="20"/>
                <w:lang w:val="fr-CA"/>
              </w:rPr>
              <w:t>Niveau de concordance</w:t>
            </w:r>
          </w:p>
        </w:tc>
      </w:tr>
      <w:tr w:rsidR="006F153D" w14:paraId="6010B52A" w14:textId="77777777" w:rsidTr="00A5295B">
        <w:tc>
          <w:tcPr>
            <w:tcW w:w="4508" w:type="dxa"/>
          </w:tcPr>
          <w:p w14:paraId="1BDD9E4A" w14:textId="77777777" w:rsidR="006F153D" w:rsidRPr="00F71622" w:rsidRDefault="006F153D" w:rsidP="00A5295B">
            <w:pPr>
              <w:rPr>
                <w:sz w:val="20"/>
                <w:szCs w:val="20"/>
                <w:lang w:val="es-ES"/>
              </w:rPr>
            </w:pPr>
            <w:r w:rsidRPr="00F71622">
              <w:rPr>
                <w:sz w:val="20"/>
                <w:szCs w:val="20"/>
                <w:lang w:val="es-ES"/>
              </w:rPr>
              <w:t>Certainty scale</w:t>
            </w:r>
          </w:p>
        </w:tc>
        <w:tc>
          <w:tcPr>
            <w:tcW w:w="4508" w:type="dxa"/>
          </w:tcPr>
          <w:p w14:paraId="200E4F9B" w14:textId="46EA71C5" w:rsidR="006F153D" w:rsidRPr="00F71622" w:rsidRDefault="006F153D" w:rsidP="00A5295B">
            <w:pPr>
              <w:rPr>
                <w:sz w:val="20"/>
                <w:szCs w:val="20"/>
                <w:lang w:val="fr-CA"/>
              </w:rPr>
            </w:pPr>
            <w:r w:rsidRPr="00F71622">
              <w:rPr>
                <w:sz w:val="20"/>
                <w:szCs w:val="20"/>
                <w:lang w:val="fr-CA"/>
              </w:rPr>
              <w:t>Niveau de certitude</w:t>
            </w:r>
          </w:p>
        </w:tc>
      </w:tr>
      <w:tr w:rsidR="006F153D" w:rsidRPr="006F153D" w14:paraId="26DD9EC1" w14:textId="77777777" w:rsidTr="00A5295B">
        <w:tc>
          <w:tcPr>
            <w:tcW w:w="4508" w:type="dxa"/>
          </w:tcPr>
          <w:p w14:paraId="7C02ED83" w14:textId="77777777" w:rsidR="006F153D" w:rsidRPr="00F71622" w:rsidRDefault="006F153D" w:rsidP="00A5295B">
            <w:pPr>
              <w:rPr>
                <w:sz w:val="20"/>
                <w:szCs w:val="20"/>
                <w:lang w:val="en-GB"/>
              </w:rPr>
            </w:pPr>
            <w:r w:rsidRPr="00F71622">
              <w:rPr>
                <w:sz w:val="20"/>
                <w:szCs w:val="20"/>
                <w:lang w:val="en-GB"/>
              </w:rPr>
              <w:t>Quantity and quality of the evidence</w:t>
            </w:r>
          </w:p>
        </w:tc>
        <w:tc>
          <w:tcPr>
            <w:tcW w:w="4508" w:type="dxa"/>
          </w:tcPr>
          <w:p w14:paraId="175EB1F4" w14:textId="0610A083" w:rsidR="006F153D" w:rsidRPr="00F71622" w:rsidRDefault="00F71622" w:rsidP="00A5295B">
            <w:pPr>
              <w:rPr>
                <w:sz w:val="20"/>
                <w:szCs w:val="20"/>
                <w:lang w:val="fr-CA"/>
              </w:rPr>
            </w:pPr>
            <w:r w:rsidRPr="00F71622">
              <w:rPr>
                <w:sz w:val="20"/>
                <w:szCs w:val="20"/>
                <w:lang w:val="fr-CA"/>
              </w:rPr>
              <w:t>Quantité et qualité des preuves</w:t>
            </w:r>
          </w:p>
        </w:tc>
      </w:tr>
      <w:tr w:rsidR="006F153D" w14:paraId="0DDB8618" w14:textId="77777777" w:rsidTr="00A5295B">
        <w:tc>
          <w:tcPr>
            <w:tcW w:w="4508" w:type="dxa"/>
          </w:tcPr>
          <w:p w14:paraId="1F202609" w14:textId="77777777" w:rsidR="006F153D" w:rsidRPr="00F71622" w:rsidRDefault="006F153D" w:rsidP="00A5295B">
            <w:pPr>
              <w:rPr>
                <w:sz w:val="20"/>
                <w:szCs w:val="20"/>
                <w:lang w:val="es-ES"/>
              </w:rPr>
            </w:pPr>
            <w:r w:rsidRPr="00F71622">
              <w:rPr>
                <w:sz w:val="20"/>
                <w:szCs w:val="20"/>
                <w:lang w:val="es-ES"/>
              </w:rPr>
              <w:t>High</w:t>
            </w:r>
          </w:p>
        </w:tc>
        <w:tc>
          <w:tcPr>
            <w:tcW w:w="4508" w:type="dxa"/>
          </w:tcPr>
          <w:p w14:paraId="2F5FEB88" w14:textId="74CE2D8C" w:rsidR="006F153D" w:rsidRPr="00F71622" w:rsidRDefault="006F153D" w:rsidP="00A5295B">
            <w:pPr>
              <w:rPr>
                <w:sz w:val="20"/>
                <w:szCs w:val="20"/>
                <w:lang w:val="fr-CA"/>
              </w:rPr>
            </w:pPr>
            <w:r w:rsidRPr="00F71622">
              <w:rPr>
                <w:sz w:val="20"/>
                <w:szCs w:val="20"/>
                <w:lang w:val="fr-CA"/>
              </w:rPr>
              <w:t>Élevé</w:t>
            </w:r>
          </w:p>
        </w:tc>
      </w:tr>
      <w:tr w:rsidR="006F153D" w14:paraId="4AB53049" w14:textId="77777777" w:rsidTr="00A5295B">
        <w:tc>
          <w:tcPr>
            <w:tcW w:w="4508" w:type="dxa"/>
          </w:tcPr>
          <w:p w14:paraId="39B3F759" w14:textId="77777777" w:rsidR="006F153D" w:rsidRPr="00F71622" w:rsidRDefault="006F153D" w:rsidP="00A5295B">
            <w:pPr>
              <w:rPr>
                <w:sz w:val="20"/>
                <w:szCs w:val="20"/>
                <w:lang w:val="es-ES"/>
              </w:rPr>
            </w:pPr>
            <w:r w:rsidRPr="00F71622">
              <w:rPr>
                <w:sz w:val="20"/>
                <w:szCs w:val="20"/>
                <w:lang w:val="es-ES"/>
              </w:rPr>
              <w:t>Low</w:t>
            </w:r>
          </w:p>
        </w:tc>
        <w:tc>
          <w:tcPr>
            <w:tcW w:w="4508" w:type="dxa"/>
          </w:tcPr>
          <w:p w14:paraId="4824E6C0" w14:textId="71B2D1E0" w:rsidR="006F153D" w:rsidRPr="00F71622" w:rsidRDefault="006F153D" w:rsidP="00A5295B">
            <w:pPr>
              <w:rPr>
                <w:sz w:val="20"/>
                <w:szCs w:val="20"/>
                <w:lang w:val="fr-CA"/>
              </w:rPr>
            </w:pPr>
            <w:r w:rsidRPr="00F71622">
              <w:rPr>
                <w:sz w:val="20"/>
                <w:szCs w:val="20"/>
                <w:lang w:val="fr-CA"/>
              </w:rPr>
              <w:t>Faible</w:t>
            </w:r>
          </w:p>
        </w:tc>
      </w:tr>
      <w:tr w:rsidR="006F153D" w14:paraId="75855ED9" w14:textId="77777777" w:rsidTr="00A5295B">
        <w:tc>
          <w:tcPr>
            <w:tcW w:w="4508" w:type="dxa"/>
          </w:tcPr>
          <w:p w14:paraId="240A46E0" w14:textId="77777777" w:rsidR="006F153D" w:rsidRPr="00F71622" w:rsidRDefault="006F153D" w:rsidP="00A5295B">
            <w:pPr>
              <w:rPr>
                <w:sz w:val="20"/>
                <w:szCs w:val="20"/>
                <w:lang w:val="es-ES"/>
              </w:rPr>
            </w:pPr>
            <w:r w:rsidRPr="00F71622">
              <w:rPr>
                <w:sz w:val="20"/>
                <w:szCs w:val="20"/>
                <w:lang w:val="es-ES"/>
              </w:rPr>
              <w:t>Robust</w:t>
            </w:r>
          </w:p>
        </w:tc>
        <w:tc>
          <w:tcPr>
            <w:tcW w:w="4508" w:type="dxa"/>
          </w:tcPr>
          <w:p w14:paraId="394DB77F" w14:textId="082EE724" w:rsidR="006F153D" w:rsidRPr="00F71622" w:rsidRDefault="006F153D" w:rsidP="00A5295B">
            <w:pPr>
              <w:rPr>
                <w:sz w:val="20"/>
                <w:szCs w:val="20"/>
                <w:lang w:val="fr-CA"/>
              </w:rPr>
            </w:pPr>
            <w:r w:rsidRPr="00F71622">
              <w:rPr>
                <w:sz w:val="20"/>
                <w:szCs w:val="20"/>
                <w:lang w:val="fr-CA"/>
              </w:rPr>
              <w:t>Robuste</w:t>
            </w:r>
          </w:p>
        </w:tc>
      </w:tr>
      <w:tr w:rsidR="006F153D" w14:paraId="7EF0116B" w14:textId="77777777" w:rsidTr="00A5295B">
        <w:tc>
          <w:tcPr>
            <w:tcW w:w="4508" w:type="dxa"/>
          </w:tcPr>
          <w:p w14:paraId="18949143" w14:textId="77777777" w:rsidR="006F153D" w:rsidRPr="00F71622" w:rsidRDefault="006F153D" w:rsidP="00A5295B">
            <w:pPr>
              <w:rPr>
                <w:sz w:val="20"/>
                <w:szCs w:val="20"/>
                <w:lang w:val="es-ES"/>
              </w:rPr>
            </w:pPr>
            <w:r w:rsidRPr="00F71622">
              <w:rPr>
                <w:sz w:val="20"/>
                <w:szCs w:val="20"/>
                <w:lang w:val="es-ES"/>
              </w:rPr>
              <w:t>Established but incomplete</w:t>
            </w:r>
          </w:p>
        </w:tc>
        <w:tc>
          <w:tcPr>
            <w:tcW w:w="4508" w:type="dxa"/>
          </w:tcPr>
          <w:p w14:paraId="16957682" w14:textId="52FC3D5F" w:rsidR="006F153D" w:rsidRPr="00F71622" w:rsidRDefault="006F153D" w:rsidP="00A5295B">
            <w:pPr>
              <w:rPr>
                <w:sz w:val="20"/>
                <w:szCs w:val="20"/>
                <w:lang w:val="fr-CA"/>
              </w:rPr>
            </w:pPr>
            <w:r w:rsidRPr="00F71622">
              <w:rPr>
                <w:sz w:val="20"/>
                <w:szCs w:val="20"/>
                <w:lang w:val="fr-CA"/>
              </w:rPr>
              <w:t>Établi mais incomplet</w:t>
            </w:r>
          </w:p>
        </w:tc>
      </w:tr>
      <w:tr w:rsidR="006F153D" w14:paraId="12F0B7C4" w14:textId="77777777" w:rsidTr="00A5295B">
        <w:tc>
          <w:tcPr>
            <w:tcW w:w="4508" w:type="dxa"/>
          </w:tcPr>
          <w:p w14:paraId="5AD93EEA" w14:textId="77777777" w:rsidR="006F153D" w:rsidRPr="00F71622" w:rsidRDefault="006F153D" w:rsidP="00A5295B">
            <w:pPr>
              <w:rPr>
                <w:sz w:val="20"/>
                <w:szCs w:val="20"/>
                <w:lang w:val="es-ES"/>
              </w:rPr>
            </w:pPr>
            <w:r w:rsidRPr="00F71622">
              <w:rPr>
                <w:sz w:val="20"/>
                <w:szCs w:val="20"/>
                <w:lang w:val="es-ES"/>
              </w:rPr>
              <w:t>Well established</w:t>
            </w:r>
          </w:p>
        </w:tc>
        <w:tc>
          <w:tcPr>
            <w:tcW w:w="4508" w:type="dxa"/>
          </w:tcPr>
          <w:p w14:paraId="5B4F7963" w14:textId="34674A0E" w:rsidR="006F153D" w:rsidRPr="00F71622" w:rsidRDefault="006F153D" w:rsidP="00A5295B">
            <w:pPr>
              <w:rPr>
                <w:sz w:val="20"/>
                <w:szCs w:val="20"/>
                <w:lang w:val="fr-CA"/>
              </w:rPr>
            </w:pPr>
            <w:r w:rsidRPr="00F71622">
              <w:rPr>
                <w:sz w:val="20"/>
                <w:szCs w:val="20"/>
                <w:lang w:val="fr-CA"/>
              </w:rPr>
              <w:t>Bien établi</w:t>
            </w:r>
          </w:p>
        </w:tc>
      </w:tr>
      <w:tr w:rsidR="006F153D" w14:paraId="75D6A6EC" w14:textId="77777777" w:rsidTr="00A5295B">
        <w:tc>
          <w:tcPr>
            <w:tcW w:w="4508" w:type="dxa"/>
          </w:tcPr>
          <w:p w14:paraId="37C683CA" w14:textId="77777777" w:rsidR="006F153D" w:rsidRPr="00F71622" w:rsidRDefault="006F153D" w:rsidP="00A5295B">
            <w:pPr>
              <w:rPr>
                <w:sz w:val="20"/>
                <w:szCs w:val="20"/>
                <w:lang w:val="es-ES"/>
              </w:rPr>
            </w:pPr>
            <w:r w:rsidRPr="00F71622">
              <w:rPr>
                <w:sz w:val="20"/>
                <w:szCs w:val="20"/>
                <w:lang w:val="es-ES"/>
              </w:rPr>
              <w:t>Inconclusive</w:t>
            </w:r>
          </w:p>
        </w:tc>
        <w:tc>
          <w:tcPr>
            <w:tcW w:w="4508" w:type="dxa"/>
          </w:tcPr>
          <w:p w14:paraId="55BAAEF4" w14:textId="79D2B456" w:rsidR="006F153D" w:rsidRPr="00F71622" w:rsidRDefault="00F71622" w:rsidP="00A5295B">
            <w:pPr>
              <w:rPr>
                <w:sz w:val="20"/>
                <w:szCs w:val="20"/>
                <w:lang w:val="fr-CA"/>
              </w:rPr>
            </w:pPr>
            <w:r w:rsidRPr="00F71622">
              <w:rPr>
                <w:sz w:val="20"/>
                <w:szCs w:val="20"/>
                <w:lang w:val="fr-CA"/>
              </w:rPr>
              <w:t>Non concluant</w:t>
            </w:r>
          </w:p>
        </w:tc>
      </w:tr>
      <w:tr w:rsidR="006F153D" w14:paraId="75C26770" w14:textId="77777777" w:rsidTr="00A5295B">
        <w:tc>
          <w:tcPr>
            <w:tcW w:w="4508" w:type="dxa"/>
          </w:tcPr>
          <w:p w14:paraId="46CE953C" w14:textId="77777777" w:rsidR="006F153D" w:rsidRPr="00F71622" w:rsidRDefault="006F153D" w:rsidP="00A5295B">
            <w:pPr>
              <w:rPr>
                <w:sz w:val="20"/>
                <w:szCs w:val="20"/>
                <w:lang w:val="es-ES"/>
              </w:rPr>
            </w:pPr>
            <w:r w:rsidRPr="00F71622">
              <w:rPr>
                <w:sz w:val="20"/>
                <w:szCs w:val="20"/>
                <w:lang w:val="es-ES"/>
              </w:rPr>
              <w:t>Unresolved</w:t>
            </w:r>
          </w:p>
        </w:tc>
        <w:tc>
          <w:tcPr>
            <w:tcW w:w="4508" w:type="dxa"/>
          </w:tcPr>
          <w:p w14:paraId="7E3FEF0B" w14:textId="7E681176" w:rsidR="006F153D" w:rsidRPr="00F71622" w:rsidRDefault="00F71622" w:rsidP="00A5295B">
            <w:pPr>
              <w:rPr>
                <w:sz w:val="20"/>
                <w:szCs w:val="20"/>
                <w:lang w:val="fr-CA"/>
              </w:rPr>
            </w:pPr>
            <w:r w:rsidRPr="00F71622">
              <w:rPr>
                <w:sz w:val="20"/>
                <w:szCs w:val="20"/>
                <w:lang w:val="fr-CA"/>
              </w:rPr>
              <w:t>Controversé</w:t>
            </w:r>
          </w:p>
        </w:tc>
      </w:tr>
      <w:tr w:rsidR="006F153D" w14:paraId="299BE532" w14:textId="77777777" w:rsidTr="00A5295B">
        <w:tc>
          <w:tcPr>
            <w:tcW w:w="4508" w:type="dxa"/>
          </w:tcPr>
          <w:p w14:paraId="3E072A00" w14:textId="77777777" w:rsidR="006F153D" w:rsidRPr="00F71622" w:rsidRDefault="006F153D" w:rsidP="00A5295B">
            <w:pPr>
              <w:rPr>
                <w:sz w:val="20"/>
                <w:szCs w:val="20"/>
                <w:lang w:val="es-ES"/>
              </w:rPr>
            </w:pPr>
            <w:r w:rsidRPr="00F71622">
              <w:rPr>
                <w:sz w:val="20"/>
                <w:szCs w:val="20"/>
                <w:lang w:val="en-GB"/>
              </w:rPr>
              <w:t xml:space="preserve">The four-box model for the qualitative communication of evidence. Confidence increases towards the top-right corner as suggested by the increasing strength of shading. </w:t>
            </w:r>
            <w:r w:rsidRPr="00F71622">
              <w:rPr>
                <w:sz w:val="20"/>
                <w:szCs w:val="20"/>
                <w:lang w:val="es-ES"/>
              </w:rPr>
              <w:t>Source: modified from Moss and Schneider (2000)</w:t>
            </w:r>
          </w:p>
        </w:tc>
        <w:tc>
          <w:tcPr>
            <w:tcW w:w="4508" w:type="dxa"/>
          </w:tcPr>
          <w:p w14:paraId="33E314A6" w14:textId="43784CA0" w:rsidR="006F153D" w:rsidRPr="00F71622" w:rsidRDefault="00F71622" w:rsidP="00A5295B">
            <w:pPr>
              <w:rPr>
                <w:sz w:val="20"/>
                <w:szCs w:val="20"/>
                <w:lang w:val="es-ES"/>
              </w:rPr>
            </w:pPr>
            <w:r w:rsidRPr="00F71622">
              <w:rPr>
                <w:sz w:val="20"/>
                <w:szCs w:val="20"/>
                <w:lang w:val="fr-CA"/>
              </w:rPr>
              <w:t>Modèle à quatre boîtes pour la communication qualitative de la confiance. La confiance augmente vers le coin droit, en haut, comme suggéré par l’ombrage croissant. Source : modifié de Moss et Schneider (2000).</w:t>
            </w:r>
          </w:p>
        </w:tc>
      </w:tr>
    </w:tbl>
    <w:p w14:paraId="45552765" w14:textId="326E8B01" w:rsidR="00FF30E4" w:rsidRPr="00D629F5" w:rsidRDefault="00FF30E4" w:rsidP="00FF30E4"/>
    <w:p w14:paraId="6CECE2F8" w14:textId="77777777" w:rsidR="00F71622" w:rsidRDefault="00F71622">
      <w:pPr>
        <w:spacing w:after="160" w:line="259" w:lineRule="auto"/>
        <w:rPr>
          <w:b/>
          <w:bCs w:val="0"/>
          <w:sz w:val="24"/>
          <w:szCs w:val="24"/>
          <w:lang w:val="fr-FR"/>
        </w:rPr>
      </w:pPr>
      <w:r>
        <w:rPr>
          <w:b/>
          <w:bCs w:val="0"/>
          <w:sz w:val="24"/>
          <w:szCs w:val="24"/>
          <w:lang w:val="fr-FR"/>
        </w:rPr>
        <w:br w:type="page"/>
      </w:r>
    </w:p>
    <w:p w14:paraId="6ED5152C" w14:textId="7920731C" w:rsidR="00FF30E4" w:rsidRDefault="00FF30E4" w:rsidP="00FF30E4">
      <w:pPr>
        <w:rPr>
          <w:b/>
          <w:bCs w:val="0"/>
          <w:sz w:val="24"/>
          <w:szCs w:val="24"/>
          <w:lang w:val="fr-FR"/>
        </w:rPr>
      </w:pPr>
      <w:r>
        <w:rPr>
          <w:b/>
          <w:bCs w:val="0"/>
          <w:sz w:val="24"/>
          <w:szCs w:val="24"/>
          <w:lang w:val="fr-FR"/>
        </w:rPr>
        <w:t>Annexe 5</w:t>
      </w:r>
    </w:p>
    <w:p w14:paraId="7F9A1DC2" w14:textId="77777777" w:rsidR="00FF30E4" w:rsidRDefault="00FF30E4" w:rsidP="00FF30E4">
      <w:pPr>
        <w:rPr>
          <w:b/>
          <w:bCs w:val="0"/>
          <w:sz w:val="24"/>
          <w:szCs w:val="24"/>
          <w:lang w:val="fr-FR"/>
        </w:rPr>
      </w:pPr>
      <w:r>
        <w:rPr>
          <w:b/>
          <w:bCs w:val="0"/>
          <w:sz w:val="24"/>
          <w:szCs w:val="24"/>
          <w:lang w:val="fr-FR"/>
        </w:rPr>
        <w:t xml:space="preserve">Comment financer la création du Partenariat pour les estimations des populations d’oiseaux d’eau et la publication de l’édition 2027 de Waterbird Population Estimates </w:t>
      </w:r>
    </w:p>
    <w:p w14:paraId="5674A784" w14:textId="77777777" w:rsidR="00FF30E4" w:rsidRDefault="00FF30E4" w:rsidP="00FF30E4">
      <w:pPr>
        <w:rPr>
          <w:sz w:val="24"/>
          <w:szCs w:val="24"/>
          <w:lang w:val="fr-FR"/>
        </w:rPr>
      </w:pPr>
    </w:p>
    <w:p w14:paraId="544B5F86" w14:textId="77777777" w:rsidR="00FF30E4" w:rsidRPr="00D629F5" w:rsidRDefault="00FF30E4" w:rsidP="00FF30E4">
      <w:pPr>
        <w:ind w:left="432" w:hanging="432"/>
        <w:rPr>
          <w:lang w:val="fr-FR"/>
        </w:rPr>
      </w:pPr>
      <w:r w:rsidRPr="00D629F5">
        <w:rPr>
          <w:lang w:val="fr-FR"/>
        </w:rPr>
        <w:t>1.</w:t>
      </w:r>
      <w:r w:rsidRPr="00D629F5">
        <w:rPr>
          <w:lang w:val="fr-FR"/>
        </w:rPr>
        <w:tab/>
        <w:t xml:space="preserve">Conformément à la Décision SC63-31, le GEST, en collaboration avec ses partenaires, a soumis un projet de résolution sur la création du Partenariat pour les estimations des populations d’oiseaux d’eau (WEP) et la publication de l’édition 2027 de Waterbird Population Estimates (WPE2027). La présente annexe présente les recommandations relatives au financement du WEP et des WPE2027 avant la consultation qui aura lieu avec le Sous-groupe sur les finances, en décembre 2024. </w:t>
      </w:r>
    </w:p>
    <w:p w14:paraId="6A9C7916" w14:textId="77777777" w:rsidR="00FF30E4" w:rsidRPr="00D629F5" w:rsidRDefault="00FF30E4" w:rsidP="00FF30E4">
      <w:pPr>
        <w:rPr>
          <w:lang w:val="fr-FR"/>
        </w:rPr>
      </w:pPr>
    </w:p>
    <w:p w14:paraId="0FDE1FEE" w14:textId="77777777" w:rsidR="00FF30E4" w:rsidRPr="00D629F5" w:rsidRDefault="00FF30E4" w:rsidP="00FF30E4">
      <w:pPr>
        <w:ind w:left="432" w:hanging="432"/>
        <w:rPr>
          <w:lang w:val="fr-FR"/>
        </w:rPr>
      </w:pPr>
      <w:r w:rsidRPr="00D629F5">
        <w:rPr>
          <w:lang w:val="fr-FR"/>
        </w:rPr>
        <w:t>2.</w:t>
      </w:r>
      <w:r w:rsidRPr="00D629F5">
        <w:rPr>
          <w:lang w:val="fr-FR"/>
        </w:rPr>
        <w:tab/>
        <w:t>La présente annexe contient des informations détaillées sur le financement nécessaire à la production des WPE2027 et la création du Partenariat pour les estimations des populations d’oiseaux d’eau (WEP) en vue de remédier au manque de données actualisées sur les populations d’oiseaux d’eau prioritaires. Le WEP supervisera, coordonnera et trouvera des ressources pour les mises à jour futures des estimations des populations d’oiseaux d’eau.</w:t>
      </w:r>
    </w:p>
    <w:p w14:paraId="577BA641" w14:textId="77777777" w:rsidR="00FF30E4" w:rsidRPr="00D629F5" w:rsidRDefault="00FF30E4" w:rsidP="00FF30E4">
      <w:pPr>
        <w:rPr>
          <w:lang w:val="fr-FR"/>
        </w:rPr>
      </w:pPr>
    </w:p>
    <w:p w14:paraId="3DA5FFAD" w14:textId="77777777" w:rsidR="00FF30E4" w:rsidRPr="00D629F5" w:rsidRDefault="00FF30E4" w:rsidP="00FF30E4">
      <w:pPr>
        <w:rPr>
          <w:b/>
          <w:bCs w:val="0"/>
          <w:lang w:val="fr-FR"/>
        </w:rPr>
      </w:pPr>
      <w:r w:rsidRPr="00D629F5">
        <w:rPr>
          <w:b/>
          <w:lang w:val="fr-FR"/>
        </w:rPr>
        <w:t>Incidences de la réalisation des WPE2027 et du WEP en matière de ressources</w:t>
      </w:r>
    </w:p>
    <w:p w14:paraId="244E778D" w14:textId="77777777" w:rsidR="00FF30E4" w:rsidRPr="00D629F5" w:rsidRDefault="00FF30E4" w:rsidP="00FF30E4">
      <w:pPr>
        <w:rPr>
          <w:lang w:val="fr-FR"/>
        </w:rPr>
      </w:pPr>
    </w:p>
    <w:p w14:paraId="714D1EAE" w14:textId="77777777" w:rsidR="00FF30E4" w:rsidRPr="00D629F5" w:rsidRDefault="00FF30E4" w:rsidP="00FF30E4">
      <w:pPr>
        <w:ind w:left="432" w:hanging="432"/>
        <w:rPr>
          <w:lang w:val="fr-FR"/>
        </w:rPr>
      </w:pPr>
      <w:r w:rsidRPr="00D629F5">
        <w:rPr>
          <w:rFonts w:eastAsia="Calibri"/>
          <w:lang w:val="fr-FR"/>
        </w:rPr>
        <w:t>3.</w:t>
      </w:r>
      <w:r w:rsidRPr="00D629F5">
        <w:rPr>
          <w:rFonts w:eastAsia="Calibri"/>
          <w:lang w:val="fr-FR"/>
        </w:rPr>
        <w:tab/>
        <w:t xml:space="preserve">Les incidences prévues, du point de vue des ressources, de la création du Partenariat pour les estimations des populations d’oiseaux d’eau et de la production des </w:t>
      </w:r>
      <w:r w:rsidRPr="00D629F5">
        <w:rPr>
          <w:lang w:val="fr-FR"/>
        </w:rPr>
        <w:t>WPE2027 sont les suivantes :</w:t>
      </w:r>
    </w:p>
    <w:p w14:paraId="369EFDD6" w14:textId="77777777" w:rsidR="00FF30E4" w:rsidRPr="00D629F5" w:rsidRDefault="00FF30E4" w:rsidP="00332D1A">
      <w:pPr>
        <w:pStyle w:val="ListParagraph"/>
        <w:numPr>
          <w:ilvl w:val="0"/>
          <w:numId w:val="9"/>
        </w:numPr>
        <w:ind w:left="810"/>
        <w:rPr>
          <w:lang w:val="fr-FR"/>
        </w:rPr>
      </w:pPr>
      <w:r w:rsidRPr="00D629F5">
        <w:rPr>
          <w:b/>
          <w:lang w:val="fr-FR"/>
        </w:rPr>
        <w:t>Création du Partenariat :</w:t>
      </w:r>
      <w:r w:rsidRPr="00D629F5">
        <w:rPr>
          <w:lang w:val="fr-FR"/>
        </w:rPr>
        <w:t xml:space="preserve"> Coûts des consultations, de l’engagement des partenaires et de la documentation, estimés à 38 047 CHF.</w:t>
      </w:r>
    </w:p>
    <w:p w14:paraId="0C7CC1B4" w14:textId="77777777" w:rsidR="00FF30E4" w:rsidRPr="00D629F5" w:rsidRDefault="00FF30E4" w:rsidP="00332D1A">
      <w:pPr>
        <w:pStyle w:val="ListParagraph"/>
        <w:numPr>
          <w:ilvl w:val="0"/>
          <w:numId w:val="9"/>
        </w:numPr>
        <w:ind w:left="810"/>
        <w:rPr>
          <w:lang w:val="fr-FR"/>
        </w:rPr>
      </w:pPr>
      <w:r w:rsidRPr="00D629F5">
        <w:rPr>
          <w:b/>
          <w:lang w:val="fr-FR"/>
        </w:rPr>
        <w:t>Mises à jour WPE2027 :</w:t>
      </w:r>
      <w:r w:rsidRPr="00D629F5">
        <w:rPr>
          <w:lang w:val="fr-FR"/>
        </w:rPr>
        <w:t xml:space="preserve"> Le coût estimé de la mise à jour des estimations pour 1600 populations d’oiseaux d’eau à travers de multiples régions est de 366 076 CHF. Cela comprend la collecte de données, l’analyse et les consultations d’experts.</w:t>
      </w:r>
    </w:p>
    <w:p w14:paraId="291FCA65" w14:textId="77777777" w:rsidR="00FF30E4" w:rsidRPr="00D629F5" w:rsidRDefault="00FF30E4" w:rsidP="00332D1A">
      <w:pPr>
        <w:pStyle w:val="ListParagraph"/>
        <w:numPr>
          <w:ilvl w:val="0"/>
          <w:numId w:val="9"/>
        </w:numPr>
        <w:ind w:left="810"/>
        <w:rPr>
          <w:lang w:val="fr-FR"/>
        </w:rPr>
      </w:pPr>
      <w:r w:rsidRPr="00D629F5">
        <w:rPr>
          <w:b/>
          <w:lang w:val="fr-FR"/>
        </w:rPr>
        <w:t xml:space="preserve">Maintien du Waterbirds Populations Portal </w:t>
      </w:r>
      <w:r w:rsidRPr="00D629F5">
        <w:rPr>
          <w:bCs w:val="0"/>
          <w:lang w:val="fr-FR"/>
        </w:rPr>
        <w:t>(Portail pour les populations d’oiseaux d’eau)</w:t>
      </w:r>
      <w:r w:rsidRPr="00D629F5">
        <w:rPr>
          <w:b/>
          <w:lang w:val="fr-FR"/>
        </w:rPr>
        <w:t> </w:t>
      </w:r>
      <w:r w:rsidRPr="00D629F5">
        <w:rPr>
          <w:b/>
          <w:bCs w:val="0"/>
          <w:lang w:val="fr-FR"/>
        </w:rPr>
        <w:t>:</w:t>
      </w:r>
      <w:r w:rsidRPr="00D629F5">
        <w:rPr>
          <w:lang w:val="fr-FR"/>
        </w:rPr>
        <w:t xml:space="preserve"> 61 234 CHF pour des améliorations et la correction de bugs afin d’améliorer l’opérabilité du Portail pour les Parties contractantes.  </w:t>
      </w:r>
    </w:p>
    <w:p w14:paraId="43A43A6A" w14:textId="77777777" w:rsidR="00FF30E4" w:rsidRPr="00D629F5" w:rsidRDefault="00FF30E4" w:rsidP="00FF30E4">
      <w:pPr>
        <w:rPr>
          <w:lang w:val="fr-FR"/>
        </w:rPr>
      </w:pPr>
    </w:p>
    <w:p w14:paraId="0E61D76B" w14:textId="77777777" w:rsidR="00FF30E4" w:rsidRPr="00D629F5" w:rsidRDefault="00FF30E4" w:rsidP="00FF30E4">
      <w:pPr>
        <w:ind w:left="432" w:hanging="432"/>
        <w:rPr>
          <w:lang w:val="fr-FR"/>
        </w:rPr>
      </w:pPr>
      <w:r w:rsidRPr="00D629F5">
        <w:rPr>
          <w:lang w:val="fr-FR"/>
        </w:rPr>
        <w:t>4.</w:t>
      </w:r>
      <w:r w:rsidRPr="00D629F5">
        <w:rPr>
          <w:lang w:val="fr-FR"/>
        </w:rPr>
        <w:tab/>
        <w:t>Ces estimations s’appuient sur l’expérience, y compris les Rapports sur l’état de la conservation (CSR) de l’AEWA et d’efforts semblables entrepris pour la voie de migration Asie de l’Est-Australasie. Les coûts reflètent la portée intégrale des mises à jour des Estimations des populations d’oiseaux d’eau et le maintien à long terme requis pour le Waterbirds Populations Portal (Portail des populations d’oiseaux d’eau).</w:t>
      </w:r>
    </w:p>
    <w:p w14:paraId="5A91CE5B" w14:textId="77777777" w:rsidR="00FF30E4" w:rsidRPr="00D629F5" w:rsidRDefault="00FF30E4" w:rsidP="00FF30E4">
      <w:pPr>
        <w:rPr>
          <w:lang w:val="fr-FR"/>
        </w:rPr>
      </w:pPr>
    </w:p>
    <w:p w14:paraId="26A65286" w14:textId="77777777" w:rsidR="00FF30E4" w:rsidRPr="00D629F5" w:rsidRDefault="00FF30E4" w:rsidP="00FF30E4">
      <w:pPr>
        <w:rPr>
          <w:lang w:val="fr-FR"/>
        </w:rPr>
      </w:pPr>
      <w:r w:rsidRPr="00D629F5">
        <w:rPr>
          <w:lang w:val="fr-FR"/>
        </w:rPr>
        <w:t>Tableau 1. Les coûts généraux de production des WPE2027 et du WEP en euros et en CHF.</w:t>
      </w:r>
    </w:p>
    <w:tbl>
      <w:tblPr>
        <w:tblStyle w:val="TableGrid"/>
        <w:tblW w:w="8926" w:type="dxa"/>
        <w:tblLook w:val="04A0" w:firstRow="1" w:lastRow="0" w:firstColumn="1" w:lastColumn="0" w:noHBand="0" w:noVBand="1"/>
      </w:tblPr>
      <w:tblGrid>
        <w:gridCol w:w="5524"/>
        <w:gridCol w:w="1701"/>
        <w:gridCol w:w="1701"/>
      </w:tblGrid>
      <w:tr w:rsidR="00FF30E4" w:rsidRPr="00F71622" w14:paraId="1344F915" w14:textId="77777777" w:rsidTr="00FF30E4">
        <w:tc>
          <w:tcPr>
            <w:tcW w:w="5524" w:type="dxa"/>
            <w:tcBorders>
              <w:top w:val="single" w:sz="4" w:space="0" w:color="auto"/>
              <w:left w:val="single" w:sz="4" w:space="0" w:color="auto"/>
              <w:bottom w:val="single" w:sz="4" w:space="0" w:color="auto"/>
              <w:right w:val="single" w:sz="4" w:space="0" w:color="auto"/>
            </w:tcBorders>
            <w:hideMark/>
          </w:tcPr>
          <w:p w14:paraId="55B8B3DF" w14:textId="77777777" w:rsidR="00FF30E4" w:rsidRPr="00F71622" w:rsidRDefault="00FF30E4">
            <w:pPr>
              <w:suppressLineNumbers/>
              <w:suppressAutoHyphens/>
              <w:rPr>
                <w:b/>
                <w:bCs w:val="0"/>
                <w:sz w:val="20"/>
                <w:szCs w:val="20"/>
                <w:lang w:val="fr-FR"/>
              </w:rPr>
            </w:pPr>
            <w:r w:rsidRPr="00F71622">
              <w:rPr>
                <w:b/>
                <w:bCs w:val="0"/>
                <w:sz w:val="20"/>
                <w:szCs w:val="20"/>
                <w:lang w:val="fr-FR"/>
              </w:rPr>
              <w:t xml:space="preserve">Actions prioritaires </w:t>
            </w:r>
          </w:p>
        </w:tc>
        <w:tc>
          <w:tcPr>
            <w:tcW w:w="3402" w:type="dxa"/>
            <w:gridSpan w:val="2"/>
            <w:tcBorders>
              <w:top w:val="single" w:sz="4" w:space="0" w:color="auto"/>
              <w:left w:val="single" w:sz="4" w:space="0" w:color="auto"/>
              <w:bottom w:val="single" w:sz="4" w:space="0" w:color="auto"/>
              <w:right w:val="single" w:sz="4" w:space="0" w:color="auto"/>
            </w:tcBorders>
            <w:hideMark/>
          </w:tcPr>
          <w:p w14:paraId="29D96002" w14:textId="77777777" w:rsidR="00FF30E4" w:rsidRPr="00F71622" w:rsidRDefault="00FF30E4">
            <w:pPr>
              <w:suppressLineNumbers/>
              <w:suppressAutoHyphens/>
              <w:rPr>
                <w:b/>
                <w:bCs w:val="0"/>
                <w:sz w:val="20"/>
                <w:szCs w:val="20"/>
                <w:lang w:val="fr-FR"/>
              </w:rPr>
            </w:pPr>
            <w:r w:rsidRPr="00F71622">
              <w:rPr>
                <w:b/>
                <w:bCs w:val="0"/>
                <w:sz w:val="20"/>
                <w:szCs w:val="20"/>
                <w:lang w:val="fr-FR"/>
              </w:rPr>
              <w:t>Toutes les populations (1600)</w:t>
            </w:r>
          </w:p>
        </w:tc>
      </w:tr>
      <w:tr w:rsidR="00FF30E4" w:rsidRPr="00F71622" w14:paraId="2ADB93A9" w14:textId="77777777" w:rsidTr="00FF30E4">
        <w:tc>
          <w:tcPr>
            <w:tcW w:w="5524" w:type="dxa"/>
            <w:tcBorders>
              <w:top w:val="single" w:sz="4" w:space="0" w:color="auto"/>
              <w:left w:val="single" w:sz="4" w:space="0" w:color="auto"/>
              <w:bottom w:val="single" w:sz="4" w:space="0" w:color="auto"/>
              <w:right w:val="single" w:sz="4" w:space="0" w:color="auto"/>
            </w:tcBorders>
          </w:tcPr>
          <w:p w14:paraId="581451A0" w14:textId="77777777" w:rsidR="00FF30E4" w:rsidRPr="00F71622" w:rsidRDefault="00FF30E4">
            <w:pPr>
              <w:suppressLineNumbers/>
              <w:suppressAutoHyphens/>
              <w:rPr>
                <w:b/>
                <w:bCs w:val="0"/>
                <w:sz w:val="20"/>
                <w:szCs w:val="20"/>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E8C4D68" w14:textId="77777777" w:rsidR="00FF30E4" w:rsidRPr="00F71622" w:rsidRDefault="00FF30E4">
            <w:pPr>
              <w:suppressLineNumbers/>
              <w:suppressAutoHyphens/>
              <w:rPr>
                <w:b/>
                <w:bCs w:val="0"/>
                <w:sz w:val="20"/>
                <w:szCs w:val="20"/>
                <w:lang w:val="fr-FR"/>
              </w:rPr>
            </w:pPr>
            <w:r w:rsidRPr="00F71622">
              <w:rPr>
                <w:b/>
                <w:bCs w:val="0"/>
                <w:sz w:val="20"/>
                <w:szCs w:val="20"/>
                <w:lang w:val="fr-FR"/>
              </w:rPr>
              <w:t>Coût en euros</w:t>
            </w:r>
          </w:p>
        </w:tc>
        <w:tc>
          <w:tcPr>
            <w:tcW w:w="1701" w:type="dxa"/>
            <w:tcBorders>
              <w:top w:val="single" w:sz="4" w:space="0" w:color="auto"/>
              <w:left w:val="single" w:sz="4" w:space="0" w:color="auto"/>
              <w:bottom w:val="single" w:sz="4" w:space="0" w:color="auto"/>
              <w:right w:val="single" w:sz="4" w:space="0" w:color="auto"/>
            </w:tcBorders>
            <w:hideMark/>
          </w:tcPr>
          <w:p w14:paraId="07823FF0" w14:textId="77777777" w:rsidR="00FF30E4" w:rsidRPr="00F71622" w:rsidRDefault="00FF30E4">
            <w:pPr>
              <w:suppressLineNumbers/>
              <w:suppressAutoHyphens/>
              <w:rPr>
                <w:b/>
                <w:bCs w:val="0"/>
                <w:sz w:val="20"/>
                <w:szCs w:val="20"/>
                <w:lang w:val="fr-FR"/>
              </w:rPr>
            </w:pPr>
            <w:r w:rsidRPr="00F71622">
              <w:rPr>
                <w:b/>
                <w:bCs w:val="0"/>
                <w:sz w:val="20"/>
                <w:szCs w:val="20"/>
                <w:lang w:val="fr-FR"/>
              </w:rPr>
              <w:t>Coût en CHF</w:t>
            </w:r>
          </w:p>
        </w:tc>
      </w:tr>
      <w:tr w:rsidR="00FF30E4" w:rsidRPr="00F71622" w14:paraId="0015AA03" w14:textId="77777777" w:rsidTr="00FF30E4">
        <w:tc>
          <w:tcPr>
            <w:tcW w:w="5524" w:type="dxa"/>
            <w:tcBorders>
              <w:top w:val="single" w:sz="4" w:space="0" w:color="auto"/>
              <w:left w:val="single" w:sz="4" w:space="0" w:color="auto"/>
              <w:bottom w:val="single" w:sz="4" w:space="0" w:color="auto"/>
              <w:right w:val="single" w:sz="4" w:space="0" w:color="auto"/>
            </w:tcBorders>
            <w:hideMark/>
          </w:tcPr>
          <w:p w14:paraId="44BC7A15" w14:textId="77777777" w:rsidR="00FF30E4" w:rsidRPr="00F71622" w:rsidRDefault="00FF30E4">
            <w:pPr>
              <w:suppressLineNumbers/>
              <w:suppressAutoHyphens/>
              <w:rPr>
                <w:sz w:val="20"/>
                <w:szCs w:val="20"/>
                <w:lang w:val="fr-FR"/>
              </w:rPr>
            </w:pPr>
            <w:r w:rsidRPr="00F71622">
              <w:rPr>
                <w:sz w:val="20"/>
                <w:szCs w:val="20"/>
                <w:lang w:val="fr-FR"/>
              </w:rPr>
              <w:t>a) Établissement d’un Partenariat mondial à long terme pour les estimations des populations d’oiseaux d’eau basé sur des consultations avec des partenaires potentiels (2025-2026)</w:t>
            </w:r>
          </w:p>
        </w:tc>
        <w:tc>
          <w:tcPr>
            <w:tcW w:w="1701" w:type="dxa"/>
            <w:tcBorders>
              <w:top w:val="single" w:sz="4" w:space="0" w:color="auto"/>
              <w:left w:val="single" w:sz="4" w:space="0" w:color="auto"/>
              <w:bottom w:val="single" w:sz="4" w:space="0" w:color="auto"/>
              <w:right w:val="single" w:sz="4" w:space="0" w:color="auto"/>
            </w:tcBorders>
            <w:hideMark/>
          </w:tcPr>
          <w:p w14:paraId="0DA4609B" w14:textId="77777777" w:rsidR="00FF30E4" w:rsidRPr="00F71622" w:rsidRDefault="00FF30E4">
            <w:pPr>
              <w:suppressLineNumbers/>
              <w:suppressAutoHyphens/>
              <w:jc w:val="right"/>
              <w:rPr>
                <w:sz w:val="20"/>
                <w:szCs w:val="20"/>
                <w:lang w:val="fr-FR"/>
              </w:rPr>
            </w:pPr>
            <w:r w:rsidRPr="00F71622">
              <w:rPr>
                <w:sz w:val="20"/>
                <w:szCs w:val="20"/>
                <w:lang w:val="fr-FR"/>
              </w:rPr>
              <w:t>40 050,00</w:t>
            </w:r>
          </w:p>
        </w:tc>
        <w:tc>
          <w:tcPr>
            <w:tcW w:w="1701" w:type="dxa"/>
            <w:tcBorders>
              <w:top w:val="single" w:sz="4" w:space="0" w:color="auto"/>
              <w:left w:val="single" w:sz="4" w:space="0" w:color="auto"/>
              <w:bottom w:val="single" w:sz="4" w:space="0" w:color="auto"/>
              <w:right w:val="single" w:sz="4" w:space="0" w:color="auto"/>
            </w:tcBorders>
            <w:hideMark/>
          </w:tcPr>
          <w:p w14:paraId="761AE024" w14:textId="77777777" w:rsidR="00FF30E4" w:rsidRPr="00F71622" w:rsidRDefault="00FF30E4">
            <w:pPr>
              <w:suppressLineNumbers/>
              <w:suppressAutoHyphens/>
              <w:jc w:val="right"/>
              <w:rPr>
                <w:sz w:val="20"/>
                <w:szCs w:val="20"/>
                <w:lang w:val="fr-FR"/>
              </w:rPr>
            </w:pPr>
            <w:r w:rsidRPr="00F71622">
              <w:rPr>
                <w:sz w:val="20"/>
                <w:szCs w:val="20"/>
                <w:lang w:val="fr-FR"/>
              </w:rPr>
              <w:t>38 047,50</w:t>
            </w:r>
          </w:p>
        </w:tc>
      </w:tr>
      <w:tr w:rsidR="00FF30E4" w:rsidRPr="00F71622" w14:paraId="1A1F94D5" w14:textId="77777777" w:rsidTr="00FF30E4">
        <w:tc>
          <w:tcPr>
            <w:tcW w:w="5524" w:type="dxa"/>
            <w:tcBorders>
              <w:top w:val="single" w:sz="4" w:space="0" w:color="auto"/>
              <w:left w:val="single" w:sz="4" w:space="0" w:color="auto"/>
              <w:bottom w:val="single" w:sz="4" w:space="0" w:color="auto"/>
              <w:right w:val="single" w:sz="4" w:space="0" w:color="auto"/>
            </w:tcBorders>
            <w:hideMark/>
          </w:tcPr>
          <w:p w14:paraId="5A27DBFA" w14:textId="77777777" w:rsidR="00FF30E4" w:rsidRPr="00F71622" w:rsidRDefault="00FF30E4">
            <w:pPr>
              <w:suppressLineNumbers/>
              <w:suppressAutoHyphens/>
              <w:rPr>
                <w:sz w:val="20"/>
                <w:szCs w:val="20"/>
                <w:lang w:val="fr-FR"/>
              </w:rPr>
            </w:pPr>
            <w:r w:rsidRPr="00F71622">
              <w:rPr>
                <w:sz w:val="20"/>
                <w:szCs w:val="20"/>
                <w:lang w:val="fr-FR"/>
              </w:rPr>
              <w:t xml:space="preserve">b) Élaboration des WPE2027 dans le cadre d’un examen et d’une mise à jour pour 1600 populations prioritaires sélectionnées, non couvertes par les CSR les plus récents de l’AEWA et de l’EAAFP </w:t>
            </w:r>
          </w:p>
        </w:tc>
        <w:tc>
          <w:tcPr>
            <w:tcW w:w="1701" w:type="dxa"/>
            <w:tcBorders>
              <w:top w:val="single" w:sz="4" w:space="0" w:color="auto"/>
              <w:left w:val="single" w:sz="4" w:space="0" w:color="auto"/>
              <w:bottom w:val="single" w:sz="4" w:space="0" w:color="auto"/>
              <w:right w:val="single" w:sz="4" w:space="0" w:color="auto"/>
            </w:tcBorders>
            <w:hideMark/>
          </w:tcPr>
          <w:p w14:paraId="462EEA13" w14:textId="77777777" w:rsidR="00FF30E4" w:rsidRPr="00F71622" w:rsidRDefault="00FF30E4">
            <w:pPr>
              <w:suppressLineNumbers/>
              <w:suppressAutoHyphens/>
              <w:jc w:val="right"/>
              <w:rPr>
                <w:sz w:val="20"/>
                <w:szCs w:val="20"/>
                <w:lang w:val="fr-FR"/>
              </w:rPr>
            </w:pPr>
            <w:r w:rsidRPr="00F71622">
              <w:rPr>
                <w:sz w:val="20"/>
                <w:szCs w:val="20"/>
                <w:lang w:val="fr-FR"/>
              </w:rPr>
              <w:t>385 343,83</w:t>
            </w:r>
          </w:p>
        </w:tc>
        <w:tc>
          <w:tcPr>
            <w:tcW w:w="1701" w:type="dxa"/>
            <w:tcBorders>
              <w:top w:val="single" w:sz="4" w:space="0" w:color="auto"/>
              <w:left w:val="single" w:sz="4" w:space="0" w:color="auto"/>
              <w:bottom w:val="single" w:sz="4" w:space="0" w:color="auto"/>
              <w:right w:val="single" w:sz="4" w:space="0" w:color="auto"/>
            </w:tcBorders>
            <w:hideMark/>
          </w:tcPr>
          <w:p w14:paraId="10D6C3BB" w14:textId="77777777" w:rsidR="00FF30E4" w:rsidRPr="00F71622" w:rsidRDefault="00FF30E4">
            <w:pPr>
              <w:suppressLineNumbers/>
              <w:suppressAutoHyphens/>
              <w:jc w:val="right"/>
              <w:rPr>
                <w:sz w:val="20"/>
                <w:szCs w:val="20"/>
                <w:lang w:val="fr-FR"/>
              </w:rPr>
            </w:pPr>
            <w:r w:rsidRPr="00F71622">
              <w:rPr>
                <w:sz w:val="20"/>
                <w:szCs w:val="20"/>
                <w:lang w:val="fr-FR"/>
              </w:rPr>
              <w:t>366 076,64</w:t>
            </w:r>
          </w:p>
        </w:tc>
      </w:tr>
      <w:tr w:rsidR="00FF30E4" w:rsidRPr="00F71622" w14:paraId="47E51631" w14:textId="77777777" w:rsidTr="00FF30E4">
        <w:tc>
          <w:tcPr>
            <w:tcW w:w="5524" w:type="dxa"/>
            <w:tcBorders>
              <w:top w:val="single" w:sz="4" w:space="0" w:color="auto"/>
              <w:left w:val="single" w:sz="4" w:space="0" w:color="auto"/>
              <w:bottom w:val="single" w:sz="4" w:space="0" w:color="auto"/>
              <w:right w:val="single" w:sz="4" w:space="0" w:color="auto"/>
            </w:tcBorders>
            <w:hideMark/>
          </w:tcPr>
          <w:p w14:paraId="489D7630" w14:textId="77777777" w:rsidR="00FF30E4" w:rsidRPr="00F71622" w:rsidRDefault="00FF30E4">
            <w:pPr>
              <w:suppressLineNumbers/>
              <w:suppressAutoHyphens/>
              <w:rPr>
                <w:sz w:val="20"/>
                <w:szCs w:val="20"/>
                <w:lang w:val="fr-FR"/>
              </w:rPr>
            </w:pPr>
            <w:r w:rsidRPr="00F71622">
              <w:rPr>
                <w:sz w:val="20"/>
                <w:szCs w:val="20"/>
                <w:lang w:val="fr-FR"/>
              </w:rPr>
              <w:t xml:space="preserve">c) Maintien/amélioration du Waterbirds Populations Portal (Portail des populations d’oiseaux d’eau) (renforcer la fonctionnalité du Portail pour faciliter l’utilisation par les Parties) </w:t>
            </w:r>
          </w:p>
        </w:tc>
        <w:tc>
          <w:tcPr>
            <w:tcW w:w="1701" w:type="dxa"/>
            <w:tcBorders>
              <w:top w:val="single" w:sz="4" w:space="0" w:color="auto"/>
              <w:left w:val="single" w:sz="4" w:space="0" w:color="auto"/>
              <w:bottom w:val="single" w:sz="4" w:space="0" w:color="auto"/>
              <w:right w:val="single" w:sz="4" w:space="0" w:color="auto"/>
            </w:tcBorders>
            <w:hideMark/>
          </w:tcPr>
          <w:p w14:paraId="5BCBDBDD" w14:textId="77777777" w:rsidR="00FF30E4" w:rsidRPr="00F71622" w:rsidRDefault="00FF30E4">
            <w:pPr>
              <w:suppressLineNumbers/>
              <w:suppressAutoHyphens/>
              <w:jc w:val="right"/>
              <w:rPr>
                <w:sz w:val="20"/>
                <w:szCs w:val="20"/>
                <w:lang w:val="fr-FR"/>
              </w:rPr>
            </w:pPr>
            <w:r w:rsidRPr="00F71622">
              <w:rPr>
                <w:sz w:val="20"/>
                <w:szCs w:val="20"/>
                <w:lang w:val="fr-FR"/>
              </w:rPr>
              <w:t>64 457,50</w:t>
            </w:r>
          </w:p>
        </w:tc>
        <w:tc>
          <w:tcPr>
            <w:tcW w:w="1701" w:type="dxa"/>
            <w:tcBorders>
              <w:top w:val="single" w:sz="4" w:space="0" w:color="auto"/>
              <w:left w:val="single" w:sz="4" w:space="0" w:color="auto"/>
              <w:bottom w:val="single" w:sz="4" w:space="0" w:color="auto"/>
              <w:right w:val="single" w:sz="4" w:space="0" w:color="auto"/>
            </w:tcBorders>
            <w:hideMark/>
          </w:tcPr>
          <w:p w14:paraId="36BE919D" w14:textId="77777777" w:rsidR="00FF30E4" w:rsidRPr="00F71622" w:rsidRDefault="00FF30E4">
            <w:pPr>
              <w:suppressLineNumbers/>
              <w:suppressAutoHyphens/>
              <w:jc w:val="right"/>
              <w:rPr>
                <w:sz w:val="20"/>
                <w:szCs w:val="20"/>
                <w:lang w:val="fr-FR"/>
              </w:rPr>
            </w:pPr>
            <w:r w:rsidRPr="00F71622">
              <w:rPr>
                <w:sz w:val="20"/>
                <w:szCs w:val="20"/>
                <w:lang w:val="fr-FR"/>
              </w:rPr>
              <w:t>61 234,63</w:t>
            </w:r>
          </w:p>
        </w:tc>
      </w:tr>
      <w:tr w:rsidR="00FF30E4" w:rsidRPr="00F71622" w14:paraId="06A7249C" w14:textId="77777777" w:rsidTr="00FF30E4">
        <w:tc>
          <w:tcPr>
            <w:tcW w:w="5524" w:type="dxa"/>
            <w:tcBorders>
              <w:top w:val="single" w:sz="4" w:space="0" w:color="auto"/>
              <w:left w:val="single" w:sz="4" w:space="0" w:color="auto"/>
              <w:bottom w:val="single" w:sz="4" w:space="0" w:color="auto"/>
              <w:right w:val="single" w:sz="4" w:space="0" w:color="auto"/>
            </w:tcBorders>
            <w:hideMark/>
          </w:tcPr>
          <w:p w14:paraId="3A912DB1" w14:textId="77777777" w:rsidR="00FF30E4" w:rsidRPr="00F71622" w:rsidRDefault="00FF30E4">
            <w:pPr>
              <w:suppressLineNumbers/>
              <w:suppressAutoHyphens/>
              <w:rPr>
                <w:b/>
                <w:bCs w:val="0"/>
                <w:sz w:val="20"/>
                <w:szCs w:val="20"/>
                <w:lang w:val="fr-FR"/>
              </w:rPr>
            </w:pPr>
            <w:r w:rsidRPr="00F71622">
              <w:rPr>
                <w:b/>
                <w:bCs w:val="0"/>
                <w:sz w:val="20"/>
                <w:szCs w:val="20"/>
                <w:lang w:val="fr-FR"/>
              </w:rPr>
              <w:t>Total</w:t>
            </w:r>
          </w:p>
        </w:tc>
        <w:tc>
          <w:tcPr>
            <w:tcW w:w="1701" w:type="dxa"/>
            <w:tcBorders>
              <w:top w:val="single" w:sz="4" w:space="0" w:color="auto"/>
              <w:left w:val="single" w:sz="4" w:space="0" w:color="auto"/>
              <w:bottom w:val="single" w:sz="4" w:space="0" w:color="auto"/>
              <w:right w:val="single" w:sz="4" w:space="0" w:color="auto"/>
            </w:tcBorders>
            <w:hideMark/>
          </w:tcPr>
          <w:p w14:paraId="6E92BB9C" w14:textId="77777777" w:rsidR="00FF30E4" w:rsidRPr="00F71622" w:rsidRDefault="00FF30E4">
            <w:pPr>
              <w:suppressLineNumbers/>
              <w:suppressAutoHyphens/>
              <w:jc w:val="right"/>
              <w:rPr>
                <w:b/>
                <w:bCs w:val="0"/>
                <w:sz w:val="20"/>
                <w:szCs w:val="20"/>
                <w:lang w:val="fr-FR"/>
              </w:rPr>
            </w:pPr>
            <w:r w:rsidRPr="00F71622">
              <w:rPr>
                <w:b/>
                <w:bCs w:val="0"/>
                <w:sz w:val="20"/>
                <w:szCs w:val="20"/>
                <w:lang w:val="fr-FR"/>
              </w:rPr>
              <w:t>489 851,33</w:t>
            </w:r>
          </w:p>
        </w:tc>
        <w:tc>
          <w:tcPr>
            <w:tcW w:w="1701" w:type="dxa"/>
            <w:tcBorders>
              <w:top w:val="single" w:sz="4" w:space="0" w:color="auto"/>
              <w:left w:val="single" w:sz="4" w:space="0" w:color="auto"/>
              <w:bottom w:val="single" w:sz="4" w:space="0" w:color="auto"/>
              <w:right w:val="single" w:sz="4" w:space="0" w:color="auto"/>
            </w:tcBorders>
            <w:hideMark/>
          </w:tcPr>
          <w:p w14:paraId="0E34477C" w14:textId="77777777" w:rsidR="00FF30E4" w:rsidRPr="00F71622" w:rsidRDefault="00FF30E4">
            <w:pPr>
              <w:suppressLineNumbers/>
              <w:suppressAutoHyphens/>
              <w:jc w:val="right"/>
              <w:rPr>
                <w:b/>
                <w:bCs w:val="0"/>
                <w:sz w:val="20"/>
                <w:szCs w:val="20"/>
                <w:lang w:val="fr-FR"/>
              </w:rPr>
            </w:pPr>
            <w:r w:rsidRPr="00F71622">
              <w:rPr>
                <w:b/>
                <w:bCs w:val="0"/>
                <w:sz w:val="20"/>
                <w:szCs w:val="20"/>
                <w:lang w:val="fr-FR"/>
              </w:rPr>
              <w:t>465 358,76</w:t>
            </w:r>
          </w:p>
        </w:tc>
      </w:tr>
    </w:tbl>
    <w:p w14:paraId="55342FDD" w14:textId="77777777" w:rsidR="00FF30E4" w:rsidRPr="00D629F5" w:rsidRDefault="00FF30E4" w:rsidP="00FF30E4">
      <w:pPr>
        <w:rPr>
          <w:lang w:val="fr-FR"/>
        </w:rPr>
      </w:pPr>
    </w:p>
    <w:p w14:paraId="4E1ABB73" w14:textId="77777777" w:rsidR="00FF30E4" w:rsidRPr="00D629F5" w:rsidRDefault="00FF30E4" w:rsidP="00FF30E4">
      <w:r w:rsidRPr="00D629F5">
        <w:br w:type="page"/>
      </w:r>
    </w:p>
    <w:p w14:paraId="7295F939" w14:textId="77777777" w:rsidR="00FF30E4" w:rsidRPr="00D629F5" w:rsidRDefault="00FF30E4" w:rsidP="00FF30E4">
      <w:pPr>
        <w:ind w:left="432" w:hanging="432"/>
        <w:rPr>
          <w:lang w:val="fr-FR"/>
        </w:rPr>
      </w:pPr>
      <w:r w:rsidRPr="00D629F5">
        <w:rPr>
          <w:lang w:val="fr-FR"/>
        </w:rPr>
        <w:t>5.</w:t>
      </w:r>
      <w:r w:rsidRPr="00D629F5">
        <w:rPr>
          <w:lang w:val="fr-FR"/>
        </w:rPr>
        <w:tab/>
        <w:t xml:space="preserve">Le tableau 2 présente les populations d’oiseaux d’eau prioritaires et les mécanismes d’examen pour les mises à jour des WPE2027 basées sur des évaluations régionales. </w:t>
      </w:r>
    </w:p>
    <w:p w14:paraId="7E8706B9" w14:textId="77777777" w:rsidR="00FF30E4" w:rsidRPr="00D629F5" w:rsidRDefault="00FF30E4" w:rsidP="00FF30E4">
      <w:pPr>
        <w:rPr>
          <w:lang w:val="fr-FR"/>
        </w:rPr>
      </w:pPr>
    </w:p>
    <w:p w14:paraId="1D19F3B3" w14:textId="77777777" w:rsidR="00FF30E4" w:rsidRPr="00D629F5" w:rsidRDefault="00FF30E4" w:rsidP="00FF30E4">
      <w:pPr>
        <w:rPr>
          <w:lang w:val="fr-FR"/>
        </w:rPr>
      </w:pPr>
      <w:r w:rsidRPr="00D629F5">
        <w:rPr>
          <w:lang w:val="fr-FR"/>
        </w:rPr>
        <w:t>Tableau 2. Mécanisme d’examen et priorités pour les populations d’oiseaux d’eau pour les WPE2027.</w:t>
      </w:r>
    </w:p>
    <w:tbl>
      <w:tblPr>
        <w:tblStyle w:val="5"/>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551"/>
        <w:gridCol w:w="1559"/>
        <w:gridCol w:w="2693"/>
      </w:tblGrid>
      <w:tr w:rsidR="00FF30E4" w:rsidRPr="00D629F5" w14:paraId="169E4DBD" w14:textId="77777777" w:rsidTr="00FF30E4">
        <w:trPr>
          <w:trHeight w:val="288"/>
          <w:tblHeader/>
        </w:trPr>
        <w:tc>
          <w:tcPr>
            <w:tcW w:w="2122"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07A6E3B0"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Populations</w:t>
            </w:r>
          </w:p>
          <w:p w14:paraId="28797942"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(n</w:t>
            </w:r>
            <w:r w:rsidRPr="00D629F5">
              <w:rPr>
                <w:rFonts w:eastAsia="Arial"/>
                <w:color w:val="000000"/>
                <w:sz w:val="18"/>
                <w:szCs w:val="18"/>
                <w:vertAlign w:val="superscript"/>
                <w:lang w:val="fr-FR"/>
              </w:rPr>
              <w:t>bre</w:t>
            </w:r>
            <w:r w:rsidRPr="00D629F5">
              <w:rPr>
                <w:rFonts w:eastAsia="Arial"/>
                <w:color w:val="000000"/>
                <w:sz w:val="18"/>
                <w:szCs w:val="18"/>
                <w:lang w:val="fr-FR"/>
              </w:rPr>
              <w:t xml:space="preserve"> de populations par région/voie de migration dans le Portail</w:t>
            </w:r>
          </w:p>
        </w:tc>
        <w:tc>
          <w:tcPr>
            <w:tcW w:w="2551"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572D93CB" w14:textId="77777777" w:rsidR="00FF30E4" w:rsidRPr="00D629F5" w:rsidRDefault="00FF30E4">
            <w:pPr>
              <w:ind w:left="82" w:right="-58"/>
              <w:rPr>
                <w:rFonts w:eastAsia="Arial"/>
                <w:color w:val="000000"/>
                <w:sz w:val="18"/>
                <w:szCs w:val="18"/>
                <w:lang w:val="fr-FR"/>
              </w:rPr>
            </w:pPr>
            <w:r w:rsidRPr="00D629F5">
              <w:rPr>
                <w:rFonts w:eastAsia="Arial"/>
                <w:color w:val="000000"/>
                <w:sz w:val="18"/>
                <w:szCs w:val="18"/>
                <w:lang w:val="fr-FR"/>
              </w:rPr>
              <w:t xml:space="preserve">Processus/mécanisme d’examen actuel et évaluation des ressources </w:t>
            </w:r>
          </w:p>
        </w:tc>
        <w:tc>
          <w:tcPr>
            <w:tcW w:w="1559"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0A8BC324"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 xml:space="preserve">Priorité pour une mise à jour proposée des WPE2027 </w:t>
            </w:r>
          </w:p>
        </w:tc>
        <w:tc>
          <w:tcPr>
            <w:tcW w:w="2693"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2ECA013D"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 xml:space="preserve">Activités et incidences en matière de ressources </w:t>
            </w:r>
          </w:p>
        </w:tc>
      </w:tr>
    </w:tbl>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4957"/>
        <w:gridCol w:w="1984"/>
        <w:gridCol w:w="1985"/>
      </w:tblGrid>
      <w:tr w:rsidR="00FF30E4" w:rsidRPr="00D629F5" w14:paraId="1904B163" w14:textId="77777777" w:rsidTr="00FF30E4">
        <w:trPr>
          <w:trHeight w:val="260"/>
        </w:trPr>
        <w:tc>
          <w:tcPr>
            <w:tcW w:w="4957" w:type="dxa"/>
            <w:tcBorders>
              <w:top w:val="single" w:sz="4" w:space="0" w:color="000000"/>
              <w:left w:val="single" w:sz="4" w:space="0" w:color="000000"/>
              <w:bottom w:val="single" w:sz="4" w:space="0" w:color="000000"/>
              <w:right w:val="nil"/>
            </w:tcBorders>
            <w:hideMark/>
          </w:tcPr>
          <w:p w14:paraId="52191790" w14:textId="77777777" w:rsidR="00FF30E4" w:rsidRPr="00D629F5" w:rsidRDefault="00FF30E4">
            <w:pPr>
              <w:spacing w:line="256" w:lineRule="auto"/>
              <w:ind w:left="80" w:hanging="80"/>
              <w:rPr>
                <w:rFonts w:eastAsia="Arial"/>
                <w:b/>
                <w:color w:val="000000"/>
                <w:sz w:val="18"/>
                <w:szCs w:val="18"/>
                <w:lang w:val="fr-FR"/>
              </w:rPr>
            </w:pPr>
            <w:r w:rsidRPr="00D629F5">
              <w:rPr>
                <w:rFonts w:eastAsia="Arial"/>
                <w:b/>
                <w:color w:val="000000"/>
                <w:sz w:val="18"/>
                <w:szCs w:val="18"/>
                <w:lang w:val="fr-FR"/>
              </w:rPr>
              <w:t>Résidente ou à dispersion locale</w:t>
            </w:r>
          </w:p>
        </w:tc>
        <w:tc>
          <w:tcPr>
            <w:tcW w:w="1984" w:type="dxa"/>
            <w:tcBorders>
              <w:top w:val="single" w:sz="4" w:space="0" w:color="000000"/>
              <w:left w:val="nil"/>
              <w:bottom w:val="single" w:sz="4" w:space="0" w:color="000000"/>
              <w:right w:val="nil"/>
            </w:tcBorders>
          </w:tcPr>
          <w:p w14:paraId="27A9C93A" w14:textId="77777777" w:rsidR="00FF30E4" w:rsidRPr="00D629F5" w:rsidRDefault="00FF30E4">
            <w:pPr>
              <w:spacing w:line="256" w:lineRule="auto"/>
              <w:rPr>
                <w:rFonts w:eastAsia="Arial"/>
                <w:sz w:val="18"/>
                <w:szCs w:val="18"/>
                <w:lang w:val="fr-FR"/>
              </w:rPr>
            </w:pPr>
          </w:p>
        </w:tc>
        <w:tc>
          <w:tcPr>
            <w:tcW w:w="1985" w:type="dxa"/>
            <w:tcBorders>
              <w:top w:val="single" w:sz="4" w:space="0" w:color="000000"/>
              <w:left w:val="nil"/>
              <w:bottom w:val="single" w:sz="4" w:space="0" w:color="000000"/>
              <w:right w:val="single" w:sz="4" w:space="0" w:color="000000"/>
            </w:tcBorders>
          </w:tcPr>
          <w:p w14:paraId="37998EB6" w14:textId="77777777" w:rsidR="00FF30E4" w:rsidRPr="00D629F5" w:rsidRDefault="00FF30E4">
            <w:pPr>
              <w:spacing w:line="256" w:lineRule="auto"/>
              <w:rPr>
                <w:rFonts w:eastAsia="Arial"/>
                <w:sz w:val="18"/>
                <w:szCs w:val="18"/>
                <w:lang w:val="fr-FR"/>
              </w:rPr>
            </w:pPr>
          </w:p>
        </w:tc>
      </w:tr>
    </w:tbl>
    <w:tbl>
      <w:tblPr>
        <w:tblStyle w:val="5"/>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551"/>
        <w:gridCol w:w="1609"/>
        <w:gridCol w:w="2647"/>
      </w:tblGrid>
      <w:tr w:rsidR="00FF30E4" w:rsidRPr="00D629F5" w14:paraId="1D806388" w14:textId="77777777" w:rsidTr="00FF30E4">
        <w:trPr>
          <w:trHeight w:val="576"/>
        </w:trPr>
        <w:tc>
          <w:tcPr>
            <w:tcW w:w="2122" w:type="dxa"/>
            <w:tcBorders>
              <w:top w:val="single" w:sz="4" w:space="0" w:color="000000"/>
              <w:left w:val="single" w:sz="4" w:space="0" w:color="000000"/>
              <w:bottom w:val="single" w:sz="4" w:space="0" w:color="000000"/>
              <w:right w:val="single" w:sz="4" w:space="0" w:color="000000"/>
            </w:tcBorders>
            <w:hideMark/>
          </w:tcPr>
          <w:p w14:paraId="6415F190"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Afrique (226)</w:t>
            </w:r>
          </w:p>
        </w:tc>
        <w:tc>
          <w:tcPr>
            <w:tcW w:w="2551" w:type="dxa"/>
            <w:tcBorders>
              <w:top w:val="single" w:sz="4" w:space="0" w:color="000000"/>
              <w:left w:val="single" w:sz="4" w:space="0" w:color="000000"/>
              <w:bottom w:val="single" w:sz="4" w:space="0" w:color="000000"/>
              <w:right w:val="single" w:sz="4" w:space="0" w:color="000000"/>
            </w:tcBorders>
            <w:hideMark/>
          </w:tcPr>
          <w:p w14:paraId="38E10FE8"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Information obsolète, aucun processus en place</w:t>
            </w:r>
          </w:p>
        </w:tc>
        <w:tc>
          <w:tcPr>
            <w:tcW w:w="1609" w:type="dxa"/>
            <w:tcBorders>
              <w:top w:val="single" w:sz="4" w:space="0" w:color="000000"/>
              <w:left w:val="single" w:sz="4" w:space="0" w:color="000000"/>
              <w:bottom w:val="single" w:sz="4" w:space="0" w:color="000000"/>
              <w:right w:val="single" w:sz="4" w:space="0" w:color="000000"/>
            </w:tcBorders>
            <w:hideMark/>
          </w:tcPr>
          <w:p w14:paraId="2D2C1505"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 xml:space="preserve">Élevée </w:t>
            </w:r>
          </w:p>
        </w:tc>
        <w:tc>
          <w:tcPr>
            <w:tcW w:w="2647" w:type="dxa"/>
            <w:tcBorders>
              <w:top w:val="single" w:sz="4" w:space="0" w:color="000000"/>
              <w:left w:val="single" w:sz="4" w:space="0" w:color="000000"/>
              <w:bottom w:val="single" w:sz="4" w:space="0" w:color="000000"/>
              <w:right w:val="single" w:sz="4" w:space="0" w:color="000000"/>
            </w:tcBorders>
            <w:hideMark/>
          </w:tcPr>
          <w:p w14:paraId="0F2F1D36"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Rassembler, examiner et mettre à jour les données pour le Portail</w:t>
            </w:r>
          </w:p>
        </w:tc>
      </w:tr>
      <w:tr w:rsidR="00FF30E4" w:rsidRPr="00D629F5" w14:paraId="6D8545F3" w14:textId="77777777" w:rsidTr="00FF30E4">
        <w:trPr>
          <w:trHeight w:val="864"/>
        </w:trPr>
        <w:tc>
          <w:tcPr>
            <w:tcW w:w="2122" w:type="dxa"/>
            <w:tcBorders>
              <w:top w:val="single" w:sz="4" w:space="0" w:color="000000"/>
              <w:left w:val="single" w:sz="4" w:space="0" w:color="000000"/>
              <w:bottom w:val="single" w:sz="4" w:space="0" w:color="000000"/>
              <w:right w:val="single" w:sz="4" w:space="0" w:color="000000"/>
            </w:tcBorders>
            <w:hideMark/>
          </w:tcPr>
          <w:p w14:paraId="617713BF"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Région néarctique (Amérique du Nord) (91)</w:t>
            </w:r>
          </w:p>
        </w:tc>
        <w:tc>
          <w:tcPr>
            <w:tcW w:w="2551" w:type="dxa"/>
            <w:tcBorders>
              <w:top w:val="single" w:sz="4" w:space="0" w:color="000000"/>
              <w:left w:val="single" w:sz="4" w:space="0" w:color="000000"/>
              <w:bottom w:val="single" w:sz="4" w:space="0" w:color="000000"/>
              <w:right w:val="single" w:sz="4" w:space="0" w:color="000000"/>
            </w:tcBorders>
            <w:hideMark/>
          </w:tcPr>
          <w:p w14:paraId="303D8132"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 xml:space="preserve">Des processus nationaux existent en Amérique du Nord </w:t>
            </w:r>
          </w:p>
        </w:tc>
        <w:tc>
          <w:tcPr>
            <w:tcW w:w="1609" w:type="dxa"/>
            <w:tcBorders>
              <w:top w:val="single" w:sz="4" w:space="0" w:color="000000"/>
              <w:left w:val="single" w:sz="4" w:space="0" w:color="000000"/>
              <w:bottom w:val="single" w:sz="4" w:space="0" w:color="000000"/>
              <w:right w:val="single" w:sz="4" w:space="0" w:color="000000"/>
            </w:tcBorders>
            <w:hideMark/>
          </w:tcPr>
          <w:p w14:paraId="429229D7"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Élevée</w:t>
            </w:r>
          </w:p>
        </w:tc>
        <w:tc>
          <w:tcPr>
            <w:tcW w:w="2647" w:type="dxa"/>
            <w:tcBorders>
              <w:top w:val="single" w:sz="4" w:space="0" w:color="000000"/>
              <w:left w:val="single" w:sz="4" w:space="0" w:color="000000"/>
              <w:bottom w:val="single" w:sz="4" w:space="0" w:color="000000"/>
              <w:right w:val="single" w:sz="4" w:space="0" w:color="000000"/>
            </w:tcBorders>
            <w:hideMark/>
          </w:tcPr>
          <w:p w14:paraId="7C5BEC4D"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Évaluer la compatibilité des informations disponibles et mettre à jour le Portail</w:t>
            </w:r>
          </w:p>
        </w:tc>
      </w:tr>
      <w:tr w:rsidR="00FF30E4" w:rsidRPr="00D629F5" w14:paraId="6AF68026" w14:textId="77777777" w:rsidTr="00FF30E4">
        <w:trPr>
          <w:trHeight w:val="576"/>
        </w:trPr>
        <w:tc>
          <w:tcPr>
            <w:tcW w:w="2122" w:type="dxa"/>
            <w:tcBorders>
              <w:top w:val="single" w:sz="4" w:space="0" w:color="000000"/>
              <w:left w:val="single" w:sz="4" w:space="0" w:color="000000"/>
              <w:bottom w:val="single" w:sz="4" w:space="0" w:color="000000"/>
              <w:right w:val="single" w:sz="4" w:space="0" w:color="000000"/>
            </w:tcBorders>
            <w:hideMark/>
          </w:tcPr>
          <w:p w14:paraId="2CD95E69"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 xml:space="preserve">Région néotropicale (Amérique centrale et du Sud et Caraïbes) (200) </w:t>
            </w:r>
          </w:p>
        </w:tc>
        <w:tc>
          <w:tcPr>
            <w:tcW w:w="2551" w:type="dxa"/>
            <w:tcBorders>
              <w:top w:val="single" w:sz="4" w:space="0" w:color="000000"/>
              <w:left w:val="single" w:sz="4" w:space="0" w:color="000000"/>
              <w:bottom w:val="single" w:sz="4" w:space="0" w:color="000000"/>
              <w:right w:val="single" w:sz="4" w:space="0" w:color="000000"/>
            </w:tcBorders>
            <w:hideMark/>
          </w:tcPr>
          <w:p w14:paraId="2A07A19C"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Information obsolète, aucun processus en place</w:t>
            </w:r>
          </w:p>
        </w:tc>
        <w:tc>
          <w:tcPr>
            <w:tcW w:w="1609" w:type="dxa"/>
            <w:tcBorders>
              <w:top w:val="single" w:sz="4" w:space="0" w:color="000000"/>
              <w:left w:val="single" w:sz="4" w:space="0" w:color="000000"/>
              <w:bottom w:val="single" w:sz="4" w:space="0" w:color="000000"/>
              <w:right w:val="single" w:sz="4" w:space="0" w:color="000000"/>
            </w:tcBorders>
            <w:hideMark/>
          </w:tcPr>
          <w:p w14:paraId="01CFB1BF"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Élevée</w:t>
            </w:r>
          </w:p>
        </w:tc>
        <w:tc>
          <w:tcPr>
            <w:tcW w:w="2647" w:type="dxa"/>
            <w:tcBorders>
              <w:top w:val="single" w:sz="4" w:space="0" w:color="000000"/>
              <w:left w:val="single" w:sz="4" w:space="0" w:color="000000"/>
              <w:bottom w:val="single" w:sz="4" w:space="0" w:color="000000"/>
              <w:right w:val="single" w:sz="4" w:space="0" w:color="000000"/>
            </w:tcBorders>
            <w:hideMark/>
          </w:tcPr>
          <w:p w14:paraId="17E29839"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Rassembler, examiner et mettre à jour les données pour le Portail</w:t>
            </w:r>
          </w:p>
        </w:tc>
      </w:tr>
      <w:tr w:rsidR="00FF30E4" w:rsidRPr="00D629F5" w14:paraId="3BDF8BC3" w14:textId="77777777" w:rsidTr="00FF30E4">
        <w:trPr>
          <w:trHeight w:val="576"/>
        </w:trPr>
        <w:tc>
          <w:tcPr>
            <w:tcW w:w="2122" w:type="dxa"/>
            <w:tcBorders>
              <w:top w:val="single" w:sz="4" w:space="0" w:color="000000"/>
              <w:left w:val="single" w:sz="4" w:space="0" w:color="000000"/>
              <w:bottom w:val="single" w:sz="4" w:space="0" w:color="000000"/>
              <w:right w:val="single" w:sz="4" w:space="0" w:color="000000"/>
            </w:tcBorders>
            <w:hideMark/>
          </w:tcPr>
          <w:p w14:paraId="0D9F208D"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Asie (Région indomalaise et Paléarctique oriental) (132)</w:t>
            </w:r>
          </w:p>
        </w:tc>
        <w:tc>
          <w:tcPr>
            <w:tcW w:w="2551" w:type="dxa"/>
            <w:tcBorders>
              <w:top w:val="single" w:sz="4" w:space="0" w:color="000000"/>
              <w:left w:val="single" w:sz="4" w:space="0" w:color="000000"/>
              <w:bottom w:val="single" w:sz="4" w:space="0" w:color="000000"/>
              <w:right w:val="single" w:sz="4" w:space="0" w:color="000000"/>
            </w:tcBorders>
            <w:hideMark/>
          </w:tcPr>
          <w:p w14:paraId="2CB086AF"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Information obsolète, aucun processus en place</w:t>
            </w:r>
          </w:p>
        </w:tc>
        <w:tc>
          <w:tcPr>
            <w:tcW w:w="1609" w:type="dxa"/>
            <w:tcBorders>
              <w:top w:val="single" w:sz="4" w:space="0" w:color="000000"/>
              <w:left w:val="single" w:sz="4" w:space="0" w:color="000000"/>
              <w:bottom w:val="single" w:sz="4" w:space="0" w:color="000000"/>
              <w:right w:val="single" w:sz="4" w:space="0" w:color="000000"/>
            </w:tcBorders>
            <w:hideMark/>
          </w:tcPr>
          <w:p w14:paraId="0B2BA9AA"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Élevée</w:t>
            </w:r>
          </w:p>
        </w:tc>
        <w:tc>
          <w:tcPr>
            <w:tcW w:w="2647" w:type="dxa"/>
            <w:tcBorders>
              <w:top w:val="single" w:sz="4" w:space="0" w:color="000000"/>
              <w:left w:val="single" w:sz="4" w:space="0" w:color="000000"/>
              <w:bottom w:val="single" w:sz="4" w:space="0" w:color="000000"/>
              <w:right w:val="single" w:sz="4" w:space="0" w:color="000000"/>
            </w:tcBorders>
            <w:hideMark/>
          </w:tcPr>
          <w:p w14:paraId="25189A2E"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Rassembler, examiner et mettre à jour les données pour le Portail</w:t>
            </w:r>
          </w:p>
        </w:tc>
      </w:tr>
      <w:tr w:rsidR="00FF30E4" w:rsidRPr="00D629F5" w14:paraId="01D0805A" w14:textId="77777777" w:rsidTr="00FF30E4">
        <w:trPr>
          <w:trHeight w:val="864"/>
        </w:trPr>
        <w:tc>
          <w:tcPr>
            <w:tcW w:w="2122" w:type="dxa"/>
            <w:tcBorders>
              <w:top w:val="single" w:sz="4" w:space="0" w:color="000000"/>
              <w:left w:val="single" w:sz="4" w:space="0" w:color="000000"/>
              <w:bottom w:val="single" w:sz="4" w:space="0" w:color="000000"/>
              <w:right w:val="single" w:sz="4" w:space="0" w:color="000000"/>
            </w:tcBorders>
            <w:hideMark/>
          </w:tcPr>
          <w:p w14:paraId="0A018266"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Océanie (y compris Australasie) (337)</w:t>
            </w:r>
          </w:p>
        </w:tc>
        <w:tc>
          <w:tcPr>
            <w:tcW w:w="2551" w:type="dxa"/>
            <w:tcBorders>
              <w:top w:val="single" w:sz="4" w:space="0" w:color="000000"/>
              <w:left w:val="single" w:sz="4" w:space="0" w:color="000000"/>
              <w:bottom w:val="single" w:sz="4" w:space="0" w:color="000000"/>
              <w:right w:val="single" w:sz="4" w:space="0" w:color="000000"/>
            </w:tcBorders>
            <w:hideMark/>
          </w:tcPr>
          <w:p w14:paraId="76F42C43"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Il existe des mises à jour nationales en Australie, Nouvelle-Zélande</w:t>
            </w:r>
          </w:p>
        </w:tc>
        <w:tc>
          <w:tcPr>
            <w:tcW w:w="1609" w:type="dxa"/>
            <w:tcBorders>
              <w:top w:val="single" w:sz="4" w:space="0" w:color="000000"/>
              <w:left w:val="single" w:sz="4" w:space="0" w:color="000000"/>
              <w:bottom w:val="single" w:sz="4" w:space="0" w:color="000000"/>
              <w:right w:val="single" w:sz="4" w:space="0" w:color="000000"/>
            </w:tcBorders>
            <w:hideMark/>
          </w:tcPr>
          <w:p w14:paraId="105302CD"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Élevée</w:t>
            </w:r>
          </w:p>
        </w:tc>
        <w:tc>
          <w:tcPr>
            <w:tcW w:w="2647" w:type="dxa"/>
            <w:tcBorders>
              <w:top w:val="single" w:sz="4" w:space="0" w:color="000000"/>
              <w:left w:val="single" w:sz="4" w:space="0" w:color="000000"/>
              <w:bottom w:val="single" w:sz="4" w:space="0" w:color="000000"/>
              <w:right w:val="single" w:sz="4" w:space="0" w:color="000000"/>
            </w:tcBorders>
            <w:hideMark/>
          </w:tcPr>
          <w:p w14:paraId="5B9F1AB5"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Évaluer la compatibilité des informations disponibles et mettre à jour le Portail</w:t>
            </w:r>
          </w:p>
        </w:tc>
      </w:tr>
      <w:tr w:rsidR="00FF30E4" w:rsidRPr="00D629F5" w14:paraId="68BA923D" w14:textId="77777777" w:rsidTr="00FF30E4">
        <w:trPr>
          <w:trHeight w:val="864"/>
        </w:trPr>
        <w:tc>
          <w:tcPr>
            <w:tcW w:w="2122" w:type="dxa"/>
            <w:tcBorders>
              <w:top w:val="single" w:sz="4" w:space="0" w:color="000000"/>
              <w:left w:val="single" w:sz="4" w:space="0" w:color="000000"/>
              <w:bottom w:val="single" w:sz="4" w:space="0" w:color="000000"/>
              <w:right w:val="single" w:sz="4" w:space="0" w:color="000000"/>
            </w:tcBorders>
            <w:hideMark/>
          </w:tcPr>
          <w:p w14:paraId="36D8B411"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Europe (35)</w:t>
            </w:r>
          </w:p>
        </w:tc>
        <w:tc>
          <w:tcPr>
            <w:tcW w:w="2551" w:type="dxa"/>
            <w:tcBorders>
              <w:top w:val="single" w:sz="4" w:space="0" w:color="000000"/>
              <w:left w:val="single" w:sz="4" w:space="0" w:color="000000"/>
              <w:bottom w:val="single" w:sz="4" w:space="0" w:color="000000"/>
              <w:right w:val="single" w:sz="4" w:space="0" w:color="000000"/>
            </w:tcBorders>
            <w:hideMark/>
          </w:tcPr>
          <w:p w14:paraId="3280D2EF"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Processus de l’Article 12 de l’UE, lié avec ERLoB, collecte de données financée par CE/EEA</w:t>
            </w:r>
          </w:p>
        </w:tc>
        <w:tc>
          <w:tcPr>
            <w:tcW w:w="1609" w:type="dxa"/>
            <w:tcBorders>
              <w:top w:val="single" w:sz="4" w:space="0" w:color="000000"/>
              <w:left w:val="single" w:sz="4" w:space="0" w:color="000000"/>
              <w:bottom w:val="single" w:sz="4" w:space="0" w:color="000000"/>
              <w:right w:val="single" w:sz="4" w:space="0" w:color="000000"/>
            </w:tcBorders>
            <w:hideMark/>
          </w:tcPr>
          <w:p w14:paraId="1328F4BE"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Élevée</w:t>
            </w:r>
          </w:p>
        </w:tc>
        <w:tc>
          <w:tcPr>
            <w:tcW w:w="2647" w:type="dxa"/>
            <w:tcBorders>
              <w:top w:val="single" w:sz="4" w:space="0" w:color="000000"/>
              <w:left w:val="single" w:sz="4" w:space="0" w:color="000000"/>
              <w:bottom w:val="single" w:sz="4" w:space="0" w:color="000000"/>
              <w:right w:val="single" w:sz="4" w:space="0" w:color="000000"/>
            </w:tcBorders>
            <w:hideMark/>
          </w:tcPr>
          <w:p w14:paraId="2541CF4D"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Évaluer la compatibilité des informations disponibles et mettre à jour le Portail</w:t>
            </w:r>
          </w:p>
        </w:tc>
      </w:tr>
      <w:tr w:rsidR="00FF30E4" w:rsidRPr="00D629F5" w14:paraId="69DC626C" w14:textId="77777777" w:rsidTr="00FF30E4">
        <w:trPr>
          <w:trHeight w:val="288"/>
        </w:trPr>
        <w:tc>
          <w:tcPr>
            <w:tcW w:w="2122" w:type="dxa"/>
            <w:tcBorders>
              <w:top w:val="single" w:sz="4" w:space="0" w:color="000000"/>
              <w:left w:val="single" w:sz="4" w:space="0" w:color="000000"/>
              <w:bottom w:val="single" w:sz="4" w:space="0" w:color="000000"/>
              <w:right w:val="nil"/>
            </w:tcBorders>
            <w:hideMark/>
          </w:tcPr>
          <w:p w14:paraId="5889231F" w14:textId="77777777" w:rsidR="00FF30E4" w:rsidRPr="00D629F5" w:rsidRDefault="00FF30E4">
            <w:pPr>
              <w:ind w:left="82"/>
              <w:rPr>
                <w:rFonts w:eastAsia="Arial"/>
                <w:b/>
                <w:color w:val="000000"/>
                <w:sz w:val="18"/>
                <w:szCs w:val="18"/>
                <w:lang w:val="fr-FR"/>
              </w:rPr>
            </w:pPr>
            <w:r w:rsidRPr="00D629F5">
              <w:rPr>
                <w:rFonts w:eastAsia="Arial"/>
                <w:b/>
                <w:color w:val="000000"/>
                <w:sz w:val="18"/>
                <w:szCs w:val="18"/>
                <w:lang w:val="fr-FR"/>
              </w:rPr>
              <w:t xml:space="preserve">Migratrice </w:t>
            </w:r>
          </w:p>
        </w:tc>
        <w:tc>
          <w:tcPr>
            <w:tcW w:w="2551" w:type="dxa"/>
            <w:tcBorders>
              <w:top w:val="single" w:sz="4" w:space="0" w:color="000000"/>
              <w:left w:val="nil"/>
              <w:bottom w:val="single" w:sz="4" w:space="0" w:color="000000"/>
              <w:right w:val="nil"/>
            </w:tcBorders>
          </w:tcPr>
          <w:p w14:paraId="20154ADC" w14:textId="77777777" w:rsidR="00FF30E4" w:rsidRPr="00D629F5" w:rsidRDefault="00FF30E4">
            <w:pPr>
              <w:spacing w:line="256" w:lineRule="auto"/>
              <w:rPr>
                <w:rFonts w:eastAsia="Arial"/>
                <w:color w:val="000000"/>
                <w:sz w:val="18"/>
                <w:szCs w:val="18"/>
                <w:lang w:val="fr-FR"/>
              </w:rPr>
            </w:pPr>
          </w:p>
        </w:tc>
        <w:tc>
          <w:tcPr>
            <w:tcW w:w="1609" w:type="dxa"/>
            <w:tcBorders>
              <w:top w:val="single" w:sz="4" w:space="0" w:color="000000"/>
              <w:left w:val="nil"/>
              <w:bottom w:val="single" w:sz="4" w:space="0" w:color="000000"/>
              <w:right w:val="nil"/>
            </w:tcBorders>
          </w:tcPr>
          <w:p w14:paraId="6BE5914B" w14:textId="77777777" w:rsidR="00FF30E4" w:rsidRPr="00D629F5" w:rsidRDefault="00FF30E4">
            <w:pPr>
              <w:spacing w:line="256" w:lineRule="auto"/>
              <w:rPr>
                <w:rFonts w:eastAsia="Arial"/>
                <w:color w:val="000000"/>
                <w:sz w:val="18"/>
                <w:szCs w:val="18"/>
                <w:lang w:val="fr-FR"/>
              </w:rPr>
            </w:pPr>
          </w:p>
        </w:tc>
        <w:tc>
          <w:tcPr>
            <w:tcW w:w="2647" w:type="dxa"/>
            <w:tcBorders>
              <w:top w:val="single" w:sz="4" w:space="0" w:color="000000"/>
              <w:left w:val="nil"/>
              <w:bottom w:val="single" w:sz="4" w:space="0" w:color="000000"/>
              <w:right w:val="single" w:sz="4" w:space="0" w:color="000000"/>
            </w:tcBorders>
          </w:tcPr>
          <w:p w14:paraId="6103CD00" w14:textId="77777777" w:rsidR="00FF30E4" w:rsidRPr="00D629F5" w:rsidRDefault="00FF30E4">
            <w:pPr>
              <w:spacing w:line="256" w:lineRule="auto"/>
              <w:rPr>
                <w:rFonts w:eastAsia="Arial"/>
                <w:color w:val="000000"/>
                <w:sz w:val="18"/>
                <w:szCs w:val="18"/>
                <w:lang w:val="fr-FR"/>
              </w:rPr>
            </w:pPr>
          </w:p>
        </w:tc>
      </w:tr>
      <w:tr w:rsidR="00FF30E4" w:rsidRPr="00D629F5" w14:paraId="6434EF5E" w14:textId="77777777" w:rsidTr="00FF30E4">
        <w:trPr>
          <w:trHeight w:val="864"/>
        </w:trPr>
        <w:tc>
          <w:tcPr>
            <w:tcW w:w="2122" w:type="dxa"/>
            <w:tcBorders>
              <w:top w:val="single" w:sz="4" w:space="0" w:color="000000"/>
              <w:left w:val="single" w:sz="4" w:space="0" w:color="000000"/>
              <w:bottom w:val="single" w:sz="4" w:space="0" w:color="000000"/>
              <w:right w:val="single" w:sz="4" w:space="0" w:color="000000"/>
            </w:tcBorders>
            <w:hideMark/>
          </w:tcPr>
          <w:p w14:paraId="46B8B8E1"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Voie de migration d’Asie centrale (264)</w:t>
            </w:r>
          </w:p>
        </w:tc>
        <w:tc>
          <w:tcPr>
            <w:tcW w:w="2551" w:type="dxa"/>
            <w:tcBorders>
              <w:top w:val="single" w:sz="4" w:space="0" w:color="000000"/>
              <w:left w:val="single" w:sz="4" w:space="0" w:color="000000"/>
              <w:bottom w:val="single" w:sz="4" w:space="0" w:color="000000"/>
              <w:right w:val="single" w:sz="4" w:space="0" w:color="000000"/>
            </w:tcBorders>
            <w:hideMark/>
          </w:tcPr>
          <w:p w14:paraId="37995BF1"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Incluse dans le Plan d’action pour les oiseaux d'eau</w:t>
            </w:r>
            <w:r w:rsidRPr="00D629F5">
              <w:rPr>
                <w:rFonts w:eastAsia="Arial"/>
                <w:color w:val="000000"/>
                <w:sz w:val="18"/>
                <w:szCs w:val="18"/>
                <w:vertAlign w:val="superscript"/>
              </w:rPr>
              <w:footnoteReference w:id="23"/>
            </w:r>
            <w:r w:rsidRPr="00D629F5">
              <w:rPr>
                <w:rFonts w:eastAsia="Arial"/>
                <w:color w:val="000000"/>
                <w:sz w:val="18"/>
                <w:szCs w:val="18"/>
                <w:lang w:val="fr-FR"/>
              </w:rPr>
              <w:t xml:space="preserve"> de la voie de migration d’Asie centrale (264 populations, dont &gt; 140 sont couvertes par les CSR de l’AEWA)</w:t>
            </w:r>
          </w:p>
          <w:p w14:paraId="1168FBFA"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 xml:space="preserve">Information obsolète pour &gt;124 populations, sans financement ou processus en place : il s’agit d’une priorité </w:t>
            </w:r>
          </w:p>
        </w:tc>
        <w:tc>
          <w:tcPr>
            <w:tcW w:w="1609" w:type="dxa"/>
            <w:tcBorders>
              <w:top w:val="single" w:sz="4" w:space="0" w:color="000000"/>
              <w:left w:val="single" w:sz="4" w:space="0" w:color="000000"/>
              <w:bottom w:val="single" w:sz="4" w:space="0" w:color="000000"/>
              <w:right w:val="single" w:sz="4" w:space="0" w:color="000000"/>
            </w:tcBorders>
            <w:hideMark/>
          </w:tcPr>
          <w:p w14:paraId="03976DFB"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Élevée</w:t>
            </w:r>
          </w:p>
        </w:tc>
        <w:tc>
          <w:tcPr>
            <w:tcW w:w="2647" w:type="dxa"/>
            <w:tcBorders>
              <w:top w:val="single" w:sz="4" w:space="0" w:color="000000"/>
              <w:left w:val="single" w:sz="4" w:space="0" w:color="000000"/>
              <w:bottom w:val="single" w:sz="4" w:space="0" w:color="000000"/>
              <w:right w:val="single" w:sz="4" w:space="0" w:color="000000"/>
            </w:tcBorders>
            <w:hideMark/>
          </w:tcPr>
          <w:p w14:paraId="6362E696"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Rassembler, examiner et mettre à jour les données pour le Portail</w:t>
            </w:r>
          </w:p>
        </w:tc>
      </w:tr>
      <w:tr w:rsidR="00FF30E4" w:rsidRPr="00D629F5" w14:paraId="18CF636B" w14:textId="77777777" w:rsidTr="00FF30E4">
        <w:trPr>
          <w:trHeight w:val="576"/>
        </w:trPr>
        <w:tc>
          <w:tcPr>
            <w:tcW w:w="2122" w:type="dxa"/>
            <w:tcBorders>
              <w:top w:val="single" w:sz="4" w:space="0" w:color="000000"/>
              <w:left w:val="single" w:sz="4" w:space="0" w:color="000000"/>
              <w:bottom w:val="single" w:sz="4" w:space="0" w:color="000000"/>
              <w:right w:val="single" w:sz="4" w:space="0" w:color="000000"/>
            </w:tcBorders>
            <w:hideMark/>
          </w:tcPr>
          <w:p w14:paraId="5DCFD20C"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Voie de migration du Pacifique central (et Antarctique)</w:t>
            </w:r>
            <w:r w:rsidRPr="00D629F5">
              <w:rPr>
                <w:rStyle w:val="FootnoteReference"/>
                <w:rFonts w:eastAsia="Arial"/>
                <w:color w:val="000000"/>
                <w:sz w:val="18"/>
                <w:szCs w:val="18"/>
                <w:lang w:val="fr-FR"/>
              </w:rPr>
              <w:footnoteReference w:id="24"/>
            </w:r>
            <w:r w:rsidRPr="00D629F5">
              <w:rPr>
                <w:rFonts w:eastAsia="Arial"/>
                <w:color w:val="000000"/>
                <w:sz w:val="18"/>
                <w:szCs w:val="18"/>
                <w:lang w:val="fr-FR"/>
              </w:rPr>
              <w:t>, (60)</w:t>
            </w:r>
          </w:p>
        </w:tc>
        <w:tc>
          <w:tcPr>
            <w:tcW w:w="2551" w:type="dxa"/>
            <w:tcBorders>
              <w:top w:val="single" w:sz="4" w:space="0" w:color="000000"/>
              <w:left w:val="single" w:sz="4" w:space="0" w:color="000000"/>
              <w:bottom w:val="single" w:sz="4" w:space="0" w:color="000000"/>
              <w:right w:val="single" w:sz="4" w:space="0" w:color="000000"/>
            </w:tcBorders>
            <w:hideMark/>
          </w:tcPr>
          <w:p w14:paraId="08B9FB97"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 xml:space="preserve">Information obsolète, aucun processus en place </w:t>
            </w:r>
          </w:p>
        </w:tc>
        <w:tc>
          <w:tcPr>
            <w:tcW w:w="1609" w:type="dxa"/>
            <w:tcBorders>
              <w:top w:val="single" w:sz="4" w:space="0" w:color="000000"/>
              <w:left w:val="single" w:sz="4" w:space="0" w:color="000000"/>
              <w:bottom w:val="single" w:sz="4" w:space="0" w:color="000000"/>
              <w:right w:val="single" w:sz="4" w:space="0" w:color="000000"/>
            </w:tcBorders>
            <w:hideMark/>
          </w:tcPr>
          <w:p w14:paraId="61F5928A"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Élevée</w:t>
            </w:r>
          </w:p>
        </w:tc>
        <w:tc>
          <w:tcPr>
            <w:tcW w:w="2647" w:type="dxa"/>
            <w:tcBorders>
              <w:top w:val="single" w:sz="4" w:space="0" w:color="000000"/>
              <w:left w:val="single" w:sz="4" w:space="0" w:color="000000"/>
              <w:bottom w:val="single" w:sz="4" w:space="0" w:color="000000"/>
              <w:right w:val="single" w:sz="4" w:space="0" w:color="000000"/>
            </w:tcBorders>
            <w:hideMark/>
          </w:tcPr>
          <w:p w14:paraId="2503AB4D"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Rassembler, examiner et mettre à jour les données pour le Portail</w:t>
            </w:r>
          </w:p>
        </w:tc>
      </w:tr>
      <w:tr w:rsidR="00FF30E4" w:rsidRPr="00D629F5" w14:paraId="73894DC4" w14:textId="77777777" w:rsidTr="00FF30E4">
        <w:trPr>
          <w:trHeight w:val="487"/>
        </w:trPr>
        <w:tc>
          <w:tcPr>
            <w:tcW w:w="2122" w:type="dxa"/>
            <w:tcBorders>
              <w:top w:val="single" w:sz="4" w:space="0" w:color="000000"/>
              <w:left w:val="single" w:sz="4" w:space="0" w:color="000000"/>
              <w:bottom w:val="single" w:sz="4" w:space="0" w:color="000000"/>
              <w:right w:val="single" w:sz="4" w:space="0" w:color="000000"/>
            </w:tcBorders>
            <w:hideMark/>
          </w:tcPr>
          <w:p w14:paraId="6725CD6B"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Voies de migration des Amériques (379)</w:t>
            </w:r>
          </w:p>
        </w:tc>
        <w:tc>
          <w:tcPr>
            <w:tcW w:w="2551" w:type="dxa"/>
            <w:tcBorders>
              <w:top w:val="single" w:sz="4" w:space="0" w:color="000000"/>
              <w:left w:val="single" w:sz="4" w:space="0" w:color="000000"/>
              <w:bottom w:val="single" w:sz="4" w:space="0" w:color="000000"/>
              <w:right w:val="single" w:sz="4" w:space="0" w:color="000000"/>
            </w:tcBorders>
            <w:hideMark/>
          </w:tcPr>
          <w:p w14:paraId="30468200"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 xml:space="preserve">Il existe des processus d’examen pour les oiseaux d’eau en Amérique du Nord (jusqu’à l’Amérique centrale) et pour 79 populations d’oiseaux de rivage migrateurs à travers les Amériques. </w:t>
            </w:r>
          </w:p>
        </w:tc>
        <w:tc>
          <w:tcPr>
            <w:tcW w:w="1609" w:type="dxa"/>
            <w:tcBorders>
              <w:top w:val="single" w:sz="4" w:space="0" w:color="000000"/>
              <w:left w:val="single" w:sz="4" w:space="0" w:color="000000"/>
              <w:bottom w:val="single" w:sz="4" w:space="0" w:color="000000"/>
              <w:right w:val="single" w:sz="4" w:space="0" w:color="000000"/>
            </w:tcBorders>
            <w:hideMark/>
          </w:tcPr>
          <w:p w14:paraId="1BF604B5"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Élevée</w:t>
            </w:r>
          </w:p>
        </w:tc>
        <w:tc>
          <w:tcPr>
            <w:tcW w:w="2647" w:type="dxa"/>
            <w:tcBorders>
              <w:top w:val="single" w:sz="4" w:space="0" w:color="000000"/>
              <w:left w:val="single" w:sz="4" w:space="0" w:color="000000"/>
              <w:bottom w:val="single" w:sz="4" w:space="0" w:color="000000"/>
              <w:right w:val="single" w:sz="4" w:space="0" w:color="000000"/>
            </w:tcBorders>
            <w:hideMark/>
          </w:tcPr>
          <w:p w14:paraId="481F4AE7"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Évaluer la compatibilité des informations disponibles et mettre à jour le Portail</w:t>
            </w:r>
          </w:p>
        </w:tc>
      </w:tr>
      <w:tr w:rsidR="00FF30E4" w:rsidRPr="00D629F5" w14:paraId="2A3FBEE0" w14:textId="77777777" w:rsidTr="00FF30E4">
        <w:trPr>
          <w:trHeight w:val="576"/>
        </w:trPr>
        <w:tc>
          <w:tcPr>
            <w:tcW w:w="2122" w:type="dxa"/>
            <w:tcBorders>
              <w:top w:val="single" w:sz="4" w:space="0" w:color="auto"/>
              <w:left w:val="single" w:sz="4" w:space="0" w:color="auto"/>
              <w:bottom w:val="single" w:sz="4" w:space="0" w:color="auto"/>
              <w:right w:val="single" w:sz="4" w:space="0" w:color="auto"/>
            </w:tcBorders>
            <w:hideMark/>
          </w:tcPr>
          <w:p w14:paraId="75794DD6"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Voie de migration Asie de l’Est - Australasie (276)</w:t>
            </w:r>
          </w:p>
        </w:tc>
        <w:tc>
          <w:tcPr>
            <w:tcW w:w="2551" w:type="dxa"/>
            <w:tcBorders>
              <w:top w:val="single" w:sz="4" w:space="0" w:color="auto"/>
              <w:left w:val="single" w:sz="4" w:space="0" w:color="auto"/>
              <w:bottom w:val="single" w:sz="4" w:space="0" w:color="auto"/>
              <w:right w:val="single" w:sz="4" w:space="0" w:color="auto"/>
            </w:tcBorders>
            <w:hideMark/>
          </w:tcPr>
          <w:p w14:paraId="49AC11D6"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Processus de CSR EAAFP financé par EAAFP (276 populations)</w:t>
            </w:r>
          </w:p>
        </w:tc>
        <w:tc>
          <w:tcPr>
            <w:tcW w:w="1609" w:type="dxa"/>
            <w:tcBorders>
              <w:top w:val="single" w:sz="4" w:space="0" w:color="auto"/>
              <w:left w:val="single" w:sz="4" w:space="0" w:color="auto"/>
              <w:bottom w:val="single" w:sz="4" w:space="0" w:color="auto"/>
              <w:right w:val="single" w:sz="4" w:space="0" w:color="auto"/>
            </w:tcBorders>
            <w:hideMark/>
          </w:tcPr>
          <w:p w14:paraId="69352BC3"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 xml:space="preserve">Moyenne, pour traiter les lacunes dans les populations pour de nombreuses familles et pour les espèces qui ne sont pas incluses dans le CSR1 </w:t>
            </w:r>
          </w:p>
        </w:tc>
        <w:tc>
          <w:tcPr>
            <w:tcW w:w="2647" w:type="dxa"/>
            <w:tcBorders>
              <w:top w:val="single" w:sz="4" w:space="0" w:color="auto"/>
              <w:left w:val="single" w:sz="4" w:space="0" w:color="auto"/>
              <w:bottom w:val="single" w:sz="4" w:space="0" w:color="auto"/>
              <w:right w:val="single" w:sz="4" w:space="0" w:color="auto"/>
            </w:tcBorders>
            <w:hideMark/>
          </w:tcPr>
          <w:p w14:paraId="37DCBCB2"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Aucune</w:t>
            </w:r>
          </w:p>
        </w:tc>
      </w:tr>
      <w:tr w:rsidR="00FF30E4" w:rsidRPr="00D629F5" w14:paraId="150E18F2" w14:textId="77777777" w:rsidTr="00FF30E4">
        <w:trPr>
          <w:trHeight w:val="288"/>
        </w:trPr>
        <w:tc>
          <w:tcPr>
            <w:tcW w:w="2122" w:type="dxa"/>
            <w:tcBorders>
              <w:top w:val="single" w:sz="4" w:space="0" w:color="auto"/>
              <w:left w:val="single" w:sz="4" w:space="0" w:color="auto"/>
              <w:bottom w:val="single" w:sz="4" w:space="0" w:color="auto"/>
              <w:right w:val="single" w:sz="4" w:space="0" w:color="auto"/>
            </w:tcBorders>
            <w:hideMark/>
          </w:tcPr>
          <w:p w14:paraId="6A8A526B" w14:textId="77777777" w:rsidR="00FF30E4" w:rsidRPr="00D629F5" w:rsidRDefault="00FF30E4">
            <w:pPr>
              <w:ind w:left="82"/>
              <w:rPr>
                <w:rFonts w:eastAsia="Arial"/>
                <w:color w:val="000000"/>
                <w:sz w:val="18"/>
                <w:szCs w:val="18"/>
                <w:lang w:val="fr-FR"/>
              </w:rPr>
            </w:pPr>
            <w:r w:rsidRPr="00D629F5">
              <w:rPr>
                <w:rFonts w:eastAsia="Arial"/>
                <w:color w:val="000000"/>
                <w:sz w:val="18"/>
                <w:szCs w:val="18"/>
                <w:lang w:val="fr-FR"/>
              </w:rPr>
              <w:t>Voies de migration Afrique-Eurasie (532)</w:t>
            </w:r>
          </w:p>
        </w:tc>
        <w:tc>
          <w:tcPr>
            <w:tcW w:w="2551" w:type="dxa"/>
            <w:tcBorders>
              <w:top w:val="single" w:sz="4" w:space="0" w:color="auto"/>
              <w:left w:val="single" w:sz="4" w:space="0" w:color="auto"/>
              <w:bottom w:val="single" w:sz="4" w:space="0" w:color="auto"/>
              <w:right w:val="single" w:sz="4" w:space="0" w:color="auto"/>
            </w:tcBorders>
            <w:hideMark/>
          </w:tcPr>
          <w:p w14:paraId="5788B1CE"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Processus de CSR AEWA financé par l’AEWA (CSR8 - 560 populations d’oiseaux d’eau et d’oiseaux marins)</w:t>
            </w:r>
          </w:p>
        </w:tc>
        <w:tc>
          <w:tcPr>
            <w:tcW w:w="1609" w:type="dxa"/>
            <w:tcBorders>
              <w:top w:val="single" w:sz="4" w:space="0" w:color="auto"/>
              <w:left w:val="single" w:sz="4" w:space="0" w:color="auto"/>
              <w:bottom w:val="single" w:sz="4" w:space="0" w:color="auto"/>
              <w:right w:val="single" w:sz="4" w:space="0" w:color="auto"/>
            </w:tcBorders>
            <w:hideMark/>
          </w:tcPr>
          <w:p w14:paraId="321A0AFF"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 xml:space="preserve">Faible, mise à jour du plan en place pour 2029 </w:t>
            </w:r>
          </w:p>
        </w:tc>
        <w:tc>
          <w:tcPr>
            <w:tcW w:w="2647" w:type="dxa"/>
            <w:tcBorders>
              <w:top w:val="single" w:sz="4" w:space="0" w:color="auto"/>
              <w:left w:val="single" w:sz="4" w:space="0" w:color="auto"/>
              <w:bottom w:val="single" w:sz="4" w:space="0" w:color="auto"/>
              <w:right w:val="single" w:sz="4" w:space="0" w:color="auto"/>
            </w:tcBorders>
            <w:hideMark/>
          </w:tcPr>
          <w:p w14:paraId="2C24A657" w14:textId="77777777" w:rsidR="00FF30E4" w:rsidRPr="00D629F5" w:rsidRDefault="00FF30E4">
            <w:pPr>
              <w:rPr>
                <w:rFonts w:eastAsia="Arial"/>
                <w:color w:val="000000"/>
                <w:sz w:val="18"/>
                <w:szCs w:val="18"/>
                <w:lang w:val="fr-FR"/>
              </w:rPr>
            </w:pPr>
            <w:r w:rsidRPr="00D629F5">
              <w:rPr>
                <w:rFonts w:eastAsia="Arial"/>
                <w:color w:val="000000"/>
                <w:sz w:val="18"/>
                <w:szCs w:val="18"/>
                <w:lang w:val="fr-FR"/>
              </w:rPr>
              <w:t>Aucune</w:t>
            </w:r>
          </w:p>
        </w:tc>
      </w:tr>
      <w:tr w:rsidR="00FF30E4" w:rsidRPr="00D629F5" w14:paraId="5AABFD23" w14:textId="77777777" w:rsidTr="00FF30E4">
        <w:trPr>
          <w:trHeight w:val="288"/>
        </w:trPr>
        <w:tc>
          <w:tcPr>
            <w:tcW w:w="2122" w:type="dxa"/>
            <w:tcBorders>
              <w:top w:val="single" w:sz="4" w:space="0" w:color="auto"/>
              <w:left w:val="single" w:sz="4" w:space="0" w:color="auto"/>
              <w:bottom w:val="single" w:sz="4" w:space="0" w:color="auto"/>
              <w:right w:val="single" w:sz="4" w:space="0" w:color="auto"/>
            </w:tcBorders>
            <w:hideMark/>
          </w:tcPr>
          <w:p w14:paraId="58DFBE60" w14:textId="77777777" w:rsidR="00FF30E4" w:rsidRPr="00D629F5" w:rsidRDefault="00FF30E4">
            <w:pPr>
              <w:rPr>
                <w:rFonts w:eastAsia="Arial"/>
                <w:b/>
                <w:bCs w:val="0"/>
                <w:color w:val="000000"/>
                <w:sz w:val="18"/>
                <w:szCs w:val="18"/>
                <w:lang w:val="fr-FR"/>
              </w:rPr>
            </w:pPr>
            <w:r w:rsidRPr="00D629F5">
              <w:rPr>
                <w:rFonts w:eastAsia="Times New Roman"/>
                <w:b/>
                <w:color w:val="000000" w:themeColor="text1"/>
                <w:sz w:val="18"/>
                <w:szCs w:val="18"/>
                <w:lang w:val="fr-FR"/>
              </w:rPr>
              <w:t xml:space="preserve">Coûts totaux indicatifs : </w:t>
            </w:r>
          </w:p>
        </w:tc>
        <w:tc>
          <w:tcPr>
            <w:tcW w:w="2551" w:type="dxa"/>
            <w:tcBorders>
              <w:top w:val="single" w:sz="4" w:space="0" w:color="auto"/>
              <w:left w:val="single" w:sz="4" w:space="0" w:color="auto"/>
              <w:bottom w:val="single" w:sz="4" w:space="0" w:color="auto"/>
              <w:right w:val="single" w:sz="4" w:space="0" w:color="auto"/>
            </w:tcBorders>
          </w:tcPr>
          <w:p w14:paraId="1A974723" w14:textId="77777777" w:rsidR="00FF30E4" w:rsidRPr="00D629F5" w:rsidRDefault="00FF30E4">
            <w:pPr>
              <w:spacing w:line="256" w:lineRule="auto"/>
              <w:rPr>
                <w:rFonts w:eastAsia="Arial"/>
                <w:color w:val="000000"/>
                <w:sz w:val="18"/>
                <w:szCs w:val="18"/>
                <w:lang w:val="fr-FR"/>
              </w:rPr>
            </w:pPr>
          </w:p>
        </w:tc>
        <w:tc>
          <w:tcPr>
            <w:tcW w:w="1609" w:type="dxa"/>
            <w:tcBorders>
              <w:top w:val="single" w:sz="4" w:space="0" w:color="auto"/>
              <w:left w:val="single" w:sz="4" w:space="0" w:color="auto"/>
              <w:bottom w:val="single" w:sz="4" w:space="0" w:color="auto"/>
              <w:right w:val="single" w:sz="4" w:space="0" w:color="auto"/>
            </w:tcBorders>
          </w:tcPr>
          <w:p w14:paraId="3890D086" w14:textId="77777777" w:rsidR="00FF30E4" w:rsidRPr="00D629F5" w:rsidRDefault="00FF30E4">
            <w:pPr>
              <w:spacing w:line="256" w:lineRule="auto"/>
              <w:rPr>
                <w:rFonts w:eastAsia="Arial"/>
                <w:color w:val="000000"/>
                <w:sz w:val="18"/>
                <w:szCs w:val="18"/>
                <w:lang w:val="fr-FR"/>
              </w:rPr>
            </w:pPr>
          </w:p>
        </w:tc>
        <w:tc>
          <w:tcPr>
            <w:tcW w:w="2647" w:type="dxa"/>
            <w:tcBorders>
              <w:top w:val="single" w:sz="4" w:space="0" w:color="auto"/>
              <w:left w:val="single" w:sz="4" w:space="0" w:color="auto"/>
              <w:bottom w:val="single" w:sz="4" w:space="0" w:color="auto"/>
              <w:right w:val="single" w:sz="4" w:space="0" w:color="auto"/>
            </w:tcBorders>
            <w:hideMark/>
          </w:tcPr>
          <w:p w14:paraId="269C711C" w14:textId="77777777" w:rsidR="00FF30E4" w:rsidRPr="00D629F5" w:rsidRDefault="00FF30E4">
            <w:pPr>
              <w:spacing w:line="256" w:lineRule="auto"/>
              <w:jc w:val="right"/>
              <w:rPr>
                <w:rFonts w:eastAsia="Arial"/>
                <w:color w:val="000000"/>
                <w:sz w:val="18"/>
                <w:szCs w:val="18"/>
                <w:lang w:val="fr-FR"/>
              </w:rPr>
            </w:pPr>
            <w:r w:rsidRPr="00D629F5">
              <w:rPr>
                <w:b/>
                <w:sz w:val="18"/>
                <w:szCs w:val="18"/>
                <w:lang w:val="fr-FR"/>
              </w:rPr>
              <w:t>366 000 CHF</w:t>
            </w:r>
            <w:r w:rsidRPr="00D629F5">
              <w:rPr>
                <w:rStyle w:val="FootnoteReference"/>
                <w:sz w:val="18"/>
                <w:szCs w:val="18"/>
                <w:lang w:val="fr-FR"/>
              </w:rPr>
              <w:footnoteReference w:id="25"/>
            </w:r>
          </w:p>
        </w:tc>
      </w:tr>
    </w:tbl>
    <w:p w14:paraId="133526BB" w14:textId="77777777" w:rsidR="00F71622" w:rsidRDefault="00F71622" w:rsidP="00FF30E4">
      <w:pPr>
        <w:keepNext/>
        <w:keepLines/>
        <w:rPr>
          <w:b/>
          <w:bCs w:val="0"/>
          <w:lang w:val="fr-FR"/>
        </w:rPr>
      </w:pPr>
    </w:p>
    <w:p w14:paraId="2F1B44D8" w14:textId="77777777" w:rsidR="00F71622" w:rsidRDefault="00F71622" w:rsidP="00FF30E4">
      <w:pPr>
        <w:keepNext/>
        <w:keepLines/>
        <w:rPr>
          <w:b/>
          <w:bCs w:val="0"/>
          <w:lang w:val="fr-FR"/>
        </w:rPr>
      </w:pPr>
    </w:p>
    <w:p w14:paraId="131B09E0" w14:textId="791B8070" w:rsidR="00FF30E4" w:rsidRPr="00D629F5" w:rsidRDefault="00FF30E4" w:rsidP="00FF30E4">
      <w:pPr>
        <w:keepNext/>
        <w:keepLines/>
        <w:rPr>
          <w:b/>
          <w:bCs w:val="0"/>
          <w:lang w:val="fr-FR"/>
        </w:rPr>
      </w:pPr>
      <w:r w:rsidRPr="00D629F5">
        <w:rPr>
          <w:b/>
          <w:bCs w:val="0"/>
          <w:lang w:val="fr-FR"/>
        </w:rPr>
        <w:t>Priorités en matière de calendrier et de mise en œuvre</w:t>
      </w:r>
    </w:p>
    <w:p w14:paraId="0F5687E8" w14:textId="77777777" w:rsidR="00FF30E4" w:rsidRPr="00D629F5" w:rsidRDefault="00FF30E4" w:rsidP="00FF30E4">
      <w:pPr>
        <w:keepNext/>
        <w:keepLines/>
        <w:rPr>
          <w:lang w:val="fr-FR"/>
        </w:rPr>
      </w:pPr>
    </w:p>
    <w:p w14:paraId="05A8853C" w14:textId="77777777" w:rsidR="00FF30E4" w:rsidRPr="00D629F5" w:rsidRDefault="00FF30E4" w:rsidP="00FF30E4">
      <w:pPr>
        <w:keepNext/>
        <w:keepLines/>
        <w:ind w:left="432" w:hanging="432"/>
        <w:rPr>
          <w:lang w:val="fr-FR"/>
        </w:rPr>
      </w:pPr>
      <w:r w:rsidRPr="00D629F5">
        <w:rPr>
          <w:lang w:val="fr-FR"/>
        </w:rPr>
        <w:t>6.</w:t>
      </w:r>
      <w:r w:rsidRPr="00D629F5">
        <w:rPr>
          <w:lang w:val="fr-FR"/>
        </w:rPr>
        <w:tab/>
        <w:t xml:space="preserve">Le calendrier prévu pour la création du Partenariat pour les estimations des populations d’oiseaux d’eau (d’ici la COP15) et la production des WPE2027 avant 2027 est ambitieux. Pour satisfaire à ce calendrier, les travaux sur le Partenariat doivent commencer début janvier 2025 tandis que les préparatifs pour les WPE2027 doivent commencer vers la mi-2025. Les ressources financières de départ de ces tâches clés sont détaillées dans le tableau 1. </w:t>
      </w:r>
    </w:p>
    <w:p w14:paraId="2D0BF9E2" w14:textId="77777777" w:rsidR="00FF30E4" w:rsidRPr="00D629F5" w:rsidRDefault="00FF30E4" w:rsidP="00FF30E4">
      <w:pPr>
        <w:rPr>
          <w:lang w:val="fr-FR"/>
        </w:rPr>
      </w:pPr>
    </w:p>
    <w:p w14:paraId="3F7E1796" w14:textId="77777777" w:rsidR="00FF30E4" w:rsidRPr="00D629F5" w:rsidRDefault="00FF30E4" w:rsidP="00FF30E4">
      <w:pPr>
        <w:rPr>
          <w:b/>
          <w:bCs w:val="0"/>
          <w:lang w:val="fr-FR"/>
        </w:rPr>
      </w:pPr>
      <w:r w:rsidRPr="00D629F5">
        <w:rPr>
          <w:b/>
          <w:bCs w:val="0"/>
          <w:lang w:val="fr-FR"/>
        </w:rPr>
        <w:t>Options en matière de ressources</w:t>
      </w:r>
    </w:p>
    <w:p w14:paraId="635BB014" w14:textId="77777777" w:rsidR="00FF30E4" w:rsidRPr="00D629F5" w:rsidRDefault="00FF30E4" w:rsidP="00FF30E4">
      <w:pPr>
        <w:rPr>
          <w:lang w:val="fr-FR"/>
        </w:rPr>
      </w:pPr>
    </w:p>
    <w:p w14:paraId="4F7EE042" w14:textId="77777777" w:rsidR="00FF30E4" w:rsidRPr="00D629F5" w:rsidRDefault="00FF30E4" w:rsidP="00FF30E4">
      <w:pPr>
        <w:ind w:left="432" w:hanging="432"/>
        <w:rPr>
          <w:lang w:val="fr-FR"/>
        </w:rPr>
      </w:pPr>
      <w:r w:rsidRPr="00D629F5">
        <w:rPr>
          <w:lang w:val="fr-FR"/>
        </w:rPr>
        <w:t>7.</w:t>
      </w:r>
      <w:r w:rsidRPr="00D629F5">
        <w:rPr>
          <w:lang w:val="fr-FR"/>
        </w:rPr>
        <w:tab/>
        <w:t xml:space="preserve">Trois principales options de financement sont proposées : </w:t>
      </w:r>
    </w:p>
    <w:p w14:paraId="516E1A85" w14:textId="77777777" w:rsidR="00FF30E4" w:rsidRPr="00D629F5" w:rsidRDefault="00FF30E4" w:rsidP="00332D1A">
      <w:pPr>
        <w:pStyle w:val="ListParagraph"/>
        <w:numPr>
          <w:ilvl w:val="0"/>
          <w:numId w:val="9"/>
        </w:numPr>
        <w:ind w:left="810"/>
        <w:rPr>
          <w:lang w:val="fr-FR"/>
        </w:rPr>
      </w:pPr>
      <w:r w:rsidRPr="00D629F5">
        <w:rPr>
          <w:lang w:val="fr-FR"/>
        </w:rPr>
        <w:t>Financement intégral (allocation de 100 %) : Financement intégral par la Convention sur les zones humides, éventuellement avec des fonds excédentaires.</w:t>
      </w:r>
    </w:p>
    <w:p w14:paraId="07FC324B" w14:textId="77777777" w:rsidR="00FF30E4" w:rsidRPr="00D629F5" w:rsidRDefault="00FF30E4" w:rsidP="00332D1A">
      <w:pPr>
        <w:pStyle w:val="ListParagraph"/>
        <w:numPr>
          <w:ilvl w:val="0"/>
          <w:numId w:val="9"/>
        </w:numPr>
        <w:ind w:left="810"/>
        <w:rPr>
          <w:lang w:val="fr-FR"/>
        </w:rPr>
      </w:pPr>
      <w:r w:rsidRPr="00D629F5">
        <w:rPr>
          <w:lang w:val="fr-FR"/>
        </w:rPr>
        <w:t>Financement intermédiaire (allocation de 75 %) : Financement partiel de la Convention, complété par une mobilisation de ressources additionnelles.</w:t>
      </w:r>
    </w:p>
    <w:p w14:paraId="71220FC8" w14:textId="77777777" w:rsidR="00FF30E4" w:rsidRPr="00D629F5" w:rsidRDefault="00FF30E4" w:rsidP="00332D1A">
      <w:pPr>
        <w:pStyle w:val="ListParagraph"/>
        <w:numPr>
          <w:ilvl w:val="0"/>
          <w:numId w:val="9"/>
        </w:numPr>
        <w:ind w:left="810"/>
        <w:rPr>
          <w:lang w:val="fr-FR"/>
        </w:rPr>
      </w:pPr>
      <w:r w:rsidRPr="00D629F5">
        <w:rPr>
          <w:lang w:val="fr-FR"/>
        </w:rPr>
        <w:t>Financement minimal (allocation de 50 %) : Financement de base de la Convention, avec des ressources additionnelles recherchées auprès des Parties contractantes et d’autres organisations.</w:t>
      </w:r>
    </w:p>
    <w:p w14:paraId="42C44FC3" w14:textId="77777777" w:rsidR="00FF30E4" w:rsidRPr="00D629F5" w:rsidRDefault="00FF30E4" w:rsidP="00FF30E4">
      <w:pPr>
        <w:rPr>
          <w:lang w:val="fr-FR"/>
        </w:rPr>
      </w:pPr>
    </w:p>
    <w:p w14:paraId="0034B918" w14:textId="77777777" w:rsidR="00FF30E4" w:rsidRPr="00D629F5" w:rsidRDefault="00FF30E4" w:rsidP="00FF30E4">
      <w:pPr>
        <w:ind w:left="432" w:hanging="432"/>
        <w:rPr>
          <w:lang w:val="fr-FR"/>
        </w:rPr>
      </w:pPr>
      <w:r w:rsidRPr="00D629F5">
        <w:rPr>
          <w:lang w:val="fr-FR"/>
        </w:rPr>
        <w:t>8.</w:t>
      </w:r>
      <w:r w:rsidRPr="00D629F5">
        <w:rPr>
          <w:lang w:val="fr-FR"/>
        </w:rPr>
        <w:tab/>
        <w:t>En cas de financement partiel, il sera d’importance critique d’engager d’autres activités de mobilisation des ressources. Les résultats sont tributaires de l’obtention de ces ressources additionnelles. Le tableau 3 énumère les coûts et limites possibles dans le cadre des options de financement intermédiaire et minimal.</w:t>
      </w:r>
    </w:p>
    <w:p w14:paraId="01AD8B9D" w14:textId="77777777" w:rsidR="00FF30E4" w:rsidRPr="00D629F5" w:rsidRDefault="00FF30E4" w:rsidP="00FF30E4">
      <w:pPr>
        <w:ind w:left="432" w:hanging="432"/>
        <w:rPr>
          <w:lang w:val="fr-FR"/>
        </w:rPr>
      </w:pPr>
    </w:p>
    <w:p w14:paraId="79D1BADC" w14:textId="77777777" w:rsidR="00FF30E4" w:rsidRPr="00D629F5" w:rsidRDefault="00FF30E4" w:rsidP="00F71622">
      <w:pPr>
        <w:keepNext/>
        <w:rPr>
          <w:lang w:val="fr-FR"/>
        </w:rPr>
      </w:pPr>
      <w:r w:rsidRPr="00D629F5">
        <w:rPr>
          <w:lang w:val="fr-FR"/>
        </w:rPr>
        <w:t>Tableau 3. Différentes options de coûts (en CHF).</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030"/>
        <w:gridCol w:w="1927"/>
        <w:gridCol w:w="1968"/>
        <w:gridCol w:w="1980"/>
      </w:tblGrid>
      <w:tr w:rsidR="00FF30E4" w:rsidRPr="00D629F5" w14:paraId="156A0551" w14:textId="77777777" w:rsidTr="00FF30E4">
        <w:trPr>
          <w:tblHeader/>
        </w:trPr>
        <w:tc>
          <w:tcPr>
            <w:tcW w:w="3030" w:type="dxa"/>
            <w:tcBorders>
              <w:top w:val="single" w:sz="4" w:space="0" w:color="auto"/>
              <w:left w:val="single" w:sz="4" w:space="0" w:color="auto"/>
              <w:bottom w:val="single" w:sz="4" w:space="0" w:color="auto"/>
              <w:right w:val="single" w:sz="4" w:space="0" w:color="auto"/>
            </w:tcBorders>
            <w:shd w:val="clear" w:color="auto" w:fill="E8E8E8" w:themeFill="background2"/>
            <w:noWrap/>
            <w:vAlign w:val="center"/>
            <w:hideMark/>
          </w:tcPr>
          <w:p w14:paraId="7DFA744E" w14:textId="77777777" w:rsidR="00FF30E4" w:rsidRPr="00D629F5" w:rsidRDefault="00FF30E4">
            <w:pPr>
              <w:spacing w:line="256" w:lineRule="auto"/>
              <w:rPr>
                <w:rFonts w:eastAsia="Arial"/>
                <w:b/>
                <w:color w:val="000000"/>
                <w:sz w:val="20"/>
                <w:szCs w:val="20"/>
                <w:lang w:val="fr-FR"/>
              </w:rPr>
            </w:pPr>
            <w:r w:rsidRPr="00D629F5">
              <w:rPr>
                <w:rFonts w:eastAsia="Arial"/>
                <w:b/>
                <w:color w:val="000000"/>
                <w:sz w:val="20"/>
                <w:szCs w:val="20"/>
                <w:lang w:val="fr-FR"/>
              </w:rPr>
              <w:t>Actions prioritaires</w:t>
            </w:r>
          </w:p>
        </w:tc>
        <w:tc>
          <w:tcPr>
            <w:tcW w:w="192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C4CD1FF" w14:textId="77777777" w:rsidR="00FF30E4" w:rsidRPr="00D629F5" w:rsidRDefault="00FF30E4">
            <w:pPr>
              <w:spacing w:line="256" w:lineRule="auto"/>
              <w:jc w:val="center"/>
              <w:rPr>
                <w:rFonts w:eastAsia="Arial"/>
                <w:b/>
                <w:color w:val="000000"/>
                <w:sz w:val="20"/>
                <w:szCs w:val="20"/>
                <w:lang w:val="fr-FR"/>
              </w:rPr>
            </w:pPr>
            <w:r w:rsidRPr="00D629F5">
              <w:rPr>
                <w:rFonts w:eastAsia="Arial"/>
                <w:b/>
                <w:color w:val="000000"/>
                <w:sz w:val="20"/>
                <w:szCs w:val="20"/>
                <w:lang w:val="fr-FR"/>
              </w:rPr>
              <w:t>Option intégrale (toutes les actions)</w:t>
            </w:r>
          </w:p>
        </w:tc>
        <w:tc>
          <w:tcPr>
            <w:tcW w:w="196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A20C846" w14:textId="77777777" w:rsidR="00FF30E4" w:rsidRPr="00D629F5" w:rsidRDefault="00FF30E4">
            <w:pPr>
              <w:spacing w:line="256" w:lineRule="auto"/>
              <w:jc w:val="center"/>
              <w:rPr>
                <w:rFonts w:eastAsia="Arial"/>
                <w:b/>
                <w:color w:val="000000"/>
                <w:sz w:val="20"/>
                <w:szCs w:val="20"/>
                <w:lang w:val="fr-FR"/>
              </w:rPr>
            </w:pPr>
            <w:r w:rsidRPr="00D629F5">
              <w:rPr>
                <w:rFonts w:eastAsia="Arial"/>
                <w:b/>
                <w:color w:val="000000"/>
                <w:sz w:val="20"/>
                <w:szCs w:val="20"/>
                <w:lang w:val="fr-FR"/>
              </w:rPr>
              <w:t>Option intermédiaire*</w:t>
            </w:r>
          </w:p>
          <w:p w14:paraId="56B01ED0" w14:textId="77777777" w:rsidR="00FF30E4" w:rsidRPr="00D629F5" w:rsidRDefault="00FF30E4">
            <w:pPr>
              <w:spacing w:line="256" w:lineRule="auto"/>
              <w:jc w:val="center"/>
              <w:rPr>
                <w:rFonts w:eastAsia="Arial"/>
                <w:b/>
                <w:color w:val="000000"/>
                <w:sz w:val="20"/>
                <w:szCs w:val="20"/>
                <w:lang w:val="fr-FR"/>
              </w:rPr>
            </w:pPr>
            <w:r w:rsidRPr="00D629F5">
              <w:rPr>
                <w:rFonts w:eastAsia="Arial"/>
                <w:b/>
                <w:color w:val="000000"/>
                <w:sz w:val="20"/>
                <w:szCs w:val="20"/>
                <w:lang w:val="fr-FR"/>
              </w:rPr>
              <w:t>(75 %)</w:t>
            </w:r>
          </w:p>
        </w:tc>
        <w:tc>
          <w:tcPr>
            <w:tcW w:w="198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D9AF54B" w14:textId="77777777" w:rsidR="00FF30E4" w:rsidRPr="00D629F5" w:rsidRDefault="00FF30E4">
            <w:pPr>
              <w:spacing w:line="256" w:lineRule="auto"/>
              <w:jc w:val="center"/>
              <w:rPr>
                <w:rFonts w:eastAsia="Arial"/>
                <w:b/>
                <w:color w:val="000000"/>
                <w:sz w:val="20"/>
                <w:szCs w:val="20"/>
                <w:lang w:val="fr-FR"/>
              </w:rPr>
            </w:pPr>
            <w:r w:rsidRPr="00D629F5">
              <w:rPr>
                <w:rFonts w:eastAsia="Arial"/>
                <w:b/>
                <w:color w:val="000000"/>
                <w:sz w:val="20"/>
                <w:szCs w:val="20"/>
                <w:lang w:val="fr-FR"/>
              </w:rPr>
              <w:t>Option minimale*</w:t>
            </w:r>
          </w:p>
          <w:p w14:paraId="7CC10F04" w14:textId="77777777" w:rsidR="00FF30E4" w:rsidRPr="00D629F5" w:rsidRDefault="00FF30E4">
            <w:pPr>
              <w:spacing w:line="256" w:lineRule="auto"/>
              <w:jc w:val="center"/>
              <w:rPr>
                <w:rFonts w:eastAsia="Arial"/>
                <w:b/>
                <w:color w:val="000000"/>
                <w:sz w:val="20"/>
                <w:szCs w:val="20"/>
                <w:lang w:val="fr-FR"/>
              </w:rPr>
            </w:pPr>
            <w:r w:rsidRPr="00D629F5">
              <w:rPr>
                <w:rFonts w:eastAsia="Arial"/>
                <w:b/>
                <w:color w:val="000000"/>
                <w:sz w:val="20"/>
                <w:szCs w:val="20"/>
                <w:lang w:val="fr-FR"/>
              </w:rPr>
              <w:t xml:space="preserve"> (50 %)</w:t>
            </w:r>
          </w:p>
        </w:tc>
      </w:tr>
      <w:tr w:rsidR="00FF30E4" w:rsidRPr="00D629F5" w14:paraId="238326F2" w14:textId="77777777" w:rsidTr="00FF30E4">
        <w:tc>
          <w:tcPr>
            <w:tcW w:w="3030" w:type="dxa"/>
            <w:tcBorders>
              <w:top w:val="single" w:sz="4" w:space="0" w:color="auto"/>
              <w:left w:val="single" w:sz="4" w:space="0" w:color="auto"/>
              <w:bottom w:val="single" w:sz="4" w:space="0" w:color="auto"/>
              <w:right w:val="single" w:sz="4" w:space="0" w:color="auto"/>
            </w:tcBorders>
            <w:noWrap/>
            <w:hideMark/>
          </w:tcPr>
          <w:p w14:paraId="1F5AA774" w14:textId="77777777" w:rsidR="00FF30E4" w:rsidRPr="00D629F5" w:rsidRDefault="00FF30E4" w:rsidP="00332D1A">
            <w:pPr>
              <w:pStyle w:val="ListParagraph"/>
              <w:numPr>
                <w:ilvl w:val="0"/>
                <w:numId w:val="22"/>
              </w:numPr>
              <w:spacing w:line="256" w:lineRule="auto"/>
              <w:ind w:left="284" w:hanging="284"/>
              <w:rPr>
                <w:rFonts w:eastAsia="Times New Roman"/>
                <w:color w:val="000000"/>
                <w:sz w:val="20"/>
                <w:szCs w:val="20"/>
                <w:lang w:val="fr-FR"/>
              </w:rPr>
            </w:pPr>
            <w:r w:rsidRPr="00D629F5">
              <w:rPr>
                <w:rFonts w:eastAsia="Times New Roman"/>
                <w:color w:val="000000"/>
                <w:sz w:val="20"/>
                <w:szCs w:val="20"/>
                <w:lang w:val="fr-FR"/>
              </w:rPr>
              <w:t xml:space="preserve">Création du Partenariat pour les estimations des populations d’oiseaux d’eau </w:t>
            </w:r>
          </w:p>
        </w:tc>
        <w:tc>
          <w:tcPr>
            <w:tcW w:w="1927" w:type="dxa"/>
            <w:tcBorders>
              <w:top w:val="single" w:sz="4" w:space="0" w:color="auto"/>
              <w:left w:val="single" w:sz="4" w:space="0" w:color="auto"/>
              <w:bottom w:val="single" w:sz="4" w:space="0" w:color="auto"/>
              <w:right w:val="single" w:sz="4" w:space="0" w:color="auto"/>
            </w:tcBorders>
            <w:hideMark/>
          </w:tcPr>
          <w:p w14:paraId="73D6DB5D" w14:textId="77777777" w:rsidR="00FF30E4" w:rsidRPr="00D629F5" w:rsidRDefault="00FF30E4">
            <w:pPr>
              <w:spacing w:line="256" w:lineRule="auto"/>
              <w:jc w:val="right"/>
              <w:rPr>
                <w:rFonts w:eastAsia="Times New Roman"/>
                <w:color w:val="000000"/>
                <w:sz w:val="20"/>
                <w:szCs w:val="20"/>
                <w:lang w:val="fr-FR"/>
              </w:rPr>
            </w:pPr>
            <w:r w:rsidRPr="00D629F5">
              <w:rPr>
                <w:sz w:val="20"/>
                <w:szCs w:val="20"/>
                <w:lang w:val="fr-FR"/>
              </w:rPr>
              <w:t xml:space="preserve"> 38 000 </w:t>
            </w:r>
          </w:p>
        </w:tc>
        <w:tc>
          <w:tcPr>
            <w:tcW w:w="1968" w:type="dxa"/>
            <w:tcBorders>
              <w:top w:val="single" w:sz="4" w:space="0" w:color="auto"/>
              <w:left w:val="single" w:sz="4" w:space="0" w:color="auto"/>
              <w:bottom w:val="single" w:sz="4" w:space="0" w:color="auto"/>
              <w:right w:val="single" w:sz="4" w:space="0" w:color="auto"/>
            </w:tcBorders>
            <w:hideMark/>
          </w:tcPr>
          <w:p w14:paraId="14AA70E7" w14:textId="77777777" w:rsidR="00FF30E4" w:rsidRPr="00D629F5" w:rsidRDefault="00FF30E4">
            <w:pPr>
              <w:spacing w:line="256" w:lineRule="auto"/>
              <w:jc w:val="right"/>
              <w:rPr>
                <w:sz w:val="20"/>
                <w:szCs w:val="20"/>
                <w:lang w:val="fr-FR"/>
              </w:rPr>
            </w:pPr>
            <w:r w:rsidRPr="00D629F5">
              <w:rPr>
                <w:sz w:val="20"/>
                <w:szCs w:val="20"/>
                <w:lang w:val="fr-FR"/>
              </w:rPr>
              <w:t>38 000</w:t>
            </w:r>
          </w:p>
        </w:tc>
        <w:tc>
          <w:tcPr>
            <w:tcW w:w="1980" w:type="dxa"/>
            <w:tcBorders>
              <w:top w:val="single" w:sz="4" w:space="0" w:color="auto"/>
              <w:left w:val="single" w:sz="4" w:space="0" w:color="auto"/>
              <w:bottom w:val="single" w:sz="4" w:space="0" w:color="auto"/>
              <w:right w:val="single" w:sz="4" w:space="0" w:color="auto"/>
            </w:tcBorders>
            <w:hideMark/>
          </w:tcPr>
          <w:p w14:paraId="69BA19F8" w14:textId="77777777" w:rsidR="00FF30E4" w:rsidRPr="00D629F5" w:rsidRDefault="00FF30E4">
            <w:pPr>
              <w:spacing w:line="256" w:lineRule="auto"/>
              <w:jc w:val="right"/>
              <w:rPr>
                <w:sz w:val="20"/>
                <w:szCs w:val="20"/>
                <w:lang w:val="fr-FR"/>
              </w:rPr>
            </w:pPr>
            <w:r w:rsidRPr="00D629F5">
              <w:rPr>
                <w:sz w:val="20"/>
                <w:szCs w:val="20"/>
                <w:lang w:val="fr-FR"/>
              </w:rPr>
              <w:t>38 000</w:t>
            </w:r>
          </w:p>
        </w:tc>
      </w:tr>
      <w:tr w:rsidR="00FF30E4" w:rsidRPr="00D629F5" w14:paraId="4879F700" w14:textId="77777777" w:rsidTr="00FF30E4">
        <w:trPr>
          <w:trHeight w:val="716"/>
        </w:trPr>
        <w:tc>
          <w:tcPr>
            <w:tcW w:w="3030" w:type="dxa"/>
            <w:tcBorders>
              <w:top w:val="single" w:sz="4" w:space="0" w:color="auto"/>
              <w:left w:val="single" w:sz="4" w:space="0" w:color="auto"/>
              <w:bottom w:val="single" w:sz="4" w:space="0" w:color="auto"/>
              <w:right w:val="single" w:sz="4" w:space="0" w:color="auto"/>
            </w:tcBorders>
            <w:noWrap/>
            <w:hideMark/>
          </w:tcPr>
          <w:p w14:paraId="7979E24F" w14:textId="77777777" w:rsidR="00FF30E4" w:rsidRPr="00D629F5" w:rsidRDefault="00FF30E4" w:rsidP="00332D1A">
            <w:pPr>
              <w:pStyle w:val="ListParagraph"/>
              <w:numPr>
                <w:ilvl w:val="0"/>
                <w:numId w:val="22"/>
              </w:numPr>
              <w:spacing w:line="256" w:lineRule="auto"/>
              <w:ind w:left="284" w:hanging="284"/>
              <w:rPr>
                <w:color w:val="000000"/>
                <w:sz w:val="20"/>
                <w:szCs w:val="20"/>
                <w:lang w:val="fr-FR"/>
              </w:rPr>
            </w:pPr>
            <w:r w:rsidRPr="00D629F5">
              <w:rPr>
                <w:rFonts w:eastAsia="Times New Roman"/>
                <w:color w:val="000000" w:themeColor="text1"/>
                <w:sz w:val="20"/>
                <w:szCs w:val="20"/>
                <w:lang w:val="fr-FR"/>
              </w:rPr>
              <w:t>Publication des WPE2027 par un examen et des mises à jour concernant les populations prioritaires</w:t>
            </w:r>
          </w:p>
        </w:tc>
        <w:tc>
          <w:tcPr>
            <w:tcW w:w="1927" w:type="dxa"/>
            <w:tcBorders>
              <w:top w:val="single" w:sz="4" w:space="0" w:color="auto"/>
              <w:left w:val="single" w:sz="4" w:space="0" w:color="auto"/>
              <w:bottom w:val="single" w:sz="4" w:space="0" w:color="auto"/>
              <w:right w:val="single" w:sz="4" w:space="0" w:color="auto"/>
            </w:tcBorders>
            <w:hideMark/>
          </w:tcPr>
          <w:p w14:paraId="53EBED14" w14:textId="77777777" w:rsidR="00FF30E4" w:rsidRPr="00D629F5" w:rsidRDefault="00FF30E4">
            <w:pPr>
              <w:spacing w:line="256" w:lineRule="auto"/>
              <w:jc w:val="right"/>
              <w:rPr>
                <w:sz w:val="20"/>
                <w:szCs w:val="20"/>
                <w:lang w:val="fr-FR"/>
              </w:rPr>
            </w:pPr>
            <w:r w:rsidRPr="00D629F5">
              <w:rPr>
                <w:sz w:val="20"/>
                <w:szCs w:val="20"/>
                <w:lang w:val="fr-FR"/>
              </w:rPr>
              <w:t>366 000</w:t>
            </w:r>
          </w:p>
          <w:p w14:paraId="1CF30630" w14:textId="77777777" w:rsidR="00FF30E4" w:rsidRPr="00D629F5" w:rsidRDefault="00FF30E4">
            <w:pPr>
              <w:spacing w:line="256" w:lineRule="auto"/>
              <w:jc w:val="right"/>
              <w:rPr>
                <w:sz w:val="20"/>
                <w:szCs w:val="20"/>
                <w:lang w:val="fr-FR"/>
              </w:rPr>
            </w:pPr>
            <w:r w:rsidRPr="00D629F5">
              <w:rPr>
                <w:color w:val="000000"/>
                <w:sz w:val="20"/>
                <w:szCs w:val="20"/>
                <w:lang w:val="fr-FR"/>
              </w:rPr>
              <w:t>(1 600 populations)</w:t>
            </w:r>
          </w:p>
        </w:tc>
        <w:tc>
          <w:tcPr>
            <w:tcW w:w="1968" w:type="dxa"/>
            <w:tcBorders>
              <w:top w:val="single" w:sz="4" w:space="0" w:color="auto"/>
              <w:left w:val="single" w:sz="4" w:space="0" w:color="auto"/>
              <w:bottom w:val="single" w:sz="4" w:space="0" w:color="auto"/>
              <w:right w:val="single" w:sz="4" w:space="0" w:color="auto"/>
            </w:tcBorders>
            <w:hideMark/>
          </w:tcPr>
          <w:p w14:paraId="324124D2" w14:textId="77777777" w:rsidR="00FF30E4" w:rsidRPr="00D629F5" w:rsidRDefault="00FF30E4">
            <w:pPr>
              <w:spacing w:line="256" w:lineRule="auto"/>
              <w:jc w:val="right"/>
              <w:rPr>
                <w:sz w:val="20"/>
                <w:szCs w:val="20"/>
                <w:lang w:val="fr-FR"/>
              </w:rPr>
            </w:pPr>
            <w:r w:rsidRPr="00D629F5">
              <w:rPr>
                <w:sz w:val="20"/>
                <w:szCs w:val="20"/>
                <w:lang w:val="fr-FR"/>
              </w:rPr>
              <w:t>287 000</w:t>
            </w:r>
          </w:p>
          <w:p w14:paraId="082E6DC6" w14:textId="77777777" w:rsidR="00FF30E4" w:rsidRPr="00D629F5" w:rsidRDefault="00FF30E4">
            <w:pPr>
              <w:spacing w:line="256" w:lineRule="auto"/>
              <w:jc w:val="right"/>
              <w:rPr>
                <w:sz w:val="20"/>
                <w:szCs w:val="20"/>
                <w:lang w:val="fr-FR"/>
              </w:rPr>
            </w:pPr>
            <w:r w:rsidRPr="00D629F5">
              <w:rPr>
                <w:sz w:val="20"/>
                <w:szCs w:val="20"/>
                <w:lang w:val="fr-FR"/>
              </w:rPr>
              <w:t>(1 255 populations)</w:t>
            </w:r>
          </w:p>
        </w:tc>
        <w:tc>
          <w:tcPr>
            <w:tcW w:w="1980" w:type="dxa"/>
            <w:tcBorders>
              <w:top w:val="single" w:sz="4" w:space="0" w:color="auto"/>
              <w:left w:val="single" w:sz="4" w:space="0" w:color="auto"/>
              <w:bottom w:val="single" w:sz="4" w:space="0" w:color="auto"/>
              <w:right w:val="single" w:sz="4" w:space="0" w:color="auto"/>
            </w:tcBorders>
            <w:hideMark/>
          </w:tcPr>
          <w:p w14:paraId="78360477" w14:textId="77777777" w:rsidR="00FF30E4" w:rsidRPr="00D629F5" w:rsidRDefault="00FF30E4">
            <w:pPr>
              <w:spacing w:line="256" w:lineRule="auto"/>
              <w:jc w:val="right"/>
              <w:rPr>
                <w:sz w:val="20"/>
                <w:szCs w:val="20"/>
                <w:lang w:val="fr-FR"/>
              </w:rPr>
            </w:pPr>
            <w:r w:rsidRPr="00D629F5">
              <w:rPr>
                <w:sz w:val="20"/>
                <w:szCs w:val="20"/>
                <w:lang w:val="fr-FR"/>
              </w:rPr>
              <w:t>170 000</w:t>
            </w:r>
          </w:p>
          <w:p w14:paraId="4B564AA2" w14:textId="77777777" w:rsidR="00FF30E4" w:rsidRPr="00D629F5" w:rsidRDefault="00FF30E4">
            <w:pPr>
              <w:spacing w:line="256" w:lineRule="auto"/>
              <w:jc w:val="right"/>
              <w:rPr>
                <w:sz w:val="20"/>
                <w:szCs w:val="20"/>
                <w:lang w:val="fr-FR"/>
              </w:rPr>
            </w:pPr>
            <w:r w:rsidRPr="00D629F5">
              <w:rPr>
                <w:sz w:val="20"/>
                <w:szCs w:val="20"/>
                <w:lang w:val="fr-FR"/>
              </w:rPr>
              <w:t>(743 populations)</w:t>
            </w:r>
          </w:p>
        </w:tc>
      </w:tr>
      <w:tr w:rsidR="00FF30E4" w:rsidRPr="00D629F5" w14:paraId="3747A977" w14:textId="77777777" w:rsidTr="00FF30E4">
        <w:tc>
          <w:tcPr>
            <w:tcW w:w="3030" w:type="dxa"/>
            <w:tcBorders>
              <w:top w:val="single" w:sz="4" w:space="0" w:color="auto"/>
              <w:left w:val="single" w:sz="4" w:space="0" w:color="auto"/>
              <w:bottom w:val="single" w:sz="4" w:space="0" w:color="auto"/>
              <w:right w:val="single" w:sz="4" w:space="0" w:color="auto"/>
            </w:tcBorders>
            <w:noWrap/>
            <w:hideMark/>
          </w:tcPr>
          <w:p w14:paraId="0A05A627" w14:textId="77777777" w:rsidR="00FF30E4" w:rsidRPr="00D629F5" w:rsidRDefault="00FF30E4" w:rsidP="00332D1A">
            <w:pPr>
              <w:pStyle w:val="ListParagraph"/>
              <w:numPr>
                <w:ilvl w:val="0"/>
                <w:numId w:val="22"/>
              </w:numPr>
              <w:spacing w:line="256" w:lineRule="auto"/>
              <w:ind w:left="284" w:hanging="284"/>
              <w:rPr>
                <w:rFonts w:eastAsia="Arial"/>
                <w:sz w:val="20"/>
                <w:szCs w:val="20"/>
                <w:lang w:val="fr-FR"/>
              </w:rPr>
            </w:pPr>
            <w:r w:rsidRPr="00D629F5">
              <w:rPr>
                <w:color w:val="000000"/>
                <w:sz w:val="20"/>
                <w:szCs w:val="20"/>
                <w:lang w:val="fr-FR"/>
              </w:rPr>
              <w:t>Maintien du Waterbirds Populations Portal (Portail des populations d’oiseaux d’eau) pour produire des informations pour les WPE</w:t>
            </w:r>
          </w:p>
        </w:tc>
        <w:tc>
          <w:tcPr>
            <w:tcW w:w="1927" w:type="dxa"/>
            <w:tcBorders>
              <w:top w:val="single" w:sz="4" w:space="0" w:color="auto"/>
              <w:left w:val="single" w:sz="4" w:space="0" w:color="auto"/>
              <w:bottom w:val="single" w:sz="4" w:space="0" w:color="auto"/>
              <w:right w:val="single" w:sz="4" w:space="0" w:color="auto"/>
            </w:tcBorders>
            <w:hideMark/>
          </w:tcPr>
          <w:p w14:paraId="15C3CFE8" w14:textId="77777777" w:rsidR="00FF30E4" w:rsidRPr="00D629F5" w:rsidRDefault="00FF30E4">
            <w:pPr>
              <w:spacing w:line="256" w:lineRule="auto"/>
              <w:jc w:val="right"/>
              <w:rPr>
                <w:rFonts w:eastAsia="Times New Roman"/>
                <w:color w:val="000000"/>
                <w:sz w:val="20"/>
                <w:szCs w:val="20"/>
                <w:lang w:val="fr-FR"/>
              </w:rPr>
            </w:pPr>
            <w:r w:rsidRPr="00D629F5">
              <w:rPr>
                <w:sz w:val="20"/>
                <w:szCs w:val="20"/>
                <w:lang w:val="fr-FR"/>
              </w:rPr>
              <w:t>61 000</w:t>
            </w:r>
          </w:p>
        </w:tc>
        <w:tc>
          <w:tcPr>
            <w:tcW w:w="1968" w:type="dxa"/>
            <w:tcBorders>
              <w:top w:val="single" w:sz="4" w:space="0" w:color="auto"/>
              <w:left w:val="single" w:sz="4" w:space="0" w:color="auto"/>
              <w:bottom w:val="single" w:sz="4" w:space="0" w:color="auto"/>
              <w:right w:val="single" w:sz="4" w:space="0" w:color="auto"/>
            </w:tcBorders>
            <w:hideMark/>
          </w:tcPr>
          <w:p w14:paraId="140BB16E" w14:textId="77777777" w:rsidR="00FF30E4" w:rsidRPr="00D629F5" w:rsidRDefault="00FF30E4">
            <w:pPr>
              <w:spacing w:line="256" w:lineRule="auto"/>
              <w:jc w:val="right"/>
              <w:rPr>
                <w:sz w:val="20"/>
                <w:szCs w:val="20"/>
                <w:lang w:val="fr-FR"/>
              </w:rPr>
            </w:pPr>
            <w:r w:rsidRPr="00D629F5">
              <w:rPr>
                <w:sz w:val="20"/>
                <w:szCs w:val="20"/>
                <w:lang w:val="fr-FR"/>
              </w:rPr>
              <w:t>25 000</w:t>
            </w:r>
          </w:p>
        </w:tc>
        <w:tc>
          <w:tcPr>
            <w:tcW w:w="1980" w:type="dxa"/>
            <w:tcBorders>
              <w:top w:val="single" w:sz="4" w:space="0" w:color="auto"/>
              <w:left w:val="single" w:sz="4" w:space="0" w:color="auto"/>
              <w:bottom w:val="single" w:sz="4" w:space="0" w:color="auto"/>
              <w:right w:val="single" w:sz="4" w:space="0" w:color="auto"/>
            </w:tcBorders>
            <w:hideMark/>
          </w:tcPr>
          <w:p w14:paraId="1FA27AA4" w14:textId="77777777" w:rsidR="00FF30E4" w:rsidRPr="00D629F5" w:rsidRDefault="00FF30E4">
            <w:pPr>
              <w:spacing w:line="256" w:lineRule="auto"/>
              <w:jc w:val="right"/>
              <w:rPr>
                <w:sz w:val="20"/>
                <w:szCs w:val="20"/>
                <w:lang w:val="fr-FR"/>
              </w:rPr>
            </w:pPr>
            <w:r w:rsidRPr="00D629F5">
              <w:rPr>
                <w:sz w:val="20"/>
                <w:szCs w:val="20"/>
                <w:lang w:val="fr-FR"/>
              </w:rPr>
              <w:t>25 000</w:t>
            </w:r>
          </w:p>
        </w:tc>
      </w:tr>
      <w:tr w:rsidR="00FF30E4" w:rsidRPr="00D629F5" w14:paraId="240A2BA1" w14:textId="77777777" w:rsidTr="00FF30E4">
        <w:tc>
          <w:tcPr>
            <w:tcW w:w="3030" w:type="dxa"/>
            <w:tcBorders>
              <w:top w:val="single" w:sz="4" w:space="0" w:color="auto"/>
              <w:left w:val="single" w:sz="4" w:space="0" w:color="auto"/>
              <w:bottom w:val="single" w:sz="4" w:space="0" w:color="auto"/>
              <w:right w:val="single" w:sz="4" w:space="0" w:color="auto"/>
            </w:tcBorders>
            <w:noWrap/>
            <w:hideMark/>
          </w:tcPr>
          <w:p w14:paraId="533D036F" w14:textId="77777777" w:rsidR="00FF30E4" w:rsidRPr="00D629F5" w:rsidRDefault="00FF30E4">
            <w:pPr>
              <w:spacing w:line="256" w:lineRule="auto"/>
              <w:rPr>
                <w:rFonts w:eastAsia="Times New Roman"/>
                <w:b/>
                <w:bCs w:val="0"/>
                <w:color w:val="000000" w:themeColor="text1"/>
                <w:sz w:val="20"/>
                <w:szCs w:val="20"/>
                <w:lang w:val="fr-FR"/>
              </w:rPr>
            </w:pPr>
            <w:r w:rsidRPr="00D629F5">
              <w:rPr>
                <w:rFonts w:eastAsia="Times New Roman"/>
                <w:b/>
                <w:color w:val="000000" w:themeColor="text1"/>
                <w:sz w:val="20"/>
                <w:szCs w:val="20"/>
                <w:lang w:val="fr-FR"/>
              </w:rPr>
              <w:t xml:space="preserve">Coûts totaux indicatifs (premières estimations) : </w:t>
            </w:r>
          </w:p>
        </w:tc>
        <w:tc>
          <w:tcPr>
            <w:tcW w:w="1927" w:type="dxa"/>
            <w:tcBorders>
              <w:top w:val="single" w:sz="4" w:space="0" w:color="auto"/>
              <w:left w:val="single" w:sz="4" w:space="0" w:color="auto"/>
              <w:bottom w:val="single" w:sz="4" w:space="0" w:color="auto"/>
              <w:right w:val="single" w:sz="4" w:space="0" w:color="auto"/>
            </w:tcBorders>
            <w:hideMark/>
          </w:tcPr>
          <w:p w14:paraId="66B9A4EB" w14:textId="77777777" w:rsidR="00FF30E4" w:rsidRPr="00D629F5" w:rsidRDefault="00FF30E4">
            <w:pPr>
              <w:spacing w:line="256" w:lineRule="auto"/>
              <w:jc w:val="right"/>
              <w:rPr>
                <w:rFonts w:eastAsia="Times New Roman"/>
                <w:b/>
                <w:bCs w:val="0"/>
                <w:color w:val="000000"/>
                <w:sz w:val="20"/>
                <w:szCs w:val="20"/>
                <w:lang w:val="fr-FR"/>
              </w:rPr>
            </w:pPr>
            <w:r w:rsidRPr="00D629F5">
              <w:rPr>
                <w:rFonts w:eastAsia="Times New Roman"/>
                <w:b/>
                <w:color w:val="000000"/>
                <w:sz w:val="20"/>
                <w:szCs w:val="20"/>
                <w:lang w:val="fr-FR"/>
              </w:rPr>
              <w:t>465 000</w:t>
            </w:r>
          </w:p>
        </w:tc>
        <w:tc>
          <w:tcPr>
            <w:tcW w:w="1968" w:type="dxa"/>
            <w:tcBorders>
              <w:top w:val="single" w:sz="4" w:space="0" w:color="auto"/>
              <w:left w:val="single" w:sz="4" w:space="0" w:color="auto"/>
              <w:bottom w:val="single" w:sz="4" w:space="0" w:color="auto"/>
              <w:right w:val="single" w:sz="4" w:space="0" w:color="auto"/>
            </w:tcBorders>
            <w:hideMark/>
          </w:tcPr>
          <w:p w14:paraId="7AF8C547" w14:textId="77777777" w:rsidR="00FF30E4" w:rsidRPr="00D629F5" w:rsidRDefault="00FF30E4">
            <w:pPr>
              <w:spacing w:line="256" w:lineRule="auto"/>
              <w:jc w:val="right"/>
              <w:rPr>
                <w:rFonts w:eastAsia="Times New Roman"/>
                <w:b/>
                <w:bCs w:val="0"/>
                <w:color w:val="000000"/>
                <w:sz w:val="20"/>
                <w:szCs w:val="20"/>
                <w:lang w:val="fr-FR"/>
              </w:rPr>
            </w:pPr>
            <w:r w:rsidRPr="00D629F5">
              <w:rPr>
                <w:b/>
                <w:sz w:val="20"/>
                <w:szCs w:val="20"/>
                <w:lang w:val="fr-FR"/>
              </w:rPr>
              <w:t>350 000</w:t>
            </w:r>
          </w:p>
        </w:tc>
        <w:tc>
          <w:tcPr>
            <w:tcW w:w="1980" w:type="dxa"/>
            <w:tcBorders>
              <w:top w:val="single" w:sz="4" w:space="0" w:color="auto"/>
              <w:left w:val="single" w:sz="4" w:space="0" w:color="auto"/>
              <w:bottom w:val="single" w:sz="4" w:space="0" w:color="auto"/>
              <w:right w:val="single" w:sz="4" w:space="0" w:color="auto"/>
            </w:tcBorders>
            <w:hideMark/>
          </w:tcPr>
          <w:p w14:paraId="34B522F0" w14:textId="77777777" w:rsidR="00FF30E4" w:rsidRPr="00D629F5" w:rsidRDefault="00FF30E4">
            <w:pPr>
              <w:spacing w:line="256" w:lineRule="auto"/>
              <w:jc w:val="right"/>
              <w:rPr>
                <w:rFonts w:eastAsia="Times New Roman"/>
                <w:b/>
                <w:bCs w:val="0"/>
                <w:color w:val="000000"/>
                <w:sz w:val="20"/>
                <w:szCs w:val="20"/>
                <w:lang w:val="fr-FR"/>
              </w:rPr>
            </w:pPr>
            <w:r w:rsidRPr="00D629F5">
              <w:rPr>
                <w:b/>
                <w:sz w:val="20"/>
                <w:szCs w:val="20"/>
                <w:lang w:val="fr-FR"/>
              </w:rPr>
              <w:t>233 000</w:t>
            </w:r>
          </w:p>
        </w:tc>
      </w:tr>
    </w:tbl>
    <w:p w14:paraId="35387C2E" w14:textId="77777777" w:rsidR="00FF30E4" w:rsidRPr="00D629F5" w:rsidRDefault="00FF30E4" w:rsidP="00FF30E4">
      <w:pPr>
        <w:rPr>
          <w:i/>
          <w:iCs/>
          <w:lang w:val="fr-FR"/>
        </w:rPr>
      </w:pPr>
      <w:r w:rsidRPr="00D629F5">
        <w:rPr>
          <w:i/>
          <w:iCs/>
          <w:lang w:val="fr-FR"/>
        </w:rPr>
        <w:t>* En cas de financement partiel (intermédiaire/minimal), il sera d’importance critique de mener des activités additionnelles de mobilisation des ressources pour obtenir des contributions non administratives des Parties contractantes et des organisations collaboratrices ; les résultats obtenus dépendent de la disponibilité de ces ressources additionnelles.</w:t>
      </w:r>
    </w:p>
    <w:p w14:paraId="5300CF7F" w14:textId="77777777" w:rsidR="00FF30E4" w:rsidRPr="00D629F5" w:rsidRDefault="00FF30E4" w:rsidP="00FF30E4">
      <w:pPr>
        <w:ind w:left="432" w:hanging="432"/>
        <w:rPr>
          <w:lang w:val="fr-FR"/>
        </w:rPr>
      </w:pPr>
    </w:p>
    <w:p w14:paraId="61250C5B" w14:textId="77777777" w:rsidR="00FF30E4" w:rsidRPr="00D629F5" w:rsidRDefault="00FF30E4" w:rsidP="00FF30E4">
      <w:pPr>
        <w:ind w:left="432" w:hanging="432"/>
        <w:rPr>
          <w:lang w:val="fr-FR"/>
        </w:rPr>
      </w:pPr>
      <w:r w:rsidRPr="00D629F5">
        <w:rPr>
          <w:lang w:val="fr-FR"/>
        </w:rPr>
        <w:t>9.</w:t>
      </w:r>
      <w:r w:rsidRPr="00D629F5">
        <w:rPr>
          <w:lang w:val="fr-FR"/>
        </w:rPr>
        <w:tab/>
        <w:t>Les options de financement intermédiaire et minimal réduiraient considérablement les résultats, en particulier pour les mises à jour des WPE2027. Les activités suivantes devraient être réduites :</w:t>
      </w:r>
    </w:p>
    <w:p w14:paraId="6557FB5D" w14:textId="77777777" w:rsidR="00FF30E4" w:rsidRPr="00D629F5" w:rsidRDefault="00FF30E4" w:rsidP="00332D1A">
      <w:pPr>
        <w:pStyle w:val="ListParagraph"/>
        <w:numPr>
          <w:ilvl w:val="0"/>
          <w:numId w:val="9"/>
        </w:numPr>
        <w:ind w:left="810"/>
        <w:rPr>
          <w:lang w:val="fr-FR"/>
        </w:rPr>
      </w:pPr>
      <w:r w:rsidRPr="00D629F5">
        <w:rPr>
          <w:b/>
          <w:bCs w:val="0"/>
          <w:lang w:val="fr-FR"/>
        </w:rPr>
        <w:t xml:space="preserve">Waterbirds Populations Portal </w:t>
      </w:r>
      <w:r w:rsidRPr="00D629F5">
        <w:rPr>
          <w:lang w:val="fr-FR"/>
        </w:rPr>
        <w:t>(Portail des populations d’oiseaux d’eau)</w:t>
      </w:r>
      <w:r w:rsidRPr="00D629F5">
        <w:rPr>
          <w:b/>
          <w:bCs w:val="0"/>
          <w:lang w:val="fr-FR"/>
        </w:rPr>
        <w:t> </w:t>
      </w:r>
      <w:r w:rsidRPr="00D629F5">
        <w:rPr>
          <w:lang w:val="fr-FR"/>
        </w:rPr>
        <w:t>: La seule correction des bugs serait assurée.</w:t>
      </w:r>
    </w:p>
    <w:p w14:paraId="7B5305BC" w14:textId="77777777" w:rsidR="00FF30E4" w:rsidRPr="00D629F5" w:rsidRDefault="00FF30E4" w:rsidP="00332D1A">
      <w:pPr>
        <w:pStyle w:val="ListParagraph"/>
        <w:numPr>
          <w:ilvl w:val="0"/>
          <w:numId w:val="9"/>
        </w:numPr>
        <w:ind w:left="810"/>
        <w:rPr>
          <w:lang w:val="fr-FR"/>
        </w:rPr>
      </w:pPr>
      <w:r w:rsidRPr="00D629F5">
        <w:rPr>
          <w:b/>
          <w:bCs w:val="0"/>
          <w:lang w:val="fr-FR"/>
        </w:rPr>
        <w:t>Mises à jour des WPE2027 </w:t>
      </w:r>
      <w:r w:rsidRPr="00D629F5">
        <w:rPr>
          <w:lang w:val="fr-FR"/>
        </w:rPr>
        <w:t xml:space="preserve">: Moins de mises à jour des populations. Tandis qu’il y en a 1600 dans l’option de financement intégral et 1255 dans l’option intermédiaire, il n’y en a que 743 dans l’option de financement minimal. L’établissement des priorités s’appuiera sur des facteurs tels que l’état de conservation, la complétude des données et l’importance régionale.  </w:t>
      </w:r>
    </w:p>
    <w:p w14:paraId="3B0FED2A" w14:textId="77777777" w:rsidR="00FF30E4" w:rsidRPr="00D629F5" w:rsidRDefault="00FF30E4" w:rsidP="00FF30E4">
      <w:pPr>
        <w:ind w:left="432" w:hanging="432"/>
        <w:rPr>
          <w:lang w:val="fr-FR"/>
        </w:rPr>
      </w:pPr>
    </w:p>
    <w:p w14:paraId="6D0A4570" w14:textId="77777777" w:rsidR="00FF30E4" w:rsidRPr="00D629F5" w:rsidRDefault="00FF30E4" w:rsidP="00FF30E4">
      <w:pPr>
        <w:ind w:left="432" w:hanging="432"/>
        <w:rPr>
          <w:lang w:val="fr-FR"/>
        </w:rPr>
      </w:pPr>
      <w:r w:rsidRPr="00D629F5">
        <w:rPr>
          <w:lang w:val="fr-FR"/>
        </w:rPr>
        <w:t>10.</w:t>
      </w:r>
      <w:r w:rsidRPr="00D629F5">
        <w:rPr>
          <w:lang w:val="fr-FR"/>
        </w:rPr>
        <w:tab/>
        <w:t xml:space="preserve">Un financement adéquat est essentiel au succès du Partenariat pour les estimations des populations d’oiseaux d’eau et de la production des WPE2027. L’option de financement intégral est recommandée pour garantir la mise à jour exhaustive et les améliorations. Si le financement est partiel, il sera indispensable de déployer des efforts de mobilisation de ressources additionnelles. </w:t>
      </w:r>
    </w:p>
    <w:p w14:paraId="12B4D501" w14:textId="77777777" w:rsidR="006C37E3" w:rsidRPr="00D629F5" w:rsidRDefault="006C37E3" w:rsidP="00E952E3">
      <w:pPr>
        <w:rPr>
          <w:b/>
          <w:bCs w:val="0"/>
          <w:lang w:val="fr-FR" w:eastAsia="zh-CN"/>
        </w:rPr>
      </w:pPr>
    </w:p>
    <w:sectPr w:rsidR="006C37E3" w:rsidRPr="00D629F5" w:rsidSect="00CE4218">
      <w:footerReference w:type="default" r:id="rId3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55B2B" w14:textId="77777777" w:rsidR="007F661A" w:rsidRDefault="007F661A">
      <w:r>
        <w:separator/>
      </w:r>
    </w:p>
  </w:endnote>
  <w:endnote w:type="continuationSeparator" w:id="0">
    <w:p w14:paraId="781AE8F7" w14:textId="77777777" w:rsidR="007F661A" w:rsidRDefault="007F661A">
      <w:r>
        <w:continuationSeparator/>
      </w:r>
    </w:p>
  </w:endnote>
  <w:endnote w:type="continuationNotice" w:id="1">
    <w:p w14:paraId="2B6F5EFC" w14:textId="77777777" w:rsidR="007F661A" w:rsidRDefault="007F6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eneva">
    <w:charset w:val="00"/>
    <w:family w:val="swiss"/>
    <w:pitch w:val="variable"/>
    <w:sig w:usb0="E00002FF" w:usb1="5200205F" w:usb2="00A0C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6425" w14:textId="22CA7526" w:rsidR="00D629F5" w:rsidRPr="00D629F5" w:rsidRDefault="00D629F5" w:rsidP="00D629F5">
    <w:pPr>
      <w:pBdr>
        <w:top w:val="nil"/>
        <w:left w:val="nil"/>
        <w:bottom w:val="nil"/>
        <w:right w:val="nil"/>
        <w:between w:val="nil"/>
      </w:pBdr>
      <w:tabs>
        <w:tab w:val="center" w:pos="4680"/>
        <w:tab w:val="right" w:pos="9360"/>
      </w:tabs>
      <w:rPr>
        <w:rFonts w:eastAsia="Calibri"/>
        <w:color w:val="000000"/>
        <w:sz w:val="20"/>
        <w:szCs w:val="20"/>
      </w:rPr>
    </w:pPr>
    <w:r>
      <w:rPr>
        <w:rFonts w:eastAsia="Calibri"/>
        <w:color w:val="000000"/>
        <w:sz w:val="20"/>
        <w:szCs w:val="20"/>
      </w:rPr>
      <w:t>SC64 Doc.18</w:t>
    </w:r>
    <w:r>
      <w:rPr>
        <w:rFonts w:eastAsia="Calibri"/>
        <w:color w:val="000000"/>
        <w:sz w:val="20"/>
        <w:szCs w:val="20"/>
      </w:rPr>
      <w:tab/>
    </w:r>
    <w:r>
      <w:rPr>
        <w:rFonts w:eastAsia="Calibri"/>
        <w:color w:val="000000"/>
        <w:sz w:val="20"/>
        <w:szCs w:val="20"/>
      </w:rPr>
      <w:tab/>
    </w: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Pr>
        <w:rFonts w:eastAsia="Calibri"/>
        <w:color w:val="000000"/>
        <w:sz w:val="20"/>
        <w:szCs w:val="20"/>
      </w:rPr>
      <w:t>6</w:t>
    </w:r>
    <w:r>
      <w:rPr>
        <w:rFonts w:eastAsia="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060F9" w14:textId="77777777" w:rsidR="00A600AB" w:rsidRPr="00D629F5" w:rsidRDefault="00A600AB" w:rsidP="00A600AB">
    <w:pPr>
      <w:pBdr>
        <w:top w:val="nil"/>
        <w:left w:val="nil"/>
        <w:bottom w:val="nil"/>
        <w:right w:val="nil"/>
        <w:between w:val="nil"/>
      </w:pBdr>
      <w:tabs>
        <w:tab w:val="center" w:pos="4680"/>
        <w:tab w:val="right" w:pos="13892"/>
      </w:tabs>
      <w:rPr>
        <w:rFonts w:eastAsia="Calibri"/>
        <w:color w:val="000000"/>
        <w:sz w:val="20"/>
        <w:szCs w:val="20"/>
      </w:rPr>
    </w:pPr>
    <w:r>
      <w:rPr>
        <w:rFonts w:eastAsia="Calibri"/>
        <w:color w:val="000000"/>
        <w:sz w:val="20"/>
        <w:szCs w:val="20"/>
      </w:rPr>
      <w:t>SC64 Doc.18</w:t>
    </w:r>
    <w:r>
      <w:rPr>
        <w:rFonts w:eastAsia="Calibri"/>
        <w:color w:val="000000"/>
        <w:sz w:val="20"/>
        <w:szCs w:val="20"/>
      </w:rPr>
      <w:tab/>
    </w:r>
    <w:r>
      <w:rPr>
        <w:rFonts w:eastAsia="Calibri"/>
        <w:color w:val="000000"/>
        <w:sz w:val="20"/>
        <w:szCs w:val="20"/>
      </w:rPr>
      <w:tab/>
    </w: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Pr>
        <w:rFonts w:eastAsia="Calibri"/>
        <w:color w:val="000000"/>
        <w:sz w:val="20"/>
        <w:szCs w:val="20"/>
      </w:rPr>
      <w:t>6</w:t>
    </w:r>
    <w:r>
      <w:rPr>
        <w:rFonts w:eastAsia="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BEA8" w14:textId="77777777" w:rsidR="00A600AB" w:rsidRPr="00D629F5" w:rsidRDefault="00A600AB" w:rsidP="00D629F5">
    <w:pPr>
      <w:pBdr>
        <w:top w:val="nil"/>
        <w:left w:val="nil"/>
        <w:bottom w:val="nil"/>
        <w:right w:val="nil"/>
        <w:between w:val="nil"/>
      </w:pBdr>
      <w:tabs>
        <w:tab w:val="center" w:pos="4680"/>
        <w:tab w:val="right" w:pos="9360"/>
      </w:tabs>
      <w:rPr>
        <w:rFonts w:eastAsia="Calibri"/>
        <w:color w:val="000000"/>
        <w:sz w:val="20"/>
        <w:szCs w:val="20"/>
      </w:rPr>
    </w:pPr>
    <w:r>
      <w:rPr>
        <w:rFonts w:eastAsia="Calibri"/>
        <w:color w:val="000000"/>
        <w:sz w:val="20"/>
        <w:szCs w:val="20"/>
      </w:rPr>
      <w:t>SC64 Doc.18</w:t>
    </w:r>
    <w:r>
      <w:rPr>
        <w:rFonts w:eastAsia="Calibri"/>
        <w:color w:val="000000"/>
        <w:sz w:val="20"/>
        <w:szCs w:val="20"/>
      </w:rPr>
      <w:tab/>
    </w:r>
    <w:r>
      <w:rPr>
        <w:rFonts w:eastAsia="Calibri"/>
        <w:color w:val="000000"/>
        <w:sz w:val="20"/>
        <w:szCs w:val="20"/>
      </w:rPr>
      <w:tab/>
    </w: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Pr>
        <w:rFonts w:eastAsia="Calibri"/>
        <w:color w:val="000000"/>
        <w:sz w:val="20"/>
        <w:szCs w:val="20"/>
      </w:rPr>
      <w:t>6</w:t>
    </w:r>
    <w:r>
      <w:rPr>
        <w:rFonts w:eastAsia="Calibri"/>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2CFE" w14:textId="282FA390" w:rsidR="008C3857" w:rsidRPr="008C3857" w:rsidRDefault="008C3857" w:rsidP="008C3857">
    <w:pPr>
      <w:pBdr>
        <w:top w:val="nil"/>
        <w:left w:val="nil"/>
        <w:bottom w:val="nil"/>
        <w:right w:val="nil"/>
        <w:between w:val="nil"/>
      </w:pBdr>
      <w:tabs>
        <w:tab w:val="center" w:pos="4680"/>
        <w:tab w:val="right" w:pos="9360"/>
      </w:tabs>
      <w:rPr>
        <w:rFonts w:eastAsia="Calibri"/>
        <w:color w:val="000000"/>
        <w:sz w:val="20"/>
        <w:szCs w:val="20"/>
      </w:rPr>
    </w:pPr>
    <w:r>
      <w:rPr>
        <w:rFonts w:eastAsia="Calibri"/>
        <w:color w:val="000000"/>
        <w:sz w:val="20"/>
        <w:szCs w:val="20"/>
      </w:rPr>
      <w:t>SC64 Doc.18</w:t>
    </w:r>
    <w:r>
      <w:rPr>
        <w:rFonts w:eastAsia="Calibri"/>
        <w:color w:val="000000"/>
        <w:sz w:val="20"/>
        <w:szCs w:val="20"/>
      </w:rPr>
      <w:tab/>
    </w:r>
    <w:r>
      <w:rPr>
        <w:rFonts w:eastAsia="Calibri"/>
        <w:color w:val="000000"/>
        <w:sz w:val="20"/>
        <w:szCs w:val="20"/>
      </w:rPr>
      <w:tab/>
    </w: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FF30E4">
      <w:rPr>
        <w:rFonts w:eastAsia="Calibri"/>
        <w:noProof/>
        <w:color w:val="000000"/>
        <w:sz w:val="20"/>
        <w:szCs w:val="20"/>
      </w:rPr>
      <w:t>65</w:t>
    </w:r>
    <w:r>
      <w:rPr>
        <w:rFonts w:eastAsia="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BCFD5" w14:textId="77777777" w:rsidR="007F661A" w:rsidRDefault="007F661A" w:rsidP="006E2DD3">
      <w:r>
        <w:separator/>
      </w:r>
    </w:p>
  </w:footnote>
  <w:footnote w:type="continuationSeparator" w:id="0">
    <w:p w14:paraId="3D7CFB14" w14:textId="77777777" w:rsidR="007F661A" w:rsidRDefault="007F661A" w:rsidP="006E2DD3">
      <w:r>
        <w:continuationSeparator/>
      </w:r>
    </w:p>
  </w:footnote>
  <w:footnote w:type="continuationNotice" w:id="1">
    <w:p w14:paraId="1A8A3038" w14:textId="77777777" w:rsidR="007F661A" w:rsidRDefault="007F661A"/>
  </w:footnote>
  <w:footnote w:id="2">
    <w:p w14:paraId="378A77AB" w14:textId="7F4FC174" w:rsidR="00A44542" w:rsidRPr="00B56080" w:rsidRDefault="00A44542" w:rsidP="00CE4218">
      <w:pPr>
        <w:pStyle w:val="FootnoteText"/>
        <w:ind w:left="0" w:firstLine="0"/>
        <w:rPr>
          <w:rFonts w:cs="Calibri"/>
          <w:lang w:val="fr-FR"/>
        </w:rPr>
      </w:pPr>
      <w:r w:rsidRPr="00CE4218">
        <w:rPr>
          <w:rStyle w:val="FootnoteReference"/>
          <w:rFonts w:cs="Calibri"/>
        </w:rPr>
        <w:footnoteRef/>
      </w:r>
      <w:r w:rsidR="00CE4218" w:rsidRPr="00B56080">
        <w:rPr>
          <w:rFonts w:cs="Calibri"/>
          <w:lang w:val="fr-FR"/>
        </w:rPr>
        <w:t xml:space="preserve"> </w:t>
      </w:r>
      <w:r w:rsidR="00B56080" w:rsidRPr="00B56080">
        <w:rPr>
          <w:rFonts w:cs="Calibri"/>
          <w:lang w:val="fr-FR"/>
        </w:rPr>
        <w:t>Voir</w:t>
      </w:r>
      <w:r w:rsidRPr="00B56080">
        <w:rPr>
          <w:rFonts w:cs="Calibri"/>
          <w:lang w:val="fr-FR"/>
        </w:rPr>
        <w:t xml:space="preserve"> </w:t>
      </w:r>
      <w:hyperlink r:id="rId1" w:history="1">
        <w:r w:rsidR="00955B7E" w:rsidRPr="00B56080">
          <w:rPr>
            <w:rStyle w:val="Hyperlink"/>
            <w:rFonts w:cs="Calibri"/>
            <w:lang w:val="fr-FR"/>
          </w:rPr>
          <w:t>https://www.ramsar.org/document/population-estimates-1-thresholds-wetland-dependent-non-avian-animal-species-application</w:t>
        </w:r>
      </w:hyperlink>
      <w:r w:rsidR="00955B7E" w:rsidRPr="00B56080">
        <w:rPr>
          <w:rFonts w:cs="Calibri"/>
          <w:lang w:val="fr-FR"/>
        </w:rPr>
        <w:t xml:space="preserve">. </w:t>
      </w:r>
    </w:p>
  </w:footnote>
  <w:footnote w:id="3">
    <w:p w14:paraId="55C9FC31" w14:textId="5D0A1929" w:rsidR="00F94E31" w:rsidRPr="003F10BD" w:rsidRDefault="00F94E31" w:rsidP="00CE4218">
      <w:pPr>
        <w:pStyle w:val="FootnoteText"/>
        <w:ind w:left="0" w:firstLine="0"/>
        <w:rPr>
          <w:rFonts w:cs="Calibri"/>
          <w:lang w:val="fr-FR"/>
        </w:rPr>
      </w:pPr>
      <w:r w:rsidRPr="00CE4218">
        <w:rPr>
          <w:rStyle w:val="FootnoteReference"/>
          <w:rFonts w:cs="Calibri"/>
        </w:rPr>
        <w:footnoteRef/>
      </w:r>
      <w:r w:rsidRPr="003F10BD">
        <w:rPr>
          <w:rFonts w:cs="Calibri"/>
          <w:lang w:val="fr-FR"/>
        </w:rPr>
        <w:t xml:space="preserve"> </w:t>
      </w:r>
      <w:r w:rsidR="003F10BD" w:rsidRPr="003F10BD">
        <w:rPr>
          <w:rFonts w:cs="Calibri"/>
          <w:lang w:val="fr-FR"/>
        </w:rPr>
        <w:t>Voir</w:t>
      </w:r>
      <w:r w:rsidRPr="003F10BD">
        <w:rPr>
          <w:rFonts w:cs="Calibri"/>
          <w:lang w:val="fr-FR"/>
        </w:rPr>
        <w:t xml:space="preserve"> </w:t>
      </w:r>
      <w:hyperlink r:id="rId2" w:history="1">
        <w:r w:rsidRPr="003F10BD">
          <w:rPr>
            <w:rStyle w:val="Hyperlink"/>
            <w:rFonts w:cs="Calibri"/>
            <w:lang w:val="fr-FR"/>
          </w:rPr>
          <w:t>https://elearning.fao.org/</w:t>
        </w:r>
      </w:hyperlink>
      <w:r w:rsidRPr="003F10BD">
        <w:rPr>
          <w:rFonts w:cs="Calibri"/>
          <w:lang w:val="fr-FR"/>
        </w:rPr>
        <w:t xml:space="preserve">. </w:t>
      </w:r>
    </w:p>
  </w:footnote>
  <w:footnote w:id="4">
    <w:p w14:paraId="4A088D06" w14:textId="249688CD" w:rsidR="00166460" w:rsidRPr="008060EF" w:rsidRDefault="00166460" w:rsidP="00CE4218">
      <w:pPr>
        <w:pStyle w:val="FootnoteText"/>
        <w:ind w:left="0" w:firstLine="0"/>
        <w:rPr>
          <w:rFonts w:cs="Calibri"/>
          <w:lang w:val="fr-FR"/>
        </w:rPr>
      </w:pPr>
      <w:r w:rsidRPr="00CE4218">
        <w:rPr>
          <w:rStyle w:val="FootnoteReference"/>
          <w:rFonts w:cs="Calibri"/>
        </w:rPr>
        <w:footnoteRef/>
      </w:r>
      <w:r w:rsidR="00CE4218" w:rsidRPr="008060EF">
        <w:rPr>
          <w:rFonts w:cs="Calibri"/>
          <w:lang w:val="fr-FR"/>
        </w:rPr>
        <w:t xml:space="preserve"> </w:t>
      </w:r>
      <w:r w:rsidR="008060EF" w:rsidRPr="008060EF">
        <w:rPr>
          <w:rFonts w:cs="Calibri"/>
          <w:lang w:val="fr-FR"/>
        </w:rPr>
        <w:t>Voir</w:t>
      </w:r>
      <w:r w:rsidR="00D11FC6" w:rsidRPr="008060EF">
        <w:rPr>
          <w:rFonts w:cs="Calibri"/>
          <w:lang w:val="fr-FR"/>
        </w:rPr>
        <w:t xml:space="preserve"> </w:t>
      </w:r>
      <w:hyperlink r:id="rId3" w:history="1">
        <w:r w:rsidR="00D11FC6" w:rsidRPr="008060EF">
          <w:rPr>
            <w:rStyle w:val="Hyperlink"/>
            <w:rFonts w:cs="Calibri"/>
            <w:lang w:val="fr-FR"/>
          </w:rPr>
          <w:t>https://www.ramsar.org/document/sc63-inf3-submission-convention-wetlands-6th-meeting-ad-hoc-technical-expert-group</w:t>
        </w:r>
      </w:hyperlink>
      <w:r w:rsidR="00D11FC6" w:rsidRPr="008060EF">
        <w:rPr>
          <w:rFonts w:cs="Calibri"/>
          <w:lang w:val="fr-FR"/>
        </w:rPr>
        <w:t xml:space="preserve">. </w:t>
      </w:r>
    </w:p>
  </w:footnote>
  <w:footnote w:id="5">
    <w:p w14:paraId="6AC4197A" w14:textId="5D9A02C1" w:rsidR="00B4439E" w:rsidRPr="008060EF" w:rsidRDefault="00B4439E" w:rsidP="00CE4218">
      <w:pPr>
        <w:pStyle w:val="FootnoteText"/>
        <w:ind w:left="0" w:firstLine="0"/>
        <w:rPr>
          <w:rFonts w:cs="Calibri"/>
          <w:lang w:val="fr-FR"/>
        </w:rPr>
      </w:pPr>
      <w:r w:rsidRPr="00CE4218">
        <w:rPr>
          <w:rStyle w:val="FootnoteReference"/>
          <w:rFonts w:cs="Calibri"/>
        </w:rPr>
        <w:footnoteRef/>
      </w:r>
      <w:r w:rsidR="00CE4218" w:rsidRPr="008060EF">
        <w:rPr>
          <w:rFonts w:cs="Calibri"/>
          <w:lang w:val="fr-FR"/>
        </w:rPr>
        <w:t xml:space="preserve"> </w:t>
      </w:r>
      <w:r w:rsidR="008060EF" w:rsidRPr="008060EF">
        <w:rPr>
          <w:rFonts w:cs="Calibri"/>
          <w:lang w:val="fr-FR"/>
        </w:rPr>
        <w:t xml:space="preserve">Voir </w:t>
      </w:r>
      <w:hyperlink r:id="rId4" w:history="1">
        <w:r w:rsidRPr="008060EF">
          <w:rPr>
            <w:rStyle w:val="Hyperlink"/>
            <w:rFonts w:cs="Calibri"/>
            <w:lang w:val="fr-FR"/>
          </w:rPr>
          <w:t>https://www.ramsar.org/document/kunming-montreal-global-biodiversity-framework-upscaling-wetland-conservation-restoration</w:t>
        </w:r>
      </w:hyperlink>
      <w:r w:rsidRPr="008060EF">
        <w:rPr>
          <w:rFonts w:cs="Calibri"/>
          <w:lang w:val="fr-FR"/>
        </w:rPr>
        <w:t xml:space="preserve">. </w:t>
      </w:r>
    </w:p>
  </w:footnote>
  <w:footnote w:id="6">
    <w:p w14:paraId="6158DB61" w14:textId="603D348E" w:rsidR="00166460" w:rsidRPr="008060EF" w:rsidRDefault="00166460" w:rsidP="00CE4218">
      <w:pPr>
        <w:pStyle w:val="FootnoteText"/>
        <w:ind w:left="0" w:firstLine="0"/>
        <w:rPr>
          <w:rFonts w:cs="Calibri"/>
          <w:lang w:val="fr-FR"/>
        </w:rPr>
      </w:pPr>
      <w:r w:rsidRPr="00CE4218">
        <w:rPr>
          <w:rStyle w:val="FootnoteReference"/>
          <w:rFonts w:cs="Calibri"/>
        </w:rPr>
        <w:footnoteRef/>
      </w:r>
      <w:r w:rsidR="00CE4218" w:rsidRPr="008060EF">
        <w:rPr>
          <w:rFonts w:cs="Calibri"/>
          <w:lang w:val="fr-FR"/>
        </w:rPr>
        <w:t xml:space="preserve"> </w:t>
      </w:r>
      <w:r w:rsidR="008060EF" w:rsidRPr="008060EF">
        <w:rPr>
          <w:rFonts w:cs="Calibri"/>
          <w:lang w:val="fr-FR"/>
        </w:rPr>
        <w:t xml:space="preserve">Voir </w:t>
      </w:r>
      <w:hyperlink r:id="rId5" w:history="1">
        <w:r w:rsidR="00634833" w:rsidRPr="008060EF">
          <w:rPr>
            <w:rStyle w:val="Hyperlink"/>
            <w:rFonts w:cs="Calibri"/>
            <w:lang w:val="fr-FR"/>
          </w:rPr>
          <w:t>https://www.ramsar.org/document/scaling-wetland-conservation-restoration-deliver-kunming-montreal-global-biodiversity</w:t>
        </w:r>
      </w:hyperlink>
      <w:r w:rsidR="00634833" w:rsidRPr="008060EF">
        <w:rPr>
          <w:rFonts w:cs="Calibri"/>
          <w:lang w:val="fr-FR"/>
        </w:rPr>
        <w:t xml:space="preserve">. </w:t>
      </w:r>
    </w:p>
  </w:footnote>
  <w:footnote w:id="7">
    <w:p w14:paraId="3E16CA15" w14:textId="77777777" w:rsidR="00FF30E4" w:rsidRDefault="00FF30E4" w:rsidP="00FF30E4">
      <w:pPr>
        <w:pStyle w:val="FootnoteText"/>
        <w:ind w:left="0" w:firstLine="0"/>
        <w:rPr>
          <w:rFonts w:cs="Calibri"/>
          <w:lang w:val="fr-FR"/>
        </w:rPr>
      </w:pPr>
      <w:r>
        <w:rPr>
          <w:rStyle w:val="FootnoteReference"/>
          <w:lang w:val="fr-FR"/>
        </w:rPr>
        <w:footnoteRef/>
      </w:r>
      <w:r>
        <w:rPr>
          <w:rFonts w:cs="Calibri"/>
          <w:lang w:val="fr-FR"/>
        </w:rPr>
        <w:t xml:space="preserve"> Convention sur les zones humides, 2010, </w:t>
      </w:r>
      <w:r>
        <w:rPr>
          <w:rFonts w:cs="Calibri"/>
          <w:i/>
          <w:lang w:val="fr-FR"/>
        </w:rPr>
        <w:t xml:space="preserve">Lois et Institutions : </w:t>
      </w:r>
      <w:r>
        <w:rPr>
          <w:rFonts w:cs="Calibri"/>
          <w:bCs/>
          <w:i/>
          <w:lang w:val="fr-FR"/>
        </w:rPr>
        <w:t>Étude des lois et des institutions en vue de promouvoir la conservation et l’utilisation rationnelle des zones humides</w:t>
      </w:r>
      <w:r>
        <w:rPr>
          <w:rFonts w:cs="Calibri"/>
          <w:lang w:val="fr-FR"/>
        </w:rPr>
        <w:t>, Manuels de la Convention sur les zones humides sur l’utilisation rationnelle des zones humides, 4</w:t>
      </w:r>
      <w:r>
        <w:rPr>
          <w:rFonts w:cs="Calibri"/>
          <w:vertAlign w:val="superscript"/>
          <w:lang w:val="fr-FR"/>
        </w:rPr>
        <w:t>e</w:t>
      </w:r>
      <w:r>
        <w:rPr>
          <w:rFonts w:cs="Calibri"/>
          <w:lang w:val="fr-FR"/>
        </w:rPr>
        <w:t xml:space="preserve"> édition, vol. 3. Convention sur les zones humides, Gland, Suisse.</w:t>
      </w:r>
    </w:p>
  </w:footnote>
  <w:footnote w:id="8">
    <w:p w14:paraId="0B534CCB" w14:textId="77777777" w:rsidR="00FF30E4" w:rsidRDefault="00FF30E4" w:rsidP="00FF30E4">
      <w:pPr>
        <w:pStyle w:val="FootnoteText"/>
        <w:ind w:left="0" w:firstLine="0"/>
        <w:rPr>
          <w:rFonts w:cs="Calibri"/>
          <w:lang w:val="fr-FR"/>
        </w:rPr>
      </w:pPr>
      <w:r>
        <w:rPr>
          <w:rStyle w:val="FootnoteReference"/>
        </w:rPr>
        <w:footnoteRef/>
      </w:r>
      <w:r>
        <w:rPr>
          <w:rFonts w:cs="Calibri"/>
          <w:lang w:val="fr-FR"/>
        </w:rPr>
        <w:t xml:space="preserve"> Convention sur les zones humides, 2010, </w:t>
      </w:r>
      <w:r>
        <w:rPr>
          <w:rFonts w:cs="Calibri"/>
          <w:i/>
          <w:lang w:val="fr-FR"/>
        </w:rPr>
        <w:t xml:space="preserve">Inscription de Sites Ramsar : </w:t>
      </w:r>
      <w:r>
        <w:rPr>
          <w:rFonts w:cs="Calibri"/>
          <w:bCs/>
          <w:i/>
          <w:lang w:val="fr-FR"/>
        </w:rPr>
        <w:t>Cadre stratégique et lignes directrices pour orienter l’évolution de la Liste des zones humides d’importance internationale de la Convention sur les zones humides</w:t>
      </w:r>
      <w:r>
        <w:rPr>
          <w:rFonts w:cs="Calibri"/>
          <w:lang w:val="fr-FR"/>
        </w:rPr>
        <w:t>, Manuels de la Convention sur les zones humides sur l’utilisation rationnelle des zones humides, 4</w:t>
      </w:r>
      <w:r>
        <w:rPr>
          <w:rFonts w:cs="Calibri"/>
          <w:vertAlign w:val="superscript"/>
          <w:lang w:val="fr-FR"/>
        </w:rPr>
        <w:t>e</w:t>
      </w:r>
      <w:r>
        <w:rPr>
          <w:rFonts w:cs="Calibri"/>
          <w:lang w:val="fr-FR"/>
        </w:rPr>
        <w:t xml:space="preserve"> édition, vol. 17. Convention sur les zones humides, Gland, Suisse, pages 80-82.</w:t>
      </w:r>
    </w:p>
  </w:footnote>
  <w:footnote w:id="9">
    <w:p w14:paraId="15B5ADF6" w14:textId="77777777" w:rsidR="00FF30E4" w:rsidRDefault="00FF30E4" w:rsidP="00FF30E4">
      <w:pPr>
        <w:pStyle w:val="FootnoteText"/>
        <w:ind w:left="0" w:firstLine="0"/>
        <w:rPr>
          <w:rFonts w:cs="Calibri"/>
          <w:lang w:val="fr-FR"/>
        </w:rPr>
      </w:pPr>
      <w:r>
        <w:rPr>
          <w:rStyle w:val="FootnoteReference"/>
          <w:lang w:val="fr-FR"/>
        </w:rPr>
        <w:footnoteRef/>
      </w:r>
      <w:r>
        <w:rPr>
          <w:rFonts w:cs="Calibri"/>
          <w:lang w:val="fr-FR"/>
        </w:rPr>
        <w:t xml:space="preserve"> Ces catégories ont été adaptées et enrichies à partir des catégories discutées dans </w:t>
      </w:r>
      <w:r>
        <w:rPr>
          <w:rFonts w:eastAsia="Times New Roman" w:cs="Calibri"/>
          <w:color w:val="000000"/>
          <w:lang w:val="fr-FR"/>
        </w:rPr>
        <w:t xml:space="preserve">James Salzman (2013) </w:t>
      </w:r>
      <w:r>
        <w:rPr>
          <w:rFonts w:eastAsia="Times New Roman" w:cs="Calibri"/>
          <w:i/>
          <w:iCs/>
          <w:color w:val="000000"/>
          <w:lang w:val="fr-FR"/>
        </w:rPr>
        <w:t>Teaching Policy Instrument Choice in Environmental Law: The Five P’s</w:t>
      </w:r>
      <w:r>
        <w:rPr>
          <w:rFonts w:eastAsia="Times New Roman" w:cs="Calibri"/>
          <w:color w:val="000000"/>
          <w:lang w:val="fr-FR"/>
        </w:rPr>
        <w:t xml:space="preserve">, Duke Environmental Law &amp; Policy Forum, disponible à l’adresse </w:t>
      </w:r>
      <w:hyperlink r:id="rId6" w:history="1">
        <w:r>
          <w:rPr>
            <w:rStyle w:val="Hyperlink"/>
            <w:rFonts w:eastAsia="Times New Roman" w:cs="Calibri"/>
            <w:lang w:val="fr-FR"/>
          </w:rPr>
          <w:t>https://scholarship.law.duke.edu/cgi/viewcontent.cgi?article=1250&amp;context=delpf</w:t>
        </w:r>
      </w:hyperlink>
      <w:r>
        <w:rPr>
          <w:rFonts w:eastAsia="Times New Roman" w:cs="Calibri"/>
          <w:color w:val="000000"/>
          <w:lang w:val="fr-FR"/>
        </w:rPr>
        <w:t>.</w:t>
      </w:r>
    </w:p>
  </w:footnote>
  <w:footnote w:id="10">
    <w:p w14:paraId="75DF8244" w14:textId="77777777" w:rsidR="00FF30E4" w:rsidRDefault="00FF30E4" w:rsidP="00FF30E4">
      <w:pPr>
        <w:rPr>
          <w:sz w:val="20"/>
          <w:szCs w:val="20"/>
          <w:lang w:val="fr-FR"/>
        </w:rPr>
      </w:pPr>
      <w:r>
        <w:rPr>
          <w:rStyle w:val="FootnoteReference"/>
          <w:sz w:val="20"/>
          <w:szCs w:val="20"/>
          <w:lang w:val="fr-FR"/>
        </w:rPr>
        <w:footnoteRef/>
      </w:r>
      <w:r>
        <w:rPr>
          <w:sz w:val="20"/>
          <w:szCs w:val="20"/>
          <w:lang w:val="fr-FR"/>
        </w:rPr>
        <w:t xml:space="preserve"> Secteurs et activités mentionnés : éradication de la pauvreté ; gestion des ressources en eau ; gestion des ressources côtières et marines ; gestion intégrée de la zone côtière ; foresterie ; agriculture ; biodiversité ; énergie et mines ; tourisme ; développement urbain ; infrastructure ; industrie ; aquaculture et pêche ; contrôle et gestion de la pollution ; et gestion des eaux usées.  </w:t>
      </w:r>
    </w:p>
  </w:footnote>
  <w:footnote w:id="11">
    <w:p w14:paraId="1A956AFC" w14:textId="77777777" w:rsidR="00FF30E4" w:rsidRDefault="00FF30E4" w:rsidP="00FF30E4">
      <w:pPr>
        <w:pStyle w:val="FootnoteText"/>
        <w:ind w:left="0" w:firstLine="0"/>
        <w:rPr>
          <w:rFonts w:cs="Calibri"/>
          <w:lang w:val="fr-FR"/>
        </w:rPr>
      </w:pPr>
      <w:r>
        <w:rPr>
          <w:rStyle w:val="FootnoteReference"/>
          <w:lang w:val="fr-FR"/>
        </w:rPr>
        <w:footnoteRef/>
      </w:r>
      <w:r>
        <w:rPr>
          <w:rFonts w:cs="Calibri"/>
          <w:lang w:val="fr-FR"/>
        </w:rPr>
        <w:t xml:space="preserve"> Comme mentionné sur la page Perspectives mondiales des zones humides : </w:t>
      </w:r>
      <w:hyperlink r:id="rId7" w:history="1">
        <w:r>
          <w:rPr>
            <w:rStyle w:val="Hyperlink"/>
            <w:rFonts w:cs="Calibri"/>
            <w:lang w:val="fr-FR"/>
          </w:rPr>
          <w:t>https://www.global-wetland-outlook.ramsar.org/</w:t>
        </w:r>
      </w:hyperlink>
      <w:r>
        <w:rPr>
          <w:rFonts w:cs="Calibri"/>
          <w:lang w:val="fr-FR"/>
        </w:rPr>
        <w:t xml:space="preserve"> </w:t>
      </w:r>
    </w:p>
  </w:footnote>
  <w:footnote w:id="12">
    <w:p w14:paraId="7135F7D2" w14:textId="77777777" w:rsidR="00FF30E4" w:rsidRDefault="00FF30E4" w:rsidP="00FF30E4">
      <w:pPr>
        <w:pStyle w:val="FootnoteText"/>
        <w:ind w:left="0" w:firstLine="0"/>
        <w:rPr>
          <w:rFonts w:cs="Calibri"/>
          <w:lang w:val="fr-FR"/>
        </w:rPr>
      </w:pPr>
      <w:r>
        <w:rPr>
          <w:rStyle w:val="FootnoteReference"/>
          <w:lang w:val="fr-FR"/>
        </w:rPr>
        <w:footnoteRef/>
      </w:r>
      <w:r>
        <w:rPr>
          <w:rFonts w:cs="Calibri"/>
          <w:lang w:val="fr-FR"/>
        </w:rPr>
        <w:t xml:space="preserve"> Depuis 12 mois, la page des Perspectives mondiales des zones humides a reçu plus de 20 000 visites et le rapport a été téléchargé plus de 6000 fois.</w:t>
      </w:r>
    </w:p>
  </w:footnote>
  <w:footnote w:id="13">
    <w:p w14:paraId="3E712EEC" w14:textId="77777777" w:rsidR="00FF30E4" w:rsidRDefault="00FF30E4" w:rsidP="00FF30E4">
      <w:pPr>
        <w:pStyle w:val="FootnoteText"/>
        <w:ind w:left="0" w:firstLine="0"/>
        <w:rPr>
          <w:rFonts w:cs="Calibri"/>
          <w:lang w:val="fr-FR"/>
        </w:rPr>
      </w:pPr>
      <w:r>
        <w:rPr>
          <w:rStyle w:val="FootnoteReference"/>
        </w:rPr>
        <w:footnoteRef/>
      </w:r>
      <w:r>
        <w:rPr>
          <w:rFonts w:cs="Calibri"/>
        </w:rPr>
        <w:t xml:space="preserve"> Finlayson CM and Spiers AG (ed.) 1999. Global review of wetland resources and priorities for wetlands inventory. </w:t>
      </w:r>
      <w:r>
        <w:rPr>
          <w:rFonts w:cs="Calibri"/>
          <w:lang w:val="fr-FR"/>
        </w:rPr>
        <w:t>Supervising Scientist Report 144 / Wetlands International Publication 53, Supervising Scientist, Canberra</w:t>
      </w:r>
    </w:p>
  </w:footnote>
  <w:footnote w:id="14">
    <w:p w14:paraId="1721E27D" w14:textId="77777777" w:rsidR="00FF30E4" w:rsidRDefault="00FF30E4" w:rsidP="00FF30E4">
      <w:pPr>
        <w:pStyle w:val="FootnoteText"/>
        <w:ind w:left="0" w:firstLine="0"/>
        <w:rPr>
          <w:rFonts w:cs="Calibri"/>
        </w:rPr>
      </w:pPr>
      <w:r>
        <w:rPr>
          <w:rStyle w:val="FootnoteReference"/>
          <w:lang w:val="fr-FR"/>
        </w:rPr>
        <w:footnoteRef/>
      </w:r>
      <w:r>
        <w:rPr>
          <w:rFonts w:cs="Calibri"/>
          <w:lang w:val="fr-FR"/>
        </w:rPr>
        <w:t xml:space="preserve"> Évaluation des écosystèmes pour le millénaire, 2005. Les écosystèmes et le bien-être humain : </w:t>
      </w:r>
      <w:r>
        <w:rPr>
          <w:rFonts w:cs="Calibri"/>
          <w:bCs/>
          <w:lang w:val="fr-FR"/>
        </w:rPr>
        <w:t>Synthèse sur les zones humides et l’eau</w:t>
      </w:r>
      <w:r>
        <w:rPr>
          <w:rFonts w:cs="Calibri"/>
          <w:lang w:val="fr-FR"/>
        </w:rPr>
        <w:t xml:space="preserve">. </w:t>
      </w:r>
      <w:r>
        <w:rPr>
          <w:rFonts w:cs="Calibri"/>
        </w:rPr>
        <w:t>World Resources Institute, Washington, DC.</w:t>
      </w:r>
    </w:p>
  </w:footnote>
  <w:footnote w:id="15">
    <w:p w14:paraId="09FA8538" w14:textId="77777777" w:rsidR="00FF30E4" w:rsidRDefault="00FF30E4" w:rsidP="00FF30E4">
      <w:pPr>
        <w:pStyle w:val="FootnoteText"/>
        <w:ind w:left="0" w:firstLine="0"/>
        <w:rPr>
          <w:rFonts w:cs="Calibri"/>
        </w:rPr>
      </w:pPr>
      <w:r>
        <w:rPr>
          <w:rStyle w:val="FootnoteReference"/>
          <w:lang w:val="fr-FR"/>
        </w:rPr>
        <w:footnoteRef/>
      </w:r>
      <w:r w:rsidRPr="00FF30E4">
        <w:rPr>
          <w:rFonts w:cs="Calibri"/>
          <w:lang w:val="en-CA"/>
        </w:rPr>
        <w:t xml:space="preserve"> </w:t>
      </w:r>
      <w:r>
        <w:rPr>
          <w:rFonts w:cs="Calibri"/>
        </w:rPr>
        <w:t>Molden D (ed), Water for food, water for life: a comprehensive assessment of water management in agriculture. Earthscan, London, UK, pp 57-89.</w:t>
      </w:r>
    </w:p>
  </w:footnote>
  <w:footnote w:id="16">
    <w:p w14:paraId="6AD56479" w14:textId="77777777" w:rsidR="00FF30E4" w:rsidRDefault="00FF30E4" w:rsidP="00FF30E4">
      <w:pPr>
        <w:pStyle w:val="FootnoteText"/>
        <w:ind w:left="0" w:firstLine="0"/>
        <w:rPr>
          <w:rFonts w:cs="Calibri"/>
          <w:lang w:val="fr-FR"/>
        </w:rPr>
      </w:pPr>
      <w:r>
        <w:rPr>
          <w:rStyle w:val="FootnoteReference"/>
          <w:lang w:val="fr-FR"/>
        </w:rPr>
        <w:footnoteRef/>
      </w:r>
      <w:r w:rsidRPr="00FF30E4">
        <w:rPr>
          <w:rFonts w:cs="Calibri"/>
          <w:lang w:val="en-CA"/>
        </w:rPr>
        <w:t xml:space="preserve"> </w:t>
      </w:r>
      <w:r>
        <w:rPr>
          <w:rFonts w:cs="Calibri"/>
        </w:rPr>
        <w:t xml:space="preserve">Russi D., ten Brink P., Farmer A., Badura T., Coates D., Förster J., Kumar R. and Davidson N. (2013) The Economics of Ecosystems and Biodiversity for Water and Wetlands. </w:t>
      </w:r>
      <w:r>
        <w:rPr>
          <w:rFonts w:cs="Calibri"/>
          <w:lang w:val="fr-FR"/>
        </w:rPr>
        <w:t>IEEP, London and Brussels; Convention on Wetlands Secretariat, Gland.</w:t>
      </w:r>
    </w:p>
  </w:footnote>
  <w:footnote w:id="17">
    <w:p w14:paraId="177C5977" w14:textId="77777777" w:rsidR="00FF30E4" w:rsidRDefault="00FF30E4" w:rsidP="00FF30E4">
      <w:pPr>
        <w:pStyle w:val="FootnoteText"/>
        <w:ind w:left="0" w:firstLine="0"/>
        <w:rPr>
          <w:rFonts w:cs="Calibri"/>
          <w:lang w:val="fr-FR"/>
        </w:rPr>
      </w:pPr>
      <w:r>
        <w:rPr>
          <w:rStyle w:val="FootnoteReference"/>
        </w:rPr>
        <w:footnoteRef/>
      </w:r>
      <w:r>
        <w:rPr>
          <w:rFonts w:cs="Calibri"/>
          <w:lang w:val="fr-FR"/>
        </w:rPr>
        <w:t xml:space="preserve"> Certains des rapports techniques produits par le GEST et disponibles à l’adresse : </w:t>
      </w:r>
      <w:hyperlink r:id="rId8" w:history="1">
        <w:r>
          <w:rPr>
            <w:rStyle w:val="Hyperlink"/>
            <w:rFonts w:cs="Calibri"/>
            <w:lang w:val="fr-FR"/>
          </w:rPr>
          <w:t>https://www.ramsar.org/publications</w:t>
        </w:r>
      </w:hyperlink>
      <w:r>
        <w:rPr>
          <w:rFonts w:cs="Calibri"/>
          <w:lang w:val="fr-FR"/>
        </w:rPr>
        <w:t xml:space="preserve"> entreraient dans cette catégorie.</w:t>
      </w:r>
    </w:p>
  </w:footnote>
  <w:footnote w:id="18">
    <w:p w14:paraId="1880E61A" w14:textId="0B829523" w:rsidR="00FF30E4" w:rsidRDefault="00FF30E4" w:rsidP="00FF30E4">
      <w:pPr>
        <w:pStyle w:val="FootnoteText"/>
        <w:ind w:left="0" w:firstLine="0"/>
        <w:rPr>
          <w:rFonts w:cs="Calibri"/>
          <w:lang w:val="fr-FR"/>
        </w:rPr>
      </w:pPr>
      <w:r>
        <w:rPr>
          <w:rStyle w:val="FootnoteReference"/>
          <w:lang w:val="fr-FR"/>
        </w:rPr>
        <w:footnoteRef/>
      </w:r>
      <w:r w:rsidRPr="00FF30E4">
        <w:rPr>
          <w:rFonts w:cs="Calibri"/>
          <w:lang w:val="en-CA"/>
        </w:rPr>
        <w:t xml:space="preserve"> </w:t>
      </w:r>
      <w:r>
        <w:rPr>
          <w:rFonts w:cs="Calibri"/>
        </w:rPr>
        <w:t xml:space="preserve">IPBES (2018): IPBES Guide on the production of assessments. Secretariat of the Intergovernmental Science-Policy Platform on Biodiversity and Ecosystem Services, Bonn, Germany. </w:t>
      </w:r>
      <w:r>
        <w:rPr>
          <w:rFonts w:cs="Calibri"/>
          <w:lang w:val="fr-FR"/>
        </w:rPr>
        <w:t xml:space="preserve">44 pages available at: </w:t>
      </w:r>
      <w:hyperlink r:id="rId9" w:history="1">
        <w:r w:rsidR="007E320E" w:rsidRPr="001D6F8D">
          <w:rPr>
            <w:rStyle w:val="Hyperlink"/>
            <w:rFonts w:cs="Calibri"/>
            <w:lang w:val="fr-FR"/>
          </w:rPr>
          <w:t>https://www.ipbes.net/guide-production-assessments</w:t>
        </w:r>
      </w:hyperlink>
      <w:r>
        <w:rPr>
          <w:rFonts w:cs="Calibri"/>
          <w:lang w:val="fr-FR"/>
        </w:rPr>
        <w:t>.</w:t>
      </w:r>
      <w:r w:rsidR="007E320E">
        <w:rPr>
          <w:rFonts w:cs="Calibri"/>
          <w:lang w:val="fr-FR"/>
        </w:rPr>
        <w:t xml:space="preserve"> </w:t>
      </w:r>
    </w:p>
  </w:footnote>
  <w:footnote w:id="19">
    <w:p w14:paraId="24082BF1" w14:textId="78CFA352" w:rsidR="00FF30E4" w:rsidRDefault="00FF30E4" w:rsidP="00FF30E4">
      <w:pPr>
        <w:pStyle w:val="FootnoteText"/>
        <w:ind w:left="0" w:firstLine="0"/>
        <w:rPr>
          <w:rFonts w:cs="Calibri"/>
          <w:lang w:val="fr-FR"/>
        </w:rPr>
      </w:pPr>
      <w:r>
        <w:rPr>
          <w:rStyle w:val="FootnoteReference"/>
          <w:lang w:val="fr-FR"/>
        </w:rPr>
        <w:footnoteRef/>
      </w:r>
      <w:r>
        <w:rPr>
          <w:rFonts w:cs="Calibri"/>
          <w:lang w:val="fr-FR"/>
        </w:rPr>
        <w:t xml:space="preserve"> Procédures concernant l'élaboration, l'examen, l'acceptation, l'adoption, l'approbation et la publication des rapports du GIEC disponible à l’adresse : </w:t>
      </w:r>
      <w:hyperlink r:id="rId10" w:history="1">
        <w:r w:rsidR="007E320E" w:rsidRPr="001D6F8D">
          <w:rPr>
            <w:rStyle w:val="Hyperlink"/>
            <w:rFonts w:cs="Calibri"/>
            <w:lang w:val="fr-FR"/>
          </w:rPr>
          <w:t>https://www.ipcc.ch/site/assets/uploads/2018/09/ipcc-principles-appendix-a-final.pdf</w:t>
        </w:r>
      </w:hyperlink>
      <w:r w:rsidR="007E320E">
        <w:rPr>
          <w:rFonts w:cs="Calibri"/>
          <w:lang w:val="fr-FR"/>
        </w:rPr>
        <w:t xml:space="preserve">. </w:t>
      </w:r>
    </w:p>
  </w:footnote>
  <w:footnote w:id="20">
    <w:p w14:paraId="688A94BD" w14:textId="77777777" w:rsidR="00FF30E4" w:rsidRDefault="00FF30E4" w:rsidP="00FF30E4">
      <w:pPr>
        <w:pStyle w:val="FootnoteText"/>
        <w:ind w:left="0" w:firstLine="0"/>
        <w:rPr>
          <w:rFonts w:cs="Calibri"/>
          <w:lang w:val="fr-FR"/>
        </w:rPr>
      </w:pPr>
      <w:r>
        <w:rPr>
          <w:rStyle w:val="FootnoteReference"/>
        </w:rPr>
        <w:footnoteRef/>
      </w:r>
      <w:r>
        <w:rPr>
          <w:rFonts w:cs="Calibri"/>
          <w:lang w:val="fr-FR"/>
        </w:rPr>
        <w:t xml:space="preserve"> Cette structure a été utilisée pour l’Évaluation des écosystèmes pour le millénaire : Synthèse sur les zones humides et l’eau.  </w:t>
      </w:r>
    </w:p>
  </w:footnote>
  <w:footnote w:id="21">
    <w:p w14:paraId="27790ED9" w14:textId="77777777" w:rsidR="00FF30E4" w:rsidRDefault="00FF30E4" w:rsidP="00FF30E4">
      <w:pPr>
        <w:pStyle w:val="FootnoteText"/>
        <w:ind w:left="0" w:firstLine="0"/>
        <w:rPr>
          <w:rFonts w:cs="Calibri"/>
          <w:lang w:val="fr-FR"/>
        </w:rPr>
      </w:pPr>
      <w:r>
        <w:rPr>
          <w:rStyle w:val="FootnoteReference"/>
        </w:rPr>
        <w:footnoteRef/>
      </w:r>
      <w:r>
        <w:rPr>
          <w:rFonts w:cs="Calibri"/>
          <w:lang w:val="fr-FR"/>
        </w:rPr>
        <w:t xml:space="preserve"> Ce rapport est en train d’être préparé au moment de la rédaction de la présente proposition. </w:t>
      </w:r>
    </w:p>
  </w:footnote>
  <w:footnote w:id="22">
    <w:p w14:paraId="6A3B5BCB" w14:textId="187EE740" w:rsidR="00FF30E4" w:rsidRPr="00A600AB" w:rsidRDefault="00FF30E4" w:rsidP="00FF30E4">
      <w:pPr>
        <w:pStyle w:val="FootnoteText"/>
        <w:ind w:left="0" w:firstLine="0"/>
        <w:rPr>
          <w:rFonts w:cs="Calibri"/>
          <w:lang w:val="fr-FR"/>
        </w:rPr>
      </w:pPr>
      <w:r>
        <w:rPr>
          <w:rStyle w:val="FootnoteReference"/>
          <w:lang w:val="fr-FR"/>
        </w:rPr>
        <w:footnoteRef/>
      </w:r>
      <w:r>
        <w:rPr>
          <w:rFonts w:cs="Calibri"/>
          <w:lang w:val="fr-FR"/>
        </w:rPr>
        <w:t xml:space="preserve"> IPBES (2018) : Résumé du Guide d’évaluation de l’IPBES. Secrétariat de la Plateforme intergouvernementale scientifique et politique sur la biodiversité et les services écosystémiques, Bonn, Allemagne. 12 pages. Le Résumé du Guide d’évaluation de l’IPBES peut être consulté et téléchargé à l’adresse : </w:t>
      </w:r>
      <w:hyperlink r:id="rId11" w:history="1">
        <w:r w:rsidR="00A600AB" w:rsidRPr="00A600AB">
          <w:rPr>
            <w:rStyle w:val="Hyperlink"/>
            <w:rFonts w:cs="Calibri"/>
            <w:lang w:val="fr-FR"/>
          </w:rPr>
          <w:t>https://www.ipbes.net/document-library-catalogue/ipbes-assessment-guide-summary</w:t>
        </w:r>
      </w:hyperlink>
      <w:r w:rsidR="00A600AB" w:rsidRPr="00A600AB">
        <w:rPr>
          <w:rFonts w:cs="Calibri"/>
          <w:lang w:val="fr-FR"/>
        </w:rPr>
        <w:t>.</w:t>
      </w:r>
    </w:p>
  </w:footnote>
  <w:footnote w:id="23">
    <w:p w14:paraId="023D6719" w14:textId="77777777" w:rsidR="00FF30E4" w:rsidRDefault="00FF30E4" w:rsidP="00FF30E4">
      <w:pPr>
        <w:pStyle w:val="Footnote"/>
        <w:ind w:left="0" w:firstLine="0"/>
        <w:rPr>
          <w:rFonts w:cs="Calibri"/>
          <w:lang w:val="fr-FR"/>
        </w:rPr>
      </w:pPr>
      <w:r>
        <w:rPr>
          <w:rStyle w:val="FootnoteReference"/>
        </w:rPr>
        <w:footnoteRef/>
      </w:r>
      <w:r>
        <w:rPr>
          <w:rFonts w:cs="Calibri"/>
          <w:lang w:val="fr-FR"/>
        </w:rPr>
        <w:t xml:space="preserve"> Voir </w:t>
      </w:r>
      <w:hyperlink r:id="rId12" w:history="1">
        <w:r>
          <w:rPr>
            <w:rStyle w:val="Hyperlink"/>
            <w:rFonts w:cs="Calibri"/>
            <w:lang w:val="fr-FR"/>
          </w:rPr>
          <w:t>https://www.cms.int/en/document/central-asian-flyway-action-plan-conservation-migratory-waterbirds-and-their-habitats</w:t>
        </w:r>
      </w:hyperlink>
      <w:r>
        <w:rPr>
          <w:rFonts w:cs="Calibri"/>
          <w:lang w:val="fr-FR"/>
        </w:rPr>
        <w:t>.</w:t>
      </w:r>
    </w:p>
  </w:footnote>
  <w:footnote w:id="24">
    <w:p w14:paraId="08A8D039" w14:textId="77777777" w:rsidR="00FF30E4" w:rsidRDefault="00FF30E4" w:rsidP="00FF30E4">
      <w:pPr>
        <w:pStyle w:val="FootnoteText"/>
        <w:ind w:left="0" w:firstLine="0"/>
        <w:rPr>
          <w:rFonts w:cs="Calibri"/>
          <w:lang w:val="fr-FR"/>
        </w:rPr>
      </w:pPr>
      <w:r>
        <w:rPr>
          <w:rStyle w:val="FootnoteReference"/>
          <w:lang w:val="fr-FR"/>
        </w:rPr>
        <w:footnoteRef/>
      </w:r>
      <w:r>
        <w:rPr>
          <w:rFonts w:cs="Calibri"/>
          <w:lang w:val="fr-FR"/>
        </w:rPr>
        <w:t xml:space="preserve"> Pour la voie de migration du Pacifique central (et Antarctique), le nombre de populations résidentes et celui de populations migratrices sont combinés. </w:t>
      </w:r>
    </w:p>
  </w:footnote>
  <w:footnote w:id="25">
    <w:p w14:paraId="4F48DFA5" w14:textId="77777777" w:rsidR="00FF30E4" w:rsidRDefault="00FF30E4" w:rsidP="00FF30E4">
      <w:pPr>
        <w:pStyle w:val="Footnote"/>
        <w:ind w:left="0" w:firstLine="0"/>
        <w:rPr>
          <w:rFonts w:cs="Calibri"/>
          <w:lang w:val="fr-FR"/>
        </w:rPr>
      </w:pPr>
      <w:r>
        <w:rPr>
          <w:rStyle w:val="FootnoteReference"/>
          <w:lang w:val="fr-FR"/>
        </w:rPr>
        <w:footnoteRef/>
      </w:r>
      <w:r>
        <w:rPr>
          <w:rFonts w:cs="Calibri"/>
          <w:lang w:val="fr-FR"/>
        </w:rPr>
        <w:t xml:space="preserve"> L’estimation de coût préliminaire s’appuie sur les tâches prévues pour chaque région/voie de migration dépendant des informations disponibles attendues et des travaux prévus. Les coûts estimés pour une population unitaire se basent sur les coûts établis dans le CSR8 de l’AEWA et le CSR1 de l’EAAFP. Les principales tâches prévues pour les évaluations de la taille des populations comprennent : examen de la définition actuelle des populations et révision d’après la taxonomie la plus récente (comme celle de BirdLife International/Handbook of the Birds of the World) ; collecte et examen de la littérature existante pour les données d’estimation des tailles des populations (pour certaines régions, revoir la littérature dans différentes langues nécessite un effort additionnel) ; alignement de l’information avec les définitions WPE des estimations des populations et des limites ; mise à jour des estimations de la taille des populations et finalisation en consultation avec des experts ; et production de seuils de 1 % dérivés des mises à jour. Parmi les actions proposées pour les évaluations des tendances des populations, il y aura des examens de la littérature pour de nouvelles estimations de tendances des populations proposant des estimations des tendances des populations actualisées d’après un examen des dernières tendances et une analyse des tendances ainsi que la finalisation des tendances des populations en consultation avec des experts. Les analyses des tendances utilisant les données de l’International Waterbird Census pour le nombre limité de populations de la Voie de migration d’Asie centrale n’étant pas actuellement couvertes par la CSR8 de l’AEWA seront entreprises.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794"/>
    <w:multiLevelType w:val="hybridMultilevel"/>
    <w:tmpl w:val="938021C2"/>
    <w:lvl w:ilvl="0" w:tplc="30582D0E">
      <w:start w:val="1"/>
      <w:numFmt w:val="bullet"/>
      <w:lvlText w:val="-"/>
      <w:lvlJc w:val="left"/>
      <w:pPr>
        <w:ind w:left="1170" w:hanging="360"/>
      </w:pPr>
      <w:rPr>
        <w:rFonts w:ascii="Aptos" w:hAnsi="Aptos" w:hint="default"/>
      </w:rPr>
    </w:lvl>
    <w:lvl w:ilvl="1" w:tplc="B82E2DFA" w:tentative="1">
      <w:start w:val="1"/>
      <w:numFmt w:val="bullet"/>
      <w:lvlText w:val="o"/>
      <w:lvlJc w:val="left"/>
      <w:pPr>
        <w:ind w:left="1890" w:hanging="360"/>
      </w:pPr>
      <w:rPr>
        <w:rFonts w:ascii="Courier New" w:hAnsi="Courier New" w:cs="Courier New" w:hint="default"/>
      </w:rPr>
    </w:lvl>
    <w:lvl w:ilvl="2" w:tplc="2FB205EC" w:tentative="1">
      <w:start w:val="1"/>
      <w:numFmt w:val="bullet"/>
      <w:lvlText w:val=""/>
      <w:lvlJc w:val="left"/>
      <w:pPr>
        <w:ind w:left="2610" w:hanging="360"/>
      </w:pPr>
      <w:rPr>
        <w:rFonts w:ascii="Wingdings" w:hAnsi="Wingdings" w:hint="default"/>
      </w:rPr>
    </w:lvl>
    <w:lvl w:ilvl="3" w:tplc="8976DE2C" w:tentative="1">
      <w:start w:val="1"/>
      <w:numFmt w:val="bullet"/>
      <w:lvlText w:val=""/>
      <w:lvlJc w:val="left"/>
      <w:pPr>
        <w:ind w:left="3330" w:hanging="360"/>
      </w:pPr>
      <w:rPr>
        <w:rFonts w:ascii="Symbol" w:hAnsi="Symbol" w:hint="default"/>
      </w:rPr>
    </w:lvl>
    <w:lvl w:ilvl="4" w:tplc="01D0DE66" w:tentative="1">
      <w:start w:val="1"/>
      <w:numFmt w:val="bullet"/>
      <w:lvlText w:val="o"/>
      <w:lvlJc w:val="left"/>
      <w:pPr>
        <w:ind w:left="4050" w:hanging="360"/>
      </w:pPr>
      <w:rPr>
        <w:rFonts w:ascii="Courier New" w:hAnsi="Courier New" w:cs="Courier New" w:hint="default"/>
      </w:rPr>
    </w:lvl>
    <w:lvl w:ilvl="5" w:tplc="B478ED9A" w:tentative="1">
      <w:start w:val="1"/>
      <w:numFmt w:val="bullet"/>
      <w:lvlText w:val=""/>
      <w:lvlJc w:val="left"/>
      <w:pPr>
        <w:ind w:left="4770" w:hanging="360"/>
      </w:pPr>
      <w:rPr>
        <w:rFonts w:ascii="Wingdings" w:hAnsi="Wingdings" w:hint="default"/>
      </w:rPr>
    </w:lvl>
    <w:lvl w:ilvl="6" w:tplc="CE3C80FA" w:tentative="1">
      <w:start w:val="1"/>
      <w:numFmt w:val="bullet"/>
      <w:lvlText w:val=""/>
      <w:lvlJc w:val="left"/>
      <w:pPr>
        <w:ind w:left="5490" w:hanging="360"/>
      </w:pPr>
      <w:rPr>
        <w:rFonts w:ascii="Symbol" w:hAnsi="Symbol" w:hint="default"/>
      </w:rPr>
    </w:lvl>
    <w:lvl w:ilvl="7" w:tplc="85661D04" w:tentative="1">
      <w:start w:val="1"/>
      <w:numFmt w:val="bullet"/>
      <w:lvlText w:val="o"/>
      <w:lvlJc w:val="left"/>
      <w:pPr>
        <w:ind w:left="6210" w:hanging="360"/>
      </w:pPr>
      <w:rPr>
        <w:rFonts w:ascii="Courier New" w:hAnsi="Courier New" w:cs="Courier New" w:hint="default"/>
      </w:rPr>
    </w:lvl>
    <w:lvl w:ilvl="8" w:tplc="877E6CE8" w:tentative="1">
      <w:start w:val="1"/>
      <w:numFmt w:val="bullet"/>
      <w:lvlText w:val=""/>
      <w:lvlJc w:val="left"/>
      <w:pPr>
        <w:ind w:left="6930" w:hanging="360"/>
      </w:pPr>
      <w:rPr>
        <w:rFonts w:ascii="Wingdings" w:hAnsi="Wingdings" w:hint="default"/>
      </w:rPr>
    </w:lvl>
  </w:abstractNum>
  <w:abstractNum w:abstractNumId="1" w15:restartNumberingAfterBreak="0">
    <w:nsid w:val="06410F1B"/>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BDC3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B3F98"/>
    <w:multiLevelType w:val="hybridMultilevel"/>
    <w:tmpl w:val="7180C532"/>
    <w:lvl w:ilvl="0" w:tplc="8F02D0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1E503F"/>
    <w:multiLevelType w:val="hybridMultilevel"/>
    <w:tmpl w:val="6CE64CE4"/>
    <w:lvl w:ilvl="0" w:tplc="2A12690E">
      <w:start w:val="1"/>
      <w:numFmt w:val="bullet"/>
      <w:lvlText w:val=""/>
      <w:lvlJc w:val="left"/>
      <w:pPr>
        <w:ind w:left="720" w:hanging="360"/>
      </w:pPr>
      <w:rPr>
        <w:rFonts w:ascii="Symbol" w:hAnsi="Symbol" w:hint="default"/>
        <w:color w:val="auto"/>
      </w:rPr>
    </w:lvl>
    <w:lvl w:ilvl="1" w:tplc="B56EAFF0" w:tentative="1">
      <w:start w:val="1"/>
      <w:numFmt w:val="bullet"/>
      <w:lvlText w:val="o"/>
      <w:lvlJc w:val="left"/>
      <w:pPr>
        <w:ind w:left="1440" w:hanging="360"/>
      </w:pPr>
      <w:rPr>
        <w:rFonts w:ascii="Courier New" w:hAnsi="Courier New" w:cs="Courier New" w:hint="default"/>
      </w:rPr>
    </w:lvl>
    <w:lvl w:ilvl="2" w:tplc="1CD80978" w:tentative="1">
      <w:start w:val="1"/>
      <w:numFmt w:val="bullet"/>
      <w:lvlText w:val=""/>
      <w:lvlJc w:val="left"/>
      <w:pPr>
        <w:ind w:left="2160" w:hanging="360"/>
      </w:pPr>
      <w:rPr>
        <w:rFonts w:ascii="Wingdings" w:hAnsi="Wingdings" w:hint="default"/>
      </w:rPr>
    </w:lvl>
    <w:lvl w:ilvl="3" w:tplc="A536AC5A" w:tentative="1">
      <w:start w:val="1"/>
      <w:numFmt w:val="bullet"/>
      <w:lvlText w:val=""/>
      <w:lvlJc w:val="left"/>
      <w:pPr>
        <w:ind w:left="2880" w:hanging="360"/>
      </w:pPr>
      <w:rPr>
        <w:rFonts w:ascii="Symbol" w:hAnsi="Symbol" w:hint="default"/>
      </w:rPr>
    </w:lvl>
    <w:lvl w:ilvl="4" w:tplc="6DBC55E6" w:tentative="1">
      <w:start w:val="1"/>
      <w:numFmt w:val="bullet"/>
      <w:lvlText w:val="o"/>
      <w:lvlJc w:val="left"/>
      <w:pPr>
        <w:ind w:left="3600" w:hanging="360"/>
      </w:pPr>
      <w:rPr>
        <w:rFonts w:ascii="Courier New" w:hAnsi="Courier New" w:cs="Courier New" w:hint="default"/>
      </w:rPr>
    </w:lvl>
    <w:lvl w:ilvl="5" w:tplc="D832AB22" w:tentative="1">
      <w:start w:val="1"/>
      <w:numFmt w:val="bullet"/>
      <w:lvlText w:val=""/>
      <w:lvlJc w:val="left"/>
      <w:pPr>
        <w:ind w:left="4320" w:hanging="360"/>
      </w:pPr>
      <w:rPr>
        <w:rFonts w:ascii="Wingdings" w:hAnsi="Wingdings" w:hint="default"/>
      </w:rPr>
    </w:lvl>
    <w:lvl w:ilvl="6" w:tplc="A44C92AC" w:tentative="1">
      <w:start w:val="1"/>
      <w:numFmt w:val="bullet"/>
      <w:lvlText w:val=""/>
      <w:lvlJc w:val="left"/>
      <w:pPr>
        <w:ind w:left="5040" w:hanging="360"/>
      </w:pPr>
      <w:rPr>
        <w:rFonts w:ascii="Symbol" w:hAnsi="Symbol" w:hint="default"/>
      </w:rPr>
    </w:lvl>
    <w:lvl w:ilvl="7" w:tplc="6E7E766E" w:tentative="1">
      <w:start w:val="1"/>
      <w:numFmt w:val="bullet"/>
      <w:lvlText w:val="o"/>
      <w:lvlJc w:val="left"/>
      <w:pPr>
        <w:ind w:left="5760" w:hanging="360"/>
      </w:pPr>
      <w:rPr>
        <w:rFonts w:ascii="Courier New" w:hAnsi="Courier New" w:cs="Courier New" w:hint="default"/>
      </w:rPr>
    </w:lvl>
    <w:lvl w:ilvl="8" w:tplc="CB5E641E" w:tentative="1">
      <w:start w:val="1"/>
      <w:numFmt w:val="bullet"/>
      <w:lvlText w:val=""/>
      <w:lvlJc w:val="left"/>
      <w:pPr>
        <w:ind w:left="6480" w:hanging="360"/>
      </w:pPr>
      <w:rPr>
        <w:rFonts w:ascii="Wingdings" w:hAnsi="Wingdings" w:hint="default"/>
      </w:rPr>
    </w:lvl>
  </w:abstractNum>
  <w:abstractNum w:abstractNumId="5" w15:restartNumberingAfterBreak="0">
    <w:nsid w:val="16EC0050"/>
    <w:multiLevelType w:val="hybridMultilevel"/>
    <w:tmpl w:val="551A4F74"/>
    <w:lvl w:ilvl="0" w:tplc="40929214">
      <w:start w:val="1"/>
      <w:numFmt w:val="bullet"/>
      <w:lvlText w:val=""/>
      <w:lvlJc w:val="left"/>
      <w:pPr>
        <w:ind w:left="720" w:hanging="360"/>
      </w:pPr>
      <w:rPr>
        <w:rFonts w:ascii="Symbol" w:hAnsi="Symbol" w:hint="default"/>
      </w:rPr>
    </w:lvl>
    <w:lvl w:ilvl="1" w:tplc="98E2C44A">
      <w:start w:val="1"/>
      <w:numFmt w:val="bullet"/>
      <w:lvlText w:val="o"/>
      <w:lvlJc w:val="left"/>
      <w:pPr>
        <w:ind w:left="1440" w:hanging="360"/>
      </w:pPr>
      <w:rPr>
        <w:rFonts w:ascii="Courier New" w:hAnsi="Courier New" w:cs="Courier New" w:hint="default"/>
      </w:rPr>
    </w:lvl>
    <w:lvl w:ilvl="2" w:tplc="F0C2E7C4" w:tentative="1">
      <w:start w:val="1"/>
      <w:numFmt w:val="bullet"/>
      <w:lvlText w:val=""/>
      <w:lvlJc w:val="left"/>
      <w:pPr>
        <w:ind w:left="2160" w:hanging="360"/>
      </w:pPr>
      <w:rPr>
        <w:rFonts w:ascii="Wingdings" w:hAnsi="Wingdings" w:hint="default"/>
      </w:rPr>
    </w:lvl>
    <w:lvl w:ilvl="3" w:tplc="D098CBF0" w:tentative="1">
      <w:start w:val="1"/>
      <w:numFmt w:val="bullet"/>
      <w:lvlText w:val=""/>
      <w:lvlJc w:val="left"/>
      <w:pPr>
        <w:ind w:left="2880" w:hanging="360"/>
      </w:pPr>
      <w:rPr>
        <w:rFonts w:ascii="Symbol" w:hAnsi="Symbol" w:hint="default"/>
      </w:rPr>
    </w:lvl>
    <w:lvl w:ilvl="4" w:tplc="6AEA0F10" w:tentative="1">
      <w:start w:val="1"/>
      <w:numFmt w:val="bullet"/>
      <w:lvlText w:val="o"/>
      <w:lvlJc w:val="left"/>
      <w:pPr>
        <w:ind w:left="3600" w:hanging="360"/>
      </w:pPr>
      <w:rPr>
        <w:rFonts w:ascii="Courier New" w:hAnsi="Courier New" w:cs="Courier New" w:hint="default"/>
      </w:rPr>
    </w:lvl>
    <w:lvl w:ilvl="5" w:tplc="47142996" w:tentative="1">
      <w:start w:val="1"/>
      <w:numFmt w:val="bullet"/>
      <w:lvlText w:val=""/>
      <w:lvlJc w:val="left"/>
      <w:pPr>
        <w:ind w:left="4320" w:hanging="360"/>
      </w:pPr>
      <w:rPr>
        <w:rFonts w:ascii="Wingdings" w:hAnsi="Wingdings" w:hint="default"/>
      </w:rPr>
    </w:lvl>
    <w:lvl w:ilvl="6" w:tplc="D91EE950" w:tentative="1">
      <w:start w:val="1"/>
      <w:numFmt w:val="bullet"/>
      <w:lvlText w:val=""/>
      <w:lvlJc w:val="left"/>
      <w:pPr>
        <w:ind w:left="5040" w:hanging="360"/>
      </w:pPr>
      <w:rPr>
        <w:rFonts w:ascii="Symbol" w:hAnsi="Symbol" w:hint="default"/>
      </w:rPr>
    </w:lvl>
    <w:lvl w:ilvl="7" w:tplc="637E3BD4" w:tentative="1">
      <w:start w:val="1"/>
      <w:numFmt w:val="bullet"/>
      <w:lvlText w:val="o"/>
      <w:lvlJc w:val="left"/>
      <w:pPr>
        <w:ind w:left="5760" w:hanging="360"/>
      </w:pPr>
      <w:rPr>
        <w:rFonts w:ascii="Courier New" w:hAnsi="Courier New" w:cs="Courier New" w:hint="default"/>
      </w:rPr>
    </w:lvl>
    <w:lvl w:ilvl="8" w:tplc="B31A634A" w:tentative="1">
      <w:start w:val="1"/>
      <w:numFmt w:val="bullet"/>
      <w:lvlText w:val=""/>
      <w:lvlJc w:val="left"/>
      <w:pPr>
        <w:ind w:left="6480" w:hanging="360"/>
      </w:pPr>
      <w:rPr>
        <w:rFonts w:ascii="Wingdings" w:hAnsi="Wingdings" w:hint="default"/>
      </w:rPr>
    </w:lvl>
  </w:abstractNum>
  <w:abstractNum w:abstractNumId="6" w15:restartNumberingAfterBreak="0">
    <w:nsid w:val="172D5681"/>
    <w:multiLevelType w:val="hybridMultilevel"/>
    <w:tmpl w:val="C804E21A"/>
    <w:lvl w:ilvl="0" w:tplc="C2B05456">
      <w:start w:val="1"/>
      <w:numFmt w:val="lowerLetter"/>
      <w:lvlText w:val="%1)"/>
      <w:lvlJc w:val="left"/>
      <w:pPr>
        <w:ind w:left="1440" w:hanging="360"/>
      </w:pPr>
    </w:lvl>
    <w:lvl w:ilvl="1" w:tplc="D1F07C60">
      <w:start w:val="1"/>
      <w:numFmt w:val="lowerLetter"/>
      <w:lvlText w:val="%2."/>
      <w:lvlJc w:val="left"/>
      <w:pPr>
        <w:ind w:left="2160" w:hanging="360"/>
      </w:pPr>
    </w:lvl>
    <w:lvl w:ilvl="2" w:tplc="FBBA9476" w:tentative="1">
      <w:start w:val="1"/>
      <w:numFmt w:val="lowerRoman"/>
      <w:lvlText w:val="%3."/>
      <w:lvlJc w:val="right"/>
      <w:pPr>
        <w:ind w:left="2880" w:hanging="180"/>
      </w:pPr>
    </w:lvl>
    <w:lvl w:ilvl="3" w:tplc="082AACFA" w:tentative="1">
      <w:start w:val="1"/>
      <w:numFmt w:val="decimal"/>
      <w:lvlText w:val="%4."/>
      <w:lvlJc w:val="left"/>
      <w:pPr>
        <w:ind w:left="3600" w:hanging="360"/>
      </w:pPr>
    </w:lvl>
    <w:lvl w:ilvl="4" w:tplc="8FA06B2E" w:tentative="1">
      <w:start w:val="1"/>
      <w:numFmt w:val="lowerLetter"/>
      <w:lvlText w:val="%5."/>
      <w:lvlJc w:val="left"/>
      <w:pPr>
        <w:ind w:left="4320" w:hanging="360"/>
      </w:pPr>
    </w:lvl>
    <w:lvl w:ilvl="5" w:tplc="5E4AB12C" w:tentative="1">
      <w:start w:val="1"/>
      <w:numFmt w:val="lowerRoman"/>
      <w:lvlText w:val="%6."/>
      <w:lvlJc w:val="right"/>
      <w:pPr>
        <w:ind w:left="5040" w:hanging="180"/>
      </w:pPr>
    </w:lvl>
    <w:lvl w:ilvl="6" w:tplc="763A2634" w:tentative="1">
      <w:start w:val="1"/>
      <w:numFmt w:val="decimal"/>
      <w:lvlText w:val="%7."/>
      <w:lvlJc w:val="left"/>
      <w:pPr>
        <w:ind w:left="5760" w:hanging="360"/>
      </w:pPr>
    </w:lvl>
    <w:lvl w:ilvl="7" w:tplc="062073AC" w:tentative="1">
      <w:start w:val="1"/>
      <w:numFmt w:val="lowerLetter"/>
      <w:lvlText w:val="%8."/>
      <w:lvlJc w:val="left"/>
      <w:pPr>
        <w:ind w:left="6480" w:hanging="360"/>
      </w:pPr>
    </w:lvl>
    <w:lvl w:ilvl="8" w:tplc="225C8970" w:tentative="1">
      <w:start w:val="1"/>
      <w:numFmt w:val="lowerRoman"/>
      <w:lvlText w:val="%9."/>
      <w:lvlJc w:val="right"/>
      <w:pPr>
        <w:ind w:left="7200" w:hanging="180"/>
      </w:pPr>
    </w:lvl>
  </w:abstractNum>
  <w:abstractNum w:abstractNumId="7" w15:restartNumberingAfterBreak="0">
    <w:nsid w:val="179F6C85"/>
    <w:multiLevelType w:val="hybridMultilevel"/>
    <w:tmpl w:val="10DC07CA"/>
    <w:lvl w:ilvl="0" w:tplc="86029AB2">
      <w:start w:val="1"/>
      <w:numFmt w:val="bullet"/>
      <w:lvlText w:val=""/>
      <w:lvlJc w:val="left"/>
      <w:pPr>
        <w:ind w:left="720" w:hanging="360"/>
      </w:pPr>
      <w:rPr>
        <w:rFonts w:ascii="Symbol" w:hAnsi="Symbol" w:hint="default"/>
      </w:rPr>
    </w:lvl>
    <w:lvl w:ilvl="1" w:tplc="0CAA3D2C" w:tentative="1">
      <w:start w:val="1"/>
      <w:numFmt w:val="bullet"/>
      <w:lvlText w:val="o"/>
      <w:lvlJc w:val="left"/>
      <w:pPr>
        <w:ind w:left="1440" w:hanging="360"/>
      </w:pPr>
      <w:rPr>
        <w:rFonts w:ascii="Courier New" w:hAnsi="Courier New" w:cs="Courier New" w:hint="default"/>
      </w:rPr>
    </w:lvl>
    <w:lvl w:ilvl="2" w:tplc="3AC03C84" w:tentative="1">
      <w:start w:val="1"/>
      <w:numFmt w:val="bullet"/>
      <w:lvlText w:val=""/>
      <w:lvlJc w:val="left"/>
      <w:pPr>
        <w:ind w:left="2160" w:hanging="360"/>
      </w:pPr>
      <w:rPr>
        <w:rFonts w:ascii="Wingdings" w:hAnsi="Wingdings" w:hint="default"/>
      </w:rPr>
    </w:lvl>
    <w:lvl w:ilvl="3" w:tplc="E45658DC" w:tentative="1">
      <w:start w:val="1"/>
      <w:numFmt w:val="bullet"/>
      <w:lvlText w:val=""/>
      <w:lvlJc w:val="left"/>
      <w:pPr>
        <w:ind w:left="2880" w:hanging="360"/>
      </w:pPr>
      <w:rPr>
        <w:rFonts w:ascii="Symbol" w:hAnsi="Symbol" w:hint="default"/>
      </w:rPr>
    </w:lvl>
    <w:lvl w:ilvl="4" w:tplc="8B5CB324" w:tentative="1">
      <w:start w:val="1"/>
      <w:numFmt w:val="bullet"/>
      <w:lvlText w:val="o"/>
      <w:lvlJc w:val="left"/>
      <w:pPr>
        <w:ind w:left="3600" w:hanging="360"/>
      </w:pPr>
      <w:rPr>
        <w:rFonts w:ascii="Courier New" w:hAnsi="Courier New" w:cs="Courier New" w:hint="default"/>
      </w:rPr>
    </w:lvl>
    <w:lvl w:ilvl="5" w:tplc="189EE7D4" w:tentative="1">
      <w:start w:val="1"/>
      <w:numFmt w:val="bullet"/>
      <w:lvlText w:val=""/>
      <w:lvlJc w:val="left"/>
      <w:pPr>
        <w:ind w:left="4320" w:hanging="360"/>
      </w:pPr>
      <w:rPr>
        <w:rFonts w:ascii="Wingdings" w:hAnsi="Wingdings" w:hint="default"/>
      </w:rPr>
    </w:lvl>
    <w:lvl w:ilvl="6" w:tplc="5D8A130C" w:tentative="1">
      <w:start w:val="1"/>
      <w:numFmt w:val="bullet"/>
      <w:lvlText w:val=""/>
      <w:lvlJc w:val="left"/>
      <w:pPr>
        <w:ind w:left="5040" w:hanging="360"/>
      </w:pPr>
      <w:rPr>
        <w:rFonts w:ascii="Symbol" w:hAnsi="Symbol" w:hint="default"/>
      </w:rPr>
    </w:lvl>
    <w:lvl w:ilvl="7" w:tplc="FD4835AA" w:tentative="1">
      <w:start w:val="1"/>
      <w:numFmt w:val="bullet"/>
      <w:lvlText w:val="o"/>
      <w:lvlJc w:val="left"/>
      <w:pPr>
        <w:ind w:left="5760" w:hanging="360"/>
      </w:pPr>
      <w:rPr>
        <w:rFonts w:ascii="Courier New" w:hAnsi="Courier New" w:cs="Courier New" w:hint="default"/>
      </w:rPr>
    </w:lvl>
    <w:lvl w:ilvl="8" w:tplc="242C2CDA" w:tentative="1">
      <w:start w:val="1"/>
      <w:numFmt w:val="bullet"/>
      <w:lvlText w:val=""/>
      <w:lvlJc w:val="left"/>
      <w:pPr>
        <w:ind w:left="6480" w:hanging="360"/>
      </w:pPr>
      <w:rPr>
        <w:rFonts w:ascii="Wingdings" w:hAnsi="Wingdings" w:hint="default"/>
      </w:rPr>
    </w:lvl>
  </w:abstractNum>
  <w:abstractNum w:abstractNumId="8" w15:restartNumberingAfterBreak="0">
    <w:nsid w:val="192E1D0A"/>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9FE4B66"/>
    <w:multiLevelType w:val="hybridMultilevel"/>
    <w:tmpl w:val="98966080"/>
    <w:lvl w:ilvl="0" w:tplc="C870F982">
      <w:numFmt w:val="bullet"/>
      <w:lvlText w:val="•"/>
      <w:lvlJc w:val="left"/>
      <w:pPr>
        <w:ind w:left="1080" w:hanging="720"/>
      </w:pPr>
      <w:rPr>
        <w:rFonts w:ascii="Calibri" w:eastAsia="Calibri" w:hAnsi="Calibri" w:cs="Calibri" w:hint="default"/>
      </w:rPr>
    </w:lvl>
    <w:lvl w:ilvl="1" w:tplc="9012AD4C" w:tentative="1">
      <w:start w:val="1"/>
      <w:numFmt w:val="bullet"/>
      <w:lvlText w:val="o"/>
      <w:lvlJc w:val="left"/>
      <w:pPr>
        <w:ind w:left="1440" w:hanging="360"/>
      </w:pPr>
      <w:rPr>
        <w:rFonts w:ascii="Courier New" w:hAnsi="Courier New" w:cs="Courier New" w:hint="default"/>
      </w:rPr>
    </w:lvl>
    <w:lvl w:ilvl="2" w:tplc="B7281060" w:tentative="1">
      <w:start w:val="1"/>
      <w:numFmt w:val="bullet"/>
      <w:lvlText w:val=""/>
      <w:lvlJc w:val="left"/>
      <w:pPr>
        <w:ind w:left="2160" w:hanging="360"/>
      </w:pPr>
      <w:rPr>
        <w:rFonts w:ascii="Wingdings" w:hAnsi="Wingdings" w:hint="default"/>
      </w:rPr>
    </w:lvl>
    <w:lvl w:ilvl="3" w:tplc="85189160" w:tentative="1">
      <w:start w:val="1"/>
      <w:numFmt w:val="bullet"/>
      <w:lvlText w:val=""/>
      <w:lvlJc w:val="left"/>
      <w:pPr>
        <w:ind w:left="2880" w:hanging="360"/>
      </w:pPr>
      <w:rPr>
        <w:rFonts w:ascii="Symbol" w:hAnsi="Symbol" w:hint="default"/>
      </w:rPr>
    </w:lvl>
    <w:lvl w:ilvl="4" w:tplc="ABB6F9C0" w:tentative="1">
      <w:start w:val="1"/>
      <w:numFmt w:val="bullet"/>
      <w:lvlText w:val="o"/>
      <w:lvlJc w:val="left"/>
      <w:pPr>
        <w:ind w:left="3600" w:hanging="360"/>
      </w:pPr>
      <w:rPr>
        <w:rFonts w:ascii="Courier New" w:hAnsi="Courier New" w:cs="Courier New" w:hint="default"/>
      </w:rPr>
    </w:lvl>
    <w:lvl w:ilvl="5" w:tplc="E01AF3BE" w:tentative="1">
      <w:start w:val="1"/>
      <w:numFmt w:val="bullet"/>
      <w:lvlText w:val=""/>
      <w:lvlJc w:val="left"/>
      <w:pPr>
        <w:ind w:left="4320" w:hanging="360"/>
      </w:pPr>
      <w:rPr>
        <w:rFonts w:ascii="Wingdings" w:hAnsi="Wingdings" w:hint="default"/>
      </w:rPr>
    </w:lvl>
    <w:lvl w:ilvl="6" w:tplc="5E8CBCB0" w:tentative="1">
      <w:start w:val="1"/>
      <w:numFmt w:val="bullet"/>
      <w:lvlText w:val=""/>
      <w:lvlJc w:val="left"/>
      <w:pPr>
        <w:ind w:left="5040" w:hanging="360"/>
      </w:pPr>
      <w:rPr>
        <w:rFonts w:ascii="Symbol" w:hAnsi="Symbol" w:hint="default"/>
      </w:rPr>
    </w:lvl>
    <w:lvl w:ilvl="7" w:tplc="6240B768" w:tentative="1">
      <w:start w:val="1"/>
      <w:numFmt w:val="bullet"/>
      <w:lvlText w:val="o"/>
      <w:lvlJc w:val="left"/>
      <w:pPr>
        <w:ind w:left="5760" w:hanging="360"/>
      </w:pPr>
      <w:rPr>
        <w:rFonts w:ascii="Courier New" w:hAnsi="Courier New" w:cs="Courier New" w:hint="default"/>
      </w:rPr>
    </w:lvl>
    <w:lvl w:ilvl="8" w:tplc="C3C25B64" w:tentative="1">
      <w:start w:val="1"/>
      <w:numFmt w:val="bullet"/>
      <w:lvlText w:val=""/>
      <w:lvlJc w:val="left"/>
      <w:pPr>
        <w:ind w:left="6480" w:hanging="360"/>
      </w:pPr>
      <w:rPr>
        <w:rFonts w:ascii="Wingdings" w:hAnsi="Wingdings" w:hint="default"/>
      </w:rPr>
    </w:lvl>
  </w:abstractNum>
  <w:abstractNum w:abstractNumId="10" w15:restartNumberingAfterBreak="0">
    <w:nsid w:val="1C1F760E"/>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DCA0343"/>
    <w:multiLevelType w:val="hybridMultilevel"/>
    <w:tmpl w:val="148C96F4"/>
    <w:lvl w:ilvl="0" w:tplc="0C0C0017">
      <w:start w:val="1"/>
      <w:numFmt w:val="lowerLetter"/>
      <w:lvlText w:val="%1)"/>
      <w:lvlJc w:val="left"/>
      <w:pPr>
        <w:ind w:left="720" w:hanging="360"/>
      </w:pPr>
      <w:rPr>
        <w:rFonts w:hint="default"/>
      </w:rPr>
    </w:lvl>
    <w:lvl w:ilvl="1" w:tplc="38BCE65E" w:tentative="1">
      <w:start w:val="1"/>
      <w:numFmt w:val="lowerLetter"/>
      <w:lvlText w:val="%2."/>
      <w:lvlJc w:val="left"/>
      <w:pPr>
        <w:ind w:left="1440" w:hanging="360"/>
      </w:pPr>
    </w:lvl>
    <w:lvl w:ilvl="2" w:tplc="66485FA8" w:tentative="1">
      <w:start w:val="1"/>
      <w:numFmt w:val="lowerRoman"/>
      <w:lvlText w:val="%3."/>
      <w:lvlJc w:val="right"/>
      <w:pPr>
        <w:ind w:left="2160" w:hanging="180"/>
      </w:pPr>
    </w:lvl>
    <w:lvl w:ilvl="3" w:tplc="3FAE4F14" w:tentative="1">
      <w:start w:val="1"/>
      <w:numFmt w:val="decimal"/>
      <w:lvlText w:val="%4."/>
      <w:lvlJc w:val="left"/>
      <w:pPr>
        <w:ind w:left="2880" w:hanging="360"/>
      </w:pPr>
    </w:lvl>
    <w:lvl w:ilvl="4" w:tplc="3C8E8646" w:tentative="1">
      <w:start w:val="1"/>
      <w:numFmt w:val="lowerLetter"/>
      <w:lvlText w:val="%5."/>
      <w:lvlJc w:val="left"/>
      <w:pPr>
        <w:ind w:left="3600" w:hanging="360"/>
      </w:pPr>
    </w:lvl>
    <w:lvl w:ilvl="5" w:tplc="C5361A50" w:tentative="1">
      <w:start w:val="1"/>
      <w:numFmt w:val="lowerRoman"/>
      <w:lvlText w:val="%6."/>
      <w:lvlJc w:val="right"/>
      <w:pPr>
        <w:ind w:left="4320" w:hanging="180"/>
      </w:pPr>
    </w:lvl>
    <w:lvl w:ilvl="6" w:tplc="C59C86F2" w:tentative="1">
      <w:start w:val="1"/>
      <w:numFmt w:val="decimal"/>
      <w:lvlText w:val="%7."/>
      <w:lvlJc w:val="left"/>
      <w:pPr>
        <w:ind w:left="5040" w:hanging="360"/>
      </w:pPr>
    </w:lvl>
    <w:lvl w:ilvl="7" w:tplc="8AD81B6E" w:tentative="1">
      <w:start w:val="1"/>
      <w:numFmt w:val="lowerLetter"/>
      <w:lvlText w:val="%8."/>
      <w:lvlJc w:val="left"/>
      <w:pPr>
        <w:ind w:left="5760" w:hanging="360"/>
      </w:pPr>
    </w:lvl>
    <w:lvl w:ilvl="8" w:tplc="8AE4F93C" w:tentative="1">
      <w:start w:val="1"/>
      <w:numFmt w:val="lowerRoman"/>
      <w:lvlText w:val="%9."/>
      <w:lvlJc w:val="right"/>
      <w:pPr>
        <w:ind w:left="6480" w:hanging="180"/>
      </w:pPr>
    </w:lvl>
  </w:abstractNum>
  <w:abstractNum w:abstractNumId="12" w15:restartNumberingAfterBreak="0">
    <w:nsid w:val="22B52959"/>
    <w:multiLevelType w:val="hybridMultilevel"/>
    <w:tmpl w:val="EBD874CA"/>
    <w:lvl w:ilvl="0" w:tplc="3348DB2A">
      <w:start w:val="1"/>
      <w:numFmt w:val="lowerRoman"/>
      <w:lvlText w:val="%1)"/>
      <w:lvlJc w:val="right"/>
      <w:pPr>
        <w:ind w:left="1101" w:hanging="360"/>
      </w:pPr>
    </w:lvl>
    <w:lvl w:ilvl="1" w:tplc="0C0C0019">
      <w:start w:val="1"/>
      <w:numFmt w:val="lowerLetter"/>
      <w:lvlText w:val="%2."/>
      <w:lvlJc w:val="left"/>
      <w:pPr>
        <w:ind w:left="1821" w:hanging="360"/>
      </w:pPr>
    </w:lvl>
    <w:lvl w:ilvl="2" w:tplc="0C0C001B">
      <w:start w:val="1"/>
      <w:numFmt w:val="lowerRoman"/>
      <w:lvlText w:val="%3."/>
      <w:lvlJc w:val="right"/>
      <w:pPr>
        <w:ind w:left="2541" w:hanging="180"/>
      </w:pPr>
    </w:lvl>
    <w:lvl w:ilvl="3" w:tplc="0C0C000F">
      <w:start w:val="1"/>
      <w:numFmt w:val="decimal"/>
      <w:lvlText w:val="%4."/>
      <w:lvlJc w:val="left"/>
      <w:pPr>
        <w:ind w:left="3261" w:hanging="360"/>
      </w:pPr>
    </w:lvl>
    <w:lvl w:ilvl="4" w:tplc="0C0C0019">
      <w:start w:val="1"/>
      <w:numFmt w:val="lowerLetter"/>
      <w:lvlText w:val="%5."/>
      <w:lvlJc w:val="left"/>
      <w:pPr>
        <w:ind w:left="3981" w:hanging="360"/>
      </w:pPr>
    </w:lvl>
    <w:lvl w:ilvl="5" w:tplc="0C0C001B">
      <w:start w:val="1"/>
      <w:numFmt w:val="lowerRoman"/>
      <w:lvlText w:val="%6."/>
      <w:lvlJc w:val="right"/>
      <w:pPr>
        <w:ind w:left="4701" w:hanging="180"/>
      </w:pPr>
    </w:lvl>
    <w:lvl w:ilvl="6" w:tplc="0C0C000F">
      <w:start w:val="1"/>
      <w:numFmt w:val="decimal"/>
      <w:lvlText w:val="%7."/>
      <w:lvlJc w:val="left"/>
      <w:pPr>
        <w:ind w:left="5421" w:hanging="360"/>
      </w:pPr>
    </w:lvl>
    <w:lvl w:ilvl="7" w:tplc="0C0C0019">
      <w:start w:val="1"/>
      <w:numFmt w:val="lowerLetter"/>
      <w:lvlText w:val="%8."/>
      <w:lvlJc w:val="left"/>
      <w:pPr>
        <w:ind w:left="6141" w:hanging="360"/>
      </w:pPr>
    </w:lvl>
    <w:lvl w:ilvl="8" w:tplc="0C0C001B">
      <w:start w:val="1"/>
      <w:numFmt w:val="lowerRoman"/>
      <w:lvlText w:val="%9."/>
      <w:lvlJc w:val="right"/>
      <w:pPr>
        <w:ind w:left="6861" w:hanging="180"/>
      </w:pPr>
    </w:lvl>
  </w:abstractNum>
  <w:abstractNum w:abstractNumId="13" w15:restartNumberingAfterBreak="0">
    <w:nsid w:val="30CA6931"/>
    <w:multiLevelType w:val="hybridMultilevel"/>
    <w:tmpl w:val="B57CE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563FA0"/>
    <w:multiLevelType w:val="hybridMultilevel"/>
    <w:tmpl w:val="1A14F1BC"/>
    <w:lvl w:ilvl="0" w:tplc="069CF896">
      <w:start w:val="1"/>
      <w:numFmt w:val="decimal"/>
      <w:lvlText w:val="%1."/>
      <w:lvlJc w:val="left"/>
      <w:pPr>
        <w:ind w:left="720" w:hanging="360"/>
      </w:pPr>
    </w:lvl>
    <w:lvl w:ilvl="1" w:tplc="39C0FED2" w:tentative="1">
      <w:start w:val="1"/>
      <w:numFmt w:val="lowerLetter"/>
      <w:lvlText w:val="%2."/>
      <w:lvlJc w:val="left"/>
      <w:pPr>
        <w:ind w:left="1440" w:hanging="360"/>
      </w:pPr>
    </w:lvl>
    <w:lvl w:ilvl="2" w:tplc="41B63AFE" w:tentative="1">
      <w:start w:val="1"/>
      <w:numFmt w:val="lowerRoman"/>
      <w:lvlText w:val="%3."/>
      <w:lvlJc w:val="right"/>
      <w:pPr>
        <w:ind w:left="2160" w:hanging="180"/>
      </w:pPr>
    </w:lvl>
    <w:lvl w:ilvl="3" w:tplc="6F9E8BD2" w:tentative="1">
      <w:start w:val="1"/>
      <w:numFmt w:val="decimal"/>
      <w:lvlText w:val="%4."/>
      <w:lvlJc w:val="left"/>
      <w:pPr>
        <w:ind w:left="2880" w:hanging="360"/>
      </w:pPr>
    </w:lvl>
    <w:lvl w:ilvl="4" w:tplc="78C20C80" w:tentative="1">
      <w:start w:val="1"/>
      <w:numFmt w:val="lowerLetter"/>
      <w:lvlText w:val="%5."/>
      <w:lvlJc w:val="left"/>
      <w:pPr>
        <w:ind w:left="3600" w:hanging="360"/>
      </w:pPr>
    </w:lvl>
    <w:lvl w:ilvl="5" w:tplc="FFBA3708" w:tentative="1">
      <w:start w:val="1"/>
      <w:numFmt w:val="lowerRoman"/>
      <w:lvlText w:val="%6."/>
      <w:lvlJc w:val="right"/>
      <w:pPr>
        <w:ind w:left="4320" w:hanging="180"/>
      </w:pPr>
    </w:lvl>
    <w:lvl w:ilvl="6" w:tplc="7F1A6550" w:tentative="1">
      <w:start w:val="1"/>
      <w:numFmt w:val="decimal"/>
      <w:lvlText w:val="%7."/>
      <w:lvlJc w:val="left"/>
      <w:pPr>
        <w:ind w:left="5040" w:hanging="360"/>
      </w:pPr>
    </w:lvl>
    <w:lvl w:ilvl="7" w:tplc="4336EE6E" w:tentative="1">
      <w:start w:val="1"/>
      <w:numFmt w:val="lowerLetter"/>
      <w:lvlText w:val="%8."/>
      <w:lvlJc w:val="left"/>
      <w:pPr>
        <w:ind w:left="5760" w:hanging="360"/>
      </w:pPr>
    </w:lvl>
    <w:lvl w:ilvl="8" w:tplc="9ACCFE8E" w:tentative="1">
      <w:start w:val="1"/>
      <w:numFmt w:val="lowerRoman"/>
      <w:lvlText w:val="%9."/>
      <w:lvlJc w:val="right"/>
      <w:pPr>
        <w:ind w:left="6480" w:hanging="180"/>
      </w:pPr>
    </w:lvl>
  </w:abstractNum>
  <w:abstractNum w:abstractNumId="15" w15:restartNumberingAfterBreak="0">
    <w:nsid w:val="494B09B7"/>
    <w:multiLevelType w:val="hybridMultilevel"/>
    <w:tmpl w:val="491668D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1A44875"/>
    <w:multiLevelType w:val="hybridMultilevel"/>
    <w:tmpl w:val="491668D2"/>
    <w:lvl w:ilvl="0" w:tplc="8F02D0B0">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3594B2D"/>
    <w:multiLevelType w:val="hybridMultilevel"/>
    <w:tmpl w:val="028AAAF2"/>
    <w:lvl w:ilvl="0" w:tplc="2C12182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54AE5688"/>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18B53FD"/>
    <w:multiLevelType w:val="hybridMultilevel"/>
    <w:tmpl w:val="B128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9D5767"/>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02F0527"/>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6793721">
    <w:abstractNumId w:val="4"/>
  </w:num>
  <w:num w:numId="2" w16cid:durableId="84767945">
    <w:abstractNumId w:val="0"/>
  </w:num>
  <w:num w:numId="3" w16cid:durableId="784543110">
    <w:abstractNumId w:val="11"/>
  </w:num>
  <w:num w:numId="4" w16cid:durableId="274286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1879585">
    <w:abstractNumId w:val="17"/>
  </w:num>
  <w:num w:numId="6" w16cid:durableId="319576968">
    <w:abstractNumId w:val="7"/>
  </w:num>
  <w:num w:numId="7" w16cid:durableId="1701854176">
    <w:abstractNumId w:val="9"/>
  </w:num>
  <w:num w:numId="8" w16cid:durableId="1839692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3395">
    <w:abstractNumId w:val="5"/>
  </w:num>
  <w:num w:numId="10" w16cid:durableId="865630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3773285">
    <w:abstractNumId w:val="19"/>
  </w:num>
  <w:num w:numId="12" w16cid:durableId="307322734">
    <w:abstractNumId w:val="13"/>
  </w:num>
  <w:num w:numId="13" w16cid:durableId="1787967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696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859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9703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312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5975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442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0956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86724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7263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E3"/>
    <w:rsid w:val="000005F6"/>
    <w:rsid w:val="00001104"/>
    <w:rsid w:val="0000218A"/>
    <w:rsid w:val="000049BF"/>
    <w:rsid w:val="000053A9"/>
    <w:rsid w:val="000053C0"/>
    <w:rsid w:val="000054F1"/>
    <w:rsid w:val="000068FF"/>
    <w:rsid w:val="0000712D"/>
    <w:rsid w:val="00010DF0"/>
    <w:rsid w:val="00011730"/>
    <w:rsid w:val="000147DF"/>
    <w:rsid w:val="00014FE7"/>
    <w:rsid w:val="00015964"/>
    <w:rsid w:val="00020D59"/>
    <w:rsid w:val="00022528"/>
    <w:rsid w:val="000242ED"/>
    <w:rsid w:val="00025A42"/>
    <w:rsid w:val="00026891"/>
    <w:rsid w:val="00036AF3"/>
    <w:rsid w:val="00037818"/>
    <w:rsid w:val="00042532"/>
    <w:rsid w:val="00042C71"/>
    <w:rsid w:val="000473C3"/>
    <w:rsid w:val="00052115"/>
    <w:rsid w:val="0005211F"/>
    <w:rsid w:val="000525CC"/>
    <w:rsid w:val="00052D21"/>
    <w:rsid w:val="000534F9"/>
    <w:rsid w:val="00053888"/>
    <w:rsid w:val="00053A45"/>
    <w:rsid w:val="00053A82"/>
    <w:rsid w:val="00060D73"/>
    <w:rsid w:val="00060EAF"/>
    <w:rsid w:val="00061998"/>
    <w:rsid w:val="000634B4"/>
    <w:rsid w:val="000658CD"/>
    <w:rsid w:val="00065B00"/>
    <w:rsid w:val="00065B17"/>
    <w:rsid w:val="00066464"/>
    <w:rsid w:val="00072EBB"/>
    <w:rsid w:val="000730F7"/>
    <w:rsid w:val="000744EC"/>
    <w:rsid w:val="00075AED"/>
    <w:rsid w:val="000771D4"/>
    <w:rsid w:val="000777FD"/>
    <w:rsid w:val="00077B66"/>
    <w:rsid w:val="000812AC"/>
    <w:rsid w:val="000825E0"/>
    <w:rsid w:val="00084A6D"/>
    <w:rsid w:val="00085B28"/>
    <w:rsid w:val="0009366C"/>
    <w:rsid w:val="00093F8C"/>
    <w:rsid w:val="0009541C"/>
    <w:rsid w:val="000961E0"/>
    <w:rsid w:val="00096364"/>
    <w:rsid w:val="000A07D0"/>
    <w:rsid w:val="000A07D9"/>
    <w:rsid w:val="000A094C"/>
    <w:rsid w:val="000A2B5A"/>
    <w:rsid w:val="000A3FF5"/>
    <w:rsid w:val="000A4884"/>
    <w:rsid w:val="000A48C7"/>
    <w:rsid w:val="000A61FF"/>
    <w:rsid w:val="000A6BC0"/>
    <w:rsid w:val="000B3550"/>
    <w:rsid w:val="000B39E6"/>
    <w:rsid w:val="000B411D"/>
    <w:rsid w:val="000B439A"/>
    <w:rsid w:val="000B4503"/>
    <w:rsid w:val="000B6612"/>
    <w:rsid w:val="000B7A15"/>
    <w:rsid w:val="000C0C01"/>
    <w:rsid w:val="000C15B2"/>
    <w:rsid w:val="000C24D1"/>
    <w:rsid w:val="000C4A61"/>
    <w:rsid w:val="000C694F"/>
    <w:rsid w:val="000C6971"/>
    <w:rsid w:val="000C6B7B"/>
    <w:rsid w:val="000C7C8C"/>
    <w:rsid w:val="000D0240"/>
    <w:rsid w:val="000D34E0"/>
    <w:rsid w:val="000D5E3D"/>
    <w:rsid w:val="000D624C"/>
    <w:rsid w:val="000D7EBF"/>
    <w:rsid w:val="000E0BE1"/>
    <w:rsid w:val="000E24A5"/>
    <w:rsid w:val="000E3232"/>
    <w:rsid w:val="000E414B"/>
    <w:rsid w:val="000E51D5"/>
    <w:rsid w:val="000E6287"/>
    <w:rsid w:val="000E6424"/>
    <w:rsid w:val="000E6921"/>
    <w:rsid w:val="000F469F"/>
    <w:rsid w:val="000F4A51"/>
    <w:rsid w:val="000F4E58"/>
    <w:rsid w:val="000F4EBF"/>
    <w:rsid w:val="000F597C"/>
    <w:rsid w:val="000F5E30"/>
    <w:rsid w:val="000F69B6"/>
    <w:rsid w:val="000F76B8"/>
    <w:rsid w:val="00104FC4"/>
    <w:rsid w:val="00105305"/>
    <w:rsid w:val="00106632"/>
    <w:rsid w:val="001077CE"/>
    <w:rsid w:val="00107DF6"/>
    <w:rsid w:val="00110596"/>
    <w:rsid w:val="00111AA6"/>
    <w:rsid w:val="00112A3B"/>
    <w:rsid w:val="00113E20"/>
    <w:rsid w:val="00115BA8"/>
    <w:rsid w:val="0011735E"/>
    <w:rsid w:val="00117FFB"/>
    <w:rsid w:val="0012018C"/>
    <w:rsid w:val="00120746"/>
    <w:rsid w:val="001220E3"/>
    <w:rsid w:val="001233DE"/>
    <w:rsid w:val="00123F49"/>
    <w:rsid w:val="00130448"/>
    <w:rsid w:val="00131CF4"/>
    <w:rsid w:val="00132F47"/>
    <w:rsid w:val="00133A42"/>
    <w:rsid w:val="00134028"/>
    <w:rsid w:val="0013713C"/>
    <w:rsid w:val="001379C7"/>
    <w:rsid w:val="00140275"/>
    <w:rsid w:val="00140FFC"/>
    <w:rsid w:val="00141320"/>
    <w:rsid w:val="001427FF"/>
    <w:rsid w:val="0014481D"/>
    <w:rsid w:val="00145236"/>
    <w:rsid w:val="00145A36"/>
    <w:rsid w:val="00146552"/>
    <w:rsid w:val="001516CD"/>
    <w:rsid w:val="001556F0"/>
    <w:rsid w:val="00160B82"/>
    <w:rsid w:val="00162F49"/>
    <w:rsid w:val="001632D1"/>
    <w:rsid w:val="00163CEA"/>
    <w:rsid w:val="00164C2D"/>
    <w:rsid w:val="00164DAC"/>
    <w:rsid w:val="001658E3"/>
    <w:rsid w:val="00166460"/>
    <w:rsid w:val="00167355"/>
    <w:rsid w:val="001712AB"/>
    <w:rsid w:val="00171F09"/>
    <w:rsid w:val="0017228E"/>
    <w:rsid w:val="001749AF"/>
    <w:rsid w:val="00174EC3"/>
    <w:rsid w:val="0017656F"/>
    <w:rsid w:val="0017761E"/>
    <w:rsid w:val="00180C3E"/>
    <w:rsid w:val="00181908"/>
    <w:rsid w:val="0018212F"/>
    <w:rsid w:val="00185B26"/>
    <w:rsid w:val="00186188"/>
    <w:rsid w:val="00186A0A"/>
    <w:rsid w:val="00187358"/>
    <w:rsid w:val="001901FF"/>
    <w:rsid w:val="001911C1"/>
    <w:rsid w:val="00191259"/>
    <w:rsid w:val="00191811"/>
    <w:rsid w:val="0019242E"/>
    <w:rsid w:val="00192696"/>
    <w:rsid w:val="00192DEB"/>
    <w:rsid w:val="001933BB"/>
    <w:rsid w:val="001A1140"/>
    <w:rsid w:val="001A4C50"/>
    <w:rsid w:val="001A6198"/>
    <w:rsid w:val="001A75C9"/>
    <w:rsid w:val="001A7B14"/>
    <w:rsid w:val="001B1512"/>
    <w:rsid w:val="001B1E6C"/>
    <w:rsid w:val="001B29BB"/>
    <w:rsid w:val="001B29C4"/>
    <w:rsid w:val="001B3C50"/>
    <w:rsid w:val="001B7802"/>
    <w:rsid w:val="001B79B5"/>
    <w:rsid w:val="001C1F10"/>
    <w:rsid w:val="001C34C5"/>
    <w:rsid w:val="001C45DC"/>
    <w:rsid w:val="001D1030"/>
    <w:rsid w:val="001D1E95"/>
    <w:rsid w:val="001D205F"/>
    <w:rsid w:val="001D30A7"/>
    <w:rsid w:val="001D334E"/>
    <w:rsid w:val="001D3C43"/>
    <w:rsid w:val="001D4202"/>
    <w:rsid w:val="001D470E"/>
    <w:rsid w:val="001D47B1"/>
    <w:rsid w:val="001D4B6D"/>
    <w:rsid w:val="001D610F"/>
    <w:rsid w:val="001D6720"/>
    <w:rsid w:val="001D756E"/>
    <w:rsid w:val="001E1393"/>
    <w:rsid w:val="001E2B36"/>
    <w:rsid w:val="001E2D07"/>
    <w:rsid w:val="001E3504"/>
    <w:rsid w:val="001E4DDF"/>
    <w:rsid w:val="001E51BD"/>
    <w:rsid w:val="001E61D7"/>
    <w:rsid w:val="001E6CBF"/>
    <w:rsid w:val="001E6D10"/>
    <w:rsid w:val="001F045A"/>
    <w:rsid w:val="001F10D2"/>
    <w:rsid w:val="001F27D0"/>
    <w:rsid w:val="001F44A7"/>
    <w:rsid w:val="001F52AF"/>
    <w:rsid w:val="002006E7"/>
    <w:rsid w:val="00201916"/>
    <w:rsid w:val="00201BDC"/>
    <w:rsid w:val="002024DD"/>
    <w:rsid w:val="00203298"/>
    <w:rsid w:val="002034DD"/>
    <w:rsid w:val="0020607C"/>
    <w:rsid w:val="00207E1B"/>
    <w:rsid w:val="00207FDA"/>
    <w:rsid w:val="00211058"/>
    <w:rsid w:val="00211317"/>
    <w:rsid w:val="00211716"/>
    <w:rsid w:val="00212AAC"/>
    <w:rsid w:val="002159B0"/>
    <w:rsid w:val="00215A76"/>
    <w:rsid w:val="0022105A"/>
    <w:rsid w:val="00221161"/>
    <w:rsid w:val="0022287B"/>
    <w:rsid w:val="00224CAC"/>
    <w:rsid w:val="002252A3"/>
    <w:rsid w:val="00226B08"/>
    <w:rsid w:val="00227756"/>
    <w:rsid w:val="00230FC2"/>
    <w:rsid w:val="002323E4"/>
    <w:rsid w:val="002340AD"/>
    <w:rsid w:val="00235156"/>
    <w:rsid w:val="00235FB2"/>
    <w:rsid w:val="0023741C"/>
    <w:rsid w:val="002423BF"/>
    <w:rsid w:val="002435E0"/>
    <w:rsid w:val="002445BD"/>
    <w:rsid w:val="00246513"/>
    <w:rsid w:val="00250B74"/>
    <w:rsid w:val="0025161D"/>
    <w:rsid w:val="002520AB"/>
    <w:rsid w:val="002527EC"/>
    <w:rsid w:val="002534B9"/>
    <w:rsid w:val="00255CC6"/>
    <w:rsid w:val="00255D12"/>
    <w:rsid w:val="00255F50"/>
    <w:rsid w:val="00256DC7"/>
    <w:rsid w:val="002570DF"/>
    <w:rsid w:val="00257639"/>
    <w:rsid w:val="00257D7A"/>
    <w:rsid w:val="00260899"/>
    <w:rsid w:val="0026217E"/>
    <w:rsid w:val="00262180"/>
    <w:rsid w:val="00263FF1"/>
    <w:rsid w:val="00266705"/>
    <w:rsid w:val="00266F11"/>
    <w:rsid w:val="00267954"/>
    <w:rsid w:val="00270CC5"/>
    <w:rsid w:val="00271948"/>
    <w:rsid w:val="00276823"/>
    <w:rsid w:val="00277C52"/>
    <w:rsid w:val="00281041"/>
    <w:rsid w:val="0028332C"/>
    <w:rsid w:val="00283F8F"/>
    <w:rsid w:val="0028446A"/>
    <w:rsid w:val="00286350"/>
    <w:rsid w:val="002867AE"/>
    <w:rsid w:val="00291EEF"/>
    <w:rsid w:val="002921ED"/>
    <w:rsid w:val="00292BB7"/>
    <w:rsid w:val="002954F7"/>
    <w:rsid w:val="0029559E"/>
    <w:rsid w:val="00296A35"/>
    <w:rsid w:val="00296A9E"/>
    <w:rsid w:val="002A020D"/>
    <w:rsid w:val="002A05B0"/>
    <w:rsid w:val="002A0663"/>
    <w:rsid w:val="002A1553"/>
    <w:rsid w:val="002A2C7D"/>
    <w:rsid w:val="002A2E1A"/>
    <w:rsid w:val="002A5BCA"/>
    <w:rsid w:val="002A63EA"/>
    <w:rsid w:val="002A7BC2"/>
    <w:rsid w:val="002B1E9B"/>
    <w:rsid w:val="002B2588"/>
    <w:rsid w:val="002B32E7"/>
    <w:rsid w:val="002B3636"/>
    <w:rsid w:val="002B5534"/>
    <w:rsid w:val="002B59E7"/>
    <w:rsid w:val="002B7D65"/>
    <w:rsid w:val="002C0338"/>
    <w:rsid w:val="002C360A"/>
    <w:rsid w:val="002C54EF"/>
    <w:rsid w:val="002C576A"/>
    <w:rsid w:val="002C703B"/>
    <w:rsid w:val="002C723A"/>
    <w:rsid w:val="002D3ECB"/>
    <w:rsid w:val="002D45A8"/>
    <w:rsid w:val="002D463C"/>
    <w:rsid w:val="002D5EE3"/>
    <w:rsid w:val="002D6E5E"/>
    <w:rsid w:val="002D7CF0"/>
    <w:rsid w:val="002E0399"/>
    <w:rsid w:val="002E06E1"/>
    <w:rsid w:val="002E17EC"/>
    <w:rsid w:val="002E2CDA"/>
    <w:rsid w:val="002E31E5"/>
    <w:rsid w:val="002E53DE"/>
    <w:rsid w:val="002E6D2A"/>
    <w:rsid w:val="002F1A68"/>
    <w:rsid w:val="002F2C4A"/>
    <w:rsid w:val="002F6E20"/>
    <w:rsid w:val="002F7B29"/>
    <w:rsid w:val="003023D4"/>
    <w:rsid w:val="003034D6"/>
    <w:rsid w:val="0030437E"/>
    <w:rsid w:val="00305D4D"/>
    <w:rsid w:val="00305F99"/>
    <w:rsid w:val="003060C0"/>
    <w:rsid w:val="00307F11"/>
    <w:rsid w:val="003101D1"/>
    <w:rsid w:val="003106CF"/>
    <w:rsid w:val="00312AFB"/>
    <w:rsid w:val="00314DC1"/>
    <w:rsid w:val="00315182"/>
    <w:rsid w:val="0031643E"/>
    <w:rsid w:val="003168EC"/>
    <w:rsid w:val="00316B1D"/>
    <w:rsid w:val="00316E08"/>
    <w:rsid w:val="0032043D"/>
    <w:rsid w:val="0032063B"/>
    <w:rsid w:val="0032178A"/>
    <w:rsid w:val="0032207D"/>
    <w:rsid w:val="0032211D"/>
    <w:rsid w:val="0032241A"/>
    <w:rsid w:val="003227C7"/>
    <w:rsid w:val="0032294F"/>
    <w:rsid w:val="00332D1A"/>
    <w:rsid w:val="00335583"/>
    <w:rsid w:val="003360D8"/>
    <w:rsid w:val="00336E88"/>
    <w:rsid w:val="003416AF"/>
    <w:rsid w:val="0034198B"/>
    <w:rsid w:val="003424D3"/>
    <w:rsid w:val="00342783"/>
    <w:rsid w:val="0034794B"/>
    <w:rsid w:val="003502F4"/>
    <w:rsid w:val="00352C32"/>
    <w:rsid w:val="00353411"/>
    <w:rsid w:val="0035351D"/>
    <w:rsid w:val="003535E2"/>
    <w:rsid w:val="003553AB"/>
    <w:rsid w:val="00355ABB"/>
    <w:rsid w:val="00355C04"/>
    <w:rsid w:val="00356296"/>
    <w:rsid w:val="00356D32"/>
    <w:rsid w:val="0036213C"/>
    <w:rsid w:val="00362DEC"/>
    <w:rsid w:val="00364821"/>
    <w:rsid w:val="00365F17"/>
    <w:rsid w:val="00366870"/>
    <w:rsid w:val="00371ED7"/>
    <w:rsid w:val="00373E27"/>
    <w:rsid w:val="003749C1"/>
    <w:rsid w:val="0038220F"/>
    <w:rsid w:val="00383A2F"/>
    <w:rsid w:val="003842AB"/>
    <w:rsid w:val="0038466A"/>
    <w:rsid w:val="003846DD"/>
    <w:rsid w:val="003850E1"/>
    <w:rsid w:val="00385582"/>
    <w:rsid w:val="0038584A"/>
    <w:rsid w:val="00386EC8"/>
    <w:rsid w:val="00386F2D"/>
    <w:rsid w:val="00390AE2"/>
    <w:rsid w:val="00390CD0"/>
    <w:rsid w:val="00390F83"/>
    <w:rsid w:val="0039440C"/>
    <w:rsid w:val="00394785"/>
    <w:rsid w:val="0039666B"/>
    <w:rsid w:val="00397059"/>
    <w:rsid w:val="003974B7"/>
    <w:rsid w:val="003A0756"/>
    <w:rsid w:val="003A3397"/>
    <w:rsid w:val="003A3C9E"/>
    <w:rsid w:val="003A500A"/>
    <w:rsid w:val="003A59F3"/>
    <w:rsid w:val="003A5A43"/>
    <w:rsid w:val="003B0270"/>
    <w:rsid w:val="003B1406"/>
    <w:rsid w:val="003B146E"/>
    <w:rsid w:val="003B22C1"/>
    <w:rsid w:val="003B26F5"/>
    <w:rsid w:val="003B31AC"/>
    <w:rsid w:val="003B57FC"/>
    <w:rsid w:val="003B60FA"/>
    <w:rsid w:val="003B65CB"/>
    <w:rsid w:val="003B7610"/>
    <w:rsid w:val="003C02D7"/>
    <w:rsid w:val="003C0661"/>
    <w:rsid w:val="003C1AC0"/>
    <w:rsid w:val="003C1DFA"/>
    <w:rsid w:val="003C256E"/>
    <w:rsid w:val="003C4350"/>
    <w:rsid w:val="003C52C5"/>
    <w:rsid w:val="003C5F4E"/>
    <w:rsid w:val="003C6800"/>
    <w:rsid w:val="003C6A17"/>
    <w:rsid w:val="003C75D6"/>
    <w:rsid w:val="003D0A7E"/>
    <w:rsid w:val="003D0F56"/>
    <w:rsid w:val="003D5647"/>
    <w:rsid w:val="003D594E"/>
    <w:rsid w:val="003D736D"/>
    <w:rsid w:val="003E0B65"/>
    <w:rsid w:val="003E42CC"/>
    <w:rsid w:val="003E4D97"/>
    <w:rsid w:val="003E530B"/>
    <w:rsid w:val="003E63E4"/>
    <w:rsid w:val="003E7846"/>
    <w:rsid w:val="003F0345"/>
    <w:rsid w:val="003F0F27"/>
    <w:rsid w:val="003F10BD"/>
    <w:rsid w:val="003F10FE"/>
    <w:rsid w:val="003F1BCE"/>
    <w:rsid w:val="003F3DA3"/>
    <w:rsid w:val="003F4E0E"/>
    <w:rsid w:val="003F7F89"/>
    <w:rsid w:val="00401824"/>
    <w:rsid w:val="00402A5A"/>
    <w:rsid w:val="00403DF6"/>
    <w:rsid w:val="00404A84"/>
    <w:rsid w:val="00405226"/>
    <w:rsid w:val="004060A9"/>
    <w:rsid w:val="00407958"/>
    <w:rsid w:val="00410B22"/>
    <w:rsid w:val="004123CE"/>
    <w:rsid w:val="0041360B"/>
    <w:rsid w:val="00413D97"/>
    <w:rsid w:val="00414558"/>
    <w:rsid w:val="00414BFF"/>
    <w:rsid w:val="00416D23"/>
    <w:rsid w:val="00416D5F"/>
    <w:rsid w:val="00417AA0"/>
    <w:rsid w:val="004224D3"/>
    <w:rsid w:val="004232EF"/>
    <w:rsid w:val="0042532E"/>
    <w:rsid w:val="00425C0A"/>
    <w:rsid w:val="00425DC7"/>
    <w:rsid w:val="0043036B"/>
    <w:rsid w:val="00434670"/>
    <w:rsid w:val="00434A79"/>
    <w:rsid w:val="00440F3F"/>
    <w:rsid w:val="00441430"/>
    <w:rsid w:val="0044301A"/>
    <w:rsid w:val="004444FC"/>
    <w:rsid w:val="0044480E"/>
    <w:rsid w:val="004474C2"/>
    <w:rsid w:val="004500F5"/>
    <w:rsid w:val="004514C4"/>
    <w:rsid w:val="0045178D"/>
    <w:rsid w:val="00453205"/>
    <w:rsid w:val="00454CBE"/>
    <w:rsid w:val="0045540A"/>
    <w:rsid w:val="004556BE"/>
    <w:rsid w:val="004559A6"/>
    <w:rsid w:val="00457211"/>
    <w:rsid w:val="0045754F"/>
    <w:rsid w:val="004604B5"/>
    <w:rsid w:val="00460BF0"/>
    <w:rsid w:val="004618CE"/>
    <w:rsid w:val="004625B8"/>
    <w:rsid w:val="00462815"/>
    <w:rsid w:val="00465B9D"/>
    <w:rsid w:val="00465C9C"/>
    <w:rsid w:val="00466195"/>
    <w:rsid w:val="00467E2A"/>
    <w:rsid w:val="00470EEF"/>
    <w:rsid w:val="0047149D"/>
    <w:rsid w:val="004715B5"/>
    <w:rsid w:val="00471D56"/>
    <w:rsid w:val="00471EB5"/>
    <w:rsid w:val="004728A4"/>
    <w:rsid w:val="00473798"/>
    <w:rsid w:val="0047621D"/>
    <w:rsid w:val="00477660"/>
    <w:rsid w:val="00482BD8"/>
    <w:rsid w:val="00483B3C"/>
    <w:rsid w:val="004842DB"/>
    <w:rsid w:val="00484432"/>
    <w:rsid w:val="004846F4"/>
    <w:rsid w:val="00484905"/>
    <w:rsid w:val="0048571F"/>
    <w:rsid w:val="00485DB4"/>
    <w:rsid w:val="0048737F"/>
    <w:rsid w:val="0048791D"/>
    <w:rsid w:val="00490F8D"/>
    <w:rsid w:val="00493943"/>
    <w:rsid w:val="00494DD3"/>
    <w:rsid w:val="004953D3"/>
    <w:rsid w:val="00496811"/>
    <w:rsid w:val="00496FCD"/>
    <w:rsid w:val="00497D86"/>
    <w:rsid w:val="004A061D"/>
    <w:rsid w:val="004A0A39"/>
    <w:rsid w:val="004A1653"/>
    <w:rsid w:val="004A1FDC"/>
    <w:rsid w:val="004A4595"/>
    <w:rsid w:val="004A46DD"/>
    <w:rsid w:val="004A4AF9"/>
    <w:rsid w:val="004A4FC6"/>
    <w:rsid w:val="004A5B8B"/>
    <w:rsid w:val="004B2CDD"/>
    <w:rsid w:val="004B5E76"/>
    <w:rsid w:val="004B63EA"/>
    <w:rsid w:val="004B652B"/>
    <w:rsid w:val="004B7545"/>
    <w:rsid w:val="004B7681"/>
    <w:rsid w:val="004C16CA"/>
    <w:rsid w:val="004C1CB7"/>
    <w:rsid w:val="004C4466"/>
    <w:rsid w:val="004C5D2D"/>
    <w:rsid w:val="004C5F5B"/>
    <w:rsid w:val="004C722C"/>
    <w:rsid w:val="004C7B2C"/>
    <w:rsid w:val="004D455B"/>
    <w:rsid w:val="004D4A55"/>
    <w:rsid w:val="004D5BC3"/>
    <w:rsid w:val="004D63A0"/>
    <w:rsid w:val="004D787F"/>
    <w:rsid w:val="004E0106"/>
    <w:rsid w:val="004E0521"/>
    <w:rsid w:val="004E0EAB"/>
    <w:rsid w:val="004E205B"/>
    <w:rsid w:val="004E302D"/>
    <w:rsid w:val="004E32DA"/>
    <w:rsid w:val="004E34D3"/>
    <w:rsid w:val="004E6145"/>
    <w:rsid w:val="004E69C4"/>
    <w:rsid w:val="004F241F"/>
    <w:rsid w:val="004F4656"/>
    <w:rsid w:val="004F5BE4"/>
    <w:rsid w:val="004F719D"/>
    <w:rsid w:val="004F7AD1"/>
    <w:rsid w:val="00500CA8"/>
    <w:rsid w:val="005019B0"/>
    <w:rsid w:val="005029AF"/>
    <w:rsid w:val="00502FF1"/>
    <w:rsid w:val="00505479"/>
    <w:rsid w:val="00506E0B"/>
    <w:rsid w:val="00507521"/>
    <w:rsid w:val="00510C76"/>
    <w:rsid w:val="00511D10"/>
    <w:rsid w:val="00511E8D"/>
    <w:rsid w:val="00512565"/>
    <w:rsid w:val="00512B92"/>
    <w:rsid w:val="005131C7"/>
    <w:rsid w:val="00520EEE"/>
    <w:rsid w:val="00522DEC"/>
    <w:rsid w:val="00524687"/>
    <w:rsid w:val="00525329"/>
    <w:rsid w:val="00526199"/>
    <w:rsid w:val="00527031"/>
    <w:rsid w:val="00531652"/>
    <w:rsid w:val="0053223F"/>
    <w:rsid w:val="00533B4A"/>
    <w:rsid w:val="00534B08"/>
    <w:rsid w:val="00536155"/>
    <w:rsid w:val="0053674F"/>
    <w:rsid w:val="00537275"/>
    <w:rsid w:val="00537C8B"/>
    <w:rsid w:val="005400A6"/>
    <w:rsid w:val="00543848"/>
    <w:rsid w:val="00543B5A"/>
    <w:rsid w:val="00545196"/>
    <w:rsid w:val="00546347"/>
    <w:rsid w:val="00546AEC"/>
    <w:rsid w:val="0055096F"/>
    <w:rsid w:val="00551159"/>
    <w:rsid w:val="00551475"/>
    <w:rsid w:val="005516EF"/>
    <w:rsid w:val="00551A9C"/>
    <w:rsid w:val="00551DDB"/>
    <w:rsid w:val="005525EB"/>
    <w:rsid w:val="00552DA0"/>
    <w:rsid w:val="0055321E"/>
    <w:rsid w:val="00555358"/>
    <w:rsid w:val="00556775"/>
    <w:rsid w:val="00556F42"/>
    <w:rsid w:val="0056081F"/>
    <w:rsid w:val="00560CA8"/>
    <w:rsid w:val="00561151"/>
    <w:rsid w:val="00564797"/>
    <w:rsid w:val="00565734"/>
    <w:rsid w:val="00566F25"/>
    <w:rsid w:val="00570A68"/>
    <w:rsid w:val="00570F2A"/>
    <w:rsid w:val="00572263"/>
    <w:rsid w:val="0057280B"/>
    <w:rsid w:val="005741CA"/>
    <w:rsid w:val="005766ED"/>
    <w:rsid w:val="00577EF2"/>
    <w:rsid w:val="005821E7"/>
    <w:rsid w:val="005825F4"/>
    <w:rsid w:val="0058307A"/>
    <w:rsid w:val="005837C5"/>
    <w:rsid w:val="00583A72"/>
    <w:rsid w:val="00587966"/>
    <w:rsid w:val="00587ED7"/>
    <w:rsid w:val="00587F93"/>
    <w:rsid w:val="0059046B"/>
    <w:rsid w:val="00592E08"/>
    <w:rsid w:val="00594C1A"/>
    <w:rsid w:val="005950CF"/>
    <w:rsid w:val="00597063"/>
    <w:rsid w:val="005A1A27"/>
    <w:rsid w:val="005A496F"/>
    <w:rsid w:val="005B0DF5"/>
    <w:rsid w:val="005B2149"/>
    <w:rsid w:val="005B281E"/>
    <w:rsid w:val="005B2B35"/>
    <w:rsid w:val="005B56D9"/>
    <w:rsid w:val="005B68B7"/>
    <w:rsid w:val="005B7CB7"/>
    <w:rsid w:val="005C07EC"/>
    <w:rsid w:val="005C0C00"/>
    <w:rsid w:val="005C1704"/>
    <w:rsid w:val="005C4ED4"/>
    <w:rsid w:val="005C4F4C"/>
    <w:rsid w:val="005C5539"/>
    <w:rsid w:val="005C5593"/>
    <w:rsid w:val="005C5C90"/>
    <w:rsid w:val="005C65C3"/>
    <w:rsid w:val="005C7551"/>
    <w:rsid w:val="005D0220"/>
    <w:rsid w:val="005D11A9"/>
    <w:rsid w:val="005D11E1"/>
    <w:rsid w:val="005D28D3"/>
    <w:rsid w:val="005D40EF"/>
    <w:rsid w:val="005D5340"/>
    <w:rsid w:val="005D6B58"/>
    <w:rsid w:val="005E036E"/>
    <w:rsid w:val="005E0596"/>
    <w:rsid w:val="005E11B4"/>
    <w:rsid w:val="005E17D2"/>
    <w:rsid w:val="005E20BF"/>
    <w:rsid w:val="005E23C8"/>
    <w:rsid w:val="005E6198"/>
    <w:rsid w:val="005E65C8"/>
    <w:rsid w:val="005E6A94"/>
    <w:rsid w:val="005E6ADA"/>
    <w:rsid w:val="005E74C9"/>
    <w:rsid w:val="005E77A0"/>
    <w:rsid w:val="005F01E2"/>
    <w:rsid w:val="005F1EF6"/>
    <w:rsid w:val="005F1F4F"/>
    <w:rsid w:val="005F38EB"/>
    <w:rsid w:val="005F3A8D"/>
    <w:rsid w:val="005F3E6F"/>
    <w:rsid w:val="005F4289"/>
    <w:rsid w:val="005F4FC3"/>
    <w:rsid w:val="00602304"/>
    <w:rsid w:val="00602EDF"/>
    <w:rsid w:val="006034C1"/>
    <w:rsid w:val="00604DDD"/>
    <w:rsid w:val="0061276A"/>
    <w:rsid w:val="0061306A"/>
    <w:rsid w:val="00613071"/>
    <w:rsid w:val="00613DC8"/>
    <w:rsid w:val="0061618D"/>
    <w:rsid w:val="0061644B"/>
    <w:rsid w:val="006175C3"/>
    <w:rsid w:val="00620984"/>
    <w:rsid w:val="00621664"/>
    <w:rsid w:val="00621883"/>
    <w:rsid w:val="00624436"/>
    <w:rsid w:val="00624D7B"/>
    <w:rsid w:val="00627636"/>
    <w:rsid w:val="006305D2"/>
    <w:rsid w:val="00630823"/>
    <w:rsid w:val="00633257"/>
    <w:rsid w:val="00634154"/>
    <w:rsid w:val="00634833"/>
    <w:rsid w:val="00634F25"/>
    <w:rsid w:val="006350F6"/>
    <w:rsid w:val="0063609B"/>
    <w:rsid w:val="006363A7"/>
    <w:rsid w:val="0063659D"/>
    <w:rsid w:val="0063785A"/>
    <w:rsid w:val="00637BD1"/>
    <w:rsid w:val="00641BE2"/>
    <w:rsid w:val="0064294B"/>
    <w:rsid w:val="006438D7"/>
    <w:rsid w:val="00644EDA"/>
    <w:rsid w:val="006468A3"/>
    <w:rsid w:val="00646E55"/>
    <w:rsid w:val="00647651"/>
    <w:rsid w:val="006519C4"/>
    <w:rsid w:val="00652197"/>
    <w:rsid w:val="0065281E"/>
    <w:rsid w:val="00652E0B"/>
    <w:rsid w:val="00653485"/>
    <w:rsid w:val="00653EB7"/>
    <w:rsid w:val="00654ECF"/>
    <w:rsid w:val="0065689F"/>
    <w:rsid w:val="00657563"/>
    <w:rsid w:val="006602AD"/>
    <w:rsid w:val="00660AC5"/>
    <w:rsid w:val="00664F60"/>
    <w:rsid w:val="0066520F"/>
    <w:rsid w:val="00666D59"/>
    <w:rsid w:val="00666DC8"/>
    <w:rsid w:val="00667AE1"/>
    <w:rsid w:val="00672449"/>
    <w:rsid w:val="00672A86"/>
    <w:rsid w:val="006730FD"/>
    <w:rsid w:val="00673374"/>
    <w:rsid w:val="0067340B"/>
    <w:rsid w:val="0067566D"/>
    <w:rsid w:val="00677ED4"/>
    <w:rsid w:val="006800EF"/>
    <w:rsid w:val="00682D4D"/>
    <w:rsid w:val="006874AF"/>
    <w:rsid w:val="00690240"/>
    <w:rsid w:val="0069109B"/>
    <w:rsid w:val="00691767"/>
    <w:rsid w:val="006975BB"/>
    <w:rsid w:val="006A0CA6"/>
    <w:rsid w:val="006A1041"/>
    <w:rsid w:val="006A2974"/>
    <w:rsid w:val="006A5708"/>
    <w:rsid w:val="006A741E"/>
    <w:rsid w:val="006B01ED"/>
    <w:rsid w:val="006B0B32"/>
    <w:rsid w:val="006B28E7"/>
    <w:rsid w:val="006B2DF8"/>
    <w:rsid w:val="006B38CD"/>
    <w:rsid w:val="006B496C"/>
    <w:rsid w:val="006B6883"/>
    <w:rsid w:val="006B7384"/>
    <w:rsid w:val="006B7B06"/>
    <w:rsid w:val="006C1BC1"/>
    <w:rsid w:val="006C37E3"/>
    <w:rsid w:val="006C55AC"/>
    <w:rsid w:val="006C7C66"/>
    <w:rsid w:val="006D0876"/>
    <w:rsid w:val="006D0D44"/>
    <w:rsid w:val="006D3083"/>
    <w:rsid w:val="006D5654"/>
    <w:rsid w:val="006E034B"/>
    <w:rsid w:val="006E2DD3"/>
    <w:rsid w:val="006E6FED"/>
    <w:rsid w:val="006E7AFB"/>
    <w:rsid w:val="006F153D"/>
    <w:rsid w:val="006F2645"/>
    <w:rsid w:val="006F2F2A"/>
    <w:rsid w:val="006F376F"/>
    <w:rsid w:val="006F6F04"/>
    <w:rsid w:val="00700FB9"/>
    <w:rsid w:val="00701721"/>
    <w:rsid w:val="00701938"/>
    <w:rsid w:val="0070205A"/>
    <w:rsid w:val="007021C1"/>
    <w:rsid w:val="0070246B"/>
    <w:rsid w:val="007044CD"/>
    <w:rsid w:val="00705416"/>
    <w:rsid w:val="00706C8F"/>
    <w:rsid w:val="0070759F"/>
    <w:rsid w:val="007079A3"/>
    <w:rsid w:val="00711323"/>
    <w:rsid w:val="00712D89"/>
    <w:rsid w:val="007136B5"/>
    <w:rsid w:val="007149DB"/>
    <w:rsid w:val="00715DCB"/>
    <w:rsid w:val="00716740"/>
    <w:rsid w:val="007217CA"/>
    <w:rsid w:val="00721E09"/>
    <w:rsid w:val="00723B1B"/>
    <w:rsid w:val="00725190"/>
    <w:rsid w:val="007255DA"/>
    <w:rsid w:val="00725C8C"/>
    <w:rsid w:val="007264DE"/>
    <w:rsid w:val="00730555"/>
    <w:rsid w:val="00730FA8"/>
    <w:rsid w:val="0073105C"/>
    <w:rsid w:val="00731F2A"/>
    <w:rsid w:val="00732525"/>
    <w:rsid w:val="00735389"/>
    <w:rsid w:val="00736DD9"/>
    <w:rsid w:val="0074046F"/>
    <w:rsid w:val="00741F01"/>
    <w:rsid w:val="00742354"/>
    <w:rsid w:val="00742634"/>
    <w:rsid w:val="00742C3A"/>
    <w:rsid w:val="00746935"/>
    <w:rsid w:val="00746D08"/>
    <w:rsid w:val="00746E00"/>
    <w:rsid w:val="007473A8"/>
    <w:rsid w:val="007502A1"/>
    <w:rsid w:val="0075379B"/>
    <w:rsid w:val="00754AE4"/>
    <w:rsid w:val="00754CD2"/>
    <w:rsid w:val="00754E5E"/>
    <w:rsid w:val="00756AD8"/>
    <w:rsid w:val="00757263"/>
    <w:rsid w:val="0075738A"/>
    <w:rsid w:val="0076015D"/>
    <w:rsid w:val="00760FFB"/>
    <w:rsid w:val="00761896"/>
    <w:rsid w:val="00763B20"/>
    <w:rsid w:val="00766D23"/>
    <w:rsid w:val="007677E1"/>
    <w:rsid w:val="007714E6"/>
    <w:rsid w:val="00771678"/>
    <w:rsid w:val="00772031"/>
    <w:rsid w:val="00775AC8"/>
    <w:rsid w:val="00776CB8"/>
    <w:rsid w:val="00781F47"/>
    <w:rsid w:val="00783592"/>
    <w:rsid w:val="00784A8B"/>
    <w:rsid w:val="00786C8D"/>
    <w:rsid w:val="00787410"/>
    <w:rsid w:val="00790083"/>
    <w:rsid w:val="00790B46"/>
    <w:rsid w:val="00790FC4"/>
    <w:rsid w:val="007925A8"/>
    <w:rsid w:val="00795D93"/>
    <w:rsid w:val="007A3156"/>
    <w:rsid w:val="007A506F"/>
    <w:rsid w:val="007A5D9F"/>
    <w:rsid w:val="007A6AA6"/>
    <w:rsid w:val="007A6CF8"/>
    <w:rsid w:val="007A7E51"/>
    <w:rsid w:val="007A7E86"/>
    <w:rsid w:val="007B0D96"/>
    <w:rsid w:val="007B0E3A"/>
    <w:rsid w:val="007B2827"/>
    <w:rsid w:val="007B29EE"/>
    <w:rsid w:val="007B31B2"/>
    <w:rsid w:val="007B36E2"/>
    <w:rsid w:val="007B3C4F"/>
    <w:rsid w:val="007B3CD2"/>
    <w:rsid w:val="007B45B3"/>
    <w:rsid w:val="007B6B95"/>
    <w:rsid w:val="007B7386"/>
    <w:rsid w:val="007B7FB3"/>
    <w:rsid w:val="007C29D9"/>
    <w:rsid w:val="007C2A44"/>
    <w:rsid w:val="007C3485"/>
    <w:rsid w:val="007C6BC9"/>
    <w:rsid w:val="007C75C9"/>
    <w:rsid w:val="007D03C3"/>
    <w:rsid w:val="007D1290"/>
    <w:rsid w:val="007D46C9"/>
    <w:rsid w:val="007D7275"/>
    <w:rsid w:val="007D77A0"/>
    <w:rsid w:val="007E02A1"/>
    <w:rsid w:val="007E1252"/>
    <w:rsid w:val="007E1265"/>
    <w:rsid w:val="007E2203"/>
    <w:rsid w:val="007E2248"/>
    <w:rsid w:val="007E263E"/>
    <w:rsid w:val="007E320E"/>
    <w:rsid w:val="007E3930"/>
    <w:rsid w:val="007E721A"/>
    <w:rsid w:val="007F0436"/>
    <w:rsid w:val="007F0657"/>
    <w:rsid w:val="007F13E8"/>
    <w:rsid w:val="007F1591"/>
    <w:rsid w:val="007F1AB9"/>
    <w:rsid w:val="007F2583"/>
    <w:rsid w:val="007F34C2"/>
    <w:rsid w:val="007F3C3C"/>
    <w:rsid w:val="007F4D7E"/>
    <w:rsid w:val="007F661A"/>
    <w:rsid w:val="007F7E87"/>
    <w:rsid w:val="00801767"/>
    <w:rsid w:val="00801BC8"/>
    <w:rsid w:val="008031D2"/>
    <w:rsid w:val="00805AC2"/>
    <w:rsid w:val="008060EF"/>
    <w:rsid w:val="00810815"/>
    <w:rsid w:val="00812058"/>
    <w:rsid w:val="00814CEB"/>
    <w:rsid w:val="00815C33"/>
    <w:rsid w:val="00815F85"/>
    <w:rsid w:val="00816599"/>
    <w:rsid w:val="008166DB"/>
    <w:rsid w:val="00816C1A"/>
    <w:rsid w:val="008174F2"/>
    <w:rsid w:val="00820E0D"/>
    <w:rsid w:val="00820E27"/>
    <w:rsid w:val="0082107F"/>
    <w:rsid w:val="0082326D"/>
    <w:rsid w:val="00825B6C"/>
    <w:rsid w:val="00826AA0"/>
    <w:rsid w:val="008331F4"/>
    <w:rsid w:val="00833236"/>
    <w:rsid w:val="00835029"/>
    <w:rsid w:val="00835111"/>
    <w:rsid w:val="00837D0C"/>
    <w:rsid w:val="00840231"/>
    <w:rsid w:val="00841203"/>
    <w:rsid w:val="008413F4"/>
    <w:rsid w:val="00841ABF"/>
    <w:rsid w:val="00842A17"/>
    <w:rsid w:val="00842F14"/>
    <w:rsid w:val="00843FC0"/>
    <w:rsid w:val="008454CA"/>
    <w:rsid w:val="00845DAB"/>
    <w:rsid w:val="00845FA5"/>
    <w:rsid w:val="0084648E"/>
    <w:rsid w:val="00846C13"/>
    <w:rsid w:val="00847E21"/>
    <w:rsid w:val="008535D1"/>
    <w:rsid w:val="008538B9"/>
    <w:rsid w:val="00854ADC"/>
    <w:rsid w:val="00855EC9"/>
    <w:rsid w:val="00857BF1"/>
    <w:rsid w:val="008618BD"/>
    <w:rsid w:val="00862BC3"/>
    <w:rsid w:val="00862CD9"/>
    <w:rsid w:val="00865A36"/>
    <w:rsid w:val="00866E4C"/>
    <w:rsid w:val="0086751E"/>
    <w:rsid w:val="0087056E"/>
    <w:rsid w:val="008742D0"/>
    <w:rsid w:val="008772E8"/>
    <w:rsid w:val="00880323"/>
    <w:rsid w:val="00890008"/>
    <w:rsid w:val="00890FE5"/>
    <w:rsid w:val="00892F8B"/>
    <w:rsid w:val="00895029"/>
    <w:rsid w:val="0089549A"/>
    <w:rsid w:val="0089557B"/>
    <w:rsid w:val="008955EB"/>
    <w:rsid w:val="0089711B"/>
    <w:rsid w:val="008A023C"/>
    <w:rsid w:val="008A076D"/>
    <w:rsid w:val="008A20E4"/>
    <w:rsid w:val="008A26B2"/>
    <w:rsid w:val="008A28F8"/>
    <w:rsid w:val="008A29B8"/>
    <w:rsid w:val="008A36AA"/>
    <w:rsid w:val="008A3E5D"/>
    <w:rsid w:val="008A407C"/>
    <w:rsid w:val="008B05C2"/>
    <w:rsid w:val="008B102F"/>
    <w:rsid w:val="008B1078"/>
    <w:rsid w:val="008B1512"/>
    <w:rsid w:val="008B23A0"/>
    <w:rsid w:val="008B38AF"/>
    <w:rsid w:val="008B3920"/>
    <w:rsid w:val="008B5189"/>
    <w:rsid w:val="008B5548"/>
    <w:rsid w:val="008C254D"/>
    <w:rsid w:val="008C3857"/>
    <w:rsid w:val="008C3E73"/>
    <w:rsid w:val="008C3F3F"/>
    <w:rsid w:val="008C785D"/>
    <w:rsid w:val="008D0136"/>
    <w:rsid w:val="008D0692"/>
    <w:rsid w:val="008D1053"/>
    <w:rsid w:val="008D10B8"/>
    <w:rsid w:val="008D33B7"/>
    <w:rsid w:val="008D4049"/>
    <w:rsid w:val="008D7999"/>
    <w:rsid w:val="008E197D"/>
    <w:rsid w:val="008E2943"/>
    <w:rsid w:val="008E309B"/>
    <w:rsid w:val="008E35A7"/>
    <w:rsid w:val="008E3901"/>
    <w:rsid w:val="008E5727"/>
    <w:rsid w:val="008E6E85"/>
    <w:rsid w:val="008E77E1"/>
    <w:rsid w:val="008E7A60"/>
    <w:rsid w:val="008E7CDC"/>
    <w:rsid w:val="008E7ED2"/>
    <w:rsid w:val="008F017C"/>
    <w:rsid w:val="008F0641"/>
    <w:rsid w:val="008F1A19"/>
    <w:rsid w:val="008F2BC4"/>
    <w:rsid w:val="008F361A"/>
    <w:rsid w:val="008F44DE"/>
    <w:rsid w:val="008F4EE0"/>
    <w:rsid w:val="008F5199"/>
    <w:rsid w:val="008F571A"/>
    <w:rsid w:val="008F5993"/>
    <w:rsid w:val="008F72AA"/>
    <w:rsid w:val="008F78B1"/>
    <w:rsid w:val="008F7BCD"/>
    <w:rsid w:val="00902606"/>
    <w:rsid w:val="00902FC8"/>
    <w:rsid w:val="0090305F"/>
    <w:rsid w:val="009035DB"/>
    <w:rsid w:val="00905D25"/>
    <w:rsid w:val="009061B7"/>
    <w:rsid w:val="00906E80"/>
    <w:rsid w:val="0090753B"/>
    <w:rsid w:val="00907CAB"/>
    <w:rsid w:val="009129FE"/>
    <w:rsid w:val="00913604"/>
    <w:rsid w:val="009155BA"/>
    <w:rsid w:val="009157D9"/>
    <w:rsid w:val="009173DC"/>
    <w:rsid w:val="009223E4"/>
    <w:rsid w:val="009240E2"/>
    <w:rsid w:val="00925D66"/>
    <w:rsid w:val="00930A41"/>
    <w:rsid w:val="00932020"/>
    <w:rsid w:val="009330B5"/>
    <w:rsid w:val="00934511"/>
    <w:rsid w:val="00934CD4"/>
    <w:rsid w:val="0093578A"/>
    <w:rsid w:val="00936B00"/>
    <w:rsid w:val="00936FAE"/>
    <w:rsid w:val="0094232B"/>
    <w:rsid w:val="00943BA5"/>
    <w:rsid w:val="0094460F"/>
    <w:rsid w:val="00944F23"/>
    <w:rsid w:val="009454C3"/>
    <w:rsid w:val="00946348"/>
    <w:rsid w:val="0094721D"/>
    <w:rsid w:val="00950138"/>
    <w:rsid w:val="00950FD8"/>
    <w:rsid w:val="0095141C"/>
    <w:rsid w:val="00955AD3"/>
    <w:rsid w:val="00955B7E"/>
    <w:rsid w:val="00955BEE"/>
    <w:rsid w:val="00955E44"/>
    <w:rsid w:val="00956DED"/>
    <w:rsid w:val="00956F55"/>
    <w:rsid w:val="009616B4"/>
    <w:rsid w:val="009623D8"/>
    <w:rsid w:val="00962AA6"/>
    <w:rsid w:val="00962C6C"/>
    <w:rsid w:val="00964F5A"/>
    <w:rsid w:val="009664FE"/>
    <w:rsid w:val="00966A22"/>
    <w:rsid w:val="00966E4B"/>
    <w:rsid w:val="00970392"/>
    <w:rsid w:val="009727BE"/>
    <w:rsid w:val="00972B7E"/>
    <w:rsid w:val="00972E0C"/>
    <w:rsid w:val="00974B64"/>
    <w:rsid w:val="009766C2"/>
    <w:rsid w:val="009768C8"/>
    <w:rsid w:val="009775D7"/>
    <w:rsid w:val="00981BDE"/>
    <w:rsid w:val="009823BD"/>
    <w:rsid w:val="00982959"/>
    <w:rsid w:val="00982A2A"/>
    <w:rsid w:val="00983832"/>
    <w:rsid w:val="00984655"/>
    <w:rsid w:val="00984882"/>
    <w:rsid w:val="009857CE"/>
    <w:rsid w:val="00985E4A"/>
    <w:rsid w:val="009866AA"/>
    <w:rsid w:val="00986EB2"/>
    <w:rsid w:val="00986F4F"/>
    <w:rsid w:val="00987332"/>
    <w:rsid w:val="0098749E"/>
    <w:rsid w:val="00990498"/>
    <w:rsid w:val="00991661"/>
    <w:rsid w:val="00995074"/>
    <w:rsid w:val="00995BCF"/>
    <w:rsid w:val="0099724F"/>
    <w:rsid w:val="009A1B91"/>
    <w:rsid w:val="009A2313"/>
    <w:rsid w:val="009A2E2D"/>
    <w:rsid w:val="009A2FD8"/>
    <w:rsid w:val="009A71A5"/>
    <w:rsid w:val="009B00A0"/>
    <w:rsid w:val="009B2EA8"/>
    <w:rsid w:val="009B2F8C"/>
    <w:rsid w:val="009B4CB8"/>
    <w:rsid w:val="009B4D60"/>
    <w:rsid w:val="009B5A0E"/>
    <w:rsid w:val="009B73D1"/>
    <w:rsid w:val="009B7707"/>
    <w:rsid w:val="009B7FD7"/>
    <w:rsid w:val="009C4137"/>
    <w:rsid w:val="009C424C"/>
    <w:rsid w:val="009C4449"/>
    <w:rsid w:val="009C4887"/>
    <w:rsid w:val="009C55B4"/>
    <w:rsid w:val="009C6431"/>
    <w:rsid w:val="009C68B7"/>
    <w:rsid w:val="009D201C"/>
    <w:rsid w:val="009D24B1"/>
    <w:rsid w:val="009D46C3"/>
    <w:rsid w:val="009D5FB4"/>
    <w:rsid w:val="009D7008"/>
    <w:rsid w:val="009D78A5"/>
    <w:rsid w:val="009E0D1D"/>
    <w:rsid w:val="009E11F5"/>
    <w:rsid w:val="009E4EE3"/>
    <w:rsid w:val="009F0744"/>
    <w:rsid w:val="009F195E"/>
    <w:rsid w:val="009F1D90"/>
    <w:rsid w:val="009F2B73"/>
    <w:rsid w:val="009F39FC"/>
    <w:rsid w:val="009F65EE"/>
    <w:rsid w:val="009F75AE"/>
    <w:rsid w:val="00A00737"/>
    <w:rsid w:val="00A01F30"/>
    <w:rsid w:val="00A027BA"/>
    <w:rsid w:val="00A032B0"/>
    <w:rsid w:val="00A0374B"/>
    <w:rsid w:val="00A04500"/>
    <w:rsid w:val="00A060D8"/>
    <w:rsid w:val="00A07B94"/>
    <w:rsid w:val="00A11F04"/>
    <w:rsid w:val="00A13E8B"/>
    <w:rsid w:val="00A142DB"/>
    <w:rsid w:val="00A143E3"/>
    <w:rsid w:val="00A14F5F"/>
    <w:rsid w:val="00A17A7E"/>
    <w:rsid w:val="00A206F9"/>
    <w:rsid w:val="00A214CF"/>
    <w:rsid w:val="00A21820"/>
    <w:rsid w:val="00A21D4A"/>
    <w:rsid w:val="00A2226D"/>
    <w:rsid w:val="00A2383F"/>
    <w:rsid w:val="00A24146"/>
    <w:rsid w:val="00A2414E"/>
    <w:rsid w:val="00A24154"/>
    <w:rsid w:val="00A250B8"/>
    <w:rsid w:val="00A25CD3"/>
    <w:rsid w:val="00A3240D"/>
    <w:rsid w:val="00A3275A"/>
    <w:rsid w:val="00A347A8"/>
    <w:rsid w:val="00A3672B"/>
    <w:rsid w:val="00A37BB7"/>
    <w:rsid w:val="00A37D1C"/>
    <w:rsid w:val="00A37F6C"/>
    <w:rsid w:val="00A40387"/>
    <w:rsid w:val="00A4297E"/>
    <w:rsid w:val="00A42B5E"/>
    <w:rsid w:val="00A44542"/>
    <w:rsid w:val="00A5163F"/>
    <w:rsid w:val="00A55928"/>
    <w:rsid w:val="00A55F80"/>
    <w:rsid w:val="00A56EBC"/>
    <w:rsid w:val="00A5746F"/>
    <w:rsid w:val="00A5799E"/>
    <w:rsid w:val="00A600AB"/>
    <w:rsid w:val="00A617CA"/>
    <w:rsid w:val="00A62656"/>
    <w:rsid w:val="00A62DE8"/>
    <w:rsid w:val="00A6342B"/>
    <w:rsid w:val="00A636E1"/>
    <w:rsid w:val="00A6381A"/>
    <w:rsid w:val="00A66976"/>
    <w:rsid w:val="00A677B2"/>
    <w:rsid w:val="00A70902"/>
    <w:rsid w:val="00A72CE0"/>
    <w:rsid w:val="00A736E7"/>
    <w:rsid w:val="00A760A4"/>
    <w:rsid w:val="00A77104"/>
    <w:rsid w:val="00A82082"/>
    <w:rsid w:val="00A84E26"/>
    <w:rsid w:val="00A85B30"/>
    <w:rsid w:val="00A85CAD"/>
    <w:rsid w:val="00A861AE"/>
    <w:rsid w:val="00A86360"/>
    <w:rsid w:val="00A87384"/>
    <w:rsid w:val="00A87EFB"/>
    <w:rsid w:val="00A91AF7"/>
    <w:rsid w:val="00A924CB"/>
    <w:rsid w:val="00A944F8"/>
    <w:rsid w:val="00A953C6"/>
    <w:rsid w:val="00A96010"/>
    <w:rsid w:val="00A967CF"/>
    <w:rsid w:val="00A97DFC"/>
    <w:rsid w:val="00AA0FAF"/>
    <w:rsid w:val="00AA2453"/>
    <w:rsid w:val="00AA4ED9"/>
    <w:rsid w:val="00AA5994"/>
    <w:rsid w:val="00AA796E"/>
    <w:rsid w:val="00AA7CC3"/>
    <w:rsid w:val="00AB0E38"/>
    <w:rsid w:val="00AB2511"/>
    <w:rsid w:val="00AB2C05"/>
    <w:rsid w:val="00AB3ED7"/>
    <w:rsid w:val="00AB5E74"/>
    <w:rsid w:val="00AB77C4"/>
    <w:rsid w:val="00AC0792"/>
    <w:rsid w:val="00AC127D"/>
    <w:rsid w:val="00AC23A0"/>
    <w:rsid w:val="00AC23F9"/>
    <w:rsid w:val="00AC390E"/>
    <w:rsid w:val="00AC49FB"/>
    <w:rsid w:val="00AC5BC3"/>
    <w:rsid w:val="00AD08CE"/>
    <w:rsid w:val="00AD2279"/>
    <w:rsid w:val="00AD2D48"/>
    <w:rsid w:val="00AD37D7"/>
    <w:rsid w:val="00AD72A0"/>
    <w:rsid w:val="00AE0064"/>
    <w:rsid w:val="00AE0C30"/>
    <w:rsid w:val="00AE16D6"/>
    <w:rsid w:val="00AE1F0F"/>
    <w:rsid w:val="00AE284E"/>
    <w:rsid w:val="00AE3578"/>
    <w:rsid w:val="00AE5A18"/>
    <w:rsid w:val="00AE60E7"/>
    <w:rsid w:val="00AE64DC"/>
    <w:rsid w:val="00AE65A9"/>
    <w:rsid w:val="00AF2D48"/>
    <w:rsid w:val="00AF2FCC"/>
    <w:rsid w:val="00AF38AA"/>
    <w:rsid w:val="00AF5DE6"/>
    <w:rsid w:val="00AF6022"/>
    <w:rsid w:val="00B0075C"/>
    <w:rsid w:val="00B0146B"/>
    <w:rsid w:val="00B01EEF"/>
    <w:rsid w:val="00B05862"/>
    <w:rsid w:val="00B06066"/>
    <w:rsid w:val="00B106D6"/>
    <w:rsid w:val="00B10C8E"/>
    <w:rsid w:val="00B10FBD"/>
    <w:rsid w:val="00B114C5"/>
    <w:rsid w:val="00B11CA8"/>
    <w:rsid w:val="00B12717"/>
    <w:rsid w:val="00B12E47"/>
    <w:rsid w:val="00B14625"/>
    <w:rsid w:val="00B1518A"/>
    <w:rsid w:val="00B177A9"/>
    <w:rsid w:val="00B17EA2"/>
    <w:rsid w:val="00B2162F"/>
    <w:rsid w:val="00B2182A"/>
    <w:rsid w:val="00B2328F"/>
    <w:rsid w:val="00B23C18"/>
    <w:rsid w:val="00B24998"/>
    <w:rsid w:val="00B27C30"/>
    <w:rsid w:val="00B31A86"/>
    <w:rsid w:val="00B33638"/>
    <w:rsid w:val="00B3586C"/>
    <w:rsid w:val="00B36960"/>
    <w:rsid w:val="00B37304"/>
    <w:rsid w:val="00B37C09"/>
    <w:rsid w:val="00B37D5F"/>
    <w:rsid w:val="00B412C9"/>
    <w:rsid w:val="00B4148A"/>
    <w:rsid w:val="00B41EEA"/>
    <w:rsid w:val="00B428F4"/>
    <w:rsid w:val="00B4439E"/>
    <w:rsid w:val="00B44BD3"/>
    <w:rsid w:val="00B46A7E"/>
    <w:rsid w:val="00B46F2F"/>
    <w:rsid w:val="00B47322"/>
    <w:rsid w:val="00B526D0"/>
    <w:rsid w:val="00B5370C"/>
    <w:rsid w:val="00B54EE1"/>
    <w:rsid w:val="00B55447"/>
    <w:rsid w:val="00B55F49"/>
    <w:rsid w:val="00B56080"/>
    <w:rsid w:val="00B56C6A"/>
    <w:rsid w:val="00B57C22"/>
    <w:rsid w:val="00B60B4B"/>
    <w:rsid w:val="00B614FC"/>
    <w:rsid w:val="00B61B68"/>
    <w:rsid w:val="00B6289B"/>
    <w:rsid w:val="00B64AC9"/>
    <w:rsid w:val="00B67A74"/>
    <w:rsid w:val="00B67E50"/>
    <w:rsid w:val="00B67F05"/>
    <w:rsid w:val="00B71942"/>
    <w:rsid w:val="00B7292B"/>
    <w:rsid w:val="00B733E2"/>
    <w:rsid w:val="00B76B5C"/>
    <w:rsid w:val="00B8027F"/>
    <w:rsid w:val="00B84075"/>
    <w:rsid w:val="00B84139"/>
    <w:rsid w:val="00B844CB"/>
    <w:rsid w:val="00B84A2F"/>
    <w:rsid w:val="00B867CC"/>
    <w:rsid w:val="00B90E6E"/>
    <w:rsid w:val="00B910E5"/>
    <w:rsid w:val="00B9260F"/>
    <w:rsid w:val="00B932D4"/>
    <w:rsid w:val="00B93E1F"/>
    <w:rsid w:val="00B94F19"/>
    <w:rsid w:val="00B96AD3"/>
    <w:rsid w:val="00B97A37"/>
    <w:rsid w:val="00BA2266"/>
    <w:rsid w:val="00BA35F6"/>
    <w:rsid w:val="00BA3B2D"/>
    <w:rsid w:val="00BA5234"/>
    <w:rsid w:val="00BA58C7"/>
    <w:rsid w:val="00BA69AB"/>
    <w:rsid w:val="00BB06A9"/>
    <w:rsid w:val="00BB2636"/>
    <w:rsid w:val="00BB3B6B"/>
    <w:rsid w:val="00BB54F4"/>
    <w:rsid w:val="00BC0F4A"/>
    <w:rsid w:val="00BC2975"/>
    <w:rsid w:val="00BC46E3"/>
    <w:rsid w:val="00BC4F09"/>
    <w:rsid w:val="00BC599E"/>
    <w:rsid w:val="00BC6270"/>
    <w:rsid w:val="00BD0901"/>
    <w:rsid w:val="00BD0AB7"/>
    <w:rsid w:val="00BD1E66"/>
    <w:rsid w:val="00BD3304"/>
    <w:rsid w:val="00BD4D0C"/>
    <w:rsid w:val="00BE4C57"/>
    <w:rsid w:val="00BE4DA3"/>
    <w:rsid w:val="00BE5A6F"/>
    <w:rsid w:val="00BE5EDB"/>
    <w:rsid w:val="00BE7363"/>
    <w:rsid w:val="00BF0082"/>
    <w:rsid w:val="00BF0545"/>
    <w:rsid w:val="00BF3385"/>
    <w:rsid w:val="00BF4284"/>
    <w:rsid w:val="00BF48E5"/>
    <w:rsid w:val="00BF59E0"/>
    <w:rsid w:val="00C00483"/>
    <w:rsid w:val="00C01A7B"/>
    <w:rsid w:val="00C0202D"/>
    <w:rsid w:val="00C03109"/>
    <w:rsid w:val="00C04F76"/>
    <w:rsid w:val="00C059C9"/>
    <w:rsid w:val="00C05DC7"/>
    <w:rsid w:val="00C06A9F"/>
    <w:rsid w:val="00C06CD6"/>
    <w:rsid w:val="00C13BD2"/>
    <w:rsid w:val="00C14273"/>
    <w:rsid w:val="00C14D76"/>
    <w:rsid w:val="00C15FAF"/>
    <w:rsid w:val="00C1672D"/>
    <w:rsid w:val="00C17097"/>
    <w:rsid w:val="00C172D8"/>
    <w:rsid w:val="00C17AB6"/>
    <w:rsid w:val="00C17D22"/>
    <w:rsid w:val="00C21238"/>
    <w:rsid w:val="00C2272E"/>
    <w:rsid w:val="00C251BA"/>
    <w:rsid w:val="00C25531"/>
    <w:rsid w:val="00C26BC9"/>
    <w:rsid w:val="00C27490"/>
    <w:rsid w:val="00C3037E"/>
    <w:rsid w:val="00C30E6C"/>
    <w:rsid w:val="00C30EA5"/>
    <w:rsid w:val="00C33109"/>
    <w:rsid w:val="00C33130"/>
    <w:rsid w:val="00C337FB"/>
    <w:rsid w:val="00C3439A"/>
    <w:rsid w:val="00C34A6E"/>
    <w:rsid w:val="00C3570A"/>
    <w:rsid w:val="00C378D6"/>
    <w:rsid w:val="00C41784"/>
    <w:rsid w:val="00C4219A"/>
    <w:rsid w:val="00C42628"/>
    <w:rsid w:val="00C42646"/>
    <w:rsid w:val="00C42774"/>
    <w:rsid w:val="00C42B72"/>
    <w:rsid w:val="00C42DDC"/>
    <w:rsid w:val="00C4407D"/>
    <w:rsid w:val="00C445AE"/>
    <w:rsid w:val="00C46FA6"/>
    <w:rsid w:val="00C47D52"/>
    <w:rsid w:val="00C50A31"/>
    <w:rsid w:val="00C536D3"/>
    <w:rsid w:val="00C538EE"/>
    <w:rsid w:val="00C54E6D"/>
    <w:rsid w:val="00C550B5"/>
    <w:rsid w:val="00C560E4"/>
    <w:rsid w:val="00C56446"/>
    <w:rsid w:val="00C56630"/>
    <w:rsid w:val="00C572AC"/>
    <w:rsid w:val="00C60BC7"/>
    <w:rsid w:val="00C61C87"/>
    <w:rsid w:val="00C65B66"/>
    <w:rsid w:val="00C70453"/>
    <w:rsid w:val="00C70E08"/>
    <w:rsid w:val="00C71031"/>
    <w:rsid w:val="00C71752"/>
    <w:rsid w:val="00C71846"/>
    <w:rsid w:val="00C72807"/>
    <w:rsid w:val="00C741D5"/>
    <w:rsid w:val="00C74E9A"/>
    <w:rsid w:val="00C75AC3"/>
    <w:rsid w:val="00C778D7"/>
    <w:rsid w:val="00C77B96"/>
    <w:rsid w:val="00C77C8E"/>
    <w:rsid w:val="00C802A4"/>
    <w:rsid w:val="00C8231F"/>
    <w:rsid w:val="00C84593"/>
    <w:rsid w:val="00C84BB8"/>
    <w:rsid w:val="00C84CDE"/>
    <w:rsid w:val="00C878CE"/>
    <w:rsid w:val="00C8794A"/>
    <w:rsid w:val="00C9101B"/>
    <w:rsid w:val="00C92BC0"/>
    <w:rsid w:val="00C9346B"/>
    <w:rsid w:val="00C941A0"/>
    <w:rsid w:val="00C953EE"/>
    <w:rsid w:val="00C9716F"/>
    <w:rsid w:val="00C97645"/>
    <w:rsid w:val="00C97D00"/>
    <w:rsid w:val="00CA039E"/>
    <w:rsid w:val="00CA26A0"/>
    <w:rsid w:val="00CA2A7B"/>
    <w:rsid w:val="00CA63F5"/>
    <w:rsid w:val="00CA66B5"/>
    <w:rsid w:val="00CA7379"/>
    <w:rsid w:val="00CB0D29"/>
    <w:rsid w:val="00CB1B30"/>
    <w:rsid w:val="00CB4066"/>
    <w:rsid w:val="00CB47F8"/>
    <w:rsid w:val="00CB5508"/>
    <w:rsid w:val="00CB5925"/>
    <w:rsid w:val="00CB5F62"/>
    <w:rsid w:val="00CC2089"/>
    <w:rsid w:val="00CC2345"/>
    <w:rsid w:val="00CC2CB6"/>
    <w:rsid w:val="00CC2E0C"/>
    <w:rsid w:val="00CC3F64"/>
    <w:rsid w:val="00CC4B71"/>
    <w:rsid w:val="00CC68D6"/>
    <w:rsid w:val="00CC69DD"/>
    <w:rsid w:val="00CC7607"/>
    <w:rsid w:val="00CD1377"/>
    <w:rsid w:val="00CD1477"/>
    <w:rsid w:val="00CD386C"/>
    <w:rsid w:val="00CD3CF0"/>
    <w:rsid w:val="00CD4939"/>
    <w:rsid w:val="00CD5133"/>
    <w:rsid w:val="00CD52A6"/>
    <w:rsid w:val="00CD70CD"/>
    <w:rsid w:val="00CD728B"/>
    <w:rsid w:val="00CE2741"/>
    <w:rsid w:val="00CE3470"/>
    <w:rsid w:val="00CE4218"/>
    <w:rsid w:val="00CE518C"/>
    <w:rsid w:val="00CE5660"/>
    <w:rsid w:val="00CE68CC"/>
    <w:rsid w:val="00CF097D"/>
    <w:rsid w:val="00CF0F14"/>
    <w:rsid w:val="00CF11A7"/>
    <w:rsid w:val="00CF2C73"/>
    <w:rsid w:val="00CF2D52"/>
    <w:rsid w:val="00CF3793"/>
    <w:rsid w:val="00CF3A85"/>
    <w:rsid w:val="00CF45DB"/>
    <w:rsid w:val="00CF6E6E"/>
    <w:rsid w:val="00D02E92"/>
    <w:rsid w:val="00D03D64"/>
    <w:rsid w:val="00D046D5"/>
    <w:rsid w:val="00D06659"/>
    <w:rsid w:val="00D07002"/>
    <w:rsid w:val="00D07F82"/>
    <w:rsid w:val="00D11FC6"/>
    <w:rsid w:val="00D135DA"/>
    <w:rsid w:val="00D137DD"/>
    <w:rsid w:val="00D14D8F"/>
    <w:rsid w:val="00D15FBE"/>
    <w:rsid w:val="00D1697B"/>
    <w:rsid w:val="00D17E2A"/>
    <w:rsid w:val="00D208A2"/>
    <w:rsid w:val="00D22C84"/>
    <w:rsid w:val="00D23550"/>
    <w:rsid w:val="00D23B75"/>
    <w:rsid w:val="00D2475F"/>
    <w:rsid w:val="00D24D6D"/>
    <w:rsid w:val="00D25422"/>
    <w:rsid w:val="00D25FC9"/>
    <w:rsid w:val="00D26A98"/>
    <w:rsid w:val="00D334E7"/>
    <w:rsid w:val="00D3383D"/>
    <w:rsid w:val="00D34373"/>
    <w:rsid w:val="00D363AE"/>
    <w:rsid w:val="00D4296B"/>
    <w:rsid w:val="00D42A73"/>
    <w:rsid w:val="00D42AA1"/>
    <w:rsid w:val="00D42E69"/>
    <w:rsid w:val="00D433CE"/>
    <w:rsid w:val="00D43794"/>
    <w:rsid w:val="00D450DB"/>
    <w:rsid w:val="00D4795E"/>
    <w:rsid w:val="00D5006C"/>
    <w:rsid w:val="00D502F6"/>
    <w:rsid w:val="00D50FDA"/>
    <w:rsid w:val="00D517B9"/>
    <w:rsid w:val="00D5192F"/>
    <w:rsid w:val="00D5278A"/>
    <w:rsid w:val="00D5284A"/>
    <w:rsid w:val="00D53CCD"/>
    <w:rsid w:val="00D53F5D"/>
    <w:rsid w:val="00D57B0B"/>
    <w:rsid w:val="00D60319"/>
    <w:rsid w:val="00D629F5"/>
    <w:rsid w:val="00D63784"/>
    <w:rsid w:val="00D6560F"/>
    <w:rsid w:val="00D659CC"/>
    <w:rsid w:val="00D70234"/>
    <w:rsid w:val="00D76072"/>
    <w:rsid w:val="00D76463"/>
    <w:rsid w:val="00D8008F"/>
    <w:rsid w:val="00D806CC"/>
    <w:rsid w:val="00D81114"/>
    <w:rsid w:val="00D8324F"/>
    <w:rsid w:val="00D838A7"/>
    <w:rsid w:val="00D83E2B"/>
    <w:rsid w:val="00D85DDC"/>
    <w:rsid w:val="00D8640D"/>
    <w:rsid w:val="00D86C40"/>
    <w:rsid w:val="00D92740"/>
    <w:rsid w:val="00D92B4A"/>
    <w:rsid w:val="00D93BB0"/>
    <w:rsid w:val="00D93D9C"/>
    <w:rsid w:val="00D96491"/>
    <w:rsid w:val="00D96AFC"/>
    <w:rsid w:val="00D97E8E"/>
    <w:rsid w:val="00DA099D"/>
    <w:rsid w:val="00DA09E4"/>
    <w:rsid w:val="00DA2775"/>
    <w:rsid w:val="00DA36D9"/>
    <w:rsid w:val="00DB0384"/>
    <w:rsid w:val="00DB1EE8"/>
    <w:rsid w:val="00DB2041"/>
    <w:rsid w:val="00DB2812"/>
    <w:rsid w:val="00DB3481"/>
    <w:rsid w:val="00DB364F"/>
    <w:rsid w:val="00DB53E6"/>
    <w:rsid w:val="00DB5743"/>
    <w:rsid w:val="00DC0309"/>
    <w:rsid w:val="00DC20E1"/>
    <w:rsid w:val="00DC2E93"/>
    <w:rsid w:val="00DC79C1"/>
    <w:rsid w:val="00DD0B60"/>
    <w:rsid w:val="00DD1D14"/>
    <w:rsid w:val="00DD2A49"/>
    <w:rsid w:val="00DD3503"/>
    <w:rsid w:val="00DD4AEB"/>
    <w:rsid w:val="00DD5BDE"/>
    <w:rsid w:val="00DD6ECF"/>
    <w:rsid w:val="00DD7786"/>
    <w:rsid w:val="00DE1DFD"/>
    <w:rsid w:val="00DE2EAB"/>
    <w:rsid w:val="00DE599B"/>
    <w:rsid w:val="00DE6CA9"/>
    <w:rsid w:val="00DE7BD7"/>
    <w:rsid w:val="00DF11E6"/>
    <w:rsid w:val="00DF2BA1"/>
    <w:rsid w:val="00DF3374"/>
    <w:rsid w:val="00DF610C"/>
    <w:rsid w:val="00DF6B4A"/>
    <w:rsid w:val="00DF6F64"/>
    <w:rsid w:val="00DF7BA8"/>
    <w:rsid w:val="00E00910"/>
    <w:rsid w:val="00E0142C"/>
    <w:rsid w:val="00E01D7B"/>
    <w:rsid w:val="00E041C1"/>
    <w:rsid w:val="00E05393"/>
    <w:rsid w:val="00E078DE"/>
    <w:rsid w:val="00E10408"/>
    <w:rsid w:val="00E106B9"/>
    <w:rsid w:val="00E11CE2"/>
    <w:rsid w:val="00E12103"/>
    <w:rsid w:val="00E12438"/>
    <w:rsid w:val="00E12A51"/>
    <w:rsid w:val="00E12B55"/>
    <w:rsid w:val="00E16DD4"/>
    <w:rsid w:val="00E17B67"/>
    <w:rsid w:val="00E200A3"/>
    <w:rsid w:val="00E20DEE"/>
    <w:rsid w:val="00E225BF"/>
    <w:rsid w:val="00E22DFC"/>
    <w:rsid w:val="00E26474"/>
    <w:rsid w:val="00E27381"/>
    <w:rsid w:val="00E300AE"/>
    <w:rsid w:val="00E309F2"/>
    <w:rsid w:val="00E313D7"/>
    <w:rsid w:val="00E315D4"/>
    <w:rsid w:val="00E31BFC"/>
    <w:rsid w:val="00E31C46"/>
    <w:rsid w:val="00E32947"/>
    <w:rsid w:val="00E33D9D"/>
    <w:rsid w:val="00E34ED9"/>
    <w:rsid w:val="00E351EC"/>
    <w:rsid w:val="00E41B24"/>
    <w:rsid w:val="00E42864"/>
    <w:rsid w:val="00E45854"/>
    <w:rsid w:val="00E45D59"/>
    <w:rsid w:val="00E45FA9"/>
    <w:rsid w:val="00E500A7"/>
    <w:rsid w:val="00E51B8A"/>
    <w:rsid w:val="00E530B5"/>
    <w:rsid w:val="00E533E1"/>
    <w:rsid w:val="00E53445"/>
    <w:rsid w:val="00E61AC3"/>
    <w:rsid w:val="00E61BAF"/>
    <w:rsid w:val="00E624AA"/>
    <w:rsid w:val="00E63082"/>
    <w:rsid w:val="00E6326A"/>
    <w:rsid w:val="00E63E80"/>
    <w:rsid w:val="00E64723"/>
    <w:rsid w:val="00E65A7E"/>
    <w:rsid w:val="00E66998"/>
    <w:rsid w:val="00E66D71"/>
    <w:rsid w:val="00E67798"/>
    <w:rsid w:val="00E67FE3"/>
    <w:rsid w:val="00E70340"/>
    <w:rsid w:val="00E708A5"/>
    <w:rsid w:val="00E71317"/>
    <w:rsid w:val="00E73030"/>
    <w:rsid w:val="00E731FC"/>
    <w:rsid w:val="00E73635"/>
    <w:rsid w:val="00E74139"/>
    <w:rsid w:val="00E7517E"/>
    <w:rsid w:val="00E76814"/>
    <w:rsid w:val="00E810B0"/>
    <w:rsid w:val="00E811CA"/>
    <w:rsid w:val="00E81E21"/>
    <w:rsid w:val="00E831A3"/>
    <w:rsid w:val="00E8368C"/>
    <w:rsid w:val="00E83F4A"/>
    <w:rsid w:val="00E83F57"/>
    <w:rsid w:val="00E84970"/>
    <w:rsid w:val="00E85529"/>
    <w:rsid w:val="00E864E5"/>
    <w:rsid w:val="00E8708E"/>
    <w:rsid w:val="00E87A30"/>
    <w:rsid w:val="00E919FF"/>
    <w:rsid w:val="00E92FAF"/>
    <w:rsid w:val="00E94767"/>
    <w:rsid w:val="00E952E3"/>
    <w:rsid w:val="00E975C8"/>
    <w:rsid w:val="00EA132F"/>
    <w:rsid w:val="00EA1565"/>
    <w:rsid w:val="00EA2DFC"/>
    <w:rsid w:val="00EA4431"/>
    <w:rsid w:val="00EA49A4"/>
    <w:rsid w:val="00EA4E0D"/>
    <w:rsid w:val="00EA5D86"/>
    <w:rsid w:val="00EA639A"/>
    <w:rsid w:val="00EA6BAE"/>
    <w:rsid w:val="00EA6C52"/>
    <w:rsid w:val="00EA75B4"/>
    <w:rsid w:val="00EB00F7"/>
    <w:rsid w:val="00EB44E0"/>
    <w:rsid w:val="00EB605E"/>
    <w:rsid w:val="00EB7654"/>
    <w:rsid w:val="00EB7E37"/>
    <w:rsid w:val="00EC0CAC"/>
    <w:rsid w:val="00EC1799"/>
    <w:rsid w:val="00EC1825"/>
    <w:rsid w:val="00EC1959"/>
    <w:rsid w:val="00EC20E8"/>
    <w:rsid w:val="00EC220D"/>
    <w:rsid w:val="00EC27E0"/>
    <w:rsid w:val="00EC282A"/>
    <w:rsid w:val="00EC38D5"/>
    <w:rsid w:val="00EC38EF"/>
    <w:rsid w:val="00EC3ACE"/>
    <w:rsid w:val="00EC55CA"/>
    <w:rsid w:val="00EC5C29"/>
    <w:rsid w:val="00EC674A"/>
    <w:rsid w:val="00EC6D44"/>
    <w:rsid w:val="00EC6E96"/>
    <w:rsid w:val="00EC7481"/>
    <w:rsid w:val="00ED022F"/>
    <w:rsid w:val="00ED110F"/>
    <w:rsid w:val="00ED4E18"/>
    <w:rsid w:val="00ED5A98"/>
    <w:rsid w:val="00ED6066"/>
    <w:rsid w:val="00ED6788"/>
    <w:rsid w:val="00ED6D2A"/>
    <w:rsid w:val="00EE10BA"/>
    <w:rsid w:val="00EE1443"/>
    <w:rsid w:val="00EE1933"/>
    <w:rsid w:val="00EE1BED"/>
    <w:rsid w:val="00EE362F"/>
    <w:rsid w:val="00EE4201"/>
    <w:rsid w:val="00EE4BB3"/>
    <w:rsid w:val="00EE6CF7"/>
    <w:rsid w:val="00EF281E"/>
    <w:rsid w:val="00EF29C2"/>
    <w:rsid w:val="00EF3636"/>
    <w:rsid w:val="00EF59A3"/>
    <w:rsid w:val="00EF5F25"/>
    <w:rsid w:val="00EF7323"/>
    <w:rsid w:val="00EF7423"/>
    <w:rsid w:val="00F00C1A"/>
    <w:rsid w:val="00F00DC6"/>
    <w:rsid w:val="00F0185F"/>
    <w:rsid w:val="00F030DE"/>
    <w:rsid w:val="00F0541C"/>
    <w:rsid w:val="00F07F55"/>
    <w:rsid w:val="00F14062"/>
    <w:rsid w:val="00F1413B"/>
    <w:rsid w:val="00F141E1"/>
    <w:rsid w:val="00F1499A"/>
    <w:rsid w:val="00F16EB2"/>
    <w:rsid w:val="00F2322F"/>
    <w:rsid w:val="00F241A5"/>
    <w:rsid w:val="00F26E1E"/>
    <w:rsid w:val="00F27028"/>
    <w:rsid w:val="00F27CAF"/>
    <w:rsid w:val="00F30488"/>
    <w:rsid w:val="00F30BE6"/>
    <w:rsid w:val="00F30FFE"/>
    <w:rsid w:val="00F319AD"/>
    <w:rsid w:val="00F3293A"/>
    <w:rsid w:val="00F3346C"/>
    <w:rsid w:val="00F352CC"/>
    <w:rsid w:val="00F35962"/>
    <w:rsid w:val="00F35B28"/>
    <w:rsid w:val="00F3640F"/>
    <w:rsid w:val="00F36C90"/>
    <w:rsid w:val="00F42B54"/>
    <w:rsid w:val="00F43307"/>
    <w:rsid w:val="00F43510"/>
    <w:rsid w:val="00F44745"/>
    <w:rsid w:val="00F45C8F"/>
    <w:rsid w:val="00F45C9A"/>
    <w:rsid w:val="00F50CED"/>
    <w:rsid w:val="00F51F0B"/>
    <w:rsid w:val="00F529C4"/>
    <w:rsid w:val="00F5386E"/>
    <w:rsid w:val="00F5567D"/>
    <w:rsid w:val="00F5742B"/>
    <w:rsid w:val="00F6075C"/>
    <w:rsid w:val="00F6377C"/>
    <w:rsid w:val="00F65517"/>
    <w:rsid w:val="00F67640"/>
    <w:rsid w:val="00F70A3A"/>
    <w:rsid w:val="00F71622"/>
    <w:rsid w:val="00F72239"/>
    <w:rsid w:val="00F72951"/>
    <w:rsid w:val="00F73F1C"/>
    <w:rsid w:val="00F75C20"/>
    <w:rsid w:val="00F75D4C"/>
    <w:rsid w:val="00F80F11"/>
    <w:rsid w:val="00F81AAC"/>
    <w:rsid w:val="00F8458C"/>
    <w:rsid w:val="00F86BB0"/>
    <w:rsid w:val="00F91C8E"/>
    <w:rsid w:val="00F9376F"/>
    <w:rsid w:val="00F94E31"/>
    <w:rsid w:val="00F951D2"/>
    <w:rsid w:val="00FA1D33"/>
    <w:rsid w:val="00FA204E"/>
    <w:rsid w:val="00FA24B5"/>
    <w:rsid w:val="00FA2787"/>
    <w:rsid w:val="00FA2985"/>
    <w:rsid w:val="00FA3CFA"/>
    <w:rsid w:val="00FA412E"/>
    <w:rsid w:val="00FA4DDF"/>
    <w:rsid w:val="00FA7345"/>
    <w:rsid w:val="00FA7B15"/>
    <w:rsid w:val="00FB0CF7"/>
    <w:rsid w:val="00FB1095"/>
    <w:rsid w:val="00FB170C"/>
    <w:rsid w:val="00FB3351"/>
    <w:rsid w:val="00FB5DE3"/>
    <w:rsid w:val="00FB6842"/>
    <w:rsid w:val="00FB7EF2"/>
    <w:rsid w:val="00FB7FCF"/>
    <w:rsid w:val="00FC0322"/>
    <w:rsid w:val="00FC0E77"/>
    <w:rsid w:val="00FC1C56"/>
    <w:rsid w:val="00FC1E5E"/>
    <w:rsid w:val="00FC4148"/>
    <w:rsid w:val="00FC7218"/>
    <w:rsid w:val="00FD049D"/>
    <w:rsid w:val="00FD139B"/>
    <w:rsid w:val="00FD2706"/>
    <w:rsid w:val="00FD4D50"/>
    <w:rsid w:val="00FD5A18"/>
    <w:rsid w:val="00FD77B6"/>
    <w:rsid w:val="00FE0F4A"/>
    <w:rsid w:val="00FE1217"/>
    <w:rsid w:val="00FE3789"/>
    <w:rsid w:val="00FE38C8"/>
    <w:rsid w:val="00FE46CC"/>
    <w:rsid w:val="00FE47FF"/>
    <w:rsid w:val="00FE6951"/>
    <w:rsid w:val="00FE6D02"/>
    <w:rsid w:val="00FE74E0"/>
    <w:rsid w:val="00FF177C"/>
    <w:rsid w:val="00FF297F"/>
    <w:rsid w:val="00FF30E4"/>
    <w:rsid w:val="00FF49ED"/>
    <w:rsid w:val="00FF5024"/>
    <w:rsid w:val="00FF51C3"/>
    <w:rsid w:val="00FF56D8"/>
    <w:rsid w:val="00FF5930"/>
    <w:rsid w:val="00FF7BAA"/>
    <w:rsid w:val="1EFFA1B9"/>
    <w:rsid w:val="28E71401"/>
    <w:rsid w:val="3232FCE7"/>
    <w:rsid w:val="3785CA8C"/>
    <w:rsid w:val="3BB566B8"/>
    <w:rsid w:val="69362D15"/>
    <w:rsid w:val="7E0A5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4EE8"/>
  <w15:chartTrackingRefBased/>
  <w15:docId w15:val="{DA41CAB0-56EB-41E3-9212-F3AC181C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E3"/>
    <w:pPr>
      <w:spacing w:after="0" w:line="240" w:lineRule="auto"/>
    </w:pPr>
    <w:rPr>
      <w:rFonts w:ascii="Calibri" w:eastAsia="Helvetica Neue" w:hAnsi="Calibri" w:cs="Calibri"/>
      <w:bCs/>
    </w:rPr>
  </w:style>
  <w:style w:type="paragraph" w:styleId="Heading1">
    <w:name w:val="heading 1"/>
    <w:basedOn w:val="Normal"/>
    <w:next w:val="Normal"/>
    <w:link w:val="Heading1Char"/>
    <w:uiPriority w:val="9"/>
    <w:qFormat/>
    <w:rsid w:val="00E95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2E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952E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952E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952E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952E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952E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952E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952E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952E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952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2E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95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2E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952E3"/>
    <w:pPr>
      <w:spacing w:before="160"/>
      <w:jc w:val="center"/>
    </w:pPr>
    <w:rPr>
      <w:i/>
      <w:iCs/>
      <w:color w:val="404040" w:themeColor="text1" w:themeTint="BF"/>
    </w:rPr>
  </w:style>
  <w:style w:type="character" w:customStyle="1" w:styleId="QuoteChar">
    <w:name w:val="Quote Char"/>
    <w:basedOn w:val="DefaultParagraphFont"/>
    <w:link w:val="Quote"/>
    <w:uiPriority w:val="29"/>
    <w:rsid w:val="00E952E3"/>
    <w:rPr>
      <w:i/>
      <w:iCs/>
      <w:color w:val="404040" w:themeColor="text1" w:themeTint="BF"/>
      <w:lang w:val="en-GB"/>
    </w:rPr>
  </w:style>
  <w:style w:type="paragraph" w:styleId="ListParagraph">
    <w:name w:val="List Paragraph"/>
    <w:basedOn w:val="Normal"/>
    <w:uiPriority w:val="34"/>
    <w:qFormat/>
    <w:rsid w:val="00E952E3"/>
    <w:pPr>
      <w:ind w:left="720"/>
      <w:contextualSpacing/>
    </w:pPr>
  </w:style>
  <w:style w:type="character" w:styleId="IntenseEmphasis">
    <w:name w:val="Intense Emphasis"/>
    <w:basedOn w:val="DefaultParagraphFont"/>
    <w:uiPriority w:val="21"/>
    <w:qFormat/>
    <w:rsid w:val="00E952E3"/>
    <w:rPr>
      <w:i/>
      <w:iCs/>
      <w:color w:val="0F4761" w:themeColor="accent1" w:themeShade="BF"/>
    </w:rPr>
  </w:style>
  <w:style w:type="paragraph" w:styleId="IntenseQuote">
    <w:name w:val="Intense Quote"/>
    <w:basedOn w:val="Normal"/>
    <w:next w:val="Normal"/>
    <w:link w:val="IntenseQuoteChar"/>
    <w:uiPriority w:val="30"/>
    <w:qFormat/>
    <w:rsid w:val="00E95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2E3"/>
    <w:rPr>
      <w:i/>
      <w:iCs/>
      <w:color w:val="0F4761" w:themeColor="accent1" w:themeShade="BF"/>
      <w:lang w:val="en-GB"/>
    </w:rPr>
  </w:style>
  <w:style w:type="character" w:styleId="IntenseReference">
    <w:name w:val="Intense Reference"/>
    <w:basedOn w:val="DefaultParagraphFont"/>
    <w:uiPriority w:val="32"/>
    <w:qFormat/>
    <w:rsid w:val="00E952E3"/>
    <w:rPr>
      <w:b/>
      <w:bCs/>
      <w:smallCaps/>
      <w:color w:val="0F4761" w:themeColor="accent1" w:themeShade="BF"/>
      <w:spacing w:val="5"/>
    </w:rPr>
  </w:style>
  <w:style w:type="character" w:styleId="CommentReference">
    <w:name w:val="annotation reference"/>
    <w:basedOn w:val="DefaultParagraphFont"/>
    <w:uiPriority w:val="99"/>
    <w:semiHidden/>
    <w:unhideWhenUsed/>
    <w:rsid w:val="004846F4"/>
    <w:rPr>
      <w:sz w:val="16"/>
      <w:szCs w:val="16"/>
    </w:rPr>
  </w:style>
  <w:style w:type="paragraph" w:styleId="CommentText">
    <w:name w:val="annotation text"/>
    <w:basedOn w:val="Normal"/>
    <w:link w:val="CommentTextChar"/>
    <w:uiPriority w:val="99"/>
    <w:unhideWhenUsed/>
    <w:rsid w:val="004846F4"/>
    <w:rPr>
      <w:sz w:val="20"/>
      <w:szCs w:val="20"/>
    </w:rPr>
  </w:style>
  <w:style w:type="character" w:customStyle="1" w:styleId="CommentTextChar">
    <w:name w:val="Comment Text Char"/>
    <w:basedOn w:val="DefaultParagraphFont"/>
    <w:link w:val="CommentText"/>
    <w:uiPriority w:val="99"/>
    <w:rsid w:val="004846F4"/>
    <w:rPr>
      <w:rFonts w:ascii="Calibri" w:eastAsia="Helvetica Neue" w:hAnsi="Calibri" w:cs="Calibri"/>
      <w:bCs/>
      <w:sz w:val="20"/>
      <w:szCs w:val="20"/>
      <w:lang w:val="en-GB"/>
    </w:rPr>
  </w:style>
  <w:style w:type="paragraph" w:styleId="CommentSubject">
    <w:name w:val="annotation subject"/>
    <w:basedOn w:val="CommentText"/>
    <w:next w:val="CommentText"/>
    <w:link w:val="CommentSubjectChar"/>
    <w:uiPriority w:val="99"/>
    <w:semiHidden/>
    <w:unhideWhenUsed/>
    <w:rsid w:val="004846F4"/>
    <w:rPr>
      <w:b/>
    </w:rPr>
  </w:style>
  <w:style w:type="character" w:customStyle="1" w:styleId="CommentSubjectChar">
    <w:name w:val="Comment Subject Char"/>
    <w:basedOn w:val="CommentTextChar"/>
    <w:link w:val="CommentSubject"/>
    <w:uiPriority w:val="99"/>
    <w:semiHidden/>
    <w:rsid w:val="004846F4"/>
    <w:rPr>
      <w:rFonts w:ascii="Calibri" w:eastAsia="Helvetica Neue" w:hAnsi="Calibri" w:cs="Calibri"/>
      <w:b/>
      <w:bCs/>
      <w:sz w:val="20"/>
      <w:szCs w:val="20"/>
      <w:lang w:val="en-GB"/>
    </w:rPr>
  </w:style>
  <w:style w:type="character" w:styleId="Hyperlink">
    <w:name w:val="Hyperlink"/>
    <w:basedOn w:val="DefaultParagraphFont"/>
    <w:uiPriority w:val="99"/>
    <w:unhideWhenUsed/>
    <w:rsid w:val="00CE4218"/>
    <w:rPr>
      <w:color w:val="0000FF"/>
      <w:u w:val="single"/>
    </w:rPr>
  </w:style>
  <w:style w:type="character" w:customStyle="1" w:styleId="Mentionnonrsolue1">
    <w:name w:val="Mention non résolue1"/>
    <w:basedOn w:val="DefaultParagraphFont"/>
    <w:uiPriority w:val="99"/>
    <w:semiHidden/>
    <w:unhideWhenUsed/>
    <w:rsid w:val="007E02A1"/>
    <w:rPr>
      <w:color w:val="605E5C"/>
      <w:shd w:val="clear" w:color="auto" w:fill="E1DFDD"/>
    </w:rPr>
  </w:style>
  <w:style w:type="paragraph" w:styleId="Revision">
    <w:name w:val="Revision"/>
    <w:hidden/>
    <w:uiPriority w:val="99"/>
    <w:semiHidden/>
    <w:rsid w:val="00CB5925"/>
    <w:pPr>
      <w:spacing w:after="0" w:line="240" w:lineRule="auto"/>
    </w:pPr>
    <w:rPr>
      <w:rFonts w:ascii="Calibri" w:eastAsia="Helvetica Neue" w:hAnsi="Calibri" w:cs="Calibri"/>
      <w:bCs/>
      <w:lang w:val="en-GB"/>
    </w:rPr>
  </w:style>
  <w:style w:type="table" w:styleId="TableGrid">
    <w:name w:val="Table Grid"/>
    <w:basedOn w:val="TableNormal"/>
    <w:uiPriority w:val="39"/>
    <w:rsid w:val="00C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6BC9"/>
    <w:rPr>
      <w:color w:val="96607D" w:themeColor="followedHyperlink"/>
      <w:u w:val="single"/>
    </w:rPr>
  </w:style>
  <w:style w:type="paragraph" w:customStyle="1" w:styleId="ColorfulList-Accent11">
    <w:name w:val="Colorful List - Accent 11"/>
    <w:basedOn w:val="Normal"/>
    <w:uiPriority w:val="34"/>
    <w:qFormat/>
    <w:rsid w:val="00AE65A9"/>
    <w:pPr>
      <w:ind w:left="720" w:hanging="425"/>
      <w:contextualSpacing/>
    </w:pPr>
    <w:rPr>
      <w:rFonts w:eastAsia="Calibri" w:cs="Times New Roman"/>
      <w:bCs w:val="0"/>
    </w:rPr>
  </w:style>
  <w:style w:type="paragraph" w:styleId="Header">
    <w:name w:val="header"/>
    <w:basedOn w:val="Normal"/>
    <w:link w:val="HeaderChar"/>
    <w:uiPriority w:val="99"/>
    <w:unhideWhenUsed/>
    <w:rsid w:val="006E2DD3"/>
    <w:pPr>
      <w:tabs>
        <w:tab w:val="center" w:pos="4680"/>
        <w:tab w:val="right" w:pos="9360"/>
      </w:tabs>
    </w:pPr>
  </w:style>
  <w:style w:type="character" w:customStyle="1" w:styleId="HeaderChar">
    <w:name w:val="Header Char"/>
    <w:basedOn w:val="DefaultParagraphFont"/>
    <w:link w:val="Header"/>
    <w:uiPriority w:val="99"/>
    <w:rsid w:val="006E2DD3"/>
    <w:rPr>
      <w:rFonts w:ascii="Calibri" w:eastAsia="Helvetica Neue" w:hAnsi="Calibri" w:cs="Calibri"/>
      <w:bCs/>
      <w:lang w:val="en-GB"/>
    </w:rPr>
  </w:style>
  <w:style w:type="paragraph" w:styleId="Footer">
    <w:name w:val="footer"/>
    <w:basedOn w:val="Normal"/>
    <w:link w:val="FooterChar"/>
    <w:uiPriority w:val="99"/>
    <w:unhideWhenUsed/>
    <w:rsid w:val="006E2DD3"/>
    <w:pPr>
      <w:tabs>
        <w:tab w:val="center" w:pos="4680"/>
        <w:tab w:val="right" w:pos="9360"/>
      </w:tabs>
    </w:pPr>
  </w:style>
  <w:style w:type="character" w:customStyle="1" w:styleId="FooterChar">
    <w:name w:val="Footer Char"/>
    <w:basedOn w:val="DefaultParagraphFont"/>
    <w:link w:val="Footer"/>
    <w:uiPriority w:val="99"/>
    <w:rsid w:val="006E2DD3"/>
    <w:rPr>
      <w:rFonts w:ascii="Calibri" w:eastAsia="Helvetica Neue" w:hAnsi="Calibri" w:cs="Calibri"/>
      <w:bCs/>
      <w:lang w:val="en-GB"/>
    </w:rPr>
  </w:style>
  <w:style w:type="character" w:styleId="FootnoteReference">
    <w:name w:val="footnote reference"/>
    <w:aliases w:val="Appel note de bas de page,stylish,Ref,de nota al pie,16 Point,Superscript 6 Point,Footnotemark,FR,Footnotemark1,Footnotemark2,FR1,Footnotemark3,FR2,Footnotemark4,FR3,Footnotemark5,FR4,Footnotemark6,Footnotemark7,Footnotemark8,FR5"/>
    <w:basedOn w:val="DefaultParagraphFont"/>
    <w:uiPriority w:val="99"/>
    <w:unhideWhenUsed/>
    <w:qFormat/>
    <w:rsid w:val="00EC7481"/>
    <w:rPr>
      <w:vertAlign w:val="superscript"/>
    </w:rPr>
  </w:style>
  <w:style w:type="paragraph" w:customStyle="1" w:styleId="Footnote">
    <w:name w:val="Footnote"/>
    <w:basedOn w:val="FootnoteText"/>
    <w:link w:val="FootnoteChar"/>
    <w:qFormat/>
    <w:rsid w:val="00EC7481"/>
    <w:pPr>
      <w:ind w:left="425" w:hanging="425"/>
    </w:pPr>
  </w:style>
  <w:style w:type="character" w:customStyle="1" w:styleId="FootnoteChar">
    <w:name w:val="Footnote Char"/>
    <w:basedOn w:val="FootnoteTextChar"/>
    <w:link w:val="Footnote"/>
    <w:rsid w:val="00EC7481"/>
    <w:rPr>
      <w:rFonts w:ascii="Calibri" w:eastAsia="Calibri" w:hAnsi="Calibri" w:cs="Times New Roman"/>
      <w:bCs/>
      <w:sz w:val="20"/>
      <w:szCs w:val="20"/>
      <w:lang w:val="en-GB"/>
    </w:rPr>
  </w:style>
  <w:style w:type="table" w:customStyle="1" w:styleId="5">
    <w:name w:val="5"/>
    <w:basedOn w:val="TableNormal"/>
    <w:rsid w:val="00EC7481"/>
    <w:rPr>
      <w:rFonts w:ascii="Calibri" w:eastAsia="Calibri" w:hAnsi="Calibri" w:cs="Calibri"/>
      <w:lang w:val="en-GB" w:eastAsia="ko-KR"/>
    </w:rPr>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rsid w:val="00EC7481"/>
    <w:pPr>
      <w:ind w:left="432" w:hanging="432"/>
    </w:pPr>
    <w:rPr>
      <w:rFonts w:eastAsia="Calibri" w:cs="Times New Roman"/>
      <w:bCs w:val="0"/>
      <w:sz w:val="20"/>
      <w:szCs w:val="20"/>
    </w:rPr>
  </w:style>
  <w:style w:type="character" w:customStyle="1" w:styleId="FootnoteTextChar">
    <w:name w:val="Footnote Text Char"/>
    <w:basedOn w:val="DefaultParagraphFont"/>
    <w:link w:val="FootnoteText"/>
    <w:uiPriority w:val="99"/>
    <w:rsid w:val="00EC7481"/>
    <w:rPr>
      <w:rFonts w:ascii="Calibri" w:eastAsia="Calibri" w:hAnsi="Calibri" w:cs="Times New Roman"/>
      <w:sz w:val="20"/>
      <w:szCs w:val="20"/>
      <w:lang w:val="en-GB"/>
    </w:rPr>
  </w:style>
  <w:style w:type="character" w:styleId="UnresolvedMention">
    <w:name w:val="Unresolved Mention"/>
    <w:basedOn w:val="DefaultParagraphFont"/>
    <w:uiPriority w:val="99"/>
    <w:semiHidden/>
    <w:unhideWhenUsed/>
    <w:rsid w:val="007E3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3764">
      <w:bodyDiv w:val="1"/>
      <w:marLeft w:val="0"/>
      <w:marRight w:val="0"/>
      <w:marTop w:val="0"/>
      <w:marBottom w:val="0"/>
      <w:divBdr>
        <w:top w:val="none" w:sz="0" w:space="0" w:color="auto"/>
        <w:left w:val="none" w:sz="0" w:space="0" w:color="auto"/>
        <w:bottom w:val="none" w:sz="0" w:space="0" w:color="auto"/>
        <w:right w:val="none" w:sz="0" w:space="0" w:color="auto"/>
      </w:divBdr>
    </w:div>
    <w:div w:id="381490374">
      <w:bodyDiv w:val="1"/>
      <w:marLeft w:val="0"/>
      <w:marRight w:val="0"/>
      <w:marTop w:val="0"/>
      <w:marBottom w:val="0"/>
      <w:divBdr>
        <w:top w:val="none" w:sz="0" w:space="0" w:color="auto"/>
        <w:left w:val="none" w:sz="0" w:space="0" w:color="auto"/>
        <w:bottom w:val="none" w:sz="0" w:space="0" w:color="auto"/>
        <w:right w:val="none" w:sz="0" w:space="0" w:color="auto"/>
      </w:divBdr>
    </w:div>
    <w:div w:id="942540798">
      <w:bodyDiv w:val="1"/>
      <w:marLeft w:val="0"/>
      <w:marRight w:val="0"/>
      <w:marTop w:val="0"/>
      <w:marBottom w:val="0"/>
      <w:divBdr>
        <w:top w:val="none" w:sz="0" w:space="0" w:color="auto"/>
        <w:left w:val="none" w:sz="0" w:space="0" w:color="auto"/>
        <w:bottom w:val="none" w:sz="0" w:space="0" w:color="auto"/>
        <w:right w:val="none" w:sz="0" w:space="0" w:color="auto"/>
      </w:divBdr>
    </w:div>
    <w:div w:id="1083263212">
      <w:bodyDiv w:val="1"/>
      <w:marLeft w:val="0"/>
      <w:marRight w:val="0"/>
      <w:marTop w:val="0"/>
      <w:marBottom w:val="0"/>
      <w:divBdr>
        <w:top w:val="none" w:sz="0" w:space="0" w:color="auto"/>
        <w:left w:val="none" w:sz="0" w:space="0" w:color="auto"/>
        <w:bottom w:val="none" w:sz="0" w:space="0" w:color="auto"/>
        <w:right w:val="none" w:sz="0" w:space="0" w:color="auto"/>
      </w:divBdr>
    </w:div>
    <w:div w:id="1097294007">
      <w:bodyDiv w:val="1"/>
      <w:marLeft w:val="0"/>
      <w:marRight w:val="0"/>
      <w:marTop w:val="0"/>
      <w:marBottom w:val="0"/>
      <w:divBdr>
        <w:top w:val="none" w:sz="0" w:space="0" w:color="auto"/>
        <w:left w:val="none" w:sz="0" w:space="0" w:color="auto"/>
        <w:bottom w:val="none" w:sz="0" w:space="0" w:color="auto"/>
        <w:right w:val="none" w:sz="0" w:space="0" w:color="auto"/>
      </w:divBdr>
    </w:div>
    <w:div w:id="1168129092">
      <w:bodyDiv w:val="1"/>
      <w:marLeft w:val="0"/>
      <w:marRight w:val="0"/>
      <w:marTop w:val="0"/>
      <w:marBottom w:val="0"/>
      <w:divBdr>
        <w:top w:val="none" w:sz="0" w:space="0" w:color="auto"/>
        <w:left w:val="none" w:sz="0" w:space="0" w:color="auto"/>
        <w:bottom w:val="none" w:sz="0" w:space="0" w:color="auto"/>
        <w:right w:val="none" w:sz="0" w:space="0" w:color="auto"/>
      </w:divBdr>
    </w:div>
    <w:div w:id="1232274726">
      <w:bodyDiv w:val="1"/>
      <w:marLeft w:val="0"/>
      <w:marRight w:val="0"/>
      <w:marTop w:val="0"/>
      <w:marBottom w:val="0"/>
      <w:divBdr>
        <w:top w:val="none" w:sz="0" w:space="0" w:color="auto"/>
        <w:left w:val="none" w:sz="0" w:space="0" w:color="auto"/>
        <w:bottom w:val="none" w:sz="0" w:space="0" w:color="auto"/>
        <w:right w:val="none" w:sz="0" w:space="0" w:color="auto"/>
      </w:divBdr>
    </w:div>
    <w:div w:id="1238708401">
      <w:bodyDiv w:val="1"/>
      <w:marLeft w:val="0"/>
      <w:marRight w:val="0"/>
      <w:marTop w:val="0"/>
      <w:marBottom w:val="0"/>
      <w:divBdr>
        <w:top w:val="none" w:sz="0" w:space="0" w:color="auto"/>
        <w:left w:val="none" w:sz="0" w:space="0" w:color="auto"/>
        <w:bottom w:val="none" w:sz="0" w:space="0" w:color="auto"/>
        <w:right w:val="none" w:sz="0" w:space="0" w:color="auto"/>
      </w:divBdr>
    </w:div>
    <w:div w:id="16610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sites/default/files/documents/library/xiv.14_sci_tech_e.pdf" TargetMode="External"/><Relationship Id="rId18" Type="http://schemas.openxmlformats.org/officeDocument/2006/relationships/hyperlink" Target="https://wpp.wetlands.org/" TargetMode="External"/><Relationship Id="rId26" Type="http://schemas.openxmlformats.org/officeDocument/2006/relationships/hyperlink" Target="https://referenceworks.brillonline.com/browse/foreign-law-guide" TargetMode="External"/><Relationship Id="rId3" Type="http://schemas.openxmlformats.org/officeDocument/2006/relationships/customXml" Target="../customXml/item3.xml"/><Relationship Id="rId21" Type="http://schemas.openxmlformats.org/officeDocument/2006/relationships/hyperlink" Target="mailto:wpe@wetlands.org" TargetMode="Externa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ramsar.org/document/report-decisions-63rd-meeting-standing-committee" TargetMode="External"/><Relationship Id="rId17" Type="http://schemas.openxmlformats.org/officeDocument/2006/relationships/hyperlink" Target="https://www.ramsar.org/document/resolution-xiv18-waterbird-population-estimates-support-new-existing-ramsar-site" TargetMode="External"/><Relationship Id="rId25" Type="http://schemas.openxmlformats.org/officeDocument/2006/relationships/hyperlink" Target="https://guides.loc.gov/nations-world"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rp@ramsar.org" TargetMode="External"/><Relationship Id="rId29" Type="http://schemas.openxmlformats.org/officeDocument/2006/relationships/hyperlink" Target="https://policies.worldban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msar.org/document/sc63-doc19-report-chair-scientific-technical-review-panel-implementation-strp-work-plan" TargetMode="External"/><Relationship Id="rId24" Type="http://schemas.openxmlformats.org/officeDocument/2006/relationships/hyperlink" Target="https://www.nyulawglobal.org/globalex/flr.html"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colex.org/" TargetMode="External"/><Relationship Id="rId28" Type="http://schemas.openxmlformats.org/officeDocument/2006/relationships/hyperlink" Target="https://iea.uoregon.edu/" TargetMode="External"/><Relationship Id="rId36" Type="http://schemas.openxmlformats.org/officeDocument/2006/relationships/theme" Target="theme/theme1.xml"/><Relationship Id="rId10" Type="http://schemas.openxmlformats.org/officeDocument/2006/relationships/hyperlink" Target="https://www.ramsar.org/communiques-chair-scientific-technical-review-panel-strp" TargetMode="External"/><Relationship Id="rId19" Type="http://schemas.openxmlformats.org/officeDocument/2006/relationships/hyperlink" Target="https://wpp.wetlands.org/data/Threshold" TargetMode="External"/><Relationship Id="rId31" Type="http://schemas.openxmlformats.org/officeDocument/2006/relationships/hyperlink" Target="https://papers.ssrn.com/sol3/papers.cfm?abstract_id=11299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msar.org/sites/default/files/2023-09/STRP_workplan_2023_2025_e.pdf" TargetMode="External"/><Relationship Id="rId22" Type="http://schemas.openxmlformats.org/officeDocument/2006/relationships/hyperlink" Target="https://www.legal-atlas.com/legal-intelligence-platform.html" TargetMode="External"/><Relationship Id="rId27" Type="http://schemas.openxmlformats.org/officeDocument/2006/relationships/hyperlink" Target="https://eur-lex.europa.eu/homepage.html" TargetMode="External"/><Relationship Id="rId30" Type="http://schemas.openxmlformats.org/officeDocument/2006/relationships/hyperlink" Target="https://treaties.un.org/"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publications" TargetMode="External"/><Relationship Id="rId3" Type="http://schemas.openxmlformats.org/officeDocument/2006/relationships/hyperlink" Target="https://www.ramsar.org/document/sc63-inf3-submission-convention-wetlands-6th-meeting-ad-hoc-technical-expert-group" TargetMode="External"/><Relationship Id="rId7" Type="http://schemas.openxmlformats.org/officeDocument/2006/relationships/hyperlink" Target="https://www.global-wetland-outlook.ramsar.org/" TargetMode="External"/><Relationship Id="rId12" Type="http://schemas.openxmlformats.org/officeDocument/2006/relationships/hyperlink" Target="https://www.cms.int/en/document/central-asian-flyway-action-plan-conservation-migratory-waterbirds-and-their-habitats" TargetMode="External"/><Relationship Id="rId2" Type="http://schemas.openxmlformats.org/officeDocument/2006/relationships/hyperlink" Target="https://elearning.fao.org/" TargetMode="External"/><Relationship Id="rId1" Type="http://schemas.openxmlformats.org/officeDocument/2006/relationships/hyperlink" Target="https://www.ramsar.org/document/population-estimates-1-thresholds-wetland-dependent-non-avian-animal-species-application" TargetMode="External"/><Relationship Id="rId6" Type="http://schemas.openxmlformats.org/officeDocument/2006/relationships/hyperlink" Target="https://scholarship.law.duke.edu/cgi/viewcontent.cgi?article=1250&amp;context=delpf" TargetMode="External"/><Relationship Id="rId11" Type="http://schemas.openxmlformats.org/officeDocument/2006/relationships/hyperlink" Target="https://www.ipbes.net/document-library-catalogue/ipbes-assessment-guide-summary" TargetMode="External"/><Relationship Id="rId5" Type="http://schemas.openxmlformats.org/officeDocument/2006/relationships/hyperlink" Target="https://www.ramsar.org/document/scaling-wetland-conservation-restoration-deliver-kunming-montreal-global-biodiversity" TargetMode="External"/><Relationship Id="rId10" Type="http://schemas.openxmlformats.org/officeDocument/2006/relationships/hyperlink" Target="https://www.ipcc.ch/site/assets/uploads/2018/09/ipcc-principles-appendix-a-final.pdf" TargetMode="External"/><Relationship Id="rId4" Type="http://schemas.openxmlformats.org/officeDocument/2006/relationships/hyperlink" Target="https://www.ramsar.org/document/kunming-montreal-global-biodiversity-framework-upscaling-wetland-conservation-restoration" TargetMode="External"/><Relationship Id="rId9" Type="http://schemas.openxmlformats.org/officeDocument/2006/relationships/hyperlink" Target="https://www.ipbes.net/guide-production-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DD9FE-AF98-4FAD-84B3-062267C74FBE}">
  <ds:schemaRefs>
    <ds:schemaRef ds:uri="http://schemas.openxmlformats.org/officeDocument/2006/bibliography"/>
  </ds:schemaRefs>
</ds:datastoreItem>
</file>

<file path=customXml/itemProps2.xml><?xml version="1.0" encoding="utf-8"?>
<ds:datastoreItem xmlns:ds="http://schemas.openxmlformats.org/officeDocument/2006/customXml" ds:itemID="{675E5C5B-789E-4CAA-9F7B-B95B8F73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0ED0B-2E87-47AD-8951-7ED3542B7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20649</Words>
  <Characters>112336</Characters>
  <Application>Microsoft Office Word</Application>
  <DocSecurity>0</DocSecurity>
  <Lines>4160</Lines>
  <Paragraphs>1231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5</cp:revision>
  <dcterms:created xsi:type="dcterms:W3CDTF">2024-11-11T13:17:00Z</dcterms:created>
  <dcterms:modified xsi:type="dcterms:W3CDTF">2024-11-11T15:06:00Z</dcterms:modified>
</cp:coreProperties>
</file>