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57DC4" w14:textId="77777777" w:rsidR="00E04B21" w:rsidRPr="006D3772" w:rsidRDefault="00E04B21" w:rsidP="00E04B21">
      <w:pPr>
        <w:pBdr>
          <w:top w:val="single" w:sz="12" w:space="0" w:color="auto" w:shadow="1"/>
          <w:left w:val="single" w:sz="12" w:space="4" w:color="auto" w:shadow="1"/>
          <w:bottom w:val="single" w:sz="12" w:space="1" w:color="auto" w:shadow="1"/>
          <w:right w:val="single" w:sz="12" w:space="0" w:color="auto" w:shadow="1"/>
        </w:pBdr>
        <w:suppressAutoHyphens/>
        <w:ind w:left="432" w:right="3753" w:hanging="432"/>
        <w:rPr>
          <w:rFonts w:eastAsia="Calibri"/>
          <w:lang w:val="es-ES"/>
        </w:rPr>
      </w:pPr>
      <w:r w:rsidRPr="006D3772">
        <w:rPr>
          <w:rFonts w:eastAsia="Calibri"/>
          <w:lang w:val="es-ES"/>
        </w:rPr>
        <w:t xml:space="preserve">LA CONVENCIÓN SOBRE LOS HUMEDALES </w:t>
      </w:r>
    </w:p>
    <w:p w14:paraId="5DA6A8B6" w14:textId="77777777" w:rsidR="00E04B21" w:rsidRPr="006D3772" w:rsidRDefault="00E04B21" w:rsidP="00E04B21">
      <w:pPr>
        <w:pBdr>
          <w:top w:val="single" w:sz="12" w:space="0" w:color="auto" w:shadow="1"/>
          <w:left w:val="single" w:sz="12" w:space="4" w:color="auto" w:shadow="1"/>
          <w:bottom w:val="single" w:sz="12" w:space="1" w:color="auto" w:shadow="1"/>
          <w:right w:val="single" w:sz="12" w:space="0" w:color="auto" w:shadow="1"/>
        </w:pBdr>
        <w:suppressAutoHyphens/>
        <w:ind w:left="432" w:right="3753" w:hanging="432"/>
        <w:rPr>
          <w:rFonts w:eastAsia="Calibri"/>
          <w:bCs w:val="0"/>
          <w:lang w:val="es-ES"/>
        </w:rPr>
      </w:pPr>
      <w:r w:rsidRPr="006D3772">
        <w:rPr>
          <w:rFonts w:eastAsia="Calibri" w:cs="Times New Roman"/>
          <w:lang w:val="es-ES"/>
        </w:rPr>
        <w:t>64</w:t>
      </w:r>
      <w:r w:rsidRPr="006D3772">
        <w:rPr>
          <w:rFonts w:eastAsia="Calibri" w:cs="Times New Roman"/>
          <w:vertAlign w:val="superscript"/>
          <w:lang w:val="es-ES"/>
        </w:rPr>
        <w:t>a</w:t>
      </w:r>
      <w:r w:rsidRPr="006D3772">
        <w:rPr>
          <w:rFonts w:eastAsia="Calibri" w:cs="Times New Roman"/>
          <w:lang w:val="es-ES"/>
        </w:rPr>
        <w:t xml:space="preserve"> reunión del Comité Permanente</w:t>
      </w:r>
      <w:r w:rsidRPr="006D3772">
        <w:rPr>
          <w:rFonts w:eastAsia="Calibri"/>
          <w:bCs w:val="0"/>
          <w:lang w:val="es-ES"/>
        </w:rPr>
        <w:t xml:space="preserve"> </w:t>
      </w:r>
    </w:p>
    <w:p w14:paraId="5DA32628" w14:textId="77777777" w:rsidR="00E04B21" w:rsidRPr="006D3772" w:rsidRDefault="00E04B21" w:rsidP="00E04B21">
      <w:pPr>
        <w:pBdr>
          <w:top w:val="single" w:sz="12" w:space="0" w:color="auto" w:shadow="1"/>
          <w:left w:val="single" w:sz="12" w:space="4" w:color="auto" w:shadow="1"/>
          <w:bottom w:val="single" w:sz="12" w:space="1" w:color="auto" w:shadow="1"/>
          <w:right w:val="single" w:sz="12" w:space="0" w:color="auto" w:shadow="1"/>
        </w:pBdr>
        <w:suppressAutoHyphens/>
        <w:ind w:left="432" w:right="3753" w:hanging="432"/>
        <w:rPr>
          <w:rFonts w:eastAsia="Calibri"/>
          <w:bCs w:val="0"/>
          <w:lang w:val="es-ES"/>
        </w:rPr>
      </w:pPr>
      <w:r w:rsidRPr="006D3772">
        <w:rPr>
          <w:rFonts w:eastAsia="Calibri"/>
          <w:bCs w:val="0"/>
          <w:lang w:val="es-ES"/>
        </w:rPr>
        <w:t>Gland, Suiza, 20 a 24 de enero de 2025</w:t>
      </w:r>
    </w:p>
    <w:p w14:paraId="6BFB0406" w14:textId="77777777" w:rsidR="00AE65A9" w:rsidRPr="006D3772" w:rsidRDefault="00AE65A9" w:rsidP="00CC2E0C">
      <w:pPr>
        <w:rPr>
          <w:sz w:val="28"/>
          <w:szCs w:val="28"/>
          <w:lang w:val="es-ES"/>
        </w:rPr>
      </w:pPr>
    </w:p>
    <w:p w14:paraId="17D646AE" w14:textId="0A4882BA" w:rsidR="00AE65A9" w:rsidRPr="006D3772" w:rsidRDefault="00F319AD" w:rsidP="00AE65A9">
      <w:pPr>
        <w:jc w:val="right"/>
        <w:rPr>
          <w:rFonts w:eastAsia="Calibri"/>
          <w:b/>
          <w:sz w:val="28"/>
          <w:szCs w:val="28"/>
          <w:lang w:val="es-ES"/>
        </w:rPr>
      </w:pPr>
      <w:r w:rsidRPr="006D3772">
        <w:rPr>
          <w:rFonts w:eastAsia="Calibri"/>
          <w:b/>
          <w:sz w:val="28"/>
          <w:szCs w:val="28"/>
          <w:lang w:val="es-ES"/>
        </w:rPr>
        <w:t>SC64 Doc.</w:t>
      </w:r>
      <w:r w:rsidR="000D0240" w:rsidRPr="006D3772">
        <w:rPr>
          <w:rFonts w:eastAsia="Calibri"/>
          <w:b/>
          <w:sz w:val="28"/>
          <w:szCs w:val="28"/>
          <w:lang w:val="es-ES"/>
        </w:rPr>
        <w:t>1</w:t>
      </w:r>
      <w:r w:rsidR="006E6FED" w:rsidRPr="006D3772">
        <w:rPr>
          <w:rFonts w:eastAsia="Calibri"/>
          <w:b/>
          <w:sz w:val="28"/>
          <w:szCs w:val="28"/>
          <w:lang w:val="es-ES"/>
        </w:rPr>
        <w:t>8</w:t>
      </w:r>
    </w:p>
    <w:p w14:paraId="1262354A" w14:textId="77777777" w:rsidR="00AE65A9" w:rsidRPr="006D3772" w:rsidRDefault="00AE65A9" w:rsidP="00AE65A9">
      <w:pPr>
        <w:jc w:val="center"/>
        <w:rPr>
          <w:rFonts w:eastAsia="Calibri"/>
          <w:b/>
          <w:sz w:val="28"/>
          <w:szCs w:val="28"/>
          <w:lang w:val="es-ES"/>
        </w:rPr>
      </w:pPr>
    </w:p>
    <w:p w14:paraId="0C4FFF23" w14:textId="324C4F5C" w:rsidR="00E04B21" w:rsidRPr="006D3772" w:rsidRDefault="00E04B21" w:rsidP="00AE65A9">
      <w:pPr>
        <w:jc w:val="center"/>
        <w:rPr>
          <w:rFonts w:eastAsia="Calibri"/>
          <w:b/>
          <w:sz w:val="28"/>
          <w:szCs w:val="28"/>
          <w:lang w:val="es-ES"/>
        </w:rPr>
      </w:pPr>
      <w:r w:rsidRPr="006D3772">
        <w:rPr>
          <w:rFonts w:eastAsia="Calibri"/>
          <w:b/>
          <w:sz w:val="28"/>
          <w:szCs w:val="28"/>
          <w:lang w:val="es-ES"/>
        </w:rPr>
        <w:t xml:space="preserve">Informe de la Presidencia del Grupo de Examen </w:t>
      </w:r>
      <w:r w:rsidR="00EE395D" w:rsidRPr="006D3772">
        <w:rPr>
          <w:rFonts w:eastAsia="Calibri"/>
          <w:b/>
          <w:sz w:val="28"/>
          <w:szCs w:val="28"/>
          <w:lang w:val="es-ES"/>
        </w:rPr>
        <w:t>Científico y Técnico</w:t>
      </w:r>
    </w:p>
    <w:p w14:paraId="32B444A9" w14:textId="77777777" w:rsidR="00AE65A9" w:rsidRPr="006D3772" w:rsidRDefault="00AE65A9" w:rsidP="00AE65A9">
      <w:pPr>
        <w:rPr>
          <w:sz w:val="28"/>
          <w:szCs w:val="28"/>
          <w:lang w:val="es-ES"/>
        </w:rPr>
      </w:pPr>
    </w:p>
    <w:p w14:paraId="48BADD56" w14:textId="77777777" w:rsidR="00AE65A9" w:rsidRPr="006D3772" w:rsidRDefault="00F319AD" w:rsidP="00AE65A9">
      <w:pPr>
        <w:autoSpaceDE w:val="0"/>
        <w:autoSpaceDN w:val="0"/>
        <w:adjustRightInd w:val="0"/>
        <w:rPr>
          <w:rFonts w:eastAsiaTheme="minorHAnsi"/>
          <w:b/>
          <w:bCs w:val="0"/>
          <w:lang w:val="es-ES"/>
        </w:rPr>
      </w:pPr>
      <w:r w:rsidRPr="006D3772">
        <w:rPr>
          <w:noProof/>
          <w:lang w:val="es-ES" w:eastAsia="en-GB"/>
        </w:rPr>
        <mc:AlternateContent>
          <mc:Choice Requires="wps">
            <w:drawing>
              <wp:inline distT="0" distB="0" distL="0" distR="0" wp14:anchorId="11A3FC30" wp14:editId="5DF38EF4">
                <wp:extent cx="5731510" cy="3238500"/>
                <wp:effectExtent l="0" t="0" r="2159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238500"/>
                        </a:xfrm>
                        <a:prstGeom prst="rect">
                          <a:avLst/>
                        </a:prstGeom>
                        <a:solidFill>
                          <a:srgbClr val="FFFFFF"/>
                        </a:solidFill>
                        <a:ln w="9525">
                          <a:solidFill>
                            <a:srgbClr val="000000"/>
                          </a:solidFill>
                          <a:miter lim="800000"/>
                          <a:headEnd/>
                          <a:tailEnd/>
                        </a:ln>
                      </wps:spPr>
                      <wps:txbx>
                        <w:txbxContent>
                          <w:p w14:paraId="5778720F" w14:textId="77777777" w:rsidR="005B2CAF" w:rsidRPr="00A138A6" w:rsidRDefault="005B2CAF" w:rsidP="00AE65A9">
                            <w:pPr>
                              <w:rPr>
                                <w:rFonts w:asciiTheme="majorHAnsi" w:hAnsiTheme="majorHAnsi" w:cstheme="majorHAnsi"/>
                                <w:b/>
                                <w:lang w:val="es-ES"/>
                              </w:rPr>
                            </w:pPr>
                            <w:r w:rsidRPr="00A138A6">
                              <w:rPr>
                                <w:rFonts w:asciiTheme="majorHAnsi" w:hAnsiTheme="majorHAnsi" w:cstheme="majorHAnsi"/>
                                <w:b/>
                                <w:lang w:val="es-ES"/>
                              </w:rPr>
                              <w:t>Acciones solicitadas:</w:t>
                            </w:r>
                          </w:p>
                          <w:p w14:paraId="7D0003CC" w14:textId="77777777" w:rsidR="00AE65A9" w:rsidRPr="00A138A6" w:rsidRDefault="00AE65A9" w:rsidP="00AE65A9">
                            <w:pPr>
                              <w:pStyle w:val="ColorfulList-Accent11"/>
                              <w:ind w:left="0"/>
                              <w:rPr>
                                <w:rFonts w:asciiTheme="majorHAnsi" w:hAnsiTheme="majorHAnsi" w:cstheme="majorHAnsi"/>
                                <w:lang w:val="es-ES"/>
                              </w:rPr>
                            </w:pPr>
                          </w:p>
                          <w:p w14:paraId="60478DA2" w14:textId="1459D520" w:rsidR="005B2CAF" w:rsidRPr="005B2CAF" w:rsidRDefault="005B2CAF" w:rsidP="00AE65A9">
                            <w:pPr>
                              <w:pStyle w:val="ColorfulList-Accent11"/>
                              <w:ind w:left="0" w:firstLine="0"/>
                              <w:rPr>
                                <w:rFonts w:cs="Calibri"/>
                                <w:lang w:val="es-ES"/>
                              </w:rPr>
                            </w:pPr>
                            <w:r w:rsidRPr="005B2CAF">
                              <w:rPr>
                                <w:rFonts w:cs="Calibri"/>
                                <w:lang w:val="es-ES"/>
                              </w:rPr>
                              <w:t>Se invita al Comité Permanente a</w:t>
                            </w:r>
                            <w:r w:rsidR="0012694A">
                              <w:rPr>
                                <w:rFonts w:cs="Calibri"/>
                                <w:lang w:val="es-ES"/>
                              </w:rPr>
                              <w:t xml:space="preserve"> hacer lo siguiente</w:t>
                            </w:r>
                            <w:r w:rsidRPr="005B2CAF">
                              <w:rPr>
                                <w:rFonts w:cs="Calibri"/>
                                <w:lang w:val="es-ES"/>
                              </w:rPr>
                              <w:t>:</w:t>
                            </w:r>
                          </w:p>
                          <w:p w14:paraId="55061CEA" w14:textId="77777777" w:rsidR="00AE65A9" w:rsidRPr="005B2CAF" w:rsidRDefault="00AE65A9" w:rsidP="00AE65A9">
                            <w:pPr>
                              <w:pStyle w:val="ColorfulList-Accent11"/>
                              <w:ind w:left="0"/>
                              <w:rPr>
                                <w:rFonts w:cs="Calibri"/>
                                <w:lang w:val="es-ES"/>
                              </w:rPr>
                            </w:pPr>
                          </w:p>
                          <w:p w14:paraId="4E37E5FB" w14:textId="3C7685C8" w:rsidR="005B2CAF" w:rsidRDefault="005B2CAF" w:rsidP="00416FC1">
                            <w:pPr>
                              <w:pStyle w:val="ColorfulList-Accent11"/>
                              <w:numPr>
                                <w:ilvl w:val="0"/>
                                <w:numId w:val="38"/>
                              </w:numPr>
                              <w:ind w:left="426" w:hanging="426"/>
                              <w:rPr>
                                <w:rFonts w:cs="Calibri"/>
                                <w:lang w:val="es-ES"/>
                              </w:rPr>
                            </w:pPr>
                            <w:r>
                              <w:rPr>
                                <w:rFonts w:cs="Calibri"/>
                                <w:lang w:val="es-ES"/>
                              </w:rPr>
                              <w:t>t</w:t>
                            </w:r>
                            <w:r w:rsidRPr="005B2CAF">
                              <w:rPr>
                                <w:rFonts w:cs="Calibri"/>
                                <w:lang w:val="es-ES"/>
                              </w:rPr>
                              <w:t>omar nota del informe de la Presidencia del G</w:t>
                            </w:r>
                            <w:r>
                              <w:rPr>
                                <w:rFonts w:cs="Calibri"/>
                                <w:lang w:val="es-ES"/>
                              </w:rPr>
                              <w:t>ECT;</w:t>
                            </w:r>
                          </w:p>
                          <w:p w14:paraId="4452CBC4" w14:textId="77777777" w:rsidR="00AE65A9" w:rsidRPr="005B2CAF" w:rsidRDefault="00AE65A9" w:rsidP="00EF7423">
                            <w:pPr>
                              <w:pStyle w:val="ColorfulList-Accent11"/>
                              <w:ind w:left="426" w:hanging="426"/>
                              <w:rPr>
                                <w:rFonts w:cs="Calibri"/>
                                <w:lang w:val="es-ES"/>
                              </w:rPr>
                            </w:pPr>
                          </w:p>
                          <w:p w14:paraId="17223285" w14:textId="74FAC4B9" w:rsidR="00EE395D" w:rsidRPr="00416FC1" w:rsidRDefault="005B2CAF" w:rsidP="00416FC1">
                            <w:pPr>
                              <w:pStyle w:val="ColorfulList-Accent11"/>
                              <w:numPr>
                                <w:ilvl w:val="0"/>
                                <w:numId w:val="38"/>
                              </w:numPr>
                              <w:tabs>
                                <w:tab w:val="left" w:pos="426"/>
                              </w:tabs>
                              <w:ind w:left="426" w:hanging="426"/>
                              <w:rPr>
                                <w:rFonts w:cs="Calibri"/>
                                <w:lang w:val="es-ES"/>
                              </w:rPr>
                            </w:pPr>
                            <w:r w:rsidRPr="00416FC1">
                              <w:rPr>
                                <w:rFonts w:cs="Calibri"/>
                                <w:lang w:val="es-ES"/>
                              </w:rPr>
                              <w:t xml:space="preserve">considerar las </w:t>
                            </w:r>
                            <w:r w:rsidR="00F319AD" w:rsidRPr="00416FC1">
                              <w:rPr>
                                <w:rFonts w:cs="Calibri"/>
                                <w:lang w:val="es-ES"/>
                              </w:rPr>
                              <w:t>recomenda</w:t>
                            </w:r>
                            <w:r w:rsidRPr="00416FC1">
                              <w:rPr>
                                <w:rFonts w:cs="Calibri"/>
                                <w:lang w:val="es-ES"/>
                              </w:rPr>
                              <w:t>ciones</w:t>
                            </w:r>
                            <w:r w:rsidR="00F319AD" w:rsidRPr="00416FC1">
                              <w:rPr>
                                <w:rFonts w:cs="Calibri"/>
                                <w:lang w:val="es-ES"/>
                              </w:rPr>
                              <w:t xml:space="preserve"> present</w:t>
                            </w:r>
                            <w:r w:rsidRPr="00416FC1">
                              <w:rPr>
                                <w:rFonts w:cs="Calibri"/>
                                <w:lang w:val="es-ES"/>
                              </w:rPr>
                              <w:t>adas por el GECT en el párrafo 3</w:t>
                            </w:r>
                            <w:r w:rsidR="006C4877">
                              <w:rPr>
                                <w:rFonts w:cs="Calibri"/>
                                <w:lang w:val="es-ES"/>
                              </w:rPr>
                              <w:t>4</w:t>
                            </w:r>
                            <w:r w:rsidRPr="00416FC1">
                              <w:rPr>
                                <w:rFonts w:cs="Calibri"/>
                                <w:lang w:val="es-ES"/>
                              </w:rPr>
                              <w:t xml:space="preserve"> de</w:t>
                            </w:r>
                            <w:r w:rsidR="00416FC1" w:rsidRPr="00416FC1">
                              <w:rPr>
                                <w:rFonts w:cs="Calibri"/>
                                <w:lang w:val="es-ES"/>
                              </w:rPr>
                              <w:t xml:space="preserve"> este </w:t>
                            </w:r>
                            <w:r w:rsidRPr="00416FC1">
                              <w:rPr>
                                <w:rFonts w:cs="Calibri"/>
                                <w:lang w:val="es-ES"/>
                              </w:rPr>
                              <w:t>informe, particularmente con respecto a</w:t>
                            </w:r>
                            <w:r w:rsidR="00F319AD" w:rsidRPr="00416FC1">
                              <w:rPr>
                                <w:rFonts w:cs="Calibri"/>
                                <w:lang w:val="es-ES"/>
                              </w:rPr>
                              <w:t xml:space="preserve">: </w:t>
                            </w:r>
                          </w:p>
                          <w:p w14:paraId="32300979" w14:textId="77777777" w:rsidR="00DD05DA" w:rsidRPr="00DD05DA" w:rsidRDefault="005B2CAF" w:rsidP="00A103AF">
                            <w:pPr>
                              <w:pStyle w:val="ColorfulList-Accent11"/>
                              <w:numPr>
                                <w:ilvl w:val="0"/>
                                <w:numId w:val="21"/>
                              </w:numPr>
                              <w:ind w:left="851" w:hanging="425"/>
                              <w:rPr>
                                <w:rFonts w:eastAsia="Times New Roman"/>
                                <w:sz w:val="24"/>
                                <w:szCs w:val="24"/>
                                <w:lang w:val="es-ES"/>
                              </w:rPr>
                            </w:pPr>
                            <w:r w:rsidRPr="00DD05DA">
                              <w:rPr>
                                <w:rFonts w:cs="Calibri"/>
                                <w:lang w:val="es-ES"/>
                              </w:rPr>
                              <w:t xml:space="preserve">las prioridades del GECT para el </w:t>
                            </w:r>
                            <w:r w:rsidR="0012694A" w:rsidRPr="00DD05DA">
                              <w:rPr>
                                <w:rFonts w:cs="Calibri"/>
                                <w:lang w:val="es-ES"/>
                              </w:rPr>
                              <w:t>período</w:t>
                            </w:r>
                            <w:r w:rsidR="008E7ED2" w:rsidRPr="00DD05DA">
                              <w:rPr>
                                <w:rFonts w:cs="Calibri"/>
                                <w:lang w:val="es-ES"/>
                              </w:rPr>
                              <w:t xml:space="preserve"> </w:t>
                            </w:r>
                            <w:r w:rsidR="00F319AD" w:rsidRPr="00DD05DA">
                              <w:rPr>
                                <w:rFonts w:cs="Calibri"/>
                                <w:lang w:val="es-ES"/>
                              </w:rPr>
                              <w:t>2026-2028</w:t>
                            </w:r>
                            <w:r w:rsidR="008E7ED2" w:rsidRPr="00DD05DA">
                              <w:rPr>
                                <w:rFonts w:cs="Calibri"/>
                                <w:lang w:val="es-ES"/>
                              </w:rPr>
                              <w:t>;</w:t>
                            </w:r>
                          </w:p>
                          <w:p w14:paraId="1FE00300" w14:textId="0B9D7221" w:rsidR="00DD05DA" w:rsidRPr="00DD05DA" w:rsidRDefault="00D10FC7" w:rsidP="00A103AF">
                            <w:pPr>
                              <w:pStyle w:val="ColorfulList-Accent11"/>
                              <w:numPr>
                                <w:ilvl w:val="0"/>
                                <w:numId w:val="21"/>
                              </w:numPr>
                              <w:ind w:left="851" w:hanging="425"/>
                              <w:rPr>
                                <w:rFonts w:cs="Calibri"/>
                                <w:lang w:val="es-ES"/>
                              </w:rPr>
                            </w:pPr>
                            <w:r w:rsidRPr="00DD05DA">
                              <w:rPr>
                                <w:rFonts w:cs="Calibri"/>
                                <w:lang w:val="es-ES"/>
                              </w:rPr>
                              <w:t xml:space="preserve">las </w:t>
                            </w:r>
                            <w:r w:rsidR="00EE395D" w:rsidRPr="00DD05DA">
                              <w:rPr>
                                <w:rFonts w:cs="Calibri"/>
                                <w:lang w:val="es-ES"/>
                              </w:rPr>
                              <w:t xml:space="preserve">orientaciones sobre el uso de estimaciones </w:t>
                            </w:r>
                            <w:r w:rsidRPr="00DD05DA">
                              <w:rPr>
                                <w:rFonts w:cs="Calibri"/>
                                <w:lang w:val="es-ES"/>
                              </w:rPr>
                              <w:t>poblacionales</w:t>
                            </w:r>
                            <w:r w:rsidR="00EE395D" w:rsidRPr="00DD05DA">
                              <w:rPr>
                                <w:rFonts w:cs="Calibri"/>
                                <w:lang w:val="es-ES"/>
                              </w:rPr>
                              <w:t xml:space="preserve"> alternativas con arreglo al Criterio 6;</w:t>
                            </w:r>
                          </w:p>
                          <w:p w14:paraId="7AFA8DCA" w14:textId="1448E7A4" w:rsidR="00EE395D" w:rsidRPr="00DD05DA" w:rsidRDefault="00DD05DA" w:rsidP="00DD05DA">
                            <w:pPr>
                              <w:pStyle w:val="ColorfulList-Accent11"/>
                              <w:numPr>
                                <w:ilvl w:val="0"/>
                                <w:numId w:val="21"/>
                              </w:numPr>
                              <w:ind w:left="851" w:hanging="425"/>
                              <w:rPr>
                                <w:rFonts w:cs="Calibri"/>
                                <w:lang w:val="es-ES"/>
                              </w:rPr>
                            </w:pPr>
                            <w:r w:rsidRPr="00DD05DA">
                              <w:rPr>
                                <w:rFonts w:cs="Calibri"/>
                                <w:lang w:val="es-ES"/>
                              </w:rPr>
                              <w:t xml:space="preserve">el </w:t>
                            </w:r>
                            <w:r>
                              <w:rPr>
                                <w:rFonts w:cs="Calibri"/>
                                <w:lang w:val="es-ES"/>
                              </w:rPr>
                              <w:t>informe</w:t>
                            </w:r>
                            <w:r w:rsidRPr="00DD05DA">
                              <w:rPr>
                                <w:rFonts w:cs="Calibri"/>
                                <w:lang w:val="es-ES"/>
                              </w:rPr>
                              <w:t xml:space="preserve"> de análisis inicial sobre el examen de los marcos jurídicos y normativos para la conservación y el uso racional de los humedales;</w:t>
                            </w:r>
                          </w:p>
                          <w:p w14:paraId="6CAA1E7F" w14:textId="10F42A30" w:rsidR="00A138A6" w:rsidRPr="00DD05DA" w:rsidRDefault="00DD05DA" w:rsidP="00EF7423">
                            <w:pPr>
                              <w:pStyle w:val="ColorfulList-Accent11"/>
                              <w:numPr>
                                <w:ilvl w:val="0"/>
                                <w:numId w:val="21"/>
                              </w:numPr>
                              <w:ind w:left="851" w:hanging="425"/>
                              <w:rPr>
                                <w:rFonts w:cs="Calibri"/>
                                <w:lang w:val="es-ES"/>
                              </w:rPr>
                            </w:pPr>
                            <w:r w:rsidRPr="00DD05DA">
                              <w:rPr>
                                <w:rFonts w:cs="Calibri"/>
                                <w:lang w:val="es-ES"/>
                              </w:rPr>
                              <w:t xml:space="preserve">la propuesta de planteamiento para la preparación de </w:t>
                            </w:r>
                            <w:r>
                              <w:rPr>
                                <w:rFonts w:cs="Calibri"/>
                                <w:lang w:val="es-ES"/>
                              </w:rPr>
                              <w:t>ediciones</w:t>
                            </w:r>
                            <w:r w:rsidR="00A138A6" w:rsidRPr="00DD05DA">
                              <w:rPr>
                                <w:rFonts w:cs="Calibri"/>
                                <w:lang w:val="es-ES"/>
                              </w:rPr>
                              <w:t xml:space="preserve"> </w:t>
                            </w:r>
                            <w:r w:rsidRPr="00DD05DA">
                              <w:rPr>
                                <w:rFonts w:cs="Calibri"/>
                                <w:lang w:val="es-ES"/>
                              </w:rPr>
                              <w:t>futuras</w:t>
                            </w:r>
                            <w:r>
                              <w:rPr>
                                <w:rFonts w:cs="Calibri"/>
                                <w:lang w:val="es-ES"/>
                              </w:rPr>
                              <w:t xml:space="preserve"> de la </w:t>
                            </w:r>
                            <w:r w:rsidR="00A138A6" w:rsidRPr="00DD05DA">
                              <w:rPr>
                                <w:rFonts w:cs="Calibri"/>
                                <w:lang w:val="es-ES"/>
                              </w:rPr>
                              <w:t>Perspectiva Mundial</w:t>
                            </w:r>
                            <w:r>
                              <w:rPr>
                                <w:rFonts w:cs="Calibri"/>
                                <w:lang w:val="es-ES"/>
                              </w:rPr>
                              <w:t xml:space="preserve"> </w:t>
                            </w:r>
                            <w:r w:rsidR="00A138A6" w:rsidRPr="00DD05DA">
                              <w:rPr>
                                <w:rFonts w:cs="Calibri"/>
                                <w:lang w:val="es-ES"/>
                              </w:rPr>
                              <w:t>sobre los Humedales; y</w:t>
                            </w:r>
                          </w:p>
                          <w:p w14:paraId="3B489DB2" w14:textId="7B0E807B" w:rsidR="00AE65A9" w:rsidRPr="00EE395D" w:rsidRDefault="00EE395D" w:rsidP="00EE395D">
                            <w:pPr>
                              <w:pStyle w:val="ColorfulList-Accent11"/>
                              <w:numPr>
                                <w:ilvl w:val="0"/>
                                <w:numId w:val="21"/>
                              </w:numPr>
                              <w:ind w:left="851" w:hanging="425"/>
                              <w:rPr>
                                <w:rFonts w:cs="Calibri"/>
                                <w:lang w:val="es-ES"/>
                              </w:rPr>
                            </w:pPr>
                            <w:r w:rsidRPr="00DD05DA">
                              <w:rPr>
                                <w:rFonts w:cs="Calibri"/>
                                <w:lang w:val="es-ES"/>
                              </w:rPr>
                              <w:t xml:space="preserve">la financiación del establecimiento de la Alianza para las </w:t>
                            </w:r>
                            <w:r w:rsidR="00B37BD6" w:rsidRPr="00DD05DA">
                              <w:rPr>
                                <w:rFonts w:cs="Calibri"/>
                                <w:lang w:val="es-ES"/>
                              </w:rPr>
                              <w:t>E</w:t>
                            </w:r>
                            <w:r w:rsidRPr="00DD05DA">
                              <w:rPr>
                                <w:rFonts w:cs="Calibri"/>
                                <w:lang w:val="es-ES"/>
                              </w:rPr>
                              <w:t xml:space="preserve">stimaciones de </w:t>
                            </w:r>
                            <w:r w:rsidR="00B37BD6" w:rsidRPr="00DD05DA">
                              <w:rPr>
                                <w:rFonts w:cs="Calibri"/>
                                <w:lang w:val="es-ES"/>
                              </w:rPr>
                              <w:t>A</w:t>
                            </w:r>
                            <w:r w:rsidRPr="00DD05DA">
                              <w:rPr>
                                <w:rFonts w:cs="Calibri"/>
                                <w:lang w:val="es-ES"/>
                              </w:rPr>
                              <w:t xml:space="preserve">ves </w:t>
                            </w:r>
                            <w:r w:rsidR="00B37BD6" w:rsidRPr="00DD05DA">
                              <w:rPr>
                                <w:rFonts w:cs="Calibri"/>
                                <w:lang w:val="es-ES"/>
                              </w:rPr>
                              <w:t>A</w:t>
                            </w:r>
                            <w:r w:rsidRPr="00DD05DA">
                              <w:rPr>
                                <w:rFonts w:cs="Calibri"/>
                                <w:lang w:val="es-ES"/>
                              </w:rPr>
                              <w:t xml:space="preserve">cuáticas </w:t>
                            </w:r>
                            <w:r w:rsidR="00A138A6" w:rsidRPr="00DD05DA">
                              <w:rPr>
                                <w:rFonts w:cs="Calibri"/>
                                <w:lang w:val="es-ES"/>
                              </w:rPr>
                              <w:t>(</w:t>
                            </w:r>
                            <w:r w:rsidR="00B37BD6" w:rsidRPr="00DD05DA">
                              <w:rPr>
                                <w:rFonts w:cs="Calibri"/>
                                <w:lang w:val="es-ES"/>
                              </w:rPr>
                              <w:t>AEAA</w:t>
                            </w:r>
                            <w:r w:rsidR="00A138A6" w:rsidRPr="00DD05DA">
                              <w:rPr>
                                <w:rFonts w:cs="Calibri"/>
                                <w:lang w:val="es-ES"/>
                              </w:rPr>
                              <w:t xml:space="preserve">) </w:t>
                            </w:r>
                            <w:r w:rsidRPr="00DD05DA">
                              <w:rPr>
                                <w:rFonts w:cs="Calibri"/>
                                <w:lang w:val="es-ES"/>
                              </w:rPr>
                              <w:t xml:space="preserve">y la publicación de la edición de 2027 de </w:t>
                            </w:r>
                            <w:r w:rsidRPr="00DD05DA">
                              <w:rPr>
                                <w:rFonts w:cs="Calibri"/>
                                <w:i/>
                                <w:iCs/>
                                <w:lang w:val="es-ES"/>
                              </w:rPr>
                              <w:t>Waterbird Population</w:t>
                            </w:r>
                            <w:r w:rsidRPr="00EE395D">
                              <w:rPr>
                                <w:rFonts w:cs="Calibri"/>
                                <w:i/>
                                <w:iCs/>
                                <w:lang w:val="es-ES"/>
                              </w:rPr>
                              <w:t xml:space="preserve"> Estimates</w:t>
                            </w:r>
                            <w:r>
                              <w:rPr>
                                <w:rFonts w:cs="Calibri"/>
                                <w:i/>
                                <w:iCs/>
                                <w:lang w:val="es-ES"/>
                              </w:rPr>
                              <w:t xml:space="preserve"> </w:t>
                            </w:r>
                            <w:r>
                              <w:rPr>
                                <w:rFonts w:cs="Calibri"/>
                                <w:lang w:val="es-ES"/>
                              </w:rPr>
                              <w:t>(WPE 2027).</w:t>
                            </w:r>
                          </w:p>
                        </w:txbxContent>
                      </wps:txbx>
                      <wps:bodyPr rot="0" vert="horz" wrap="square" lIns="91440" tIns="45720" rIns="91440" bIns="45720" anchor="t" anchorCtr="0" upright="1"/>
                    </wps:wsp>
                  </a:graphicData>
                </a:graphic>
              </wp:inline>
            </w:drawing>
          </mc:Choice>
          <mc:Fallback>
            <w:pict>
              <v:shapetype w14:anchorId="11A3FC30" id="_x0000_t202" coordsize="21600,21600" o:spt="202" path="m,l,21600r21600,l21600,xe">
                <v:stroke joinstyle="miter"/>
                <v:path gradientshapeok="t" o:connecttype="rect"/>
              </v:shapetype>
              <v:shape id="Text Box 1" o:spid="_x0000_s1026" type="#_x0000_t202" style="width:451.3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">
                <v:textbox>
                  <w:txbxContent>
                    <w:p w14:paraId="5778720F" w14:textId="77777777" w:rsidR="005B2CAF" w:rsidRPr="00A138A6" w:rsidRDefault="005B2CAF" w:rsidP="00AE65A9">
                      <w:pPr>
                        <w:rPr>
                          <w:rFonts w:asciiTheme="majorHAnsi" w:hAnsiTheme="majorHAnsi" w:cstheme="majorHAnsi"/>
                          <w:b/>
                          <w:lang w:val="es-ES"/>
                        </w:rPr>
                      </w:pPr>
                      <w:r w:rsidRPr="00A138A6">
                        <w:rPr>
                          <w:rFonts w:asciiTheme="majorHAnsi" w:hAnsiTheme="majorHAnsi" w:cstheme="majorHAnsi"/>
                          <w:b/>
                          <w:lang w:val="es-ES"/>
                        </w:rPr>
                        <w:t>Acciones solicitadas:</w:t>
                      </w:r>
                    </w:p>
                    <w:p w14:paraId="7D0003CC" w14:textId="77777777" w:rsidR="00AE65A9" w:rsidRPr="00A138A6" w:rsidRDefault="00AE65A9" w:rsidP="00AE65A9">
                      <w:pPr>
                        <w:pStyle w:val="ColorfulList-Accent11"/>
                        <w:ind w:left="0"/>
                        <w:rPr>
                          <w:rFonts w:asciiTheme="majorHAnsi" w:hAnsiTheme="majorHAnsi" w:cstheme="majorHAnsi"/>
                          <w:lang w:val="es-ES"/>
                        </w:rPr>
                      </w:pPr>
                    </w:p>
                    <w:p w14:paraId="60478DA2" w14:textId="1459D520" w:rsidR="005B2CAF" w:rsidRPr="005B2CAF" w:rsidRDefault="005B2CAF" w:rsidP="00AE65A9">
                      <w:pPr>
                        <w:pStyle w:val="ColorfulList-Accent11"/>
                        <w:ind w:left="0" w:firstLine="0"/>
                        <w:rPr>
                          <w:rFonts w:cs="Calibri"/>
                          <w:lang w:val="es-ES"/>
                        </w:rPr>
                      </w:pPr>
                      <w:r w:rsidRPr="005B2CAF">
                        <w:rPr>
                          <w:rFonts w:cs="Calibri"/>
                          <w:lang w:val="es-ES"/>
                        </w:rPr>
                        <w:t>Se invita al Comité Permanente a</w:t>
                      </w:r>
                      <w:r w:rsidR="0012694A">
                        <w:rPr>
                          <w:rFonts w:cs="Calibri"/>
                          <w:lang w:val="es-ES"/>
                        </w:rPr>
                        <w:t xml:space="preserve"> hacer lo siguiente</w:t>
                      </w:r>
                      <w:r w:rsidRPr="005B2CAF">
                        <w:rPr>
                          <w:rFonts w:cs="Calibri"/>
                          <w:lang w:val="es-ES"/>
                        </w:rPr>
                        <w:t>:</w:t>
                      </w:r>
                    </w:p>
                    <w:p w14:paraId="55061CEA" w14:textId="77777777" w:rsidR="00AE65A9" w:rsidRPr="005B2CAF" w:rsidRDefault="00AE65A9" w:rsidP="00AE65A9">
                      <w:pPr>
                        <w:pStyle w:val="ColorfulList-Accent11"/>
                        <w:ind w:left="0"/>
                        <w:rPr>
                          <w:rFonts w:cs="Calibri"/>
                          <w:lang w:val="es-ES"/>
                        </w:rPr>
                      </w:pPr>
                    </w:p>
                    <w:p w14:paraId="4E37E5FB" w14:textId="3C7685C8" w:rsidR="005B2CAF" w:rsidRDefault="005B2CAF" w:rsidP="00416FC1">
                      <w:pPr>
                        <w:pStyle w:val="ColorfulList-Accent11"/>
                        <w:numPr>
                          <w:ilvl w:val="0"/>
                          <w:numId w:val="38"/>
                        </w:numPr>
                        <w:ind w:left="426" w:hanging="426"/>
                        <w:rPr>
                          <w:rFonts w:cs="Calibri"/>
                          <w:lang w:val="es-ES"/>
                        </w:rPr>
                      </w:pPr>
                      <w:r>
                        <w:rPr>
                          <w:rFonts w:cs="Calibri"/>
                          <w:lang w:val="es-ES"/>
                        </w:rPr>
                        <w:t>t</w:t>
                      </w:r>
                      <w:r w:rsidRPr="005B2CAF">
                        <w:rPr>
                          <w:rFonts w:cs="Calibri"/>
                          <w:lang w:val="es-ES"/>
                        </w:rPr>
                        <w:t>omar nota del informe de la Presidencia del G</w:t>
                      </w:r>
                      <w:r>
                        <w:rPr>
                          <w:rFonts w:cs="Calibri"/>
                          <w:lang w:val="es-ES"/>
                        </w:rPr>
                        <w:t>ECT;</w:t>
                      </w:r>
                    </w:p>
                    <w:p w14:paraId="4452CBC4" w14:textId="77777777" w:rsidR="00AE65A9" w:rsidRPr="005B2CAF" w:rsidRDefault="00AE65A9" w:rsidP="00EF7423">
                      <w:pPr>
                        <w:pStyle w:val="ColorfulList-Accent11"/>
                        <w:ind w:left="426" w:hanging="426"/>
                        <w:rPr>
                          <w:rFonts w:cs="Calibri"/>
                          <w:lang w:val="es-ES"/>
                        </w:rPr>
                      </w:pPr>
                    </w:p>
                    <w:p w14:paraId="17223285" w14:textId="74FAC4B9" w:rsidR="00EE395D" w:rsidRPr="00416FC1" w:rsidRDefault="005B2CAF" w:rsidP="00416FC1">
                      <w:pPr>
                        <w:pStyle w:val="ColorfulList-Accent11"/>
                        <w:numPr>
                          <w:ilvl w:val="0"/>
                          <w:numId w:val="38"/>
                        </w:numPr>
                        <w:tabs>
                          <w:tab w:val="left" w:pos="426"/>
                        </w:tabs>
                        <w:ind w:left="426" w:hanging="426"/>
                        <w:rPr>
                          <w:rFonts w:cs="Calibri"/>
                          <w:lang w:val="es-ES"/>
                        </w:rPr>
                      </w:pPr>
                      <w:r w:rsidRPr="00416FC1">
                        <w:rPr>
                          <w:rFonts w:cs="Calibri"/>
                          <w:lang w:val="es-ES"/>
                        </w:rPr>
                        <w:t xml:space="preserve">considerar las </w:t>
                      </w:r>
                      <w:r w:rsidR="00F319AD" w:rsidRPr="00416FC1">
                        <w:rPr>
                          <w:rFonts w:cs="Calibri"/>
                          <w:lang w:val="es-ES"/>
                        </w:rPr>
                        <w:t>recomenda</w:t>
                      </w:r>
                      <w:r w:rsidRPr="00416FC1">
                        <w:rPr>
                          <w:rFonts w:cs="Calibri"/>
                          <w:lang w:val="es-ES"/>
                        </w:rPr>
                        <w:t>ciones</w:t>
                      </w:r>
                      <w:r w:rsidR="00F319AD" w:rsidRPr="00416FC1">
                        <w:rPr>
                          <w:rFonts w:cs="Calibri"/>
                          <w:lang w:val="es-ES"/>
                        </w:rPr>
                        <w:t xml:space="preserve"> present</w:t>
                      </w:r>
                      <w:r w:rsidRPr="00416FC1">
                        <w:rPr>
                          <w:rFonts w:cs="Calibri"/>
                          <w:lang w:val="es-ES"/>
                        </w:rPr>
                        <w:t>adas por el GECT en el párrafo 3</w:t>
                      </w:r>
                      <w:r w:rsidR="006C4877">
                        <w:rPr>
                          <w:rFonts w:cs="Calibri"/>
                          <w:lang w:val="es-ES"/>
                        </w:rPr>
                        <w:t>4</w:t>
                      </w:r>
                      <w:r w:rsidRPr="00416FC1">
                        <w:rPr>
                          <w:rFonts w:cs="Calibri"/>
                          <w:lang w:val="es-ES"/>
                        </w:rPr>
                        <w:t xml:space="preserve"> de</w:t>
                      </w:r>
                      <w:r w:rsidR="00416FC1" w:rsidRPr="00416FC1">
                        <w:rPr>
                          <w:rFonts w:cs="Calibri"/>
                          <w:lang w:val="es-ES"/>
                        </w:rPr>
                        <w:t xml:space="preserve"> este </w:t>
                      </w:r>
                      <w:r w:rsidRPr="00416FC1">
                        <w:rPr>
                          <w:rFonts w:cs="Calibri"/>
                          <w:lang w:val="es-ES"/>
                        </w:rPr>
                        <w:t>informe, particularmente con respecto a</w:t>
                      </w:r>
                      <w:r w:rsidR="00F319AD" w:rsidRPr="00416FC1">
                        <w:rPr>
                          <w:rFonts w:cs="Calibri"/>
                          <w:lang w:val="es-ES"/>
                        </w:rPr>
                        <w:t xml:space="preserve">: </w:t>
                      </w:r>
                    </w:p>
                    <w:p w14:paraId="32300979" w14:textId="77777777" w:rsidR="00DD05DA" w:rsidRPr="00DD05DA" w:rsidRDefault="005B2CAF" w:rsidP="00A103AF">
                      <w:pPr>
                        <w:pStyle w:val="ColorfulList-Accent11"/>
                        <w:numPr>
                          <w:ilvl w:val="0"/>
                          <w:numId w:val="21"/>
                        </w:numPr>
                        <w:ind w:left="851" w:hanging="425"/>
                        <w:rPr>
                          <w:rFonts w:eastAsia="Times New Roman"/>
                          <w:sz w:val="24"/>
                          <w:szCs w:val="24"/>
                          <w:lang w:val="es-ES"/>
                        </w:rPr>
                      </w:pPr>
                      <w:r w:rsidRPr="00DD05DA">
                        <w:rPr>
                          <w:rFonts w:cs="Calibri"/>
                          <w:lang w:val="es-ES"/>
                        </w:rPr>
                        <w:t xml:space="preserve">las prioridades del GECT para el </w:t>
                      </w:r>
                      <w:r w:rsidR="0012694A" w:rsidRPr="00DD05DA">
                        <w:rPr>
                          <w:rFonts w:cs="Calibri"/>
                          <w:lang w:val="es-ES"/>
                        </w:rPr>
                        <w:t>período</w:t>
                      </w:r>
                      <w:r w:rsidR="008E7ED2" w:rsidRPr="00DD05DA">
                        <w:rPr>
                          <w:rFonts w:cs="Calibri"/>
                          <w:lang w:val="es-ES"/>
                        </w:rPr>
                        <w:t xml:space="preserve"> </w:t>
                      </w:r>
                      <w:r w:rsidR="00F319AD" w:rsidRPr="00DD05DA">
                        <w:rPr>
                          <w:rFonts w:cs="Calibri"/>
                          <w:lang w:val="es-ES"/>
                        </w:rPr>
                        <w:t>2026-2028</w:t>
                      </w:r>
                      <w:r w:rsidR="008E7ED2" w:rsidRPr="00DD05DA">
                        <w:rPr>
                          <w:rFonts w:cs="Calibri"/>
                          <w:lang w:val="es-ES"/>
                        </w:rPr>
                        <w:t>;</w:t>
                      </w:r>
                    </w:p>
                    <w:p w14:paraId="1FE00300" w14:textId="0B9D7221" w:rsidR="00DD05DA" w:rsidRPr="00DD05DA" w:rsidRDefault="00D10FC7" w:rsidP="00A103AF">
                      <w:pPr>
                        <w:pStyle w:val="ColorfulList-Accent11"/>
                        <w:numPr>
                          <w:ilvl w:val="0"/>
                          <w:numId w:val="21"/>
                        </w:numPr>
                        <w:ind w:left="851" w:hanging="425"/>
                        <w:rPr>
                          <w:rFonts w:cs="Calibri"/>
                          <w:lang w:val="es-ES"/>
                        </w:rPr>
                      </w:pPr>
                      <w:r w:rsidRPr="00DD05DA">
                        <w:rPr>
                          <w:rFonts w:cs="Calibri"/>
                          <w:lang w:val="es-ES"/>
                        </w:rPr>
                        <w:t xml:space="preserve">las </w:t>
                      </w:r>
                      <w:r w:rsidR="00EE395D" w:rsidRPr="00DD05DA">
                        <w:rPr>
                          <w:rFonts w:cs="Calibri"/>
                          <w:lang w:val="es-ES"/>
                        </w:rPr>
                        <w:t xml:space="preserve">orientaciones sobre el uso de estimaciones </w:t>
                      </w:r>
                      <w:r w:rsidRPr="00DD05DA">
                        <w:rPr>
                          <w:rFonts w:cs="Calibri"/>
                          <w:lang w:val="es-ES"/>
                        </w:rPr>
                        <w:t>poblacionales</w:t>
                      </w:r>
                      <w:r w:rsidR="00EE395D" w:rsidRPr="00DD05DA">
                        <w:rPr>
                          <w:rFonts w:cs="Calibri"/>
                          <w:lang w:val="es-ES"/>
                        </w:rPr>
                        <w:t xml:space="preserve"> alternativas con arreglo al Criterio 6;</w:t>
                      </w:r>
                    </w:p>
                    <w:p w14:paraId="7AFA8DCA" w14:textId="1448E7A4" w:rsidR="00EE395D" w:rsidRPr="00DD05DA" w:rsidRDefault="00DD05DA" w:rsidP="00DD05DA">
                      <w:pPr>
                        <w:pStyle w:val="ColorfulList-Accent11"/>
                        <w:numPr>
                          <w:ilvl w:val="0"/>
                          <w:numId w:val="21"/>
                        </w:numPr>
                        <w:ind w:left="851" w:hanging="425"/>
                        <w:rPr>
                          <w:rFonts w:cs="Calibri"/>
                          <w:lang w:val="es-ES"/>
                        </w:rPr>
                      </w:pPr>
                      <w:r w:rsidRPr="00DD05DA">
                        <w:rPr>
                          <w:rFonts w:cs="Calibri"/>
                          <w:lang w:val="es-ES"/>
                        </w:rPr>
                        <w:t xml:space="preserve">el </w:t>
                      </w:r>
                      <w:r>
                        <w:rPr>
                          <w:rFonts w:cs="Calibri"/>
                          <w:lang w:val="es-ES"/>
                        </w:rPr>
                        <w:t>informe</w:t>
                      </w:r>
                      <w:r w:rsidRPr="00DD05DA">
                        <w:rPr>
                          <w:rFonts w:cs="Calibri"/>
                          <w:lang w:val="es-ES"/>
                        </w:rPr>
                        <w:t xml:space="preserve"> de análisis inicial sobre el examen de los marcos jurídicos y normativos para la conservación y el uso racional de los humedales;</w:t>
                      </w:r>
                    </w:p>
                    <w:p w14:paraId="6CAA1E7F" w14:textId="10F42A30" w:rsidR="00A138A6" w:rsidRPr="00DD05DA" w:rsidRDefault="00DD05DA" w:rsidP="00EF7423">
                      <w:pPr>
                        <w:pStyle w:val="ColorfulList-Accent11"/>
                        <w:numPr>
                          <w:ilvl w:val="0"/>
                          <w:numId w:val="21"/>
                        </w:numPr>
                        <w:ind w:left="851" w:hanging="425"/>
                        <w:rPr>
                          <w:rFonts w:cs="Calibri"/>
                          <w:lang w:val="es-ES"/>
                        </w:rPr>
                      </w:pPr>
                      <w:r w:rsidRPr="00DD05DA">
                        <w:rPr>
                          <w:rFonts w:cs="Calibri"/>
                          <w:lang w:val="es-ES"/>
                        </w:rPr>
                        <w:t xml:space="preserve">la propuesta de planteamiento para la preparación de </w:t>
                      </w:r>
                      <w:r>
                        <w:rPr>
                          <w:rFonts w:cs="Calibri"/>
                          <w:lang w:val="es-ES"/>
                        </w:rPr>
                        <w:t>ediciones</w:t>
                      </w:r>
                      <w:r w:rsidR="00A138A6" w:rsidRPr="00DD05DA">
                        <w:rPr>
                          <w:rFonts w:cs="Calibri"/>
                          <w:lang w:val="es-ES"/>
                        </w:rPr>
                        <w:t xml:space="preserve"> </w:t>
                      </w:r>
                      <w:r w:rsidRPr="00DD05DA">
                        <w:rPr>
                          <w:rFonts w:cs="Calibri"/>
                          <w:lang w:val="es-ES"/>
                        </w:rPr>
                        <w:t>futuras</w:t>
                      </w:r>
                      <w:r>
                        <w:rPr>
                          <w:rFonts w:cs="Calibri"/>
                          <w:lang w:val="es-ES"/>
                        </w:rPr>
                        <w:t xml:space="preserve"> de la </w:t>
                      </w:r>
                      <w:r w:rsidR="00A138A6" w:rsidRPr="00DD05DA">
                        <w:rPr>
                          <w:rFonts w:cs="Calibri"/>
                          <w:lang w:val="es-ES"/>
                        </w:rPr>
                        <w:t>Perspectiva Mundial</w:t>
                      </w:r>
                      <w:r>
                        <w:rPr>
                          <w:rFonts w:cs="Calibri"/>
                          <w:lang w:val="es-ES"/>
                        </w:rPr>
                        <w:t xml:space="preserve"> </w:t>
                      </w:r>
                      <w:r w:rsidR="00A138A6" w:rsidRPr="00DD05DA">
                        <w:rPr>
                          <w:rFonts w:cs="Calibri"/>
                          <w:lang w:val="es-ES"/>
                        </w:rPr>
                        <w:t>sobre los Humedales; y</w:t>
                      </w:r>
                    </w:p>
                    <w:p w14:paraId="3B489DB2" w14:textId="7B0E807B" w:rsidR="00AE65A9" w:rsidRPr="00EE395D" w:rsidRDefault="00EE395D" w:rsidP="00EE395D">
                      <w:pPr>
                        <w:pStyle w:val="ColorfulList-Accent11"/>
                        <w:numPr>
                          <w:ilvl w:val="0"/>
                          <w:numId w:val="21"/>
                        </w:numPr>
                        <w:ind w:left="851" w:hanging="425"/>
                        <w:rPr>
                          <w:rFonts w:cs="Calibri"/>
                          <w:lang w:val="es-ES"/>
                        </w:rPr>
                      </w:pPr>
                      <w:r w:rsidRPr="00DD05DA">
                        <w:rPr>
                          <w:rFonts w:cs="Calibri"/>
                          <w:lang w:val="es-ES"/>
                        </w:rPr>
                        <w:t xml:space="preserve">la financiación del establecimiento de la Alianza para las </w:t>
                      </w:r>
                      <w:r w:rsidR="00B37BD6" w:rsidRPr="00DD05DA">
                        <w:rPr>
                          <w:rFonts w:cs="Calibri"/>
                          <w:lang w:val="es-ES"/>
                        </w:rPr>
                        <w:t>E</w:t>
                      </w:r>
                      <w:r w:rsidRPr="00DD05DA">
                        <w:rPr>
                          <w:rFonts w:cs="Calibri"/>
                          <w:lang w:val="es-ES"/>
                        </w:rPr>
                        <w:t xml:space="preserve">stimaciones de </w:t>
                      </w:r>
                      <w:r w:rsidR="00B37BD6" w:rsidRPr="00DD05DA">
                        <w:rPr>
                          <w:rFonts w:cs="Calibri"/>
                          <w:lang w:val="es-ES"/>
                        </w:rPr>
                        <w:t>A</w:t>
                      </w:r>
                      <w:r w:rsidRPr="00DD05DA">
                        <w:rPr>
                          <w:rFonts w:cs="Calibri"/>
                          <w:lang w:val="es-ES"/>
                        </w:rPr>
                        <w:t xml:space="preserve">ves </w:t>
                      </w:r>
                      <w:r w:rsidR="00B37BD6" w:rsidRPr="00DD05DA">
                        <w:rPr>
                          <w:rFonts w:cs="Calibri"/>
                          <w:lang w:val="es-ES"/>
                        </w:rPr>
                        <w:t>A</w:t>
                      </w:r>
                      <w:r w:rsidRPr="00DD05DA">
                        <w:rPr>
                          <w:rFonts w:cs="Calibri"/>
                          <w:lang w:val="es-ES"/>
                        </w:rPr>
                        <w:t xml:space="preserve">cuáticas </w:t>
                      </w:r>
                      <w:r w:rsidR="00A138A6" w:rsidRPr="00DD05DA">
                        <w:rPr>
                          <w:rFonts w:cs="Calibri"/>
                          <w:lang w:val="es-ES"/>
                        </w:rPr>
                        <w:t>(</w:t>
                      </w:r>
                      <w:r w:rsidR="00B37BD6" w:rsidRPr="00DD05DA">
                        <w:rPr>
                          <w:rFonts w:cs="Calibri"/>
                          <w:lang w:val="es-ES"/>
                        </w:rPr>
                        <w:t>AEAA</w:t>
                      </w:r>
                      <w:r w:rsidR="00A138A6" w:rsidRPr="00DD05DA">
                        <w:rPr>
                          <w:rFonts w:cs="Calibri"/>
                          <w:lang w:val="es-ES"/>
                        </w:rPr>
                        <w:t xml:space="preserve">) </w:t>
                      </w:r>
                      <w:r w:rsidRPr="00DD05DA">
                        <w:rPr>
                          <w:rFonts w:cs="Calibri"/>
                          <w:lang w:val="es-ES"/>
                        </w:rPr>
                        <w:t xml:space="preserve">y la publicación de la edición de 2027 de </w:t>
                      </w:r>
                      <w:r w:rsidRPr="00DD05DA">
                        <w:rPr>
                          <w:rFonts w:cs="Calibri"/>
                          <w:i/>
                          <w:iCs/>
                          <w:lang w:val="es-ES"/>
                        </w:rPr>
                        <w:t>Waterbird Population</w:t>
                      </w:r>
                      <w:r w:rsidRPr="00EE395D">
                        <w:rPr>
                          <w:rFonts w:cs="Calibri"/>
                          <w:i/>
                          <w:iCs/>
                          <w:lang w:val="es-ES"/>
                        </w:rPr>
                        <w:t xml:space="preserve"> Estimates</w:t>
                      </w:r>
                      <w:r>
                        <w:rPr>
                          <w:rFonts w:cs="Calibri"/>
                          <w:i/>
                          <w:iCs/>
                          <w:lang w:val="es-ES"/>
                        </w:rPr>
                        <w:t xml:space="preserve"> </w:t>
                      </w:r>
                      <w:r>
                        <w:rPr>
                          <w:rFonts w:cs="Calibri"/>
                          <w:lang w:val="es-ES"/>
                        </w:rPr>
                        <w:t>(WPE 2027).</w:t>
                      </w:r>
                    </w:p>
                  </w:txbxContent>
                </v:textbox>
                <w10:anchorlock/>
              </v:shape>
            </w:pict>
          </mc:Fallback>
        </mc:AlternateContent>
      </w:r>
    </w:p>
    <w:p w14:paraId="43CA1332" w14:textId="77777777" w:rsidR="00995BCF" w:rsidRPr="006D3772" w:rsidRDefault="00995BCF" w:rsidP="00E952E3">
      <w:pPr>
        <w:rPr>
          <w:lang w:val="es-ES" w:eastAsia="zh-CN"/>
        </w:rPr>
      </w:pPr>
    </w:p>
    <w:p w14:paraId="4100FFB9" w14:textId="77777777" w:rsidR="00EE395D" w:rsidRPr="006D3772" w:rsidRDefault="00EE395D" w:rsidP="00EE395D">
      <w:pPr>
        <w:rPr>
          <w:rFonts w:eastAsia="Calibri"/>
          <w:b/>
          <w:lang w:val="es-ES"/>
        </w:rPr>
      </w:pPr>
      <w:r w:rsidRPr="006D3772">
        <w:rPr>
          <w:rFonts w:eastAsia="Calibri"/>
          <w:b/>
          <w:lang w:val="es-ES"/>
        </w:rPr>
        <w:t>Introducción</w:t>
      </w:r>
    </w:p>
    <w:p w14:paraId="0ABE373B" w14:textId="77777777" w:rsidR="002921ED" w:rsidRPr="006D3772" w:rsidRDefault="002921ED" w:rsidP="002921ED">
      <w:pPr>
        <w:rPr>
          <w:rFonts w:eastAsia="Calibri"/>
          <w:lang w:val="es-ES"/>
        </w:rPr>
      </w:pPr>
    </w:p>
    <w:p w14:paraId="3E59957F" w14:textId="48920FCA" w:rsidR="009D24B1" w:rsidRPr="006D3772" w:rsidRDefault="00F319AD" w:rsidP="009D24B1">
      <w:pPr>
        <w:ind w:left="432" w:hanging="432"/>
        <w:rPr>
          <w:rFonts w:eastAsia="Calibri"/>
          <w:lang w:val="es-ES"/>
        </w:rPr>
      </w:pPr>
      <w:r w:rsidRPr="006D3772">
        <w:rPr>
          <w:rFonts w:eastAsia="Calibri"/>
          <w:bCs w:val="0"/>
          <w:lang w:val="es-ES"/>
        </w:rPr>
        <w:t>1.</w:t>
      </w:r>
      <w:r w:rsidRPr="006D3772">
        <w:rPr>
          <w:rFonts w:eastAsia="Calibri"/>
          <w:bCs w:val="0"/>
          <w:lang w:val="es-ES"/>
        </w:rPr>
        <w:tab/>
      </w:r>
      <w:r w:rsidR="008C778D" w:rsidRPr="006D3772">
        <w:rPr>
          <w:rFonts w:eastAsia="Calibri"/>
          <w:lang w:val="es-ES"/>
        </w:rPr>
        <w:t xml:space="preserve">El Grupo de Examen Científico y Técnico (GECT) ha realizado importantes avances desde </w:t>
      </w:r>
      <w:r w:rsidR="00A138A6" w:rsidRPr="006D3772">
        <w:rPr>
          <w:rFonts w:eastAsia="Calibri"/>
          <w:lang w:val="es-ES"/>
        </w:rPr>
        <w:t xml:space="preserve">la presentación de su </w:t>
      </w:r>
      <w:r w:rsidR="008C778D" w:rsidRPr="006D3772">
        <w:rPr>
          <w:rFonts w:eastAsia="Calibri"/>
          <w:lang w:val="es-ES"/>
        </w:rPr>
        <w:t xml:space="preserve">último informe en la 63ª </w:t>
      </w:r>
      <w:r w:rsidR="00416FC1" w:rsidRPr="006D3772">
        <w:rPr>
          <w:rFonts w:eastAsia="Calibri"/>
          <w:lang w:val="es-ES"/>
        </w:rPr>
        <w:t>r</w:t>
      </w:r>
      <w:r w:rsidR="008C778D" w:rsidRPr="006D3772">
        <w:rPr>
          <w:rFonts w:eastAsia="Calibri"/>
          <w:lang w:val="es-ES"/>
        </w:rPr>
        <w:t xml:space="preserve">eunión del Comité Permanente (SC63). Estos avances incluyen la finalización de tareas clave esbozadas en el plan de trabajo del GECT para 2023-2025 y la organización satisfactoria de la tercera reunión del GECT entre </w:t>
      </w:r>
      <w:r w:rsidR="00A138A6" w:rsidRPr="006D3772">
        <w:rPr>
          <w:rFonts w:eastAsia="Calibri"/>
          <w:lang w:val="es-ES"/>
        </w:rPr>
        <w:t>per</w:t>
      </w:r>
      <w:r w:rsidR="00A6093E">
        <w:rPr>
          <w:rFonts w:eastAsia="Calibri"/>
          <w:lang w:val="es-ES"/>
        </w:rPr>
        <w:t>í</w:t>
      </w:r>
      <w:r w:rsidR="00A138A6" w:rsidRPr="006D3772">
        <w:rPr>
          <w:rFonts w:eastAsia="Calibri"/>
          <w:lang w:val="es-ES"/>
        </w:rPr>
        <w:t xml:space="preserve">odos de </w:t>
      </w:r>
      <w:r w:rsidR="008C778D" w:rsidRPr="006D3772">
        <w:rPr>
          <w:rFonts w:eastAsia="Calibri"/>
          <w:lang w:val="es-ES"/>
        </w:rPr>
        <w:t xml:space="preserve">sesiones. El GECT ha participado activamente en varios grupos de trabajo establecidos por el Comité Permanente y ha dado respuesta a solicitudes </w:t>
      </w:r>
      <w:r w:rsidR="00A138A6" w:rsidRPr="006D3772">
        <w:rPr>
          <w:rFonts w:eastAsia="Calibri"/>
          <w:lang w:val="es-ES"/>
        </w:rPr>
        <w:t>ad hoc</w:t>
      </w:r>
      <w:r w:rsidR="008C778D" w:rsidRPr="006D3772">
        <w:rPr>
          <w:rFonts w:eastAsia="Calibri"/>
          <w:lang w:val="es-ES"/>
        </w:rPr>
        <w:t xml:space="preserve">. Este informe presenta una visión general de las actividades del Grupo desde la </w:t>
      </w:r>
      <w:r w:rsidR="00416FC1" w:rsidRPr="006D3772">
        <w:rPr>
          <w:rFonts w:eastAsia="Calibri"/>
          <w:lang w:val="es-ES"/>
        </w:rPr>
        <w:t xml:space="preserve">reunión </w:t>
      </w:r>
      <w:r w:rsidR="008C778D" w:rsidRPr="006D3772">
        <w:rPr>
          <w:rFonts w:eastAsia="Calibri"/>
          <w:lang w:val="es-ES"/>
        </w:rPr>
        <w:t xml:space="preserve">SC63, con especial </w:t>
      </w:r>
      <w:r w:rsidR="0024106E" w:rsidRPr="006D3772">
        <w:rPr>
          <w:rFonts w:eastAsia="Calibri"/>
          <w:lang w:val="es-ES"/>
        </w:rPr>
        <w:t>énfasis sobre</w:t>
      </w:r>
      <w:r w:rsidR="008C778D" w:rsidRPr="006D3772">
        <w:rPr>
          <w:rFonts w:eastAsia="Calibri"/>
          <w:lang w:val="es-ES"/>
        </w:rPr>
        <w:t xml:space="preserve"> los</w:t>
      </w:r>
      <w:r w:rsidR="00416FC1" w:rsidRPr="006D3772">
        <w:rPr>
          <w:rFonts w:eastAsia="Calibri"/>
          <w:lang w:val="es-ES"/>
        </w:rPr>
        <w:t xml:space="preserve"> principales</w:t>
      </w:r>
      <w:r w:rsidR="008C778D" w:rsidRPr="006D3772">
        <w:rPr>
          <w:rFonts w:eastAsia="Calibri"/>
          <w:lang w:val="es-ES"/>
        </w:rPr>
        <w:t xml:space="preserve"> logros y </w:t>
      </w:r>
      <w:r w:rsidR="00416FC1" w:rsidRPr="006D3772">
        <w:rPr>
          <w:rFonts w:eastAsia="Calibri"/>
          <w:lang w:val="es-ES"/>
        </w:rPr>
        <w:t xml:space="preserve">las </w:t>
      </w:r>
      <w:r w:rsidR="008C778D" w:rsidRPr="006D3772">
        <w:rPr>
          <w:rFonts w:eastAsia="Calibri"/>
          <w:lang w:val="es-ES"/>
        </w:rPr>
        <w:t>iniciativas</w:t>
      </w:r>
      <w:r w:rsidR="00416FC1" w:rsidRPr="006D3772">
        <w:rPr>
          <w:rFonts w:eastAsia="Calibri"/>
          <w:lang w:val="es-ES"/>
        </w:rPr>
        <w:t xml:space="preserve"> futuras</w:t>
      </w:r>
      <w:r w:rsidR="008C778D" w:rsidRPr="006D3772">
        <w:rPr>
          <w:rFonts w:eastAsia="Calibri"/>
          <w:lang w:val="es-ES"/>
        </w:rPr>
        <w:t>.</w:t>
      </w:r>
    </w:p>
    <w:p w14:paraId="0DC8F26C" w14:textId="77777777" w:rsidR="009D24B1" w:rsidRPr="006D3772" w:rsidRDefault="009D24B1" w:rsidP="002921ED">
      <w:pPr>
        <w:rPr>
          <w:rFonts w:eastAsia="Calibri"/>
          <w:lang w:val="es-ES"/>
        </w:rPr>
      </w:pPr>
    </w:p>
    <w:p w14:paraId="78E16C6D" w14:textId="28D720EF" w:rsidR="0024106E" w:rsidRPr="006D3772" w:rsidRDefault="0024106E" w:rsidP="002921ED">
      <w:pPr>
        <w:keepNext/>
        <w:ind w:left="425" w:hanging="425"/>
        <w:rPr>
          <w:rFonts w:eastAsia="Calibri"/>
          <w:b/>
          <w:lang w:val="es-ES"/>
        </w:rPr>
      </w:pPr>
      <w:r w:rsidRPr="006D3772">
        <w:rPr>
          <w:rFonts w:eastAsia="Calibri"/>
          <w:b/>
          <w:lang w:val="es-ES"/>
        </w:rPr>
        <w:t xml:space="preserve">Reuniones en </w:t>
      </w:r>
      <w:r w:rsidR="002D38D2" w:rsidRPr="006D3772">
        <w:rPr>
          <w:rFonts w:eastAsia="Calibri"/>
          <w:b/>
          <w:lang w:val="es-ES"/>
        </w:rPr>
        <w:t>línea</w:t>
      </w:r>
      <w:r w:rsidRPr="006D3772">
        <w:rPr>
          <w:rFonts w:eastAsia="Calibri"/>
          <w:b/>
          <w:lang w:val="es-ES"/>
        </w:rPr>
        <w:t xml:space="preserve"> </w:t>
      </w:r>
      <w:r w:rsidR="00416FC1" w:rsidRPr="006D3772">
        <w:rPr>
          <w:rFonts w:eastAsia="Calibri"/>
          <w:b/>
          <w:lang w:val="es-ES"/>
        </w:rPr>
        <w:t xml:space="preserve">del GECT </w:t>
      </w:r>
      <w:r w:rsidRPr="006D3772">
        <w:rPr>
          <w:rFonts w:eastAsia="Calibri"/>
          <w:b/>
          <w:lang w:val="es-ES"/>
        </w:rPr>
        <w:t>en</w:t>
      </w:r>
      <w:r w:rsidR="005658AE" w:rsidRPr="006D3772">
        <w:rPr>
          <w:rFonts w:eastAsia="Calibri"/>
          <w:b/>
          <w:lang w:val="es-ES"/>
        </w:rPr>
        <w:t xml:space="preserve">tre </w:t>
      </w:r>
      <w:r w:rsidR="002B414A">
        <w:rPr>
          <w:rFonts w:eastAsia="Calibri"/>
          <w:b/>
          <w:lang w:val="es-ES"/>
        </w:rPr>
        <w:t>períodos</w:t>
      </w:r>
      <w:r w:rsidR="005658AE" w:rsidRPr="006D3772">
        <w:rPr>
          <w:rFonts w:eastAsia="Calibri"/>
          <w:b/>
          <w:lang w:val="es-ES"/>
        </w:rPr>
        <w:t xml:space="preserve"> de </w:t>
      </w:r>
      <w:r w:rsidRPr="006D3772">
        <w:rPr>
          <w:rFonts w:eastAsia="Calibri"/>
          <w:b/>
          <w:lang w:val="es-ES"/>
        </w:rPr>
        <w:t>sesiones</w:t>
      </w:r>
      <w:r w:rsidR="005658AE" w:rsidRPr="006D3772">
        <w:rPr>
          <w:rFonts w:eastAsia="Calibri"/>
          <w:b/>
          <w:lang w:val="es-ES"/>
        </w:rPr>
        <w:t xml:space="preserve"> </w:t>
      </w:r>
    </w:p>
    <w:p w14:paraId="77970B53" w14:textId="77777777" w:rsidR="00757263" w:rsidRPr="006D3772" w:rsidRDefault="00757263" w:rsidP="00757263">
      <w:pPr>
        <w:ind w:left="432" w:hanging="432"/>
        <w:rPr>
          <w:rFonts w:eastAsia="Calibri"/>
          <w:bCs w:val="0"/>
          <w:lang w:val="es-ES"/>
        </w:rPr>
      </w:pPr>
    </w:p>
    <w:p w14:paraId="7CCD0B05" w14:textId="745F5E0E" w:rsidR="0024106E" w:rsidRPr="006D3772" w:rsidRDefault="00F319AD" w:rsidP="001B1E6C">
      <w:pPr>
        <w:ind w:left="432" w:hanging="432"/>
        <w:rPr>
          <w:rFonts w:eastAsia="Calibri"/>
          <w:bCs w:val="0"/>
          <w:lang w:val="es-ES"/>
        </w:rPr>
      </w:pPr>
      <w:r w:rsidRPr="006D3772">
        <w:rPr>
          <w:rFonts w:eastAsia="Calibri"/>
          <w:bCs w:val="0"/>
          <w:lang w:val="es-ES"/>
        </w:rPr>
        <w:t>2.</w:t>
      </w:r>
      <w:r w:rsidRPr="006D3772">
        <w:rPr>
          <w:rFonts w:eastAsia="Calibri"/>
          <w:bCs w:val="0"/>
          <w:lang w:val="es-ES"/>
        </w:rPr>
        <w:tab/>
      </w:r>
      <w:r w:rsidR="0024106E" w:rsidRPr="006D3772">
        <w:rPr>
          <w:rFonts w:eastAsia="Calibri"/>
          <w:bCs w:val="0"/>
          <w:lang w:val="es-ES"/>
        </w:rPr>
        <w:t xml:space="preserve">Con el apoyo de la Secretaría, los días 3 y 4 de septiembre de 2024 se celebró la tercera reunión en línea entre </w:t>
      </w:r>
      <w:r w:rsidR="002B414A">
        <w:rPr>
          <w:rFonts w:eastAsia="Calibri"/>
          <w:bCs w:val="0"/>
          <w:lang w:val="es-ES"/>
        </w:rPr>
        <w:t>períodos</w:t>
      </w:r>
      <w:r w:rsidR="00A138A6" w:rsidRPr="006D3772">
        <w:rPr>
          <w:rFonts w:eastAsia="Calibri"/>
          <w:bCs w:val="0"/>
          <w:lang w:val="es-ES"/>
        </w:rPr>
        <w:t xml:space="preserve"> de </w:t>
      </w:r>
      <w:r w:rsidR="0024106E" w:rsidRPr="006D3772">
        <w:rPr>
          <w:rFonts w:eastAsia="Calibri"/>
          <w:bCs w:val="0"/>
          <w:lang w:val="es-ES"/>
        </w:rPr>
        <w:t xml:space="preserve">sesiones </w:t>
      </w:r>
      <w:r w:rsidR="00416FC1" w:rsidRPr="006D3772">
        <w:rPr>
          <w:rFonts w:eastAsia="Calibri"/>
          <w:bCs w:val="0"/>
          <w:lang w:val="es-ES"/>
        </w:rPr>
        <w:t>de los</w:t>
      </w:r>
      <w:r w:rsidR="0024106E" w:rsidRPr="006D3772">
        <w:rPr>
          <w:rFonts w:eastAsia="Calibri"/>
          <w:bCs w:val="0"/>
          <w:lang w:val="es-ES"/>
        </w:rPr>
        <w:t xml:space="preserve"> miembros del GECT, incluidos los responsables de tareas y los colaboradores, a la que asistieron 41 participantes. Los objetivos de esta reunión eran:</w:t>
      </w:r>
    </w:p>
    <w:p w14:paraId="0564368A" w14:textId="23B12480" w:rsidR="0024106E" w:rsidRPr="006D3772" w:rsidRDefault="00A138A6" w:rsidP="00D13AAF">
      <w:pPr>
        <w:pStyle w:val="ListParagraph"/>
        <w:numPr>
          <w:ilvl w:val="0"/>
          <w:numId w:val="12"/>
        </w:numPr>
        <w:ind w:left="851" w:hanging="425"/>
        <w:rPr>
          <w:rFonts w:eastAsia="Calibri"/>
          <w:bCs w:val="0"/>
          <w:lang w:val="es-ES"/>
        </w:rPr>
      </w:pPr>
      <w:r w:rsidRPr="006D3772">
        <w:rPr>
          <w:lang w:val="es-ES" w:eastAsia="zh-CN"/>
        </w:rPr>
        <w:t>La aporta</w:t>
      </w:r>
      <w:r w:rsidR="0024106E" w:rsidRPr="006D3772">
        <w:rPr>
          <w:lang w:val="es-ES" w:eastAsia="zh-CN"/>
        </w:rPr>
        <w:t xml:space="preserve">ción </w:t>
      </w:r>
      <w:r w:rsidRPr="006D3772">
        <w:rPr>
          <w:lang w:val="es-ES" w:eastAsia="zh-CN"/>
        </w:rPr>
        <w:t xml:space="preserve">de </w:t>
      </w:r>
      <w:r w:rsidR="0024106E" w:rsidRPr="006D3772">
        <w:rPr>
          <w:lang w:val="es-ES" w:eastAsia="zh-CN"/>
        </w:rPr>
        <w:t>actualiza</w:t>
      </w:r>
      <w:r w:rsidRPr="006D3772">
        <w:rPr>
          <w:lang w:val="es-ES" w:eastAsia="zh-CN"/>
        </w:rPr>
        <w:t>ciones</w:t>
      </w:r>
      <w:r w:rsidR="0024106E" w:rsidRPr="006D3772">
        <w:rPr>
          <w:lang w:val="es-ES" w:eastAsia="zh-CN"/>
        </w:rPr>
        <w:t xml:space="preserve"> por parte de la Presidencia </w:t>
      </w:r>
      <w:r w:rsidR="00416FC1" w:rsidRPr="006D3772">
        <w:rPr>
          <w:lang w:val="es-ES" w:eastAsia="zh-CN"/>
        </w:rPr>
        <w:t xml:space="preserve">del GECT </w:t>
      </w:r>
      <w:r w:rsidR="0024106E" w:rsidRPr="006D3772">
        <w:rPr>
          <w:lang w:val="es-ES" w:eastAsia="zh-CN"/>
        </w:rPr>
        <w:t>y la Secretaría;</w:t>
      </w:r>
    </w:p>
    <w:p w14:paraId="50600ED7" w14:textId="14F34BDF" w:rsidR="0024106E" w:rsidRPr="006D3772" w:rsidRDefault="0024106E" w:rsidP="00D13AAF">
      <w:pPr>
        <w:pStyle w:val="ListParagraph"/>
        <w:numPr>
          <w:ilvl w:val="0"/>
          <w:numId w:val="12"/>
        </w:numPr>
        <w:ind w:left="851" w:hanging="425"/>
        <w:rPr>
          <w:lang w:val="es-ES" w:eastAsia="zh-CN"/>
        </w:rPr>
      </w:pPr>
      <w:r w:rsidRPr="006D3772">
        <w:rPr>
          <w:rFonts w:eastAsia="Calibri"/>
          <w:bCs w:val="0"/>
          <w:lang w:val="es-ES"/>
        </w:rPr>
        <w:t xml:space="preserve">Permitir que los responsables de las </w:t>
      </w:r>
      <w:r w:rsidR="00D10FC7" w:rsidRPr="006D3772">
        <w:rPr>
          <w:rFonts w:eastAsia="Calibri"/>
          <w:bCs w:val="0"/>
          <w:lang w:val="es-ES"/>
        </w:rPr>
        <w:t>áreas temáticas de trabajo</w:t>
      </w:r>
      <w:r w:rsidRPr="006D3772">
        <w:rPr>
          <w:rFonts w:eastAsia="Calibri"/>
          <w:bCs w:val="0"/>
          <w:lang w:val="es-ES"/>
        </w:rPr>
        <w:t xml:space="preserve"> (</w:t>
      </w:r>
      <w:r w:rsidR="001C762F" w:rsidRPr="006D3772">
        <w:rPr>
          <w:rFonts w:eastAsia="Calibri"/>
          <w:bCs w:val="0"/>
          <w:lang w:val="es-ES"/>
        </w:rPr>
        <w:t>ATT</w:t>
      </w:r>
      <w:r w:rsidRPr="006D3772">
        <w:rPr>
          <w:rFonts w:eastAsia="Calibri"/>
          <w:bCs w:val="0"/>
          <w:lang w:val="es-ES"/>
        </w:rPr>
        <w:t>) inform</w:t>
      </w:r>
      <w:r w:rsidR="002D38D2" w:rsidRPr="006D3772">
        <w:rPr>
          <w:rFonts w:eastAsia="Calibri"/>
          <w:bCs w:val="0"/>
          <w:lang w:val="es-ES"/>
        </w:rPr>
        <w:t>as</w:t>
      </w:r>
      <w:r w:rsidRPr="006D3772">
        <w:rPr>
          <w:rFonts w:eastAsia="Calibri"/>
          <w:bCs w:val="0"/>
          <w:lang w:val="es-ES"/>
        </w:rPr>
        <w:t>en a los miembros sobre los avances del plan de trabajo del GECT;</w:t>
      </w:r>
    </w:p>
    <w:p w14:paraId="4072C277" w14:textId="6D3D89F3" w:rsidR="00C42C20" w:rsidRPr="006D3772" w:rsidRDefault="00C42C20" w:rsidP="00D13AAF">
      <w:pPr>
        <w:pStyle w:val="ListParagraph"/>
        <w:numPr>
          <w:ilvl w:val="0"/>
          <w:numId w:val="12"/>
        </w:numPr>
        <w:ind w:left="851" w:hanging="425"/>
        <w:rPr>
          <w:lang w:val="es-ES" w:eastAsia="zh-CN"/>
        </w:rPr>
      </w:pPr>
      <w:r w:rsidRPr="006D3772">
        <w:rPr>
          <w:lang w:val="es-ES" w:eastAsia="zh-CN"/>
        </w:rPr>
        <w:lastRenderedPageBreak/>
        <w:t xml:space="preserve">Examinar los proyectos de resolución que se presentarán a la 64ª reunión del Comité Permanente: proyecto de resolución sobre la aplicación </w:t>
      </w:r>
      <w:r w:rsidR="00416FC1" w:rsidRPr="006D3772">
        <w:rPr>
          <w:lang w:val="es-ES" w:eastAsia="zh-CN"/>
        </w:rPr>
        <w:t xml:space="preserve">futura </w:t>
      </w:r>
      <w:r w:rsidRPr="006D3772">
        <w:rPr>
          <w:lang w:val="es-ES" w:eastAsia="zh-CN"/>
        </w:rPr>
        <w:t xml:space="preserve">de los aspectos científicos y técnicos de la Convención para 2026-2028 (documento SC64 Doc.19); proyecto de resolución sobre el establecimiento de la </w:t>
      </w:r>
      <w:r w:rsidR="00416FC1" w:rsidRPr="006D3772">
        <w:rPr>
          <w:lang w:val="es-ES" w:eastAsia="zh-CN"/>
        </w:rPr>
        <w:t>Alianza</w:t>
      </w:r>
      <w:r w:rsidRPr="006D3772">
        <w:rPr>
          <w:lang w:val="es-ES" w:eastAsia="zh-CN"/>
        </w:rPr>
        <w:t xml:space="preserve"> para la</w:t>
      </w:r>
      <w:r w:rsidR="00416FC1" w:rsidRPr="006D3772">
        <w:rPr>
          <w:lang w:val="es-ES" w:eastAsia="zh-CN"/>
        </w:rPr>
        <w:t>s</w:t>
      </w:r>
      <w:r w:rsidRPr="006D3772">
        <w:rPr>
          <w:lang w:val="es-ES" w:eastAsia="zh-CN"/>
        </w:rPr>
        <w:t xml:space="preserve"> Estimaci</w:t>
      </w:r>
      <w:r w:rsidR="00416FC1" w:rsidRPr="006D3772">
        <w:rPr>
          <w:lang w:val="es-ES" w:eastAsia="zh-CN"/>
        </w:rPr>
        <w:t>ones</w:t>
      </w:r>
      <w:r w:rsidRPr="006D3772">
        <w:rPr>
          <w:lang w:val="es-ES" w:eastAsia="zh-CN"/>
        </w:rPr>
        <w:t xml:space="preserve"> de Aves Acuáticas (</w:t>
      </w:r>
      <w:r w:rsidR="00416FC1" w:rsidRPr="006D3772">
        <w:rPr>
          <w:lang w:val="es-ES" w:eastAsia="zh-CN"/>
        </w:rPr>
        <w:t>AEAA</w:t>
      </w:r>
      <w:r w:rsidRPr="006D3772">
        <w:rPr>
          <w:lang w:val="es-ES" w:eastAsia="zh-CN"/>
        </w:rPr>
        <w:t xml:space="preserve">) y la </w:t>
      </w:r>
      <w:r w:rsidR="00416FC1" w:rsidRPr="006D3772">
        <w:rPr>
          <w:lang w:val="es-ES" w:eastAsia="zh-CN"/>
        </w:rPr>
        <w:t>publicación</w:t>
      </w:r>
      <w:r w:rsidRPr="006D3772">
        <w:rPr>
          <w:lang w:val="es-ES" w:eastAsia="zh-CN"/>
        </w:rPr>
        <w:t xml:space="preserve"> de la edición</w:t>
      </w:r>
      <w:r w:rsidR="00416FC1" w:rsidRPr="006D3772">
        <w:rPr>
          <w:lang w:val="es-ES" w:eastAsia="zh-CN"/>
        </w:rPr>
        <w:t xml:space="preserve"> de</w:t>
      </w:r>
      <w:r w:rsidRPr="006D3772">
        <w:rPr>
          <w:lang w:val="es-ES" w:eastAsia="zh-CN"/>
        </w:rPr>
        <w:t xml:space="preserve"> 2027 de </w:t>
      </w:r>
      <w:r w:rsidR="00416FC1" w:rsidRPr="006D3772">
        <w:rPr>
          <w:i/>
          <w:iCs/>
          <w:lang w:val="es-ES" w:eastAsia="zh-CN"/>
        </w:rPr>
        <w:t>Waterbird Population Estimates</w:t>
      </w:r>
      <w:r w:rsidRPr="006D3772">
        <w:rPr>
          <w:lang w:val="es-ES" w:eastAsia="zh-CN"/>
        </w:rPr>
        <w:t xml:space="preserve"> (SC64 Doc.20); y proyecto de resolución sobre la aplicación de los Criterios 6 y 9 a los Humedales de Importancia Internacional nuevos y existentes (SC64 Doc.21). A continuación se ofrecen más detalles sobre estas resoluciones. </w:t>
      </w:r>
    </w:p>
    <w:p w14:paraId="049D59E8" w14:textId="77777777" w:rsidR="00CC2345" w:rsidRPr="006D3772" w:rsidRDefault="00CC2345" w:rsidP="00F14062">
      <w:pPr>
        <w:ind w:left="432" w:hanging="432"/>
        <w:rPr>
          <w:lang w:val="es-ES" w:eastAsia="zh-CN"/>
        </w:rPr>
      </w:pPr>
    </w:p>
    <w:p w14:paraId="573C0D48" w14:textId="3D4BB794" w:rsidR="00C42C20" w:rsidRPr="006D3772" w:rsidRDefault="006C4877" w:rsidP="00F14062">
      <w:pPr>
        <w:ind w:left="432" w:hanging="432"/>
        <w:rPr>
          <w:lang w:val="es-ES" w:eastAsia="zh-CN"/>
        </w:rPr>
      </w:pPr>
      <w:r>
        <w:rPr>
          <w:lang w:val="es-ES" w:eastAsia="zh-CN"/>
        </w:rPr>
        <w:t>3</w:t>
      </w:r>
      <w:r w:rsidR="00CC2345" w:rsidRPr="006D3772">
        <w:rPr>
          <w:lang w:val="es-ES" w:eastAsia="zh-CN"/>
        </w:rPr>
        <w:t>.</w:t>
      </w:r>
      <w:r w:rsidR="00CC2345" w:rsidRPr="006D3772">
        <w:rPr>
          <w:lang w:val="es-ES" w:eastAsia="zh-CN"/>
        </w:rPr>
        <w:tab/>
      </w:r>
      <w:r w:rsidR="00C42C20" w:rsidRPr="006D3772">
        <w:rPr>
          <w:lang w:val="es-ES" w:eastAsia="zh-CN"/>
        </w:rPr>
        <w:t xml:space="preserve">El GECT también evaluó el progreso de las tareas específicas del Grupo, centrándose en el </w:t>
      </w:r>
      <w:r w:rsidR="00416FC1" w:rsidRPr="006D3772">
        <w:rPr>
          <w:lang w:val="es-ES" w:eastAsia="zh-CN"/>
        </w:rPr>
        <w:t xml:space="preserve">proyecto de </w:t>
      </w:r>
      <w:r w:rsidR="00C42C20" w:rsidRPr="006D3772">
        <w:rPr>
          <w:lang w:val="es-ES" w:eastAsia="zh-CN"/>
        </w:rPr>
        <w:t xml:space="preserve">Nota Informativa sobre otras medidas </w:t>
      </w:r>
      <w:r w:rsidR="00416FC1" w:rsidRPr="006D3772">
        <w:rPr>
          <w:lang w:val="es-ES" w:eastAsia="zh-CN"/>
        </w:rPr>
        <w:t>efectivas</w:t>
      </w:r>
      <w:r w:rsidR="00C42C20" w:rsidRPr="006D3772">
        <w:rPr>
          <w:lang w:val="es-ES" w:eastAsia="zh-CN"/>
        </w:rPr>
        <w:t xml:space="preserve"> de conservación basadas en </w:t>
      </w:r>
      <w:r w:rsidR="00416FC1" w:rsidRPr="006D3772">
        <w:rPr>
          <w:lang w:val="es-ES" w:eastAsia="zh-CN"/>
        </w:rPr>
        <w:t>áreas</w:t>
      </w:r>
      <w:r w:rsidR="00C42C20" w:rsidRPr="006D3772">
        <w:rPr>
          <w:lang w:val="es-ES" w:eastAsia="zh-CN"/>
        </w:rPr>
        <w:t xml:space="preserve"> para el uso racional de los humedales (</w:t>
      </w:r>
      <w:r w:rsidR="00D10FC7" w:rsidRPr="006D3772">
        <w:rPr>
          <w:lang w:val="es-ES" w:eastAsia="zh-CN"/>
        </w:rPr>
        <w:t xml:space="preserve">Tarea </w:t>
      </w:r>
      <w:r w:rsidR="00C42C20" w:rsidRPr="006D3772">
        <w:rPr>
          <w:lang w:val="es-ES" w:eastAsia="zh-CN"/>
        </w:rPr>
        <w:t>4.1)</w:t>
      </w:r>
      <w:r w:rsidR="005346DF">
        <w:rPr>
          <w:lang w:val="es-ES" w:eastAsia="zh-CN"/>
        </w:rPr>
        <w:t>,</w:t>
      </w:r>
      <w:r w:rsidR="00C42C20" w:rsidRPr="006D3772">
        <w:rPr>
          <w:lang w:val="es-ES" w:eastAsia="zh-CN"/>
        </w:rPr>
        <w:t xml:space="preserve"> </w:t>
      </w:r>
      <w:r w:rsidR="002D38D2" w:rsidRPr="006D3772">
        <w:rPr>
          <w:lang w:val="es-ES" w:eastAsia="zh-CN"/>
        </w:rPr>
        <w:t>la labor llevada a cabo</w:t>
      </w:r>
      <w:r w:rsidR="00C42C20" w:rsidRPr="006D3772">
        <w:rPr>
          <w:lang w:val="es-ES" w:eastAsia="zh-CN"/>
        </w:rPr>
        <w:t xml:space="preserve"> por un consultor sobre la evaluación de los </w:t>
      </w:r>
      <w:r w:rsidR="009232E4" w:rsidRPr="006D3772">
        <w:rPr>
          <w:lang w:val="es-ES" w:eastAsia="zh-CN"/>
        </w:rPr>
        <w:t xml:space="preserve">costos </w:t>
      </w:r>
      <w:r w:rsidR="00C42C20" w:rsidRPr="006D3772">
        <w:rPr>
          <w:lang w:val="es-ES" w:eastAsia="zh-CN"/>
        </w:rPr>
        <w:t xml:space="preserve">de la pérdida y degradación de los humedales </w:t>
      </w:r>
      <w:r w:rsidR="009232E4" w:rsidRPr="006D3772">
        <w:rPr>
          <w:lang w:val="es-ES" w:eastAsia="zh-CN"/>
        </w:rPr>
        <w:t>para</w:t>
      </w:r>
      <w:r w:rsidR="002D38D2" w:rsidRPr="006D3772">
        <w:rPr>
          <w:lang w:val="es-ES" w:eastAsia="zh-CN"/>
        </w:rPr>
        <w:t xml:space="preserve"> </w:t>
      </w:r>
      <w:r w:rsidR="009232E4" w:rsidRPr="006D3772">
        <w:rPr>
          <w:lang w:val="es-ES" w:eastAsia="zh-CN"/>
        </w:rPr>
        <w:t>la</w:t>
      </w:r>
      <w:r w:rsidR="00C42C20" w:rsidRPr="006D3772">
        <w:rPr>
          <w:lang w:val="es-ES" w:eastAsia="zh-CN"/>
        </w:rPr>
        <w:t xml:space="preserve"> Perspectiva Mundial sobre los Humedale</w:t>
      </w:r>
      <w:r w:rsidR="00D10FC7" w:rsidRPr="006D3772">
        <w:rPr>
          <w:lang w:val="es-ES" w:eastAsia="zh-CN"/>
        </w:rPr>
        <w:t>s</w:t>
      </w:r>
      <w:r w:rsidR="00C42C20" w:rsidRPr="006D3772">
        <w:rPr>
          <w:lang w:val="es-ES" w:eastAsia="zh-CN"/>
        </w:rPr>
        <w:t xml:space="preserve"> (</w:t>
      </w:r>
      <w:r w:rsidR="00D10FC7" w:rsidRPr="006D3772">
        <w:rPr>
          <w:lang w:val="es-ES" w:eastAsia="zh-CN"/>
        </w:rPr>
        <w:t xml:space="preserve">Tarea </w:t>
      </w:r>
      <w:r w:rsidR="00C42C20" w:rsidRPr="006D3772">
        <w:rPr>
          <w:lang w:val="es-ES" w:eastAsia="zh-CN"/>
        </w:rPr>
        <w:t>5.1)</w:t>
      </w:r>
      <w:r w:rsidR="005346DF">
        <w:rPr>
          <w:lang w:val="es-ES" w:eastAsia="zh-CN"/>
        </w:rPr>
        <w:t>,</w:t>
      </w:r>
      <w:r w:rsidR="00C42C20" w:rsidRPr="006D3772">
        <w:rPr>
          <w:lang w:val="es-ES" w:eastAsia="zh-CN"/>
        </w:rPr>
        <w:t xml:space="preserve"> el </w:t>
      </w:r>
      <w:r w:rsidR="005F7B27" w:rsidRPr="006D3772">
        <w:rPr>
          <w:lang w:val="es-ES" w:eastAsia="zh-CN"/>
        </w:rPr>
        <w:t>enfoque</w:t>
      </w:r>
      <w:r w:rsidR="00C42C20" w:rsidRPr="006D3772">
        <w:rPr>
          <w:lang w:val="es-ES" w:eastAsia="zh-CN"/>
        </w:rPr>
        <w:t xml:space="preserve"> propuesto para </w:t>
      </w:r>
      <w:r w:rsidR="009232E4" w:rsidRPr="006D3772">
        <w:rPr>
          <w:lang w:val="es-ES" w:eastAsia="zh-CN"/>
        </w:rPr>
        <w:t xml:space="preserve">la preparación de ediciones </w:t>
      </w:r>
      <w:r w:rsidR="00FB5617" w:rsidRPr="006D3772">
        <w:rPr>
          <w:lang w:val="es-ES" w:eastAsia="zh-CN"/>
        </w:rPr>
        <w:t xml:space="preserve">futuras </w:t>
      </w:r>
      <w:r w:rsidR="009232E4" w:rsidRPr="006D3772">
        <w:rPr>
          <w:lang w:val="es-ES" w:eastAsia="zh-CN"/>
        </w:rPr>
        <w:t xml:space="preserve">de la </w:t>
      </w:r>
      <w:r w:rsidR="00C42C20" w:rsidRPr="006D3772">
        <w:rPr>
          <w:lang w:val="es-ES" w:eastAsia="zh-CN"/>
        </w:rPr>
        <w:t>Perspectiva Mundial</w:t>
      </w:r>
      <w:r w:rsidR="00D10FC7" w:rsidRPr="006D3772">
        <w:rPr>
          <w:lang w:val="es-ES" w:eastAsia="zh-CN"/>
        </w:rPr>
        <w:t xml:space="preserve"> </w:t>
      </w:r>
      <w:r w:rsidR="00C42C20" w:rsidRPr="006D3772">
        <w:rPr>
          <w:lang w:val="es-ES" w:eastAsia="zh-CN"/>
        </w:rPr>
        <w:t>sobre los Humedales (</w:t>
      </w:r>
      <w:r w:rsidR="00D10FC7" w:rsidRPr="006D3772">
        <w:rPr>
          <w:lang w:val="es-ES" w:eastAsia="zh-CN"/>
        </w:rPr>
        <w:t xml:space="preserve">Tarea </w:t>
      </w:r>
      <w:r w:rsidR="00C42C20" w:rsidRPr="006D3772">
        <w:rPr>
          <w:lang w:val="es-ES" w:eastAsia="zh-CN"/>
        </w:rPr>
        <w:t>5.3)</w:t>
      </w:r>
      <w:r w:rsidR="005346DF">
        <w:rPr>
          <w:lang w:val="es-ES" w:eastAsia="zh-CN"/>
        </w:rPr>
        <w:t>,</w:t>
      </w:r>
      <w:r w:rsidR="00C42C20" w:rsidRPr="006D3772">
        <w:rPr>
          <w:lang w:val="es-ES" w:eastAsia="zh-CN"/>
        </w:rPr>
        <w:t xml:space="preserve"> y la propuesta de </w:t>
      </w:r>
      <w:r w:rsidR="009232E4" w:rsidRPr="006D3772">
        <w:rPr>
          <w:lang w:val="es-ES" w:eastAsia="zh-CN"/>
        </w:rPr>
        <w:t>examen</w:t>
      </w:r>
      <w:r w:rsidR="00C42C20" w:rsidRPr="006D3772">
        <w:rPr>
          <w:lang w:val="es-ES" w:eastAsia="zh-CN"/>
        </w:rPr>
        <w:t xml:space="preserve"> de los marcos jurídicos y </w:t>
      </w:r>
      <w:r w:rsidR="0076211F" w:rsidRPr="006D3772">
        <w:rPr>
          <w:lang w:val="es-ES" w:eastAsia="zh-CN"/>
        </w:rPr>
        <w:t>normativ</w:t>
      </w:r>
      <w:r w:rsidR="00C42C20" w:rsidRPr="006D3772">
        <w:rPr>
          <w:lang w:val="es-ES" w:eastAsia="zh-CN"/>
        </w:rPr>
        <w:t>os para la conservación y el uso racional de los humedales (</w:t>
      </w:r>
      <w:r w:rsidR="00D10FC7" w:rsidRPr="006D3772">
        <w:rPr>
          <w:lang w:val="es-ES" w:eastAsia="zh-CN"/>
        </w:rPr>
        <w:t xml:space="preserve">Tarea </w:t>
      </w:r>
      <w:r w:rsidR="00C42C20" w:rsidRPr="006D3772">
        <w:rPr>
          <w:lang w:val="es-ES" w:eastAsia="zh-CN"/>
        </w:rPr>
        <w:t>5.4).</w:t>
      </w:r>
      <w:r w:rsidR="009232E4" w:rsidRPr="006D3772">
        <w:rPr>
          <w:lang w:val="es-ES" w:eastAsia="zh-CN"/>
        </w:rPr>
        <w:t xml:space="preserve"> </w:t>
      </w:r>
    </w:p>
    <w:p w14:paraId="387FFE14" w14:textId="77777777" w:rsidR="008A29B8" w:rsidRPr="006D3772" w:rsidRDefault="008A29B8" w:rsidP="008A29B8">
      <w:pPr>
        <w:rPr>
          <w:rFonts w:eastAsia="Calibri"/>
          <w:b/>
          <w:lang w:val="es-ES"/>
        </w:rPr>
      </w:pPr>
    </w:p>
    <w:p w14:paraId="12135DD8" w14:textId="0C03D0FC" w:rsidR="00C42C20" w:rsidRPr="006D3772" w:rsidRDefault="00C42C20" w:rsidP="008A29B8">
      <w:pPr>
        <w:rPr>
          <w:rFonts w:eastAsia="Calibri"/>
          <w:b/>
          <w:lang w:val="es-ES"/>
        </w:rPr>
      </w:pPr>
      <w:r w:rsidRPr="006D3772">
        <w:rPr>
          <w:rFonts w:eastAsia="Calibri"/>
          <w:b/>
          <w:lang w:val="es-ES"/>
        </w:rPr>
        <w:t>Comunicado del GECT</w:t>
      </w:r>
    </w:p>
    <w:p w14:paraId="2899CEA3" w14:textId="77777777" w:rsidR="008A29B8" w:rsidRPr="006D3772" w:rsidRDefault="008A29B8" w:rsidP="008A29B8">
      <w:pPr>
        <w:rPr>
          <w:rFonts w:eastAsia="Calibri"/>
          <w:bCs w:val="0"/>
          <w:lang w:val="es-ES"/>
        </w:rPr>
      </w:pPr>
    </w:p>
    <w:p w14:paraId="7F051098" w14:textId="36FA0290" w:rsidR="00DF39DD" w:rsidRPr="006D3772" w:rsidRDefault="006C4877" w:rsidP="008A29B8">
      <w:pPr>
        <w:ind w:left="432" w:hanging="432"/>
        <w:rPr>
          <w:lang w:val="es-ES" w:eastAsia="zh-CN"/>
        </w:rPr>
      </w:pPr>
      <w:r>
        <w:rPr>
          <w:lang w:val="es-ES" w:eastAsia="zh-CN"/>
        </w:rPr>
        <w:t>4</w:t>
      </w:r>
      <w:r w:rsidR="00F319AD" w:rsidRPr="006D3772">
        <w:rPr>
          <w:lang w:val="es-ES" w:eastAsia="zh-CN"/>
        </w:rPr>
        <w:t>.</w:t>
      </w:r>
      <w:r w:rsidR="00F319AD" w:rsidRPr="006D3772">
        <w:rPr>
          <w:lang w:val="es-ES" w:eastAsia="zh-CN"/>
        </w:rPr>
        <w:tab/>
      </w:r>
      <w:r w:rsidR="00DF39DD" w:rsidRPr="006D3772">
        <w:rPr>
          <w:lang w:val="es-ES" w:eastAsia="zh-CN"/>
        </w:rPr>
        <w:t xml:space="preserve">Tras la 26ª reunión del GECT (GECT26), la Presidencia del GECT, con el apoyo de la Secretaría, </w:t>
      </w:r>
      <w:r w:rsidR="002339B2">
        <w:rPr>
          <w:lang w:val="es-ES" w:eastAsia="zh-CN"/>
        </w:rPr>
        <w:t xml:space="preserve">publicó </w:t>
      </w:r>
      <w:r w:rsidR="00DF39DD" w:rsidRPr="006D3772">
        <w:rPr>
          <w:lang w:val="es-ES" w:eastAsia="zh-CN"/>
        </w:rPr>
        <w:t xml:space="preserve">un </w:t>
      </w:r>
      <w:hyperlink r:id="rId10" w:history="1">
        <w:r w:rsidR="00DF39DD" w:rsidRPr="006D3772">
          <w:rPr>
            <w:rStyle w:val="Hyperlink"/>
            <w:lang w:val="es-ES" w:eastAsia="zh-CN"/>
          </w:rPr>
          <w:t>comunicado</w:t>
        </w:r>
      </w:hyperlink>
      <w:r w:rsidR="00DF39DD" w:rsidRPr="006D3772">
        <w:rPr>
          <w:lang w:val="es-ES" w:eastAsia="zh-CN"/>
        </w:rPr>
        <w:t xml:space="preserve"> centrado en compartir información actualizada de la Presidencia del GECT con las OIA, los observadores y los </w:t>
      </w:r>
      <w:r w:rsidR="00CD0990" w:rsidRPr="006D3772">
        <w:rPr>
          <w:lang w:val="es-ES" w:eastAsia="zh-CN"/>
        </w:rPr>
        <w:t>coordinadores</w:t>
      </w:r>
      <w:r w:rsidR="00DF39DD" w:rsidRPr="006D3772">
        <w:rPr>
          <w:lang w:val="es-ES" w:eastAsia="zh-CN"/>
        </w:rPr>
        <w:t xml:space="preserve"> del GECT. El primer comunicado </w:t>
      </w:r>
      <w:r w:rsidR="009232E4" w:rsidRPr="006D3772">
        <w:rPr>
          <w:lang w:val="es-ES" w:eastAsia="zh-CN"/>
        </w:rPr>
        <w:t xml:space="preserve">se publicó </w:t>
      </w:r>
      <w:r w:rsidR="00DF39DD" w:rsidRPr="006D3772">
        <w:rPr>
          <w:lang w:val="es-ES" w:eastAsia="zh-CN"/>
        </w:rPr>
        <w:t xml:space="preserve">el 15 de mayo de 2024 y se </w:t>
      </w:r>
      <w:r w:rsidR="009232E4" w:rsidRPr="006D3772">
        <w:rPr>
          <w:lang w:val="es-ES" w:eastAsia="zh-CN"/>
        </w:rPr>
        <w:t>centró</w:t>
      </w:r>
      <w:r w:rsidR="00DF39DD" w:rsidRPr="006D3772">
        <w:rPr>
          <w:lang w:val="es-ES" w:eastAsia="zh-CN"/>
        </w:rPr>
        <w:t xml:space="preserve"> en </w:t>
      </w:r>
      <w:r w:rsidR="009232E4" w:rsidRPr="006D3772">
        <w:rPr>
          <w:lang w:val="es-ES" w:eastAsia="zh-CN"/>
        </w:rPr>
        <w:t>informar</w:t>
      </w:r>
      <w:r w:rsidR="00DF39DD" w:rsidRPr="006D3772">
        <w:rPr>
          <w:lang w:val="es-ES" w:eastAsia="zh-CN"/>
        </w:rPr>
        <w:t xml:space="preserve"> sobre los avances relacionados con las tareas del GECT y las publicaciones pertinentes. El comunicado también brinda la posibilidad de compartir información actualizada de las Organizaciones Internacionales Asociadas (OIA). La próxima edición del comunicado está prevista para diciembre de 2024.</w:t>
      </w:r>
    </w:p>
    <w:p w14:paraId="1B2E2B1D" w14:textId="77777777" w:rsidR="008A29B8" w:rsidRPr="006D3772" w:rsidRDefault="008A29B8" w:rsidP="00E952E3">
      <w:pPr>
        <w:rPr>
          <w:lang w:val="es-ES" w:eastAsia="zh-CN"/>
        </w:rPr>
      </w:pPr>
    </w:p>
    <w:p w14:paraId="79D1A616" w14:textId="02046BA1" w:rsidR="00CF6E6E" w:rsidRPr="006D3772" w:rsidRDefault="00D64D38" w:rsidP="009232E4">
      <w:pPr>
        <w:keepNext/>
        <w:ind w:left="425" w:hanging="425"/>
        <w:rPr>
          <w:rFonts w:eastAsia="Calibri"/>
          <w:b/>
          <w:lang w:val="es-ES"/>
        </w:rPr>
      </w:pPr>
      <w:r w:rsidRPr="006D3772">
        <w:rPr>
          <w:rFonts w:eastAsia="Calibri"/>
          <w:b/>
          <w:lang w:val="es-ES"/>
        </w:rPr>
        <w:t xml:space="preserve">Avances en las tareas de alta prioridad </w:t>
      </w:r>
      <w:r w:rsidR="009232E4" w:rsidRPr="006D3772">
        <w:rPr>
          <w:rFonts w:eastAsia="Calibri"/>
          <w:b/>
          <w:lang w:val="es-ES"/>
        </w:rPr>
        <w:t>incluidas</w:t>
      </w:r>
      <w:r w:rsidRPr="006D3772">
        <w:rPr>
          <w:rFonts w:eastAsia="Calibri"/>
          <w:b/>
          <w:lang w:val="es-ES"/>
        </w:rPr>
        <w:t xml:space="preserve"> en el </w:t>
      </w:r>
      <w:r w:rsidR="009232E4" w:rsidRPr="006D3772">
        <w:rPr>
          <w:rFonts w:eastAsia="Calibri"/>
          <w:b/>
          <w:lang w:val="es-ES"/>
        </w:rPr>
        <w:t>p</w:t>
      </w:r>
      <w:r w:rsidRPr="006D3772">
        <w:rPr>
          <w:rFonts w:eastAsia="Calibri"/>
          <w:b/>
          <w:lang w:val="es-ES"/>
        </w:rPr>
        <w:t xml:space="preserve">lan de </w:t>
      </w:r>
      <w:r w:rsidR="009232E4" w:rsidRPr="006D3772">
        <w:rPr>
          <w:rFonts w:eastAsia="Calibri"/>
          <w:b/>
          <w:lang w:val="es-ES"/>
        </w:rPr>
        <w:t>t</w:t>
      </w:r>
      <w:r w:rsidRPr="006D3772">
        <w:rPr>
          <w:rFonts w:eastAsia="Calibri"/>
          <w:b/>
          <w:lang w:val="es-ES"/>
        </w:rPr>
        <w:t xml:space="preserve">rabajo </w:t>
      </w:r>
      <w:r w:rsidR="009232E4" w:rsidRPr="006D3772">
        <w:rPr>
          <w:rFonts w:eastAsia="Calibri"/>
          <w:b/>
          <w:lang w:val="es-ES"/>
        </w:rPr>
        <w:t xml:space="preserve">del GECT para </w:t>
      </w:r>
      <w:r w:rsidRPr="006D3772">
        <w:rPr>
          <w:rFonts w:eastAsia="Calibri"/>
          <w:b/>
          <w:lang w:val="es-ES"/>
        </w:rPr>
        <w:t>2023-2025</w:t>
      </w:r>
    </w:p>
    <w:p w14:paraId="1A33983D" w14:textId="77777777" w:rsidR="009232E4" w:rsidRPr="006D3772" w:rsidRDefault="009232E4" w:rsidP="009232E4">
      <w:pPr>
        <w:keepNext/>
        <w:ind w:left="425" w:hanging="425"/>
        <w:rPr>
          <w:rFonts w:eastAsia="Calibri"/>
          <w:lang w:val="es-ES"/>
        </w:rPr>
      </w:pPr>
    </w:p>
    <w:p w14:paraId="00514850" w14:textId="4D1EA3D1" w:rsidR="00D64D38" w:rsidRPr="006D3772" w:rsidRDefault="006C4877" w:rsidP="00795D93">
      <w:pPr>
        <w:ind w:left="432" w:hanging="432"/>
        <w:rPr>
          <w:lang w:val="es-ES" w:eastAsia="zh-CN"/>
        </w:rPr>
      </w:pPr>
      <w:r>
        <w:rPr>
          <w:lang w:val="es-ES" w:eastAsia="zh-CN"/>
        </w:rPr>
        <w:t>5</w:t>
      </w:r>
      <w:r w:rsidR="00795D93" w:rsidRPr="006D3772">
        <w:rPr>
          <w:lang w:val="es-ES" w:eastAsia="zh-CN"/>
        </w:rPr>
        <w:t>.</w:t>
      </w:r>
      <w:r w:rsidR="00795D93" w:rsidRPr="006D3772">
        <w:rPr>
          <w:lang w:val="es-ES" w:eastAsia="zh-CN"/>
        </w:rPr>
        <w:tab/>
      </w:r>
      <w:r w:rsidR="00D64D38" w:rsidRPr="006D3772">
        <w:rPr>
          <w:lang w:val="es-ES" w:eastAsia="zh-CN"/>
        </w:rPr>
        <w:t xml:space="preserve">El GECT ha realizado avances </w:t>
      </w:r>
      <w:r w:rsidR="009232E4" w:rsidRPr="006D3772">
        <w:rPr>
          <w:lang w:val="es-ES" w:eastAsia="zh-CN"/>
        </w:rPr>
        <w:t>considerables</w:t>
      </w:r>
      <w:r w:rsidR="00D64D38" w:rsidRPr="006D3772">
        <w:rPr>
          <w:lang w:val="es-ES" w:eastAsia="zh-CN"/>
        </w:rPr>
        <w:t xml:space="preserve"> en tareas de alta prioridad:</w:t>
      </w:r>
    </w:p>
    <w:p w14:paraId="14E36EE5" w14:textId="77777777" w:rsidR="00795D93" w:rsidRPr="006D3772" w:rsidRDefault="00795D93" w:rsidP="00CF6E6E">
      <w:pPr>
        <w:rPr>
          <w:rFonts w:eastAsia="Calibri"/>
          <w:lang w:val="es-ES"/>
        </w:rPr>
      </w:pPr>
    </w:p>
    <w:p w14:paraId="282C352C" w14:textId="3686A405" w:rsidR="00D64D38" w:rsidRPr="006D3772" w:rsidRDefault="00D64D38" w:rsidP="00CF6E6E">
      <w:pPr>
        <w:rPr>
          <w:rFonts w:eastAsia="Calibri"/>
          <w:u w:val="single"/>
          <w:lang w:val="es-ES"/>
        </w:rPr>
      </w:pPr>
      <w:r w:rsidRPr="006D3772">
        <w:rPr>
          <w:rFonts w:eastAsia="Calibri"/>
          <w:u w:val="single"/>
          <w:lang w:val="es-ES"/>
        </w:rPr>
        <w:t>Área temática de trabajo 1</w:t>
      </w:r>
      <w:r w:rsidR="00AB4328" w:rsidRPr="006D3772">
        <w:rPr>
          <w:rFonts w:eastAsia="Calibri"/>
          <w:u w:val="single"/>
          <w:lang w:val="es-ES"/>
        </w:rPr>
        <w:t xml:space="preserve"> (</w:t>
      </w:r>
      <w:r w:rsidR="001C762F" w:rsidRPr="006D3772">
        <w:rPr>
          <w:rFonts w:eastAsia="Calibri"/>
          <w:u w:val="single"/>
          <w:lang w:val="es-ES"/>
        </w:rPr>
        <w:t>ATT</w:t>
      </w:r>
      <w:r w:rsidR="00AB4328" w:rsidRPr="006D3772">
        <w:rPr>
          <w:rFonts w:eastAsia="Calibri"/>
          <w:u w:val="single"/>
          <w:lang w:val="es-ES"/>
        </w:rPr>
        <w:t>1)</w:t>
      </w:r>
      <w:r w:rsidRPr="006D3772">
        <w:rPr>
          <w:rFonts w:eastAsia="Calibri"/>
          <w:u w:val="single"/>
          <w:lang w:val="es-ES"/>
        </w:rPr>
        <w:t xml:space="preserve">: </w:t>
      </w:r>
      <w:r w:rsidR="009232E4" w:rsidRPr="006D3772">
        <w:rPr>
          <w:rFonts w:eastAsia="Calibri"/>
          <w:u w:val="single"/>
          <w:lang w:val="es-ES"/>
        </w:rPr>
        <w:t>Los H</w:t>
      </w:r>
      <w:r w:rsidRPr="006D3772">
        <w:rPr>
          <w:rFonts w:eastAsia="Calibri"/>
          <w:u w:val="single"/>
          <w:lang w:val="es-ES"/>
        </w:rPr>
        <w:t xml:space="preserve">umedales de Importancia Internacional, desarrollo de la red de sitios y aplicación de </w:t>
      </w:r>
      <w:r w:rsidR="009232E4" w:rsidRPr="006D3772">
        <w:rPr>
          <w:rFonts w:eastAsia="Calibri"/>
          <w:u w:val="single"/>
          <w:lang w:val="es-ES"/>
        </w:rPr>
        <w:t xml:space="preserve">los </w:t>
      </w:r>
      <w:r w:rsidRPr="006D3772">
        <w:rPr>
          <w:rFonts w:eastAsia="Calibri"/>
          <w:u w:val="single"/>
          <w:lang w:val="es-ES"/>
        </w:rPr>
        <w:t>criterios.</w:t>
      </w:r>
    </w:p>
    <w:p w14:paraId="21FE4716" w14:textId="77777777" w:rsidR="00D23B75" w:rsidRPr="006D3772" w:rsidRDefault="00D23B75" w:rsidP="00CF6E6E">
      <w:pPr>
        <w:rPr>
          <w:rFonts w:eastAsia="Calibri"/>
          <w:lang w:val="es-ES"/>
        </w:rPr>
      </w:pPr>
    </w:p>
    <w:p w14:paraId="646A38FE" w14:textId="5086F02D" w:rsidR="00D10454" w:rsidRPr="006D3772" w:rsidRDefault="006C4877" w:rsidP="00276823">
      <w:pPr>
        <w:ind w:left="432" w:hanging="432"/>
        <w:rPr>
          <w:lang w:val="es-ES"/>
        </w:rPr>
      </w:pPr>
      <w:r>
        <w:rPr>
          <w:rFonts w:eastAsia="Calibri"/>
          <w:lang w:val="es-ES"/>
        </w:rPr>
        <w:t>6</w:t>
      </w:r>
      <w:r w:rsidR="001632D1" w:rsidRPr="006D3772">
        <w:rPr>
          <w:rFonts w:eastAsia="Calibri"/>
          <w:lang w:val="es-ES"/>
        </w:rPr>
        <w:t>.</w:t>
      </w:r>
      <w:r w:rsidR="001632D1" w:rsidRPr="006D3772">
        <w:rPr>
          <w:rFonts w:eastAsia="Calibri"/>
          <w:lang w:val="es-ES"/>
        </w:rPr>
        <w:tab/>
      </w:r>
      <w:r w:rsidR="00F319AD" w:rsidRPr="006D3772">
        <w:rPr>
          <w:rFonts w:eastAsia="Calibri"/>
          <w:bCs w:val="0"/>
          <w:i/>
          <w:iCs/>
          <w:lang w:val="es-ES"/>
        </w:rPr>
        <w:t>Ta</w:t>
      </w:r>
      <w:r w:rsidR="00D10454" w:rsidRPr="006D3772">
        <w:rPr>
          <w:rFonts w:eastAsia="Calibri"/>
          <w:bCs w:val="0"/>
          <w:i/>
          <w:iCs/>
          <w:lang w:val="es-ES"/>
        </w:rPr>
        <w:t>rea</w:t>
      </w:r>
      <w:r w:rsidR="00F319AD" w:rsidRPr="006D3772">
        <w:rPr>
          <w:rFonts w:eastAsia="Calibri"/>
          <w:bCs w:val="0"/>
          <w:i/>
          <w:iCs/>
          <w:lang w:val="es-ES"/>
        </w:rPr>
        <w:t xml:space="preserve"> 1.1 (a). </w:t>
      </w:r>
      <w:r w:rsidR="00D10454" w:rsidRPr="006D3772">
        <w:rPr>
          <w:rFonts w:eastAsia="Calibri"/>
          <w:i/>
          <w:iCs/>
          <w:lang w:val="es-ES"/>
        </w:rPr>
        <w:t>Orientaciones sobre la aplicación del Criterio 9 de Ramsar para la designación de Humedales de Importancia Internacional</w:t>
      </w:r>
      <w:r w:rsidR="00F319AD" w:rsidRPr="006D3772">
        <w:rPr>
          <w:rFonts w:eastAsia="Calibri"/>
          <w:bCs w:val="0"/>
          <w:lang w:val="es-ES"/>
        </w:rPr>
        <w:t xml:space="preserve">: </w:t>
      </w:r>
      <w:r w:rsidR="00D10454" w:rsidRPr="006D3772">
        <w:rPr>
          <w:rFonts w:eastAsia="Calibri"/>
          <w:bCs w:val="0"/>
          <w:lang w:val="es-ES"/>
        </w:rPr>
        <w:t xml:space="preserve">La </w:t>
      </w:r>
      <w:r w:rsidR="00D10FC7" w:rsidRPr="006D3772">
        <w:rPr>
          <w:rFonts w:eastAsia="Calibri"/>
          <w:bCs w:val="0"/>
          <w:lang w:val="es-ES"/>
        </w:rPr>
        <w:t xml:space="preserve">Tarea </w:t>
      </w:r>
      <w:r w:rsidR="00F43510" w:rsidRPr="006D3772">
        <w:rPr>
          <w:lang w:val="es-ES"/>
        </w:rPr>
        <w:t>1.1. (a) ha</w:t>
      </w:r>
      <w:r w:rsidR="00D10454" w:rsidRPr="006D3772">
        <w:rPr>
          <w:lang w:val="es-ES"/>
        </w:rPr>
        <w:t xml:space="preserve"> sido</w:t>
      </w:r>
      <w:r w:rsidR="00F43510" w:rsidRPr="006D3772">
        <w:rPr>
          <w:lang w:val="es-ES"/>
        </w:rPr>
        <w:t xml:space="preserve"> complet</w:t>
      </w:r>
      <w:r w:rsidR="00D10454" w:rsidRPr="006D3772">
        <w:rPr>
          <w:lang w:val="es-ES"/>
        </w:rPr>
        <w:t>ada</w:t>
      </w:r>
      <w:r w:rsidR="00F43510" w:rsidRPr="006D3772">
        <w:rPr>
          <w:lang w:val="es-ES"/>
        </w:rPr>
        <w:t xml:space="preserve">. </w:t>
      </w:r>
      <w:r w:rsidR="00D10454" w:rsidRPr="006D3772">
        <w:rPr>
          <w:lang w:val="es-ES"/>
        </w:rPr>
        <w:t xml:space="preserve">La tarea ha consistido en revisar y proponer actualizaciones del Marco Estratégico en relación con las orientaciones para </w:t>
      </w:r>
      <w:r w:rsidR="003F0D01" w:rsidRPr="006D3772">
        <w:rPr>
          <w:lang w:val="es-ES"/>
        </w:rPr>
        <w:t>la designación de</w:t>
      </w:r>
      <w:r w:rsidR="00D10454" w:rsidRPr="006D3772">
        <w:rPr>
          <w:lang w:val="es-ES"/>
        </w:rPr>
        <w:t xml:space="preserve"> Humedales de Importancia Internacional con arreglo al Criterio 9, mejorar la colaboración con los </w:t>
      </w:r>
      <w:r w:rsidR="002F5B5F" w:rsidRPr="006D3772">
        <w:rPr>
          <w:lang w:val="es-ES"/>
        </w:rPr>
        <w:t>actores</w:t>
      </w:r>
      <w:r w:rsidR="00D10454" w:rsidRPr="006D3772">
        <w:rPr>
          <w:lang w:val="es-ES"/>
        </w:rPr>
        <w:t xml:space="preserve"> pertinentes e identificar nuevas fuentes de datos para la designación de sitios. El trabajo también ha incluido la actualización del documento </w:t>
      </w:r>
      <w:r w:rsidR="00D10454" w:rsidRPr="006D3772">
        <w:rPr>
          <w:i/>
          <w:iCs/>
          <w:lang w:val="es-ES"/>
        </w:rPr>
        <w:t>Population estimates and 1% thresholds for wetland-dependent non-avian animal species, for the application of Criterion 9</w:t>
      </w:r>
      <w:r w:rsidR="00262808">
        <w:rPr>
          <w:lang w:val="es-ES"/>
        </w:rPr>
        <w:t xml:space="preserve"> (</w:t>
      </w:r>
      <w:r w:rsidR="00B37BD6" w:rsidRPr="006D3772">
        <w:rPr>
          <w:lang w:val="es-ES"/>
        </w:rPr>
        <w:t>Estimaciones poblacionales y umbrales del 1 % para las especies animales no aviares dependientes de los humedales, en aplicación del Criterio 9</w:t>
      </w:r>
      <w:r w:rsidR="00262808">
        <w:rPr>
          <w:lang w:val="es-ES"/>
        </w:rPr>
        <w:t>),</w:t>
      </w:r>
      <w:r w:rsidR="00D10454" w:rsidRPr="006D3772">
        <w:rPr>
          <w:lang w:val="es-ES"/>
        </w:rPr>
        <w:t xml:space="preserve"> publicado en 2006.</w:t>
      </w:r>
      <w:r w:rsidR="00B37BD6" w:rsidRPr="006D3772">
        <w:rPr>
          <w:rStyle w:val="FootnoteReference"/>
          <w:lang w:val="es-ES"/>
        </w:rPr>
        <w:t xml:space="preserve"> </w:t>
      </w:r>
      <w:r w:rsidR="00B37BD6" w:rsidRPr="006D3772">
        <w:rPr>
          <w:rStyle w:val="FootnoteReference"/>
          <w:lang w:val="es-ES"/>
        </w:rPr>
        <w:footnoteReference w:id="2"/>
      </w:r>
      <w:r w:rsidR="005658AE" w:rsidRPr="006D3772">
        <w:rPr>
          <w:lang w:val="es-ES"/>
        </w:rPr>
        <w:t xml:space="preserve"> </w:t>
      </w:r>
      <w:r w:rsidR="00D10454" w:rsidRPr="006D3772">
        <w:rPr>
          <w:lang w:val="es-ES"/>
        </w:rPr>
        <w:t xml:space="preserve">El GECT también ha presentado un proyecto de resolución sobre la aplicación de los Criterios 6 y 9 a los Humedales de Importancia Internacional nuevos y existentes (SC64 Doc.21). </w:t>
      </w:r>
    </w:p>
    <w:p w14:paraId="13AF209C" w14:textId="77777777" w:rsidR="00995074" w:rsidRPr="006D3772" w:rsidRDefault="00995074" w:rsidP="00995074">
      <w:pPr>
        <w:ind w:left="432" w:hanging="432"/>
        <w:rPr>
          <w:rFonts w:eastAsia="Calibri"/>
          <w:bCs w:val="0"/>
          <w:lang w:val="es-ES"/>
        </w:rPr>
      </w:pPr>
    </w:p>
    <w:p w14:paraId="25A218EE" w14:textId="4526711D" w:rsidR="007406BD" w:rsidRPr="006D3772" w:rsidRDefault="006C4877" w:rsidP="007406BD">
      <w:pPr>
        <w:ind w:left="432" w:hanging="432"/>
        <w:rPr>
          <w:rFonts w:eastAsia="Calibri"/>
          <w:bCs w:val="0"/>
          <w:lang w:val="es-ES"/>
        </w:rPr>
      </w:pPr>
      <w:r>
        <w:rPr>
          <w:rFonts w:eastAsia="Calibri"/>
          <w:lang w:val="es-ES"/>
        </w:rPr>
        <w:lastRenderedPageBreak/>
        <w:t>7</w:t>
      </w:r>
      <w:r w:rsidR="00F319AD" w:rsidRPr="006D3772">
        <w:rPr>
          <w:rFonts w:eastAsia="Calibri"/>
          <w:lang w:val="es-ES"/>
        </w:rPr>
        <w:t>.</w:t>
      </w:r>
      <w:r w:rsidR="00F319AD" w:rsidRPr="006D3772">
        <w:rPr>
          <w:rFonts w:eastAsia="Calibri"/>
          <w:lang w:val="es-ES"/>
        </w:rPr>
        <w:tab/>
      </w:r>
      <w:r w:rsidR="00F319AD" w:rsidRPr="006D3772">
        <w:rPr>
          <w:rFonts w:eastAsia="Calibri"/>
          <w:bCs w:val="0"/>
          <w:i/>
          <w:iCs/>
          <w:lang w:val="es-ES"/>
        </w:rPr>
        <w:t>Ta</w:t>
      </w:r>
      <w:r w:rsidR="00D10454" w:rsidRPr="006D3772">
        <w:rPr>
          <w:rFonts w:eastAsia="Calibri"/>
          <w:bCs w:val="0"/>
          <w:i/>
          <w:iCs/>
          <w:lang w:val="es-ES"/>
        </w:rPr>
        <w:t>rea</w:t>
      </w:r>
      <w:r w:rsidR="00F319AD" w:rsidRPr="006D3772">
        <w:rPr>
          <w:rFonts w:eastAsia="Calibri"/>
          <w:bCs w:val="0"/>
          <w:i/>
          <w:iCs/>
          <w:lang w:val="es-ES"/>
        </w:rPr>
        <w:t xml:space="preserve"> 1.1 (b). </w:t>
      </w:r>
      <w:r w:rsidR="00D10454" w:rsidRPr="006D3772">
        <w:rPr>
          <w:rFonts w:eastAsia="Calibri"/>
          <w:bCs w:val="0"/>
          <w:i/>
          <w:iCs/>
          <w:lang w:val="es-ES"/>
        </w:rPr>
        <w:t xml:space="preserve">Orientaciones para facilitar la </w:t>
      </w:r>
      <w:r w:rsidR="007406BD" w:rsidRPr="006D3772">
        <w:rPr>
          <w:rFonts w:eastAsia="Calibri"/>
          <w:bCs w:val="0"/>
          <w:i/>
          <w:iCs/>
          <w:lang w:val="es-ES"/>
        </w:rPr>
        <w:t>aplicación</w:t>
      </w:r>
      <w:r w:rsidR="00D10454" w:rsidRPr="006D3772">
        <w:rPr>
          <w:rFonts w:eastAsia="Calibri"/>
          <w:bCs w:val="0"/>
          <w:i/>
          <w:iCs/>
          <w:lang w:val="es-ES"/>
        </w:rPr>
        <w:t xml:space="preserve"> del Criterio 6</w:t>
      </w:r>
      <w:r w:rsidR="00F319AD" w:rsidRPr="006D3772">
        <w:rPr>
          <w:rFonts w:eastAsia="Calibri"/>
          <w:bCs w:val="0"/>
          <w:lang w:val="es-ES"/>
        </w:rPr>
        <w:t xml:space="preserve">: </w:t>
      </w:r>
      <w:r w:rsidR="007406BD" w:rsidRPr="006D3772">
        <w:rPr>
          <w:rFonts w:eastAsia="Calibri"/>
          <w:bCs w:val="0"/>
          <w:lang w:val="es-ES"/>
        </w:rPr>
        <w:t xml:space="preserve">La tarea ha consistido en revisar y proponer actualizaciones del Marco Estratégico en relación con el uso de las estimaciones de </w:t>
      </w:r>
      <w:r w:rsidR="002F5B5F" w:rsidRPr="006D3772">
        <w:rPr>
          <w:rFonts w:eastAsia="Calibri"/>
          <w:bCs w:val="0"/>
          <w:lang w:val="es-ES"/>
        </w:rPr>
        <w:t xml:space="preserve">las </w:t>
      </w:r>
      <w:r w:rsidR="007406BD" w:rsidRPr="006D3772">
        <w:rPr>
          <w:rFonts w:eastAsia="Calibri"/>
          <w:bCs w:val="0"/>
          <w:lang w:val="es-ES"/>
        </w:rPr>
        <w:t>poblaci</w:t>
      </w:r>
      <w:r w:rsidR="002F5B5F" w:rsidRPr="006D3772">
        <w:rPr>
          <w:rFonts w:eastAsia="Calibri"/>
          <w:bCs w:val="0"/>
          <w:lang w:val="es-ES"/>
        </w:rPr>
        <w:t>ones</w:t>
      </w:r>
      <w:r w:rsidR="007406BD" w:rsidRPr="006D3772">
        <w:rPr>
          <w:rFonts w:eastAsia="Calibri"/>
          <w:bCs w:val="0"/>
          <w:lang w:val="es-ES"/>
        </w:rPr>
        <w:t xml:space="preserve"> de aves acuáticas </w:t>
      </w:r>
      <w:r w:rsidR="002F5B5F" w:rsidRPr="006D3772">
        <w:rPr>
          <w:rFonts w:eastAsia="Calibri"/>
          <w:bCs w:val="0"/>
          <w:lang w:val="es-ES"/>
        </w:rPr>
        <w:t>con arreglo a</w:t>
      </w:r>
      <w:r w:rsidR="007406BD" w:rsidRPr="006D3772">
        <w:rPr>
          <w:rFonts w:eastAsia="Calibri"/>
          <w:bCs w:val="0"/>
          <w:lang w:val="es-ES"/>
        </w:rPr>
        <w:t xml:space="preserve">l Criterio 6, así como en colaborar con las OIA pertinentes y las iniciativas </w:t>
      </w:r>
      <w:r w:rsidR="002F5B5F" w:rsidRPr="006D3772">
        <w:rPr>
          <w:rFonts w:eastAsia="Calibri"/>
          <w:bCs w:val="0"/>
          <w:lang w:val="es-ES"/>
        </w:rPr>
        <w:t>de</w:t>
      </w:r>
      <w:r w:rsidR="007406BD" w:rsidRPr="006D3772">
        <w:rPr>
          <w:rFonts w:eastAsia="Calibri"/>
          <w:bCs w:val="0"/>
          <w:lang w:val="es-ES"/>
        </w:rPr>
        <w:t xml:space="preserve"> rutas migratorias. Se ha completado la Tarea 1.1. (b). El GECT ha presentado un proyecto de resolución sobre la aplicación de los Criterios 6 y 9 a los Humedales de Importancia Internacional nuevos y existentes (SC64 Doc.21) que incluye </w:t>
      </w:r>
      <w:r w:rsidR="003F0D01" w:rsidRPr="006D3772">
        <w:rPr>
          <w:rFonts w:eastAsia="Calibri"/>
          <w:bCs w:val="0"/>
          <w:lang w:val="es-ES"/>
        </w:rPr>
        <w:t xml:space="preserve">propuestas de </w:t>
      </w:r>
      <w:r w:rsidR="007406BD" w:rsidRPr="006D3772">
        <w:rPr>
          <w:rFonts w:eastAsia="Calibri"/>
          <w:bCs w:val="0"/>
          <w:lang w:val="es-ES"/>
        </w:rPr>
        <w:t>cambios al Marco Estratégico, inclu</w:t>
      </w:r>
      <w:r w:rsidR="003F0D01" w:rsidRPr="006D3772">
        <w:rPr>
          <w:rFonts w:eastAsia="Calibri"/>
          <w:bCs w:val="0"/>
          <w:lang w:val="es-ES"/>
        </w:rPr>
        <w:t>yendo</w:t>
      </w:r>
      <w:r w:rsidR="007406BD" w:rsidRPr="006D3772">
        <w:rPr>
          <w:rFonts w:eastAsia="Calibri"/>
          <w:bCs w:val="0"/>
          <w:lang w:val="es-ES"/>
        </w:rPr>
        <w:t xml:space="preserve"> </w:t>
      </w:r>
      <w:r w:rsidR="003F0D01" w:rsidRPr="006D3772">
        <w:rPr>
          <w:rFonts w:eastAsia="Calibri"/>
          <w:bCs w:val="0"/>
          <w:lang w:val="es-ES"/>
        </w:rPr>
        <w:t>modificaciones de</w:t>
      </w:r>
      <w:r w:rsidR="007406BD" w:rsidRPr="006D3772">
        <w:rPr>
          <w:rFonts w:eastAsia="Calibri"/>
          <w:bCs w:val="0"/>
          <w:lang w:val="es-ES"/>
        </w:rPr>
        <w:t xml:space="preserve">l Criterio 5 a fin de </w:t>
      </w:r>
      <w:r w:rsidR="003F0D01" w:rsidRPr="006D3772">
        <w:rPr>
          <w:rFonts w:eastAsia="Calibri"/>
          <w:bCs w:val="0"/>
          <w:lang w:val="es-ES"/>
        </w:rPr>
        <w:t>asegur</w:t>
      </w:r>
      <w:r w:rsidR="007406BD" w:rsidRPr="006D3772">
        <w:rPr>
          <w:rFonts w:eastAsia="Calibri"/>
          <w:bCs w:val="0"/>
          <w:lang w:val="es-ES"/>
        </w:rPr>
        <w:t xml:space="preserve">ar </w:t>
      </w:r>
      <w:r w:rsidR="003F0D01" w:rsidRPr="006D3772">
        <w:rPr>
          <w:rFonts w:eastAsia="Calibri"/>
          <w:bCs w:val="0"/>
          <w:lang w:val="es-ES"/>
        </w:rPr>
        <w:t>su</w:t>
      </w:r>
      <w:r w:rsidR="007406BD" w:rsidRPr="006D3772">
        <w:rPr>
          <w:rFonts w:eastAsia="Calibri"/>
          <w:bCs w:val="0"/>
          <w:lang w:val="es-ES"/>
        </w:rPr>
        <w:t xml:space="preserve"> coherencia.</w:t>
      </w:r>
    </w:p>
    <w:p w14:paraId="709AEEDE" w14:textId="77777777" w:rsidR="00995074" w:rsidRPr="006D3772" w:rsidRDefault="00995074" w:rsidP="00995074">
      <w:pPr>
        <w:ind w:left="432" w:hanging="432"/>
        <w:rPr>
          <w:rFonts w:eastAsia="Calibri"/>
          <w:bCs w:val="0"/>
          <w:lang w:val="es-ES"/>
        </w:rPr>
      </w:pPr>
    </w:p>
    <w:p w14:paraId="26F9FB5F" w14:textId="7BA99D4A" w:rsidR="007406BD" w:rsidRPr="006D3772" w:rsidRDefault="006C4877" w:rsidP="00276823">
      <w:pPr>
        <w:ind w:left="432" w:hanging="432"/>
        <w:rPr>
          <w:rFonts w:eastAsia="Calibri"/>
          <w:bCs w:val="0"/>
          <w:lang w:val="es-ES"/>
        </w:rPr>
      </w:pPr>
      <w:r>
        <w:rPr>
          <w:rFonts w:eastAsia="Calibri"/>
          <w:lang w:val="es-ES"/>
        </w:rPr>
        <w:t>8</w:t>
      </w:r>
      <w:r w:rsidR="00F319AD" w:rsidRPr="006D3772">
        <w:rPr>
          <w:rFonts w:eastAsia="Calibri"/>
          <w:lang w:val="es-ES"/>
        </w:rPr>
        <w:t>.</w:t>
      </w:r>
      <w:r w:rsidR="00F319AD" w:rsidRPr="006D3772">
        <w:rPr>
          <w:rFonts w:eastAsia="Calibri"/>
          <w:lang w:val="es-ES"/>
        </w:rPr>
        <w:tab/>
      </w:r>
      <w:r w:rsidR="00F319AD" w:rsidRPr="006D3772">
        <w:rPr>
          <w:rFonts w:eastAsia="Calibri"/>
          <w:bCs w:val="0"/>
          <w:i/>
          <w:iCs/>
          <w:lang w:val="es-ES"/>
        </w:rPr>
        <w:t>Ta</w:t>
      </w:r>
      <w:r w:rsidR="007406BD" w:rsidRPr="006D3772">
        <w:rPr>
          <w:rFonts w:eastAsia="Calibri"/>
          <w:bCs w:val="0"/>
          <w:i/>
          <w:iCs/>
          <w:lang w:val="es-ES"/>
        </w:rPr>
        <w:t>rea</w:t>
      </w:r>
      <w:r w:rsidR="00F319AD" w:rsidRPr="006D3772">
        <w:rPr>
          <w:rFonts w:eastAsia="Calibri"/>
          <w:bCs w:val="0"/>
          <w:i/>
          <w:iCs/>
          <w:lang w:val="es-ES"/>
        </w:rPr>
        <w:t xml:space="preserve"> 1.1 (c). </w:t>
      </w:r>
      <w:r w:rsidR="007406BD" w:rsidRPr="006D3772">
        <w:rPr>
          <w:rFonts w:eastAsia="Calibri"/>
          <w:bCs w:val="0"/>
          <w:i/>
          <w:iCs/>
          <w:color w:val="000000"/>
          <w:lang w:val="es-ES"/>
        </w:rPr>
        <w:t xml:space="preserve">Propuesta técnica para la dotación de recursos y la realización de las actualizaciones de la publicación </w:t>
      </w:r>
      <w:r w:rsidR="007406BD" w:rsidRPr="006D3772">
        <w:rPr>
          <w:rFonts w:eastAsia="Calibri"/>
          <w:bCs w:val="0"/>
          <w:color w:val="000000"/>
          <w:lang w:val="es-ES"/>
        </w:rPr>
        <w:t>Waterbird Population Estimates</w:t>
      </w:r>
      <w:r w:rsidR="007406BD" w:rsidRPr="006D3772">
        <w:rPr>
          <w:rFonts w:eastAsia="Calibri"/>
          <w:bCs w:val="0"/>
          <w:i/>
          <w:iCs/>
          <w:color w:val="000000"/>
          <w:lang w:val="es-ES"/>
        </w:rPr>
        <w:t xml:space="preserve"> </w:t>
      </w:r>
      <w:r w:rsidR="006B61CB" w:rsidRPr="006D3772">
        <w:rPr>
          <w:rFonts w:eastAsia="Calibri"/>
          <w:bCs w:val="0"/>
          <w:color w:val="000000"/>
          <w:lang w:val="es-ES"/>
        </w:rPr>
        <w:t>(WPE)</w:t>
      </w:r>
      <w:r w:rsidR="007406BD" w:rsidRPr="006D3772">
        <w:rPr>
          <w:rFonts w:eastAsia="Calibri"/>
          <w:bCs w:val="0"/>
          <w:color w:val="000000"/>
          <w:lang w:val="es-ES"/>
        </w:rPr>
        <w:t>.</w:t>
      </w:r>
      <w:r w:rsidR="00F319AD" w:rsidRPr="006D3772">
        <w:rPr>
          <w:rFonts w:eastAsia="Calibri"/>
          <w:bCs w:val="0"/>
          <w:lang w:val="es-ES"/>
        </w:rPr>
        <w:t xml:space="preserve"> </w:t>
      </w:r>
      <w:r w:rsidR="007406BD" w:rsidRPr="006D3772">
        <w:rPr>
          <w:rFonts w:eastAsia="Calibri"/>
          <w:bCs w:val="0"/>
          <w:lang w:val="es-ES"/>
        </w:rPr>
        <w:t xml:space="preserve">La </w:t>
      </w:r>
      <w:r w:rsidR="00D10FC7" w:rsidRPr="006D3772">
        <w:rPr>
          <w:rFonts w:eastAsia="Calibri"/>
          <w:bCs w:val="0"/>
          <w:lang w:val="es-ES"/>
        </w:rPr>
        <w:t xml:space="preserve">Tarea </w:t>
      </w:r>
      <w:r w:rsidR="007406BD" w:rsidRPr="006D3772">
        <w:rPr>
          <w:rFonts w:eastAsia="Calibri"/>
          <w:bCs w:val="0"/>
          <w:lang w:val="es-ES"/>
        </w:rPr>
        <w:t xml:space="preserve">1.1. (c) ha sido completada. En el documento SC63 Doc.19 se presentó una propuesta técnica en la que se </w:t>
      </w:r>
      <w:r w:rsidR="006B61CB" w:rsidRPr="006D3772">
        <w:rPr>
          <w:rFonts w:eastAsia="Calibri"/>
          <w:bCs w:val="0"/>
          <w:lang w:val="es-ES"/>
        </w:rPr>
        <w:t>planteaban</w:t>
      </w:r>
      <w:r w:rsidR="007406BD" w:rsidRPr="006D3772">
        <w:rPr>
          <w:rFonts w:eastAsia="Calibri"/>
          <w:bCs w:val="0"/>
          <w:lang w:val="es-ES"/>
        </w:rPr>
        <w:t xml:space="preserve"> opciones para </w:t>
      </w:r>
      <w:r w:rsidR="003F0D01" w:rsidRPr="006D3772">
        <w:rPr>
          <w:rFonts w:eastAsia="Calibri"/>
          <w:bCs w:val="0"/>
          <w:lang w:val="es-ES"/>
        </w:rPr>
        <w:t xml:space="preserve">la dotación de recursos </w:t>
      </w:r>
      <w:r w:rsidR="006B61CB" w:rsidRPr="006D3772">
        <w:rPr>
          <w:rFonts w:eastAsia="Calibri"/>
          <w:bCs w:val="0"/>
          <w:lang w:val="es-ES"/>
        </w:rPr>
        <w:t xml:space="preserve">y la realización de </w:t>
      </w:r>
      <w:r w:rsidR="007406BD" w:rsidRPr="006D3772">
        <w:rPr>
          <w:rFonts w:eastAsia="Calibri"/>
          <w:bCs w:val="0"/>
          <w:lang w:val="es-ES"/>
        </w:rPr>
        <w:t xml:space="preserve">actualizaciones de WPE, se </w:t>
      </w:r>
      <w:r w:rsidR="006B61CB" w:rsidRPr="006D3772">
        <w:rPr>
          <w:rFonts w:eastAsia="Calibri"/>
          <w:bCs w:val="0"/>
          <w:lang w:val="es-ES"/>
        </w:rPr>
        <w:t>estudiaban</w:t>
      </w:r>
      <w:r w:rsidR="002F5B5F" w:rsidRPr="006D3772">
        <w:rPr>
          <w:rFonts w:eastAsia="Calibri"/>
          <w:bCs w:val="0"/>
          <w:lang w:val="es-ES"/>
        </w:rPr>
        <w:t xml:space="preserve"> las</w:t>
      </w:r>
      <w:r w:rsidR="007406BD" w:rsidRPr="006D3772">
        <w:rPr>
          <w:rFonts w:eastAsia="Calibri"/>
          <w:bCs w:val="0"/>
          <w:lang w:val="es-ES"/>
        </w:rPr>
        <w:t xml:space="preserve"> sinergias con acuerdos conexos, se proponían </w:t>
      </w:r>
      <w:r w:rsidR="006B61CB" w:rsidRPr="006D3772">
        <w:rPr>
          <w:rFonts w:eastAsia="Calibri"/>
          <w:bCs w:val="0"/>
          <w:lang w:val="es-ES"/>
        </w:rPr>
        <w:t>alianzas</w:t>
      </w:r>
      <w:r w:rsidR="007406BD" w:rsidRPr="006D3772">
        <w:rPr>
          <w:rFonts w:eastAsia="Calibri"/>
          <w:bCs w:val="0"/>
          <w:lang w:val="es-ES"/>
        </w:rPr>
        <w:t xml:space="preserve"> institucionales para la dotación de recursos, prioridades </w:t>
      </w:r>
      <w:r w:rsidR="006B61CB" w:rsidRPr="006D3772">
        <w:rPr>
          <w:rFonts w:eastAsia="Calibri"/>
          <w:bCs w:val="0"/>
          <w:lang w:val="es-ES"/>
        </w:rPr>
        <w:t>en materia de</w:t>
      </w:r>
      <w:r w:rsidR="007406BD" w:rsidRPr="006D3772">
        <w:rPr>
          <w:rFonts w:eastAsia="Calibri"/>
          <w:bCs w:val="0"/>
          <w:lang w:val="es-ES"/>
        </w:rPr>
        <w:t xml:space="preserve"> creación de capacidad y se </w:t>
      </w:r>
      <w:r w:rsidR="006B61CB" w:rsidRPr="006D3772">
        <w:rPr>
          <w:rFonts w:eastAsia="Calibri"/>
          <w:bCs w:val="0"/>
          <w:lang w:val="es-ES"/>
        </w:rPr>
        <w:t>proponían</w:t>
      </w:r>
      <w:r w:rsidR="007406BD" w:rsidRPr="006D3772">
        <w:rPr>
          <w:rFonts w:eastAsia="Calibri"/>
          <w:bCs w:val="0"/>
          <w:lang w:val="es-ES"/>
        </w:rPr>
        <w:t xml:space="preserve"> medidas de reducción de </w:t>
      </w:r>
      <w:r w:rsidR="006B61CB" w:rsidRPr="006D3772">
        <w:rPr>
          <w:rFonts w:eastAsia="Calibri"/>
          <w:bCs w:val="0"/>
          <w:lang w:val="es-ES"/>
        </w:rPr>
        <w:t xml:space="preserve">los costos de </w:t>
      </w:r>
      <w:r w:rsidR="007406BD" w:rsidRPr="006D3772">
        <w:rPr>
          <w:rFonts w:eastAsia="Calibri"/>
          <w:bCs w:val="0"/>
          <w:lang w:val="es-ES"/>
        </w:rPr>
        <w:t xml:space="preserve">producción de WPE. De conformidad con la Decisión SC63-31, el GECT ha preparado un proyecto de resolución sobre el establecimiento de la Alianza para las Estimaciones de Aves Acuáticas y la </w:t>
      </w:r>
      <w:r w:rsidR="006B61CB" w:rsidRPr="006D3772">
        <w:rPr>
          <w:rFonts w:eastAsia="Calibri"/>
          <w:bCs w:val="0"/>
          <w:lang w:val="es-ES"/>
        </w:rPr>
        <w:t>publicación</w:t>
      </w:r>
      <w:r w:rsidR="007406BD" w:rsidRPr="006D3772">
        <w:rPr>
          <w:rFonts w:eastAsia="Calibri"/>
          <w:bCs w:val="0"/>
          <w:lang w:val="es-ES"/>
        </w:rPr>
        <w:t xml:space="preserve"> de la edición de 2027 de </w:t>
      </w:r>
      <w:r w:rsidR="006B61CB" w:rsidRPr="006D3772">
        <w:rPr>
          <w:rFonts w:eastAsia="Calibri"/>
          <w:bCs w:val="0"/>
          <w:i/>
          <w:iCs/>
          <w:lang w:val="es-ES"/>
        </w:rPr>
        <w:t>Waterbird Population Estimates</w:t>
      </w:r>
      <w:r w:rsidR="006B61CB" w:rsidRPr="006D3772">
        <w:rPr>
          <w:rFonts w:eastAsia="Calibri"/>
          <w:bCs w:val="0"/>
          <w:lang w:val="es-ES"/>
        </w:rPr>
        <w:t xml:space="preserve"> </w:t>
      </w:r>
      <w:r w:rsidR="007406BD" w:rsidRPr="006D3772">
        <w:rPr>
          <w:rFonts w:eastAsia="Calibri"/>
          <w:bCs w:val="0"/>
          <w:lang w:val="es-ES"/>
        </w:rPr>
        <w:t xml:space="preserve">(SC64-20), </w:t>
      </w:r>
      <w:r w:rsidR="006B61CB" w:rsidRPr="006D3772">
        <w:rPr>
          <w:rFonts w:eastAsia="Calibri"/>
          <w:bCs w:val="0"/>
          <w:lang w:val="es-ES"/>
        </w:rPr>
        <w:t>e incluye</w:t>
      </w:r>
      <w:r w:rsidR="00284EB0" w:rsidRPr="006D3772">
        <w:rPr>
          <w:rFonts w:eastAsia="Calibri"/>
          <w:bCs w:val="0"/>
          <w:lang w:val="es-ES"/>
        </w:rPr>
        <w:t xml:space="preserve"> en el presente informe (</w:t>
      </w:r>
      <w:r w:rsidR="006B61CB" w:rsidRPr="006D3772">
        <w:rPr>
          <w:rFonts w:eastAsia="Calibri"/>
          <w:bCs w:val="0"/>
          <w:lang w:val="es-ES"/>
        </w:rPr>
        <w:t>A</w:t>
      </w:r>
      <w:r w:rsidR="00284EB0" w:rsidRPr="006D3772">
        <w:rPr>
          <w:rFonts w:eastAsia="Calibri"/>
          <w:bCs w:val="0"/>
          <w:lang w:val="es-ES"/>
        </w:rPr>
        <w:t>nexo 5)</w:t>
      </w:r>
      <w:r w:rsidR="007406BD" w:rsidRPr="006D3772">
        <w:rPr>
          <w:rFonts w:eastAsia="Calibri"/>
          <w:bCs w:val="0"/>
          <w:lang w:val="es-ES"/>
        </w:rPr>
        <w:t xml:space="preserve"> información adicional sobre las </w:t>
      </w:r>
      <w:r w:rsidR="00B37BD6" w:rsidRPr="006D3772">
        <w:rPr>
          <w:rFonts w:eastAsia="Calibri"/>
          <w:bCs w:val="0"/>
          <w:lang w:val="es-ES"/>
        </w:rPr>
        <w:t>repercusiones</w:t>
      </w:r>
      <w:r w:rsidR="007406BD" w:rsidRPr="006D3772">
        <w:rPr>
          <w:rFonts w:eastAsia="Calibri"/>
          <w:bCs w:val="0"/>
          <w:lang w:val="es-ES"/>
        </w:rPr>
        <w:t xml:space="preserve"> financieras de</w:t>
      </w:r>
      <w:r w:rsidR="00284EB0" w:rsidRPr="006D3772">
        <w:rPr>
          <w:rFonts w:eastAsia="Calibri"/>
          <w:bCs w:val="0"/>
          <w:lang w:val="es-ES"/>
        </w:rPr>
        <w:t xml:space="preserve"> </w:t>
      </w:r>
      <w:r w:rsidR="007406BD" w:rsidRPr="006D3772">
        <w:rPr>
          <w:rFonts w:eastAsia="Calibri"/>
          <w:bCs w:val="0"/>
          <w:lang w:val="es-ES"/>
        </w:rPr>
        <w:t>l</w:t>
      </w:r>
      <w:r w:rsidR="00284EB0" w:rsidRPr="006D3772">
        <w:rPr>
          <w:rFonts w:eastAsia="Calibri"/>
          <w:bCs w:val="0"/>
          <w:lang w:val="es-ES"/>
        </w:rPr>
        <w:t>a</w:t>
      </w:r>
      <w:r w:rsidR="007406BD" w:rsidRPr="006D3772">
        <w:rPr>
          <w:rFonts w:eastAsia="Calibri"/>
          <w:bCs w:val="0"/>
          <w:lang w:val="es-ES"/>
        </w:rPr>
        <w:t xml:space="preserve"> </w:t>
      </w:r>
      <w:r w:rsidR="00D10FC7" w:rsidRPr="006D3772">
        <w:rPr>
          <w:rFonts w:eastAsia="Calibri"/>
          <w:bCs w:val="0"/>
          <w:lang w:val="es-ES"/>
        </w:rPr>
        <w:t>Alianza</w:t>
      </w:r>
      <w:r w:rsidR="00284EB0" w:rsidRPr="006D3772">
        <w:rPr>
          <w:rFonts w:eastAsia="Calibri"/>
          <w:bCs w:val="0"/>
          <w:lang w:val="es-ES"/>
        </w:rPr>
        <w:t>.</w:t>
      </w:r>
    </w:p>
    <w:p w14:paraId="78BDA935" w14:textId="77777777" w:rsidR="00995074" w:rsidRPr="006D3772" w:rsidRDefault="00995074" w:rsidP="00995074">
      <w:pPr>
        <w:ind w:left="432" w:hanging="432"/>
        <w:rPr>
          <w:rFonts w:eastAsia="Calibri"/>
          <w:bCs w:val="0"/>
          <w:lang w:val="es-ES"/>
        </w:rPr>
      </w:pPr>
    </w:p>
    <w:p w14:paraId="4F98EF18" w14:textId="7B5DF194" w:rsidR="00FC1457" w:rsidRPr="006D3772" w:rsidRDefault="006C4877" w:rsidP="00276823">
      <w:pPr>
        <w:ind w:left="432" w:hanging="432"/>
        <w:rPr>
          <w:rFonts w:eastAsia="Calibri"/>
          <w:lang w:val="es-ES"/>
        </w:rPr>
      </w:pPr>
      <w:r>
        <w:rPr>
          <w:rFonts w:eastAsia="Calibri"/>
          <w:lang w:val="es-ES"/>
        </w:rPr>
        <w:t>9</w:t>
      </w:r>
      <w:r w:rsidR="00F319AD" w:rsidRPr="006D3772">
        <w:rPr>
          <w:rFonts w:eastAsia="Calibri"/>
          <w:lang w:val="es-ES"/>
        </w:rPr>
        <w:t>.</w:t>
      </w:r>
      <w:r w:rsidR="00F319AD" w:rsidRPr="006D3772">
        <w:rPr>
          <w:rFonts w:eastAsia="Calibri"/>
          <w:lang w:val="es-ES"/>
        </w:rPr>
        <w:tab/>
      </w:r>
      <w:r w:rsidR="00FC1457" w:rsidRPr="006D3772">
        <w:rPr>
          <w:rFonts w:eastAsia="Calibri"/>
          <w:i/>
          <w:iCs/>
          <w:lang w:val="es-ES"/>
        </w:rPr>
        <w:t xml:space="preserve">Tarea 1.2. </w:t>
      </w:r>
      <w:r w:rsidR="00210010" w:rsidRPr="006D3772">
        <w:rPr>
          <w:rFonts w:eastAsia="Calibri"/>
          <w:i/>
          <w:iCs/>
          <w:lang w:val="es-ES"/>
        </w:rPr>
        <w:t xml:space="preserve">Evaluación mundial de las deficiencias en la red de </w:t>
      </w:r>
      <w:r w:rsidR="00FC1457" w:rsidRPr="006D3772">
        <w:rPr>
          <w:rFonts w:eastAsia="Calibri"/>
          <w:i/>
          <w:iCs/>
          <w:lang w:val="es-ES"/>
        </w:rPr>
        <w:t>Humedales de Importancia Internacional</w:t>
      </w:r>
      <w:r w:rsidR="00210010" w:rsidRPr="006D3772">
        <w:rPr>
          <w:rFonts w:eastAsia="Calibri"/>
          <w:i/>
          <w:iCs/>
          <w:lang w:val="es-ES"/>
        </w:rPr>
        <w:t>,</w:t>
      </w:r>
      <w:r w:rsidR="00FC1457" w:rsidRPr="006D3772">
        <w:rPr>
          <w:rFonts w:eastAsia="Calibri"/>
          <w:i/>
          <w:iCs/>
          <w:lang w:val="es-ES"/>
        </w:rPr>
        <w:t xml:space="preserve"> y sinergias con los objetivos </w:t>
      </w:r>
      <w:r w:rsidR="00210010" w:rsidRPr="006D3772">
        <w:rPr>
          <w:rFonts w:eastAsia="Calibri"/>
          <w:i/>
          <w:iCs/>
          <w:lang w:val="es-ES"/>
        </w:rPr>
        <w:t>mundiales en materia</w:t>
      </w:r>
      <w:r w:rsidR="00FC1457" w:rsidRPr="006D3772">
        <w:rPr>
          <w:rFonts w:eastAsia="Calibri"/>
          <w:i/>
          <w:iCs/>
          <w:lang w:val="es-ES"/>
        </w:rPr>
        <w:t xml:space="preserve"> de clima y </w:t>
      </w:r>
      <w:r w:rsidR="00210010" w:rsidRPr="006D3772">
        <w:rPr>
          <w:rFonts w:eastAsia="Calibri"/>
          <w:i/>
          <w:iCs/>
          <w:lang w:val="es-ES"/>
        </w:rPr>
        <w:t>diversidad biológica</w:t>
      </w:r>
      <w:r w:rsidR="00FC1457" w:rsidRPr="006D3772">
        <w:rPr>
          <w:rFonts w:eastAsia="Calibri"/>
          <w:lang w:val="es-ES"/>
        </w:rPr>
        <w:t xml:space="preserve">: La Tarea 1.2 </w:t>
      </w:r>
      <w:r w:rsidR="00210010" w:rsidRPr="006D3772">
        <w:rPr>
          <w:rFonts w:eastAsia="Calibri"/>
          <w:lang w:val="es-ES"/>
        </w:rPr>
        <w:t>se ha postergado</w:t>
      </w:r>
      <w:r w:rsidR="00FC1457" w:rsidRPr="006D3772">
        <w:rPr>
          <w:rFonts w:eastAsia="Calibri"/>
          <w:lang w:val="es-ES"/>
        </w:rPr>
        <w:t xml:space="preserve"> debido a la escasez de recursos humanos disponibles para avanzar en este trabajo. Hasta la fecha, </w:t>
      </w:r>
      <w:r w:rsidR="00210010" w:rsidRPr="006D3772">
        <w:rPr>
          <w:rFonts w:eastAsia="Calibri"/>
          <w:lang w:val="es-ES"/>
        </w:rPr>
        <w:t>el trabajo sobre el</w:t>
      </w:r>
      <w:r w:rsidR="00FC1457" w:rsidRPr="006D3772">
        <w:rPr>
          <w:rFonts w:eastAsia="Calibri"/>
          <w:lang w:val="es-ES"/>
        </w:rPr>
        <w:t xml:space="preserve"> </w:t>
      </w:r>
      <w:r w:rsidR="001C762F" w:rsidRPr="006D3772">
        <w:rPr>
          <w:rFonts w:eastAsia="Calibri"/>
          <w:lang w:val="es-ES"/>
        </w:rPr>
        <w:t>ATT</w:t>
      </w:r>
      <w:r w:rsidR="00FC1457" w:rsidRPr="006D3772">
        <w:rPr>
          <w:rFonts w:eastAsia="Calibri"/>
          <w:lang w:val="es-ES"/>
        </w:rPr>
        <w:t xml:space="preserve"> 1 se ha centrado en garantizar la realización de las tareas 1.1a, 1.1b y 1.1c. Las actividades asociadas a la </w:t>
      </w:r>
      <w:r w:rsidR="00D10FC7" w:rsidRPr="006D3772">
        <w:rPr>
          <w:rFonts w:eastAsia="Calibri"/>
          <w:lang w:val="es-ES"/>
        </w:rPr>
        <w:t xml:space="preserve">Tarea </w:t>
      </w:r>
      <w:r w:rsidR="00FC1457" w:rsidRPr="006D3772">
        <w:rPr>
          <w:rFonts w:eastAsia="Calibri"/>
          <w:lang w:val="es-ES"/>
        </w:rPr>
        <w:t>1.2 se han integrado como tarea prioritaria para el próximo trienio (véase el Anexo 1</w:t>
      </w:r>
      <w:r w:rsidR="00D10FC7" w:rsidRPr="006D3772">
        <w:rPr>
          <w:rFonts w:eastAsia="Calibri"/>
          <w:lang w:val="es-ES"/>
        </w:rPr>
        <w:t>,</w:t>
      </w:r>
      <w:r w:rsidR="00FC1457" w:rsidRPr="006D3772">
        <w:rPr>
          <w:rFonts w:eastAsia="Calibri"/>
          <w:lang w:val="es-ES"/>
        </w:rPr>
        <w:t xml:space="preserve"> Prioridades del GECT </w:t>
      </w:r>
      <w:r w:rsidR="00D10FC7" w:rsidRPr="006D3772">
        <w:rPr>
          <w:rFonts w:eastAsia="Calibri"/>
          <w:lang w:val="es-ES"/>
        </w:rPr>
        <w:t xml:space="preserve">para el período </w:t>
      </w:r>
      <w:r w:rsidR="00FC1457" w:rsidRPr="006D3772">
        <w:rPr>
          <w:rFonts w:eastAsia="Calibri"/>
          <w:lang w:val="es-ES"/>
        </w:rPr>
        <w:t xml:space="preserve">2026-2028). Esto implicará una evaluación </w:t>
      </w:r>
      <w:r w:rsidR="00210010" w:rsidRPr="006D3772">
        <w:rPr>
          <w:rFonts w:eastAsia="Calibri"/>
          <w:lang w:val="es-ES"/>
        </w:rPr>
        <w:t>mundial</w:t>
      </w:r>
      <w:r w:rsidR="00FC1457" w:rsidRPr="006D3772">
        <w:rPr>
          <w:rFonts w:eastAsia="Calibri"/>
          <w:lang w:val="es-ES"/>
        </w:rPr>
        <w:t xml:space="preserve"> para identificar </w:t>
      </w:r>
      <w:r w:rsidR="00210010" w:rsidRPr="006D3772">
        <w:rPr>
          <w:rFonts w:eastAsia="Calibri"/>
          <w:lang w:val="es-ES"/>
        </w:rPr>
        <w:t xml:space="preserve">los </w:t>
      </w:r>
      <w:r w:rsidR="00FC1457" w:rsidRPr="006D3772">
        <w:rPr>
          <w:rFonts w:eastAsia="Calibri"/>
          <w:lang w:val="es-ES"/>
        </w:rPr>
        <w:t xml:space="preserve">tipos de humedales, especies y hábitats infrarrepresentados en todas las </w:t>
      </w:r>
      <w:r w:rsidR="00210010" w:rsidRPr="006D3772">
        <w:rPr>
          <w:rFonts w:eastAsia="Calibri"/>
          <w:lang w:val="es-ES"/>
        </w:rPr>
        <w:t>regiones</w:t>
      </w:r>
      <w:r w:rsidR="00FC1457" w:rsidRPr="006D3772">
        <w:rPr>
          <w:rFonts w:eastAsia="Calibri"/>
          <w:lang w:val="es-ES"/>
        </w:rPr>
        <w:t xml:space="preserve"> biogeográficas, utilizando el Servicio de Información sobre Sitios Ramsar (SISR) y otras fuentes. </w:t>
      </w:r>
      <w:r w:rsidR="00210010" w:rsidRPr="006D3772">
        <w:rPr>
          <w:rFonts w:eastAsia="Calibri"/>
          <w:lang w:val="es-ES"/>
        </w:rPr>
        <w:t xml:space="preserve">Se </w:t>
      </w:r>
      <w:r w:rsidR="002520E5">
        <w:rPr>
          <w:rFonts w:eastAsia="Calibri"/>
          <w:lang w:val="es-ES"/>
        </w:rPr>
        <w:t>aplicará</w:t>
      </w:r>
      <w:r w:rsidR="00FC1457" w:rsidRPr="006D3772">
        <w:rPr>
          <w:rFonts w:eastAsia="Calibri"/>
          <w:lang w:val="es-ES"/>
        </w:rPr>
        <w:t xml:space="preserve"> un </w:t>
      </w:r>
      <w:r w:rsidR="00210010" w:rsidRPr="006D3772">
        <w:rPr>
          <w:rFonts w:eastAsia="Calibri"/>
          <w:lang w:val="es-ES"/>
        </w:rPr>
        <w:t>método</w:t>
      </w:r>
      <w:r w:rsidR="00FC1457" w:rsidRPr="006D3772">
        <w:rPr>
          <w:rFonts w:eastAsia="Calibri"/>
          <w:lang w:val="es-ES"/>
        </w:rPr>
        <w:t xml:space="preserve"> normalizado para proporcionar información técnica que </w:t>
      </w:r>
      <w:r w:rsidR="00210010" w:rsidRPr="006D3772">
        <w:rPr>
          <w:rFonts w:eastAsia="Calibri"/>
          <w:lang w:val="es-ES"/>
        </w:rPr>
        <w:t>contribuya a</w:t>
      </w:r>
      <w:r w:rsidR="00FC1457" w:rsidRPr="006D3772">
        <w:rPr>
          <w:rFonts w:eastAsia="Calibri"/>
          <w:lang w:val="es-ES"/>
        </w:rPr>
        <w:t xml:space="preserve"> la futura designación y priorización de Humedales de Importancia Internacional en diversos tipos de humedales y regiones. </w:t>
      </w:r>
    </w:p>
    <w:p w14:paraId="681EAAF9" w14:textId="77777777" w:rsidR="0076015D" w:rsidRPr="006D3772" w:rsidRDefault="0076015D" w:rsidP="00CF6E6E">
      <w:pPr>
        <w:rPr>
          <w:rFonts w:eastAsia="Calibri"/>
          <w:lang w:val="es-ES"/>
        </w:rPr>
      </w:pPr>
    </w:p>
    <w:p w14:paraId="313947EA" w14:textId="12ADBE92" w:rsidR="00D23B75" w:rsidRPr="006D3772" w:rsidRDefault="00BB3111" w:rsidP="00CF6E6E">
      <w:pPr>
        <w:rPr>
          <w:rFonts w:eastAsia="Calibri"/>
          <w:u w:val="single"/>
          <w:lang w:val="es-ES"/>
        </w:rPr>
      </w:pPr>
      <w:r w:rsidRPr="006D3772">
        <w:rPr>
          <w:rFonts w:eastAsia="Calibri"/>
          <w:u w:val="single"/>
          <w:lang w:val="es-ES"/>
        </w:rPr>
        <w:t xml:space="preserve">Área temática de trabajo 2: </w:t>
      </w:r>
      <w:r w:rsidR="00284EB0" w:rsidRPr="006D3772">
        <w:rPr>
          <w:rFonts w:eastAsia="Calibri"/>
          <w:u w:val="single"/>
          <w:lang w:val="es-ES"/>
        </w:rPr>
        <w:t>Herramientas</w:t>
      </w:r>
      <w:r w:rsidRPr="006D3772">
        <w:rPr>
          <w:rFonts w:eastAsia="Calibri"/>
          <w:u w:val="single"/>
          <w:lang w:val="es-ES"/>
        </w:rPr>
        <w:t xml:space="preserve"> para la evaluación, </w:t>
      </w:r>
      <w:r w:rsidR="00210010" w:rsidRPr="006D3772">
        <w:rPr>
          <w:rFonts w:eastAsia="Calibri"/>
          <w:u w:val="single"/>
          <w:lang w:val="es-ES"/>
        </w:rPr>
        <w:t>localización</w:t>
      </w:r>
      <w:r w:rsidRPr="006D3772">
        <w:rPr>
          <w:rFonts w:eastAsia="Calibri"/>
          <w:u w:val="single"/>
          <w:lang w:val="es-ES"/>
        </w:rPr>
        <w:t xml:space="preserve"> y </w:t>
      </w:r>
      <w:r w:rsidR="00210010" w:rsidRPr="006D3772">
        <w:rPr>
          <w:rFonts w:eastAsia="Calibri"/>
          <w:u w:val="single"/>
          <w:lang w:val="es-ES"/>
        </w:rPr>
        <w:t>vigilancia</w:t>
      </w:r>
      <w:r w:rsidRPr="006D3772">
        <w:rPr>
          <w:rFonts w:eastAsia="Calibri"/>
          <w:u w:val="single"/>
          <w:lang w:val="es-ES"/>
        </w:rPr>
        <w:t xml:space="preserve"> de</w:t>
      </w:r>
      <w:r w:rsidR="00210010" w:rsidRPr="006D3772">
        <w:rPr>
          <w:rFonts w:eastAsia="Calibri"/>
          <w:u w:val="single"/>
          <w:lang w:val="es-ES"/>
        </w:rPr>
        <w:t xml:space="preserve"> los</w:t>
      </w:r>
      <w:r w:rsidRPr="006D3772">
        <w:rPr>
          <w:rFonts w:eastAsia="Calibri"/>
          <w:u w:val="single"/>
          <w:lang w:val="es-ES"/>
        </w:rPr>
        <w:t xml:space="preserve"> humedales, y elaboración de inventarios.</w:t>
      </w:r>
    </w:p>
    <w:p w14:paraId="0C072AD9" w14:textId="77777777" w:rsidR="00BB3111" w:rsidRPr="006D3772" w:rsidRDefault="00BB3111" w:rsidP="00CF6E6E">
      <w:pPr>
        <w:rPr>
          <w:rFonts w:eastAsia="Calibri"/>
          <w:lang w:val="es-ES"/>
        </w:rPr>
      </w:pPr>
    </w:p>
    <w:p w14:paraId="53380CBC" w14:textId="36C0E8FB" w:rsidR="00AF4204" w:rsidRPr="006D3772" w:rsidRDefault="00F319AD" w:rsidP="00AF4204">
      <w:pPr>
        <w:ind w:left="432" w:hanging="432"/>
        <w:rPr>
          <w:rFonts w:eastAsia="Calibri"/>
          <w:i/>
          <w:iCs/>
          <w:lang w:val="es-ES"/>
        </w:rPr>
      </w:pPr>
      <w:r w:rsidRPr="006D3772">
        <w:rPr>
          <w:rFonts w:eastAsia="Calibri"/>
          <w:lang w:val="es-ES"/>
        </w:rPr>
        <w:t>1</w:t>
      </w:r>
      <w:r w:rsidR="006C4877">
        <w:rPr>
          <w:rFonts w:eastAsia="Calibri"/>
          <w:lang w:val="es-ES"/>
        </w:rPr>
        <w:t>0</w:t>
      </w:r>
      <w:r w:rsidRPr="006D3772">
        <w:rPr>
          <w:rFonts w:eastAsia="Calibri"/>
          <w:lang w:val="es-ES"/>
        </w:rPr>
        <w:t>.</w:t>
      </w:r>
      <w:r w:rsidRPr="006D3772">
        <w:rPr>
          <w:rFonts w:eastAsia="Calibri"/>
          <w:lang w:val="es-ES"/>
        </w:rPr>
        <w:tab/>
      </w:r>
      <w:r w:rsidR="00AF4204" w:rsidRPr="006D3772">
        <w:rPr>
          <w:rFonts w:eastAsia="Calibri"/>
          <w:i/>
          <w:iCs/>
          <w:lang w:val="es-ES"/>
        </w:rPr>
        <w:t xml:space="preserve">Tarea 2.1. Cartografía </w:t>
      </w:r>
      <w:r w:rsidR="00210010" w:rsidRPr="006D3772">
        <w:rPr>
          <w:rFonts w:eastAsia="Calibri"/>
          <w:i/>
          <w:iCs/>
          <w:lang w:val="es-ES"/>
        </w:rPr>
        <w:t xml:space="preserve">de humedales </w:t>
      </w:r>
      <w:r w:rsidR="00AF4204" w:rsidRPr="006D3772">
        <w:rPr>
          <w:rFonts w:eastAsia="Calibri"/>
          <w:i/>
          <w:iCs/>
          <w:lang w:val="es-ES"/>
        </w:rPr>
        <w:t xml:space="preserve">e inventarios </w:t>
      </w:r>
      <w:r w:rsidR="00210010" w:rsidRPr="006D3772">
        <w:rPr>
          <w:rFonts w:eastAsia="Calibri"/>
          <w:i/>
          <w:iCs/>
          <w:lang w:val="es-ES"/>
        </w:rPr>
        <w:t xml:space="preserve">nacionales </w:t>
      </w:r>
      <w:r w:rsidR="00AF4204" w:rsidRPr="006D3772">
        <w:rPr>
          <w:rFonts w:eastAsia="Calibri"/>
          <w:i/>
          <w:iCs/>
          <w:lang w:val="es-ES"/>
        </w:rPr>
        <w:t xml:space="preserve">de humedales para </w:t>
      </w:r>
      <w:r w:rsidR="00210010" w:rsidRPr="006D3772">
        <w:rPr>
          <w:rFonts w:eastAsia="Calibri"/>
          <w:i/>
          <w:iCs/>
          <w:lang w:val="es-ES"/>
        </w:rPr>
        <w:t>propiciar</w:t>
      </w:r>
      <w:r w:rsidR="00AF4204" w:rsidRPr="006D3772">
        <w:rPr>
          <w:rFonts w:eastAsia="Calibri"/>
          <w:i/>
          <w:iCs/>
          <w:lang w:val="es-ES"/>
        </w:rPr>
        <w:t xml:space="preserve"> un mayor uso de las metodologías disponibles para la evaluación del carbono de los humedales</w:t>
      </w:r>
      <w:r w:rsidR="00AF4204" w:rsidRPr="006D3772">
        <w:rPr>
          <w:rFonts w:eastAsia="Calibri"/>
          <w:lang w:val="es-ES"/>
        </w:rPr>
        <w:t xml:space="preserve">: La tarea consiste en elaborar orientaciones para </w:t>
      </w:r>
      <w:r w:rsidR="00210010" w:rsidRPr="006D3772">
        <w:rPr>
          <w:rFonts w:eastAsia="Calibri"/>
          <w:lang w:val="es-ES"/>
        </w:rPr>
        <w:t>incrementar</w:t>
      </w:r>
      <w:r w:rsidR="00AF4204" w:rsidRPr="006D3772">
        <w:rPr>
          <w:rFonts w:eastAsia="Calibri"/>
          <w:lang w:val="es-ES"/>
        </w:rPr>
        <w:t xml:space="preserve"> la utilidad de los inventarios nacionales de humedales para </w:t>
      </w:r>
      <w:r w:rsidR="00210010" w:rsidRPr="006D3772">
        <w:rPr>
          <w:rFonts w:eastAsia="Calibri"/>
          <w:lang w:val="es-ES"/>
        </w:rPr>
        <w:t>los balances</w:t>
      </w:r>
      <w:r w:rsidR="00AF4204" w:rsidRPr="006D3772">
        <w:rPr>
          <w:rFonts w:eastAsia="Calibri"/>
          <w:lang w:val="es-ES"/>
        </w:rPr>
        <w:t xml:space="preserve"> nacionales de gases de efecto invernadero (GEI) y las </w:t>
      </w:r>
      <w:r w:rsidR="008F38F7" w:rsidRPr="006D3772">
        <w:rPr>
          <w:rFonts w:eastAsia="Calibri"/>
          <w:lang w:val="es-ES"/>
        </w:rPr>
        <w:t>c</w:t>
      </w:r>
      <w:r w:rsidR="00AF4204" w:rsidRPr="006D3772">
        <w:rPr>
          <w:rFonts w:eastAsia="Calibri"/>
          <w:lang w:val="es-ES"/>
        </w:rPr>
        <w:t xml:space="preserve">ontribuciones </w:t>
      </w:r>
      <w:r w:rsidR="008F38F7" w:rsidRPr="006D3772">
        <w:rPr>
          <w:rFonts w:eastAsia="Calibri"/>
          <w:lang w:val="es-ES"/>
        </w:rPr>
        <w:t>d</w:t>
      </w:r>
      <w:r w:rsidR="00AF4204" w:rsidRPr="006D3772">
        <w:rPr>
          <w:rFonts w:eastAsia="Calibri"/>
          <w:lang w:val="es-ES"/>
        </w:rPr>
        <w:t xml:space="preserve">eterminadas a </w:t>
      </w:r>
      <w:r w:rsidR="008F38F7" w:rsidRPr="006D3772">
        <w:rPr>
          <w:rFonts w:eastAsia="Calibri"/>
          <w:lang w:val="es-ES"/>
        </w:rPr>
        <w:t>n</w:t>
      </w:r>
      <w:r w:rsidR="00AF4204" w:rsidRPr="006D3772">
        <w:rPr>
          <w:rFonts w:eastAsia="Calibri"/>
          <w:lang w:val="es-ES"/>
        </w:rPr>
        <w:t xml:space="preserve">ivel </w:t>
      </w:r>
      <w:r w:rsidR="008F38F7" w:rsidRPr="006D3772">
        <w:rPr>
          <w:rFonts w:eastAsia="Calibri"/>
          <w:lang w:val="es-ES"/>
        </w:rPr>
        <w:t>n</w:t>
      </w:r>
      <w:r w:rsidR="00AF4204" w:rsidRPr="006D3772">
        <w:rPr>
          <w:rFonts w:eastAsia="Calibri"/>
          <w:lang w:val="es-ES"/>
        </w:rPr>
        <w:t xml:space="preserve">acional (NDC), incluyendo la consideración de factores de emisión para diversos tipos de humedales, otras fuentes de datos y limitaciones técnicas. Esta tarea se está llevando a cabo en coordinación con el equipo responsable de la Tarea 3.2. La Tarea 2.1 está en curso, y </w:t>
      </w:r>
      <w:r w:rsidR="00210010" w:rsidRPr="006D3772">
        <w:rPr>
          <w:rFonts w:eastAsia="Calibri"/>
          <w:lang w:val="es-ES"/>
        </w:rPr>
        <w:t>está previsto que se haya elaborado un</w:t>
      </w:r>
      <w:r w:rsidR="00AF4204" w:rsidRPr="006D3772">
        <w:rPr>
          <w:rFonts w:eastAsia="Calibri"/>
          <w:lang w:val="es-ES"/>
        </w:rPr>
        <w:t xml:space="preserve"> Informe Técnico para la 27ª reunión del GECT (GECT27), que </w:t>
      </w:r>
      <w:r w:rsidR="008F38F7" w:rsidRPr="006D3772">
        <w:rPr>
          <w:rFonts w:eastAsia="Calibri"/>
          <w:lang w:val="es-ES"/>
        </w:rPr>
        <w:t>tendrá lugar</w:t>
      </w:r>
      <w:r w:rsidR="00AF4204" w:rsidRPr="006D3772">
        <w:rPr>
          <w:rFonts w:eastAsia="Calibri"/>
          <w:lang w:val="es-ES"/>
        </w:rPr>
        <w:t xml:space="preserve"> del 2 al 6 de diciembre de 2024.</w:t>
      </w:r>
    </w:p>
    <w:p w14:paraId="60859C73" w14:textId="77777777" w:rsidR="00366870" w:rsidRPr="006D3772" w:rsidRDefault="00366870" w:rsidP="00276823">
      <w:pPr>
        <w:ind w:left="432" w:hanging="432"/>
        <w:rPr>
          <w:rFonts w:eastAsia="Calibri"/>
          <w:lang w:val="es-ES"/>
        </w:rPr>
      </w:pPr>
    </w:p>
    <w:p w14:paraId="189C4D9F" w14:textId="7ADF39F1" w:rsidR="00F75C20" w:rsidRPr="006D3772" w:rsidRDefault="00F319AD" w:rsidP="00444F22">
      <w:pPr>
        <w:ind w:left="432" w:hanging="432"/>
        <w:rPr>
          <w:rFonts w:eastAsia="Calibri"/>
          <w:i/>
          <w:iCs/>
          <w:color w:val="000000"/>
          <w:lang w:val="es-ES"/>
        </w:rPr>
      </w:pPr>
      <w:r w:rsidRPr="006D3772">
        <w:rPr>
          <w:rFonts w:eastAsia="Calibri"/>
          <w:lang w:val="es-ES"/>
        </w:rPr>
        <w:t>1</w:t>
      </w:r>
      <w:r w:rsidR="006C4877">
        <w:rPr>
          <w:rFonts w:eastAsia="Calibri"/>
          <w:lang w:val="es-ES"/>
        </w:rPr>
        <w:t>1</w:t>
      </w:r>
      <w:r w:rsidRPr="006D3772">
        <w:rPr>
          <w:rFonts w:eastAsia="Calibri"/>
          <w:lang w:val="es-ES"/>
        </w:rPr>
        <w:t>.</w:t>
      </w:r>
      <w:r w:rsidRPr="006D3772">
        <w:rPr>
          <w:rFonts w:eastAsia="Calibri"/>
          <w:lang w:val="es-ES"/>
        </w:rPr>
        <w:tab/>
      </w:r>
      <w:r w:rsidRPr="006D3772">
        <w:rPr>
          <w:rFonts w:eastAsia="Calibri"/>
          <w:i/>
          <w:iCs/>
          <w:lang w:val="es-ES"/>
        </w:rPr>
        <w:t>Ta</w:t>
      </w:r>
      <w:r w:rsidR="00BB3111" w:rsidRPr="006D3772">
        <w:rPr>
          <w:rFonts w:eastAsia="Calibri"/>
          <w:i/>
          <w:iCs/>
          <w:lang w:val="es-ES"/>
        </w:rPr>
        <w:t>rea</w:t>
      </w:r>
      <w:r w:rsidRPr="006D3772">
        <w:rPr>
          <w:rFonts w:eastAsia="Calibri"/>
          <w:i/>
          <w:iCs/>
          <w:lang w:val="es-ES"/>
        </w:rPr>
        <w:t xml:space="preserve"> 2.2. </w:t>
      </w:r>
      <w:r w:rsidR="00210010" w:rsidRPr="006D3772">
        <w:rPr>
          <w:rFonts w:eastAsia="Calibri"/>
          <w:i/>
          <w:iCs/>
          <w:color w:val="000000"/>
          <w:lang w:val="es-ES"/>
        </w:rPr>
        <w:t>Elaborar o</w:t>
      </w:r>
      <w:r w:rsidR="00BB3111" w:rsidRPr="006D3772">
        <w:rPr>
          <w:rFonts w:eastAsia="Calibri"/>
          <w:i/>
          <w:iCs/>
          <w:color w:val="000000"/>
          <w:lang w:val="es-ES"/>
        </w:rPr>
        <w:t xml:space="preserve">rientaciones </w:t>
      </w:r>
      <w:r w:rsidR="00210010" w:rsidRPr="006D3772">
        <w:rPr>
          <w:rFonts w:eastAsia="Calibri"/>
          <w:i/>
          <w:iCs/>
          <w:color w:val="000000"/>
          <w:lang w:val="es-ES"/>
        </w:rPr>
        <w:t>sobre los inventarios y el seguimiento de los pequeños humedales, y sus múltiples valores para la conservación de la biodiversidad, especialmente en los contextos del manejo del paisaje y el cambio climático</w:t>
      </w:r>
      <w:r w:rsidR="00BB3111" w:rsidRPr="006D3772">
        <w:rPr>
          <w:rFonts w:eastAsia="Calibri"/>
          <w:i/>
          <w:iCs/>
          <w:color w:val="000000"/>
          <w:lang w:val="es-ES"/>
        </w:rPr>
        <w:t>.</w:t>
      </w:r>
      <w:r w:rsidR="00BB3111" w:rsidRPr="006D3772">
        <w:rPr>
          <w:lang w:val="es-ES"/>
        </w:rPr>
        <w:t xml:space="preserve"> </w:t>
      </w:r>
      <w:r w:rsidR="00210010" w:rsidRPr="006D3772">
        <w:rPr>
          <w:rFonts w:eastAsia="Calibri"/>
          <w:color w:val="000000"/>
          <w:lang w:val="es-ES"/>
        </w:rPr>
        <w:t>Con e</w:t>
      </w:r>
      <w:r w:rsidR="008F38F7" w:rsidRPr="006D3772">
        <w:rPr>
          <w:rFonts w:eastAsia="Calibri"/>
          <w:color w:val="000000"/>
          <w:lang w:val="es-ES"/>
        </w:rPr>
        <w:t>st</w:t>
      </w:r>
      <w:r w:rsidR="00BB3111" w:rsidRPr="006D3772">
        <w:rPr>
          <w:rFonts w:eastAsia="Calibri"/>
          <w:color w:val="000000"/>
          <w:lang w:val="es-ES"/>
        </w:rPr>
        <w:t xml:space="preserve">a tarea </w:t>
      </w:r>
      <w:r w:rsidR="00210010" w:rsidRPr="006D3772">
        <w:rPr>
          <w:rFonts w:eastAsia="Calibri"/>
          <w:color w:val="000000"/>
          <w:lang w:val="es-ES"/>
        </w:rPr>
        <w:t>se elaborará</w:t>
      </w:r>
      <w:r w:rsidR="00BB3111" w:rsidRPr="006D3772">
        <w:rPr>
          <w:rFonts w:eastAsia="Calibri"/>
          <w:color w:val="000000"/>
          <w:lang w:val="es-ES"/>
        </w:rPr>
        <w:t xml:space="preserve"> una Nota sobre Políticas con el fin de </w:t>
      </w:r>
      <w:r w:rsidR="00210010" w:rsidRPr="006D3772">
        <w:rPr>
          <w:rFonts w:eastAsia="Calibri"/>
          <w:color w:val="000000"/>
          <w:lang w:val="es-ES"/>
        </w:rPr>
        <w:t>aumentar la concienciación</w:t>
      </w:r>
      <w:r w:rsidR="00BB3111" w:rsidRPr="006D3772">
        <w:rPr>
          <w:rFonts w:eastAsia="Calibri"/>
          <w:color w:val="000000"/>
          <w:lang w:val="es-ES"/>
        </w:rPr>
        <w:t xml:space="preserve"> sobre la importancia de los </w:t>
      </w:r>
      <w:r w:rsidR="00210010" w:rsidRPr="006D3772">
        <w:rPr>
          <w:rFonts w:eastAsia="Calibri"/>
          <w:color w:val="000000"/>
          <w:lang w:val="es-ES"/>
        </w:rPr>
        <w:t xml:space="preserve">pequeños </w:t>
      </w:r>
      <w:r w:rsidR="00BB3111" w:rsidRPr="006D3772">
        <w:rPr>
          <w:rFonts w:eastAsia="Calibri"/>
          <w:color w:val="000000"/>
          <w:lang w:val="es-ES"/>
        </w:rPr>
        <w:lastRenderedPageBreak/>
        <w:t>humedales para la biodiversidad, la conectividad de</w:t>
      </w:r>
      <w:r w:rsidR="00210010" w:rsidRPr="006D3772">
        <w:rPr>
          <w:rFonts w:eastAsia="Calibri"/>
          <w:color w:val="000000"/>
          <w:lang w:val="es-ES"/>
        </w:rPr>
        <w:t xml:space="preserve"> los </w:t>
      </w:r>
      <w:r w:rsidR="00BB3111" w:rsidRPr="006D3772">
        <w:rPr>
          <w:rFonts w:eastAsia="Calibri"/>
          <w:color w:val="000000"/>
          <w:lang w:val="es-ES"/>
        </w:rPr>
        <w:t>hábitat</w:t>
      </w:r>
      <w:r w:rsidR="00210010" w:rsidRPr="006D3772">
        <w:rPr>
          <w:rFonts w:eastAsia="Calibri"/>
          <w:color w:val="000000"/>
          <w:lang w:val="es-ES"/>
        </w:rPr>
        <w:t>s</w:t>
      </w:r>
      <w:r w:rsidR="00BB3111" w:rsidRPr="006D3772">
        <w:rPr>
          <w:rFonts w:eastAsia="Calibri"/>
          <w:color w:val="000000"/>
          <w:lang w:val="es-ES"/>
        </w:rPr>
        <w:t xml:space="preserve"> y la regulación </w:t>
      </w:r>
      <w:r w:rsidR="00210010" w:rsidRPr="006D3772">
        <w:rPr>
          <w:rFonts w:eastAsia="Calibri"/>
          <w:color w:val="000000"/>
          <w:lang w:val="es-ES"/>
        </w:rPr>
        <w:t>de los caudales fluviales</w:t>
      </w:r>
      <w:r w:rsidR="00BB3111" w:rsidRPr="006D3772">
        <w:rPr>
          <w:rFonts w:eastAsia="Calibri"/>
          <w:color w:val="000000"/>
          <w:lang w:val="es-ES"/>
        </w:rPr>
        <w:t xml:space="preserve">, destacando su vulnerabilidad frente al cambio climático. La Tarea 2.2 está a punto de concluir y </w:t>
      </w:r>
      <w:r w:rsidR="00210010" w:rsidRPr="006D3772">
        <w:rPr>
          <w:rFonts w:eastAsia="Calibri"/>
          <w:color w:val="000000"/>
          <w:lang w:val="es-ES"/>
        </w:rPr>
        <w:t xml:space="preserve">está previsto </w:t>
      </w:r>
      <w:r w:rsidR="00BB3111" w:rsidRPr="006D3772">
        <w:rPr>
          <w:rFonts w:eastAsia="Calibri"/>
          <w:color w:val="000000"/>
          <w:lang w:val="es-ES"/>
        </w:rPr>
        <w:t xml:space="preserve">que el equipo de la tarea finalice la Nota sobre Políticas </w:t>
      </w:r>
      <w:r w:rsidR="008F38F7" w:rsidRPr="006D3772">
        <w:rPr>
          <w:rFonts w:eastAsia="Calibri"/>
          <w:color w:val="000000"/>
          <w:lang w:val="es-ES"/>
        </w:rPr>
        <w:t xml:space="preserve">a tiempo para </w:t>
      </w:r>
      <w:r w:rsidR="00BB3111" w:rsidRPr="006D3772">
        <w:rPr>
          <w:rFonts w:eastAsia="Calibri"/>
          <w:color w:val="000000"/>
          <w:lang w:val="es-ES"/>
        </w:rPr>
        <w:t>l</w:t>
      </w:r>
      <w:r w:rsidR="008F38F7" w:rsidRPr="006D3772">
        <w:rPr>
          <w:rFonts w:eastAsia="Calibri"/>
          <w:color w:val="000000"/>
          <w:lang w:val="es-ES"/>
        </w:rPr>
        <w:t>a</w:t>
      </w:r>
      <w:r w:rsidR="00BB3111" w:rsidRPr="006D3772">
        <w:rPr>
          <w:rFonts w:eastAsia="Calibri"/>
          <w:color w:val="000000"/>
          <w:lang w:val="es-ES"/>
        </w:rPr>
        <w:t xml:space="preserve"> </w:t>
      </w:r>
      <w:r w:rsidR="00210010" w:rsidRPr="006D3772">
        <w:rPr>
          <w:rFonts w:eastAsia="Calibri"/>
          <w:color w:val="000000"/>
          <w:lang w:val="es-ES"/>
        </w:rPr>
        <w:t xml:space="preserve">reunión </w:t>
      </w:r>
      <w:r w:rsidR="00BB3111" w:rsidRPr="006D3772">
        <w:rPr>
          <w:rFonts w:eastAsia="Calibri"/>
          <w:color w:val="000000"/>
          <w:lang w:val="es-ES"/>
        </w:rPr>
        <w:t>GECT27.</w:t>
      </w:r>
    </w:p>
    <w:p w14:paraId="2B06E9F6" w14:textId="77777777" w:rsidR="00210010" w:rsidRPr="006D3772" w:rsidRDefault="00210010" w:rsidP="00CF6E6E">
      <w:pPr>
        <w:rPr>
          <w:rFonts w:eastAsia="Calibri"/>
          <w:u w:val="single"/>
          <w:lang w:val="es-ES"/>
        </w:rPr>
      </w:pPr>
    </w:p>
    <w:p w14:paraId="36FAF569" w14:textId="16D00930" w:rsidR="00AC0792" w:rsidRPr="006D3772" w:rsidRDefault="00AF4204" w:rsidP="00CF6E6E">
      <w:pPr>
        <w:rPr>
          <w:rFonts w:eastAsia="Calibri"/>
          <w:u w:val="single"/>
          <w:lang w:val="es-ES"/>
        </w:rPr>
      </w:pPr>
      <w:r w:rsidRPr="006D3772">
        <w:rPr>
          <w:rFonts w:eastAsia="Calibri"/>
          <w:u w:val="single"/>
          <w:lang w:val="es-ES"/>
        </w:rPr>
        <w:t xml:space="preserve">Área temática de trabajo 3: Presiones </w:t>
      </w:r>
      <w:r w:rsidR="00210010" w:rsidRPr="006D3772">
        <w:rPr>
          <w:rFonts w:eastAsia="Calibri"/>
          <w:u w:val="single"/>
          <w:lang w:val="es-ES"/>
        </w:rPr>
        <w:t xml:space="preserve">sobre los humedales, </w:t>
      </w:r>
      <w:r w:rsidRPr="006D3772">
        <w:rPr>
          <w:rFonts w:eastAsia="Calibri"/>
          <w:u w:val="single"/>
          <w:lang w:val="es-ES"/>
        </w:rPr>
        <w:t>directas y relacionadas con el cambio climático</w:t>
      </w:r>
      <w:r w:rsidR="00210010" w:rsidRPr="006D3772">
        <w:rPr>
          <w:rFonts w:eastAsia="Calibri"/>
          <w:u w:val="single"/>
          <w:lang w:val="es-ES"/>
        </w:rPr>
        <w:t>,</w:t>
      </w:r>
      <w:r w:rsidRPr="006D3772">
        <w:rPr>
          <w:rFonts w:eastAsia="Calibri"/>
          <w:u w:val="single"/>
          <w:lang w:val="es-ES"/>
        </w:rPr>
        <w:t xml:space="preserve"> y </w:t>
      </w:r>
      <w:r w:rsidR="00210010" w:rsidRPr="006D3772">
        <w:rPr>
          <w:rFonts w:eastAsia="Calibri"/>
          <w:u w:val="single"/>
          <w:lang w:val="es-ES"/>
        </w:rPr>
        <w:t xml:space="preserve">repercusiones </w:t>
      </w:r>
      <w:r w:rsidRPr="006D3772">
        <w:rPr>
          <w:rFonts w:eastAsia="Calibri"/>
          <w:u w:val="single"/>
          <w:lang w:val="es-ES"/>
        </w:rPr>
        <w:t>y respuestas.</w:t>
      </w:r>
    </w:p>
    <w:p w14:paraId="46B10C4D" w14:textId="77777777" w:rsidR="00AF4204" w:rsidRPr="006D3772" w:rsidRDefault="00AF4204" w:rsidP="00CF6E6E">
      <w:pPr>
        <w:rPr>
          <w:rFonts w:eastAsia="Calibri"/>
          <w:lang w:val="es-ES"/>
        </w:rPr>
      </w:pPr>
    </w:p>
    <w:p w14:paraId="3ABF348B" w14:textId="1503D824" w:rsidR="00AF4204" w:rsidRPr="006D3772" w:rsidRDefault="00F319AD" w:rsidP="00AF4204">
      <w:pPr>
        <w:ind w:left="432" w:hanging="432"/>
        <w:rPr>
          <w:rFonts w:eastAsia="Calibri"/>
          <w:bCs w:val="0"/>
          <w:lang w:val="es-ES"/>
        </w:rPr>
      </w:pPr>
      <w:r w:rsidRPr="006D3772">
        <w:rPr>
          <w:rFonts w:eastAsia="Calibri"/>
          <w:lang w:val="es-ES"/>
        </w:rPr>
        <w:t>1</w:t>
      </w:r>
      <w:r w:rsidR="006C4877">
        <w:rPr>
          <w:rFonts w:eastAsia="Calibri"/>
          <w:lang w:val="es-ES"/>
        </w:rPr>
        <w:t>2</w:t>
      </w:r>
      <w:r w:rsidRPr="006D3772">
        <w:rPr>
          <w:rFonts w:eastAsia="Calibri"/>
          <w:lang w:val="es-ES"/>
        </w:rPr>
        <w:t>.</w:t>
      </w:r>
      <w:r w:rsidRPr="006D3772">
        <w:rPr>
          <w:rFonts w:eastAsia="Calibri"/>
          <w:lang w:val="es-ES"/>
        </w:rPr>
        <w:tab/>
      </w:r>
      <w:r w:rsidRPr="006D3772">
        <w:rPr>
          <w:rFonts w:eastAsia="Calibri"/>
          <w:bCs w:val="0"/>
          <w:i/>
          <w:iCs/>
          <w:lang w:val="es-ES"/>
        </w:rPr>
        <w:t>Ta</w:t>
      </w:r>
      <w:r w:rsidR="00AF4204" w:rsidRPr="006D3772">
        <w:rPr>
          <w:rFonts w:eastAsia="Calibri"/>
          <w:bCs w:val="0"/>
          <w:i/>
          <w:iCs/>
          <w:lang w:val="es-ES"/>
        </w:rPr>
        <w:t>rea</w:t>
      </w:r>
      <w:r w:rsidRPr="006D3772">
        <w:rPr>
          <w:rFonts w:eastAsia="Calibri"/>
          <w:bCs w:val="0"/>
          <w:i/>
          <w:iCs/>
          <w:lang w:val="es-ES"/>
        </w:rPr>
        <w:t xml:space="preserve"> 3.1. </w:t>
      </w:r>
      <w:r w:rsidR="00210010" w:rsidRPr="006D3772">
        <w:rPr>
          <w:rFonts w:eastAsia="Calibri"/>
          <w:i/>
          <w:iCs/>
          <w:lang w:val="es-ES"/>
        </w:rPr>
        <w:t>C</w:t>
      </w:r>
      <w:r w:rsidR="00AF4204" w:rsidRPr="006D3772">
        <w:rPr>
          <w:rFonts w:eastAsia="Calibri"/>
          <w:i/>
          <w:iCs/>
          <w:lang w:val="es-ES"/>
        </w:rPr>
        <w:t>ambio climático y humedales</w:t>
      </w:r>
      <w:r w:rsidR="00210010" w:rsidRPr="006D3772">
        <w:rPr>
          <w:rFonts w:eastAsia="Calibri"/>
          <w:i/>
          <w:iCs/>
          <w:lang w:val="es-ES"/>
        </w:rPr>
        <w:t xml:space="preserve"> –</w:t>
      </w:r>
      <w:r w:rsidR="00AF4204" w:rsidRPr="006D3772">
        <w:rPr>
          <w:rFonts w:eastAsia="Calibri"/>
          <w:i/>
          <w:iCs/>
          <w:lang w:val="es-ES"/>
        </w:rPr>
        <w:t xml:space="preserve"> información actualizada sobre los </w:t>
      </w:r>
      <w:r w:rsidR="00210010" w:rsidRPr="006D3772">
        <w:rPr>
          <w:rFonts w:eastAsia="Calibri"/>
          <w:i/>
          <w:iCs/>
          <w:lang w:val="es-ES"/>
        </w:rPr>
        <w:t>efectos</w:t>
      </w:r>
      <w:r w:rsidR="00AF4204" w:rsidRPr="006D3772">
        <w:rPr>
          <w:rFonts w:eastAsia="Calibri"/>
          <w:i/>
          <w:iCs/>
          <w:lang w:val="es-ES"/>
        </w:rPr>
        <w:t xml:space="preserve"> actuales y previstos del cambio climático </w:t>
      </w:r>
      <w:r w:rsidR="00210010" w:rsidRPr="006D3772">
        <w:rPr>
          <w:rFonts w:eastAsia="Calibri"/>
          <w:i/>
          <w:iCs/>
          <w:lang w:val="es-ES"/>
        </w:rPr>
        <w:t>sobre</w:t>
      </w:r>
      <w:r w:rsidR="00AF4204" w:rsidRPr="006D3772">
        <w:rPr>
          <w:rFonts w:eastAsia="Calibri"/>
          <w:i/>
          <w:iCs/>
          <w:lang w:val="es-ES"/>
        </w:rPr>
        <w:t xml:space="preserve"> los humedales del mundo y respuestas</w:t>
      </w:r>
      <w:r w:rsidRPr="006D3772">
        <w:rPr>
          <w:rFonts w:eastAsia="Calibri"/>
          <w:bCs w:val="0"/>
          <w:lang w:val="es-ES"/>
        </w:rPr>
        <w:t xml:space="preserve">: </w:t>
      </w:r>
      <w:r w:rsidR="00AF4204" w:rsidRPr="006D3772">
        <w:rPr>
          <w:rFonts w:eastAsia="Calibri"/>
          <w:bCs w:val="0"/>
          <w:lang w:val="es-ES"/>
        </w:rPr>
        <w:t xml:space="preserve">Esta tarea consiste en sintetizar la información técnica sobre humedales del </w:t>
      </w:r>
      <w:r w:rsidR="009E667C" w:rsidRPr="006D3772">
        <w:rPr>
          <w:rFonts w:eastAsia="Calibri"/>
          <w:bCs w:val="0"/>
          <w:lang w:val="es-ES"/>
        </w:rPr>
        <w:t>Sexto</w:t>
      </w:r>
      <w:r w:rsidR="00AF4204" w:rsidRPr="006D3772">
        <w:rPr>
          <w:rFonts w:eastAsia="Calibri"/>
          <w:bCs w:val="0"/>
          <w:lang w:val="es-ES"/>
        </w:rPr>
        <w:t xml:space="preserve"> Informe de Evaluación del IPCC, centrándose en los </w:t>
      </w:r>
      <w:r w:rsidR="00210010" w:rsidRPr="006D3772">
        <w:rPr>
          <w:rFonts w:eastAsia="Calibri"/>
          <w:bCs w:val="0"/>
          <w:lang w:val="es-ES"/>
        </w:rPr>
        <w:t>efectos</w:t>
      </w:r>
      <w:r w:rsidR="00AF4204" w:rsidRPr="006D3772">
        <w:rPr>
          <w:rFonts w:eastAsia="Calibri"/>
          <w:bCs w:val="0"/>
          <w:lang w:val="es-ES"/>
        </w:rPr>
        <w:t xml:space="preserve"> del cambio climático y las estrategias de adaptación. Se está </w:t>
      </w:r>
      <w:r w:rsidR="00210010" w:rsidRPr="006D3772">
        <w:rPr>
          <w:rFonts w:eastAsia="Calibri"/>
          <w:bCs w:val="0"/>
          <w:lang w:val="es-ES"/>
        </w:rPr>
        <w:t>realizando</w:t>
      </w:r>
      <w:r w:rsidR="00AF4204" w:rsidRPr="006D3772">
        <w:rPr>
          <w:rFonts w:eastAsia="Calibri"/>
          <w:bCs w:val="0"/>
          <w:lang w:val="es-ES"/>
        </w:rPr>
        <w:t xml:space="preserve"> junto con la Tarea 2.1 e incorpora </w:t>
      </w:r>
      <w:r w:rsidR="00210010" w:rsidRPr="006D3772">
        <w:rPr>
          <w:rFonts w:eastAsia="Calibri"/>
          <w:bCs w:val="0"/>
          <w:lang w:val="es-ES"/>
        </w:rPr>
        <w:t>información</w:t>
      </w:r>
      <w:r w:rsidR="00AF4204" w:rsidRPr="006D3772">
        <w:rPr>
          <w:rFonts w:eastAsia="Calibri"/>
          <w:bCs w:val="0"/>
          <w:lang w:val="es-ES"/>
        </w:rPr>
        <w:t xml:space="preserve"> de varios informes </w:t>
      </w:r>
      <w:r w:rsidR="00210010" w:rsidRPr="006D3772">
        <w:rPr>
          <w:rFonts w:eastAsia="Calibri"/>
          <w:bCs w:val="0"/>
          <w:lang w:val="es-ES"/>
        </w:rPr>
        <w:t>mundiales</w:t>
      </w:r>
      <w:r w:rsidR="00AF4204" w:rsidRPr="006D3772">
        <w:rPr>
          <w:rFonts w:eastAsia="Calibri"/>
          <w:bCs w:val="0"/>
          <w:lang w:val="es-ES"/>
        </w:rPr>
        <w:t xml:space="preserve">. La Tarea 3.1 está en curso y </w:t>
      </w:r>
      <w:r w:rsidR="00210010" w:rsidRPr="006D3772">
        <w:rPr>
          <w:rFonts w:eastAsia="Calibri"/>
          <w:bCs w:val="0"/>
          <w:lang w:val="es-ES"/>
        </w:rPr>
        <w:t xml:space="preserve">está previsto publicar una </w:t>
      </w:r>
      <w:r w:rsidR="00AF4204" w:rsidRPr="006D3772">
        <w:rPr>
          <w:rFonts w:eastAsia="Calibri"/>
          <w:bCs w:val="0"/>
          <w:lang w:val="es-ES"/>
        </w:rPr>
        <w:t>Nota Informativa para l</w:t>
      </w:r>
      <w:r w:rsidR="0029327F" w:rsidRPr="006D3772">
        <w:rPr>
          <w:rFonts w:eastAsia="Calibri"/>
          <w:bCs w:val="0"/>
          <w:lang w:val="es-ES"/>
        </w:rPr>
        <w:t xml:space="preserve">a </w:t>
      </w:r>
      <w:r w:rsidR="00210010" w:rsidRPr="006D3772">
        <w:rPr>
          <w:rFonts w:eastAsia="Calibri"/>
          <w:bCs w:val="0"/>
          <w:lang w:val="es-ES"/>
        </w:rPr>
        <w:t>reunión</w:t>
      </w:r>
      <w:r w:rsidR="00AF4204" w:rsidRPr="006D3772">
        <w:rPr>
          <w:rFonts w:eastAsia="Calibri"/>
          <w:bCs w:val="0"/>
          <w:lang w:val="es-ES"/>
        </w:rPr>
        <w:t xml:space="preserve"> GECT27.</w:t>
      </w:r>
    </w:p>
    <w:p w14:paraId="484D6546" w14:textId="0C997450" w:rsidR="00365F17" w:rsidRPr="006D3772" w:rsidRDefault="00365F17" w:rsidP="00AF4204">
      <w:pPr>
        <w:ind w:left="432" w:hanging="432"/>
        <w:rPr>
          <w:rFonts w:eastAsia="Calibri"/>
          <w:lang w:val="es-ES"/>
        </w:rPr>
      </w:pPr>
    </w:p>
    <w:p w14:paraId="5C3309EA" w14:textId="1EB309E8" w:rsidR="00365F17" w:rsidRPr="006D3772" w:rsidRDefault="00F319AD" w:rsidP="00365F17">
      <w:pPr>
        <w:ind w:left="432" w:hanging="432"/>
        <w:rPr>
          <w:rFonts w:eastAsia="Calibri"/>
          <w:bCs w:val="0"/>
          <w:lang w:val="es-ES"/>
        </w:rPr>
      </w:pPr>
      <w:r w:rsidRPr="006D3772">
        <w:rPr>
          <w:rFonts w:eastAsia="Calibri"/>
          <w:lang w:val="es-ES"/>
        </w:rPr>
        <w:t>1</w:t>
      </w:r>
      <w:r w:rsidR="006C4877">
        <w:rPr>
          <w:rFonts w:eastAsia="Calibri"/>
          <w:lang w:val="es-ES"/>
        </w:rPr>
        <w:t>3</w:t>
      </w:r>
      <w:r w:rsidRPr="006D3772">
        <w:rPr>
          <w:rFonts w:eastAsia="Calibri"/>
          <w:lang w:val="es-ES"/>
        </w:rPr>
        <w:t>.</w:t>
      </w:r>
      <w:r w:rsidRPr="006D3772">
        <w:rPr>
          <w:rFonts w:eastAsia="Calibri"/>
          <w:lang w:val="es-ES"/>
        </w:rPr>
        <w:tab/>
      </w:r>
      <w:r w:rsidR="00AF4204" w:rsidRPr="006D3772">
        <w:rPr>
          <w:rFonts w:eastAsia="Calibri"/>
          <w:bCs w:val="0"/>
          <w:i/>
          <w:iCs/>
          <w:lang w:val="es-ES"/>
        </w:rPr>
        <w:t xml:space="preserve">Tarea 3.2: Orientación, datos y modelos sobre el carbono azul y apoyo a la integración </w:t>
      </w:r>
      <w:r w:rsidR="00210010" w:rsidRPr="006D3772">
        <w:rPr>
          <w:rFonts w:eastAsia="Calibri"/>
          <w:bCs w:val="0"/>
          <w:i/>
          <w:iCs/>
          <w:lang w:val="es-ES"/>
        </w:rPr>
        <w:t>de este en</w:t>
      </w:r>
      <w:r w:rsidR="00AF4204" w:rsidRPr="006D3772">
        <w:rPr>
          <w:rFonts w:eastAsia="Calibri"/>
          <w:bCs w:val="0"/>
          <w:i/>
          <w:iCs/>
          <w:lang w:val="es-ES"/>
        </w:rPr>
        <w:t xml:space="preserve"> los marcos de planificación </w:t>
      </w:r>
      <w:r w:rsidR="00210010" w:rsidRPr="006D3772">
        <w:rPr>
          <w:rFonts w:eastAsia="Calibri"/>
          <w:bCs w:val="0"/>
          <w:i/>
          <w:iCs/>
          <w:lang w:val="es-ES"/>
        </w:rPr>
        <w:t>sobre el</w:t>
      </w:r>
      <w:r w:rsidR="00AF4204" w:rsidRPr="006D3772">
        <w:rPr>
          <w:rFonts w:eastAsia="Calibri"/>
          <w:bCs w:val="0"/>
          <w:i/>
          <w:iCs/>
          <w:lang w:val="es-ES"/>
        </w:rPr>
        <w:t xml:space="preserve"> cambio climático:</w:t>
      </w:r>
    </w:p>
    <w:p w14:paraId="5E74129C" w14:textId="159A69AC" w:rsidR="003D574A" w:rsidRPr="006D3772" w:rsidRDefault="00F319AD" w:rsidP="00365F17">
      <w:pPr>
        <w:pStyle w:val="ListParagraph"/>
        <w:numPr>
          <w:ilvl w:val="0"/>
          <w:numId w:val="15"/>
        </w:numPr>
        <w:ind w:left="720" w:hanging="270"/>
        <w:rPr>
          <w:rFonts w:eastAsia="Calibri"/>
          <w:bCs w:val="0"/>
          <w:lang w:val="es-ES"/>
        </w:rPr>
      </w:pPr>
      <w:r w:rsidRPr="006D3772">
        <w:rPr>
          <w:rFonts w:eastAsia="Calibri"/>
          <w:bCs w:val="0"/>
          <w:lang w:val="es-ES"/>
        </w:rPr>
        <w:t>Ta</w:t>
      </w:r>
      <w:r w:rsidR="003D574A" w:rsidRPr="006D3772">
        <w:rPr>
          <w:rFonts w:eastAsia="Calibri"/>
          <w:bCs w:val="0"/>
          <w:lang w:val="es-ES"/>
        </w:rPr>
        <w:t>rea</w:t>
      </w:r>
      <w:r w:rsidRPr="006D3772">
        <w:rPr>
          <w:rFonts w:eastAsia="Calibri"/>
          <w:bCs w:val="0"/>
          <w:lang w:val="es-ES"/>
        </w:rPr>
        <w:t xml:space="preserve"> 3.2 (a). </w:t>
      </w:r>
      <w:r w:rsidR="00AF4204" w:rsidRPr="006D3772">
        <w:rPr>
          <w:rFonts w:eastAsia="Calibri"/>
          <w:lang w:val="es-ES"/>
        </w:rPr>
        <w:t xml:space="preserve">Elaboración de orientaciones sobre </w:t>
      </w:r>
      <w:r w:rsidR="00210010" w:rsidRPr="006D3772">
        <w:rPr>
          <w:rFonts w:eastAsia="Calibri"/>
          <w:lang w:val="es-ES"/>
        </w:rPr>
        <w:t xml:space="preserve">cómo priorizar </w:t>
      </w:r>
      <w:r w:rsidR="00AF4204" w:rsidRPr="006D3772">
        <w:rPr>
          <w:rFonts w:eastAsia="Calibri"/>
          <w:lang w:val="es-ES"/>
        </w:rPr>
        <w:t xml:space="preserve">los ecosistemas costeros de carbono azul para </w:t>
      </w:r>
      <w:r w:rsidR="00210010" w:rsidRPr="006D3772">
        <w:rPr>
          <w:rFonts w:eastAsia="Calibri"/>
          <w:lang w:val="es-ES"/>
        </w:rPr>
        <w:t>la</w:t>
      </w:r>
      <w:r w:rsidR="00AF4204" w:rsidRPr="006D3772">
        <w:rPr>
          <w:rFonts w:eastAsia="Calibri"/>
          <w:lang w:val="es-ES"/>
        </w:rPr>
        <w:t xml:space="preserve"> conservación y restauración. </w:t>
      </w:r>
      <w:r w:rsidR="003D574A" w:rsidRPr="006D3772">
        <w:rPr>
          <w:rFonts w:eastAsia="Calibri"/>
          <w:lang w:val="es-ES"/>
        </w:rPr>
        <w:t xml:space="preserve">Esta tarea se centra en los ecosistemas costeros de carbono azul, como </w:t>
      </w:r>
      <w:r w:rsidR="0029327F" w:rsidRPr="006D3772">
        <w:rPr>
          <w:rFonts w:eastAsia="Calibri"/>
          <w:lang w:val="es-ES"/>
        </w:rPr>
        <w:t xml:space="preserve">los </w:t>
      </w:r>
      <w:r w:rsidR="003D574A" w:rsidRPr="006D3772">
        <w:rPr>
          <w:rFonts w:eastAsia="Calibri"/>
          <w:lang w:val="es-ES"/>
        </w:rPr>
        <w:t xml:space="preserve">manglares, </w:t>
      </w:r>
      <w:r w:rsidR="0029327F" w:rsidRPr="006D3772">
        <w:rPr>
          <w:rFonts w:eastAsia="Calibri"/>
          <w:lang w:val="es-ES"/>
        </w:rPr>
        <w:t xml:space="preserve">las </w:t>
      </w:r>
      <w:r w:rsidR="003D574A" w:rsidRPr="006D3772">
        <w:rPr>
          <w:rFonts w:eastAsia="Calibri"/>
          <w:lang w:val="es-ES"/>
        </w:rPr>
        <w:t xml:space="preserve">praderas </w:t>
      </w:r>
      <w:r w:rsidR="00210010" w:rsidRPr="006D3772">
        <w:rPr>
          <w:rFonts w:eastAsia="Calibri"/>
          <w:lang w:val="es-ES"/>
        </w:rPr>
        <w:t xml:space="preserve">de pastos </w:t>
      </w:r>
      <w:r w:rsidR="003D574A" w:rsidRPr="006D3772">
        <w:rPr>
          <w:rFonts w:eastAsia="Calibri"/>
          <w:lang w:val="es-ES"/>
        </w:rPr>
        <w:t>marin</w:t>
      </w:r>
      <w:r w:rsidR="00210010" w:rsidRPr="006D3772">
        <w:rPr>
          <w:rFonts w:eastAsia="Calibri"/>
          <w:lang w:val="es-ES"/>
        </w:rPr>
        <w:t>o</w:t>
      </w:r>
      <w:r w:rsidR="003D574A" w:rsidRPr="006D3772">
        <w:rPr>
          <w:rFonts w:eastAsia="Calibri"/>
          <w:lang w:val="es-ES"/>
        </w:rPr>
        <w:t xml:space="preserve">s y </w:t>
      </w:r>
      <w:r w:rsidR="0029327F" w:rsidRPr="006D3772">
        <w:rPr>
          <w:rFonts w:eastAsia="Calibri"/>
          <w:lang w:val="es-ES"/>
        </w:rPr>
        <w:t xml:space="preserve">las </w:t>
      </w:r>
      <w:r w:rsidR="003D574A" w:rsidRPr="006D3772">
        <w:rPr>
          <w:rFonts w:eastAsia="Calibri"/>
          <w:lang w:val="es-ES"/>
        </w:rPr>
        <w:t xml:space="preserve">marismas intermareales/marismas </w:t>
      </w:r>
      <w:r w:rsidR="00210010" w:rsidRPr="006D3772">
        <w:rPr>
          <w:rFonts w:eastAsia="Calibri"/>
          <w:lang w:val="es-ES"/>
        </w:rPr>
        <w:t>saladas</w:t>
      </w:r>
      <w:r w:rsidR="003D574A" w:rsidRPr="006D3772">
        <w:rPr>
          <w:rFonts w:eastAsia="Calibri"/>
          <w:lang w:val="es-ES"/>
        </w:rPr>
        <w:t xml:space="preserve">. Se está llevando a cabo un estudio </w:t>
      </w:r>
      <w:r w:rsidR="00210010" w:rsidRPr="006D3772">
        <w:rPr>
          <w:rFonts w:eastAsia="Calibri"/>
          <w:lang w:val="es-ES"/>
        </w:rPr>
        <w:t>documental</w:t>
      </w:r>
      <w:r w:rsidR="003D574A" w:rsidRPr="006D3772">
        <w:rPr>
          <w:rFonts w:eastAsia="Calibri"/>
          <w:lang w:val="es-ES"/>
        </w:rPr>
        <w:t xml:space="preserve"> para evaluar los métodos y orientaciones existentes </w:t>
      </w:r>
      <w:r w:rsidR="00444F22">
        <w:rPr>
          <w:rFonts w:eastAsia="Calibri"/>
          <w:lang w:val="es-ES"/>
        </w:rPr>
        <w:t>en materia de</w:t>
      </w:r>
      <w:r w:rsidR="003D574A" w:rsidRPr="006D3772">
        <w:rPr>
          <w:rFonts w:eastAsia="Calibri"/>
          <w:lang w:val="es-ES"/>
        </w:rPr>
        <w:t xml:space="preserve"> conservación de los </w:t>
      </w:r>
      <w:r w:rsidR="0029327F" w:rsidRPr="006D3772">
        <w:rPr>
          <w:rFonts w:eastAsia="Calibri"/>
          <w:lang w:val="es-ES"/>
        </w:rPr>
        <w:t>ecosistemas de carbono azul y</w:t>
      </w:r>
      <w:r w:rsidR="003D574A" w:rsidRPr="006D3772">
        <w:rPr>
          <w:rFonts w:eastAsia="Calibri"/>
          <w:lang w:val="es-ES"/>
        </w:rPr>
        <w:t xml:space="preserve"> priorización de la restauración de los sitios. </w:t>
      </w:r>
    </w:p>
    <w:p w14:paraId="61BDC118" w14:textId="19CF3C19" w:rsidR="00C77CEE" w:rsidRPr="006D3772" w:rsidRDefault="003D574A" w:rsidP="00365F17">
      <w:pPr>
        <w:pStyle w:val="ListParagraph"/>
        <w:numPr>
          <w:ilvl w:val="0"/>
          <w:numId w:val="15"/>
        </w:numPr>
        <w:ind w:left="720" w:hanging="270"/>
        <w:rPr>
          <w:rFonts w:eastAsia="Calibri"/>
          <w:bCs w:val="0"/>
          <w:lang w:val="es-ES"/>
        </w:rPr>
      </w:pPr>
      <w:r w:rsidRPr="006D3772">
        <w:rPr>
          <w:rFonts w:eastAsia="Calibri"/>
          <w:bCs w:val="0"/>
          <w:lang w:val="es-ES"/>
        </w:rPr>
        <w:t xml:space="preserve">Tarea 3.2. (b). Recopilación y examen de los datos y modelos sobre las reservas y flujos de carbono. </w:t>
      </w:r>
      <w:r w:rsidR="00C77CEE" w:rsidRPr="006D3772">
        <w:rPr>
          <w:rFonts w:eastAsia="Calibri"/>
          <w:bCs w:val="0"/>
          <w:lang w:val="es-ES"/>
        </w:rPr>
        <w:t xml:space="preserve">La tarea </w:t>
      </w:r>
      <w:r w:rsidR="00210010" w:rsidRPr="006D3772">
        <w:rPr>
          <w:rFonts w:eastAsia="Calibri"/>
          <w:bCs w:val="0"/>
          <w:lang w:val="es-ES"/>
        </w:rPr>
        <w:t xml:space="preserve">consiste en </w:t>
      </w:r>
      <w:r w:rsidR="00C77CEE" w:rsidRPr="006D3772">
        <w:rPr>
          <w:rFonts w:eastAsia="Calibri"/>
          <w:bCs w:val="0"/>
          <w:lang w:val="es-ES"/>
        </w:rPr>
        <w:t>examina</w:t>
      </w:r>
      <w:r w:rsidR="00210010" w:rsidRPr="006D3772">
        <w:rPr>
          <w:rFonts w:eastAsia="Calibri"/>
          <w:bCs w:val="0"/>
          <w:lang w:val="es-ES"/>
        </w:rPr>
        <w:t>r</w:t>
      </w:r>
      <w:r w:rsidR="00C77CEE" w:rsidRPr="006D3772">
        <w:rPr>
          <w:rFonts w:eastAsia="Calibri"/>
          <w:bCs w:val="0"/>
          <w:lang w:val="es-ES"/>
        </w:rPr>
        <w:t xml:space="preserve"> las reservas de carbono, las emisiones y la dinámica de los </w:t>
      </w:r>
      <w:r w:rsidR="00210010" w:rsidRPr="006D3772">
        <w:rPr>
          <w:rFonts w:eastAsia="Calibri"/>
          <w:bCs w:val="0"/>
          <w:lang w:val="es-ES"/>
        </w:rPr>
        <w:t>ecosistemas</w:t>
      </w:r>
      <w:r w:rsidR="00C77CEE" w:rsidRPr="006D3772">
        <w:rPr>
          <w:rFonts w:eastAsia="Calibri"/>
          <w:bCs w:val="0"/>
          <w:lang w:val="es-ES"/>
        </w:rPr>
        <w:t xml:space="preserve"> costeros</w:t>
      </w:r>
      <w:r w:rsidR="00210010" w:rsidRPr="006D3772">
        <w:rPr>
          <w:rFonts w:eastAsia="Calibri"/>
          <w:bCs w:val="0"/>
          <w:lang w:val="es-ES"/>
        </w:rPr>
        <w:t xml:space="preserve"> de carbono azul</w:t>
      </w:r>
      <w:r w:rsidR="00C77CEE" w:rsidRPr="006D3772">
        <w:rPr>
          <w:rFonts w:eastAsia="Calibri"/>
          <w:bCs w:val="0"/>
          <w:lang w:val="es-ES"/>
        </w:rPr>
        <w:t xml:space="preserve">, centrándose especialmente en los manglares, las marismas saladas y las praderas marinas, con información adicional sobre otros </w:t>
      </w:r>
      <w:r w:rsidR="009E667C" w:rsidRPr="006D3772">
        <w:rPr>
          <w:rFonts w:eastAsia="Calibri"/>
          <w:bCs w:val="0"/>
          <w:lang w:val="es-ES"/>
        </w:rPr>
        <w:t>ecosistemas</w:t>
      </w:r>
      <w:r w:rsidR="00C77CEE" w:rsidRPr="006D3772">
        <w:rPr>
          <w:rFonts w:eastAsia="Calibri"/>
          <w:bCs w:val="0"/>
          <w:lang w:val="es-ES"/>
        </w:rPr>
        <w:t xml:space="preserve"> costeros</w:t>
      </w:r>
      <w:r w:rsidR="009E667C" w:rsidRPr="006D3772">
        <w:rPr>
          <w:rFonts w:eastAsia="Calibri"/>
          <w:bCs w:val="0"/>
          <w:lang w:val="es-ES"/>
        </w:rPr>
        <w:t xml:space="preserve"> de carbono azul</w:t>
      </w:r>
      <w:r w:rsidR="00C77CEE" w:rsidRPr="006D3772">
        <w:rPr>
          <w:rFonts w:eastAsia="Calibri"/>
          <w:bCs w:val="0"/>
          <w:lang w:val="es-ES"/>
        </w:rPr>
        <w:t>, como l</w:t>
      </w:r>
      <w:r w:rsidR="00210010" w:rsidRPr="006D3772">
        <w:rPr>
          <w:rFonts w:eastAsia="Calibri"/>
          <w:bCs w:val="0"/>
          <w:lang w:val="es-ES"/>
        </w:rPr>
        <w:t>os bajos de lodo</w:t>
      </w:r>
      <w:r w:rsidR="00C77CEE" w:rsidRPr="006D3772">
        <w:rPr>
          <w:rFonts w:eastAsia="Calibri"/>
          <w:bCs w:val="0"/>
          <w:lang w:val="es-ES"/>
        </w:rPr>
        <w:t xml:space="preserve">. </w:t>
      </w:r>
      <w:r w:rsidR="0029327F" w:rsidRPr="006D3772">
        <w:rPr>
          <w:rFonts w:eastAsia="Calibri"/>
          <w:bCs w:val="0"/>
          <w:lang w:val="es-ES"/>
        </w:rPr>
        <w:t>Con e</w:t>
      </w:r>
      <w:r w:rsidR="00C77CEE" w:rsidRPr="006D3772">
        <w:rPr>
          <w:rFonts w:eastAsia="Calibri"/>
          <w:bCs w:val="0"/>
          <w:lang w:val="es-ES"/>
        </w:rPr>
        <w:t xml:space="preserve">ste trabajo </w:t>
      </w:r>
      <w:r w:rsidR="0029327F" w:rsidRPr="006D3772">
        <w:rPr>
          <w:rFonts w:eastAsia="Calibri"/>
          <w:bCs w:val="0"/>
          <w:lang w:val="es-ES"/>
        </w:rPr>
        <w:t>se pretende</w:t>
      </w:r>
      <w:r w:rsidR="00C77CEE" w:rsidRPr="006D3772">
        <w:rPr>
          <w:rFonts w:eastAsia="Calibri"/>
          <w:bCs w:val="0"/>
          <w:lang w:val="es-ES"/>
        </w:rPr>
        <w:t xml:space="preserve"> contribuir a posibles actualizaciones futuras del suplemento sobre humedales del IPCC, </w:t>
      </w:r>
      <w:r w:rsidR="0029327F" w:rsidRPr="006D3772">
        <w:rPr>
          <w:rFonts w:eastAsia="Calibri"/>
          <w:bCs w:val="0"/>
          <w:lang w:val="es-ES"/>
        </w:rPr>
        <w:t>asegur</w:t>
      </w:r>
      <w:r w:rsidR="00C77CEE" w:rsidRPr="006D3772">
        <w:rPr>
          <w:rFonts w:eastAsia="Calibri"/>
          <w:bCs w:val="0"/>
          <w:lang w:val="es-ES"/>
        </w:rPr>
        <w:t xml:space="preserve">ando que los modelos de carbono </w:t>
      </w:r>
      <w:r w:rsidR="00210010" w:rsidRPr="006D3772">
        <w:rPr>
          <w:rFonts w:eastAsia="Calibri"/>
          <w:bCs w:val="0"/>
          <w:lang w:val="es-ES"/>
        </w:rPr>
        <w:t xml:space="preserve">mundiales </w:t>
      </w:r>
      <w:r w:rsidR="00C77CEE" w:rsidRPr="006D3772">
        <w:rPr>
          <w:rFonts w:eastAsia="Calibri"/>
          <w:bCs w:val="0"/>
          <w:lang w:val="es-ES"/>
        </w:rPr>
        <w:t xml:space="preserve">reflejen los últimos datos y análisis </w:t>
      </w:r>
      <w:r w:rsidR="00210010" w:rsidRPr="006D3772">
        <w:rPr>
          <w:rFonts w:eastAsia="Calibri"/>
          <w:bCs w:val="0"/>
          <w:lang w:val="es-ES"/>
        </w:rPr>
        <w:t>sobre</w:t>
      </w:r>
      <w:r w:rsidR="00C77CEE" w:rsidRPr="006D3772">
        <w:rPr>
          <w:rFonts w:eastAsia="Calibri"/>
          <w:bCs w:val="0"/>
          <w:lang w:val="es-ES"/>
        </w:rPr>
        <w:t xml:space="preserve"> </w:t>
      </w:r>
      <w:r w:rsidR="009E667C" w:rsidRPr="006D3772">
        <w:rPr>
          <w:rFonts w:eastAsia="Calibri"/>
          <w:bCs w:val="0"/>
          <w:lang w:val="es-ES"/>
        </w:rPr>
        <w:t>estos ecosistemas</w:t>
      </w:r>
      <w:r w:rsidR="00C77CEE" w:rsidRPr="006D3772">
        <w:rPr>
          <w:rFonts w:eastAsia="Calibri"/>
          <w:bCs w:val="0"/>
          <w:lang w:val="es-ES"/>
        </w:rPr>
        <w:t xml:space="preserve">. </w:t>
      </w:r>
    </w:p>
    <w:p w14:paraId="23445426" w14:textId="455A30FC" w:rsidR="00D23B75" w:rsidRPr="006D3772" w:rsidRDefault="00C77CEE" w:rsidP="00276823">
      <w:pPr>
        <w:ind w:left="450"/>
        <w:rPr>
          <w:rFonts w:eastAsia="Calibri"/>
          <w:bCs w:val="0"/>
          <w:lang w:val="es-ES"/>
        </w:rPr>
      </w:pPr>
      <w:r w:rsidRPr="006D3772">
        <w:rPr>
          <w:rFonts w:eastAsia="Calibri"/>
          <w:bCs w:val="0"/>
          <w:lang w:val="es-ES"/>
        </w:rPr>
        <w:t xml:space="preserve">Ambas tareas se están llevando a cabo en estrecha relación con el equipo responsable de la </w:t>
      </w:r>
      <w:r w:rsidR="00D10FC7" w:rsidRPr="006D3772">
        <w:rPr>
          <w:rFonts w:eastAsia="Calibri"/>
          <w:bCs w:val="0"/>
          <w:lang w:val="es-ES"/>
        </w:rPr>
        <w:t xml:space="preserve">Tarea </w:t>
      </w:r>
      <w:r w:rsidRPr="006D3772">
        <w:rPr>
          <w:rFonts w:eastAsia="Calibri"/>
          <w:bCs w:val="0"/>
          <w:lang w:val="es-ES"/>
        </w:rPr>
        <w:t xml:space="preserve">2.1. Se están elaborando una Nota Informativa (Tarea 3.2.a), un Informe Técnico y una Nota sobre Políticas (Tarea 3.2.b). </w:t>
      </w:r>
    </w:p>
    <w:p w14:paraId="0F5D08D4" w14:textId="77777777" w:rsidR="00171F09" w:rsidRPr="006D3772" w:rsidRDefault="00171F09" w:rsidP="002867AE">
      <w:pPr>
        <w:ind w:left="432" w:hanging="432"/>
        <w:rPr>
          <w:rFonts w:eastAsia="Calibri"/>
          <w:bCs w:val="0"/>
          <w:lang w:val="es-ES"/>
        </w:rPr>
      </w:pPr>
    </w:p>
    <w:p w14:paraId="4C15EF85" w14:textId="094E6D5D" w:rsidR="00AC0792" w:rsidRPr="006D3772" w:rsidRDefault="00F319AD" w:rsidP="00276823">
      <w:pPr>
        <w:ind w:left="432" w:hanging="432"/>
        <w:rPr>
          <w:rFonts w:eastAsia="Calibri"/>
          <w:lang w:val="es-ES"/>
        </w:rPr>
      </w:pPr>
      <w:r w:rsidRPr="006D3772">
        <w:rPr>
          <w:rFonts w:eastAsia="Calibri"/>
          <w:lang w:val="es-ES"/>
        </w:rPr>
        <w:t>1</w:t>
      </w:r>
      <w:r w:rsidR="006C4877">
        <w:rPr>
          <w:rFonts w:eastAsia="Calibri"/>
          <w:lang w:val="es-ES"/>
        </w:rPr>
        <w:t>4</w:t>
      </w:r>
      <w:r w:rsidRPr="006D3772">
        <w:rPr>
          <w:rFonts w:eastAsia="Calibri"/>
          <w:lang w:val="es-ES"/>
        </w:rPr>
        <w:t>.</w:t>
      </w:r>
      <w:r w:rsidRPr="006D3772">
        <w:rPr>
          <w:rFonts w:eastAsia="Calibri"/>
          <w:lang w:val="es-ES"/>
        </w:rPr>
        <w:tab/>
      </w:r>
      <w:r w:rsidRPr="006D3772">
        <w:rPr>
          <w:rFonts w:eastAsia="Calibri"/>
          <w:i/>
          <w:iCs/>
          <w:lang w:val="es-ES"/>
        </w:rPr>
        <w:t>Ta</w:t>
      </w:r>
      <w:r w:rsidR="00C77CEE" w:rsidRPr="006D3772">
        <w:rPr>
          <w:rFonts w:eastAsia="Calibri"/>
          <w:i/>
          <w:iCs/>
          <w:lang w:val="es-ES"/>
        </w:rPr>
        <w:t>rea</w:t>
      </w:r>
      <w:r w:rsidRPr="006D3772">
        <w:rPr>
          <w:rFonts w:eastAsia="Calibri"/>
          <w:i/>
          <w:iCs/>
          <w:lang w:val="es-ES"/>
        </w:rPr>
        <w:t xml:space="preserve"> 3.3. </w:t>
      </w:r>
      <w:r w:rsidR="00C77CEE" w:rsidRPr="006D3772">
        <w:rPr>
          <w:rFonts w:eastAsia="Calibri"/>
          <w:i/>
          <w:iCs/>
          <w:lang w:val="es-ES"/>
        </w:rPr>
        <w:t xml:space="preserve">Agricultura y humedales: </w:t>
      </w:r>
      <w:r w:rsidR="00210010" w:rsidRPr="006D3772">
        <w:rPr>
          <w:rFonts w:eastAsia="Calibri"/>
          <w:i/>
          <w:iCs/>
          <w:lang w:val="es-ES"/>
        </w:rPr>
        <w:t xml:space="preserve">mantener y restaurar </w:t>
      </w:r>
      <w:r w:rsidR="00C77CEE" w:rsidRPr="006D3772">
        <w:rPr>
          <w:rFonts w:eastAsia="Calibri"/>
          <w:i/>
          <w:iCs/>
          <w:lang w:val="es-ES"/>
        </w:rPr>
        <w:t>las características ecológicas de los humedales en entornos agrícolas</w:t>
      </w:r>
      <w:r w:rsidR="00C77CEE" w:rsidRPr="006D3772">
        <w:rPr>
          <w:rFonts w:eastAsia="Calibri"/>
          <w:lang w:val="es-ES"/>
        </w:rPr>
        <w:t>:</w:t>
      </w:r>
      <w:r w:rsidR="00070675" w:rsidRPr="006D3772">
        <w:rPr>
          <w:lang w:val="es-ES"/>
        </w:rPr>
        <w:t xml:space="preserve"> </w:t>
      </w:r>
      <w:r w:rsidR="00070675" w:rsidRPr="006D3772">
        <w:rPr>
          <w:rFonts w:eastAsia="Calibri"/>
          <w:lang w:val="es-ES"/>
        </w:rPr>
        <w:t xml:space="preserve">La tarea se centra en </w:t>
      </w:r>
      <w:r w:rsidR="00BE7F14" w:rsidRPr="006D3772">
        <w:rPr>
          <w:rFonts w:eastAsia="Calibri"/>
          <w:lang w:val="es-ES"/>
        </w:rPr>
        <w:t xml:space="preserve">la preparación </w:t>
      </w:r>
      <w:r w:rsidR="00070675" w:rsidRPr="006D3772">
        <w:rPr>
          <w:rFonts w:eastAsia="Calibri"/>
          <w:lang w:val="es-ES"/>
        </w:rPr>
        <w:t xml:space="preserve">de </w:t>
      </w:r>
      <w:r w:rsidR="001619F5" w:rsidRPr="006D3772">
        <w:rPr>
          <w:rFonts w:eastAsia="Calibri"/>
          <w:lang w:val="es-ES"/>
        </w:rPr>
        <w:t>orientaciones</w:t>
      </w:r>
      <w:r w:rsidR="00070675" w:rsidRPr="006D3772">
        <w:rPr>
          <w:rFonts w:eastAsia="Calibri"/>
          <w:lang w:val="es-ES"/>
        </w:rPr>
        <w:t xml:space="preserve"> para </w:t>
      </w:r>
      <w:r w:rsidR="00BE7F14" w:rsidRPr="006D3772">
        <w:rPr>
          <w:rFonts w:eastAsia="Calibri"/>
          <w:lang w:val="es-ES"/>
        </w:rPr>
        <w:t>incrementar</w:t>
      </w:r>
      <w:r w:rsidR="00070675" w:rsidRPr="006D3772">
        <w:rPr>
          <w:rFonts w:eastAsia="Calibri"/>
          <w:lang w:val="es-ES"/>
        </w:rPr>
        <w:t xml:space="preserve"> los servicios ecosistémicos de humedales </w:t>
      </w:r>
      <w:r w:rsidR="00BE7F14" w:rsidRPr="006D3772">
        <w:rPr>
          <w:rFonts w:eastAsia="Calibri"/>
          <w:lang w:val="es-ES"/>
        </w:rPr>
        <w:t>en</w:t>
      </w:r>
      <w:r w:rsidR="00070675" w:rsidRPr="006D3772">
        <w:rPr>
          <w:rFonts w:eastAsia="Calibri"/>
          <w:lang w:val="es-ES"/>
        </w:rPr>
        <w:t xml:space="preserve"> paisajes agrícolas. I</w:t>
      </w:r>
      <w:r w:rsidR="003E6CC8" w:rsidRPr="006D3772">
        <w:rPr>
          <w:rFonts w:eastAsia="Calibri"/>
          <w:lang w:val="es-ES"/>
        </w:rPr>
        <w:t xml:space="preserve">mplica </w:t>
      </w:r>
      <w:r w:rsidR="00070675" w:rsidRPr="006D3772">
        <w:rPr>
          <w:rFonts w:eastAsia="Calibri"/>
          <w:lang w:val="es-ES"/>
        </w:rPr>
        <w:t xml:space="preserve">la </w:t>
      </w:r>
      <w:r w:rsidR="003E6CC8" w:rsidRPr="006D3772">
        <w:rPr>
          <w:rFonts w:eastAsia="Calibri"/>
          <w:lang w:val="es-ES"/>
        </w:rPr>
        <w:t>colaborac</w:t>
      </w:r>
      <w:r w:rsidR="00070675" w:rsidRPr="006D3772">
        <w:rPr>
          <w:rFonts w:eastAsia="Calibri"/>
          <w:lang w:val="es-ES"/>
        </w:rPr>
        <w:t xml:space="preserve">ión de los </w:t>
      </w:r>
      <w:r w:rsidR="00CD0990" w:rsidRPr="006D3772">
        <w:rPr>
          <w:rFonts w:eastAsia="Calibri"/>
          <w:lang w:val="es-ES"/>
        </w:rPr>
        <w:t>coordinadores</w:t>
      </w:r>
      <w:r w:rsidR="00070675" w:rsidRPr="006D3772">
        <w:rPr>
          <w:rFonts w:eastAsia="Calibri"/>
          <w:lang w:val="es-ES"/>
        </w:rPr>
        <w:t xml:space="preserve"> </w:t>
      </w:r>
      <w:r w:rsidR="00CD0990" w:rsidRPr="006D3772">
        <w:rPr>
          <w:rFonts w:eastAsia="Calibri"/>
          <w:lang w:val="es-ES"/>
        </w:rPr>
        <w:t>n</w:t>
      </w:r>
      <w:r w:rsidR="00070675" w:rsidRPr="006D3772">
        <w:rPr>
          <w:rFonts w:eastAsia="Calibri"/>
          <w:lang w:val="es-ES"/>
        </w:rPr>
        <w:t xml:space="preserve">acionales y la red del GECT para obtener información sobre agroecosistemas y tipos de humedales específicos y </w:t>
      </w:r>
      <w:r w:rsidR="003009F6" w:rsidRPr="006D3772">
        <w:rPr>
          <w:rFonts w:eastAsia="Calibri"/>
          <w:lang w:val="es-ES"/>
        </w:rPr>
        <w:t>la mejora de la presentación de información al S</w:t>
      </w:r>
      <w:r w:rsidR="00070675" w:rsidRPr="006D3772">
        <w:rPr>
          <w:rFonts w:eastAsia="Calibri"/>
          <w:lang w:val="es-ES"/>
        </w:rPr>
        <w:t>ISR sobre la</w:t>
      </w:r>
      <w:r w:rsidR="003009F6" w:rsidRPr="006D3772">
        <w:rPr>
          <w:rFonts w:eastAsia="Calibri"/>
          <w:lang w:val="es-ES"/>
        </w:rPr>
        <w:t xml:space="preserve">s interacciones </w:t>
      </w:r>
      <w:r w:rsidR="003E6CC8" w:rsidRPr="006D3772">
        <w:rPr>
          <w:rFonts w:eastAsia="Calibri"/>
          <w:lang w:val="es-ES"/>
        </w:rPr>
        <w:t xml:space="preserve">entre </w:t>
      </w:r>
      <w:r w:rsidR="00070675" w:rsidRPr="006D3772">
        <w:rPr>
          <w:rFonts w:eastAsia="Calibri"/>
          <w:lang w:val="es-ES"/>
        </w:rPr>
        <w:t>los humedales</w:t>
      </w:r>
      <w:r w:rsidR="003E6CC8" w:rsidRPr="006D3772">
        <w:rPr>
          <w:rFonts w:eastAsia="Calibri"/>
          <w:lang w:val="es-ES"/>
        </w:rPr>
        <w:t xml:space="preserve"> y la agricultura</w:t>
      </w:r>
      <w:r w:rsidR="00070675" w:rsidRPr="006D3772">
        <w:rPr>
          <w:rFonts w:eastAsia="Calibri"/>
          <w:lang w:val="es-ES"/>
        </w:rPr>
        <w:t xml:space="preserve">. Se organizó un </w:t>
      </w:r>
      <w:r w:rsidR="003E6CC8" w:rsidRPr="006D3772">
        <w:rPr>
          <w:rFonts w:eastAsia="Calibri"/>
          <w:lang w:val="es-ES"/>
        </w:rPr>
        <w:t>seminario</w:t>
      </w:r>
      <w:r w:rsidR="00070675" w:rsidRPr="006D3772">
        <w:rPr>
          <w:rFonts w:eastAsia="Calibri"/>
          <w:lang w:val="es-ES"/>
        </w:rPr>
        <w:t xml:space="preserve"> técnico con la Organización de las Naciones Unidas para la Alimentación</w:t>
      </w:r>
      <w:r w:rsidR="008E7E17" w:rsidRPr="006D3772">
        <w:rPr>
          <w:rFonts w:eastAsia="Calibri"/>
          <w:lang w:val="es-ES"/>
        </w:rPr>
        <w:t xml:space="preserve"> y la Agricultura</w:t>
      </w:r>
      <w:r w:rsidR="00070675" w:rsidRPr="006D3772">
        <w:rPr>
          <w:rFonts w:eastAsia="Calibri"/>
          <w:lang w:val="es-ES"/>
        </w:rPr>
        <w:t xml:space="preserve"> (FAO). La Tarea 3.3 tendrá como resultado un Informe Técnico y un</w:t>
      </w:r>
      <w:r w:rsidR="009E667C" w:rsidRPr="006D3772">
        <w:rPr>
          <w:rFonts w:eastAsia="Calibri"/>
          <w:lang w:val="es-ES"/>
        </w:rPr>
        <w:t>a N</w:t>
      </w:r>
      <w:r w:rsidR="008E7E17" w:rsidRPr="006D3772">
        <w:rPr>
          <w:rFonts w:eastAsia="Calibri"/>
          <w:lang w:val="es-ES"/>
        </w:rPr>
        <w:t xml:space="preserve">ota </w:t>
      </w:r>
      <w:r w:rsidR="003E6CC8" w:rsidRPr="006D3772">
        <w:rPr>
          <w:rFonts w:eastAsia="Calibri"/>
          <w:lang w:val="es-ES"/>
        </w:rPr>
        <w:t>sobre</w:t>
      </w:r>
      <w:r w:rsidR="00070675" w:rsidRPr="006D3772">
        <w:rPr>
          <w:rFonts w:eastAsia="Calibri"/>
          <w:lang w:val="es-ES"/>
        </w:rPr>
        <w:t xml:space="preserve"> Políticas</w:t>
      </w:r>
      <w:r w:rsidR="009E667C" w:rsidRPr="006D3772">
        <w:rPr>
          <w:rFonts w:eastAsia="Calibri"/>
          <w:lang w:val="es-ES"/>
        </w:rPr>
        <w:t xml:space="preserve">. </w:t>
      </w:r>
      <w:r w:rsidR="008E7E17" w:rsidRPr="006D3772">
        <w:rPr>
          <w:rFonts w:eastAsia="Calibri"/>
          <w:lang w:val="es-ES"/>
        </w:rPr>
        <w:t xml:space="preserve">Está previsto </w:t>
      </w:r>
      <w:r w:rsidR="00070675" w:rsidRPr="006D3772">
        <w:rPr>
          <w:rFonts w:eastAsia="Calibri"/>
          <w:lang w:val="es-ES"/>
        </w:rPr>
        <w:t>que el Informe Técnico esté finalizado antes d</w:t>
      </w:r>
      <w:r w:rsidR="009C046B" w:rsidRPr="006D3772">
        <w:rPr>
          <w:rFonts w:eastAsia="Calibri"/>
          <w:lang w:val="es-ES"/>
        </w:rPr>
        <w:t>e la GECT27</w:t>
      </w:r>
      <w:r w:rsidR="00070675" w:rsidRPr="006D3772">
        <w:rPr>
          <w:rFonts w:eastAsia="Calibri"/>
          <w:lang w:val="es-ES"/>
        </w:rPr>
        <w:t xml:space="preserve">. </w:t>
      </w:r>
      <w:r w:rsidR="003E6CC8" w:rsidRPr="006D3772">
        <w:rPr>
          <w:rFonts w:eastAsia="Calibri"/>
          <w:lang w:val="es-ES"/>
        </w:rPr>
        <w:t>La Nota sobre</w:t>
      </w:r>
      <w:r w:rsidR="00070675" w:rsidRPr="006D3772">
        <w:rPr>
          <w:rFonts w:eastAsia="Calibri"/>
          <w:lang w:val="es-ES"/>
        </w:rPr>
        <w:t xml:space="preserve"> Políticas se elaborará tras la finalización del Informe Técnico en los dos primeros meses de 2025. Además, se preparará un módulo de formación en línea de </w:t>
      </w:r>
      <w:r w:rsidR="003E6CC8" w:rsidRPr="006D3772">
        <w:rPr>
          <w:rFonts w:eastAsia="Calibri"/>
          <w:lang w:val="es-ES"/>
        </w:rPr>
        <w:t xml:space="preserve">acceso </w:t>
      </w:r>
      <w:r w:rsidR="00070675" w:rsidRPr="006D3772">
        <w:rPr>
          <w:rFonts w:eastAsia="Calibri"/>
          <w:lang w:val="es-ES"/>
        </w:rPr>
        <w:t>libre que estará disponible en la Academia de eLearning de la FAO</w:t>
      </w:r>
      <w:r w:rsidR="001F6A92" w:rsidRPr="006D3772">
        <w:rPr>
          <w:rFonts w:eastAsia="Calibri"/>
          <w:lang w:val="es-ES"/>
        </w:rPr>
        <w:t>,</w:t>
      </w:r>
      <w:r w:rsidR="00070675" w:rsidRPr="006D3772">
        <w:rPr>
          <w:rFonts w:eastAsia="Calibri"/>
          <w:vertAlign w:val="superscript"/>
          <w:lang w:val="es-ES"/>
        </w:rPr>
        <w:footnoteReference w:id="3"/>
      </w:r>
      <w:r w:rsidR="00070675" w:rsidRPr="006D3772">
        <w:rPr>
          <w:rFonts w:eastAsia="Calibri"/>
          <w:lang w:val="es-ES"/>
        </w:rPr>
        <w:t xml:space="preserve"> financiado mediante la colaboración de la Convención con Danone.</w:t>
      </w:r>
    </w:p>
    <w:p w14:paraId="037247CC" w14:textId="23FD3FEC" w:rsidR="00546347" w:rsidRPr="006D3772" w:rsidRDefault="00546347" w:rsidP="008F72AA">
      <w:pPr>
        <w:rPr>
          <w:rFonts w:eastAsia="Calibri"/>
          <w:u w:val="single"/>
          <w:lang w:val="es-ES"/>
        </w:rPr>
      </w:pPr>
    </w:p>
    <w:p w14:paraId="1D6046F7" w14:textId="6B12390B" w:rsidR="00070675" w:rsidRPr="006D3772" w:rsidRDefault="00070675" w:rsidP="008F72AA">
      <w:pPr>
        <w:rPr>
          <w:rFonts w:eastAsia="Calibri"/>
          <w:u w:val="single"/>
          <w:lang w:val="es-ES"/>
        </w:rPr>
      </w:pPr>
      <w:r w:rsidRPr="006D3772">
        <w:rPr>
          <w:rFonts w:eastAsia="Calibri"/>
          <w:u w:val="single"/>
          <w:lang w:val="es-ES"/>
        </w:rPr>
        <w:lastRenderedPageBreak/>
        <w:t xml:space="preserve">Área temática de trabajo 4: Uso racional, </w:t>
      </w:r>
      <w:r w:rsidR="008E7E17" w:rsidRPr="006D3772">
        <w:rPr>
          <w:rFonts w:eastAsia="Calibri"/>
          <w:u w:val="single"/>
          <w:lang w:val="es-ES"/>
        </w:rPr>
        <w:t>manejo</w:t>
      </w:r>
      <w:r w:rsidRPr="006D3772">
        <w:rPr>
          <w:rFonts w:eastAsia="Calibri"/>
          <w:u w:val="single"/>
          <w:lang w:val="es-ES"/>
        </w:rPr>
        <w:t xml:space="preserve"> sostenible y restauración de </w:t>
      </w:r>
      <w:r w:rsidR="008E7E17" w:rsidRPr="006D3772">
        <w:rPr>
          <w:rFonts w:eastAsia="Calibri"/>
          <w:u w:val="single"/>
          <w:lang w:val="es-ES"/>
        </w:rPr>
        <w:t xml:space="preserve">los </w:t>
      </w:r>
      <w:r w:rsidRPr="006D3772">
        <w:rPr>
          <w:rFonts w:eastAsia="Calibri"/>
          <w:u w:val="single"/>
          <w:lang w:val="es-ES"/>
        </w:rPr>
        <w:t>humedales en el paisaje terrestre y marino en general.</w:t>
      </w:r>
    </w:p>
    <w:p w14:paraId="2B90F1B6" w14:textId="77777777" w:rsidR="008F72AA" w:rsidRPr="006D3772" w:rsidRDefault="008F72AA" w:rsidP="008F72AA">
      <w:pPr>
        <w:rPr>
          <w:rFonts w:eastAsia="Calibri"/>
          <w:lang w:val="es-ES"/>
        </w:rPr>
      </w:pPr>
    </w:p>
    <w:p w14:paraId="2EDD5008" w14:textId="435C7A70" w:rsidR="009F1C54" w:rsidRPr="006D3772" w:rsidRDefault="00F319AD" w:rsidP="00276823">
      <w:pPr>
        <w:ind w:left="432" w:hanging="432"/>
        <w:rPr>
          <w:rFonts w:eastAsia="Calibri"/>
          <w:lang w:val="es-ES"/>
        </w:rPr>
      </w:pPr>
      <w:r w:rsidRPr="006D3772">
        <w:rPr>
          <w:rFonts w:eastAsia="Calibri"/>
          <w:lang w:val="es-ES"/>
        </w:rPr>
        <w:t>1</w:t>
      </w:r>
      <w:r w:rsidR="006C4877">
        <w:rPr>
          <w:rFonts w:eastAsia="Calibri"/>
          <w:lang w:val="es-ES"/>
        </w:rPr>
        <w:t>5</w:t>
      </w:r>
      <w:r w:rsidRPr="006D3772">
        <w:rPr>
          <w:rFonts w:eastAsia="Calibri"/>
          <w:lang w:val="es-ES"/>
        </w:rPr>
        <w:t>.</w:t>
      </w:r>
      <w:r w:rsidRPr="006D3772">
        <w:rPr>
          <w:rFonts w:eastAsia="Calibri"/>
          <w:lang w:val="es-ES"/>
        </w:rPr>
        <w:tab/>
      </w:r>
      <w:r w:rsidR="009F1C54" w:rsidRPr="006D3772">
        <w:rPr>
          <w:rFonts w:eastAsia="Calibri"/>
          <w:i/>
          <w:iCs/>
          <w:lang w:val="es-ES"/>
        </w:rPr>
        <w:t xml:space="preserve">Tarea 4.1. Otras medidas efectivas de conservación basadas en áreas (OMEC) como oportunidad para promover la conservación y el uso racional de los humedales: </w:t>
      </w:r>
      <w:r w:rsidR="009F1C54" w:rsidRPr="006D3772">
        <w:rPr>
          <w:rFonts w:eastAsia="Calibri"/>
          <w:lang w:val="es-ES"/>
        </w:rPr>
        <w:t xml:space="preserve">La tarea se centra en </w:t>
      </w:r>
      <w:r w:rsidR="008E7E17" w:rsidRPr="006D3772">
        <w:rPr>
          <w:rFonts w:eastAsia="Calibri"/>
          <w:lang w:val="es-ES"/>
        </w:rPr>
        <w:t xml:space="preserve">la preparación </w:t>
      </w:r>
      <w:r w:rsidR="009F1C54" w:rsidRPr="006D3772">
        <w:rPr>
          <w:rFonts w:eastAsia="Calibri"/>
          <w:lang w:val="es-ES"/>
        </w:rPr>
        <w:t xml:space="preserve">de orientaciones </w:t>
      </w:r>
      <w:r w:rsidR="008E7E17" w:rsidRPr="006D3772">
        <w:rPr>
          <w:rFonts w:eastAsia="Calibri"/>
          <w:lang w:val="es-ES"/>
        </w:rPr>
        <w:t>sobre</w:t>
      </w:r>
      <w:r w:rsidR="009F1C54" w:rsidRPr="006D3772">
        <w:rPr>
          <w:rFonts w:eastAsia="Calibri"/>
          <w:lang w:val="es-ES"/>
        </w:rPr>
        <w:t xml:space="preserve"> los humedales como </w:t>
      </w:r>
      <w:r w:rsidR="008E7E17" w:rsidRPr="006D3772">
        <w:rPr>
          <w:rFonts w:eastAsia="Calibri"/>
          <w:lang w:val="es-ES"/>
        </w:rPr>
        <w:t>“</w:t>
      </w:r>
      <w:r w:rsidR="009F1C54" w:rsidRPr="006D3772">
        <w:rPr>
          <w:rFonts w:eastAsia="Calibri"/>
          <w:lang w:val="es-ES"/>
        </w:rPr>
        <w:t>otras medidas eficaces de conservación basadas en área</w:t>
      </w:r>
      <w:r w:rsidR="003E6CC8" w:rsidRPr="006D3772">
        <w:rPr>
          <w:rFonts w:eastAsia="Calibri"/>
          <w:lang w:val="es-ES"/>
        </w:rPr>
        <w:t>s</w:t>
      </w:r>
      <w:r w:rsidR="008E7E17" w:rsidRPr="006D3772">
        <w:rPr>
          <w:rFonts w:eastAsia="Calibri"/>
          <w:lang w:val="es-ES"/>
        </w:rPr>
        <w:t xml:space="preserve">” </w:t>
      </w:r>
      <w:r w:rsidR="009F1C54" w:rsidRPr="006D3772">
        <w:rPr>
          <w:rFonts w:eastAsia="Calibri"/>
          <w:lang w:val="es-ES"/>
        </w:rPr>
        <w:t>(OMEC)</w:t>
      </w:r>
      <w:r w:rsidR="00311A39" w:rsidRPr="006D3772">
        <w:rPr>
          <w:rFonts w:eastAsia="Calibri"/>
          <w:i/>
          <w:iCs/>
          <w:lang w:val="es-ES"/>
        </w:rPr>
        <w:t>.</w:t>
      </w:r>
      <w:r w:rsidR="009F1C54" w:rsidRPr="006D3772">
        <w:rPr>
          <w:rFonts w:eastAsia="Calibri"/>
          <w:lang w:val="es-ES"/>
        </w:rPr>
        <w:t xml:space="preserve"> Esta tarea aborda las metodologías para identificar, reconocer y gestionar los humedales, incluidos los Humedales de Importancia Internacional, como OMEC para alcanzar los objetivos y metas del </w:t>
      </w:r>
      <w:r w:rsidR="00C57705" w:rsidRPr="006D3772">
        <w:rPr>
          <w:rFonts w:eastAsia="Calibri"/>
          <w:lang w:val="es-ES"/>
        </w:rPr>
        <w:t>Marco Mundial de Biodiversidad de Kunming-Montreal,</w:t>
      </w:r>
      <w:r w:rsidR="009F1C54" w:rsidRPr="006D3772">
        <w:rPr>
          <w:rFonts w:eastAsia="Calibri"/>
          <w:lang w:val="es-ES"/>
        </w:rPr>
        <w:t xml:space="preserve"> incluidas las actualizaciones necesarias de la Ficha Informativa de Ramsar (FIR). </w:t>
      </w:r>
      <w:r w:rsidR="002C14AC">
        <w:rPr>
          <w:rFonts w:eastAsia="Calibri"/>
          <w:lang w:val="es-ES"/>
        </w:rPr>
        <w:t>Esta tarea</w:t>
      </w:r>
      <w:r w:rsidR="009F1C54" w:rsidRPr="006D3772">
        <w:rPr>
          <w:rFonts w:eastAsia="Calibri"/>
          <w:lang w:val="es-ES"/>
        </w:rPr>
        <w:t xml:space="preserve"> está en curso. </w:t>
      </w:r>
      <w:r w:rsidR="000776D4" w:rsidRPr="006D3772">
        <w:rPr>
          <w:rFonts w:eastAsia="Calibri"/>
          <w:lang w:val="es-ES"/>
        </w:rPr>
        <w:t xml:space="preserve">Está previsto </w:t>
      </w:r>
      <w:r w:rsidR="009F1C54" w:rsidRPr="006D3772">
        <w:rPr>
          <w:rFonts w:eastAsia="Calibri"/>
          <w:lang w:val="es-ES"/>
        </w:rPr>
        <w:t>que esté disponible una Nota Informativa para l</w:t>
      </w:r>
      <w:r w:rsidR="009C046B" w:rsidRPr="006D3772">
        <w:rPr>
          <w:rFonts w:eastAsia="Calibri"/>
          <w:lang w:val="es-ES"/>
        </w:rPr>
        <w:t>a</w:t>
      </w:r>
      <w:r w:rsidR="009F1C54" w:rsidRPr="006D3772">
        <w:rPr>
          <w:rFonts w:eastAsia="Calibri"/>
          <w:lang w:val="es-ES"/>
        </w:rPr>
        <w:t xml:space="preserve"> GECT27. La Nota informativa se elabora en colaboración con otras organizaciones pertinentes, como el Grupo especialista en otras medidas eficaces de conservación basadas en áreas de la Comisión Mundial de Áreas Protegidas de la UICN.</w:t>
      </w:r>
    </w:p>
    <w:p w14:paraId="1DC291F0" w14:textId="77777777" w:rsidR="008F72AA" w:rsidRPr="006D3772" w:rsidRDefault="008F72AA" w:rsidP="008F72AA">
      <w:pPr>
        <w:rPr>
          <w:rFonts w:eastAsia="Calibri"/>
          <w:lang w:val="es-ES"/>
        </w:rPr>
      </w:pPr>
    </w:p>
    <w:p w14:paraId="3DFB4184" w14:textId="0C761B82" w:rsidR="001F19A4" w:rsidRPr="006D3772" w:rsidRDefault="00FD4D50" w:rsidP="00276823">
      <w:pPr>
        <w:ind w:left="432" w:hanging="432"/>
        <w:rPr>
          <w:rFonts w:eastAsia="Calibri"/>
          <w:lang w:val="es-ES"/>
        </w:rPr>
      </w:pPr>
      <w:r w:rsidRPr="006D3772">
        <w:rPr>
          <w:rFonts w:eastAsia="Calibri"/>
          <w:lang w:val="es-ES"/>
        </w:rPr>
        <w:t>1</w:t>
      </w:r>
      <w:r w:rsidR="006C4877">
        <w:rPr>
          <w:rFonts w:eastAsia="Calibri"/>
          <w:lang w:val="es-ES"/>
        </w:rPr>
        <w:t>6</w:t>
      </w:r>
      <w:r w:rsidR="00F319AD" w:rsidRPr="006D3772">
        <w:rPr>
          <w:rFonts w:eastAsia="Calibri"/>
          <w:lang w:val="es-ES"/>
        </w:rPr>
        <w:t>.</w:t>
      </w:r>
      <w:r w:rsidR="00F319AD" w:rsidRPr="006D3772">
        <w:rPr>
          <w:rFonts w:eastAsia="Calibri"/>
          <w:lang w:val="es-ES"/>
        </w:rPr>
        <w:tab/>
      </w:r>
      <w:r w:rsidR="00DE696C" w:rsidRPr="006D3772">
        <w:rPr>
          <w:rFonts w:eastAsia="Calibri"/>
          <w:i/>
          <w:iCs/>
          <w:lang w:val="es-ES"/>
        </w:rPr>
        <w:t>Tarea 4.2. Preparar orientaciones sobre la conservación, el uso racional y la gestión de “hábitats costeros funcionales”, con una síntesis de las presiones mundiales sobre los humedales costeros</w:t>
      </w:r>
      <w:r w:rsidR="00F319AD" w:rsidRPr="006D3772">
        <w:rPr>
          <w:rFonts w:eastAsia="Calibri"/>
          <w:lang w:val="es-ES"/>
        </w:rPr>
        <w:t xml:space="preserve">: </w:t>
      </w:r>
      <w:r w:rsidR="00420C4A">
        <w:rPr>
          <w:rFonts w:eastAsia="Calibri"/>
          <w:lang w:val="es-ES"/>
        </w:rPr>
        <w:t>Esta</w:t>
      </w:r>
      <w:r w:rsidR="00CD3E1F" w:rsidRPr="006D3772">
        <w:rPr>
          <w:rFonts w:eastAsia="Calibri"/>
          <w:lang w:val="es-ES"/>
        </w:rPr>
        <w:t xml:space="preserve"> </w:t>
      </w:r>
      <w:r w:rsidR="002C14AC">
        <w:rPr>
          <w:rFonts w:eastAsia="Calibri"/>
          <w:lang w:val="es-ES"/>
        </w:rPr>
        <w:t xml:space="preserve">tarea </w:t>
      </w:r>
      <w:r w:rsidR="000776D4" w:rsidRPr="006D3772">
        <w:rPr>
          <w:rFonts w:eastAsia="Calibri"/>
          <w:lang w:val="es-ES"/>
        </w:rPr>
        <w:t>se ha aplazado</w:t>
      </w:r>
      <w:r w:rsidR="00CD3E1F" w:rsidRPr="006D3772">
        <w:rPr>
          <w:rFonts w:eastAsia="Calibri"/>
          <w:lang w:val="es-ES"/>
        </w:rPr>
        <w:t xml:space="preserve"> debido a la escasez de recursos humanos disponibles para llevarla a cabo. La tarea preveía </w:t>
      </w:r>
      <w:r w:rsidR="001F19A4" w:rsidRPr="006D3772">
        <w:rPr>
          <w:rFonts w:eastAsia="Calibri"/>
          <w:lang w:val="es-ES"/>
        </w:rPr>
        <w:t>prepa</w:t>
      </w:r>
      <w:r w:rsidR="00CD3E1F" w:rsidRPr="006D3772">
        <w:rPr>
          <w:rFonts w:eastAsia="Calibri"/>
          <w:lang w:val="es-ES"/>
        </w:rPr>
        <w:t xml:space="preserve">rar orientaciones </w:t>
      </w:r>
      <w:r w:rsidR="000776D4" w:rsidRPr="006D3772">
        <w:rPr>
          <w:rFonts w:eastAsia="Calibri"/>
          <w:lang w:val="es-ES"/>
        </w:rPr>
        <w:t>sobre</w:t>
      </w:r>
      <w:r w:rsidR="00CD3E1F" w:rsidRPr="006D3772">
        <w:rPr>
          <w:rFonts w:eastAsia="Calibri"/>
          <w:lang w:val="es-ES"/>
        </w:rPr>
        <w:t xml:space="preserve"> la conservación, el uso racional y la gestión de “hábitats </w:t>
      </w:r>
      <w:r w:rsidR="000776D4" w:rsidRPr="006D3772">
        <w:rPr>
          <w:rFonts w:eastAsia="Calibri"/>
          <w:lang w:val="es-ES"/>
        </w:rPr>
        <w:t>costeros</w:t>
      </w:r>
      <w:r w:rsidR="00CD3E1F" w:rsidRPr="006D3772">
        <w:rPr>
          <w:rFonts w:eastAsia="Calibri"/>
          <w:lang w:val="es-ES"/>
        </w:rPr>
        <w:t xml:space="preserve"> </w:t>
      </w:r>
      <w:r w:rsidR="001F19A4" w:rsidRPr="006D3772">
        <w:rPr>
          <w:rFonts w:eastAsia="Calibri"/>
          <w:lang w:val="es-ES"/>
        </w:rPr>
        <w:t>funcionale</w:t>
      </w:r>
      <w:r w:rsidR="00CD3E1F" w:rsidRPr="006D3772">
        <w:rPr>
          <w:rFonts w:eastAsia="Calibri"/>
          <w:lang w:val="es-ES"/>
        </w:rPr>
        <w:t>s”. Debía incluir actualizaciones del Manual 12</w:t>
      </w:r>
      <w:r w:rsidR="000776D4" w:rsidRPr="006D3772">
        <w:rPr>
          <w:rFonts w:eastAsia="Calibri"/>
          <w:lang w:val="es-ES"/>
        </w:rPr>
        <w:t>,</w:t>
      </w:r>
      <w:r w:rsidR="00CD3E1F" w:rsidRPr="006D3772">
        <w:rPr>
          <w:rFonts w:eastAsia="Calibri"/>
          <w:lang w:val="es-ES"/>
        </w:rPr>
        <w:t xml:space="preserve"> </w:t>
      </w:r>
      <w:r w:rsidR="001F19A4" w:rsidRPr="006D3772">
        <w:rPr>
          <w:rFonts w:eastAsia="Calibri"/>
          <w:lang w:val="es-ES"/>
        </w:rPr>
        <w:t>sobr</w:t>
      </w:r>
      <w:r w:rsidR="00CD3E1F" w:rsidRPr="006D3772">
        <w:rPr>
          <w:rFonts w:eastAsia="Calibri"/>
          <w:lang w:val="es-ES"/>
        </w:rPr>
        <w:t>e uso racional</w:t>
      </w:r>
      <w:r w:rsidR="000776D4" w:rsidRPr="006D3772">
        <w:rPr>
          <w:rFonts w:eastAsia="Calibri"/>
          <w:lang w:val="es-ES"/>
        </w:rPr>
        <w:t>,</w:t>
      </w:r>
      <w:r w:rsidR="00CD3E1F" w:rsidRPr="006D3772">
        <w:rPr>
          <w:rFonts w:eastAsia="Calibri"/>
          <w:lang w:val="es-ES"/>
        </w:rPr>
        <w:t xml:space="preserve"> y </w:t>
      </w:r>
      <w:r w:rsidR="000776D4" w:rsidRPr="006D3772">
        <w:rPr>
          <w:rFonts w:eastAsia="Calibri"/>
          <w:lang w:val="es-ES"/>
        </w:rPr>
        <w:t xml:space="preserve">resumir los métodos </w:t>
      </w:r>
      <w:r w:rsidR="00CD3E1F" w:rsidRPr="006D3772">
        <w:rPr>
          <w:rFonts w:eastAsia="Calibri"/>
          <w:lang w:val="es-ES"/>
        </w:rPr>
        <w:t xml:space="preserve">para una gestión </w:t>
      </w:r>
      <w:r w:rsidR="000776D4" w:rsidRPr="006D3772">
        <w:rPr>
          <w:rFonts w:eastAsia="Calibri"/>
          <w:lang w:val="es-ES"/>
        </w:rPr>
        <w:t>eficaz</w:t>
      </w:r>
      <w:r w:rsidR="00CD3E1F" w:rsidRPr="006D3772">
        <w:rPr>
          <w:rFonts w:eastAsia="Calibri"/>
          <w:lang w:val="es-ES"/>
        </w:rPr>
        <w:t xml:space="preserve"> de los hábitats costeros. </w:t>
      </w:r>
    </w:p>
    <w:p w14:paraId="52B99B10" w14:textId="77777777" w:rsidR="008F72AA" w:rsidRPr="006D3772" w:rsidRDefault="008F72AA" w:rsidP="008F72AA">
      <w:pPr>
        <w:rPr>
          <w:rFonts w:eastAsia="Calibri"/>
          <w:lang w:val="es-ES"/>
        </w:rPr>
      </w:pPr>
    </w:p>
    <w:p w14:paraId="1A51CB01" w14:textId="5E78DB7D" w:rsidR="00307F11" w:rsidRPr="006D3772" w:rsidRDefault="00F319AD" w:rsidP="00276823">
      <w:pPr>
        <w:ind w:left="432" w:hanging="432"/>
        <w:rPr>
          <w:rFonts w:eastAsia="Calibri"/>
          <w:lang w:val="es-ES"/>
        </w:rPr>
      </w:pPr>
      <w:r w:rsidRPr="006D3772">
        <w:rPr>
          <w:rFonts w:eastAsia="Calibri"/>
          <w:lang w:val="es-ES"/>
        </w:rPr>
        <w:t>1</w:t>
      </w:r>
      <w:r w:rsidR="006C4877">
        <w:rPr>
          <w:rFonts w:eastAsia="Calibri"/>
          <w:lang w:val="es-ES"/>
        </w:rPr>
        <w:t>7</w:t>
      </w:r>
      <w:r w:rsidRPr="006D3772">
        <w:rPr>
          <w:rFonts w:eastAsia="Calibri"/>
          <w:lang w:val="es-ES"/>
        </w:rPr>
        <w:t>.</w:t>
      </w:r>
      <w:r w:rsidRPr="006D3772">
        <w:rPr>
          <w:rFonts w:eastAsia="Calibri"/>
          <w:lang w:val="es-ES"/>
        </w:rPr>
        <w:tab/>
      </w:r>
      <w:r w:rsidR="001F19A4" w:rsidRPr="006D3772">
        <w:rPr>
          <w:rFonts w:eastAsia="Calibri"/>
          <w:i/>
          <w:iCs/>
          <w:lang w:val="es-ES"/>
        </w:rPr>
        <w:t>Tarea 4.3. Integrar la protección, conservación, restauración, uso sostenible y gestión de los humedales en las estrategias nacionales de desarrollo sostenible</w:t>
      </w:r>
      <w:r w:rsidR="007B5CC6" w:rsidRPr="006D3772">
        <w:rPr>
          <w:lang w:val="es-ES"/>
        </w:rPr>
        <w:t xml:space="preserve">: </w:t>
      </w:r>
      <w:r w:rsidR="007B5CC6" w:rsidRPr="006D3772">
        <w:rPr>
          <w:rFonts w:eastAsia="Calibri"/>
          <w:lang w:val="es-ES"/>
        </w:rPr>
        <w:t xml:space="preserve">Esta tarea en curso se centra en recopilar y </w:t>
      </w:r>
      <w:r w:rsidR="000776D4" w:rsidRPr="006D3772">
        <w:rPr>
          <w:rFonts w:eastAsia="Calibri"/>
          <w:lang w:val="es-ES"/>
        </w:rPr>
        <w:t>resumir</w:t>
      </w:r>
      <w:r w:rsidR="007B5CC6" w:rsidRPr="006D3772">
        <w:rPr>
          <w:rFonts w:eastAsia="Calibri"/>
          <w:lang w:val="es-ES"/>
        </w:rPr>
        <w:t xml:space="preserve"> </w:t>
      </w:r>
      <w:r w:rsidR="000776D4" w:rsidRPr="006D3772">
        <w:rPr>
          <w:rFonts w:eastAsia="Calibri"/>
          <w:lang w:val="es-ES"/>
        </w:rPr>
        <w:t xml:space="preserve">casos de estudio </w:t>
      </w:r>
      <w:r w:rsidR="007B5CC6" w:rsidRPr="006D3772">
        <w:rPr>
          <w:rFonts w:eastAsia="Calibri"/>
          <w:lang w:val="es-ES"/>
        </w:rPr>
        <w:t xml:space="preserve">y herramientas </w:t>
      </w:r>
      <w:r w:rsidR="000776D4" w:rsidRPr="006D3772">
        <w:rPr>
          <w:rFonts w:eastAsia="Calibri"/>
          <w:lang w:val="es-ES"/>
        </w:rPr>
        <w:t xml:space="preserve">sobre la integración de </w:t>
      </w:r>
      <w:r w:rsidR="007B5CC6" w:rsidRPr="006D3772">
        <w:rPr>
          <w:rFonts w:eastAsia="Calibri"/>
          <w:lang w:val="es-ES"/>
        </w:rPr>
        <w:t xml:space="preserve">la conservación y restauración de los humedales en las estrategias nacionales de desarrollo sostenible. Incluye </w:t>
      </w:r>
      <w:r w:rsidR="000776D4" w:rsidRPr="006D3772">
        <w:rPr>
          <w:rFonts w:eastAsia="Calibri"/>
          <w:lang w:val="es-ES"/>
        </w:rPr>
        <w:t xml:space="preserve">la creación </w:t>
      </w:r>
      <w:r w:rsidR="007B5CC6" w:rsidRPr="006D3772">
        <w:rPr>
          <w:rFonts w:eastAsia="Calibri"/>
          <w:lang w:val="es-ES"/>
        </w:rPr>
        <w:t>de una base de datos electrónica de caso</w:t>
      </w:r>
      <w:r w:rsidR="000776D4" w:rsidRPr="006D3772">
        <w:rPr>
          <w:rFonts w:eastAsia="Calibri"/>
          <w:lang w:val="es-ES"/>
        </w:rPr>
        <w:t>s de estudio</w:t>
      </w:r>
      <w:r w:rsidR="007B5CC6" w:rsidRPr="006D3772">
        <w:rPr>
          <w:rFonts w:eastAsia="Calibri"/>
          <w:lang w:val="es-ES"/>
        </w:rPr>
        <w:t xml:space="preserve"> que </w:t>
      </w:r>
      <w:r w:rsidR="009C046B" w:rsidRPr="006D3772">
        <w:rPr>
          <w:rFonts w:eastAsia="Calibri"/>
          <w:lang w:val="es-ES"/>
        </w:rPr>
        <w:t>será</w:t>
      </w:r>
      <w:r w:rsidR="007B5CC6" w:rsidRPr="006D3772">
        <w:rPr>
          <w:rFonts w:eastAsia="Calibri"/>
          <w:lang w:val="es-ES"/>
        </w:rPr>
        <w:t xml:space="preserve"> alojada en el sitio web de la Convención sobre los Humedales o en el </w:t>
      </w:r>
      <w:r w:rsidR="007B5CC6" w:rsidRPr="006D3772">
        <w:rPr>
          <w:rFonts w:eastAsia="Calibri"/>
          <w:i/>
          <w:iCs/>
          <w:lang w:val="es-ES"/>
        </w:rPr>
        <w:t>WWT</w:t>
      </w:r>
      <w:r w:rsidR="007B5CC6" w:rsidRPr="006D3772">
        <w:rPr>
          <w:rFonts w:eastAsia="Calibri"/>
          <w:lang w:val="es-ES"/>
        </w:rPr>
        <w:t xml:space="preserve"> </w:t>
      </w:r>
      <w:r w:rsidR="007B5CC6" w:rsidRPr="006D3772">
        <w:rPr>
          <w:rFonts w:eastAsia="Calibri"/>
          <w:i/>
          <w:iCs/>
          <w:lang w:val="es-ES"/>
        </w:rPr>
        <w:t>Learning Hub</w:t>
      </w:r>
      <w:r w:rsidR="007B5CC6" w:rsidRPr="006D3772">
        <w:rPr>
          <w:rFonts w:eastAsia="Calibri"/>
          <w:lang w:val="es-ES"/>
        </w:rPr>
        <w:t xml:space="preserve">. </w:t>
      </w:r>
      <w:r w:rsidR="000776D4" w:rsidRPr="006D3772">
        <w:rPr>
          <w:rFonts w:eastAsia="Calibri"/>
          <w:lang w:val="es-ES"/>
        </w:rPr>
        <w:t>Está previsto</w:t>
      </w:r>
      <w:r w:rsidR="007B5CC6" w:rsidRPr="006D3772">
        <w:rPr>
          <w:rFonts w:eastAsia="Calibri"/>
          <w:lang w:val="es-ES"/>
        </w:rPr>
        <w:t xml:space="preserve"> que la </w:t>
      </w:r>
      <w:r w:rsidR="00420C4A">
        <w:rPr>
          <w:rFonts w:eastAsia="Calibri"/>
          <w:lang w:val="es-ES"/>
        </w:rPr>
        <w:t>t</w:t>
      </w:r>
      <w:r w:rsidR="007B5CC6" w:rsidRPr="006D3772">
        <w:rPr>
          <w:rFonts w:eastAsia="Calibri"/>
          <w:lang w:val="es-ES"/>
        </w:rPr>
        <w:t>area</w:t>
      </w:r>
      <w:r w:rsidR="00420C4A">
        <w:rPr>
          <w:rFonts w:eastAsia="Calibri"/>
          <w:lang w:val="es-ES"/>
        </w:rPr>
        <w:t xml:space="preserve"> </w:t>
      </w:r>
      <w:r w:rsidR="000776D4" w:rsidRPr="006D3772">
        <w:rPr>
          <w:rFonts w:eastAsia="Calibri"/>
          <w:lang w:val="es-ES"/>
        </w:rPr>
        <w:t>genere</w:t>
      </w:r>
      <w:r w:rsidR="007B5CC6" w:rsidRPr="006D3772">
        <w:rPr>
          <w:rFonts w:eastAsia="Calibri"/>
          <w:lang w:val="es-ES"/>
        </w:rPr>
        <w:t xml:space="preserve"> una Nota Informativa disponible antes de</w:t>
      </w:r>
      <w:r w:rsidR="009C046B" w:rsidRPr="006D3772">
        <w:rPr>
          <w:rFonts w:eastAsia="Calibri"/>
          <w:lang w:val="es-ES"/>
        </w:rPr>
        <w:t xml:space="preserve"> </w:t>
      </w:r>
      <w:r w:rsidR="007B5CC6" w:rsidRPr="006D3772">
        <w:rPr>
          <w:rFonts w:eastAsia="Calibri"/>
          <w:lang w:val="es-ES"/>
        </w:rPr>
        <w:t>l</w:t>
      </w:r>
      <w:r w:rsidR="009C046B" w:rsidRPr="006D3772">
        <w:rPr>
          <w:rFonts w:eastAsia="Calibri"/>
          <w:lang w:val="es-ES"/>
        </w:rPr>
        <w:t>a</w:t>
      </w:r>
      <w:r w:rsidR="007B5CC6" w:rsidRPr="006D3772">
        <w:rPr>
          <w:rFonts w:eastAsia="Calibri"/>
          <w:lang w:val="es-ES"/>
        </w:rPr>
        <w:t xml:space="preserve"> </w:t>
      </w:r>
      <w:r w:rsidR="000776D4" w:rsidRPr="006D3772">
        <w:rPr>
          <w:rFonts w:eastAsia="Calibri"/>
          <w:lang w:val="es-ES"/>
        </w:rPr>
        <w:t xml:space="preserve">reunión </w:t>
      </w:r>
      <w:r w:rsidR="007B5CC6" w:rsidRPr="006D3772">
        <w:rPr>
          <w:rFonts w:eastAsia="Calibri"/>
          <w:lang w:val="es-ES"/>
        </w:rPr>
        <w:t>GECT27.</w:t>
      </w:r>
      <w:r w:rsidR="007B5CC6" w:rsidRPr="006D3772">
        <w:rPr>
          <w:rFonts w:eastAsia="Calibri"/>
          <w:i/>
          <w:iCs/>
          <w:lang w:val="es-ES"/>
        </w:rPr>
        <w:t xml:space="preserve"> </w:t>
      </w:r>
    </w:p>
    <w:p w14:paraId="4EE596D1" w14:textId="77777777" w:rsidR="00365F17" w:rsidRPr="006D3772" w:rsidRDefault="00365F17" w:rsidP="00CF6E6E">
      <w:pPr>
        <w:rPr>
          <w:rFonts w:eastAsia="Calibri"/>
          <w:b/>
          <w:bCs w:val="0"/>
          <w:lang w:val="es-ES"/>
        </w:rPr>
      </w:pPr>
    </w:p>
    <w:p w14:paraId="4040B876" w14:textId="77777777" w:rsidR="007B5CC6" w:rsidRPr="006D3772" w:rsidRDefault="007B5CC6" w:rsidP="00CF6E6E">
      <w:pPr>
        <w:rPr>
          <w:rFonts w:eastAsia="Calibri"/>
          <w:u w:val="single"/>
          <w:lang w:val="es-ES"/>
        </w:rPr>
      </w:pPr>
      <w:r w:rsidRPr="006D3772">
        <w:rPr>
          <w:rFonts w:eastAsia="Calibri"/>
          <w:u w:val="single"/>
          <w:lang w:val="es-ES"/>
        </w:rPr>
        <w:t>Área temática de trabajo 5: Cuestiones transversales, funciones de apoyo y sinergias con otros AMMA.</w:t>
      </w:r>
    </w:p>
    <w:p w14:paraId="63EC1DA2" w14:textId="77777777" w:rsidR="00D23B75" w:rsidRPr="006D3772" w:rsidRDefault="00D23B75" w:rsidP="00CF6E6E">
      <w:pPr>
        <w:rPr>
          <w:rFonts w:eastAsia="Calibri"/>
          <w:lang w:val="es-ES"/>
        </w:rPr>
      </w:pPr>
    </w:p>
    <w:p w14:paraId="3F73B170" w14:textId="749356A3" w:rsidR="007B5CC6" w:rsidRPr="006D3772" w:rsidRDefault="007A3156" w:rsidP="00276823">
      <w:pPr>
        <w:ind w:left="432" w:hanging="432"/>
        <w:rPr>
          <w:rFonts w:eastAsia="Calibri"/>
          <w:lang w:val="es-ES"/>
        </w:rPr>
      </w:pPr>
      <w:r w:rsidRPr="006D3772">
        <w:rPr>
          <w:rFonts w:eastAsia="Calibri"/>
          <w:lang w:val="es-ES"/>
        </w:rPr>
        <w:t>1</w:t>
      </w:r>
      <w:r w:rsidR="006C4877">
        <w:rPr>
          <w:rFonts w:eastAsia="Calibri"/>
          <w:lang w:val="es-ES"/>
        </w:rPr>
        <w:t>8</w:t>
      </w:r>
      <w:r w:rsidR="001632D1" w:rsidRPr="006D3772">
        <w:rPr>
          <w:rFonts w:eastAsia="Calibri"/>
          <w:lang w:val="es-ES"/>
        </w:rPr>
        <w:t>.</w:t>
      </w:r>
      <w:r w:rsidR="001632D1" w:rsidRPr="006D3772">
        <w:rPr>
          <w:rFonts w:eastAsia="Calibri"/>
          <w:lang w:val="es-ES"/>
        </w:rPr>
        <w:tab/>
      </w:r>
      <w:bookmarkStart w:id="0" w:name="_Hlk180932192"/>
      <w:r w:rsidR="007B5CC6" w:rsidRPr="006D3772">
        <w:rPr>
          <w:rFonts w:eastAsia="Calibri"/>
          <w:bCs w:val="0"/>
          <w:i/>
          <w:iCs/>
          <w:lang w:val="es-ES"/>
        </w:rPr>
        <w:t>Tarea 5.1 Costos económicos de la pérdida y degradación de humedales e inversión necesaria para mantener y restaurar humedales (PMH 2025</w:t>
      </w:r>
      <w:r w:rsidR="007B5CC6" w:rsidRPr="006D3772">
        <w:rPr>
          <w:rFonts w:eastAsia="Calibri"/>
          <w:i/>
          <w:iCs/>
          <w:lang w:val="es-ES"/>
        </w:rPr>
        <w:t>)</w:t>
      </w:r>
      <w:r w:rsidR="007B5CC6" w:rsidRPr="006D3772">
        <w:rPr>
          <w:rFonts w:eastAsia="Calibri"/>
          <w:lang w:val="es-ES"/>
        </w:rPr>
        <w:t xml:space="preserve">: Esta tarea implica analizar los impactos económicos de la pérdida de humedales, evaluar la financiación necesaria para la conservación de los humedales y explorar las sinergias con los compromisos ambientales </w:t>
      </w:r>
      <w:r w:rsidR="009C046B" w:rsidRPr="006D3772">
        <w:rPr>
          <w:rFonts w:eastAsia="Calibri"/>
          <w:lang w:val="es-ES"/>
        </w:rPr>
        <w:t>mundi</w:t>
      </w:r>
      <w:r w:rsidR="007B5CC6" w:rsidRPr="006D3772">
        <w:rPr>
          <w:rFonts w:eastAsia="Calibri"/>
          <w:lang w:val="es-ES"/>
        </w:rPr>
        <w:t xml:space="preserve">ales. Su objetivo es ofrecer ideas de inversión para la gestión de los humedales, haciendo hincapié en las </w:t>
      </w:r>
      <w:r w:rsidR="009C046B" w:rsidRPr="006D3772">
        <w:rPr>
          <w:rFonts w:eastAsia="Calibri"/>
          <w:lang w:val="es-ES"/>
        </w:rPr>
        <w:t>soluciones basadas en la naturaleza</w:t>
      </w:r>
      <w:r w:rsidR="007B5CC6" w:rsidRPr="006D3772">
        <w:rPr>
          <w:rFonts w:eastAsia="Calibri"/>
          <w:lang w:val="es-ES"/>
        </w:rPr>
        <w:t xml:space="preserve"> e integrando las perspectivas de las comunidades indígenas y locales. </w:t>
      </w:r>
      <w:r w:rsidR="000776D4" w:rsidRPr="006D3772">
        <w:rPr>
          <w:rFonts w:eastAsia="Calibri"/>
          <w:lang w:val="es-ES"/>
        </w:rPr>
        <w:t xml:space="preserve">Está previsto </w:t>
      </w:r>
      <w:r w:rsidR="007B5CC6" w:rsidRPr="006D3772">
        <w:rPr>
          <w:rFonts w:eastAsia="Calibri"/>
          <w:lang w:val="es-ES"/>
        </w:rPr>
        <w:t xml:space="preserve">que </w:t>
      </w:r>
      <w:r w:rsidR="00804A00" w:rsidRPr="006D3772">
        <w:rPr>
          <w:rFonts w:eastAsia="Calibri"/>
          <w:lang w:val="es-ES"/>
        </w:rPr>
        <w:t xml:space="preserve">la PMH </w:t>
      </w:r>
      <w:r w:rsidR="007B5CC6" w:rsidRPr="006D3772">
        <w:rPr>
          <w:rFonts w:eastAsia="Calibri"/>
          <w:lang w:val="es-ES"/>
        </w:rPr>
        <w:t>esté finalizad</w:t>
      </w:r>
      <w:r w:rsidR="00804A00" w:rsidRPr="006D3772">
        <w:rPr>
          <w:rFonts w:eastAsia="Calibri"/>
          <w:lang w:val="es-ES"/>
        </w:rPr>
        <w:t>a</w:t>
      </w:r>
      <w:r w:rsidR="007B5CC6" w:rsidRPr="006D3772">
        <w:rPr>
          <w:rFonts w:eastAsia="Calibri"/>
          <w:lang w:val="es-ES"/>
        </w:rPr>
        <w:t xml:space="preserve"> en el segundo trimestre de 2025. Se ha</w:t>
      </w:r>
      <w:r w:rsidR="00804A00" w:rsidRPr="006D3772">
        <w:rPr>
          <w:rFonts w:eastAsia="Calibri"/>
          <w:lang w:val="es-ES"/>
        </w:rPr>
        <w:t>n</w:t>
      </w:r>
      <w:r w:rsidR="007B5CC6" w:rsidRPr="006D3772">
        <w:rPr>
          <w:rFonts w:eastAsia="Calibri"/>
          <w:lang w:val="es-ES"/>
        </w:rPr>
        <w:t xml:space="preserve"> contratado consultores para preparar un estudio </w:t>
      </w:r>
      <w:r w:rsidR="000776D4" w:rsidRPr="006D3772">
        <w:rPr>
          <w:rFonts w:eastAsia="Calibri"/>
          <w:lang w:val="es-ES"/>
        </w:rPr>
        <w:t>documental</w:t>
      </w:r>
      <w:r w:rsidR="007B5CC6" w:rsidRPr="006D3772">
        <w:rPr>
          <w:rFonts w:eastAsia="Calibri"/>
          <w:lang w:val="es-ES"/>
        </w:rPr>
        <w:t xml:space="preserve"> que </w:t>
      </w:r>
      <w:r w:rsidR="000776D4" w:rsidRPr="006D3772">
        <w:rPr>
          <w:rFonts w:eastAsia="Calibri"/>
          <w:lang w:val="es-ES"/>
        </w:rPr>
        <w:t>resuma</w:t>
      </w:r>
      <w:r w:rsidR="007B5CC6" w:rsidRPr="006D3772">
        <w:rPr>
          <w:rFonts w:eastAsia="Calibri"/>
          <w:lang w:val="es-ES"/>
        </w:rPr>
        <w:t xml:space="preserve"> y coteje la información financiera sobre la pérdida y degradación de los humedales. Este estudio se</w:t>
      </w:r>
      <w:r w:rsidR="00F36E27" w:rsidRPr="006D3772">
        <w:rPr>
          <w:rFonts w:eastAsia="Calibri"/>
          <w:lang w:val="es-ES"/>
        </w:rPr>
        <w:t xml:space="preserve"> pondrá a disposición </w:t>
      </w:r>
      <w:r w:rsidR="007B5CC6" w:rsidRPr="006D3772">
        <w:rPr>
          <w:rFonts w:eastAsia="Calibri"/>
          <w:lang w:val="es-ES"/>
        </w:rPr>
        <w:t xml:space="preserve">de la 27ª reunión del GECT. Se recomienda </w:t>
      </w:r>
      <w:r w:rsidR="00F36E27" w:rsidRPr="006D3772">
        <w:rPr>
          <w:rFonts w:eastAsia="Calibri"/>
          <w:lang w:val="es-ES"/>
        </w:rPr>
        <w:t>publicar</w:t>
      </w:r>
      <w:r w:rsidR="00804A00" w:rsidRPr="006D3772">
        <w:rPr>
          <w:rFonts w:eastAsia="Calibri"/>
          <w:lang w:val="es-ES"/>
        </w:rPr>
        <w:t xml:space="preserve"> la</w:t>
      </w:r>
      <w:r w:rsidR="007B5CC6" w:rsidRPr="006D3772">
        <w:rPr>
          <w:rFonts w:eastAsia="Calibri"/>
          <w:lang w:val="es-ES"/>
        </w:rPr>
        <w:t xml:space="preserve"> </w:t>
      </w:r>
      <w:r w:rsidR="00804A00" w:rsidRPr="006D3772">
        <w:rPr>
          <w:rFonts w:eastAsia="Calibri"/>
          <w:lang w:val="es-ES"/>
        </w:rPr>
        <w:t xml:space="preserve">PMH </w:t>
      </w:r>
      <w:r w:rsidR="007B5CC6" w:rsidRPr="006D3772">
        <w:rPr>
          <w:rFonts w:eastAsia="Calibri"/>
          <w:lang w:val="es-ES"/>
        </w:rPr>
        <w:t xml:space="preserve">2025 poco antes de la COP15 y </w:t>
      </w:r>
      <w:r w:rsidR="00F36E27" w:rsidRPr="006D3772">
        <w:rPr>
          <w:rFonts w:eastAsia="Calibri"/>
          <w:lang w:val="es-ES"/>
        </w:rPr>
        <w:t xml:space="preserve">organizar </w:t>
      </w:r>
      <w:r w:rsidR="00804A00" w:rsidRPr="006D3772">
        <w:rPr>
          <w:rFonts w:eastAsia="Calibri"/>
          <w:lang w:val="es-ES"/>
        </w:rPr>
        <w:t>de</w:t>
      </w:r>
      <w:r w:rsidR="007B5CC6" w:rsidRPr="006D3772">
        <w:rPr>
          <w:rFonts w:eastAsia="Calibri"/>
          <w:lang w:val="es-ES"/>
        </w:rPr>
        <w:t xml:space="preserve"> un evento paralelo </w:t>
      </w:r>
      <w:r w:rsidR="009C046B" w:rsidRPr="006D3772">
        <w:rPr>
          <w:rFonts w:eastAsia="Calibri"/>
          <w:lang w:val="es-ES"/>
        </w:rPr>
        <w:t>sobr</w:t>
      </w:r>
      <w:r w:rsidR="007B5CC6" w:rsidRPr="006D3772">
        <w:rPr>
          <w:rFonts w:eastAsia="Calibri"/>
          <w:lang w:val="es-ES"/>
        </w:rPr>
        <w:t xml:space="preserve">e </w:t>
      </w:r>
      <w:r w:rsidR="00804A00" w:rsidRPr="006D3772">
        <w:rPr>
          <w:rFonts w:eastAsia="Calibri"/>
          <w:lang w:val="es-ES"/>
        </w:rPr>
        <w:t>la PMH</w:t>
      </w:r>
      <w:r w:rsidR="007B5CC6" w:rsidRPr="006D3772">
        <w:rPr>
          <w:rFonts w:eastAsia="Calibri"/>
          <w:lang w:val="es-ES"/>
        </w:rPr>
        <w:t xml:space="preserve"> durante la COP.</w:t>
      </w:r>
    </w:p>
    <w:bookmarkEnd w:id="0"/>
    <w:p w14:paraId="2CF06113" w14:textId="77777777" w:rsidR="006A0CA6" w:rsidRPr="006D3772" w:rsidRDefault="006A0CA6" w:rsidP="006A0CA6">
      <w:pPr>
        <w:ind w:left="432" w:hanging="432"/>
        <w:rPr>
          <w:rFonts w:eastAsia="Calibri"/>
          <w:bCs w:val="0"/>
          <w:lang w:val="es-ES"/>
        </w:rPr>
      </w:pPr>
    </w:p>
    <w:p w14:paraId="08D0FD23" w14:textId="7CDC8C0A" w:rsidR="00D92B4A" w:rsidRPr="006D3772" w:rsidRDefault="006C4877" w:rsidP="00FB7EF2">
      <w:pPr>
        <w:ind w:left="432" w:hanging="432"/>
        <w:rPr>
          <w:rFonts w:eastAsia="Calibri"/>
          <w:bCs w:val="0"/>
          <w:lang w:val="es-ES"/>
        </w:rPr>
      </w:pPr>
      <w:r>
        <w:rPr>
          <w:rFonts w:eastAsia="Calibri"/>
          <w:lang w:val="es-ES"/>
        </w:rPr>
        <w:t>19</w:t>
      </w:r>
      <w:r w:rsidR="00F319AD" w:rsidRPr="006D3772">
        <w:rPr>
          <w:rFonts w:eastAsia="Calibri"/>
          <w:lang w:val="es-ES"/>
        </w:rPr>
        <w:t>.</w:t>
      </w:r>
      <w:r w:rsidR="00F319AD" w:rsidRPr="006D3772">
        <w:rPr>
          <w:rFonts w:eastAsia="Calibri"/>
          <w:lang w:val="es-ES"/>
        </w:rPr>
        <w:tab/>
      </w:r>
      <w:r w:rsidR="00804A00" w:rsidRPr="006D3772">
        <w:rPr>
          <w:rFonts w:eastAsia="Calibri"/>
          <w:i/>
          <w:iCs/>
          <w:lang w:val="es-ES"/>
        </w:rPr>
        <w:t xml:space="preserve">Tarea 5.2. Orientaciones para apoyar la aplicación </w:t>
      </w:r>
      <w:r w:rsidR="009A193C" w:rsidRPr="006D3772">
        <w:rPr>
          <w:rFonts w:eastAsia="Calibri"/>
          <w:i/>
          <w:iCs/>
          <w:lang w:val="es-ES"/>
        </w:rPr>
        <w:t>mundial</w:t>
      </w:r>
      <w:r w:rsidR="00804A00" w:rsidRPr="006D3772">
        <w:rPr>
          <w:rFonts w:eastAsia="Calibri"/>
          <w:i/>
          <w:iCs/>
          <w:lang w:val="es-ES"/>
        </w:rPr>
        <w:t xml:space="preserve"> del Marco Mundial</w:t>
      </w:r>
      <w:r w:rsidR="009A193C" w:rsidRPr="006D3772">
        <w:rPr>
          <w:rFonts w:eastAsia="Calibri"/>
          <w:i/>
          <w:iCs/>
          <w:lang w:val="es-ES"/>
        </w:rPr>
        <w:t xml:space="preserve"> de Biodiversidad de</w:t>
      </w:r>
      <w:r w:rsidR="00804A00" w:rsidRPr="006D3772">
        <w:rPr>
          <w:rFonts w:eastAsia="Calibri"/>
          <w:i/>
          <w:iCs/>
          <w:lang w:val="es-ES"/>
        </w:rPr>
        <w:t xml:space="preserve"> Kunming-Montreal</w:t>
      </w:r>
      <w:r w:rsidR="00C57705" w:rsidRPr="006D3772">
        <w:rPr>
          <w:rFonts w:eastAsia="Calibri"/>
          <w:i/>
          <w:iCs/>
          <w:lang w:val="es-ES"/>
        </w:rPr>
        <w:t xml:space="preserve"> (</w:t>
      </w:r>
      <w:r w:rsidR="00DD05DA" w:rsidRPr="006D3772">
        <w:rPr>
          <w:rFonts w:eastAsia="Calibri"/>
          <w:i/>
          <w:iCs/>
          <w:lang w:val="es-ES"/>
        </w:rPr>
        <w:t>MMB-KM</w:t>
      </w:r>
      <w:r w:rsidR="00C57705" w:rsidRPr="006D3772">
        <w:rPr>
          <w:rFonts w:eastAsia="Calibri"/>
          <w:i/>
          <w:iCs/>
          <w:lang w:val="es-ES"/>
        </w:rPr>
        <w:t>)</w:t>
      </w:r>
      <w:r w:rsidR="00804A00" w:rsidRPr="006D3772">
        <w:rPr>
          <w:rFonts w:eastAsia="Calibri"/>
          <w:i/>
          <w:iCs/>
          <w:lang w:val="es-ES"/>
        </w:rPr>
        <w:t xml:space="preserve"> </w:t>
      </w:r>
      <w:r w:rsidR="00C228D4" w:rsidRPr="006D3772">
        <w:rPr>
          <w:rFonts w:eastAsia="Calibri"/>
          <w:i/>
          <w:iCs/>
          <w:lang w:val="es-ES"/>
        </w:rPr>
        <w:t xml:space="preserve">para los </w:t>
      </w:r>
      <w:r w:rsidR="00804A00" w:rsidRPr="006D3772">
        <w:rPr>
          <w:rFonts w:eastAsia="Calibri"/>
          <w:i/>
          <w:iCs/>
          <w:lang w:val="es-ES"/>
        </w:rPr>
        <w:t>humedales</w:t>
      </w:r>
      <w:r w:rsidR="00804A00" w:rsidRPr="006D3772">
        <w:rPr>
          <w:rFonts w:eastAsia="Calibri"/>
          <w:lang w:val="es-ES"/>
        </w:rPr>
        <w:t xml:space="preserve">: La </w:t>
      </w:r>
      <w:r w:rsidR="001146F4">
        <w:rPr>
          <w:rFonts w:eastAsia="Calibri"/>
          <w:lang w:val="es-ES"/>
        </w:rPr>
        <w:t>tarea</w:t>
      </w:r>
      <w:r w:rsidR="00804A00" w:rsidRPr="006D3772">
        <w:rPr>
          <w:rFonts w:eastAsia="Calibri"/>
          <w:lang w:val="es-ES"/>
        </w:rPr>
        <w:t xml:space="preserve"> ha sido completada. Esta se centró en </w:t>
      </w:r>
      <w:r w:rsidR="00F36E27" w:rsidRPr="006D3772">
        <w:rPr>
          <w:rFonts w:eastAsia="Calibri"/>
          <w:lang w:val="es-ES"/>
        </w:rPr>
        <w:t xml:space="preserve">brindar orientaciones </w:t>
      </w:r>
      <w:r w:rsidR="00804A00" w:rsidRPr="006D3772">
        <w:rPr>
          <w:rFonts w:eastAsia="Calibri"/>
          <w:lang w:val="es-ES"/>
        </w:rPr>
        <w:t xml:space="preserve">para abordar los humedales en </w:t>
      </w:r>
      <w:r w:rsidR="009C046B" w:rsidRPr="006D3772">
        <w:rPr>
          <w:rFonts w:eastAsia="Calibri"/>
          <w:lang w:val="es-ES"/>
        </w:rPr>
        <w:t xml:space="preserve">el contexto de </w:t>
      </w:r>
      <w:r w:rsidR="00804A00" w:rsidRPr="006D3772">
        <w:rPr>
          <w:rFonts w:eastAsia="Calibri"/>
          <w:lang w:val="es-ES"/>
        </w:rPr>
        <w:t xml:space="preserve">la aplicación del </w:t>
      </w:r>
      <w:r w:rsidR="00DD05DA" w:rsidRPr="006D3772">
        <w:rPr>
          <w:rFonts w:eastAsia="Calibri"/>
          <w:lang w:val="es-ES"/>
        </w:rPr>
        <w:t>MMB-KM</w:t>
      </w:r>
      <w:r w:rsidR="00804A00" w:rsidRPr="006D3772">
        <w:rPr>
          <w:rFonts w:eastAsia="Calibri"/>
          <w:lang w:val="es-ES"/>
        </w:rPr>
        <w:t xml:space="preserve">, y </w:t>
      </w:r>
      <w:r w:rsidR="00F36E27" w:rsidRPr="006D3772">
        <w:rPr>
          <w:rFonts w:eastAsia="Calibri"/>
          <w:lang w:val="es-ES"/>
        </w:rPr>
        <w:t xml:space="preserve">formular </w:t>
      </w:r>
      <w:r w:rsidR="00804A00" w:rsidRPr="006D3772">
        <w:rPr>
          <w:rFonts w:eastAsia="Calibri"/>
          <w:lang w:val="es-ES"/>
        </w:rPr>
        <w:t xml:space="preserve">recomendaciones sobre </w:t>
      </w:r>
      <w:r w:rsidR="000D21ED" w:rsidRPr="006D3772">
        <w:rPr>
          <w:rFonts w:eastAsia="Calibri"/>
          <w:lang w:val="es-ES"/>
        </w:rPr>
        <w:t>una</w:t>
      </w:r>
      <w:r w:rsidR="00804A00" w:rsidRPr="006D3772">
        <w:rPr>
          <w:rFonts w:eastAsia="Calibri"/>
          <w:lang w:val="es-ES"/>
        </w:rPr>
        <w:t xml:space="preserve"> </w:t>
      </w:r>
      <w:r w:rsidR="000D21ED" w:rsidRPr="006D3772">
        <w:rPr>
          <w:rFonts w:eastAsia="Calibri"/>
          <w:lang w:val="es-ES"/>
        </w:rPr>
        <w:t>representación</w:t>
      </w:r>
      <w:r w:rsidR="00804A00" w:rsidRPr="006D3772">
        <w:rPr>
          <w:rFonts w:eastAsia="Calibri"/>
          <w:lang w:val="es-ES"/>
        </w:rPr>
        <w:t xml:space="preserve"> </w:t>
      </w:r>
      <w:r w:rsidR="00F36E27" w:rsidRPr="006D3772">
        <w:rPr>
          <w:rFonts w:eastAsia="Calibri"/>
          <w:lang w:val="es-ES"/>
        </w:rPr>
        <w:t xml:space="preserve">adecuada </w:t>
      </w:r>
      <w:r w:rsidR="00804A00" w:rsidRPr="006D3772">
        <w:rPr>
          <w:rFonts w:eastAsia="Calibri"/>
          <w:lang w:val="es-ES"/>
        </w:rPr>
        <w:t xml:space="preserve">de los humedales en el marco de indicadores del </w:t>
      </w:r>
      <w:r w:rsidR="00DD05DA" w:rsidRPr="006D3772">
        <w:rPr>
          <w:rFonts w:eastAsia="Calibri"/>
          <w:lang w:val="es-ES"/>
        </w:rPr>
        <w:t>MMB-KM</w:t>
      </w:r>
      <w:r w:rsidR="00804A00" w:rsidRPr="006D3772">
        <w:rPr>
          <w:rFonts w:eastAsia="Calibri"/>
          <w:lang w:val="es-ES"/>
        </w:rPr>
        <w:t xml:space="preserve">. Se han finalizado los siguientes productos: </w:t>
      </w:r>
    </w:p>
    <w:p w14:paraId="3BE86B5E" w14:textId="23AA9BB6" w:rsidR="00A70E83" w:rsidRPr="006D3772" w:rsidRDefault="00F36E27" w:rsidP="00F73F1C">
      <w:pPr>
        <w:pStyle w:val="ListParagraph"/>
        <w:numPr>
          <w:ilvl w:val="0"/>
          <w:numId w:val="12"/>
        </w:numPr>
        <w:rPr>
          <w:rFonts w:eastAsia="Calibri"/>
          <w:bCs w:val="0"/>
          <w:lang w:val="es-ES"/>
        </w:rPr>
      </w:pPr>
      <w:bookmarkStart w:id="1" w:name="_Hlk180933366"/>
      <w:r w:rsidRPr="006D3772">
        <w:rPr>
          <w:rFonts w:eastAsia="Calibri"/>
          <w:bCs w:val="0"/>
          <w:lang w:val="es-ES"/>
        </w:rPr>
        <w:lastRenderedPageBreak/>
        <w:t>Presentación</w:t>
      </w:r>
      <w:r w:rsidR="00A70E83" w:rsidRPr="006D3772">
        <w:rPr>
          <w:rFonts w:eastAsia="Calibri"/>
          <w:bCs w:val="0"/>
          <w:lang w:val="es-ES"/>
        </w:rPr>
        <w:t xml:space="preserve"> a la 6ª reunión del GEET </w:t>
      </w:r>
      <w:r w:rsidR="00F6506C" w:rsidRPr="006D3772">
        <w:rPr>
          <w:rFonts w:eastAsia="Calibri"/>
          <w:bCs w:val="0"/>
          <w:lang w:val="es-ES"/>
        </w:rPr>
        <w:t xml:space="preserve">(Grupo Especial de Expertos Técnicos) </w:t>
      </w:r>
      <w:r w:rsidR="00A70E83" w:rsidRPr="006D3772">
        <w:rPr>
          <w:rFonts w:eastAsia="Calibri"/>
          <w:bCs w:val="0"/>
          <w:lang w:val="es-ES"/>
        </w:rPr>
        <w:t>de</w:t>
      </w:r>
      <w:r w:rsidR="00F6506C" w:rsidRPr="006D3772">
        <w:rPr>
          <w:rFonts w:eastAsia="Calibri"/>
          <w:bCs w:val="0"/>
          <w:lang w:val="es-ES"/>
        </w:rPr>
        <w:t>l documento</w:t>
      </w:r>
      <w:r w:rsidR="00A70E83" w:rsidRPr="006D3772">
        <w:rPr>
          <w:rFonts w:eastAsia="Calibri"/>
          <w:i/>
          <w:lang w:val="es-ES"/>
        </w:rPr>
        <w:t xml:space="preserve"> Indicators of the effective consideration of wetlands in the </w:t>
      </w:r>
      <w:r w:rsidR="00C57705" w:rsidRPr="006D3772">
        <w:rPr>
          <w:rFonts w:eastAsia="Calibri"/>
          <w:i/>
          <w:lang w:val="es-ES"/>
        </w:rPr>
        <w:t>KM GBF</w:t>
      </w:r>
      <w:r w:rsidR="00A70E83" w:rsidRPr="006D3772">
        <w:rPr>
          <w:rFonts w:eastAsia="Calibri"/>
          <w:i/>
          <w:lang w:val="es-ES"/>
        </w:rPr>
        <w:t xml:space="preserve"> Monitoring Framework</w:t>
      </w:r>
      <w:r w:rsidR="00A70E83" w:rsidRPr="006D3772">
        <w:rPr>
          <w:rFonts w:eastAsia="Calibri"/>
          <w:bCs w:val="0"/>
          <w:lang w:val="es-ES"/>
        </w:rPr>
        <w:t>,</w:t>
      </w:r>
      <w:r w:rsidR="00A70E83" w:rsidRPr="006D3772">
        <w:rPr>
          <w:rFonts w:eastAsia="Calibri"/>
          <w:bCs w:val="0"/>
          <w:vertAlign w:val="superscript"/>
          <w:lang w:val="es-ES"/>
        </w:rPr>
        <w:footnoteReference w:id="4"/>
      </w:r>
      <w:r w:rsidR="00A70E83" w:rsidRPr="006D3772">
        <w:rPr>
          <w:rFonts w:eastAsia="Calibri"/>
          <w:bCs w:val="0"/>
          <w:lang w:val="es-ES"/>
        </w:rPr>
        <w:t xml:space="preserve"> el 29 de febrero de 2024 (SC63 Inf.3). </w:t>
      </w:r>
      <w:r w:rsidRPr="006D3772">
        <w:rPr>
          <w:rFonts w:eastAsia="Calibri"/>
          <w:bCs w:val="0"/>
          <w:lang w:val="es-ES"/>
        </w:rPr>
        <w:t>El</w:t>
      </w:r>
      <w:r w:rsidR="000D21ED" w:rsidRPr="006D3772">
        <w:rPr>
          <w:rFonts w:eastAsia="Calibri"/>
          <w:bCs w:val="0"/>
          <w:lang w:val="es-ES"/>
        </w:rPr>
        <w:t xml:space="preserve"> documento c</w:t>
      </w:r>
      <w:r w:rsidR="00A70E83" w:rsidRPr="006D3772">
        <w:rPr>
          <w:rFonts w:eastAsia="Calibri"/>
          <w:bCs w:val="0"/>
          <w:lang w:val="es-ES"/>
        </w:rPr>
        <w:t xml:space="preserve">onsistía en un examen de los indicadores y mecanismos de presentación de informes pertinentes para el marco de indicadores del </w:t>
      </w:r>
      <w:r w:rsidR="00DD05DA" w:rsidRPr="006D3772">
        <w:rPr>
          <w:rFonts w:eastAsia="Calibri"/>
          <w:bCs w:val="0"/>
          <w:lang w:val="es-ES"/>
        </w:rPr>
        <w:t>MMB-KM</w:t>
      </w:r>
      <w:r w:rsidR="000D21ED" w:rsidRPr="006D3772">
        <w:rPr>
          <w:rFonts w:eastAsia="Calibri"/>
          <w:bCs w:val="0"/>
          <w:lang w:val="es-ES"/>
        </w:rPr>
        <w:t>,</w:t>
      </w:r>
      <w:r w:rsidR="00A70E83" w:rsidRPr="006D3772">
        <w:rPr>
          <w:rFonts w:eastAsia="Calibri"/>
          <w:bCs w:val="0"/>
          <w:lang w:val="es-ES"/>
        </w:rPr>
        <w:t xml:space="preserve"> y </w:t>
      </w:r>
      <w:r w:rsidR="000D21ED" w:rsidRPr="006D3772">
        <w:rPr>
          <w:rFonts w:eastAsia="Calibri"/>
          <w:bCs w:val="0"/>
          <w:lang w:val="es-ES"/>
        </w:rPr>
        <w:t>fue</w:t>
      </w:r>
      <w:r w:rsidR="00A70E83" w:rsidRPr="006D3772">
        <w:rPr>
          <w:rFonts w:eastAsia="Calibri"/>
          <w:bCs w:val="0"/>
          <w:lang w:val="es-ES"/>
        </w:rPr>
        <w:t xml:space="preserve"> elabor</w:t>
      </w:r>
      <w:r w:rsidR="000D21ED" w:rsidRPr="006D3772">
        <w:rPr>
          <w:rFonts w:eastAsia="Calibri"/>
          <w:bCs w:val="0"/>
          <w:lang w:val="es-ES"/>
        </w:rPr>
        <w:t>ado</w:t>
      </w:r>
      <w:r w:rsidR="00A70E83" w:rsidRPr="006D3772">
        <w:rPr>
          <w:rFonts w:eastAsia="Calibri"/>
          <w:bCs w:val="0"/>
          <w:lang w:val="es-ES"/>
        </w:rPr>
        <w:t xml:space="preserve"> con el apoyo financiero adicional del Reino Unido de Gran Bretaña e Irlanda del Norte.</w:t>
      </w:r>
    </w:p>
    <w:bookmarkEnd w:id="1"/>
    <w:p w14:paraId="1ACB60A6" w14:textId="3B86E736" w:rsidR="00F6506C" w:rsidRPr="006D3772" w:rsidRDefault="00F6506C" w:rsidP="00153FD9">
      <w:pPr>
        <w:pStyle w:val="ListParagraph"/>
        <w:numPr>
          <w:ilvl w:val="0"/>
          <w:numId w:val="12"/>
        </w:numPr>
        <w:rPr>
          <w:rFonts w:eastAsia="Calibri"/>
          <w:bCs w:val="0"/>
          <w:lang w:val="es-ES"/>
        </w:rPr>
      </w:pPr>
      <w:r w:rsidRPr="006D3772">
        <w:rPr>
          <w:rFonts w:eastAsia="Calibri"/>
          <w:bCs w:val="0"/>
          <w:lang w:val="es-ES"/>
        </w:rPr>
        <w:t xml:space="preserve">Documento informativo </w:t>
      </w:r>
      <w:r w:rsidR="00153FD9" w:rsidRPr="006D3772">
        <w:rPr>
          <w:rFonts w:eastAsia="Calibri"/>
          <w:bCs w:val="0"/>
          <w:i/>
          <w:iCs/>
          <w:lang w:val="es-ES"/>
        </w:rPr>
        <w:t>Ampliación de la escala de conservación, restauración y uso racional de los humedales a través de estrategias y planes de acción nacionales de biodiversidad</w:t>
      </w:r>
      <w:r w:rsidR="00C57705" w:rsidRPr="006D3772">
        <w:rPr>
          <w:rFonts w:eastAsia="Calibri"/>
          <w:bCs w:val="0"/>
          <w:i/>
          <w:iCs/>
          <w:lang w:val="es-ES"/>
        </w:rPr>
        <w:t xml:space="preserve"> (EPANB),</w:t>
      </w:r>
      <w:r w:rsidRPr="006D3772">
        <w:rPr>
          <w:rFonts w:eastAsia="Calibri"/>
          <w:bCs w:val="0"/>
          <w:i/>
          <w:iCs/>
          <w:vertAlign w:val="superscript"/>
          <w:lang w:val="es-ES"/>
        </w:rPr>
        <w:t xml:space="preserve"> </w:t>
      </w:r>
      <w:r w:rsidRPr="006D3772">
        <w:rPr>
          <w:i/>
          <w:iCs/>
          <w:vertAlign w:val="superscript"/>
          <w:lang w:val="es-ES"/>
        </w:rPr>
        <w:footnoteReference w:id="5"/>
      </w:r>
      <w:r w:rsidR="00153FD9" w:rsidRPr="006D3772">
        <w:rPr>
          <w:rFonts w:eastAsia="Calibri"/>
          <w:bCs w:val="0"/>
          <w:i/>
          <w:iCs/>
          <w:lang w:val="es-ES"/>
        </w:rPr>
        <w:t xml:space="preserve"> </w:t>
      </w:r>
      <w:r w:rsidRPr="006D3772">
        <w:rPr>
          <w:rFonts w:eastAsia="Calibri"/>
          <w:bCs w:val="0"/>
          <w:lang w:val="es-ES"/>
        </w:rPr>
        <w:t xml:space="preserve">publicado el 23 de noviembre de 2023. </w:t>
      </w:r>
    </w:p>
    <w:p w14:paraId="640B73C3" w14:textId="414F1DE7" w:rsidR="00F6506C" w:rsidRPr="006D3772" w:rsidRDefault="00F6506C" w:rsidP="006A0CA6">
      <w:pPr>
        <w:pStyle w:val="ListParagraph"/>
        <w:numPr>
          <w:ilvl w:val="0"/>
          <w:numId w:val="12"/>
        </w:numPr>
        <w:rPr>
          <w:rFonts w:eastAsia="Calibri"/>
          <w:lang w:val="es-ES"/>
        </w:rPr>
      </w:pPr>
      <w:r w:rsidRPr="006D3772">
        <w:rPr>
          <w:rFonts w:eastAsia="Calibri"/>
          <w:lang w:val="es-ES"/>
        </w:rPr>
        <w:t xml:space="preserve">Informe </w:t>
      </w:r>
      <w:r w:rsidR="00CA14BC" w:rsidRPr="006D3772">
        <w:rPr>
          <w:rFonts w:eastAsia="Calibri"/>
          <w:lang w:val="es-ES"/>
        </w:rPr>
        <w:t>T</w:t>
      </w:r>
      <w:r w:rsidRPr="006D3772">
        <w:rPr>
          <w:rFonts w:eastAsia="Calibri"/>
          <w:lang w:val="es-ES"/>
        </w:rPr>
        <w:t xml:space="preserve">écnico 12: </w:t>
      </w:r>
      <w:r w:rsidR="00C57705" w:rsidRPr="006D3772">
        <w:rPr>
          <w:rFonts w:eastAsia="Calibri"/>
          <w:i/>
          <w:iCs/>
          <w:lang w:val="es-ES"/>
        </w:rPr>
        <w:t>Potenciar la conservación y restauración de humedales para la ejecución del Marco Mundial de Biodiversidad de Kunming-Montreal: Orientaciones sobre la inclusión de los humedales en las estrategias y planes de acción nacionales en materia de biodiversidad (EPANB) para impulsar la biodiversidad y detener la pérdida y degradación de los humedales</w:t>
      </w:r>
      <w:r w:rsidR="005658AE" w:rsidRPr="006D3772">
        <w:rPr>
          <w:rFonts w:eastAsia="Calibri"/>
          <w:i/>
          <w:lang w:val="es-ES"/>
        </w:rPr>
        <w:t>,</w:t>
      </w:r>
      <w:r w:rsidR="006D3772" w:rsidRPr="006D3772">
        <w:rPr>
          <w:rStyle w:val="FootnoteReference"/>
          <w:rFonts w:eastAsia="Calibri"/>
          <w:bCs w:val="0"/>
          <w:i/>
          <w:iCs/>
          <w:lang w:val="es-ES"/>
        </w:rPr>
        <w:t xml:space="preserve"> </w:t>
      </w:r>
      <w:r w:rsidR="006D3772" w:rsidRPr="006D3772">
        <w:rPr>
          <w:rStyle w:val="FootnoteReference"/>
          <w:rFonts w:eastAsia="Calibri"/>
          <w:bCs w:val="0"/>
          <w:i/>
          <w:iCs/>
          <w:lang w:val="es-ES"/>
        </w:rPr>
        <w:footnoteReference w:id="6"/>
      </w:r>
      <w:r w:rsidR="005658AE" w:rsidRPr="006D3772">
        <w:rPr>
          <w:rFonts w:eastAsia="Calibri"/>
          <w:i/>
          <w:lang w:val="es-ES"/>
        </w:rPr>
        <w:t xml:space="preserve"> </w:t>
      </w:r>
      <w:r w:rsidRPr="006D3772">
        <w:rPr>
          <w:rFonts w:eastAsia="Calibri"/>
          <w:lang w:val="es-ES"/>
        </w:rPr>
        <w:t xml:space="preserve">publicado el 15 de mayo de 2024 y presentado durante un seminario web organizado </w:t>
      </w:r>
      <w:r w:rsidR="00CA14BC" w:rsidRPr="006D3772">
        <w:rPr>
          <w:rFonts w:eastAsia="Calibri"/>
          <w:lang w:val="es-ES"/>
        </w:rPr>
        <w:t xml:space="preserve">conjuntamente </w:t>
      </w:r>
      <w:r w:rsidRPr="006D3772">
        <w:rPr>
          <w:rFonts w:eastAsia="Calibri"/>
          <w:lang w:val="es-ES"/>
        </w:rPr>
        <w:t xml:space="preserve">con el CDB el 19 de junio de 2024. </w:t>
      </w:r>
    </w:p>
    <w:p w14:paraId="5357F060" w14:textId="449BAE2B" w:rsidR="006A0CA6" w:rsidRPr="006D3772" w:rsidRDefault="006A0CA6" w:rsidP="006A0CA6">
      <w:pPr>
        <w:ind w:left="432" w:hanging="432"/>
        <w:rPr>
          <w:rFonts w:eastAsia="Calibri"/>
          <w:bCs w:val="0"/>
          <w:lang w:val="es-ES"/>
        </w:rPr>
      </w:pPr>
    </w:p>
    <w:p w14:paraId="078DA346" w14:textId="6436107E" w:rsidR="00CA14BC" w:rsidRPr="006D3772" w:rsidRDefault="00F319AD" w:rsidP="00CC2E0C">
      <w:pPr>
        <w:ind w:left="432" w:hanging="432"/>
        <w:rPr>
          <w:rFonts w:eastAsia="Calibri"/>
          <w:lang w:val="es-ES"/>
        </w:rPr>
      </w:pPr>
      <w:r w:rsidRPr="006D3772">
        <w:rPr>
          <w:rFonts w:eastAsia="Calibri"/>
          <w:lang w:val="es-ES"/>
        </w:rPr>
        <w:t>2</w:t>
      </w:r>
      <w:r w:rsidR="006C4877">
        <w:rPr>
          <w:rFonts w:eastAsia="Calibri"/>
          <w:lang w:val="es-ES"/>
        </w:rPr>
        <w:t>0</w:t>
      </w:r>
      <w:r w:rsidRPr="006D3772">
        <w:rPr>
          <w:rFonts w:eastAsia="Calibri"/>
          <w:lang w:val="es-ES"/>
        </w:rPr>
        <w:t>.</w:t>
      </w:r>
      <w:r w:rsidR="0019242E" w:rsidRPr="006D3772">
        <w:rPr>
          <w:rFonts w:eastAsia="Calibri"/>
          <w:lang w:val="es-ES"/>
        </w:rPr>
        <w:tab/>
      </w:r>
      <w:r w:rsidR="00CA14BC" w:rsidRPr="006D3772">
        <w:rPr>
          <w:rFonts w:eastAsia="Calibri"/>
          <w:bCs w:val="0"/>
          <w:i/>
          <w:iCs/>
          <w:lang w:val="es-ES"/>
        </w:rPr>
        <w:t xml:space="preserve">Tarea 5.3. Definir un planteamiento para la preparación de futuras ediciones de la Perspectiva Mundial sobre los Humedales </w:t>
      </w:r>
      <w:r w:rsidR="00CA14BC" w:rsidRPr="006D3772">
        <w:rPr>
          <w:rFonts w:eastAsia="Calibri"/>
          <w:bCs w:val="0"/>
          <w:lang w:val="es-ES"/>
        </w:rPr>
        <w:t>(PMH)</w:t>
      </w:r>
      <w:r w:rsidR="00CA14BC" w:rsidRPr="006D3772">
        <w:rPr>
          <w:rFonts w:eastAsia="Calibri"/>
          <w:lang w:val="es-ES"/>
        </w:rPr>
        <w:t xml:space="preserve">: Se ha </w:t>
      </w:r>
      <w:r w:rsidR="00F36E27" w:rsidRPr="006D3772">
        <w:rPr>
          <w:rFonts w:eastAsia="Calibri"/>
          <w:lang w:val="es-ES"/>
        </w:rPr>
        <w:t>preparado</w:t>
      </w:r>
      <w:r w:rsidR="00CA14BC" w:rsidRPr="006D3772">
        <w:rPr>
          <w:rFonts w:eastAsia="Calibri"/>
          <w:lang w:val="es-ES"/>
        </w:rPr>
        <w:t xml:space="preserve"> un plan </w:t>
      </w:r>
      <w:r w:rsidR="00F36E27" w:rsidRPr="006D3772">
        <w:rPr>
          <w:rFonts w:eastAsia="Calibri"/>
          <w:lang w:val="es-ES"/>
        </w:rPr>
        <w:t>integral</w:t>
      </w:r>
      <w:r w:rsidR="00CA14BC" w:rsidRPr="006D3772">
        <w:rPr>
          <w:rFonts w:eastAsia="Calibri"/>
          <w:lang w:val="es-ES"/>
        </w:rPr>
        <w:t xml:space="preserve"> para las futuras</w:t>
      </w:r>
      <w:r w:rsidR="00F36E27" w:rsidRPr="006D3772">
        <w:rPr>
          <w:rFonts w:eastAsia="Calibri"/>
          <w:lang w:val="es-ES"/>
        </w:rPr>
        <w:t xml:space="preserve"> ediciones de la</w:t>
      </w:r>
      <w:r w:rsidR="00CA14BC" w:rsidRPr="006D3772">
        <w:rPr>
          <w:rFonts w:eastAsia="Calibri"/>
          <w:lang w:val="es-ES"/>
        </w:rPr>
        <w:t xml:space="preserve"> </w:t>
      </w:r>
      <w:r w:rsidR="00C57705" w:rsidRPr="006D3772">
        <w:rPr>
          <w:rFonts w:eastAsia="Calibri"/>
          <w:lang w:val="es-ES"/>
        </w:rPr>
        <w:t>PMH</w:t>
      </w:r>
      <w:r w:rsidR="00CA14BC" w:rsidRPr="006D3772">
        <w:rPr>
          <w:rFonts w:eastAsia="Calibri"/>
          <w:lang w:val="es-ES"/>
        </w:rPr>
        <w:t xml:space="preserve">, teniendo en cuenta las metodologías, los plazos y las necesidades de recursos, basándose en las ediciones anteriores y en otras evaluaciones internacionales. En el Anexo 4 del presente informe se </w:t>
      </w:r>
      <w:r w:rsidR="00F36E27" w:rsidRPr="006D3772">
        <w:rPr>
          <w:rFonts w:eastAsia="Calibri"/>
          <w:lang w:val="es-ES"/>
        </w:rPr>
        <w:t>presentan la</w:t>
      </w:r>
      <w:r w:rsidR="00CA14BC" w:rsidRPr="006D3772">
        <w:rPr>
          <w:rFonts w:eastAsia="Calibri"/>
          <w:lang w:val="es-ES"/>
        </w:rPr>
        <w:t xml:space="preserve">s opciones para las futuras </w:t>
      </w:r>
      <w:r w:rsidR="00F36E27" w:rsidRPr="006D3772">
        <w:rPr>
          <w:rFonts w:eastAsia="Calibri"/>
          <w:lang w:val="es-ES"/>
        </w:rPr>
        <w:t>ediciones</w:t>
      </w:r>
      <w:r w:rsidR="00AA7E6B">
        <w:rPr>
          <w:rFonts w:eastAsia="Calibri"/>
          <w:lang w:val="es-ES"/>
        </w:rPr>
        <w:t xml:space="preserve"> de la</w:t>
      </w:r>
      <w:r w:rsidR="00F36E27" w:rsidRPr="006D3772">
        <w:rPr>
          <w:rFonts w:eastAsia="Calibri"/>
          <w:lang w:val="es-ES"/>
        </w:rPr>
        <w:t xml:space="preserve"> </w:t>
      </w:r>
      <w:r w:rsidR="00EE308F" w:rsidRPr="006D3772">
        <w:rPr>
          <w:rFonts w:eastAsia="Calibri"/>
          <w:lang w:val="es-ES"/>
        </w:rPr>
        <w:t>PMH</w:t>
      </w:r>
      <w:r w:rsidR="00F36E27" w:rsidRPr="006D3772">
        <w:rPr>
          <w:rFonts w:eastAsia="Calibri"/>
          <w:lang w:val="es-ES"/>
        </w:rPr>
        <w:t xml:space="preserve"> de forma que el Comité Permanente pueda evaluarlas</w:t>
      </w:r>
      <w:r w:rsidR="00CA14BC" w:rsidRPr="006D3772">
        <w:rPr>
          <w:rFonts w:eastAsia="Calibri"/>
          <w:lang w:val="es-ES"/>
        </w:rPr>
        <w:t>.</w:t>
      </w:r>
    </w:p>
    <w:p w14:paraId="7249DB41" w14:textId="77777777" w:rsidR="006A0CA6" w:rsidRPr="006D3772" w:rsidRDefault="006A0CA6" w:rsidP="006A0CA6">
      <w:pPr>
        <w:ind w:left="432" w:hanging="432"/>
        <w:rPr>
          <w:rFonts w:eastAsia="Calibri"/>
          <w:bCs w:val="0"/>
          <w:lang w:val="es-ES"/>
        </w:rPr>
      </w:pPr>
    </w:p>
    <w:p w14:paraId="28254EFA" w14:textId="3436F1A1" w:rsidR="0076211F" w:rsidRPr="006D3772" w:rsidRDefault="00F319AD" w:rsidP="00641999">
      <w:pPr>
        <w:tabs>
          <w:tab w:val="left" w:pos="2268"/>
        </w:tabs>
        <w:ind w:left="432" w:hanging="432"/>
        <w:rPr>
          <w:rFonts w:eastAsia="Calibri"/>
          <w:bCs w:val="0"/>
          <w:lang w:val="es-ES"/>
        </w:rPr>
      </w:pPr>
      <w:r w:rsidRPr="006D3772">
        <w:rPr>
          <w:rFonts w:eastAsia="Calibri"/>
          <w:lang w:val="es-ES"/>
        </w:rPr>
        <w:t>2</w:t>
      </w:r>
      <w:r w:rsidR="006C4877">
        <w:rPr>
          <w:rFonts w:eastAsia="Calibri"/>
          <w:lang w:val="es-ES"/>
        </w:rPr>
        <w:t>1</w:t>
      </w:r>
      <w:r w:rsidRPr="006D3772">
        <w:rPr>
          <w:rFonts w:eastAsia="Calibri"/>
          <w:lang w:val="es-ES"/>
        </w:rPr>
        <w:t>.</w:t>
      </w:r>
      <w:r w:rsidRPr="006D3772">
        <w:rPr>
          <w:rFonts w:eastAsia="Calibri"/>
          <w:b/>
          <w:lang w:val="es-ES"/>
        </w:rPr>
        <w:tab/>
      </w:r>
      <w:r w:rsidR="0076211F" w:rsidRPr="006D3772">
        <w:rPr>
          <w:rFonts w:eastAsia="Calibri"/>
          <w:bCs w:val="0"/>
          <w:i/>
          <w:iCs/>
          <w:lang w:val="es-ES"/>
        </w:rPr>
        <w:t>Tarea 5.4. Examen de los marcos normativos y jurídicos para la conservación y el uso racional de los humedales: estudio de análisis</w:t>
      </w:r>
      <w:r w:rsidR="00F36E27" w:rsidRPr="006D3772">
        <w:rPr>
          <w:rFonts w:eastAsia="Calibri"/>
          <w:bCs w:val="0"/>
          <w:i/>
          <w:iCs/>
          <w:lang w:val="es-ES"/>
        </w:rPr>
        <w:t xml:space="preserve"> inicial</w:t>
      </w:r>
      <w:r w:rsidR="0076211F" w:rsidRPr="006D3772">
        <w:rPr>
          <w:rFonts w:eastAsia="Calibri"/>
          <w:bCs w:val="0"/>
          <w:lang w:val="es-ES"/>
        </w:rPr>
        <w:t xml:space="preserve">: La </w:t>
      </w:r>
      <w:r w:rsidR="00641999">
        <w:rPr>
          <w:rFonts w:eastAsia="Calibri"/>
          <w:bCs w:val="0"/>
          <w:lang w:val="es-ES"/>
        </w:rPr>
        <w:t>t</w:t>
      </w:r>
      <w:r w:rsidR="00D10FC7" w:rsidRPr="006D3772">
        <w:rPr>
          <w:rFonts w:eastAsia="Calibri"/>
          <w:bCs w:val="0"/>
          <w:lang w:val="es-ES"/>
        </w:rPr>
        <w:t>area</w:t>
      </w:r>
      <w:r w:rsidR="0076211F" w:rsidRPr="006D3772">
        <w:rPr>
          <w:rFonts w:eastAsia="Calibri"/>
          <w:bCs w:val="0"/>
          <w:lang w:val="es-ES"/>
        </w:rPr>
        <w:t xml:space="preserve"> ha sido completada. </w:t>
      </w:r>
      <w:r w:rsidR="00F36E27" w:rsidRPr="006D3772">
        <w:rPr>
          <w:rFonts w:eastAsia="Calibri"/>
          <w:bCs w:val="0"/>
          <w:lang w:val="es-ES"/>
        </w:rPr>
        <w:t xml:space="preserve">Se ha elaborado </w:t>
      </w:r>
      <w:r w:rsidR="0076211F" w:rsidRPr="006D3772">
        <w:rPr>
          <w:rFonts w:eastAsia="Calibri"/>
          <w:bCs w:val="0"/>
          <w:lang w:val="es-ES"/>
        </w:rPr>
        <w:t xml:space="preserve">un </w:t>
      </w:r>
      <w:r w:rsidR="00DD05DA" w:rsidRPr="006D3772">
        <w:rPr>
          <w:rFonts w:eastAsia="Calibri"/>
          <w:bCs w:val="0"/>
          <w:lang w:val="es-ES"/>
        </w:rPr>
        <w:t>documento</w:t>
      </w:r>
      <w:r w:rsidR="0076211F" w:rsidRPr="006D3772">
        <w:rPr>
          <w:rFonts w:eastAsia="Calibri"/>
          <w:bCs w:val="0"/>
          <w:lang w:val="es-ES"/>
        </w:rPr>
        <w:t xml:space="preserve"> técnico de análisis</w:t>
      </w:r>
      <w:r w:rsidR="00DD05DA" w:rsidRPr="006D3772">
        <w:rPr>
          <w:rFonts w:eastAsia="Calibri"/>
          <w:bCs w:val="0"/>
          <w:lang w:val="es-ES"/>
        </w:rPr>
        <w:t xml:space="preserve"> inicial</w:t>
      </w:r>
      <w:r w:rsidR="0076211F" w:rsidRPr="006D3772">
        <w:rPr>
          <w:rFonts w:eastAsia="Calibri"/>
          <w:bCs w:val="0"/>
          <w:lang w:val="es-ES"/>
        </w:rPr>
        <w:t xml:space="preserve">, estableciendo un plan para evaluar los marcos normativos y </w:t>
      </w:r>
      <w:r w:rsidR="006D3772" w:rsidRPr="006D3772">
        <w:rPr>
          <w:rFonts w:eastAsia="Calibri"/>
          <w:bCs w:val="0"/>
          <w:lang w:val="es-ES"/>
        </w:rPr>
        <w:t>jurídicos</w:t>
      </w:r>
      <w:r w:rsidR="0076211F" w:rsidRPr="006D3772">
        <w:rPr>
          <w:rFonts w:eastAsia="Calibri"/>
          <w:bCs w:val="0"/>
          <w:lang w:val="es-ES"/>
        </w:rPr>
        <w:t xml:space="preserve"> relativos a la conservación, restauración y uso de los humedales, proponiendo opciones </w:t>
      </w:r>
      <w:r w:rsidR="00C57705" w:rsidRPr="006D3772">
        <w:rPr>
          <w:rFonts w:eastAsia="Calibri"/>
          <w:bCs w:val="0"/>
          <w:lang w:val="es-ES"/>
        </w:rPr>
        <w:t xml:space="preserve">normativas </w:t>
      </w:r>
      <w:r w:rsidR="00F36E27" w:rsidRPr="006D3772">
        <w:rPr>
          <w:rFonts w:eastAsia="Calibri"/>
          <w:bCs w:val="0"/>
          <w:lang w:val="es-ES"/>
        </w:rPr>
        <w:t>prospectivas</w:t>
      </w:r>
      <w:r w:rsidR="0076211F" w:rsidRPr="006D3772">
        <w:rPr>
          <w:rFonts w:eastAsia="Calibri"/>
          <w:bCs w:val="0"/>
          <w:lang w:val="es-ES"/>
        </w:rPr>
        <w:t xml:space="preserve"> y enfoques </w:t>
      </w:r>
      <w:r w:rsidR="00C57705" w:rsidRPr="006D3772">
        <w:rPr>
          <w:rFonts w:eastAsia="Calibri"/>
          <w:bCs w:val="0"/>
          <w:lang w:val="es-ES"/>
        </w:rPr>
        <w:t>integrales</w:t>
      </w:r>
      <w:r w:rsidR="0076211F" w:rsidRPr="006D3772">
        <w:rPr>
          <w:rFonts w:eastAsia="Calibri"/>
          <w:bCs w:val="0"/>
          <w:lang w:val="es-ES"/>
        </w:rPr>
        <w:t xml:space="preserve"> para el próximo trienio. </w:t>
      </w:r>
      <w:r w:rsidR="00DD05DA" w:rsidRPr="006D3772">
        <w:rPr>
          <w:rFonts w:eastAsia="Calibri"/>
          <w:bCs w:val="0"/>
          <w:lang w:val="es-ES"/>
        </w:rPr>
        <w:t xml:space="preserve">El documento </w:t>
      </w:r>
      <w:r w:rsidR="0076211F" w:rsidRPr="006D3772">
        <w:rPr>
          <w:rFonts w:eastAsia="Calibri"/>
          <w:bCs w:val="0"/>
          <w:lang w:val="es-ES"/>
        </w:rPr>
        <w:t xml:space="preserve">se incluye como Anexo 3 del presente informe a la </w:t>
      </w:r>
      <w:r w:rsidR="00F36E27" w:rsidRPr="006D3772">
        <w:rPr>
          <w:rFonts w:eastAsia="Calibri"/>
          <w:bCs w:val="0"/>
          <w:lang w:val="es-ES"/>
        </w:rPr>
        <w:t xml:space="preserve">reunión </w:t>
      </w:r>
      <w:r w:rsidR="0076211F" w:rsidRPr="006D3772">
        <w:rPr>
          <w:rFonts w:eastAsia="Calibri"/>
          <w:bCs w:val="0"/>
          <w:lang w:val="es-ES"/>
        </w:rPr>
        <w:t xml:space="preserve">SC64, y el trabajo adicional sobre este tema se ha integrado como tarea prioritaria para el GECT en el próximo trienio (véase el Anexo 1: </w:t>
      </w:r>
      <w:r w:rsidR="00DE1A00" w:rsidRPr="006D3772">
        <w:rPr>
          <w:rFonts w:eastAsia="Calibri"/>
          <w:bCs w:val="0"/>
          <w:lang w:val="es-ES"/>
        </w:rPr>
        <w:t xml:space="preserve">Prioridades </w:t>
      </w:r>
      <w:r w:rsidR="0076211F" w:rsidRPr="006D3772">
        <w:rPr>
          <w:rFonts w:eastAsia="Calibri"/>
          <w:bCs w:val="0"/>
          <w:lang w:val="es-ES"/>
        </w:rPr>
        <w:t xml:space="preserve">del GECT para </w:t>
      </w:r>
      <w:r w:rsidR="00DE1A00" w:rsidRPr="006D3772">
        <w:rPr>
          <w:rFonts w:eastAsia="Calibri"/>
          <w:bCs w:val="0"/>
          <w:lang w:val="es-ES"/>
        </w:rPr>
        <w:t xml:space="preserve">el período </w:t>
      </w:r>
      <w:r w:rsidR="0076211F" w:rsidRPr="006D3772">
        <w:rPr>
          <w:rFonts w:eastAsia="Calibri"/>
          <w:bCs w:val="0"/>
          <w:lang w:val="es-ES"/>
        </w:rPr>
        <w:t xml:space="preserve">2026-2028). Se invita a los miembros del Comité Permanente a aportar comentarios sobre las recomendaciones </w:t>
      </w:r>
      <w:r w:rsidR="00F36E27" w:rsidRPr="006D3772">
        <w:rPr>
          <w:rFonts w:eastAsia="Calibri"/>
          <w:bCs w:val="0"/>
          <w:lang w:val="es-ES"/>
        </w:rPr>
        <w:t>propuestas</w:t>
      </w:r>
      <w:r w:rsidR="0076211F" w:rsidRPr="006D3772">
        <w:rPr>
          <w:rFonts w:eastAsia="Calibri"/>
          <w:bCs w:val="0"/>
          <w:lang w:val="es-ES"/>
        </w:rPr>
        <w:t xml:space="preserve"> en </w:t>
      </w:r>
      <w:r w:rsidR="00DD05DA" w:rsidRPr="006D3772">
        <w:rPr>
          <w:rFonts w:eastAsia="Calibri"/>
          <w:bCs w:val="0"/>
          <w:lang w:val="es-ES"/>
        </w:rPr>
        <w:t xml:space="preserve">el documento de análisis inicial </w:t>
      </w:r>
      <w:r w:rsidR="0076211F" w:rsidRPr="006D3772">
        <w:rPr>
          <w:rFonts w:eastAsia="Calibri"/>
          <w:bCs w:val="0"/>
          <w:lang w:val="es-ES"/>
        </w:rPr>
        <w:t xml:space="preserve">para ayudar a garantizar que el examen propuesto de los </w:t>
      </w:r>
      <w:r w:rsidR="00DD05DA" w:rsidRPr="006D3772">
        <w:rPr>
          <w:rFonts w:eastAsia="Calibri"/>
          <w:bCs w:val="0"/>
          <w:lang w:val="es-ES"/>
        </w:rPr>
        <w:t>instrumentos normativos</w:t>
      </w:r>
      <w:r w:rsidR="0076211F" w:rsidRPr="006D3772">
        <w:rPr>
          <w:rFonts w:eastAsia="Calibri"/>
          <w:bCs w:val="0"/>
          <w:lang w:val="es-ES"/>
        </w:rPr>
        <w:t xml:space="preserve"> </w:t>
      </w:r>
      <w:r w:rsidR="00DD05DA" w:rsidRPr="006D3772">
        <w:rPr>
          <w:rFonts w:eastAsia="Calibri"/>
          <w:bCs w:val="0"/>
          <w:lang w:val="es-ES"/>
        </w:rPr>
        <w:t>contribuya</w:t>
      </w:r>
      <w:r w:rsidR="0076211F" w:rsidRPr="006D3772">
        <w:rPr>
          <w:rFonts w:eastAsia="Calibri"/>
          <w:bCs w:val="0"/>
          <w:lang w:val="es-ES"/>
        </w:rPr>
        <w:t xml:space="preserve"> eficazmente la aplicación de la Convención.</w:t>
      </w:r>
    </w:p>
    <w:p w14:paraId="2E7370B4" w14:textId="77777777" w:rsidR="0075379B" w:rsidRPr="006D3772" w:rsidRDefault="0075379B" w:rsidP="0075379B">
      <w:pPr>
        <w:rPr>
          <w:rFonts w:eastAsia="Calibri"/>
          <w:bCs w:val="0"/>
          <w:lang w:val="es-ES"/>
        </w:rPr>
      </w:pPr>
    </w:p>
    <w:p w14:paraId="5C7D7D13" w14:textId="6815DBA9" w:rsidR="0076211F" w:rsidRPr="006D3772" w:rsidRDefault="0076211F" w:rsidP="009F39FC">
      <w:pPr>
        <w:rPr>
          <w:b/>
          <w:bCs w:val="0"/>
          <w:lang w:val="es-ES" w:eastAsia="zh-CN"/>
        </w:rPr>
      </w:pPr>
      <w:r w:rsidRPr="006D3772">
        <w:rPr>
          <w:b/>
          <w:bCs w:val="0"/>
          <w:lang w:val="es-ES" w:eastAsia="zh-CN"/>
        </w:rPr>
        <w:t>Proyectos de resolución presentados a la 64ª reunión del Comité Permanente (SC6</w:t>
      </w:r>
      <w:r w:rsidR="00F36E27" w:rsidRPr="006D3772">
        <w:rPr>
          <w:b/>
          <w:bCs w:val="0"/>
          <w:lang w:val="es-ES" w:eastAsia="zh-CN"/>
        </w:rPr>
        <w:t>4</w:t>
      </w:r>
      <w:r w:rsidRPr="006D3772">
        <w:rPr>
          <w:b/>
          <w:bCs w:val="0"/>
          <w:lang w:val="es-ES" w:eastAsia="zh-CN"/>
        </w:rPr>
        <w:t>)</w:t>
      </w:r>
    </w:p>
    <w:p w14:paraId="20AE8896" w14:textId="77777777" w:rsidR="009F39FC" w:rsidRPr="006D3772" w:rsidRDefault="009F39FC" w:rsidP="009F39FC">
      <w:pPr>
        <w:rPr>
          <w:lang w:val="es-ES" w:eastAsia="zh-CN"/>
        </w:rPr>
      </w:pPr>
    </w:p>
    <w:p w14:paraId="1791140A" w14:textId="525B5732" w:rsidR="0076211F" w:rsidRPr="006D3772" w:rsidRDefault="00F319AD" w:rsidP="009F39FC">
      <w:pPr>
        <w:ind w:left="432" w:hanging="432"/>
        <w:rPr>
          <w:rFonts w:eastAsia="Calibri"/>
          <w:lang w:val="es-ES"/>
        </w:rPr>
      </w:pPr>
      <w:r w:rsidRPr="006D3772">
        <w:rPr>
          <w:rFonts w:eastAsia="Calibri"/>
          <w:lang w:val="es-ES"/>
        </w:rPr>
        <w:t>2</w:t>
      </w:r>
      <w:r w:rsidR="006C4877">
        <w:rPr>
          <w:rFonts w:eastAsia="Calibri"/>
          <w:lang w:val="es-ES"/>
        </w:rPr>
        <w:t>2</w:t>
      </w:r>
      <w:r w:rsidRPr="006D3772">
        <w:rPr>
          <w:rFonts w:eastAsia="Calibri"/>
          <w:lang w:val="es-ES"/>
        </w:rPr>
        <w:t>.</w:t>
      </w:r>
      <w:r w:rsidRPr="006D3772">
        <w:rPr>
          <w:rFonts w:eastAsia="Calibri"/>
          <w:lang w:val="es-ES"/>
        </w:rPr>
        <w:tab/>
      </w:r>
      <w:r w:rsidR="0076211F" w:rsidRPr="006D3772">
        <w:rPr>
          <w:rFonts w:eastAsia="Calibri"/>
          <w:lang w:val="es-ES"/>
        </w:rPr>
        <w:t xml:space="preserve">En preparación </w:t>
      </w:r>
      <w:r w:rsidR="000E671D" w:rsidRPr="006D3772">
        <w:rPr>
          <w:rFonts w:eastAsia="Calibri"/>
          <w:lang w:val="es-ES"/>
        </w:rPr>
        <w:t>de</w:t>
      </w:r>
      <w:r w:rsidR="0076211F" w:rsidRPr="006D3772">
        <w:rPr>
          <w:rFonts w:eastAsia="Calibri"/>
          <w:lang w:val="es-ES"/>
        </w:rPr>
        <w:t xml:space="preserve"> la 64ª reunión del Comité Permanente (SC64), el GECT ha presentado tres proyectos de resolución para su </w:t>
      </w:r>
      <w:r w:rsidR="000E671D" w:rsidRPr="006D3772">
        <w:rPr>
          <w:rFonts w:eastAsia="Calibri"/>
          <w:lang w:val="es-ES"/>
        </w:rPr>
        <w:t>examen</w:t>
      </w:r>
      <w:r w:rsidR="0076211F" w:rsidRPr="006D3772">
        <w:rPr>
          <w:rFonts w:eastAsia="Calibri"/>
          <w:lang w:val="es-ES"/>
        </w:rPr>
        <w:t xml:space="preserve"> en la 15ª reunión de la Conferencia de las Partes Contratantes (COP15):</w:t>
      </w:r>
    </w:p>
    <w:p w14:paraId="2E9BD44A" w14:textId="32BD997A" w:rsidR="009F39FC" w:rsidRPr="006D3772" w:rsidRDefault="009F39FC" w:rsidP="009F39FC">
      <w:pPr>
        <w:ind w:left="432" w:hanging="432"/>
        <w:rPr>
          <w:rFonts w:eastAsia="Calibri"/>
          <w:bCs w:val="0"/>
          <w:lang w:val="es-ES"/>
        </w:rPr>
      </w:pPr>
    </w:p>
    <w:p w14:paraId="2B2BDC5F" w14:textId="55F0CD7B" w:rsidR="009F39FC" w:rsidRPr="006D3772" w:rsidRDefault="00F319AD" w:rsidP="009F39FC">
      <w:pPr>
        <w:ind w:left="900" w:hanging="450"/>
        <w:rPr>
          <w:rFonts w:eastAsia="Calibri"/>
          <w:bCs w:val="0"/>
          <w:lang w:val="es-ES"/>
        </w:rPr>
      </w:pPr>
      <w:r w:rsidRPr="006D3772">
        <w:rPr>
          <w:rFonts w:eastAsia="Calibri"/>
          <w:bCs w:val="0"/>
          <w:lang w:val="es-ES"/>
        </w:rPr>
        <w:t>(a)</w:t>
      </w:r>
      <w:r w:rsidRPr="006D3772">
        <w:rPr>
          <w:rFonts w:eastAsia="Calibri"/>
          <w:bCs w:val="0"/>
          <w:lang w:val="es-ES"/>
        </w:rPr>
        <w:tab/>
      </w:r>
      <w:bookmarkStart w:id="2" w:name="_Hlk182227624"/>
      <w:r w:rsidR="00DB5645" w:rsidRPr="006D3772">
        <w:rPr>
          <w:rFonts w:eastAsia="Calibri"/>
          <w:b/>
          <w:lang w:val="es-ES"/>
        </w:rPr>
        <w:t>SC6</w:t>
      </w:r>
      <w:r w:rsidR="000E671D" w:rsidRPr="006D3772">
        <w:rPr>
          <w:rFonts w:eastAsia="Calibri"/>
          <w:b/>
          <w:lang w:val="es-ES"/>
        </w:rPr>
        <w:t>4</w:t>
      </w:r>
      <w:r w:rsidR="006D3772" w:rsidRPr="006D3772">
        <w:rPr>
          <w:rFonts w:eastAsia="Calibri"/>
          <w:b/>
          <w:lang w:val="es-ES"/>
        </w:rPr>
        <w:t xml:space="preserve"> Doc.</w:t>
      </w:r>
      <w:r w:rsidR="00DB5645" w:rsidRPr="006D3772">
        <w:rPr>
          <w:rFonts w:eastAsia="Calibri"/>
          <w:b/>
          <w:lang w:val="es-ES"/>
        </w:rPr>
        <w:t>19</w:t>
      </w:r>
      <w:bookmarkEnd w:id="2"/>
      <w:r w:rsidR="00DB5645" w:rsidRPr="006D3772">
        <w:rPr>
          <w:rFonts w:eastAsia="Calibri"/>
          <w:b/>
          <w:lang w:val="es-ES"/>
        </w:rPr>
        <w:t xml:space="preserve">: Propuesta de proyecto de resolución sobre la aplicación </w:t>
      </w:r>
      <w:r w:rsidR="000E671D" w:rsidRPr="006D3772">
        <w:rPr>
          <w:rFonts w:eastAsia="Calibri"/>
          <w:b/>
          <w:lang w:val="es-ES"/>
        </w:rPr>
        <w:t xml:space="preserve">futura </w:t>
      </w:r>
      <w:r w:rsidR="00DB5645" w:rsidRPr="006D3772">
        <w:rPr>
          <w:rFonts w:eastAsia="Calibri"/>
          <w:b/>
          <w:lang w:val="es-ES"/>
        </w:rPr>
        <w:t>de los aspectos científicos y técnicos de la Convención para 2026-2028.</w:t>
      </w:r>
    </w:p>
    <w:p w14:paraId="0759F6EB" w14:textId="45897657" w:rsidR="00DB5645" w:rsidRPr="006D3772" w:rsidRDefault="004B209D" w:rsidP="009F39FC">
      <w:pPr>
        <w:ind w:left="900"/>
        <w:rPr>
          <w:lang w:val="es-ES"/>
        </w:rPr>
      </w:pPr>
      <w:r w:rsidRPr="006D3772">
        <w:rPr>
          <w:lang w:val="es-ES"/>
        </w:rPr>
        <w:t>Con el fin de</w:t>
      </w:r>
      <w:r w:rsidR="00DB5645" w:rsidRPr="006D3772">
        <w:rPr>
          <w:lang w:val="es-ES"/>
        </w:rPr>
        <w:t xml:space="preserve"> mantener la continuidad y garantizar </w:t>
      </w:r>
      <w:r w:rsidR="00EE308F" w:rsidRPr="006D3772">
        <w:rPr>
          <w:lang w:val="es-ES"/>
        </w:rPr>
        <w:t>la</w:t>
      </w:r>
      <w:r w:rsidR="00DB5645" w:rsidRPr="006D3772">
        <w:rPr>
          <w:lang w:val="es-ES"/>
        </w:rPr>
        <w:t xml:space="preserve"> </w:t>
      </w:r>
      <w:r w:rsidR="00EE308F" w:rsidRPr="006D3772">
        <w:rPr>
          <w:lang w:val="es-ES"/>
        </w:rPr>
        <w:t xml:space="preserve">coherencia del </w:t>
      </w:r>
      <w:r w:rsidR="00DB5645" w:rsidRPr="006D3772">
        <w:rPr>
          <w:lang w:val="es-ES"/>
        </w:rPr>
        <w:t xml:space="preserve">enfoque, se han conservado las </w:t>
      </w:r>
      <w:r w:rsidR="00D10FC7" w:rsidRPr="006D3772">
        <w:rPr>
          <w:lang w:val="es-ES"/>
        </w:rPr>
        <w:t>áreas temáticas de trabajo</w:t>
      </w:r>
      <w:r w:rsidR="00DB5645" w:rsidRPr="006D3772">
        <w:rPr>
          <w:lang w:val="es-ES"/>
        </w:rPr>
        <w:t xml:space="preserve"> (A</w:t>
      </w:r>
      <w:r w:rsidR="00153FD9" w:rsidRPr="006D3772">
        <w:rPr>
          <w:lang w:val="es-ES"/>
        </w:rPr>
        <w:t>T</w:t>
      </w:r>
      <w:r w:rsidR="00DB5645" w:rsidRPr="006D3772">
        <w:rPr>
          <w:lang w:val="es-ES"/>
        </w:rPr>
        <w:t xml:space="preserve">T) del trienio anterior. El GECT ha </w:t>
      </w:r>
      <w:r w:rsidR="000E671D" w:rsidRPr="006D3772">
        <w:rPr>
          <w:lang w:val="es-ES"/>
        </w:rPr>
        <w:t>definido</w:t>
      </w:r>
      <w:r w:rsidR="00DB5645" w:rsidRPr="006D3772">
        <w:rPr>
          <w:lang w:val="es-ES"/>
        </w:rPr>
        <w:t xml:space="preserve"> </w:t>
      </w:r>
      <w:r w:rsidR="00DB5645" w:rsidRPr="006D3772">
        <w:rPr>
          <w:lang w:val="es-ES"/>
        </w:rPr>
        <w:lastRenderedPageBreak/>
        <w:t xml:space="preserve">varias prioridades científicas y técnicas emergentes que requieren consideración y acción. Estas prioridades incluyen la mejora del seguimiento </w:t>
      </w:r>
      <w:r w:rsidR="000E671D" w:rsidRPr="006D3772">
        <w:rPr>
          <w:lang w:val="es-ES"/>
        </w:rPr>
        <w:t xml:space="preserve">de las características ecológicas de los Humedales de Importancia Internacional </w:t>
      </w:r>
      <w:r w:rsidR="00DB5645" w:rsidRPr="006D3772">
        <w:rPr>
          <w:lang w:val="es-ES"/>
        </w:rPr>
        <w:t xml:space="preserve">y la presentación de informes </w:t>
      </w:r>
      <w:r w:rsidR="000E671D" w:rsidRPr="006D3772">
        <w:rPr>
          <w:lang w:val="es-ES"/>
        </w:rPr>
        <w:t>al respecto</w:t>
      </w:r>
      <w:r w:rsidR="00DB5645" w:rsidRPr="006D3772">
        <w:rPr>
          <w:lang w:val="es-ES"/>
        </w:rPr>
        <w:t xml:space="preserve">, </w:t>
      </w:r>
      <w:r w:rsidR="000E671D" w:rsidRPr="006D3772">
        <w:rPr>
          <w:lang w:val="es-ES"/>
        </w:rPr>
        <w:t>los</w:t>
      </w:r>
      <w:r w:rsidR="00DB5645" w:rsidRPr="006D3772">
        <w:rPr>
          <w:lang w:val="es-ES"/>
        </w:rPr>
        <w:t xml:space="preserve"> avance</w:t>
      </w:r>
      <w:r w:rsidR="000E671D" w:rsidRPr="006D3772">
        <w:rPr>
          <w:lang w:val="es-ES"/>
        </w:rPr>
        <w:t xml:space="preserve">s en las </w:t>
      </w:r>
      <w:r w:rsidR="00DB5645" w:rsidRPr="006D3772">
        <w:rPr>
          <w:lang w:val="es-ES"/>
        </w:rPr>
        <w:t xml:space="preserve">herramientas de </w:t>
      </w:r>
      <w:r w:rsidR="000E671D" w:rsidRPr="006D3772">
        <w:rPr>
          <w:lang w:val="es-ES"/>
        </w:rPr>
        <w:t>cartografía</w:t>
      </w:r>
      <w:r w:rsidR="00EE308F" w:rsidRPr="006D3772">
        <w:rPr>
          <w:lang w:val="es-ES"/>
        </w:rPr>
        <w:t xml:space="preserve"> </w:t>
      </w:r>
      <w:r w:rsidR="00DB5645" w:rsidRPr="006D3772">
        <w:rPr>
          <w:lang w:val="es-ES"/>
        </w:rPr>
        <w:t xml:space="preserve">e inventario de humedales, la evaluación de </w:t>
      </w:r>
      <w:r w:rsidR="001B089B" w:rsidRPr="006D3772">
        <w:rPr>
          <w:lang w:val="es-ES"/>
        </w:rPr>
        <w:t>los impactos de las</w:t>
      </w:r>
      <w:r w:rsidR="00DB5645" w:rsidRPr="006D3772">
        <w:rPr>
          <w:lang w:val="es-ES"/>
        </w:rPr>
        <w:t xml:space="preserve"> floraciones de algas nocivas y los incendios de humedales, y la preparación de la próxima Perspectiva Mundial sobre los Humedales. </w:t>
      </w:r>
      <w:r w:rsidR="00081018" w:rsidRPr="006D3772">
        <w:rPr>
          <w:lang w:val="es-ES"/>
        </w:rPr>
        <w:t>En el</w:t>
      </w:r>
      <w:r w:rsidR="00DB5645" w:rsidRPr="006D3772">
        <w:rPr>
          <w:lang w:val="es-ES"/>
        </w:rPr>
        <w:t xml:space="preserve"> proyecto de resolución </w:t>
      </w:r>
      <w:r w:rsidR="00081018" w:rsidRPr="006D3772">
        <w:rPr>
          <w:lang w:val="es-ES"/>
        </w:rPr>
        <w:t xml:space="preserve">también se </w:t>
      </w:r>
      <w:r w:rsidR="00DB5645" w:rsidRPr="006D3772">
        <w:rPr>
          <w:lang w:val="es-ES"/>
        </w:rPr>
        <w:t xml:space="preserve">pide a la Secretaría que publique futuras convocatorias de candidaturas de miembros del GECT tras la reunión anual del Comité Permanente </w:t>
      </w:r>
      <w:r w:rsidR="00081018" w:rsidRPr="006D3772">
        <w:rPr>
          <w:lang w:val="es-ES"/>
        </w:rPr>
        <w:t>d</w:t>
      </w:r>
      <w:r w:rsidR="00DB5645" w:rsidRPr="006D3772">
        <w:rPr>
          <w:lang w:val="es-ES"/>
        </w:rPr>
        <w:t xml:space="preserve">el año anterior a cada COP. </w:t>
      </w:r>
      <w:r w:rsidR="00081018" w:rsidRPr="006D3772">
        <w:rPr>
          <w:lang w:val="es-ES"/>
        </w:rPr>
        <w:t xml:space="preserve">Esto permitiría </w:t>
      </w:r>
      <w:r w:rsidR="00DB5645" w:rsidRPr="006D3772">
        <w:rPr>
          <w:lang w:val="es-ES"/>
        </w:rPr>
        <w:t xml:space="preserve">el nombramiento oportuno de </w:t>
      </w:r>
      <w:r w:rsidR="00081018" w:rsidRPr="006D3772">
        <w:rPr>
          <w:lang w:val="es-ES"/>
        </w:rPr>
        <w:t xml:space="preserve">los </w:t>
      </w:r>
      <w:r w:rsidR="00DB5645" w:rsidRPr="006D3772">
        <w:rPr>
          <w:lang w:val="es-ES"/>
        </w:rPr>
        <w:t xml:space="preserve">nuevos miembros del GECT inmediatamente después de la COP, dejando tiempo suficiente </w:t>
      </w:r>
      <w:r w:rsidR="00081018" w:rsidRPr="006D3772">
        <w:rPr>
          <w:lang w:val="es-ES"/>
        </w:rPr>
        <w:t xml:space="preserve">al GECT </w:t>
      </w:r>
      <w:r w:rsidR="00DB5645" w:rsidRPr="006D3772">
        <w:rPr>
          <w:lang w:val="es-ES"/>
        </w:rPr>
        <w:t>para desarroll</w:t>
      </w:r>
      <w:r w:rsidR="00EE308F" w:rsidRPr="006D3772">
        <w:rPr>
          <w:lang w:val="es-ES"/>
        </w:rPr>
        <w:t>ar</w:t>
      </w:r>
      <w:r w:rsidR="00DB5645" w:rsidRPr="006D3772">
        <w:rPr>
          <w:lang w:val="es-ES"/>
        </w:rPr>
        <w:t xml:space="preserve"> y </w:t>
      </w:r>
      <w:r w:rsidR="00081018" w:rsidRPr="006D3772">
        <w:rPr>
          <w:lang w:val="es-ES"/>
        </w:rPr>
        <w:t>ejecutar</w:t>
      </w:r>
      <w:r w:rsidR="00DB5645" w:rsidRPr="006D3772">
        <w:rPr>
          <w:lang w:val="es-ES"/>
        </w:rPr>
        <w:t xml:space="preserve"> su plan de trabajo.</w:t>
      </w:r>
    </w:p>
    <w:p w14:paraId="1EB818DB" w14:textId="77777777" w:rsidR="0039666B" w:rsidRPr="006D3772" w:rsidRDefault="0039666B" w:rsidP="009F39FC">
      <w:pPr>
        <w:ind w:left="900"/>
        <w:rPr>
          <w:rFonts w:eastAsia="Calibri"/>
          <w:bCs w:val="0"/>
          <w:lang w:val="es-ES"/>
        </w:rPr>
      </w:pPr>
    </w:p>
    <w:p w14:paraId="72FC8839" w14:textId="059BDAFF" w:rsidR="00DB5645" w:rsidRPr="006D3772" w:rsidRDefault="00DB5645" w:rsidP="009F39FC">
      <w:pPr>
        <w:ind w:left="900"/>
        <w:rPr>
          <w:rFonts w:eastAsia="Calibri"/>
          <w:bCs w:val="0"/>
          <w:lang w:val="es-ES"/>
        </w:rPr>
      </w:pPr>
      <w:r w:rsidRPr="006D3772">
        <w:rPr>
          <w:rFonts w:eastAsia="Calibri"/>
          <w:bCs w:val="0"/>
          <w:lang w:val="es-ES"/>
        </w:rPr>
        <w:t xml:space="preserve">En el Anexo 1 del presente informe figura una descripción de las </w:t>
      </w:r>
      <w:r w:rsidR="00D10FC7" w:rsidRPr="006D3772">
        <w:rPr>
          <w:rFonts w:eastAsia="Calibri"/>
          <w:bCs w:val="0"/>
          <w:lang w:val="es-ES"/>
        </w:rPr>
        <w:t>áreas temáticas de trabajo</w:t>
      </w:r>
      <w:r w:rsidRPr="006D3772">
        <w:rPr>
          <w:rFonts w:eastAsia="Calibri"/>
          <w:bCs w:val="0"/>
          <w:lang w:val="es-ES"/>
        </w:rPr>
        <w:t xml:space="preserve"> y tareas propuestas </w:t>
      </w:r>
      <w:r w:rsidR="004C3097">
        <w:rPr>
          <w:rFonts w:eastAsia="Calibri"/>
          <w:bCs w:val="0"/>
          <w:lang w:val="es-ES"/>
        </w:rPr>
        <w:t>para el</w:t>
      </w:r>
      <w:r w:rsidRPr="006D3772">
        <w:rPr>
          <w:rFonts w:eastAsia="Calibri"/>
          <w:bCs w:val="0"/>
          <w:lang w:val="es-ES"/>
        </w:rPr>
        <w:t xml:space="preserve"> plan de trabajo del GECT 2026-2028, </w:t>
      </w:r>
      <w:r w:rsidR="00EE308F" w:rsidRPr="006D3772">
        <w:rPr>
          <w:rFonts w:eastAsia="Calibri"/>
          <w:bCs w:val="0"/>
          <w:lang w:val="es-ES"/>
        </w:rPr>
        <w:t xml:space="preserve">a fin de respaldar </w:t>
      </w:r>
      <w:r w:rsidRPr="006D3772">
        <w:rPr>
          <w:rFonts w:eastAsia="Calibri"/>
          <w:bCs w:val="0"/>
          <w:lang w:val="es-ES"/>
        </w:rPr>
        <w:t>el proyecto de resolución.</w:t>
      </w:r>
    </w:p>
    <w:p w14:paraId="62A6D8A9" w14:textId="7BFD5D61" w:rsidR="0022105A" w:rsidRPr="006D3772" w:rsidRDefault="0022105A" w:rsidP="009F39FC">
      <w:pPr>
        <w:ind w:left="432" w:hanging="432"/>
        <w:rPr>
          <w:rFonts w:eastAsia="Calibri"/>
          <w:bCs w:val="0"/>
          <w:lang w:val="es-ES"/>
        </w:rPr>
      </w:pPr>
    </w:p>
    <w:p w14:paraId="69CD5A73" w14:textId="1590D30F" w:rsidR="00DB5645" w:rsidRPr="006D3772" w:rsidRDefault="00F319AD" w:rsidP="009F39FC">
      <w:pPr>
        <w:ind w:left="900" w:hanging="450"/>
        <w:rPr>
          <w:rFonts w:eastAsia="Calibri"/>
          <w:bCs w:val="0"/>
          <w:lang w:val="es-ES"/>
        </w:rPr>
      </w:pPr>
      <w:r w:rsidRPr="006D3772">
        <w:rPr>
          <w:rFonts w:eastAsia="Calibri"/>
          <w:bCs w:val="0"/>
          <w:lang w:val="es-ES"/>
        </w:rPr>
        <w:t>(b)</w:t>
      </w:r>
      <w:r w:rsidRPr="006D3772">
        <w:rPr>
          <w:rFonts w:eastAsia="Calibri"/>
          <w:bCs w:val="0"/>
          <w:lang w:val="es-ES"/>
        </w:rPr>
        <w:tab/>
      </w:r>
      <w:bookmarkStart w:id="3" w:name="_Hlk182227634"/>
      <w:r w:rsidR="00DB5645" w:rsidRPr="006D3772">
        <w:rPr>
          <w:rFonts w:eastAsia="Calibri"/>
          <w:b/>
          <w:lang w:val="es-ES"/>
        </w:rPr>
        <w:t>SC6</w:t>
      </w:r>
      <w:r w:rsidR="00054577" w:rsidRPr="006D3772">
        <w:rPr>
          <w:rFonts w:eastAsia="Calibri"/>
          <w:b/>
          <w:lang w:val="es-ES"/>
        </w:rPr>
        <w:t>4</w:t>
      </w:r>
      <w:r w:rsidR="006D3772" w:rsidRPr="006D3772">
        <w:rPr>
          <w:rFonts w:eastAsia="Calibri"/>
          <w:b/>
          <w:lang w:val="es-ES"/>
        </w:rPr>
        <w:t xml:space="preserve"> Doc.</w:t>
      </w:r>
      <w:r w:rsidR="00DB5645" w:rsidRPr="006D3772">
        <w:rPr>
          <w:rFonts w:eastAsia="Calibri"/>
          <w:b/>
          <w:lang w:val="es-ES"/>
        </w:rPr>
        <w:t>2</w:t>
      </w:r>
      <w:r w:rsidR="006D3772" w:rsidRPr="006D3772">
        <w:rPr>
          <w:rFonts w:eastAsia="Calibri"/>
          <w:b/>
          <w:lang w:val="es-ES"/>
        </w:rPr>
        <w:t>1</w:t>
      </w:r>
      <w:bookmarkEnd w:id="3"/>
      <w:r w:rsidR="00DB5645" w:rsidRPr="006D3772">
        <w:rPr>
          <w:rFonts w:eastAsia="Calibri"/>
          <w:b/>
          <w:lang w:val="es-ES"/>
        </w:rPr>
        <w:t xml:space="preserve">: </w:t>
      </w:r>
      <w:r w:rsidR="00054577" w:rsidRPr="006D3772">
        <w:rPr>
          <w:rFonts w:eastAsia="Calibri"/>
          <w:b/>
          <w:lang w:val="es-ES"/>
        </w:rPr>
        <w:t>Propuesta de p</w:t>
      </w:r>
      <w:r w:rsidR="00DB5645" w:rsidRPr="006D3772">
        <w:rPr>
          <w:rFonts w:eastAsia="Calibri"/>
          <w:b/>
          <w:lang w:val="es-ES"/>
        </w:rPr>
        <w:t>royecto de resolución sobre la aplicación de los Criterios 6 y 9 a los Humedales de Importancia Internacional nuevos y existentes.</w:t>
      </w:r>
    </w:p>
    <w:p w14:paraId="0B39F802" w14:textId="472D8288" w:rsidR="00DB5645" w:rsidRPr="006D3772" w:rsidRDefault="00DB5645" w:rsidP="009F39FC">
      <w:pPr>
        <w:ind w:left="900"/>
        <w:rPr>
          <w:rFonts w:eastAsia="Calibri"/>
          <w:bCs w:val="0"/>
          <w:lang w:val="es-ES"/>
        </w:rPr>
      </w:pPr>
      <w:r w:rsidRPr="006D3772">
        <w:rPr>
          <w:rFonts w:eastAsia="Calibri"/>
          <w:bCs w:val="0"/>
          <w:lang w:val="es-ES"/>
        </w:rPr>
        <w:t xml:space="preserve">Sobre la base de las enmiendas al Marco Estratégico introducidas </w:t>
      </w:r>
      <w:r w:rsidR="004B209D" w:rsidRPr="006D3772">
        <w:rPr>
          <w:rFonts w:eastAsia="Calibri"/>
          <w:bCs w:val="0"/>
          <w:lang w:val="es-ES"/>
        </w:rPr>
        <w:t>con</w:t>
      </w:r>
      <w:r w:rsidRPr="006D3772">
        <w:rPr>
          <w:rFonts w:eastAsia="Calibri"/>
          <w:bCs w:val="0"/>
          <w:lang w:val="es-ES"/>
        </w:rPr>
        <w:t xml:space="preserve"> la Resolución XIV.18, este proyecto de resolución aborda cuestiones pendientes que no </w:t>
      </w:r>
      <w:r w:rsidR="004B209D" w:rsidRPr="006D3772">
        <w:rPr>
          <w:rFonts w:eastAsia="Calibri"/>
          <w:bCs w:val="0"/>
          <w:lang w:val="es-ES"/>
        </w:rPr>
        <w:t xml:space="preserve">fueron plenamente </w:t>
      </w:r>
      <w:r w:rsidRPr="006D3772">
        <w:rPr>
          <w:rFonts w:eastAsia="Calibri"/>
          <w:bCs w:val="0"/>
          <w:lang w:val="es-ES"/>
        </w:rPr>
        <w:t>examina</w:t>
      </w:r>
      <w:r w:rsidR="004B209D" w:rsidRPr="006D3772">
        <w:rPr>
          <w:rFonts w:eastAsia="Calibri"/>
          <w:bCs w:val="0"/>
          <w:lang w:val="es-ES"/>
        </w:rPr>
        <w:t>das</w:t>
      </w:r>
      <w:r w:rsidRPr="006D3772">
        <w:rPr>
          <w:rFonts w:eastAsia="Calibri"/>
          <w:bCs w:val="0"/>
          <w:lang w:val="es-ES"/>
        </w:rPr>
        <w:t xml:space="preserve"> durante la COP14. En concreto, </w:t>
      </w:r>
      <w:r w:rsidR="004B209D" w:rsidRPr="006D3772">
        <w:rPr>
          <w:rFonts w:eastAsia="Calibri"/>
          <w:bCs w:val="0"/>
          <w:lang w:val="es-ES"/>
        </w:rPr>
        <w:t xml:space="preserve">especifica </w:t>
      </w:r>
      <w:r w:rsidRPr="006D3772">
        <w:rPr>
          <w:rFonts w:eastAsia="Calibri"/>
          <w:bCs w:val="0"/>
          <w:lang w:val="es-ES"/>
        </w:rPr>
        <w:t xml:space="preserve">cuándo y cómo las Partes Contratantes pueden utilizar estimaciones de población alternativas y aborda aspectos relacionados con el Criterio 5, como las referencias cruzadas al Criterio 6. Además, la resolución introduce enmiendas al Marco Estratégico relacionadas con el Criterio 9, que se refiere a las especies </w:t>
      </w:r>
      <w:r w:rsidR="00054577" w:rsidRPr="006D3772">
        <w:rPr>
          <w:rFonts w:eastAsia="Calibri"/>
          <w:bCs w:val="0"/>
          <w:lang w:val="es-ES"/>
        </w:rPr>
        <w:t>de fauna</w:t>
      </w:r>
      <w:r w:rsidRPr="006D3772">
        <w:rPr>
          <w:rFonts w:eastAsia="Calibri"/>
          <w:bCs w:val="0"/>
          <w:lang w:val="es-ES"/>
        </w:rPr>
        <w:t xml:space="preserve"> no aviarias </w:t>
      </w:r>
      <w:r w:rsidR="00054577" w:rsidRPr="006D3772">
        <w:rPr>
          <w:rFonts w:eastAsia="Calibri"/>
          <w:bCs w:val="0"/>
          <w:lang w:val="es-ES"/>
        </w:rPr>
        <w:t>que dependen</w:t>
      </w:r>
      <w:r w:rsidRPr="006D3772">
        <w:rPr>
          <w:rFonts w:eastAsia="Calibri"/>
          <w:bCs w:val="0"/>
          <w:lang w:val="es-ES"/>
        </w:rPr>
        <w:t xml:space="preserve"> de los humedales, facilitando así la designación de Humedales de Importancia Internacional </w:t>
      </w:r>
      <w:r w:rsidR="00054577" w:rsidRPr="006D3772">
        <w:rPr>
          <w:rFonts w:eastAsia="Calibri"/>
          <w:bCs w:val="0"/>
          <w:lang w:val="es-ES"/>
        </w:rPr>
        <w:t>utilizando</w:t>
      </w:r>
      <w:r w:rsidRPr="006D3772">
        <w:rPr>
          <w:rFonts w:eastAsia="Calibri"/>
          <w:bCs w:val="0"/>
          <w:lang w:val="es-ES"/>
        </w:rPr>
        <w:t xml:space="preserve"> este criterio. Las enmiendas propuestas al Marco Estratégico y l</w:t>
      </w:r>
      <w:r w:rsidR="00054577" w:rsidRPr="006D3772">
        <w:rPr>
          <w:rFonts w:eastAsia="Calibri"/>
          <w:bCs w:val="0"/>
          <w:lang w:val="es-ES"/>
        </w:rPr>
        <w:t xml:space="preserve">os lineamientos </w:t>
      </w:r>
      <w:r w:rsidRPr="006D3772">
        <w:rPr>
          <w:rFonts w:eastAsia="Calibri"/>
          <w:bCs w:val="0"/>
          <w:lang w:val="es-ES"/>
        </w:rPr>
        <w:t xml:space="preserve">para el desarrollo </w:t>
      </w:r>
      <w:r w:rsidR="00054577" w:rsidRPr="006D3772">
        <w:rPr>
          <w:rFonts w:eastAsia="Calibri"/>
          <w:bCs w:val="0"/>
          <w:lang w:val="es-ES"/>
        </w:rPr>
        <w:t xml:space="preserve">futuro </w:t>
      </w:r>
      <w:r w:rsidRPr="006D3772">
        <w:rPr>
          <w:rFonts w:eastAsia="Calibri"/>
          <w:bCs w:val="0"/>
          <w:lang w:val="es-ES"/>
        </w:rPr>
        <w:t xml:space="preserve">de la Lista de Humedales de Importancia Internacional se detallan en los </w:t>
      </w:r>
      <w:r w:rsidR="00054577" w:rsidRPr="006D3772">
        <w:rPr>
          <w:rFonts w:eastAsia="Calibri"/>
          <w:bCs w:val="0"/>
          <w:lang w:val="es-ES"/>
        </w:rPr>
        <w:t>a</w:t>
      </w:r>
      <w:r w:rsidRPr="006D3772">
        <w:rPr>
          <w:rFonts w:eastAsia="Calibri"/>
          <w:bCs w:val="0"/>
          <w:lang w:val="es-ES"/>
        </w:rPr>
        <w:t>nexos 1 y 2 del proyecto de resolución.</w:t>
      </w:r>
    </w:p>
    <w:p w14:paraId="01B06FAF" w14:textId="77777777" w:rsidR="009F39FC" w:rsidRPr="006D3772" w:rsidRDefault="009F39FC" w:rsidP="009F39FC">
      <w:pPr>
        <w:ind w:left="432" w:hanging="432"/>
        <w:rPr>
          <w:rFonts w:eastAsia="Calibri"/>
          <w:bCs w:val="0"/>
          <w:lang w:val="es-ES"/>
        </w:rPr>
      </w:pPr>
    </w:p>
    <w:p w14:paraId="1304C0AB" w14:textId="2D22203F" w:rsidR="00226DCD" w:rsidRPr="006D3772" w:rsidRDefault="00F319AD" w:rsidP="00226DCD">
      <w:pPr>
        <w:ind w:left="900" w:hanging="450"/>
        <w:rPr>
          <w:rFonts w:eastAsia="Calibri"/>
          <w:b/>
          <w:lang w:val="es-ES"/>
        </w:rPr>
      </w:pPr>
      <w:r w:rsidRPr="006D3772">
        <w:rPr>
          <w:rFonts w:eastAsia="Calibri"/>
          <w:bCs w:val="0"/>
          <w:lang w:val="es-ES"/>
        </w:rPr>
        <w:t>(c)</w:t>
      </w:r>
      <w:r w:rsidRPr="006D3772">
        <w:rPr>
          <w:rFonts w:eastAsia="Calibri"/>
          <w:bCs w:val="0"/>
          <w:lang w:val="es-ES"/>
        </w:rPr>
        <w:tab/>
      </w:r>
      <w:bookmarkStart w:id="4" w:name="_Hlk182227650"/>
      <w:r w:rsidR="00226DCD" w:rsidRPr="006D3772">
        <w:rPr>
          <w:rFonts w:eastAsia="Calibri"/>
          <w:b/>
          <w:lang w:val="es-ES"/>
        </w:rPr>
        <w:t>SC6</w:t>
      </w:r>
      <w:r w:rsidR="00C57705" w:rsidRPr="006D3772">
        <w:rPr>
          <w:rFonts w:eastAsia="Calibri"/>
          <w:b/>
          <w:lang w:val="es-ES"/>
        </w:rPr>
        <w:t>4</w:t>
      </w:r>
      <w:r w:rsidR="006D3772" w:rsidRPr="006D3772">
        <w:rPr>
          <w:rFonts w:eastAsia="Calibri"/>
          <w:b/>
          <w:lang w:val="es-ES"/>
        </w:rPr>
        <w:t xml:space="preserve"> Doc.</w:t>
      </w:r>
      <w:r w:rsidR="00226DCD" w:rsidRPr="006D3772">
        <w:rPr>
          <w:rFonts w:eastAsia="Calibri"/>
          <w:b/>
          <w:lang w:val="es-ES"/>
        </w:rPr>
        <w:t>2</w:t>
      </w:r>
      <w:r w:rsidR="006D3772" w:rsidRPr="006D3772">
        <w:rPr>
          <w:rFonts w:eastAsia="Calibri"/>
          <w:b/>
          <w:lang w:val="es-ES"/>
        </w:rPr>
        <w:t>0</w:t>
      </w:r>
      <w:bookmarkEnd w:id="4"/>
      <w:r w:rsidR="00226DCD" w:rsidRPr="006D3772">
        <w:rPr>
          <w:rFonts w:eastAsia="Calibri"/>
          <w:b/>
          <w:lang w:val="es-ES"/>
        </w:rPr>
        <w:t xml:space="preserve">: Propuesta de proyecto de resolución sobre el establecimiento de la Alianza para las </w:t>
      </w:r>
      <w:r w:rsidR="00054577" w:rsidRPr="006D3772">
        <w:rPr>
          <w:rFonts w:eastAsia="Calibri"/>
          <w:b/>
          <w:lang w:val="es-ES"/>
        </w:rPr>
        <w:t>E</w:t>
      </w:r>
      <w:r w:rsidR="00226DCD" w:rsidRPr="006D3772">
        <w:rPr>
          <w:rFonts w:eastAsia="Calibri"/>
          <w:b/>
          <w:lang w:val="es-ES"/>
        </w:rPr>
        <w:t xml:space="preserve">stimaciones de </w:t>
      </w:r>
      <w:r w:rsidR="00054577" w:rsidRPr="006D3772">
        <w:rPr>
          <w:rFonts w:eastAsia="Calibri"/>
          <w:b/>
          <w:lang w:val="es-ES"/>
        </w:rPr>
        <w:t>A</w:t>
      </w:r>
      <w:r w:rsidR="00226DCD" w:rsidRPr="006D3772">
        <w:rPr>
          <w:rFonts w:eastAsia="Calibri"/>
          <w:b/>
          <w:lang w:val="es-ES"/>
        </w:rPr>
        <w:t xml:space="preserve">ves </w:t>
      </w:r>
      <w:r w:rsidR="00054577" w:rsidRPr="006D3772">
        <w:rPr>
          <w:rFonts w:eastAsia="Calibri"/>
          <w:b/>
          <w:lang w:val="es-ES"/>
        </w:rPr>
        <w:t>A</w:t>
      </w:r>
      <w:r w:rsidR="00226DCD" w:rsidRPr="006D3772">
        <w:rPr>
          <w:rFonts w:eastAsia="Calibri"/>
          <w:b/>
          <w:lang w:val="es-ES"/>
        </w:rPr>
        <w:t xml:space="preserve">cuáticas y la </w:t>
      </w:r>
      <w:r w:rsidR="00054577" w:rsidRPr="006D3772">
        <w:rPr>
          <w:rFonts w:eastAsia="Calibri"/>
          <w:b/>
          <w:lang w:val="es-ES"/>
        </w:rPr>
        <w:t>publicación</w:t>
      </w:r>
      <w:r w:rsidR="00226DCD" w:rsidRPr="006D3772">
        <w:rPr>
          <w:rFonts w:eastAsia="Calibri"/>
          <w:b/>
          <w:lang w:val="es-ES"/>
        </w:rPr>
        <w:t xml:space="preserve"> de la edición </w:t>
      </w:r>
      <w:r w:rsidR="00054577" w:rsidRPr="006D3772">
        <w:rPr>
          <w:rFonts w:eastAsia="Calibri"/>
          <w:b/>
          <w:lang w:val="es-ES"/>
        </w:rPr>
        <w:t xml:space="preserve">de </w:t>
      </w:r>
      <w:r w:rsidR="00226DCD" w:rsidRPr="006D3772">
        <w:rPr>
          <w:rFonts w:eastAsia="Calibri"/>
          <w:b/>
          <w:lang w:val="es-ES"/>
        </w:rPr>
        <w:t xml:space="preserve">2027 de </w:t>
      </w:r>
      <w:r w:rsidR="006E670C" w:rsidRPr="006D3772">
        <w:rPr>
          <w:rFonts w:eastAsia="Calibri"/>
          <w:b/>
          <w:i/>
          <w:iCs/>
          <w:lang w:val="es-ES"/>
        </w:rPr>
        <w:t>Waterbird Population Estimates</w:t>
      </w:r>
    </w:p>
    <w:p w14:paraId="79B1A9E3" w14:textId="077F9774" w:rsidR="00226DCD" w:rsidRPr="006D3772" w:rsidRDefault="00226DCD" w:rsidP="009F39FC">
      <w:pPr>
        <w:ind w:left="900"/>
        <w:rPr>
          <w:rFonts w:eastAsia="Calibri"/>
          <w:bCs w:val="0"/>
          <w:lang w:val="es-ES"/>
        </w:rPr>
      </w:pPr>
      <w:r w:rsidRPr="006D3772">
        <w:rPr>
          <w:rFonts w:eastAsia="Calibri"/>
          <w:bCs w:val="0"/>
          <w:lang w:val="es-ES"/>
        </w:rPr>
        <w:t xml:space="preserve">El GECT ha preparado un proyecto de resolución que se basa en la propuesta técnica </w:t>
      </w:r>
      <w:r w:rsidR="00D03553" w:rsidRPr="006D3772">
        <w:rPr>
          <w:rFonts w:eastAsia="Calibri"/>
          <w:bCs w:val="0"/>
          <w:lang w:val="es-ES"/>
        </w:rPr>
        <w:t>sobre</w:t>
      </w:r>
      <w:r w:rsidRPr="006D3772">
        <w:rPr>
          <w:rFonts w:eastAsia="Calibri"/>
          <w:bCs w:val="0"/>
          <w:lang w:val="es-ES"/>
        </w:rPr>
        <w:t xml:space="preserve"> la </w:t>
      </w:r>
      <w:r w:rsidR="00D03553" w:rsidRPr="006D3772">
        <w:rPr>
          <w:rFonts w:eastAsia="Calibri"/>
          <w:bCs w:val="0"/>
          <w:lang w:val="es-ES"/>
        </w:rPr>
        <w:t>obtención</w:t>
      </w:r>
      <w:r w:rsidRPr="006D3772">
        <w:rPr>
          <w:rFonts w:eastAsia="Calibri"/>
          <w:bCs w:val="0"/>
          <w:lang w:val="es-ES"/>
        </w:rPr>
        <w:t xml:space="preserve"> de recursos </w:t>
      </w:r>
      <w:r w:rsidR="00D03553" w:rsidRPr="006D3772">
        <w:rPr>
          <w:rFonts w:eastAsia="Calibri"/>
          <w:bCs w:val="0"/>
          <w:lang w:val="es-ES"/>
        </w:rPr>
        <w:t>y la realización de las</w:t>
      </w:r>
      <w:r w:rsidRPr="006D3772">
        <w:rPr>
          <w:rFonts w:eastAsia="Calibri"/>
          <w:bCs w:val="0"/>
          <w:lang w:val="es-ES"/>
        </w:rPr>
        <w:t xml:space="preserve"> actualizaciones de las </w:t>
      </w:r>
      <w:r w:rsidR="006E670C" w:rsidRPr="006D3772">
        <w:rPr>
          <w:rFonts w:eastAsia="Calibri"/>
          <w:bCs w:val="0"/>
          <w:lang w:val="es-ES"/>
        </w:rPr>
        <w:t>e</w:t>
      </w:r>
      <w:r w:rsidRPr="006D3772">
        <w:rPr>
          <w:rFonts w:eastAsia="Calibri"/>
          <w:bCs w:val="0"/>
          <w:lang w:val="es-ES"/>
        </w:rPr>
        <w:t xml:space="preserve">stimaciones de </w:t>
      </w:r>
      <w:r w:rsidR="006E670C" w:rsidRPr="006D3772">
        <w:rPr>
          <w:rFonts w:eastAsia="Calibri"/>
          <w:bCs w:val="0"/>
          <w:lang w:val="es-ES"/>
        </w:rPr>
        <w:t>p</w:t>
      </w:r>
      <w:r w:rsidRPr="006D3772">
        <w:rPr>
          <w:rFonts w:eastAsia="Calibri"/>
          <w:bCs w:val="0"/>
          <w:lang w:val="es-ES"/>
        </w:rPr>
        <w:t>oblaci</w:t>
      </w:r>
      <w:r w:rsidR="006E670C" w:rsidRPr="006D3772">
        <w:rPr>
          <w:rFonts w:eastAsia="Calibri"/>
          <w:bCs w:val="0"/>
          <w:lang w:val="es-ES"/>
        </w:rPr>
        <w:t>ones</w:t>
      </w:r>
      <w:r w:rsidRPr="006D3772">
        <w:rPr>
          <w:rFonts w:eastAsia="Calibri"/>
          <w:bCs w:val="0"/>
          <w:lang w:val="es-ES"/>
        </w:rPr>
        <w:t xml:space="preserve"> de </w:t>
      </w:r>
      <w:r w:rsidR="006E670C" w:rsidRPr="006D3772">
        <w:rPr>
          <w:rFonts w:eastAsia="Calibri"/>
          <w:bCs w:val="0"/>
          <w:lang w:val="es-ES"/>
        </w:rPr>
        <w:t>a</w:t>
      </w:r>
      <w:r w:rsidRPr="006D3772">
        <w:rPr>
          <w:rFonts w:eastAsia="Calibri"/>
          <w:bCs w:val="0"/>
          <w:lang w:val="es-ES"/>
        </w:rPr>
        <w:t xml:space="preserve">ves </w:t>
      </w:r>
      <w:r w:rsidR="006E670C" w:rsidRPr="006D3772">
        <w:rPr>
          <w:rFonts w:eastAsia="Calibri"/>
          <w:bCs w:val="0"/>
          <w:lang w:val="es-ES"/>
        </w:rPr>
        <w:t>a</w:t>
      </w:r>
      <w:r w:rsidRPr="006D3772">
        <w:rPr>
          <w:rFonts w:eastAsia="Calibri"/>
          <w:bCs w:val="0"/>
          <w:lang w:val="es-ES"/>
        </w:rPr>
        <w:t>cuáticas (</w:t>
      </w:r>
      <w:r w:rsidR="00D03553" w:rsidRPr="006D3772">
        <w:rPr>
          <w:rFonts w:eastAsia="Calibri"/>
          <w:bCs w:val="0"/>
          <w:i/>
          <w:iCs/>
          <w:lang w:val="es-ES"/>
        </w:rPr>
        <w:t>Waterbird Population Estimates</w:t>
      </w:r>
      <w:r w:rsidR="00D03553" w:rsidRPr="006D3772">
        <w:rPr>
          <w:rFonts w:eastAsia="Calibri"/>
          <w:bCs w:val="0"/>
          <w:lang w:val="es-ES"/>
        </w:rPr>
        <w:t xml:space="preserve">, </w:t>
      </w:r>
      <w:r w:rsidRPr="006D3772">
        <w:rPr>
          <w:rFonts w:eastAsia="Calibri"/>
          <w:bCs w:val="0"/>
          <w:lang w:val="es-ES"/>
        </w:rPr>
        <w:t>WPE)</w:t>
      </w:r>
      <w:r w:rsidR="00D03553" w:rsidRPr="006D3772">
        <w:rPr>
          <w:rFonts w:eastAsia="Calibri"/>
          <w:bCs w:val="0"/>
          <w:lang w:val="es-ES"/>
        </w:rPr>
        <w:t xml:space="preserve">, </w:t>
      </w:r>
      <w:r w:rsidRPr="006D3772">
        <w:rPr>
          <w:rFonts w:eastAsia="Calibri"/>
          <w:bCs w:val="0"/>
          <w:lang w:val="es-ES"/>
        </w:rPr>
        <w:t xml:space="preserve">presentada </w:t>
      </w:r>
      <w:r w:rsidR="00D03553" w:rsidRPr="006D3772">
        <w:rPr>
          <w:rFonts w:eastAsia="Calibri"/>
          <w:bCs w:val="0"/>
          <w:lang w:val="es-ES"/>
        </w:rPr>
        <w:t>en</w:t>
      </w:r>
      <w:r w:rsidRPr="006D3772">
        <w:rPr>
          <w:rFonts w:eastAsia="Calibri"/>
          <w:bCs w:val="0"/>
          <w:lang w:val="es-ES"/>
        </w:rPr>
        <w:t xml:space="preserve"> la 63ª reunión del Comité Permanente </w:t>
      </w:r>
      <w:r w:rsidR="00D03553" w:rsidRPr="006D3772">
        <w:rPr>
          <w:rFonts w:eastAsia="Calibri"/>
          <w:bCs w:val="0"/>
          <w:lang w:val="es-ES"/>
        </w:rPr>
        <w:t>(documento</w:t>
      </w:r>
      <w:r w:rsidRPr="006D3772">
        <w:rPr>
          <w:rFonts w:eastAsia="Calibri"/>
          <w:bCs w:val="0"/>
          <w:lang w:val="es-ES"/>
        </w:rPr>
        <w:t xml:space="preserve"> SC63</w:t>
      </w:r>
      <w:r w:rsidR="00D03553" w:rsidRPr="006D3772">
        <w:rPr>
          <w:rFonts w:eastAsia="Calibri"/>
          <w:bCs w:val="0"/>
          <w:lang w:val="es-ES"/>
        </w:rPr>
        <w:t xml:space="preserve"> Doc</w:t>
      </w:r>
      <w:r w:rsidRPr="006D3772">
        <w:rPr>
          <w:rFonts w:eastAsia="Calibri"/>
          <w:bCs w:val="0"/>
          <w:lang w:val="es-ES"/>
        </w:rPr>
        <w:t xml:space="preserve">.20). El proyecto de resolución aborda la necesidad </w:t>
      </w:r>
      <w:r w:rsidR="00D03553" w:rsidRPr="006D3772">
        <w:rPr>
          <w:rFonts w:eastAsia="Calibri"/>
          <w:bCs w:val="0"/>
          <w:lang w:val="es-ES"/>
        </w:rPr>
        <w:t xml:space="preserve">urgente </w:t>
      </w:r>
      <w:r w:rsidRPr="006D3772">
        <w:rPr>
          <w:rFonts w:eastAsia="Calibri"/>
          <w:bCs w:val="0"/>
          <w:lang w:val="es-ES"/>
        </w:rPr>
        <w:t xml:space="preserve">de una actualización de las </w:t>
      </w:r>
      <w:r w:rsidR="00D03553" w:rsidRPr="006D3772">
        <w:rPr>
          <w:rFonts w:eastAsia="Calibri"/>
          <w:bCs w:val="0"/>
          <w:lang w:val="es-ES"/>
        </w:rPr>
        <w:t xml:space="preserve">WPE de las </w:t>
      </w:r>
      <w:r w:rsidRPr="006D3772">
        <w:rPr>
          <w:rFonts w:eastAsia="Calibri"/>
          <w:bCs w:val="0"/>
          <w:lang w:val="es-ES"/>
        </w:rPr>
        <w:t xml:space="preserve">poblaciones de aves acuáticas residentes y migratorias mediante la </w:t>
      </w:r>
      <w:r w:rsidR="00D03553" w:rsidRPr="006D3772">
        <w:rPr>
          <w:rFonts w:eastAsia="Calibri"/>
          <w:bCs w:val="0"/>
          <w:lang w:val="es-ES"/>
        </w:rPr>
        <w:t>publicación</w:t>
      </w:r>
      <w:r w:rsidRPr="006D3772">
        <w:rPr>
          <w:rFonts w:eastAsia="Calibri"/>
          <w:bCs w:val="0"/>
          <w:lang w:val="es-ES"/>
        </w:rPr>
        <w:t xml:space="preserve"> de </w:t>
      </w:r>
      <w:r w:rsidR="00D03553" w:rsidRPr="006D3772">
        <w:rPr>
          <w:rFonts w:eastAsia="Calibri"/>
          <w:bCs w:val="0"/>
          <w:lang w:val="es-ES"/>
        </w:rPr>
        <w:t>una</w:t>
      </w:r>
      <w:r w:rsidRPr="006D3772">
        <w:rPr>
          <w:rFonts w:eastAsia="Calibri"/>
          <w:bCs w:val="0"/>
          <w:lang w:val="es-ES"/>
        </w:rPr>
        <w:t xml:space="preserve"> edición </w:t>
      </w:r>
      <w:r w:rsidR="00D03553" w:rsidRPr="006D3772">
        <w:rPr>
          <w:rFonts w:eastAsia="Calibri"/>
          <w:bCs w:val="0"/>
          <w:lang w:val="es-ES"/>
        </w:rPr>
        <w:t xml:space="preserve">de </w:t>
      </w:r>
      <w:r w:rsidRPr="006D3772">
        <w:rPr>
          <w:rFonts w:eastAsia="Calibri"/>
          <w:bCs w:val="0"/>
          <w:lang w:val="es-ES"/>
        </w:rPr>
        <w:t>2027 (WPE</w:t>
      </w:r>
      <w:r w:rsidR="00D03553" w:rsidRPr="006D3772">
        <w:rPr>
          <w:rFonts w:eastAsia="Calibri"/>
          <w:bCs w:val="0"/>
          <w:lang w:val="es-ES"/>
        </w:rPr>
        <w:t xml:space="preserve"> </w:t>
      </w:r>
      <w:r w:rsidRPr="006D3772">
        <w:rPr>
          <w:rFonts w:eastAsia="Calibri"/>
          <w:bCs w:val="0"/>
          <w:lang w:val="es-ES"/>
        </w:rPr>
        <w:t xml:space="preserve">2027), y el establecimiento de la Alianza para las </w:t>
      </w:r>
      <w:r w:rsidR="00D03553" w:rsidRPr="006D3772">
        <w:rPr>
          <w:rFonts w:eastAsia="Calibri"/>
          <w:bCs w:val="0"/>
          <w:lang w:val="es-ES"/>
        </w:rPr>
        <w:t>E</w:t>
      </w:r>
      <w:r w:rsidRPr="006D3772">
        <w:rPr>
          <w:rFonts w:eastAsia="Calibri"/>
          <w:bCs w:val="0"/>
          <w:lang w:val="es-ES"/>
        </w:rPr>
        <w:t xml:space="preserve">stimaciones de </w:t>
      </w:r>
      <w:r w:rsidR="00D03553" w:rsidRPr="006D3772">
        <w:rPr>
          <w:rFonts w:eastAsia="Calibri"/>
          <w:bCs w:val="0"/>
          <w:lang w:val="es-ES"/>
        </w:rPr>
        <w:t>A</w:t>
      </w:r>
      <w:r w:rsidRPr="006D3772">
        <w:rPr>
          <w:rFonts w:eastAsia="Calibri"/>
          <w:bCs w:val="0"/>
          <w:lang w:val="es-ES"/>
        </w:rPr>
        <w:t xml:space="preserve">ves </w:t>
      </w:r>
      <w:r w:rsidR="00D03553" w:rsidRPr="006D3772">
        <w:rPr>
          <w:rFonts w:eastAsia="Calibri"/>
          <w:bCs w:val="0"/>
          <w:lang w:val="es-ES"/>
        </w:rPr>
        <w:t>A</w:t>
      </w:r>
      <w:r w:rsidRPr="006D3772">
        <w:rPr>
          <w:rFonts w:eastAsia="Calibri"/>
          <w:bCs w:val="0"/>
          <w:lang w:val="es-ES"/>
        </w:rPr>
        <w:t>cuáticas (</w:t>
      </w:r>
      <w:r w:rsidR="00D03553" w:rsidRPr="006D3772">
        <w:rPr>
          <w:rFonts w:eastAsia="Calibri"/>
          <w:bCs w:val="0"/>
          <w:lang w:val="es-ES"/>
        </w:rPr>
        <w:t>AEAA</w:t>
      </w:r>
      <w:r w:rsidRPr="006D3772">
        <w:rPr>
          <w:rFonts w:eastAsia="Calibri"/>
          <w:bCs w:val="0"/>
          <w:lang w:val="es-ES"/>
        </w:rPr>
        <w:t xml:space="preserve">) que se </w:t>
      </w:r>
      <w:r w:rsidR="00D03553" w:rsidRPr="006D3772">
        <w:rPr>
          <w:rFonts w:eastAsia="Calibri"/>
          <w:bCs w:val="0"/>
          <w:lang w:val="es-ES"/>
        </w:rPr>
        <w:t xml:space="preserve">presentaría </w:t>
      </w:r>
      <w:r w:rsidRPr="006D3772">
        <w:rPr>
          <w:rFonts w:eastAsia="Calibri"/>
          <w:bCs w:val="0"/>
          <w:lang w:val="es-ES"/>
        </w:rPr>
        <w:t xml:space="preserve">en la COP15. La </w:t>
      </w:r>
      <w:r w:rsidR="00D03553" w:rsidRPr="006D3772">
        <w:rPr>
          <w:rFonts w:eastAsia="Calibri"/>
          <w:bCs w:val="0"/>
          <w:lang w:val="es-ES"/>
        </w:rPr>
        <w:t>AEAA</w:t>
      </w:r>
      <w:r w:rsidRPr="006D3772">
        <w:rPr>
          <w:rFonts w:eastAsia="Calibri"/>
          <w:bCs w:val="0"/>
          <w:lang w:val="es-ES"/>
        </w:rPr>
        <w:t xml:space="preserve"> proporcionará coordinación y apoyo </w:t>
      </w:r>
      <w:r w:rsidR="004B209D" w:rsidRPr="006D3772">
        <w:rPr>
          <w:rFonts w:eastAsia="Calibri"/>
          <w:bCs w:val="0"/>
          <w:lang w:val="es-ES"/>
        </w:rPr>
        <w:t xml:space="preserve">a </w:t>
      </w:r>
      <w:r w:rsidR="00D03553" w:rsidRPr="006D3772">
        <w:rPr>
          <w:rFonts w:eastAsia="Calibri"/>
          <w:bCs w:val="0"/>
          <w:lang w:val="es-ES"/>
        </w:rPr>
        <w:t>escala</w:t>
      </w:r>
      <w:r w:rsidR="004B209D" w:rsidRPr="006D3772">
        <w:rPr>
          <w:rFonts w:eastAsia="Calibri"/>
          <w:bCs w:val="0"/>
          <w:lang w:val="es-ES"/>
        </w:rPr>
        <w:t xml:space="preserve"> </w:t>
      </w:r>
      <w:r w:rsidRPr="006D3772">
        <w:rPr>
          <w:rFonts w:eastAsia="Calibri"/>
          <w:bCs w:val="0"/>
          <w:lang w:val="es-ES"/>
        </w:rPr>
        <w:t>internacional</w:t>
      </w:r>
      <w:r w:rsidR="00D03553" w:rsidRPr="006D3772">
        <w:rPr>
          <w:rFonts w:eastAsia="Calibri"/>
          <w:bCs w:val="0"/>
          <w:lang w:val="es-ES"/>
        </w:rPr>
        <w:t xml:space="preserve"> que son</w:t>
      </w:r>
      <w:r w:rsidRPr="006D3772">
        <w:rPr>
          <w:rFonts w:eastAsia="Calibri"/>
          <w:bCs w:val="0"/>
          <w:lang w:val="es-ES"/>
        </w:rPr>
        <w:t xml:space="preserve"> esenciales para las actualizaciones en curso de las WPE, garantizando que los datos sobre las poblaciones de aves acuáticas s</w:t>
      </w:r>
      <w:r w:rsidR="006E670C" w:rsidRPr="006D3772">
        <w:rPr>
          <w:rFonts w:eastAsia="Calibri"/>
          <w:bCs w:val="0"/>
          <w:lang w:val="es-ES"/>
        </w:rPr>
        <w:t>igan siendo</w:t>
      </w:r>
      <w:r w:rsidRPr="006D3772">
        <w:rPr>
          <w:rFonts w:eastAsia="Calibri"/>
          <w:bCs w:val="0"/>
          <w:lang w:val="es-ES"/>
        </w:rPr>
        <w:t xml:space="preserve"> actualizados y accesibles para </w:t>
      </w:r>
      <w:r w:rsidR="004B209D" w:rsidRPr="006D3772">
        <w:rPr>
          <w:rFonts w:eastAsia="Calibri"/>
          <w:bCs w:val="0"/>
          <w:lang w:val="es-ES"/>
        </w:rPr>
        <w:t>las iniciativas</w:t>
      </w:r>
      <w:r w:rsidRPr="006D3772">
        <w:rPr>
          <w:rFonts w:eastAsia="Calibri"/>
          <w:bCs w:val="0"/>
          <w:lang w:val="es-ES"/>
        </w:rPr>
        <w:t xml:space="preserve"> de conservación de los humedales en el marco de la Convención.</w:t>
      </w:r>
    </w:p>
    <w:p w14:paraId="5EECE044" w14:textId="77777777" w:rsidR="00C445AE" w:rsidRPr="006D3772" w:rsidRDefault="00C445AE" w:rsidP="00C445AE">
      <w:pPr>
        <w:rPr>
          <w:rFonts w:eastAsia="Calibri"/>
          <w:lang w:val="es-ES"/>
        </w:rPr>
      </w:pPr>
    </w:p>
    <w:p w14:paraId="6CB3EC07" w14:textId="4F633323" w:rsidR="00226DCD" w:rsidRPr="006D3772" w:rsidRDefault="00226DCD" w:rsidP="00C445AE">
      <w:pPr>
        <w:rPr>
          <w:b/>
          <w:bCs w:val="0"/>
          <w:lang w:val="es-ES" w:eastAsia="zh-CN"/>
        </w:rPr>
      </w:pPr>
      <w:r w:rsidRPr="006D3772">
        <w:rPr>
          <w:b/>
          <w:bCs w:val="0"/>
          <w:lang w:val="es-ES" w:eastAsia="zh-CN"/>
        </w:rPr>
        <w:t xml:space="preserve">Financiación del establecimiento de la </w:t>
      </w:r>
      <w:r w:rsidR="006E670C" w:rsidRPr="006D3772">
        <w:rPr>
          <w:b/>
          <w:lang w:val="es-ES" w:eastAsia="zh-CN"/>
        </w:rPr>
        <w:t xml:space="preserve">Alianza para las </w:t>
      </w:r>
      <w:r w:rsidR="00D03553" w:rsidRPr="006D3772">
        <w:rPr>
          <w:b/>
          <w:lang w:val="es-ES" w:eastAsia="zh-CN"/>
        </w:rPr>
        <w:t>E</w:t>
      </w:r>
      <w:r w:rsidR="006E670C" w:rsidRPr="006D3772">
        <w:rPr>
          <w:b/>
          <w:lang w:val="es-ES" w:eastAsia="zh-CN"/>
        </w:rPr>
        <w:t xml:space="preserve">stimaciones de </w:t>
      </w:r>
      <w:r w:rsidR="00D03553" w:rsidRPr="006D3772">
        <w:rPr>
          <w:b/>
          <w:lang w:val="es-ES" w:eastAsia="zh-CN"/>
        </w:rPr>
        <w:t>A</w:t>
      </w:r>
      <w:r w:rsidR="006E670C" w:rsidRPr="006D3772">
        <w:rPr>
          <w:b/>
          <w:lang w:val="es-ES" w:eastAsia="zh-CN"/>
        </w:rPr>
        <w:t xml:space="preserve">ves </w:t>
      </w:r>
      <w:r w:rsidR="00D03553" w:rsidRPr="006D3772">
        <w:rPr>
          <w:b/>
          <w:lang w:val="es-ES" w:eastAsia="zh-CN"/>
        </w:rPr>
        <w:t>A</w:t>
      </w:r>
      <w:r w:rsidR="006E670C" w:rsidRPr="006D3772">
        <w:rPr>
          <w:b/>
          <w:lang w:val="es-ES" w:eastAsia="zh-CN"/>
        </w:rPr>
        <w:t>cuáticas (</w:t>
      </w:r>
      <w:r w:rsidR="00D03553" w:rsidRPr="006D3772">
        <w:rPr>
          <w:b/>
          <w:lang w:val="es-ES" w:eastAsia="zh-CN"/>
        </w:rPr>
        <w:t>AEAA</w:t>
      </w:r>
      <w:r w:rsidR="006E670C" w:rsidRPr="006D3772">
        <w:rPr>
          <w:b/>
          <w:lang w:val="es-ES" w:eastAsia="zh-CN"/>
        </w:rPr>
        <w:t xml:space="preserve">) </w:t>
      </w:r>
      <w:r w:rsidRPr="006D3772">
        <w:rPr>
          <w:b/>
          <w:bCs w:val="0"/>
          <w:lang w:val="es-ES" w:eastAsia="zh-CN"/>
        </w:rPr>
        <w:t xml:space="preserve">y </w:t>
      </w:r>
      <w:r w:rsidR="00D03553" w:rsidRPr="006D3772">
        <w:rPr>
          <w:b/>
          <w:bCs w:val="0"/>
          <w:lang w:val="es-ES" w:eastAsia="zh-CN"/>
        </w:rPr>
        <w:t>de la publicación</w:t>
      </w:r>
      <w:r w:rsidRPr="006D3772">
        <w:rPr>
          <w:b/>
          <w:bCs w:val="0"/>
          <w:lang w:val="es-ES" w:eastAsia="zh-CN"/>
        </w:rPr>
        <w:t xml:space="preserve"> de la edición</w:t>
      </w:r>
      <w:r w:rsidR="00D03553" w:rsidRPr="006D3772">
        <w:rPr>
          <w:b/>
          <w:bCs w:val="0"/>
          <w:lang w:val="es-ES" w:eastAsia="zh-CN"/>
        </w:rPr>
        <w:t xml:space="preserve"> de</w:t>
      </w:r>
      <w:r w:rsidRPr="006D3772">
        <w:rPr>
          <w:b/>
          <w:bCs w:val="0"/>
          <w:lang w:val="es-ES" w:eastAsia="zh-CN"/>
        </w:rPr>
        <w:t xml:space="preserve"> 2027 </w:t>
      </w:r>
      <w:r w:rsidR="00544DE4">
        <w:rPr>
          <w:b/>
          <w:bCs w:val="0"/>
          <w:lang w:val="es-ES" w:eastAsia="zh-CN"/>
        </w:rPr>
        <w:t xml:space="preserve">de </w:t>
      </w:r>
      <w:r w:rsidRPr="006D3772">
        <w:rPr>
          <w:b/>
          <w:bCs w:val="0"/>
          <w:i/>
          <w:iCs/>
          <w:lang w:val="es-ES" w:eastAsia="zh-CN"/>
        </w:rPr>
        <w:t>Waterbird Population Estimate</w:t>
      </w:r>
      <w:r w:rsidR="00D03553" w:rsidRPr="006D3772">
        <w:rPr>
          <w:b/>
          <w:bCs w:val="0"/>
          <w:i/>
          <w:iCs/>
          <w:lang w:val="es-ES" w:eastAsia="zh-CN"/>
        </w:rPr>
        <w:t>s</w:t>
      </w:r>
    </w:p>
    <w:p w14:paraId="694F3189" w14:textId="77777777" w:rsidR="00C445AE" w:rsidRPr="006D3772" w:rsidRDefault="00C445AE" w:rsidP="00C445AE">
      <w:pPr>
        <w:rPr>
          <w:rFonts w:eastAsia="Calibri"/>
          <w:lang w:val="es-ES"/>
        </w:rPr>
      </w:pPr>
    </w:p>
    <w:p w14:paraId="1E2C35E1" w14:textId="7A47C9F4" w:rsidR="00C445AE" w:rsidRPr="006D3772" w:rsidRDefault="00C445AE" w:rsidP="00C445AE">
      <w:pPr>
        <w:ind w:left="432" w:hanging="432"/>
        <w:rPr>
          <w:rFonts w:eastAsia="Calibri"/>
          <w:bCs w:val="0"/>
          <w:lang w:val="es-ES"/>
        </w:rPr>
      </w:pPr>
      <w:r w:rsidRPr="006D3772">
        <w:rPr>
          <w:rFonts w:eastAsia="Calibri"/>
          <w:lang w:val="es-ES"/>
        </w:rPr>
        <w:t>2</w:t>
      </w:r>
      <w:r w:rsidR="006C4877">
        <w:rPr>
          <w:rFonts w:eastAsia="Calibri"/>
          <w:lang w:val="es-ES"/>
        </w:rPr>
        <w:t>3</w:t>
      </w:r>
      <w:r w:rsidRPr="006D3772">
        <w:rPr>
          <w:rFonts w:eastAsia="Calibri"/>
          <w:lang w:val="es-ES"/>
        </w:rPr>
        <w:t>.</w:t>
      </w:r>
      <w:r w:rsidRPr="006D3772">
        <w:rPr>
          <w:rFonts w:eastAsia="Calibri"/>
          <w:lang w:val="es-ES"/>
        </w:rPr>
        <w:tab/>
      </w:r>
      <w:r w:rsidR="00751470" w:rsidRPr="006D3772">
        <w:rPr>
          <w:rFonts w:eastAsia="Calibri"/>
          <w:lang w:val="es-ES"/>
        </w:rPr>
        <w:t xml:space="preserve">En el </w:t>
      </w:r>
      <w:r w:rsidR="00D03553" w:rsidRPr="006D3772">
        <w:rPr>
          <w:rFonts w:eastAsia="Calibri"/>
          <w:lang w:val="es-ES"/>
        </w:rPr>
        <w:t>A</w:t>
      </w:r>
      <w:r w:rsidR="00751470" w:rsidRPr="006D3772">
        <w:rPr>
          <w:rFonts w:eastAsia="Calibri"/>
          <w:lang w:val="es-ES"/>
        </w:rPr>
        <w:t xml:space="preserve">nexo 5 se </w:t>
      </w:r>
      <w:r w:rsidR="00D03553" w:rsidRPr="006D3772">
        <w:rPr>
          <w:rFonts w:eastAsia="Calibri"/>
          <w:lang w:val="es-ES"/>
        </w:rPr>
        <w:t>detallan</w:t>
      </w:r>
      <w:r w:rsidR="00751470" w:rsidRPr="006D3772">
        <w:rPr>
          <w:rFonts w:eastAsia="Calibri"/>
          <w:lang w:val="es-ES"/>
        </w:rPr>
        <w:t xml:space="preserve"> l</w:t>
      </w:r>
      <w:r w:rsidR="00D03553" w:rsidRPr="006D3772">
        <w:rPr>
          <w:rFonts w:eastAsia="Calibri"/>
          <w:lang w:val="es-ES"/>
        </w:rPr>
        <w:t xml:space="preserve">as necesidades </w:t>
      </w:r>
      <w:r w:rsidR="00751470" w:rsidRPr="006D3772">
        <w:rPr>
          <w:rFonts w:eastAsia="Calibri"/>
          <w:lang w:val="es-ES"/>
        </w:rPr>
        <w:t>financier</w:t>
      </w:r>
      <w:r w:rsidR="00D03553" w:rsidRPr="006D3772">
        <w:rPr>
          <w:rFonts w:eastAsia="Calibri"/>
          <w:lang w:val="es-ES"/>
        </w:rPr>
        <w:t>a</w:t>
      </w:r>
      <w:r w:rsidR="00751470" w:rsidRPr="006D3772">
        <w:rPr>
          <w:rFonts w:eastAsia="Calibri"/>
          <w:lang w:val="es-ES"/>
        </w:rPr>
        <w:t xml:space="preserve">s para establecer la Alianza para las </w:t>
      </w:r>
      <w:r w:rsidR="00D03553" w:rsidRPr="006D3772">
        <w:rPr>
          <w:rFonts w:eastAsia="Calibri"/>
          <w:lang w:val="es-ES"/>
        </w:rPr>
        <w:t>E</w:t>
      </w:r>
      <w:r w:rsidR="00751470" w:rsidRPr="006D3772">
        <w:rPr>
          <w:rFonts w:eastAsia="Calibri"/>
          <w:lang w:val="es-ES"/>
        </w:rPr>
        <w:t xml:space="preserve">stimaciones de </w:t>
      </w:r>
      <w:r w:rsidR="00D03553" w:rsidRPr="006D3772">
        <w:rPr>
          <w:rFonts w:eastAsia="Calibri"/>
          <w:lang w:val="es-ES"/>
        </w:rPr>
        <w:t>A</w:t>
      </w:r>
      <w:r w:rsidR="00751470" w:rsidRPr="006D3772">
        <w:rPr>
          <w:rFonts w:eastAsia="Calibri"/>
          <w:lang w:val="es-ES"/>
        </w:rPr>
        <w:t xml:space="preserve">ves </w:t>
      </w:r>
      <w:r w:rsidR="00D03553" w:rsidRPr="006D3772">
        <w:rPr>
          <w:rFonts w:eastAsia="Calibri"/>
          <w:lang w:val="es-ES"/>
        </w:rPr>
        <w:t>A</w:t>
      </w:r>
      <w:r w:rsidR="00751470" w:rsidRPr="006D3772">
        <w:rPr>
          <w:rFonts w:eastAsia="Calibri"/>
          <w:lang w:val="es-ES"/>
        </w:rPr>
        <w:t>cuáticas (</w:t>
      </w:r>
      <w:r w:rsidR="00D03553" w:rsidRPr="006D3772">
        <w:rPr>
          <w:rFonts w:eastAsia="Calibri"/>
          <w:lang w:val="es-ES"/>
        </w:rPr>
        <w:t>AEAA</w:t>
      </w:r>
      <w:r w:rsidR="00751470" w:rsidRPr="006D3772">
        <w:rPr>
          <w:rFonts w:eastAsia="Calibri"/>
          <w:lang w:val="es-ES"/>
        </w:rPr>
        <w:t xml:space="preserve">) y </w:t>
      </w:r>
      <w:r w:rsidR="00D03553" w:rsidRPr="006D3772">
        <w:rPr>
          <w:rFonts w:eastAsia="Calibri"/>
          <w:lang w:val="es-ES"/>
        </w:rPr>
        <w:t>publicar</w:t>
      </w:r>
      <w:r w:rsidR="00751470" w:rsidRPr="006D3772">
        <w:rPr>
          <w:rFonts w:eastAsia="Calibri"/>
          <w:lang w:val="es-ES"/>
        </w:rPr>
        <w:t xml:space="preserve"> la edición </w:t>
      </w:r>
      <w:r w:rsidR="00D03553" w:rsidRPr="006D3772">
        <w:rPr>
          <w:rFonts w:eastAsia="Calibri"/>
          <w:lang w:val="es-ES"/>
        </w:rPr>
        <w:t xml:space="preserve">de </w:t>
      </w:r>
      <w:r w:rsidR="00751470" w:rsidRPr="006D3772">
        <w:rPr>
          <w:rFonts w:eastAsia="Calibri"/>
          <w:lang w:val="es-ES"/>
        </w:rPr>
        <w:t xml:space="preserve">2027 de </w:t>
      </w:r>
      <w:r w:rsidR="00751470" w:rsidRPr="006D3772">
        <w:rPr>
          <w:rFonts w:eastAsia="Calibri"/>
          <w:i/>
          <w:iCs/>
          <w:lang w:val="es-ES"/>
        </w:rPr>
        <w:t xml:space="preserve">Waterbird Population </w:t>
      </w:r>
      <w:r w:rsidR="00751470" w:rsidRPr="006D3772">
        <w:rPr>
          <w:rFonts w:eastAsia="Calibri"/>
          <w:i/>
          <w:iCs/>
          <w:lang w:val="es-ES"/>
        </w:rPr>
        <w:lastRenderedPageBreak/>
        <w:t>Estimates</w:t>
      </w:r>
      <w:r w:rsidR="00D03553" w:rsidRPr="006D3772">
        <w:rPr>
          <w:rFonts w:eastAsia="Calibri"/>
          <w:i/>
          <w:iCs/>
          <w:lang w:val="es-ES"/>
        </w:rPr>
        <w:t xml:space="preserve"> </w:t>
      </w:r>
      <w:r w:rsidR="00D03553" w:rsidRPr="006D3772">
        <w:rPr>
          <w:rFonts w:eastAsia="Calibri"/>
          <w:lang w:val="es-ES"/>
        </w:rPr>
        <w:t>(</w:t>
      </w:r>
      <w:r w:rsidR="00751470" w:rsidRPr="006D3772">
        <w:rPr>
          <w:rFonts w:eastAsia="Calibri"/>
          <w:lang w:val="es-ES"/>
        </w:rPr>
        <w:t>WPE</w:t>
      </w:r>
      <w:r w:rsidR="00D03553" w:rsidRPr="006D3772">
        <w:rPr>
          <w:rFonts w:eastAsia="Calibri"/>
          <w:lang w:val="es-ES"/>
        </w:rPr>
        <w:t xml:space="preserve"> </w:t>
      </w:r>
      <w:r w:rsidR="00751470" w:rsidRPr="006D3772">
        <w:rPr>
          <w:rFonts w:eastAsia="Calibri"/>
          <w:lang w:val="es-ES"/>
        </w:rPr>
        <w:t xml:space="preserve">2027). </w:t>
      </w:r>
      <w:r w:rsidR="00A42685">
        <w:rPr>
          <w:rFonts w:eastAsia="Calibri"/>
          <w:lang w:val="es-ES"/>
        </w:rPr>
        <w:t>El</w:t>
      </w:r>
      <w:r w:rsidR="00751470" w:rsidRPr="006D3772">
        <w:rPr>
          <w:rFonts w:eastAsia="Calibri"/>
          <w:lang w:val="es-ES"/>
        </w:rPr>
        <w:t xml:space="preserve"> anexo complementa el proyecto de resolución </w:t>
      </w:r>
      <w:r w:rsidR="00D03553" w:rsidRPr="006D3772">
        <w:rPr>
          <w:rFonts w:eastAsia="Calibri"/>
          <w:lang w:val="es-ES"/>
        </w:rPr>
        <w:t>presentado</w:t>
      </w:r>
      <w:r w:rsidR="00751470" w:rsidRPr="006D3772">
        <w:rPr>
          <w:rFonts w:eastAsia="Calibri"/>
          <w:lang w:val="es-ES"/>
        </w:rPr>
        <w:t xml:space="preserve"> (SC64-2</w:t>
      </w:r>
      <w:r w:rsidR="00A57696">
        <w:rPr>
          <w:rFonts w:eastAsia="Calibri"/>
          <w:lang w:val="es-ES"/>
        </w:rPr>
        <w:t>0</w:t>
      </w:r>
      <w:r w:rsidR="00751470" w:rsidRPr="006D3772">
        <w:rPr>
          <w:rFonts w:eastAsia="Calibri"/>
          <w:lang w:val="es-ES"/>
        </w:rPr>
        <w:t>) y ofrece estimaciones de cost</w:t>
      </w:r>
      <w:r w:rsidR="00C57705" w:rsidRPr="006D3772">
        <w:rPr>
          <w:rFonts w:eastAsia="Calibri"/>
          <w:lang w:val="es-ES"/>
        </w:rPr>
        <w:t>o</w:t>
      </w:r>
      <w:r w:rsidR="00751470" w:rsidRPr="006D3772">
        <w:rPr>
          <w:rFonts w:eastAsia="Calibri"/>
          <w:lang w:val="es-ES"/>
        </w:rPr>
        <w:t xml:space="preserve">s para el establecimiento de la </w:t>
      </w:r>
      <w:r w:rsidR="00D03553" w:rsidRPr="006D3772">
        <w:rPr>
          <w:rFonts w:eastAsia="Calibri"/>
          <w:lang w:val="es-ES"/>
        </w:rPr>
        <w:t>AEAA</w:t>
      </w:r>
      <w:r w:rsidR="00751470" w:rsidRPr="006D3772">
        <w:rPr>
          <w:rFonts w:eastAsia="Calibri"/>
          <w:lang w:val="es-ES"/>
        </w:rPr>
        <w:t>, que supervisará y coordinará las actualizaciones de los datos sobre las poblaciones de aves acuáticas en múltiples regiones. También detalla las necesidades de recursos para la actualización de 1</w:t>
      </w:r>
      <w:r w:rsidR="00D03553" w:rsidRPr="006D3772">
        <w:rPr>
          <w:rFonts w:eastAsia="Calibri"/>
          <w:lang w:val="es-ES"/>
        </w:rPr>
        <w:t xml:space="preserve"> </w:t>
      </w:r>
      <w:r w:rsidR="00751470" w:rsidRPr="006D3772">
        <w:rPr>
          <w:rFonts w:eastAsia="Calibri"/>
          <w:lang w:val="es-ES"/>
        </w:rPr>
        <w:t xml:space="preserve">600 poblaciones prioritarias de aves acuáticas y el mantenimiento del </w:t>
      </w:r>
      <w:r w:rsidR="00751470" w:rsidRPr="006D3772">
        <w:rPr>
          <w:rFonts w:eastAsia="Calibri"/>
          <w:i/>
          <w:iCs/>
          <w:lang w:val="es-ES"/>
        </w:rPr>
        <w:t>Waterbird Populations Portal</w:t>
      </w:r>
      <w:r w:rsidR="00751470" w:rsidRPr="006D3772">
        <w:rPr>
          <w:rFonts w:eastAsia="Calibri"/>
          <w:lang w:val="es-ES"/>
        </w:rPr>
        <w:t>.</w:t>
      </w:r>
    </w:p>
    <w:p w14:paraId="211BBBCD" w14:textId="77777777" w:rsidR="00C445AE" w:rsidRPr="006D3772" w:rsidRDefault="00C445AE" w:rsidP="00C445AE">
      <w:pPr>
        <w:rPr>
          <w:rFonts w:eastAsia="Calibri"/>
          <w:bCs w:val="0"/>
          <w:lang w:val="es-ES"/>
        </w:rPr>
      </w:pPr>
    </w:p>
    <w:p w14:paraId="713DD52D" w14:textId="4D50D3AC" w:rsidR="00751470" w:rsidRPr="006D3772" w:rsidRDefault="00C445AE" w:rsidP="00C445AE">
      <w:pPr>
        <w:ind w:left="432" w:hanging="432"/>
        <w:rPr>
          <w:rFonts w:eastAsia="Calibri"/>
          <w:lang w:val="es-ES"/>
        </w:rPr>
      </w:pPr>
      <w:r w:rsidRPr="006D3772">
        <w:rPr>
          <w:rFonts w:eastAsia="Calibri"/>
          <w:lang w:val="es-ES"/>
        </w:rPr>
        <w:t>2</w:t>
      </w:r>
      <w:r w:rsidR="006C4877">
        <w:rPr>
          <w:rFonts w:eastAsia="Calibri"/>
          <w:lang w:val="es-ES"/>
        </w:rPr>
        <w:t>4</w:t>
      </w:r>
      <w:r w:rsidRPr="006D3772">
        <w:rPr>
          <w:rFonts w:eastAsia="Calibri"/>
          <w:lang w:val="es-ES"/>
        </w:rPr>
        <w:t>.</w:t>
      </w:r>
      <w:r w:rsidRPr="006D3772">
        <w:rPr>
          <w:rFonts w:eastAsia="Calibri"/>
          <w:lang w:val="es-ES"/>
        </w:rPr>
        <w:tab/>
      </w:r>
      <w:r w:rsidR="00751470" w:rsidRPr="006D3772">
        <w:rPr>
          <w:rFonts w:eastAsia="Calibri"/>
          <w:lang w:val="es-ES"/>
        </w:rPr>
        <w:t>Se proponen tres opciones de financiación</w:t>
      </w:r>
      <w:r w:rsidR="00C57705" w:rsidRPr="006D3772">
        <w:rPr>
          <w:rFonts w:eastAsia="Calibri"/>
          <w:lang w:val="es-ES"/>
        </w:rPr>
        <w:t xml:space="preserve"> (integral</w:t>
      </w:r>
      <w:r w:rsidR="00751470" w:rsidRPr="006D3772">
        <w:rPr>
          <w:rFonts w:eastAsia="Calibri"/>
          <w:lang w:val="es-ES"/>
        </w:rPr>
        <w:t>, intermedia y mínima</w:t>
      </w:r>
      <w:r w:rsidR="00C57705" w:rsidRPr="006D3772">
        <w:rPr>
          <w:rFonts w:eastAsia="Calibri"/>
          <w:lang w:val="es-ES"/>
        </w:rPr>
        <w:t>)</w:t>
      </w:r>
      <w:r w:rsidR="00751470" w:rsidRPr="006D3772">
        <w:rPr>
          <w:rFonts w:eastAsia="Calibri"/>
          <w:lang w:val="es-ES"/>
        </w:rPr>
        <w:t xml:space="preserve">, recomendándose la opción de financiación </w:t>
      </w:r>
      <w:r w:rsidR="00C57705" w:rsidRPr="006D3772">
        <w:rPr>
          <w:rFonts w:eastAsia="Calibri"/>
          <w:lang w:val="es-ES"/>
        </w:rPr>
        <w:t>integral</w:t>
      </w:r>
      <w:r w:rsidR="00751470" w:rsidRPr="006D3772">
        <w:rPr>
          <w:rFonts w:eastAsia="Calibri"/>
          <w:lang w:val="es-ES"/>
        </w:rPr>
        <w:t xml:space="preserve"> para </w:t>
      </w:r>
      <w:r w:rsidR="00D03553" w:rsidRPr="006D3772">
        <w:rPr>
          <w:rFonts w:eastAsia="Calibri"/>
          <w:lang w:val="es-ES"/>
        </w:rPr>
        <w:t>garantizar</w:t>
      </w:r>
      <w:r w:rsidR="00751470" w:rsidRPr="006D3772">
        <w:rPr>
          <w:rFonts w:eastAsia="Calibri"/>
          <w:lang w:val="es-ES"/>
        </w:rPr>
        <w:t xml:space="preserve"> </w:t>
      </w:r>
      <w:r w:rsidR="00D03553" w:rsidRPr="006D3772">
        <w:rPr>
          <w:rFonts w:eastAsia="Calibri"/>
          <w:lang w:val="es-ES"/>
        </w:rPr>
        <w:t xml:space="preserve">la realización de todas </w:t>
      </w:r>
      <w:r w:rsidR="00751470" w:rsidRPr="006D3772">
        <w:rPr>
          <w:rFonts w:eastAsia="Calibri"/>
          <w:lang w:val="es-ES"/>
        </w:rPr>
        <w:t>las actualizaciones. En el anexo se subraya la importancia de garantizar unos recursos financieros adecuados para principios de 2025, a fin de cumplir el ambicioso calendario</w:t>
      </w:r>
      <w:r w:rsidR="00D03553" w:rsidRPr="006D3772">
        <w:rPr>
          <w:rFonts w:eastAsia="Calibri"/>
          <w:lang w:val="es-ES"/>
        </w:rPr>
        <w:t xml:space="preserve"> </w:t>
      </w:r>
      <w:r w:rsidR="00751470" w:rsidRPr="006D3772">
        <w:rPr>
          <w:rFonts w:eastAsia="Calibri"/>
          <w:lang w:val="es-ES"/>
        </w:rPr>
        <w:t xml:space="preserve">para el establecimiento de la </w:t>
      </w:r>
      <w:r w:rsidR="00A0754E">
        <w:rPr>
          <w:rFonts w:eastAsia="Calibri"/>
          <w:lang w:val="es-ES"/>
        </w:rPr>
        <w:t>AEAA</w:t>
      </w:r>
      <w:r w:rsidR="00751470" w:rsidRPr="006D3772">
        <w:rPr>
          <w:rFonts w:eastAsia="Calibri"/>
          <w:lang w:val="es-ES"/>
        </w:rPr>
        <w:t xml:space="preserve"> </w:t>
      </w:r>
      <w:r w:rsidR="00D03553" w:rsidRPr="006D3772">
        <w:rPr>
          <w:rFonts w:eastAsia="Calibri"/>
          <w:lang w:val="es-ES"/>
        </w:rPr>
        <w:t>y la publicación d</w:t>
      </w:r>
      <w:r w:rsidR="00751470" w:rsidRPr="006D3772">
        <w:rPr>
          <w:rFonts w:eastAsia="Calibri"/>
          <w:lang w:val="es-ES"/>
        </w:rPr>
        <w:t>e WPE</w:t>
      </w:r>
      <w:r w:rsidR="00D03553" w:rsidRPr="006D3772">
        <w:rPr>
          <w:rFonts w:eastAsia="Calibri"/>
          <w:lang w:val="es-ES"/>
        </w:rPr>
        <w:t xml:space="preserve"> </w:t>
      </w:r>
      <w:r w:rsidR="00751470" w:rsidRPr="006D3772">
        <w:rPr>
          <w:rFonts w:eastAsia="Calibri"/>
          <w:lang w:val="es-ES"/>
        </w:rPr>
        <w:t xml:space="preserve">2027. </w:t>
      </w:r>
      <w:r w:rsidR="00C57705" w:rsidRPr="006D3772">
        <w:rPr>
          <w:lang w:val="es-ES"/>
        </w:rPr>
        <w:t>En caso de que solo se disponga de financiación parcial, será crucial acometer actividades de movilización de recursos adicionales</w:t>
      </w:r>
      <w:r w:rsidR="00C57705" w:rsidRPr="006D3772">
        <w:rPr>
          <w:rFonts w:eastAsia="Calibri"/>
          <w:color w:val="FF0000"/>
          <w:lang w:val="es-ES"/>
        </w:rPr>
        <w:t xml:space="preserve"> </w:t>
      </w:r>
      <w:r w:rsidR="00751470" w:rsidRPr="006D3772">
        <w:rPr>
          <w:rFonts w:eastAsia="Calibri"/>
          <w:lang w:val="es-ES"/>
        </w:rPr>
        <w:t>para garantizar la plena consecución de los resultados.</w:t>
      </w:r>
    </w:p>
    <w:p w14:paraId="26D38960" w14:textId="77777777" w:rsidR="009F39FC" w:rsidRPr="006D3772" w:rsidRDefault="009F39FC" w:rsidP="0075379B">
      <w:pPr>
        <w:rPr>
          <w:rFonts w:eastAsia="Calibri"/>
          <w:bCs w:val="0"/>
          <w:lang w:val="es-ES"/>
        </w:rPr>
      </w:pPr>
    </w:p>
    <w:p w14:paraId="2A236103" w14:textId="77777777" w:rsidR="00751470" w:rsidRPr="006D3772" w:rsidRDefault="00751470" w:rsidP="0075379B">
      <w:pPr>
        <w:rPr>
          <w:b/>
          <w:bCs w:val="0"/>
          <w:lang w:val="es-ES" w:eastAsia="zh-CN"/>
        </w:rPr>
      </w:pPr>
      <w:r w:rsidRPr="006D3772">
        <w:rPr>
          <w:b/>
          <w:bCs w:val="0"/>
          <w:lang w:val="es-ES" w:eastAsia="zh-CN"/>
        </w:rPr>
        <w:t>Orientaciones adicionales sobre el uso de estimaciones alternativas de las poblaciones de aves acuáticas</w:t>
      </w:r>
    </w:p>
    <w:p w14:paraId="58B01A85" w14:textId="77777777" w:rsidR="0075379B" w:rsidRPr="006D3772" w:rsidRDefault="0075379B" w:rsidP="0075379B">
      <w:pPr>
        <w:rPr>
          <w:lang w:val="es-ES" w:eastAsia="zh-CN"/>
        </w:rPr>
      </w:pPr>
    </w:p>
    <w:p w14:paraId="14826361" w14:textId="7F3842AD" w:rsidR="00751470" w:rsidRPr="006D3772" w:rsidRDefault="00F319AD" w:rsidP="0075379B">
      <w:pPr>
        <w:ind w:left="432" w:hanging="432"/>
        <w:rPr>
          <w:rFonts w:eastAsia="Calibri"/>
          <w:lang w:val="es-ES"/>
        </w:rPr>
      </w:pPr>
      <w:r w:rsidRPr="006D3772">
        <w:rPr>
          <w:rFonts w:eastAsia="Calibri"/>
          <w:lang w:val="es-ES"/>
        </w:rPr>
        <w:t>2</w:t>
      </w:r>
      <w:r w:rsidR="006C4877">
        <w:rPr>
          <w:rFonts w:eastAsia="Calibri"/>
          <w:lang w:val="es-ES"/>
        </w:rPr>
        <w:t>5</w:t>
      </w:r>
      <w:r w:rsidRPr="006D3772">
        <w:rPr>
          <w:rFonts w:eastAsia="Calibri"/>
          <w:lang w:val="es-ES"/>
        </w:rPr>
        <w:t>.</w:t>
      </w:r>
      <w:r w:rsidRPr="006D3772">
        <w:rPr>
          <w:rFonts w:eastAsia="Calibri"/>
          <w:lang w:val="es-ES"/>
        </w:rPr>
        <w:tab/>
      </w:r>
      <w:r w:rsidR="00751470" w:rsidRPr="006D3772">
        <w:rPr>
          <w:rFonts w:eastAsia="Calibri"/>
          <w:lang w:val="es-ES"/>
        </w:rPr>
        <w:t xml:space="preserve">El </w:t>
      </w:r>
      <w:r w:rsidR="00D03553" w:rsidRPr="006D3772">
        <w:rPr>
          <w:rFonts w:eastAsia="Calibri"/>
          <w:lang w:val="es-ES"/>
        </w:rPr>
        <w:t>A</w:t>
      </w:r>
      <w:r w:rsidR="00751470" w:rsidRPr="006D3772">
        <w:rPr>
          <w:rFonts w:eastAsia="Calibri"/>
          <w:lang w:val="es-ES"/>
        </w:rPr>
        <w:t xml:space="preserve">nexo 2 ofrece más orientaciones a las Partes Contratantes sobre el uso de estimaciones </w:t>
      </w:r>
      <w:r w:rsidR="00FB5617" w:rsidRPr="006D3772">
        <w:rPr>
          <w:rFonts w:eastAsia="Calibri"/>
          <w:lang w:val="es-ES"/>
        </w:rPr>
        <w:t xml:space="preserve">poblacionales </w:t>
      </w:r>
      <w:r w:rsidR="00751470" w:rsidRPr="006D3772">
        <w:rPr>
          <w:rFonts w:eastAsia="Calibri"/>
          <w:lang w:val="es-ES"/>
        </w:rPr>
        <w:t xml:space="preserve">alternativas al aplicar el Criterio 6 para designar Humedales de Importancia Internacional. Esto se suma a los cambios propuestos en el Marco </w:t>
      </w:r>
      <w:r w:rsidR="001619F5" w:rsidRPr="006D3772">
        <w:rPr>
          <w:rFonts w:eastAsia="Calibri"/>
          <w:lang w:val="es-ES"/>
        </w:rPr>
        <w:t>E</w:t>
      </w:r>
      <w:r w:rsidR="00751470" w:rsidRPr="006D3772">
        <w:rPr>
          <w:rFonts w:eastAsia="Calibri"/>
          <w:lang w:val="es-ES"/>
        </w:rPr>
        <w:t xml:space="preserve">stratégico (SC63-20). </w:t>
      </w:r>
      <w:r w:rsidR="00D03553" w:rsidRPr="006D3772">
        <w:rPr>
          <w:rFonts w:eastAsia="Calibri"/>
          <w:lang w:val="es-ES"/>
        </w:rPr>
        <w:t xml:space="preserve">Se describe </w:t>
      </w:r>
      <w:r w:rsidR="00751470" w:rsidRPr="006D3772">
        <w:rPr>
          <w:rFonts w:eastAsia="Calibri"/>
          <w:lang w:val="es-ES"/>
        </w:rPr>
        <w:t xml:space="preserve">un proceso </w:t>
      </w:r>
      <w:r w:rsidR="00D03553" w:rsidRPr="006D3772">
        <w:rPr>
          <w:rFonts w:eastAsia="Calibri"/>
          <w:lang w:val="es-ES"/>
        </w:rPr>
        <w:t>por etapas</w:t>
      </w:r>
      <w:r w:rsidR="00751470" w:rsidRPr="006D3772">
        <w:rPr>
          <w:rFonts w:eastAsia="Calibri"/>
          <w:lang w:val="es-ES"/>
        </w:rPr>
        <w:t xml:space="preserve"> para presentar estimaciones alternativas, en particular para los casos en que las estimaciones actuales procedentes de las </w:t>
      </w:r>
      <w:r w:rsidR="00D03553" w:rsidRPr="006D3772">
        <w:rPr>
          <w:rFonts w:eastAsia="Calibri"/>
          <w:i/>
          <w:iCs/>
          <w:lang w:val="es-ES"/>
        </w:rPr>
        <w:t>Waterbird Population Estimates</w:t>
      </w:r>
      <w:r w:rsidR="00D03553" w:rsidRPr="006D3772">
        <w:rPr>
          <w:rFonts w:eastAsia="Calibri"/>
          <w:lang w:val="es-ES"/>
        </w:rPr>
        <w:t xml:space="preserve"> </w:t>
      </w:r>
      <w:r w:rsidR="00751470" w:rsidRPr="006D3772">
        <w:rPr>
          <w:rFonts w:eastAsia="Calibri"/>
          <w:lang w:val="es-ES"/>
        </w:rPr>
        <w:t xml:space="preserve">(WPE) o </w:t>
      </w:r>
      <w:r w:rsidR="00FB5617" w:rsidRPr="006D3772">
        <w:rPr>
          <w:rFonts w:eastAsia="Calibri"/>
          <w:lang w:val="es-ES"/>
        </w:rPr>
        <w:t xml:space="preserve">de los exámenes </w:t>
      </w:r>
      <w:r w:rsidR="00751470" w:rsidRPr="006D3772">
        <w:rPr>
          <w:rFonts w:eastAsia="Calibri"/>
          <w:lang w:val="es-ES"/>
        </w:rPr>
        <w:t xml:space="preserve">del estado de conservación (CSR) estén desfasadas o no estén disponibles. </w:t>
      </w:r>
    </w:p>
    <w:p w14:paraId="62B9B8D1" w14:textId="77777777" w:rsidR="000B7A15" w:rsidRPr="006D3772" w:rsidRDefault="000B7A15" w:rsidP="0075379B">
      <w:pPr>
        <w:ind w:left="432" w:hanging="432"/>
        <w:rPr>
          <w:rFonts w:eastAsia="Calibri"/>
          <w:bCs w:val="0"/>
          <w:lang w:val="es-ES"/>
        </w:rPr>
      </w:pPr>
    </w:p>
    <w:p w14:paraId="5203EC3F" w14:textId="6A1885F4" w:rsidR="00751470" w:rsidRPr="006D3772" w:rsidRDefault="00F319AD" w:rsidP="0075379B">
      <w:pPr>
        <w:ind w:left="432" w:hanging="432"/>
        <w:rPr>
          <w:rFonts w:eastAsia="Calibri"/>
          <w:lang w:val="es-ES"/>
        </w:rPr>
      </w:pPr>
      <w:r w:rsidRPr="006D3772">
        <w:rPr>
          <w:rFonts w:eastAsia="Calibri"/>
          <w:lang w:val="es-ES"/>
        </w:rPr>
        <w:t>2</w:t>
      </w:r>
      <w:r w:rsidR="006C4877">
        <w:rPr>
          <w:rFonts w:eastAsia="Calibri"/>
          <w:lang w:val="es-ES"/>
        </w:rPr>
        <w:t>6</w:t>
      </w:r>
      <w:r w:rsidRPr="006D3772">
        <w:rPr>
          <w:rFonts w:eastAsia="Calibri"/>
          <w:lang w:val="es-ES"/>
        </w:rPr>
        <w:t>.</w:t>
      </w:r>
      <w:r w:rsidRPr="006D3772">
        <w:rPr>
          <w:rFonts w:eastAsia="Calibri"/>
          <w:lang w:val="es-ES"/>
        </w:rPr>
        <w:tab/>
      </w:r>
      <w:r w:rsidR="00751470" w:rsidRPr="006D3772">
        <w:rPr>
          <w:rFonts w:eastAsia="Calibri"/>
          <w:lang w:val="es-ES"/>
        </w:rPr>
        <w:t xml:space="preserve">Las orientaciones destacan la importancia de </w:t>
      </w:r>
      <w:r w:rsidR="00D03553" w:rsidRPr="006D3772">
        <w:rPr>
          <w:rFonts w:eastAsia="Calibri"/>
          <w:lang w:val="es-ES"/>
        </w:rPr>
        <w:t>emplear</w:t>
      </w:r>
      <w:r w:rsidR="00751470" w:rsidRPr="006D3772">
        <w:rPr>
          <w:rFonts w:eastAsia="Calibri"/>
          <w:lang w:val="es-ES"/>
        </w:rPr>
        <w:t xml:space="preserve"> metodologías </w:t>
      </w:r>
      <w:r w:rsidR="00D03553" w:rsidRPr="006D3772">
        <w:rPr>
          <w:rFonts w:eastAsia="Calibri"/>
          <w:lang w:val="es-ES"/>
        </w:rPr>
        <w:t>normalizadas</w:t>
      </w:r>
      <w:r w:rsidR="00751470" w:rsidRPr="006D3772">
        <w:rPr>
          <w:rFonts w:eastAsia="Calibri"/>
          <w:lang w:val="es-ES"/>
        </w:rPr>
        <w:t xml:space="preserve"> y de proporcionar </w:t>
      </w:r>
      <w:r w:rsidR="00D03553" w:rsidRPr="006D3772">
        <w:rPr>
          <w:rFonts w:eastAsia="Calibri"/>
          <w:lang w:val="es-ES"/>
        </w:rPr>
        <w:t>datos</w:t>
      </w:r>
      <w:r w:rsidR="00751470" w:rsidRPr="006D3772">
        <w:rPr>
          <w:rFonts w:eastAsia="Calibri"/>
          <w:lang w:val="es-ES"/>
        </w:rPr>
        <w:t xml:space="preserve"> sólid</w:t>
      </w:r>
      <w:r w:rsidR="00D03553" w:rsidRPr="006D3772">
        <w:rPr>
          <w:rFonts w:eastAsia="Calibri"/>
          <w:lang w:val="es-ES"/>
        </w:rPr>
        <w:t xml:space="preserve">os </w:t>
      </w:r>
      <w:r w:rsidR="00751470" w:rsidRPr="006D3772">
        <w:rPr>
          <w:rFonts w:eastAsia="Calibri"/>
          <w:lang w:val="es-ES"/>
        </w:rPr>
        <w:t xml:space="preserve">y </w:t>
      </w:r>
      <w:r w:rsidR="00FB5617" w:rsidRPr="006D3772">
        <w:rPr>
          <w:rFonts w:eastAsia="Calibri"/>
          <w:lang w:val="es-ES"/>
        </w:rPr>
        <w:t>contrastados</w:t>
      </w:r>
      <w:r w:rsidR="00751470" w:rsidRPr="006D3772">
        <w:rPr>
          <w:rFonts w:eastAsia="Calibri"/>
          <w:lang w:val="es-ES"/>
        </w:rPr>
        <w:t xml:space="preserve"> </w:t>
      </w:r>
      <w:r w:rsidR="00D03553" w:rsidRPr="006D3772">
        <w:rPr>
          <w:rFonts w:eastAsia="Calibri"/>
          <w:lang w:val="es-ES"/>
        </w:rPr>
        <w:t>para justificar los informes presentados</w:t>
      </w:r>
      <w:r w:rsidR="00751470" w:rsidRPr="006D3772">
        <w:rPr>
          <w:rFonts w:eastAsia="Calibri"/>
          <w:lang w:val="es-ES"/>
        </w:rPr>
        <w:t xml:space="preserve">. También incluyen los pasos necesarios para </w:t>
      </w:r>
      <w:r w:rsidR="00D03553" w:rsidRPr="006D3772">
        <w:rPr>
          <w:rFonts w:eastAsia="Calibri"/>
          <w:lang w:val="es-ES"/>
        </w:rPr>
        <w:t xml:space="preserve">el examen </w:t>
      </w:r>
      <w:r w:rsidR="00751470" w:rsidRPr="006D3772">
        <w:rPr>
          <w:rFonts w:eastAsia="Calibri"/>
          <w:lang w:val="es-ES"/>
        </w:rPr>
        <w:t xml:space="preserve">por parte del GECT y la Secretaría, garantizando </w:t>
      </w:r>
      <w:r w:rsidR="001619F5" w:rsidRPr="006D3772">
        <w:rPr>
          <w:rFonts w:eastAsia="Calibri"/>
          <w:lang w:val="es-ES"/>
        </w:rPr>
        <w:t>su</w:t>
      </w:r>
      <w:r w:rsidR="00751470" w:rsidRPr="006D3772">
        <w:rPr>
          <w:rFonts w:eastAsia="Calibri"/>
          <w:lang w:val="es-ES"/>
        </w:rPr>
        <w:t xml:space="preserve"> transparencia </w:t>
      </w:r>
      <w:r w:rsidR="001619F5" w:rsidRPr="006D3772">
        <w:rPr>
          <w:rFonts w:eastAsia="Calibri"/>
          <w:lang w:val="es-ES"/>
        </w:rPr>
        <w:t>y exactitud</w:t>
      </w:r>
      <w:r w:rsidR="00751470" w:rsidRPr="006D3772">
        <w:rPr>
          <w:rFonts w:eastAsia="Calibri"/>
          <w:lang w:val="es-ES"/>
        </w:rPr>
        <w:t xml:space="preserve">. Las orientaciones pretenden facilitar el uso de los datos </w:t>
      </w:r>
      <w:r w:rsidR="00D03553" w:rsidRPr="006D3772">
        <w:rPr>
          <w:rFonts w:eastAsia="Calibri"/>
          <w:lang w:val="es-ES"/>
        </w:rPr>
        <w:t>poblacionales</w:t>
      </w:r>
      <w:r w:rsidR="00751470" w:rsidRPr="006D3772">
        <w:rPr>
          <w:rFonts w:eastAsia="Calibri"/>
          <w:lang w:val="es-ES"/>
        </w:rPr>
        <w:t xml:space="preserve"> población más actualizados y precisos para la conservación de las aves acuáticas en el marco de la Convención.</w:t>
      </w:r>
    </w:p>
    <w:p w14:paraId="74CD9F01" w14:textId="77777777" w:rsidR="0075379B" w:rsidRPr="006D3772" w:rsidRDefault="0075379B" w:rsidP="0075379B">
      <w:pPr>
        <w:rPr>
          <w:rFonts w:eastAsia="Calibri"/>
          <w:lang w:val="es-ES"/>
        </w:rPr>
      </w:pPr>
    </w:p>
    <w:p w14:paraId="4D57FA41" w14:textId="7517C5A7" w:rsidR="00E919B4" w:rsidRPr="006D3772" w:rsidRDefault="002A7BC2" w:rsidP="00EC1799">
      <w:pPr>
        <w:ind w:left="432" w:hanging="432"/>
        <w:rPr>
          <w:rFonts w:eastAsia="Calibri"/>
          <w:lang w:val="es-ES"/>
        </w:rPr>
      </w:pPr>
      <w:r w:rsidRPr="006D3772">
        <w:rPr>
          <w:rFonts w:eastAsia="Calibri"/>
          <w:lang w:val="es-ES"/>
        </w:rPr>
        <w:t>2</w:t>
      </w:r>
      <w:r w:rsidR="006C4877">
        <w:rPr>
          <w:rFonts w:eastAsia="Calibri"/>
          <w:lang w:val="es-ES"/>
        </w:rPr>
        <w:t>7</w:t>
      </w:r>
      <w:r w:rsidRPr="006D3772">
        <w:rPr>
          <w:rFonts w:eastAsia="Calibri"/>
          <w:lang w:val="es-ES"/>
        </w:rPr>
        <w:t>.</w:t>
      </w:r>
      <w:r w:rsidRPr="006D3772">
        <w:rPr>
          <w:rFonts w:eastAsia="Calibri"/>
          <w:lang w:val="es-ES"/>
        </w:rPr>
        <w:tab/>
      </w:r>
      <w:r w:rsidR="00E919B4" w:rsidRPr="006D3772">
        <w:rPr>
          <w:rFonts w:eastAsia="Calibri"/>
          <w:lang w:val="es-ES"/>
        </w:rPr>
        <w:t xml:space="preserve">Se invita al Comité Permanente a aprobar las orientaciones </w:t>
      </w:r>
      <w:r w:rsidR="00D03553" w:rsidRPr="006D3772">
        <w:rPr>
          <w:rFonts w:eastAsia="Calibri"/>
          <w:lang w:val="es-ES"/>
        </w:rPr>
        <w:t>incluidas</w:t>
      </w:r>
      <w:r w:rsidR="00E919B4" w:rsidRPr="006D3772">
        <w:rPr>
          <w:rFonts w:eastAsia="Calibri"/>
          <w:lang w:val="es-ES"/>
        </w:rPr>
        <w:t xml:space="preserve"> en el Anexo 2 del presente informe. Esto permitirá su publicación como documento de orientación, lo cual facilitará su uso por las Partes Contratantes. </w:t>
      </w:r>
    </w:p>
    <w:p w14:paraId="2C62EADB" w14:textId="22708DD3" w:rsidR="0022105A" w:rsidRPr="006D3772" w:rsidRDefault="0022105A" w:rsidP="0022105A">
      <w:pPr>
        <w:ind w:left="432" w:hanging="432"/>
        <w:rPr>
          <w:rFonts w:eastAsia="Calibri"/>
          <w:bCs w:val="0"/>
          <w:lang w:val="es-ES"/>
        </w:rPr>
      </w:pPr>
    </w:p>
    <w:p w14:paraId="528890DC" w14:textId="249A3657" w:rsidR="00E919B4" w:rsidRPr="006D3772" w:rsidRDefault="00E919B4" w:rsidP="00BC6270">
      <w:pPr>
        <w:rPr>
          <w:b/>
          <w:bCs w:val="0"/>
          <w:lang w:val="es-ES" w:eastAsia="zh-CN"/>
        </w:rPr>
      </w:pPr>
      <w:r w:rsidRPr="006D3772">
        <w:rPr>
          <w:b/>
          <w:bCs w:val="0"/>
          <w:lang w:val="es-ES" w:eastAsia="zh-CN"/>
        </w:rPr>
        <w:t xml:space="preserve">Colaboración con </w:t>
      </w:r>
      <w:r w:rsidR="00290AE9" w:rsidRPr="006D3772">
        <w:rPr>
          <w:b/>
          <w:bCs w:val="0"/>
          <w:lang w:val="es-ES" w:eastAsia="zh-CN"/>
        </w:rPr>
        <w:t>la comunidad de observación de la Tierra</w:t>
      </w:r>
    </w:p>
    <w:p w14:paraId="2720C954" w14:textId="77777777" w:rsidR="00BC6270" w:rsidRPr="006D3772" w:rsidRDefault="00BC6270" w:rsidP="00BC6270">
      <w:pPr>
        <w:rPr>
          <w:lang w:val="es-ES" w:eastAsia="zh-CN"/>
        </w:rPr>
      </w:pPr>
    </w:p>
    <w:p w14:paraId="6A6667D3" w14:textId="13987C37" w:rsidR="00290AE9" w:rsidRPr="006D3772" w:rsidRDefault="00EE1BED" w:rsidP="001D47B1">
      <w:pPr>
        <w:ind w:left="432" w:hanging="432"/>
        <w:rPr>
          <w:rFonts w:eastAsia="Calibri"/>
          <w:lang w:val="es-ES"/>
        </w:rPr>
      </w:pPr>
      <w:r w:rsidRPr="006D3772">
        <w:rPr>
          <w:rFonts w:eastAsia="Calibri"/>
          <w:lang w:val="es-ES"/>
        </w:rPr>
        <w:t>2</w:t>
      </w:r>
      <w:r w:rsidR="006C4877">
        <w:rPr>
          <w:rFonts w:eastAsia="Calibri"/>
          <w:lang w:val="es-ES"/>
        </w:rPr>
        <w:t>8</w:t>
      </w:r>
      <w:r w:rsidR="00BC6270" w:rsidRPr="006D3772">
        <w:rPr>
          <w:rFonts w:eastAsia="Calibri"/>
          <w:lang w:val="es-ES"/>
        </w:rPr>
        <w:t>.</w:t>
      </w:r>
      <w:r w:rsidR="00BC6270" w:rsidRPr="006D3772">
        <w:rPr>
          <w:rFonts w:eastAsia="Calibri"/>
          <w:lang w:val="es-ES"/>
        </w:rPr>
        <w:tab/>
      </w:r>
      <w:r w:rsidR="00290AE9" w:rsidRPr="006D3772">
        <w:rPr>
          <w:rFonts w:eastAsia="Calibri"/>
          <w:lang w:val="es-ES"/>
        </w:rPr>
        <w:t>De conformidad con la Decisión SC63-30, el GECT, junto con la Secretaría, ha iniciado un proceso de consulta con la comunidad de observación de la Tierra. Est</w:t>
      </w:r>
      <w:r w:rsidR="00B663D3" w:rsidRPr="006D3772">
        <w:rPr>
          <w:rFonts w:eastAsia="Calibri"/>
          <w:lang w:val="es-ES"/>
        </w:rPr>
        <w:t>e proceso</w:t>
      </w:r>
      <w:r w:rsidR="00290AE9" w:rsidRPr="006D3772">
        <w:rPr>
          <w:rFonts w:eastAsia="Calibri"/>
          <w:lang w:val="es-ES"/>
        </w:rPr>
        <w:t xml:space="preserve"> tiene como objetivo proporcionar recomendaciones sobre cómo la observación de la Tierra puede apoyar a las Partes Contratantes en la aplicación de la Convención y fomentar el diálogo y el intercambio de conocimientos al respecto</w:t>
      </w:r>
      <w:r w:rsidR="007B51DF">
        <w:rPr>
          <w:rFonts w:eastAsia="Calibri"/>
          <w:lang w:val="es-ES"/>
        </w:rPr>
        <w:t xml:space="preserve"> de manera continuada</w:t>
      </w:r>
      <w:r w:rsidR="00290AE9" w:rsidRPr="006D3772">
        <w:rPr>
          <w:rFonts w:eastAsia="Calibri"/>
          <w:lang w:val="es-ES"/>
        </w:rPr>
        <w:t xml:space="preserve">. </w:t>
      </w:r>
      <w:r w:rsidR="007954EB">
        <w:rPr>
          <w:rFonts w:eastAsia="Calibri"/>
          <w:lang w:val="es-ES"/>
        </w:rPr>
        <w:t>Concretamente</w:t>
      </w:r>
      <w:r w:rsidR="00290AE9" w:rsidRPr="006D3772">
        <w:rPr>
          <w:rFonts w:eastAsia="Calibri"/>
          <w:lang w:val="es-ES"/>
        </w:rPr>
        <w:t xml:space="preserve">, </w:t>
      </w:r>
      <w:r w:rsidR="007954EB">
        <w:rPr>
          <w:rFonts w:eastAsia="Calibri"/>
          <w:lang w:val="es-ES"/>
        </w:rPr>
        <w:t>está previsto estudiar</w:t>
      </w:r>
      <w:r w:rsidR="00290AE9" w:rsidRPr="006D3772">
        <w:rPr>
          <w:rFonts w:eastAsia="Calibri"/>
          <w:lang w:val="es-ES"/>
        </w:rPr>
        <w:t xml:space="preserve"> cómo los datos </w:t>
      </w:r>
      <w:r w:rsidR="00B663D3" w:rsidRPr="006D3772">
        <w:rPr>
          <w:rFonts w:eastAsia="Calibri"/>
          <w:lang w:val="es-ES"/>
        </w:rPr>
        <w:t>aportados por la</w:t>
      </w:r>
      <w:r w:rsidR="00290AE9" w:rsidRPr="006D3772">
        <w:rPr>
          <w:rFonts w:eastAsia="Calibri"/>
          <w:lang w:val="es-ES"/>
        </w:rPr>
        <w:t xml:space="preserve"> observación de la Tierra pueden ponerse a disposición y apoyar el inventario nacional de humedales</w:t>
      </w:r>
      <w:r w:rsidR="00DC5BAD">
        <w:rPr>
          <w:rFonts w:eastAsia="Calibri"/>
          <w:lang w:val="es-ES"/>
        </w:rPr>
        <w:t xml:space="preserve"> y</w:t>
      </w:r>
      <w:r w:rsidR="00290AE9" w:rsidRPr="006D3772">
        <w:rPr>
          <w:rFonts w:eastAsia="Calibri"/>
          <w:lang w:val="es-ES"/>
        </w:rPr>
        <w:t xml:space="preserve"> la conservación, gestión, restauración y uso racional de los humedales, así como la forma en que puede</w:t>
      </w:r>
      <w:r w:rsidR="00B663D3" w:rsidRPr="006D3772">
        <w:rPr>
          <w:rFonts w:eastAsia="Calibri"/>
          <w:lang w:val="es-ES"/>
        </w:rPr>
        <w:t>n</w:t>
      </w:r>
      <w:r w:rsidR="00290AE9" w:rsidRPr="006D3772">
        <w:rPr>
          <w:rFonts w:eastAsia="Calibri"/>
          <w:lang w:val="es-ES"/>
        </w:rPr>
        <w:t xml:space="preserve"> contribuir a fortalecer el </w:t>
      </w:r>
      <w:r w:rsidR="00B663D3" w:rsidRPr="006D3772">
        <w:rPr>
          <w:rFonts w:eastAsia="Calibri"/>
          <w:lang w:val="es-ES"/>
        </w:rPr>
        <w:t>seguimiento</w:t>
      </w:r>
      <w:r w:rsidR="00290AE9" w:rsidRPr="006D3772">
        <w:rPr>
          <w:rFonts w:eastAsia="Calibri"/>
          <w:lang w:val="es-ES"/>
        </w:rPr>
        <w:t xml:space="preserve"> y la presentación de informes, en virtud de la Convención y en relación con las metas pertinentes de los ODS y el </w:t>
      </w:r>
      <w:r w:rsidR="00DD05DA" w:rsidRPr="006D3772">
        <w:rPr>
          <w:rFonts w:eastAsia="Calibri"/>
          <w:lang w:val="es-ES"/>
        </w:rPr>
        <w:t>Marco Mundial de Biodiversidad de Kunming-Montreal.</w:t>
      </w:r>
      <w:r w:rsidR="00290AE9" w:rsidRPr="006D3772">
        <w:rPr>
          <w:rFonts w:eastAsia="Calibri"/>
          <w:lang w:val="es-ES"/>
        </w:rPr>
        <w:t xml:space="preserve"> Las conclusiones de esta consulta también </w:t>
      </w:r>
      <w:r w:rsidR="00B663D3" w:rsidRPr="006D3772">
        <w:rPr>
          <w:rFonts w:eastAsia="Calibri"/>
          <w:lang w:val="es-ES"/>
        </w:rPr>
        <w:t>orientar</w:t>
      </w:r>
      <w:r w:rsidR="00290AE9" w:rsidRPr="006D3772">
        <w:rPr>
          <w:rFonts w:eastAsia="Calibri"/>
          <w:lang w:val="es-ES"/>
        </w:rPr>
        <w:t>án el desarrollo del plan de trabajo del GECT para el trienio 2026-2028.</w:t>
      </w:r>
    </w:p>
    <w:p w14:paraId="1D1E011D" w14:textId="77777777" w:rsidR="00C56630" w:rsidRPr="006D3772" w:rsidRDefault="00C56630" w:rsidP="00CF6E6E">
      <w:pPr>
        <w:rPr>
          <w:rFonts w:eastAsia="Calibri"/>
          <w:lang w:val="es-ES"/>
        </w:rPr>
      </w:pPr>
    </w:p>
    <w:p w14:paraId="5EAFFF75" w14:textId="243392D8" w:rsidR="00290AE9" w:rsidRPr="006D3772" w:rsidRDefault="006C4877" w:rsidP="003060C0">
      <w:pPr>
        <w:ind w:left="432" w:hanging="432"/>
        <w:rPr>
          <w:rFonts w:eastAsia="Calibri"/>
          <w:lang w:val="es-ES"/>
        </w:rPr>
      </w:pPr>
      <w:r>
        <w:rPr>
          <w:rFonts w:eastAsia="Calibri"/>
          <w:lang w:val="es-ES"/>
        </w:rPr>
        <w:lastRenderedPageBreak/>
        <w:t>29</w:t>
      </w:r>
      <w:r w:rsidR="00F319AD" w:rsidRPr="006D3772">
        <w:rPr>
          <w:rFonts w:eastAsia="Calibri"/>
          <w:lang w:val="es-ES"/>
        </w:rPr>
        <w:t>.</w:t>
      </w:r>
      <w:r w:rsidR="00F319AD" w:rsidRPr="006D3772">
        <w:rPr>
          <w:rFonts w:eastAsia="Calibri"/>
          <w:lang w:val="es-ES"/>
        </w:rPr>
        <w:tab/>
      </w:r>
      <w:r w:rsidR="00290AE9" w:rsidRPr="006D3772">
        <w:rPr>
          <w:rFonts w:eastAsia="Calibri"/>
          <w:lang w:val="es-ES"/>
        </w:rPr>
        <w:t xml:space="preserve">La Secretaría ha iniciado el proceso de consulta realizando entrevistas específicas con destacados expertos en </w:t>
      </w:r>
      <w:r w:rsidR="00B663D3" w:rsidRPr="006D3772">
        <w:rPr>
          <w:rFonts w:eastAsia="Calibri"/>
          <w:lang w:val="es-ES"/>
        </w:rPr>
        <w:t xml:space="preserve">la </w:t>
      </w:r>
      <w:r w:rsidR="00290AE9" w:rsidRPr="006D3772">
        <w:rPr>
          <w:rFonts w:eastAsia="Calibri"/>
          <w:lang w:val="es-ES"/>
        </w:rPr>
        <w:t xml:space="preserve">observación de la Tierra, centrándose en </w:t>
      </w:r>
      <w:r w:rsidR="00FA0B9A" w:rsidRPr="006D3772">
        <w:rPr>
          <w:rFonts w:eastAsia="Calibri"/>
          <w:lang w:val="es-ES"/>
        </w:rPr>
        <w:t>estudiar</w:t>
      </w:r>
      <w:r w:rsidR="00290AE9" w:rsidRPr="006D3772">
        <w:rPr>
          <w:rFonts w:eastAsia="Calibri"/>
          <w:lang w:val="es-ES"/>
        </w:rPr>
        <w:t xml:space="preserve"> las posibles aplicaciones de estas tecnologías. El 6 de diciembre de 2024 se celebrará </w:t>
      </w:r>
      <w:r w:rsidR="00B663D3" w:rsidRPr="006D3772">
        <w:rPr>
          <w:rFonts w:eastAsia="Calibri"/>
          <w:lang w:val="es-ES"/>
        </w:rPr>
        <w:t>el</w:t>
      </w:r>
      <w:r w:rsidR="00290AE9" w:rsidRPr="006D3772">
        <w:rPr>
          <w:rFonts w:eastAsia="Calibri"/>
          <w:lang w:val="es-ES"/>
        </w:rPr>
        <w:t xml:space="preserve"> “Día de la observación de la Tierra” en asociación con </w:t>
      </w:r>
      <w:r w:rsidR="009C046B" w:rsidRPr="006D3772">
        <w:rPr>
          <w:rFonts w:eastAsia="Calibri"/>
          <w:lang w:val="es-ES"/>
        </w:rPr>
        <w:t>la</w:t>
      </w:r>
      <w:r w:rsidR="00FA0B9A" w:rsidRPr="006D3772">
        <w:rPr>
          <w:rFonts w:eastAsia="Calibri"/>
          <w:lang w:val="es-ES"/>
        </w:rPr>
        <w:t xml:space="preserve"> reunión</w:t>
      </w:r>
      <w:r w:rsidR="009C046B" w:rsidRPr="006D3772">
        <w:rPr>
          <w:rFonts w:eastAsia="Calibri"/>
          <w:lang w:val="es-ES"/>
        </w:rPr>
        <w:t xml:space="preserve"> GECT27</w:t>
      </w:r>
      <w:r w:rsidR="00290AE9" w:rsidRPr="006D3772">
        <w:rPr>
          <w:rFonts w:eastAsia="Calibri"/>
          <w:lang w:val="es-ES"/>
        </w:rPr>
        <w:t xml:space="preserve"> para seguir </w:t>
      </w:r>
      <w:r w:rsidR="00FA0B9A" w:rsidRPr="006D3772">
        <w:rPr>
          <w:rFonts w:eastAsia="Calibri"/>
          <w:lang w:val="es-ES"/>
        </w:rPr>
        <w:t>estudiando</w:t>
      </w:r>
      <w:r w:rsidR="00290AE9" w:rsidRPr="006D3772">
        <w:rPr>
          <w:rFonts w:eastAsia="Calibri"/>
          <w:lang w:val="es-ES"/>
        </w:rPr>
        <w:t xml:space="preserve"> oportunidades de cooperación a largo plazo con la comunidad de observación de la Tierra.</w:t>
      </w:r>
    </w:p>
    <w:p w14:paraId="1AA26E7D" w14:textId="77777777" w:rsidR="00EC3ACE" w:rsidRPr="006D3772" w:rsidRDefault="00EC3ACE" w:rsidP="00CF6E6E">
      <w:pPr>
        <w:rPr>
          <w:rFonts w:eastAsia="Calibri"/>
          <w:lang w:val="es-ES"/>
        </w:rPr>
      </w:pPr>
    </w:p>
    <w:p w14:paraId="0F795EF0" w14:textId="1AE1C79F" w:rsidR="00290AE9" w:rsidRPr="006D3772" w:rsidRDefault="00F319AD" w:rsidP="00816C1A">
      <w:pPr>
        <w:ind w:left="432" w:hanging="432"/>
        <w:rPr>
          <w:rFonts w:eastAsia="Calibri"/>
          <w:lang w:val="es-ES"/>
        </w:rPr>
      </w:pPr>
      <w:r w:rsidRPr="006D3772">
        <w:rPr>
          <w:rFonts w:eastAsia="Calibri"/>
          <w:lang w:val="es-ES"/>
        </w:rPr>
        <w:t>3</w:t>
      </w:r>
      <w:r w:rsidR="006C4877">
        <w:rPr>
          <w:rFonts w:eastAsia="Calibri"/>
          <w:lang w:val="es-ES"/>
        </w:rPr>
        <w:t>0</w:t>
      </w:r>
      <w:r w:rsidRPr="006D3772">
        <w:rPr>
          <w:rFonts w:eastAsia="Calibri"/>
          <w:lang w:val="es-ES"/>
        </w:rPr>
        <w:t>.</w:t>
      </w:r>
      <w:r w:rsidRPr="006D3772">
        <w:rPr>
          <w:rFonts w:eastAsia="Calibri"/>
          <w:lang w:val="es-ES"/>
        </w:rPr>
        <w:tab/>
      </w:r>
      <w:r w:rsidR="00290AE9" w:rsidRPr="006D3772">
        <w:rPr>
          <w:rFonts w:eastAsia="Calibri"/>
          <w:lang w:val="es-ES"/>
        </w:rPr>
        <w:t>Cabe señalar que el presente informe para la 64ª reunión del Comité Permanente ha sido elaborado antes de la conclusión de</w:t>
      </w:r>
      <w:r w:rsidR="00B663D3" w:rsidRPr="006D3772">
        <w:rPr>
          <w:rFonts w:eastAsia="Calibri"/>
          <w:lang w:val="es-ES"/>
        </w:rPr>
        <w:t xml:space="preserve"> este</w:t>
      </w:r>
      <w:r w:rsidR="00290AE9" w:rsidRPr="006D3772">
        <w:rPr>
          <w:rFonts w:eastAsia="Calibri"/>
          <w:lang w:val="es-ES"/>
        </w:rPr>
        <w:t xml:space="preserve"> proceso de consulta. </w:t>
      </w:r>
      <w:r w:rsidR="00FA0B9A" w:rsidRPr="006D3772">
        <w:rPr>
          <w:rFonts w:eastAsia="Calibri"/>
          <w:lang w:val="es-ES"/>
        </w:rPr>
        <w:t xml:space="preserve">El Presidente </w:t>
      </w:r>
      <w:r w:rsidR="00290AE9" w:rsidRPr="006D3772">
        <w:rPr>
          <w:rFonts w:eastAsia="Calibri"/>
          <w:lang w:val="es-ES"/>
        </w:rPr>
        <w:t xml:space="preserve">del GECT ofrecerá una actualización verbal al Comité Permanente sobre las principales conclusiones y recomendaciones derivadas de la consulta. Esto podría incluir </w:t>
      </w:r>
      <w:r w:rsidR="00B663D3" w:rsidRPr="006D3772">
        <w:rPr>
          <w:rFonts w:eastAsia="Calibri"/>
          <w:lang w:val="es-ES"/>
        </w:rPr>
        <w:t xml:space="preserve">propuestas de </w:t>
      </w:r>
      <w:r w:rsidR="00290AE9" w:rsidRPr="006D3772">
        <w:rPr>
          <w:rFonts w:eastAsia="Calibri"/>
          <w:lang w:val="es-ES"/>
        </w:rPr>
        <w:t xml:space="preserve">adiciones al proyecto de resolución sobre la aplicación </w:t>
      </w:r>
      <w:r w:rsidR="00FA0B9A" w:rsidRPr="006D3772">
        <w:rPr>
          <w:rFonts w:eastAsia="Calibri"/>
          <w:lang w:val="es-ES"/>
        </w:rPr>
        <w:t xml:space="preserve">futura </w:t>
      </w:r>
      <w:r w:rsidR="00290AE9" w:rsidRPr="006D3772">
        <w:rPr>
          <w:rFonts w:eastAsia="Calibri"/>
          <w:lang w:val="es-ES"/>
        </w:rPr>
        <w:t xml:space="preserve">de los aspectos científicos y técnicos de la Convención para 2026-2028. </w:t>
      </w:r>
    </w:p>
    <w:p w14:paraId="3C897178" w14:textId="77777777" w:rsidR="0022105A" w:rsidRPr="006D3772" w:rsidRDefault="0022105A" w:rsidP="00816C1A">
      <w:pPr>
        <w:ind w:left="432" w:hanging="432"/>
        <w:rPr>
          <w:rFonts w:eastAsia="Calibri"/>
          <w:lang w:val="es-ES"/>
        </w:rPr>
      </w:pPr>
    </w:p>
    <w:p w14:paraId="5D41698A" w14:textId="1B0514B7" w:rsidR="00290AE9" w:rsidRPr="006D3772" w:rsidRDefault="00290AE9" w:rsidP="00010DF0">
      <w:pPr>
        <w:rPr>
          <w:b/>
          <w:bCs w:val="0"/>
          <w:lang w:val="es-ES" w:eastAsia="zh-CN"/>
        </w:rPr>
      </w:pPr>
      <w:r w:rsidRPr="006D3772">
        <w:rPr>
          <w:b/>
          <w:bCs w:val="0"/>
          <w:lang w:val="es-ES" w:eastAsia="zh-CN"/>
        </w:rPr>
        <w:t xml:space="preserve">Propuesta de </w:t>
      </w:r>
      <w:r w:rsidR="00284EB0" w:rsidRPr="006D3772">
        <w:rPr>
          <w:b/>
          <w:bCs w:val="0"/>
          <w:lang w:val="es-ES" w:eastAsia="zh-CN"/>
        </w:rPr>
        <w:t>planteamiento</w:t>
      </w:r>
      <w:r w:rsidRPr="006D3772">
        <w:rPr>
          <w:b/>
          <w:bCs w:val="0"/>
          <w:lang w:val="es-ES" w:eastAsia="zh-CN"/>
        </w:rPr>
        <w:t xml:space="preserve"> para la </w:t>
      </w:r>
      <w:r w:rsidR="00FB5617" w:rsidRPr="006D3772">
        <w:rPr>
          <w:b/>
          <w:bCs w:val="0"/>
          <w:lang w:val="es-ES" w:eastAsia="zh-CN"/>
        </w:rPr>
        <w:t>preparación</w:t>
      </w:r>
      <w:r w:rsidRPr="006D3772">
        <w:rPr>
          <w:b/>
          <w:bCs w:val="0"/>
          <w:lang w:val="es-ES" w:eastAsia="zh-CN"/>
        </w:rPr>
        <w:t xml:space="preserve"> de </w:t>
      </w:r>
      <w:r w:rsidR="00FB5617" w:rsidRPr="006D3772">
        <w:rPr>
          <w:b/>
          <w:bCs w:val="0"/>
          <w:lang w:val="es-ES" w:eastAsia="zh-CN"/>
        </w:rPr>
        <w:t>ediciones</w:t>
      </w:r>
      <w:r w:rsidRPr="006D3772">
        <w:rPr>
          <w:b/>
          <w:bCs w:val="0"/>
          <w:lang w:val="es-ES" w:eastAsia="zh-CN"/>
        </w:rPr>
        <w:t xml:space="preserve"> futuras</w:t>
      </w:r>
      <w:r w:rsidR="00FB5617" w:rsidRPr="006D3772">
        <w:rPr>
          <w:b/>
          <w:bCs w:val="0"/>
          <w:lang w:val="es-ES" w:eastAsia="zh-CN"/>
        </w:rPr>
        <w:t xml:space="preserve"> de la</w:t>
      </w:r>
      <w:r w:rsidRPr="006D3772">
        <w:rPr>
          <w:b/>
          <w:bCs w:val="0"/>
          <w:lang w:val="es-ES" w:eastAsia="zh-CN"/>
        </w:rPr>
        <w:t xml:space="preserve"> Perspectiva Mundial</w:t>
      </w:r>
      <w:r w:rsidR="00FB5617" w:rsidRPr="006D3772">
        <w:rPr>
          <w:b/>
          <w:bCs w:val="0"/>
          <w:lang w:val="es-ES" w:eastAsia="zh-CN"/>
        </w:rPr>
        <w:t xml:space="preserve"> sobre</w:t>
      </w:r>
      <w:r w:rsidRPr="006D3772">
        <w:rPr>
          <w:b/>
          <w:bCs w:val="0"/>
          <w:lang w:val="es-ES" w:eastAsia="zh-CN"/>
        </w:rPr>
        <w:t xml:space="preserve"> los Humedales (</w:t>
      </w:r>
      <w:r w:rsidR="008401E5" w:rsidRPr="006D3772">
        <w:rPr>
          <w:b/>
          <w:bCs w:val="0"/>
          <w:lang w:val="es-ES" w:eastAsia="zh-CN"/>
        </w:rPr>
        <w:t>PMH</w:t>
      </w:r>
      <w:r w:rsidRPr="006D3772">
        <w:rPr>
          <w:b/>
          <w:bCs w:val="0"/>
          <w:lang w:val="es-ES" w:eastAsia="zh-CN"/>
        </w:rPr>
        <w:t>)</w:t>
      </w:r>
    </w:p>
    <w:p w14:paraId="5A8C0BF1" w14:textId="77777777" w:rsidR="00010DF0" w:rsidRPr="006D3772" w:rsidRDefault="00010DF0" w:rsidP="00010DF0">
      <w:pPr>
        <w:rPr>
          <w:lang w:val="es-ES" w:eastAsia="zh-CN"/>
        </w:rPr>
      </w:pPr>
    </w:p>
    <w:p w14:paraId="50E88A73" w14:textId="272804C0" w:rsidR="00290AE9" w:rsidRPr="006D3772" w:rsidRDefault="00F319AD" w:rsidP="00C84CDE">
      <w:pPr>
        <w:ind w:left="432" w:hanging="432"/>
        <w:rPr>
          <w:rFonts w:eastAsia="Calibri"/>
          <w:lang w:val="es-ES"/>
        </w:rPr>
      </w:pPr>
      <w:r w:rsidRPr="006D3772">
        <w:rPr>
          <w:rFonts w:eastAsia="Calibri"/>
          <w:lang w:val="es-ES"/>
        </w:rPr>
        <w:t>3</w:t>
      </w:r>
      <w:r w:rsidR="006C4877">
        <w:rPr>
          <w:rFonts w:eastAsia="Calibri"/>
          <w:lang w:val="es-ES"/>
        </w:rPr>
        <w:t>1</w:t>
      </w:r>
      <w:r w:rsidRPr="006D3772">
        <w:rPr>
          <w:rFonts w:eastAsia="Calibri"/>
          <w:lang w:val="es-ES"/>
        </w:rPr>
        <w:t>.</w:t>
      </w:r>
      <w:r w:rsidRPr="006D3772">
        <w:rPr>
          <w:rFonts w:eastAsia="Calibri"/>
          <w:lang w:val="es-ES"/>
        </w:rPr>
        <w:tab/>
      </w:r>
      <w:r w:rsidR="00290AE9" w:rsidRPr="006D3772">
        <w:rPr>
          <w:rFonts w:eastAsia="Calibri"/>
          <w:lang w:val="es-ES"/>
        </w:rPr>
        <w:t xml:space="preserve">En el Anexo 4 se </w:t>
      </w:r>
      <w:r w:rsidR="00FA0B9A" w:rsidRPr="006D3772">
        <w:rPr>
          <w:rFonts w:eastAsia="Calibri"/>
          <w:lang w:val="es-ES"/>
        </w:rPr>
        <w:t>presenta</w:t>
      </w:r>
      <w:r w:rsidR="00290AE9" w:rsidRPr="006D3772">
        <w:rPr>
          <w:rFonts w:eastAsia="Calibri"/>
          <w:lang w:val="es-ES"/>
        </w:rPr>
        <w:t xml:space="preserve"> un marco conceptual detallado para </w:t>
      </w:r>
      <w:r w:rsidR="00FA0B9A" w:rsidRPr="006D3772">
        <w:rPr>
          <w:rFonts w:eastAsia="Calibri"/>
          <w:lang w:val="es-ES"/>
        </w:rPr>
        <w:t>la preparación de</w:t>
      </w:r>
      <w:r w:rsidR="00290AE9" w:rsidRPr="006D3772">
        <w:rPr>
          <w:rFonts w:eastAsia="Calibri"/>
          <w:lang w:val="es-ES"/>
        </w:rPr>
        <w:t xml:space="preserve"> </w:t>
      </w:r>
      <w:r w:rsidR="00FA0B9A" w:rsidRPr="006D3772">
        <w:rPr>
          <w:rFonts w:eastAsia="Calibri"/>
          <w:lang w:val="es-ES"/>
        </w:rPr>
        <w:t>ediciones</w:t>
      </w:r>
      <w:r w:rsidR="00290AE9" w:rsidRPr="006D3772">
        <w:rPr>
          <w:rFonts w:eastAsia="Calibri"/>
          <w:lang w:val="es-ES"/>
        </w:rPr>
        <w:t xml:space="preserve"> </w:t>
      </w:r>
      <w:r w:rsidR="00FB5617" w:rsidRPr="006D3772">
        <w:rPr>
          <w:rFonts w:eastAsia="Calibri"/>
          <w:lang w:val="es-ES"/>
        </w:rPr>
        <w:t xml:space="preserve">futuras </w:t>
      </w:r>
      <w:r w:rsidR="00290AE9" w:rsidRPr="006D3772">
        <w:rPr>
          <w:rFonts w:eastAsia="Calibri"/>
          <w:lang w:val="es-ES"/>
        </w:rPr>
        <w:t>de la Perspectiva Mundial sobre los Humedales (</w:t>
      </w:r>
      <w:r w:rsidR="008401E5" w:rsidRPr="006D3772">
        <w:rPr>
          <w:rFonts w:eastAsia="Calibri"/>
          <w:lang w:val="es-ES"/>
        </w:rPr>
        <w:t>PMH</w:t>
      </w:r>
      <w:r w:rsidR="00290AE9" w:rsidRPr="006D3772">
        <w:rPr>
          <w:rFonts w:eastAsia="Calibri"/>
          <w:lang w:val="es-ES"/>
        </w:rPr>
        <w:t>), preparad</w:t>
      </w:r>
      <w:r w:rsidR="00B663D3" w:rsidRPr="006D3772">
        <w:rPr>
          <w:rFonts w:eastAsia="Calibri"/>
          <w:lang w:val="es-ES"/>
        </w:rPr>
        <w:t>o</w:t>
      </w:r>
      <w:r w:rsidR="00290AE9" w:rsidRPr="006D3772">
        <w:rPr>
          <w:rFonts w:eastAsia="Calibri"/>
          <w:lang w:val="es-ES"/>
        </w:rPr>
        <w:t xml:space="preserve"> por el GECT de conformidad con </w:t>
      </w:r>
      <w:r w:rsidR="00B663D3" w:rsidRPr="006D3772">
        <w:rPr>
          <w:rFonts w:eastAsia="Calibri"/>
          <w:lang w:val="es-ES"/>
        </w:rPr>
        <w:t>su</w:t>
      </w:r>
      <w:r w:rsidR="00290AE9" w:rsidRPr="006D3772">
        <w:rPr>
          <w:rFonts w:eastAsia="Calibri"/>
          <w:lang w:val="es-ES"/>
        </w:rPr>
        <w:t xml:space="preserve"> plan de trabajo </w:t>
      </w:r>
      <w:r w:rsidR="00B663D3" w:rsidRPr="006D3772">
        <w:rPr>
          <w:rFonts w:eastAsia="Calibri"/>
          <w:lang w:val="es-ES"/>
        </w:rPr>
        <w:t xml:space="preserve">para </w:t>
      </w:r>
      <w:r w:rsidR="00290AE9" w:rsidRPr="006D3772">
        <w:rPr>
          <w:rFonts w:eastAsia="Calibri"/>
          <w:lang w:val="es-ES"/>
        </w:rPr>
        <w:t>2023-2025 (Tarea 5.3). En él se define la finalidad de</w:t>
      </w:r>
      <w:r w:rsidR="008401E5" w:rsidRPr="006D3772">
        <w:rPr>
          <w:rFonts w:eastAsia="Calibri"/>
          <w:lang w:val="es-ES"/>
        </w:rPr>
        <w:t xml:space="preserve"> la PMH </w:t>
      </w:r>
      <w:r w:rsidR="00290AE9" w:rsidRPr="006D3772">
        <w:rPr>
          <w:rFonts w:eastAsia="Calibri"/>
          <w:lang w:val="es-ES"/>
        </w:rPr>
        <w:t xml:space="preserve">como producto emblemático de la Convención sobre los Humedales, en consonancia con el Plan Estratégico y otros </w:t>
      </w:r>
      <w:r w:rsidR="00B663D3" w:rsidRPr="006D3772">
        <w:rPr>
          <w:rFonts w:eastAsia="Calibri"/>
          <w:lang w:val="es-ES"/>
        </w:rPr>
        <w:t>a</w:t>
      </w:r>
      <w:r w:rsidR="00290AE9" w:rsidRPr="006D3772">
        <w:rPr>
          <w:rFonts w:eastAsia="Calibri"/>
          <w:lang w:val="es-ES"/>
        </w:rPr>
        <w:t xml:space="preserve">cuerdos </w:t>
      </w:r>
      <w:r w:rsidR="00B663D3" w:rsidRPr="006D3772">
        <w:rPr>
          <w:rFonts w:eastAsia="Calibri"/>
          <w:lang w:val="es-ES"/>
        </w:rPr>
        <w:t>m</w:t>
      </w:r>
      <w:r w:rsidR="00290AE9" w:rsidRPr="006D3772">
        <w:rPr>
          <w:rFonts w:eastAsia="Calibri"/>
          <w:lang w:val="es-ES"/>
        </w:rPr>
        <w:t>ultilaterales sobre</w:t>
      </w:r>
      <w:r w:rsidR="00B663D3" w:rsidRPr="006D3772">
        <w:rPr>
          <w:rFonts w:eastAsia="Calibri"/>
          <w:lang w:val="es-ES"/>
        </w:rPr>
        <w:t xml:space="preserve"> el</w:t>
      </w:r>
      <w:r w:rsidR="00290AE9" w:rsidRPr="006D3772">
        <w:rPr>
          <w:rFonts w:eastAsia="Calibri"/>
          <w:lang w:val="es-ES"/>
        </w:rPr>
        <w:t xml:space="preserve"> </w:t>
      </w:r>
      <w:r w:rsidR="00B663D3" w:rsidRPr="006D3772">
        <w:rPr>
          <w:rFonts w:eastAsia="Calibri"/>
          <w:lang w:val="es-ES"/>
        </w:rPr>
        <w:t>m</w:t>
      </w:r>
      <w:r w:rsidR="00290AE9" w:rsidRPr="006D3772">
        <w:rPr>
          <w:rFonts w:eastAsia="Calibri"/>
          <w:lang w:val="es-ES"/>
        </w:rPr>
        <w:t xml:space="preserve">edio </w:t>
      </w:r>
      <w:r w:rsidR="00B663D3" w:rsidRPr="006D3772">
        <w:rPr>
          <w:rFonts w:eastAsia="Calibri"/>
          <w:lang w:val="es-ES"/>
        </w:rPr>
        <w:t>a</w:t>
      </w:r>
      <w:r w:rsidR="00290AE9" w:rsidRPr="006D3772">
        <w:rPr>
          <w:rFonts w:eastAsia="Calibri"/>
          <w:lang w:val="es-ES"/>
        </w:rPr>
        <w:t xml:space="preserve">mbiente (AMMA). El documento presenta un </w:t>
      </w:r>
      <w:r w:rsidR="00284EB0" w:rsidRPr="006D3772">
        <w:rPr>
          <w:rFonts w:eastAsia="Calibri"/>
          <w:lang w:val="es-ES"/>
        </w:rPr>
        <w:t>planteamiento</w:t>
      </w:r>
      <w:r w:rsidR="00290AE9" w:rsidRPr="006D3772">
        <w:rPr>
          <w:rFonts w:eastAsia="Calibri"/>
          <w:lang w:val="es-ES"/>
        </w:rPr>
        <w:t xml:space="preserve"> por </w:t>
      </w:r>
      <w:r w:rsidR="00DE1A00" w:rsidRPr="006D3772">
        <w:rPr>
          <w:rFonts w:eastAsia="Calibri"/>
          <w:lang w:val="es-ES"/>
        </w:rPr>
        <w:t>etapas</w:t>
      </w:r>
      <w:r w:rsidR="00290AE9" w:rsidRPr="006D3772">
        <w:rPr>
          <w:rFonts w:eastAsia="Calibri"/>
          <w:lang w:val="es-ES"/>
        </w:rPr>
        <w:t xml:space="preserve"> para la </w:t>
      </w:r>
      <w:r w:rsidR="00FB5617" w:rsidRPr="006D3772">
        <w:rPr>
          <w:rFonts w:eastAsia="Calibri"/>
          <w:lang w:val="es-ES"/>
        </w:rPr>
        <w:t>preparación</w:t>
      </w:r>
      <w:r w:rsidR="00290AE9" w:rsidRPr="006D3772">
        <w:rPr>
          <w:rFonts w:eastAsia="Calibri"/>
          <w:lang w:val="es-ES"/>
        </w:rPr>
        <w:t xml:space="preserve"> de la </w:t>
      </w:r>
      <w:r w:rsidR="008401E5" w:rsidRPr="006D3772">
        <w:rPr>
          <w:rFonts w:eastAsia="Calibri"/>
          <w:lang w:val="es-ES"/>
        </w:rPr>
        <w:t>PMH</w:t>
      </w:r>
      <w:r w:rsidR="00290AE9" w:rsidRPr="006D3772">
        <w:rPr>
          <w:rFonts w:eastAsia="Calibri"/>
          <w:lang w:val="es-ES"/>
        </w:rPr>
        <w:t>, abarca</w:t>
      </w:r>
      <w:r w:rsidR="00B663D3" w:rsidRPr="006D3772">
        <w:rPr>
          <w:rFonts w:eastAsia="Calibri"/>
          <w:lang w:val="es-ES"/>
        </w:rPr>
        <w:t>ndo</w:t>
      </w:r>
      <w:r w:rsidR="00290AE9" w:rsidRPr="006D3772">
        <w:rPr>
          <w:rFonts w:eastAsia="Calibri"/>
          <w:lang w:val="es-ES"/>
        </w:rPr>
        <w:t xml:space="preserve"> </w:t>
      </w:r>
      <w:r w:rsidR="00DD05DA" w:rsidRPr="006D3772">
        <w:rPr>
          <w:rFonts w:eastAsia="Calibri"/>
          <w:lang w:val="es-ES"/>
        </w:rPr>
        <w:t>la determinación del alcance</w:t>
      </w:r>
      <w:r w:rsidR="00290AE9" w:rsidRPr="006D3772">
        <w:rPr>
          <w:rFonts w:eastAsia="Calibri"/>
          <w:lang w:val="es-ES"/>
        </w:rPr>
        <w:t>, la evaluación, la revisión y las comunicaciones. E</w:t>
      </w:r>
      <w:r w:rsidR="00B663D3" w:rsidRPr="006D3772">
        <w:rPr>
          <w:rFonts w:eastAsia="Calibri"/>
          <w:lang w:val="es-ES"/>
        </w:rPr>
        <w:t>ste</w:t>
      </w:r>
      <w:r w:rsidR="00290AE9" w:rsidRPr="006D3772">
        <w:rPr>
          <w:rFonts w:eastAsia="Calibri"/>
          <w:lang w:val="es-ES"/>
        </w:rPr>
        <w:t xml:space="preserve"> </w:t>
      </w:r>
      <w:r w:rsidR="00284EB0" w:rsidRPr="006D3772">
        <w:rPr>
          <w:rFonts w:eastAsia="Calibri"/>
          <w:lang w:val="es-ES"/>
        </w:rPr>
        <w:t>planteamiento</w:t>
      </w:r>
      <w:r w:rsidR="00290AE9" w:rsidRPr="006D3772">
        <w:rPr>
          <w:rFonts w:eastAsia="Calibri"/>
          <w:lang w:val="es-ES"/>
        </w:rPr>
        <w:t xml:space="preserve"> hace hincapié en los equipos estructurados de expertos, incluidos los </w:t>
      </w:r>
      <w:r w:rsidR="00C303A5" w:rsidRPr="006D3772">
        <w:rPr>
          <w:rFonts w:eastAsia="Calibri"/>
          <w:lang w:val="es-ES"/>
        </w:rPr>
        <w:t>a</w:t>
      </w:r>
      <w:r w:rsidR="00290AE9" w:rsidRPr="006D3772">
        <w:rPr>
          <w:rFonts w:eastAsia="Calibri"/>
          <w:lang w:val="es-ES"/>
        </w:rPr>
        <w:t xml:space="preserve">utores </w:t>
      </w:r>
      <w:r w:rsidR="00C303A5" w:rsidRPr="006D3772">
        <w:rPr>
          <w:rFonts w:eastAsia="Calibri"/>
          <w:lang w:val="es-ES"/>
        </w:rPr>
        <w:t>principales c</w:t>
      </w:r>
      <w:r w:rsidR="00B663D3" w:rsidRPr="006D3772">
        <w:rPr>
          <w:rFonts w:eastAsia="Calibri"/>
          <w:lang w:val="es-ES"/>
        </w:rPr>
        <w:t xml:space="preserve">oordinadores </w:t>
      </w:r>
      <w:r w:rsidR="00290AE9" w:rsidRPr="006D3772">
        <w:rPr>
          <w:rFonts w:eastAsia="Calibri"/>
          <w:lang w:val="es-ES"/>
        </w:rPr>
        <w:t xml:space="preserve">y los </w:t>
      </w:r>
      <w:r w:rsidR="00C303A5" w:rsidRPr="006D3772">
        <w:rPr>
          <w:rFonts w:eastAsia="Calibri"/>
          <w:lang w:val="es-ES"/>
        </w:rPr>
        <w:t>a</w:t>
      </w:r>
      <w:r w:rsidR="00290AE9" w:rsidRPr="006D3772">
        <w:rPr>
          <w:rFonts w:eastAsia="Calibri"/>
          <w:lang w:val="es-ES"/>
        </w:rPr>
        <w:t xml:space="preserve">utores </w:t>
      </w:r>
      <w:r w:rsidR="00C303A5" w:rsidRPr="006D3772">
        <w:rPr>
          <w:rFonts w:eastAsia="Calibri"/>
          <w:lang w:val="es-ES"/>
        </w:rPr>
        <w:t>p</w:t>
      </w:r>
      <w:r w:rsidR="00290AE9" w:rsidRPr="006D3772">
        <w:rPr>
          <w:rFonts w:eastAsia="Calibri"/>
          <w:lang w:val="es-ES"/>
        </w:rPr>
        <w:t xml:space="preserve">rincipales, apoyados por profesionales noveles, para </w:t>
      </w:r>
      <w:r w:rsidR="00B663D3" w:rsidRPr="006D3772">
        <w:rPr>
          <w:rFonts w:eastAsia="Calibri"/>
          <w:lang w:val="es-ES"/>
        </w:rPr>
        <w:t>foment</w:t>
      </w:r>
      <w:r w:rsidR="00290AE9" w:rsidRPr="006D3772">
        <w:rPr>
          <w:rFonts w:eastAsia="Calibri"/>
          <w:lang w:val="es-ES"/>
        </w:rPr>
        <w:t xml:space="preserve">ar </w:t>
      </w:r>
      <w:r w:rsidR="00C1443F">
        <w:rPr>
          <w:rFonts w:eastAsia="Calibri"/>
          <w:lang w:val="es-ES"/>
        </w:rPr>
        <w:t xml:space="preserve">el fomento de </w:t>
      </w:r>
      <w:r w:rsidR="00290AE9" w:rsidRPr="006D3772">
        <w:rPr>
          <w:rFonts w:eastAsia="Calibri"/>
          <w:lang w:val="es-ES"/>
        </w:rPr>
        <w:t xml:space="preserve">capacidad y la diversidad. </w:t>
      </w:r>
      <w:r w:rsidR="00B663D3" w:rsidRPr="006D3772">
        <w:rPr>
          <w:rFonts w:eastAsia="Calibri"/>
          <w:lang w:val="es-ES"/>
        </w:rPr>
        <w:t>A fin de garantizar la amplia difusión y repercusión del informe, t</w:t>
      </w:r>
      <w:r w:rsidR="00290AE9" w:rsidRPr="006D3772">
        <w:rPr>
          <w:rFonts w:eastAsia="Calibri"/>
          <w:lang w:val="es-ES"/>
        </w:rPr>
        <w:t xml:space="preserve">ambién se analizan las metodologías pertinentes, las estrategias de comunicación y los mecanismos de financiación. </w:t>
      </w:r>
    </w:p>
    <w:p w14:paraId="747B8773" w14:textId="77777777" w:rsidR="00C84CDE" w:rsidRPr="006D3772" w:rsidRDefault="00C84CDE" w:rsidP="00CF6E6E">
      <w:pPr>
        <w:rPr>
          <w:rFonts w:eastAsia="Calibri"/>
          <w:lang w:val="es-ES"/>
        </w:rPr>
      </w:pPr>
    </w:p>
    <w:p w14:paraId="6024CA16" w14:textId="66E31716" w:rsidR="00DD2526" w:rsidRPr="006D3772" w:rsidRDefault="00C84CDE" w:rsidP="00DD2526">
      <w:pPr>
        <w:ind w:left="432" w:hanging="432"/>
        <w:rPr>
          <w:rFonts w:eastAsia="Calibri"/>
          <w:lang w:val="es-ES"/>
        </w:rPr>
      </w:pPr>
      <w:r w:rsidRPr="006D3772">
        <w:rPr>
          <w:rFonts w:eastAsia="Calibri"/>
          <w:lang w:val="es-ES"/>
        </w:rPr>
        <w:t>3</w:t>
      </w:r>
      <w:r w:rsidR="006C4877">
        <w:rPr>
          <w:rFonts w:eastAsia="Calibri"/>
          <w:lang w:val="es-ES"/>
        </w:rPr>
        <w:t>2</w:t>
      </w:r>
      <w:r w:rsidRPr="006D3772">
        <w:rPr>
          <w:rFonts w:eastAsia="Calibri"/>
          <w:lang w:val="es-ES"/>
        </w:rPr>
        <w:t>.</w:t>
      </w:r>
      <w:r w:rsidRPr="006D3772">
        <w:rPr>
          <w:rFonts w:eastAsia="Calibri"/>
          <w:lang w:val="es-ES"/>
        </w:rPr>
        <w:tab/>
      </w:r>
      <w:r w:rsidR="00DD2526" w:rsidRPr="006D3772">
        <w:rPr>
          <w:rFonts w:eastAsia="Calibri"/>
          <w:lang w:val="es-ES"/>
        </w:rPr>
        <w:t xml:space="preserve">Aunque podrían </w:t>
      </w:r>
      <w:r w:rsidR="00C303A5" w:rsidRPr="006D3772">
        <w:rPr>
          <w:rFonts w:eastAsia="Calibri"/>
          <w:lang w:val="es-ES"/>
        </w:rPr>
        <w:t>tenerse en cuenta</w:t>
      </w:r>
      <w:r w:rsidR="00DD2526" w:rsidRPr="006D3772">
        <w:rPr>
          <w:rFonts w:eastAsia="Calibri"/>
          <w:lang w:val="es-ES"/>
        </w:rPr>
        <w:t xml:space="preserve"> </w:t>
      </w:r>
      <w:r w:rsidR="00284EB0" w:rsidRPr="006D3772">
        <w:rPr>
          <w:rFonts w:eastAsia="Calibri"/>
          <w:lang w:val="es-ES"/>
        </w:rPr>
        <w:t>planteamiento</w:t>
      </w:r>
      <w:r w:rsidR="00DD2526" w:rsidRPr="006D3772">
        <w:rPr>
          <w:rFonts w:eastAsia="Calibri"/>
          <w:lang w:val="es-ES"/>
        </w:rPr>
        <w:t>s alternativos, como los utilizados por el Convenio sobre la Diversidad Biológica (CDB) o</w:t>
      </w:r>
      <w:r w:rsidR="00DE1A00" w:rsidRPr="006D3772">
        <w:rPr>
          <w:rFonts w:eastAsia="Calibri"/>
          <w:lang w:val="es-ES"/>
        </w:rPr>
        <w:t xml:space="preserve"> el informe</w:t>
      </w:r>
      <w:r w:rsidR="00DD2526" w:rsidRPr="006D3772">
        <w:rPr>
          <w:rFonts w:eastAsia="Calibri"/>
          <w:lang w:val="es-ES"/>
        </w:rPr>
        <w:t xml:space="preserve"> Perspectiva</w:t>
      </w:r>
      <w:r w:rsidR="00DE1A00" w:rsidRPr="006D3772">
        <w:rPr>
          <w:rFonts w:eastAsia="Calibri"/>
          <w:lang w:val="es-ES"/>
        </w:rPr>
        <w:t>s del Medio Ambiente</w:t>
      </w:r>
      <w:r w:rsidR="00DD2526" w:rsidRPr="006D3772">
        <w:rPr>
          <w:rFonts w:eastAsia="Calibri"/>
          <w:lang w:val="es-ES"/>
        </w:rPr>
        <w:t xml:space="preserve"> Mundial (PNUMA), se recomienda debatir en la </w:t>
      </w:r>
      <w:r w:rsidR="00C303A5" w:rsidRPr="006D3772">
        <w:rPr>
          <w:rFonts w:eastAsia="Calibri"/>
          <w:lang w:val="es-ES"/>
        </w:rPr>
        <w:t xml:space="preserve">reunión </w:t>
      </w:r>
      <w:r w:rsidR="00DD2526" w:rsidRPr="006D3772">
        <w:rPr>
          <w:rFonts w:eastAsia="Calibri"/>
          <w:lang w:val="es-ES"/>
        </w:rPr>
        <w:t xml:space="preserve">SC64 el </w:t>
      </w:r>
      <w:r w:rsidR="008F38F7" w:rsidRPr="006D3772">
        <w:rPr>
          <w:rFonts w:eastAsia="Calibri"/>
          <w:lang w:val="es-ES"/>
        </w:rPr>
        <w:t>planteamiento</w:t>
      </w:r>
      <w:r w:rsidR="00DD2526" w:rsidRPr="006D3772">
        <w:rPr>
          <w:rFonts w:eastAsia="Calibri"/>
          <w:lang w:val="es-ES"/>
        </w:rPr>
        <w:t xml:space="preserve"> propuesto en el Anexo 4, dada su pertinencia en relación con las necesidades de la Convención. Este anexo tiene por objeto orientar la elaboración de las futuras </w:t>
      </w:r>
      <w:r w:rsidR="00C303A5" w:rsidRPr="006D3772">
        <w:rPr>
          <w:rFonts w:eastAsia="Calibri"/>
          <w:lang w:val="es-ES"/>
        </w:rPr>
        <w:t xml:space="preserve">ediciones de la </w:t>
      </w:r>
      <w:r w:rsidR="00B663D3" w:rsidRPr="006D3772">
        <w:rPr>
          <w:rFonts w:eastAsia="Calibri"/>
          <w:lang w:val="es-ES"/>
        </w:rPr>
        <w:t>PMH</w:t>
      </w:r>
      <w:r w:rsidR="00DD2526" w:rsidRPr="006D3772">
        <w:rPr>
          <w:rFonts w:eastAsia="Calibri"/>
          <w:lang w:val="es-ES"/>
        </w:rPr>
        <w:t xml:space="preserve"> y garantizar su contribución a </w:t>
      </w:r>
      <w:r w:rsidR="004B209D" w:rsidRPr="006D3772">
        <w:rPr>
          <w:rFonts w:eastAsia="Calibri"/>
          <w:lang w:val="es-ES"/>
        </w:rPr>
        <w:t>las iniciativas</w:t>
      </w:r>
      <w:r w:rsidR="00DD2526" w:rsidRPr="006D3772">
        <w:rPr>
          <w:rFonts w:eastAsia="Calibri"/>
          <w:lang w:val="es-ES"/>
        </w:rPr>
        <w:t xml:space="preserve"> mundiales de conservación de los humedales.</w:t>
      </w:r>
    </w:p>
    <w:p w14:paraId="1E43AEE0" w14:textId="5E870552" w:rsidR="00525329" w:rsidRPr="006D3772" w:rsidRDefault="00525329" w:rsidP="00211058">
      <w:pPr>
        <w:rPr>
          <w:rFonts w:eastAsia="Calibri"/>
          <w:lang w:val="es-ES"/>
        </w:rPr>
      </w:pPr>
    </w:p>
    <w:p w14:paraId="46AA967E" w14:textId="21CB6C9D" w:rsidR="002F537F" w:rsidRPr="006D3772" w:rsidRDefault="002F537F" w:rsidP="002F537F">
      <w:pPr>
        <w:keepNext/>
        <w:ind w:left="425" w:hanging="425"/>
        <w:rPr>
          <w:rFonts w:eastAsia="Calibri"/>
          <w:b/>
          <w:lang w:val="es-ES"/>
        </w:rPr>
      </w:pPr>
      <w:r w:rsidRPr="006D3772">
        <w:rPr>
          <w:rFonts w:eastAsia="Calibri"/>
          <w:b/>
          <w:lang w:val="es-ES"/>
        </w:rPr>
        <w:t xml:space="preserve">Otras tareas </w:t>
      </w:r>
      <w:r w:rsidR="00DE1A00" w:rsidRPr="006D3772">
        <w:rPr>
          <w:rFonts w:eastAsia="Calibri"/>
          <w:b/>
          <w:lang w:val="es-ES"/>
        </w:rPr>
        <w:t xml:space="preserve">continuas </w:t>
      </w:r>
      <w:r w:rsidRPr="006D3772">
        <w:rPr>
          <w:rFonts w:eastAsia="Calibri"/>
          <w:b/>
          <w:lang w:val="es-ES"/>
        </w:rPr>
        <w:t>y solicitudes ad hoc</w:t>
      </w:r>
    </w:p>
    <w:p w14:paraId="6848B0DD" w14:textId="77777777" w:rsidR="00930A41" w:rsidRPr="006D3772" w:rsidRDefault="00930A41" w:rsidP="00B0075C">
      <w:pPr>
        <w:rPr>
          <w:rFonts w:eastAsia="Calibri"/>
          <w:b/>
          <w:lang w:val="es-ES"/>
        </w:rPr>
      </w:pPr>
    </w:p>
    <w:p w14:paraId="79724F56" w14:textId="6F827508" w:rsidR="002F537F" w:rsidRPr="006D3772" w:rsidRDefault="00211058" w:rsidP="002F537F">
      <w:pPr>
        <w:ind w:left="432" w:hanging="432"/>
        <w:rPr>
          <w:rFonts w:eastAsia="Calibri"/>
          <w:lang w:val="es-ES"/>
        </w:rPr>
      </w:pPr>
      <w:r w:rsidRPr="006D3772">
        <w:rPr>
          <w:rFonts w:eastAsia="Calibri"/>
          <w:lang w:val="es-ES"/>
        </w:rPr>
        <w:t>3</w:t>
      </w:r>
      <w:r w:rsidR="006C4877">
        <w:rPr>
          <w:rFonts w:eastAsia="Calibri"/>
          <w:lang w:val="es-ES"/>
        </w:rPr>
        <w:t>3</w:t>
      </w:r>
      <w:r w:rsidR="00F319AD" w:rsidRPr="006D3772">
        <w:rPr>
          <w:rFonts w:eastAsia="Calibri"/>
          <w:lang w:val="es-ES"/>
        </w:rPr>
        <w:t>.</w:t>
      </w:r>
      <w:r w:rsidR="00F319AD" w:rsidRPr="006D3772">
        <w:rPr>
          <w:rFonts w:eastAsia="Calibri"/>
          <w:lang w:val="es-ES"/>
        </w:rPr>
        <w:tab/>
      </w:r>
      <w:r w:rsidR="002F537F" w:rsidRPr="006D3772">
        <w:rPr>
          <w:rFonts w:eastAsia="Calibri"/>
          <w:lang w:val="es-ES"/>
        </w:rPr>
        <w:t xml:space="preserve">La labor del Grupo </w:t>
      </w:r>
      <w:r w:rsidR="00F840EA" w:rsidRPr="006D3772">
        <w:rPr>
          <w:rFonts w:eastAsia="Calibri"/>
          <w:lang w:val="es-ES"/>
        </w:rPr>
        <w:t>comprende</w:t>
      </w:r>
      <w:r w:rsidR="002F537F" w:rsidRPr="006D3772">
        <w:rPr>
          <w:rFonts w:eastAsia="Calibri"/>
          <w:lang w:val="es-ES"/>
        </w:rPr>
        <w:t xml:space="preserve"> varias funciones de asesoramiento </w:t>
      </w:r>
      <w:r w:rsidR="00DE1A00" w:rsidRPr="006D3772">
        <w:rPr>
          <w:rFonts w:eastAsia="Calibri"/>
          <w:lang w:val="es-ES"/>
        </w:rPr>
        <w:t xml:space="preserve">continuas </w:t>
      </w:r>
      <w:r w:rsidR="002F537F" w:rsidRPr="006D3772">
        <w:rPr>
          <w:rFonts w:eastAsia="Calibri"/>
          <w:lang w:val="es-ES"/>
        </w:rPr>
        <w:t>y ad hoc. El GECT colabora con los siguientes grupos y foros:</w:t>
      </w:r>
    </w:p>
    <w:p w14:paraId="1C966B1F" w14:textId="77777777" w:rsidR="00525329" w:rsidRPr="006D3772" w:rsidRDefault="00525329" w:rsidP="00525329">
      <w:pPr>
        <w:ind w:left="432" w:hanging="432"/>
        <w:rPr>
          <w:rFonts w:eastAsia="Calibri"/>
          <w:bCs w:val="0"/>
          <w:lang w:val="es-ES"/>
        </w:rPr>
      </w:pPr>
    </w:p>
    <w:p w14:paraId="1F072B03" w14:textId="2A63164F" w:rsidR="002F537F" w:rsidRPr="006D3772" w:rsidRDefault="002F537F" w:rsidP="002F537F">
      <w:pPr>
        <w:pStyle w:val="ListParagraph"/>
        <w:numPr>
          <w:ilvl w:val="0"/>
          <w:numId w:val="18"/>
        </w:numPr>
        <w:ind w:left="851" w:hanging="425"/>
        <w:rPr>
          <w:rFonts w:eastAsia="Calibri"/>
          <w:bCs w:val="0"/>
          <w:lang w:val="es-ES"/>
        </w:rPr>
      </w:pPr>
      <w:r w:rsidRPr="006D3772">
        <w:rPr>
          <w:rFonts w:eastAsia="Calibri"/>
          <w:bCs w:val="0"/>
          <w:lang w:val="es-ES"/>
        </w:rPr>
        <w:t xml:space="preserve">Grupo de Trabajo </w:t>
      </w:r>
      <w:r w:rsidR="00C303A5" w:rsidRPr="006D3772">
        <w:rPr>
          <w:rFonts w:eastAsia="Calibri"/>
          <w:bCs w:val="0"/>
          <w:lang w:val="es-ES"/>
        </w:rPr>
        <w:t>sobre el</w:t>
      </w:r>
      <w:r w:rsidRPr="006D3772">
        <w:rPr>
          <w:rFonts w:eastAsia="Calibri"/>
          <w:bCs w:val="0"/>
          <w:lang w:val="es-ES"/>
        </w:rPr>
        <w:t xml:space="preserve"> Plan Estratégic</w:t>
      </w:r>
      <w:r w:rsidR="00C303A5" w:rsidRPr="006D3772">
        <w:rPr>
          <w:rFonts w:eastAsia="Calibri"/>
          <w:bCs w:val="0"/>
          <w:lang w:val="es-ES"/>
        </w:rPr>
        <w:t>o</w:t>
      </w:r>
      <w:r w:rsidRPr="006D3772">
        <w:rPr>
          <w:rFonts w:eastAsia="Calibri"/>
          <w:bCs w:val="0"/>
          <w:lang w:val="es-ES"/>
        </w:rPr>
        <w:t>: de conformidad con el párrafo 23 de la Resolución XIV.4, el Dr. Hugh Robertson, Presidente del GECT, ha participado en e</w:t>
      </w:r>
      <w:r w:rsidR="00C303A5" w:rsidRPr="006D3772">
        <w:rPr>
          <w:rFonts w:eastAsia="Calibri"/>
          <w:bCs w:val="0"/>
          <w:lang w:val="es-ES"/>
        </w:rPr>
        <w:t xml:space="preserve">ste grupo de trabajo </w:t>
      </w:r>
      <w:r w:rsidRPr="006D3772">
        <w:rPr>
          <w:rFonts w:eastAsia="Calibri"/>
          <w:bCs w:val="0"/>
          <w:lang w:val="es-ES"/>
        </w:rPr>
        <w:t xml:space="preserve">en nombre del GECT, </w:t>
      </w:r>
      <w:r w:rsidR="00B901A3">
        <w:rPr>
          <w:rFonts w:eastAsia="Calibri"/>
          <w:bCs w:val="0"/>
          <w:lang w:val="es-ES"/>
        </w:rPr>
        <w:t>brindando</w:t>
      </w:r>
      <w:r w:rsidRPr="006D3772">
        <w:rPr>
          <w:rFonts w:eastAsia="Calibri"/>
          <w:bCs w:val="0"/>
          <w:lang w:val="es-ES"/>
        </w:rPr>
        <w:t xml:space="preserve"> asesoramiento técnico.</w:t>
      </w:r>
    </w:p>
    <w:p w14:paraId="1FB6606D" w14:textId="0AA9992F" w:rsidR="002F537F" w:rsidRPr="006D3772" w:rsidRDefault="002F537F" w:rsidP="002F537F">
      <w:pPr>
        <w:pStyle w:val="ListParagraph"/>
        <w:numPr>
          <w:ilvl w:val="0"/>
          <w:numId w:val="18"/>
        </w:numPr>
        <w:ind w:left="851" w:hanging="425"/>
        <w:rPr>
          <w:rFonts w:eastAsia="Calibri"/>
          <w:bCs w:val="0"/>
          <w:lang w:val="es-ES"/>
        </w:rPr>
      </w:pPr>
      <w:r w:rsidRPr="006D3772">
        <w:rPr>
          <w:rFonts w:eastAsia="Calibri"/>
          <w:bCs w:val="0"/>
          <w:lang w:val="es-ES"/>
        </w:rPr>
        <w:t xml:space="preserve">Grupo de trabajo sobre la actualización de las Fichas Informativas </w:t>
      </w:r>
      <w:r w:rsidR="00C303A5" w:rsidRPr="006D3772">
        <w:rPr>
          <w:rFonts w:eastAsia="Calibri"/>
          <w:bCs w:val="0"/>
          <w:lang w:val="es-ES"/>
        </w:rPr>
        <w:t xml:space="preserve">de </w:t>
      </w:r>
      <w:r w:rsidRPr="006D3772">
        <w:rPr>
          <w:rFonts w:eastAsia="Calibri"/>
          <w:bCs w:val="0"/>
          <w:lang w:val="es-ES"/>
        </w:rPr>
        <w:t xml:space="preserve">Ramsar: el Presidente del GECT ha participado en la reunión </w:t>
      </w:r>
      <w:r w:rsidR="00C303A5" w:rsidRPr="006D3772">
        <w:rPr>
          <w:rFonts w:eastAsia="Calibri"/>
          <w:bCs w:val="0"/>
          <w:lang w:val="es-ES"/>
        </w:rPr>
        <w:t>de este</w:t>
      </w:r>
      <w:r w:rsidRPr="006D3772">
        <w:rPr>
          <w:rFonts w:eastAsia="Calibri"/>
          <w:bCs w:val="0"/>
          <w:lang w:val="es-ES"/>
        </w:rPr>
        <w:t xml:space="preserve"> grupo de trabajo en nombre del GECT.</w:t>
      </w:r>
    </w:p>
    <w:p w14:paraId="07C688D4" w14:textId="769C6F0B" w:rsidR="002F537F" w:rsidRPr="006D3772" w:rsidRDefault="002F537F" w:rsidP="002F537F">
      <w:pPr>
        <w:pStyle w:val="ListParagraph"/>
        <w:numPr>
          <w:ilvl w:val="0"/>
          <w:numId w:val="18"/>
        </w:numPr>
        <w:ind w:left="851" w:hanging="425"/>
        <w:rPr>
          <w:rFonts w:eastAsia="Calibri"/>
          <w:bCs w:val="0"/>
          <w:lang w:val="es-ES"/>
        </w:rPr>
      </w:pPr>
      <w:r w:rsidRPr="006D3772">
        <w:rPr>
          <w:rFonts w:eastAsia="Calibri"/>
          <w:bCs w:val="0"/>
          <w:lang w:val="es-ES"/>
        </w:rPr>
        <w:t xml:space="preserve">Comité </w:t>
      </w:r>
      <w:r w:rsidR="00C303A5" w:rsidRPr="006D3772">
        <w:rPr>
          <w:rFonts w:eastAsia="Calibri"/>
          <w:bCs w:val="0"/>
          <w:lang w:val="es-ES"/>
        </w:rPr>
        <w:t>A</w:t>
      </w:r>
      <w:r w:rsidRPr="006D3772">
        <w:rPr>
          <w:rFonts w:eastAsia="Calibri"/>
          <w:bCs w:val="0"/>
          <w:lang w:val="es-ES"/>
        </w:rPr>
        <w:t xml:space="preserve">sesor </w:t>
      </w:r>
      <w:r w:rsidR="00C303A5" w:rsidRPr="006D3772">
        <w:rPr>
          <w:rFonts w:eastAsia="Calibri"/>
          <w:bCs w:val="0"/>
          <w:lang w:val="es-ES"/>
        </w:rPr>
        <w:t>I</w:t>
      </w:r>
      <w:r w:rsidRPr="006D3772">
        <w:rPr>
          <w:rFonts w:eastAsia="Calibri"/>
          <w:bCs w:val="0"/>
          <w:lang w:val="es-ES"/>
        </w:rPr>
        <w:t xml:space="preserve">ndependiente </w:t>
      </w:r>
      <w:r w:rsidR="00C303A5" w:rsidRPr="006D3772">
        <w:rPr>
          <w:rFonts w:eastAsia="Calibri"/>
          <w:bCs w:val="0"/>
          <w:lang w:val="es-ES"/>
        </w:rPr>
        <w:t>de</w:t>
      </w:r>
      <w:r w:rsidRPr="006D3772">
        <w:rPr>
          <w:rFonts w:eastAsia="Calibri"/>
          <w:bCs w:val="0"/>
          <w:lang w:val="es-ES"/>
        </w:rPr>
        <w:t xml:space="preserve"> la acreditación de Ciudad de Humedal: Matthew Simpson</w:t>
      </w:r>
      <w:r w:rsidR="00C303A5" w:rsidRPr="006D3772">
        <w:rPr>
          <w:rFonts w:eastAsia="Calibri"/>
          <w:bCs w:val="0"/>
          <w:lang w:val="es-ES"/>
        </w:rPr>
        <w:t xml:space="preserve">, observador del GECT, </w:t>
      </w:r>
      <w:r w:rsidRPr="006D3772">
        <w:rPr>
          <w:rFonts w:eastAsia="Calibri"/>
          <w:bCs w:val="0"/>
          <w:lang w:val="es-ES"/>
        </w:rPr>
        <w:t xml:space="preserve">participó en las reuniones del </w:t>
      </w:r>
      <w:r w:rsidR="00C303A5" w:rsidRPr="006D3772">
        <w:rPr>
          <w:rFonts w:eastAsia="Calibri"/>
          <w:bCs w:val="0"/>
          <w:lang w:val="es-ES"/>
        </w:rPr>
        <w:t>Comité</w:t>
      </w:r>
      <w:r w:rsidR="00F840EA" w:rsidRPr="006D3772">
        <w:rPr>
          <w:rFonts w:eastAsia="Calibri"/>
          <w:bCs w:val="0"/>
          <w:lang w:val="es-ES"/>
        </w:rPr>
        <w:t>.</w:t>
      </w:r>
    </w:p>
    <w:p w14:paraId="1471F638" w14:textId="195DAEE0" w:rsidR="002F537F" w:rsidRPr="006D3772" w:rsidRDefault="002F537F" w:rsidP="002F537F">
      <w:pPr>
        <w:pStyle w:val="ListParagraph"/>
        <w:numPr>
          <w:ilvl w:val="0"/>
          <w:numId w:val="18"/>
        </w:numPr>
        <w:ind w:left="851" w:hanging="425"/>
        <w:rPr>
          <w:rFonts w:eastAsia="Calibri"/>
          <w:bCs w:val="0"/>
          <w:lang w:val="es-ES"/>
        </w:rPr>
      </w:pPr>
      <w:r w:rsidRPr="006D3772">
        <w:rPr>
          <w:rFonts w:eastAsia="Calibri"/>
          <w:bCs w:val="0"/>
          <w:lang w:val="es-ES"/>
        </w:rPr>
        <w:t xml:space="preserve">Grupo de supervisión de las actividades de CECoP: En el Anexo 3 de la Resolución XIV.8 se </w:t>
      </w:r>
      <w:r w:rsidR="00F840EA" w:rsidRPr="006D3772">
        <w:rPr>
          <w:rFonts w:eastAsia="Calibri"/>
          <w:bCs w:val="0"/>
          <w:lang w:val="es-ES"/>
        </w:rPr>
        <w:t>solicita</w:t>
      </w:r>
      <w:r w:rsidRPr="006D3772">
        <w:rPr>
          <w:rFonts w:eastAsia="Calibri"/>
          <w:bCs w:val="0"/>
          <w:lang w:val="es-ES"/>
        </w:rPr>
        <w:t xml:space="preserve"> al GECT que designe a un representante para formar parte del Grupo de supervisión de las actividades de CECoP. El Dr. Ritesh Kumar, </w:t>
      </w:r>
      <w:r w:rsidR="00DE1A00" w:rsidRPr="006D3772">
        <w:rPr>
          <w:rFonts w:eastAsia="Calibri"/>
          <w:bCs w:val="0"/>
          <w:lang w:val="es-ES"/>
        </w:rPr>
        <w:t>e</w:t>
      </w:r>
      <w:r w:rsidRPr="006D3772">
        <w:rPr>
          <w:rFonts w:eastAsia="Calibri"/>
          <w:bCs w:val="0"/>
          <w:lang w:val="es-ES"/>
        </w:rPr>
        <w:t xml:space="preserve">xperto </w:t>
      </w:r>
      <w:r w:rsidR="00DE1A00" w:rsidRPr="006D3772">
        <w:rPr>
          <w:rFonts w:eastAsia="Calibri"/>
          <w:bCs w:val="0"/>
          <w:lang w:val="es-ES"/>
        </w:rPr>
        <w:t>t</w:t>
      </w:r>
      <w:r w:rsidRPr="006D3772">
        <w:rPr>
          <w:rFonts w:eastAsia="Calibri"/>
          <w:bCs w:val="0"/>
          <w:lang w:val="es-ES"/>
        </w:rPr>
        <w:t xml:space="preserve">écnico del GECT, ha </w:t>
      </w:r>
      <w:r w:rsidRPr="006D3772">
        <w:rPr>
          <w:rFonts w:eastAsia="Calibri"/>
          <w:bCs w:val="0"/>
          <w:lang w:val="es-ES"/>
        </w:rPr>
        <w:lastRenderedPageBreak/>
        <w:t>sido nombrado representante del GECT y participa activamente en las reuniones de</w:t>
      </w:r>
      <w:r w:rsidR="00C303A5" w:rsidRPr="006D3772">
        <w:rPr>
          <w:rFonts w:eastAsia="Calibri"/>
          <w:bCs w:val="0"/>
          <w:lang w:val="es-ES"/>
        </w:rPr>
        <w:t xml:space="preserve"> este</w:t>
      </w:r>
      <w:r w:rsidRPr="006D3772">
        <w:rPr>
          <w:rFonts w:eastAsia="Calibri"/>
          <w:bCs w:val="0"/>
          <w:lang w:val="es-ES"/>
        </w:rPr>
        <w:t xml:space="preserve"> </w:t>
      </w:r>
      <w:r w:rsidR="00C303A5" w:rsidRPr="006D3772">
        <w:rPr>
          <w:rFonts w:eastAsia="Calibri"/>
          <w:bCs w:val="0"/>
          <w:lang w:val="es-ES"/>
        </w:rPr>
        <w:t>g</w:t>
      </w:r>
      <w:r w:rsidRPr="006D3772">
        <w:rPr>
          <w:rFonts w:eastAsia="Calibri"/>
          <w:bCs w:val="0"/>
          <w:lang w:val="es-ES"/>
        </w:rPr>
        <w:t>rupo.</w:t>
      </w:r>
    </w:p>
    <w:p w14:paraId="36C6B1B2" w14:textId="4AFE9398" w:rsidR="00140922" w:rsidRPr="006D3772" w:rsidRDefault="00F840EA" w:rsidP="00140922">
      <w:pPr>
        <w:pStyle w:val="ListParagraph"/>
        <w:numPr>
          <w:ilvl w:val="0"/>
          <w:numId w:val="18"/>
        </w:numPr>
        <w:ind w:left="851" w:hanging="425"/>
        <w:rPr>
          <w:rFonts w:eastAsia="Calibri"/>
          <w:bCs w:val="0"/>
          <w:lang w:val="es-ES"/>
        </w:rPr>
      </w:pPr>
      <w:r w:rsidRPr="006D3772">
        <w:rPr>
          <w:rFonts w:eastAsia="Calibri"/>
          <w:bCs w:val="0"/>
          <w:lang w:val="es-ES"/>
        </w:rPr>
        <w:t>Grupo</w:t>
      </w:r>
      <w:r w:rsidR="00140922" w:rsidRPr="006D3772">
        <w:rPr>
          <w:rFonts w:eastAsia="Calibri"/>
          <w:bCs w:val="0"/>
          <w:lang w:val="es-ES"/>
        </w:rPr>
        <w:t xml:space="preserve"> multidisciplinario de expertos (GME) de la Plataforma </w:t>
      </w:r>
      <w:r w:rsidR="00F063F5" w:rsidRPr="006D3772">
        <w:rPr>
          <w:rFonts w:eastAsia="Calibri"/>
          <w:bCs w:val="0"/>
          <w:lang w:val="es-ES"/>
        </w:rPr>
        <w:t>I</w:t>
      </w:r>
      <w:r w:rsidR="00140922" w:rsidRPr="006D3772">
        <w:rPr>
          <w:rFonts w:eastAsia="Calibri"/>
          <w:bCs w:val="0"/>
          <w:lang w:val="es-ES"/>
        </w:rPr>
        <w:t xml:space="preserve">ntergubernamental </w:t>
      </w:r>
      <w:r w:rsidR="00F063F5" w:rsidRPr="006D3772">
        <w:rPr>
          <w:rFonts w:eastAsia="Calibri"/>
          <w:bCs w:val="0"/>
          <w:lang w:val="es-ES"/>
        </w:rPr>
        <w:t>C</w:t>
      </w:r>
      <w:r w:rsidR="00140922" w:rsidRPr="006D3772">
        <w:rPr>
          <w:rFonts w:eastAsia="Calibri"/>
          <w:bCs w:val="0"/>
          <w:lang w:val="es-ES"/>
        </w:rPr>
        <w:t xml:space="preserve">ientífico-normativa sobre </w:t>
      </w:r>
      <w:r w:rsidR="00F063F5" w:rsidRPr="006D3772">
        <w:rPr>
          <w:rFonts w:eastAsia="Calibri"/>
          <w:bCs w:val="0"/>
          <w:lang w:val="es-ES"/>
        </w:rPr>
        <w:t>D</w:t>
      </w:r>
      <w:r w:rsidR="00140922" w:rsidRPr="006D3772">
        <w:rPr>
          <w:rFonts w:eastAsia="Calibri"/>
          <w:bCs w:val="0"/>
          <w:lang w:val="es-ES"/>
        </w:rPr>
        <w:t xml:space="preserve">iversidad </w:t>
      </w:r>
      <w:r w:rsidR="00F063F5" w:rsidRPr="006D3772">
        <w:rPr>
          <w:rFonts w:eastAsia="Calibri"/>
          <w:bCs w:val="0"/>
          <w:lang w:val="es-ES"/>
        </w:rPr>
        <w:t>B</w:t>
      </w:r>
      <w:r w:rsidR="00140922" w:rsidRPr="006D3772">
        <w:rPr>
          <w:rFonts w:eastAsia="Calibri"/>
          <w:bCs w:val="0"/>
          <w:lang w:val="es-ES"/>
        </w:rPr>
        <w:t xml:space="preserve">iológica y </w:t>
      </w:r>
      <w:r w:rsidR="00F063F5" w:rsidRPr="006D3772">
        <w:rPr>
          <w:rFonts w:eastAsia="Calibri"/>
          <w:bCs w:val="0"/>
          <w:lang w:val="es-ES"/>
        </w:rPr>
        <w:t>S</w:t>
      </w:r>
      <w:r w:rsidR="00140922" w:rsidRPr="006D3772">
        <w:rPr>
          <w:rFonts w:eastAsia="Calibri"/>
          <w:bCs w:val="0"/>
          <w:lang w:val="es-ES"/>
        </w:rPr>
        <w:t xml:space="preserve">ervicios de los </w:t>
      </w:r>
      <w:r w:rsidR="00F063F5" w:rsidRPr="006D3772">
        <w:rPr>
          <w:rFonts w:eastAsia="Calibri"/>
          <w:bCs w:val="0"/>
          <w:lang w:val="es-ES"/>
        </w:rPr>
        <w:t>E</w:t>
      </w:r>
      <w:r w:rsidR="00140922" w:rsidRPr="006D3772">
        <w:rPr>
          <w:rFonts w:eastAsia="Calibri"/>
          <w:bCs w:val="0"/>
          <w:lang w:val="es-ES"/>
        </w:rPr>
        <w:t>cosistemas (IPBES): el Presidente del GECT es miembro ex oficio del GM</w:t>
      </w:r>
      <w:r w:rsidRPr="006D3772">
        <w:rPr>
          <w:rFonts w:eastAsia="Calibri"/>
          <w:bCs w:val="0"/>
          <w:lang w:val="es-ES"/>
        </w:rPr>
        <w:t>E</w:t>
      </w:r>
      <w:r w:rsidR="00140922" w:rsidRPr="006D3772">
        <w:rPr>
          <w:rFonts w:eastAsia="Calibri"/>
          <w:bCs w:val="0"/>
          <w:lang w:val="es-ES"/>
        </w:rPr>
        <w:t xml:space="preserve">. El Presidente del GECT asistió a la 22ª Reunión del GME y la </w:t>
      </w:r>
      <w:r w:rsidR="00DE1A00" w:rsidRPr="006D3772">
        <w:rPr>
          <w:rFonts w:eastAsia="Calibri"/>
          <w:bCs w:val="0"/>
          <w:lang w:val="es-ES"/>
        </w:rPr>
        <w:t>Mesa</w:t>
      </w:r>
      <w:r w:rsidRPr="006D3772">
        <w:rPr>
          <w:rFonts w:eastAsia="Calibri"/>
          <w:bCs w:val="0"/>
          <w:lang w:val="es-ES"/>
        </w:rPr>
        <w:t xml:space="preserve"> de la IPBES</w:t>
      </w:r>
      <w:r w:rsidR="00140922" w:rsidRPr="006D3772">
        <w:rPr>
          <w:rFonts w:eastAsia="Calibri"/>
          <w:bCs w:val="0"/>
          <w:lang w:val="es-ES"/>
        </w:rPr>
        <w:t xml:space="preserve">, celebrada del 1 al 8 de julio de 2024, y realizó una breve presentación sobre las tareas prioritarias del GECT </w:t>
      </w:r>
      <w:r w:rsidR="00DE1A00" w:rsidRPr="006D3772">
        <w:rPr>
          <w:rFonts w:eastAsia="Calibri"/>
          <w:bCs w:val="0"/>
          <w:lang w:val="es-ES"/>
        </w:rPr>
        <w:t>que están en consonancia</w:t>
      </w:r>
      <w:r w:rsidR="00140922" w:rsidRPr="006D3772">
        <w:rPr>
          <w:rFonts w:eastAsia="Calibri"/>
          <w:bCs w:val="0"/>
          <w:lang w:val="es-ES"/>
        </w:rPr>
        <w:t xml:space="preserve"> con el programa de trabajo de </w:t>
      </w:r>
      <w:r w:rsidRPr="006D3772">
        <w:rPr>
          <w:rFonts w:eastAsia="Calibri"/>
          <w:bCs w:val="0"/>
          <w:lang w:val="es-ES"/>
        </w:rPr>
        <w:t xml:space="preserve">la </w:t>
      </w:r>
      <w:r w:rsidR="00140922" w:rsidRPr="006D3772">
        <w:rPr>
          <w:rFonts w:eastAsia="Calibri"/>
          <w:bCs w:val="0"/>
          <w:lang w:val="es-ES"/>
        </w:rPr>
        <w:t>IPBES.</w:t>
      </w:r>
    </w:p>
    <w:p w14:paraId="2FE101B6" w14:textId="77777777" w:rsidR="002E3D9F" w:rsidRPr="006D3772" w:rsidRDefault="002E3D9F" w:rsidP="002E3D9F">
      <w:pPr>
        <w:pStyle w:val="ListParagraph"/>
        <w:numPr>
          <w:ilvl w:val="0"/>
          <w:numId w:val="18"/>
        </w:numPr>
        <w:ind w:left="851" w:hanging="425"/>
        <w:rPr>
          <w:rFonts w:eastAsia="Calibri"/>
          <w:bCs w:val="0"/>
          <w:lang w:val="es-ES"/>
        </w:rPr>
      </w:pPr>
      <w:r w:rsidRPr="006D3772">
        <w:rPr>
          <w:rFonts w:eastAsia="Calibri"/>
          <w:bCs w:val="0"/>
          <w:lang w:val="es-ES"/>
        </w:rPr>
        <w:t>El comité asesor de la evaluación Ramsar de Ucrania: El Dr. Laurent Durieux, experto científico del GECT, participa en el comité asesor.</w:t>
      </w:r>
    </w:p>
    <w:p w14:paraId="60957951" w14:textId="77777777" w:rsidR="00307F11" w:rsidRPr="006D3772" w:rsidRDefault="00307F11" w:rsidP="00B0075C">
      <w:pPr>
        <w:rPr>
          <w:rFonts w:eastAsia="Calibri"/>
          <w:b/>
          <w:lang w:val="es-ES"/>
        </w:rPr>
      </w:pPr>
    </w:p>
    <w:p w14:paraId="0FB1FD66" w14:textId="77777777" w:rsidR="002E3D9F" w:rsidRPr="006D3772" w:rsidRDefault="002E3D9F" w:rsidP="00B0075C">
      <w:pPr>
        <w:keepNext/>
        <w:ind w:left="425" w:hanging="425"/>
        <w:rPr>
          <w:rFonts w:eastAsia="Calibri"/>
          <w:b/>
          <w:lang w:val="es-ES"/>
        </w:rPr>
      </w:pPr>
      <w:r w:rsidRPr="006D3772">
        <w:rPr>
          <w:rFonts w:eastAsia="Calibri"/>
          <w:b/>
          <w:lang w:val="es-ES"/>
        </w:rPr>
        <w:t>Recomendaciones</w:t>
      </w:r>
    </w:p>
    <w:p w14:paraId="22C285D7" w14:textId="77777777" w:rsidR="00DF7BA8" w:rsidRPr="006D3772" w:rsidRDefault="00DF7BA8" w:rsidP="00E952E3">
      <w:pPr>
        <w:rPr>
          <w:lang w:val="es-ES" w:eastAsia="zh-CN"/>
        </w:rPr>
      </w:pPr>
    </w:p>
    <w:p w14:paraId="7AEBC676" w14:textId="0BC82429" w:rsidR="00F063F5" w:rsidRPr="006D3772" w:rsidRDefault="00C56446" w:rsidP="00267954">
      <w:pPr>
        <w:ind w:left="432" w:hanging="432"/>
        <w:rPr>
          <w:lang w:val="es-ES" w:eastAsia="zh-CN"/>
        </w:rPr>
      </w:pPr>
      <w:r w:rsidRPr="006D3772">
        <w:rPr>
          <w:lang w:val="es-ES" w:eastAsia="zh-CN"/>
        </w:rPr>
        <w:t>3</w:t>
      </w:r>
      <w:r w:rsidR="006C4877">
        <w:rPr>
          <w:lang w:val="es-ES" w:eastAsia="zh-CN"/>
        </w:rPr>
        <w:t>4</w:t>
      </w:r>
      <w:r w:rsidR="00F319AD" w:rsidRPr="006D3772">
        <w:rPr>
          <w:lang w:val="es-ES" w:eastAsia="zh-CN"/>
        </w:rPr>
        <w:t>.</w:t>
      </w:r>
      <w:r w:rsidR="00F319AD" w:rsidRPr="006D3772">
        <w:rPr>
          <w:lang w:val="es-ES" w:eastAsia="zh-CN"/>
        </w:rPr>
        <w:tab/>
      </w:r>
      <w:r w:rsidR="00F063F5" w:rsidRPr="006D3772">
        <w:rPr>
          <w:lang w:val="es-ES" w:eastAsia="zh-CN"/>
        </w:rPr>
        <w:t>Se invita al Comité Permanente a</w:t>
      </w:r>
      <w:r w:rsidR="00C303A5" w:rsidRPr="006D3772">
        <w:rPr>
          <w:lang w:val="es-ES" w:eastAsia="zh-CN"/>
        </w:rPr>
        <w:t xml:space="preserve"> hacer lo siguiente</w:t>
      </w:r>
      <w:r w:rsidR="00F063F5" w:rsidRPr="006D3772">
        <w:rPr>
          <w:lang w:val="es-ES" w:eastAsia="zh-CN"/>
        </w:rPr>
        <w:t>:</w:t>
      </w:r>
    </w:p>
    <w:p w14:paraId="471F735A" w14:textId="77777777" w:rsidR="001A75C9" w:rsidRPr="006D3772" w:rsidRDefault="001A75C9" w:rsidP="00E952E3">
      <w:pPr>
        <w:rPr>
          <w:lang w:val="es-ES" w:eastAsia="zh-CN"/>
        </w:rPr>
      </w:pPr>
    </w:p>
    <w:p w14:paraId="5BB590D5" w14:textId="77777777" w:rsidR="00F063F5" w:rsidRPr="006D3772" w:rsidRDefault="00BA58C7" w:rsidP="00F063F5">
      <w:pPr>
        <w:pStyle w:val="ListParagraph"/>
        <w:pBdr>
          <w:top w:val="nil"/>
          <w:left w:val="nil"/>
          <w:bottom w:val="nil"/>
          <w:right w:val="nil"/>
          <w:between w:val="nil"/>
        </w:pBdr>
        <w:ind w:left="845" w:hanging="420"/>
        <w:rPr>
          <w:lang w:val="es-ES" w:eastAsia="zh-CN"/>
        </w:rPr>
      </w:pPr>
      <w:r w:rsidRPr="006D3772">
        <w:rPr>
          <w:lang w:val="es-ES" w:eastAsia="zh-CN"/>
        </w:rPr>
        <w:t>a</w:t>
      </w:r>
      <w:r w:rsidR="00995BCF" w:rsidRPr="006D3772">
        <w:rPr>
          <w:lang w:val="es-ES" w:eastAsia="zh-CN"/>
        </w:rPr>
        <w:t>.</w:t>
      </w:r>
      <w:r w:rsidR="00995BCF" w:rsidRPr="006D3772">
        <w:rPr>
          <w:lang w:val="es-ES" w:eastAsia="zh-CN"/>
        </w:rPr>
        <w:tab/>
      </w:r>
      <w:r w:rsidR="00F063F5" w:rsidRPr="006D3772">
        <w:rPr>
          <w:lang w:val="es-ES" w:eastAsia="zh-CN"/>
        </w:rPr>
        <w:t>Tomar nota de los importantes progresos realizados por el GECT en el avance de las tareas de alta prioridad, incluida la finalización de productos técnicos esenciales y la elaboración de documentos de orientación que apoyan la conservación y el uso racional de los humedales.</w:t>
      </w:r>
    </w:p>
    <w:p w14:paraId="3AA71014" w14:textId="77777777" w:rsidR="005C5539" w:rsidRPr="006D3772" w:rsidRDefault="005C5539" w:rsidP="00781F47">
      <w:pPr>
        <w:ind w:left="864" w:hanging="432"/>
        <w:rPr>
          <w:lang w:val="es-ES" w:eastAsia="zh-CN"/>
        </w:rPr>
      </w:pPr>
    </w:p>
    <w:p w14:paraId="35317B7B" w14:textId="4B9E844C" w:rsidR="004F4315" w:rsidRPr="006D3772" w:rsidRDefault="00BA58C7" w:rsidP="004F4315">
      <w:pPr>
        <w:pStyle w:val="ListParagraph"/>
        <w:pBdr>
          <w:top w:val="nil"/>
          <w:left w:val="nil"/>
          <w:bottom w:val="nil"/>
          <w:right w:val="nil"/>
          <w:between w:val="nil"/>
        </w:pBdr>
        <w:ind w:left="845" w:hanging="420"/>
        <w:rPr>
          <w:lang w:val="es-ES" w:eastAsia="zh-CN"/>
        </w:rPr>
      </w:pPr>
      <w:r w:rsidRPr="006D3772">
        <w:rPr>
          <w:lang w:val="es-ES" w:eastAsia="zh-CN"/>
        </w:rPr>
        <w:t>b</w:t>
      </w:r>
      <w:r w:rsidR="00F319AD" w:rsidRPr="006D3772">
        <w:rPr>
          <w:lang w:val="es-ES" w:eastAsia="zh-CN"/>
        </w:rPr>
        <w:t>.</w:t>
      </w:r>
      <w:r w:rsidR="00F319AD" w:rsidRPr="006D3772">
        <w:rPr>
          <w:lang w:val="es-ES" w:eastAsia="zh-CN"/>
        </w:rPr>
        <w:tab/>
      </w:r>
      <w:r w:rsidR="00DE1A00" w:rsidRPr="006D3772">
        <w:rPr>
          <w:lang w:val="es-ES" w:eastAsia="zh-CN"/>
        </w:rPr>
        <w:t>Examinar</w:t>
      </w:r>
      <w:r w:rsidR="004F4315" w:rsidRPr="006D3772">
        <w:rPr>
          <w:lang w:val="es-ES" w:eastAsia="zh-CN"/>
        </w:rPr>
        <w:t xml:space="preserve"> las tareas prioritarias propuestas para el plan de trabajo </w:t>
      </w:r>
      <w:r w:rsidR="00CD0990" w:rsidRPr="006D3772">
        <w:rPr>
          <w:lang w:val="es-ES" w:eastAsia="zh-CN"/>
        </w:rPr>
        <w:t xml:space="preserve">2026-2028 </w:t>
      </w:r>
      <w:r w:rsidR="004F4315" w:rsidRPr="006D3772">
        <w:rPr>
          <w:lang w:val="es-ES" w:eastAsia="zh-CN"/>
        </w:rPr>
        <w:t xml:space="preserve">del GECT, enfocadas a mejorar el inventario, el </w:t>
      </w:r>
      <w:r w:rsidR="00CD0990" w:rsidRPr="006D3772">
        <w:rPr>
          <w:lang w:val="es-ES" w:eastAsia="zh-CN"/>
        </w:rPr>
        <w:t>seguimiento</w:t>
      </w:r>
      <w:r w:rsidR="004F4315" w:rsidRPr="006D3772">
        <w:rPr>
          <w:lang w:val="es-ES" w:eastAsia="zh-CN"/>
        </w:rPr>
        <w:t xml:space="preserve"> y la restauración de los humedales, así como el desarrollo de políticas y la aplicación de nuevas tecnologías en este contexto, como se indica en el Anexo 1.</w:t>
      </w:r>
    </w:p>
    <w:p w14:paraId="1C7D5412" w14:textId="77777777" w:rsidR="004F7AD1" w:rsidRPr="006D3772" w:rsidRDefault="004F7AD1" w:rsidP="00781F47">
      <w:pPr>
        <w:ind w:left="864" w:hanging="432"/>
        <w:rPr>
          <w:lang w:val="es-ES" w:eastAsia="zh-CN"/>
        </w:rPr>
      </w:pPr>
    </w:p>
    <w:p w14:paraId="3EFCB502" w14:textId="02C76D2A" w:rsidR="004F4315" w:rsidRPr="006D3772" w:rsidRDefault="00BA58C7" w:rsidP="004F4315">
      <w:pPr>
        <w:pStyle w:val="ListParagraph"/>
        <w:pBdr>
          <w:top w:val="nil"/>
          <w:left w:val="nil"/>
          <w:bottom w:val="nil"/>
          <w:right w:val="nil"/>
          <w:between w:val="nil"/>
        </w:pBdr>
        <w:ind w:left="845" w:hanging="420"/>
        <w:rPr>
          <w:lang w:val="es-ES" w:eastAsia="zh-CN"/>
        </w:rPr>
      </w:pPr>
      <w:r w:rsidRPr="006D3772">
        <w:rPr>
          <w:lang w:val="es-ES" w:eastAsia="zh-CN"/>
        </w:rPr>
        <w:t>c</w:t>
      </w:r>
      <w:r w:rsidR="00522DEC" w:rsidRPr="006D3772">
        <w:rPr>
          <w:lang w:val="es-ES" w:eastAsia="zh-CN"/>
        </w:rPr>
        <w:t>.</w:t>
      </w:r>
      <w:r w:rsidR="00522DEC" w:rsidRPr="006D3772">
        <w:rPr>
          <w:lang w:val="es-ES" w:eastAsia="zh-CN"/>
        </w:rPr>
        <w:tab/>
      </w:r>
      <w:r w:rsidR="004F4315" w:rsidRPr="006D3772">
        <w:rPr>
          <w:lang w:val="es-ES" w:eastAsia="zh-CN"/>
        </w:rPr>
        <w:t xml:space="preserve">Solicitar a la Secretaría que informe a las Partes Contratantes sobre el </w:t>
      </w:r>
      <w:r w:rsidR="00DE1A00" w:rsidRPr="006D3772">
        <w:rPr>
          <w:lang w:val="es-ES" w:eastAsia="zh-CN"/>
        </w:rPr>
        <w:t>procedimiento</w:t>
      </w:r>
      <w:r w:rsidR="004F4315" w:rsidRPr="006D3772">
        <w:rPr>
          <w:lang w:val="es-ES" w:eastAsia="zh-CN"/>
        </w:rPr>
        <w:t xml:space="preserve"> y el calendario para la presentación de candidaturas de miembros del GECT para el trienio 2026-2028 antes de la COP15, </w:t>
      </w:r>
      <w:r w:rsidR="00CD0990" w:rsidRPr="006D3772">
        <w:rPr>
          <w:lang w:val="es-ES" w:eastAsia="zh-CN"/>
        </w:rPr>
        <w:t>a fin de</w:t>
      </w:r>
      <w:r w:rsidR="004F4315" w:rsidRPr="006D3772">
        <w:rPr>
          <w:lang w:val="es-ES" w:eastAsia="zh-CN"/>
        </w:rPr>
        <w:t xml:space="preserve"> favorecer la presentación oportuna de candidaturas y el nombramiento de un nuevo Grupo después de la COP15.</w:t>
      </w:r>
    </w:p>
    <w:p w14:paraId="4DA4058D" w14:textId="77777777" w:rsidR="001D4202" w:rsidRPr="006D3772" w:rsidRDefault="001D4202" w:rsidP="00D57B0B">
      <w:pPr>
        <w:ind w:left="864" w:hanging="432"/>
        <w:rPr>
          <w:lang w:val="es-ES" w:eastAsia="zh-CN"/>
        </w:rPr>
      </w:pPr>
    </w:p>
    <w:p w14:paraId="4109F575" w14:textId="4AB19560" w:rsidR="004F4315" w:rsidRPr="006D3772" w:rsidRDefault="00BA58C7" w:rsidP="004F4315">
      <w:pPr>
        <w:pStyle w:val="ListParagraph"/>
        <w:pBdr>
          <w:top w:val="nil"/>
          <w:left w:val="nil"/>
          <w:bottom w:val="nil"/>
          <w:right w:val="nil"/>
          <w:between w:val="nil"/>
        </w:pBdr>
        <w:ind w:left="845" w:hanging="420"/>
        <w:rPr>
          <w:lang w:val="es-ES" w:eastAsia="zh-CN"/>
        </w:rPr>
      </w:pPr>
      <w:r w:rsidRPr="006D3772">
        <w:rPr>
          <w:lang w:val="es-ES" w:eastAsia="zh-CN"/>
        </w:rPr>
        <w:t>d</w:t>
      </w:r>
      <w:r w:rsidR="00F319AD" w:rsidRPr="006D3772">
        <w:rPr>
          <w:lang w:val="es-ES" w:eastAsia="zh-CN"/>
        </w:rPr>
        <w:t>.</w:t>
      </w:r>
      <w:r w:rsidR="00F319AD" w:rsidRPr="006D3772">
        <w:rPr>
          <w:lang w:val="es-ES" w:eastAsia="zh-CN"/>
        </w:rPr>
        <w:tab/>
      </w:r>
      <w:r w:rsidR="004F4315" w:rsidRPr="006D3772">
        <w:rPr>
          <w:lang w:val="es-ES" w:eastAsia="zh-CN"/>
        </w:rPr>
        <w:t xml:space="preserve">Tomar nota de los progresos realizados en la aplicación de la consulta </w:t>
      </w:r>
      <w:r w:rsidR="00C303A5" w:rsidRPr="006D3772">
        <w:rPr>
          <w:lang w:val="es-ES" w:eastAsia="zh-CN"/>
        </w:rPr>
        <w:t>a</w:t>
      </w:r>
      <w:r w:rsidR="004F4315" w:rsidRPr="006D3772">
        <w:rPr>
          <w:lang w:val="es-ES" w:eastAsia="zh-CN"/>
        </w:rPr>
        <w:t xml:space="preserve"> la comunidad de observación de la Tierra, y </w:t>
      </w:r>
      <w:r w:rsidR="005658AE" w:rsidRPr="006D3772">
        <w:rPr>
          <w:lang w:val="es-ES" w:eastAsia="zh-CN"/>
        </w:rPr>
        <w:t>tomar en cuenta</w:t>
      </w:r>
      <w:r w:rsidR="004F4315" w:rsidRPr="006D3772">
        <w:rPr>
          <w:lang w:val="es-ES" w:eastAsia="zh-CN"/>
        </w:rPr>
        <w:t xml:space="preserve"> sus conclusiones y recomendaciones, cuando estén disponibles, en los futuros debates sobre los aspectos científicos y técnicos de la Convención para el período 2026-2028. </w:t>
      </w:r>
    </w:p>
    <w:p w14:paraId="4ACECBB9" w14:textId="77777777" w:rsidR="00A5799E" w:rsidRPr="006D3772" w:rsidRDefault="00A5799E" w:rsidP="00A5799E">
      <w:pPr>
        <w:ind w:left="864" w:hanging="432"/>
        <w:rPr>
          <w:lang w:val="es-ES" w:eastAsia="zh-CN"/>
        </w:rPr>
      </w:pPr>
    </w:p>
    <w:p w14:paraId="577FDEF7" w14:textId="0B72AECD" w:rsidR="004F4315" w:rsidRPr="006D3772" w:rsidRDefault="00BA58C7" w:rsidP="004F4315">
      <w:pPr>
        <w:pStyle w:val="ListParagraph"/>
        <w:pBdr>
          <w:top w:val="nil"/>
          <w:left w:val="nil"/>
          <w:bottom w:val="nil"/>
          <w:right w:val="nil"/>
          <w:between w:val="nil"/>
        </w:pBdr>
        <w:ind w:left="845" w:hanging="420"/>
        <w:rPr>
          <w:lang w:val="es-ES" w:eastAsia="zh-CN"/>
        </w:rPr>
      </w:pPr>
      <w:r w:rsidRPr="006D3772">
        <w:rPr>
          <w:lang w:val="es-ES" w:eastAsia="zh-CN"/>
        </w:rPr>
        <w:t>e</w:t>
      </w:r>
      <w:r w:rsidR="00C8794A" w:rsidRPr="006D3772">
        <w:rPr>
          <w:lang w:val="es-ES" w:eastAsia="zh-CN"/>
        </w:rPr>
        <w:tab/>
      </w:r>
      <w:r w:rsidR="00B8592F" w:rsidRPr="006D3772">
        <w:rPr>
          <w:lang w:val="es-ES" w:eastAsia="zh-CN"/>
        </w:rPr>
        <w:t>Examinar</w:t>
      </w:r>
      <w:r w:rsidR="004F4315" w:rsidRPr="006D3772">
        <w:rPr>
          <w:lang w:val="es-ES" w:eastAsia="zh-CN"/>
        </w:rPr>
        <w:t xml:space="preserve"> las orientaciones sobre el uso de estimaciones de población alternativas </w:t>
      </w:r>
      <w:r w:rsidR="00C303A5" w:rsidRPr="006D3772">
        <w:rPr>
          <w:lang w:val="es-ES" w:eastAsia="zh-CN"/>
        </w:rPr>
        <w:t xml:space="preserve">con arreglo al </w:t>
      </w:r>
      <w:r w:rsidR="004F4315" w:rsidRPr="006D3772">
        <w:rPr>
          <w:lang w:val="es-ES" w:eastAsia="zh-CN"/>
        </w:rPr>
        <w:t>Criterio 6</w:t>
      </w:r>
      <w:r w:rsidR="00C303A5" w:rsidRPr="006D3772">
        <w:rPr>
          <w:lang w:val="es-ES" w:eastAsia="zh-CN"/>
        </w:rPr>
        <w:t xml:space="preserve"> que figuran </w:t>
      </w:r>
      <w:r w:rsidR="004F4315" w:rsidRPr="006D3772">
        <w:rPr>
          <w:lang w:val="es-ES" w:eastAsia="zh-CN"/>
        </w:rPr>
        <w:t>en el Anexo 2</w:t>
      </w:r>
      <w:r w:rsidR="00C303A5" w:rsidRPr="006D3772">
        <w:rPr>
          <w:lang w:val="es-ES" w:eastAsia="zh-CN"/>
        </w:rPr>
        <w:t>,</w:t>
      </w:r>
      <w:r w:rsidR="004F4315" w:rsidRPr="006D3772">
        <w:rPr>
          <w:lang w:val="es-ES" w:eastAsia="zh-CN"/>
        </w:rPr>
        <w:t xml:space="preserve"> y solicitar a la Secretaría que difunda el documento de orientación para garantizar un proceso transparente para la presentación, </w:t>
      </w:r>
      <w:r w:rsidR="00CD6603" w:rsidRPr="006D3772">
        <w:rPr>
          <w:lang w:val="es-ES" w:eastAsia="zh-CN"/>
        </w:rPr>
        <w:t>el examen</w:t>
      </w:r>
      <w:r w:rsidR="004F4315" w:rsidRPr="006D3772">
        <w:rPr>
          <w:lang w:val="es-ES" w:eastAsia="zh-CN"/>
        </w:rPr>
        <w:t xml:space="preserve"> y </w:t>
      </w:r>
      <w:r w:rsidR="00CD6603" w:rsidRPr="006D3772">
        <w:rPr>
          <w:lang w:val="es-ES" w:eastAsia="zh-CN"/>
        </w:rPr>
        <w:t xml:space="preserve">la </w:t>
      </w:r>
      <w:r w:rsidR="004F4315" w:rsidRPr="006D3772">
        <w:rPr>
          <w:lang w:val="es-ES" w:eastAsia="zh-CN"/>
        </w:rPr>
        <w:t>aprobación de estimaciones alternativas, de acuerdo con la Resolución XIV.18.</w:t>
      </w:r>
    </w:p>
    <w:p w14:paraId="5EF98414" w14:textId="77777777" w:rsidR="00E53445" w:rsidRPr="006D3772" w:rsidRDefault="00E53445" w:rsidP="00E53445">
      <w:pPr>
        <w:ind w:left="864" w:hanging="432"/>
        <w:rPr>
          <w:lang w:val="es-ES" w:eastAsia="zh-CN"/>
        </w:rPr>
      </w:pPr>
    </w:p>
    <w:p w14:paraId="0CA8C8A8" w14:textId="080073D8" w:rsidR="004F4315" w:rsidRPr="006D3772" w:rsidRDefault="00BA58C7" w:rsidP="004F4315">
      <w:pPr>
        <w:pStyle w:val="ListParagraph"/>
        <w:pBdr>
          <w:top w:val="nil"/>
          <w:left w:val="nil"/>
          <w:bottom w:val="nil"/>
          <w:right w:val="nil"/>
          <w:between w:val="nil"/>
        </w:pBdr>
        <w:ind w:left="845" w:hanging="420"/>
        <w:rPr>
          <w:lang w:val="es-ES" w:eastAsia="zh-CN"/>
        </w:rPr>
      </w:pPr>
      <w:r w:rsidRPr="006D3772">
        <w:rPr>
          <w:lang w:val="es-ES" w:eastAsia="zh-CN"/>
        </w:rPr>
        <w:t>f</w:t>
      </w:r>
      <w:r w:rsidR="00F319AD" w:rsidRPr="006D3772">
        <w:rPr>
          <w:lang w:val="es-ES" w:eastAsia="zh-CN"/>
        </w:rPr>
        <w:t>.</w:t>
      </w:r>
      <w:r w:rsidR="00C8794A" w:rsidRPr="006D3772">
        <w:rPr>
          <w:lang w:val="es-ES" w:eastAsia="zh-CN"/>
        </w:rPr>
        <w:tab/>
      </w:r>
      <w:r w:rsidR="00C303A5" w:rsidRPr="006D3772">
        <w:rPr>
          <w:lang w:val="es-ES" w:eastAsia="zh-CN"/>
        </w:rPr>
        <w:t>Alentar</w:t>
      </w:r>
      <w:r w:rsidR="004F4315" w:rsidRPr="006D3772">
        <w:rPr>
          <w:lang w:val="es-ES" w:eastAsia="zh-CN"/>
        </w:rPr>
        <w:t xml:space="preserve"> a las Partes Contratantes a seguir el proceso de </w:t>
      </w:r>
      <w:r w:rsidR="00CD6603" w:rsidRPr="006D3772">
        <w:rPr>
          <w:lang w:val="es-ES" w:eastAsia="zh-CN"/>
        </w:rPr>
        <w:t>p</w:t>
      </w:r>
      <w:r w:rsidR="00C303A5" w:rsidRPr="006D3772">
        <w:rPr>
          <w:lang w:val="es-ES" w:eastAsia="zh-CN"/>
        </w:rPr>
        <w:t xml:space="preserve">resentación de </w:t>
      </w:r>
      <w:r w:rsidR="00CD6603" w:rsidRPr="006D3772">
        <w:rPr>
          <w:lang w:val="es-ES" w:eastAsia="zh-CN"/>
        </w:rPr>
        <w:t>informes</w:t>
      </w:r>
      <w:r w:rsidR="004F4315" w:rsidRPr="006D3772">
        <w:rPr>
          <w:lang w:val="es-ES" w:eastAsia="zh-CN"/>
        </w:rPr>
        <w:t xml:space="preserve">, detallado en el Anexo 2, relativo a la aprobación de estimaciones alternativas </w:t>
      </w:r>
      <w:r w:rsidR="00C303A5" w:rsidRPr="006D3772">
        <w:rPr>
          <w:lang w:val="es-ES" w:eastAsia="zh-CN"/>
        </w:rPr>
        <w:t>con arreglo a</w:t>
      </w:r>
      <w:r w:rsidR="004F4315" w:rsidRPr="006D3772">
        <w:rPr>
          <w:lang w:val="es-ES" w:eastAsia="zh-CN"/>
        </w:rPr>
        <w:t xml:space="preserve">l Criterio 6, </w:t>
      </w:r>
      <w:r w:rsidR="00C303A5" w:rsidRPr="006D3772">
        <w:rPr>
          <w:lang w:val="es-ES" w:eastAsia="zh-CN"/>
        </w:rPr>
        <w:t xml:space="preserve">asegurándose de emplear </w:t>
      </w:r>
      <w:r w:rsidR="004F4315" w:rsidRPr="006D3772">
        <w:rPr>
          <w:lang w:val="es-ES" w:eastAsia="zh-CN"/>
        </w:rPr>
        <w:t>las metodologías establecidas para derivar los umbrales del 1</w:t>
      </w:r>
      <w:r w:rsidR="00C303A5" w:rsidRPr="006D3772">
        <w:rPr>
          <w:lang w:val="es-ES" w:eastAsia="zh-CN"/>
        </w:rPr>
        <w:t xml:space="preserve"> </w:t>
      </w:r>
      <w:r w:rsidR="004F4315" w:rsidRPr="006D3772">
        <w:rPr>
          <w:lang w:val="es-ES" w:eastAsia="zh-CN"/>
        </w:rPr>
        <w:t>%.</w:t>
      </w:r>
    </w:p>
    <w:p w14:paraId="0F1D4E35" w14:textId="77777777" w:rsidR="00A5799E" w:rsidRPr="006D3772" w:rsidRDefault="00A5799E" w:rsidP="00D57B0B">
      <w:pPr>
        <w:ind w:left="864" w:hanging="432"/>
        <w:rPr>
          <w:lang w:val="es-ES" w:eastAsia="zh-CN"/>
        </w:rPr>
      </w:pPr>
    </w:p>
    <w:p w14:paraId="25FFBAF4" w14:textId="24E2382A" w:rsidR="00234519" w:rsidRPr="006D3772" w:rsidRDefault="00BA58C7" w:rsidP="00234519">
      <w:pPr>
        <w:pStyle w:val="ListParagraph"/>
        <w:pBdr>
          <w:top w:val="nil"/>
          <w:left w:val="nil"/>
          <w:bottom w:val="nil"/>
          <w:right w:val="nil"/>
          <w:between w:val="nil"/>
        </w:pBdr>
        <w:ind w:left="845" w:hanging="420"/>
        <w:rPr>
          <w:lang w:val="es-ES" w:eastAsia="zh-CN"/>
        </w:rPr>
      </w:pPr>
      <w:r w:rsidRPr="006D3772">
        <w:rPr>
          <w:lang w:val="es-ES" w:eastAsia="zh-CN"/>
        </w:rPr>
        <w:t>g</w:t>
      </w:r>
      <w:r w:rsidR="00F319AD" w:rsidRPr="006D3772">
        <w:rPr>
          <w:lang w:val="es-ES" w:eastAsia="zh-CN"/>
        </w:rPr>
        <w:t>.</w:t>
      </w:r>
      <w:r w:rsidR="00F319AD" w:rsidRPr="006D3772">
        <w:rPr>
          <w:lang w:val="es-ES" w:eastAsia="zh-CN"/>
        </w:rPr>
        <w:tab/>
      </w:r>
      <w:r w:rsidR="00234519" w:rsidRPr="006D3772">
        <w:rPr>
          <w:lang w:val="es-ES" w:eastAsia="zh-CN"/>
        </w:rPr>
        <w:t xml:space="preserve">Tomar nota de la propuesta técnica preparada por el GECT para el examen de los instrumentos jurídicos y normativos destinados a mejorar la conservación, restauración y </w:t>
      </w:r>
      <w:r w:rsidR="00CD0990" w:rsidRPr="006D3772">
        <w:rPr>
          <w:lang w:val="es-ES" w:eastAsia="zh-CN"/>
        </w:rPr>
        <w:t xml:space="preserve">el </w:t>
      </w:r>
      <w:r w:rsidR="00234519" w:rsidRPr="006D3772">
        <w:rPr>
          <w:lang w:val="es-ES" w:eastAsia="zh-CN"/>
        </w:rPr>
        <w:t xml:space="preserve">uso racional de los humedales en el Anexo 3, para </w:t>
      </w:r>
      <w:r w:rsidR="00C303A5" w:rsidRPr="006D3772">
        <w:rPr>
          <w:lang w:val="es-ES" w:eastAsia="zh-CN"/>
        </w:rPr>
        <w:t xml:space="preserve">incluirlo </w:t>
      </w:r>
      <w:r w:rsidR="00234519" w:rsidRPr="006D3772">
        <w:rPr>
          <w:lang w:val="es-ES" w:eastAsia="zh-CN"/>
        </w:rPr>
        <w:t>en el plan de trabajo del GECT para 2026-2028 como tarea prioritaria.</w:t>
      </w:r>
    </w:p>
    <w:p w14:paraId="353F621B" w14:textId="77777777" w:rsidR="00A5799E" w:rsidRPr="006D3772" w:rsidRDefault="00A5799E" w:rsidP="00D57B0B">
      <w:pPr>
        <w:ind w:left="864" w:hanging="432"/>
        <w:rPr>
          <w:lang w:val="es-ES" w:eastAsia="zh-CN"/>
        </w:rPr>
      </w:pPr>
    </w:p>
    <w:p w14:paraId="6DBA8BAE" w14:textId="7A6C3001" w:rsidR="00234519" w:rsidRPr="006D3772" w:rsidRDefault="00BA58C7" w:rsidP="00234519">
      <w:pPr>
        <w:pStyle w:val="ListParagraph"/>
        <w:pBdr>
          <w:top w:val="nil"/>
          <w:left w:val="nil"/>
          <w:bottom w:val="nil"/>
          <w:right w:val="nil"/>
          <w:between w:val="nil"/>
        </w:pBdr>
        <w:ind w:left="845" w:hanging="420"/>
        <w:rPr>
          <w:lang w:val="es-ES" w:eastAsia="zh-CN"/>
        </w:rPr>
      </w:pPr>
      <w:r w:rsidRPr="006D3772">
        <w:rPr>
          <w:lang w:val="es-ES" w:eastAsia="zh-CN"/>
        </w:rPr>
        <w:lastRenderedPageBreak/>
        <w:t>h</w:t>
      </w:r>
      <w:r w:rsidR="00F319AD" w:rsidRPr="006D3772">
        <w:rPr>
          <w:lang w:val="es-ES" w:eastAsia="zh-CN"/>
        </w:rPr>
        <w:t>.</w:t>
      </w:r>
      <w:r w:rsidR="00F319AD" w:rsidRPr="006D3772">
        <w:rPr>
          <w:lang w:val="es-ES" w:eastAsia="zh-CN"/>
        </w:rPr>
        <w:tab/>
      </w:r>
      <w:r w:rsidR="00C303A5" w:rsidRPr="006D3772">
        <w:rPr>
          <w:lang w:val="es-ES" w:eastAsia="zh-CN"/>
        </w:rPr>
        <w:t>Alentar</w:t>
      </w:r>
      <w:r w:rsidR="00234519" w:rsidRPr="006D3772">
        <w:rPr>
          <w:lang w:val="es-ES" w:eastAsia="zh-CN"/>
        </w:rPr>
        <w:t xml:space="preserve"> a las Partes Contratantes y </w:t>
      </w:r>
      <w:r w:rsidR="00C303A5" w:rsidRPr="006D3772">
        <w:rPr>
          <w:lang w:val="es-ES" w:eastAsia="zh-CN"/>
        </w:rPr>
        <w:t>otros interesados</w:t>
      </w:r>
      <w:r w:rsidR="00234519" w:rsidRPr="006D3772">
        <w:rPr>
          <w:lang w:val="es-ES" w:eastAsia="zh-CN"/>
        </w:rPr>
        <w:t xml:space="preserve"> a que </w:t>
      </w:r>
      <w:r w:rsidR="00A2120B" w:rsidRPr="006D3772">
        <w:rPr>
          <w:lang w:val="es-ES" w:eastAsia="zh-CN"/>
        </w:rPr>
        <w:t>realicen</w:t>
      </w:r>
      <w:r w:rsidR="00234519" w:rsidRPr="006D3772">
        <w:rPr>
          <w:lang w:val="es-ES" w:eastAsia="zh-CN"/>
        </w:rPr>
        <w:t xml:space="preserve"> contribuciones financieras para apoyar </w:t>
      </w:r>
      <w:r w:rsidR="00CD0990" w:rsidRPr="006D3772">
        <w:rPr>
          <w:lang w:val="es-ES" w:eastAsia="zh-CN"/>
        </w:rPr>
        <w:t>la creación</w:t>
      </w:r>
      <w:r w:rsidR="00234519" w:rsidRPr="006D3772">
        <w:rPr>
          <w:lang w:val="es-ES" w:eastAsia="zh-CN"/>
        </w:rPr>
        <w:t xml:space="preserve"> y puesta en marcha de la </w:t>
      </w:r>
      <w:r w:rsidR="00A2120B" w:rsidRPr="006D3772">
        <w:rPr>
          <w:lang w:val="es-ES" w:eastAsia="zh-CN"/>
        </w:rPr>
        <w:t xml:space="preserve">Alianza </w:t>
      </w:r>
      <w:r w:rsidR="00D10FC7" w:rsidRPr="006D3772">
        <w:rPr>
          <w:lang w:val="es-ES" w:eastAsia="zh-CN"/>
        </w:rPr>
        <w:t xml:space="preserve">para las Estimaciones de Aves Acuáticas </w:t>
      </w:r>
      <w:r w:rsidR="00234519" w:rsidRPr="006D3772">
        <w:rPr>
          <w:lang w:val="es-ES" w:eastAsia="zh-CN"/>
        </w:rPr>
        <w:t>(</w:t>
      </w:r>
      <w:r w:rsidR="00A2120B" w:rsidRPr="006D3772">
        <w:rPr>
          <w:lang w:val="es-ES" w:eastAsia="zh-CN"/>
        </w:rPr>
        <w:t>AEAA</w:t>
      </w:r>
      <w:r w:rsidR="00234519" w:rsidRPr="006D3772">
        <w:rPr>
          <w:lang w:val="es-ES" w:eastAsia="zh-CN"/>
        </w:rPr>
        <w:t xml:space="preserve">) y la </w:t>
      </w:r>
      <w:r w:rsidR="00A2120B" w:rsidRPr="006D3772">
        <w:rPr>
          <w:lang w:val="es-ES" w:eastAsia="zh-CN"/>
        </w:rPr>
        <w:t>publicación</w:t>
      </w:r>
      <w:r w:rsidR="00234519" w:rsidRPr="006D3772">
        <w:rPr>
          <w:lang w:val="es-ES" w:eastAsia="zh-CN"/>
        </w:rPr>
        <w:t xml:space="preserve"> de la edición</w:t>
      </w:r>
      <w:r w:rsidR="00A2120B" w:rsidRPr="006D3772">
        <w:rPr>
          <w:lang w:val="es-ES" w:eastAsia="zh-CN"/>
        </w:rPr>
        <w:t xml:space="preserve"> de</w:t>
      </w:r>
      <w:r w:rsidR="00234519" w:rsidRPr="006D3772">
        <w:rPr>
          <w:lang w:val="es-ES" w:eastAsia="zh-CN"/>
        </w:rPr>
        <w:t xml:space="preserve"> 2027 de </w:t>
      </w:r>
      <w:r w:rsidR="00234519" w:rsidRPr="006D3772">
        <w:rPr>
          <w:i/>
          <w:iCs/>
          <w:lang w:val="es-ES" w:eastAsia="zh-CN"/>
        </w:rPr>
        <w:t>Waterbird Population</w:t>
      </w:r>
      <w:r w:rsidR="00234519" w:rsidRPr="006D3772">
        <w:rPr>
          <w:lang w:val="es-ES" w:eastAsia="zh-CN"/>
        </w:rPr>
        <w:t xml:space="preserve"> </w:t>
      </w:r>
      <w:r w:rsidR="00234519" w:rsidRPr="006D3772">
        <w:rPr>
          <w:i/>
          <w:iCs/>
          <w:lang w:val="es-ES" w:eastAsia="zh-CN"/>
        </w:rPr>
        <w:t>Estimates</w:t>
      </w:r>
      <w:r w:rsidR="00234519" w:rsidRPr="006D3772">
        <w:rPr>
          <w:lang w:val="es-ES" w:eastAsia="zh-CN"/>
        </w:rPr>
        <w:t xml:space="preserve"> (WPE</w:t>
      </w:r>
      <w:r w:rsidR="00A2120B" w:rsidRPr="006D3772">
        <w:rPr>
          <w:lang w:val="es-ES" w:eastAsia="zh-CN"/>
        </w:rPr>
        <w:t xml:space="preserve"> </w:t>
      </w:r>
      <w:r w:rsidR="00234519" w:rsidRPr="006D3772">
        <w:rPr>
          <w:lang w:val="es-ES" w:eastAsia="zh-CN"/>
        </w:rPr>
        <w:t>2027), reconociendo la importancia crítica de contar con datos actualizados sobre las poblaciones de aves acuáticas para la conservación de los humedales y la aplicación satisfactoria de la Convención, como se detalla en el Anexo 5.</w:t>
      </w:r>
    </w:p>
    <w:p w14:paraId="29006504" w14:textId="77777777" w:rsidR="005E74C9" w:rsidRPr="006D3772" w:rsidRDefault="005E74C9" w:rsidP="005E74C9">
      <w:pPr>
        <w:ind w:left="864" w:hanging="432"/>
        <w:rPr>
          <w:lang w:val="es-ES" w:eastAsia="zh-CN"/>
        </w:rPr>
      </w:pPr>
    </w:p>
    <w:p w14:paraId="25C3A16C" w14:textId="0A8017A7" w:rsidR="00234519" w:rsidRPr="006D3772" w:rsidRDefault="00BA58C7" w:rsidP="00234519">
      <w:pPr>
        <w:pStyle w:val="ListParagraph"/>
        <w:pBdr>
          <w:top w:val="nil"/>
          <w:left w:val="nil"/>
          <w:bottom w:val="nil"/>
          <w:right w:val="nil"/>
          <w:between w:val="nil"/>
        </w:pBdr>
        <w:ind w:left="845" w:hanging="420"/>
        <w:rPr>
          <w:lang w:val="es-ES" w:eastAsia="zh-CN"/>
        </w:rPr>
      </w:pPr>
      <w:r w:rsidRPr="006D3772">
        <w:rPr>
          <w:lang w:val="es-ES" w:eastAsia="zh-CN"/>
        </w:rPr>
        <w:t>i</w:t>
      </w:r>
      <w:r w:rsidR="00F319AD" w:rsidRPr="006D3772">
        <w:rPr>
          <w:lang w:val="es-ES" w:eastAsia="zh-CN"/>
        </w:rPr>
        <w:t>.</w:t>
      </w:r>
      <w:r w:rsidR="00F319AD" w:rsidRPr="006D3772">
        <w:rPr>
          <w:lang w:val="es-ES" w:eastAsia="zh-CN"/>
        </w:rPr>
        <w:tab/>
      </w:r>
      <w:r w:rsidR="00234519" w:rsidRPr="006D3772">
        <w:rPr>
          <w:lang w:val="es-ES" w:eastAsia="zh-CN"/>
        </w:rPr>
        <w:t xml:space="preserve">Solicitar a la Secretaría que </w:t>
      </w:r>
      <w:r w:rsidR="00A2120B" w:rsidRPr="006D3772">
        <w:rPr>
          <w:lang w:val="es-ES" w:eastAsia="zh-CN"/>
        </w:rPr>
        <w:t>estudie</w:t>
      </w:r>
      <w:r w:rsidR="00234519" w:rsidRPr="006D3772">
        <w:rPr>
          <w:lang w:val="es-ES" w:eastAsia="zh-CN"/>
        </w:rPr>
        <w:t xml:space="preserve"> oportunidades para la movilización de recursos adicionales, inclu</w:t>
      </w:r>
      <w:r w:rsidR="00CD0990" w:rsidRPr="006D3772">
        <w:rPr>
          <w:lang w:val="es-ES" w:eastAsia="zh-CN"/>
        </w:rPr>
        <w:t>yendo</w:t>
      </w:r>
      <w:r w:rsidR="00234519" w:rsidRPr="006D3772">
        <w:rPr>
          <w:lang w:val="es-ES" w:eastAsia="zh-CN"/>
        </w:rPr>
        <w:t xml:space="preserve"> </w:t>
      </w:r>
      <w:r w:rsidR="00CD0990" w:rsidRPr="006D3772">
        <w:rPr>
          <w:lang w:val="es-ES" w:eastAsia="zh-CN"/>
        </w:rPr>
        <w:t>colabor</w:t>
      </w:r>
      <w:r w:rsidR="00234519" w:rsidRPr="006D3772">
        <w:rPr>
          <w:lang w:val="es-ES" w:eastAsia="zh-CN"/>
        </w:rPr>
        <w:t xml:space="preserve">aciones con organizaciones internacionales, el sector privado y otros mecanismos de financiación, a fin de </w:t>
      </w:r>
      <w:r w:rsidR="00A2120B" w:rsidRPr="006D3772">
        <w:rPr>
          <w:lang w:val="es-ES" w:eastAsia="zh-CN"/>
        </w:rPr>
        <w:t>obtener</w:t>
      </w:r>
      <w:r w:rsidR="00234519" w:rsidRPr="006D3772">
        <w:rPr>
          <w:lang w:val="es-ES" w:eastAsia="zh-CN"/>
        </w:rPr>
        <w:t xml:space="preserve"> los recursos necesarios para la plena </w:t>
      </w:r>
      <w:r w:rsidR="00A2120B" w:rsidRPr="006D3772">
        <w:rPr>
          <w:lang w:val="es-ES" w:eastAsia="zh-CN"/>
        </w:rPr>
        <w:t>realización</w:t>
      </w:r>
      <w:r w:rsidR="00234519" w:rsidRPr="006D3772">
        <w:rPr>
          <w:lang w:val="es-ES" w:eastAsia="zh-CN"/>
        </w:rPr>
        <w:t xml:space="preserve"> de</w:t>
      </w:r>
      <w:r w:rsidR="00442CE9" w:rsidRPr="006D3772">
        <w:rPr>
          <w:lang w:val="es-ES" w:eastAsia="zh-CN"/>
        </w:rPr>
        <w:t xml:space="preserve"> </w:t>
      </w:r>
      <w:r w:rsidR="00234519" w:rsidRPr="006D3772">
        <w:rPr>
          <w:lang w:val="es-ES" w:eastAsia="zh-CN"/>
        </w:rPr>
        <w:t>l</w:t>
      </w:r>
      <w:r w:rsidR="00442CE9" w:rsidRPr="006D3772">
        <w:rPr>
          <w:lang w:val="es-ES" w:eastAsia="zh-CN"/>
        </w:rPr>
        <w:t>a</w:t>
      </w:r>
      <w:r w:rsidR="00234519" w:rsidRPr="006D3772">
        <w:rPr>
          <w:lang w:val="es-ES" w:eastAsia="zh-CN"/>
        </w:rPr>
        <w:t xml:space="preserve"> </w:t>
      </w:r>
      <w:r w:rsidR="00A2120B" w:rsidRPr="006D3772">
        <w:rPr>
          <w:lang w:val="es-ES" w:eastAsia="zh-CN"/>
        </w:rPr>
        <w:t>AEAA</w:t>
      </w:r>
      <w:r w:rsidR="00234519" w:rsidRPr="006D3772">
        <w:rPr>
          <w:lang w:val="es-ES" w:eastAsia="zh-CN"/>
        </w:rPr>
        <w:t xml:space="preserve"> y de</w:t>
      </w:r>
      <w:r w:rsidR="00442CE9" w:rsidRPr="006D3772">
        <w:rPr>
          <w:lang w:val="es-ES" w:eastAsia="zh-CN"/>
        </w:rPr>
        <w:t xml:space="preserve"> </w:t>
      </w:r>
      <w:r w:rsidR="00234519" w:rsidRPr="006D3772">
        <w:rPr>
          <w:lang w:val="es-ES" w:eastAsia="zh-CN"/>
        </w:rPr>
        <w:t>l</w:t>
      </w:r>
      <w:r w:rsidR="00442CE9" w:rsidRPr="006D3772">
        <w:rPr>
          <w:lang w:val="es-ES" w:eastAsia="zh-CN"/>
        </w:rPr>
        <w:t>a</w:t>
      </w:r>
      <w:r w:rsidR="00234519" w:rsidRPr="006D3772">
        <w:rPr>
          <w:lang w:val="es-ES" w:eastAsia="zh-CN"/>
        </w:rPr>
        <w:t xml:space="preserve"> </w:t>
      </w:r>
      <w:r w:rsidR="00CD0990" w:rsidRPr="006D3772">
        <w:rPr>
          <w:lang w:val="es-ES" w:eastAsia="zh-CN"/>
        </w:rPr>
        <w:t>WPE</w:t>
      </w:r>
      <w:r w:rsidR="00A2120B" w:rsidRPr="006D3772">
        <w:rPr>
          <w:lang w:val="es-ES" w:eastAsia="zh-CN"/>
        </w:rPr>
        <w:t xml:space="preserve"> </w:t>
      </w:r>
      <w:r w:rsidR="00234519" w:rsidRPr="006D3772">
        <w:rPr>
          <w:lang w:val="es-ES" w:eastAsia="zh-CN"/>
        </w:rPr>
        <w:t>2027.</w:t>
      </w:r>
    </w:p>
    <w:p w14:paraId="40F390B3" w14:textId="77777777" w:rsidR="00DF6B4A" w:rsidRPr="006D3772" w:rsidRDefault="00DF6B4A" w:rsidP="00D57B0B">
      <w:pPr>
        <w:ind w:left="864" w:hanging="432"/>
        <w:rPr>
          <w:lang w:val="es-ES" w:eastAsia="zh-CN"/>
        </w:rPr>
      </w:pPr>
    </w:p>
    <w:p w14:paraId="66C1B1F5" w14:textId="5184DB20" w:rsidR="00234519" w:rsidRPr="006D3772" w:rsidRDefault="00BA58C7" w:rsidP="00234519">
      <w:pPr>
        <w:pStyle w:val="ListParagraph"/>
        <w:pBdr>
          <w:top w:val="nil"/>
          <w:left w:val="nil"/>
          <w:bottom w:val="nil"/>
          <w:right w:val="nil"/>
          <w:between w:val="nil"/>
        </w:pBdr>
        <w:ind w:left="845" w:hanging="420"/>
        <w:rPr>
          <w:lang w:val="es-ES" w:eastAsia="zh-CN"/>
        </w:rPr>
      </w:pPr>
      <w:r w:rsidRPr="006D3772">
        <w:rPr>
          <w:lang w:val="es-ES" w:eastAsia="zh-CN"/>
        </w:rPr>
        <w:t>j</w:t>
      </w:r>
      <w:r w:rsidR="00F319AD" w:rsidRPr="006D3772">
        <w:rPr>
          <w:lang w:val="es-ES" w:eastAsia="zh-CN"/>
        </w:rPr>
        <w:t>.</w:t>
      </w:r>
      <w:r w:rsidR="00F319AD" w:rsidRPr="006D3772">
        <w:rPr>
          <w:lang w:val="es-ES" w:eastAsia="zh-CN"/>
        </w:rPr>
        <w:tab/>
      </w:r>
      <w:r w:rsidR="00DD05DA" w:rsidRPr="006D3772">
        <w:rPr>
          <w:lang w:val="es-ES" w:eastAsia="zh-CN"/>
        </w:rPr>
        <w:t>Examinar</w:t>
      </w:r>
      <w:r w:rsidR="00234519" w:rsidRPr="006D3772">
        <w:rPr>
          <w:lang w:val="es-ES" w:eastAsia="zh-CN"/>
        </w:rPr>
        <w:t xml:space="preserve"> el </w:t>
      </w:r>
      <w:r w:rsidR="00284EB0" w:rsidRPr="006D3772">
        <w:rPr>
          <w:lang w:val="es-ES" w:eastAsia="zh-CN"/>
        </w:rPr>
        <w:t>planteamiento</w:t>
      </w:r>
      <w:r w:rsidR="00234519" w:rsidRPr="006D3772">
        <w:rPr>
          <w:lang w:val="es-ES" w:eastAsia="zh-CN"/>
        </w:rPr>
        <w:t xml:space="preserve"> propuesto para las ediciones </w:t>
      </w:r>
      <w:r w:rsidR="00DD05DA" w:rsidRPr="006D3772">
        <w:rPr>
          <w:lang w:val="es-ES" w:eastAsia="zh-CN"/>
        </w:rPr>
        <w:t xml:space="preserve">futuras </w:t>
      </w:r>
      <w:r w:rsidR="00234519" w:rsidRPr="006D3772">
        <w:rPr>
          <w:lang w:val="es-ES" w:eastAsia="zh-CN"/>
        </w:rPr>
        <w:t xml:space="preserve">de </w:t>
      </w:r>
      <w:r w:rsidR="00CD0990" w:rsidRPr="006D3772">
        <w:rPr>
          <w:lang w:val="es-ES" w:eastAsia="zh-CN"/>
        </w:rPr>
        <w:t xml:space="preserve">la </w:t>
      </w:r>
      <w:r w:rsidR="00234519" w:rsidRPr="006D3772">
        <w:rPr>
          <w:lang w:val="es-ES" w:eastAsia="zh-CN"/>
        </w:rPr>
        <w:t>Perspectiva</w:t>
      </w:r>
      <w:r w:rsidR="00CD0990" w:rsidRPr="006D3772">
        <w:rPr>
          <w:lang w:val="es-ES" w:eastAsia="zh-CN"/>
        </w:rPr>
        <w:t xml:space="preserve"> Mundial sobre</w:t>
      </w:r>
      <w:r w:rsidR="00234519" w:rsidRPr="006D3772">
        <w:rPr>
          <w:lang w:val="es-ES" w:eastAsia="zh-CN"/>
        </w:rPr>
        <w:t xml:space="preserve"> los Humedales (PMH), expuesto en el Anexo 4, </w:t>
      </w:r>
      <w:r w:rsidR="00A2120B" w:rsidRPr="006D3772">
        <w:rPr>
          <w:lang w:val="es-ES" w:eastAsia="zh-CN"/>
        </w:rPr>
        <w:t xml:space="preserve">que </w:t>
      </w:r>
      <w:r w:rsidR="00234519" w:rsidRPr="006D3772">
        <w:rPr>
          <w:lang w:val="es-ES" w:eastAsia="zh-CN"/>
        </w:rPr>
        <w:t xml:space="preserve">hace hincapié en un proceso estructurado y </w:t>
      </w:r>
      <w:r w:rsidR="00DD05DA" w:rsidRPr="006D3772">
        <w:rPr>
          <w:lang w:val="es-ES" w:eastAsia="zh-CN"/>
        </w:rPr>
        <w:t>por etapas</w:t>
      </w:r>
      <w:r w:rsidR="00234519" w:rsidRPr="006D3772">
        <w:rPr>
          <w:lang w:val="es-ES" w:eastAsia="zh-CN"/>
        </w:rPr>
        <w:t xml:space="preserve"> para la evaluación, </w:t>
      </w:r>
      <w:r w:rsidR="00DD05DA" w:rsidRPr="006D3772">
        <w:rPr>
          <w:lang w:val="es-ES" w:eastAsia="zh-CN"/>
        </w:rPr>
        <w:t xml:space="preserve">la revisión </w:t>
      </w:r>
      <w:r w:rsidR="00234519" w:rsidRPr="006D3772">
        <w:rPr>
          <w:lang w:val="es-ES" w:eastAsia="zh-CN"/>
        </w:rPr>
        <w:t xml:space="preserve">y la comunicación de los principales resultados; </w:t>
      </w:r>
      <w:r w:rsidR="00AE30AF">
        <w:rPr>
          <w:lang w:val="es-ES" w:eastAsia="zh-CN"/>
        </w:rPr>
        <w:t>a partir</w:t>
      </w:r>
      <w:r w:rsidR="00234519" w:rsidRPr="006D3772">
        <w:rPr>
          <w:lang w:val="es-ES" w:eastAsia="zh-CN"/>
        </w:rPr>
        <w:t xml:space="preserve"> de </w:t>
      </w:r>
      <w:r w:rsidR="00DD05DA" w:rsidRPr="006D3772">
        <w:rPr>
          <w:lang w:val="es-ES" w:eastAsia="zh-CN"/>
        </w:rPr>
        <w:t>este</w:t>
      </w:r>
      <w:r w:rsidR="00234519" w:rsidRPr="006D3772">
        <w:rPr>
          <w:lang w:val="es-ES" w:eastAsia="zh-CN"/>
        </w:rPr>
        <w:t xml:space="preserve"> se formulará un </w:t>
      </w:r>
      <w:r w:rsidR="00284EB0" w:rsidRPr="006D3772">
        <w:rPr>
          <w:lang w:val="es-ES" w:eastAsia="zh-CN"/>
        </w:rPr>
        <w:t>planteamiento</w:t>
      </w:r>
      <w:r w:rsidR="00234519" w:rsidRPr="006D3772">
        <w:rPr>
          <w:lang w:val="es-ES" w:eastAsia="zh-CN"/>
        </w:rPr>
        <w:t xml:space="preserve"> definitivo para las ediciones </w:t>
      </w:r>
      <w:r w:rsidR="00DD05DA" w:rsidRPr="006D3772">
        <w:rPr>
          <w:lang w:val="es-ES" w:eastAsia="zh-CN"/>
        </w:rPr>
        <w:t xml:space="preserve">futuras </w:t>
      </w:r>
      <w:r w:rsidR="00234519" w:rsidRPr="006D3772">
        <w:rPr>
          <w:lang w:val="es-ES" w:eastAsia="zh-CN"/>
        </w:rPr>
        <w:t xml:space="preserve">de la PMH que se incluirá en el </w:t>
      </w:r>
      <w:r w:rsidR="00A2120B" w:rsidRPr="006D3772">
        <w:rPr>
          <w:lang w:val="es-ES" w:eastAsia="zh-CN"/>
        </w:rPr>
        <w:t>i</w:t>
      </w:r>
      <w:r w:rsidR="00234519" w:rsidRPr="006D3772">
        <w:rPr>
          <w:lang w:val="es-ES" w:eastAsia="zh-CN"/>
        </w:rPr>
        <w:t>nforme de</w:t>
      </w:r>
      <w:r w:rsidR="00442CE9" w:rsidRPr="006D3772">
        <w:rPr>
          <w:lang w:val="es-ES" w:eastAsia="zh-CN"/>
        </w:rPr>
        <w:t xml:space="preserve"> </w:t>
      </w:r>
      <w:r w:rsidR="00234519" w:rsidRPr="006D3772">
        <w:rPr>
          <w:lang w:val="es-ES" w:eastAsia="zh-CN"/>
        </w:rPr>
        <w:t>l</w:t>
      </w:r>
      <w:r w:rsidR="00442CE9" w:rsidRPr="006D3772">
        <w:rPr>
          <w:lang w:val="es-ES" w:eastAsia="zh-CN"/>
        </w:rPr>
        <w:t>a</w:t>
      </w:r>
      <w:r w:rsidR="00234519" w:rsidRPr="006D3772">
        <w:rPr>
          <w:lang w:val="es-ES" w:eastAsia="zh-CN"/>
        </w:rPr>
        <w:t xml:space="preserve"> </w:t>
      </w:r>
      <w:r w:rsidR="00442CE9" w:rsidRPr="006D3772">
        <w:rPr>
          <w:lang w:val="es-ES" w:eastAsia="zh-CN"/>
        </w:rPr>
        <w:t>p</w:t>
      </w:r>
      <w:r w:rsidR="00234519" w:rsidRPr="006D3772">
        <w:rPr>
          <w:lang w:val="es-ES" w:eastAsia="zh-CN"/>
        </w:rPr>
        <w:t>residen</w:t>
      </w:r>
      <w:r w:rsidR="00442CE9" w:rsidRPr="006D3772">
        <w:rPr>
          <w:lang w:val="es-ES" w:eastAsia="zh-CN"/>
        </w:rPr>
        <w:t>cia</w:t>
      </w:r>
      <w:r w:rsidR="00234519" w:rsidRPr="006D3772">
        <w:rPr>
          <w:lang w:val="es-ES" w:eastAsia="zh-CN"/>
        </w:rPr>
        <w:t xml:space="preserve"> del GECT presentado a la COP15. </w:t>
      </w:r>
    </w:p>
    <w:p w14:paraId="451BDF0C" w14:textId="77777777" w:rsidR="004C16CA" w:rsidRPr="006D3772" w:rsidRDefault="004C16CA" w:rsidP="008E7CDC">
      <w:pPr>
        <w:ind w:left="432" w:hanging="432"/>
        <w:rPr>
          <w:lang w:val="es-ES" w:eastAsia="zh-CN"/>
        </w:rPr>
      </w:pPr>
    </w:p>
    <w:p w14:paraId="744D035E" w14:textId="2CEFBA40" w:rsidR="00234519" w:rsidRPr="006D3772" w:rsidRDefault="00A2120B" w:rsidP="00E952E3">
      <w:pPr>
        <w:rPr>
          <w:b/>
          <w:bCs w:val="0"/>
          <w:lang w:val="es-ES" w:eastAsia="zh-CN"/>
        </w:rPr>
      </w:pPr>
      <w:r w:rsidRPr="006D3772">
        <w:rPr>
          <w:b/>
          <w:bCs w:val="0"/>
          <w:lang w:val="es-ES" w:eastAsia="zh-CN"/>
        </w:rPr>
        <w:t>Reuniones f</w:t>
      </w:r>
      <w:r w:rsidR="00234519" w:rsidRPr="006D3772">
        <w:rPr>
          <w:b/>
          <w:bCs w:val="0"/>
          <w:lang w:val="es-ES" w:eastAsia="zh-CN"/>
        </w:rPr>
        <w:t>uturas del GECT</w:t>
      </w:r>
    </w:p>
    <w:p w14:paraId="71B24C4D" w14:textId="77777777" w:rsidR="0041360B" w:rsidRPr="006D3772" w:rsidRDefault="0041360B" w:rsidP="00E952E3">
      <w:pPr>
        <w:rPr>
          <w:lang w:val="es-ES" w:eastAsia="zh-CN"/>
        </w:rPr>
      </w:pPr>
    </w:p>
    <w:p w14:paraId="0A75D7B7" w14:textId="1C6282AF" w:rsidR="00F07211" w:rsidRPr="006D3772" w:rsidRDefault="00C56446" w:rsidP="00F07211">
      <w:pPr>
        <w:ind w:left="432" w:hanging="432"/>
        <w:rPr>
          <w:lang w:val="es-ES" w:eastAsia="zh-CN"/>
        </w:rPr>
      </w:pPr>
      <w:r w:rsidRPr="006D3772">
        <w:rPr>
          <w:lang w:val="es-ES" w:eastAsia="zh-CN"/>
        </w:rPr>
        <w:t>3</w:t>
      </w:r>
      <w:r w:rsidR="006C4877">
        <w:rPr>
          <w:lang w:val="es-ES" w:eastAsia="zh-CN"/>
        </w:rPr>
        <w:t>5</w:t>
      </w:r>
      <w:r w:rsidR="00F319AD" w:rsidRPr="006D3772">
        <w:rPr>
          <w:lang w:val="es-ES" w:eastAsia="zh-CN"/>
        </w:rPr>
        <w:t>.</w:t>
      </w:r>
      <w:r w:rsidR="00F319AD" w:rsidRPr="006D3772">
        <w:rPr>
          <w:lang w:val="es-ES" w:eastAsia="zh-CN"/>
        </w:rPr>
        <w:tab/>
      </w:r>
      <w:r w:rsidR="00F07211" w:rsidRPr="006D3772">
        <w:rPr>
          <w:lang w:val="es-ES" w:eastAsia="zh-CN"/>
        </w:rPr>
        <w:t>La 27ª reunión del GECT (GECT27) se celebrará del 2 al 6 de diciembre de 2024 en Gland</w:t>
      </w:r>
      <w:r w:rsidR="00A2120B" w:rsidRPr="006D3772">
        <w:rPr>
          <w:lang w:val="es-ES" w:eastAsia="zh-CN"/>
        </w:rPr>
        <w:t xml:space="preserve"> (</w:t>
      </w:r>
      <w:r w:rsidR="00F07211" w:rsidRPr="006D3772">
        <w:rPr>
          <w:lang w:val="es-ES" w:eastAsia="zh-CN"/>
        </w:rPr>
        <w:t>Suiza</w:t>
      </w:r>
      <w:r w:rsidR="00A2120B" w:rsidRPr="006D3772">
        <w:rPr>
          <w:lang w:val="es-ES" w:eastAsia="zh-CN"/>
        </w:rPr>
        <w:t>)</w:t>
      </w:r>
      <w:r w:rsidR="00F07211" w:rsidRPr="006D3772">
        <w:rPr>
          <w:lang w:val="es-ES" w:eastAsia="zh-CN"/>
        </w:rPr>
        <w:t xml:space="preserve"> con el objeto de permitir la finalización de las tareas pertinentes de alta prioridad antes de la 15</w:t>
      </w:r>
      <w:bookmarkStart w:id="5" w:name="_Hlk181011970"/>
      <w:r w:rsidR="00F07211" w:rsidRPr="006D3772">
        <w:rPr>
          <w:lang w:val="es-ES" w:eastAsia="zh-CN"/>
        </w:rPr>
        <w:t>ª</w:t>
      </w:r>
      <w:bookmarkEnd w:id="5"/>
      <w:r w:rsidR="00F07211" w:rsidRPr="006D3772">
        <w:rPr>
          <w:lang w:val="es-ES" w:eastAsia="zh-CN"/>
        </w:rPr>
        <w:t xml:space="preserve"> reunión de la Conferencia de las Partes Contratantes. </w:t>
      </w:r>
    </w:p>
    <w:p w14:paraId="3148CCE5" w14:textId="77777777" w:rsidR="00983832" w:rsidRPr="006D3772" w:rsidRDefault="00983832" w:rsidP="0041360B">
      <w:pPr>
        <w:ind w:left="432" w:hanging="432"/>
        <w:rPr>
          <w:lang w:val="es-ES" w:eastAsia="zh-CN"/>
        </w:rPr>
      </w:pPr>
    </w:p>
    <w:p w14:paraId="50E92DC7" w14:textId="450E3D37" w:rsidR="00983832" w:rsidRPr="006D3772" w:rsidRDefault="00C56446" w:rsidP="00905D25">
      <w:pPr>
        <w:ind w:left="432" w:hanging="432"/>
        <w:rPr>
          <w:lang w:val="es-ES" w:eastAsia="zh-CN"/>
        </w:rPr>
      </w:pPr>
      <w:r w:rsidRPr="006D3772">
        <w:rPr>
          <w:lang w:val="es-ES" w:eastAsia="zh-CN"/>
        </w:rPr>
        <w:t>3</w:t>
      </w:r>
      <w:r w:rsidR="006C4877">
        <w:rPr>
          <w:lang w:val="es-ES" w:eastAsia="zh-CN"/>
        </w:rPr>
        <w:t>6</w:t>
      </w:r>
      <w:r w:rsidR="00F319AD" w:rsidRPr="006D3772">
        <w:rPr>
          <w:lang w:val="es-ES" w:eastAsia="zh-CN"/>
        </w:rPr>
        <w:t>.</w:t>
      </w:r>
      <w:r w:rsidR="00F319AD" w:rsidRPr="006D3772">
        <w:rPr>
          <w:lang w:val="es-ES" w:eastAsia="zh-CN"/>
        </w:rPr>
        <w:tab/>
      </w:r>
      <w:r w:rsidR="00CD0990" w:rsidRPr="006D3772">
        <w:rPr>
          <w:lang w:val="es-ES" w:eastAsia="zh-CN"/>
        </w:rPr>
        <w:t xml:space="preserve">En colaboración con la Secretaría, se </w:t>
      </w:r>
      <w:r w:rsidR="00F07211" w:rsidRPr="006D3772">
        <w:rPr>
          <w:lang w:val="es-ES" w:eastAsia="zh-CN"/>
        </w:rPr>
        <w:t xml:space="preserve">organizará una última reunión en línea entre </w:t>
      </w:r>
      <w:r w:rsidR="002B414A">
        <w:rPr>
          <w:lang w:val="es-ES" w:eastAsia="zh-CN"/>
        </w:rPr>
        <w:t>períodos</w:t>
      </w:r>
      <w:r w:rsidR="00CD0990" w:rsidRPr="006D3772">
        <w:rPr>
          <w:lang w:val="es-ES" w:eastAsia="zh-CN"/>
        </w:rPr>
        <w:t xml:space="preserve"> de </w:t>
      </w:r>
      <w:r w:rsidR="00F07211" w:rsidRPr="006D3772">
        <w:rPr>
          <w:lang w:val="es-ES" w:eastAsia="zh-CN"/>
        </w:rPr>
        <w:t xml:space="preserve">sesiones del GECT. La fecha de esta reunión en línea se decidirá durante la </w:t>
      </w:r>
      <w:r w:rsidR="00A2120B" w:rsidRPr="006D3772">
        <w:rPr>
          <w:lang w:val="es-ES" w:eastAsia="zh-CN"/>
        </w:rPr>
        <w:t xml:space="preserve">reunión </w:t>
      </w:r>
      <w:r w:rsidR="00F07211" w:rsidRPr="006D3772">
        <w:rPr>
          <w:lang w:val="es-ES" w:eastAsia="zh-CN"/>
        </w:rPr>
        <w:t>GECT27.</w:t>
      </w:r>
    </w:p>
    <w:p w14:paraId="1C8E1B2A" w14:textId="77777777" w:rsidR="0041360B" w:rsidRPr="006D3772" w:rsidRDefault="0041360B" w:rsidP="00E952E3">
      <w:pPr>
        <w:rPr>
          <w:lang w:val="es-ES" w:eastAsia="zh-CN"/>
        </w:rPr>
      </w:pPr>
    </w:p>
    <w:p w14:paraId="12B4D501" w14:textId="77777777" w:rsidR="006C37E3" w:rsidRPr="006D3772" w:rsidRDefault="00F319AD" w:rsidP="00E952E3">
      <w:pPr>
        <w:rPr>
          <w:b/>
          <w:bCs w:val="0"/>
          <w:lang w:val="es-ES" w:eastAsia="zh-CN"/>
        </w:rPr>
      </w:pPr>
      <w:r w:rsidRPr="006D3772">
        <w:rPr>
          <w:b/>
          <w:bCs w:val="0"/>
          <w:lang w:val="es-ES" w:eastAsia="zh-CN"/>
        </w:rPr>
        <w:br w:type="page"/>
      </w:r>
    </w:p>
    <w:p w14:paraId="3E5C4A6D" w14:textId="6402B91F" w:rsidR="00E952E3" w:rsidRPr="006D3772" w:rsidRDefault="00F319AD" w:rsidP="00E952E3">
      <w:pPr>
        <w:rPr>
          <w:b/>
          <w:bCs w:val="0"/>
          <w:sz w:val="24"/>
          <w:szCs w:val="24"/>
          <w:lang w:val="es-ES" w:eastAsia="zh-CN"/>
        </w:rPr>
      </w:pPr>
      <w:bookmarkStart w:id="6" w:name="_Hlk179983037"/>
      <w:r w:rsidRPr="006D3772">
        <w:rPr>
          <w:b/>
          <w:bCs w:val="0"/>
          <w:sz w:val="24"/>
          <w:szCs w:val="24"/>
          <w:lang w:val="es-ES" w:eastAsia="zh-CN"/>
        </w:rPr>
        <w:lastRenderedPageBreak/>
        <w:t>Anex</w:t>
      </w:r>
      <w:r w:rsidR="00E52A91" w:rsidRPr="006D3772">
        <w:rPr>
          <w:b/>
          <w:bCs w:val="0"/>
          <w:sz w:val="24"/>
          <w:szCs w:val="24"/>
          <w:lang w:val="es-ES" w:eastAsia="zh-CN"/>
        </w:rPr>
        <w:t>o</w:t>
      </w:r>
      <w:r w:rsidRPr="006D3772">
        <w:rPr>
          <w:b/>
          <w:bCs w:val="0"/>
          <w:sz w:val="24"/>
          <w:szCs w:val="24"/>
          <w:lang w:val="es-ES" w:eastAsia="zh-CN"/>
        </w:rPr>
        <w:t xml:space="preserve"> </w:t>
      </w:r>
      <w:r w:rsidR="00D4795E" w:rsidRPr="006D3772">
        <w:rPr>
          <w:b/>
          <w:bCs w:val="0"/>
          <w:sz w:val="24"/>
          <w:szCs w:val="24"/>
          <w:lang w:val="es-ES" w:eastAsia="zh-CN"/>
        </w:rPr>
        <w:t>1</w:t>
      </w:r>
      <w:r w:rsidRPr="006D3772">
        <w:rPr>
          <w:b/>
          <w:bCs w:val="0"/>
          <w:sz w:val="24"/>
          <w:szCs w:val="24"/>
          <w:lang w:val="es-ES" w:eastAsia="zh-CN"/>
        </w:rPr>
        <w:t xml:space="preserve"> </w:t>
      </w:r>
    </w:p>
    <w:p w14:paraId="75A000E0" w14:textId="49760457" w:rsidR="00E952E3" w:rsidRPr="006D3772" w:rsidRDefault="00E52A91" w:rsidP="00E952E3">
      <w:pPr>
        <w:rPr>
          <w:b/>
          <w:bCs w:val="0"/>
          <w:sz w:val="24"/>
          <w:szCs w:val="24"/>
          <w:lang w:val="es-ES"/>
        </w:rPr>
      </w:pPr>
      <w:r w:rsidRPr="006D3772">
        <w:rPr>
          <w:b/>
          <w:bCs w:val="0"/>
          <w:sz w:val="24"/>
          <w:szCs w:val="24"/>
          <w:lang w:val="es-ES"/>
        </w:rPr>
        <w:t xml:space="preserve">Prioridades del GECT para el </w:t>
      </w:r>
      <w:r w:rsidR="0012694A" w:rsidRPr="006D3772">
        <w:rPr>
          <w:b/>
          <w:bCs w:val="0"/>
          <w:sz w:val="24"/>
          <w:szCs w:val="24"/>
          <w:lang w:val="es-ES"/>
        </w:rPr>
        <w:t xml:space="preserve">período </w:t>
      </w:r>
      <w:r w:rsidRPr="006D3772">
        <w:rPr>
          <w:b/>
          <w:bCs w:val="0"/>
          <w:sz w:val="24"/>
          <w:szCs w:val="24"/>
          <w:lang w:val="es-ES"/>
        </w:rPr>
        <w:t>2</w:t>
      </w:r>
      <w:r w:rsidR="00F319AD" w:rsidRPr="006D3772">
        <w:rPr>
          <w:b/>
          <w:bCs w:val="0"/>
          <w:sz w:val="24"/>
          <w:szCs w:val="24"/>
          <w:lang w:val="es-ES"/>
        </w:rPr>
        <w:t>026-2028</w:t>
      </w:r>
      <w:bookmarkEnd w:id="6"/>
    </w:p>
    <w:p w14:paraId="164E83F1" w14:textId="77777777" w:rsidR="00E952E3" w:rsidRPr="006D3772" w:rsidRDefault="00E952E3" w:rsidP="00E952E3">
      <w:pPr>
        <w:rPr>
          <w:lang w:val="es-ES"/>
        </w:rPr>
      </w:pPr>
    </w:p>
    <w:p w14:paraId="7E068D5A" w14:textId="6F611174" w:rsidR="00E52A91" w:rsidRPr="006D3772" w:rsidRDefault="00F319AD" w:rsidP="00E52A91">
      <w:pPr>
        <w:ind w:left="432" w:hanging="432"/>
        <w:rPr>
          <w:lang w:val="es-ES"/>
        </w:rPr>
      </w:pPr>
      <w:r w:rsidRPr="006D3772">
        <w:rPr>
          <w:lang w:val="es-ES"/>
        </w:rPr>
        <w:t>1</w:t>
      </w:r>
      <w:r w:rsidR="0045540A" w:rsidRPr="006D3772">
        <w:rPr>
          <w:lang w:val="es-ES"/>
        </w:rPr>
        <w:t>.</w:t>
      </w:r>
      <w:r w:rsidR="0045540A" w:rsidRPr="006D3772">
        <w:rPr>
          <w:lang w:val="es-ES"/>
        </w:rPr>
        <w:tab/>
      </w:r>
      <w:r w:rsidR="00E52A91" w:rsidRPr="006D3772">
        <w:rPr>
          <w:lang w:val="es-ES"/>
        </w:rPr>
        <w:t xml:space="preserve">Se han </w:t>
      </w:r>
      <w:r w:rsidR="00A2120B" w:rsidRPr="006D3772">
        <w:rPr>
          <w:lang w:val="es-ES"/>
        </w:rPr>
        <w:t>formulado</w:t>
      </w:r>
      <w:r w:rsidR="00E52A91" w:rsidRPr="006D3772">
        <w:rPr>
          <w:lang w:val="es-ES"/>
        </w:rPr>
        <w:t xml:space="preserve"> recomendaciones para el próximo plan de trabajo del GECT (</w:t>
      </w:r>
      <w:r w:rsidR="0012694A" w:rsidRPr="006D3772">
        <w:rPr>
          <w:lang w:val="es-ES"/>
        </w:rPr>
        <w:t xml:space="preserve">período </w:t>
      </w:r>
      <w:r w:rsidR="00E52A91" w:rsidRPr="006D3772">
        <w:rPr>
          <w:lang w:val="es-ES"/>
        </w:rPr>
        <w:t xml:space="preserve">2026-2028) </w:t>
      </w:r>
      <w:r w:rsidR="00CD0990" w:rsidRPr="006D3772">
        <w:rPr>
          <w:lang w:val="es-ES"/>
        </w:rPr>
        <w:t>mediante</w:t>
      </w:r>
      <w:r w:rsidR="00E52A91" w:rsidRPr="006D3772">
        <w:rPr>
          <w:lang w:val="es-ES"/>
        </w:rPr>
        <w:t xml:space="preserve"> un proceso consultivo que se inició con un debate inicial sobre las cuestiones emergentes durante la 26ª </w:t>
      </w:r>
      <w:r w:rsidR="00A2120B" w:rsidRPr="006D3772">
        <w:rPr>
          <w:lang w:val="es-ES"/>
        </w:rPr>
        <w:t>r</w:t>
      </w:r>
      <w:r w:rsidR="00E52A91" w:rsidRPr="006D3772">
        <w:rPr>
          <w:lang w:val="es-ES"/>
        </w:rPr>
        <w:t>eunión del Grupo de Examen Científico y Técnico (</w:t>
      </w:r>
      <w:hyperlink r:id="rId11" w:history="1">
        <w:r w:rsidR="00E52A91" w:rsidRPr="006D3772">
          <w:rPr>
            <w:rStyle w:val="Hyperlink"/>
            <w:lang w:val="es-ES"/>
          </w:rPr>
          <w:t>Anexo 2, SC63.19</w:t>
        </w:r>
      </w:hyperlink>
      <w:r w:rsidR="00E52A91" w:rsidRPr="006D3772">
        <w:rPr>
          <w:lang w:val="es-ES"/>
        </w:rPr>
        <w:t xml:space="preserve">), las observaciones recibidas durante la 63ª </w:t>
      </w:r>
      <w:r w:rsidR="00A2120B" w:rsidRPr="006D3772">
        <w:rPr>
          <w:lang w:val="es-ES"/>
        </w:rPr>
        <w:t>r</w:t>
      </w:r>
      <w:r w:rsidR="00E52A91" w:rsidRPr="006D3772">
        <w:rPr>
          <w:lang w:val="es-ES"/>
        </w:rPr>
        <w:t>eunión del Comité Permanente (</w:t>
      </w:r>
      <w:hyperlink r:id="rId12" w:history="1">
        <w:r w:rsidR="00E52A91" w:rsidRPr="006D3772">
          <w:rPr>
            <w:rStyle w:val="Hyperlink"/>
            <w:lang w:val="es-ES"/>
          </w:rPr>
          <w:t xml:space="preserve">Informe y Decisiones de la 63ª </w:t>
        </w:r>
        <w:r w:rsidR="00344A71" w:rsidRPr="006D3772">
          <w:rPr>
            <w:rStyle w:val="Hyperlink"/>
            <w:lang w:val="es-ES"/>
          </w:rPr>
          <w:t>r</w:t>
        </w:r>
        <w:r w:rsidR="00E52A91" w:rsidRPr="006D3772">
          <w:rPr>
            <w:rStyle w:val="Hyperlink"/>
            <w:lang w:val="es-ES"/>
          </w:rPr>
          <w:t>eunión del Comité Permanente</w:t>
        </w:r>
      </w:hyperlink>
      <w:r w:rsidR="00E52A91" w:rsidRPr="006D3772">
        <w:rPr>
          <w:lang w:val="es-ES"/>
        </w:rPr>
        <w:t xml:space="preserve">) y las consultas posteriores </w:t>
      </w:r>
      <w:r w:rsidR="00A2120B" w:rsidRPr="006D3772">
        <w:rPr>
          <w:lang w:val="es-ES"/>
        </w:rPr>
        <w:t>a</w:t>
      </w:r>
      <w:r w:rsidR="00E52A91" w:rsidRPr="006D3772">
        <w:rPr>
          <w:lang w:val="es-ES"/>
        </w:rPr>
        <w:t xml:space="preserve"> los </w:t>
      </w:r>
      <w:r w:rsidR="00CD0990" w:rsidRPr="006D3772">
        <w:rPr>
          <w:lang w:val="es-ES"/>
        </w:rPr>
        <w:t>m</w:t>
      </w:r>
      <w:r w:rsidR="00E52A91" w:rsidRPr="006D3772">
        <w:rPr>
          <w:lang w:val="es-ES"/>
        </w:rPr>
        <w:t xml:space="preserve">iembros del Grupo, los </w:t>
      </w:r>
      <w:r w:rsidR="00CD0990" w:rsidRPr="006D3772">
        <w:rPr>
          <w:lang w:val="es-ES"/>
        </w:rPr>
        <w:t>c</w:t>
      </w:r>
      <w:r w:rsidR="00E52A91" w:rsidRPr="006D3772">
        <w:rPr>
          <w:lang w:val="es-ES"/>
        </w:rPr>
        <w:t xml:space="preserve">oordinadores </w:t>
      </w:r>
      <w:r w:rsidR="00CD0990" w:rsidRPr="006D3772">
        <w:rPr>
          <w:lang w:val="es-ES"/>
        </w:rPr>
        <w:t>n</w:t>
      </w:r>
      <w:r w:rsidR="00E52A91" w:rsidRPr="006D3772">
        <w:rPr>
          <w:lang w:val="es-ES"/>
        </w:rPr>
        <w:t xml:space="preserve">acionales, los </w:t>
      </w:r>
      <w:r w:rsidR="00CD0990" w:rsidRPr="006D3772">
        <w:rPr>
          <w:lang w:val="es-ES"/>
        </w:rPr>
        <w:t>o</w:t>
      </w:r>
      <w:r w:rsidR="00E52A91" w:rsidRPr="006D3772">
        <w:rPr>
          <w:lang w:val="es-ES"/>
        </w:rPr>
        <w:t xml:space="preserve">bservadores y las OIA, incluida la tercera reunión en línea entre </w:t>
      </w:r>
      <w:r w:rsidR="002B414A">
        <w:rPr>
          <w:lang w:val="es-ES"/>
        </w:rPr>
        <w:t>períodos</w:t>
      </w:r>
      <w:r w:rsidR="00E52A91" w:rsidRPr="006D3772">
        <w:rPr>
          <w:lang w:val="es-ES"/>
        </w:rPr>
        <w:t xml:space="preserve"> de sesiones del GECT. </w:t>
      </w:r>
    </w:p>
    <w:p w14:paraId="765EB5D8" w14:textId="77777777" w:rsidR="00D3383D" w:rsidRPr="006D3772" w:rsidRDefault="00D3383D" w:rsidP="00E952E3">
      <w:pPr>
        <w:rPr>
          <w:lang w:val="es-ES"/>
        </w:rPr>
      </w:pPr>
    </w:p>
    <w:p w14:paraId="1252BC63" w14:textId="07180B8C" w:rsidR="00344A71" w:rsidRPr="006D3772" w:rsidRDefault="00DE1A00" w:rsidP="00E952E3">
      <w:pPr>
        <w:rPr>
          <w:b/>
          <w:bCs w:val="0"/>
          <w:lang w:val="es-ES"/>
        </w:rPr>
      </w:pPr>
      <w:r w:rsidRPr="006D3772">
        <w:rPr>
          <w:b/>
          <w:bCs w:val="0"/>
          <w:lang w:val="es-ES"/>
        </w:rPr>
        <w:t>Áreas tem</w:t>
      </w:r>
      <w:r w:rsidR="00D10FC7" w:rsidRPr="006D3772">
        <w:rPr>
          <w:b/>
          <w:bCs w:val="0"/>
          <w:lang w:val="es-ES"/>
        </w:rPr>
        <w:t>áticas de trabajo</w:t>
      </w:r>
      <w:r w:rsidR="00344A71" w:rsidRPr="006D3772">
        <w:rPr>
          <w:b/>
          <w:bCs w:val="0"/>
          <w:lang w:val="es-ES"/>
        </w:rPr>
        <w:t xml:space="preserve"> (</w:t>
      </w:r>
      <w:r w:rsidR="001C762F" w:rsidRPr="006D3772">
        <w:rPr>
          <w:b/>
          <w:bCs w:val="0"/>
          <w:lang w:val="es-ES"/>
        </w:rPr>
        <w:t>ATT</w:t>
      </w:r>
      <w:r w:rsidR="00344A71" w:rsidRPr="006D3772">
        <w:rPr>
          <w:b/>
          <w:bCs w:val="0"/>
          <w:lang w:val="es-ES"/>
        </w:rPr>
        <w:t>):</w:t>
      </w:r>
    </w:p>
    <w:p w14:paraId="1C7EE7A6" w14:textId="77777777" w:rsidR="00E952E3" w:rsidRPr="006D3772" w:rsidRDefault="00E952E3" w:rsidP="00E952E3">
      <w:pPr>
        <w:rPr>
          <w:lang w:val="es-ES"/>
        </w:rPr>
      </w:pPr>
    </w:p>
    <w:p w14:paraId="0DCB2BA5" w14:textId="427E9FA2" w:rsidR="00344A71" w:rsidRPr="006D3772" w:rsidRDefault="00F319AD" w:rsidP="00344A71">
      <w:pPr>
        <w:ind w:left="432" w:hanging="432"/>
        <w:rPr>
          <w:lang w:val="es-ES"/>
        </w:rPr>
      </w:pPr>
      <w:r w:rsidRPr="006D3772">
        <w:rPr>
          <w:lang w:val="es-ES"/>
        </w:rPr>
        <w:t>2</w:t>
      </w:r>
      <w:r w:rsidR="0045540A" w:rsidRPr="006D3772">
        <w:rPr>
          <w:lang w:val="es-ES"/>
        </w:rPr>
        <w:t>.</w:t>
      </w:r>
      <w:r w:rsidR="0045540A" w:rsidRPr="006D3772">
        <w:rPr>
          <w:lang w:val="es-ES"/>
        </w:rPr>
        <w:tab/>
      </w:r>
      <w:r w:rsidR="00344A71" w:rsidRPr="006D3772">
        <w:rPr>
          <w:lang w:val="es-ES"/>
        </w:rPr>
        <w:t xml:space="preserve">Para mantener la continuidad y asegurar la coherencia del enfoque, se han mantenido las </w:t>
      </w:r>
      <w:r w:rsidR="00D10FC7" w:rsidRPr="006D3772">
        <w:rPr>
          <w:lang w:val="es-ES"/>
        </w:rPr>
        <w:t>áreas temáticas de trabajo</w:t>
      </w:r>
      <w:r w:rsidR="00344A71" w:rsidRPr="006D3772">
        <w:rPr>
          <w:lang w:val="es-ES"/>
        </w:rPr>
        <w:t xml:space="preserve"> (</w:t>
      </w:r>
      <w:r w:rsidR="001C762F" w:rsidRPr="006D3772">
        <w:rPr>
          <w:lang w:val="es-ES"/>
        </w:rPr>
        <w:t>ATT</w:t>
      </w:r>
      <w:r w:rsidR="00344A71" w:rsidRPr="006D3772">
        <w:rPr>
          <w:lang w:val="es-ES"/>
        </w:rPr>
        <w:t xml:space="preserve">) del trienio anterior (definidas en la </w:t>
      </w:r>
      <w:hyperlink r:id="rId13" w:history="1">
        <w:r w:rsidR="00344A71" w:rsidRPr="006D3772">
          <w:rPr>
            <w:rStyle w:val="Hyperlink"/>
            <w:lang w:val="es-ES"/>
          </w:rPr>
          <w:t>Resolución XIV.14</w:t>
        </w:r>
      </w:hyperlink>
      <w:r w:rsidR="00344A71" w:rsidRPr="006D3772">
        <w:rPr>
          <w:lang w:val="es-ES"/>
        </w:rPr>
        <w:t xml:space="preserve">, </w:t>
      </w:r>
      <w:hyperlink r:id="rId14" w:history="1">
        <w:r w:rsidR="00344A71" w:rsidRPr="006D3772">
          <w:rPr>
            <w:rStyle w:val="Hyperlink"/>
            <w:lang w:val="es-ES"/>
          </w:rPr>
          <w:t>Decisión</w:t>
        </w:r>
        <w:r w:rsidR="00A2120B" w:rsidRPr="006D3772">
          <w:rPr>
            <w:rStyle w:val="Hyperlink"/>
            <w:lang w:val="es-ES"/>
          </w:rPr>
          <w:t xml:space="preserve"> 04</w:t>
        </w:r>
        <w:r w:rsidR="00344A71" w:rsidRPr="006D3772">
          <w:rPr>
            <w:rStyle w:val="Hyperlink"/>
            <w:lang w:val="es-ES"/>
          </w:rPr>
          <w:t xml:space="preserve"> </w:t>
        </w:r>
        <w:r w:rsidR="00A2120B" w:rsidRPr="006D3772">
          <w:rPr>
            <w:rStyle w:val="Hyperlink"/>
            <w:lang w:val="es-ES"/>
          </w:rPr>
          <w:t xml:space="preserve">de la reunión </w:t>
        </w:r>
        <w:r w:rsidR="00344A71" w:rsidRPr="006D3772">
          <w:rPr>
            <w:rStyle w:val="Hyperlink"/>
            <w:lang w:val="es-ES"/>
          </w:rPr>
          <w:t xml:space="preserve">entre </w:t>
        </w:r>
        <w:r w:rsidR="002B414A">
          <w:rPr>
            <w:rStyle w:val="Hyperlink"/>
            <w:lang w:val="es-ES"/>
          </w:rPr>
          <w:t>períodos</w:t>
        </w:r>
        <w:r w:rsidR="00344A71" w:rsidRPr="006D3772">
          <w:rPr>
            <w:rStyle w:val="Hyperlink"/>
            <w:lang w:val="es-ES"/>
          </w:rPr>
          <w:t xml:space="preserve"> de sesiones </w:t>
        </w:r>
        <w:r w:rsidR="00A2120B" w:rsidRPr="006D3772">
          <w:rPr>
            <w:rStyle w:val="Hyperlink"/>
            <w:lang w:val="es-ES"/>
          </w:rPr>
          <w:t>antes de la reunión SC62</w:t>
        </w:r>
      </w:hyperlink>
      <w:r w:rsidR="00344A71" w:rsidRPr="006D3772">
        <w:rPr>
          <w:lang w:val="es-ES"/>
        </w:rPr>
        <w:t xml:space="preserve"> sobre el plan de trabajo del GECT para 2023-2025): </w:t>
      </w:r>
    </w:p>
    <w:p w14:paraId="77979062" w14:textId="77777777" w:rsidR="00790083" w:rsidRPr="006D3772" w:rsidRDefault="00790083" w:rsidP="00E952E3">
      <w:pPr>
        <w:rPr>
          <w:lang w:val="es-ES"/>
        </w:rPr>
      </w:pPr>
    </w:p>
    <w:p w14:paraId="0C8AEAE7" w14:textId="13A3C0A0" w:rsidR="00CB5925" w:rsidRPr="006D3772" w:rsidRDefault="001C762F" w:rsidP="00CB5925">
      <w:pPr>
        <w:tabs>
          <w:tab w:val="left" w:pos="810"/>
        </w:tabs>
        <w:ind w:left="810" w:hanging="810"/>
        <w:rPr>
          <w:lang w:val="es-ES"/>
        </w:rPr>
      </w:pPr>
      <w:r w:rsidRPr="006D3772">
        <w:rPr>
          <w:b/>
          <w:lang w:val="es-ES"/>
        </w:rPr>
        <w:t>ATT</w:t>
      </w:r>
      <w:r w:rsidR="00F319AD" w:rsidRPr="006D3772">
        <w:rPr>
          <w:b/>
          <w:lang w:val="es-ES"/>
        </w:rPr>
        <w:t xml:space="preserve"> 1.</w:t>
      </w:r>
      <w:r w:rsidR="00E952E3" w:rsidRPr="006D3772">
        <w:rPr>
          <w:lang w:val="es-ES"/>
        </w:rPr>
        <w:tab/>
      </w:r>
      <w:r w:rsidRPr="006D3772">
        <w:rPr>
          <w:lang w:val="es-ES"/>
        </w:rPr>
        <w:t xml:space="preserve">Humedales de Importancia Internacional, desarrollo de la red de sitios y aplicación de </w:t>
      </w:r>
      <w:r w:rsidR="00FB774C" w:rsidRPr="006D3772">
        <w:rPr>
          <w:lang w:val="es-ES"/>
        </w:rPr>
        <w:t xml:space="preserve">los </w:t>
      </w:r>
      <w:r w:rsidRPr="006D3772">
        <w:rPr>
          <w:lang w:val="es-ES"/>
        </w:rPr>
        <w:t>criterios.</w:t>
      </w:r>
    </w:p>
    <w:p w14:paraId="48625797" w14:textId="77777777" w:rsidR="0045754F" w:rsidRPr="006D3772" w:rsidRDefault="0045754F" w:rsidP="00CB5925">
      <w:pPr>
        <w:tabs>
          <w:tab w:val="left" w:pos="810"/>
        </w:tabs>
        <w:ind w:left="810" w:hanging="810"/>
        <w:rPr>
          <w:lang w:val="es-ES"/>
        </w:rPr>
      </w:pPr>
    </w:p>
    <w:tbl>
      <w:tblPr>
        <w:tblStyle w:val="TableGrid"/>
        <w:tblW w:w="0" w:type="auto"/>
        <w:tblInd w:w="805" w:type="dxa"/>
        <w:tblLook w:val="04A0" w:firstRow="1" w:lastRow="0" w:firstColumn="1" w:lastColumn="0" w:noHBand="0" w:noVBand="1"/>
      </w:tblPr>
      <w:tblGrid>
        <w:gridCol w:w="8211"/>
      </w:tblGrid>
      <w:tr w:rsidR="007B31B2" w:rsidRPr="00841C2D" w14:paraId="135BC20E" w14:textId="77777777" w:rsidTr="000049BF">
        <w:tc>
          <w:tcPr>
            <w:tcW w:w="8545" w:type="dxa"/>
          </w:tcPr>
          <w:p w14:paraId="7FC7141E" w14:textId="4A49E814" w:rsidR="00CB5925" w:rsidRPr="006D3772" w:rsidRDefault="001C762F" w:rsidP="00CD0990">
            <w:pPr>
              <w:tabs>
                <w:tab w:val="left" w:pos="810"/>
              </w:tabs>
              <w:rPr>
                <w:lang w:val="es-ES"/>
              </w:rPr>
            </w:pPr>
            <w:r w:rsidRPr="006D3772">
              <w:rPr>
                <w:lang w:val="es-ES"/>
              </w:rPr>
              <w:t>Esta área de trabajo se centra en facilitar información para ayudar a las Partes Contratantes a designar, gestionar y supervisar</w:t>
            </w:r>
            <w:r w:rsidR="00C33A14" w:rsidRPr="006D3772">
              <w:rPr>
                <w:lang w:val="es-ES"/>
              </w:rPr>
              <w:t xml:space="preserve"> los</w:t>
            </w:r>
            <w:r w:rsidRPr="006D3772">
              <w:rPr>
                <w:lang w:val="es-ES"/>
              </w:rPr>
              <w:t xml:space="preserve"> Humedales de Importancia Internacional en consonancia con los objetivos de la Convención sobre los Humedales. Incluye orientaciones sobre la aplicación de criterios para la designación de sitios y la evaluación de tipos de humedales insuficientemente representados en la red de sitios. El ATT 1 también puede aportar orientaciones sobre la integración de los Humedales de Importancia Internacional en objetivos más amplios de biodiversidad a escala mundial, reforzando su papel en la consecución de los objetivos internacionales de conservación.</w:t>
            </w:r>
          </w:p>
        </w:tc>
      </w:tr>
    </w:tbl>
    <w:p w14:paraId="42305001" w14:textId="77777777" w:rsidR="00CB5925" w:rsidRPr="006D3772" w:rsidRDefault="00CB5925" w:rsidP="005F1F4F">
      <w:pPr>
        <w:tabs>
          <w:tab w:val="left" w:pos="810"/>
        </w:tabs>
        <w:ind w:left="810" w:hanging="810"/>
        <w:rPr>
          <w:lang w:val="es-ES"/>
        </w:rPr>
      </w:pPr>
    </w:p>
    <w:p w14:paraId="5C228915" w14:textId="5A896D72" w:rsidR="001C762F" w:rsidRPr="006D3772" w:rsidRDefault="001C762F" w:rsidP="001C762F">
      <w:pPr>
        <w:tabs>
          <w:tab w:val="left" w:pos="810"/>
        </w:tabs>
        <w:ind w:left="810" w:hanging="810"/>
        <w:rPr>
          <w:b/>
          <w:lang w:val="es-ES"/>
        </w:rPr>
      </w:pPr>
      <w:r w:rsidRPr="006D3772">
        <w:rPr>
          <w:b/>
          <w:lang w:val="es-ES"/>
        </w:rPr>
        <w:t>ATT</w:t>
      </w:r>
      <w:r w:rsidR="00F319AD" w:rsidRPr="006D3772">
        <w:rPr>
          <w:b/>
          <w:lang w:val="es-ES"/>
        </w:rPr>
        <w:t xml:space="preserve"> 2</w:t>
      </w:r>
      <w:r w:rsidR="00B11CA8" w:rsidRPr="006D3772">
        <w:rPr>
          <w:b/>
          <w:lang w:val="es-ES"/>
        </w:rPr>
        <w:t>.</w:t>
      </w:r>
      <w:r w:rsidR="005F1F4F" w:rsidRPr="006D3772">
        <w:rPr>
          <w:b/>
          <w:lang w:val="es-ES"/>
        </w:rPr>
        <w:tab/>
      </w:r>
      <w:r w:rsidRPr="006D3772">
        <w:rPr>
          <w:bCs w:val="0"/>
          <w:lang w:val="es-ES"/>
        </w:rPr>
        <w:t xml:space="preserve">Herramientas para la evaluación, </w:t>
      </w:r>
      <w:r w:rsidR="00B61350">
        <w:rPr>
          <w:bCs w:val="0"/>
          <w:lang w:val="es-ES"/>
        </w:rPr>
        <w:t xml:space="preserve">la </w:t>
      </w:r>
      <w:r w:rsidR="003E74F3">
        <w:rPr>
          <w:bCs w:val="0"/>
          <w:lang w:val="es-ES"/>
        </w:rPr>
        <w:t>cartografía</w:t>
      </w:r>
      <w:r w:rsidR="00FB774C" w:rsidRPr="006D3772">
        <w:rPr>
          <w:bCs w:val="0"/>
          <w:lang w:val="es-ES"/>
        </w:rPr>
        <w:t xml:space="preserve"> y </w:t>
      </w:r>
      <w:r w:rsidR="00B61350">
        <w:rPr>
          <w:bCs w:val="0"/>
          <w:lang w:val="es-ES"/>
        </w:rPr>
        <w:t>el seguimiento</w:t>
      </w:r>
      <w:r w:rsidRPr="006D3772">
        <w:rPr>
          <w:bCs w:val="0"/>
          <w:lang w:val="es-ES"/>
        </w:rPr>
        <w:t xml:space="preserve"> de </w:t>
      </w:r>
      <w:r w:rsidR="00FB774C" w:rsidRPr="006D3772">
        <w:rPr>
          <w:bCs w:val="0"/>
          <w:lang w:val="es-ES"/>
        </w:rPr>
        <w:t xml:space="preserve">los </w:t>
      </w:r>
      <w:r w:rsidRPr="006D3772">
        <w:rPr>
          <w:bCs w:val="0"/>
          <w:lang w:val="es-ES"/>
        </w:rPr>
        <w:t>humedales, y elaboración de inventarios.</w:t>
      </w:r>
      <w:r w:rsidRPr="006D3772">
        <w:rPr>
          <w:b/>
          <w:lang w:val="es-ES"/>
        </w:rPr>
        <w:t xml:space="preserve"> </w:t>
      </w:r>
    </w:p>
    <w:p w14:paraId="2DEC6229" w14:textId="77777777" w:rsidR="00CB5925" w:rsidRPr="006D3772" w:rsidRDefault="00CB5925" w:rsidP="000049BF">
      <w:pPr>
        <w:tabs>
          <w:tab w:val="left" w:pos="810"/>
        </w:tabs>
        <w:rPr>
          <w:lang w:val="es-ES"/>
        </w:rPr>
      </w:pPr>
    </w:p>
    <w:tbl>
      <w:tblPr>
        <w:tblStyle w:val="TableGrid"/>
        <w:tblW w:w="0" w:type="auto"/>
        <w:tblInd w:w="805" w:type="dxa"/>
        <w:tblLook w:val="04A0" w:firstRow="1" w:lastRow="0" w:firstColumn="1" w:lastColumn="0" w:noHBand="0" w:noVBand="1"/>
      </w:tblPr>
      <w:tblGrid>
        <w:gridCol w:w="8211"/>
      </w:tblGrid>
      <w:tr w:rsidR="007B31B2" w:rsidRPr="00841C2D" w14:paraId="734BDAC0" w14:textId="77777777" w:rsidTr="000049BF">
        <w:tc>
          <w:tcPr>
            <w:tcW w:w="8545" w:type="dxa"/>
          </w:tcPr>
          <w:p w14:paraId="607E95F6" w14:textId="64F13940" w:rsidR="00CB5925" w:rsidRPr="006D3772" w:rsidRDefault="000E7AC4" w:rsidP="00CD0990">
            <w:pPr>
              <w:tabs>
                <w:tab w:val="left" w:pos="810"/>
              </w:tabs>
              <w:rPr>
                <w:lang w:val="es-ES"/>
              </w:rPr>
            </w:pPr>
            <w:r w:rsidRPr="006D3772">
              <w:rPr>
                <w:lang w:val="es-ES"/>
              </w:rPr>
              <w:t xml:space="preserve">Esta área de trabajo tiene como objetivo perfeccionar las herramientas y metodologías necesarias para la evaluación, </w:t>
            </w:r>
            <w:r w:rsidR="003E74F3">
              <w:rPr>
                <w:lang w:val="es-ES"/>
              </w:rPr>
              <w:t xml:space="preserve">la cartografía </w:t>
            </w:r>
            <w:r w:rsidRPr="006D3772">
              <w:rPr>
                <w:lang w:val="es-ES"/>
              </w:rPr>
              <w:t xml:space="preserve">y </w:t>
            </w:r>
            <w:r w:rsidR="00CD0990" w:rsidRPr="006D3772">
              <w:rPr>
                <w:lang w:val="es-ES"/>
              </w:rPr>
              <w:t xml:space="preserve">el </w:t>
            </w:r>
            <w:r w:rsidRPr="006D3772">
              <w:rPr>
                <w:lang w:val="es-ES"/>
              </w:rPr>
              <w:t xml:space="preserve">seguimiento de los humedales, incluyendo la evaluación del carbono </w:t>
            </w:r>
            <w:r w:rsidR="00C33A14" w:rsidRPr="006D3772">
              <w:rPr>
                <w:lang w:val="es-ES"/>
              </w:rPr>
              <w:t xml:space="preserve">de los humedales </w:t>
            </w:r>
            <w:r w:rsidRPr="006D3772">
              <w:rPr>
                <w:lang w:val="es-ES"/>
              </w:rPr>
              <w:t xml:space="preserve">y el seguimiento de la biodiversidad de </w:t>
            </w:r>
            <w:r w:rsidR="00C33A14" w:rsidRPr="006D3772">
              <w:rPr>
                <w:lang w:val="es-ES"/>
              </w:rPr>
              <w:t>estos</w:t>
            </w:r>
            <w:r w:rsidRPr="006D3772">
              <w:rPr>
                <w:lang w:val="es-ES"/>
              </w:rPr>
              <w:t>. El ATT 2 estudiará técnicas innovadoras para racionalizar el inventario de humedales y la presentación de informes, inclu</w:t>
            </w:r>
            <w:r w:rsidR="00CD0990" w:rsidRPr="006D3772">
              <w:rPr>
                <w:lang w:val="es-ES"/>
              </w:rPr>
              <w:t>yendo</w:t>
            </w:r>
            <w:r w:rsidRPr="006D3772">
              <w:rPr>
                <w:lang w:val="es-ES"/>
              </w:rPr>
              <w:t xml:space="preserve"> la teledetección y la observación de la Tierra. Las acciones futuras garantizarán la accesibilidad y adaptabilidad de estas herramientas, lo cual permitirá a las Partes Contratantes cumplir con sus obligaciones de presentación de informes respecto a la Convención y otros marcos internacionales relativos a los humedales.</w:t>
            </w:r>
          </w:p>
        </w:tc>
      </w:tr>
    </w:tbl>
    <w:p w14:paraId="4013F687" w14:textId="77777777" w:rsidR="00CB5925" w:rsidRPr="006D3772" w:rsidRDefault="00CB5925" w:rsidP="000049BF">
      <w:pPr>
        <w:tabs>
          <w:tab w:val="left" w:pos="810"/>
        </w:tabs>
        <w:rPr>
          <w:lang w:val="es-ES"/>
        </w:rPr>
      </w:pPr>
    </w:p>
    <w:p w14:paraId="5C55BC20" w14:textId="2262A418" w:rsidR="00FB774C" w:rsidRPr="006D3772" w:rsidRDefault="001C762F" w:rsidP="00FB774C">
      <w:pPr>
        <w:tabs>
          <w:tab w:val="left" w:pos="810"/>
        </w:tabs>
        <w:ind w:left="810" w:hanging="810"/>
        <w:rPr>
          <w:b/>
          <w:lang w:val="es-ES"/>
        </w:rPr>
      </w:pPr>
      <w:r w:rsidRPr="006D3772">
        <w:rPr>
          <w:b/>
          <w:lang w:val="es-ES"/>
        </w:rPr>
        <w:t>ATT</w:t>
      </w:r>
      <w:r w:rsidR="00F319AD" w:rsidRPr="006D3772">
        <w:rPr>
          <w:b/>
          <w:lang w:val="es-ES"/>
        </w:rPr>
        <w:t xml:space="preserve"> 3</w:t>
      </w:r>
      <w:r w:rsidR="00B11CA8" w:rsidRPr="006D3772">
        <w:rPr>
          <w:b/>
          <w:lang w:val="es-ES"/>
        </w:rPr>
        <w:t>.</w:t>
      </w:r>
      <w:r w:rsidR="005F1F4F" w:rsidRPr="006D3772">
        <w:rPr>
          <w:b/>
          <w:lang w:val="es-ES"/>
        </w:rPr>
        <w:tab/>
      </w:r>
      <w:r w:rsidR="00FB774C" w:rsidRPr="006D3772">
        <w:rPr>
          <w:lang w:val="es-ES"/>
        </w:rPr>
        <w:t>Presiones sobre los humedales, directas y relacionadas con el cambio climático, y repercusiones y respuestas.</w:t>
      </w:r>
    </w:p>
    <w:p w14:paraId="77638387" w14:textId="77777777" w:rsidR="00CB5925" w:rsidRPr="006D3772" w:rsidRDefault="00CB5925" w:rsidP="000049BF">
      <w:pPr>
        <w:tabs>
          <w:tab w:val="left" w:pos="810"/>
        </w:tabs>
        <w:rPr>
          <w:lang w:val="es-ES"/>
        </w:rPr>
      </w:pPr>
    </w:p>
    <w:tbl>
      <w:tblPr>
        <w:tblStyle w:val="TableGrid"/>
        <w:tblW w:w="0" w:type="auto"/>
        <w:tblInd w:w="805" w:type="dxa"/>
        <w:tblLook w:val="04A0" w:firstRow="1" w:lastRow="0" w:firstColumn="1" w:lastColumn="0" w:noHBand="0" w:noVBand="1"/>
      </w:tblPr>
      <w:tblGrid>
        <w:gridCol w:w="8211"/>
      </w:tblGrid>
      <w:tr w:rsidR="007B31B2" w:rsidRPr="00841C2D" w14:paraId="53F4ECF7" w14:textId="77777777" w:rsidTr="000049BF">
        <w:tc>
          <w:tcPr>
            <w:tcW w:w="8545" w:type="dxa"/>
          </w:tcPr>
          <w:p w14:paraId="3FB9BF83" w14:textId="0E4984A5" w:rsidR="00CB5925" w:rsidRPr="006D3772" w:rsidRDefault="00FB774C" w:rsidP="00CD0990">
            <w:pPr>
              <w:tabs>
                <w:tab w:val="left" w:pos="810"/>
              </w:tabs>
              <w:rPr>
                <w:lang w:val="es-ES"/>
              </w:rPr>
            </w:pPr>
            <w:r w:rsidRPr="006D3772">
              <w:rPr>
                <w:lang w:val="es-ES"/>
              </w:rPr>
              <w:t xml:space="preserve">Esta área de trabajo proporciona orientaciones científicas y técnicas sobre las principales presiones que afectan a los humedales, incluidos los impactos actuales y previstos del cambio climático, basándose en las últimas evaluaciones internacionales. El objetivo del ATT 3 es proporcionar </w:t>
            </w:r>
            <w:r w:rsidRPr="006D3772">
              <w:rPr>
                <w:color w:val="000000"/>
                <w:lang w:val="es-ES"/>
              </w:rPr>
              <w:t xml:space="preserve">a las Partes Contratantes información que permita adoptar medidas de adaptación y resiliencia respecto a los humedales, promoviendo </w:t>
            </w:r>
            <w:r w:rsidR="00CD0990" w:rsidRPr="006D3772">
              <w:rPr>
                <w:color w:val="000000"/>
                <w:lang w:val="es-ES"/>
              </w:rPr>
              <w:t xml:space="preserve">el uso de </w:t>
            </w:r>
            <w:r w:rsidRPr="006D3772">
              <w:rPr>
                <w:color w:val="000000"/>
                <w:lang w:val="es-ES"/>
              </w:rPr>
              <w:lastRenderedPageBreak/>
              <w:t xml:space="preserve">soluciones basadas en la naturaleza o enfoques basados en los ecosistemas para proteger los servicios de los ecosistemas frente a las condiciones climáticas </w:t>
            </w:r>
            <w:r w:rsidR="00C33A14" w:rsidRPr="006D3772">
              <w:rPr>
                <w:color w:val="000000"/>
                <w:lang w:val="es-ES"/>
              </w:rPr>
              <w:t xml:space="preserve">cambiantes </w:t>
            </w:r>
            <w:r w:rsidRPr="006D3772">
              <w:rPr>
                <w:color w:val="000000"/>
                <w:lang w:val="es-ES"/>
              </w:rPr>
              <w:t>y otras presiones directas, como la expansión agrícola, la contaminación y el desarrollo urbanístico.</w:t>
            </w:r>
          </w:p>
        </w:tc>
      </w:tr>
    </w:tbl>
    <w:p w14:paraId="76339A8A" w14:textId="77777777" w:rsidR="00CB5925" w:rsidRPr="006D3772" w:rsidRDefault="00CB5925" w:rsidP="000049BF">
      <w:pPr>
        <w:tabs>
          <w:tab w:val="left" w:pos="810"/>
        </w:tabs>
        <w:rPr>
          <w:lang w:val="es-ES"/>
        </w:rPr>
      </w:pPr>
    </w:p>
    <w:p w14:paraId="34BCA608" w14:textId="125C51AB" w:rsidR="00E952E3" w:rsidRPr="006D3772" w:rsidRDefault="001C762F" w:rsidP="00EF7423">
      <w:pPr>
        <w:keepNext/>
        <w:tabs>
          <w:tab w:val="left" w:pos="810"/>
        </w:tabs>
        <w:ind w:left="810" w:hanging="810"/>
        <w:rPr>
          <w:lang w:val="es-ES"/>
        </w:rPr>
      </w:pPr>
      <w:r w:rsidRPr="006D3772">
        <w:rPr>
          <w:b/>
          <w:lang w:val="es-ES"/>
        </w:rPr>
        <w:t>ATT</w:t>
      </w:r>
      <w:r w:rsidR="00F319AD" w:rsidRPr="006D3772">
        <w:rPr>
          <w:b/>
          <w:lang w:val="es-ES"/>
        </w:rPr>
        <w:t xml:space="preserve"> 4</w:t>
      </w:r>
      <w:r w:rsidR="00B11CA8" w:rsidRPr="006D3772">
        <w:rPr>
          <w:b/>
          <w:lang w:val="es-ES"/>
        </w:rPr>
        <w:t>.</w:t>
      </w:r>
      <w:r w:rsidR="005F1F4F" w:rsidRPr="006D3772">
        <w:rPr>
          <w:b/>
          <w:lang w:val="es-ES"/>
        </w:rPr>
        <w:tab/>
      </w:r>
      <w:r w:rsidR="00FB774C" w:rsidRPr="006D3772">
        <w:rPr>
          <w:lang w:val="es-ES"/>
        </w:rPr>
        <w:t>Uso racional, manejo sostenible y restauración de los humedales en el paisaje terrestre y marino en general.</w:t>
      </w:r>
    </w:p>
    <w:p w14:paraId="443A4B29" w14:textId="77777777" w:rsidR="00CB5925" w:rsidRPr="006D3772" w:rsidRDefault="00CB5925" w:rsidP="00EF7423">
      <w:pPr>
        <w:keepNext/>
        <w:tabs>
          <w:tab w:val="left" w:pos="810"/>
        </w:tabs>
        <w:rPr>
          <w:lang w:val="es-ES"/>
        </w:rPr>
      </w:pPr>
    </w:p>
    <w:tbl>
      <w:tblPr>
        <w:tblStyle w:val="TableGrid"/>
        <w:tblW w:w="0" w:type="auto"/>
        <w:tblInd w:w="805" w:type="dxa"/>
        <w:tblLook w:val="04A0" w:firstRow="1" w:lastRow="0" w:firstColumn="1" w:lastColumn="0" w:noHBand="0" w:noVBand="1"/>
      </w:tblPr>
      <w:tblGrid>
        <w:gridCol w:w="8211"/>
      </w:tblGrid>
      <w:tr w:rsidR="007B31B2" w:rsidRPr="00841C2D" w14:paraId="52EFC694" w14:textId="77777777" w:rsidTr="000049BF">
        <w:tc>
          <w:tcPr>
            <w:tcW w:w="8545" w:type="dxa"/>
          </w:tcPr>
          <w:p w14:paraId="0B623DF6" w14:textId="49A72D79" w:rsidR="00CB5925" w:rsidRPr="006D3772" w:rsidRDefault="00F666E7" w:rsidP="00CD0990">
            <w:pPr>
              <w:tabs>
                <w:tab w:val="left" w:pos="810"/>
              </w:tabs>
              <w:rPr>
                <w:lang w:val="es-ES"/>
              </w:rPr>
            </w:pPr>
            <w:r w:rsidRPr="006D3772">
              <w:rPr>
                <w:lang w:val="es-ES"/>
              </w:rPr>
              <w:t xml:space="preserve">Esta área de trabajo apoyará a las Partes Contratantes en la aplicación de </w:t>
            </w:r>
            <w:r w:rsidR="00C33A14" w:rsidRPr="006D3772">
              <w:rPr>
                <w:lang w:val="es-ES"/>
              </w:rPr>
              <w:t>medidas</w:t>
            </w:r>
            <w:r w:rsidRPr="006D3772">
              <w:rPr>
                <w:lang w:val="es-ES"/>
              </w:rPr>
              <w:t xml:space="preserve"> que promuevan el uso racional y </w:t>
            </w:r>
            <w:r w:rsidR="00CD0990" w:rsidRPr="006D3772">
              <w:rPr>
                <w:lang w:val="es-ES"/>
              </w:rPr>
              <w:t xml:space="preserve">el manejo </w:t>
            </w:r>
            <w:r w:rsidRPr="006D3772">
              <w:rPr>
                <w:lang w:val="es-ES"/>
              </w:rPr>
              <w:t xml:space="preserve">sostenible de los humedales y su restauración. El ATT 4 incluye la </w:t>
            </w:r>
            <w:r w:rsidRPr="006D3772">
              <w:rPr>
                <w:color w:val="000000"/>
                <w:lang w:val="es-ES"/>
              </w:rPr>
              <w:t>evaluación de opciones de cambio transformador para lograr el uso racional de los humedales en consonancia con los objetivos de desarrollo sostenible y el apoyo a la integración de los humedales en las estrategias nacionales de desarrollo. Entre las actividades futuras se incluyen orientaciones para potenciar el papel de los humedales en la reducción del riesgo de desastres, promover la seguridad alimentaria y facilitar la restauración de los humedales.</w:t>
            </w:r>
          </w:p>
        </w:tc>
      </w:tr>
    </w:tbl>
    <w:p w14:paraId="53A20F28" w14:textId="77777777" w:rsidR="00CB5925" w:rsidRPr="006D3772" w:rsidRDefault="00CB5925" w:rsidP="000049BF">
      <w:pPr>
        <w:tabs>
          <w:tab w:val="left" w:pos="810"/>
        </w:tabs>
        <w:rPr>
          <w:lang w:val="es-ES"/>
        </w:rPr>
      </w:pPr>
    </w:p>
    <w:p w14:paraId="7F6F99A4" w14:textId="4ECE9988" w:rsidR="00FB774C" w:rsidRPr="006D3772" w:rsidRDefault="001C762F" w:rsidP="005F1F4F">
      <w:pPr>
        <w:tabs>
          <w:tab w:val="left" w:pos="810"/>
        </w:tabs>
        <w:ind w:left="810" w:hanging="810"/>
        <w:rPr>
          <w:lang w:val="es-ES"/>
        </w:rPr>
      </w:pPr>
      <w:r w:rsidRPr="006D3772">
        <w:rPr>
          <w:b/>
          <w:lang w:val="es-ES"/>
        </w:rPr>
        <w:t>ATT</w:t>
      </w:r>
      <w:r w:rsidR="00F319AD" w:rsidRPr="006D3772">
        <w:rPr>
          <w:b/>
          <w:lang w:val="es-ES"/>
        </w:rPr>
        <w:t xml:space="preserve"> 5.</w:t>
      </w:r>
      <w:r w:rsidR="00F319AD" w:rsidRPr="006D3772">
        <w:rPr>
          <w:lang w:val="es-ES"/>
        </w:rPr>
        <w:tab/>
      </w:r>
      <w:r w:rsidR="00FB774C" w:rsidRPr="006D3772">
        <w:rPr>
          <w:lang w:val="es-ES"/>
        </w:rPr>
        <w:t xml:space="preserve">Cuestiones transversales, Perspectiva Mundial sobre los Humedales (PMH), funciones de apoyo y sinergias con otros AMMA. </w:t>
      </w:r>
    </w:p>
    <w:p w14:paraId="3BC1DF4A" w14:textId="77777777" w:rsidR="00CB5925" w:rsidRPr="006D3772" w:rsidRDefault="00CB5925" w:rsidP="00CB5925">
      <w:pPr>
        <w:tabs>
          <w:tab w:val="left" w:pos="810"/>
        </w:tabs>
        <w:ind w:left="810" w:hanging="810"/>
        <w:rPr>
          <w:lang w:val="es-ES"/>
        </w:rPr>
      </w:pPr>
    </w:p>
    <w:tbl>
      <w:tblPr>
        <w:tblStyle w:val="TableGrid"/>
        <w:tblW w:w="0" w:type="auto"/>
        <w:tblInd w:w="805" w:type="dxa"/>
        <w:tblLook w:val="04A0" w:firstRow="1" w:lastRow="0" w:firstColumn="1" w:lastColumn="0" w:noHBand="0" w:noVBand="1"/>
      </w:tblPr>
      <w:tblGrid>
        <w:gridCol w:w="8211"/>
      </w:tblGrid>
      <w:tr w:rsidR="007B31B2" w:rsidRPr="00841C2D" w14:paraId="6E7E1011" w14:textId="77777777" w:rsidTr="000049BF">
        <w:tc>
          <w:tcPr>
            <w:tcW w:w="8545" w:type="dxa"/>
          </w:tcPr>
          <w:p w14:paraId="179FF4C6" w14:textId="1F0261DD" w:rsidR="00CB5925" w:rsidRPr="006D3772" w:rsidRDefault="00F666E7" w:rsidP="00CD0990">
            <w:pPr>
              <w:tabs>
                <w:tab w:val="left" w:pos="810"/>
              </w:tabs>
              <w:rPr>
                <w:lang w:val="es-ES"/>
              </w:rPr>
            </w:pPr>
            <w:r w:rsidRPr="006D3772">
              <w:rPr>
                <w:lang w:val="es-ES"/>
              </w:rPr>
              <w:t>Esta área de trabajo abordará cuestiones transversales que afectan a la conservación de los humedales, informará sobre el estado mundial de los humedales (Perspectiva</w:t>
            </w:r>
            <w:r w:rsidR="00CD0990" w:rsidRPr="006D3772">
              <w:rPr>
                <w:lang w:val="es-ES"/>
              </w:rPr>
              <w:t xml:space="preserve"> Mundial sobre los</w:t>
            </w:r>
            <w:r w:rsidRPr="006D3772">
              <w:rPr>
                <w:lang w:val="es-ES"/>
              </w:rPr>
              <w:t xml:space="preserve"> Humedales) y proporcionará orientaciones técnicas para facilitar las sinergias con otros acuerdos multilaterales sobre el medio ambiente (AMMA). El ATT 5 proporcionará información para apoyar a las Partes Contratantes en la aplicación de enfoques eficaces </w:t>
            </w:r>
            <w:r w:rsidR="00C33A14" w:rsidRPr="006D3772">
              <w:rPr>
                <w:lang w:val="es-ES"/>
              </w:rPr>
              <w:t>encaminados</w:t>
            </w:r>
            <w:r w:rsidRPr="006D3772">
              <w:rPr>
                <w:lang w:val="es-ES"/>
              </w:rPr>
              <w:t xml:space="preserve"> a la conservación, la restauración y el uso racional de los humedales y promoverá mecanismos integrados de presentación de informes con diversos marcos internacionales, </w:t>
            </w:r>
            <w:r w:rsidR="00B61350">
              <w:rPr>
                <w:lang w:val="es-ES"/>
              </w:rPr>
              <w:t>incluidos</w:t>
            </w:r>
            <w:r w:rsidRPr="006D3772">
              <w:rPr>
                <w:lang w:val="es-ES"/>
              </w:rPr>
              <w:t xml:space="preserve"> los ODS y el </w:t>
            </w:r>
            <w:r w:rsidR="00DD05DA" w:rsidRPr="006D3772">
              <w:rPr>
                <w:lang w:val="es-ES"/>
              </w:rPr>
              <w:t>MMB-KM</w:t>
            </w:r>
            <w:r w:rsidRPr="006D3772">
              <w:rPr>
                <w:lang w:val="es-ES"/>
              </w:rPr>
              <w:t>.</w:t>
            </w:r>
          </w:p>
        </w:tc>
      </w:tr>
    </w:tbl>
    <w:p w14:paraId="753B4898" w14:textId="77777777" w:rsidR="001D30A7" w:rsidRPr="006D3772" w:rsidRDefault="001D30A7" w:rsidP="001D30A7">
      <w:pPr>
        <w:rPr>
          <w:lang w:val="es-ES"/>
        </w:rPr>
      </w:pPr>
    </w:p>
    <w:p w14:paraId="64C23717" w14:textId="77777777" w:rsidR="005E65C8" w:rsidRPr="006D3772" w:rsidRDefault="005E65C8" w:rsidP="005E65C8">
      <w:pPr>
        <w:rPr>
          <w:lang w:val="es-ES"/>
        </w:rPr>
      </w:pPr>
    </w:p>
    <w:p w14:paraId="09C86ACA" w14:textId="77777777" w:rsidR="00CF2C73" w:rsidRPr="006D3772" w:rsidRDefault="00CF2C73" w:rsidP="00CF2C73">
      <w:pPr>
        <w:ind w:left="360"/>
        <w:rPr>
          <w:lang w:val="es-ES"/>
        </w:rPr>
        <w:sectPr w:rsidR="00CF2C73" w:rsidRPr="006D3772" w:rsidSect="00D13AAF">
          <w:footerReference w:type="default" r:id="rId15"/>
          <w:pgSz w:w="11906" w:h="16838" w:code="9"/>
          <w:pgMar w:top="1440" w:right="1440" w:bottom="1440" w:left="1440" w:header="720" w:footer="720" w:gutter="0"/>
          <w:cols w:space="720"/>
          <w:titlePg/>
          <w:docGrid w:linePitch="360"/>
        </w:sectPr>
      </w:pPr>
    </w:p>
    <w:p w14:paraId="39177A8C" w14:textId="77777777" w:rsidR="00F666E7" w:rsidRPr="006D3772" w:rsidRDefault="00F666E7" w:rsidP="00F666E7">
      <w:pPr>
        <w:rPr>
          <w:b/>
          <w:lang w:val="es-ES"/>
        </w:rPr>
      </w:pPr>
      <w:r w:rsidRPr="006D3772">
        <w:rPr>
          <w:b/>
          <w:lang w:val="es-ES"/>
        </w:rPr>
        <w:lastRenderedPageBreak/>
        <w:t>Tareas prioritarias del GECT para el trienio 2026-2028</w:t>
      </w:r>
    </w:p>
    <w:p w14:paraId="1598D733" w14:textId="77777777" w:rsidR="006C37E3" w:rsidRPr="006D3772" w:rsidRDefault="006C37E3" w:rsidP="0045540A">
      <w:pPr>
        <w:ind w:left="432" w:hanging="432"/>
        <w:rPr>
          <w:lang w:val="es-ES"/>
        </w:rPr>
      </w:pPr>
    </w:p>
    <w:p w14:paraId="28B3E75A" w14:textId="3BE99C8A" w:rsidR="002D4F26" w:rsidRPr="006D3772" w:rsidRDefault="00F319AD" w:rsidP="002D4F26">
      <w:pPr>
        <w:ind w:left="432" w:hanging="432"/>
        <w:rPr>
          <w:lang w:val="es-ES"/>
        </w:rPr>
      </w:pPr>
      <w:r w:rsidRPr="006D3772">
        <w:rPr>
          <w:lang w:val="es-ES"/>
        </w:rPr>
        <w:t>3</w:t>
      </w:r>
      <w:r w:rsidR="0045540A" w:rsidRPr="006D3772">
        <w:rPr>
          <w:lang w:val="es-ES"/>
        </w:rPr>
        <w:t>.</w:t>
      </w:r>
      <w:r w:rsidR="0045540A" w:rsidRPr="006D3772">
        <w:rPr>
          <w:lang w:val="es-ES"/>
        </w:rPr>
        <w:tab/>
      </w:r>
      <w:r w:rsidR="002D4F26" w:rsidRPr="006D3772">
        <w:rPr>
          <w:lang w:val="es-ES"/>
        </w:rPr>
        <w:t>Cada tarea del GECT se asigna al ATT más pertinente, aunque es probable que algunas tareas contribuyan a la realización de trabajos en el marco de vari</w:t>
      </w:r>
      <w:r w:rsidR="00CD0990" w:rsidRPr="006D3772">
        <w:rPr>
          <w:lang w:val="es-ES"/>
        </w:rPr>
        <w:t>a</w:t>
      </w:r>
      <w:r w:rsidR="002D4F26" w:rsidRPr="006D3772">
        <w:rPr>
          <w:lang w:val="es-ES"/>
        </w:rPr>
        <w:t xml:space="preserve">s ATT. </w:t>
      </w:r>
      <w:r w:rsidR="00C33A14" w:rsidRPr="006D3772">
        <w:rPr>
          <w:lang w:val="es-ES"/>
        </w:rPr>
        <w:t>Para cada tarea, t</w:t>
      </w:r>
      <w:r w:rsidR="002D4F26" w:rsidRPr="006D3772">
        <w:rPr>
          <w:lang w:val="es-ES"/>
        </w:rPr>
        <w:t>ambién se enumeran el tipo o tipos probables de resultados/productos, aunque estos pueden cambiar a medida que se vaya definiendo el alcance del trabajo</w:t>
      </w:r>
      <w:r w:rsidR="00C33A14" w:rsidRPr="006D3772">
        <w:rPr>
          <w:lang w:val="es-ES"/>
        </w:rPr>
        <w:t xml:space="preserve"> una vez iniciada la tarea</w:t>
      </w:r>
      <w:r w:rsidR="002D4F26" w:rsidRPr="006D3772">
        <w:rPr>
          <w:lang w:val="es-ES"/>
        </w:rPr>
        <w:t>.</w:t>
      </w:r>
    </w:p>
    <w:p w14:paraId="2D2B28CB" w14:textId="77777777" w:rsidR="009157D9" w:rsidRPr="006D3772" w:rsidRDefault="009157D9" w:rsidP="00E952E3">
      <w:pPr>
        <w:rPr>
          <w:lang w:val="es-ES"/>
        </w:rPr>
      </w:pPr>
    </w:p>
    <w:tbl>
      <w:tblPr>
        <w:tblW w:w="0" w:type="auto"/>
        <w:tblLayout w:type="fixed"/>
        <w:tblLook w:val="0400" w:firstRow="0" w:lastRow="0" w:firstColumn="0" w:lastColumn="0" w:noHBand="0" w:noVBand="1"/>
      </w:tblPr>
      <w:tblGrid>
        <w:gridCol w:w="2967"/>
        <w:gridCol w:w="5663"/>
        <w:gridCol w:w="7"/>
        <w:gridCol w:w="1418"/>
        <w:gridCol w:w="1913"/>
        <w:gridCol w:w="1914"/>
      </w:tblGrid>
      <w:tr w:rsidR="00F8458C" w:rsidRPr="006D3772" w14:paraId="3B531A43" w14:textId="77777777" w:rsidTr="00EF7423">
        <w:trPr>
          <w:tblHead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C8BADA" w14:textId="284324E2" w:rsidR="00842A17" w:rsidRPr="006D3772" w:rsidRDefault="002D4F26" w:rsidP="002867AE">
            <w:pPr>
              <w:spacing w:before="60" w:after="60"/>
              <w:rPr>
                <w:b/>
                <w:color w:val="000000"/>
                <w:lang w:val="es-ES"/>
              </w:rPr>
            </w:pPr>
            <w:r w:rsidRPr="006D3772">
              <w:rPr>
                <w:b/>
                <w:color w:val="000000"/>
                <w:lang w:val="es-ES"/>
              </w:rPr>
              <w:t>Tarea del GECT</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B52580" w14:textId="3C2665D4" w:rsidR="00842A17" w:rsidRPr="006D3772" w:rsidRDefault="00F319AD" w:rsidP="002867AE">
            <w:pPr>
              <w:spacing w:before="60" w:after="60"/>
              <w:rPr>
                <w:b/>
                <w:lang w:val="es-ES"/>
              </w:rPr>
            </w:pPr>
            <w:r w:rsidRPr="006D3772">
              <w:rPr>
                <w:b/>
                <w:lang w:val="es-ES"/>
              </w:rPr>
              <w:t>Descrip</w:t>
            </w:r>
            <w:r w:rsidR="002D4F26" w:rsidRPr="006D3772">
              <w:rPr>
                <w:b/>
                <w:lang w:val="es-ES"/>
              </w:rPr>
              <w:t>c</w:t>
            </w:r>
            <w:r w:rsidRPr="006D3772">
              <w:rPr>
                <w:b/>
                <w:lang w:val="es-ES"/>
              </w:rPr>
              <w:t>i</w:t>
            </w:r>
            <w:r w:rsidR="002D4F26" w:rsidRPr="006D3772">
              <w:rPr>
                <w:b/>
                <w:lang w:val="es-ES"/>
              </w:rPr>
              <w:t>ó</w:t>
            </w:r>
            <w:r w:rsidRPr="006D3772">
              <w:rPr>
                <w:b/>
                <w:lang w:val="es-ES"/>
              </w:rPr>
              <w:t>n</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66C4CFB" w14:textId="4A1870D0" w:rsidR="00842A17" w:rsidRPr="006D3772" w:rsidRDefault="002D4F26" w:rsidP="002867AE">
            <w:pPr>
              <w:spacing w:before="60" w:after="60"/>
              <w:rPr>
                <w:b/>
                <w:color w:val="000000"/>
                <w:lang w:val="es-ES"/>
              </w:rPr>
            </w:pPr>
            <w:r w:rsidRPr="006D3772">
              <w:rPr>
                <w:b/>
                <w:color w:val="000000"/>
                <w:lang w:val="es-ES"/>
              </w:rPr>
              <w:t>Calendario</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D21CD7" w14:textId="582BBC85" w:rsidR="00842A17" w:rsidRPr="006D3772" w:rsidRDefault="00C33A14" w:rsidP="002867AE">
            <w:pPr>
              <w:spacing w:before="60" w:after="60"/>
              <w:rPr>
                <w:lang w:val="es-ES"/>
              </w:rPr>
            </w:pPr>
            <w:r w:rsidRPr="006D3772">
              <w:rPr>
                <w:b/>
                <w:lang w:val="es-ES"/>
              </w:rPr>
              <w:t>Producto</w:t>
            </w:r>
            <w:r w:rsidR="002D4F26" w:rsidRPr="006D3772">
              <w:rPr>
                <w:b/>
                <w:color w:val="000000"/>
                <w:lang w:val="es-ES"/>
              </w:rPr>
              <w:t>(</w:t>
            </w:r>
            <w:r w:rsidR="00F319AD" w:rsidRPr="006D3772">
              <w:rPr>
                <w:b/>
                <w:color w:val="000000"/>
                <w:lang w:val="es-ES"/>
              </w:rPr>
              <w:t>s)</w:t>
            </w: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EA92DE8" w14:textId="3FB2E606" w:rsidR="00842A17" w:rsidRPr="006D3772" w:rsidRDefault="00F319AD" w:rsidP="002867AE">
            <w:pPr>
              <w:spacing w:before="60" w:after="60"/>
              <w:rPr>
                <w:b/>
                <w:color w:val="000000"/>
                <w:lang w:val="es-ES"/>
              </w:rPr>
            </w:pPr>
            <w:r w:rsidRPr="006D3772">
              <w:rPr>
                <w:b/>
                <w:color w:val="000000"/>
                <w:lang w:val="es-ES"/>
              </w:rPr>
              <w:t>Mandat</w:t>
            </w:r>
            <w:r w:rsidR="002D4F26" w:rsidRPr="006D3772">
              <w:rPr>
                <w:b/>
                <w:color w:val="000000"/>
                <w:lang w:val="es-ES"/>
              </w:rPr>
              <w:t>o</w:t>
            </w:r>
            <w:r w:rsidRPr="006D3772">
              <w:rPr>
                <w:b/>
                <w:color w:val="000000"/>
                <w:lang w:val="es-ES"/>
              </w:rPr>
              <w:t>(s)</w:t>
            </w:r>
          </w:p>
        </w:tc>
      </w:tr>
      <w:tr w:rsidR="007B31B2" w:rsidRPr="00841C2D" w14:paraId="2C8B75F0" w14:textId="77777777" w:rsidTr="00EF7423">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E235547" w14:textId="047F3BBF" w:rsidR="00F8458C" w:rsidRPr="006D3772" w:rsidRDefault="002D4F26" w:rsidP="00F8458C">
            <w:pPr>
              <w:spacing w:before="60" w:after="60"/>
              <w:rPr>
                <w:color w:val="000000" w:themeColor="text1"/>
                <w:lang w:val="es-ES"/>
              </w:rPr>
            </w:pPr>
            <w:r w:rsidRPr="006D3772">
              <w:rPr>
                <w:b/>
                <w:color w:val="000000" w:themeColor="text1"/>
                <w:lang w:val="es-ES"/>
              </w:rPr>
              <w:t>ATT</w:t>
            </w:r>
            <w:r w:rsidR="00F319AD" w:rsidRPr="006D3772">
              <w:rPr>
                <w:b/>
                <w:color w:val="000000" w:themeColor="text1"/>
                <w:lang w:val="es-ES"/>
              </w:rPr>
              <w:t xml:space="preserve"> 1: </w:t>
            </w:r>
            <w:r w:rsidRPr="006D3772">
              <w:rPr>
                <w:b/>
                <w:color w:val="000000" w:themeColor="text1"/>
                <w:lang w:val="es-ES"/>
              </w:rPr>
              <w:t>Humedales de Importancia Internacional, desarrollo de la red de sitios y aplicación de los criterios.</w:t>
            </w:r>
          </w:p>
        </w:tc>
      </w:tr>
      <w:tr w:rsidR="00F8458C" w:rsidRPr="00841C2D" w14:paraId="50B950EC" w14:textId="77777777" w:rsidTr="00F8458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EE5EE6" w14:textId="7576C786" w:rsidR="009E5765" w:rsidRPr="006D3772" w:rsidRDefault="002D4F26" w:rsidP="009E5765">
            <w:pPr>
              <w:spacing w:before="60" w:after="60"/>
              <w:rPr>
                <w:color w:val="000000" w:themeColor="text1"/>
                <w:lang w:val="es-ES"/>
              </w:rPr>
            </w:pPr>
            <w:r w:rsidRPr="006D3772">
              <w:rPr>
                <w:b/>
                <w:bCs w:val="0"/>
                <w:color w:val="000000" w:themeColor="text1"/>
                <w:lang w:val="es-ES"/>
              </w:rPr>
              <w:t>Tarea</w:t>
            </w:r>
            <w:r w:rsidR="00F319AD" w:rsidRPr="006D3772">
              <w:rPr>
                <w:b/>
                <w:bCs w:val="0"/>
                <w:color w:val="000000" w:themeColor="text1"/>
                <w:lang w:val="es-ES"/>
              </w:rPr>
              <w:t xml:space="preserve"> 1.1.</w:t>
            </w:r>
            <w:r w:rsidR="00F319AD" w:rsidRPr="006D3772">
              <w:rPr>
                <w:color w:val="000000" w:themeColor="text1"/>
                <w:lang w:val="es-ES"/>
              </w:rPr>
              <w:t xml:space="preserve"> </w:t>
            </w:r>
            <w:r w:rsidR="009E5765" w:rsidRPr="006D3772">
              <w:rPr>
                <w:color w:val="000000" w:themeColor="text1"/>
                <w:lang w:val="es-ES"/>
              </w:rPr>
              <w:t>Apoyo científico y técnico para</w:t>
            </w:r>
            <w:r w:rsidR="005658AE" w:rsidRPr="006D3772">
              <w:rPr>
                <w:color w:val="000000" w:themeColor="text1"/>
                <w:lang w:val="es-ES"/>
              </w:rPr>
              <w:t xml:space="preserve"> </w:t>
            </w:r>
            <w:r w:rsidR="009E5765" w:rsidRPr="006D3772">
              <w:rPr>
                <w:color w:val="000000" w:themeColor="text1"/>
                <w:lang w:val="es-ES"/>
              </w:rPr>
              <w:t>una presentación de informes y un seguimiento eficaces sobre las características ecológicas de los Humedales de Importancia Internacional en la Ficha Informativa de Ramsar (FIR).</w:t>
            </w:r>
          </w:p>
          <w:p w14:paraId="7D383673" w14:textId="39417214" w:rsidR="00F8458C" w:rsidRPr="006D3772" w:rsidRDefault="00F8458C" w:rsidP="00F8458C">
            <w:pPr>
              <w:spacing w:before="60" w:after="60"/>
              <w:rPr>
                <w:color w:val="000000" w:themeColor="text1"/>
                <w:lang w:val="es-ES"/>
              </w:rPr>
            </w:pP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501ADC" w14:textId="4543F2FD" w:rsidR="009E5765" w:rsidRPr="006D3772" w:rsidRDefault="009E5765" w:rsidP="009E5765">
            <w:pPr>
              <w:spacing w:before="60" w:after="60"/>
              <w:rPr>
                <w:lang w:val="es-ES"/>
              </w:rPr>
            </w:pPr>
            <w:r w:rsidRPr="006D3772">
              <w:rPr>
                <w:lang w:val="es-ES"/>
              </w:rPr>
              <w:t xml:space="preserve">La </w:t>
            </w:r>
            <w:r w:rsidR="00D10FC7" w:rsidRPr="006D3772">
              <w:rPr>
                <w:lang w:val="es-ES"/>
              </w:rPr>
              <w:t xml:space="preserve">Tarea </w:t>
            </w:r>
            <w:r w:rsidRPr="006D3772">
              <w:rPr>
                <w:lang w:val="es-ES"/>
              </w:rPr>
              <w:t xml:space="preserve">1.1. actualizará las orientaciones para evaluar las características ecológicas (y los cambios en </w:t>
            </w:r>
            <w:r w:rsidR="00C33A14" w:rsidRPr="006D3772">
              <w:rPr>
                <w:lang w:val="es-ES"/>
              </w:rPr>
              <w:t>estas</w:t>
            </w:r>
            <w:r w:rsidRPr="006D3772">
              <w:rPr>
                <w:lang w:val="es-ES"/>
              </w:rPr>
              <w:t>) de los Humedales de Importancia Internacional (</w:t>
            </w:r>
            <w:r w:rsidR="00B61350">
              <w:rPr>
                <w:lang w:val="es-ES"/>
              </w:rPr>
              <w:t>s</w:t>
            </w:r>
            <w:r w:rsidRPr="006D3772">
              <w:rPr>
                <w:lang w:val="es-ES"/>
              </w:rPr>
              <w:t>itios Ramsar)</w:t>
            </w:r>
            <w:r w:rsidR="00C33A14" w:rsidRPr="006D3772">
              <w:rPr>
                <w:lang w:val="es-ES"/>
              </w:rPr>
              <w:t xml:space="preserve"> e informar sobre ellas</w:t>
            </w:r>
            <w:r w:rsidRPr="006D3772">
              <w:rPr>
                <w:lang w:val="es-ES"/>
              </w:rPr>
              <w:t>.</w:t>
            </w:r>
          </w:p>
          <w:p w14:paraId="0C9CE7C2" w14:textId="77777777" w:rsidR="0053674F" w:rsidRPr="006D3772" w:rsidRDefault="0053674F" w:rsidP="002867AE">
            <w:pPr>
              <w:spacing w:before="60" w:after="60"/>
              <w:rPr>
                <w:lang w:val="es-ES"/>
              </w:rPr>
            </w:pPr>
          </w:p>
          <w:p w14:paraId="623F33C6" w14:textId="0ADC56A8" w:rsidR="009E5765" w:rsidRPr="006D3772" w:rsidRDefault="009E5765" w:rsidP="009E5765">
            <w:pPr>
              <w:spacing w:before="60" w:after="60"/>
              <w:rPr>
                <w:lang w:val="es-ES"/>
              </w:rPr>
            </w:pPr>
            <w:r w:rsidRPr="006D3772">
              <w:rPr>
                <w:lang w:val="es-ES"/>
              </w:rPr>
              <w:t xml:space="preserve">En esta labor también se estudiará cualquier solicitud adicional del Grupo de </w:t>
            </w:r>
            <w:r w:rsidR="00DC5A79" w:rsidRPr="006D3772">
              <w:rPr>
                <w:lang w:val="es-ES"/>
              </w:rPr>
              <w:t>tr</w:t>
            </w:r>
            <w:r w:rsidRPr="006D3772">
              <w:rPr>
                <w:lang w:val="es-ES"/>
              </w:rPr>
              <w:t xml:space="preserve">abajo </w:t>
            </w:r>
            <w:r w:rsidR="00DC5A79" w:rsidRPr="006D3772">
              <w:rPr>
                <w:lang w:val="es-ES"/>
              </w:rPr>
              <w:t xml:space="preserve">sobre la actualización de las </w:t>
            </w:r>
            <w:r w:rsidRPr="006D3772">
              <w:rPr>
                <w:lang w:val="es-ES"/>
              </w:rPr>
              <w:t xml:space="preserve">FIR, </w:t>
            </w:r>
            <w:r w:rsidR="00C33A14" w:rsidRPr="006D3772">
              <w:rPr>
                <w:lang w:val="es-ES"/>
              </w:rPr>
              <w:t>con sujeción a la disponibilidad de recursos</w:t>
            </w:r>
            <w:r w:rsidRPr="006D3772">
              <w:rPr>
                <w:lang w:val="es-ES"/>
              </w:rPr>
              <w:t>.</w:t>
            </w:r>
          </w:p>
          <w:p w14:paraId="7A73C2EF" w14:textId="1EC23D90" w:rsidR="00842A17" w:rsidRPr="006D3772" w:rsidRDefault="00842A17" w:rsidP="002867AE">
            <w:pPr>
              <w:spacing w:before="60" w:after="60"/>
              <w:rPr>
                <w:lang w:val="es-ES"/>
              </w:rPr>
            </w:pPr>
          </w:p>
        </w:tc>
        <w:tc>
          <w:tcPr>
            <w:tcW w:w="1418" w:type="dxa"/>
            <w:tcBorders>
              <w:top w:val="nil"/>
              <w:left w:val="single" w:sz="8" w:space="0" w:color="000000" w:themeColor="text1"/>
              <w:bottom w:val="single" w:sz="8" w:space="0" w:color="000000" w:themeColor="text1"/>
              <w:right w:val="single" w:sz="8" w:space="0" w:color="000000" w:themeColor="text1"/>
            </w:tcBorders>
          </w:tcPr>
          <w:p w14:paraId="460A3346" w14:textId="77777777" w:rsidR="00842A17" w:rsidRPr="006D3772" w:rsidRDefault="00F319AD" w:rsidP="002867AE">
            <w:pPr>
              <w:spacing w:before="60" w:after="60"/>
              <w:rPr>
                <w:lang w:val="es-ES"/>
              </w:rPr>
            </w:pPr>
            <w:r w:rsidRPr="006D3772">
              <w:rPr>
                <w:lang w:val="es-ES"/>
              </w:rPr>
              <w:t>2026-2028</w:t>
            </w:r>
          </w:p>
        </w:tc>
        <w:tc>
          <w:tcPr>
            <w:tcW w:w="1913" w:type="dxa"/>
            <w:tcBorders>
              <w:top w:val="nil"/>
              <w:left w:val="single" w:sz="8" w:space="0" w:color="000000" w:themeColor="text1"/>
              <w:bottom w:val="single" w:sz="8" w:space="0" w:color="000000" w:themeColor="text1"/>
              <w:right w:val="single" w:sz="8" w:space="0" w:color="000000" w:themeColor="text1"/>
            </w:tcBorders>
          </w:tcPr>
          <w:p w14:paraId="275CE14E" w14:textId="70A5D977" w:rsidR="00EC1FCF" w:rsidRPr="006D3772" w:rsidRDefault="00F319AD" w:rsidP="002867AE">
            <w:pPr>
              <w:spacing w:before="60" w:after="60"/>
              <w:rPr>
                <w:lang w:val="es-ES"/>
              </w:rPr>
            </w:pPr>
            <w:r w:rsidRPr="006D3772">
              <w:rPr>
                <w:lang w:val="es-ES"/>
              </w:rPr>
              <w:t>Revision</w:t>
            </w:r>
            <w:r w:rsidR="00EC1FCF" w:rsidRPr="006D3772">
              <w:rPr>
                <w:lang w:val="es-ES"/>
              </w:rPr>
              <w:t>e</w:t>
            </w:r>
            <w:r w:rsidRPr="006D3772">
              <w:rPr>
                <w:lang w:val="es-ES"/>
              </w:rPr>
              <w:t xml:space="preserve">s </w:t>
            </w:r>
            <w:r w:rsidR="00EC1FCF" w:rsidRPr="006D3772">
              <w:rPr>
                <w:lang w:val="es-ES"/>
              </w:rPr>
              <w:t>del</w:t>
            </w:r>
            <w:r w:rsidRPr="006D3772">
              <w:rPr>
                <w:lang w:val="es-ES"/>
              </w:rPr>
              <w:t xml:space="preserve"> </w:t>
            </w:r>
            <w:r w:rsidR="00EC1FCF" w:rsidRPr="006D3772">
              <w:rPr>
                <w:lang w:val="es-ES"/>
              </w:rPr>
              <w:t>Marco Estratégico y el SISR</w:t>
            </w:r>
          </w:p>
          <w:p w14:paraId="105DE65D" w14:textId="6F56FE1A" w:rsidR="00842A17" w:rsidRPr="006D3772" w:rsidRDefault="00842A17" w:rsidP="002867AE">
            <w:pPr>
              <w:spacing w:before="60" w:after="60"/>
              <w:rPr>
                <w:lang w:val="es-ES"/>
              </w:rPr>
            </w:pPr>
          </w:p>
        </w:tc>
        <w:tc>
          <w:tcPr>
            <w:tcW w:w="1914" w:type="dxa"/>
            <w:tcBorders>
              <w:top w:val="nil"/>
              <w:left w:val="single" w:sz="8" w:space="0" w:color="000000" w:themeColor="text1"/>
              <w:bottom w:val="single" w:sz="8" w:space="0" w:color="000000" w:themeColor="text1"/>
              <w:right w:val="single" w:sz="8" w:space="0" w:color="000000" w:themeColor="text1"/>
            </w:tcBorders>
          </w:tcPr>
          <w:p w14:paraId="7D5B40C5" w14:textId="06D44743" w:rsidR="00842A17" w:rsidRPr="006D3772" w:rsidRDefault="00F319AD" w:rsidP="002867AE">
            <w:pPr>
              <w:spacing w:before="60" w:after="60"/>
              <w:rPr>
                <w:lang w:val="es-ES"/>
              </w:rPr>
            </w:pPr>
            <w:bookmarkStart w:id="7" w:name="_Hlk181017731"/>
            <w:r w:rsidRPr="006D3772">
              <w:rPr>
                <w:lang w:val="es-ES"/>
              </w:rPr>
              <w:t xml:space="preserve">Doc. SC63.19 </w:t>
            </w:r>
            <w:bookmarkEnd w:id="7"/>
            <w:r w:rsidRPr="006D3772">
              <w:rPr>
                <w:lang w:val="es-ES"/>
              </w:rPr>
              <w:t>(</w:t>
            </w:r>
            <w:r w:rsidR="00115D03" w:rsidRPr="006D3772">
              <w:rPr>
                <w:lang w:val="es-ES"/>
              </w:rPr>
              <w:t>párr.</w:t>
            </w:r>
            <w:r w:rsidRPr="006D3772">
              <w:rPr>
                <w:lang w:val="es-ES"/>
              </w:rPr>
              <w:t xml:space="preserve"> 19-21 </w:t>
            </w:r>
            <w:r w:rsidR="009E5765" w:rsidRPr="006D3772">
              <w:rPr>
                <w:lang w:val="es-ES"/>
              </w:rPr>
              <w:t>y</w:t>
            </w:r>
            <w:r w:rsidRPr="006D3772">
              <w:rPr>
                <w:lang w:val="es-ES"/>
              </w:rPr>
              <w:t xml:space="preserve"> Anex</w:t>
            </w:r>
            <w:r w:rsidR="009E5765" w:rsidRPr="006D3772">
              <w:rPr>
                <w:lang w:val="es-ES"/>
              </w:rPr>
              <w:t>o</w:t>
            </w:r>
            <w:r w:rsidRPr="006D3772">
              <w:rPr>
                <w:lang w:val="es-ES"/>
              </w:rPr>
              <w:t xml:space="preserve"> 2).</w:t>
            </w:r>
          </w:p>
          <w:p w14:paraId="2C34580A" w14:textId="7E1C6CCE" w:rsidR="002A3AA6" w:rsidRPr="006D3772" w:rsidRDefault="002A3AA6" w:rsidP="002867AE">
            <w:pPr>
              <w:spacing w:before="60" w:after="60"/>
              <w:rPr>
                <w:lang w:val="es-ES"/>
              </w:rPr>
            </w:pPr>
            <w:r w:rsidRPr="006D3772">
              <w:rPr>
                <w:lang w:val="es-ES"/>
              </w:rPr>
              <w:t>Informe y decisiones de la 63</w:t>
            </w:r>
            <w:r w:rsidRPr="006D3772">
              <w:rPr>
                <w:vertAlign w:val="superscript"/>
                <w:lang w:val="es-ES"/>
              </w:rPr>
              <w:t>a</w:t>
            </w:r>
            <w:r w:rsidRPr="006D3772">
              <w:rPr>
                <w:lang w:val="es-ES"/>
              </w:rPr>
              <w:t xml:space="preserve"> reunión del Comité Permanente</w:t>
            </w:r>
            <w:r w:rsidR="003E4563" w:rsidRPr="006D3772">
              <w:rPr>
                <w:lang w:val="es-ES"/>
              </w:rPr>
              <w:t>.</w:t>
            </w:r>
          </w:p>
          <w:p w14:paraId="30D0AE3E" w14:textId="39A7A44D" w:rsidR="00842A17" w:rsidRPr="006D3772" w:rsidRDefault="00842A17" w:rsidP="002867AE">
            <w:pPr>
              <w:spacing w:before="60" w:after="60"/>
              <w:rPr>
                <w:lang w:val="es-ES"/>
              </w:rPr>
            </w:pPr>
          </w:p>
        </w:tc>
      </w:tr>
      <w:tr w:rsidR="00DD05DA" w:rsidRPr="00841C2D" w14:paraId="1276D9ED" w14:textId="77777777" w:rsidTr="00F8458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8F36F0" w14:textId="23B55D8F" w:rsidR="003E4563" w:rsidRPr="006D3772" w:rsidRDefault="002D4F26" w:rsidP="003E4563">
            <w:pPr>
              <w:spacing w:before="60" w:after="60"/>
              <w:rPr>
                <w:lang w:val="es-ES"/>
              </w:rPr>
            </w:pPr>
            <w:r w:rsidRPr="006D3772">
              <w:rPr>
                <w:b/>
                <w:bCs w:val="0"/>
                <w:lang w:val="es-ES"/>
              </w:rPr>
              <w:t>Tarea</w:t>
            </w:r>
            <w:r w:rsidR="00F319AD" w:rsidRPr="006D3772">
              <w:rPr>
                <w:b/>
                <w:bCs w:val="0"/>
                <w:lang w:val="es-ES"/>
              </w:rPr>
              <w:t xml:space="preserve"> 1.2.</w:t>
            </w:r>
            <w:r w:rsidR="00F319AD" w:rsidRPr="006D3772">
              <w:rPr>
                <w:lang w:val="es-ES"/>
              </w:rPr>
              <w:t xml:space="preserve"> </w:t>
            </w:r>
            <w:r w:rsidR="003E4563" w:rsidRPr="006D3772">
              <w:rPr>
                <w:lang w:val="es-ES"/>
              </w:rPr>
              <w:t>Evaluación mundial de las lagunas existentes en la red de Humedales de Importancia Internacional, y sinergias con los objetivos mundiales en materia de clima, biodiversidad y desarrollo sostenible.</w:t>
            </w:r>
          </w:p>
          <w:p w14:paraId="706243C0" w14:textId="1FB0902B" w:rsidR="00F8458C" w:rsidRPr="006D3772" w:rsidRDefault="00F8458C" w:rsidP="00F8458C">
            <w:pPr>
              <w:spacing w:before="60" w:after="60"/>
              <w:rPr>
                <w:lang w:val="es-ES"/>
              </w:rPr>
            </w:pP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0807A6" w14:textId="69409463" w:rsidR="00EC1FCF" w:rsidRPr="006D3772" w:rsidRDefault="00EC1FCF" w:rsidP="00EC1FCF">
            <w:pPr>
              <w:spacing w:before="60" w:after="60"/>
              <w:rPr>
                <w:lang w:val="es-ES"/>
              </w:rPr>
            </w:pPr>
            <w:r w:rsidRPr="006D3772">
              <w:rPr>
                <w:lang w:val="es-ES"/>
              </w:rPr>
              <w:t xml:space="preserve">La </w:t>
            </w:r>
            <w:r w:rsidR="00D10FC7" w:rsidRPr="006D3772">
              <w:rPr>
                <w:lang w:val="es-ES"/>
              </w:rPr>
              <w:t xml:space="preserve">Tarea </w:t>
            </w:r>
            <w:r w:rsidRPr="006D3772">
              <w:rPr>
                <w:lang w:val="es-ES"/>
              </w:rPr>
              <w:t xml:space="preserve">1.2. efectuará una evaluación </w:t>
            </w:r>
            <w:r w:rsidR="00C33A14" w:rsidRPr="006D3772">
              <w:rPr>
                <w:lang w:val="es-ES"/>
              </w:rPr>
              <w:t>mundial</w:t>
            </w:r>
            <w:r w:rsidRPr="006D3772">
              <w:rPr>
                <w:lang w:val="es-ES"/>
              </w:rPr>
              <w:t xml:space="preserve"> para identificar los tipos de humedales </w:t>
            </w:r>
            <w:r w:rsidR="00C33A14" w:rsidRPr="006D3772">
              <w:rPr>
                <w:lang w:val="es-ES"/>
              </w:rPr>
              <w:t>infrarr</w:t>
            </w:r>
            <w:r w:rsidRPr="006D3772">
              <w:rPr>
                <w:lang w:val="es-ES"/>
              </w:rPr>
              <w:t xml:space="preserve">epresentados, </w:t>
            </w:r>
            <w:r w:rsidR="00C33A14" w:rsidRPr="006D3772">
              <w:rPr>
                <w:lang w:val="es-ES"/>
              </w:rPr>
              <w:t>incluyendo</w:t>
            </w:r>
            <w:r w:rsidRPr="006D3772">
              <w:rPr>
                <w:lang w:val="es-ES"/>
              </w:rPr>
              <w:t xml:space="preserve"> la biodiversidad y los hábitats asociados en todas las regiones biogeográficas (incluidos los humedales transfronterizos), basándose en los datos del Servicio de Información sobre Sitios Ramsar (SISR) y otras fuentes pertinentes, a fin de </w:t>
            </w:r>
            <w:r w:rsidR="00C33A14" w:rsidRPr="006D3772">
              <w:rPr>
                <w:lang w:val="es-ES"/>
              </w:rPr>
              <w:t xml:space="preserve">mostrar a </w:t>
            </w:r>
            <w:r w:rsidRPr="006D3772">
              <w:rPr>
                <w:lang w:val="es-ES"/>
              </w:rPr>
              <w:t>las Partes Contratantes las oportunidades para reforzar la designación de Humedales de Importancia Internacional con vistas a la consecución de los objetivos de biodiversidad, clima y desarrollo sostenible.</w:t>
            </w:r>
          </w:p>
          <w:p w14:paraId="04CE0AAC" w14:textId="1CC07E0E" w:rsidR="00842A17" w:rsidRPr="006D3772" w:rsidRDefault="00842A17" w:rsidP="002867AE">
            <w:pPr>
              <w:spacing w:before="60" w:after="60"/>
              <w:rPr>
                <w:lang w:val="es-ES"/>
              </w:rPr>
            </w:pPr>
          </w:p>
        </w:tc>
        <w:tc>
          <w:tcPr>
            <w:tcW w:w="1418" w:type="dxa"/>
            <w:tcBorders>
              <w:top w:val="nil"/>
              <w:left w:val="single" w:sz="8" w:space="0" w:color="000000" w:themeColor="text1"/>
              <w:bottom w:val="single" w:sz="8" w:space="0" w:color="000000" w:themeColor="text1"/>
              <w:right w:val="single" w:sz="8" w:space="0" w:color="000000" w:themeColor="text1"/>
            </w:tcBorders>
          </w:tcPr>
          <w:p w14:paraId="6F7C2DF1" w14:textId="77777777" w:rsidR="00842A17" w:rsidRPr="006D3772" w:rsidRDefault="00F319AD" w:rsidP="002867AE">
            <w:pPr>
              <w:spacing w:before="60" w:after="60"/>
              <w:rPr>
                <w:lang w:val="es-ES"/>
              </w:rPr>
            </w:pPr>
            <w:r w:rsidRPr="006D3772">
              <w:rPr>
                <w:lang w:val="es-ES"/>
              </w:rPr>
              <w:t>2026-2028</w:t>
            </w:r>
          </w:p>
        </w:tc>
        <w:tc>
          <w:tcPr>
            <w:tcW w:w="1913" w:type="dxa"/>
            <w:tcBorders>
              <w:top w:val="nil"/>
              <w:left w:val="single" w:sz="8" w:space="0" w:color="000000" w:themeColor="text1"/>
              <w:bottom w:val="single" w:sz="8" w:space="0" w:color="000000" w:themeColor="text1"/>
              <w:right w:val="single" w:sz="8" w:space="0" w:color="000000" w:themeColor="text1"/>
            </w:tcBorders>
          </w:tcPr>
          <w:p w14:paraId="3A693BCF" w14:textId="0DA2FA31" w:rsidR="00EC1FCF" w:rsidRPr="006D3772" w:rsidRDefault="00EC1FCF" w:rsidP="002867AE">
            <w:pPr>
              <w:spacing w:before="60" w:after="60"/>
              <w:rPr>
                <w:lang w:val="es-ES"/>
              </w:rPr>
            </w:pPr>
            <w:r w:rsidRPr="006D3772">
              <w:rPr>
                <w:lang w:val="es-ES"/>
              </w:rPr>
              <w:t>Informe Técnico y/o Nota Informativa.</w:t>
            </w:r>
          </w:p>
          <w:p w14:paraId="2724470A" w14:textId="77777777" w:rsidR="00EC1FCF" w:rsidRPr="006D3772" w:rsidRDefault="00EC1FCF" w:rsidP="00EC1FCF">
            <w:pPr>
              <w:spacing w:before="60" w:after="60"/>
              <w:rPr>
                <w:lang w:val="es-ES"/>
              </w:rPr>
            </w:pPr>
            <w:r w:rsidRPr="006D3772">
              <w:rPr>
                <w:lang w:val="es-ES"/>
              </w:rPr>
              <w:t>Informe Técnico y/o Nota Informativa.</w:t>
            </w:r>
          </w:p>
          <w:p w14:paraId="09FB5F01" w14:textId="21404519" w:rsidR="00842A17" w:rsidRPr="006D3772" w:rsidRDefault="00842A17" w:rsidP="002867AE">
            <w:pPr>
              <w:spacing w:before="60" w:after="60"/>
              <w:rPr>
                <w:lang w:val="es-ES"/>
              </w:rPr>
            </w:pPr>
          </w:p>
        </w:tc>
        <w:tc>
          <w:tcPr>
            <w:tcW w:w="1914" w:type="dxa"/>
            <w:tcBorders>
              <w:top w:val="nil"/>
              <w:left w:val="single" w:sz="8" w:space="0" w:color="000000" w:themeColor="text1"/>
              <w:bottom w:val="single" w:sz="8" w:space="0" w:color="000000" w:themeColor="text1"/>
              <w:right w:val="single" w:sz="8" w:space="0" w:color="000000" w:themeColor="text1"/>
            </w:tcBorders>
          </w:tcPr>
          <w:p w14:paraId="0B7864EF" w14:textId="11785AFD" w:rsidR="0064294B" w:rsidRPr="006D3772" w:rsidRDefault="00115D03" w:rsidP="002867AE">
            <w:pPr>
              <w:spacing w:before="60" w:after="60"/>
              <w:rPr>
                <w:lang w:val="es-ES"/>
              </w:rPr>
            </w:pPr>
            <w:r w:rsidRPr="006D3772">
              <w:rPr>
                <w:lang w:val="es-ES"/>
              </w:rPr>
              <w:t xml:space="preserve">Resolución </w:t>
            </w:r>
            <w:r w:rsidR="00F319AD" w:rsidRPr="006D3772">
              <w:rPr>
                <w:lang w:val="es-ES"/>
              </w:rPr>
              <w:t xml:space="preserve">XII.5, </w:t>
            </w:r>
          </w:p>
          <w:p w14:paraId="24C4E7D0" w14:textId="76A6D430" w:rsidR="003B0270" w:rsidRPr="006D3772" w:rsidRDefault="00F319AD" w:rsidP="002867AE">
            <w:pPr>
              <w:spacing w:before="60" w:after="60"/>
              <w:rPr>
                <w:lang w:val="es-ES"/>
              </w:rPr>
            </w:pPr>
            <w:r w:rsidRPr="006D3772">
              <w:rPr>
                <w:lang w:val="es-ES"/>
              </w:rPr>
              <w:t>Anex</w:t>
            </w:r>
            <w:r w:rsidR="00EC1FCF" w:rsidRPr="006D3772">
              <w:rPr>
                <w:lang w:val="es-ES"/>
              </w:rPr>
              <w:t>o</w:t>
            </w:r>
            <w:r w:rsidRPr="006D3772">
              <w:rPr>
                <w:lang w:val="es-ES"/>
              </w:rPr>
              <w:t xml:space="preserve"> 1.</w:t>
            </w:r>
          </w:p>
          <w:p w14:paraId="1575D9B3" w14:textId="5ACDB47E" w:rsidR="00BE7363" w:rsidRPr="006D3772" w:rsidRDefault="00115D03" w:rsidP="002867AE">
            <w:pPr>
              <w:spacing w:before="60" w:after="60"/>
              <w:rPr>
                <w:lang w:val="es-ES"/>
              </w:rPr>
            </w:pPr>
            <w:r w:rsidRPr="006D3772">
              <w:rPr>
                <w:lang w:val="es-ES"/>
              </w:rPr>
              <w:t xml:space="preserve">Resolución </w:t>
            </w:r>
            <w:r w:rsidR="00F319AD" w:rsidRPr="006D3772">
              <w:rPr>
                <w:lang w:val="es-ES"/>
              </w:rPr>
              <w:t>XIV.14, Anex</w:t>
            </w:r>
            <w:r w:rsidR="00EC1FCF" w:rsidRPr="006D3772">
              <w:rPr>
                <w:lang w:val="es-ES"/>
              </w:rPr>
              <w:t>o</w:t>
            </w:r>
            <w:r w:rsidR="00F319AD" w:rsidRPr="006D3772">
              <w:rPr>
                <w:lang w:val="es-ES"/>
              </w:rPr>
              <w:t xml:space="preserve"> 2</w:t>
            </w:r>
          </w:p>
          <w:p w14:paraId="652D7713" w14:textId="41F53270" w:rsidR="003B0270" w:rsidRPr="006D3772" w:rsidRDefault="00115D03" w:rsidP="002867AE">
            <w:pPr>
              <w:spacing w:before="60" w:after="60"/>
              <w:rPr>
                <w:lang w:val="es-ES"/>
              </w:rPr>
            </w:pPr>
            <w:r w:rsidRPr="006D3772">
              <w:rPr>
                <w:lang w:val="es-ES"/>
              </w:rPr>
              <w:t xml:space="preserve">Resolución </w:t>
            </w:r>
            <w:r w:rsidR="00F319AD" w:rsidRPr="006D3772">
              <w:rPr>
                <w:lang w:val="es-ES"/>
              </w:rPr>
              <w:t xml:space="preserve">XIV.6, </w:t>
            </w:r>
            <w:r w:rsidRPr="006D3772">
              <w:rPr>
                <w:lang w:val="es-ES"/>
              </w:rPr>
              <w:t>párr.</w:t>
            </w:r>
            <w:r w:rsidR="00F319AD" w:rsidRPr="006D3772">
              <w:rPr>
                <w:lang w:val="es-ES"/>
              </w:rPr>
              <w:t xml:space="preserve"> 38</w:t>
            </w:r>
          </w:p>
          <w:p w14:paraId="1C3E05F2" w14:textId="222130AB" w:rsidR="00842A17" w:rsidRPr="006D3772" w:rsidRDefault="00EC1FCF" w:rsidP="00C33A14">
            <w:pPr>
              <w:spacing w:before="60" w:after="60"/>
              <w:rPr>
                <w:lang w:val="es-ES"/>
              </w:rPr>
            </w:pPr>
            <w:r w:rsidRPr="006D3772">
              <w:rPr>
                <w:lang w:val="es-ES"/>
              </w:rPr>
              <w:t>Continuación</w:t>
            </w:r>
            <w:r w:rsidR="00F319AD" w:rsidRPr="006D3772">
              <w:rPr>
                <w:lang w:val="es-ES"/>
              </w:rPr>
              <w:t xml:space="preserve"> </w:t>
            </w:r>
            <w:r w:rsidRPr="006D3772">
              <w:rPr>
                <w:lang w:val="es-ES"/>
              </w:rPr>
              <w:t>del plan de trabajo 2023-2025 del GECT</w:t>
            </w:r>
            <w:r w:rsidR="00C33A14" w:rsidRPr="006D3772">
              <w:rPr>
                <w:lang w:val="es-ES"/>
              </w:rPr>
              <w:t xml:space="preserve"> (</w:t>
            </w:r>
            <w:r w:rsidR="00DD05DA" w:rsidRPr="006D3772">
              <w:rPr>
                <w:lang w:val="es-ES"/>
              </w:rPr>
              <w:t xml:space="preserve">Decisión 04 entre períodos de </w:t>
            </w:r>
            <w:r w:rsidR="00DD05DA" w:rsidRPr="006D3772">
              <w:rPr>
                <w:lang w:val="es-ES"/>
              </w:rPr>
              <w:lastRenderedPageBreak/>
              <w:t xml:space="preserve">sesiones antes de la reunión </w:t>
            </w:r>
            <w:r w:rsidR="00C33A14" w:rsidRPr="006D3772">
              <w:rPr>
                <w:lang w:val="es-ES"/>
              </w:rPr>
              <w:t>SC62).</w:t>
            </w:r>
          </w:p>
        </w:tc>
      </w:tr>
      <w:tr w:rsidR="007B31B2" w:rsidRPr="00841C2D" w14:paraId="4A0281CE" w14:textId="77777777" w:rsidTr="00EF7423">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9317BC" w14:textId="09AB0D85" w:rsidR="00526199" w:rsidRPr="006D3772" w:rsidRDefault="002D4F26" w:rsidP="00C33A14">
            <w:pPr>
              <w:keepNext/>
              <w:tabs>
                <w:tab w:val="left" w:pos="11345"/>
              </w:tabs>
              <w:spacing w:before="60" w:after="60"/>
              <w:rPr>
                <w:b/>
                <w:color w:val="000000"/>
                <w:lang w:val="es-ES"/>
              </w:rPr>
            </w:pPr>
            <w:r w:rsidRPr="006D3772">
              <w:rPr>
                <w:b/>
                <w:color w:val="000000"/>
                <w:lang w:val="es-ES"/>
              </w:rPr>
              <w:lastRenderedPageBreak/>
              <w:t>ATT</w:t>
            </w:r>
            <w:r w:rsidR="00F319AD" w:rsidRPr="006D3772">
              <w:rPr>
                <w:b/>
                <w:color w:val="000000"/>
                <w:lang w:val="es-ES"/>
              </w:rPr>
              <w:t xml:space="preserve"> 2: </w:t>
            </w:r>
            <w:r w:rsidR="00EC1FCF" w:rsidRPr="006D3772">
              <w:rPr>
                <w:b/>
                <w:color w:val="000000"/>
                <w:lang w:val="es-ES"/>
              </w:rPr>
              <w:t xml:space="preserve">Herramientas para la evaluación, </w:t>
            </w:r>
            <w:r w:rsidR="00B61350">
              <w:rPr>
                <w:b/>
                <w:color w:val="000000"/>
                <w:lang w:val="es-ES"/>
              </w:rPr>
              <w:t xml:space="preserve">la cartografía </w:t>
            </w:r>
            <w:r w:rsidR="00EC1FCF" w:rsidRPr="006D3772">
              <w:rPr>
                <w:b/>
                <w:color w:val="000000"/>
                <w:lang w:val="es-ES"/>
              </w:rPr>
              <w:t xml:space="preserve">y </w:t>
            </w:r>
            <w:r w:rsidR="00B61350">
              <w:rPr>
                <w:b/>
                <w:color w:val="000000"/>
                <w:lang w:val="es-ES"/>
              </w:rPr>
              <w:t>el seguimiento</w:t>
            </w:r>
            <w:r w:rsidR="00EC1FCF" w:rsidRPr="006D3772">
              <w:rPr>
                <w:b/>
                <w:color w:val="000000"/>
                <w:lang w:val="es-ES"/>
              </w:rPr>
              <w:t xml:space="preserve"> de los humedales, y elaboración de inventarios. </w:t>
            </w:r>
            <w:r w:rsidR="00C33A14" w:rsidRPr="006D3772">
              <w:rPr>
                <w:b/>
                <w:color w:val="000000"/>
                <w:lang w:val="es-ES"/>
              </w:rPr>
              <w:tab/>
            </w:r>
          </w:p>
        </w:tc>
      </w:tr>
      <w:tr w:rsidR="00F8458C" w:rsidRPr="006D3772" w14:paraId="05DB1DC0" w14:textId="77777777" w:rsidTr="00F8458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E87315" w14:textId="77777777" w:rsidR="00EC1FCF" w:rsidRPr="006D3772" w:rsidRDefault="002D4F26" w:rsidP="00EC1FCF">
            <w:pPr>
              <w:spacing w:before="60" w:after="60"/>
              <w:rPr>
                <w:color w:val="000000" w:themeColor="text1"/>
                <w:lang w:val="es-ES"/>
              </w:rPr>
            </w:pPr>
            <w:r w:rsidRPr="006D3772">
              <w:rPr>
                <w:b/>
                <w:bCs w:val="0"/>
                <w:color w:val="000000" w:themeColor="text1"/>
                <w:lang w:val="es-ES"/>
              </w:rPr>
              <w:t>Tarea</w:t>
            </w:r>
            <w:r w:rsidR="00F319AD" w:rsidRPr="006D3772">
              <w:rPr>
                <w:b/>
                <w:bCs w:val="0"/>
                <w:color w:val="000000" w:themeColor="text1"/>
                <w:lang w:val="es-ES"/>
              </w:rPr>
              <w:t xml:space="preserve"> 2.1.</w:t>
            </w:r>
            <w:r w:rsidR="00F319AD" w:rsidRPr="006D3772">
              <w:rPr>
                <w:color w:val="000000" w:themeColor="text1"/>
                <w:lang w:val="es-ES"/>
              </w:rPr>
              <w:t xml:space="preserve"> </w:t>
            </w:r>
            <w:r w:rsidR="00EC1FCF" w:rsidRPr="006D3772">
              <w:rPr>
                <w:color w:val="000000" w:themeColor="text1"/>
                <w:lang w:val="es-ES"/>
              </w:rPr>
              <w:t xml:space="preserve">Revisión del sistema </w:t>
            </w:r>
            <w:r w:rsidR="00EC1FCF" w:rsidRPr="006D3772">
              <w:rPr>
                <w:lang w:val="es-ES"/>
              </w:rPr>
              <w:t xml:space="preserve">de clasificación </w:t>
            </w:r>
            <w:r w:rsidR="00EC1FCF" w:rsidRPr="006D3772">
              <w:rPr>
                <w:color w:val="000000" w:themeColor="text1"/>
                <w:lang w:val="es-ES"/>
              </w:rPr>
              <w:t>de tipos de humedales aplicado por la Convención.</w:t>
            </w:r>
          </w:p>
          <w:p w14:paraId="5D3A9513" w14:textId="744EB36F" w:rsidR="00842A17" w:rsidRPr="006D3772" w:rsidRDefault="00842A17" w:rsidP="002867AE">
            <w:pPr>
              <w:spacing w:before="60" w:after="60"/>
              <w:rPr>
                <w:color w:val="000000"/>
                <w:lang w:val="es-ES"/>
              </w:rPr>
            </w:pP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9C1160" w14:textId="4E7708A2" w:rsidR="002164EF" w:rsidRPr="006D3772" w:rsidRDefault="002164EF" w:rsidP="002867AE">
            <w:pPr>
              <w:spacing w:before="60" w:after="60"/>
              <w:rPr>
                <w:color w:val="000000" w:themeColor="text1"/>
                <w:lang w:val="es-ES"/>
              </w:rPr>
            </w:pPr>
            <w:r w:rsidRPr="006D3772">
              <w:rPr>
                <w:color w:val="000000" w:themeColor="text1"/>
                <w:lang w:val="es-ES"/>
              </w:rPr>
              <w:t xml:space="preserve">La </w:t>
            </w:r>
            <w:r w:rsidR="00D10FC7" w:rsidRPr="006D3772">
              <w:rPr>
                <w:color w:val="000000" w:themeColor="text1"/>
                <w:lang w:val="es-ES"/>
              </w:rPr>
              <w:t xml:space="preserve">Tarea </w:t>
            </w:r>
            <w:r w:rsidRPr="006D3772">
              <w:rPr>
                <w:color w:val="000000" w:themeColor="text1"/>
                <w:lang w:val="es-ES"/>
              </w:rPr>
              <w:t xml:space="preserve">2.1. efectuará una revisión en 2 fases del sistema de clasificación de tipos de humedales: </w:t>
            </w:r>
          </w:p>
          <w:p w14:paraId="12D25BFE" w14:textId="7F8AB4CD" w:rsidR="002164EF" w:rsidRPr="006D3772" w:rsidRDefault="002164EF" w:rsidP="002867AE">
            <w:pPr>
              <w:pStyle w:val="ListParagraph"/>
              <w:numPr>
                <w:ilvl w:val="0"/>
                <w:numId w:val="8"/>
              </w:numPr>
              <w:spacing w:before="60" w:after="60"/>
              <w:ind w:left="336" w:hanging="336"/>
              <w:rPr>
                <w:color w:val="000000" w:themeColor="text1"/>
                <w:lang w:val="es-ES"/>
              </w:rPr>
            </w:pPr>
            <w:r w:rsidRPr="006D3772">
              <w:rPr>
                <w:color w:val="000000" w:themeColor="text1"/>
                <w:lang w:val="es-ES"/>
              </w:rPr>
              <w:t xml:space="preserve">Fase 1: Evaluación inicial para determinar si </w:t>
            </w:r>
            <w:r w:rsidR="004F4BDD" w:rsidRPr="006D3772">
              <w:rPr>
                <w:color w:val="000000" w:themeColor="text1"/>
                <w:lang w:val="es-ES"/>
              </w:rPr>
              <w:t xml:space="preserve">existen </w:t>
            </w:r>
            <w:r w:rsidRPr="006D3772">
              <w:rPr>
                <w:color w:val="000000" w:themeColor="text1"/>
                <w:lang w:val="es-ES"/>
              </w:rPr>
              <w:t>suficientes indicios para justificar una revisión exhaustiva. Esto aclararía el motivo de la revisión, por ejemplo, cumplir con los propósitos nacionales y mundiales de evaluación y elaboración de informes.</w:t>
            </w:r>
          </w:p>
          <w:p w14:paraId="7DF6A9AC" w14:textId="77777777" w:rsidR="002164EF" w:rsidRPr="006D3772" w:rsidRDefault="002164EF" w:rsidP="002867AE">
            <w:pPr>
              <w:pStyle w:val="ListParagraph"/>
              <w:numPr>
                <w:ilvl w:val="0"/>
                <w:numId w:val="8"/>
              </w:numPr>
              <w:spacing w:before="60" w:after="60"/>
              <w:ind w:left="336" w:hanging="336"/>
              <w:rPr>
                <w:color w:val="000000" w:themeColor="text1"/>
                <w:lang w:val="es-ES"/>
              </w:rPr>
            </w:pPr>
            <w:r w:rsidRPr="006D3772">
              <w:rPr>
                <w:color w:val="000000" w:themeColor="text1"/>
                <w:lang w:val="es-ES"/>
              </w:rPr>
              <w:t>Fase 2: Llevar a cabo una evaluación exhaustiva para abordar las cuestiones y oportunidades identificadas durante la Fase 1.</w:t>
            </w:r>
          </w:p>
          <w:p w14:paraId="5E7A60FC" w14:textId="482D6150" w:rsidR="00AE0088" w:rsidRPr="006D3772" w:rsidRDefault="002164EF" w:rsidP="00E066C4">
            <w:pPr>
              <w:spacing w:before="60" w:after="60"/>
              <w:rPr>
                <w:color w:val="000000"/>
                <w:lang w:val="es-ES"/>
              </w:rPr>
            </w:pPr>
            <w:r w:rsidRPr="006D3772">
              <w:rPr>
                <w:color w:val="000000" w:themeColor="text1"/>
                <w:lang w:val="es-ES"/>
              </w:rPr>
              <w:t>La Tarea 2.1 estudiará el potencial de mejorar la clasificación de los humedales, inclusive a través de enmiendas menores para mejorar la armonización con los sistemas de clasificación utilizados por otros AMMA y la presentación de informes nacionales y mundiales sobre la extensión y el estado de los humedales.</w:t>
            </w:r>
          </w:p>
        </w:tc>
        <w:tc>
          <w:tcPr>
            <w:tcW w:w="1418" w:type="dxa"/>
            <w:tcBorders>
              <w:top w:val="nil"/>
              <w:left w:val="single" w:sz="8" w:space="0" w:color="000000" w:themeColor="text1"/>
              <w:bottom w:val="single" w:sz="8" w:space="0" w:color="000000" w:themeColor="text1"/>
              <w:right w:val="single" w:sz="8" w:space="0" w:color="000000" w:themeColor="text1"/>
            </w:tcBorders>
          </w:tcPr>
          <w:p w14:paraId="17E77AEB" w14:textId="77777777" w:rsidR="00842A17" w:rsidRPr="006D3772" w:rsidRDefault="00F319AD" w:rsidP="002867AE">
            <w:pPr>
              <w:spacing w:before="60" w:after="60"/>
              <w:rPr>
                <w:lang w:val="es-ES"/>
              </w:rPr>
            </w:pPr>
            <w:r w:rsidRPr="006D3772">
              <w:rPr>
                <w:lang w:val="es-ES"/>
              </w:rPr>
              <w:t>2026-2028</w:t>
            </w:r>
          </w:p>
        </w:tc>
        <w:tc>
          <w:tcPr>
            <w:tcW w:w="1913" w:type="dxa"/>
            <w:tcBorders>
              <w:top w:val="nil"/>
              <w:left w:val="single" w:sz="8" w:space="0" w:color="000000" w:themeColor="text1"/>
              <w:bottom w:val="single" w:sz="8" w:space="0" w:color="000000" w:themeColor="text1"/>
              <w:right w:val="single" w:sz="8" w:space="0" w:color="000000" w:themeColor="text1"/>
            </w:tcBorders>
          </w:tcPr>
          <w:p w14:paraId="266334E8" w14:textId="2DC1117D" w:rsidR="00A736E7" w:rsidRPr="006D3772" w:rsidRDefault="004F4BDD" w:rsidP="002867AE">
            <w:pPr>
              <w:spacing w:before="60" w:after="60"/>
              <w:rPr>
                <w:lang w:val="es-ES"/>
              </w:rPr>
            </w:pPr>
            <w:r w:rsidRPr="006D3772">
              <w:rPr>
                <w:lang w:val="es-ES"/>
              </w:rPr>
              <w:t xml:space="preserve">Informes al Comité Permanente (un informe sobre la </w:t>
            </w:r>
            <w:r w:rsidR="00FB5617" w:rsidRPr="006D3772">
              <w:rPr>
                <w:lang w:val="es-ES"/>
              </w:rPr>
              <w:t>F</w:t>
            </w:r>
            <w:r w:rsidRPr="006D3772">
              <w:rPr>
                <w:lang w:val="es-ES"/>
              </w:rPr>
              <w:t xml:space="preserve">ase 1 y un informe sobre la </w:t>
            </w:r>
            <w:r w:rsidR="00FB5617" w:rsidRPr="006D3772">
              <w:rPr>
                <w:lang w:val="es-ES"/>
              </w:rPr>
              <w:t>F</w:t>
            </w:r>
            <w:r w:rsidRPr="006D3772">
              <w:rPr>
                <w:lang w:val="es-ES"/>
              </w:rPr>
              <w:t>ase 2, si procede)</w:t>
            </w:r>
            <w:r w:rsidR="00F319AD" w:rsidRPr="006D3772">
              <w:rPr>
                <w:lang w:val="es-ES"/>
              </w:rPr>
              <w:t>.</w:t>
            </w:r>
          </w:p>
          <w:p w14:paraId="605B5CBB" w14:textId="0EADE581" w:rsidR="004F4BDD" w:rsidRPr="006D3772" w:rsidRDefault="004F4BDD" w:rsidP="002867AE">
            <w:pPr>
              <w:spacing w:before="60" w:after="60"/>
              <w:rPr>
                <w:lang w:val="es-ES"/>
              </w:rPr>
            </w:pPr>
            <w:r w:rsidRPr="006D3772">
              <w:rPr>
                <w:lang w:val="es-ES"/>
              </w:rPr>
              <w:t>Si es pertinente, el GECT preparará una resolución para la COP16.</w:t>
            </w:r>
          </w:p>
          <w:p w14:paraId="46F17036" w14:textId="2C016028" w:rsidR="00842A17" w:rsidRPr="006D3772" w:rsidRDefault="00842A17" w:rsidP="002867AE">
            <w:pPr>
              <w:spacing w:before="60" w:after="60"/>
              <w:rPr>
                <w:lang w:val="es-ES"/>
              </w:rPr>
            </w:pPr>
          </w:p>
        </w:tc>
        <w:tc>
          <w:tcPr>
            <w:tcW w:w="1914" w:type="dxa"/>
            <w:tcBorders>
              <w:top w:val="nil"/>
              <w:left w:val="single" w:sz="8" w:space="0" w:color="000000" w:themeColor="text1"/>
              <w:bottom w:val="single" w:sz="8" w:space="0" w:color="000000" w:themeColor="text1"/>
              <w:right w:val="single" w:sz="8" w:space="0" w:color="000000" w:themeColor="text1"/>
            </w:tcBorders>
          </w:tcPr>
          <w:p w14:paraId="376AAFD8" w14:textId="4BD7919B" w:rsidR="00842A17" w:rsidRPr="006D3772" w:rsidRDefault="00F319AD" w:rsidP="002867AE">
            <w:pPr>
              <w:spacing w:before="60" w:after="60"/>
              <w:rPr>
                <w:lang w:val="es-ES"/>
              </w:rPr>
            </w:pPr>
            <w:r w:rsidRPr="006D3772">
              <w:rPr>
                <w:lang w:val="es-ES"/>
              </w:rPr>
              <w:t>Doc. SC63.19 (</w:t>
            </w:r>
            <w:r w:rsidR="00115D03" w:rsidRPr="006D3772">
              <w:rPr>
                <w:lang w:val="es-ES"/>
              </w:rPr>
              <w:t>párr.</w:t>
            </w:r>
            <w:r w:rsidRPr="006D3772">
              <w:rPr>
                <w:lang w:val="es-ES"/>
              </w:rPr>
              <w:t xml:space="preserve"> 16-18 </w:t>
            </w:r>
            <w:r w:rsidR="00BA4107" w:rsidRPr="006D3772">
              <w:rPr>
                <w:lang w:val="es-ES"/>
              </w:rPr>
              <w:t>y</w:t>
            </w:r>
            <w:r w:rsidRPr="006D3772">
              <w:rPr>
                <w:lang w:val="es-ES"/>
              </w:rPr>
              <w:t xml:space="preserve"> Anex</w:t>
            </w:r>
            <w:r w:rsidR="00BA4107" w:rsidRPr="006D3772">
              <w:rPr>
                <w:lang w:val="es-ES"/>
              </w:rPr>
              <w:t>o</w:t>
            </w:r>
            <w:r w:rsidRPr="006D3772">
              <w:rPr>
                <w:lang w:val="es-ES"/>
              </w:rPr>
              <w:t xml:space="preserve"> 1).</w:t>
            </w:r>
          </w:p>
          <w:p w14:paraId="19057BB5" w14:textId="77777777" w:rsidR="00C33A14" w:rsidRPr="006D3772" w:rsidRDefault="00BA4107" w:rsidP="00C33A14">
            <w:pPr>
              <w:spacing w:before="60" w:after="60"/>
              <w:rPr>
                <w:lang w:val="es-ES"/>
              </w:rPr>
            </w:pPr>
            <w:r w:rsidRPr="006D3772">
              <w:rPr>
                <w:lang w:val="es-ES"/>
              </w:rPr>
              <w:t>Informe y decisiones de la 63</w:t>
            </w:r>
            <w:r w:rsidRPr="006D3772">
              <w:rPr>
                <w:vertAlign w:val="superscript"/>
                <w:lang w:val="es-ES"/>
              </w:rPr>
              <w:t>a</w:t>
            </w:r>
            <w:r w:rsidRPr="006D3772">
              <w:rPr>
                <w:lang w:val="es-ES"/>
              </w:rPr>
              <w:t xml:space="preserve"> reunión del Comité Permanente.</w:t>
            </w:r>
          </w:p>
          <w:p w14:paraId="12E8BE59" w14:textId="3BBE9276" w:rsidR="00842A17" w:rsidRPr="006D3772" w:rsidRDefault="00F319AD" w:rsidP="00C33A14">
            <w:pPr>
              <w:spacing w:before="60" w:after="60"/>
              <w:rPr>
                <w:color w:val="000000"/>
                <w:lang w:val="es-ES"/>
              </w:rPr>
            </w:pPr>
            <w:r w:rsidRPr="006D3772">
              <w:rPr>
                <w:color w:val="000000"/>
                <w:lang w:val="es-ES"/>
              </w:rPr>
              <w:t>(Decis</w:t>
            </w:r>
            <w:r w:rsidR="00745D87" w:rsidRPr="006D3772">
              <w:rPr>
                <w:color w:val="000000"/>
                <w:lang w:val="es-ES"/>
              </w:rPr>
              <w:t>ió</w:t>
            </w:r>
            <w:r w:rsidRPr="006D3772">
              <w:rPr>
                <w:color w:val="000000"/>
                <w:lang w:val="es-ES"/>
              </w:rPr>
              <w:t>n SC63-30).</w:t>
            </w:r>
          </w:p>
        </w:tc>
      </w:tr>
      <w:tr w:rsidR="00F8458C" w:rsidRPr="006D3772" w14:paraId="0AB4EEE3" w14:textId="77777777" w:rsidTr="00F8458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2801D0" w14:textId="77777777" w:rsidR="002164EF" w:rsidRPr="006D3772" w:rsidRDefault="002D4F26" w:rsidP="002164EF">
            <w:pPr>
              <w:spacing w:before="60" w:after="60"/>
              <w:rPr>
                <w:color w:val="000000" w:themeColor="text1"/>
                <w:lang w:val="es-ES"/>
              </w:rPr>
            </w:pPr>
            <w:r w:rsidRPr="006D3772">
              <w:rPr>
                <w:b/>
                <w:bCs w:val="0"/>
                <w:color w:val="000000" w:themeColor="text1"/>
                <w:lang w:val="es-ES"/>
              </w:rPr>
              <w:t>Tarea</w:t>
            </w:r>
            <w:r w:rsidR="00F319AD" w:rsidRPr="006D3772">
              <w:rPr>
                <w:b/>
                <w:bCs w:val="0"/>
                <w:color w:val="000000" w:themeColor="text1"/>
                <w:lang w:val="es-ES"/>
              </w:rPr>
              <w:t xml:space="preserve"> 2.2.</w:t>
            </w:r>
            <w:r w:rsidR="00F319AD" w:rsidRPr="006D3772">
              <w:rPr>
                <w:color w:val="000000" w:themeColor="text1"/>
                <w:lang w:val="es-ES"/>
              </w:rPr>
              <w:t xml:space="preserve"> </w:t>
            </w:r>
            <w:r w:rsidR="002164EF" w:rsidRPr="006D3772">
              <w:rPr>
                <w:color w:val="000000" w:themeColor="text1"/>
                <w:lang w:val="es-ES"/>
              </w:rPr>
              <w:t>Impulsar el desarrollo y el uso de medios tecnológicos para cartografiar e inventariar los humedales.</w:t>
            </w:r>
          </w:p>
          <w:p w14:paraId="6EB1F1F4" w14:textId="77777777" w:rsidR="002164EF" w:rsidRPr="006D3772" w:rsidRDefault="002164EF" w:rsidP="002867AE">
            <w:pPr>
              <w:spacing w:before="60" w:after="60"/>
              <w:rPr>
                <w:color w:val="000000" w:themeColor="text1"/>
                <w:lang w:val="es-ES"/>
              </w:rPr>
            </w:pPr>
          </w:p>
          <w:p w14:paraId="4210F1D1" w14:textId="5058FA74" w:rsidR="00842A17" w:rsidRPr="006D3772" w:rsidRDefault="00842A17" w:rsidP="002867AE">
            <w:pPr>
              <w:spacing w:before="60" w:after="60"/>
              <w:rPr>
                <w:color w:val="000000" w:themeColor="text1"/>
                <w:lang w:val="es-ES"/>
              </w:rPr>
            </w:pP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CA68D0" w14:textId="233D1C39" w:rsidR="0071711A" w:rsidRPr="006D3772" w:rsidRDefault="0071711A" w:rsidP="0071711A">
            <w:pPr>
              <w:spacing w:before="60" w:after="60"/>
              <w:rPr>
                <w:lang w:val="es-ES"/>
              </w:rPr>
            </w:pPr>
            <w:r w:rsidRPr="006D3772">
              <w:rPr>
                <w:color w:val="000000"/>
                <w:lang w:val="es-ES"/>
              </w:rPr>
              <w:t xml:space="preserve">La </w:t>
            </w:r>
            <w:r w:rsidR="00D10FC7" w:rsidRPr="006D3772">
              <w:rPr>
                <w:color w:val="000000"/>
                <w:lang w:val="es-ES"/>
              </w:rPr>
              <w:t xml:space="preserve">Tarea </w:t>
            </w:r>
            <w:r w:rsidRPr="006D3772">
              <w:rPr>
                <w:color w:val="000000"/>
                <w:lang w:val="es-ES"/>
              </w:rPr>
              <w:t>2.2</w:t>
            </w:r>
            <w:r w:rsidR="00115D03" w:rsidRPr="006D3772">
              <w:rPr>
                <w:color w:val="000000"/>
                <w:lang w:val="es-ES"/>
              </w:rPr>
              <w:t>.</w:t>
            </w:r>
            <w:r w:rsidRPr="006D3772">
              <w:rPr>
                <w:color w:val="000000"/>
                <w:lang w:val="es-ES"/>
              </w:rPr>
              <w:t>e centrará en el desarrollo de una iniciativa in</w:t>
            </w:r>
            <w:r w:rsidRPr="006D3772">
              <w:rPr>
                <w:lang w:val="es-ES"/>
              </w:rPr>
              <w:t xml:space="preserve">tertrienal </w:t>
            </w:r>
            <w:r w:rsidRPr="006D3772">
              <w:rPr>
                <w:color w:val="000000"/>
                <w:lang w:val="es-ES"/>
              </w:rPr>
              <w:t>destinada a fomentar el diálogo, el intercambio de conocimientos y la</w:t>
            </w:r>
            <w:r w:rsidR="00C33A14" w:rsidRPr="006D3772">
              <w:rPr>
                <w:color w:val="000000"/>
                <w:lang w:val="es-ES"/>
              </w:rPr>
              <w:t>s</w:t>
            </w:r>
            <w:r w:rsidRPr="006D3772">
              <w:rPr>
                <w:color w:val="000000"/>
                <w:lang w:val="es-ES"/>
              </w:rPr>
              <w:t xml:space="preserve"> orientaci</w:t>
            </w:r>
            <w:r w:rsidR="00C33A14" w:rsidRPr="006D3772">
              <w:rPr>
                <w:color w:val="000000"/>
                <w:lang w:val="es-ES"/>
              </w:rPr>
              <w:t>ones</w:t>
            </w:r>
            <w:r w:rsidRPr="006D3772">
              <w:rPr>
                <w:color w:val="000000"/>
                <w:lang w:val="es-ES"/>
              </w:rPr>
              <w:t xml:space="preserve"> sobre el uso de la observación de la Tierra para el inventario, la evaluación, </w:t>
            </w:r>
            <w:r w:rsidR="00DC5A79" w:rsidRPr="006D3772">
              <w:rPr>
                <w:color w:val="000000"/>
                <w:lang w:val="es-ES"/>
              </w:rPr>
              <w:t xml:space="preserve">el </w:t>
            </w:r>
            <w:r w:rsidR="00DC5A79" w:rsidRPr="006D3772">
              <w:rPr>
                <w:lang w:val="es-ES"/>
              </w:rPr>
              <w:t xml:space="preserve">seguimiento </w:t>
            </w:r>
            <w:r w:rsidRPr="006D3772">
              <w:rPr>
                <w:lang w:val="es-ES"/>
              </w:rPr>
              <w:t>y la conservación de los humedales (véase la Decisión SC63-30), por ejemplo, impulsando la iniciativa GEO-Humedales, sobre la base de modelos proporcionados por iniciativas emblemáticas del Grupo de Observaciones de la Tierra (GEO, Group on Earth Observations) como Digital Earth Africa y GEO Land Degradation Neutrality (GEO-LDN).</w:t>
            </w:r>
          </w:p>
          <w:p w14:paraId="38DD885C" w14:textId="0DA3B393" w:rsidR="00AE0088" w:rsidRPr="006D3772" w:rsidRDefault="0071711A" w:rsidP="005204BA">
            <w:pPr>
              <w:spacing w:before="60" w:after="60"/>
              <w:rPr>
                <w:color w:val="000000" w:themeColor="text1"/>
                <w:lang w:val="es-ES"/>
              </w:rPr>
            </w:pPr>
            <w:r w:rsidRPr="006D3772">
              <w:rPr>
                <w:color w:val="000000" w:themeColor="text1"/>
                <w:lang w:val="es-ES"/>
              </w:rPr>
              <w:lastRenderedPageBreak/>
              <w:t xml:space="preserve">La Tarea 2.2 también informará a las Partes Contratantes sobre los avances tecnológicos en </w:t>
            </w:r>
            <w:r w:rsidR="00E066C4">
              <w:rPr>
                <w:color w:val="000000" w:themeColor="text1"/>
                <w:lang w:val="es-ES"/>
              </w:rPr>
              <w:t xml:space="preserve">la cartografía </w:t>
            </w:r>
            <w:r w:rsidRPr="006D3772">
              <w:rPr>
                <w:color w:val="000000" w:themeColor="text1"/>
                <w:lang w:val="es-ES"/>
              </w:rPr>
              <w:t xml:space="preserve">y evaluación de humedales y la aplicación de tipologías de ecosistemas a nivel mundial, incluyendo la racionalización de los </w:t>
            </w:r>
            <w:r w:rsidR="005204BA">
              <w:rPr>
                <w:color w:val="000000" w:themeColor="text1"/>
                <w:lang w:val="es-ES"/>
              </w:rPr>
              <w:t>métodos</w:t>
            </w:r>
            <w:r w:rsidRPr="006D3772">
              <w:rPr>
                <w:color w:val="000000" w:themeColor="text1"/>
                <w:lang w:val="es-ES"/>
              </w:rPr>
              <w:t xml:space="preserve"> de </w:t>
            </w:r>
            <w:r w:rsidR="00E066C4">
              <w:rPr>
                <w:color w:val="000000" w:themeColor="text1"/>
                <w:lang w:val="es-ES"/>
              </w:rPr>
              <w:t>cartografía</w:t>
            </w:r>
            <w:r w:rsidRPr="006D3772">
              <w:rPr>
                <w:color w:val="000000" w:themeColor="text1"/>
                <w:lang w:val="es-ES"/>
              </w:rPr>
              <w:t xml:space="preserve"> e inventario (por ejemplo, los utilizados en los </w:t>
            </w:r>
            <w:r w:rsidR="009E667C" w:rsidRPr="006D3772">
              <w:rPr>
                <w:color w:val="000000" w:themeColor="text1"/>
                <w:lang w:val="es-ES"/>
              </w:rPr>
              <w:t>in</w:t>
            </w:r>
            <w:r w:rsidR="0064537C" w:rsidRPr="006D3772">
              <w:rPr>
                <w:color w:val="000000" w:themeColor="text1"/>
                <w:lang w:val="es-ES"/>
              </w:rPr>
              <w:t>ventarios nacionales de humedales</w:t>
            </w:r>
            <w:r w:rsidRPr="006D3772">
              <w:rPr>
                <w:color w:val="000000" w:themeColor="text1"/>
                <w:lang w:val="es-ES"/>
              </w:rPr>
              <w:t xml:space="preserve">) para informar sobre la conservación y el uso racional de los humedales, el seguimiento del estado y las tendencias </w:t>
            </w:r>
            <w:r w:rsidR="00C33A14" w:rsidRPr="006D3772">
              <w:rPr>
                <w:color w:val="000000" w:themeColor="text1"/>
                <w:lang w:val="es-ES"/>
              </w:rPr>
              <w:t>de estos</w:t>
            </w:r>
            <w:r w:rsidRPr="006D3772">
              <w:rPr>
                <w:color w:val="000000" w:themeColor="text1"/>
                <w:lang w:val="es-ES"/>
              </w:rPr>
              <w:t xml:space="preserve">, y la implementación de objetivos y metas internacionales, por ejemplo, la Meta </w:t>
            </w:r>
            <w:r w:rsidRPr="006D3772">
              <w:rPr>
                <w:lang w:val="es-ES"/>
              </w:rPr>
              <w:t xml:space="preserve">3 del Marco </w:t>
            </w:r>
            <w:r w:rsidR="00DC5A79" w:rsidRPr="006D3772">
              <w:rPr>
                <w:lang w:val="es-ES"/>
              </w:rPr>
              <w:t xml:space="preserve">Mundial de Biodiversidad </w:t>
            </w:r>
            <w:r w:rsidRPr="006D3772">
              <w:rPr>
                <w:lang w:val="es-ES"/>
              </w:rPr>
              <w:t xml:space="preserve">del CDB sobre 30x30 y la Meta 6.6.1 de los ODS sobre </w:t>
            </w:r>
            <w:r w:rsidR="0064537C" w:rsidRPr="006D3772">
              <w:rPr>
                <w:lang w:val="es-ES"/>
              </w:rPr>
              <w:t>“</w:t>
            </w:r>
            <w:r w:rsidRPr="006D3772">
              <w:rPr>
                <w:lang w:val="es-ES"/>
              </w:rPr>
              <w:t xml:space="preserve">Cambio en la extensión de los ecosistemas relacionados </w:t>
            </w:r>
            <w:r w:rsidRPr="006D3772">
              <w:rPr>
                <w:color w:val="000000" w:themeColor="text1"/>
                <w:lang w:val="es-ES"/>
              </w:rPr>
              <w:t>con el agua a lo largo del tiempo</w:t>
            </w:r>
            <w:r w:rsidR="0064537C" w:rsidRPr="006D3772">
              <w:rPr>
                <w:color w:val="000000" w:themeColor="text1"/>
                <w:lang w:val="es-ES"/>
              </w:rPr>
              <w:t>”</w:t>
            </w:r>
            <w:r w:rsidRPr="006D3772">
              <w:rPr>
                <w:color w:val="000000" w:themeColor="text1"/>
                <w:lang w:val="es-ES"/>
              </w:rPr>
              <w:t>.</w:t>
            </w:r>
          </w:p>
        </w:tc>
        <w:tc>
          <w:tcPr>
            <w:tcW w:w="1418" w:type="dxa"/>
            <w:tcBorders>
              <w:top w:val="nil"/>
              <w:left w:val="single" w:sz="8" w:space="0" w:color="000000" w:themeColor="text1"/>
              <w:bottom w:val="single" w:sz="8" w:space="0" w:color="000000" w:themeColor="text1"/>
              <w:right w:val="single" w:sz="8" w:space="0" w:color="000000" w:themeColor="text1"/>
            </w:tcBorders>
          </w:tcPr>
          <w:p w14:paraId="02B75905" w14:textId="0FFB1CD2" w:rsidR="00FD575F" w:rsidRPr="006D3772" w:rsidRDefault="00FD575F" w:rsidP="00FD575F">
            <w:pPr>
              <w:spacing w:before="60" w:after="60"/>
              <w:rPr>
                <w:lang w:val="es-ES"/>
              </w:rPr>
            </w:pPr>
            <w:r w:rsidRPr="006D3772">
              <w:rPr>
                <w:lang w:val="es-ES"/>
              </w:rPr>
              <w:lastRenderedPageBreak/>
              <w:t xml:space="preserve">Intertrienal (sujeto a la </w:t>
            </w:r>
            <w:r w:rsidR="00C33A14" w:rsidRPr="006D3772">
              <w:rPr>
                <w:lang w:val="es-ES"/>
              </w:rPr>
              <w:t>disponibili</w:t>
            </w:r>
            <w:r w:rsidR="00DD05DA" w:rsidRPr="006D3772">
              <w:rPr>
                <w:lang w:val="es-ES"/>
              </w:rPr>
              <w:t>-</w:t>
            </w:r>
            <w:r w:rsidR="00C33A14" w:rsidRPr="006D3772">
              <w:rPr>
                <w:lang w:val="es-ES"/>
              </w:rPr>
              <w:t>dad</w:t>
            </w:r>
            <w:r w:rsidRPr="006D3772">
              <w:rPr>
                <w:lang w:val="es-ES"/>
              </w:rPr>
              <w:t xml:space="preserve"> de recursos humanos y financieros).</w:t>
            </w:r>
          </w:p>
          <w:p w14:paraId="25C4FA54" w14:textId="53728A46" w:rsidR="00842A17" w:rsidRPr="006D3772" w:rsidRDefault="00842A17" w:rsidP="002867AE">
            <w:pPr>
              <w:spacing w:before="60" w:after="60"/>
              <w:rPr>
                <w:lang w:val="es-ES"/>
              </w:rPr>
            </w:pPr>
          </w:p>
        </w:tc>
        <w:tc>
          <w:tcPr>
            <w:tcW w:w="1913" w:type="dxa"/>
            <w:tcBorders>
              <w:top w:val="nil"/>
              <w:left w:val="single" w:sz="8" w:space="0" w:color="000000" w:themeColor="text1"/>
              <w:bottom w:val="single" w:sz="8" w:space="0" w:color="000000" w:themeColor="text1"/>
              <w:right w:val="single" w:sz="8" w:space="0" w:color="000000" w:themeColor="text1"/>
            </w:tcBorders>
          </w:tcPr>
          <w:p w14:paraId="583514EA" w14:textId="77777777" w:rsidR="00BA4107" w:rsidRPr="006D3772" w:rsidRDefault="00BA4107" w:rsidP="00BA4107">
            <w:pPr>
              <w:spacing w:before="60" w:after="60"/>
              <w:rPr>
                <w:lang w:val="es-ES"/>
              </w:rPr>
            </w:pPr>
            <w:r w:rsidRPr="006D3772">
              <w:rPr>
                <w:lang w:val="es-ES"/>
              </w:rPr>
              <w:t>Informe Técnico y/o Nota Informativa.</w:t>
            </w:r>
          </w:p>
          <w:p w14:paraId="2716F2B3" w14:textId="77777777" w:rsidR="00745D87" w:rsidRPr="006D3772" w:rsidRDefault="00745D87" w:rsidP="00745D87">
            <w:pPr>
              <w:spacing w:before="60" w:after="60"/>
              <w:rPr>
                <w:lang w:val="es-ES"/>
              </w:rPr>
            </w:pPr>
            <w:r w:rsidRPr="006D3772">
              <w:rPr>
                <w:lang w:val="es-ES"/>
              </w:rPr>
              <w:t>Informe al Comité Permanente sobre los progresos realizados en relación con la Decisión SC63-30.</w:t>
            </w:r>
          </w:p>
          <w:p w14:paraId="06ACFE16" w14:textId="77059982" w:rsidR="00E01D7B" w:rsidRPr="006D3772" w:rsidRDefault="00E01D7B" w:rsidP="002867AE">
            <w:pPr>
              <w:spacing w:before="60" w:after="60"/>
              <w:rPr>
                <w:lang w:val="es-ES"/>
              </w:rPr>
            </w:pPr>
          </w:p>
        </w:tc>
        <w:tc>
          <w:tcPr>
            <w:tcW w:w="1914" w:type="dxa"/>
            <w:tcBorders>
              <w:top w:val="nil"/>
              <w:left w:val="single" w:sz="8" w:space="0" w:color="000000" w:themeColor="text1"/>
              <w:bottom w:val="single" w:sz="8" w:space="0" w:color="000000" w:themeColor="text1"/>
              <w:right w:val="single" w:sz="8" w:space="0" w:color="000000" w:themeColor="text1"/>
            </w:tcBorders>
          </w:tcPr>
          <w:p w14:paraId="359C5401" w14:textId="2F8D6734" w:rsidR="00842A17" w:rsidRPr="006D3772" w:rsidRDefault="00F319AD" w:rsidP="002867AE">
            <w:pPr>
              <w:spacing w:before="60" w:after="60"/>
              <w:rPr>
                <w:lang w:val="es-ES"/>
              </w:rPr>
            </w:pPr>
            <w:r w:rsidRPr="006D3772">
              <w:rPr>
                <w:lang w:val="es-ES"/>
              </w:rPr>
              <w:t>Doc. SC63.19 (</w:t>
            </w:r>
            <w:r w:rsidR="00115D03" w:rsidRPr="006D3772">
              <w:rPr>
                <w:lang w:val="es-ES"/>
              </w:rPr>
              <w:t>párr.</w:t>
            </w:r>
            <w:r w:rsidR="00BA4107" w:rsidRPr="006D3772">
              <w:rPr>
                <w:lang w:val="es-ES"/>
              </w:rPr>
              <w:t xml:space="preserve"> </w:t>
            </w:r>
            <w:r w:rsidRPr="006D3772">
              <w:rPr>
                <w:lang w:val="es-ES"/>
              </w:rPr>
              <w:t>49 (h)).</w:t>
            </w:r>
          </w:p>
          <w:p w14:paraId="0B18EE23" w14:textId="77777777" w:rsidR="00745D87" w:rsidRPr="006D3772" w:rsidRDefault="00745D87" w:rsidP="00745D87">
            <w:pPr>
              <w:spacing w:before="60" w:after="60"/>
              <w:rPr>
                <w:lang w:val="es-ES"/>
              </w:rPr>
            </w:pPr>
            <w:r w:rsidRPr="006D3772">
              <w:rPr>
                <w:lang w:val="es-ES"/>
              </w:rPr>
              <w:t>Informe y decisiones de la 63</w:t>
            </w:r>
            <w:r w:rsidRPr="006D3772">
              <w:rPr>
                <w:vertAlign w:val="superscript"/>
                <w:lang w:val="es-ES"/>
              </w:rPr>
              <w:t>a</w:t>
            </w:r>
            <w:r w:rsidRPr="006D3772">
              <w:rPr>
                <w:lang w:val="es-ES"/>
              </w:rPr>
              <w:t xml:space="preserve"> reunión del Comité Permanente.</w:t>
            </w:r>
          </w:p>
          <w:p w14:paraId="494F852D" w14:textId="2A83F63C" w:rsidR="00842A17" w:rsidRPr="006D3772" w:rsidRDefault="00F319AD" w:rsidP="002867AE">
            <w:pPr>
              <w:spacing w:before="60" w:after="60"/>
              <w:rPr>
                <w:lang w:val="es-ES"/>
              </w:rPr>
            </w:pPr>
            <w:r w:rsidRPr="006D3772">
              <w:rPr>
                <w:color w:val="000000"/>
                <w:lang w:val="es-ES"/>
              </w:rPr>
              <w:t>(Decis</w:t>
            </w:r>
            <w:r w:rsidR="00745D87" w:rsidRPr="006D3772">
              <w:rPr>
                <w:color w:val="000000"/>
                <w:lang w:val="es-ES"/>
              </w:rPr>
              <w:t>ió</w:t>
            </w:r>
            <w:r w:rsidRPr="006D3772">
              <w:rPr>
                <w:color w:val="000000"/>
                <w:lang w:val="es-ES"/>
              </w:rPr>
              <w:t>n SC63-30).</w:t>
            </w:r>
          </w:p>
        </w:tc>
      </w:tr>
      <w:tr w:rsidR="007B31B2" w:rsidRPr="00841C2D" w14:paraId="4F1B18F3" w14:textId="77777777" w:rsidTr="00F8458C">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BF8340" w14:textId="5C2CCDDD" w:rsidR="00AE1F0F" w:rsidRPr="006D3772" w:rsidRDefault="002D4F26" w:rsidP="005204BA">
            <w:pPr>
              <w:spacing w:before="60" w:after="60"/>
              <w:rPr>
                <w:b/>
                <w:color w:val="000000"/>
                <w:lang w:val="es-ES"/>
              </w:rPr>
            </w:pPr>
            <w:r w:rsidRPr="006D3772">
              <w:rPr>
                <w:b/>
                <w:color w:val="000000"/>
                <w:lang w:val="es-ES"/>
              </w:rPr>
              <w:t>ATT</w:t>
            </w:r>
            <w:r w:rsidR="00F319AD" w:rsidRPr="006D3772">
              <w:rPr>
                <w:b/>
                <w:color w:val="000000"/>
                <w:lang w:val="es-ES"/>
              </w:rPr>
              <w:t xml:space="preserve"> 3: </w:t>
            </w:r>
            <w:r w:rsidR="0064537C" w:rsidRPr="006D3772">
              <w:rPr>
                <w:b/>
                <w:color w:val="000000"/>
                <w:lang w:val="es-ES"/>
              </w:rPr>
              <w:t>Presiones sobre los humedales, directas y relacionadas con el cambio climático, y repercusiones y respuestas.</w:t>
            </w:r>
          </w:p>
        </w:tc>
      </w:tr>
      <w:tr w:rsidR="007B31B2" w:rsidRPr="00841C2D" w14:paraId="61EDEC24" w14:textId="77777777" w:rsidTr="00EF7423">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305970" w14:textId="4E4F4ACC" w:rsidR="00BA4107" w:rsidRPr="006D3772" w:rsidRDefault="002D4F26" w:rsidP="00BA4107">
            <w:pPr>
              <w:spacing w:before="60" w:after="60"/>
              <w:rPr>
                <w:color w:val="000000" w:themeColor="text1"/>
                <w:lang w:val="es-ES"/>
              </w:rPr>
            </w:pPr>
            <w:r w:rsidRPr="006D3772">
              <w:rPr>
                <w:b/>
                <w:bCs w:val="0"/>
                <w:color w:val="000000" w:themeColor="text1"/>
                <w:lang w:val="es-ES"/>
              </w:rPr>
              <w:t>Tarea</w:t>
            </w:r>
            <w:r w:rsidR="00F319AD" w:rsidRPr="006D3772">
              <w:rPr>
                <w:b/>
                <w:bCs w:val="0"/>
                <w:color w:val="000000" w:themeColor="text1"/>
                <w:lang w:val="es-ES"/>
              </w:rPr>
              <w:t xml:space="preserve"> 3.1.</w:t>
            </w:r>
            <w:r w:rsidR="00F319AD" w:rsidRPr="006D3772">
              <w:rPr>
                <w:color w:val="000000" w:themeColor="text1"/>
                <w:lang w:val="es-ES"/>
              </w:rPr>
              <w:t xml:space="preserve"> </w:t>
            </w:r>
            <w:r w:rsidR="00BA4107" w:rsidRPr="006D3772">
              <w:rPr>
                <w:color w:val="000000" w:themeColor="text1"/>
                <w:lang w:val="es-ES"/>
              </w:rPr>
              <w:t xml:space="preserve">Evaluación de </w:t>
            </w:r>
            <w:r w:rsidR="00DC5A79" w:rsidRPr="006D3772">
              <w:rPr>
                <w:color w:val="000000" w:themeColor="text1"/>
                <w:lang w:val="es-ES"/>
              </w:rPr>
              <w:t xml:space="preserve">los impactos </w:t>
            </w:r>
            <w:r w:rsidR="00BA4107" w:rsidRPr="006D3772">
              <w:rPr>
                <w:color w:val="000000" w:themeColor="text1"/>
                <w:lang w:val="es-ES"/>
              </w:rPr>
              <w:t xml:space="preserve">de </w:t>
            </w:r>
            <w:r w:rsidR="005658AE" w:rsidRPr="006D3772">
              <w:rPr>
                <w:color w:val="000000" w:themeColor="text1"/>
                <w:lang w:val="es-ES"/>
              </w:rPr>
              <w:t>las floraciones</w:t>
            </w:r>
            <w:r w:rsidR="00BA4107" w:rsidRPr="006D3772">
              <w:rPr>
                <w:color w:val="000000" w:themeColor="text1"/>
                <w:lang w:val="es-ES"/>
              </w:rPr>
              <w:t xml:space="preserve"> de algas nocivas </w:t>
            </w:r>
            <w:r w:rsidR="00DC5A79" w:rsidRPr="006D3772">
              <w:rPr>
                <w:color w:val="000000" w:themeColor="text1"/>
                <w:lang w:val="es-ES"/>
              </w:rPr>
              <w:t>sobre</w:t>
            </w:r>
            <w:r w:rsidR="00BA4107" w:rsidRPr="006D3772">
              <w:rPr>
                <w:color w:val="000000" w:themeColor="text1"/>
                <w:lang w:val="es-ES"/>
              </w:rPr>
              <w:t xml:space="preserve"> los humedales.</w:t>
            </w:r>
          </w:p>
          <w:p w14:paraId="5D98EEED" w14:textId="3D5E535E" w:rsidR="00842A17" w:rsidRPr="006D3772" w:rsidRDefault="00842A17" w:rsidP="002867AE">
            <w:pPr>
              <w:spacing w:before="60" w:after="60"/>
              <w:rPr>
                <w:color w:val="000000"/>
                <w:lang w:val="es-ES"/>
              </w:rPr>
            </w:pP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8B4D30" w14:textId="1FB62900" w:rsidR="00BA4107" w:rsidRPr="006D3772" w:rsidRDefault="00BA4107" w:rsidP="00BA4107">
            <w:pPr>
              <w:spacing w:before="60" w:after="60"/>
              <w:rPr>
                <w:color w:val="000000" w:themeColor="text1"/>
                <w:lang w:val="es-ES"/>
              </w:rPr>
            </w:pPr>
            <w:r w:rsidRPr="006D3772">
              <w:rPr>
                <w:color w:val="000000" w:themeColor="text1"/>
                <w:lang w:val="es-ES"/>
              </w:rPr>
              <w:t xml:space="preserve">La Tarea 3.1 </w:t>
            </w:r>
            <w:r w:rsidR="00C33A14" w:rsidRPr="006D3772">
              <w:rPr>
                <w:color w:val="000000" w:themeColor="text1"/>
                <w:lang w:val="es-ES"/>
              </w:rPr>
              <w:t>resumirá</w:t>
            </w:r>
            <w:r w:rsidRPr="006D3772">
              <w:rPr>
                <w:color w:val="000000" w:themeColor="text1"/>
                <w:lang w:val="es-ES"/>
              </w:rPr>
              <w:t xml:space="preserve"> la información sobre la aparición y frecuencia de floraciones de algas nocivas en humedales, las </w:t>
            </w:r>
            <w:r w:rsidR="00C33A14" w:rsidRPr="006D3772">
              <w:rPr>
                <w:color w:val="000000" w:themeColor="text1"/>
                <w:lang w:val="es-ES"/>
              </w:rPr>
              <w:t xml:space="preserve">principales </w:t>
            </w:r>
            <w:r w:rsidRPr="006D3772">
              <w:rPr>
                <w:color w:val="000000" w:themeColor="text1"/>
                <w:lang w:val="es-ES"/>
              </w:rPr>
              <w:t xml:space="preserve">causas de </w:t>
            </w:r>
            <w:r w:rsidR="004F4BDD" w:rsidRPr="006D3772">
              <w:rPr>
                <w:color w:val="000000" w:themeColor="text1"/>
                <w:lang w:val="es-ES"/>
              </w:rPr>
              <w:t>est</w:t>
            </w:r>
            <w:r w:rsidRPr="006D3772">
              <w:rPr>
                <w:color w:val="000000" w:themeColor="text1"/>
                <w:lang w:val="es-ES"/>
              </w:rPr>
              <w:t>as floraciones y su impacto sobre la biodiversidad y los servicios de los ecosistemas, incluyendo la salud humana y el acceso a agua limpia para la agricultura y otros usos.</w:t>
            </w:r>
          </w:p>
          <w:p w14:paraId="250DD9AC" w14:textId="5BEDB5C6" w:rsidR="00AE0088" w:rsidRPr="00D36302" w:rsidRDefault="00BA4107" w:rsidP="004F4BDD">
            <w:pPr>
              <w:spacing w:before="60" w:after="60"/>
              <w:rPr>
                <w:color w:val="000000" w:themeColor="text1"/>
                <w:lang w:val="es-ES"/>
              </w:rPr>
            </w:pPr>
            <w:r w:rsidRPr="006D3772">
              <w:rPr>
                <w:color w:val="000000" w:themeColor="text1"/>
                <w:lang w:val="es-ES"/>
              </w:rPr>
              <w:t xml:space="preserve">La Tarea 3.1 también desarrollará orientaciones sobre métodos de mejores prácticas para prevenir y gestionar las floraciones de algas nocivas, mantener las características ecológicas de los humedales y proteger la salud humana (por ejemplo, en </w:t>
            </w:r>
            <w:r w:rsidR="00D36302">
              <w:rPr>
                <w:color w:val="000000" w:themeColor="text1"/>
                <w:lang w:val="es-ES"/>
              </w:rPr>
              <w:t>términos</w:t>
            </w:r>
            <w:r w:rsidRPr="006D3772">
              <w:rPr>
                <w:color w:val="000000" w:themeColor="text1"/>
                <w:lang w:val="es-ES"/>
              </w:rPr>
              <w:t xml:space="preserve"> del impacto de estas floraciones sobre los servicios de los ecosistemas).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647480" w14:textId="77777777" w:rsidR="00842A17" w:rsidRPr="006D3772" w:rsidRDefault="00F319AD" w:rsidP="002867AE">
            <w:pPr>
              <w:spacing w:before="60" w:after="60"/>
              <w:rPr>
                <w:lang w:val="es-ES"/>
              </w:rPr>
            </w:pPr>
            <w:r w:rsidRPr="006D3772">
              <w:rPr>
                <w:lang w:val="es-ES"/>
              </w:rPr>
              <w:t>2026-2028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D888F0" w14:textId="77777777" w:rsidR="00BA4107" w:rsidRPr="006D3772" w:rsidRDefault="00BA4107" w:rsidP="00BA4107">
            <w:pPr>
              <w:spacing w:before="60" w:after="60"/>
              <w:rPr>
                <w:lang w:val="es-ES"/>
              </w:rPr>
            </w:pPr>
            <w:r w:rsidRPr="006D3772">
              <w:rPr>
                <w:lang w:val="es-ES"/>
              </w:rPr>
              <w:t>Informe Técnico y/o Nota Informativa.</w:t>
            </w:r>
          </w:p>
          <w:p w14:paraId="6BD6243F" w14:textId="1CF01B1E" w:rsidR="00842A17" w:rsidRPr="006D3772" w:rsidRDefault="00842A17" w:rsidP="002867AE">
            <w:pPr>
              <w:spacing w:before="60" w:after="60"/>
              <w:rPr>
                <w:lang w:val="es-ES"/>
              </w:rPr>
            </w:pP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39653F" w14:textId="72781C53" w:rsidR="00842A17" w:rsidRPr="006D3772" w:rsidRDefault="00F319AD" w:rsidP="002867AE">
            <w:pPr>
              <w:spacing w:before="60" w:after="60"/>
              <w:rPr>
                <w:lang w:val="es-ES"/>
              </w:rPr>
            </w:pPr>
            <w:r w:rsidRPr="006D3772">
              <w:rPr>
                <w:lang w:val="es-ES"/>
              </w:rPr>
              <w:t>Doc. SC63.19 (</w:t>
            </w:r>
            <w:r w:rsidR="00115D03" w:rsidRPr="006D3772">
              <w:rPr>
                <w:lang w:val="es-ES"/>
              </w:rPr>
              <w:t>párr.</w:t>
            </w:r>
            <w:r w:rsidRPr="006D3772">
              <w:rPr>
                <w:lang w:val="es-ES"/>
              </w:rPr>
              <w:t xml:space="preserve"> 19-21 </w:t>
            </w:r>
            <w:r w:rsidR="00745D87" w:rsidRPr="006D3772">
              <w:rPr>
                <w:lang w:val="es-ES"/>
              </w:rPr>
              <w:t>y</w:t>
            </w:r>
            <w:r w:rsidRPr="006D3772">
              <w:rPr>
                <w:lang w:val="es-ES"/>
              </w:rPr>
              <w:t xml:space="preserve"> </w:t>
            </w:r>
            <w:r w:rsidR="00745D87" w:rsidRPr="006D3772">
              <w:rPr>
                <w:lang w:val="es-ES"/>
              </w:rPr>
              <w:t>Anexo</w:t>
            </w:r>
            <w:r w:rsidRPr="006D3772">
              <w:rPr>
                <w:lang w:val="es-ES"/>
              </w:rPr>
              <w:t xml:space="preserve"> 2).</w:t>
            </w:r>
          </w:p>
        </w:tc>
      </w:tr>
      <w:tr w:rsidR="007B31B2" w:rsidRPr="00841C2D" w14:paraId="1AA9ED7D" w14:textId="77777777" w:rsidTr="00EF7423">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32232B" w14:textId="77777777" w:rsidR="00BA4107" w:rsidRPr="006D3772" w:rsidRDefault="002D4F26" w:rsidP="00BA4107">
            <w:pPr>
              <w:spacing w:before="60" w:after="60"/>
              <w:rPr>
                <w:color w:val="000000" w:themeColor="text1"/>
                <w:lang w:val="es-ES"/>
              </w:rPr>
            </w:pPr>
            <w:r w:rsidRPr="006D3772">
              <w:rPr>
                <w:b/>
                <w:bCs w:val="0"/>
                <w:color w:val="000000" w:themeColor="text1"/>
                <w:lang w:val="es-ES"/>
              </w:rPr>
              <w:t>Tarea</w:t>
            </w:r>
            <w:r w:rsidR="00F319AD" w:rsidRPr="006D3772">
              <w:rPr>
                <w:b/>
                <w:bCs w:val="0"/>
                <w:color w:val="000000" w:themeColor="text1"/>
                <w:lang w:val="es-ES"/>
              </w:rPr>
              <w:t xml:space="preserve"> 3.2.</w:t>
            </w:r>
            <w:r w:rsidR="00F319AD" w:rsidRPr="006D3772">
              <w:rPr>
                <w:color w:val="000000" w:themeColor="text1"/>
                <w:lang w:val="es-ES"/>
              </w:rPr>
              <w:t xml:space="preserve"> </w:t>
            </w:r>
            <w:r w:rsidR="00BA4107" w:rsidRPr="006D3772">
              <w:rPr>
                <w:color w:val="000000" w:themeColor="text1"/>
                <w:lang w:val="es-ES"/>
              </w:rPr>
              <w:t>Evaluación del impacto de los incendios en los humedales.</w:t>
            </w:r>
          </w:p>
          <w:p w14:paraId="7F88FB23" w14:textId="7B00615E" w:rsidR="00906E80" w:rsidRPr="006D3772" w:rsidRDefault="00906E80" w:rsidP="002867AE">
            <w:pPr>
              <w:spacing w:before="60" w:after="60"/>
              <w:rPr>
                <w:b/>
                <w:bCs w:val="0"/>
                <w:color w:val="000000" w:themeColor="text1"/>
                <w:lang w:val="es-ES"/>
              </w:rPr>
            </w:pP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177AA8" w14:textId="0D6CFE04" w:rsidR="00AE0088" w:rsidRPr="006D3772" w:rsidRDefault="00BA4107" w:rsidP="0011473F">
            <w:pPr>
              <w:spacing w:before="60" w:after="60"/>
              <w:rPr>
                <w:color w:val="000000" w:themeColor="text1"/>
                <w:lang w:val="es-ES"/>
              </w:rPr>
            </w:pPr>
            <w:r w:rsidRPr="006D3772">
              <w:rPr>
                <w:color w:val="000000" w:themeColor="text1"/>
                <w:lang w:val="es-ES"/>
              </w:rPr>
              <w:lastRenderedPageBreak/>
              <w:t xml:space="preserve">La </w:t>
            </w:r>
            <w:r w:rsidR="00D10FC7" w:rsidRPr="006D3772">
              <w:rPr>
                <w:color w:val="000000" w:themeColor="text1"/>
                <w:lang w:val="es-ES"/>
              </w:rPr>
              <w:t xml:space="preserve">Tarea </w:t>
            </w:r>
            <w:r w:rsidRPr="006D3772">
              <w:rPr>
                <w:color w:val="000000" w:themeColor="text1"/>
                <w:lang w:val="es-ES"/>
              </w:rPr>
              <w:t xml:space="preserve">3.2. evaluará la ocurrencia y el cambio en la frecuencia y extensión de los incendios en los humedales y el </w:t>
            </w:r>
            <w:r w:rsidRPr="006D3772">
              <w:rPr>
                <w:lang w:val="es-ES"/>
              </w:rPr>
              <w:t xml:space="preserve">impacto sobre (i) la protección de la biodiversidad, (ii) las reservas de carbono de los humedales y su potencial de </w:t>
            </w:r>
            <w:r w:rsidRPr="006D3772">
              <w:rPr>
                <w:lang w:val="es-ES"/>
              </w:rPr>
              <w:lastRenderedPageBreak/>
              <w:t>secuestro</w:t>
            </w:r>
            <w:r w:rsidR="00DC5A79" w:rsidRPr="006D3772">
              <w:rPr>
                <w:lang w:val="es-ES"/>
              </w:rPr>
              <w:t xml:space="preserve"> </w:t>
            </w:r>
            <w:r w:rsidRPr="006D3772">
              <w:rPr>
                <w:color w:val="000000" w:themeColor="text1"/>
                <w:lang w:val="es-ES"/>
              </w:rPr>
              <w:t>y (iii) la salud humana. La tarea incluirá los impactos sobre las personas (por ejemplo, los problemas de salud derivados del humo) y los efectos sobre los servicios de los ecosistemas, como los alimentos, las fibras y el acceso al agua potable, si procede.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C94C22" w14:textId="77777777" w:rsidR="00906E80" w:rsidRPr="006D3772" w:rsidRDefault="00F319AD" w:rsidP="002867AE">
            <w:pPr>
              <w:spacing w:before="60" w:after="60"/>
              <w:rPr>
                <w:lang w:val="es-ES"/>
              </w:rPr>
            </w:pPr>
            <w:r w:rsidRPr="006D3772">
              <w:rPr>
                <w:lang w:val="es-ES"/>
              </w:rPr>
              <w:lastRenderedPageBreak/>
              <w:t>2026-2028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CCD599" w14:textId="77777777" w:rsidR="00BA4107" w:rsidRPr="006D3772" w:rsidRDefault="00BA4107" w:rsidP="00BA4107">
            <w:pPr>
              <w:spacing w:before="60" w:after="60"/>
              <w:rPr>
                <w:lang w:val="es-ES"/>
              </w:rPr>
            </w:pPr>
            <w:r w:rsidRPr="006D3772">
              <w:rPr>
                <w:lang w:val="es-ES"/>
              </w:rPr>
              <w:t>Informe Técnico y/o Nota Informativa.</w:t>
            </w:r>
          </w:p>
          <w:p w14:paraId="357A8AAC" w14:textId="502B01C7" w:rsidR="00906E80" w:rsidRPr="006D3772" w:rsidRDefault="00906E80" w:rsidP="002867AE">
            <w:pPr>
              <w:spacing w:before="60" w:after="60"/>
              <w:rPr>
                <w:lang w:val="es-ES"/>
              </w:rPr>
            </w:pP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26A58D" w14:textId="2BEF156D" w:rsidR="00906E80" w:rsidRPr="006D3772" w:rsidRDefault="00F319AD" w:rsidP="002867AE">
            <w:pPr>
              <w:spacing w:before="60" w:after="60"/>
              <w:rPr>
                <w:lang w:val="es-ES"/>
              </w:rPr>
            </w:pPr>
            <w:r w:rsidRPr="006D3772">
              <w:rPr>
                <w:lang w:val="es-ES"/>
              </w:rPr>
              <w:lastRenderedPageBreak/>
              <w:t>Doc. SC63.19 (</w:t>
            </w:r>
            <w:r w:rsidR="00115D03" w:rsidRPr="006D3772">
              <w:rPr>
                <w:lang w:val="es-ES"/>
              </w:rPr>
              <w:t>párr.</w:t>
            </w:r>
            <w:r w:rsidR="00745D87" w:rsidRPr="006D3772">
              <w:rPr>
                <w:lang w:val="es-ES"/>
              </w:rPr>
              <w:t xml:space="preserve"> </w:t>
            </w:r>
            <w:r w:rsidRPr="006D3772">
              <w:rPr>
                <w:lang w:val="es-ES"/>
              </w:rPr>
              <w:t xml:space="preserve">19-21 </w:t>
            </w:r>
            <w:r w:rsidR="00745D87" w:rsidRPr="006D3772">
              <w:rPr>
                <w:lang w:val="es-ES"/>
              </w:rPr>
              <w:t>y</w:t>
            </w:r>
            <w:r w:rsidRPr="006D3772">
              <w:rPr>
                <w:lang w:val="es-ES"/>
              </w:rPr>
              <w:t xml:space="preserve"> </w:t>
            </w:r>
            <w:r w:rsidR="00745D87" w:rsidRPr="006D3772">
              <w:rPr>
                <w:lang w:val="es-ES"/>
              </w:rPr>
              <w:t>Anexo</w:t>
            </w:r>
            <w:r w:rsidRPr="006D3772">
              <w:rPr>
                <w:lang w:val="es-ES"/>
              </w:rPr>
              <w:t xml:space="preserve"> 2).</w:t>
            </w:r>
          </w:p>
        </w:tc>
      </w:tr>
      <w:tr w:rsidR="007B31B2" w:rsidRPr="00841C2D" w14:paraId="2BC54BC4" w14:textId="77777777" w:rsidTr="00F8458C">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7B0915C" w14:textId="3476E831" w:rsidR="00906E80" w:rsidRPr="006D3772" w:rsidRDefault="002D4F26" w:rsidP="00F8458C">
            <w:pPr>
              <w:keepNext/>
              <w:spacing w:before="60" w:after="60"/>
              <w:rPr>
                <w:b/>
                <w:color w:val="000000"/>
                <w:lang w:val="es-ES"/>
              </w:rPr>
            </w:pPr>
            <w:r w:rsidRPr="006D3772">
              <w:rPr>
                <w:b/>
                <w:color w:val="000000"/>
                <w:lang w:val="es-ES"/>
              </w:rPr>
              <w:t>ATT</w:t>
            </w:r>
            <w:r w:rsidR="00F319AD" w:rsidRPr="006D3772">
              <w:rPr>
                <w:b/>
                <w:color w:val="000000"/>
                <w:lang w:val="es-ES"/>
              </w:rPr>
              <w:t xml:space="preserve"> 4: </w:t>
            </w:r>
            <w:r w:rsidR="00FD575F" w:rsidRPr="006D3772">
              <w:rPr>
                <w:b/>
                <w:color w:val="000000"/>
                <w:lang w:val="es-ES"/>
              </w:rPr>
              <w:t>Uso racional, manejo sostenible y restauración de los humedales en el paisaje terrestre y marino en general.</w:t>
            </w:r>
          </w:p>
        </w:tc>
      </w:tr>
      <w:tr w:rsidR="007B31B2" w:rsidRPr="00841C2D" w14:paraId="086B77CE" w14:textId="77777777" w:rsidTr="00EF7423">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188F24" w14:textId="07085684" w:rsidR="00661B84" w:rsidRPr="006D3772" w:rsidRDefault="002D4F26" w:rsidP="00661B84">
            <w:pPr>
              <w:spacing w:before="60" w:after="60"/>
              <w:rPr>
                <w:color w:val="000000" w:themeColor="text1"/>
                <w:lang w:val="es-ES"/>
              </w:rPr>
            </w:pPr>
            <w:r w:rsidRPr="006D3772">
              <w:rPr>
                <w:b/>
                <w:bCs w:val="0"/>
                <w:color w:val="000000" w:themeColor="text1"/>
                <w:lang w:val="es-ES"/>
              </w:rPr>
              <w:t>Tarea</w:t>
            </w:r>
            <w:r w:rsidR="00F319AD" w:rsidRPr="006D3772">
              <w:rPr>
                <w:b/>
                <w:bCs w:val="0"/>
                <w:color w:val="000000" w:themeColor="text1"/>
                <w:lang w:val="es-ES"/>
              </w:rPr>
              <w:t xml:space="preserve"> 4.1.</w:t>
            </w:r>
            <w:r w:rsidR="00F319AD" w:rsidRPr="006D3772">
              <w:rPr>
                <w:color w:val="000000" w:themeColor="text1"/>
                <w:lang w:val="es-ES"/>
              </w:rPr>
              <w:t xml:space="preserve"> </w:t>
            </w:r>
            <w:r w:rsidR="00661B84" w:rsidRPr="006D3772">
              <w:rPr>
                <w:color w:val="000000" w:themeColor="text1"/>
                <w:lang w:val="es-ES"/>
              </w:rPr>
              <w:t>Una evaluación de las posibilidades de cambio transforma</w:t>
            </w:r>
            <w:r w:rsidR="00AE0088" w:rsidRPr="006D3772">
              <w:rPr>
                <w:color w:val="000000" w:themeColor="text1"/>
                <w:lang w:val="es-ES"/>
              </w:rPr>
              <w:t>dor</w:t>
            </w:r>
            <w:r w:rsidR="00661B84" w:rsidRPr="006D3772">
              <w:rPr>
                <w:color w:val="000000" w:themeColor="text1"/>
                <w:lang w:val="es-ES"/>
              </w:rPr>
              <w:t xml:space="preserve"> en materia de conservación y uso racional de los humedales a favor de la naturaleza, el clima y las personas.</w:t>
            </w:r>
          </w:p>
          <w:p w14:paraId="4AF873C5" w14:textId="32975B72" w:rsidR="00906E80" w:rsidRPr="006D3772" w:rsidRDefault="00906E80" w:rsidP="002867AE">
            <w:pPr>
              <w:spacing w:before="60" w:after="60"/>
              <w:rPr>
                <w:color w:val="000000"/>
                <w:lang w:val="es-ES"/>
              </w:rPr>
            </w:pP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94403B" w14:textId="4F0E0F9C" w:rsidR="00661B84" w:rsidRPr="006D3772" w:rsidRDefault="00661B84" w:rsidP="00661B84">
            <w:pPr>
              <w:pBdr>
                <w:top w:val="nil"/>
                <w:left w:val="nil"/>
                <w:bottom w:val="nil"/>
                <w:right w:val="nil"/>
                <w:between w:val="nil"/>
              </w:pBdr>
              <w:spacing w:before="60" w:after="60"/>
              <w:rPr>
                <w:color w:val="000000" w:themeColor="text1"/>
                <w:lang w:val="es-ES"/>
              </w:rPr>
            </w:pPr>
            <w:r w:rsidRPr="006D3772">
              <w:rPr>
                <w:color w:val="000000" w:themeColor="text1"/>
                <w:lang w:val="es-ES"/>
              </w:rPr>
              <w:t xml:space="preserve">La </w:t>
            </w:r>
            <w:r w:rsidR="00D10FC7" w:rsidRPr="006D3772">
              <w:rPr>
                <w:color w:val="000000" w:themeColor="text1"/>
                <w:lang w:val="es-ES"/>
              </w:rPr>
              <w:t xml:space="preserve">Tarea </w:t>
            </w:r>
            <w:r w:rsidRPr="006D3772">
              <w:rPr>
                <w:color w:val="000000" w:themeColor="text1"/>
                <w:lang w:val="es-ES"/>
              </w:rPr>
              <w:t xml:space="preserve">4.1 se centrará en </w:t>
            </w:r>
            <w:r w:rsidR="00DC5A79" w:rsidRPr="006D3772">
              <w:rPr>
                <w:color w:val="000000" w:themeColor="text1"/>
                <w:lang w:val="es-ES"/>
              </w:rPr>
              <w:t xml:space="preserve">el análisis y la </w:t>
            </w:r>
            <w:r w:rsidRPr="006D3772">
              <w:rPr>
                <w:color w:val="000000" w:themeColor="text1"/>
                <w:lang w:val="es-ES"/>
              </w:rPr>
              <w:t>evaluación de modelos, escenarios y vías para un cambio transforma</w:t>
            </w:r>
            <w:r w:rsidR="00AE0088" w:rsidRPr="006D3772">
              <w:rPr>
                <w:color w:val="000000" w:themeColor="text1"/>
                <w:lang w:val="es-ES"/>
              </w:rPr>
              <w:t>dor</w:t>
            </w:r>
            <w:r w:rsidRPr="006D3772">
              <w:rPr>
                <w:color w:val="000000" w:themeColor="text1"/>
                <w:lang w:val="es-ES"/>
              </w:rPr>
              <w:t xml:space="preserve"> que aborde la triple crisis planetaria (cambio climático, contaminación y pérdida de biodiversidad), los objetivos estratégicos de la Convención sobre los Humedales y otros objetivos y metas </w:t>
            </w:r>
            <w:r w:rsidR="00D45B49" w:rsidRPr="006D3772">
              <w:rPr>
                <w:color w:val="000000" w:themeColor="text1"/>
                <w:lang w:val="es-ES"/>
              </w:rPr>
              <w:t>pertine</w:t>
            </w:r>
            <w:r w:rsidRPr="006D3772">
              <w:rPr>
                <w:color w:val="000000" w:themeColor="text1"/>
                <w:lang w:val="es-ES"/>
              </w:rPr>
              <w:t xml:space="preserve">ntes, como los ODS y el </w:t>
            </w:r>
            <w:r w:rsidR="00DD05DA" w:rsidRPr="006D3772">
              <w:rPr>
                <w:color w:val="000000" w:themeColor="text1"/>
                <w:lang w:val="es-ES"/>
              </w:rPr>
              <w:t>MMB-KM</w:t>
            </w:r>
            <w:r w:rsidRPr="006D3772">
              <w:rPr>
                <w:color w:val="000000" w:themeColor="text1"/>
                <w:lang w:val="es-ES"/>
              </w:rPr>
              <w:t xml:space="preserve">, basándose en evaluaciones relacionadas de </w:t>
            </w:r>
            <w:r w:rsidR="00AE0088" w:rsidRPr="006D3772">
              <w:rPr>
                <w:color w:val="000000" w:themeColor="text1"/>
                <w:lang w:val="es-ES"/>
              </w:rPr>
              <w:t xml:space="preserve">la </w:t>
            </w:r>
            <w:r w:rsidRPr="006D3772">
              <w:rPr>
                <w:color w:val="000000" w:themeColor="text1"/>
                <w:lang w:val="es-ES"/>
              </w:rPr>
              <w:t xml:space="preserve">IPBES (por ejemplo, la </w:t>
            </w:r>
            <w:r w:rsidR="00DC5A79" w:rsidRPr="006D3772">
              <w:rPr>
                <w:color w:val="000000" w:themeColor="text1"/>
                <w:lang w:val="es-ES"/>
              </w:rPr>
              <w:t>E</w:t>
            </w:r>
            <w:r w:rsidRPr="006D3772">
              <w:rPr>
                <w:lang w:val="es-ES"/>
              </w:rPr>
              <w:t xml:space="preserve">valuación </w:t>
            </w:r>
            <w:r w:rsidR="00DC5A79" w:rsidRPr="006D3772">
              <w:rPr>
                <w:lang w:val="es-ES"/>
              </w:rPr>
              <w:t>N</w:t>
            </w:r>
            <w:r w:rsidRPr="006D3772">
              <w:rPr>
                <w:lang w:val="es-ES"/>
              </w:rPr>
              <w:t xml:space="preserve">exus y la </w:t>
            </w:r>
            <w:r w:rsidRPr="006D3772">
              <w:rPr>
                <w:color w:val="000000" w:themeColor="text1"/>
                <w:lang w:val="es-ES"/>
              </w:rPr>
              <w:t>Evaluación del Cambio Transforma</w:t>
            </w:r>
            <w:r w:rsidR="00D45B49" w:rsidRPr="006D3772">
              <w:rPr>
                <w:color w:val="000000" w:themeColor="text1"/>
                <w:lang w:val="es-ES"/>
              </w:rPr>
              <w:t>dor</w:t>
            </w:r>
            <w:r w:rsidRPr="006D3772">
              <w:rPr>
                <w:color w:val="000000" w:themeColor="text1"/>
                <w:lang w:val="es-ES"/>
              </w:rPr>
              <w:t xml:space="preserve">). </w:t>
            </w:r>
          </w:p>
          <w:p w14:paraId="5D1258BE" w14:textId="2F89023E" w:rsidR="001712AB" w:rsidRPr="006D3772" w:rsidRDefault="00D45B49" w:rsidP="00C33A14">
            <w:pPr>
              <w:pBdr>
                <w:top w:val="nil"/>
                <w:left w:val="nil"/>
                <w:bottom w:val="nil"/>
                <w:right w:val="nil"/>
                <w:between w:val="nil"/>
              </w:pBdr>
              <w:spacing w:before="60" w:after="60"/>
              <w:rPr>
                <w:color w:val="000000" w:themeColor="text1"/>
                <w:lang w:val="es-ES"/>
              </w:rPr>
            </w:pPr>
            <w:r w:rsidRPr="006D3772">
              <w:rPr>
                <w:color w:val="000000" w:themeColor="text1"/>
                <w:lang w:val="es-ES"/>
              </w:rPr>
              <w:t xml:space="preserve">Cuando proceda, la tarea se esforzará por integrar las actividades previstas originalmente en la </w:t>
            </w:r>
            <w:r w:rsidR="00D10FC7" w:rsidRPr="006D3772">
              <w:rPr>
                <w:color w:val="000000" w:themeColor="text1"/>
                <w:lang w:val="es-ES"/>
              </w:rPr>
              <w:t xml:space="preserve">Tarea </w:t>
            </w:r>
            <w:r w:rsidRPr="006D3772">
              <w:rPr>
                <w:color w:val="000000" w:themeColor="text1"/>
                <w:lang w:val="es-ES"/>
              </w:rPr>
              <w:t>3.4 en el plan de trabajo 2023-2025, cubriendo una síntesis de soluciones basadas en la naturaleza o enfoques basados en los ecosistemas</w:t>
            </w:r>
            <w:r w:rsidR="00C33A14" w:rsidRPr="006D3772">
              <w:rPr>
                <w:color w:val="000000" w:themeColor="text1"/>
                <w:lang w:val="es-ES"/>
              </w:rPr>
              <w:t xml:space="preserve"> que hayan tenido éxito en la protección, conservación, restauración, uso sostenible y gestión de los </w:t>
            </w:r>
            <w:r w:rsidRPr="006D3772">
              <w:rPr>
                <w:color w:val="000000" w:themeColor="text1"/>
                <w:lang w:val="es-ES"/>
              </w:rPr>
              <w:t xml:space="preserve">ecosistemas de humedales para hacer frente al cambio climático y lograr otros </w:t>
            </w:r>
            <w:r w:rsidR="00C33A14" w:rsidRPr="006D3772">
              <w:rPr>
                <w:color w:val="000000" w:themeColor="text1"/>
                <w:lang w:val="es-ES"/>
              </w:rPr>
              <w:t>co</w:t>
            </w:r>
            <w:r w:rsidRPr="006D3772">
              <w:rPr>
                <w:color w:val="000000" w:themeColor="text1"/>
                <w:lang w:val="es-ES"/>
              </w:rPr>
              <w:t>beneficios. Si es posible, también examinará los diversos valores y puntos de vista de los conocimientos indígenas y tradicionales como parte del impulso hacia un cambio transforma</w:t>
            </w:r>
            <w:r w:rsidR="00AE0088" w:rsidRPr="006D3772">
              <w:rPr>
                <w:color w:val="000000" w:themeColor="text1"/>
                <w:lang w:val="es-ES"/>
              </w:rPr>
              <w:t>dor</w:t>
            </w:r>
            <w:r w:rsidRPr="006D3772">
              <w:rPr>
                <w:color w:val="000000" w:themeColor="text1"/>
                <w:lang w:val="es-ES"/>
              </w:rPr>
              <w:t>.</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E35042" w14:textId="77777777" w:rsidR="00906E80" w:rsidRPr="006D3772" w:rsidRDefault="00F319AD" w:rsidP="002867AE">
            <w:pPr>
              <w:spacing w:before="60" w:after="60"/>
              <w:rPr>
                <w:lang w:val="es-ES"/>
              </w:rPr>
            </w:pPr>
            <w:r w:rsidRPr="006D3772">
              <w:rPr>
                <w:lang w:val="es-ES"/>
              </w:rPr>
              <w:t>2026-2028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F68F52" w14:textId="77777777" w:rsidR="00BA4107" w:rsidRPr="006D3772" w:rsidRDefault="00BA4107" w:rsidP="00BA4107">
            <w:pPr>
              <w:spacing w:before="60" w:after="60"/>
              <w:rPr>
                <w:lang w:val="es-ES"/>
              </w:rPr>
            </w:pPr>
            <w:r w:rsidRPr="006D3772">
              <w:rPr>
                <w:lang w:val="es-ES"/>
              </w:rPr>
              <w:t>Informe Técnico y/o Nota Informativa.</w:t>
            </w:r>
          </w:p>
          <w:p w14:paraId="01404586" w14:textId="77777777" w:rsidR="00906E80" w:rsidRPr="006D3772" w:rsidRDefault="00906E80" w:rsidP="002867AE">
            <w:pPr>
              <w:spacing w:before="60" w:after="60"/>
              <w:rPr>
                <w:lang w:val="es-ES"/>
              </w:rPr>
            </w:pPr>
          </w:p>
          <w:p w14:paraId="5360A13A" w14:textId="77777777" w:rsidR="00661B84" w:rsidRPr="006D3772" w:rsidRDefault="00661B84" w:rsidP="002867AE">
            <w:pPr>
              <w:spacing w:before="60" w:after="60"/>
              <w:rPr>
                <w:lang w:val="es-ES"/>
              </w:rPr>
            </w:pPr>
          </w:p>
          <w:p w14:paraId="70125AB4" w14:textId="3B50846E" w:rsidR="00745D87" w:rsidRPr="006D3772" w:rsidRDefault="00745D87" w:rsidP="00745D87">
            <w:pPr>
              <w:spacing w:before="60" w:after="60"/>
              <w:rPr>
                <w:color w:val="000000" w:themeColor="text1"/>
                <w:lang w:val="es-ES"/>
              </w:rPr>
            </w:pPr>
            <w:r w:rsidRPr="006D3772">
              <w:rPr>
                <w:color w:val="000000" w:themeColor="text1"/>
                <w:lang w:val="es-ES"/>
              </w:rPr>
              <w:t xml:space="preserve">Tema potencial para futuras </w:t>
            </w:r>
            <w:r w:rsidR="0011473F">
              <w:rPr>
                <w:color w:val="000000" w:themeColor="text1"/>
                <w:lang w:val="es-ES"/>
              </w:rPr>
              <w:t xml:space="preserve">ediciones de la </w:t>
            </w:r>
            <w:r w:rsidRPr="006D3772">
              <w:rPr>
                <w:color w:val="000000" w:themeColor="text1"/>
                <w:lang w:val="es-ES"/>
              </w:rPr>
              <w:t>Perspectiva</w:t>
            </w:r>
            <w:r w:rsidR="0011473F">
              <w:rPr>
                <w:color w:val="000000" w:themeColor="text1"/>
                <w:lang w:val="es-ES"/>
              </w:rPr>
              <w:t xml:space="preserve"> </w:t>
            </w:r>
            <w:r w:rsidRPr="006D3772">
              <w:rPr>
                <w:color w:val="000000" w:themeColor="text1"/>
                <w:lang w:val="es-ES"/>
              </w:rPr>
              <w:t>Mundia</w:t>
            </w:r>
            <w:r w:rsidR="0011473F">
              <w:rPr>
                <w:color w:val="000000" w:themeColor="text1"/>
                <w:lang w:val="es-ES"/>
              </w:rPr>
              <w:t xml:space="preserve">l sobre </w:t>
            </w:r>
            <w:r w:rsidRPr="006D3772">
              <w:rPr>
                <w:color w:val="000000" w:themeColor="text1"/>
                <w:lang w:val="es-ES"/>
              </w:rPr>
              <w:t>los Humedales.</w:t>
            </w:r>
          </w:p>
          <w:p w14:paraId="3F5FEAB1" w14:textId="77777777" w:rsidR="00E731FC" w:rsidRPr="006D3772" w:rsidRDefault="00E731FC" w:rsidP="002867AE">
            <w:pPr>
              <w:spacing w:before="60" w:after="60"/>
              <w:rPr>
                <w:color w:val="000000" w:themeColor="text1"/>
                <w:lang w:val="es-ES"/>
              </w:rPr>
            </w:pPr>
          </w:p>
          <w:p w14:paraId="0269836D" w14:textId="3C9C899F" w:rsidR="00745D87" w:rsidRPr="006D3772" w:rsidRDefault="00745D87" w:rsidP="00745D87">
            <w:pPr>
              <w:spacing w:before="60" w:after="60"/>
              <w:rPr>
                <w:color w:val="000000" w:themeColor="text1"/>
                <w:lang w:val="es-ES"/>
              </w:rPr>
            </w:pPr>
            <w:r w:rsidRPr="006D3772">
              <w:rPr>
                <w:color w:val="000000" w:themeColor="text1"/>
                <w:lang w:val="es-ES"/>
              </w:rPr>
              <w:t>Base de datos con casos de soluciones basadas en la naturaleza.</w:t>
            </w:r>
          </w:p>
          <w:p w14:paraId="5DBB6C5E" w14:textId="47EDA1EB" w:rsidR="00E731FC" w:rsidRPr="006D3772" w:rsidRDefault="00E731FC" w:rsidP="002867AE">
            <w:pPr>
              <w:spacing w:before="60" w:after="60"/>
              <w:rPr>
                <w:lang w:val="es-ES"/>
              </w:rPr>
            </w:pP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392F0E" w14:textId="74495D1C" w:rsidR="00906E80" w:rsidRPr="006D3772" w:rsidRDefault="00F319AD" w:rsidP="002867AE">
            <w:pPr>
              <w:spacing w:before="60" w:after="60"/>
              <w:rPr>
                <w:lang w:val="es-ES"/>
              </w:rPr>
            </w:pPr>
            <w:r w:rsidRPr="006D3772">
              <w:rPr>
                <w:lang w:val="es-ES"/>
              </w:rPr>
              <w:t>Doc. SC63.19 (</w:t>
            </w:r>
            <w:r w:rsidR="00115D03" w:rsidRPr="006D3772">
              <w:rPr>
                <w:lang w:val="es-ES"/>
              </w:rPr>
              <w:t>párr.</w:t>
            </w:r>
            <w:r w:rsidR="00745D87" w:rsidRPr="006D3772">
              <w:rPr>
                <w:lang w:val="es-ES"/>
              </w:rPr>
              <w:t xml:space="preserve"> </w:t>
            </w:r>
            <w:r w:rsidRPr="006D3772">
              <w:rPr>
                <w:lang w:val="es-ES"/>
              </w:rPr>
              <w:t xml:space="preserve">19-21 </w:t>
            </w:r>
            <w:r w:rsidR="00745D87" w:rsidRPr="006D3772">
              <w:rPr>
                <w:lang w:val="es-ES"/>
              </w:rPr>
              <w:t>y</w:t>
            </w:r>
            <w:r w:rsidRPr="006D3772">
              <w:rPr>
                <w:lang w:val="es-ES"/>
              </w:rPr>
              <w:t xml:space="preserve"> </w:t>
            </w:r>
            <w:r w:rsidR="00745D87" w:rsidRPr="006D3772">
              <w:rPr>
                <w:lang w:val="es-ES"/>
              </w:rPr>
              <w:t>Anexo</w:t>
            </w:r>
            <w:r w:rsidRPr="006D3772">
              <w:rPr>
                <w:lang w:val="es-ES"/>
              </w:rPr>
              <w:t xml:space="preserve"> 2).</w:t>
            </w:r>
          </w:p>
          <w:p w14:paraId="7ECF3547" w14:textId="77777777" w:rsidR="00906E80" w:rsidRPr="006D3772" w:rsidRDefault="00906E80" w:rsidP="002867AE">
            <w:pPr>
              <w:spacing w:before="60" w:after="60"/>
              <w:rPr>
                <w:lang w:val="es-ES"/>
              </w:rPr>
            </w:pPr>
          </w:p>
          <w:p w14:paraId="2FF20689" w14:textId="5F064A30" w:rsidR="00745D87" w:rsidRPr="006D3772" w:rsidRDefault="00745D87" w:rsidP="002867AE">
            <w:pPr>
              <w:spacing w:before="60" w:after="60"/>
              <w:rPr>
                <w:lang w:val="es-ES"/>
              </w:rPr>
            </w:pPr>
            <w:r w:rsidRPr="006D3772">
              <w:rPr>
                <w:lang w:val="es-ES"/>
              </w:rPr>
              <w:t>Visión del 5° Plan Estratégico (pendiente de confirmación)</w:t>
            </w:r>
          </w:p>
          <w:p w14:paraId="6E3BD51C" w14:textId="72F17F92" w:rsidR="00906E80" w:rsidRPr="006D3772" w:rsidRDefault="00906E80" w:rsidP="002867AE">
            <w:pPr>
              <w:spacing w:before="60" w:after="60"/>
              <w:rPr>
                <w:lang w:val="es-ES"/>
              </w:rPr>
            </w:pPr>
          </w:p>
        </w:tc>
      </w:tr>
      <w:tr w:rsidR="007B31B2" w:rsidRPr="006D3772" w14:paraId="73AD4165" w14:textId="77777777" w:rsidTr="00EF7423">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2CCB77" w14:textId="181E4BC8" w:rsidR="00D45B49" w:rsidRPr="006D3772" w:rsidRDefault="002D4F26" w:rsidP="00D45B49">
            <w:pPr>
              <w:spacing w:before="60" w:after="60"/>
              <w:rPr>
                <w:color w:val="000000" w:themeColor="text1"/>
                <w:lang w:val="es-ES"/>
              </w:rPr>
            </w:pPr>
            <w:r w:rsidRPr="006D3772">
              <w:rPr>
                <w:b/>
                <w:bCs w:val="0"/>
                <w:color w:val="000000" w:themeColor="text1"/>
                <w:lang w:val="es-ES"/>
              </w:rPr>
              <w:t>Tarea</w:t>
            </w:r>
            <w:r w:rsidR="00F319AD" w:rsidRPr="006D3772">
              <w:rPr>
                <w:b/>
                <w:bCs w:val="0"/>
                <w:color w:val="000000" w:themeColor="text1"/>
                <w:lang w:val="es-ES"/>
              </w:rPr>
              <w:t xml:space="preserve"> 4.2.</w:t>
            </w:r>
            <w:r w:rsidR="00F319AD" w:rsidRPr="006D3772">
              <w:rPr>
                <w:color w:val="000000" w:themeColor="text1"/>
                <w:lang w:val="es-ES"/>
              </w:rPr>
              <w:t xml:space="preserve"> </w:t>
            </w:r>
            <w:r w:rsidR="00D45B49" w:rsidRPr="006D3772">
              <w:rPr>
                <w:color w:val="000000" w:themeColor="text1"/>
                <w:lang w:val="es-ES"/>
              </w:rPr>
              <w:t xml:space="preserve">Potenciar la restauración de los humedales para favorecer la resiliencia climática y la recuperación de </w:t>
            </w:r>
            <w:r w:rsidR="00D45B49" w:rsidRPr="006D3772">
              <w:rPr>
                <w:color w:val="000000" w:themeColor="text1"/>
                <w:lang w:val="es-ES"/>
              </w:rPr>
              <w:lastRenderedPageBreak/>
              <w:t xml:space="preserve">la biodiversidad: </w:t>
            </w:r>
            <w:r w:rsidR="00C33A14" w:rsidRPr="006D3772">
              <w:rPr>
                <w:color w:val="000000" w:themeColor="text1"/>
                <w:lang w:val="es-ES"/>
              </w:rPr>
              <w:t xml:space="preserve">basarse en </w:t>
            </w:r>
            <w:r w:rsidR="00D45B49" w:rsidRPr="006D3772">
              <w:rPr>
                <w:color w:val="000000" w:themeColor="text1"/>
                <w:lang w:val="es-ES"/>
              </w:rPr>
              <w:t>los resultados del GECT y los marcos mundiales.</w:t>
            </w:r>
          </w:p>
          <w:p w14:paraId="1DDFCB37" w14:textId="42AC72D4" w:rsidR="003B60FA" w:rsidRPr="006D3772" w:rsidRDefault="003B60FA" w:rsidP="002867AE">
            <w:pPr>
              <w:spacing w:before="60" w:after="60"/>
              <w:rPr>
                <w:b/>
                <w:bCs w:val="0"/>
                <w:color w:val="000000" w:themeColor="text1"/>
                <w:lang w:val="es-ES"/>
              </w:rPr>
            </w:pP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858804" w14:textId="28CF1126" w:rsidR="00D45B49" w:rsidRPr="006D3772" w:rsidRDefault="00D45B49" w:rsidP="00D45B49">
            <w:pPr>
              <w:spacing w:before="60" w:after="60"/>
              <w:rPr>
                <w:color w:val="000000" w:themeColor="text1"/>
                <w:lang w:val="es-ES"/>
              </w:rPr>
            </w:pPr>
            <w:r w:rsidRPr="006D3772">
              <w:rPr>
                <w:color w:val="000000" w:themeColor="text1"/>
                <w:lang w:val="es-ES"/>
              </w:rPr>
              <w:lastRenderedPageBreak/>
              <w:t xml:space="preserve">La </w:t>
            </w:r>
            <w:r w:rsidR="00D10FC7" w:rsidRPr="006D3772">
              <w:rPr>
                <w:color w:val="000000" w:themeColor="text1"/>
                <w:lang w:val="es-ES"/>
              </w:rPr>
              <w:t xml:space="preserve">Tarea </w:t>
            </w:r>
            <w:r w:rsidRPr="006D3772">
              <w:rPr>
                <w:color w:val="000000" w:themeColor="text1"/>
                <w:lang w:val="es-ES"/>
              </w:rPr>
              <w:t xml:space="preserve">4.2 </w:t>
            </w:r>
            <w:r w:rsidR="00C33A14" w:rsidRPr="006D3772">
              <w:rPr>
                <w:color w:val="000000" w:themeColor="text1"/>
                <w:lang w:val="es-ES"/>
              </w:rPr>
              <w:t>resumirá</w:t>
            </w:r>
            <w:r w:rsidRPr="006D3772">
              <w:rPr>
                <w:color w:val="000000" w:themeColor="text1"/>
                <w:lang w:val="es-ES"/>
              </w:rPr>
              <w:t xml:space="preserve"> y difundirá los conocimientos y </w:t>
            </w:r>
            <w:r w:rsidR="00AE0088" w:rsidRPr="006D3772">
              <w:rPr>
                <w:color w:val="000000" w:themeColor="text1"/>
                <w:lang w:val="es-ES"/>
              </w:rPr>
              <w:t xml:space="preserve">las </w:t>
            </w:r>
            <w:r w:rsidRPr="006D3772">
              <w:rPr>
                <w:color w:val="000000" w:themeColor="text1"/>
                <w:lang w:val="es-ES"/>
              </w:rPr>
              <w:t xml:space="preserve">orientaciones relacionados con la restauración de los </w:t>
            </w:r>
            <w:r w:rsidRPr="006D3772">
              <w:rPr>
                <w:color w:val="000000" w:themeColor="text1"/>
                <w:lang w:val="es-ES"/>
              </w:rPr>
              <w:lastRenderedPageBreak/>
              <w:t>humedales, reforzando la resiliencia climática y favoreciendo la recuperación de la biodiversidad.</w:t>
            </w:r>
          </w:p>
          <w:p w14:paraId="341D3BC0" w14:textId="4BF78276" w:rsidR="00771678" w:rsidRPr="006D3772" w:rsidRDefault="00ED7F80" w:rsidP="006E16B1">
            <w:pPr>
              <w:spacing w:before="60" w:after="60"/>
              <w:rPr>
                <w:color w:val="000000" w:themeColor="text1"/>
                <w:lang w:val="es-ES"/>
              </w:rPr>
            </w:pPr>
            <w:r w:rsidRPr="006D3772">
              <w:rPr>
                <w:color w:val="000000" w:themeColor="text1"/>
                <w:lang w:val="es-ES"/>
              </w:rPr>
              <w:t xml:space="preserve">La Tarea 4.2 </w:t>
            </w:r>
            <w:r w:rsidR="00C33A14" w:rsidRPr="006D3772">
              <w:rPr>
                <w:color w:val="000000" w:themeColor="text1"/>
                <w:lang w:val="es-ES"/>
              </w:rPr>
              <w:t>se basará en</w:t>
            </w:r>
            <w:r w:rsidRPr="006D3772">
              <w:rPr>
                <w:color w:val="000000" w:themeColor="text1"/>
                <w:lang w:val="es-ES"/>
              </w:rPr>
              <w:t xml:space="preserve"> la variedad de materiales relacionados con la restauración ya producidos por el GECT, como la Nota Informativa 10 sobre restauración de humedales para aumentar la resiliencia al cambio climático, la Nota Informativa 11 sobre restauración práctica de turberas y la Perspectiva Mundial sobre los Humedales: Edición especial 2025. Esta labor también garantizará la integración y la comunicación de los avances internacionales en materia de restauración, como las próximas orientaciones relacionadas con la Meta 2 del </w:t>
            </w:r>
            <w:r w:rsidR="00DD05DA" w:rsidRPr="006D3772">
              <w:rPr>
                <w:color w:val="000000" w:themeColor="text1"/>
                <w:lang w:val="es-ES"/>
              </w:rPr>
              <w:t>MMB-KM</w:t>
            </w:r>
            <w:r w:rsidRPr="006D3772">
              <w:rPr>
                <w:color w:val="000000" w:themeColor="text1"/>
                <w:lang w:val="es-ES"/>
              </w:rPr>
              <w:t xml:space="preserve"> y el Decenio de las Naciones Unidas sobre la Restauración de los Ecosistemas.</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89F87C" w14:textId="77777777" w:rsidR="003B60FA" w:rsidRPr="006D3772" w:rsidRDefault="00F319AD" w:rsidP="002867AE">
            <w:pPr>
              <w:spacing w:before="60" w:after="60"/>
              <w:rPr>
                <w:lang w:val="es-ES"/>
              </w:rPr>
            </w:pPr>
            <w:r w:rsidRPr="006D3772">
              <w:rPr>
                <w:lang w:val="es-ES"/>
              </w:rPr>
              <w:lastRenderedPageBreak/>
              <w:t>2026-2028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67810E" w14:textId="245C89F6" w:rsidR="00ED7F80" w:rsidRPr="006D3772" w:rsidRDefault="00ED7F80" w:rsidP="00ED7F80">
            <w:pPr>
              <w:spacing w:before="60" w:after="60"/>
              <w:rPr>
                <w:lang w:val="es-ES"/>
              </w:rPr>
            </w:pPr>
            <w:r w:rsidRPr="006D3772">
              <w:rPr>
                <w:lang w:val="es-ES"/>
              </w:rPr>
              <w:t xml:space="preserve">Elaborar materiales de comunicación, </w:t>
            </w:r>
            <w:r w:rsidR="00C33A14" w:rsidRPr="006D3772">
              <w:rPr>
                <w:lang w:val="es-ES"/>
              </w:rPr>
              <w:t>por ejemplo,</w:t>
            </w:r>
            <w:r w:rsidRPr="006D3772">
              <w:rPr>
                <w:lang w:val="es-ES"/>
              </w:rPr>
              <w:t xml:space="preserve"> Notas </w:t>
            </w:r>
            <w:r w:rsidRPr="006D3772">
              <w:rPr>
                <w:lang w:val="es-ES"/>
              </w:rPr>
              <w:lastRenderedPageBreak/>
              <w:t>sobre Políticas y/o Notas Informativas si fuera necesario.</w:t>
            </w:r>
          </w:p>
          <w:p w14:paraId="61CA10BB" w14:textId="24F1AD6E" w:rsidR="00B5370C" w:rsidRPr="006D3772" w:rsidRDefault="00C33A14" w:rsidP="00AE0088">
            <w:pPr>
              <w:spacing w:before="60" w:after="60"/>
              <w:rPr>
                <w:lang w:val="es-ES"/>
              </w:rPr>
            </w:pPr>
            <w:r w:rsidRPr="006D3772">
              <w:rPr>
                <w:lang w:val="es-ES"/>
              </w:rPr>
              <w:t>Realizar</w:t>
            </w:r>
            <w:r w:rsidR="00092D97" w:rsidRPr="006D3772">
              <w:rPr>
                <w:lang w:val="es-ES"/>
              </w:rPr>
              <w:t xml:space="preserve"> actividades de c</w:t>
            </w:r>
            <w:r w:rsidR="005658AE" w:rsidRPr="006D3772">
              <w:rPr>
                <w:lang w:val="es-ES"/>
              </w:rPr>
              <w:t>rea</w:t>
            </w:r>
            <w:r w:rsidR="00092D97" w:rsidRPr="006D3772">
              <w:rPr>
                <w:lang w:val="es-ES"/>
              </w:rPr>
              <w:t xml:space="preserve">ción </w:t>
            </w:r>
            <w:r w:rsidR="005658AE" w:rsidRPr="006D3772">
              <w:rPr>
                <w:lang w:val="es-ES"/>
              </w:rPr>
              <w:t xml:space="preserve">de capacidad </w:t>
            </w:r>
            <w:r w:rsidR="00092D97" w:rsidRPr="006D3772">
              <w:rPr>
                <w:lang w:val="es-ES"/>
              </w:rPr>
              <w:t>e intercambio de conocimientos.</w:t>
            </w: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F0CB20" w14:textId="614D3C1C" w:rsidR="007502A1" w:rsidRPr="006D3772" w:rsidRDefault="001925E7" w:rsidP="002867AE">
            <w:pPr>
              <w:spacing w:before="60" w:after="60"/>
              <w:rPr>
                <w:lang w:val="es-ES"/>
              </w:rPr>
            </w:pPr>
            <w:r w:rsidRPr="006D3772">
              <w:rPr>
                <w:lang w:val="es-ES"/>
              </w:rPr>
              <w:lastRenderedPageBreak/>
              <w:t>Actividades pertinentes del GECT</w:t>
            </w:r>
            <w:r w:rsidR="00F319AD" w:rsidRPr="006D3772">
              <w:rPr>
                <w:lang w:val="es-ES"/>
              </w:rPr>
              <w:t xml:space="preserve">: </w:t>
            </w:r>
            <w:r w:rsidRPr="006D3772">
              <w:rPr>
                <w:lang w:val="es-ES"/>
              </w:rPr>
              <w:t>por ejemplo,</w:t>
            </w:r>
            <w:r w:rsidR="00943BA5" w:rsidRPr="006D3772">
              <w:rPr>
                <w:lang w:val="es-ES"/>
              </w:rPr>
              <w:t xml:space="preserve"> </w:t>
            </w:r>
            <w:r w:rsidR="00115D03" w:rsidRPr="006D3772">
              <w:rPr>
                <w:lang w:val="es-ES"/>
              </w:rPr>
              <w:lastRenderedPageBreak/>
              <w:t xml:space="preserve">Resolución </w:t>
            </w:r>
            <w:r w:rsidR="00F319AD" w:rsidRPr="006D3772">
              <w:rPr>
                <w:lang w:val="es-ES"/>
              </w:rPr>
              <w:t xml:space="preserve">XIV.6, </w:t>
            </w:r>
            <w:r w:rsidR="00115D03" w:rsidRPr="006D3772">
              <w:rPr>
                <w:lang w:val="es-ES"/>
              </w:rPr>
              <w:t>párr.</w:t>
            </w:r>
            <w:r w:rsidR="006E16B1">
              <w:rPr>
                <w:lang w:val="es-ES"/>
              </w:rPr>
              <w:t xml:space="preserve"> </w:t>
            </w:r>
            <w:r w:rsidR="00F319AD" w:rsidRPr="006D3772">
              <w:rPr>
                <w:lang w:val="es-ES"/>
              </w:rPr>
              <w:t>45</w:t>
            </w:r>
            <w:r w:rsidR="00943BA5" w:rsidRPr="006D3772">
              <w:rPr>
                <w:lang w:val="es-ES"/>
              </w:rPr>
              <w:t xml:space="preserve">; </w:t>
            </w:r>
            <w:r w:rsidR="00115D03" w:rsidRPr="006D3772">
              <w:rPr>
                <w:lang w:val="es-ES"/>
              </w:rPr>
              <w:t xml:space="preserve">Resolución </w:t>
            </w:r>
            <w:r w:rsidR="00C802A4" w:rsidRPr="006D3772">
              <w:rPr>
                <w:lang w:val="es-ES"/>
              </w:rPr>
              <w:t xml:space="preserve">XIV.14, </w:t>
            </w:r>
            <w:r w:rsidR="00745D87" w:rsidRPr="006D3772">
              <w:rPr>
                <w:lang w:val="es-ES"/>
              </w:rPr>
              <w:t>Anexo</w:t>
            </w:r>
            <w:r w:rsidR="00C802A4" w:rsidRPr="006D3772">
              <w:rPr>
                <w:lang w:val="es-ES"/>
              </w:rPr>
              <w:t xml:space="preserve"> 2</w:t>
            </w:r>
            <w:r w:rsidR="00943BA5" w:rsidRPr="006D3772">
              <w:rPr>
                <w:lang w:val="es-ES"/>
              </w:rPr>
              <w:t xml:space="preserve">; </w:t>
            </w:r>
            <w:r w:rsidR="00115D03" w:rsidRPr="006D3772">
              <w:rPr>
                <w:lang w:val="es-ES"/>
              </w:rPr>
              <w:t xml:space="preserve">Resolución </w:t>
            </w:r>
            <w:r w:rsidR="00B46F2F" w:rsidRPr="006D3772">
              <w:rPr>
                <w:lang w:val="es-ES"/>
              </w:rPr>
              <w:t xml:space="preserve">XIV.16, </w:t>
            </w:r>
            <w:r w:rsidR="00115D03" w:rsidRPr="006D3772">
              <w:rPr>
                <w:lang w:val="es-ES"/>
              </w:rPr>
              <w:t>párr.</w:t>
            </w:r>
            <w:r w:rsidR="006E16B1">
              <w:rPr>
                <w:lang w:val="es-ES"/>
              </w:rPr>
              <w:t xml:space="preserve"> </w:t>
            </w:r>
            <w:r w:rsidR="00B46F2F" w:rsidRPr="006D3772">
              <w:rPr>
                <w:lang w:val="es-ES"/>
              </w:rPr>
              <w:t>21</w:t>
            </w:r>
            <w:r w:rsidR="00943BA5" w:rsidRPr="006D3772">
              <w:rPr>
                <w:lang w:val="es-ES"/>
              </w:rPr>
              <w:t xml:space="preserve">; </w:t>
            </w:r>
            <w:r w:rsidR="00115D03" w:rsidRPr="006D3772">
              <w:rPr>
                <w:lang w:val="es-ES"/>
              </w:rPr>
              <w:t xml:space="preserve">Resolución </w:t>
            </w:r>
            <w:r w:rsidR="00B46F2F" w:rsidRPr="006D3772">
              <w:rPr>
                <w:lang w:val="es-ES"/>
              </w:rPr>
              <w:t xml:space="preserve">XIV.17, </w:t>
            </w:r>
            <w:r w:rsidR="00115D03" w:rsidRPr="006D3772">
              <w:rPr>
                <w:lang w:val="es-ES"/>
              </w:rPr>
              <w:t>párr.</w:t>
            </w:r>
            <w:r w:rsidR="00745D87" w:rsidRPr="006D3772">
              <w:rPr>
                <w:lang w:val="es-ES"/>
              </w:rPr>
              <w:t xml:space="preserve"> </w:t>
            </w:r>
            <w:r w:rsidR="00B46F2F" w:rsidRPr="006D3772">
              <w:rPr>
                <w:lang w:val="es-ES"/>
              </w:rPr>
              <w:t>14</w:t>
            </w:r>
            <w:r w:rsidR="00943BA5" w:rsidRPr="006D3772">
              <w:rPr>
                <w:lang w:val="es-ES"/>
              </w:rPr>
              <w:t>.</w:t>
            </w:r>
          </w:p>
        </w:tc>
      </w:tr>
      <w:tr w:rsidR="007B31B2" w:rsidRPr="00841C2D" w14:paraId="5B33B4A0" w14:textId="77777777" w:rsidTr="00EF7423">
        <w:trPr>
          <w:cantSplit/>
          <w:trHeight w:val="300"/>
        </w:trPr>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8B2B76D" w14:textId="5EDC21D3" w:rsidR="00906E80" w:rsidRPr="006D3772" w:rsidRDefault="00FD575F" w:rsidP="00F8458C">
            <w:pPr>
              <w:keepNext/>
              <w:spacing w:before="60" w:after="60"/>
              <w:rPr>
                <w:b/>
                <w:color w:val="000000"/>
                <w:lang w:val="es-ES"/>
              </w:rPr>
            </w:pPr>
            <w:r w:rsidRPr="006D3772">
              <w:rPr>
                <w:b/>
                <w:color w:val="000000" w:themeColor="text1"/>
                <w:lang w:val="es-ES"/>
              </w:rPr>
              <w:lastRenderedPageBreak/>
              <w:t>ATT 5: Cuestiones transversales, Perspectiva Mundial sobre los Humedales (PMH), funciones de apoyo y sinergias con otros AMMA.</w:t>
            </w:r>
          </w:p>
        </w:tc>
      </w:tr>
      <w:tr w:rsidR="007B31B2" w:rsidRPr="006D3772" w14:paraId="3D60002D" w14:textId="77777777" w:rsidTr="00EF7423">
        <w:trPr>
          <w:cantSplit/>
          <w:trHeight w:val="30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3A7E8C" w14:textId="77777777" w:rsidR="00ED7F80" w:rsidRPr="006D3772" w:rsidRDefault="002D4F26" w:rsidP="002867AE">
            <w:pPr>
              <w:spacing w:before="60" w:after="60"/>
              <w:rPr>
                <w:color w:val="000000" w:themeColor="text1"/>
                <w:lang w:val="es-ES"/>
              </w:rPr>
            </w:pPr>
            <w:r w:rsidRPr="006D3772">
              <w:rPr>
                <w:b/>
                <w:bCs w:val="0"/>
                <w:color w:val="000000" w:themeColor="text1"/>
                <w:lang w:val="es-ES"/>
              </w:rPr>
              <w:t>Tarea</w:t>
            </w:r>
            <w:r w:rsidR="00F319AD" w:rsidRPr="006D3772">
              <w:rPr>
                <w:b/>
                <w:bCs w:val="0"/>
                <w:color w:val="000000" w:themeColor="text1"/>
                <w:lang w:val="es-ES"/>
              </w:rPr>
              <w:t xml:space="preserve"> 5.1.</w:t>
            </w:r>
            <w:r w:rsidR="00F319AD" w:rsidRPr="006D3772">
              <w:rPr>
                <w:color w:val="000000" w:themeColor="text1"/>
                <w:lang w:val="es-ES"/>
              </w:rPr>
              <w:t xml:space="preserve"> </w:t>
            </w:r>
            <w:r w:rsidR="00ED7F80" w:rsidRPr="006D3772">
              <w:rPr>
                <w:color w:val="000000" w:themeColor="text1"/>
                <w:lang w:val="es-ES"/>
              </w:rPr>
              <w:t>Perspectiva Mundial sobre los Humedales</w:t>
            </w:r>
          </w:p>
          <w:p w14:paraId="69A54AC5" w14:textId="511BCE98" w:rsidR="00906E80" w:rsidRPr="006D3772" w:rsidRDefault="00906E80" w:rsidP="002867AE">
            <w:pPr>
              <w:spacing w:before="60" w:after="60"/>
              <w:rPr>
                <w:color w:val="000000"/>
                <w:lang w:val="es-ES"/>
              </w:rPr>
            </w:pPr>
          </w:p>
        </w:tc>
        <w:tc>
          <w:tcPr>
            <w:tcW w:w="56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31AB5C" w14:textId="0C06C5C6" w:rsidR="00AE0088" w:rsidRPr="006D3772" w:rsidRDefault="00ED7F80" w:rsidP="00EC191F">
            <w:pPr>
              <w:spacing w:before="60" w:after="60"/>
              <w:rPr>
                <w:color w:val="000000" w:themeColor="text1"/>
                <w:lang w:val="es-ES"/>
              </w:rPr>
            </w:pPr>
            <w:r w:rsidRPr="006D3772">
              <w:rPr>
                <w:color w:val="000000" w:themeColor="text1"/>
                <w:lang w:val="es-ES"/>
              </w:rPr>
              <w:t xml:space="preserve">La Tarea 5.1. servirá como publicación </w:t>
            </w:r>
            <w:r w:rsidR="00C33A14" w:rsidRPr="006D3772">
              <w:rPr>
                <w:color w:val="000000" w:themeColor="text1"/>
                <w:lang w:val="es-ES"/>
              </w:rPr>
              <w:t>emblemática</w:t>
            </w:r>
            <w:r w:rsidRPr="006D3772">
              <w:rPr>
                <w:color w:val="000000" w:themeColor="text1"/>
                <w:lang w:val="es-ES"/>
              </w:rPr>
              <w:t xml:space="preserve"> de la </w:t>
            </w:r>
            <w:r w:rsidRPr="006D3772">
              <w:rPr>
                <w:lang w:val="es-ES"/>
              </w:rPr>
              <w:t xml:space="preserve">Convención, proporcionando evaluaciones exhaustivas y basadas en </w:t>
            </w:r>
            <w:r w:rsidR="006F3DD5" w:rsidRPr="006D3772">
              <w:rPr>
                <w:lang w:val="es-ES"/>
              </w:rPr>
              <w:t>datos sólidos sobre el</w:t>
            </w:r>
            <w:r w:rsidRPr="006D3772">
              <w:rPr>
                <w:lang w:val="es-ES"/>
              </w:rPr>
              <w:t xml:space="preserve"> estado de los humedales a </w:t>
            </w:r>
            <w:r w:rsidR="006F3DD5" w:rsidRPr="006D3772">
              <w:rPr>
                <w:lang w:val="es-ES"/>
              </w:rPr>
              <w:t>escala</w:t>
            </w:r>
            <w:r w:rsidRPr="006D3772">
              <w:rPr>
                <w:lang w:val="es-ES"/>
              </w:rPr>
              <w:t xml:space="preserve"> mundial, haciendo </w:t>
            </w:r>
            <w:r w:rsidRPr="006D3772">
              <w:rPr>
                <w:color w:val="000000" w:themeColor="text1"/>
                <w:lang w:val="es-ES"/>
              </w:rPr>
              <w:t xml:space="preserve">un seguimiento de los avances en relación con el Plan Estratégico y ofreciendo recomendaciones específicas para los responsables </w:t>
            </w:r>
            <w:r w:rsidR="00EC191F" w:rsidRPr="006D3772">
              <w:rPr>
                <w:color w:val="000000" w:themeColor="text1"/>
                <w:lang w:val="es-ES"/>
              </w:rPr>
              <w:t>de políticas</w:t>
            </w:r>
            <w:r w:rsidRPr="006D3772">
              <w:rPr>
                <w:color w:val="000000" w:themeColor="text1"/>
                <w:lang w:val="es-ES"/>
              </w:rPr>
              <w:t xml:space="preserve">. El </w:t>
            </w:r>
            <w:r w:rsidRPr="006D3772">
              <w:rPr>
                <w:lang w:val="es-ES"/>
              </w:rPr>
              <w:t xml:space="preserve">proceso de evaluación seguirá un </w:t>
            </w:r>
            <w:r w:rsidR="005F7B27" w:rsidRPr="006D3772">
              <w:rPr>
                <w:lang w:val="es-ES"/>
              </w:rPr>
              <w:t>planteamiento</w:t>
            </w:r>
            <w:r w:rsidRPr="006D3772">
              <w:rPr>
                <w:lang w:val="es-ES"/>
              </w:rPr>
              <w:t xml:space="preserve"> estructurado por </w:t>
            </w:r>
            <w:r w:rsidR="00DD05DA" w:rsidRPr="006D3772">
              <w:rPr>
                <w:lang w:val="es-ES"/>
              </w:rPr>
              <w:t>etapas</w:t>
            </w:r>
            <w:r w:rsidRPr="006D3772">
              <w:rPr>
                <w:lang w:val="es-ES"/>
              </w:rPr>
              <w:t xml:space="preserve">, que abarcará la determinación </w:t>
            </w:r>
            <w:r w:rsidRPr="006D3772">
              <w:rPr>
                <w:color w:val="000000" w:themeColor="text1"/>
                <w:lang w:val="es-ES"/>
              </w:rPr>
              <w:t>del alcance, la recopilación de datos, la revisión por expertos y una amplia labor de comunicación.</w:t>
            </w:r>
          </w:p>
        </w:tc>
        <w:tc>
          <w:tcPr>
            <w:tcW w:w="1425" w:type="dxa"/>
            <w:gridSpan w:val="2"/>
            <w:tcBorders>
              <w:left w:val="single" w:sz="8" w:space="0" w:color="000000" w:themeColor="text1"/>
              <w:bottom w:val="single" w:sz="4" w:space="0" w:color="auto"/>
              <w:right w:val="single" w:sz="8" w:space="0" w:color="000000" w:themeColor="text1"/>
            </w:tcBorders>
          </w:tcPr>
          <w:p w14:paraId="4DAA1691" w14:textId="6B07D6F6" w:rsidR="00ED7F80" w:rsidRPr="006D3772" w:rsidRDefault="00ED7F80" w:rsidP="00ED7F80">
            <w:pPr>
              <w:spacing w:before="60" w:after="60"/>
              <w:rPr>
                <w:lang w:val="es-ES"/>
              </w:rPr>
            </w:pPr>
            <w:r w:rsidRPr="006D3772">
              <w:rPr>
                <w:lang w:val="es-ES"/>
              </w:rPr>
              <w:t xml:space="preserve">Intertrienal (sujeto a la </w:t>
            </w:r>
            <w:r w:rsidR="00EC191F" w:rsidRPr="006D3772">
              <w:rPr>
                <w:lang w:val="es-ES"/>
              </w:rPr>
              <w:t>disponibili</w:t>
            </w:r>
            <w:r w:rsidR="00DD05DA" w:rsidRPr="006D3772">
              <w:rPr>
                <w:lang w:val="es-ES"/>
              </w:rPr>
              <w:t>-</w:t>
            </w:r>
            <w:r w:rsidR="00EC191F" w:rsidRPr="006D3772">
              <w:rPr>
                <w:lang w:val="es-ES"/>
              </w:rPr>
              <w:t>dad</w:t>
            </w:r>
            <w:r w:rsidRPr="006D3772">
              <w:rPr>
                <w:lang w:val="es-ES"/>
              </w:rPr>
              <w:t xml:space="preserve"> de recursos humanos y financieros).</w:t>
            </w:r>
          </w:p>
          <w:p w14:paraId="6A87EE51" w14:textId="5DE71E0F" w:rsidR="00906E80" w:rsidRPr="006D3772" w:rsidRDefault="00906E80" w:rsidP="002867AE">
            <w:pPr>
              <w:spacing w:before="60" w:after="60"/>
              <w:rPr>
                <w:lang w:val="es-ES"/>
              </w:rPr>
            </w:pPr>
          </w:p>
        </w:tc>
        <w:tc>
          <w:tcPr>
            <w:tcW w:w="1913" w:type="dxa"/>
            <w:tcBorders>
              <w:left w:val="single" w:sz="8" w:space="0" w:color="000000" w:themeColor="text1"/>
              <w:bottom w:val="single" w:sz="4" w:space="0" w:color="auto"/>
              <w:right w:val="single" w:sz="8" w:space="0" w:color="000000" w:themeColor="text1"/>
            </w:tcBorders>
          </w:tcPr>
          <w:p w14:paraId="5632E423" w14:textId="7574D3DF" w:rsidR="00ED7F80" w:rsidRPr="006D3772" w:rsidRDefault="00ED7F80" w:rsidP="002867AE">
            <w:pPr>
              <w:spacing w:before="60" w:after="60"/>
              <w:rPr>
                <w:lang w:val="es-ES"/>
              </w:rPr>
            </w:pPr>
            <w:r w:rsidRPr="006D3772">
              <w:rPr>
                <w:lang w:val="es-ES"/>
              </w:rPr>
              <w:t>Perspectiva Mundial sobre los Humedales 2028</w:t>
            </w:r>
            <w:r w:rsidR="00AE0088" w:rsidRPr="006D3772">
              <w:rPr>
                <w:lang w:val="es-ES"/>
              </w:rPr>
              <w:t>.</w:t>
            </w:r>
          </w:p>
          <w:p w14:paraId="7BCE8A0A" w14:textId="2FADEC28" w:rsidR="00906E80" w:rsidRPr="006D3772" w:rsidRDefault="00906E80" w:rsidP="002867AE">
            <w:pPr>
              <w:spacing w:before="60" w:after="60"/>
              <w:rPr>
                <w:lang w:val="es-ES"/>
              </w:rPr>
            </w:pPr>
          </w:p>
        </w:tc>
        <w:tc>
          <w:tcPr>
            <w:tcW w:w="1914" w:type="dxa"/>
            <w:tcBorders>
              <w:left w:val="single" w:sz="8" w:space="0" w:color="000000" w:themeColor="text1"/>
              <w:bottom w:val="single" w:sz="4" w:space="0" w:color="auto"/>
              <w:right w:val="single" w:sz="8" w:space="0" w:color="000000" w:themeColor="text1"/>
            </w:tcBorders>
          </w:tcPr>
          <w:p w14:paraId="3D92A20F" w14:textId="77777777" w:rsidR="00906E80" w:rsidRPr="006D3772" w:rsidRDefault="00F319AD" w:rsidP="002867AE">
            <w:pPr>
              <w:spacing w:before="60" w:after="60"/>
              <w:rPr>
                <w:lang w:val="es-ES"/>
              </w:rPr>
            </w:pPr>
            <w:r w:rsidRPr="006D3772">
              <w:rPr>
                <w:lang w:val="es-ES"/>
              </w:rPr>
              <w:t>Doc. SC64.18</w:t>
            </w:r>
          </w:p>
        </w:tc>
      </w:tr>
      <w:tr w:rsidR="007B31B2" w:rsidRPr="006D3772" w14:paraId="0A0DDB79" w14:textId="77777777" w:rsidTr="00EF7423">
        <w:trPr>
          <w:cantSplit/>
          <w:trHeight w:val="300"/>
        </w:trPr>
        <w:tc>
          <w:tcPr>
            <w:tcW w:w="2967" w:type="dxa"/>
            <w:tcBorders>
              <w:top w:val="single" w:sz="4" w:space="0" w:color="auto"/>
              <w:left w:val="single" w:sz="8" w:space="0" w:color="000000" w:themeColor="text1"/>
              <w:bottom w:val="single" w:sz="4" w:space="0" w:color="auto"/>
              <w:right w:val="single" w:sz="8" w:space="0" w:color="000000" w:themeColor="text1"/>
            </w:tcBorders>
          </w:tcPr>
          <w:p w14:paraId="65211107" w14:textId="78F09872" w:rsidR="00482991" w:rsidRPr="006D3772" w:rsidRDefault="002D4F26" w:rsidP="00482991">
            <w:pPr>
              <w:spacing w:before="60" w:after="60"/>
              <w:rPr>
                <w:color w:val="000000" w:themeColor="text1"/>
                <w:lang w:val="es-ES"/>
              </w:rPr>
            </w:pPr>
            <w:r w:rsidRPr="006D3772">
              <w:rPr>
                <w:b/>
                <w:color w:val="000000" w:themeColor="text1"/>
                <w:lang w:val="es-ES"/>
              </w:rPr>
              <w:lastRenderedPageBreak/>
              <w:t>Tarea</w:t>
            </w:r>
            <w:r w:rsidR="00F319AD" w:rsidRPr="006D3772">
              <w:rPr>
                <w:b/>
                <w:color w:val="000000" w:themeColor="text1"/>
                <w:lang w:val="es-ES"/>
              </w:rPr>
              <w:t xml:space="preserve"> 5.2.</w:t>
            </w:r>
            <w:r w:rsidR="00F319AD" w:rsidRPr="006D3772">
              <w:rPr>
                <w:color w:val="000000" w:themeColor="text1"/>
                <w:lang w:val="es-ES"/>
              </w:rPr>
              <w:t xml:space="preserve"> </w:t>
            </w:r>
            <w:r w:rsidR="00482991" w:rsidRPr="006D3772">
              <w:rPr>
                <w:color w:val="000000" w:themeColor="text1"/>
                <w:lang w:val="es-ES"/>
              </w:rPr>
              <w:t xml:space="preserve">Mejora de la </w:t>
            </w:r>
            <w:r w:rsidR="00EC191F" w:rsidRPr="006D3772">
              <w:rPr>
                <w:color w:val="000000" w:themeColor="text1"/>
                <w:lang w:val="es-ES"/>
              </w:rPr>
              <w:t>presentación de informes</w:t>
            </w:r>
            <w:r w:rsidR="00482991" w:rsidRPr="006D3772">
              <w:rPr>
                <w:color w:val="000000" w:themeColor="text1"/>
                <w:lang w:val="es-ES"/>
              </w:rPr>
              <w:t xml:space="preserve"> sobre los humedales</w:t>
            </w:r>
            <w:r w:rsidR="00EC191F" w:rsidRPr="006D3772">
              <w:rPr>
                <w:color w:val="000000" w:themeColor="text1"/>
                <w:lang w:val="es-ES"/>
              </w:rPr>
              <w:t xml:space="preserve"> a escala mundial</w:t>
            </w:r>
            <w:r w:rsidR="00482991" w:rsidRPr="006D3772">
              <w:rPr>
                <w:color w:val="000000" w:themeColor="text1"/>
                <w:lang w:val="es-ES"/>
              </w:rPr>
              <w:t xml:space="preserve">: sinergias en el desarrollo de indicadores y métodos para el </w:t>
            </w:r>
            <w:r w:rsidR="006F3DD5" w:rsidRPr="006D3772">
              <w:rPr>
                <w:lang w:val="es-ES"/>
              </w:rPr>
              <w:t>Quinto</w:t>
            </w:r>
            <w:r w:rsidR="00482991" w:rsidRPr="006D3772">
              <w:rPr>
                <w:lang w:val="es-ES"/>
              </w:rPr>
              <w:t xml:space="preserve"> </w:t>
            </w:r>
            <w:r w:rsidR="00482991" w:rsidRPr="006D3772">
              <w:rPr>
                <w:color w:val="000000" w:themeColor="text1"/>
                <w:lang w:val="es-ES"/>
              </w:rPr>
              <w:t>Plan Estratégico de la Convención y otros procesos mundiales.</w:t>
            </w:r>
          </w:p>
          <w:p w14:paraId="26F39950" w14:textId="278F5A9B" w:rsidR="000658CD" w:rsidRPr="006D3772" w:rsidRDefault="000658CD" w:rsidP="002867AE">
            <w:pPr>
              <w:spacing w:before="60" w:after="60"/>
              <w:rPr>
                <w:color w:val="000000"/>
                <w:lang w:val="es-ES"/>
              </w:rPr>
            </w:pPr>
          </w:p>
        </w:tc>
        <w:tc>
          <w:tcPr>
            <w:tcW w:w="5663" w:type="dxa"/>
            <w:tcBorders>
              <w:top w:val="single" w:sz="4" w:space="0" w:color="auto"/>
              <w:left w:val="single" w:sz="8" w:space="0" w:color="000000" w:themeColor="text1"/>
              <w:bottom w:val="single" w:sz="4" w:space="0" w:color="auto"/>
              <w:right w:val="single" w:sz="8" w:space="0" w:color="000000" w:themeColor="text1"/>
            </w:tcBorders>
          </w:tcPr>
          <w:p w14:paraId="6A4D592B" w14:textId="4E205E42" w:rsidR="00AE0088" w:rsidRPr="006D3772" w:rsidRDefault="00482991" w:rsidP="00F9227D">
            <w:pPr>
              <w:spacing w:before="60" w:after="60"/>
              <w:rPr>
                <w:color w:val="000000"/>
                <w:lang w:val="es-ES"/>
              </w:rPr>
            </w:pPr>
            <w:r w:rsidRPr="006D3772">
              <w:rPr>
                <w:color w:val="000000" w:themeColor="text1"/>
                <w:lang w:val="es-ES"/>
              </w:rPr>
              <w:t xml:space="preserve">La </w:t>
            </w:r>
            <w:r w:rsidR="00D10FC7" w:rsidRPr="006D3772">
              <w:rPr>
                <w:color w:val="000000" w:themeColor="text1"/>
                <w:lang w:val="es-ES"/>
              </w:rPr>
              <w:t xml:space="preserve">Tarea </w:t>
            </w:r>
            <w:r w:rsidRPr="006D3772">
              <w:rPr>
                <w:color w:val="000000" w:themeColor="text1"/>
                <w:lang w:val="es-ES"/>
              </w:rPr>
              <w:t xml:space="preserve">5.2. desarrollará orientaciones para abordar las lagunas en los indicadores y herramientas para la elaboración de informes sobre humedales con el fin de apoyar la evaluación de indicadores y objetivos asociados con el </w:t>
            </w:r>
            <w:r w:rsidR="003D61CF">
              <w:rPr>
                <w:color w:val="000000" w:themeColor="text1"/>
                <w:lang w:val="es-ES"/>
              </w:rPr>
              <w:t>Quinto</w:t>
            </w:r>
            <w:r w:rsidRPr="006D3772">
              <w:rPr>
                <w:color w:val="000000" w:themeColor="text1"/>
                <w:lang w:val="es-ES"/>
              </w:rPr>
              <w:t xml:space="preserve"> Plan Estratégico de la Convención y otros procesos </w:t>
            </w:r>
            <w:r w:rsidR="00F9227D" w:rsidRPr="006D3772">
              <w:rPr>
                <w:color w:val="000000" w:themeColor="text1"/>
                <w:lang w:val="es-ES"/>
              </w:rPr>
              <w:t>mundiales</w:t>
            </w:r>
            <w:r w:rsidRPr="006D3772">
              <w:rPr>
                <w:color w:val="000000" w:themeColor="text1"/>
                <w:lang w:val="es-ES"/>
              </w:rPr>
              <w:t xml:space="preserve"> de evaluación y elaboración de informes (por ejemplo, el </w:t>
            </w:r>
            <w:r w:rsidR="00DD05DA" w:rsidRPr="006D3772">
              <w:rPr>
                <w:color w:val="000000" w:themeColor="text1"/>
                <w:lang w:val="es-ES"/>
              </w:rPr>
              <w:t>MMB-KM</w:t>
            </w:r>
            <w:r w:rsidRPr="006D3772">
              <w:rPr>
                <w:color w:val="000000" w:themeColor="text1"/>
                <w:lang w:val="es-ES"/>
              </w:rPr>
              <w:t xml:space="preserve">). Una posibilidad clave será seguir trabajando en paralelo con el </w:t>
            </w:r>
            <w:r w:rsidR="00DD05DA" w:rsidRPr="006D3772">
              <w:rPr>
                <w:color w:val="000000" w:themeColor="text1"/>
                <w:lang w:val="es-ES"/>
              </w:rPr>
              <w:t>MMB-KM</w:t>
            </w:r>
            <w:r w:rsidRPr="006D3772">
              <w:rPr>
                <w:color w:val="000000" w:themeColor="text1"/>
                <w:lang w:val="es-ES"/>
              </w:rPr>
              <w:t xml:space="preserve"> para promover el desarrollo de objetivos e indicadores de seguimiento ambiciosos y vinculados a los humedales, por ejemplo, como parte de las Estrategias y Planes de Acción Nacionales sobre Biodiversidad (EPANB). </w:t>
            </w:r>
          </w:p>
        </w:tc>
        <w:tc>
          <w:tcPr>
            <w:tcW w:w="1425" w:type="dxa"/>
            <w:gridSpan w:val="2"/>
            <w:tcBorders>
              <w:top w:val="single" w:sz="4" w:space="0" w:color="auto"/>
              <w:left w:val="single" w:sz="8" w:space="0" w:color="000000" w:themeColor="text1"/>
              <w:bottom w:val="single" w:sz="4" w:space="0" w:color="auto"/>
              <w:right w:val="single" w:sz="8" w:space="0" w:color="000000" w:themeColor="text1"/>
            </w:tcBorders>
          </w:tcPr>
          <w:p w14:paraId="3462AEEC" w14:textId="77777777" w:rsidR="000658CD" w:rsidRPr="006D3772" w:rsidRDefault="00F319AD" w:rsidP="002867AE">
            <w:pPr>
              <w:spacing w:before="60" w:after="60"/>
              <w:rPr>
                <w:lang w:val="es-ES"/>
              </w:rPr>
            </w:pPr>
            <w:r w:rsidRPr="006D3772">
              <w:rPr>
                <w:lang w:val="es-ES"/>
              </w:rPr>
              <w:t>2026-2028</w:t>
            </w:r>
          </w:p>
        </w:tc>
        <w:tc>
          <w:tcPr>
            <w:tcW w:w="1913" w:type="dxa"/>
            <w:tcBorders>
              <w:top w:val="single" w:sz="4" w:space="0" w:color="auto"/>
              <w:left w:val="single" w:sz="8" w:space="0" w:color="000000" w:themeColor="text1"/>
              <w:bottom w:val="single" w:sz="4" w:space="0" w:color="auto"/>
              <w:right w:val="single" w:sz="8" w:space="0" w:color="000000" w:themeColor="text1"/>
            </w:tcBorders>
          </w:tcPr>
          <w:p w14:paraId="20D7C428" w14:textId="1DF0FC1D" w:rsidR="00482991" w:rsidRPr="006D3772" w:rsidRDefault="00482991" w:rsidP="002867AE">
            <w:pPr>
              <w:spacing w:before="60" w:after="60"/>
              <w:rPr>
                <w:lang w:val="es-ES"/>
              </w:rPr>
            </w:pPr>
            <w:r w:rsidRPr="006D3772">
              <w:rPr>
                <w:lang w:val="es-ES"/>
              </w:rPr>
              <w:t>Informe Técnico y/o Nota Informativa</w:t>
            </w:r>
            <w:r w:rsidR="00AE0088" w:rsidRPr="006D3772">
              <w:rPr>
                <w:lang w:val="es-ES"/>
              </w:rPr>
              <w:t>.</w:t>
            </w:r>
          </w:p>
          <w:p w14:paraId="48DD6794" w14:textId="3C65FD29" w:rsidR="000658CD" w:rsidRPr="006D3772" w:rsidRDefault="000658CD" w:rsidP="002867AE">
            <w:pPr>
              <w:spacing w:before="60" w:after="60"/>
              <w:rPr>
                <w:lang w:val="es-ES"/>
              </w:rPr>
            </w:pPr>
          </w:p>
        </w:tc>
        <w:tc>
          <w:tcPr>
            <w:tcW w:w="1914" w:type="dxa"/>
            <w:tcBorders>
              <w:top w:val="single" w:sz="4" w:space="0" w:color="auto"/>
              <w:left w:val="single" w:sz="8" w:space="0" w:color="000000" w:themeColor="text1"/>
              <w:bottom w:val="single" w:sz="4" w:space="0" w:color="auto"/>
              <w:right w:val="single" w:sz="8" w:space="0" w:color="000000" w:themeColor="text1"/>
            </w:tcBorders>
          </w:tcPr>
          <w:p w14:paraId="70DB7C6B" w14:textId="55886063" w:rsidR="000658CD" w:rsidRPr="006D3772" w:rsidRDefault="00F319AD" w:rsidP="00255F50">
            <w:pPr>
              <w:spacing w:before="60" w:after="60"/>
              <w:rPr>
                <w:lang w:val="es-ES"/>
              </w:rPr>
            </w:pPr>
            <w:r w:rsidRPr="006D3772">
              <w:rPr>
                <w:lang w:val="es-ES"/>
              </w:rPr>
              <w:t>Doc. SC63.19 (</w:t>
            </w:r>
            <w:r w:rsidR="00115D03" w:rsidRPr="006D3772">
              <w:rPr>
                <w:lang w:val="es-ES"/>
              </w:rPr>
              <w:t>párr.</w:t>
            </w:r>
            <w:r w:rsidR="00745D87" w:rsidRPr="006D3772">
              <w:rPr>
                <w:lang w:val="es-ES"/>
              </w:rPr>
              <w:t xml:space="preserve"> </w:t>
            </w:r>
            <w:r w:rsidRPr="006D3772">
              <w:rPr>
                <w:lang w:val="es-ES"/>
              </w:rPr>
              <w:t xml:space="preserve">19-21 </w:t>
            </w:r>
            <w:r w:rsidR="00482991" w:rsidRPr="006D3772">
              <w:rPr>
                <w:lang w:val="es-ES"/>
              </w:rPr>
              <w:t>y</w:t>
            </w:r>
            <w:r w:rsidRPr="006D3772">
              <w:rPr>
                <w:lang w:val="es-ES"/>
              </w:rPr>
              <w:t xml:space="preserve"> </w:t>
            </w:r>
            <w:r w:rsidR="00745D87" w:rsidRPr="006D3772">
              <w:rPr>
                <w:lang w:val="es-ES"/>
              </w:rPr>
              <w:t>Anexo</w:t>
            </w:r>
            <w:r w:rsidRPr="006D3772">
              <w:rPr>
                <w:lang w:val="es-ES"/>
              </w:rPr>
              <w:t xml:space="preserve"> 2).</w:t>
            </w:r>
          </w:p>
          <w:p w14:paraId="2F41050A" w14:textId="0F09F993" w:rsidR="00BC4F09" w:rsidRPr="006D3772" w:rsidRDefault="00115D03" w:rsidP="00A84E26">
            <w:pPr>
              <w:spacing w:before="60" w:after="60"/>
              <w:rPr>
                <w:lang w:val="es-ES"/>
              </w:rPr>
            </w:pPr>
            <w:r w:rsidRPr="006D3772">
              <w:rPr>
                <w:lang w:val="es-ES"/>
              </w:rPr>
              <w:t xml:space="preserve">Resolución </w:t>
            </w:r>
            <w:r w:rsidR="00F319AD" w:rsidRPr="006D3772">
              <w:rPr>
                <w:lang w:val="es-ES"/>
              </w:rPr>
              <w:t>XIII.5</w:t>
            </w:r>
          </w:p>
          <w:p w14:paraId="6C6B2753" w14:textId="105F646E" w:rsidR="00A84E26" w:rsidRPr="006D3772" w:rsidRDefault="00115D03" w:rsidP="00A84E26">
            <w:pPr>
              <w:spacing w:before="60" w:after="60"/>
              <w:rPr>
                <w:lang w:val="es-ES"/>
              </w:rPr>
            </w:pPr>
            <w:r w:rsidRPr="006D3772">
              <w:rPr>
                <w:lang w:val="es-ES"/>
              </w:rPr>
              <w:t xml:space="preserve">Resolución </w:t>
            </w:r>
            <w:r w:rsidR="00F319AD" w:rsidRPr="006D3772">
              <w:rPr>
                <w:lang w:val="es-ES"/>
              </w:rPr>
              <w:t xml:space="preserve">XIV.14, </w:t>
            </w:r>
            <w:r w:rsidR="00745D87" w:rsidRPr="006D3772">
              <w:rPr>
                <w:lang w:val="es-ES"/>
              </w:rPr>
              <w:t>Anexo</w:t>
            </w:r>
            <w:r w:rsidR="00F319AD" w:rsidRPr="006D3772">
              <w:rPr>
                <w:lang w:val="es-ES"/>
              </w:rPr>
              <w:t xml:space="preserve"> 2</w:t>
            </w:r>
          </w:p>
          <w:p w14:paraId="65D07B0F" w14:textId="4E2E5028" w:rsidR="00A84E26" w:rsidRPr="006D3772" w:rsidRDefault="00115D03" w:rsidP="002867AE">
            <w:pPr>
              <w:spacing w:before="60" w:after="60"/>
              <w:rPr>
                <w:lang w:val="es-ES"/>
              </w:rPr>
            </w:pPr>
            <w:r w:rsidRPr="006D3772">
              <w:rPr>
                <w:lang w:val="es-ES"/>
              </w:rPr>
              <w:t xml:space="preserve">Resolución </w:t>
            </w:r>
            <w:r w:rsidR="00F319AD" w:rsidRPr="006D3772">
              <w:rPr>
                <w:lang w:val="es-ES"/>
              </w:rPr>
              <w:t xml:space="preserve">XIV.6, </w:t>
            </w:r>
            <w:r w:rsidR="006F3DD5" w:rsidRPr="006D3772">
              <w:rPr>
                <w:lang w:val="es-ES"/>
              </w:rPr>
              <w:t>párr.</w:t>
            </w:r>
            <w:r w:rsidR="00F9227D" w:rsidRPr="006D3772">
              <w:rPr>
                <w:lang w:val="es-ES"/>
              </w:rPr>
              <w:t xml:space="preserve"> </w:t>
            </w:r>
            <w:r w:rsidR="00F319AD" w:rsidRPr="006D3772">
              <w:rPr>
                <w:lang w:val="es-ES"/>
              </w:rPr>
              <w:t xml:space="preserve">24 </w:t>
            </w:r>
            <w:r w:rsidR="00482991" w:rsidRPr="006D3772">
              <w:rPr>
                <w:lang w:val="es-ES"/>
              </w:rPr>
              <w:t>y</w:t>
            </w:r>
            <w:r w:rsidR="00F319AD" w:rsidRPr="006D3772">
              <w:rPr>
                <w:lang w:val="es-ES"/>
              </w:rPr>
              <w:t xml:space="preserve"> 44</w:t>
            </w:r>
          </w:p>
        </w:tc>
      </w:tr>
      <w:tr w:rsidR="007B31B2" w:rsidRPr="00841C2D" w14:paraId="6E3F8A96" w14:textId="77777777" w:rsidTr="00EF7423">
        <w:trPr>
          <w:cantSplit/>
          <w:trHeight w:val="300"/>
        </w:trPr>
        <w:tc>
          <w:tcPr>
            <w:tcW w:w="2967" w:type="dxa"/>
            <w:tcBorders>
              <w:top w:val="single" w:sz="4" w:space="0" w:color="auto"/>
              <w:left w:val="single" w:sz="8" w:space="0" w:color="000000" w:themeColor="text1"/>
              <w:bottom w:val="single" w:sz="8" w:space="0" w:color="000000" w:themeColor="text1"/>
              <w:right w:val="single" w:sz="8" w:space="0" w:color="000000" w:themeColor="text1"/>
            </w:tcBorders>
          </w:tcPr>
          <w:p w14:paraId="5A96FCB0" w14:textId="521ED7C1" w:rsidR="00482991" w:rsidRPr="006D3772" w:rsidRDefault="002D4F26" w:rsidP="00482991">
            <w:pPr>
              <w:spacing w:before="60" w:after="60"/>
              <w:rPr>
                <w:color w:val="000000" w:themeColor="text1"/>
                <w:lang w:val="es-ES"/>
              </w:rPr>
            </w:pPr>
            <w:r w:rsidRPr="006D3772">
              <w:rPr>
                <w:b/>
                <w:bCs w:val="0"/>
                <w:color w:val="000000" w:themeColor="text1"/>
                <w:lang w:val="es-ES"/>
              </w:rPr>
              <w:t>Tarea</w:t>
            </w:r>
            <w:r w:rsidR="00F319AD" w:rsidRPr="006D3772">
              <w:rPr>
                <w:b/>
                <w:bCs w:val="0"/>
                <w:color w:val="000000" w:themeColor="text1"/>
                <w:lang w:val="es-ES"/>
              </w:rPr>
              <w:t xml:space="preserve"> 5.3.</w:t>
            </w:r>
            <w:r w:rsidR="00F319AD" w:rsidRPr="006D3772">
              <w:rPr>
                <w:color w:val="000000" w:themeColor="text1"/>
                <w:lang w:val="es-ES"/>
              </w:rPr>
              <w:t xml:space="preserve"> </w:t>
            </w:r>
            <w:r w:rsidR="00482991" w:rsidRPr="006D3772">
              <w:rPr>
                <w:lang w:val="es-ES"/>
              </w:rPr>
              <w:t xml:space="preserve">Examen </w:t>
            </w:r>
            <w:r w:rsidR="00482991" w:rsidRPr="006D3772">
              <w:rPr>
                <w:color w:val="000000" w:themeColor="text1"/>
                <w:lang w:val="es-ES"/>
              </w:rPr>
              <w:t xml:space="preserve">de los marcos </w:t>
            </w:r>
            <w:r w:rsidR="00AE0088" w:rsidRPr="006D3772">
              <w:rPr>
                <w:color w:val="000000" w:themeColor="text1"/>
                <w:lang w:val="es-ES"/>
              </w:rPr>
              <w:t>normativos y jurídicos</w:t>
            </w:r>
            <w:r w:rsidR="00482991" w:rsidRPr="006D3772">
              <w:rPr>
                <w:color w:val="000000" w:themeColor="text1"/>
                <w:lang w:val="es-ES"/>
              </w:rPr>
              <w:t xml:space="preserve"> </w:t>
            </w:r>
            <w:r w:rsidR="00F9227D" w:rsidRPr="006D3772">
              <w:rPr>
                <w:color w:val="000000" w:themeColor="text1"/>
                <w:lang w:val="es-ES"/>
              </w:rPr>
              <w:t>para</w:t>
            </w:r>
            <w:r w:rsidR="00482991" w:rsidRPr="006D3772">
              <w:rPr>
                <w:color w:val="000000" w:themeColor="text1"/>
                <w:lang w:val="es-ES"/>
              </w:rPr>
              <w:t xml:space="preserve"> la conservación y el uso racional de los humedales.</w:t>
            </w:r>
          </w:p>
          <w:p w14:paraId="50A96F72" w14:textId="4F3F519E" w:rsidR="00906E80" w:rsidRPr="006D3772" w:rsidRDefault="00906E80" w:rsidP="002867AE">
            <w:pPr>
              <w:spacing w:before="60" w:after="60"/>
              <w:rPr>
                <w:lang w:val="es-ES"/>
              </w:rPr>
            </w:pPr>
          </w:p>
        </w:tc>
        <w:tc>
          <w:tcPr>
            <w:tcW w:w="5663" w:type="dxa"/>
            <w:tcBorders>
              <w:top w:val="single" w:sz="4" w:space="0" w:color="auto"/>
              <w:left w:val="single" w:sz="8" w:space="0" w:color="000000" w:themeColor="text1"/>
              <w:bottom w:val="single" w:sz="8" w:space="0" w:color="000000" w:themeColor="text1"/>
              <w:right w:val="single" w:sz="8" w:space="0" w:color="000000" w:themeColor="text1"/>
            </w:tcBorders>
          </w:tcPr>
          <w:p w14:paraId="0F2554FD" w14:textId="459CC205" w:rsidR="00AE0088" w:rsidRPr="006D3772" w:rsidRDefault="00C63623" w:rsidP="00F9227D">
            <w:pPr>
              <w:spacing w:before="60" w:after="60"/>
              <w:rPr>
                <w:color w:val="000000" w:themeColor="text1"/>
                <w:lang w:val="es-ES"/>
              </w:rPr>
            </w:pPr>
            <w:r w:rsidRPr="006D3772">
              <w:rPr>
                <w:color w:val="000000" w:themeColor="text1"/>
                <w:lang w:val="es-ES"/>
              </w:rPr>
              <w:t xml:space="preserve">La Tarea 5.3 evaluará los marcos </w:t>
            </w:r>
            <w:r w:rsidR="00AE0088" w:rsidRPr="006D3772">
              <w:rPr>
                <w:color w:val="000000" w:themeColor="text1"/>
                <w:lang w:val="es-ES"/>
              </w:rPr>
              <w:t>normativos y jurídicos</w:t>
            </w:r>
            <w:r w:rsidRPr="006D3772">
              <w:rPr>
                <w:color w:val="000000" w:themeColor="text1"/>
                <w:lang w:val="es-ES"/>
              </w:rPr>
              <w:t xml:space="preserve"> para determinar en qué medida apoyan eficazmente la conservación, restauración y uso racional de los humedales. Esta evaluación se basará en las orientaciones e información proporcionadas en el Manual 3: </w:t>
            </w:r>
            <w:r w:rsidRPr="006D3772">
              <w:rPr>
                <w:i/>
                <w:iCs/>
                <w:color w:val="000000" w:themeColor="text1"/>
                <w:lang w:val="es-ES"/>
              </w:rPr>
              <w:t>Leyes e Instituciones</w:t>
            </w:r>
            <w:r w:rsidRPr="006D3772">
              <w:rPr>
                <w:color w:val="000000" w:themeColor="text1"/>
                <w:lang w:val="es-ES"/>
              </w:rPr>
              <w:t xml:space="preserve">, incorporando al mismo </w:t>
            </w:r>
            <w:r w:rsidRPr="006D3772">
              <w:rPr>
                <w:lang w:val="es-ES"/>
              </w:rPr>
              <w:t xml:space="preserve">tiempo </w:t>
            </w:r>
            <w:r w:rsidR="006F3DD5" w:rsidRPr="006D3772">
              <w:rPr>
                <w:lang w:val="es-ES"/>
              </w:rPr>
              <w:t>casos de estudio</w:t>
            </w:r>
            <w:r w:rsidRPr="006D3772">
              <w:rPr>
                <w:lang w:val="es-ES"/>
              </w:rPr>
              <w:t xml:space="preserve"> y </w:t>
            </w:r>
            <w:r w:rsidR="006F3DD5" w:rsidRPr="006D3772">
              <w:rPr>
                <w:color w:val="000000" w:themeColor="text1"/>
                <w:lang w:val="es-ES"/>
              </w:rPr>
              <w:t xml:space="preserve">cambios jurídicos </w:t>
            </w:r>
            <w:r w:rsidRPr="006D3772">
              <w:rPr>
                <w:color w:val="000000" w:themeColor="text1"/>
                <w:lang w:val="es-ES"/>
              </w:rPr>
              <w:t xml:space="preserve">más recientes. La tarea identificará y mostrará ejemplos exitosos de leyes y políticas </w:t>
            </w:r>
            <w:r w:rsidR="00AE0088" w:rsidRPr="006D3772">
              <w:rPr>
                <w:color w:val="000000" w:themeColor="text1"/>
                <w:lang w:val="es-ES"/>
              </w:rPr>
              <w:t>relacionadas con los</w:t>
            </w:r>
            <w:r w:rsidRPr="006D3772">
              <w:rPr>
                <w:color w:val="000000" w:themeColor="text1"/>
                <w:lang w:val="es-ES"/>
              </w:rPr>
              <w:t xml:space="preserve"> humedales que han demostrado resultados positivos en la promoción del uso racional, la conservación y la restauración de los humedales, y </w:t>
            </w:r>
            <w:r w:rsidR="00AE0088" w:rsidRPr="006D3772">
              <w:rPr>
                <w:color w:val="000000" w:themeColor="text1"/>
                <w:lang w:val="es-ES"/>
              </w:rPr>
              <w:t>aport</w:t>
            </w:r>
            <w:r w:rsidRPr="006D3772">
              <w:rPr>
                <w:color w:val="000000" w:themeColor="text1"/>
                <w:lang w:val="es-ES"/>
              </w:rPr>
              <w:t>ará recomendaciones para potenciar la aplicación de estos marcos.</w:t>
            </w:r>
          </w:p>
        </w:tc>
        <w:tc>
          <w:tcPr>
            <w:tcW w:w="1425"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14:paraId="263A28F5" w14:textId="77777777" w:rsidR="00906E80" w:rsidRPr="006D3772" w:rsidRDefault="00F319AD" w:rsidP="002867AE">
            <w:pPr>
              <w:spacing w:before="60" w:after="60"/>
              <w:rPr>
                <w:lang w:val="es-ES"/>
              </w:rPr>
            </w:pPr>
            <w:r w:rsidRPr="006D3772">
              <w:rPr>
                <w:lang w:val="es-ES"/>
              </w:rPr>
              <w:t>2026-2028</w:t>
            </w:r>
          </w:p>
        </w:tc>
        <w:tc>
          <w:tcPr>
            <w:tcW w:w="1913" w:type="dxa"/>
            <w:tcBorders>
              <w:top w:val="single" w:sz="4" w:space="0" w:color="auto"/>
              <w:left w:val="single" w:sz="8" w:space="0" w:color="000000" w:themeColor="text1"/>
              <w:bottom w:val="single" w:sz="8" w:space="0" w:color="000000" w:themeColor="text1"/>
              <w:right w:val="single" w:sz="8" w:space="0" w:color="000000" w:themeColor="text1"/>
            </w:tcBorders>
          </w:tcPr>
          <w:p w14:paraId="797E9133" w14:textId="41049FCE" w:rsidR="001925E7" w:rsidRPr="006D3772" w:rsidRDefault="001925E7" w:rsidP="001925E7">
            <w:pPr>
              <w:spacing w:before="60" w:after="60"/>
              <w:rPr>
                <w:lang w:val="es-ES"/>
              </w:rPr>
            </w:pPr>
            <w:r w:rsidRPr="006D3772">
              <w:rPr>
                <w:lang w:val="es-ES"/>
              </w:rPr>
              <w:t>Informe Técnico y/o Nota Informativa</w:t>
            </w:r>
            <w:r w:rsidR="00AE0088" w:rsidRPr="006D3772">
              <w:rPr>
                <w:lang w:val="es-ES"/>
              </w:rPr>
              <w:t>.</w:t>
            </w:r>
          </w:p>
          <w:p w14:paraId="1DC3A190" w14:textId="77777777" w:rsidR="00906E80" w:rsidRPr="006D3772" w:rsidRDefault="00906E80" w:rsidP="002867AE">
            <w:pPr>
              <w:spacing w:before="60" w:after="60"/>
              <w:rPr>
                <w:lang w:val="es-ES"/>
              </w:rPr>
            </w:pPr>
          </w:p>
          <w:p w14:paraId="6F5F5E57" w14:textId="69736F4F" w:rsidR="001925E7" w:rsidRPr="006D3772" w:rsidRDefault="001925E7" w:rsidP="002867AE">
            <w:pPr>
              <w:spacing w:before="60" w:after="60"/>
              <w:rPr>
                <w:lang w:val="es-ES"/>
              </w:rPr>
            </w:pPr>
            <w:r w:rsidRPr="006D3772">
              <w:rPr>
                <w:lang w:val="es-ES"/>
              </w:rPr>
              <w:t>Base de datos sobre políticas</w:t>
            </w:r>
            <w:r w:rsidR="00AE0088" w:rsidRPr="006D3772">
              <w:rPr>
                <w:lang w:val="es-ES"/>
              </w:rPr>
              <w:t>.</w:t>
            </w:r>
          </w:p>
          <w:p w14:paraId="7519DF03" w14:textId="1264B44F" w:rsidR="00906E80" w:rsidRPr="006D3772" w:rsidRDefault="00906E80" w:rsidP="002867AE">
            <w:pPr>
              <w:spacing w:before="60" w:after="60"/>
              <w:rPr>
                <w:lang w:val="es-ES"/>
              </w:rPr>
            </w:pPr>
          </w:p>
        </w:tc>
        <w:tc>
          <w:tcPr>
            <w:tcW w:w="1914" w:type="dxa"/>
            <w:tcBorders>
              <w:top w:val="single" w:sz="4" w:space="0" w:color="auto"/>
              <w:left w:val="single" w:sz="8" w:space="0" w:color="000000" w:themeColor="text1"/>
              <w:bottom w:val="single" w:sz="8" w:space="0" w:color="000000" w:themeColor="text1"/>
              <w:right w:val="single" w:sz="8" w:space="0" w:color="000000" w:themeColor="text1"/>
            </w:tcBorders>
          </w:tcPr>
          <w:p w14:paraId="7C8D5DCA" w14:textId="0A33501C" w:rsidR="00906E80" w:rsidRPr="006D3772" w:rsidRDefault="00F319AD" w:rsidP="002867AE">
            <w:pPr>
              <w:spacing w:before="60" w:after="60"/>
              <w:rPr>
                <w:lang w:val="es-ES"/>
              </w:rPr>
            </w:pPr>
            <w:r w:rsidRPr="006D3772">
              <w:rPr>
                <w:lang w:val="es-ES"/>
              </w:rPr>
              <w:t xml:space="preserve">SC57 Doc.8; </w:t>
            </w:r>
            <w:r w:rsidR="00115D03" w:rsidRPr="006D3772">
              <w:rPr>
                <w:lang w:val="es-ES"/>
              </w:rPr>
              <w:t xml:space="preserve">Resolución </w:t>
            </w:r>
            <w:r w:rsidRPr="006D3772">
              <w:rPr>
                <w:lang w:val="es-ES"/>
              </w:rPr>
              <w:t xml:space="preserve">XIV.14., </w:t>
            </w:r>
            <w:r w:rsidR="00745D87" w:rsidRPr="006D3772">
              <w:rPr>
                <w:lang w:val="es-ES"/>
              </w:rPr>
              <w:t>Anexo</w:t>
            </w:r>
            <w:r w:rsidRPr="006D3772">
              <w:rPr>
                <w:lang w:val="es-ES"/>
              </w:rPr>
              <w:t xml:space="preserve"> 2; </w:t>
            </w:r>
            <w:r w:rsidR="00482991" w:rsidRPr="006D3772">
              <w:rPr>
                <w:lang w:val="es-ES"/>
              </w:rPr>
              <w:t>y</w:t>
            </w:r>
            <w:r w:rsidRPr="006D3772">
              <w:rPr>
                <w:lang w:val="es-ES"/>
              </w:rPr>
              <w:t xml:space="preserve"> </w:t>
            </w:r>
          </w:p>
          <w:p w14:paraId="62E28456" w14:textId="1331169F" w:rsidR="001925E7" w:rsidRPr="006D3772" w:rsidRDefault="001925E7" w:rsidP="001925E7">
            <w:pPr>
              <w:spacing w:before="60" w:after="60"/>
              <w:rPr>
                <w:lang w:val="es-ES"/>
              </w:rPr>
            </w:pPr>
            <w:r w:rsidRPr="006D3772">
              <w:rPr>
                <w:lang w:val="es-ES"/>
              </w:rPr>
              <w:t xml:space="preserve">Continuación del plan de trabajo 2023-2025 del GECT (Decisión </w:t>
            </w:r>
            <w:r w:rsidR="00DD05DA" w:rsidRPr="006D3772">
              <w:rPr>
                <w:lang w:val="es-ES"/>
              </w:rPr>
              <w:t xml:space="preserve">04 entre períodos de sesiones antes de la reunión </w:t>
            </w:r>
            <w:r w:rsidRPr="006D3772">
              <w:rPr>
                <w:lang w:val="es-ES"/>
              </w:rPr>
              <w:t>SC62).</w:t>
            </w:r>
          </w:p>
          <w:p w14:paraId="5653F735" w14:textId="74B9AE68" w:rsidR="00906E80" w:rsidRPr="006D3772" w:rsidRDefault="00906E80" w:rsidP="002867AE">
            <w:pPr>
              <w:spacing w:before="60" w:after="60"/>
              <w:rPr>
                <w:lang w:val="es-ES"/>
              </w:rPr>
            </w:pPr>
          </w:p>
        </w:tc>
      </w:tr>
    </w:tbl>
    <w:p w14:paraId="281D5F4F" w14:textId="77777777" w:rsidR="003C52C5" w:rsidRPr="006D3772" w:rsidRDefault="003C52C5" w:rsidP="003C52C5">
      <w:pPr>
        <w:rPr>
          <w:lang w:val="es-ES"/>
        </w:rPr>
        <w:sectPr w:rsidR="003C52C5" w:rsidRPr="006D3772" w:rsidSect="00EF7423">
          <w:footerReference w:type="default" r:id="rId16"/>
          <w:pgSz w:w="16838" w:h="11906" w:orient="landscape" w:code="9"/>
          <w:pgMar w:top="1440" w:right="1440" w:bottom="1440" w:left="1440" w:header="720" w:footer="720" w:gutter="0"/>
          <w:cols w:space="720"/>
          <w:docGrid w:linePitch="360"/>
        </w:sectPr>
      </w:pPr>
    </w:p>
    <w:p w14:paraId="1BAC2E89" w14:textId="77777777" w:rsidR="00C63623" w:rsidRPr="006D3772" w:rsidRDefault="00C63623" w:rsidP="00E952E3">
      <w:pPr>
        <w:rPr>
          <w:b/>
          <w:bCs w:val="0"/>
          <w:lang w:val="es-ES"/>
        </w:rPr>
      </w:pPr>
      <w:r w:rsidRPr="006D3772">
        <w:rPr>
          <w:b/>
          <w:bCs w:val="0"/>
          <w:lang w:val="es-ES"/>
        </w:rPr>
        <w:lastRenderedPageBreak/>
        <w:t>Tareas adicionales del GECT</w:t>
      </w:r>
    </w:p>
    <w:p w14:paraId="2A63BE37" w14:textId="77777777" w:rsidR="00E952E3" w:rsidRPr="006D3772" w:rsidRDefault="00E952E3" w:rsidP="00E952E3">
      <w:pPr>
        <w:rPr>
          <w:lang w:val="es-ES"/>
        </w:rPr>
      </w:pPr>
    </w:p>
    <w:p w14:paraId="61D4E4CC" w14:textId="08D1B600" w:rsidR="00C63623" w:rsidRPr="006D3772" w:rsidRDefault="00F319AD" w:rsidP="00C63623">
      <w:pPr>
        <w:ind w:left="432" w:hanging="432"/>
        <w:rPr>
          <w:lang w:val="es-ES"/>
        </w:rPr>
      </w:pPr>
      <w:r w:rsidRPr="006D3772">
        <w:rPr>
          <w:lang w:val="es-ES"/>
        </w:rPr>
        <w:t>4</w:t>
      </w:r>
      <w:r w:rsidR="0045540A" w:rsidRPr="006D3772">
        <w:rPr>
          <w:lang w:val="es-ES"/>
        </w:rPr>
        <w:t>.</w:t>
      </w:r>
      <w:r w:rsidR="0045540A" w:rsidRPr="006D3772">
        <w:rPr>
          <w:lang w:val="es-ES"/>
        </w:rPr>
        <w:tab/>
      </w:r>
      <w:r w:rsidR="00C63623" w:rsidRPr="006D3772">
        <w:rPr>
          <w:lang w:val="es-ES"/>
        </w:rPr>
        <w:t xml:space="preserve">Cabe </w:t>
      </w:r>
      <w:r w:rsidR="00F9227D" w:rsidRPr="006D3772">
        <w:rPr>
          <w:lang w:val="es-ES"/>
        </w:rPr>
        <w:t>plantearse</w:t>
      </w:r>
      <w:r w:rsidR="00C63623" w:rsidRPr="006D3772">
        <w:rPr>
          <w:lang w:val="es-ES"/>
        </w:rPr>
        <w:t xml:space="preserve"> la inclusión de otras tareas en el plan de trabajo del GECT para el trienio 2026-2028.</w:t>
      </w:r>
    </w:p>
    <w:p w14:paraId="543D7541" w14:textId="0971178A" w:rsidR="00C63623" w:rsidRPr="006D3772" w:rsidRDefault="00C63623" w:rsidP="00C63623">
      <w:pPr>
        <w:rPr>
          <w:lang w:val="es-ES"/>
        </w:rPr>
      </w:pPr>
      <w:r w:rsidRPr="006D3772">
        <w:rPr>
          <w:lang w:val="es-ES"/>
        </w:rPr>
        <w:t xml:space="preserve">Las tareas potenciales </w:t>
      </w:r>
      <w:r w:rsidR="00F9227D" w:rsidRPr="006D3772">
        <w:rPr>
          <w:lang w:val="es-ES"/>
        </w:rPr>
        <w:t>determinadas</w:t>
      </w:r>
      <w:r w:rsidRPr="006D3772">
        <w:rPr>
          <w:lang w:val="es-ES"/>
        </w:rPr>
        <w:t xml:space="preserve"> durante la consulta del Grupo sobre </w:t>
      </w:r>
      <w:r w:rsidR="00F9227D" w:rsidRPr="006D3772">
        <w:rPr>
          <w:lang w:val="es-ES"/>
        </w:rPr>
        <w:t>posibles</w:t>
      </w:r>
      <w:r w:rsidRPr="006D3772">
        <w:rPr>
          <w:lang w:val="es-ES"/>
        </w:rPr>
        <w:t xml:space="preserve"> prioridades se detallan brevemente en el cuadro siguiente. En cualquier caso, resulta esencial prestar especial atención a la disponibilidad de recursos humanos y financieros al </w:t>
      </w:r>
      <w:r w:rsidR="00F9227D" w:rsidRPr="006D3772">
        <w:rPr>
          <w:lang w:val="es-ES"/>
        </w:rPr>
        <w:t>establecer</w:t>
      </w:r>
      <w:r w:rsidRPr="006D3772">
        <w:rPr>
          <w:lang w:val="es-ES"/>
        </w:rPr>
        <w:t xml:space="preserve"> el plan de trabajo del GECT para el trienio 2026-2028</w:t>
      </w:r>
      <w:r w:rsidR="005658AE" w:rsidRPr="006D3772">
        <w:rPr>
          <w:lang w:val="es-ES"/>
        </w:rPr>
        <w:t>.</w:t>
      </w:r>
    </w:p>
    <w:p w14:paraId="0F69B5B3" w14:textId="77777777" w:rsidR="003C6800" w:rsidRPr="006D3772" w:rsidRDefault="003C6800" w:rsidP="003C6800">
      <w:pPr>
        <w:rPr>
          <w:lang w:val="es-ES"/>
        </w:rPr>
      </w:pPr>
    </w:p>
    <w:tbl>
      <w:tblPr>
        <w:tblW w:w="8900" w:type="dxa"/>
        <w:tblLayout w:type="fixed"/>
        <w:tblLook w:val="0400" w:firstRow="0" w:lastRow="0" w:firstColumn="0" w:lastColumn="0" w:noHBand="0" w:noVBand="1"/>
      </w:tblPr>
      <w:tblGrid>
        <w:gridCol w:w="3676"/>
        <w:gridCol w:w="5224"/>
      </w:tblGrid>
      <w:tr w:rsidR="007B31B2" w:rsidRPr="006D3772" w14:paraId="2C3DDD03" w14:textId="77777777" w:rsidTr="00EF7423">
        <w:trPr>
          <w:cantSplit/>
          <w:tblHeader/>
        </w:trPr>
        <w:tc>
          <w:tcPr>
            <w:tcW w:w="3676" w:type="dxa"/>
            <w:tcBorders>
              <w:top w:val="single" w:sz="8" w:space="0" w:color="000000"/>
              <w:left w:val="single" w:sz="8" w:space="0" w:color="000000"/>
              <w:bottom w:val="single" w:sz="8" w:space="0" w:color="000000"/>
              <w:right w:val="single" w:sz="8" w:space="0" w:color="000000"/>
            </w:tcBorders>
            <w:shd w:val="clear" w:color="auto" w:fill="D9D9D9"/>
          </w:tcPr>
          <w:p w14:paraId="07FCBAA6" w14:textId="4F7145F6" w:rsidR="00E975C8" w:rsidRPr="006D3772" w:rsidRDefault="00A95BAD" w:rsidP="00F9227D">
            <w:pPr>
              <w:rPr>
                <w:b/>
                <w:color w:val="000000"/>
                <w:lang w:val="es-ES"/>
              </w:rPr>
            </w:pPr>
            <w:r w:rsidRPr="006D3772">
              <w:rPr>
                <w:b/>
                <w:color w:val="000000"/>
                <w:lang w:val="es-ES"/>
              </w:rPr>
              <w:t xml:space="preserve">Otras cuestiones emergentes </w:t>
            </w:r>
            <w:r w:rsidR="006F3DD5" w:rsidRPr="006D3772">
              <w:rPr>
                <w:b/>
                <w:lang w:val="es-ES"/>
              </w:rPr>
              <w:t>definidas</w:t>
            </w:r>
            <w:r w:rsidRPr="006D3772">
              <w:rPr>
                <w:b/>
                <w:lang w:val="es-ES"/>
              </w:rPr>
              <w:t xml:space="preserve"> </w:t>
            </w:r>
            <w:r w:rsidRPr="006D3772">
              <w:rPr>
                <w:b/>
                <w:color w:val="000000"/>
                <w:lang w:val="es-ES"/>
              </w:rPr>
              <w:t>por el GECT</w:t>
            </w:r>
          </w:p>
        </w:tc>
        <w:tc>
          <w:tcPr>
            <w:tcW w:w="5224" w:type="dxa"/>
            <w:tcBorders>
              <w:top w:val="single" w:sz="8" w:space="0" w:color="000000"/>
              <w:left w:val="single" w:sz="8" w:space="0" w:color="000000"/>
              <w:bottom w:val="single" w:sz="8" w:space="0" w:color="000000"/>
              <w:right w:val="single" w:sz="8" w:space="0" w:color="000000"/>
            </w:tcBorders>
            <w:shd w:val="clear" w:color="auto" w:fill="D9D9D9"/>
          </w:tcPr>
          <w:p w14:paraId="059124CF" w14:textId="303D7CC6" w:rsidR="00E975C8" w:rsidRPr="006D3772" w:rsidRDefault="00F319AD">
            <w:pPr>
              <w:rPr>
                <w:b/>
                <w:lang w:val="es-ES"/>
              </w:rPr>
            </w:pPr>
            <w:r w:rsidRPr="006D3772">
              <w:rPr>
                <w:b/>
                <w:lang w:val="es-ES"/>
              </w:rPr>
              <w:t>Descri</w:t>
            </w:r>
            <w:r w:rsidR="00A95BAD" w:rsidRPr="006D3772">
              <w:rPr>
                <w:b/>
                <w:lang w:val="es-ES"/>
              </w:rPr>
              <w:t>pc</w:t>
            </w:r>
            <w:r w:rsidR="00E127FF" w:rsidRPr="006D3772">
              <w:rPr>
                <w:b/>
                <w:lang w:val="es-ES"/>
              </w:rPr>
              <w:t>ió</w:t>
            </w:r>
            <w:r w:rsidRPr="006D3772">
              <w:rPr>
                <w:b/>
                <w:lang w:val="es-ES"/>
              </w:rPr>
              <w:t>n</w:t>
            </w:r>
          </w:p>
        </w:tc>
      </w:tr>
      <w:tr w:rsidR="007B31B2" w:rsidRPr="00841C2D" w14:paraId="18DCAF2F"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4EBCFA37" w14:textId="6458FC8A" w:rsidR="00A95BAD" w:rsidRPr="006D3772" w:rsidRDefault="00A95BAD" w:rsidP="00A95BAD">
            <w:pPr>
              <w:pStyle w:val="ListParagraph"/>
              <w:numPr>
                <w:ilvl w:val="0"/>
                <w:numId w:val="14"/>
              </w:numPr>
              <w:ind w:left="242" w:hanging="242"/>
              <w:rPr>
                <w:lang w:val="es-ES"/>
              </w:rPr>
            </w:pPr>
            <w:r w:rsidRPr="006D3772">
              <w:rPr>
                <w:lang w:val="es-ES"/>
              </w:rPr>
              <w:t>Marco revisado para que la Convención y otros AMMA puedan coordinar la presentación de informes sobre la extensión y degradación de los humedales</w:t>
            </w:r>
            <w:r w:rsidR="00F9227D" w:rsidRPr="006D3772">
              <w:rPr>
                <w:lang w:val="es-ES"/>
              </w:rPr>
              <w:t xml:space="preserve"> a escala mundial</w:t>
            </w:r>
            <w:r w:rsidRPr="006D3772">
              <w:rPr>
                <w:lang w:val="es-ES"/>
              </w:rPr>
              <w:t>.</w:t>
            </w:r>
          </w:p>
          <w:p w14:paraId="5C547E53" w14:textId="1C114C6A" w:rsidR="00E975C8" w:rsidRPr="006D3772" w:rsidRDefault="00E975C8" w:rsidP="00AE0088">
            <w:pPr>
              <w:rPr>
                <w:lang w:val="es-ES"/>
              </w:rPr>
            </w:pPr>
          </w:p>
        </w:tc>
        <w:tc>
          <w:tcPr>
            <w:tcW w:w="5224" w:type="dxa"/>
            <w:tcBorders>
              <w:top w:val="single" w:sz="8" w:space="0" w:color="000000"/>
              <w:left w:val="single" w:sz="8" w:space="0" w:color="000000"/>
              <w:bottom w:val="single" w:sz="8" w:space="0" w:color="000000"/>
              <w:right w:val="single" w:sz="8" w:space="0" w:color="000000"/>
            </w:tcBorders>
          </w:tcPr>
          <w:p w14:paraId="307F25DF" w14:textId="7A387A11" w:rsidR="00E975C8" w:rsidRPr="006D3772" w:rsidRDefault="00F9227D" w:rsidP="00AE0088">
            <w:pPr>
              <w:rPr>
                <w:color w:val="000000"/>
                <w:lang w:val="es-ES"/>
              </w:rPr>
            </w:pPr>
            <w:r w:rsidRPr="006D3772">
              <w:rPr>
                <w:color w:val="000000"/>
                <w:lang w:val="es-ES"/>
              </w:rPr>
              <w:t>Elaborar</w:t>
            </w:r>
            <w:r w:rsidR="00A95BAD" w:rsidRPr="006D3772">
              <w:rPr>
                <w:color w:val="000000"/>
                <w:lang w:val="es-ES"/>
              </w:rPr>
              <w:t xml:space="preserve"> un marco </w:t>
            </w:r>
            <w:r w:rsidRPr="006D3772">
              <w:rPr>
                <w:color w:val="000000"/>
                <w:lang w:val="es-ES"/>
              </w:rPr>
              <w:t xml:space="preserve">normalizado para la presentación de informes con miras a </w:t>
            </w:r>
            <w:r w:rsidR="00A95BAD" w:rsidRPr="006D3772">
              <w:rPr>
                <w:color w:val="000000"/>
                <w:lang w:val="es-ES"/>
              </w:rPr>
              <w:t xml:space="preserve">armonizar y </w:t>
            </w:r>
            <w:r w:rsidRPr="006D3772">
              <w:rPr>
                <w:color w:val="000000"/>
                <w:lang w:val="es-ES"/>
              </w:rPr>
              <w:t>incrementar</w:t>
            </w:r>
            <w:r w:rsidR="00A95BAD" w:rsidRPr="006D3772">
              <w:rPr>
                <w:color w:val="000000"/>
                <w:lang w:val="es-ES"/>
              </w:rPr>
              <w:t xml:space="preserve"> la coordinación mundial de los datos sobre la extensión, el estado y la degradación de los humedales en múltiples AMMA, </w:t>
            </w:r>
            <w:r w:rsidR="00AE0088" w:rsidRPr="006D3772">
              <w:rPr>
                <w:color w:val="000000"/>
                <w:lang w:val="es-ES"/>
              </w:rPr>
              <w:t>potenci</w:t>
            </w:r>
            <w:r w:rsidR="00A95BAD" w:rsidRPr="006D3772">
              <w:rPr>
                <w:color w:val="000000"/>
                <w:lang w:val="es-ES"/>
              </w:rPr>
              <w:t xml:space="preserve">ando el seguimiento y la </w:t>
            </w:r>
            <w:r w:rsidRPr="006D3772">
              <w:rPr>
                <w:color w:val="000000"/>
                <w:lang w:val="es-ES"/>
              </w:rPr>
              <w:t>presentación de información</w:t>
            </w:r>
            <w:r w:rsidR="00A95BAD" w:rsidRPr="006D3772">
              <w:rPr>
                <w:color w:val="000000"/>
                <w:lang w:val="es-ES"/>
              </w:rPr>
              <w:t xml:space="preserve"> sobre la salud de los humedales.</w:t>
            </w:r>
          </w:p>
        </w:tc>
      </w:tr>
      <w:tr w:rsidR="007B31B2" w:rsidRPr="00841C2D" w14:paraId="35B536D0"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5DCE932B" w14:textId="2C39F872" w:rsidR="00A95BAD" w:rsidRPr="006D3772" w:rsidRDefault="00A95BAD" w:rsidP="00A95BAD">
            <w:pPr>
              <w:pStyle w:val="ListParagraph"/>
              <w:numPr>
                <w:ilvl w:val="0"/>
                <w:numId w:val="14"/>
              </w:numPr>
              <w:ind w:left="242" w:hanging="242"/>
              <w:rPr>
                <w:lang w:val="es-ES"/>
              </w:rPr>
            </w:pPr>
            <w:r w:rsidRPr="006D3772">
              <w:rPr>
                <w:lang w:val="es-ES"/>
              </w:rPr>
              <w:t>Elaboración de un inventario mundial de humedales</w:t>
            </w:r>
            <w:r w:rsidR="00F9227D" w:rsidRPr="006D3772">
              <w:rPr>
                <w:lang w:val="es-ES"/>
              </w:rPr>
              <w:t xml:space="preserve"> </w:t>
            </w:r>
            <w:r w:rsidR="006F3DD5" w:rsidRPr="006D3772">
              <w:rPr>
                <w:lang w:val="es-ES"/>
              </w:rPr>
              <w:t>exhaustivo</w:t>
            </w:r>
          </w:p>
          <w:p w14:paraId="65396960" w14:textId="79D57F4B" w:rsidR="008F017C" w:rsidRPr="006D3772" w:rsidRDefault="008F017C" w:rsidP="005658AE">
            <w:pPr>
              <w:pStyle w:val="ListParagraph"/>
              <w:ind w:left="242"/>
              <w:rPr>
                <w:lang w:val="es-ES"/>
              </w:rPr>
            </w:pPr>
          </w:p>
        </w:tc>
        <w:tc>
          <w:tcPr>
            <w:tcW w:w="5224" w:type="dxa"/>
            <w:tcBorders>
              <w:top w:val="single" w:sz="8" w:space="0" w:color="000000"/>
              <w:left w:val="single" w:sz="8" w:space="0" w:color="000000"/>
              <w:bottom w:val="single" w:sz="8" w:space="0" w:color="000000"/>
              <w:right w:val="single" w:sz="8" w:space="0" w:color="000000"/>
            </w:tcBorders>
          </w:tcPr>
          <w:p w14:paraId="668C76C4" w14:textId="6369C978" w:rsidR="008F017C" w:rsidRPr="006D3772" w:rsidRDefault="00ED59E8" w:rsidP="00F9227D">
            <w:pPr>
              <w:rPr>
                <w:color w:val="000000"/>
                <w:lang w:val="es-ES"/>
              </w:rPr>
            </w:pPr>
            <w:r w:rsidRPr="006D3772">
              <w:rPr>
                <w:color w:val="000000"/>
                <w:lang w:val="es-ES"/>
              </w:rPr>
              <w:t xml:space="preserve">Elaborar un inventario mundial de humedales que consolide y complete los datos y las lagunas existentes para ofrecer una visión precisa y completa de los ecosistemas de humedales </w:t>
            </w:r>
            <w:r w:rsidR="00AE0088" w:rsidRPr="006D3772">
              <w:rPr>
                <w:color w:val="000000"/>
                <w:lang w:val="es-ES"/>
              </w:rPr>
              <w:t xml:space="preserve">a </w:t>
            </w:r>
            <w:r w:rsidR="00F9227D" w:rsidRPr="006D3772">
              <w:rPr>
                <w:color w:val="000000"/>
                <w:lang w:val="es-ES"/>
              </w:rPr>
              <w:t>escala</w:t>
            </w:r>
            <w:r w:rsidR="00AE0088" w:rsidRPr="006D3772">
              <w:rPr>
                <w:color w:val="000000"/>
                <w:lang w:val="es-ES"/>
              </w:rPr>
              <w:t xml:space="preserve"> mundial</w:t>
            </w:r>
            <w:r w:rsidRPr="006D3772">
              <w:rPr>
                <w:color w:val="000000"/>
                <w:lang w:val="es-ES"/>
              </w:rPr>
              <w:t>.</w:t>
            </w:r>
          </w:p>
        </w:tc>
      </w:tr>
      <w:tr w:rsidR="007B31B2" w:rsidRPr="00841C2D" w14:paraId="552D1CC9"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56C7D83A" w14:textId="407B0F33" w:rsidR="00ED59E8" w:rsidRPr="006D3772" w:rsidRDefault="00D3558D" w:rsidP="00ED59E8">
            <w:pPr>
              <w:pStyle w:val="ListParagraph"/>
              <w:numPr>
                <w:ilvl w:val="0"/>
                <w:numId w:val="14"/>
              </w:numPr>
              <w:ind w:left="242" w:hanging="242"/>
              <w:rPr>
                <w:lang w:val="es-ES"/>
              </w:rPr>
            </w:pPr>
            <w:r>
              <w:rPr>
                <w:lang w:val="es-ES"/>
              </w:rPr>
              <w:t>Cartografía</w:t>
            </w:r>
            <w:r w:rsidR="00ED59E8" w:rsidRPr="006D3772">
              <w:rPr>
                <w:lang w:val="es-ES"/>
              </w:rPr>
              <w:t xml:space="preserve"> e inventario de humedales en un contexto periurbano</w:t>
            </w:r>
          </w:p>
          <w:p w14:paraId="04049BD6" w14:textId="0E815656" w:rsidR="008F017C" w:rsidRPr="006D3772" w:rsidRDefault="008F017C" w:rsidP="005658AE">
            <w:pPr>
              <w:pStyle w:val="ListParagraph"/>
              <w:ind w:left="242"/>
              <w:rPr>
                <w:lang w:val="es-ES"/>
              </w:rPr>
            </w:pPr>
          </w:p>
        </w:tc>
        <w:tc>
          <w:tcPr>
            <w:tcW w:w="5224" w:type="dxa"/>
            <w:tcBorders>
              <w:top w:val="single" w:sz="8" w:space="0" w:color="000000"/>
              <w:left w:val="single" w:sz="8" w:space="0" w:color="000000"/>
              <w:bottom w:val="single" w:sz="8" w:space="0" w:color="000000"/>
              <w:right w:val="single" w:sz="8" w:space="0" w:color="000000"/>
            </w:tcBorders>
          </w:tcPr>
          <w:p w14:paraId="3FDB2527" w14:textId="4FC351F8" w:rsidR="008F017C" w:rsidRPr="006D3772" w:rsidRDefault="00E127FF" w:rsidP="00F9227D">
            <w:pPr>
              <w:rPr>
                <w:color w:val="000000"/>
                <w:lang w:val="es-ES"/>
              </w:rPr>
            </w:pPr>
            <w:r w:rsidRPr="006D3772">
              <w:rPr>
                <w:color w:val="000000"/>
                <w:lang w:val="es-ES"/>
              </w:rPr>
              <w:t xml:space="preserve">Abordar los retos específicos que plantean </w:t>
            </w:r>
            <w:r w:rsidR="00D3558D">
              <w:rPr>
                <w:color w:val="000000"/>
                <w:lang w:val="es-ES"/>
              </w:rPr>
              <w:t xml:space="preserve">la cartografía </w:t>
            </w:r>
            <w:r w:rsidRPr="006D3772">
              <w:rPr>
                <w:color w:val="000000"/>
                <w:lang w:val="es-ES"/>
              </w:rPr>
              <w:t xml:space="preserve">y el inventario de </w:t>
            </w:r>
            <w:r w:rsidRPr="006D3772">
              <w:rPr>
                <w:lang w:val="es-ES"/>
              </w:rPr>
              <w:t xml:space="preserve">humedales en zonas periurbanas, donde las presiones de la expansión </w:t>
            </w:r>
            <w:r w:rsidR="006F3DD5" w:rsidRPr="006D3772">
              <w:rPr>
                <w:lang w:val="es-ES"/>
              </w:rPr>
              <w:t>urbana</w:t>
            </w:r>
            <w:r w:rsidRPr="006D3772">
              <w:rPr>
                <w:lang w:val="es-ES"/>
              </w:rPr>
              <w:t xml:space="preserve"> y los cambios en los usos del suelo amenazan de forma significativa los ecosistemas </w:t>
            </w:r>
            <w:r w:rsidRPr="006D3772">
              <w:rPr>
                <w:color w:val="000000"/>
                <w:lang w:val="es-ES"/>
              </w:rPr>
              <w:t>de humedales.</w:t>
            </w:r>
          </w:p>
        </w:tc>
      </w:tr>
      <w:tr w:rsidR="007B31B2" w:rsidRPr="00841C2D" w14:paraId="245079D0"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19AF4A69" w14:textId="77777777" w:rsidR="00E127FF" w:rsidRPr="006D3772" w:rsidRDefault="00E127FF" w:rsidP="00E127FF">
            <w:pPr>
              <w:pStyle w:val="ListParagraph"/>
              <w:numPr>
                <w:ilvl w:val="0"/>
                <w:numId w:val="14"/>
              </w:numPr>
              <w:ind w:left="242" w:hanging="242"/>
              <w:rPr>
                <w:lang w:val="es-ES"/>
              </w:rPr>
            </w:pPr>
            <w:r w:rsidRPr="006D3772">
              <w:rPr>
                <w:lang w:val="es-ES"/>
              </w:rPr>
              <w:t>Cambios en los ciclos hidrológicos y cómo gestionar los procesos de desecación</w:t>
            </w:r>
          </w:p>
          <w:p w14:paraId="3EB64022" w14:textId="4B4956ED" w:rsidR="008F017C" w:rsidRPr="006D3772" w:rsidRDefault="008F017C" w:rsidP="005658AE">
            <w:pPr>
              <w:pStyle w:val="ListParagraph"/>
              <w:ind w:left="242"/>
              <w:rPr>
                <w:lang w:val="es-ES"/>
              </w:rPr>
            </w:pPr>
          </w:p>
        </w:tc>
        <w:tc>
          <w:tcPr>
            <w:tcW w:w="5224" w:type="dxa"/>
            <w:tcBorders>
              <w:top w:val="single" w:sz="8" w:space="0" w:color="000000"/>
              <w:left w:val="single" w:sz="8" w:space="0" w:color="000000"/>
              <w:bottom w:val="single" w:sz="8" w:space="0" w:color="000000"/>
              <w:right w:val="single" w:sz="8" w:space="0" w:color="000000"/>
            </w:tcBorders>
          </w:tcPr>
          <w:p w14:paraId="70C72E84" w14:textId="2584BAE0" w:rsidR="008F017C" w:rsidRPr="006D3772" w:rsidRDefault="00E127FF" w:rsidP="00F9227D">
            <w:pPr>
              <w:rPr>
                <w:color w:val="000000"/>
                <w:lang w:val="es-ES"/>
              </w:rPr>
            </w:pPr>
            <w:r w:rsidRPr="006D3772">
              <w:rPr>
                <w:color w:val="000000"/>
                <w:lang w:val="es-ES"/>
              </w:rPr>
              <w:t xml:space="preserve">Analizar los efectos del cambio de los ciclos hidrológicos, incluido el aumento de la desecación, </w:t>
            </w:r>
            <w:r w:rsidR="00AE0088" w:rsidRPr="006D3772">
              <w:rPr>
                <w:color w:val="000000"/>
                <w:lang w:val="es-ES"/>
              </w:rPr>
              <w:t>sobre</w:t>
            </w:r>
            <w:r w:rsidRPr="006D3772">
              <w:rPr>
                <w:color w:val="000000"/>
                <w:lang w:val="es-ES"/>
              </w:rPr>
              <w:t xml:space="preserve"> los ecosistemas de humedales y </w:t>
            </w:r>
            <w:r w:rsidR="00F9227D" w:rsidRPr="006D3772">
              <w:rPr>
                <w:color w:val="000000"/>
                <w:lang w:val="es-ES"/>
              </w:rPr>
              <w:t>elaborar</w:t>
            </w:r>
            <w:r w:rsidRPr="006D3772">
              <w:rPr>
                <w:color w:val="000000"/>
                <w:lang w:val="es-ES"/>
              </w:rPr>
              <w:t xml:space="preserve"> estrategias para gestionar estos cambios </w:t>
            </w:r>
            <w:r w:rsidR="00F9227D" w:rsidRPr="006D3772">
              <w:rPr>
                <w:color w:val="000000"/>
                <w:lang w:val="es-ES"/>
              </w:rPr>
              <w:t xml:space="preserve">para </w:t>
            </w:r>
            <w:r w:rsidRPr="006D3772">
              <w:rPr>
                <w:color w:val="000000"/>
                <w:lang w:val="es-ES"/>
              </w:rPr>
              <w:t>garantizar la resistencia y funcionalidad de los humedales.</w:t>
            </w:r>
          </w:p>
        </w:tc>
      </w:tr>
      <w:tr w:rsidR="007B31B2" w:rsidRPr="00841C2D" w14:paraId="78433082"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1C65DC5C" w14:textId="77777777" w:rsidR="004F7731" w:rsidRPr="006D3772" w:rsidRDefault="004F7731" w:rsidP="004F7731">
            <w:pPr>
              <w:pStyle w:val="ListParagraph"/>
              <w:numPr>
                <w:ilvl w:val="0"/>
                <w:numId w:val="14"/>
              </w:numPr>
              <w:ind w:left="242" w:hanging="242"/>
              <w:rPr>
                <w:lang w:val="es-ES"/>
              </w:rPr>
            </w:pPr>
            <w:r w:rsidRPr="006D3772">
              <w:rPr>
                <w:lang w:val="es-ES"/>
              </w:rPr>
              <w:t>Apoyo a los medios de subsistencia de las comunidades de los humedales</w:t>
            </w:r>
          </w:p>
          <w:p w14:paraId="3E5DDDC8" w14:textId="16D0BEC6" w:rsidR="00E975C8" w:rsidRPr="006D3772" w:rsidRDefault="00E975C8" w:rsidP="005658AE">
            <w:pPr>
              <w:pStyle w:val="ListParagraph"/>
              <w:ind w:left="242"/>
              <w:rPr>
                <w:lang w:val="es-ES"/>
              </w:rPr>
            </w:pPr>
          </w:p>
        </w:tc>
        <w:tc>
          <w:tcPr>
            <w:tcW w:w="5224" w:type="dxa"/>
            <w:tcBorders>
              <w:top w:val="single" w:sz="8" w:space="0" w:color="000000"/>
              <w:left w:val="single" w:sz="8" w:space="0" w:color="000000"/>
              <w:bottom w:val="single" w:sz="8" w:space="0" w:color="000000"/>
              <w:right w:val="single" w:sz="8" w:space="0" w:color="000000"/>
            </w:tcBorders>
          </w:tcPr>
          <w:p w14:paraId="3212047E" w14:textId="7001F2F2" w:rsidR="00E975C8" w:rsidRPr="006D3772" w:rsidRDefault="004F7731" w:rsidP="00F9227D">
            <w:pPr>
              <w:rPr>
                <w:color w:val="000000"/>
                <w:lang w:val="es-ES"/>
              </w:rPr>
            </w:pPr>
            <w:r w:rsidRPr="006D3772">
              <w:rPr>
                <w:color w:val="000000"/>
                <w:lang w:val="es-ES"/>
              </w:rPr>
              <w:t>Desarrollo de estrategias para apoyar y fortalecer los medios de subsistencia de las comunidades que viven en los humedales o en sus alrededores, garantizando que la conservación y el uso racional de los humedales se ajusten al bienestar social y económico de las poblaciones locales.</w:t>
            </w:r>
          </w:p>
        </w:tc>
      </w:tr>
      <w:tr w:rsidR="007B31B2" w:rsidRPr="00841C2D" w14:paraId="6EB053D7"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5A1B968B" w14:textId="77777777" w:rsidR="004F7731" w:rsidRPr="006D3772" w:rsidRDefault="004F7731" w:rsidP="004F7731">
            <w:pPr>
              <w:pStyle w:val="ListParagraph"/>
              <w:numPr>
                <w:ilvl w:val="0"/>
                <w:numId w:val="14"/>
              </w:numPr>
              <w:ind w:left="242" w:hanging="242"/>
              <w:rPr>
                <w:lang w:val="es-ES"/>
              </w:rPr>
            </w:pPr>
            <w:r w:rsidRPr="006D3772">
              <w:rPr>
                <w:lang w:val="es-ES"/>
              </w:rPr>
              <w:t>Impacto sobre los humedales del cambio a fuentes de energía eléctrica y el uso de minerales</w:t>
            </w:r>
          </w:p>
          <w:p w14:paraId="44A8EA28" w14:textId="0CA08EA1" w:rsidR="00E975C8" w:rsidRPr="006D3772" w:rsidRDefault="00E975C8" w:rsidP="005658AE">
            <w:pPr>
              <w:pStyle w:val="ListParagraph"/>
              <w:ind w:left="242"/>
              <w:rPr>
                <w:lang w:val="es-ES"/>
              </w:rPr>
            </w:pPr>
          </w:p>
        </w:tc>
        <w:tc>
          <w:tcPr>
            <w:tcW w:w="5224" w:type="dxa"/>
            <w:tcBorders>
              <w:top w:val="single" w:sz="8" w:space="0" w:color="000000"/>
              <w:left w:val="single" w:sz="8" w:space="0" w:color="000000"/>
              <w:bottom w:val="single" w:sz="8" w:space="0" w:color="000000"/>
              <w:right w:val="single" w:sz="8" w:space="0" w:color="000000"/>
            </w:tcBorders>
          </w:tcPr>
          <w:p w14:paraId="1F2BCEFC" w14:textId="43DA74D3" w:rsidR="00E975C8" w:rsidRPr="006D3772" w:rsidRDefault="000A12B9" w:rsidP="00F9227D">
            <w:pPr>
              <w:rPr>
                <w:color w:val="000000"/>
                <w:lang w:val="es-ES"/>
              </w:rPr>
            </w:pPr>
            <w:r w:rsidRPr="006D3772">
              <w:rPr>
                <w:color w:val="000000"/>
                <w:lang w:val="es-ES"/>
              </w:rPr>
              <w:t xml:space="preserve">Investigar el impacto ambiental de la creciente demanda de fuentes de </w:t>
            </w:r>
            <w:r w:rsidRPr="006D3772">
              <w:rPr>
                <w:lang w:val="es-ES"/>
              </w:rPr>
              <w:t xml:space="preserve">energía eléctrica y la extracción de minerales sobre los humedales, prestando especial atención a los cambios en el uso del suelo, la contaminación y la degradación </w:t>
            </w:r>
            <w:r w:rsidRPr="006D3772">
              <w:rPr>
                <w:color w:val="000000"/>
                <w:lang w:val="es-ES"/>
              </w:rPr>
              <w:t>del hábitat.</w:t>
            </w:r>
          </w:p>
        </w:tc>
      </w:tr>
      <w:tr w:rsidR="007B31B2" w:rsidRPr="00841C2D" w14:paraId="2BE0CF1E"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20C5F3D0" w14:textId="77777777" w:rsidR="000A12B9" w:rsidRPr="006D3772" w:rsidRDefault="000A12B9" w:rsidP="000A12B9">
            <w:pPr>
              <w:pStyle w:val="ListParagraph"/>
              <w:numPr>
                <w:ilvl w:val="0"/>
                <w:numId w:val="14"/>
              </w:numPr>
              <w:ind w:left="242" w:hanging="242"/>
              <w:rPr>
                <w:lang w:val="es-ES"/>
              </w:rPr>
            </w:pPr>
            <w:r w:rsidRPr="006D3772">
              <w:rPr>
                <w:lang w:val="es-ES"/>
              </w:rPr>
              <w:t>Dificultades relacionadas con la biodiversidad y los créditos de carbono</w:t>
            </w:r>
          </w:p>
          <w:p w14:paraId="7D8D4514" w14:textId="068C6339" w:rsidR="00E975C8" w:rsidRPr="006D3772" w:rsidRDefault="00E975C8" w:rsidP="005658AE">
            <w:pPr>
              <w:pStyle w:val="ListParagraph"/>
              <w:ind w:left="242"/>
              <w:rPr>
                <w:lang w:val="es-ES"/>
              </w:rPr>
            </w:pPr>
          </w:p>
        </w:tc>
        <w:tc>
          <w:tcPr>
            <w:tcW w:w="5224" w:type="dxa"/>
            <w:tcBorders>
              <w:top w:val="single" w:sz="8" w:space="0" w:color="000000"/>
              <w:left w:val="single" w:sz="8" w:space="0" w:color="000000"/>
              <w:bottom w:val="single" w:sz="8" w:space="0" w:color="000000"/>
              <w:right w:val="single" w:sz="8" w:space="0" w:color="000000"/>
            </w:tcBorders>
          </w:tcPr>
          <w:p w14:paraId="2FA018B6" w14:textId="47A346C1" w:rsidR="00E975C8" w:rsidRPr="006D3772" w:rsidRDefault="00B14025" w:rsidP="00F9227D">
            <w:pPr>
              <w:rPr>
                <w:color w:val="000000"/>
                <w:lang w:val="es-ES"/>
              </w:rPr>
            </w:pPr>
            <w:r w:rsidRPr="006D3772">
              <w:rPr>
                <w:color w:val="000000"/>
                <w:lang w:val="es-ES"/>
              </w:rPr>
              <w:t xml:space="preserve">Abordar las dificultades y </w:t>
            </w:r>
            <w:r w:rsidR="00AE0088" w:rsidRPr="006D3772">
              <w:rPr>
                <w:color w:val="000000"/>
                <w:lang w:val="es-ES"/>
              </w:rPr>
              <w:t xml:space="preserve">los </w:t>
            </w:r>
            <w:r w:rsidRPr="006D3772">
              <w:rPr>
                <w:color w:val="000000"/>
                <w:lang w:val="es-ES"/>
              </w:rPr>
              <w:t xml:space="preserve">retos que plantea la integración de la conservación de la biodiversidad y los mecanismos de créditos de carbono en los ecosistemas de humedales, con el fin de proponer marcos que puedan maximizar el secuestro de carbono </w:t>
            </w:r>
            <w:r w:rsidR="002E00D0" w:rsidRPr="006D3772">
              <w:rPr>
                <w:color w:val="000000"/>
                <w:lang w:val="es-ES"/>
              </w:rPr>
              <w:t>y</w:t>
            </w:r>
            <w:r w:rsidRPr="006D3772">
              <w:rPr>
                <w:color w:val="000000"/>
                <w:lang w:val="es-ES"/>
              </w:rPr>
              <w:t xml:space="preserve"> la protección de la biodiversidad.</w:t>
            </w:r>
          </w:p>
        </w:tc>
      </w:tr>
      <w:tr w:rsidR="006F3DD5" w:rsidRPr="00841C2D" w14:paraId="500AE375"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3B23B01A" w14:textId="15CBF0D4" w:rsidR="00B14025" w:rsidRPr="006D3772" w:rsidRDefault="00B14025" w:rsidP="00B14025">
            <w:pPr>
              <w:pStyle w:val="ListParagraph"/>
              <w:numPr>
                <w:ilvl w:val="0"/>
                <w:numId w:val="14"/>
              </w:numPr>
              <w:ind w:left="242" w:hanging="242"/>
              <w:rPr>
                <w:lang w:val="es-ES"/>
              </w:rPr>
            </w:pPr>
            <w:r w:rsidRPr="006D3772">
              <w:rPr>
                <w:lang w:val="es-ES"/>
              </w:rPr>
              <w:lastRenderedPageBreak/>
              <w:t>Evaluaciones integradas de humedales para responder a las amenazas a escala de</w:t>
            </w:r>
            <w:r w:rsidR="002E00D0" w:rsidRPr="006D3772">
              <w:rPr>
                <w:lang w:val="es-ES"/>
              </w:rPr>
              <w:t xml:space="preserve"> </w:t>
            </w:r>
            <w:r w:rsidRPr="006D3772">
              <w:rPr>
                <w:lang w:val="es-ES"/>
              </w:rPr>
              <w:t>cuenc</w:t>
            </w:r>
            <w:r w:rsidR="002E00D0" w:rsidRPr="006D3772">
              <w:rPr>
                <w:lang w:val="es-ES"/>
              </w:rPr>
              <w:t>a</w:t>
            </w:r>
            <w:r w:rsidR="00395D0C">
              <w:rPr>
                <w:lang w:val="es-ES"/>
              </w:rPr>
              <w:t xml:space="preserve"> </w:t>
            </w:r>
            <w:r w:rsidRPr="006D3772">
              <w:rPr>
                <w:lang w:val="es-ES"/>
              </w:rPr>
              <w:t>hidrográfica</w:t>
            </w:r>
          </w:p>
          <w:p w14:paraId="6A7672EF" w14:textId="056D7B25" w:rsidR="00E975C8" w:rsidRPr="006D3772" w:rsidRDefault="00E975C8" w:rsidP="005658AE">
            <w:pPr>
              <w:pStyle w:val="ListParagraph"/>
              <w:ind w:left="242"/>
              <w:rPr>
                <w:lang w:val="es-ES"/>
              </w:rPr>
            </w:pPr>
          </w:p>
        </w:tc>
        <w:tc>
          <w:tcPr>
            <w:tcW w:w="5224" w:type="dxa"/>
            <w:tcBorders>
              <w:top w:val="single" w:sz="8" w:space="0" w:color="000000"/>
              <w:left w:val="single" w:sz="8" w:space="0" w:color="000000"/>
              <w:bottom w:val="single" w:sz="8" w:space="0" w:color="000000"/>
              <w:right w:val="single" w:sz="8" w:space="0" w:color="000000"/>
            </w:tcBorders>
          </w:tcPr>
          <w:p w14:paraId="5D242E23" w14:textId="1D6F1934" w:rsidR="00E975C8" w:rsidRPr="006D3772" w:rsidRDefault="00B14025" w:rsidP="00EE609E">
            <w:pPr>
              <w:rPr>
                <w:lang w:val="es-ES"/>
              </w:rPr>
            </w:pPr>
            <w:r w:rsidRPr="006D3772">
              <w:rPr>
                <w:lang w:val="es-ES"/>
              </w:rPr>
              <w:t xml:space="preserve">Evaluación de los ecosistemas de humedales a escala de cuenca hidrográfica, incorporando factores hidrológicos, ecológicos y socioeconómicos para abordar las amenazas de </w:t>
            </w:r>
            <w:r w:rsidR="00EE609E" w:rsidRPr="006D3772">
              <w:rPr>
                <w:lang w:val="es-ES"/>
              </w:rPr>
              <w:t>manera</w:t>
            </w:r>
            <w:r w:rsidRPr="006D3772">
              <w:rPr>
                <w:lang w:val="es-ES"/>
              </w:rPr>
              <w:t xml:space="preserve"> </w:t>
            </w:r>
            <w:r w:rsidR="00EE609E" w:rsidRPr="006D3772">
              <w:rPr>
                <w:lang w:val="es-ES"/>
              </w:rPr>
              <w:t>integral</w:t>
            </w:r>
            <w:r w:rsidRPr="006D3772">
              <w:rPr>
                <w:lang w:val="es-ES"/>
              </w:rPr>
              <w:t xml:space="preserve"> y promover </w:t>
            </w:r>
            <w:r w:rsidR="00CD0990" w:rsidRPr="006D3772">
              <w:rPr>
                <w:lang w:val="es-ES"/>
              </w:rPr>
              <w:t xml:space="preserve">el manejo </w:t>
            </w:r>
            <w:r w:rsidRPr="006D3772">
              <w:rPr>
                <w:lang w:val="es-ES"/>
              </w:rPr>
              <w:t>de los humedales a escala de cuenca.</w:t>
            </w:r>
          </w:p>
        </w:tc>
      </w:tr>
      <w:tr w:rsidR="006F3DD5" w:rsidRPr="00841C2D" w14:paraId="56F79CF2"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0325FCAC" w14:textId="77777777" w:rsidR="00B14025" w:rsidRPr="006D3772" w:rsidRDefault="00B14025" w:rsidP="00B14025">
            <w:pPr>
              <w:pStyle w:val="ListParagraph"/>
              <w:numPr>
                <w:ilvl w:val="0"/>
                <w:numId w:val="14"/>
              </w:numPr>
              <w:ind w:left="242" w:hanging="242"/>
              <w:rPr>
                <w:lang w:val="es-ES"/>
              </w:rPr>
            </w:pPr>
            <w:r w:rsidRPr="006D3772">
              <w:rPr>
                <w:lang w:val="es-ES"/>
              </w:rPr>
              <w:t>Potencial de captura de carbono de los humedales de suelo mineral</w:t>
            </w:r>
          </w:p>
          <w:p w14:paraId="4CC4EB2D" w14:textId="5419ED2B" w:rsidR="00E975C8" w:rsidRPr="006D3772" w:rsidRDefault="00E975C8" w:rsidP="005658AE">
            <w:pPr>
              <w:pStyle w:val="ListParagraph"/>
              <w:ind w:left="242"/>
              <w:rPr>
                <w:lang w:val="es-ES"/>
              </w:rPr>
            </w:pPr>
          </w:p>
        </w:tc>
        <w:tc>
          <w:tcPr>
            <w:tcW w:w="5224" w:type="dxa"/>
            <w:tcBorders>
              <w:top w:val="single" w:sz="8" w:space="0" w:color="000000"/>
              <w:left w:val="single" w:sz="8" w:space="0" w:color="000000"/>
              <w:bottom w:val="single" w:sz="8" w:space="0" w:color="000000"/>
              <w:right w:val="single" w:sz="8" w:space="0" w:color="000000"/>
            </w:tcBorders>
          </w:tcPr>
          <w:p w14:paraId="397EF7DD" w14:textId="60C4AE7A" w:rsidR="00E975C8" w:rsidRPr="006D3772" w:rsidRDefault="00B14025" w:rsidP="00EE609E">
            <w:pPr>
              <w:rPr>
                <w:lang w:val="es-ES"/>
              </w:rPr>
            </w:pPr>
            <w:r w:rsidRPr="006D3772">
              <w:rPr>
                <w:lang w:val="es-ES"/>
              </w:rPr>
              <w:t xml:space="preserve">Explorar la capacidad de secuestro de carbono de los humedales de suelo mineral, evaluando su papel en la mitigación del cambio climático y </w:t>
            </w:r>
            <w:r w:rsidR="006C2A7F">
              <w:rPr>
                <w:lang w:val="es-ES"/>
              </w:rPr>
              <w:t>generando</w:t>
            </w:r>
            <w:r w:rsidRPr="006D3772">
              <w:rPr>
                <w:lang w:val="es-ES"/>
              </w:rPr>
              <w:t xml:space="preserve"> </w:t>
            </w:r>
            <w:r w:rsidR="006C2A7F">
              <w:rPr>
                <w:lang w:val="es-ES"/>
              </w:rPr>
              <w:t>buenas</w:t>
            </w:r>
            <w:r w:rsidRPr="006D3772">
              <w:rPr>
                <w:lang w:val="es-ES"/>
              </w:rPr>
              <w:t xml:space="preserve"> prácticas para su conservación y restauración.</w:t>
            </w:r>
          </w:p>
        </w:tc>
      </w:tr>
      <w:tr w:rsidR="007B31B2" w:rsidRPr="00841C2D" w14:paraId="6017FF48"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2450BDD4" w14:textId="77777777" w:rsidR="00B14025" w:rsidRPr="006D3772" w:rsidRDefault="00B14025" w:rsidP="00B14025">
            <w:pPr>
              <w:pStyle w:val="ListParagraph"/>
              <w:numPr>
                <w:ilvl w:val="0"/>
                <w:numId w:val="14"/>
              </w:numPr>
              <w:ind w:left="242" w:hanging="242"/>
              <w:rPr>
                <w:lang w:val="es-ES"/>
              </w:rPr>
            </w:pPr>
            <w:r w:rsidRPr="006D3772">
              <w:rPr>
                <w:lang w:val="es-ES"/>
              </w:rPr>
              <w:t>Contaminación por plásticos en humedales y especies de humedales</w:t>
            </w:r>
          </w:p>
          <w:p w14:paraId="744CCA93" w14:textId="01AC6357" w:rsidR="00E975C8" w:rsidRPr="006D3772" w:rsidRDefault="00E975C8" w:rsidP="005658AE">
            <w:pPr>
              <w:pStyle w:val="ListParagraph"/>
              <w:ind w:left="242"/>
              <w:rPr>
                <w:lang w:val="es-ES"/>
              </w:rPr>
            </w:pPr>
          </w:p>
        </w:tc>
        <w:tc>
          <w:tcPr>
            <w:tcW w:w="5224" w:type="dxa"/>
            <w:tcBorders>
              <w:top w:val="single" w:sz="8" w:space="0" w:color="000000"/>
              <w:left w:val="single" w:sz="8" w:space="0" w:color="000000"/>
              <w:bottom w:val="single" w:sz="8" w:space="0" w:color="000000"/>
              <w:right w:val="single" w:sz="8" w:space="0" w:color="000000"/>
            </w:tcBorders>
          </w:tcPr>
          <w:p w14:paraId="4104615D" w14:textId="70E9C26C" w:rsidR="00E975C8" w:rsidRPr="006D3772" w:rsidRDefault="00E83A3A" w:rsidP="00ED10AA">
            <w:pPr>
              <w:rPr>
                <w:color w:val="000000"/>
                <w:lang w:val="es-ES"/>
              </w:rPr>
            </w:pPr>
            <w:r w:rsidRPr="006D3772">
              <w:rPr>
                <w:color w:val="000000"/>
                <w:lang w:val="es-ES"/>
              </w:rPr>
              <w:t xml:space="preserve">Examinar el alcance y las repercusiones de la contaminación </w:t>
            </w:r>
            <w:r w:rsidR="00AE0088" w:rsidRPr="006D3772">
              <w:rPr>
                <w:color w:val="000000"/>
                <w:lang w:val="es-ES"/>
              </w:rPr>
              <w:t xml:space="preserve">por </w:t>
            </w:r>
            <w:r w:rsidRPr="006D3772">
              <w:rPr>
                <w:color w:val="000000"/>
                <w:lang w:val="es-ES"/>
              </w:rPr>
              <w:t>plástic</w:t>
            </w:r>
            <w:r w:rsidR="00AE0088" w:rsidRPr="006D3772">
              <w:rPr>
                <w:color w:val="000000"/>
                <w:lang w:val="es-ES"/>
              </w:rPr>
              <w:t>os</w:t>
            </w:r>
            <w:r w:rsidRPr="006D3772">
              <w:rPr>
                <w:color w:val="000000"/>
                <w:lang w:val="es-ES"/>
              </w:rPr>
              <w:t xml:space="preserve"> en los ecosistemas de humedales, en particular sus efectos sobre las especies de humedales, y proponer estrategias para reducir y gestionar los residuos plásticos en estos hábitats críticos.</w:t>
            </w:r>
          </w:p>
        </w:tc>
      </w:tr>
      <w:tr w:rsidR="006F3DD5" w:rsidRPr="00841C2D" w14:paraId="2E7BA8DB"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13A94679" w14:textId="2017AFEF" w:rsidR="00E975C8" w:rsidRPr="006D3772" w:rsidRDefault="00C061CA" w:rsidP="00ED10AA">
            <w:pPr>
              <w:pStyle w:val="ListParagraph"/>
              <w:numPr>
                <w:ilvl w:val="0"/>
                <w:numId w:val="14"/>
              </w:numPr>
              <w:ind w:left="242" w:hanging="242"/>
              <w:rPr>
                <w:lang w:val="es-ES"/>
              </w:rPr>
            </w:pPr>
            <w:r w:rsidRPr="006D3772">
              <w:rPr>
                <w:lang w:val="es-ES"/>
              </w:rPr>
              <w:t xml:space="preserve">Humedales de importancia internacional </w:t>
            </w:r>
            <w:r w:rsidR="00ED10AA" w:rsidRPr="006D3772">
              <w:rPr>
                <w:lang w:val="es-ES"/>
              </w:rPr>
              <w:t xml:space="preserve">– </w:t>
            </w:r>
            <w:r w:rsidRPr="006D3772">
              <w:rPr>
                <w:lang w:val="es-ES"/>
              </w:rPr>
              <w:t xml:space="preserve">orientaciones sobre el cambio de las </w:t>
            </w:r>
            <w:r w:rsidR="006F3DD5" w:rsidRPr="006D3772">
              <w:rPr>
                <w:lang w:val="es-ES"/>
              </w:rPr>
              <w:t xml:space="preserve">bases de referencia </w:t>
            </w:r>
            <w:r w:rsidRPr="006D3772">
              <w:rPr>
                <w:lang w:val="es-ES"/>
              </w:rPr>
              <w:t>(características ecológicas)</w:t>
            </w:r>
          </w:p>
        </w:tc>
        <w:tc>
          <w:tcPr>
            <w:tcW w:w="5224" w:type="dxa"/>
            <w:tcBorders>
              <w:top w:val="single" w:sz="8" w:space="0" w:color="000000"/>
              <w:left w:val="single" w:sz="8" w:space="0" w:color="000000"/>
              <w:bottom w:val="single" w:sz="8" w:space="0" w:color="000000"/>
              <w:right w:val="single" w:sz="8" w:space="0" w:color="000000"/>
            </w:tcBorders>
          </w:tcPr>
          <w:p w14:paraId="60015736" w14:textId="24DA31C2" w:rsidR="00E975C8" w:rsidRPr="006D3772" w:rsidRDefault="00C31A63" w:rsidP="00ED10AA">
            <w:pPr>
              <w:rPr>
                <w:lang w:val="es-ES"/>
              </w:rPr>
            </w:pPr>
            <w:r w:rsidRPr="006D3772">
              <w:rPr>
                <w:lang w:val="es-ES"/>
              </w:rPr>
              <w:t xml:space="preserve">Proporcionar orientaciones actualizadas sobre </w:t>
            </w:r>
            <w:r w:rsidR="00CD0990" w:rsidRPr="006D3772">
              <w:rPr>
                <w:lang w:val="es-ES"/>
              </w:rPr>
              <w:t xml:space="preserve">el manejo </w:t>
            </w:r>
            <w:r w:rsidRPr="006D3772">
              <w:rPr>
                <w:lang w:val="es-ES"/>
              </w:rPr>
              <w:t xml:space="preserve">de los Humedales de Importancia Internacional ante las cambiantes bases </w:t>
            </w:r>
            <w:r w:rsidR="006F3DD5" w:rsidRPr="006D3772">
              <w:rPr>
                <w:lang w:val="es-ES"/>
              </w:rPr>
              <w:t xml:space="preserve">de referencia </w:t>
            </w:r>
            <w:r w:rsidRPr="006D3772">
              <w:rPr>
                <w:lang w:val="es-ES"/>
              </w:rPr>
              <w:t>ecológicas.</w:t>
            </w:r>
          </w:p>
        </w:tc>
      </w:tr>
      <w:tr w:rsidR="006F3DD5" w:rsidRPr="00841C2D" w14:paraId="66BC1EBB"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68DD45B6" w14:textId="18CEA062" w:rsidR="00C31A63" w:rsidRPr="006D3772" w:rsidRDefault="00C31A63" w:rsidP="00C31A63">
            <w:pPr>
              <w:pStyle w:val="ListParagraph"/>
              <w:numPr>
                <w:ilvl w:val="0"/>
                <w:numId w:val="14"/>
              </w:numPr>
              <w:ind w:left="242" w:hanging="242"/>
              <w:rPr>
                <w:lang w:val="es-ES"/>
              </w:rPr>
            </w:pPr>
            <w:r w:rsidRPr="006D3772">
              <w:rPr>
                <w:lang w:val="es-ES"/>
              </w:rPr>
              <w:t>Evaluación Nexus</w:t>
            </w:r>
            <w:r w:rsidR="006F3DD5" w:rsidRPr="006D3772">
              <w:rPr>
                <w:lang w:val="es-ES"/>
              </w:rPr>
              <w:t xml:space="preserve"> </w:t>
            </w:r>
            <w:r w:rsidR="00DD05DA" w:rsidRPr="006D3772">
              <w:rPr>
                <w:lang w:val="es-ES"/>
              </w:rPr>
              <w:t>o “e</w:t>
            </w:r>
            <w:r w:rsidR="006F3DD5" w:rsidRPr="006D3772">
              <w:rPr>
                <w:lang w:val="es-ES"/>
              </w:rPr>
              <w:t>valuación de los nexos</w:t>
            </w:r>
            <w:r w:rsidR="00DD05DA" w:rsidRPr="006D3772">
              <w:rPr>
                <w:lang w:val="es-ES"/>
              </w:rPr>
              <w:t xml:space="preserve">” </w:t>
            </w:r>
            <w:r w:rsidRPr="006D3772">
              <w:rPr>
                <w:lang w:val="es-ES"/>
              </w:rPr>
              <w:t xml:space="preserve">- </w:t>
            </w:r>
            <w:r w:rsidR="006F3DD5" w:rsidRPr="006D3772">
              <w:rPr>
                <w:lang w:val="es-ES"/>
              </w:rPr>
              <w:t>trabajar</w:t>
            </w:r>
            <w:r w:rsidRPr="006D3772">
              <w:rPr>
                <w:lang w:val="es-ES"/>
              </w:rPr>
              <w:t xml:space="preserve"> sobre la base de la evaluación</w:t>
            </w:r>
            <w:r w:rsidR="00ED10AA" w:rsidRPr="006D3772">
              <w:rPr>
                <w:lang w:val="es-ES"/>
              </w:rPr>
              <w:t xml:space="preserve"> de la</w:t>
            </w:r>
            <w:r w:rsidRPr="006D3772">
              <w:rPr>
                <w:lang w:val="es-ES"/>
              </w:rPr>
              <w:t xml:space="preserve"> IPBES en el contexto de los humedales</w:t>
            </w:r>
          </w:p>
          <w:p w14:paraId="5909A529" w14:textId="4262AF15" w:rsidR="00E975C8" w:rsidRPr="006D3772" w:rsidRDefault="00E975C8" w:rsidP="005658AE">
            <w:pPr>
              <w:pStyle w:val="ListParagraph"/>
              <w:ind w:left="242"/>
              <w:rPr>
                <w:lang w:val="es-ES"/>
              </w:rPr>
            </w:pPr>
          </w:p>
        </w:tc>
        <w:tc>
          <w:tcPr>
            <w:tcW w:w="5224" w:type="dxa"/>
            <w:tcBorders>
              <w:top w:val="single" w:sz="8" w:space="0" w:color="000000"/>
              <w:left w:val="single" w:sz="8" w:space="0" w:color="000000"/>
              <w:bottom w:val="single" w:sz="8" w:space="0" w:color="000000"/>
              <w:right w:val="single" w:sz="8" w:space="0" w:color="000000"/>
            </w:tcBorders>
          </w:tcPr>
          <w:p w14:paraId="6211FA4C" w14:textId="05E750E6" w:rsidR="00E975C8" w:rsidRPr="006D3772" w:rsidRDefault="00456278" w:rsidP="00ED10AA">
            <w:pPr>
              <w:rPr>
                <w:lang w:val="es-ES"/>
              </w:rPr>
            </w:pPr>
            <w:r w:rsidRPr="006D3772">
              <w:rPr>
                <w:lang w:val="es-ES"/>
              </w:rPr>
              <w:t xml:space="preserve">Basándose en la evaluación de </w:t>
            </w:r>
            <w:r w:rsidR="00AE0088" w:rsidRPr="006D3772">
              <w:rPr>
                <w:lang w:val="es-ES"/>
              </w:rPr>
              <w:t xml:space="preserve">la </w:t>
            </w:r>
            <w:r w:rsidRPr="006D3772">
              <w:rPr>
                <w:lang w:val="es-ES"/>
              </w:rPr>
              <w:t xml:space="preserve">IPBES, aplicar su </w:t>
            </w:r>
            <w:r w:rsidR="006F3DD5" w:rsidRPr="006D3772">
              <w:rPr>
                <w:lang w:val="es-ES"/>
              </w:rPr>
              <w:t>enfoque</w:t>
            </w:r>
            <w:r w:rsidRPr="006D3772">
              <w:rPr>
                <w:lang w:val="es-ES"/>
              </w:rPr>
              <w:t xml:space="preserve"> de nexos a los humedales para evaluar la interconexión entre agua, biodiversidad, alimentos y clima.</w:t>
            </w:r>
          </w:p>
        </w:tc>
      </w:tr>
      <w:tr w:rsidR="006F3DD5" w:rsidRPr="00841C2D" w14:paraId="04844A37"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1776F0E3" w14:textId="77777777" w:rsidR="00456278" w:rsidRPr="006D3772" w:rsidRDefault="00456278" w:rsidP="00456278">
            <w:pPr>
              <w:pStyle w:val="ListParagraph"/>
              <w:numPr>
                <w:ilvl w:val="0"/>
                <w:numId w:val="14"/>
              </w:numPr>
              <w:ind w:left="242" w:hanging="242"/>
              <w:rPr>
                <w:lang w:val="es-ES"/>
              </w:rPr>
            </w:pPr>
            <w:r w:rsidRPr="006D3772">
              <w:rPr>
                <w:lang w:val="es-ES"/>
              </w:rPr>
              <w:t>Uso racional de los humedales: orientaciones actualizadas</w:t>
            </w:r>
          </w:p>
          <w:p w14:paraId="59F3E611" w14:textId="5E0BF985" w:rsidR="00E975C8" w:rsidRPr="006D3772" w:rsidRDefault="00E975C8" w:rsidP="005658AE">
            <w:pPr>
              <w:pStyle w:val="ListParagraph"/>
              <w:ind w:left="242"/>
              <w:rPr>
                <w:lang w:val="es-ES"/>
              </w:rPr>
            </w:pPr>
          </w:p>
        </w:tc>
        <w:tc>
          <w:tcPr>
            <w:tcW w:w="5224" w:type="dxa"/>
            <w:tcBorders>
              <w:top w:val="single" w:sz="8" w:space="0" w:color="000000"/>
              <w:left w:val="single" w:sz="8" w:space="0" w:color="000000"/>
              <w:bottom w:val="single" w:sz="8" w:space="0" w:color="000000"/>
              <w:right w:val="single" w:sz="8" w:space="0" w:color="000000"/>
            </w:tcBorders>
          </w:tcPr>
          <w:p w14:paraId="7CCDF6DC" w14:textId="53B02036" w:rsidR="00E975C8" w:rsidRPr="006D3772" w:rsidRDefault="00456278" w:rsidP="00ED10AA">
            <w:pPr>
              <w:rPr>
                <w:lang w:val="es-ES"/>
              </w:rPr>
            </w:pPr>
            <w:r w:rsidRPr="006D3772">
              <w:rPr>
                <w:lang w:val="es-ES"/>
              </w:rPr>
              <w:t xml:space="preserve">Proponer revisiones y actualizaciones de las orientaciones de la Convención sobre el uso racional de los humedales, incorporando nuevos avances científicos, </w:t>
            </w:r>
            <w:r w:rsidR="00C74C9E">
              <w:rPr>
                <w:lang w:val="es-ES"/>
              </w:rPr>
              <w:t>buenas</w:t>
            </w:r>
            <w:r w:rsidRPr="006D3772">
              <w:rPr>
                <w:lang w:val="es-ES"/>
              </w:rPr>
              <w:t xml:space="preserve"> prácticas y nuevos retos</w:t>
            </w:r>
            <w:r w:rsidR="00ED10AA" w:rsidRPr="006D3772">
              <w:rPr>
                <w:lang w:val="es-ES"/>
              </w:rPr>
              <w:t xml:space="preserve"> </w:t>
            </w:r>
            <w:r w:rsidRPr="006D3772">
              <w:rPr>
                <w:lang w:val="es-ES"/>
              </w:rPr>
              <w:t>ambientales.</w:t>
            </w:r>
          </w:p>
        </w:tc>
      </w:tr>
      <w:tr w:rsidR="007B31B2" w:rsidRPr="00841C2D" w14:paraId="400619FC" w14:textId="77777777" w:rsidTr="00EF7423">
        <w:trPr>
          <w:cantSplit/>
        </w:trPr>
        <w:tc>
          <w:tcPr>
            <w:tcW w:w="3676" w:type="dxa"/>
            <w:tcBorders>
              <w:top w:val="single" w:sz="8" w:space="0" w:color="000000"/>
              <w:left w:val="single" w:sz="8" w:space="0" w:color="000000"/>
              <w:bottom w:val="single" w:sz="8" w:space="0" w:color="000000"/>
              <w:right w:val="single" w:sz="8" w:space="0" w:color="000000"/>
            </w:tcBorders>
          </w:tcPr>
          <w:p w14:paraId="621FCFDC" w14:textId="2726C392" w:rsidR="00E975C8" w:rsidRPr="006D3772" w:rsidRDefault="00456278" w:rsidP="00ED10AA">
            <w:pPr>
              <w:pStyle w:val="ListParagraph"/>
              <w:numPr>
                <w:ilvl w:val="0"/>
                <w:numId w:val="14"/>
              </w:numPr>
              <w:ind w:left="242" w:hanging="242"/>
              <w:rPr>
                <w:color w:val="000000"/>
                <w:lang w:val="es-ES"/>
              </w:rPr>
            </w:pPr>
            <w:r w:rsidRPr="006D3772">
              <w:rPr>
                <w:lang w:val="es-ES"/>
              </w:rPr>
              <w:t xml:space="preserve">Continuación de la labor sobre “otras medidas eficaces de conservación basadas en </w:t>
            </w:r>
            <w:r w:rsidR="006D3772" w:rsidRPr="006D3772">
              <w:rPr>
                <w:lang w:val="es-ES"/>
              </w:rPr>
              <w:t>áreas</w:t>
            </w:r>
            <w:r w:rsidRPr="006D3772">
              <w:rPr>
                <w:lang w:val="es-ES"/>
              </w:rPr>
              <w:t>” (OECM)</w:t>
            </w:r>
          </w:p>
        </w:tc>
        <w:tc>
          <w:tcPr>
            <w:tcW w:w="5224" w:type="dxa"/>
            <w:tcBorders>
              <w:top w:val="single" w:sz="8" w:space="0" w:color="000000"/>
              <w:left w:val="single" w:sz="8" w:space="0" w:color="000000"/>
              <w:bottom w:val="single" w:sz="8" w:space="0" w:color="000000"/>
              <w:right w:val="single" w:sz="8" w:space="0" w:color="000000"/>
            </w:tcBorders>
          </w:tcPr>
          <w:p w14:paraId="79760761" w14:textId="2C5CA73E" w:rsidR="00E975C8" w:rsidRPr="006D3772" w:rsidRDefault="00456278" w:rsidP="00ED10AA">
            <w:pPr>
              <w:rPr>
                <w:color w:val="000000"/>
                <w:lang w:val="es-ES"/>
              </w:rPr>
            </w:pPr>
            <w:r w:rsidRPr="006D3772">
              <w:rPr>
                <w:color w:val="000000"/>
                <w:lang w:val="es-ES"/>
              </w:rPr>
              <w:t xml:space="preserve">Continuar el estudio de la aplicación e integración de las OECM en la conservación de los humedales, </w:t>
            </w:r>
            <w:r w:rsidR="00C74C9E">
              <w:rPr>
                <w:color w:val="000000"/>
                <w:lang w:val="es-ES"/>
              </w:rPr>
              <w:t>definiendo</w:t>
            </w:r>
            <w:r w:rsidRPr="006D3772">
              <w:rPr>
                <w:color w:val="000000"/>
                <w:lang w:val="es-ES"/>
              </w:rPr>
              <w:t xml:space="preserve"> oportunidades para reconocer y </w:t>
            </w:r>
            <w:r w:rsidR="000D28D0" w:rsidRPr="006D3772">
              <w:rPr>
                <w:lang w:val="es-ES"/>
              </w:rPr>
              <w:t>promover</w:t>
            </w:r>
            <w:r w:rsidRPr="006D3772">
              <w:rPr>
                <w:lang w:val="es-ES"/>
              </w:rPr>
              <w:t xml:space="preserve"> </w:t>
            </w:r>
            <w:r w:rsidRPr="006D3772">
              <w:rPr>
                <w:color w:val="000000"/>
                <w:lang w:val="es-ES"/>
              </w:rPr>
              <w:t>áreas de conservación no tradicionales.</w:t>
            </w:r>
          </w:p>
        </w:tc>
      </w:tr>
    </w:tbl>
    <w:p w14:paraId="451FBB3A" w14:textId="77777777" w:rsidR="00985E4A" w:rsidRPr="006D3772" w:rsidRDefault="00F319AD" w:rsidP="00985E4A">
      <w:pPr>
        <w:rPr>
          <w:lang w:val="es-ES"/>
        </w:rPr>
      </w:pPr>
      <w:r w:rsidRPr="006D3772">
        <w:rPr>
          <w:lang w:val="es-ES"/>
        </w:rPr>
        <w:br w:type="page"/>
      </w:r>
    </w:p>
    <w:p w14:paraId="11D97FF3" w14:textId="77777777" w:rsidR="00DB27FE" w:rsidRPr="006D3772" w:rsidRDefault="00DB27FE" w:rsidP="00DB27FE">
      <w:pPr>
        <w:rPr>
          <w:rFonts w:eastAsia="Times New Roman"/>
          <w:b/>
          <w:bCs w:val="0"/>
          <w:sz w:val="24"/>
          <w:szCs w:val="24"/>
          <w:lang w:val="es-ES"/>
        </w:rPr>
      </w:pPr>
      <w:r w:rsidRPr="006D3772">
        <w:rPr>
          <w:rFonts w:eastAsia="Times New Roman"/>
          <w:b/>
          <w:sz w:val="24"/>
          <w:szCs w:val="24"/>
          <w:lang w:val="es-ES"/>
        </w:rPr>
        <w:lastRenderedPageBreak/>
        <w:t>Anexo 2</w:t>
      </w:r>
    </w:p>
    <w:p w14:paraId="600E44DF" w14:textId="77777777" w:rsidR="00DB27FE" w:rsidRPr="006D3772" w:rsidRDefault="00DB27FE" w:rsidP="00DB27FE">
      <w:pPr>
        <w:rPr>
          <w:rFonts w:eastAsia="Times New Roman"/>
          <w:b/>
          <w:bCs w:val="0"/>
          <w:color w:val="000000" w:themeColor="text1"/>
          <w:lang w:val="es-ES"/>
        </w:rPr>
      </w:pPr>
      <w:r w:rsidRPr="006D3772">
        <w:rPr>
          <w:rFonts w:eastAsia="Times New Roman"/>
          <w:b/>
          <w:color w:val="000000" w:themeColor="text1"/>
          <w:sz w:val="24"/>
          <w:szCs w:val="24"/>
          <w:lang w:val="es-ES"/>
        </w:rPr>
        <w:t>Orientaciones sobre el uso de estimaciones poblacionales alternativas con arreglo al Criterio 6</w:t>
      </w:r>
    </w:p>
    <w:p w14:paraId="1E7516AD" w14:textId="77777777" w:rsidR="00DB27FE" w:rsidRPr="006D3772" w:rsidRDefault="00DB27FE" w:rsidP="00DB27FE">
      <w:pPr>
        <w:rPr>
          <w:rFonts w:eastAsia="Times New Roman"/>
          <w:b/>
          <w:bCs w:val="0"/>
          <w:lang w:val="es-ES"/>
        </w:rPr>
      </w:pPr>
    </w:p>
    <w:p w14:paraId="0CF3A166" w14:textId="77777777" w:rsidR="00DB27FE" w:rsidRPr="006D3772" w:rsidRDefault="00DB27FE" w:rsidP="00DB27FE">
      <w:pPr>
        <w:rPr>
          <w:rFonts w:eastAsia="Times New Roman"/>
          <w:b/>
          <w:bCs w:val="0"/>
          <w:lang w:val="es-ES"/>
        </w:rPr>
      </w:pPr>
      <w:r w:rsidRPr="006D3772">
        <w:rPr>
          <w:rFonts w:eastAsia="Times New Roman"/>
          <w:b/>
          <w:lang w:val="es-ES"/>
        </w:rPr>
        <w:t>Antecedentes</w:t>
      </w:r>
    </w:p>
    <w:p w14:paraId="79838285" w14:textId="77777777" w:rsidR="00DB27FE" w:rsidRPr="006D3772" w:rsidRDefault="00DB27FE" w:rsidP="00DB27FE">
      <w:pPr>
        <w:ind w:left="432" w:hanging="432"/>
        <w:rPr>
          <w:rFonts w:eastAsia="Calibri"/>
          <w:lang w:val="es-ES"/>
        </w:rPr>
      </w:pPr>
    </w:p>
    <w:p w14:paraId="4533188F" w14:textId="1323E5E9" w:rsidR="00DB27FE" w:rsidRPr="006D3772" w:rsidRDefault="00DB27FE" w:rsidP="00DB27FE">
      <w:pPr>
        <w:ind w:left="432" w:hanging="432"/>
        <w:rPr>
          <w:rFonts w:eastAsia="Calibri"/>
          <w:lang w:val="es-ES"/>
        </w:rPr>
      </w:pPr>
      <w:r w:rsidRPr="006D3772">
        <w:rPr>
          <w:rFonts w:eastAsia="Calibri"/>
          <w:lang w:val="es-ES"/>
        </w:rPr>
        <w:t>1.</w:t>
      </w:r>
      <w:r w:rsidRPr="006D3772">
        <w:rPr>
          <w:rFonts w:eastAsia="Calibri"/>
          <w:lang w:val="es-ES"/>
        </w:rPr>
        <w:tab/>
        <w:t>El Portal sobre Poblaciones de Aves Acuáticas (</w:t>
      </w:r>
      <w:r w:rsidRPr="006D3772">
        <w:rPr>
          <w:rFonts w:eastAsia="Calibri"/>
          <w:color w:val="000000" w:themeColor="text1"/>
          <w:lang w:val="es-ES"/>
        </w:rPr>
        <w:t>WPP</w:t>
      </w:r>
      <w:r w:rsidRPr="006D3772">
        <w:rPr>
          <w:rFonts w:eastAsia="Calibri"/>
          <w:lang w:val="es-ES"/>
        </w:rPr>
        <w:t xml:space="preserve">, </w:t>
      </w:r>
      <w:r w:rsidRPr="006D3772">
        <w:rPr>
          <w:rFonts w:eastAsia="Calibri"/>
          <w:i/>
          <w:iCs/>
          <w:lang w:val="es-ES"/>
        </w:rPr>
        <w:t>Waterbird Populations Portal</w:t>
      </w:r>
      <w:r w:rsidRPr="006D3772">
        <w:rPr>
          <w:rFonts w:eastAsia="Calibri"/>
          <w:lang w:val="es-ES"/>
        </w:rPr>
        <w:t xml:space="preserve">), gestionado por Wetlands International, contiene información procedente de la publicación </w:t>
      </w:r>
      <w:r w:rsidRPr="006D3772">
        <w:rPr>
          <w:rFonts w:eastAsia="Calibri"/>
          <w:i/>
          <w:iCs/>
          <w:lang w:val="es-ES"/>
        </w:rPr>
        <w:t xml:space="preserve">Waterbird </w:t>
      </w:r>
      <w:r w:rsidRPr="006D3772">
        <w:rPr>
          <w:rFonts w:eastAsia="Calibri"/>
          <w:i/>
          <w:iCs/>
          <w:color w:val="000000" w:themeColor="text1"/>
          <w:lang w:val="es-ES"/>
        </w:rPr>
        <w:t>Population Estimates</w:t>
      </w:r>
      <w:r w:rsidRPr="006D3772">
        <w:rPr>
          <w:rFonts w:eastAsia="Calibri"/>
          <w:color w:val="000000" w:themeColor="text1"/>
          <w:lang w:val="es-ES"/>
        </w:rPr>
        <w:t xml:space="preserve"> (Estimaciones de las poblaciones de aves acuáticas), e</w:t>
      </w:r>
      <w:r w:rsidRPr="006D3772">
        <w:rPr>
          <w:rFonts w:eastAsia="Calibri"/>
          <w:lang w:val="es-ES"/>
        </w:rPr>
        <w:t>diciones 1 a 5, y, en el caso de las especies migratorias, basada en los exámenes del estado de conservación (</w:t>
      </w:r>
      <w:r w:rsidRPr="006D3772">
        <w:rPr>
          <w:rFonts w:eastAsia="Calibri"/>
          <w:color w:val="000000" w:themeColor="text1"/>
          <w:lang w:val="es-ES"/>
        </w:rPr>
        <w:t>CSR</w:t>
      </w:r>
      <w:r w:rsidRPr="006D3772">
        <w:rPr>
          <w:rFonts w:eastAsia="Calibri"/>
          <w:lang w:val="es-ES"/>
        </w:rPr>
        <w:t xml:space="preserve">, </w:t>
      </w:r>
      <w:r w:rsidRPr="006D3772">
        <w:rPr>
          <w:rFonts w:eastAsia="Calibri"/>
          <w:i/>
          <w:iCs/>
          <w:lang w:val="es-ES"/>
        </w:rPr>
        <w:t>Conservation Status Reviews</w:t>
      </w:r>
      <w:r w:rsidRPr="006D3772">
        <w:rPr>
          <w:rFonts w:eastAsia="Calibri"/>
          <w:lang w:val="es-ES"/>
        </w:rPr>
        <w:t>) efectuados por el Ac</w:t>
      </w:r>
      <w:r w:rsidRPr="006D3772">
        <w:rPr>
          <w:rFonts w:eastAsia="Times New Roman"/>
          <w:lang w:val="es-ES" w:eastAsia="ko-KR"/>
        </w:rPr>
        <w:t xml:space="preserve">uerdo sobre la Conservación de las Aves Acuáticas Migratorias de África y Eurasia </w:t>
      </w:r>
      <w:r w:rsidRPr="006D3772">
        <w:rPr>
          <w:rFonts w:eastAsia="Calibri"/>
          <w:lang w:val="es-ES"/>
        </w:rPr>
        <w:t xml:space="preserve">(AEWA) y </w:t>
      </w:r>
      <w:r w:rsidRPr="006D3772">
        <w:rPr>
          <w:rFonts w:eastAsia="Times New Roman"/>
          <w:lang w:val="es-ES" w:eastAsia="ko-KR"/>
        </w:rPr>
        <w:t>la Alianza de la Vía Migratoria Asia Oriental-Australasia</w:t>
      </w:r>
      <w:r w:rsidRPr="006D3772">
        <w:rPr>
          <w:rFonts w:eastAsia="Calibri"/>
          <w:lang w:val="es-ES"/>
        </w:rPr>
        <w:t xml:space="preserve"> (EAAFP). </w:t>
      </w:r>
    </w:p>
    <w:p w14:paraId="54420389" w14:textId="77777777" w:rsidR="00DB27FE" w:rsidRPr="006D3772" w:rsidRDefault="00DB27FE" w:rsidP="00DB27FE">
      <w:pPr>
        <w:ind w:left="432" w:hanging="432"/>
        <w:rPr>
          <w:rFonts w:eastAsia="Calibri"/>
          <w:lang w:val="es-ES"/>
        </w:rPr>
      </w:pPr>
    </w:p>
    <w:p w14:paraId="038E7398" w14:textId="77777777" w:rsidR="00DB27FE" w:rsidRPr="006D3772" w:rsidRDefault="00DB27FE" w:rsidP="00DB27FE">
      <w:pPr>
        <w:ind w:left="432" w:hanging="432"/>
        <w:rPr>
          <w:rFonts w:eastAsia="Calibri"/>
          <w:lang w:val="es-ES"/>
        </w:rPr>
      </w:pPr>
      <w:r w:rsidRPr="006D3772">
        <w:rPr>
          <w:rFonts w:eastAsia="Calibri"/>
          <w:lang w:val="es-ES"/>
        </w:rPr>
        <w:t>2.</w:t>
      </w:r>
      <w:r w:rsidRPr="006D3772">
        <w:rPr>
          <w:rFonts w:eastAsia="Calibri"/>
          <w:lang w:val="es-ES"/>
        </w:rPr>
        <w:tab/>
        <w:t xml:space="preserve">La 5ª edición mundial de </w:t>
      </w:r>
      <w:r w:rsidRPr="006D3772">
        <w:rPr>
          <w:rFonts w:eastAsia="Calibri"/>
          <w:i/>
          <w:iCs/>
          <w:lang w:val="es-ES"/>
        </w:rPr>
        <w:t xml:space="preserve">Waterbird </w:t>
      </w:r>
      <w:r w:rsidRPr="006D3772">
        <w:rPr>
          <w:rFonts w:eastAsia="Calibri"/>
          <w:i/>
          <w:iCs/>
          <w:color w:val="000000" w:themeColor="text1"/>
          <w:lang w:val="es-ES"/>
        </w:rPr>
        <w:t>Population Estimates</w:t>
      </w:r>
      <w:r w:rsidRPr="006D3772">
        <w:rPr>
          <w:rFonts w:eastAsia="Calibri"/>
          <w:lang w:val="es-ES"/>
        </w:rPr>
        <w:t xml:space="preserve"> data de 2012. Las estimaciones de tamaños y tendencias poblacionales y los umbrales del 1 % derivados de estas y facilitados por los exámenes CSR aportan la información más reciente sobre estas poblaciones y deberían utilizarse para la designación de Humedales de Importancia Internacional. El AEWA y la EAAFP están revisando y actualizando estos CSR con arreglo a sus procedimientos establecidos. La información de los CSR se utiliza en las actualizaciones de </w:t>
      </w:r>
      <w:r w:rsidRPr="006D3772">
        <w:rPr>
          <w:rFonts w:eastAsia="Calibri"/>
          <w:i/>
          <w:iCs/>
          <w:lang w:val="es-ES"/>
        </w:rPr>
        <w:t xml:space="preserve">Waterbird </w:t>
      </w:r>
      <w:r w:rsidRPr="006D3772">
        <w:rPr>
          <w:rFonts w:eastAsia="Calibri"/>
          <w:i/>
          <w:iCs/>
          <w:color w:val="000000" w:themeColor="text1"/>
          <w:lang w:val="es-ES"/>
        </w:rPr>
        <w:t>Population Estimates</w:t>
      </w:r>
      <w:r w:rsidRPr="006D3772">
        <w:rPr>
          <w:rFonts w:eastAsia="Calibri"/>
          <w:lang w:val="es-ES"/>
        </w:rPr>
        <w:t xml:space="preserve"> y debería utilizarse si existe un CSR más actualizado sobre una población migratoria que el que se presentó en la 5ª edición de esa publicación.</w:t>
      </w:r>
    </w:p>
    <w:p w14:paraId="0AF53303" w14:textId="77777777" w:rsidR="00DB27FE" w:rsidRPr="006D3772" w:rsidRDefault="00DB27FE" w:rsidP="00DB27FE">
      <w:pPr>
        <w:ind w:left="432" w:hanging="432"/>
        <w:rPr>
          <w:rFonts w:eastAsia="Calibri"/>
          <w:lang w:val="es-ES"/>
        </w:rPr>
      </w:pPr>
    </w:p>
    <w:p w14:paraId="7BB2B4AE" w14:textId="77777777" w:rsidR="00DB27FE" w:rsidRPr="006D3772" w:rsidRDefault="00DB27FE" w:rsidP="00DB27FE">
      <w:pPr>
        <w:ind w:left="432" w:hanging="432"/>
        <w:rPr>
          <w:rFonts w:eastAsia="Calibri"/>
          <w:lang w:val="es-ES"/>
        </w:rPr>
      </w:pPr>
      <w:r w:rsidRPr="006D3772">
        <w:rPr>
          <w:rFonts w:eastAsia="Calibri"/>
          <w:lang w:val="es-ES"/>
        </w:rPr>
        <w:t>3.</w:t>
      </w:r>
      <w:r w:rsidRPr="006D3772">
        <w:rPr>
          <w:rFonts w:eastAsia="Calibri"/>
          <w:lang w:val="es-ES"/>
        </w:rPr>
        <w:tab/>
        <w:t xml:space="preserve">En la </w:t>
      </w:r>
      <w:hyperlink r:id="rId17" w:history="1">
        <w:r w:rsidRPr="006D3772">
          <w:rPr>
            <w:rStyle w:val="Hyperlink"/>
            <w:rFonts w:eastAsia="Calibri"/>
            <w:lang w:val="es-ES"/>
          </w:rPr>
          <w:t>Resolución XIV.18</w:t>
        </w:r>
      </w:hyperlink>
      <w:r w:rsidRPr="006D3772">
        <w:rPr>
          <w:rFonts w:eastAsia="Calibri"/>
          <w:lang w:val="es-ES"/>
        </w:rPr>
        <w:t>,“Estimaciones del tamaño de las poblaciones de aves acuáticas para apoyar las designaciones de nuevos sitios Ramsar y la actualización de los existentes con arreglo al Criterio 6 de Ramsar: uso de estimaciones alternativas”, se establece lo siguiente:</w:t>
      </w:r>
    </w:p>
    <w:p w14:paraId="11CA7911" w14:textId="77777777" w:rsidR="00DB27FE" w:rsidRPr="006D3772" w:rsidRDefault="00DB27FE" w:rsidP="00DB27FE">
      <w:pPr>
        <w:ind w:left="432" w:hanging="432"/>
        <w:rPr>
          <w:rFonts w:eastAsia="Calibri"/>
          <w:lang w:val="es-ES"/>
        </w:rPr>
      </w:pPr>
    </w:p>
    <w:tbl>
      <w:tblPr>
        <w:tblStyle w:val="TableGrid"/>
        <w:tblW w:w="9639" w:type="dxa"/>
        <w:tblInd w:w="-5" w:type="dxa"/>
        <w:tblLook w:val="04A0" w:firstRow="1" w:lastRow="0" w:firstColumn="1" w:lastColumn="0" w:noHBand="0" w:noVBand="1"/>
      </w:tblPr>
      <w:tblGrid>
        <w:gridCol w:w="9639"/>
      </w:tblGrid>
      <w:tr w:rsidR="00DB27FE" w:rsidRPr="00841C2D" w14:paraId="596605A8" w14:textId="77777777" w:rsidTr="00DA14B4">
        <w:tc>
          <w:tcPr>
            <w:tcW w:w="9639" w:type="dxa"/>
          </w:tcPr>
          <w:p w14:paraId="1F932C69" w14:textId="77777777" w:rsidR="00DB27FE" w:rsidRPr="006D3772" w:rsidRDefault="00DB27FE" w:rsidP="00DA14B4">
            <w:pPr>
              <w:autoSpaceDE w:val="0"/>
              <w:autoSpaceDN w:val="0"/>
              <w:adjustRightInd w:val="0"/>
              <w:ind w:left="426" w:hanging="426"/>
              <w:rPr>
                <w:rFonts w:eastAsia="Malgun Gothic"/>
                <w:lang w:val="es-ES"/>
              </w:rPr>
            </w:pPr>
            <w:r w:rsidRPr="006D3772">
              <w:rPr>
                <w:rFonts w:eastAsia="Calibri"/>
                <w:lang w:val="es-ES"/>
              </w:rPr>
              <w:t>11. “</w:t>
            </w:r>
            <w:r w:rsidRPr="006D3772">
              <w:rPr>
                <w:rFonts w:eastAsia="Malgun Gothic"/>
                <w:lang w:val="es-ES"/>
              </w:rPr>
              <w:t xml:space="preserve">ACUERDA que, hasta que se actualice </w:t>
            </w:r>
            <w:r w:rsidRPr="006D3772">
              <w:rPr>
                <w:rFonts w:eastAsia="Malgun Gothic"/>
                <w:i/>
                <w:lang w:val="es-ES"/>
              </w:rPr>
              <w:t>Waterbird Population Estimates</w:t>
            </w:r>
            <w:r w:rsidRPr="006D3772">
              <w:rPr>
                <w:rFonts w:eastAsia="Malgun Gothic"/>
                <w:lang w:val="es-ES"/>
              </w:rPr>
              <w:t xml:space="preserve"> con estimaciones poblacionales precisas, las Partes podrán utilizar fuentes de datos alternativas a fin de determinar el umbral del 1 % en el contexto de la aplicación del Criterio 6 de Ramsar, siempre que se cumplan las siguientes condiciones: </w:t>
            </w:r>
          </w:p>
          <w:p w14:paraId="6C1B8A90" w14:textId="77777777" w:rsidR="00DB27FE" w:rsidRPr="006D3772" w:rsidRDefault="00DB27FE" w:rsidP="00DA14B4">
            <w:pPr>
              <w:ind w:left="851" w:hanging="425"/>
              <w:rPr>
                <w:rFonts w:eastAsia="DengXian"/>
                <w:lang w:val="es-ES"/>
              </w:rPr>
            </w:pPr>
            <w:r w:rsidRPr="006D3772">
              <w:rPr>
                <w:rFonts w:eastAsia="Malgun Gothic"/>
                <w:lang w:val="es-ES"/>
              </w:rPr>
              <w:t>i.</w:t>
            </w:r>
            <w:r w:rsidRPr="006D3772">
              <w:rPr>
                <w:rFonts w:eastAsia="Malgun Gothic"/>
                <w:lang w:val="es-ES"/>
              </w:rPr>
              <w:tab/>
              <w:t xml:space="preserve">que se indique claramente la población biogeográfica de la especie en cuestión según consta en </w:t>
            </w:r>
            <w:r w:rsidRPr="006D3772">
              <w:rPr>
                <w:rFonts w:eastAsia="Malgun Gothic"/>
                <w:i/>
                <w:iCs/>
                <w:lang w:val="es-ES"/>
              </w:rPr>
              <w:t>Waterbird Population Estimates</w:t>
            </w:r>
            <w:r w:rsidRPr="006D3772">
              <w:rPr>
                <w:rFonts w:eastAsia="Malgun Gothic"/>
                <w:lang w:val="es-ES"/>
              </w:rPr>
              <w:t xml:space="preserve"> disponible en el Portal sobre Poblaciones de Aves Acuáticas;</w:t>
            </w:r>
          </w:p>
          <w:p w14:paraId="779FAF05" w14:textId="77777777" w:rsidR="00DB27FE" w:rsidRPr="006D3772" w:rsidRDefault="00DB27FE" w:rsidP="00DA14B4">
            <w:pPr>
              <w:ind w:left="851" w:hanging="425"/>
              <w:rPr>
                <w:rFonts w:eastAsia="DengXian"/>
                <w:lang w:val="es-ES"/>
              </w:rPr>
            </w:pPr>
            <w:r w:rsidRPr="006D3772">
              <w:rPr>
                <w:rFonts w:eastAsia="Malgun Gothic"/>
                <w:lang w:val="es-ES"/>
              </w:rPr>
              <w:t>ii.</w:t>
            </w:r>
            <w:r w:rsidRPr="006D3772">
              <w:rPr>
                <w:rFonts w:eastAsia="Malgun Gothic"/>
                <w:lang w:val="es-ES"/>
              </w:rPr>
              <w:tab/>
              <w:t xml:space="preserve">que dichos umbrales se deriven de las estimaciones publicadas en el Portal sobre Poblaciones de Aves Acuáticas, para las especies migratorias, basadas en los </w:t>
            </w:r>
            <w:r w:rsidRPr="006D3772">
              <w:rPr>
                <w:rFonts w:eastAsia="Malgun Gothic"/>
                <w:color w:val="000000" w:themeColor="text1"/>
                <w:lang w:val="es-ES"/>
              </w:rPr>
              <w:t xml:space="preserve">Exámenes </w:t>
            </w:r>
            <w:r w:rsidRPr="006D3772">
              <w:rPr>
                <w:rFonts w:eastAsia="Malgun Gothic"/>
                <w:lang w:val="es-ES"/>
              </w:rPr>
              <w:t xml:space="preserve">del Estado de la Conservación realizados en el marco de instrumentos sobre vías migratorias, u otras evaluaciones que hayan sido objeto de un examen por homólogos </w:t>
            </w:r>
            <w:r w:rsidRPr="006D3772">
              <w:rPr>
                <w:rFonts w:eastAsia="DengXian"/>
                <w:lang w:val="es-ES"/>
              </w:rPr>
              <w:t xml:space="preserve">relativas a otras poblaciones migratorias respecto de las cuales no existan evaluaciones del tipo examen del estado de la conservación, así como poblaciones no migratorias y </w:t>
            </w:r>
            <w:r w:rsidRPr="006D3772">
              <w:rPr>
                <w:rFonts w:eastAsia="Malgun Gothic"/>
                <w:lang w:val="es-ES"/>
              </w:rPr>
              <w:t>endémicas</w:t>
            </w:r>
            <w:r w:rsidRPr="006D3772">
              <w:rPr>
                <w:rFonts w:eastAsia="DengXian"/>
                <w:lang w:val="es-ES"/>
              </w:rPr>
              <w:t>;</w:t>
            </w:r>
          </w:p>
          <w:p w14:paraId="440A44A2" w14:textId="77777777" w:rsidR="00DB27FE" w:rsidRPr="006D3772" w:rsidRDefault="00DB27FE" w:rsidP="00DA14B4">
            <w:pPr>
              <w:ind w:left="851" w:hanging="425"/>
              <w:rPr>
                <w:rFonts w:eastAsia="DengXian"/>
                <w:lang w:val="es-ES"/>
              </w:rPr>
            </w:pPr>
            <w:r w:rsidRPr="006D3772">
              <w:rPr>
                <w:rFonts w:eastAsia="Malgun Gothic"/>
                <w:lang w:val="es-ES"/>
              </w:rPr>
              <w:t>iii.</w:t>
            </w:r>
            <w:r w:rsidRPr="006D3772">
              <w:rPr>
                <w:rFonts w:eastAsia="Malgun Gothic"/>
                <w:lang w:val="es-ES"/>
              </w:rPr>
              <w:tab/>
              <w:t>que se documenten las razones por las que una nueva estimación se considera más adecuada indicando claramente las fuentes, de forma que sea posible para terceros comprobar de dónde se ha derivado la estimación;</w:t>
            </w:r>
          </w:p>
          <w:p w14:paraId="58F7D164" w14:textId="77777777" w:rsidR="00DB27FE" w:rsidRPr="006D3772" w:rsidRDefault="00DB27FE" w:rsidP="00DA14B4">
            <w:pPr>
              <w:ind w:left="851" w:hanging="425"/>
              <w:rPr>
                <w:rFonts w:eastAsia="Times New Roman"/>
                <w:lang w:val="es-ES"/>
              </w:rPr>
            </w:pPr>
            <w:r w:rsidRPr="006D3772">
              <w:rPr>
                <w:rFonts w:eastAsia="Malgun Gothic"/>
                <w:lang w:val="es-ES"/>
              </w:rPr>
              <w:t>iv.</w:t>
            </w:r>
            <w:r w:rsidRPr="006D3772">
              <w:rPr>
                <w:rFonts w:eastAsia="Malgun Gothic"/>
                <w:lang w:val="es-ES"/>
              </w:rPr>
              <w:tab/>
              <w:t>que se utilice la metodología normalizada utilizada para el Portal sobre Poblaciones de Aves Acuáticas para convertir la estimación del tamaño de una población biogeográfica a un umbral de población del 1 %; y</w:t>
            </w:r>
          </w:p>
          <w:p w14:paraId="3628E1AA" w14:textId="77777777" w:rsidR="00DB27FE" w:rsidRPr="006D3772" w:rsidRDefault="00DB27FE" w:rsidP="00DA14B4">
            <w:pPr>
              <w:ind w:left="851" w:hanging="425"/>
              <w:rPr>
                <w:rFonts w:eastAsia="Times New Roman"/>
                <w:lang w:val="es-ES"/>
              </w:rPr>
            </w:pPr>
            <w:r w:rsidRPr="006D3772">
              <w:rPr>
                <w:rFonts w:eastAsia="Malgun Gothic"/>
                <w:lang w:val="es-ES"/>
              </w:rPr>
              <w:t>v.</w:t>
            </w:r>
            <w:r w:rsidRPr="006D3772">
              <w:rPr>
                <w:rFonts w:eastAsia="Malgun Gothic"/>
                <w:lang w:val="es-ES"/>
              </w:rPr>
              <w:tab/>
              <w:t>que se comunique cualquier umbral alternativo utilizado por las Partes en relación con el Criterio 6 y su justificación tanto a la Secretaría (para que mantenga un registro de esos casos) como a Wetlands International</w:t>
            </w:r>
            <w:r w:rsidRPr="006D3772">
              <w:rPr>
                <w:rFonts w:eastAsia="Calibri"/>
                <w:lang w:val="es-ES"/>
              </w:rPr>
              <w:t>;”</w:t>
            </w:r>
          </w:p>
        </w:tc>
      </w:tr>
    </w:tbl>
    <w:p w14:paraId="39F3E223" w14:textId="77777777" w:rsidR="00DB27FE" w:rsidRPr="006D3772" w:rsidRDefault="00DB27FE" w:rsidP="00DB27FE">
      <w:pPr>
        <w:ind w:left="432" w:hanging="432"/>
        <w:rPr>
          <w:rFonts w:eastAsia="Calibri"/>
          <w:lang w:val="es-ES"/>
        </w:rPr>
      </w:pPr>
    </w:p>
    <w:p w14:paraId="5C3725F7" w14:textId="77777777" w:rsidR="00DB27FE" w:rsidRPr="006D3772" w:rsidRDefault="00DB27FE" w:rsidP="00DB27FE">
      <w:pPr>
        <w:rPr>
          <w:rFonts w:eastAsia="Calibri"/>
          <w:lang w:val="es-ES"/>
        </w:rPr>
      </w:pPr>
    </w:p>
    <w:p w14:paraId="4AB858FC" w14:textId="77777777" w:rsidR="00DB27FE" w:rsidRPr="006D3772" w:rsidRDefault="00DB27FE" w:rsidP="00A57696">
      <w:pPr>
        <w:keepNext/>
        <w:ind w:left="431" w:hanging="431"/>
        <w:rPr>
          <w:rFonts w:eastAsia="Times New Roman"/>
          <w:b/>
          <w:lang w:val="es-ES"/>
        </w:rPr>
      </w:pPr>
      <w:r w:rsidRPr="006D3772">
        <w:rPr>
          <w:rFonts w:eastAsia="Times New Roman"/>
          <w:b/>
          <w:lang w:val="es-ES"/>
        </w:rPr>
        <w:lastRenderedPageBreak/>
        <w:t>Uso de estimaciones poblacionales alternativas</w:t>
      </w:r>
    </w:p>
    <w:p w14:paraId="1D3A96BD" w14:textId="77777777" w:rsidR="00DB27FE" w:rsidRPr="006D3772" w:rsidRDefault="00DB27FE" w:rsidP="00A57696">
      <w:pPr>
        <w:keepNext/>
        <w:ind w:left="431" w:hanging="431"/>
        <w:rPr>
          <w:rFonts w:eastAsia="Calibri"/>
          <w:lang w:val="es-ES"/>
        </w:rPr>
      </w:pPr>
    </w:p>
    <w:p w14:paraId="6BB5864E" w14:textId="77777777" w:rsidR="00DB27FE" w:rsidRPr="006D3772" w:rsidRDefault="00DB27FE" w:rsidP="00DB27FE">
      <w:pPr>
        <w:ind w:left="432" w:hanging="432"/>
        <w:rPr>
          <w:rFonts w:eastAsia="Calibri"/>
          <w:lang w:val="es-ES"/>
        </w:rPr>
      </w:pPr>
      <w:r w:rsidRPr="006D3772">
        <w:rPr>
          <w:rFonts w:eastAsia="Calibri"/>
          <w:lang w:val="es-ES"/>
        </w:rPr>
        <w:t>4.</w:t>
      </w:r>
      <w:r w:rsidRPr="006D3772">
        <w:rPr>
          <w:rFonts w:eastAsia="Calibri"/>
          <w:lang w:val="es-ES"/>
        </w:rPr>
        <w:tab/>
        <w:t>Como complemento al documento SC63 Doc.19 (Anexo 4, Orientaciones para facilitar la aplicación del Criterio 6) y la Resolución XIV.18, este documento describe las etapas que pueden seguir las Partes Contratantes que deseen presentar una estimación poblacional alternativa y derivar un umbral del 1 % para aplicar el Criterio 6 de la Convención sobre los Humedales. Estos casos se limitan a poblaciones sobre las cuales los datos son obsoletos y para las cuales existe nueva información no cubierta por los CSR. Si una población está cubierta por un CSR, no debe presentarse ninguna información; debe indicarse el enlace web al CSR sobre dicha población al presentar la Ficha Informativa de Ramsar.</w:t>
      </w:r>
    </w:p>
    <w:p w14:paraId="2DEE60A3" w14:textId="77777777" w:rsidR="00DB27FE" w:rsidRPr="006D3772" w:rsidRDefault="00DB27FE" w:rsidP="00DB27FE">
      <w:pPr>
        <w:rPr>
          <w:lang w:val="es-ES"/>
        </w:rPr>
      </w:pPr>
    </w:p>
    <w:p w14:paraId="2CFE2243" w14:textId="77777777" w:rsidR="00DB27FE" w:rsidRPr="006D3772" w:rsidRDefault="00DB27FE" w:rsidP="00DB27FE">
      <w:pPr>
        <w:rPr>
          <w:rFonts w:eastAsia="Times New Roman"/>
          <w:b/>
          <w:lang w:val="es-ES"/>
        </w:rPr>
      </w:pPr>
      <w:r w:rsidRPr="006D3772">
        <w:rPr>
          <w:rFonts w:eastAsia="Times New Roman"/>
          <w:b/>
          <w:lang w:val="es-ES"/>
        </w:rPr>
        <w:t>Etapas a seguir para presentar estimaciones poblacionales alternativas con arreglo al Criterio 6</w:t>
      </w:r>
    </w:p>
    <w:p w14:paraId="2C751E09" w14:textId="77777777" w:rsidR="00DB27FE" w:rsidRPr="006D3772" w:rsidRDefault="00DB27FE" w:rsidP="00DB27FE">
      <w:pPr>
        <w:rPr>
          <w:rFonts w:eastAsia="Times New Roman"/>
          <w:b/>
          <w:bCs w:val="0"/>
          <w:lang w:val="es-ES"/>
        </w:rPr>
      </w:pPr>
    </w:p>
    <w:p w14:paraId="240E13DE" w14:textId="77777777" w:rsidR="00DB27FE" w:rsidRPr="006D3772" w:rsidRDefault="00DB27FE" w:rsidP="00DB27FE">
      <w:pPr>
        <w:ind w:left="432" w:hanging="432"/>
        <w:rPr>
          <w:rFonts w:eastAsia="Calibri"/>
          <w:lang w:val="es-ES"/>
        </w:rPr>
      </w:pPr>
      <w:r w:rsidRPr="006D3772">
        <w:rPr>
          <w:rFonts w:eastAsia="Calibri"/>
          <w:lang w:val="es-ES"/>
        </w:rPr>
        <w:t>5.</w:t>
      </w:r>
      <w:r w:rsidRPr="006D3772">
        <w:rPr>
          <w:rFonts w:eastAsia="Calibri"/>
          <w:lang w:val="es-ES"/>
        </w:rPr>
        <w:tab/>
      </w:r>
      <w:r w:rsidRPr="006D3772">
        <w:rPr>
          <w:rFonts w:eastAsia="Calibri"/>
          <w:u w:val="single"/>
          <w:lang w:val="es-ES"/>
        </w:rPr>
        <w:t>Etapa 1: Determinar la necesidad de una estimación poblacional alternativa</w:t>
      </w:r>
    </w:p>
    <w:p w14:paraId="4B1CE1E5" w14:textId="400ECEE4" w:rsidR="00DB27FE" w:rsidRPr="006D3772" w:rsidRDefault="00DB27FE" w:rsidP="00DB27FE">
      <w:pPr>
        <w:pStyle w:val="ListParagraph"/>
        <w:numPr>
          <w:ilvl w:val="0"/>
          <w:numId w:val="9"/>
        </w:numPr>
        <w:ind w:left="810"/>
        <w:rPr>
          <w:rFonts w:eastAsia="Calibri"/>
          <w:lang w:val="es-ES"/>
        </w:rPr>
      </w:pPr>
      <w:r w:rsidRPr="006D3772">
        <w:rPr>
          <w:rFonts w:eastAsia="Calibri"/>
          <w:lang w:val="es-ES"/>
        </w:rPr>
        <w:t xml:space="preserve">La Parte Contratante observa que, en el caso de una especie o población de ave acuática, el umbral del 1 % actual que figura en </w:t>
      </w:r>
      <w:r w:rsidRPr="006D3772">
        <w:rPr>
          <w:rFonts w:eastAsia="Calibri"/>
          <w:i/>
          <w:iCs/>
          <w:lang w:val="es-ES"/>
        </w:rPr>
        <w:t>Waterbird Population Estimates</w:t>
      </w:r>
      <w:r w:rsidRPr="006D3772">
        <w:rPr>
          <w:rFonts w:eastAsia="Calibri"/>
          <w:lang w:val="es-ES"/>
        </w:rPr>
        <w:t xml:space="preserve"> (WPE) no está incluido en los exámenes </w:t>
      </w:r>
      <w:r w:rsidR="00D279E1" w:rsidRPr="006D3772">
        <w:rPr>
          <w:rFonts w:eastAsia="Calibri"/>
          <w:lang w:val="es-ES"/>
        </w:rPr>
        <w:t xml:space="preserve">o informes </w:t>
      </w:r>
      <w:r w:rsidRPr="006D3772">
        <w:rPr>
          <w:rFonts w:eastAsia="Calibri"/>
          <w:lang w:val="es-ES"/>
        </w:rPr>
        <w:t>del estado de la conservación (CSR) y no se proporciona, está obsoleto o se considera incorrecto.</w:t>
      </w:r>
    </w:p>
    <w:p w14:paraId="2E12FB83" w14:textId="77777777" w:rsidR="00DB27FE" w:rsidRPr="006D3772" w:rsidRDefault="00DB27FE" w:rsidP="00DB27FE">
      <w:pPr>
        <w:pStyle w:val="ListParagraph"/>
        <w:numPr>
          <w:ilvl w:val="0"/>
          <w:numId w:val="9"/>
        </w:numPr>
        <w:ind w:left="810"/>
        <w:rPr>
          <w:rFonts w:eastAsia="Calibri"/>
          <w:lang w:val="es-ES"/>
        </w:rPr>
      </w:pPr>
      <w:r w:rsidRPr="006D3772">
        <w:rPr>
          <w:rFonts w:eastAsia="Calibri"/>
          <w:lang w:val="es-ES"/>
        </w:rPr>
        <w:t>La Parte Contratante ha encontrado datos pertinentes procedentes de fuentes revisadas por homólogos y/u otras evaluaciones serias y/o “literatura gris”.</w:t>
      </w:r>
    </w:p>
    <w:p w14:paraId="2947AAF4" w14:textId="77777777" w:rsidR="00DB27FE" w:rsidRPr="006D3772" w:rsidRDefault="00DB27FE" w:rsidP="00DB27FE">
      <w:pPr>
        <w:ind w:left="432" w:hanging="432"/>
        <w:rPr>
          <w:rFonts w:eastAsia="Calibri"/>
          <w:lang w:val="es-ES"/>
        </w:rPr>
      </w:pPr>
    </w:p>
    <w:p w14:paraId="3D762EBA" w14:textId="77777777" w:rsidR="00DB27FE" w:rsidRPr="006D3772" w:rsidRDefault="00DB27FE" w:rsidP="00DB27FE">
      <w:pPr>
        <w:ind w:left="432" w:hanging="432"/>
        <w:rPr>
          <w:rFonts w:eastAsia="Calibri"/>
          <w:u w:val="single"/>
          <w:lang w:val="es-ES"/>
        </w:rPr>
      </w:pPr>
      <w:r w:rsidRPr="006D3772">
        <w:rPr>
          <w:rFonts w:eastAsia="Calibri"/>
          <w:lang w:val="es-ES"/>
        </w:rPr>
        <w:t>6.</w:t>
      </w:r>
      <w:r w:rsidRPr="006D3772">
        <w:rPr>
          <w:rFonts w:eastAsia="Calibri"/>
          <w:lang w:val="es-ES"/>
        </w:rPr>
        <w:tab/>
      </w:r>
      <w:r w:rsidRPr="006D3772">
        <w:rPr>
          <w:rFonts w:eastAsia="Calibri"/>
          <w:u w:val="single"/>
          <w:lang w:val="es-ES"/>
        </w:rPr>
        <w:t>Etapa 2: Recopilar información para presentarla</w:t>
      </w:r>
    </w:p>
    <w:p w14:paraId="79EB7879" w14:textId="77777777" w:rsidR="00DB27FE" w:rsidRPr="006D3772" w:rsidRDefault="00DB27FE" w:rsidP="00DB27FE">
      <w:pPr>
        <w:pStyle w:val="ListParagraph"/>
        <w:ind w:left="432" w:firstLine="18"/>
        <w:rPr>
          <w:lang w:val="es-ES"/>
        </w:rPr>
      </w:pPr>
      <w:r w:rsidRPr="006D3772">
        <w:rPr>
          <w:lang w:val="es-ES"/>
        </w:rPr>
        <w:t>Preparar un informe con la siguiente información:</w:t>
      </w:r>
    </w:p>
    <w:p w14:paraId="5979B12B" w14:textId="77777777" w:rsidR="00DB27FE" w:rsidRPr="006D3772" w:rsidRDefault="00DB27FE" w:rsidP="00DB27FE">
      <w:pPr>
        <w:pStyle w:val="ListParagraph"/>
        <w:numPr>
          <w:ilvl w:val="0"/>
          <w:numId w:val="9"/>
        </w:numPr>
        <w:ind w:left="810"/>
        <w:rPr>
          <w:lang w:val="es-ES"/>
        </w:rPr>
      </w:pPr>
      <w:r w:rsidRPr="006D3772">
        <w:rPr>
          <w:i/>
          <w:iCs/>
          <w:lang w:val="es-ES"/>
        </w:rPr>
        <w:t>Indicar la población biogeográfica</w:t>
      </w:r>
      <w:r w:rsidRPr="006D3772">
        <w:rPr>
          <w:lang w:val="es-ES"/>
        </w:rPr>
        <w:t xml:space="preserve">: Indicar claramente la población biogeográfica de la especie en cuestión según figura en el </w:t>
      </w:r>
      <w:hyperlink r:id="rId18" w:history="1">
        <w:r w:rsidRPr="006D3772">
          <w:rPr>
            <w:rStyle w:val="Hyperlink"/>
            <w:i/>
            <w:iCs/>
            <w:lang w:val="es-ES"/>
          </w:rPr>
          <w:t>Waterbird Populations Portal</w:t>
        </w:r>
      </w:hyperlink>
      <w:r w:rsidRPr="006D3772">
        <w:rPr>
          <w:rStyle w:val="Hyperlink"/>
          <w:lang w:val="es-ES"/>
        </w:rPr>
        <w:t xml:space="preserve"> </w:t>
      </w:r>
      <w:r w:rsidRPr="006D3772">
        <w:rPr>
          <w:lang w:val="es-ES"/>
        </w:rPr>
        <w:t>(facilitar el enlace web a la página sobre la población en cuestión en el Portal).</w:t>
      </w:r>
    </w:p>
    <w:p w14:paraId="2C8E9829" w14:textId="77777777" w:rsidR="00DB27FE" w:rsidRPr="006D3772" w:rsidRDefault="00DB27FE" w:rsidP="00DB27FE">
      <w:pPr>
        <w:pStyle w:val="ListParagraph"/>
        <w:numPr>
          <w:ilvl w:val="0"/>
          <w:numId w:val="9"/>
        </w:numPr>
        <w:ind w:left="810"/>
        <w:rPr>
          <w:lang w:val="es-ES"/>
        </w:rPr>
      </w:pPr>
      <w:r w:rsidRPr="006D3772">
        <w:rPr>
          <w:i/>
          <w:iCs/>
          <w:lang w:val="es-ES"/>
        </w:rPr>
        <w:t>Documentar nuevas estimaciones sobre el tamaño de la población</w:t>
      </w:r>
      <w:r w:rsidRPr="006D3772">
        <w:rPr>
          <w:lang w:val="es-ES"/>
        </w:rPr>
        <w:t xml:space="preserve">: Documentar en detalle las razones por las que se considera más adecuada una nueva estimación poblacional, ya sea una cifra única o un rango entre un valor mínimo y máximo, señalando el período de tiempo durante el que se calculó e indicando las fuentes originales, de forma que sea posible una evaluación por terceros (véase la Etapa 4). Como mínimo, al indicar las metodologías deben describirse los datos, el método utilizado para realizar las estimaciones poblacionales, las deficiencias de datos y las suposiciones realizadas. </w:t>
      </w:r>
    </w:p>
    <w:p w14:paraId="7570390E" w14:textId="2032779D" w:rsidR="00DB27FE" w:rsidRPr="006D3772" w:rsidRDefault="00DB27FE" w:rsidP="00DB27FE">
      <w:pPr>
        <w:pStyle w:val="ListParagraph"/>
        <w:numPr>
          <w:ilvl w:val="0"/>
          <w:numId w:val="9"/>
        </w:numPr>
        <w:ind w:left="810"/>
        <w:rPr>
          <w:lang w:val="es-ES"/>
        </w:rPr>
      </w:pPr>
      <w:r w:rsidRPr="006D3772">
        <w:rPr>
          <w:i/>
          <w:iCs/>
          <w:lang w:val="es-ES"/>
        </w:rPr>
        <w:t xml:space="preserve">Utilizar metodologías normalizadas para calcular el umbral del 1 %: </w:t>
      </w:r>
      <w:r w:rsidRPr="006D3772">
        <w:rPr>
          <w:lang w:val="es-ES"/>
        </w:rPr>
        <w:t xml:space="preserve">Asegurarse de aplicar la </w:t>
      </w:r>
      <w:hyperlink r:id="rId19" w:history="1">
        <w:r w:rsidRPr="006D3772">
          <w:rPr>
            <w:rStyle w:val="Hyperlink"/>
            <w:lang w:val="es-ES"/>
          </w:rPr>
          <w:t>metodología normalizada</w:t>
        </w:r>
      </w:hyperlink>
      <w:r w:rsidRPr="006D3772">
        <w:rPr>
          <w:lang w:val="es-ES"/>
        </w:rPr>
        <w:t xml:space="preserve"> que se utiliza para convertir las estimaciones de poblaciones biogeográficas a un umbral del 1 %. Esto conlleva dos etapas: (1) convertir una estimación presentada en un rango</w:t>
      </w:r>
      <w:r w:rsidR="00DD05DA" w:rsidRPr="006D3772">
        <w:rPr>
          <w:lang w:val="es-ES"/>
        </w:rPr>
        <w:t xml:space="preserve"> a </w:t>
      </w:r>
      <w:r w:rsidRPr="006D3772">
        <w:rPr>
          <w:lang w:val="es-ES"/>
        </w:rPr>
        <w:t xml:space="preserve">una cifra utilizando la media geométrica, y (2) derivar el valor del 1 % redondeado (Véase </w:t>
      </w:r>
      <w:r w:rsidR="006D3772" w:rsidRPr="006D3772">
        <w:rPr>
          <w:i/>
          <w:iCs/>
          <w:lang w:val="es-ES"/>
        </w:rPr>
        <w:t>Rounding of one per cent thresholds</w:t>
      </w:r>
      <w:r w:rsidR="006D3772" w:rsidRPr="006D3772">
        <w:rPr>
          <w:lang w:val="es-ES"/>
        </w:rPr>
        <w:t xml:space="preserve"> en el mismo enlace</w:t>
      </w:r>
      <w:r w:rsidRPr="006D3772">
        <w:rPr>
          <w:lang w:val="es-ES"/>
        </w:rPr>
        <w:t>).</w:t>
      </w:r>
    </w:p>
    <w:p w14:paraId="6D49B7F5" w14:textId="77777777" w:rsidR="00DB27FE" w:rsidRPr="006D3772" w:rsidRDefault="00DB27FE" w:rsidP="00DB27FE">
      <w:pPr>
        <w:pStyle w:val="ListParagraph"/>
        <w:numPr>
          <w:ilvl w:val="0"/>
          <w:numId w:val="9"/>
        </w:numPr>
        <w:ind w:left="810"/>
        <w:rPr>
          <w:lang w:val="es-ES"/>
        </w:rPr>
      </w:pPr>
      <w:r w:rsidRPr="006D3772">
        <w:rPr>
          <w:i/>
          <w:iCs/>
          <w:lang w:val="es-ES"/>
        </w:rPr>
        <w:t>Anexos</w:t>
      </w:r>
      <w:r w:rsidRPr="006D3772">
        <w:rPr>
          <w:lang w:val="es-ES"/>
        </w:rPr>
        <w:t xml:space="preserve">: Indicar claramente las fuentes (véase el modelo de informe normalizado a continuación) de todos los datos y las estimaciones utilizadas, y aportar una copia de estas, ya sean </w:t>
      </w:r>
      <w:r w:rsidRPr="006D3772">
        <w:rPr>
          <w:rFonts w:eastAsia="Calibri"/>
          <w:lang w:val="es-ES"/>
        </w:rPr>
        <w:t>fuentes revisadas por homólogos, otras evaluaciones serias y/o “literatura gris”</w:t>
      </w:r>
      <w:r w:rsidRPr="006D3772">
        <w:rPr>
          <w:lang w:val="es-ES"/>
        </w:rPr>
        <w:t>.</w:t>
      </w:r>
    </w:p>
    <w:p w14:paraId="4023252B" w14:textId="77777777" w:rsidR="00DB27FE" w:rsidRPr="006D3772" w:rsidRDefault="00DB27FE" w:rsidP="00DB27FE">
      <w:pPr>
        <w:rPr>
          <w:lang w:val="es-ES"/>
        </w:rPr>
      </w:pPr>
    </w:p>
    <w:p w14:paraId="1F55C381" w14:textId="77777777" w:rsidR="00DB27FE" w:rsidRPr="006D3772" w:rsidRDefault="00DB27FE" w:rsidP="00DB27FE">
      <w:pPr>
        <w:ind w:left="432" w:hanging="432"/>
        <w:rPr>
          <w:rFonts w:eastAsia="Calibri"/>
          <w:u w:val="single"/>
          <w:lang w:val="es-ES"/>
        </w:rPr>
      </w:pPr>
      <w:r w:rsidRPr="006D3772">
        <w:rPr>
          <w:rFonts w:eastAsia="Calibri"/>
          <w:lang w:val="es-ES"/>
        </w:rPr>
        <w:t>7.</w:t>
      </w:r>
      <w:r w:rsidRPr="006D3772">
        <w:rPr>
          <w:rFonts w:eastAsia="Calibri"/>
          <w:lang w:val="es-ES"/>
        </w:rPr>
        <w:tab/>
      </w:r>
      <w:r w:rsidRPr="006D3772">
        <w:rPr>
          <w:rFonts w:eastAsia="Calibri"/>
          <w:u w:val="single"/>
          <w:lang w:val="es-ES"/>
        </w:rPr>
        <w:t>Etapa 3: Presentación del informe a la Secretaría</w:t>
      </w:r>
    </w:p>
    <w:p w14:paraId="383A0062" w14:textId="77777777" w:rsidR="00DB27FE" w:rsidRPr="006D3772" w:rsidRDefault="00DB27FE" w:rsidP="00DB27FE">
      <w:pPr>
        <w:pStyle w:val="ListParagraph"/>
        <w:numPr>
          <w:ilvl w:val="0"/>
          <w:numId w:val="9"/>
        </w:numPr>
        <w:ind w:left="810"/>
        <w:rPr>
          <w:lang w:val="es-ES"/>
        </w:rPr>
      </w:pPr>
      <w:r w:rsidRPr="006D3772">
        <w:rPr>
          <w:i/>
          <w:iCs/>
          <w:lang w:val="es-ES"/>
        </w:rPr>
        <w:t>Presentación a la Secretaría</w:t>
      </w:r>
      <w:r w:rsidRPr="006D3772">
        <w:rPr>
          <w:lang w:val="es-ES"/>
        </w:rPr>
        <w:t>: Presentar el informe finalizado a la Secretaría utilizando la sección 6.1 (Informes y documentos adicionales) e indicar la referencia de este documento en la sección de justificación 3.3 de la FIR.</w:t>
      </w:r>
    </w:p>
    <w:p w14:paraId="242D853F" w14:textId="77777777" w:rsidR="00DB27FE" w:rsidRPr="006D3772" w:rsidRDefault="00DB27FE" w:rsidP="00DB27FE">
      <w:pPr>
        <w:pStyle w:val="ListParagraph"/>
        <w:numPr>
          <w:ilvl w:val="0"/>
          <w:numId w:val="9"/>
        </w:numPr>
        <w:ind w:left="810"/>
        <w:rPr>
          <w:lang w:val="es-ES"/>
        </w:rPr>
      </w:pPr>
      <w:r w:rsidRPr="006D3772">
        <w:rPr>
          <w:lang w:val="es-ES"/>
        </w:rPr>
        <w:t xml:space="preserve">Asegurarse de enviar una copia del informe directamente al Grupo de Examen Científico y Técnico (GECT) y a Wetlands International en las direcciones </w:t>
      </w:r>
      <w:hyperlink r:id="rId20" w:history="1">
        <w:r w:rsidRPr="006D3772">
          <w:rPr>
            <w:rStyle w:val="Hyperlink"/>
            <w:lang w:val="es-ES"/>
          </w:rPr>
          <w:t>strp@ramsar.org</w:t>
        </w:r>
      </w:hyperlink>
      <w:r w:rsidRPr="006D3772">
        <w:rPr>
          <w:lang w:val="es-ES"/>
        </w:rPr>
        <w:t xml:space="preserve"> y </w:t>
      </w:r>
      <w:hyperlink r:id="rId21" w:history="1">
        <w:r w:rsidRPr="006D3772">
          <w:rPr>
            <w:rStyle w:val="Hyperlink"/>
            <w:lang w:val="es-ES"/>
          </w:rPr>
          <w:t>wpe@wetlands.org</w:t>
        </w:r>
      </w:hyperlink>
      <w:r w:rsidRPr="006D3772">
        <w:rPr>
          <w:lang w:val="es-ES"/>
        </w:rPr>
        <w:t xml:space="preserve"> para mantener un registro de la estimación alternativa del tamaño poblacional utilizada. </w:t>
      </w:r>
    </w:p>
    <w:p w14:paraId="015D8CF8" w14:textId="77777777" w:rsidR="00DB27FE" w:rsidRPr="006D3772" w:rsidRDefault="00DB27FE" w:rsidP="00DB27FE">
      <w:pPr>
        <w:rPr>
          <w:lang w:val="es-ES"/>
        </w:rPr>
      </w:pPr>
    </w:p>
    <w:p w14:paraId="7CF5B9B7" w14:textId="77777777" w:rsidR="00DB27FE" w:rsidRPr="006D3772" w:rsidRDefault="00DB27FE" w:rsidP="00DB27FE">
      <w:pPr>
        <w:ind w:left="432" w:hanging="432"/>
        <w:rPr>
          <w:rFonts w:eastAsia="Calibri"/>
          <w:u w:val="single"/>
          <w:lang w:val="es-ES"/>
        </w:rPr>
      </w:pPr>
      <w:r w:rsidRPr="006D3772">
        <w:rPr>
          <w:rFonts w:eastAsia="Calibri"/>
          <w:lang w:val="es-ES"/>
        </w:rPr>
        <w:lastRenderedPageBreak/>
        <w:t>8.</w:t>
      </w:r>
      <w:r w:rsidRPr="006D3772">
        <w:rPr>
          <w:rFonts w:eastAsia="Calibri"/>
          <w:lang w:val="es-ES"/>
        </w:rPr>
        <w:tab/>
      </w:r>
      <w:r w:rsidRPr="006D3772">
        <w:rPr>
          <w:rFonts w:eastAsia="Calibri"/>
          <w:u w:val="single"/>
          <w:lang w:val="es-ES"/>
        </w:rPr>
        <w:t>Etapa 4: Examen y evaluación del GECT</w:t>
      </w:r>
    </w:p>
    <w:p w14:paraId="79E2A773" w14:textId="1529819F" w:rsidR="00DB27FE" w:rsidRPr="006D3772" w:rsidRDefault="00DB27FE" w:rsidP="00DB27FE">
      <w:pPr>
        <w:pStyle w:val="ListParagraph"/>
        <w:numPr>
          <w:ilvl w:val="0"/>
          <w:numId w:val="9"/>
        </w:numPr>
        <w:ind w:left="810"/>
        <w:rPr>
          <w:lang w:val="es-ES"/>
        </w:rPr>
      </w:pPr>
      <w:r w:rsidRPr="006D3772">
        <w:rPr>
          <w:i/>
          <w:iCs/>
          <w:lang w:val="es-ES"/>
        </w:rPr>
        <w:t>Examen inicial de la Secretaría</w:t>
      </w:r>
      <w:r w:rsidRPr="006D3772">
        <w:rPr>
          <w:lang w:val="es-ES"/>
        </w:rPr>
        <w:t>: La Secretaría realiza un examen inicial para asegurarse de que el informe esté completo y se haya elaborado respetando las orientaciones correspondientes.</w:t>
      </w:r>
    </w:p>
    <w:p w14:paraId="073EE9D5" w14:textId="77777777" w:rsidR="00DB27FE" w:rsidRPr="006D3772" w:rsidRDefault="00DB27FE" w:rsidP="00DB27FE">
      <w:pPr>
        <w:pStyle w:val="ListParagraph"/>
        <w:numPr>
          <w:ilvl w:val="0"/>
          <w:numId w:val="9"/>
        </w:numPr>
        <w:ind w:left="810"/>
        <w:rPr>
          <w:lang w:val="es-ES"/>
        </w:rPr>
      </w:pPr>
      <w:r w:rsidRPr="006D3772">
        <w:rPr>
          <w:i/>
          <w:iCs/>
          <w:lang w:val="es-ES"/>
        </w:rPr>
        <w:t>Envío al GECT</w:t>
      </w:r>
      <w:r w:rsidRPr="006D3772">
        <w:rPr>
          <w:lang w:val="es-ES"/>
        </w:rPr>
        <w:t>: La Secretaría remite el informe al GECT para su evaluación.</w:t>
      </w:r>
    </w:p>
    <w:p w14:paraId="139D3805" w14:textId="77777777" w:rsidR="00DB27FE" w:rsidRPr="006D3772" w:rsidRDefault="00DB27FE" w:rsidP="00DB27FE">
      <w:pPr>
        <w:pStyle w:val="ListParagraph"/>
        <w:numPr>
          <w:ilvl w:val="0"/>
          <w:numId w:val="9"/>
        </w:numPr>
        <w:ind w:left="810"/>
        <w:rPr>
          <w:lang w:val="es-ES"/>
        </w:rPr>
      </w:pPr>
      <w:r w:rsidRPr="006D3772">
        <w:rPr>
          <w:i/>
          <w:iCs/>
          <w:lang w:val="es-ES"/>
        </w:rPr>
        <w:t>Examen del GECT</w:t>
      </w:r>
      <w:r w:rsidRPr="006D3772">
        <w:rPr>
          <w:lang w:val="es-ES"/>
        </w:rPr>
        <w:t>: El GECT supervisa un proceso mediante el cual se pide a expertos en aves acuáticas de Wetlands International y otros organismos serios que examinen las metodologías y fuentes de datos utilizados en el informe.</w:t>
      </w:r>
    </w:p>
    <w:p w14:paraId="117ACEAB" w14:textId="77777777" w:rsidR="00DB27FE" w:rsidRPr="006D3772" w:rsidRDefault="00DB27FE" w:rsidP="00DB27FE">
      <w:pPr>
        <w:keepNext/>
        <w:rPr>
          <w:lang w:val="es-ES"/>
        </w:rPr>
      </w:pPr>
    </w:p>
    <w:p w14:paraId="2F57281A" w14:textId="77777777" w:rsidR="00DB27FE" w:rsidRPr="006D3772" w:rsidRDefault="00DB27FE" w:rsidP="00DB27FE">
      <w:pPr>
        <w:keepNext/>
        <w:ind w:left="432" w:hanging="432"/>
        <w:rPr>
          <w:rFonts w:eastAsia="Calibri"/>
          <w:u w:val="single"/>
          <w:lang w:val="es-ES"/>
        </w:rPr>
      </w:pPr>
      <w:r w:rsidRPr="006D3772">
        <w:rPr>
          <w:rFonts w:eastAsia="Calibri"/>
          <w:lang w:val="es-ES"/>
        </w:rPr>
        <w:t>9.</w:t>
      </w:r>
      <w:r w:rsidRPr="006D3772">
        <w:rPr>
          <w:rFonts w:eastAsia="Calibri"/>
          <w:lang w:val="es-ES"/>
        </w:rPr>
        <w:tab/>
      </w:r>
      <w:r w:rsidRPr="006D3772">
        <w:rPr>
          <w:rFonts w:eastAsia="Calibri"/>
          <w:u w:val="single"/>
          <w:lang w:val="es-ES"/>
        </w:rPr>
        <w:t>Etapa 5: Respuestas y revisiones</w:t>
      </w:r>
    </w:p>
    <w:p w14:paraId="3DAA26D7" w14:textId="77777777" w:rsidR="00DB27FE" w:rsidRPr="006D3772" w:rsidRDefault="00DB27FE" w:rsidP="00DB27FE">
      <w:pPr>
        <w:pStyle w:val="ListParagraph"/>
        <w:numPr>
          <w:ilvl w:val="0"/>
          <w:numId w:val="9"/>
        </w:numPr>
        <w:ind w:left="810"/>
        <w:rPr>
          <w:lang w:val="es-ES"/>
        </w:rPr>
      </w:pPr>
      <w:r w:rsidRPr="006D3772">
        <w:rPr>
          <w:i/>
          <w:iCs/>
          <w:lang w:val="es-ES"/>
        </w:rPr>
        <w:t>Solicitud de información adicional</w:t>
      </w:r>
      <w:r w:rsidRPr="006D3772">
        <w:rPr>
          <w:lang w:val="es-ES"/>
        </w:rPr>
        <w:t>: En caso necesario, la Secretaría o el GECT pueden pedir más información o aclaraciones a la Parte Contratante que presentó el informe.</w:t>
      </w:r>
    </w:p>
    <w:p w14:paraId="43A0E531" w14:textId="665A7142" w:rsidR="00DB27FE" w:rsidRPr="006D3772" w:rsidRDefault="00DB27FE" w:rsidP="00DB27FE">
      <w:pPr>
        <w:pStyle w:val="ListParagraph"/>
        <w:numPr>
          <w:ilvl w:val="0"/>
          <w:numId w:val="9"/>
        </w:numPr>
        <w:ind w:left="810"/>
        <w:rPr>
          <w:lang w:val="es-ES"/>
        </w:rPr>
      </w:pPr>
      <w:r w:rsidRPr="006D3772">
        <w:rPr>
          <w:i/>
          <w:iCs/>
          <w:lang w:val="es-ES"/>
        </w:rPr>
        <w:t>Presentación de la información solicitada</w:t>
      </w:r>
      <w:r w:rsidRPr="006D3772">
        <w:rPr>
          <w:lang w:val="es-ES"/>
        </w:rPr>
        <w:t xml:space="preserve">: La Parte </w:t>
      </w:r>
      <w:r w:rsidR="006D3772" w:rsidRPr="006D3772">
        <w:rPr>
          <w:lang w:val="es-ES"/>
        </w:rPr>
        <w:t>Contratante</w:t>
      </w:r>
      <w:r w:rsidRPr="006D3772">
        <w:rPr>
          <w:lang w:val="es-ES"/>
        </w:rPr>
        <w:t xml:space="preserve"> proporciona la información solicitada o efectúa las revisiones necesarias y vuelve a presentar la documentación.</w:t>
      </w:r>
    </w:p>
    <w:p w14:paraId="0E854F89" w14:textId="77777777" w:rsidR="00DB27FE" w:rsidRPr="006D3772" w:rsidRDefault="00DB27FE" w:rsidP="00DB27FE">
      <w:pPr>
        <w:rPr>
          <w:lang w:val="es-ES"/>
        </w:rPr>
      </w:pPr>
    </w:p>
    <w:p w14:paraId="2B49003B" w14:textId="77777777" w:rsidR="00DB27FE" w:rsidRPr="006D3772" w:rsidRDefault="00DB27FE" w:rsidP="00DB27FE">
      <w:pPr>
        <w:ind w:left="432" w:hanging="432"/>
        <w:rPr>
          <w:rFonts w:eastAsia="Calibri"/>
          <w:u w:val="single"/>
          <w:lang w:val="es-ES"/>
        </w:rPr>
      </w:pPr>
      <w:r w:rsidRPr="006D3772">
        <w:rPr>
          <w:rFonts w:eastAsia="Calibri"/>
          <w:lang w:val="es-ES"/>
        </w:rPr>
        <w:t>10.</w:t>
      </w:r>
      <w:r w:rsidRPr="006D3772">
        <w:rPr>
          <w:rFonts w:eastAsia="Calibri"/>
          <w:lang w:val="es-ES"/>
        </w:rPr>
        <w:tab/>
      </w:r>
      <w:r w:rsidRPr="006D3772">
        <w:rPr>
          <w:rFonts w:eastAsia="Calibri"/>
          <w:u w:val="single"/>
          <w:lang w:val="es-ES"/>
        </w:rPr>
        <w:t>Etapa 6: Recomendación y comunicación</w:t>
      </w:r>
    </w:p>
    <w:p w14:paraId="2A9A9986" w14:textId="77777777" w:rsidR="00DB27FE" w:rsidRPr="006D3772" w:rsidRDefault="00DB27FE" w:rsidP="00DB27FE">
      <w:pPr>
        <w:pStyle w:val="ListParagraph"/>
        <w:numPr>
          <w:ilvl w:val="0"/>
          <w:numId w:val="9"/>
        </w:numPr>
        <w:ind w:left="810"/>
        <w:rPr>
          <w:lang w:val="es-ES"/>
        </w:rPr>
      </w:pPr>
      <w:r w:rsidRPr="006D3772">
        <w:rPr>
          <w:i/>
          <w:iCs/>
          <w:lang w:val="es-ES"/>
        </w:rPr>
        <w:t>Recomendación del GECT</w:t>
      </w:r>
      <w:r w:rsidRPr="006D3772">
        <w:rPr>
          <w:lang w:val="es-ES"/>
        </w:rPr>
        <w:t>: Tras un examen satisfactorio, el GECT recomienda a la Secretaría y a la Parte Contratante que se presenten la estimación poblacional alternativa y el umbral del 1 % derivado de esta.</w:t>
      </w:r>
    </w:p>
    <w:p w14:paraId="0800651A" w14:textId="77777777" w:rsidR="00DB27FE" w:rsidRPr="006D3772" w:rsidRDefault="00DB27FE" w:rsidP="00DB27FE">
      <w:pPr>
        <w:pStyle w:val="ListParagraph"/>
        <w:numPr>
          <w:ilvl w:val="0"/>
          <w:numId w:val="9"/>
        </w:numPr>
        <w:ind w:left="810"/>
        <w:rPr>
          <w:lang w:val="es-ES"/>
        </w:rPr>
      </w:pPr>
      <w:r w:rsidRPr="006D3772">
        <w:rPr>
          <w:i/>
          <w:iCs/>
          <w:lang w:val="es-ES" w:eastAsia="ko-KR"/>
        </w:rPr>
        <w:t xml:space="preserve">En base a la recomendación del GECT, </w:t>
      </w:r>
      <w:r w:rsidRPr="006D3772">
        <w:rPr>
          <w:lang w:val="es-ES"/>
        </w:rPr>
        <w:t>la Secretaría examina la FIR presentada.</w:t>
      </w:r>
    </w:p>
    <w:p w14:paraId="12334B7F" w14:textId="77777777" w:rsidR="00DB27FE" w:rsidRPr="006D3772" w:rsidRDefault="00DB27FE" w:rsidP="00DB27FE">
      <w:pPr>
        <w:rPr>
          <w:lang w:val="es-ES"/>
        </w:rPr>
      </w:pPr>
    </w:p>
    <w:p w14:paraId="54E411B0" w14:textId="77777777" w:rsidR="00DB27FE" w:rsidRPr="006D3772" w:rsidRDefault="00DB27FE" w:rsidP="00DB27FE">
      <w:pPr>
        <w:rPr>
          <w:rFonts w:eastAsia="Times New Roman"/>
          <w:bCs w:val="0"/>
          <w:i/>
          <w:iCs/>
          <w:lang w:val="es-ES"/>
        </w:rPr>
      </w:pPr>
      <w:r w:rsidRPr="006D3772">
        <w:rPr>
          <w:rFonts w:eastAsia="Times New Roman"/>
          <w:bCs w:val="0"/>
          <w:i/>
          <w:iCs/>
          <w:lang w:val="es-ES"/>
        </w:rPr>
        <w:t>Modelo de informe sobre una estimación poblacional alternativa</w:t>
      </w:r>
    </w:p>
    <w:tbl>
      <w:tblPr>
        <w:tblStyle w:val="TableGrid"/>
        <w:tblW w:w="0" w:type="auto"/>
        <w:tblLook w:val="04A0" w:firstRow="1" w:lastRow="0" w:firstColumn="1" w:lastColumn="0" w:noHBand="0" w:noVBand="1"/>
      </w:tblPr>
      <w:tblGrid>
        <w:gridCol w:w="9016"/>
      </w:tblGrid>
      <w:tr w:rsidR="00DB27FE" w:rsidRPr="006D3772" w14:paraId="3E7DFD95" w14:textId="77777777" w:rsidTr="00DA14B4">
        <w:tc>
          <w:tcPr>
            <w:tcW w:w="9350" w:type="dxa"/>
          </w:tcPr>
          <w:p w14:paraId="4C8782E0" w14:textId="77777777" w:rsidR="00DB27FE" w:rsidRPr="006D3772" w:rsidRDefault="00DB27FE" w:rsidP="00DA14B4">
            <w:pPr>
              <w:spacing w:before="120"/>
              <w:rPr>
                <w:b/>
                <w:bCs w:val="0"/>
                <w:lang w:val="es-ES"/>
              </w:rPr>
            </w:pPr>
            <w:r w:rsidRPr="006D3772">
              <w:rPr>
                <w:b/>
                <w:lang w:val="es-ES"/>
              </w:rPr>
              <w:t>Informe sobre una estimación poblacional alternativa</w:t>
            </w:r>
          </w:p>
          <w:p w14:paraId="05B4A179" w14:textId="77777777" w:rsidR="00DB27FE" w:rsidRPr="006D3772" w:rsidRDefault="00DB27FE" w:rsidP="00DA14B4">
            <w:pPr>
              <w:rPr>
                <w:lang w:val="es-ES"/>
              </w:rPr>
            </w:pPr>
          </w:p>
          <w:p w14:paraId="7DA3471D" w14:textId="77777777" w:rsidR="00DB27FE" w:rsidRPr="006D3772" w:rsidRDefault="00DB27FE" w:rsidP="00DA14B4">
            <w:pPr>
              <w:pStyle w:val="ListParagraph"/>
              <w:numPr>
                <w:ilvl w:val="0"/>
                <w:numId w:val="11"/>
              </w:numPr>
              <w:rPr>
                <w:lang w:val="es-ES"/>
              </w:rPr>
            </w:pPr>
            <w:r w:rsidRPr="006D3772">
              <w:rPr>
                <w:lang w:val="es-ES"/>
              </w:rPr>
              <w:t>Información de contacto:</w:t>
            </w:r>
          </w:p>
          <w:p w14:paraId="7BEC3185" w14:textId="77777777" w:rsidR="00DB27FE" w:rsidRPr="006D3772" w:rsidRDefault="00DB27FE" w:rsidP="00DA14B4">
            <w:pPr>
              <w:pStyle w:val="ListParagraph"/>
              <w:numPr>
                <w:ilvl w:val="1"/>
                <w:numId w:val="11"/>
              </w:numPr>
              <w:rPr>
                <w:lang w:val="es-ES"/>
              </w:rPr>
            </w:pPr>
            <w:r w:rsidRPr="006D3772">
              <w:rPr>
                <w:lang w:val="es-ES"/>
              </w:rPr>
              <w:t>Persona de contacto.</w:t>
            </w:r>
          </w:p>
          <w:p w14:paraId="2F34C39D" w14:textId="77777777" w:rsidR="00DB27FE" w:rsidRPr="006D3772" w:rsidRDefault="00DB27FE" w:rsidP="00DA14B4">
            <w:pPr>
              <w:pStyle w:val="ListParagraph"/>
              <w:numPr>
                <w:ilvl w:val="1"/>
                <w:numId w:val="11"/>
              </w:numPr>
              <w:rPr>
                <w:lang w:val="es-ES"/>
              </w:rPr>
            </w:pPr>
            <w:r w:rsidRPr="006D3772">
              <w:rPr>
                <w:lang w:val="es-ES"/>
              </w:rPr>
              <w:t>Dirección de correo electrónico.</w:t>
            </w:r>
          </w:p>
          <w:p w14:paraId="16412119" w14:textId="77777777" w:rsidR="00DB27FE" w:rsidRPr="006D3772" w:rsidRDefault="00DB27FE" w:rsidP="00DA14B4">
            <w:pPr>
              <w:pStyle w:val="ListParagraph"/>
              <w:numPr>
                <w:ilvl w:val="1"/>
                <w:numId w:val="11"/>
              </w:numPr>
              <w:rPr>
                <w:lang w:val="es-ES"/>
              </w:rPr>
            </w:pPr>
            <w:r w:rsidRPr="006D3772">
              <w:rPr>
                <w:lang w:val="es-ES"/>
              </w:rPr>
              <w:t>Teléfono.</w:t>
            </w:r>
          </w:p>
          <w:p w14:paraId="5B9F855C" w14:textId="77777777" w:rsidR="00DB27FE" w:rsidRPr="006D3772" w:rsidRDefault="00DB27FE" w:rsidP="00DA14B4">
            <w:pPr>
              <w:rPr>
                <w:lang w:val="es-ES"/>
              </w:rPr>
            </w:pPr>
          </w:p>
          <w:p w14:paraId="11CC0CFE" w14:textId="77777777" w:rsidR="00DB27FE" w:rsidRPr="006D3772" w:rsidRDefault="00DB27FE" w:rsidP="00DA14B4">
            <w:pPr>
              <w:pStyle w:val="ListParagraph"/>
              <w:numPr>
                <w:ilvl w:val="0"/>
                <w:numId w:val="11"/>
              </w:numPr>
              <w:rPr>
                <w:lang w:val="es-ES"/>
              </w:rPr>
            </w:pPr>
            <w:r w:rsidRPr="006D3772">
              <w:rPr>
                <w:lang w:val="es-ES"/>
              </w:rPr>
              <w:t>Tamaño de la población biogeográfica propuesto</w:t>
            </w:r>
          </w:p>
          <w:p w14:paraId="5C1B1555" w14:textId="77777777" w:rsidR="00DB27FE" w:rsidRPr="006D3772" w:rsidRDefault="00DB27FE" w:rsidP="00DA14B4">
            <w:pPr>
              <w:pStyle w:val="ListParagraph"/>
              <w:numPr>
                <w:ilvl w:val="1"/>
                <w:numId w:val="11"/>
              </w:numPr>
              <w:rPr>
                <w:lang w:val="es-ES"/>
              </w:rPr>
            </w:pPr>
            <w:r w:rsidRPr="006D3772">
              <w:rPr>
                <w:lang w:val="es-ES"/>
              </w:rPr>
              <w:t xml:space="preserve">Nombre de la población biogeográfica (facilitar también el enlace web a la página de la población en cuestión en el </w:t>
            </w:r>
            <w:r w:rsidRPr="006D3772">
              <w:rPr>
                <w:i/>
                <w:iCs/>
                <w:lang w:val="es-ES"/>
              </w:rPr>
              <w:t>Waterbird Populations Portal</w:t>
            </w:r>
            <w:r w:rsidRPr="006D3772">
              <w:rPr>
                <w:lang w:val="es-ES"/>
              </w:rPr>
              <w:t>).</w:t>
            </w:r>
          </w:p>
          <w:p w14:paraId="160E4C67" w14:textId="77777777" w:rsidR="00DB27FE" w:rsidRPr="006D3772" w:rsidRDefault="00DB27FE" w:rsidP="00DA14B4">
            <w:pPr>
              <w:pStyle w:val="ListParagraph"/>
              <w:numPr>
                <w:ilvl w:val="1"/>
                <w:numId w:val="11"/>
              </w:numPr>
              <w:rPr>
                <w:lang w:val="es-ES"/>
              </w:rPr>
            </w:pPr>
            <w:r w:rsidRPr="006D3772">
              <w:rPr>
                <w:lang w:val="es-ES"/>
              </w:rPr>
              <w:t>Fuente(s) de los datos poblacionales actuales.</w:t>
            </w:r>
          </w:p>
          <w:p w14:paraId="3D95BBD2" w14:textId="77777777" w:rsidR="00DB27FE" w:rsidRPr="006D3772" w:rsidRDefault="00DB27FE" w:rsidP="00DA14B4">
            <w:pPr>
              <w:pStyle w:val="ListParagraph"/>
              <w:numPr>
                <w:ilvl w:val="1"/>
                <w:numId w:val="11"/>
              </w:numPr>
              <w:rPr>
                <w:lang w:val="es-ES"/>
              </w:rPr>
            </w:pPr>
            <w:r w:rsidRPr="006D3772">
              <w:rPr>
                <w:lang w:val="es-ES"/>
              </w:rPr>
              <w:t>Estimación actual del tamaño de la población y umbral del 1 %.</w:t>
            </w:r>
          </w:p>
          <w:p w14:paraId="34534E2B" w14:textId="77777777" w:rsidR="00DB27FE" w:rsidRPr="006D3772" w:rsidRDefault="00DB27FE" w:rsidP="00DA14B4">
            <w:pPr>
              <w:pStyle w:val="ListParagraph"/>
              <w:numPr>
                <w:ilvl w:val="1"/>
                <w:numId w:val="11"/>
              </w:numPr>
              <w:rPr>
                <w:lang w:val="es-ES"/>
              </w:rPr>
            </w:pPr>
            <w:r w:rsidRPr="006D3772">
              <w:rPr>
                <w:lang w:val="es-ES"/>
              </w:rPr>
              <w:t>Motivo de la presentación del informe.</w:t>
            </w:r>
          </w:p>
          <w:p w14:paraId="7AEA8A27" w14:textId="77777777" w:rsidR="00DB27FE" w:rsidRPr="006D3772" w:rsidRDefault="00DB27FE" w:rsidP="00DA14B4">
            <w:pPr>
              <w:rPr>
                <w:lang w:val="es-ES"/>
              </w:rPr>
            </w:pPr>
          </w:p>
          <w:p w14:paraId="12C305C3" w14:textId="77777777" w:rsidR="00DB27FE" w:rsidRPr="006D3772" w:rsidRDefault="00DB27FE" w:rsidP="00DA14B4">
            <w:pPr>
              <w:pStyle w:val="ListParagraph"/>
              <w:numPr>
                <w:ilvl w:val="0"/>
                <w:numId w:val="11"/>
              </w:numPr>
              <w:rPr>
                <w:lang w:val="es-ES"/>
              </w:rPr>
            </w:pPr>
            <w:r w:rsidRPr="006D3772">
              <w:rPr>
                <w:lang w:val="es-ES"/>
              </w:rPr>
              <w:t>Nueva estimación sobre el tamaño de la población</w:t>
            </w:r>
          </w:p>
          <w:p w14:paraId="5EC0CC99" w14:textId="77777777" w:rsidR="00DB27FE" w:rsidRPr="006D3772" w:rsidRDefault="00DB27FE" w:rsidP="00DA14B4">
            <w:pPr>
              <w:pStyle w:val="ListParagraph"/>
              <w:numPr>
                <w:ilvl w:val="1"/>
                <w:numId w:val="11"/>
              </w:numPr>
              <w:rPr>
                <w:lang w:val="es-ES"/>
              </w:rPr>
            </w:pPr>
            <w:r w:rsidRPr="006D3772">
              <w:rPr>
                <w:lang w:val="es-ES"/>
              </w:rPr>
              <w:t>Nueva estimación sobre el tamaño de la población.</w:t>
            </w:r>
          </w:p>
          <w:p w14:paraId="257603B8" w14:textId="77777777" w:rsidR="00DB27FE" w:rsidRPr="006D3772" w:rsidRDefault="00DB27FE" w:rsidP="00DA14B4">
            <w:pPr>
              <w:pStyle w:val="ListParagraph"/>
              <w:numPr>
                <w:ilvl w:val="1"/>
                <w:numId w:val="11"/>
              </w:numPr>
              <w:rPr>
                <w:lang w:val="es-ES"/>
              </w:rPr>
            </w:pPr>
            <w:r w:rsidRPr="006D3772">
              <w:rPr>
                <w:lang w:val="es-ES"/>
              </w:rPr>
              <w:t>Metodología/pasos detallados para derivar una nueva estimación poblacional.</w:t>
            </w:r>
          </w:p>
          <w:p w14:paraId="3B79602B" w14:textId="77777777" w:rsidR="00DB27FE" w:rsidRPr="006D3772" w:rsidRDefault="00DB27FE" w:rsidP="00DA14B4">
            <w:pPr>
              <w:pStyle w:val="ListParagraph"/>
              <w:numPr>
                <w:ilvl w:val="1"/>
                <w:numId w:val="11"/>
              </w:numPr>
              <w:rPr>
                <w:lang w:val="es-ES"/>
              </w:rPr>
            </w:pPr>
            <w:r w:rsidRPr="006D3772">
              <w:rPr>
                <w:lang w:val="es-ES"/>
              </w:rPr>
              <w:t>Referencias a las fuentes originales.</w:t>
            </w:r>
          </w:p>
          <w:p w14:paraId="3A6B1F8C" w14:textId="77777777" w:rsidR="00DB27FE" w:rsidRPr="006D3772" w:rsidRDefault="00DB27FE" w:rsidP="00DA14B4">
            <w:pPr>
              <w:tabs>
                <w:tab w:val="left" w:pos="1614"/>
              </w:tabs>
              <w:rPr>
                <w:lang w:val="es-ES"/>
              </w:rPr>
            </w:pPr>
          </w:p>
          <w:p w14:paraId="3AA6141A" w14:textId="77777777" w:rsidR="00DB27FE" w:rsidRPr="006D3772" w:rsidRDefault="00DB27FE" w:rsidP="00DA14B4">
            <w:pPr>
              <w:pStyle w:val="ListParagraph"/>
              <w:numPr>
                <w:ilvl w:val="0"/>
                <w:numId w:val="11"/>
              </w:numPr>
              <w:rPr>
                <w:lang w:val="es-ES"/>
              </w:rPr>
            </w:pPr>
            <w:r w:rsidRPr="006D3772">
              <w:rPr>
                <w:lang w:val="es-ES"/>
              </w:rPr>
              <w:t>Cálculo del umbral del 1 %</w:t>
            </w:r>
          </w:p>
          <w:p w14:paraId="105E05E9" w14:textId="77777777" w:rsidR="00DB27FE" w:rsidRPr="006D3772" w:rsidRDefault="00DB27FE" w:rsidP="00DA14B4">
            <w:pPr>
              <w:pStyle w:val="ListParagraph"/>
              <w:numPr>
                <w:ilvl w:val="1"/>
                <w:numId w:val="11"/>
              </w:numPr>
              <w:rPr>
                <w:lang w:val="es-ES"/>
              </w:rPr>
            </w:pPr>
            <w:r w:rsidRPr="006D3772">
              <w:rPr>
                <w:lang w:val="es-ES"/>
              </w:rPr>
              <w:t>Método de cálculo.</w:t>
            </w:r>
          </w:p>
          <w:p w14:paraId="021574AB" w14:textId="77777777" w:rsidR="00DB27FE" w:rsidRPr="006D3772" w:rsidRDefault="00DB27FE" w:rsidP="00DA14B4">
            <w:pPr>
              <w:pStyle w:val="ListParagraph"/>
              <w:numPr>
                <w:ilvl w:val="1"/>
                <w:numId w:val="11"/>
              </w:numPr>
              <w:rPr>
                <w:lang w:val="es-ES"/>
              </w:rPr>
            </w:pPr>
            <w:r w:rsidRPr="006D3772">
              <w:rPr>
                <w:lang w:val="es-ES"/>
              </w:rPr>
              <w:t>Umbral del 1 % resultante.</w:t>
            </w:r>
          </w:p>
          <w:p w14:paraId="0C29805E" w14:textId="77777777" w:rsidR="00DB27FE" w:rsidRPr="006D3772" w:rsidRDefault="00DB27FE" w:rsidP="00DA14B4">
            <w:pPr>
              <w:rPr>
                <w:lang w:val="es-ES"/>
              </w:rPr>
            </w:pPr>
          </w:p>
          <w:p w14:paraId="2F2E4B20" w14:textId="77777777" w:rsidR="00DB27FE" w:rsidRPr="006D3772" w:rsidRDefault="00DB27FE" w:rsidP="00DA14B4">
            <w:pPr>
              <w:pStyle w:val="ListParagraph"/>
              <w:numPr>
                <w:ilvl w:val="0"/>
                <w:numId w:val="11"/>
              </w:numPr>
              <w:rPr>
                <w:lang w:val="es-ES"/>
              </w:rPr>
            </w:pPr>
            <w:r w:rsidRPr="006D3772">
              <w:rPr>
                <w:lang w:val="es-ES"/>
              </w:rPr>
              <w:t>Lista de los archivos adjuntos o anexos</w:t>
            </w:r>
          </w:p>
          <w:p w14:paraId="1E04E535" w14:textId="77777777" w:rsidR="00DB27FE" w:rsidRPr="006D3772" w:rsidRDefault="00DB27FE" w:rsidP="00DA14B4">
            <w:pPr>
              <w:pStyle w:val="ListParagraph"/>
              <w:numPr>
                <w:ilvl w:val="1"/>
                <w:numId w:val="11"/>
              </w:numPr>
              <w:rPr>
                <w:lang w:val="es-ES"/>
              </w:rPr>
            </w:pPr>
            <w:r w:rsidRPr="006D3772">
              <w:rPr>
                <w:lang w:val="es-ES"/>
              </w:rPr>
              <w:t>Cuadros de datos pertinentes.</w:t>
            </w:r>
          </w:p>
          <w:p w14:paraId="3CD9DDA3" w14:textId="77777777" w:rsidR="00DB27FE" w:rsidRPr="006D3772" w:rsidRDefault="00DB27FE" w:rsidP="00DA14B4">
            <w:pPr>
              <w:pStyle w:val="ListParagraph"/>
              <w:numPr>
                <w:ilvl w:val="1"/>
                <w:numId w:val="11"/>
              </w:numPr>
              <w:rPr>
                <w:lang w:val="es-ES"/>
              </w:rPr>
            </w:pPr>
            <w:r w:rsidRPr="006D3772">
              <w:rPr>
                <w:lang w:val="es-ES"/>
              </w:rPr>
              <w:t>Copias de las fuentes originales.</w:t>
            </w:r>
          </w:p>
          <w:p w14:paraId="0D187AF7" w14:textId="77777777" w:rsidR="00DB27FE" w:rsidRPr="006D3772" w:rsidRDefault="00DB27FE" w:rsidP="00DA14B4">
            <w:pPr>
              <w:pStyle w:val="ListParagraph"/>
              <w:numPr>
                <w:ilvl w:val="1"/>
                <w:numId w:val="11"/>
              </w:numPr>
              <w:rPr>
                <w:lang w:val="es-ES"/>
              </w:rPr>
            </w:pPr>
            <w:r w:rsidRPr="006D3772">
              <w:rPr>
                <w:lang w:val="es-ES"/>
              </w:rPr>
              <w:t>Documentos justificativos adicionales.</w:t>
            </w:r>
          </w:p>
          <w:p w14:paraId="7F320F32" w14:textId="77777777" w:rsidR="00DB27FE" w:rsidRPr="006D3772" w:rsidRDefault="00DB27FE" w:rsidP="00DA14B4">
            <w:pPr>
              <w:pStyle w:val="ListParagraph"/>
              <w:ind w:left="792"/>
              <w:rPr>
                <w:lang w:val="es-ES"/>
              </w:rPr>
            </w:pPr>
          </w:p>
        </w:tc>
      </w:tr>
    </w:tbl>
    <w:p w14:paraId="0275FFBF" w14:textId="77777777" w:rsidR="00DB27FE" w:rsidRPr="006D3772" w:rsidRDefault="00DB27FE" w:rsidP="00DB27FE">
      <w:pPr>
        <w:spacing w:after="160" w:line="259" w:lineRule="auto"/>
        <w:rPr>
          <w:lang w:val="es-ES"/>
        </w:rPr>
      </w:pPr>
      <w:r w:rsidRPr="006D3772">
        <w:rPr>
          <w:lang w:val="es-ES"/>
        </w:rPr>
        <w:br w:type="page"/>
      </w:r>
    </w:p>
    <w:p w14:paraId="03E0E1DC" w14:textId="77777777" w:rsidR="00DB27FE" w:rsidRPr="006D3772" w:rsidRDefault="00DB27FE" w:rsidP="00DB27FE">
      <w:pPr>
        <w:rPr>
          <w:rFonts w:eastAsia="Times New Roman"/>
          <w:b/>
          <w:sz w:val="24"/>
          <w:szCs w:val="24"/>
          <w:lang w:val="es-ES"/>
        </w:rPr>
      </w:pPr>
      <w:r w:rsidRPr="006D3772">
        <w:rPr>
          <w:rFonts w:eastAsia="Times New Roman"/>
          <w:b/>
          <w:sz w:val="24"/>
          <w:szCs w:val="24"/>
          <w:lang w:val="es-ES"/>
        </w:rPr>
        <w:lastRenderedPageBreak/>
        <w:t>Anexo 3</w:t>
      </w:r>
    </w:p>
    <w:p w14:paraId="6545737D" w14:textId="4A7CA7A2" w:rsidR="00DB27FE" w:rsidRPr="006D3772" w:rsidRDefault="00193ADE" w:rsidP="00DB27FE">
      <w:pPr>
        <w:rPr>
          <w:rFonts w:eastAsia="Times New Roman"/>
          <w:b/>
          <w:sz w:val="24"/>
          <w:szCs w:val="24"/>
          <w:lang w:val="es-ES"/>
        </w:rPr>
      </w:pPr>
      <w:r w:rsidRPr="006D3772">
        <w:rPr>
          <w:rFonts w:eastAsia="Times New Roman"/>
          <w:b/>
          <w:sz w:val="24"/>
          <w:szCs w:val="24"/>
          <w:lang w:val="es-ES"/>
        </w:rPr>
        <w:t>Documento de análisis inicial</w:t>
      </w:r>
      <w:r w:rsidR="00DB27FE" w:rsidRPr="006D3772">
        <w:rPr>
          <w:rFonts w:eastAsia="Times New Roman"/>
          <w:b/>
          <w:sz w:val="24"/>
          <w:szCs w:val="24"/>
          <w:lang w:val="es-ES"/>
        </w:rPr>
        <w:t xml:space="preserve"> sobre el examen de los marcos jurídicos y </w:t>
      </w:r>
      <w:r w:rsidRPr="006D3772">
        <w:rPr>
          <w:rFonts w:eastAsia="Times New Roman"/>
          <w:b/>
          <w:sz w:val="24"/>
          <w:szCs w:val="24"/>
          <w:lang w:val="es-ES"/>
        </w:rPr>
        <w:t>normativos</w:t>
      </w:r>
      <w:r w:rsidR="00DB27FE" w:rsidRPr="006D3772">
        <w:rPr>
          <w:rFonts w:eastAsia="Times New Roman"/>
          <w:b/>
          <w:sz w:val="24"/>
          <w:szCs w:val="24"/>
          <w:lang w:val="es-ES"/>
        </w:rPr>
        <w:t xml:space="preserve"> para la conservación y el uso racional de los humedales</w:t>
      </w:r>
    </w:p>
    <w:p w14:paraId="346C6696" w14:textId="77777777" w:rsidR="00DB27FE" w:rsidRPr="006D3772" w:rsidRDefault="00DB27FE" w:rsidP="00DB27FE">
      <w:pPr>
        <w:rPr>
          <w:lang w:val="es-ES"/>
        </w:rPr>
      </w:pPr>
    </w:p>
    <w:p w14:paraId="3DA85512" w14:textId="1144A75E" w:rsidR="00DB27FE" w:rsidRPr="006D3772" w:rsidRDefault="00DB27FE" w:rsidP="00DB27FE">
      <w:pPr>
        <w:ind w:left="432" w:hanging="432"/>
        <w:rPr>
          <w:lang w:val="es-ES"/>
        </w:rPr>
      </w:pPr>
      <w:r w:rsidRPr="006D3772">
        <w:rPr>
          <w:lang w:val="es-ES"/>
        </w:rPr>
        <w:t>1.</w:t>
      </w:r>
      <w:r w:rsidRPr="006D3772">
        <w:rPr>
          <w:lang w:val="es-ES"/>
        </w:rPr>
        <w:tab/>
        <w:t xml:space="preserve">El Grupo de Examen Científico y Técnico (GECT) ha preparado este documento técnico </w:t>
      </w:r>
      <w:r w:rsidR="00193ADE" w:rsidRPr="006D3772">
        <w:rPr>
          <w:lang w:val="es-ES"/>
        </w:rPr>
        <w:t xml:space="preserve">de análisis inicial </w:t>
      </w:r>
      <w:r w:rsidRPr="006D3772">
        <w:rPr>
          <w:lang w:val="es-ES"/>
        </w:rPr>
        <w:t xml:space="preserve">con arreglo a la Resolución XIV.14 y la Tarea 5.4 del plan de trabajo del GECT para 2023-2025. El documento brinda orientaciones para examinar los </w:t>
      </w:r>
      <w:r w:rsidR="00DD05DA" w:rsidRPr="006D3772">
        <w:rPr>
          <w:lang w:val="es-ES"/>
        </w:rPr>
        <w:t>instrumentos normativos</w:t>
      </w:r>
      <w:r w:rsidRPr="006D3772">
        <w:rPr>
          <w:lang w:val="es-ES"/>
        </w:rPr>
        <w:t xml:space="preserve"> relacionados con la conservación, la restauración y el uso sostenible de los humedales. Está previsto que el examen tenga lugar durante el próximo trienio, siempre y cuando sea aprobado por la Conferencia de las Partes Contratantes y el Comité Permanente como parte del plan de trabajo del GECT para 2026-2028. </w:t>
      </w:r>
    </w:p>
    <w:p w14:paraId="7DD45F70" w14:textId="77777777" w:rsidR="00DB27FE" w:rsidRPr="006D3772" w:rsidRDefault="00DB27FE" w:rsidP="00DB27FE">
      <w:pPr>
        <w:rPr>
          <w:lang w:val="es-ES"/>
        </w:rPr>
      </w:pPr>
    </w:p>
    <w:p w14:paraId="575E4BF7" w14:textId="0DB40FC8" w:rsidR="00DB27FE" w:rsidRPr="006D3772" w:rsidRDefault="00DB27FE" w:rsidP="00DB27FE">
      <w:pPr>
        <w:ind w:left="432" w:hanging="432"/>
        <w:rPr>
          <w:color w:val="000000" w:themeColor="text1"/>
          <w:lang w:val="es-ES"/>
        </w:rPr>
      </w:pPr>
      <w:r w:rsidRPr="006D3772">
        <w:rPr>
          <w:lang w:val="es-ES"/>
        </w:rPr>
        <w:t>2.</w:t>
      </w:r>
      <w:r w:rsidRPr="006D3772">
        <w:rPr>
          <w:lang w:val="es-ES"/>
        </w:rPr>
        <w:tab/>
        <w:t xml:space="preserve">La </w:t>
      </w:r>
      <w:r w:rsidR="00D10FC7" w:rsidRPr="006D3772">
        <w:rPr>
          <w:lang w:val="es-ES"/>
        </w:rPr>
        <w:t>Perspectiva Mundial sobre los Humedales</w:t>
      </w:r>
      <w:r w:rsidRPr="006D3772">
        <w:rPr>
          <w:lang w:val="es-ES"/>
        </w:rPr>
        <w:t xml:space="preserve"> (2018, 2021) pone de relieve la pérdida y degradación continua de los humedales en todo el mundo. Para detener esta pérdida es fundamental poner en práctica </w:t>
      </w:r>
      <w:r w:rsidR="00DD05DA" w:rsidRPr="006D3772">
        <w:rPr>
          <w:lang w:val="es-ES"/>
        </w:rPr>
        <w:t>instrumentos normativos</w:t>
      </w:r>
      <w:r w:rsidRPr="006D3772">
        <w:rPr>
          <w:lang w:val="es-ES"/>
        </w:rPr>
        <w:t xml:space="preserve"> eficaces, con arreglo a los objetivos de la Convención. El Manual 3 de la Convención sobre los Humedales, </w:t>
      </w:r>
      <w:r w:rsidRPr="006D3772">
        <w:rPr>
          <w:i/>
          <w:iCs/>
          <w:lang w:val="es-ES"/>
        </w:rPr>
        <w:t>Leyes e instituciones</w:t>
      </w:r>
      <w:r w:rsidRPr="006D3772">
        <w:rPr>
          <w:lang w:val="es-ES"/>
        </w:rPr>
        <w:t xml:space="preserve">, hace hincapié en la necesidad de leyes, </w:t>
      </w:r>
      <w:r w:rsidR="00DD05DA" w:rsidRPr="006D3772">
        <w:rPr>
          <w:lang w:val="es-ES"/>
        </w:rPr>
        <w:t>normas</w:t>
      </w:r>
      <w:r w:rsidRPr="006D3772">
        <w:rPr>
          <w:lang w:val="es-ES"/>
        </w:rPr>
        <w:t xml:space="preserve"> y políticas nacionales y subnacionales como parte de la obligación de uso racional. La conservación de los Humedales de Importancia Internacional también requiere leyes y normas sobre las áreas protegidas y otros mecanismos de conservación. Concretamente, varias resoluciones de la Convención proporcionan orientaciones sobre el contenido de esos instrumentos, por ejemplo, la Resolución VII</w:t>
      </w:r>
      <w:r w:rsidRPr="006D3772">
        <w:rPr>
          <w:color w:val="000000" w:themeColor="text1"/>
          <w:lang w:val="es-ES"/>
        </w:rPr>
        <w:t>.7, sobre el examen de leyes e instituciones, la Resolución VIII.4, sobre el manejo integrado de las zonas costeras, la Resolución X.19, sobre el manejo de las cuencas hidrográficas, y la Resolución XI.9, sobre cómo evitar, mitigar y compensar las pérdidas de humedales.</w:t>
      </w:r>
    </w:p>
    <w:p w14:paraId="57951B5F" w14:textId="77777777" w:rsidR="00DB27FE" w:rsidRPr="006D3772" w:rsidRDefault="00DB27FE" w:rsidP="00DB27FE">
      <w:pPr>
        <w:rPr>
          <w:lang w:val="es-ES"/>
        </w:rPr>
      </w:pPr>
    </w:p>
    <w:p w14:paraId="0E47E0C9" w14:textId="420D01D3" w:rsidR="00DB27FE" w:rsidRPr="006D3772" w:rsidRDefault="00DB27FE" w:rsidP="00DB27FE">
      <w:pPr>
        <w:ind w:left="432" w:hanging="432"/>
        <w:rPr>
          <w:lang w:val="es-ES"/>
        </w:rPr>
      </w:pPr>
      <w:r w:rsidRPr="006D3772">
        <w:rPr>
          <w:lang w:val="es-ES"/>
        </w:rPr>
        <w:t>3.</w:t>
      </w:r>
      <w:r w:rsidRPr="006D3772">
        <w:rPr>
          <w:lang w:val="es-ES"/>
        </w:rPr>
        <w:tab/>
        <w:t xml:space="preserve">El alcance de las leyes y políticas relacionadas con los humedales es amplio y comprende tanto instrumentos específicos sobre los humedales como reglamentaciones ambientales más amplias que tienen un impacto sobre los humedales. Algunas leyes pueden afectar indirectamente a los humedales de forma positiva o negativa. Estos instrumentos se aplican a distintos niveles de gobernanza (local, nacional, regional e internacional). Por consiguiente, en el examen habrá que definir claramente los tipos de </w:t>
      </w:r>
      <w:r w:rsidR="00DD05DA" w:rsidRPr="006D3772">
        <w:rPr>
          <w:lang w:val="es-ES"/>
        </w:rPr>
        <w:t>instrumentos normativos</w:t>
      </w:r>
      <w:r w:rsidRPr="006D3772">
        <w:rPr>
          <w:color w:val="000000" w:themeColor="text1"/>
          <w:lang w:val="es-ES"/>
        </w:rPr>
        <w:t xml:space="preserve"> </w:t>
      </w:r>
      <w:r w:rsidRPr="006D3772">
        <w:rPr>
          <w:lang w:val="es-ES"/>
        </w:rPr>
        <w:t>que deben tenerse en cuenta y su temática y escala, además de definir las limitaciones del examen. El presente documento proporciona el marco necesario para garantizar que el examen se lleve a cabo de manera eficaz, analizando leyes y políticas a distintos niveles de detalle y en función de distintos parámetros.</w:t>
      </w:r>
    </w:p>
    <w:p w14:paraId="76872741" w14:textId="77777777" w:rsidR="00DB27FE" w:rsidRPr="006D3772" w:rsidRDefault="00DB27FE" w:rsidP="00DB27FE">
      <w:pPr>
        <w:rPr>
          <w:lang w:val="es-ES"/>
        </w:rPr>
      </w:pPr>
    </w:p>
    <w:p w14:paraId="39F9D735" w14:textId="77777777" w:rsidR="00DB27FE" w:rsidRPr="006D3772" w:rsidRDefault="00DB27FE" w:rsidP="00DB27FE">
      <w:pPr>
        <w:rPr>
          <w:b/>
          <w:lang w:val="es-ES"/>
        </w:rPr>
      </w:pPr>
      <w:r w:rsidRPr="006D3772">
        <w:rPr>
          <w:b/>
          <w:color w:val="000000" w:themeColor="text1"/>
          <w:lang w:val="es-ES"/>
        </w:rPr>
        <w:t>Beneficios</w:t>
      </w:r>
      <w:r w:rsidRPr="006D3772">
        <w:rPr>
          <w:b/>
          <w:lang w:val="es-ES"/>
        </w:rPr>
        <w:t>/objetivos</w:t>
      </w:r>
    </w:p>
    <w:p w14:paraId="40C1E9FD" w14:textId="77777777" w:rsidR="00DB27FE" w:rsidRPr="006D3772" w:rsidRDefault="00DB27FE" w:rsidP="00DB27FE">
      <w:pPr>
        <w:rPr>
          <w:lang w:val="es-ES"/>
        </w:rPr>
      </w:pPr>
    </w:p>
    <w:p w14:paraId="6A3A71AA" w14:textId="46AE6F9B" w:rsidR="00DB27FE" w:rsidRPr="006D3772" w:rsidRDefault="00DB27FE" w:rsidP="00DB27FE">
      <w:pPr>
        <w:ind w:left="432" w:hanging="432"/>
        <w:rPr>
          <w:lang w:val="es-ES"/>
        </w:rPr>
      </w:pPr>
      <w:r w:rsidRPr="006D3772">
        <w:rPr>
          <w:lang w:val="es-ES"/>
        </w:rPr>
        <w:t>4.</w:t>
      </w:r>
      <w:r w:rsidRPr="006D3772">
        <w:rPr>
          <w:lang w:val="es-ES"/>
        </w:rPr>
        <w:tab/>
        <w:t xml:space="preserve">El resumen de los </w:t>
      </w:r>
      <w:r w:rsidR="00DD05DA" w:rsidRPr="006D3772">
        <w:rPr>
          <w:lang w:val="es-ES"/>
        </w:rPr>
        <w:t>instrumentos normativos</w:t>
      </w:r>
      <w:r w:rsidRPr="006D3772">
        <w:rPr>
          <w:lang w:val="es-ES"/>
        </w:rPr>
        <w:t xml:space="preserve"> relacionados con los humedales a escala mundial proporcionará una información valiosa a las Partes Contratantes sobre las distintas leyes y políticas que promueven el uso racional y la conservación de los humedales, abordando al mismo tiempo los factores impulsores de la pérdida y degradación de los humedales.</w:t>
      </w:r>
    </w:p>
    <w:p w14:paraId="5F277008" w14:textId="77777777" w:rsidR="00DB27FE" w:rsidRPr="006D3772" w:rsidRDefault="00DB27FE" w:rsidP="00DB27FE">
      <w:pPr>
        <w:rPr>
          <w:lang w:val="es-ES"/>
        </w:rPr>
      </w:pPr>
    </w:p>
    <w:p w14:paraId="0701C49E" w14:textId="77777777" w:rsidR="00DB27FE" w:rsidRPr="006D3772" w:rsidRDefault="00DB27FE" w:rsidP="00DB27FE">
      <w:pPr>
        <w:ind w:left="432" w:hanging="432"/>
        <w:rPr>
          <w:lang w:val="es-ES"/>
        </w:rPr>
      </w:pPr>
      <w:r w:rsidRPr="006D3772">
        <w:rPr>
          <w:lang w:val="es-ES"/>
        </w:rPr>
        <w:t>5.</w:t>
      </w:r>
      <w:r w:rsidRPr="006D3772">
        <w:rPr>
          <w:lang w:val="es-ES"/>
        </w:rPr>
        <w:tab/>
        <w:t>Esta información contribuirá a la aplicación de la Convención sobre los Humedales a escala local, nacional y regional, y también en los humedales transfronterizos. Las conclusiones serán particularmente útiles para las Partes Contratantes que deseen revisar o fortalecer sus marcos jurídicos e institucionales sobre los humedales, contribuyendo así al logro de los Objetivos de Desarrollo Sostenible (ODS), particularmente al indicador 6.6.1 sobre los ecosistemas relacionados con el agua.</w:t>
      </w:r>
    </w:p>
    <w:p w14:paraId="69E08F7A" w14:textId="77777777" w:rsidR="00DB27FE" w:rsidRPr="006D3772" w:rsidRDefault="00DB27FE" w:rsidP="00DB27FE">
      <w:pPr>
        <w:rPr>
          <w:lang w:val="es-ES"/>
        </w:rPr>
      </w:pPr>
    </w:p>
    <w:p w14:paraId="66ED305B" w14:textId="77777777" w:rsidR="00DB27FE" w:rsidRPr="006D3772" w:rsidRDefault="00DB27FE" w:rsidP="00DB27FE">
      <w:pPr>
        <w:rPr>
          <w:b/>
          <w:lang w:val="es-ES"/>
        </w:rPr>
      </w:pPr>
      <w:r w:rsidRPr="006D3772">
        <w:rPr>
          <w:b/>
          <w:lang w:val="es-ES"/>
        </w:rPr>
        <w:t>Definiciones</w:t>
      </w:r>
    </w:p>
    <w:p w14:paraId="3465089F" w14:textId="77777777" w:rsidR="00DB27FE" w:rsidRPr="006D3772" w:rsidRDefault="00DB27FE" w:rsidP="00DB27FE">
      <w:pPr>
        <w:rPr>
          <w:lang w:val="es-ES"/>
        </w:rPr>
      </w:pPr>
    </w:p>
    <w:p w14:paraId="23089561" w14:textId="77777777" w:rsidR="00DB27FE" w:rsidRPr="006D3772" w:rsidRDefault="00DB27FE" w:rsidP="00DB27FE">
      <w:pPr>
        <w:ind w:left="432" w:hanging="432"/>
        <w:rPr>
          <w:lang w:val="es-ES"/>
        </w:rPr>
      </w:pPr>
      <w:r w:rsidRPr="006D3772">
        <w:rPr>
          <w:lang w:val="es-ES"/>
        </w:rPr>
        <w:t>6.</w:t>
      </w:r>
      <w:r w:rsidRPr="006D3772">
        <w:rPr>
          <w:lang w:val="es-ES"/>
        </w:rPr>
        <w:tab/>
        <w:t xml:space="preserve">Para los fines del presente examen, las leyes y políticas relativas a los humedales se refieren a las reglas adoptadas por los gobiernos sobre las </w:t>
      </w:r>
      <w:r w:rsidRPr="006D3772">
        <w:rPr>
          <w:color w:val="000000" w:themeColor="text1"/>
          <w:lang w:val="es-ES"/>
        </w:rPr>
        <w:t xml:space="preserve">actividades que afectan a los humedales, lo que incluye legislación (leyes, decretos y ordenanzas), normas con fuerza de ley </w:t>
      </w:r>
      <w:r w:rsidRPr="006D3772">
        <w:rPr>
          <w:lang w:val="es-ES"/>
        </w:rPr>
        <w:t>y políticas que guían los procesos de toma de decisiones. Esta definición también abarca las resoluciones judiciales que interpretan dichas leyes, así como el derecho consuetudinario aplicado a los humedales.</w:t>
      </w:r>
    </w:p>
    <w:p w14:paraId="1B576702" w14:textId="77777777" w:rsidR="00DB27FE" w:rsidRPr="006D3772" w:rsidRDefault="00DB27FE" w:rsidP="00DB27FE">
      <w:pPr>
        <w:rPr>
          <w:lang w:val="es-ES"/>
        </w:rPr>
      </w:pPr>
    </w:p>
    <w:p w14:paraId="0317771F" w14:textId="77777777" w:rsidR="00DB27FE" w:rsidRPr="006D3772" w:rsidRDefault="00DB27FE" w:rsidP="00DB27FE">
      <w:pPr>
        <w:ind w:left="432" w:hanging="432"/>
        <w:rPr>
          <w:lang w:val="es-ES"/>
        </w:rPr>
      </w:pPr>
      <w:r w:rsidRPr="006D3772">
        <w:rPr>
          <w:lang w:val="es-ES"/>
        </w:rPr>
        <w:t>7.</w:t>
      </w:r>
      <w:r w:rsidRPr="006D3772">
        <w:rPr>
          <w:lang w:val="es-ES"/>
        </w:rPr>
        <w:tab/>
        <w:t>Como se indica en el Manual 3, las leyes y reglamentos constituyen la base jurídica de las facultades reglamentarias, las normas de planificación y los gastos públicos que influyen sobre sobre la gestión de los humedales. Por otra parte, las normas consuetudinarias a menudo rigen los derechos y deberes de los Pueblos Indígenas y las comunidades locales respecto de los recursos de los humedales.</w:t>
      </w:r>
      <w:r w:rsidRPr="006D3772">
        <w:rPr>
          <w:vertAlign w:val="superscript"/>
          <w:lang w:val="es-ES"/>
        </w:rPr>
        <w:footnoteReference w:id="7"/>
      </w:r>
    </w:p>
    <w:p w14:paraId="36418700" w14:textId="77777777" w:rsidR="00DB27FE" w:rsidRPr="006D3772" w:rsidRDefault="00DB27FE" w:rsidP="00DB27FE">
      <w:pPr>
        <w:rPr>
          <w:lang w:val="es-ES"/>
        </w:rPr>
      </w:pPr>
    </w:p>
    <w:p w14:paraId="0AE4E153" w14:textId="6538879B" w:rsidR="00DB27FE" w:rsidRPr="006D3772" w:rsidRDefault="00DB27FE" w:rsidP="00DB27FE">
      <w:pPr>
        <w:ind w:left="432" w:hanging="432"/>
        <w:rPr>
          <w:lang w:val="es-ES"/>
        </w:rPr>
      </w:pPr>
      <w:r w:rsidRPr="006D3772">
        <w:rPr>
          <w:lang w:val="es-ES"/>
        </w:rPr>
        <w:t>8.</w:t>
      </w:r>
      <w:r w:rsidRPr="006D3772">
        <w:rPr>
          <w:lang w:val="es-ES"/>
        </w:rPr>
        <w:tab/>
        <w:t xml:space="preserve">En el cuadro </w:t>
      </w:r>
      <w:r w:rsidR="006D3772" w:rsidRPr="006D3772">
        <w:rPr>
          <w:lang w:val="es-ES"/>
        </w:rPr>
        <w:t>siguiente</w:t>
      </w:r>
      <w:r w:rsidRPr="006D3772">
        <w:rPr>
          <w:lang w:val="es-ES"/>
        </w:rPr>
        <w:t xml:space="preserve"> se incluyen posibles fuentes de derecho y políticas pertinentes para los humedales.</w:t>
      </w:r>
    </w:p>
    <w:p w14:paraId="09A4DADD" w14:textId="77777777" w:rsidR="00DB27FE" w:rsidRPr="006D3772" w:rsidRDefault="00DB27FE" w:rsidP="00DB27FE">
      <w:pPr>
        <w:rPr>
          <w:lang w:val="es-ES"/>
        </w:rPr>
      </w:pPr>
    </w:p>
    <w:tbl>
      <w:tblPr>
        <w:tblStyle w:val="TableGrid"/>
        <w:tblW w:w="9214" w:type="dxa"/>
        <w:tblInd w:w="-5" w:type="dxa"/>
        <w:tblLook w:val="04A0" w:firstRow="1" w:lastRow="0" w:firstColumn="1" w:lastColumn="0" w:noHBand="0" w:noVBand="1"/>
      </w:tblPr>
      <w:tblGrid>
        <w:gridCol w:w="4111"/>
        <w:gridCol w:w="5103"/>
      </w:tblGrid>
      <w:tr w:rsidR="00DB27FE" w:rsidRPr="006D3772" w14:paraId="3410EEB4" w14:textId="77777777" w:rsidTr="002B7C72">
        <w:tc>
          <w:tcPr>
            <w:tcW w:w="9214" w:type="dxa"/>
            <w:gridSpan w:val="2"/>
            <w:tcBorders>
              <w:top w:val="single" w:sz="4" w:space="0" w:color="auto"/>
              <w:left w:val="single" w:sz="4" w:space="0" w:color="auto"/>
              <w:bottom w:val="single" w:sz="4" w:space="0" w:color="auto"/>
              <w:right w:val="single" w:sz="4" w:space="0" w:color="auto"/>
            </w:tcBorders>
            <w:hideMark/>
          </w:tcPr>
          <w:p w14:paraId="146CFC1F" w14:textId="77777777" w:rsidR="00DB27FE" w:rsidRPr="006D3772" w:rsidRDefault="00DB27FE" w:rsidP="00DA14B4">
            <w:pPr>
              <w:rPr>
                <w:b/>
                <w:lang w:val="es-ES"/>
              </w:rPr>
            </w:pPr>
            <w:r w:rsidRPr="006D3772">
              <w:rPr>
                <w:b/>
                <w:lang w:val="es-ES"/>
              </w:rPr>
              <w:t>Posibles fuentes de derecho</w:t>
            </w:r>
          </w:p>
        </w:tc>
      </w:tr>
      <w:tr w:rsidR="00DB27FE" w:rsidRPr="006D3772" w14:paraId="27A20643" w14:textId="77777777" w:rsidTr="002B7C72">
        <w:tc>
          <w:tcPr>
            <w:tcW w:w="4111" w:type="dxa"/>
            <w:tcBorders>
              <w:top w:val="single" w:sz="4" w:space="0" w:color="auto"/>
              <w:left w:val="single" w:sz="4" w:space="0" w:color="auto"/>
              <w:bottom w:val="single" w:sz="4" w:space="0" w:color="auto"/>
              <w:right w:val="single" w:sz="4" w:space="0" w:color="auto"/>
            </w:tcBorders>
            <w:hideMark/>
          </w:tcPr>
          <w:p w14:paraId="08A24723" w14:textId="77777777" w:rsidR="00DB27FE" w:rsidRPr="006D3772" w:rsidRDefault="00DB27FE" w:rsidP="00DA14B4">
            <w:pPr>
              <w:rPr>
                <w:lang w:val="es-ES"/>
              </w:rPr>
            </w:pPr>
            <w:r w:rsidRPr="006D3772">
              <w:rPr>
                <w:lang w:val="es-ES"/>
              </w:rPr>
              <w:t>Obligaciones con arreglo al derecho internacional</w:t>
            </w:r>
          </w:p>
        </w:tc>
        <w:tc>
          <w:tcPr>
            <w:tcW w:w="5103" w:type="dxa"/>
            <w:tcBorders>
              <w:top w:val="single" w:sz="4" w:space="0" w:color="auto"/>
              <w:left w:val="single" w:sz="4" w:space="0" w:color="auto"/>
              <w:bottom w:val="single" w:sz="4" w:space="0" w:color="auto"/>
              <w:right w:val="single" w:sz="4" w:space="0" w:color="auto"/>
            </w:tcBorders>
            <w:hideMark/>
          </w:tcPr>
          <w:p w14:paraId="548FB1BA" w14:textId="77777777" w:rsidR="00DB27FE" w:rsidRPr="006D3772" w:rsidRDefault="00DB27FE" w:rsidP="00DA14B4">
            <w:pPr>
              <w:rPr>
                <w:lang w:val="es-ES"/>
              </w:rPr>
            </w:pPr>
            <w:r w:rsidRPr="006D3772">
              <w:rPr>
                <w:lang w:val="es-ES"/>
              </w:rPr>
              <w:t>Reglamentaciones municipales</w:t>
            </w:r>
          </w:p>
        </w:tc>
      </w:tr>
      <w:tr w:rsidR="00DB27FE" w:rsidRPr="00841C2D" w14:paraId="5F4BC33E" w14:textId="77777777" w:rsidTr="002B7C72">
        <w:tc>
          <w:tcPr>
            <w:tcW w:w="4111" w:type="dxa"/>
            <w:tcBorders>
              <w:top w:val="single" w:sz="4" w:space="0" w:color="auto"/>
              <w:left w:val="single" w:sz="4" w:space="0" w:color="auto"/>
              <w:bottom w:val="single" w:sz="4" w:space="0" w:color="auto"/>
              <w:right w:val="single" w:sz="4" w:space="0" w:color="auto"/>
            </w:tcBorders>
            <w:hideMark/>
          </w:tcPr>
          <w:p w14:paraId="0DD6FC14" w14:textId="77777777" w:rsidR="00DB27FE" w:rsidRPr="006D3772" w:rsidRDefault="00DB27FE" w:rsidP="00DA14B4">
            <w:pPr>
              <w:rPr>
                <w:lang w:val="es-ES"/>
              </w:rPr>
            </w:pPr>
            <w:r w:rsidRPr="006D3772">
              <w:rPr>
                <w:lang w:val="es-ES"/>
              </w:rPr>
              <w:t>Disposiciones constitucionales pertinentes</w:t>
            </w:r>
          </w:p>
        </w:tc>
        <w:tc>
          <w:tcPr>
            <w:tcW w:w="5103" w:type="dxa"/>
            <w:tcBorders>
              <w:top w:val="single" w:sz="4" w:space="0" w:color="auto"/>
              <w:left w:val="single" w:sz="4" w:space="0" w:color="auto"/>
              <w:bottom w:val="single" w:sz="4" w:space="0" w:color="auto"/>
              <w:right w:val="single" w:sz="4" w:space="0" w:color="auto"/>
            </w:tcBorders>
            <w:hideMark/>
          </w:tcPr>
          <w:p w14:paraId="0B91468A" w14:textId="77777777" w:rsidR="00DB27FE" w:rsidRPr="006D3772" w:rsidRDefault="00DB27FE" w:rsidP="00DA14B4">
            <w:pPr>
              <w:rPr>
                <w:lang w:val="es-ES"/>
              </w:rPr>
            </w:pPr>
            <w:r w:rsidRPr="006D3772">
              <w:rPr>
                <w:lang w:val="es-ES"/>
              </w:rPr>
              <w:t>Orientaciones técnicas/de planificación ministeriales</w:t>
            </w:r>
          </w:p>
        </w:tc>
      </w:tr>
      <w:tr w:rsidR="00DB27FE" w:rsidRPr="006D3772" w14:paraId="3A3E7831" w14:textId="77777777" w:rsidTr="002B7C72">
        <w:tc>
          <w:tcPr>
            <w:tcW w:w="4111" w:type="dxa"/>
            <w:tcBorders>
              <w:top w:val="single" w:sz="4" w:space="0" w:color="auto"/>
              <w:left w:val="single" w:sz="4" w:space="0" w:color="auto"/>
              <w:bottom w:val="single" w:sz="4" w:space="0" w:color="auto"/>
              <w:right w:val="single" w:sz="4" w:space="0" w:color="auto"/>
            </w:tcBorders>
            <w:hideMark/>
          </w:tcPr>
          <w:p w14:paraId="788E1AAE" w14:textId="77777777" w:rsidR="00DB27FE" w:rsidRPr="006D3772" w:rsidRDefault="00DB27FE" w:rsidP="00DA14B4">
            <w:pPr>
              <w:rPr>
                <w:lang w:val="es-ES"/>
              </w:rPr>
            </w:pPr>
            <w:r w:rsidRPr="006D3772">
              <w:rPr>
                <w:lang w:val="es-ES"/>
              </w:rPr>
              <w:t>Acuerdos regionales/locales</w:t>
            </w:r>
          </w:p>
        </w:tc>
        <w:tc>
          <w:tcPr>
            <w:tcW w:w="5103" w:type="dxa"/>
            <w:tcBorders>
              <w:top w:val="single" w:sz="4" w:space="0" w:color="auto"/>
              <w:left w:val="single" w:sz="4" w:space="0" w:color="auto"/>
              <w:bottom w:val="single" w:sz="4" w:space="0" w:color="auto"/>
              <w:right w:val="single" w:sz="4" w:space="0" w:color="auto"/>
            </w:tcBorders>
          </w:tcPr>
          <w:p w14:paraId="7EA27A65" w14:textId="77777777" w:rsidR="00DB27FE" w:rsidRPr="006D3772" w:rsidRDefault="00DB27FE" w:rsidP="00DA14B4">
            <w:pPr>
              <w:rPr>
                <w:lang w:val="es-ES"/>
              </w:rPr>
            </w:pPr>
          </w:p>
        </w:tc>
      </w:tr>
      <w:tr w:rsidR="00DB27FE" w:rsidRPr="00841C2D" w14:paraId="58DB9EE2" w14:textId="77777777" w:rsidTr="002B7C72">
        <w:tc>
          <w:tcPr>
            <w:tcW w:w="4111" w:type="dxa"/>
            <w:tcBorders>
              <w:top w:val="single" w:sz="4" w:space="0" w:color="auto"/>
              <w:left w:val="single" w:sz="4" w:space="0" w:color="auto"/>
              <w:bottom w:val="single" w:sz="4" w:space="0" w:color="auto"/>
              <w:right w:val="single" w:sz="4" w:space="0" w:color="auto"/>
            </w:tcBorders>
            <w:hideMark/>
          </w:tcPr>
          <w:p w14:paraId="0995C140" w14:textId="77777777" w:rsidR="00DB27FE" w:rsidRPr="006D3772" w:rsidRDefault="00DB27FE" w:rsidP="00DA14B4">
            <w:pPr>
              <w:rPr>
                <w:lang w:val="es-ES"/>
              </w:rPr>
            </w:pPr>
            <w:r w:rsidRPr="006D3772">
              <w:rPr>
                <w:lang w:val="es-ES"/>
              </w:rPr>
              <w:t>Legislación primaria (leyes)</w:t>
            </w:r>
          </w:p>
        </w:tc>
        <w:tc>
          <w:tcPr>
            <w:tcW w:w="5103" w:type="dxa"/>
            <w:tcBorders>
              <w:top w:val="single" w:sz="4" w:space="0" w:color="auto"/>
              <w:left w:val="single" w:sz="4" w:space="0" w:color="auto"/>
              <w:bottom w:val="single" w:sz="4" w:space="0" w:color="auto"/>
              <w:right w:val="single" w:sz="4" w:space="0" w:color="auto"/>
            </w:tcBorders>
            <w:hideMark/>
          </w:tcPr>
          <w:p w14:paraId="512378BC" w14:textId="77777777" w:rsidR="00DB27FE" w:rsidRPr="006D3772" w:rsidRDefault="00DB27FE" w:rsidP="00DA14B4">
            <w:pPr>
              <w:rPr>
                <w:lang w:val="es-ES"/>
              </w:rPr>
            </w:pPr>
            <w:r w:rsidRPr="006D3772">
              <w:rPr>
                <w:lang w:val="es-ES"/>
              </w:rPr>
              <w:t>Normas sobre tenencia de la tierra y uso de recursos</w:t>
            </w:r>
          </w:p>
        </w:tc>
      </w:tr>
      <w:tr w:rsidR="00DB27FE" w:rsidRPr="006D3772" w14:paraId="41D6CC63" w14:textId="77777777" w:rsidTr="002B7C72">
        <w:tc>
          <w:tcPr>
            <w:tcW w:w="4111" w:type="dxa"/>
            <w:tcBorders>
              <w:top w:val="single" w:sz="4" w:space="0" w:color="auto"/>
              <w:left w:val="single" w:sz="4" w:space="0" w:color="auto"/>
              <w:bottom w:val="single" w:sz="4" w:space="0" w:color="auto"/>
              <w:right w:val="single" w:sz="4" w:space="0" w:color="auto"/>
            </w:tcBorders>
            <w:hideMark/>
          </w:tcPr>
          <w:p w14:paraId="7C6B3517" w14:textId="77777777" w:rsidR="00DB27FE" w:rsidRPr="006D3772" w:rsidRDefault="00DB27FE" w:rsidP="00DA14B4">
            <w:pPr>
              <w:rPr>
                <w:lang w:val="es-ES"/>
              </w:rPr>
            </w:pPr>
            <w:r w:rsidRPr="006D3772">
              <w:rPr>
                <w:lang w:val="es-ES"/>
              </w:rPr>
              <w:t>Legislación secundaria (aplicación)</w:t>
            </w:r>
          </w:p>
        </w:tc>
        <w:tc>
          <w:tcPr>
            <w:tcW w:w="5103" w:type="dxa"/>
            <w:tcBorders>
              <w:top w:val="single" w:sz="4" w:space="0" w:color="auto"/>
              <w:left w:val="single" w:sz="4" w:space="0" w:color="auto"/>
              <w:bottom w:val="single" w:sz="4" w:space="0" w:color="auto"/>
              <w:right w:val="single" w:sz="4" w:space="0" w:color="auto"/>
            </w:tcBorders>
            <w:hideMark/>
          </w:tcPr>
          <w:p w14:paraId="37E0B043" w14:textId="77777777" w:rsidR="00DB27FE" w:rsidRPr="006D3772" w:rsidRDefault="00DB27FE" w:rsidP="00DA14B4">
            <w:pPr>
              <w:rPr>
                <w:lang w:val="es-ES"/>
              </w:rPr>
            </w:pPr>
            <w:r w:rsidRPr="006D3772">
              <w:rPr>
                <w:lang w:val="es-ES"/>
              </w:rPr>
              <w:t>Contratos y concesiones</w:t>
            </w:r>
          </w:p>
        </w:tc>
      </w:tr>
      <w:tr w:rsidR="00DB27FE" w:rsidRPr="00841C2D" w14:paraId="280CBB6A" w14:textId="77777777" w:rsidTr="002B7C72">
        <w:tc>
          <w:tcPr>
            <w:tcW w:w="4111" w:type="dxa"/>
            <w:tcBorders>
              <w:top w:val="single" w:sz="4" w:space="0" w:color="auto"/>
              <w:left w:val="single" w:sz="4" w:space="0" w:color="auto"/>
              <w:bottom w:val="single" w:sz="4" w:space="0" w:color="auto"/>
              <w:right w:val="single" w:sz="4" w:space="0" w:color="auto"/>
            </w:tcBorders>
            <w:hideMark/>
          </w:tcPr>
          <w:p w14:paraId="686BC7D5" w14:textId="77777777" w:rsidR="00DB27FE" w:rsidRPr="006D3772" w:rsidRDefault="00DB27FE" w:rsidP="00DA14B4">
            <w:pPr>
              <w:rPr>
                <w:lang w:val="es-ES"/>
              </w:rPr>
            </w:pPr>
            <w:r w:rsidRPr="006D3772">
              <w:rPr>
                <w:lang w:val="es-ES"/>
              </w:rPr>
              <w:t>Derecho consuetudinario y jurisprudencia</w:t>
            </w:r>
          </w:p>
        </w:tc>
        <w:tc>
          <w:tcPr>
            <w:tcW w:w="5103" w:type="dxa"/>
            <w:tcBorders>
              <w:top w:val="single" w:sz="4" w:space="0" w:color="auto"/>
              <w:left w:val="single" w:sz="4" w:space="0" w:color="auto"/>
              <w:bottom w:val="single" w:sz="4" w:space="0" w:color="auto"/>
              <w:right w:val="single" w:sz="4" w:space="0" w:color="auto"/>
            </w:tcBorders>
            <w:hideMark/>
          </w:tcPr>
          <w:p w14:paraId="09DE165E" w14:textId="77777777" w:rsidR="00DB27FE" w:rsidRPr="006D3772" w:rsidRDefault="00DB27FE" w:rsidP="00DA14B4">
            <w:pPr>
              <w:rPr>
                <w:lang w:val="es-ES"/>
              </w:rPr>
            </w:pPr>
            <w:r w:rsidRPr="006D3772">
              <w:rPr>
                <w:lang w:val="es-ES"/>
              </w:rPr>
              <w:t xml:space="preserve">Derechos y buenas prácticas consuetudinarios </w:t>
            </w:r>
          </w:p>
        </w:tc>
      </w:tr>
      <w:tr w:rsidR="00DB27FE" w:rsidRPr="00841C2D" w14:paraId="09AB10AE" w14:textId="77777777" w:rsidTr="002B7C72">
        <w:tc>
          <w:tcPr>
            <w:tcW w:w="4111" w:type="dxa"/>
            <w:tcBorders>
              <w:top w:val="single" w:sz="4" w:space="0" w:color="auto"/>
              <w:left w:val="single" w:sz="4" w:space="0" w:color="auto"/>
              <w:bottom w:val="single" w:sz="4" w:space="0" w:color="auto"/>
              <w:right w:val="single" w:sz="4" w:space="0" w:color="auto"/>
            </w:tcBorders>
            <w:hideMark/>
          </w:tcPr>
          <w:p w14:paraId="0B7E8BE1" w14:textId="77777777" w:rsidR="00DB27FE" w:rsidRPr="006D3772" w:rsidRDefault="00DB27FE" w:rsidP="00DA14B4">
            <w:pPr>
              <w:rPr>
                <w:lang w:val="es-ES"/>
              </w:rPr>
            </w:pPr>
            <w:r w:rsidRPr="006D3772">
              <w:rPr>
                <w:lang w:val="es-ES"/>
              </w:rPr>
              <w:t>Políticas gubernamentales oficiales</w:t>
            </w:r>
          </w:p>
        </w:tc>
        <w:tc>
          <w:tcPr>
            <w:tcW w:w="5103" w:type="dxa"/>
            <w:tcBorders>
              <w:top w:val="single" w:sz="4" w:space="0" w:color="auto"/>
              <w:left w:val="single" w:sz="4" w:space="0" w:color="auto"/>
              <w:bottom w:val="single" w:sz="4" w:space="0" w:color="auto"/>
              <w:right w:val="single" w:sz="4" w:space="0" w:color="auto"/>
            </w:tcBorders>
            <w:hideMark/>
          </w:tcPr>
          <w:p w14:paraId="10C8FD53" w14:textId="77777777" w:rsidR="00DB27FE" w:rsidRPr="006D3772" w:rsidRDefault="00DB27FE" w:rsidP="00DA14B4">
            <w:pPr>
              <w:rPr>
                <w:lang w:val="es-ES"/>
              </w:rPr>
            </w:pPr>
            <w:r w:rsidRPr="006D3772">
              <w:rPr>
                <w:lang w:val="es-ES"/>
              </w:rPr>
              <w:t>Preceptos culturales o religiosos pertinentes</w:t>
            </w:r>
          </w:p>
        </w:tc>
      </w:tr>
      <w:tr w:rsidR="00DB27FE" w:rsidRPr="00841C2D" w14:paraId="399BEA0F" w14:textId="77777777" w:rsidTr="002B7C72">
        <w:tc>
          <w:tcPr>
            <w:tcW w:w="4111" w:type="dxa"/>
            <w:tcBorders>
              <w:top w:val="single" w:sz="4" w:space="0" w:color="auto"/>
              <w:left w:val="single" w:sz="4" w:space="0" w:color="auto"/>
              <w:bottom w:val="single" w:sz="4" w:space="0" w:color="auto"/>
              <w:right w:val="single" w:sz="4" w:space="0" w:color="auto"/>
            </w:tcBorders>
            <w:hideMark/>
          </w:tcPr>
          <w:p w14:paraId="02AB872E" w14:textId="77777777" w:rsidR="00DB27FE" w:rsidRPr="006D3772" w:rsidRDefault="00DB27FE" w:rsidP="00DA14B4">
            <w:pPr>
              <w:rPr>
                <w:color w:val="000000" w:themeColor="text1"/>
                <w:lang w:val="es-ES"/>
              </w:rPr>
            </w:pPr>
            <w:r w:rsidRPr="006D3772">
              <w:rPr>
                <w:color w:val="000000" w:themeColor="text1"/>
                <w:lang w:val="es-ES"/>
              </w:rPr>
              <w:t>Leyes y prácticas indígenas</w:t>
            </w:r>
          </w:p>
        </w:tc>
        <w:tc>
          <w:tcPr>
            <w:tcW w:w="5103" w:type="dxa"/>
            <w:tcBorders>
              <w:top w:val="single" w:sz="4" w:space="0" w:color="auto"/>
              <w:left w:val="single" w:sz="4" w:space="0" w:color="auto"/>
              <w:bottom w:val="single" w:sz="4" w:space="0" w:color="auto"/>
              <w:right w:val="single" w:sz="4" w:space="0" w:color="auto"/>
            </w:tcBorders>
            <w:hideMark/>
          </w:tcPr>
          <w:p w14:paraId="096DAA62" w14:textId="77777777" w:rsidR="00DB27FE" w:rsidRPr="006D3772" w:rsidRDefault="00DB27FE" w:rsidP="00DA14B4">
            <w:pPr>
              <w:rPr>
                <w:color w:val="000000" w:themeColor="text1"/>
                <w:lang w:val="es-ES"/>
              </w:rPr>
            </w:pPr>
            <w:r w:rsidRPr="006D3772">
              <w:rPr>
                <w:color w:val="000000" w:themeColor="text1"/>
                <w:lang w:val="es-ES"/>
              </w:rPr>
              <w:t xml:space="preserve">Marcos de conocimiento ecológicos tradicionales </w:t>
            </w:r>
          </w:p>
          <w:p w14:paraId="4F2E2DB2" w14:textId="77777777" w:rsidR="00DB27FE" w:rsidRPr="006D3772" w:rsidRDefault="00DB27FE" w:rsidP="00DA14B4">
            <w:pPr>
              <w:rPr>
                <w:color w:val="000000" w:themeColor="text1"/>
                <w:lang w:val="es-ES"/>
              </w:rPr>
            </w:pPr>
            <w:r w:rsidRPr="006D3772">
              <w:rPr>
                <w:color w:val="000000" w:themeColor="text1"/>
                <w:lang w:val="es-ES"/>
              </w:rPr>
              <w:t xml:space="preserve">Políticas indígenas de gestión de la tierra </w:t>
            </w:r>
          </w:p>
        </w:tc>
      </w:tr>
    </w:tbl>
    <w:p w14:paraId="2D6F1B4A" w14:textId="77777777" w:rsidR="00DB27FE" w:rsidRPr="006D3772" w:rsidRDefault="00DB27FE" w:rsidP="00DB27FE">
      <w:pPr>
        <w:rPr>
          <w:lang w:val="es-ES"/>
        </w:rPr>
      </w:pPr>
      <w:r w:rsidRPr="006D3772">
        <w:rPr>
          <w:i/>
          <w:iCs/>
          <w:lang w:val="es-ES"/>
        </w:rPr>
        <w:t>Fuente</w:t>
      </w:r>
      <w:r w:rsidRPr="006D3772">
        <w:rPr>
          <w:lang w:val="es-ES"/>
        </w:rPr>
        <w:t xml:space="preserve">: Adaptado del Manual 3, </w:t>
      </w:r>
      <w:r w:rsidRPr="006D3772">
        <w:rPr>
          <w:i/>
          <w:iCs/>
          <w:lang w:val="es-ES"/>
        </w:rPr>
        <w:t>Leyes e instituciones</w:t>
      </w:r>
      <w:r w:rsidRPr="006D3772">
        <w:rPr>
          <w:lang w:val="es-ES"/>
        </w:rPr>
        <w:t>, de la Convención sobre los Humedales.</w:t>
      </w:r>
    </w:p>
    <w:p w14:paraId="1A76B78F" w14:textId="77777777" w:rsidR="00DB27FE" w:rsidRPr="006D3772" w:rsidRDefault="00DB27FE" w:rsidP="00DB27FE">
      <w:pPr>
        <w:rPr>
          <w:lang w:val="es-ES"/>
        </w:rPr>
      </w:pPr>
    </w:p>
    <w:p w14:paraId="576C9BF9" w14:textId="77777777" w:rsidR="00DB27FE" w:rsidRPr="006D3772" w:rsidRDefault="00DB27FE" w:rsidP="00DB27FE">
      <w:pPr>
        <w:ind w:left="432" w:hanging="432"/>
        <w:rPr>
          <w:lang w:val="es-ES"/>
        </w:rPr>
      </w:pPr>
      <w:r w:rsidRPr="006D3772">
        <w:rPr>
          <w:lang w:val="es-ES"/>
        </w:rPr>
        <w:t>9.</w:t>
      </w:r>
      <w:r w:rsidRPr="006D3772">
        <w:rPr>
          <w:lang w:val="es-ES"/>
        </w:rPr>
        <w:tab/>
        <w:t xml:space="preserve">Para el examen, se aplicará la definición de humedal de la Convención sobre los Humedales (Artículo 1.1), a saber, “extensiones de marismas, pantanos y turberas, o superficies cubiertas de aguas, sean estas de régimen natural o artificial, permanentes o temporales, estancadas o corrientes, dulces, salobres o saladas, incluidas las extensiones de agua marina cuya profundidad en marea baja no exceda de seis </w:t>
      </w:r>
      <w:r w:rsidRPr="006D3772">
        <w:rPr>
          <w:color w:val="000000" w:themeColor="text1"/>
          <w:lang w:val="es-ES"/>
        </w:rPr>
        <w:t xml:space="preserve">metros”. </w:t>
      </w:r>
      <w:r w:rsidRPr="006D3772">
        <w:rPr>
          <w:lang w:val="es-ES"/>
        </w:rPr>
        <w:t>Se tendrán en cuenta todos los tipos de humedales según el Sistema de Clasificación de Tipos de Humedales de la Convención, que incluye humedales marinos, costeros, continentales y artificiales, como arrecifes de coral, marismas, manglares, lagunas, ríos, lagos y turberas.</w:t>
      </w:r>
      <w:r w:rsidRPr="006D3772">
        <w:rPr>
          <w:vertAlign w:val="superscript"/>
          <w:lang w:val="es-ES"/>
        </w:rPr>
        <w:footnoteReference w:id="8"/>
      </w:r>
    </w:p>
    <w:p w14:paraId="7CA8940B" w14:textId="77777777" w:rsidR="00DB27FE" w:rsidRPr="006D3772" w:rsidRDefault="00DB27FE" w:rsidP="00DB27FE">
      <w:pPr>
        <w:rPr>
          <w:lang w:val="es-ES"/>
        </w:rPr>
      </w:pPr>
    </w:p>
    <w:p w14:paraId="6A445C1C" w14:textId="77777777" w:rsidR="00DB27FE" w:rsidRPr="006D3772" w:rsidRDefault="00DB27FE" w:rsidP="00DB27FE">
      <w:pPr>
        <w:rPr>
          <w:b/>
          <w:lang w:val="es-ES"/>
        </w:rPr>
      </w:pPr>
      <w:r w:rsidRPr="006D3772">
        <w:rPr>
          <w:b/>
          <w:lang w:val="es-ES"/>
        </w:rPr>
        <w:t>Alcance del trabajo</w:t>
      </w:r>
    </w:p>
    <w:p w14:paraId="5B8E9096" w14:textId="77777777" w:rsidR="00DB27FE" w:rsidRPr="006D3772" w:rsidRDefault="00DB27FE" w:rsidP="00DB27FE">
      <w:pPr>
        <w:rPr>
          <w:lang w:val="es-ES"/>
        </w:rPr>
      </w:pPr>
    </w:p>
    <w:p w14:paraId="074DB259" w14:textId="4E3C787B" w:rsidR="00DB27FE" w:rsidRPr="006D3772" w:rsidRDefault="00DB27FE" w:rsidP="00DB27FE">
      <w:pPr>
        <w:ind w:left="432" w:hanging="432"/>
        <w:rPr>
          <w:lang w:val="es-ES"/>
        </w:rPr>
      </w:pPr>
      <w:r w:rsidRPr="006D3772">
        <w:rPr>
          <w:lang w:val="es-ES"/>
        </w:rPr>
        <w:t>10.</w:t>
      </w:r>
      <w:r w:rsidRPr="006D3772">
        <w:rPr>
          <w:lang w:val="es-ES"/>
        </w:rPr>
        <w:tab/>
        <w:t xml:space="preserve">El examen abarcará todas las regiones de la Convención sobre los Humedales mediante un estudio documental combinado con consultas a los coordinadores nacionales de la Convención y del GECT y representantes de iniciativas regionales. En el examen se identificarán distintos instrumentos </w:t>
      </w:r>
      <w:r w:rsidR="00193ADE" w:rsidRPr="006D3772">
        <w:rPr>
          <w:lang w:val="es-ES"/>
        </w:rPr>
        <w:t>jurídicos y normativos</w:t>
      </w:r>
      <w:r w:rsidRPr="006D3772">
        <w:rPr>
          <w:color w:val="000000" w:themeColor="text1"/>
          <w:lang w:val="es-ES"/>
        </w:rPr>
        <w:t xml:space="preserve"> a </w:t>
      </w:r>
      <w:r w:rsidRPr="006D3772">
        <w:rPr>
          <w:lang w:val="es-ES"/>
        </w:rPr>
        <w:t xml:space="preserve">distintos niveles y se incluirán ejemplos de leyes indígenas y normas consuetudinarias. Cuando sea posible, el examen pondrá de relieve las leyes </w:t>
      </w:r>
      <w:r w:rsidRPr="006D3772">
        <w:rPr>
          <w:lang w:val="es-ES"/>
        </w:rPr>
        <w:lastRenderedPageBreak/>
        <w:t xml:space="preserve">y políticas efectivas que hayan logrado promover el uso racional y la conservación de los humedales. </w:t>
      </w:r>
    </w:p>
    <w:p w14:paraId="4ABFAA5E" w14:textId="77777777" w:rsidR="00DB27FE" w:rsidRPr="006D3772" w:rsidRDefault="00DB27FE" w:rsidP="00DB27FE">
      <w:pPr>
        <w:rPr>
          <w:lang w:val="es-ES"/>
        </w:rPr>
      </w:pPr>
    </w:p>
    <w:p w14:paraId="35F7AE2B" w14:textId="67730C7A" w:rsidR="00DB27FE" w:rsidRPr="006D3772" w:rsidRDefault="00DB27FE" w:rsidP="00DB27FE">
      <w:pPr>
        <w:ind w:left="432" w:hanging="432"/>
        <w:rPr>
          <w:lang w:val="es-ES"/>
        </w:rPr>
      </w:pPr>
      <w:r w:rsidRPr="006D3772">
        <w:rPr>
          <w:lang w:val="es-ES"/>
        </w:rPr>
        <w:t>11.</w:t>
      </w:r>
      <w:r w:rsidRPr="006D3772">
        <w:rPr>
          <w:lang w:val="es-ES"/>
        </w:rPr>
        <w:tab/>
        <w:t xml:space="preserve">En el examen se evaluará tanto el texto </w:t>
      </w:r>
      <w:r w:rsidRPr="006D3772">
        <w:rPr>
          <w:color w:val="000000" w:themeColor="text1"/>
          <w:lang w:val="es-ES"/>
        </w:rPr>
        <w:t xml:space="preserve">jurídico de los </w:t>
      </w:r>
      <w:r w:rsidR="00DD05DA" w:rsidRPr="006D3772">
        <w:rPr>
          <w:color w:val="000000" w:themeColor="text1"/>
          <w:lang w:val="es-ES"/>
        </w:rPr>
        <w:t>instrumentos normativos</w:t>
      </w:r>
      <w:r w:rsidRPr="006D3772">
        <w:rPr>
          <w:color w:val="000000" w:themeColor="text1"/>
          <w:lang w:val="es-ES"/>
        </w:rPr>
        <w:t xml:space="preserve"> como los resultados de su aplicación, estudiando sus efectos en términos jurídicos, sociales y ecológicos. Para determinar su eficacia, se tendrán en cuenta </w:t>
      </w:r>
      <w:r w:rsidRPr="006D3772">
        <w:rPr>
          <w:lang w:val="es-ES"/>
        </w:rPr>
        <w:t>factores como la precisión, la rigurosidad, la base científica, la participación pública, la aplicabilidad y el controo administrativo. También se indicarán las lecciones extraídas y las buenas prácticas.</w:t>
      </w:r>
    </w:p>
    <w:p w14:paraId="79E16F2D" w14:textId="77777777" w:rsidR="00DB27FE" w:rsidRPr="006D3772" w:rsidRDefault="00DB27FE" w:rsidP="00DB27FE">
      <w:pPr>
        <w:rPr>
          <w:lang w:val="es-ES"/>
        </w:rPr>
      </w:pPr>
    </w:p>
    <w:p w14:paraId="5872FD18" w14:textId="77777777" w:rsidR="00DB27FE" w:rsidRPr="006D3772" w:rsidRDefault="00DB27FE" w:rsidP="00DB27FE">
      <w:pPr>
        <w:keepNext/>
        <w:rPr>
          <w:b/>
          <w:lang w:val="es-ES"/>
        </w:rPr>
      </w:pPr>
      <w:r w:rsidRPr="006D3772">
        <w:rPr>
          <w:b/>
          <w:lang w:val="es-ES"/>
        </w:rPr>
        <w:t>Estudio documental y consulta</w:t>
      </w:r>
    </w:p>
    <w:p w14:paraId="4E646333" w14:textId="77777777" w:rsidR="00DB27FE" w:rsidRPr="006D3772" w:rsidRDefault="00DB27FE" w:rsidP="00DB27FE">
      <w:pPr>
        <w:keepNext/>
        <w:rPr>
          <w:lang w:val="es-ES"/>
        </w:rPr>
      </w:pPr>
    </w:p>
    <w:p w14:paraId="7C3E816D" w14:textId="77777777" w:rsidR="00DB27FE" w:rsidRPr="006D3772" w:rsidRDefault="00DB27FE" w:rsidP="00DB27FE">
      <w:pPr>
        <w:ind w:left="432" w:hanging="432"/>
        <w:rPr>
          <w:lang w:val="es-ES"/>
        </w:rPr>
      </w:pPr>
      <w:r w:rsidRPr="006D3772">
        <w:rPr>
          <w:lang w:val="es-ES"/>
        </w:rPr>
        <w:t>12.</w:t>
      </w:r>
      <w:r w:rsidRPr="006D3772">
        <w:rPr>
          <w:lang w:val="es-ES"/>
        </w:rPr>
        <w:tab/>
        <w:t>En el estudio documental se analizarán la bibliografía y las bases de datos existentes, como el Atlas Jurídico (</w:t>
      </w:r>
      <w:r w:rsidRPr="006D3772">
        <w:rPr>
          <w:i/>
          <w:iCs/>
          <w:lang w:val="es-ES"/>
        </w:rPr>
        <w:t>Legal Atlas</w:t>
      </w:r>
      <w:r w:rsidRPr="006D3772">
        <w:rPr>
          <w:lang w:val="es-ES"/>
        </w:rPr>
        <w:t>), que conlleva la elaboración de una base de datos mundial sobre las leyes relativas a la gestión del agua dulce</w:t>
      </w:r>
      <w:r w:rsidRPr="006D3772">
        <w:rPr>
          <w:i/>
          <w:iCs/>
          <w:lang w:val="es-ES"/>
        </w:rPr>
        <w:t xml:space="preserve"> </w:t>
      </w:r>
      <w:r w:rsidRPr="006D3772">
        <w:rPr>
          <w:lang w:val="es-ES"/>
        </w:rPr>
        <w:t>(</w:t>
      </w:r>
      <w:hyperlink r:id="rId22" w:history="1">
        <w:r w:rsidRPr="006D3772">
          <w:rPr>
            <w:rStyle w:val="Hyperlink"/>
            <w:lang w:val="es-ES"/>
          </w:rPr>
          <w:t>https://www.legal-atlas.com/legal-intelligence-platform.html</w:t>
        </w:r>
      </w:hyperlink>
      <w:r w:rsidRPr="006D3772">
        <w:rPr>
          <w:lang w:val="es-ES"/>
        </w:rPr>
        <w:t xml:space="preserve">). </w:t>
      </w:r>
    </w:p>
    <w:p w14:paraId="04F83401" w14:textId="77777777" w:rsidR="00DB27FE" w:rsidRPr="006D3772" w:rsidRDefault="00DB27FE" w:rsidP="00DB27FE">
      <w:pPr>
        <w:rPr>
          <w:lang w:val="es-ES"/>
        </w:rPr>
      </w:pPr>
    </w:p>
    <w:p w14:paraId="40EFB227" w14:textId="77777777" w:rsidR="00DB27FE" w:rsidRPr="006D3772" w:rsidRDefault="00DB27FE" w:rsidP="00DB27FE">
      <w:pPr>
        <w:ind w:left="432" w:hanging="432"/>
        <w:rPr>
          <w:lang w:val="es-ES"/>
        </w:rPr>
      </w:pPr>
      <w:r w:rsidRPr="006D3772">
        <w:rPr>
          <w:lang w:val="es-ES"/>
        </w:rPr>
        <w:t>13.</w:t>
      </w:r>
      <w:r w:rsidRPr="006D3772">
        <w:rPr>
          <w:lang w:val="es-ES"/>
        </w:rPr>
        <w:tab/>
        <w:t>Además, se estudiarán las bases de datos jurídicas para identificar los instrumentos normativos relativos a los humedales en distintas categorías:</w:t>
      </w:r>
      <w:r w:rsidRPr="006D3772">
        <w:rPr>
          <w:vertAlign w:val="superscript"/>
          <w:lang w:val="es-ES"/>
        </w:rPr>
        <w:footnoteReference w:id="9"/>
      </w:r>
    </w:p>
    <w:p w14:paraId="469246F4" w14:textId="77777777" w:rsidR="00DB27FE" w:rsidRPr="006D3772" w:rsidRDefault="00DB27FE" w:rsidP="00DB27FE">
      <w:pPr>
        <w:numPr>
          <w:ilvl w:val="0"/>
          <w:numId w:val="22"/>
        </w:numPr>
        <w:rPr>
          <w:lang w:val="es-ES"/>
        </w:rPr>
      </w:pPr>
      <w:r w:rsidRPr="006D3772">
        <w:rPr>
          <w:lang w:val="es-ES"/>
        </w:rPr>
        <w:t xml:space="preserve">Áreas protegidas y otros instrumentos de conservación basados en áreas: Leyes y políticas sobre áreas protegidas relacionadas con los humedales; </w:t>
      </w:r>
    </w:p>
    <w:p w14:paraId="74B8CEBC" w14:textId="77777777" w:rsidR="00DB27FE" w:rsidRPr="006D3772" w:rsidRDefault="00DB27FE" w:rsidP="00DB27FE">
      <w:pPr>
        <w:numPr>
          <w:ilvl w:val="0"/>
          <w:numId w:val="22"/>
        </w:numPr>
        <w:rPr>
          <w:lang w:val="es-ES"/>
        </w:rPr>
      </w:pPr>
      <w:r w:rsidRPr="006D3772">
        <w:rPr>
          <w:lang w:val="es-ES"/>
        </w:rPr>
        <w:t xml:space="preserve">Normas prescriptivas: </w:t>
      </w:r>
      <w:r w:rsidRPr="006D3772">
        <w:rPr>
          <w:color w:val="000000" w:themeColor="text1"/>
          <w:lang w:val="es-ES"/>
        </w:rPr>
        <w:t xml:space="preserve">Sistemas </w:t>
      </w:r>
      <w:r w:rsidRPr="006D3772">
        <w:rPr>
          <w:lang w:val="es-ES"/>
        </w:rPr>
        <w:t xml:space="preserve">reglamentarios prescriptivos relacionados con actividades que afectan a los humedales. Esta categoría incluye los regímenes de permisos, las restricciones sobre el uso de la tierra o del agua y otros muchos instrumentos; </w:t>
      </w:r>
    </w:p>
    <w:p w14:paraId="70E0092A" w14:textId="77777777" w:rsidR="00DB27FE" w:rsidRPr="006D3772" w:rsidRDefault="00DB27FE" w:rsidP="00DB27FE">
      <w:pPr>
        <w:numPr>
          <w:ilvl w:val="0"/>
          <w:numId w:val="22"/>
        </w:numPr>
        <w:rPr>
          <w:lang w:val="es-ES"/>
        </w:rPr>
      </w:pPr>
      <w:r w:rsidRPr="006D3772">
        <w:rPr>
          <w:lang w:val="es-ES"/>
        </w:rPr>
        <w:t>Sanciones y pagos: Disposiciones sobre sanciones por causar la pérdida y degradación de los humedales y programas y planes financieros que promueven la conservación, la restauración y el uso racional de los humedales;</w:t>
      </w:r>
    </w:p>
    <w:p w14:paraId="5DCC8EA9" w14:textId="77777777" w:rsidR="00DB27FE" w:rsidRPr="006D3772" w:rsidRDefault="00DB27FE" w:rsidP="00DB27FE">
      <w:pPr>
        <w:numPr>
          <w:ilvl w:val="0"/>
          <w:numId w:val="22"/>
        </w:numPr>
        <w:rPr>
          <w:lang w:val="es-ES"/>
        </w:rPr>
      </w:pPr>
      <w:r w:rsidRPr="006D3772">
        <w:rPr>
          <w:lang w:val="es-ES"/>
        </w:rPr>
        <w:t xml:space="preserve">Medidas persuasivas: Procedimientos basados en la persuasión que requieren una toma de decisiones fundamentada, como las evaluaciones de impacto ambiental, en relación con actividades que afectan a los humedales; </w:t>
      </w:r>
    </w:p>
    <w:p w14:paraId="0B89D3B9" w14:textId="77777777" w:rsidR="00DB27FE" w:rsidRPr="006D3772" w:rsidRDefault="00DB27FE" w:rsidP="00DB27FE">
      <w:pPr>
        <w:numPr>
          <w:ilvl w:val="0"/>
          <w:numId w:val="22"/>
        </w:numPr>
        <w:rPr>
          <w:lang w:val="es-ES"/>
        </w:rPr>
      </w:pPr>
      <w:r w:rsidRPr="006D3772">
        <w:rPr>
          <w:color w:val="000000" w:themeColor="text1"/>
          <w:lang w:val="es-ES"/>
        </w:rPr>
        <w:t>Propiedad</w:t>
      </w:r>
      <w:r w:rsidRPr="006D3772">
        <w:rPr>
          <w:lang w:val="es-ES"/>
        </w:rPr>
        <w:t>: Mecanismos basados en los derechos de la propiedad para lograr la conservación y el uso racional de los humedales;</w:t>
      </w:r>
    </w:p>
    <w:p w14:paraId="418C0A04" w14:textId="77777777" w:rsidR="00DB27FE" w:rsidRPr="006D3772" w:rsidRDefault="00DB27FE" w:rsidP="00DB27FE">
      <w:pPr>
        <w:numPr>
          <w:ilvl w:val="0"/>
          <w:numId w:val="22"/>
        </w:numPr>
        <w:rPr>
          <w:lang w:val="es-ES"/>
        </w:rPr>
      </w:pPr>
      <w:r w:rsidRPr="006D3772">
        <w:rPr>
          <w:lang w:val="es-ES"/>
        </w:rPr>
        <w:t>Protección indirecta: Leyes y políticas que protegen indirectamente a los humedales, por ejemplo, protegiendo a especies que dependen de los humedales o integrando los derechos de la naturaleza en el caso de los humedales y/o los derechos de los Pueblos Indígenas en las leyes y costumbres.</w:t>
      </w:r>
    </w:p>
    <w:p w14:paraId="346922EE" w14:textId="77777777" w:rsidR="00DB27FE" w:rsidRPr="006D3772" w:rsidRDefault="00DB27FE" w:rsidP="00DB27FE">
      <w:pPr>
        <w:numPr>
          <w:ilvl w:val="0"/>
          <w:numId w:val="22"/>
        </w:numPr>
        <w:rPr>
          <w:lang w:val="es-ES"/>
        </w:rPr>
      </w:pPr>
      <w:r w:rsidRPr="006D3772">
        <w:rPr>
          <w:lang w:val="es-ES"/>
        </w:rPr>
        <w:t xml:space="preserve">Planificación: Incorporación de la protección y restauración de los humedales en los documentos de planificación, generalmente en el contexto de la gestión de las cuencas hidrográficas. La planificación no abarca solamente la conservación de los humedales y también considera </w:t>
      </w:r>
      <w:r w:rsidRPr="006D3772">
        <w:rPr>
          <w:color w:val="000000" w:themeColor="text1"/>
          <w:lang w:val="es-ES"/>
        </w:rPr>
        <w:t>fenómenos a gran escala</w:t>
      </w:r>
      <w:r w:rsidRPr="006D3772">
        <w:rPr>
          <w:lang w:val="es-ES"/>
        </w:rPr>
        <w:t>. Por ejemplo, el impacto de los incendios puede exacerbar la degradación. Mediante la integración de estrategias encaminadas a mitigar el riesgo de incendios y promover la restauración, los esfuerzos de planificación pueden incrementar la resiliencia de los humedales y contribuir a una mejor salud ecológica.</w:t>
      </w:r>
    </w:p>
    <w:p w14:paraId="406DD862" w14:textId="77777777" w:rsidR="00DB27FE" w:rsidRPr="006D3772" w:rsidRDefault="00DB27FE" w:rsidP="00DB27FE">
      <w:pPr>
        <w:rPr>
          <w:lang w:val="es-ES"/>
        </w:rPr>
      </w:pPr>
    </w:p>
    <w:p w14:paraId="5112EBDC" w14:textId="77777777" w:rsidR="00DB27FE" w:rsidRPr="006D3772" w:rsidRDefault="00DB27FE" w:rsidP="00DB27FE">
      <w:pPr>
        <w:ind w:left="432" w:hanging="432"/>
        <w:rPr>
          <w:lang w:val="es-ES"/>
        </w:rPr>
      </w:pPr>
      <w:r w:rsidRPr="006D3772">
        <w:rPr>
          <w:lang w:val="es-ES"/>
        </w:rPr>
        <w:t>14.</w:t>
      </w:r>
      <w:r w:rsidRPr="006D3772">
        <w:rPr>
          <w:lang w:val="es-ES"/>
        </w:rPr>
        <w:tab/>
        <w:t>Se categorizarán ejemplos de leyes y políticas relativas a los humedales para crear una base de datos jurídica amplia que permita hacer comparaciones y análisis.</w:t>
      </w:r>
    </w:p>
    <w:p w14:paraId="5DEF42F8" w14:textId="77777777" w:rsidR="00DB27FE" w:rsidRPr="006D3772" w:rsidRDefault="00DB27FE" w:rsidP="00DB27FE">
      <w:pPr>
        <w:rPr>
          <w:lang w:val="es-ES"/>
        </w:rPr>
      </w:pPr>
    </w:p>
    <w:p w14:paraId="3EE8FB16" w14:textId="77777777" w:rsidR="00DB27FE" w:rsidRPr="006D3772" w:rsidRDefault="00DB27FE" w:rsidP="00DB27FE">
      <w:pPr>
        <w:ind w:left="432" w:hanging="432"/>
        <w:rPr>
          <w:lang w:val="es-ES"/>
        </w:rPr>
      </w:pPr>
      <w:r w:rsidRPr="006D3772">
        <w:rPr>
          <w:lang w:val="es-ES"/>
        </w:rPr>
        <w:t>15.</w:t>
      </w:r>
      <w:r w:rsidRPr="006D3772">
        <w:rPr>
          <w:lang w:val="es-ES"/>
        </w:rPr>
        <w:tab/>
        <w:t>Algunas bases de datos jurídicas útiles para este examen son las siguientes:</w:t>
      </w:r>
    </w:p>
    <w:p w14:paraId="0AF5506A" w14:textId="77777777" w:rsidR="00DB27FE" w:rsidRPr="006D3772" w:rsidRDefault="00DB27FE" w:rsidP="00DB27FE">
      <w:pPr>
        <w:numPr>
          <w:ilvl w:val="0"/>
          <w:numId w:val="36"/>
        </w:numPr>
        <w:rPr>
          <w:lang w:val="es-ES"/>
        </w:rPr>
      </w:pPr>
      <w:r w:rsidRPr="006D3772">
        <w:rPr>
          <w:lang w:val="es-ES"/>
        </w:rPr>
        <w:lastRenderedPageBreak/>
        <w:t xml:space="preserve">Ecolex y </w:t>
      </w:r>
      <w:r w:rsidRPr="006D3772">
        <w:rPr>
          <w:color w:val="000000" w:themeColor="text1"/>
          <w:lang w:val="es-ES"/>
        </w:rPr>
        <w:t>Faolex</w:t>
      </w:r>
      <w:r w:rsidRPr="006D3772">
        <w:rPr>
          <w:lang w:val="es-ES"/>
        </w:rPr>
        <w:t>, gratuitas y gestionadas conjuntamente por la FAO, la UICN y el PNUMA (</w:t>
      </w:r>
      <w:hyperlink r:id="rId23" w:history="1">
        <w:r w:rsidRPr="006D3772">
          <w:rPr>
            <w:rStyle w:val="Hyperlink"/>
            <w:lang w:val="es-ES"/>
          </w:rPr>
          <w:t>https://www.ecolex.org/</w:t>
        </w:r>
      </w:hyperlink>
      <w:r w:rsidRPr="006D3772">
        <w:rPr>
          <w:lang w:val="es-ES"/>
        </w:rPr>
        <w:t>);</w:t>
      </w:r>
    </w:p>
    <w:p w14:paraId="001AA8AF" w14:textId="77777777" w:rsidR="00DB27FE" w:rsidRPr="006D3772" w:rsidRDefault="00DB27FE" w:rsidP="00DB27FE">
      <w:pPr>
        <w:numPr>
          <w:ilvl w:val="0"/>
          <w:numId w:val="36"/>
        </w:numPr>
        <w:rPr>
          <w:lang w:val="es-ES"/>
        </w:rPr>
      </w:pPr>
      <w:r w:rsidRPr="006D3772">
        <w:rPr>
          <w:lang w:val="es-ES"/>
        </w:rPr>
        <w:t>También se pueden realizar búsquedas por países a través de las guías nacionales sobre la investigación incluidas en NYU GlobaLex (</w:t>
      </w:r>
      <w:hyperlink r:id="rId24" w:history="1">
        <w:r w:rsidRPr="006D3772">
          <w:rPr>
            <w:rStyle w:val="Hyperlink"/>
            <w:lang w:val="es-ES"/>
          </w:rPr>
          <w:t>https://www.nyulawglobal.org/globalex/flr.html</w:t>
        </w:r>
      </w:hyperlink>
      <w:r w:rsidRPr="006D3772">
        <w:rPr>
          <w:lang w:val="es-ES"/>
        </w:rPr>
        <w:t>);</w:t>
      </w:r>
    </w:p>
    <w:p w14:paraId="19C60191" w14:textId="77777777" w:rsidR="00DB27FE" w:rsidRPr="006D3772" w:rsidRDefault="00DB27FE" w:rsidP="00DB27FE">
      <w:pPr>
        <w:numPr>
          <w:ilvl w:val="0"/>
          <w:numId w:val="36"/>
        </w:numPr>
        <w:rPr>
          <w:lang w:val="es-ES"/>
        </w:rPr>
      </w:pPr>
      <w:r w:rsidRPr="006D3772">
        <w:rPr>
          <w:lang w:val="es-ES"/>
        </w:rPr>
        <w:t>Law Library of Congress (Estados Unidos), que también es de acceso abierto (</w:t>
      </w:r>
      <w:hyperlink r:id="rId25" w:history="1">
        <w:r w:rsidRPr="006D3772">
          <w:rPr>
            <w:rStyle w:val="Hyperlink"/>
            <w:lang w:val="es-ES"/>
          </w:rPr>
          <w:t>https://guides.loc.gov/nations-world</w:t>
        </w:r>
      </w:hyperlink>
      <w:r w:rsidRPr="006D3772">
        <w:rPr>
          <w:lang w:val="es-ES"/>
        </w:rPr>
        <w:t>);</w:t>
      </w:r>
    </w:p>
    <w:p w14:paraId="5C36CFCC" w14:textId="77777777" w:rsidR="00DB27FE" w:rsidRPr="006D3772" w:rsidRDefault="00DB27FE" w:rsidP="00DB27FE">
      <w:pPr>
        <w:numPr>
          <w:ilvl w:val="0"/>
          <w:numId w:val="36"/>
        </w:numPr>
        <w:rPr>
          <w:lang w:val="es-ES"/>
        </w:rPr>
      </w:pPr>
      <w:r w:rsidRPr="006D3772">
        <w:rPr>
          <w:lang w:val="es-ES"/>
        </w:rPr>
        <w:t>Servicios por suscripción, como Brill’s Foreign Law Guide, también son posibles herramientas (</w:t>
      </w:r>
      <w:hyperlink r:id="rId26" w:history="1">
        <w:r w:rsidRPr="006D3772">
          <w:rPr>
            <w:rStyle w:val="Hyperlink"/>
            <w:lang w:val="es-ES"/>
          </w:rPr>
          <w:t>https://referenceworks.brillonline.com/browse/foreign-law-guide</w:t>
        </w:r>
      </w:hyperlink>
      <w:r w:rsidRPr="006D3772">
        <w:rPr>
          <w:lang w:val="es-ES"/>
        </w:rPr>
        <w:t>);</w:t>
      </w:r>
    </w:p>
    <w:p w14:paraId="3DCEAF31" w14:textId="77777777" w:rsidR="00DB27FE" w:rsidRPr="00D13AAF" w:rsidRDefault="00DB27FE" w:rsidP="00DB27FE">
      <w:pPr>
        <w:numPr>
          <w:ilvl w:val="0"/>
          <w:numId w:val="36"/>
        </w:numPr>
        <w:rPr>
          <w:lang w:val="fr-FR"/>
        </w:rPr>
      </w:pPr>
      <w:r w:rsidRPr="00D13AAF">
        <w:rPr>
          <w:lang w:val="fr-FR"/>
        </w:rPr>
        <w:t>EUR-Lex (</w:t>
      </w:r>
      <w:hyperlink r:id="rId27" w:history="1">
        <w:r w:rsidRPr="00D13AAF">
          <w:rPr>
            <w:rStyle w:val="Hyperlink"/>
            <w:lang w:val="fr-FR"/>
          </w:rPr>
          <w:t>EU law - EUR-Lex (europa.eu)</w:t>
        </w:r>
      </w:hyperlink>
      <w:r w:rsidRPr="00D13AAF">
        <w:rPr>
          <w:lang w:val="fr-FR"/>
        </w:rPr>
        <w:t>);</w:t>
      </w:r>
    </w:p>
    <w:p w14:paraId="3D23ADF0" w14:textId="77777777" w:rsidR="00DB27FE" w:rsidRPr="006D3772" w:rsidRDefault="00DB27FE" w:rsidP="00DB27FE">
      <w:pPr>
        <w:numPr>
          <w:ilvl w:val="0"/>
          <w:numId w:val="36"/>
        </w:numPr>
        <w:rPr>
          <w:lang w:val="es-ES"/>
        </w:rPr>
      </w:pPr>
      <w:r w:rsidRPr="006D3772">
        <w:rPr>
          <w:color w:val="000000" w:themeColor="text1"/>
          <w:lang w:val="es-ES"/>
        </w:rPr>
        <w:t xml:space="preserve">International </w:t>
      </w:r>
      <w:r w:rsidRPr="006D3772">
        <w:rPr>
          <w:lang w:val="es-ES"/>
        </w:rPr>
        <w:t>Environmental Agreements Database Project (</w:t>
      </w:r>
      <w:hyperlink r:id="rId28" w:history="1">
        <w:r w:rsidRPr="006D3772">
          <w:rPr>
            <w:rStyle w:val="Hyperlink"/>
            <w:lang w:val="es-ES"/>
          </w:rPr>
          <w:t>https://iea.uoregon.edu/</w:t>
        </w:r>
      </w:hyperlink>
      <w:r w:rsidRPr="006D3772">
        <w:rPr>
          <w:lang w:val="es-ES"/>
        </w:rPr>
        <w:t>);</w:t>
      </w:r>
    </w:p>
    <w:p w14:paraId="1CD4A070" w14:textId="77777777" w:rsidR="00DB27FE" w:rsidRPr="00D13AAF" w:rsidRDefault="00DB27FE" w:rsidP="00DB27FE">
      <w:pPr>
        <w:numPr>
          <w:ilvl w:val="0"/>
          <w:numId w:val="36"/>
        </w:numPr>
        <w:rPr>
          <w:lang w:val="en-GB"/>
        </w:rPr>
      </w:pPr>
      <w:r w:rsidRPr="00D13AAF">
        <w:rPr>
          <w:lang w:val="en-GB"/>
        </w:rPr>
        <w:t>Banco Mundial: World Bank Environmental and Social Policies Database (</w:t>
      </w:r>
      <w:hyperlink r:id="rId29" w:history="1">
        <w:r w:rsidRPr="00D13AAF">
          <w:rPr>
            <w:rStyle w:val="Hyperlink"/>
            <w:lang w:val="en-GB"/>
          </w:rPr>
          <w:t>https://policies.worldbank.org/</w:t>
        </w:r>
      </w:hyperlink>
      <w:r w:rsidRPr="00D13AAF">
        <w:rPr>
          <w:lang w:val="en-GB"/>
        </w:rPr>
        <w:t>);</w:t>
      </w:r>
    </w:p>
    <w:p w14:paraId="241BB0C5" w14:textId="77777777" w:rsidR="00DB27FE" w:rsidRPr="006D3772" w:rsidRDefault="00DB27FE" w:rsidP="00DB27FE">
      <w:pPr>
        <w:numPr>
          <w:ilvl w:val="0"/>
          <w:numId w:val="36"/>
        </w:numPr>
        <w:rPr>
          <w:lang w:val="es-ES"/>
        </w:rPr>
      </w:pPr>
      <w:r w:rsidRPr="006D3772">
        <w:rPr>
          <w:lang w:val="es-ES"/>
        </w:rPr>
        <w:t>UN Treaty Collection (</w:t>
      </w:r>
      <w:r w:rsidRPr="006D3772">
        <w:rPr>
          <w:color w:val="000000" w:themeColor="text1"/>
          <w:lang w:val="es-ES"/>
        </w:rPr>
        <w:t xml:space="preserve">Colección </w:t>
      </w:r>
      <w:r w:rsidRPr="006D3772">
        <w:rPr>
          <w:lang w:val="es-ES"/>
        </w:rPr>
        <w:t>de Tratados de las Naciones Unidas) (</w:t>
      </w:r>
      <w:hyperlink r:id="rId30" w:history="1">
        <w:r w:rsidRPr="006D3772">
          <w:rPr>
            <w:rStyle w:val="Hyperlink"/>
            <w:lang w:val="es-ES"/>
          </w:rPr>
          <w:t>https://treaties.un.org/</w:t>
        </w:r>
      </w:hyperlink>
      <w:r w:rsidRPr="006D3772">
        <w:rPr>
          <w:lang w:val="es-ES"/>
        </w:rPr>
        <w:t>).</w:t>
      </w:r>
    </w:p>
    <w:p w14:paraId="5559455D" w14:textId="77777777" w:rsidR="00DB27FE" w:rsidRPr="006D3772" w:rsidRDefault="00DB27FE" w:rsidP="00DB27FE">
      <w:pPr>
        <w:rPr>
          <w:lang w:val="es-ES"/>
        </w:rPr>
      </w:pPr>
    </w:p>
    <w:p w14:paraId="5CC6EBC8" w14:textId="77777777" w:rsidR="00DB27FE" w:rsidRPr="006D3772" w:rsidRDefault="00DB27FE" w:rsidP="00DB27FE">
      <w:pPr>
        <w:ind w:left="432" w:hanging="432"/>
        <w:rPr>
          <w:lang w:val="es-ES"/>
        </w:rPr>
      </w:pPr>
      <w:r w:rsidRPr="006D3772">
        <w:rPr>
          <w:lang w:val="es-ES"/>
        </w:rPr>
        <w:t>16.</w:t>
      </w:r>
      <w:r w:rsidRPr="006D3772">
        <w:rPr>
          <w:lang w:val="es-ES"/>
        </w:rPr>
        <w:tab/>
        <w:t>También se analizarán los informes nacionales presentados por las Partes Contratantes para extraer ejemplos de leyes y políticas sobre humedales pertinentes señalados por las Partes. Por ejemplo, varias preguntas incluidas en los informes nacionales presentados para la COP14 pueden contener información relevante. En particular, la pregunta 9.2 indagaba sobre si se habían realizado cambios en la legislación en vigor para reflejar los compromisos suscritos en el marco de la Convención sobre los Humedales. La pregunta 1.1 cuestionaba si existía una política nacional sobre los humedales y si se habían integrado la conservación de los humedales y la identificación de los beneficios relativos a estos en enfoques sostenibles para estrategias y procesos de planificación nacionales en el caso de 15 sectores y actividades distintos.</w:t>
      </w:r>
      <w:r w:rsidRPr="006D3772">
        <w:rPr>
          <w:vertAlign w:val="superscript"/>
          <w:lang w:val="es-ES"/>
        </w:rPr>
        <w:footnoteReference w:id="10"/>
      </w:r>
      <w:r w:rsidRPr="006D3772">
        <w:rPr>
          <w:lang w:val="es-ES"/>
        </w:rPr>
        <w:t xml:space="preserve"> Por lo tanto, podrían describirse las interacciones entre las leyes y políticas relativas a los humedales y otros marcos jurídicos sobre recursos naturales para analizar cómo un campo puede favorecer la protección y restauración de los humedales o no. Además, las preguntas 10.1 y 10.3 podrían aportar información sobre las leyes y políticas elaboradas por los [Pueblos Indígenas y las comunidades locales].</w:t>
      </w:r>
    </w:p>
    <w:p w14:paraId="5650402E" w14:textId="77777777" w:rsidR="00DB27FE" w:rsidRPr="006D3772" w:rsidRDefault="00DB27FE" w:rsidP="00DB27FE">
      <w:pPr>
        <w:rPr>
          <w:lang w:val="es-ES"/>
        </w:rPr>
      </w:pPr>
    </w:p>
    <w:p w14:paraId="5FBB0D76" w14:textId="77777777" w:rsidR="00DB27FE" w:rsidRPr="006D3772" w:rsidRDefault="00DB27FE" w:rsidP="00DB27FE">
      <w:pPr>
        <w:ind w:left="432" w:hanging="432"/>
        <w:rPr>
          <w:lang w:val="es-ES"/>
        </w:rPr>
      </w:pPr>
      <w:r w:rsidRPr="006D3772">
        <w:rPr>
          <w:lang w:val="es-ES"/>
        </w:rPr>
        <w:t>17.</w:t>
      </w:r>
      <w:r w:rsidRPr="006D3772">
        <w:rPr>
          <w:lang w:val="es-ES"/>
        </w:rPr>
        <w:tab/>
        <w:t xml:space="preserve">Se realizarán consultas a los coordinadores nacionales de la Convención y del GECT y las iniciativas regionales para garantizar que se identifiquen de forma exhaustiva </w:t>
      </w:r>
      <w:r w:rsidRPr="006D3772">
        <w:rPr>
          <w:iCs/>
          <w:lang w:val="es-ES"/>
        </w:rPr>
        <w:t>las leyes y políticas sobre los humedales en todas las regiones. En el proceso de consulta se comunicarán los resultados iniciales y se solicitarán opiniones para colmar lagunas y poner de relieve los instrumentos eficaces</w:t>
      </w:r>
      <w:r w:rsidRPr="006D3772">
        <w:rPr>
          <w:i/>
          <w:lang w:val="es-ES"/>
        </w:rPr>
        <w:t>.</w:t>
      </w:r>
    </w:p>
    <w:p w14:paraId="26003F29" w14:textId="77777777" w:rsidR="00DB27FE" w:rsidRPr="006D3772" w:rsidRDefault="00DB27FE" w:rsidP="00DB27FE">
      <w:pPr>
        <w:rPr>
          <w:lang w:val="es-ES"/>
        </w:rPr>
      </w:pPr>
    </w:p>
    <w:p w14:paraId="7283D2D2" w14:textId="77777777" w:rsidR="00DB27FE" w:rsidRPr="006D3772" w:rsidRDefault="00DB27FE" w:rsidP="00DB27FE">
      <w:pPr>
        <w:rPr>
          <w:b/>
          <w:lang w:val="es-ES"/>
        </w:rPr>
      </w:pPr>
      <w:r w:rsidRPr="006D3772">
        <w:rPr>
          <w:b/>
          <w:lang w:val="es-ES"/>
        </w:rPr>
        <w:t>Productos</w:t>
      </w:r>
    </w:p>
    <w:p w14:paraId="463BB4B4" w14:textId="77777777" w:rsidR="00DB27FE" w:rsidRPr="006D3772" w:rsidRDefault="00DB27FE" w:rsidP="00DB27FE">
      <w:pPr>
        <w:rPr>
          <w:lang w:val="es-ES"/>
        </w:rPr>
      </w:pPr>
    </w:p>
    <w:p w14:paraId="7B904550" w14:textId="77777777" w:rsidR="00DB27FE" w:rsidRPr="006D3772" w:rsidRDefault="00DB27FE" w:rsidP="00DB27FE">
      <w:pPr>
        <w:ind w:left="432" w:hanging="432"/>
        <w:rPr>
          <w:lang w:val="es-ES"/>
        </w:rPr>
      </w:pPr>
      <w:r w:rsidRPr="006D3772">
        <w:rPr>
          <w:lang w:val="es-ES"/>
        </w:rPr>
        <w:t>18.</w:t>
      </w:r>
      <w:r w:rsidRPr="006D3772">
        <w:rPr>
          <w:lang w:val="es-ES"/>
        </w:rPr>
        <w:tab/>
        <w:t>Los productos del examen serán los siguientes:</w:t>
      </w:r>
    </w:p>
    <w:p w14:paraId="68C00BCA" w14:textId="33AC73F1" w:rsidR="00DB27FE" w:rsidRPr="006D3772" w:rsidRDefault="00DB27FE" w:rsidP="00DB27FE">
      <w:pPr>
        <w:numPr>
          <w:ilvl w:val="0"/>
          <w:numId w:val="36"/>
        </w:numPr>
        <w:ind w:left="851" w:hanging="425"/>
        <w:rPr>
          <w:lang w:val="es-ES"/>
        </w:rPr>
      </w:pPr>
      <w:r w:rsidRPr="006D3772">
        <w:rPr>
          <w:lang w:val="es-ES"/>
        </w:rPr>
        <w:t>Informe écnico: un informe detallado sobre los resultados del examen.</w:t>
      </w:r>
    </w:p>
    <w:p w14:paraId="2A913CA5" w14:textId="77777777" w:rsidR="00DB27FE" w:rsidRPr="006D3772" w:rsidRDefault="00DB27FE" w:rsidP="00DB27FE">
      <w:pPr>
        <w:numPr>
          <w:ilvl w:val="0"/>
          <w:numId w:val="36"/>
        </w:numPr>
        <w:ind w:left="851" w:hanging="425"/>
        <w:rPr>
          <w:lang w:val="es-ES"/>
        </w:rPr>
      </w:pPr>
      <w:r w:rsidRPr="006D3772">
        <w:rPr>
          <w:lang w:val="es-ES"/>
        </w:rPr>
        <w:t>Base de datos jurídica: Una base de datos que muestre las leyes y políticas que hayan obtenido buenos resultados en cada región de la Convención.</w:t>
      </w:r>
    </w:p>
    <w:p w14:paraId="20D04DE0" w14:textId="77777777" w:rsidR="00DB27FE" w:rsidRPr="006D3772" w:rsidRDefault="00DB27FE" w:rsidP="00DB27FE">
      <w:pPr>
        <w:numPr>
          <w:ilvl w:val="0"/>
          <w:numId w:val="36"/>
        </w:numPr>
        <w:ind w:left="851" w:hanging="425"/>
        <w:rPr>
          <w:lang w:val="es-ES"/>
        </w:rPr>
      </w:pPr>
      <w:r w:rsidRPr="006D3772">
        <w:rPr>
          <w:lang w:val="es-ES"/>
        </w:rPr>
        <w:t>Infografía: Un resumen visual de los principales elementos que deben tenerse en cuenta al examinar las leyes y políticas sobre los humedales.</w:t>
      </w:r>
    </w:p>
    <w:p w14:paraId="72484C3C" w14:textId="77777777" w:rsidR="00DB27FE" w:rsidRPr="006D3772" w:rsidRDefault="00DB27FE" w:rsidP="00DB27FE">
      <w:pPr>
        <w:numPr>
          <w:ilvl w:val="0"/>
          <w:numId w:val="36"/>
        </w:numPr>
        <w:ind w:left="851" w:hanging="425"/>
        <w:rPr>
          <w:lang w:val="es-ES"/>
        </w:rPr>
      </w:pPr>
      <w:r w:rsidRPr="006D3772">
        <w:rPr>
          <w:lang w:val="es-ES"/>
        </w:rPr>
        <w:lastRenderedPageBreak/>
        <w:t>Curso de formación: Un conjunto de sesiones de formación o seminarios web para cada región de la Convención a fin de promover los marcos jurídicos que favorecen la conservación y el uso racional de los humedales.</w:t>
      </w:r>
    </w:p>
    <w:p w14:paraId="5AA18D09" w14:textId="77777777" w:rsidR="00DB27FE" w:rsidRPr="006D3772" w:rsidRDefault="00DB27FE" w:rsidP="00DB27FE">
      <w:pPr>
        <w:rPr>
          <w:b/>
          <w:lang w:val="es-ES"/>
        </w:rPr>
      </w:pPr>
    </w:p>
    <w:p w14:paraId="02AC7A0D" w14:textId="77777777" w:rsidR="00DB27FE" w:rsidRPr="006D3772" w:rsidRDefault="00DB27FE" w:rsidP="00DB27FE">
      <w:pPr>
        <w:rPr>
          <w:b/>
          <w:lang w:val="es-ES"/>
        </w:rPr>
      </w:pPr>
      <w:r w:rsidRPr="006D3772">
        <w:rPr>
          <w:b/>
          <w:lang w:val="es-ES"/>
        </w:rPr>
        <w:t>Referencias</w:t>
      </w:r>
    </w:p>
    <w:p w14:paraId="2DD2E7CA" w14:textId="77777777" w:rsidR="00DB27FE" w:rsidRPr="006D3772" w:rsidRDefault="00DB27FE" w:rsidP="00DB27FE">
      <w:pPr>
        <w:rPr>
          <w:lang w:val="es-ES"/>
        </w:rPr>
      </w:pPr>
    </w:p>
    <w:p w14:paraId="0F130A87" w14:textId="72279AA5" w:rsidR="00DB27FE" w:rsidRPr="006D3772" w:rsidRDefault="00DB27FE" w:rsidP="00DB27FE">
      <w:pPr>
        <w:rPr>
          <w:color w:val="000000" w:themeColor="text1"/>
          <w:lang w:val="es-ES"/>
        </w:rPr>
      </w:pPr>
      <w:r w:rsidRPr="006D3772">
        <w:rPr>
          <w:color w:val="000000" w:themeColor="text1"/>
          <w:lang w:val="es-ES"/>
        </w:rPr>
        <w:t xml:space="preserve">Convención sobre los Humedales. (2018). </w:t>
      </w:r>
      <w:r w:rsidRPr="006D3772">
        <w:rPr>
          <w:i/>
          <w:iCs/>
          <w:color w:val="000000" w:themeColor="text1"/>
          <w:lang w:val="es-ES"/>
        </w:rPr>
        <w:t>Perspectiva mundial sobre los humedales: Estado de los humedales del mundo y sus servicios a las personas</w:t>
      </w:r>
      <w:r w:rsidRPr="006D3772">
        <w:rPr>
          <w:color w:val="000000" w:themeColor="text1"/>
          <w:lang w:val="es-ES"/>
        </w:rPr>
        <w:t xml:space="preserve">. Gland, (Suiza). Secretaría de la Convención </w:t>
      </w:r>
      <w:r w:rsidR="006D3772" w:rsidRPr="006D3772">
        <w:rPr>
          <w:color w:val="000000" w:themeColor="text1"/>
          <w:lang w:val="es-ES"/>
        </w:rPr>
        <w:t>sobre los Humedales.</w:t>
      </w:r>
    </w:p>
    <w:p w14:paraId="688794DD" w14:textId="77777777" w:rsidR="00DB27FE" w:rsidRPr="006D3772" w:rsidRDefault="00DB27FE" w:rsidP="00DB27FE">
      <w:pPr>
        <w:rPr>
          <w:color w:val="000000" w:themeColor="text1"/>
          <w:lang w:val="es-ES"/>
        </w:rPr>
      </w:pPr>
    </w:p>
    <w:p w14:paraId="3466C87D" w14:textId="77777777" w:rsidR="00DB27FE" w:rsidRPr="006D3772" w:rsidRDefault="00DB27FE" w:rsidP="00DB27FE">
      <w:pPr>
        <w:rPr>
          <w:color w:val="000000" w:themeColor="text1"/>
          <w:lang w:val="es-ES"/>
        </w:rPr>
      </w:pPr>
      <w:r w:rsidRPr="006D3772">
        <w:rPr>
          <w:color w:val="000000" w:themeColor="text1"/>
          <w:lang w:val="es-ES"/>
        </w:rPr>
        <w:t xml:space="preserve">Convención sobre los Humedales. (2021). </w:t>
      </w:r>
      <w:r w:rsidRPr="006D3772">
        <w:rPr>
          <w:i/>
          <w:iCs/>
          <w:color w:val="000000" w:themeColor="text1"/>
          <w:lang w:val="es-ES"/>
        </w:rPr>
        <w:t>Perspectiva mundial sobre los humedales: Edición especial de 2021</w:t>
      </w:r>
      <w:r w:rsidRPr="006D3772">
        <w:rPr>
          <w:color w:val="000000" w:themeColor="text1"/>
          <w:lang w:val="es-ES"/>
        </w:rPr>
        <w:t>. Gland (Suiza): Secretaría de la Convención sobre los Humedales.</w:t>
      </w:r>
    </w:p>
    <w:p w14:paraId="662633F5" w14:textId="77777777" w:rsidR="00DB27FE" w:rsidRPr="006D3772" w:rsidRDefault="00DB27FE" w:rsidP="00DB27FE">
      <w:pPr>
        <w:rPr>
          <w:color w:val="FF0000"/>
          <w:lang w:val="es-ES"/>
        </w:rPr>
      </w:pPr>
    </w:p>
    <w:p w14:paraId="62A421F5" w14:textId="77777777" w:rsidR="00DB27FE" w:rsidRPr="00D13AAF" w:rsidRDefault="00DB27FE" w:rsidP="00DB27FE">
      <w:pPr>
        <w:rPr>
          <w:lang w:val="en-GB"/>
        </w:rPr>
      </w:pPr>
      <w:r w:rsidRPr="006D3772">
        <w:rPr>
          <w:color w:val="000000" w:themeColor="text1"/>
          <w:lang w:val="es-ES"/>
        </w:rPr>
        <w:t>Gardner</w:t>
      </w:r>
      <w:r w:rsidRPr="006D3772">
        <w:rPr>
          <w:lang w:val="es-ES"/>
        </w:rPr>
        <w:t xml:space="preserve">, R.C. (2008). </w:t>
      </w:r>
      <w:r w:rsidRPr="00D13AAF">
        <w:rPr>
          <w:i/>
          <w:iCs/>
          <w:lang w:val="en-GB"/>
        </w:rPr>
        <w:t>Rehabilitating Nature: A Comparative Review of Legal Mechanisms that Encourage Wetland Restoration Efforts</w:t>
      </w:r>
      <w:r w:rsidRPr="00D13AAF">
        <w:rPr>
          <w:lang w:val="en-GB"/>
        </w:rPr>
        <w:t xml:space="preserve">, Catholic University Law Review 52(3): 573-620, disponible en </w:t>
      </w:r>
      <w:hyperlink r:id="rId31" w:history="1">
        <w:r w:rsidRPr="00D13AAF">
          <w:rPr>
            <w:rStyle w:val="Hyperlink"/>
            <w:lang w:val="en-GB"/>
          </w:rPr>
          <w:t>https://papers.ssrn.com/sol3/papers.cfm?abstract_id=1129993</w:t>
        </w:r>
      </w:hyperlink>
      <w:r w:rsidRPr="00D13AAF">
        <w:rPr>
          <w:lang w:val="en-GB"/>
        </w:rPr>
        <w:t>.</w:t>
      </w:r>
    </w:p>
    <w:p w14:paraId="4DB799AE" w14:textId="77777777" w:rsidR="00DB27FE" w:rsidRPr="00D13AAF" w:rsidRDefault="00DB27FE" w:rsidP="00DB27FE">
      <w:pPr>
        <w:rPr>
          <w:lang w:val="en-GB"/>
        </w:rPr>
      </w:pPr>
    </w:p>
    <w:p w14:paraId="178F94B6" w14:textId="69ECEB55" w:rsidR="00DB27FE" w:rsidRPr="006D3772" w:rsidRDefault="00DB27FE" w:rsidP="00DB27FE">
      <w:pPr>
        <w:rPr>
          <w:lang w:val="es-ES"/>
        </w:rPr>
      </w:pPr>
      <w:r w:rsidRPr="00D13AAF">
        <w:rPr>
          <w:lang w:val="en-GB"/>
        </w:rPr>
        <w:t xml:space="preserve">Gardner, R.C., Bonells, M., Okuno, E., Zarama, J.M. (2012). </w:t>
      </w:r>
      <w:r w:rsidRPr="006D3772">
        <w:rPr>
          <w:i/>
          <w:iCs/>
          <w:lang w:val="es-ES"/>
        </w:rPr>
        <w:t xml:space="preserve">Evitar, Mitigar y Compensar la Pérdida y Degradación de Humedales en Leyes y Políticas Nacionales. </w:t>
      </w:r>
      <w:r w:rsidRPr="006D3772">
        <w:rPr>
          <w:lang w:val="es-ES"/>
        </w:rPr>
        <w:t xml:space="preserve">Nota de información científica y técnica de </w:t>
      </w:r>
      <w:r w:rsidR="005E4BEC">
        <w:rPr>
          <w:lang w:val="es-ES"/>
        </w:rPr>
        <w:t>la Convención sobre los Humedales</w:t>
      </w:r>
      <w:r w:rsidRPr="006D3772">
        <w:rPr>
          <w:lang w:val="es-ES"/>
        </w:rPr>
        <w:t xml:space="preserve"> no. 3. Gland, Suiza: Secretaría de la Convención </w:t>
      </w:r>
      <w:r w:rsidR="00CC47AB">
        <w:rPr>
          <w:lang w:val="es-ES"/>
        </w:rPr>
        <w:t>sobre los Humedales</w:t>
      </w:r>
      <w:r w:rsidRPr="006D3772">
        <w:rPr>
          <w:lang w:val="es-ES"/>
        </w:rPr>
        <w:t>.</w:t>
      </w:r>
    </w:p>
    <w:p w14:paraId="7A48BE30" w14:textId="77777777" w:rsidR="00DB27FE" w:rsidRPr="006D3772" w:rsidRDefault="00DB27FE" w:rsidP="00DB27FE">
      <w:pPr>
        <w:rPr>
          <w:lang w:val="es-ES"/>
        </w:rPr>
      </w:pPr>
    </w:p>
    <w:p w14:paraId="53B540DB" w14:textId="77777777" w:rsidR="00DB27FE" w:rsidRPr="006D3772" w:rsidRDefault="00DB27FE" w:rsidP="00DB27FE">
      <w:pPr>
        <w:rPr>
          <w:lang w:val="es-ES"/>
        </w:rPr>
      </w:pPr>
      <w:r w:rsidRPr="006D3772">
        <w:rPr>
          <w:lang w:val="es-ES"/>
        </w:rPr>
        <w:t xml:space="preserve">UICN, Comisión Mundial </w:t>
      </w:r>
      <w:r w:rsidRPr="006D3772">
        <w:rPr>
          <w:color w:val="000000" w:themeColor="text1"/>
          <w:lang w:val="es-ES"/>
        </w:rPr>
        <w:t xml:space="preserve">de </w:t>
      </w:r>
      <w:r w:rsidRPr="006D3772">
        <w:rPr>
          <w:lang w:val="es-ES"/>
        </w:rPr>
        <w:t xml:space="preserve">Derecho Ambiental (2023), </w:t>
      </w:r>
      <w:r w:rsidRPr="006D3772">
        <w:rPr>
          <w:i/>
          <w:lang w:val="es-ES"/>
        </w:rPr>
        <w:t>Medir la efectividad del derecho ambiental a través de indicadores jurídicos y análisis de calidad</w:t>
      </w:r>
      <w:r w:rsidRPr="006D3772">
        <w:rPr>
          <w:lang w:val="es-ES"/>
        </w:rPr>
        <w:t>. UICN Serie de Política y Derecho Ambiental No. 91. Gland, Suiza: UICN.</w:t>
      </w:r>
    </w:p>
    <w:p w14:paraId="6B85F057" w14:textId="77777777" w:rsidR="00DB27FE" w:rsidRPr="006D3772" w:rsidRDefault="00DB27FE" w:rsidP="00DB27FE">
      <w:pPr>
        <w:rPr>
          <w:lang w:val="es-ES"/>
        </w:rPr>
      </w:pPr>
    </w:p>
    <w:p w14:paraId="0C623132" w14:textId="1D9ECAC1" w:rsidR="00DB27FE" w:rsidRPr="006D3772" w:rsidRDefault="00DD05DA" w:rsidP="00DB27FE">
      <w:pPr>
        <w:rPr>
          <w:lang w:val="es-ES"/>
        </w:rPr>
      </w:pPr>
      <w:r w:rsidRPr="006D3772">
        <w:rPr>
          <w:lang w:val="es-ES"/>
        </w:rPr>
        <w:t>Convención sobre los Humedales</w:t>
      </w:r>
      <w:r w:rsidR="00DB27FE" w:rsidRPr="006D3772">
        <w:rPr>
          <w:lang w:val="es-ES"/>
        </w:rPr>
        <w:t>, 201</w:t>
      </w:r>
      <w:r w:rsidRPr="006D3772">
        <w:rPr>
          <w:lang w:val="es-ES"/>
        </w:rPr>
        <w:t>0</w:t>
      </w:r>
      <w:r w:rsidR="00DB27FE" w:rsidRPr="006D3772">
        <w:rPr>
          <w:lang w:val="es-ES"/>
        </w:rPr>
        <w:t xml:space="preserve">. Leyes e instituciones: Examen de leyes e instituciones para promover la conservación y el uso racional de los humedales. Manuales </w:t>
      </w:r>
      <w:r w:rsidR="00CC47AB">
        <w:rPr>
          <w:lang w:val="es-ES"/>
        </w:rPr>
        <w:t>de la Convención sobre los Humedales</w:t>
      </w:r>
      <w:r w:rsidR="00DB27FE" w:rsidRPr="006D3772">
        <w:rPr>
          <w:lang w:val="es-ES"/>
        </w:rPr>
        <w:t xml:space="preserve"> para el uso racional de los humedales, 4ª edición, vol. 3. Convención </w:t>
      </w:r>
      <w:r w:rsidRPr="006D3772">
        <w:rPr>
          <w:lang w:val="es-ES"/>
        </w:rPr>
        <w:t>sobre los Humedales</w:t>
      </w:r>
      <w:r w:rsidR="00DB27FE" w:rsidRPr="006D3772">
        <w:rPr>
          <w:lang w:val="es-ES"/>
        </w:rPr>
        <w:t>, Gland (Suiza).</w:t>
      </w:r>
    </w:p>
    <w:p w14:paraId="2E05FABF" w14:textId="77777777" w:rsidR="00DB27FE" w:rsidRPr="006D3772" w:rsidRDefault="00DB27FE" w:rsidP="00DB27FE">
      <w:pPr>
        <w:rPr>
          <w:lang w:val="es-ES"/>
        </w:rPr>
      </w:pPr>
    </w:p>
    <w:p w14:paraId="367131FA" w14:textId="3CB05357" w:rsidR="00DB27FE" w:rsidRPr="006D3772" w:rsidRDefault="00DB27FE" w:rsidP="00DB27FE">
      <w:pPr>
        <w:rPr>
          <w:color w:val="000000" w:themeColor="text1"/>
          <w:lang w:val="es-ES"/>
        </w:rPr>
      </w:pPr>
      <w:r w:rsidRPr="006D3772">
        <w:rPr>
          <w:lang w:val="es-ES"/>
        </w:rPr>
        <w:t>Convención sobre los Humedales, 2010</w:t>
      </w:r>
      <w:r w:rsidR="00DD05DA" w:rsidRPr="006D3772">
        <w:rPr>
          <w:lang w:val="es-ES"/>
        </w:rPr>
        <w:t xml:space="preserve">. </w:t>
      </w:r>
      <w:r w:rsidRPr="006D3772">
        <w:rPr>
          <w:i/>
          <w:lang w:val="es-ES"/>
        </w:rPr>
        <w:t xml:space="preserve">Designación de sitios Ramsar: Marco Estratégico y lineamientos para el desarrollo futuro de la Lista de Humedales de Importancia Internacional. </w:t>
      </w:r>
      <w:r w:rsidRPr="006D3772">
        <w:rPr>
          <w:lang w:val="es-ES"/>
        </w:rPr>
        <w:t xml:space="preserve">Manuales </w:t>
      </w:r>
      <w:r w:rsidR="00CC47AB">
        <w:rPr>
          <w:lang w:val="es-ES"/>
        </w:rPr>
        <w:t>de la Convención de Ramsar</w:t>
      </w:r>
      <w:r w:rsidRPr="006D3772">
        <w:rPr>
          <w:lang w:val="es-ES"/>
        </w:rPr>
        <w:t xml:space="preserve"> para el uso racional de los humedales, 4ª edición, vol. 17. Convención </w:t>
      </w:r>
      <w:r w:rsidR="00DD05DA" w:rsidRPr="006D3772">
        <w:rPr>
          <w:lang w:val="es-ES"/>
        </w:rPr>
        <w:t>sobre los Humedales</w:t>
      </w:r>
      <w:r w:rsidRPr="006D3772">
        <w:rPr>
          <w:lang w:val="es-ES"/>
        </w:rPr>
        <w:t>, Gland (Suiza</w:t>
      </w:r>
      <w:r w:rsidRPr="006D3772">
        <w:rPr>
          <w:color w:val="000000" w:themeColor="text1"/>
          <w:lang w:val="es-ES"/>
        </w:rPr>
        <w:t>), páginas 87-88.</w:t>
      </w:r>
    </w:p>
    <w:p w14:paraId="2F970D54" w14:textId="77777777" w:rsidR="00DB27FE" w:rsidRPr="006D3772" w:rsidRDefault="00DB27FE" w:rsidP="00DB27FE">
      <w:pPr>
        <w:rPr>
          <w:lang w:val="es-ES"/>
        </w:rPr>
      </w:pPr>
    </w:p>
    <w:p w14:paraId="50E70A42" w14:textId="77777777" w:rsidR="00DB27FE" w:rsidRPr="006D3772" w:rsidRDefault="00DB27FE" w:rsidP="00DB27FE">
      <w:pPr>
        <w:rPr>
          <w:lang w:val="es-ES"/>
        </w:rPr>
      </w:pPr>
      <w:r w:rsidRPr="006D3772">
        <w:rPr>
          <w:lang w:val="es-ES"/>
        </w:rPr>
        <w:t xml:space="preserve">Resolución XIV.16, </w:t>
      </w:r>
      <w:r w:rsidRPr="006D3772">
        <w:rPr>
          <w:i/>
          <w:iCs/>
          <w:lang w:val="es-ES"/>
        </w:rPr>
        <w:t>Integración de la protección, la conservación, la restuaración, el uso sostenible y la gestión de los humedales en las estrategias nacionales de desarrollo sostenible</w:t>
      </w:r>
      <w:r w:rsidRPr="006D3772">
        <w:rPr>
          <w:lang w:val="es-ES"/>
        </w:rPr>
        <w:t>.</w:t>
      </w:r>
    </w:p>
    <w:p w14:paraId="4A816F66" w14:textId="77777777" w:rsidR="00DB27FE" w:rsidRPr="006D3772" w:rsidRDefault="00DB27FE" w:rsidP="00DB27FE">
      <w:pPr>
        <w:rPr>
          <w:lang w:val="es-ES"/>
        </w:rPr>
      </w:pPr>
    </w:p>
    <w:p w14:paraId="629B8BB2" w14:textId="77777777" w:rsidR="00DB27FE" w:rsidRPr="00D13AAF" w:rsidRDefault="00DB27FE" w:rsidP="00DB27FE">
      <w:pPr>
        <w:rPr>
          <w:lang w:val="en-GB"/>
        </w:rPr>
      </w:pPr>
      <w:r w:rsidRPr="00D13AAF">
        <w:rPr>
          <w:lang w:val="en-GB"/>
        </w:rPr>
        <w:t xml:space="preserve">Salzman, J. (2013). </w:t>
      </w:r>
      <w:r w:rsidRPr="00D13AAF">
        <w:rPr>
          <w:i/>
          <w:iCs/>
          <w:lang w:val="en-GB"/>
        </w:rPr>
        <w:t>Teaching Policy Instrument Choice in Environmental Law: The Five P’s</w:t>
      </w:r>
      <w:r w:rsidRPr="00D13AAF">
        <w:rPr>
          <w:lang w:val="en-GB"/>
        </w:rPr>
        <w:t>, Duke Environmental Law &amp; Policy Forum 23:363-376.</w:t>
      </w:r>
    </w:p>
    <w:p w14:paraId="044B1E3C" w14:textId="77777777" w:rsidR="00DB27FE" w:rsidRPr="00D13AAF" w:rsidRDefault="00DB27FE" w:rsidP="00DB27FE">
      <w:pPr>
        <w:spacing w:after="160" w:line="259" w:lineRule="auto"/>
        <w:rPr>
          <w:b/>
          <w:lang w:val="en-GB"/>
        </w:rPr>
      </w:pPr>
      <w:r w:rsidRPr="00D13AAF">
        <w:rPr>
          <w:b/>
          <w:lang w:val="en-GB"/>
        </w:rPr>
        <w:br w:type="page"/>
      </w:r>
    </w:p>
    <w:p w14:paraId="50D38CDB" w14:textId="77777777" w:rsidR="00DB27FE" w:rsidRPr="006D3772" w:rsidRDefault="00DB27FE" w:rsidP="00DB27FE">
      <w:pPr>
        <w:rPr>
          <w:b/>
          <w:lang w:val="es-ES"/>
        </w:rPr>
      </w:pPr>
      <w:r w:rsidRPr="006D3772">
        <w:rPr>
          <w:b/>
          <w:lang w:val="es-ES"/>
        </w:rPr>
        <w:lastRenderedPageBreak/>
        <w:t xml:space="preserve">Apéndice 1. </w:t>
      </w:r>
    </w:p>
    <w:p w14:paraId="5ECF9C14" w14:textId="77777777" w:rsidR="00DB27FE" w:rsidRPr="006D3772" w:rsidRDefault="00DB27FE" w:rsidP="00DB27FE">
      <w:pPr>
        <w:rPr>
          <w:b/>
          <w:lang w:val="es-ES"/>
        </w:rPr>
      </w:pPr>
      <w:r w:rsidRPr="006D3772">
        <w:rPr>
          <w:b/>
          <w:lang w:val="es-ES"/>
        </w:rPr>
        <w:t>Respuestas jurídicas a los factores impulsores de cambios adversos en los humedales</w:t>
      </w:r>
    </w:p>
    <w:p w14:paraId="5DA38208" w14:textId="77777777" w:rsidR="00DB27FE" w:rsidRPr="006D3772" w:rsidRDefault="00DB27FE" w:rsidP="00DB27FE">
      <w:pPr>
        <w:rPr>
          <w:lang w:val="es-ES"/>
        </w:rPr>
      </w:pPr>
    </w:p>
    <w:p w14:paraId="64C053C8" w14:textId="36DA404D" w:rsidR="00DB27FE" w:rsidRPr="006D3772" w:rsidRDefault="00DB27FE" w:rsidP="00DB27FE">
      <w:pPr>
        <w:rPr>
          <w:lang w:val="es-ES"/>
        </w:rPr>
      </w:pPr>
      <w:r w:rsidRPr="006D3772">
        <w:rPr>
          <w:lang w:val="es-ES"/>
        </w:rPr>
        <w:t>1.</w:t>
      </w:r>
      <w:r w:rsidRPr="006D3772">
        <w:rPr>
          <w:lang w:val="es-ES"/>
        </w:rPr>
        <w:tab/>
        <w:t xml:space="preserve">En este apéndice se facilitan ejemplos de leyes y políticas relativas a los humedales en función del tipo de herramientas. Se citan ejemplos de distintas </w:t>
      </w:r>
      <w:r w:rsidRPr="006D3772">
        <w:rPr>
          <w:color w:val="000000" w:themeColor="text1"/>
          <w:lang w:val="es-ES"/>
        </w:rPr>
        <w:t xml:space="preserve">jurisdicciones </w:t>
      </w:r>
      <w:r w:rsidRPr="006D3772">
        <w:rPr>
          <w:lang w:val="es-ES"/>
        </w:rPr>
        <w:t xml:space="preserve">y se podrían añadir muchos más a esta lista. Para facilitar la clasificación, los </w:t>
      </w:r>
      <w:r w:rsidR="00DD05DA" w:rsidRPr="006D3772">
        <w:rPr>
          <w:color w:val="000000" w:themeColor="text1"/>
          <w:lang w:val="es-ES"/>
        </w:rPr>
        <w:t>instrumentos normativos</w:t>
      </w:r>
      <w:r w:rsidRPr="006D3772">
        <w:rPr>
          <w:color w:val="000000" w:themeColor="text1"/>
          <w:lang w:val="es-ES"/>
        </w:rPr>
        <w:t xml:space="preserve"> </w:t>
      </w:r>
      <w:r w:rsidRPr="006D3772">
        <w:rPr>
          <w:lang w:val="es-ES"/>
        </w:rPr>
        <w:t xml:space="preserve">se pueden dividir en siete categorías que permiten entender mejor las posibilidades y así facilitar la ardua tarea de determinar las ventajas e inconvenientes de cada instrumento (Salzman 2013). </w:t>
      </w:r>
    </w:p>
    <w:p w14:paraId="415B088E" w14:textId="77777777" w:rsidR="00DB27FE" w:rsidRPr="006D3772" w:rsidRDefault="00DB27FE" w:rsidP="00DB27FE">
      <w:pPr>
        <w:rPr>
          <w:lang w:val="es-ES"/>
        </w:rPr>
      </w:pPr>
    </w:p>
    <w:p w14:paraId="5C6414D0" w14:textId="77777777" w:rsidR="00DB27FE" w:rsidRPr="006D3772" w:rsidRDefault="00DB27FE" w:rsidP="00DB27FE">
      <w:pPr>
        <w:rPr>
          <w:b/>
          <w:lang w:val="es-ES"/>
        </w:rPr>
      </w:pPr>
      <w:r w:rsidRPr="006D3772">
        <w:rPr>
          <w:b/>
          <w:lang w:val="es-ES"/>
        </w:rPr>
        <w:t>Áreas protegidas</w:t>
      </w:r>
    </w:p>
    <w:p w14:paraId="067F589E" w14:textId="77777777" w:rsidR="00DB27FE" w:rsidRPr="006D3772" w:rsidRDefault="00DB27FE" w:rsidP="00DB27FE">
      <w:pPr>
        <w:numPr>
          <w:ilvl w:val="0"/>
          <w:numId w:val="36"/>
        </w:numPr>
        <w:rPr>
          <w:lang w:val="es-ES"/>
        </w:rPr>
      </w:pPr>
      <w:r w:rsidRPr="006D3772">
        <w:rPr>
          <w:lang w:val="es-ES"/>
        </w:rPr>
        <w:t>Resoluciones de Ramsar como fuente de protección</w:t>
      </w:r>
    </w:p>
    <w:p w14:paraId="5E774BD6" w14:textId="77777777" w:rsidR="00DB27FE" w:rsidRPr="006D3772" w:rsidRDefault="00DB27FE" w:rsidP="00DB27FE">
      <w:pPr>
        <w:numPr>
          <w:ilvl w:val="1"/>
          <w:numId w:val="36"/>
        </w:numPr>
        <w:rPr>
          <w:lang w:val="es-ES"/>
        </w:rPr>
      </w:pPr>
      <w:r w:rsidRPr="006D3772">
        <w:rPr>
          <w:lang w:val="es-ES"/>
        </w:rPr>
        <w:t xml:space="preserve">Lac Baai (anteriormente </w:t>
      </w:r>
      <w:r w:rsidRPr="006D3772">
        <w:rPr>
          <w:color w:val="000000" w:themeColor="text1"/>
          <w:lang w:val="es-ES"/>
        </w:rPr>
        <w:t>Het Lac), Bonaire (Países Bajos</w:t>
      </w:r>
      <w:r w:rsidRPr="006D3772">
        <w:rPr>
          <w:lang w:val="es-ES"/>
        </w:rPr>
        <w:t>)</w:t>
      </w:r>
    </w:p>
    <w:p w14:paraId="21A5318D" w14:textId="77777777" w:rsidR="00DB27FE" w:rsidRPr="006D3772" w:rsidRDefault="00DB27FE" w:rsidP="00DB27FE">
      <w:pPr>
        <w:numPr>
          <w:ilvl w:val="0"/>
          <w:numId w:val="36"/>
        </w:numPr>
        <w:rPr>
          <w:lang w:val="es-ES"/>
        </w:rPr>
      </w:pPr>
      <w:r w:rsidRPr="006D3772">
        <w:rPr>
          <w:lang w:val="es-ES"/>
        </w:rPr>
        <w:t>Legislación nacional sobre áreas protegidas</w:t>
      </w:r>
    </w:p>
    <w:p w14:paraId="596ABBC6" w14:textId="77777777" w:rsidR="00DB27FE" w:rsidRPr="006D3772" w:rsidRDefault="00DB27FE" w:rsidP="00DB27FE">
      <w:pPr>
        <w:numPr>
          <w:ilvl w:val="1"/>
          <w:numId w:val="36"/>
        </w:numPr>
        <w:rPr>
          <w:lang w:val="es-ES"/>
        </w:rPr>
      </w:pPr>
      <w:r w:rsidRPr="006D3772">
        <w:rPr>
          <w:color w:val="000000" w:themeColor="text1"/>
          <w:lang w:val="es-ES"/>
        </w:rPr>
        <w:t xml:space="preserve">Ley relativa al sistema de áreas protegidas (Belice, </w:t>
      </w:r>
      <w:r w:rsidRPr="006D3772">
        <w:rPr>
          <w:lang w:val="es-ES"/>
        </w:rPr>
        <w:t>Côte d’Ivoire)</w:t>
      </w:r>
    </w:p>
    <w:p w14:paraId="6EB274B1" w14:textId="77777777" w:rsidR="00DB27FE" w:rsidRPr="006D3772" w:rsidRDefault="00DB27FE" w:rsidP="00DB27FE">
      <w:pPr>
        <w:numPr>
          <w:ilvl w:val="1"/>
          <w:numId w:val="36"/>
        </w:numPr>
        <w:rPr>
          <w:lang w:val="es-ES"/>
        </w:rPr>
      </w:pPr>
      <w:r w:rsidRPr="006D3772">
        <w:rPr>
          <w:lang w:val="es-ES"/>
        </w:rPr>
        <w:t>Decreto Ley del Sistema Nacional de Áreas Protegidas (Cuba)</w:t>
      </w:r>
    </w:p>
    <w:p w14:paraId="4F339B5E" w14:textId="77777777" w:rsidR="00DB27FE" w:rsidRPr="006D3772" w:rsidRDefault="00DB27FE" w:rsidP="00DB27FE">
      <w:pPr>
        <w:numPr>
          <w:ilvl w:val="1"/>
          <w:numId w:val="36"/>
        </w:numPr>
        <w:rPr>
          <w:color w:val="000000" w:themeColor="text1"/>
          <w:lang w:val="es-ES"/>
        </w:rPr>
      </w:pPr>
      <w:r w:rsidRPr="006D3772">
        <w:rPr>
          <w:color w:val="000000" w:themeColor="text1"/>
          <w:lang w:val="es-ES"/>
        </w:rPr>
        <w:t>Ley sobre el Sistema Nacional de Unidades de Conservación de la Naturaleza (Brasil)</w:t>
      </w:r>
    </w:p>
    <w:p w14:paraId="09DC42BD" w14:textId="77777777" w:rsidR="00DB27FE" w:rsidRPr="006D3772" w:rsidRDefault="00DB27FE" w:rsidP="00DB27FE">
      <w:pPr>
        <w:numPr>
          <w:ilvl w:val="1"/>
          <w:numId w:val="36"/>
        </w:numPr>
        <w:rPr>
          <w:color w:val="000000" w:themeColor="text1"/>
          <w:lang w:val="es-ES"/>
        </w:rPr>
      </w:pPr>
      <w:r w:rsidRPr="006D3772">
        <w:rPr>
          <w:color w:val="000000" w:themeColor="text1"/>
          <w:lang w:val="es-ES"/>
        </w:rPr>
        <w:t>Directiva Natura 2000 en la Unión Europea</w:t>
      </w:r>
    </w:p>
    <w:p w14:paraId="61F8FB1D" w14:textId="77777777" w:rsidR="00DB27FE" w:rsidRPr="006D3772" w:rsidRDefault="00DB27FE" w:rsidP="00DB27FE">
      <w:pPr>
        <w:numPr>
          <w:ilvl w:val="1"/>
          <w:numId w:val="36"/>
        </w:numPr>
        <w:rPr>
          <w:color w:val="000000" w:themeColor="text1"/>
          <w:lang w:val="es-ES"/>
        </w:rPr>
      </w:pPr>
      <w:r w:rsidRPr="006D3772">
        <w:rPr>
          <w:color w:val="000000" w:themeColor="text1"/>
          <w:lang w:val="es-ES"/>
        </w:rPr>
        <w:t xml:space="preserve">Ley de Restauración de la Naturaleza – cláusulas especiales para los humedales y la rehumidificación (Côte d’Ivoire) </w:t>
      </w:r>
    </w:p>
    <w:p w14:paraId="27C6790E" w14:textId="77777777" w:rsidR="00DB27FE" w:rsidRPr="00D13AAF" w:rsidRDefault="00DB27FE" w:rsidP="00DB27FE">
      <w:pPr>
        <w:numPr>
          <w:ilvl w:val="1"/>
          <w:numId w:val="36"/>
        </w:numPr>
        <w:rPr>
          <w:lang w:val="fr-FR"/>
        </w:rPr>
      </w:pPr>
      <w:r w:rsidRPr="00D13AAF">
        <w:rPr>
          <w:i/>
          <w:iCs/>
          <w:lang w:val="fr-FR"/>
        </w:rPr>
        <w:t xml:space="preserve">Loi sur la </w:t>
      </w:r>
      <w:r w:rsidRPr="00D13AAF">
        <w:rPr>
          <w:i/>
          <w:iCs/>
          <w:color w:val="000000" w:themeColor="text1"/>
          <w:lang w:val="fr-FR"/>
        </w:rPr>
        <w:t xml:space="preserve">conservation </w:t>
      </w:r>
      <w:r w:rsidRPr="00D13AAF">
        <w:rPr>
          <w:i/>
          <w:iCs/>
          <w:lang w:val="fr-FR"/>
        </w:rPr>
        <w:t>du patrimoine naturel</w:t>
      </w:r>
      <w:r w:rsidRPr="00D13AAF">
        <w:rPr>
          <w:lang w:val="fr-FR"/>
        </w:rPr>
        <w:t xml:space="preserve"> (Quebec, Canadá)</w:t>
      </w:r>
    </w:p>
    <w:p w14:paraId="041EC8AF" w14:textId="77777777" w:rsidR="00DB27FE" w:rsidRPr="006D3772" w:rsidRDefault="00DB27FE" w:rsidP="00DB27FE">
      <w:pPr>
        <w:numPr>
          <w:ilvl w:val="0"/>
          <w:numId w:val="36"/>
        </w:numPr>
        <w:rPr>
          <w:lang w:val="es-ES"/>
        </w:rPr>
      </w:pPr>
      <w:r w:rsidRPr="006D3772">
        <w:rPr>
          <w:lang w:val="es-ES"/>
        </w:rPr>
        <w:t>Áreas protegidas indígenas</w:t>
      </w:r>
    </w:p>
    <w:p w14:paraId="2C0596B3" w14:textId="75EE34C7" w:rsidR="00DB27FE" w:rsidRPr="00D13AAF" w:rsidRDefault="00DB27FE" w:rsidP="00DB27FE">
      <w:pPr>
        <w:numPr>
          <w:ilvl w:val="1"/>
          <w:numId w:val="36"/>
        </w:numPr>
        <w:rPr>
          <w:lang w:val="fr-FR"/>
        </w:rPr>
      </w:pPr>
      <w:r w:rsidRPr="00D13AAF">
        <w:rPr>
          <w:lang w:val="fr-FR"/>
        </w:rPr>
        <w:t>Quebec</w:t>
      </w:r>
      <w:r w:rsidR="00F47D70" w:rsidRPr="00D13AAF">
        <w:rPr>
          <w:lang w:val="fr-FR"/>
        </w:rPr>
        <w:t xml:space="preserve"> (</w:t>
      </w:r>
      <w:r w:rsidRPr="00D13AAF">
        <w:rPr>
          <w:lang w:val="fr-FR"/>
        </w:rPr>
        <w:t>Canadá</w:t>
      </w:r>
      <w:r w:rsidR="00F47D70" w:rsidRPr="00D13AAF">
        <w:rPr>
          <w:lang w:val="fr-FR"/>
        </w:rPr>
        <w:t>)</w:t>
      </w:r>
      <w:r w:rsidRPr="00D13AAF">
        <w:rPr>
          <w:lang w:val="fr-FR"/>
        </w:rPr>
        <w:t xml:space="preserve">: </w:t>
      </w:r>
      <w:r w:rsidRPr="00D13AAF">
        <w:rPr>
          <w:i/>
          <w:iCs/>
          <w:lang w:val="fr-FR"/>
        </w:rPr>
        <w:t>aire protégée d’initiative autochtone</w:t>
      </w:r>
    </w:p>
    <w:p w14:paraId="6D73228C" w14:textId="77777777" w:rsidR="00DB27FE" w:rsidRPr="00D13AAF" w:rsidRDefault="00DB27FE" w:rsidP="00DB27FE">
      <w:pPr>
        <w:numPr>
          <w:ilvl w:val="1"/>
          <w:numId w:val="36"/>
        </w:numPr>
        <w:rPr>
          <w:lang w:val="fr-FR"/>
        </w:rPr>
      </w:pPr>
      <w:r w:rsidRPr="00D13AAF">
        <w:rPr>
          <w:lang w:val="fr-FR"/>
        </w:rPr>
        <w:t xml:space="preserve">Nueva Zelandia: </w:t>
      </w:r>
      <w:r w:rsidRPr="00D13AAF">
        <w:rPr>
          <w:i/>
          <w:iCs/>
          <w:lang w:val="fr-FR"/>
        </w:rPr>
        <w:t>Ngā Whenua Rāhui Kawenata</w:t>
      </w:r>
    </w:p>
    <w:p w14:paraId="750146AC" w14:textId="77777777" w:rsidR="00DB27FE" w:rsidRPr="006D3772" w:rsidRDefault="00DB27FE" w:rsidP="00DB27FE">
      <w:pPr>
        <w:numPr>
          <w:ilvl w:val="0"/>
          <w:numId w:val="36"/>
        </w:numPr>
        <w:rPr>
          <w:lang w:val="es-ES"/>
        </w:rPr>
      </w:pPr>
      <w:r w:rsidRPr="006D3772">
        <w:rPr>
          <w:lang w:val="es-ES"/>
        </w:rPr>
        <w:t>Reservas naturales de carácter privado</w:t>
      </w:r>
    </w:p>
    <w:p w14:paraId="4D013164" w14:textId="77777777" w:rsidR="00DB27FE" w:rsidRPr="006D3772" w:rsidRDefault="00DB27FE" w:rsidP="00DB27FE">
      <w:pPr>
        <w:rPr>
          <w:lang w:val="es-ES"/>
        </w:rPr>
      </w:pPr>
    </w:p>
    <w:p w14:paraId="41D09B60" w14:textId="77777777" w:rsidR="00DB27FE" w:rsidRPr="006D3772" w:rsidRDefault="00DB27FE" w:rsidP="00DB27FE">
      <w:pPr>
        <w:rPr>
          <w:b/>
          <w:color w:val="000000" w:themeColor="text1"/>
          <w:lang w:val="es-ES"/>
        </w:rPr>
      </w:pPr>
      <w:r w:rsidRPr="006D3772">
        <w:rPr>
          <w:b/>
          <w:color w:val="000000" w:themeColor="text1"/>
          <w:lang w:val="es-ES"/>
        </w:rPr>
        <w:t>Normas prescriptivas</w:t>
      </w:r>
    </w:p>
    <w:p w14:paraId="7AE587BD" w14:textId="77777777" w:rsidR="00DB27FE" w:rsidRPr="006D3772" w:rsidRDefault="00DB27FE" w:rsidP="00DB27FE">
      <w:pPr>
        <w:numPr>
          <w:ilvl w:val="0"/>
          <w:numId w:val="36"/>
        </w:numPr>
        <w:rPr>
          <w:lang w:val="es-ES"/>
        </w:rPr>
      </w:pPr>
      <w:r w:rsidRPr="006D3772">
        <w:rPr>
          <w:lang w:val="es-ES"/>
        </w:rPr>
        <w:t xml:space="preserve">Regímenes de permisos </w:t>
      </w:r>
    </w:p>
    <w:p w14:paraId="52956401" w14:textId="77777777" w:rsidR="00DB27FE" w:rsidRPr="006D3772" w:rsidRDefault="00DB27FE" w:rsidP="00DB27FE">
      <w:pPr>
        <w:numPr>
          <w:ilvl w:val="1"/>
          <w:numId w:val="36"/>
        </w:numPr>
        <w:rPr>
          <w:color w:val="000000" w:themeColor="text1"/>
          <w:lang w:val="es-ES"/>
        </w:rPr>
      </w:pPr>
      <w:r w:rsidRPr="006D3772">
        <w:rPr>
          <w:color w:val="000000" w:themeColor="text1"/>
          <w:lang w:val="es-ES"/>
        </w:rPr>
        <w:t>“No pérdida neta” (en más de 80 países) / compensaciones de biodiversidad</w:t>
      </w:r>
    </w:p>
    <w:p w14:paraId="482A6E6D" w14:textId="77777777" w:rsidR="00DB27FE" w:rsidRPr="006D3772" w:rsidRDefault="00DB27FE" w:rsidP="00DB27FE">
      <w:pPr>
        <w:numPr>
          <w:ilvl w:val="1"/>
          <w:numId w:val="36"/>
        </w:numPr>
        <w:rPr>
          <w:lang w:val="es-ES"/>
        </w:rPr>
      </w:pPr>
      <w:r w:rsidRPr="006D3772">
        <w:rPr>
          <w:lang w:val="es-ES"/>
        </w:rPr>
        <w:t xml:space="preserve">“No pérdida” de humedales de importancia provincial con la declaración de política provincial o </w:t>
      </w:r>
      <w:r w:rsidRPr="006D3772">
        <w:rPr>
          <w:i/>
          <w:iCs/>
          <w:lang w:val="es-ES"/>
        </w:rPr>
        <w:t>Provincial Policy Statement</w:t>
      </w:r>
      <w:r w:rsidRPr="006D3772">
        <w:rPr>
          <w:lang w:val="es-ES"/>
        </w:rPr>
        <w:t xml:space="preserve"> (Ontario, Canadá)</w:t>
      </w:r>
    </w:p>
    <w:p w14:paraId="1EDB334D" w14:textId="77777777" w:rsidR="00DB27FE" w:rsidRPr="006D3772" w:rsidRDefault="00DB27FE" w:rsidP="00DB27FE">
      <w:pPr>
        <w:numPr>
          <w:ilvl w:val="1"/>
          <w:numId w:val="36"/>
        </w:numPr>
        <w:rPr>
          <w:lang w:val="es-ES"/>
        </w:rPr>
      </w:pPr>
      <w:r w:rsidRPr="006D3772">
        <w:rPr>
          <w:lang w:val="es-ES"/>
        </w:rPr>
        <w:t>Planificación de zonas urbanas y rurales (p. ej., Barbados, Jamaica)</w:t>
      </w:r>
    </w:p>
    <w:p w14:paraId="5A4BD36F" w14:textId="77777777" w:rsidR="00DB27FE" w:rsidRPr="006D3772" w:rsidRDefault="00DB27FE" w:rsidP="00DB27FE">
      <w:pPr>
        <w:numPr>
          <w:ilvl w:val="1"/>
          <w:numId w:val="36"/>
        </w:numPr>
        <w:rPr>
          <w:lang w:val="es-ES"/>
        </w:rPr>
      </w:pPr>
      <w:r w:rsidRPr="006D3772">
        <w:rPr>
          <w:lang w:val="es-ES"/>
        </w:rPr>
        <w:t xml:space="preserve">Ley del Agua o </w:t>
      </w:r>
      <w:r w:rsidRPr="006D3772">
        <w:rPr>
          <w:i/>
          <w:iCs/>
          <w:lang w:val="es-ES"/>
        </w:rPr>
        <w:t>Water Act</w:t>
      </w:r>
      <w:r w:rsidRPr="006D3772">
        <w:rPr>
          <w:lang w:val="es-ES"/>
        </w:rPr>
        <w:t xml:space="preserve"> (Alberta, Canadá)</w:t>
      </w:r>
    </w:p>
    <w:p w14:paraId="29FB2796" w14:textId="77777777" w:rsidR="00DB27FE" w:rsidRPr="006D3772" w:rsidRDefault="00DB27FE" w:rsidP="00DB27FE">
      <w:pPr>
        <w:numPr>
          <w:ilvl w:val="1"/>
          <w:numId w:val="36"/>
        </w:numPr>
        <w:rPr>
          <w:lang w:val="es-ES"/>
        </w:rPr>
      </w:pPr>
      <w:r w:rsidRPr="006D3772">
        <w:rPr>
          <w:lang w:val="es-ES"/>
        </w:rPr>
        <w:t xml:space="preserve">Ganancia neta o </w:t>
      </w:r>
      <w:r w:rsidRPr="006D3772">
        <w:rPr>
          <w:i/>
          <w:iCs/>
          <w:lang w:val="es-ES"/>
        </w:rPr>
        <w:t>Net gain</w:t>
      </w:r>
      <w:r w:rsidRPr="006D3772">
        <w:rPr>
          <w:lang w:val="es-ES"/>
        </w:rPr>
        <w:t xml:space="preserve"> (Reino Unido) </w:t>
      </w:r>
    </w:p>
    <w:p w14:paraId="232A6C4D" w14:textId="77777777" w:rsidR="00DB27FE" w:rsidRPr="006D3772" w:rsidRDefault="00DB27FE" w:rsidP="00DB27FE">
      <w:pPr>
        <w:numPr>
          <w:ilvl w:val="0"/>
          <w:numId w:val="36"/>
        </w:numPr>
        <w:rPr>
          <w:lang w:val="es-ES"/>
        </w:rPr>
      </w:pPr>
      <w:r w:rsidRPr="006D3772">
        <w:rPr>
          <w:lang w:val="es-ES"/>
        </w:rPr>
        <w:t>Prohibiciones</w:t>
      </w:r>
    </w:p>
    <w:p w14:paraId="2D899267" w14:textId="77777777" w:rsidR="00DB27FE" w:rsidRPr="006D3772" w:rsidRDefault="00DB27FE" w:rsidP="00DB27FE">
      <w:pPr>
        <w:numPr>
          <w:ilvl w:val="1"/>
          <w:numId w:val="36"/>
        </w:numPr>
        <w:rPr>
          <w:lang w:val="es-ES"/>
        </w:rPr>
      </w:pPr>
      <w:r w:rsidRPr="006D3772">
        <w:rPr>
          <w:lang w:val="es-ES"/>
        </w:rPr>
        <w:t>Prohibiciones de plásticos de un solo uso (12 países del Caribe)</w:t>
      </w:r>
    </w:p>
    <w:p w14:paraId="11C23763" w14:textId="77777777" w:rsidR="00DB27FE" w:rsidRPr="006D3772" w:rsidRDefault="00DB27FE" w:rsidP="00DB27FE">
      <w:pPr>
        <w:numPr>
          <w:ilvl w:val="1"/>
          <w:numId w:val="36"/>
        </w:numPr>
        <w:rPr>
          <w:lang w:val="es-ES"/>
        </w:rPr>
      </w:pPr>
      <w:r w:rsidRPr="006D3772">
        <w:rPr>
          <w:lang w:val="es-ES"/>
        </w:rPr>
        <w:t>Prohibición de la crema de protección solar (</w:t>
      </w:r>
      <w:r w:rsidRPr="006D3772">
        <w:rPr>
          <w:color w:val="000000" w:themeColor="text1"/>
          <w:lang w:val="es-ES"/>
        </w:rPr>
        <w:t>Hawái</w:t>
      </w:r>
      <w:r w:rsidRPr="006D3772">
        <w:rPr>
          <w:lang w:val="es-ES"/>
        </w:rPr>
        <w:t>)</w:t>
      </w:r>
    </w:p>
    <w:p w14:paraId="62D38CC1" w14:textId="77777777" w:rsidR="00DB27FE" w:rsidRPr="006D3772" w:rsidRDefault="00DB27FE" w:rsidP="00DB27FE">
      <w:pPr>
        <w:numPr>
          <w:ilvl w:val="1"/>
          <w:numId w:val="36"/>
        </w:numPr>
        <w:rPr>
          <w:lang w:val="es-ES"/>
        </w:rPr>
      </w:pPr>
      <w:r w:rsidRPr="006D3772">
        <w:rPr>
          <w:i/>
          <w:iCs/>
          <w:color w:val="000000" w:themeColor="text1"/>
          <w:lang w:val="es-ES"/>
        </w:rPr>
        <w:t>Peat exit plan</w:t>
      </w:r>
      <w:r w:rsidRPr="006D3772">
        <w:rPr>
          <w:lang w:val="es-ES"/>
        </w:rPr>
        <w:t>, plan para reducir el uso de turba (Suiza)</w:t>
      </w:r>
    </w:p>
    <w:p w14:paraId="68CBC65E" w14:textId="77777777" w:rsidR="00DB27FE" w:rsidRPr="006D3772" w:rsidRDefault="00DB27FE" w:rsidP="00DB27FE">
      <w:pPr>
        <w:numPr>
          <w:ilvl w:val="1"/>
          <w:numId w:val="36"/>
        </w:numPr>
        <w:rPr>
          <w:lang w:val="es-ES"/>
        </w:rPr>
      </w:pPr>
      <w:r w:rsidRPr="006D3772">
        <w:rPr>
          <w:lang w:val="es-ES"/>
        </w:rPr>
        <w:t>Greenbelt Act (Ontario)</w:t>
      </w:r>
    </w:p>
    <w:p w14:paraId="6C85E075" w14:textId="77777777" w:rsidR="00DB27FE" w:rsidRPr="006D3772" w:rsidRDefault="00DB27FE" w:rsidP="00DB27FE">
      <w:pPr>
        <w:numPr>
          <w:ilvl w:val="0"/>
          <w:numId w:val="36"/>
        </w:numPr>
        <w:rPr>
          <w:lang w:val="es-ES"/>
        </w:rPr>
      </w:pPr>
      <w:r w:rsidRPr="006D3772">
        <w:rPr>
          <w:lang w:val="es-ES"/>
        </w:rPr>
        <w:t>Límites sobre la calidad del agua</w:t>
      </w:r>
    </w:p>
    <w:p w14:paraId="6700E050" w14:textId="77777777" w:rsidR="00DB27FE" w:rsidRPr="006D3772" w:rsidRDefault="00DB27FE" w:rsidP="00DB27FE">
      <w:pPr>
        <w:numPr>
          <w:ilvl w:val="1"/>
          <w:numId w:val="36"/>
        </w:numPr>
        <w:rPr>
          <w:lang w:val="es-ES"/>
        </w:rPr>
      </w:pPr>
      <w:r w:rsidRPr="006D3772">
        <w:rPr>
          <w:lang w:val="es-ES"/>
        </w:rPr>
        <w:t xml:space="preserve">P. ej., Normas o planes sobre la calidad de las aguas superficiales </w:t>
      </w:r>
    </w:p>
    <w:p w14:paraId="27AA47FD" w14:textId="77777777" w:rsidR="00DB27FE" w:rsidRPr="006D3772" w:rsidRDefault="00DB27FE" w:rsidP="00DB27FE">
      <w:pPr>
        <w:numPr>
          <w:ilvl w:val="0"/>
          <w:numId w:val="36"/>
        </w:numPr>
        <w:rPr>
          <w:lang w:val="es-ES"/>
        </w:rPr>
      </w:pPr>
      <w:r w:rsidRPr="006D3772">
        <w:rPr>
          <w:lang w:val="es-ES"/>
        </w:rPr>
        <w:t>Caudales ecológicos mínimos</w:t>
      </w:r>
    </w:p>
    <w:p w14:paraId="4A98701A" w14:textId="77777777" w:rsidR="00DB27FE" w:rsidRPr="006D3772" w:rsidRDefault="00DB27FE" w:rsidP="00DB27FE">
      <w:pPr>
        <w:numPr>
          <w:ilvl w:val="1"/>
          <w:numId w:val="36"/>
        </w:numPr>
        <w:rPr>
          <w:lang w:val="es-ES"/>
        </w:rPr>
      </w:pPr>
      <w:r w:rsidRPr="006D3772">
        <w:rPr>
          <w:color w:val="000000" w:themeColor="text1"/>
          <w:lang w:val="es-ES"/>
        </w:rPr>
        <w:t>México</w:t>
      </w:r>
      <w:r w:rsidRPr="006D3772">
        <w:rPr>
          <w:lang w:val="es-ES"/>
        </w:rPr>
        <w:t>: Norma Mexicana de Caudal Ecológico (Resolución XII.12)</w:t>
      </w:r>
    </w:p>
    <w:p w14:paraId="55118251" w14:textId="77777777" w:rsidR="00DB27FE" w:rsidRPr="006D3772" w:rsidRDefault="00DB27FE" w:rsidP="00DB27FE">
      <w:pPr>
        <w:numPr>
          <w:ilvl w:val="1"/>
          <w:numId w:val="36"/>
        </w:numPr>
        <w:rPr>
          <w:lang w:val="es-ES"/>
        </w:rPr>
      </w:pPr>
      <w:r w:rsidRPr="006D3772">
        <w:rPr>
          <w:lang w:val="es-ES"/>
        </w:rPr>
        <w:t xml:space="preserve">Australia: </w:t>
      </w:r>
      <w:r w:rsidRPr="006D3772">
        <w:rPr>
          <w:i/>
          <w:iCs/>
          <w:lang w:val="es-ES"/>
        </w:rPr>
        <w:t>Water sharing plans</w:t>
      </w:r>
      <w:r w:rsidRPr="006D3772">
        <w:rPr>
          <w:lang w:val="es-ES"/>
        </w:rPr>
        <w:t xml:space="preserve"> (reglas para compartir el agua entre los usuarios y el medio ambiente)</w:t>
      </w:r>
    </w:p>
    <w:p w14:paraId="1BC13458" w14:textId="77777777" w:rsidR="00DB27FE" w:rsidRPr="006D3772" w:rsidRDefault="00DB27FE" w:rsidP="00DB27FE">
      <w:pPr>
        <w:rPr>
          <w:lang w:val="es-ES"/>
        </w:rPr>
      </w:pPr>
    </w:p>
    <w:p w14:paraId="5E01E26B" w14:textId="77777777" w:rsidR="00DB27FE" w:rsidRPr="006D3772" w:rsidRDefault="00DB27FE" w:rsidP="00DB27FE">
      <w:pPr>
        <w:rPr>
          <w:b/>
          <w:lang w:val="es-ES"/>
        </w:rPr>
      </w:pPr>
      <w:r w:rsidRPr="006D3772">
        <w:rPr>
          <w:b/>
          <w:lang w:val="es-ES"/>
        </w:rPr>
        <w:t>Sanciones y pagos</w:t>
      </w:r>
    </w:p>
    <w:p w14:paraId="09580388" w14:textId="09406B6A" w:rsidR="00DB27FE" w:rsidRPr="006D3772" w:rsidRDefault="00DB27FE" w:rsidP="00DB27FE">
      <w:pPr>
        <w:numPr>
          <w:ilvl w:val="0"/>
          <w:numId w:val="36"/>
        </w:numPr>
        <w:rPr>
          <w:lang w:val="es-ES"/>
        </w:rPr>
      </w:pPr>
      <w:r w:rsidRPr="006D3772">
        <w:rPr>
          <w:lang w:val="es-ES"/>
        </w:rPr>
        <w:t>Sanciones:</w:t>
      </w:r>
    </w:p>
    <w:p w14:paraId="108C3806" w14:textId="77777777" w:rsidR="00DB27FE" w:rsidRPr="006D3772" w:rsidRDefault="00DB27FE" w:rsidP="00DB27FE">
      <w:pPr>
        <w:numPr>
          <w:ilvl w:val="1"/>
          <w:numId w:val="36"/>
        </w:numPr>
        <w:rPr>
          <w:lang w:val="es-ES"/>
        </w:rPr>
      </w:pPr>
      <w:r w:rsidRPr="006D3772">
        <w:rPr>
          <w:lang w:val="es-ES"/>
        </w:rPr>
        <w:t>Pérdida de subvenciones agrícolas</w:t>
      </w:r>
    </w:p>
    <w:p w14:paraId="6E4DF9D2" w14:textId="77777777" w:rsidR="00DB27FE" w:rsidRPr="006D3772" w:rsidRDefault="00DB27FE" w:rsidP="00DB27FE">
      <w:pPr>
        <w:numPr>
          <w:ilvl w:val="0"/>
          <w:numId w:val="36"/>
        </w:numPr>
        <w:rPr>
          <w:lang w:val="es-ES"/>
        </w:rPr>
      </w:pPr>
      <w:r w:rsidRPr="006D3772">
        <w:rPr>
          <w:lang w:val="es-ES"/>
        </w:rPr>
        <w:t>Pagos:</w:t>
      </w:r>
    </w:p>
    <w:p w14:paraId="4075DD9B" w14:textId="2D29CD86" w:rsidR="00DB27FE" w:rsidRPr="006D3772" w:rsidRDefault="00DB27FE" w:rsidP="00DB27FE">
      <w:pPr>
        <w:numPr>
          <w:ilvl w:val="1"/>
          <w:numId w:val="36"/>
        </w:numPr>
        <w:rPr>
          <w:lang w:val="es-ES"/>
        </w:rPr>
      </w:pPr>
      <w:r w:rsidRPr="006D3772">
        <w:rPr>
          <w:color w:val="000000" w:themeColor="text1"/>
          <w:lang w:val="es-ES"/>
        </w:rPr>
        <w:t xml:space="preserve">Swampbuster (Estados </w:t>
      </w:r>
      <w:r w:rsidRPr="006D3772">
        <w:rPr>
          <w:lang w:val="es-ES"/>
        </w:rPr>
        <w:t>Unidos)</w:t>
      </w:r>
    </w:p>
    <w:p w14:paraId="04C367F1" w14:textId="1A1E1E76" w:rsidR="00DB27FE" w:rsidRPr="006D3772" w:rsidRDefault="00DB27FE" w:rsidP="00DB27FE">
      <w:pPr>
        <w:numPr>
          <w:ilvl w:val="1"/>
          <w:numId w:val="36"/>
        </w:numPr>
        <w:rPr>
          <w:lang w:val="es-ES"/>
        </w:rPr>
      </w:pPr>
      <w:r w:rsidRPr="006D3772">
        <w:rPr>
          <w:lang w:val="es-ES"/>
        </w:rPr>
        <w:t>Proyectos de restauración con costos compartidos</w:t>
      </w:r>
    </w:p>
    <w:p w14:paraId="577739DA" w14:textId="77777777" w:rsidR="00DB27FE" w:rsidRPr="006D3772" w:rsidRDefault="00DB27FE" w:rsidP="00DB27FE">
      <w:pPr>
        <w:numPr>
          <w:ilvl w:val="2"/>
          <w:numId w:val="36"/>
        </w:numPr>
        <w:rPr>
          <w:lang w:val="es-ES"/>
        </w:rPr>
      </w:pPr>
      <w:r w:rsidRPr="006D3772">
        <w:rPr>
          <w:lang w:val="es-ES"/>
        </w:rPr>
        <w:lastRenderedPageBreak/>
        <w:t>Wetlands Reserve Program (Estados Unidos)</w:t>
      </w:r>
    </w:p>
    <w:p w14:paraId="13F34DF8" w14:textId="77777777" w:rsidR="00DB27FE" w:rsidRPr="006D3772" w:rsidRDefault="00DB27FE" w:rsidP="00DB27FE">
      <w:pPr>
        <w:numPr>
          <w:ilvl w:val="2"/>
          <w:numId w:val="36"/>
        </w:numPr>
        <w:rPr>
          <w:lang w:val="es-ES"/>
        </w:rPr>
      </w:pPr>
      <w:r w:rsidRPr="006D3772">
        <w:rPr>
          <w:lang w:val="es-ES"/>
        </w:rPr>
        <w:t>LIFE, Política Agrícola Común 2023-2027 (Unión Europea)</w:t>
      </w:r>
    </w:p>
    <w:p w14:paraId="7802DA8A" w14:textId="1BBF7880" w:rsidR="00DB27FE" w:rsidRPr="006D3772" w:rsidRDefault="00DB27FE" w:rsidP="00DB27FE">
      <w:pPr>
        <w:numPr>
          <w:ilvl w:val="1"/>
          <w:numId w:val="36"/>
        </w:numPr>
        <w:rPr>
          <w:lang w:val="es-ES"/>
        </w:rPr>
      </w:pPr>
      <w:r w:rsidRPr="006D3772">
        <w:rPr>
          <w:lang w:val="es-ES"/>
        </w:rPr>
        <w:t>Deducciones fiscales o créditos</w:t>
      </w:r>
    </w:p>
    <w:p w14:paraId="2086C9DC" w14:textId="77777777" w:rsidR="00DB27FE" w:rsidRPr="006D3772" w:rsidRDefault="00DB27FE" w:rsidP="00DB27FE">
      <w:pPr>
        <w:numPr>
          <w:ilvl w:val="2"/>
          <w:numId w:val="36"/>
        </w:numPr>
        <w:rPr>
          <w:lang w:val="es-ES"/>
        </w:rPr>
      </w:pPr>
      <w:r w:rsidRPr="006D3772">
        <w:rPr>
          <w:lang w:val="es-ES"/>
        </w:rPr>
        <w:t>Sudáfrica</w:t>
      </w:r>
    </w:p>
    <w:p w14:paraId="6DFABBC9" w14:textId="77777777" w:rsidR="00DB27FE" w:rsidRPr="006D3772" w:rsidRDefault="00DB27FE" w:rsidP="00DB27FE">
      <w:pPr>
        <w:numPr>
          <w:ilvl w:val="2"/>
          <w:numId w:val="36"/>
        </w:numPr>
        <w:rPr>
          <w:lang w:val="es-ES"/>
        </w:rPr>
      </w:pPr>
      <w:r w:rsidRPr="006D3772">
        <w:rPr>
          <w:lang w:val="es-ES"/>
        </w:rPr>
        <w:t>Australia</w:t>
      </w:r>
    </w:p>
    <w:p w14:paraId="4702F712" w14:textId="77777777" w:rsidR="00DB27FE" w:rsidRPr="006D3772" w:rsidRDefault="00DB27FE" w:rsidP="00DB27FE">
      <w:pPr>
        <w:numPr>
          <w:ilvl w:val="1"/>
          <w:numId w:val="36"/>
        </w:numPr>
        <w:rPr>
          <w:lang w:val="es-ES"/>
        </w:rPr>
      </w:pPr>
      <w:r w:rsidRPr="006D3772">
        <w:rPr>
          <w:lang w:val="es-ES"/>
        </w:rPr>
        <w:t>Mercados internacionales de carbono/Norma de Carbono Verificado (VCS)</w:t>
      </w:r>
    </w:p>
    <w:p w14:paraId="57CD3A57" w14:textId="77777777" w:rsidR="00DB27FE" w:rsidRPr="006D3772" w:rsidRDefault="00DB27FE" w:rsidP="00DB27FE">
      <w:pPr>
        <w:numPr>
          <w:ilvl w:val="1"/>
          <w:numId w:val="36"/>
        </w:numPr>
        <w:rPr>
          <w:lang w:val="es-ES"/>
        </w:rPr>
      </w:pPr>
      <w:r w:rsidRPr="006D3772">
        <w:rPr>
          <w:lang w:val="es-ES"/>
        </w:rPr>
        <w:t xml:space="preserve">Estados Unidos, </w:t>
      </w:r>
      <w:r w:rsidRPr="0037352F">
        <w:rPr>
          <w:i/>
          <w:iCs/>
          <w:lang w:val="es-ES"/>
        </w:rPr>
        <w:t>US National Wetland Mitigation Banking Program</w:t>
      </w:r>
      <w:r w:rsidRPr="006D3772">
        <w:rPr>
          <w:lang w:val="es-ES"/>
        </w:rPr>
        <w:t xml:space="preserve"> (bancos de mitigación)</w:t>
      </w:r>
    </w:p>
    <w:p w14:paraId="7743FC69" w14:textId="77777777" w:rsidR="00DB27FE" w:rsidRPr="006D3772" w:rsidRDefault="00DB27FE" w:rsidP="00DB27FE">
      <w:pPr>
        <w:rPr>
          <w:lang w:val="es-ES"/>
        </w:rPr>
      </w:pPr>
    </w:p>
    <w:p w14:paraId="06373C10" w14:textId="77777777" w:rsidR="00DB27FE" w:rsidRPr="006D3772" w:rsidRDefault="00DB27FE" w:rsidP="00DB27FE">
      <w:pPr>
        <w:rPr>
          <w:b/>
          <w:color w:val="000000" w:themeColor="text1"/>
          <w:lang w:val="es-ES"/>
        </w:rPr>
      </w:pPr>
      <w:r w:rsidRPr="006D3772">
        <w:rPr>
          <w:b/>
          <w:color w:val="000000" w:themeColor="text1"/>
          <w:lang w:val="es-ES"/>
        </w:rPr>
        <w:t>Medidas persuasivas</w:t>
      </w:r>
    </w:p>
    <w:p w14:paraId="1007E54B" w14:textId="77777777" w:rsidR="00DB27FE" w:rsidRPr="006D3772" w:rsidRDefault="00DB27FE" w:rsidP="00DB27FE">
      <w:pPr>
        <w:numPr>
          <w:ilvl w:val="0"/>
          <w:numId w:val="36"/>
        </w:numPr>
        <w:rPr>
          <w:color w:val="000000" w:themeColor="text1"/>
          <w:lang w:val="es-ES"/>
        </w:rPr>
      </w:pPr>
      <w:r w:rsidRPr="006D3772">
        <w:rPr>
          <w:color w:val="000000" w:themeColor="text1"/>
          <w:lang w:val="es-ES"/>
        </w:rPr>
        <w:t>Legislación sobre evaluaciones de impacto ambiental</w:t>
      </w:r>
    </w:p>
    <w:p w14:paraId="19F4198F" w14:textId="77777777" w:rsidR="00DB27FE" w:rsidRPr="006D3772" w:rsidRDefault="00DB27FE" w:rsidP="00DB27FE">
      <w:pPr>
        <w:numPr>
          <w:ilvl w:val="0"/>
          <w:numId w:val="36"/>
        </w:numPr>
        <w:rPr>
          <w:color w:val="000000" w:themeColor="text1"/>
          <w:lang w:val="es-ES"/>
        </w:rPr>
      </w:pPr>
      <w:r w:rsidRPr="006D3772">
        <w:rPr>
          <w:color w:val="000000" w:themeColor="text1"/>
          <w:lang w:val="es-ES"/>
        </w:rPr>
        <w:t xml:space="preserve">Leyes </w:t>
      </w:r>
      <w:r w:rsidRPr="006D3772">
        <w:rPr>
          <w:i/>
          <w:iCs/>
          <w:color w:val="000000" w:themeColor="text1"/>
          <w:lang w:val="es-ES"/>
        </w:rPr>
        <w:t>Right to Know</w:t>
      </w:r>
      <w:r w:rsidRPr="006D3772">
        <w:rPr>
          <w:color w:val="000000" w:themeColor="text1"/>
          <w:lang w:val="es-ES"/>
        </w:rPr>
        <w:t>, sobre el derecho de la ciudadanía a la información pública</w:t>
      </w:r>
    </w:p>
    <w:p w14:paraId="448535FA" w14:textId="77777777" w:rsidR="00DB27FE" w:rsidRPr="006D3772" w:rsidRDefault="00DB27FE" w:rsidP="00DB27FE">
      <w:pPr>
        <w:numPr>
          <w:ilvl w:val="1"/>
          <w:numId w:val="36"/>
        </w:numPr>
        <w:rPr>
          <w:color w:val="000000" w:themeColor="text1"/>
          <w:lang w:val="es-ES"/>
        </w:rPr>
      </w:pPr>
      <w:r w:rsidRPr="0037352F">
        <w:rPr>
          <w:i/>
          <w:iCs/>
          <w:color w:val="000000" w:themeColor="text1"/>
          <w:lang w:val="es-ES"/>
        </w:rPr>
        <w:t>Toxics Release Inventory</w:t>
      </w:r>
      <w:r w:rsidRPr="006D3772">
        <w:rPr>
          <w:color w:val="000000" w:themeColor="text1"/>
          <w:lang w:val="es-ES"/>
        </w:rPr>
        <w:t xml:space="preserve"> (Estados Unidos), inventario de emisiones tóxicas</w:t>
      </w:r>
    </w:p>
    <w:p w14:paraId="4574860C" w14:textId="77777777" w:rsidR="00DB27FE" w:rsidRPr="006D3772" w:rsidRDefault="00DB27FE" w:rsidP="00DB27FE">
      <w:pPr>
        <w:numPr>
          <w:ilvl w:val="0"/>
          <w:numId w:val="36"/>
        </w:numPr>
        <w:rPr>
          <w:lang w:val="es-ES"/>
        </w:rPr>
      </w:pPr>
      <w:r w:rsidRPr="006D3772">
        <w:rPr>
          <w:color w:val="000000" w:themeColor="text1"/>
          <w:lang w:val="es-ES"/>
        </w:rPr>
        <w:t xml:space="preserve">Ecoetiquetado </w:t>
      </w:r>
      <w:r w:rsidRPr="006D3772">
        <w:rPr>
          <w:lang w:val="es-ES"/>
        </w:rPr>
        <w:t>o certificaciones</w:t>
      </w:r>
    </w:p>
    <w:p w14:paraId="2247461D" w14:textId="77777777" w:rsidR="00DB27FE" w:rsidRPr="006D3772" w:rsidRDefault="00DB27FE" w:rsidP="00DB27FE">
      <w:pPr>
        <w:numPr>
          <w:ilvl w:val="1"/>
          <w:numId w:val="36"/>
        </w:numPr>
        <w:rPr>
          <w:lang w:val="es-ES"/>
        </w:rPr>
      </w:pPr>
      <w:r w:rsidRPr="006D3772">
        <w:rPr>
          <w:lang w:val="es-ES"/>
        </w:rPr>
        <w:t>Australia</w:t>
      </w:r>
    </w:p>
    <w:p w14:paraId="23599284" w14:textId="77777777" w:rsidR="00DB27FE" w:rsidRPr="006D3772" w:rsidRDefault="00DB27FE" w:rsidP="00DB27FE">
      <w:pPr>
        <w:numPr>
          <w:ilvl w:val="1"/>
          <w:numId w:val="36"/>
        </w:numPr>
        <w:rPr>
          <w:lang w:val="es-ES"/>
        </w:rPr>
      </w:pPr>
      <w:r w:rsidRPr="006D3772">
        <w:rPr>
          <w:lang w:val="es-ES"/>
        </w:rPr>
        <w:t>Reglamento de la UE para facilitar las inversiones sostenibles</w:t>
      </w:r>
    </w:p>
    <w:p w14:paraId="3E568C79" w14:textId="77777777" w:rsidR="00DB27FE" w:rsidRPr="006D3772" w:rsidRDefault="00DB27FE" w:rsidP="00DB27FE">
      <w:pPr>
        <w:rPr>
          <w:lang w:val="es-ES"/>
        </w:rPr>
      </w:pPr>
    </w:p>
    <w:p w14:paraId="1957D27B" w14:textId="77777777" w:rsidR="00DB27FE" w:rsidRPr="006D3772" w:rsidRDefault="00DB27FE" w:rsidP="00DB27FE">
      <w:pPr>
        <w:rPr>
          <w:b/>
          <w:lang w:val="es-ES"/>
        </w:rPr>
      </w:pPr>
      <w:r w:rsidRPr="006D3772">
        <w:rPr>
          <w:b/>
          <w:lang w:val="es-ES"/>
        </w:rPr>
        <w:t>Derechos de la propiedad</w:t>
      </w:r>
    </w:p>
    <w:p w14:paraId="593267F6" w14:textId="77777777" w:rsidR="00DB27FE" w:rsidRPr="006D3772" w:rsidRDefault="00DB27FE" w:rsidP="00DB27FE">
      <w:pPr>
        <w:numPr>
          <w:ilvl w:val="0"/>
          <w:numId w:val="36"/>
        </w:numPr>
        <w:rPr>
          <w:lang w:val="es-ES"/>
        </w:rPr>
      </w:pPr>
      <w:r w:rsidRPr="006D3772">
        <w:rPr>
          <w:lang w:val="es-ES"/>
        </w:rPr>
        <w:t>Uso exclusivo por las comunidades locales</w:t>
      </w:r>
    </w:p>
    <w:p w14:paraId="7DCB39CE" w14:textId="77777777" w:rsidR="00DB27FE" w:rsidRPr="006D3772" w:rsidRDefault="00DB27FE" w:rsidP="00DB27FE">
      <w:pPr>
        <w:numPr>
          <w:ilvl w:val="1"/>
          <w:numId w:val="36"/>
        </w:numPr>
        <w:rPr>
          <w:lang w:val="es-ES"/>
        </w:rPr>
      </w:pPr>
      <w:r w:rsidRPr="006D3772">
        <w:rPr>
          <w:lang w:val="es-ES"/>
        </w:rPr>
        <w:t>Filipinas</w:t>
      </w:r>
    </w:p>
    <w:p w14:paraId="7875942F" w14:textId="77777777" w:rsidR="00DB27FE" w:rsidRPr="006D3772" w:rsidRDefault="00DB27FE" w:rsidP="00DB27FE">
      <w:pPr>
        <w:numPr>
          <w:ilvl w:val="1"/>
          <w:numId w:val="36"/>
        </w:numPr>
        <w:rPr>
          <w:lang w:val="es-ES"/>
        </w:rPr>
      </w:pPr>
      <w:r w:rsidRPr="006D3772">
        <w:rPr>
          <w:lang w:val="es-ES"/>
        </w:rPr>
        <w:t>Viet Nam</w:t>
      </w:r>
    </w:p>
    <w:p w14:paraId="51C2D51F" w14:textId="77777777" w:rsidR="00DB27FE" w:rsidRPr="006D3772" w:rsidRDefault="00DB27FE" w:rsidP="00DB27FE">
      <w:pPr>
        <w:numPr>
          <w:ilvl w:val="0"/>
          <w:numId w:val="36"/>
        </w:numPr>
        <w:rPr>
          <w:color w:val="000000" w:themeColor="text1"/>
          <w:lang w:val="es-ES"/>
        </w:rPr>
      </w:pPr>
      <w:r w:rsidRPr="006D3772">
        <w:rPr>
          <w:color w:val="000000" w:themeColor="text1"/>
          <w:lang w:val="es-ES"/>
        </w:rPr>
        <w:t xml:space="preserve">Disposiciones de </w:t>
      </w:r>
      <w:r w:rsidRPr="006D3772">
        <w:rPr>
          <w:i/>
          <w:iCs/>
          <w:color w:val="000000" w:themeColor="text1"/>
          <w:lang w:val="es-ES"/>
        </w:rPr>
        <w:t>Safe Harbor</w:t>
      </w:r>
      <w:r w:rsidRPr="006D3772">
        <w:rPr>
          <w:color w:val="000000" w:themeColor="text1"/>
          <w:lang w:val="es-ES"/>
        </w:rPr>
        <w:t xml:space="preserve"> (refugio tributario)</w:t>
      </w:r>
    </w:p>
    <w:p w14:paraId="3A76DE74" w14:textId="77777777" w:rsidR="00DB27FE" w:rsidRPr="006D3772" w:rsidRDefault="00DB27FE" w:rsidP="00DB27FE">
      <w:pPr>
        <w:numPr>
          <w:ilvl w:val="0"/>
          <w:numId w:val="36"/>
        </w:numPr>
        <w:rPr>
          <w:lang w:val="es-ES"/>
        </w:rPr>
      </w:pPr>
      <w:r w:rsidRPr="006D3772">
        <w:rPr>
          <w:lang w:val="es-ES"/>
        </w:rPr>
        <w:t>Bancos de mitigación aplicados a los humedales o la biodiversidad</w:t>
      </w:r>
    </w:p>
    <w:p w14:paraId="7D40D9F5" w14:textId="77777777" w:rsidR="00DB27FE" w:rsidRPr="006D3772" w:rsidRDefault="00DB27FE" w:rsidP="00DB27FE">
      <w:pPr>
        <w:numPr>
          <w:ilvl w:val="0"/>
          <w:numId w:val="36"/>
        </w:numPr>
        <w:rPr>
          <w:lang w:val="es-ES"/>
        </w:rPr>
      </w:pPr>
      <w:r w:rsidRPr="006D3772">
        <w:rPr>
          <w:i/>
          <w:iCs/>
          <w:lang w:val="es-ES"/>
        </w:rPr>
        <w:t>Conservation easements</w:t>
      </w:r>
      <w:r w:rsidRPr="006D3772">
        <w:rPr>
          <w:lang w:val="es-ES"/>
        </w:rPr>
        <w:t xml:space="preserve"> (Estados Unidos, Canadá): servidumbres ambientales o ecológicas</w:t>
      </w:r>
    </w:p>
    <w:p w14:paraId="3BF699B2" w14:textId="77777777" w:rsidR="00DB27FE" w:rsidRPr="006D3772" w:rsidRDefault="00DB27FE" w:rsidP="00DB27FE">
      <w:pPr>
        <w:rPr>
          <w:lang w:val="es-ES"/>
        </w:rPr>
      </w:pPr>
    </w:p>
    <w:p w14:paraId="7E7307B8" w14:textId="77777777" w:rsidR="00DB27FE" w:rsidRPr="006D3772" w:rsidRDefault="00DB27FE" w:rsidP="00DB27FE">
      <w:pPr>
        <w:rPr>
          <w:color w:val="000000" w:themeColor="text1"/>
          <w:lang w:val="es-ES"/>
        </w:rPr>
      </w:pPr>
      <w:r w:rsidRPr="006D3772">
        <w:rPr>
          <w:b/>
          <w:color w:val="000000" w:themeColor="text1"/>
          <w:lang w:val="es-ES"/>
        </w:rPr>
        <w:t>Protección indirecta</w:t>
      </w:r>
    </w:p>
    <w:p w14:paraId="1DFC17AE" w14:textId="77777777" w:rsidR="00DB27FE" w:rsidRPr="006D3772" w:rsidRDefault="00DB27FE" w:rsidP="00DB27FE">
      <w:pPr>
        <w:numPr>
          <w:ilvl w:val="0"/>
          <w:numId w:val="36"/>
        </w:numPr>
        <w:rPr>
          <w:lang w:val="es-ES"/>
        </w:rPr>
      </w:pPr>
      <w:r w:rsidRPr="006D3772">
        <w:rPr>
          <w:lang w:val="es-ES"/>
        </w:rPr>
        <w:t xml:space="preserve">Leyes o normas sobre la vida silvestre o especies concretas (Species at Risk Act, </w:t>
      </w:r>
      <w:r w:rsidRPr="006D3772">
        <w:rPr>
          <w:color w:val="000000" w:themeColor="text1"/>
          <w:lang w:val="es-ES"/>
        </w:rPr>
        <w:t>Canadá</w:t>
      </w:r>
      <w:r w:rsidRPr="006D3772">
        <w:rPr>
          <w:lang w:val="es-ES"/>
        </w:rPr>
        <w:t>, Côte d’Ivoire, Benin)</w:t>
      </w:r>
    </w:p>
    <w:p w14:paraId="6B252F06" w14:textId="77777777" w:rsidR="00DB27FE" w:rsidRPr="006D3772" w:rsidRDefault="00DB27FE" w:rsidP="00DB27FE">
      <w:pPr>
        <w:numPr>
          <w:ilvl w:val="0"/>
          <w:numId w:val="36"/>
        </w:numPr>
        <w:rPr>
          <w:lang w:val="es-ES"/>
        </w:rPr>
      </w:pPr>
      <w:r w:rsidRPr="006D3772">
        <w:rPr>
          <w:lang w:val="es-ES"/>
        </w:rPr>
        <w:t>Greenbelt Act (</w:t>
      </w:r>
      <w:r w:rsidRPr="006D3772">
        <w:rPr>
          <w:color w:val="000000" w:themeColor="text1"/>
          <w:lang w:val="es-ES"/>
        </w:rPr>
        <w:t>Ontario, Canadá</w:t>
      </w:r>
      <w:r w:rsidRPr="006D3772">
        <w:rPr>
          <w:lang w:val="es-ES"/>
        </w:rPr>
        <w:t>)</w:t>
      </w:r>
    </w:p>
    <w:p w14:paraId="0C89D798" w14:textId="77777777" w:rsidR="00DB27FE" w:rsidRPr="006D3772" w:rsidRDefault="00DB27FE" w:rsidP="00DB27FE">
      <w:pPr>
        <w:rPr>
          <w:lang w:val="es-ES"/>
        </w:rPr>
      </w:pPr>
    </w:p>
    <w:p w14:paraId="1F20909A" w14:textId="77777777" w:rsidR="00DB27FE" w:rsidRPr="006D3772" w:rsidRDefault="00DB27FE" w:rsidP="00DB27FE">
      <w:pPr>
        <w:rPr>
          <w:b/>
          <w:lang w:val="es-ES"/>
        </w:rPr>
      </w:pPr>
      <w:r w:rsidRPr="006D3772">
        <w:rPr>
          <w:b/>
          <w:lang w:val="es-ES"/>
        </w:rPr>
        <w:t>Planificación</w:t>
      </w:r>
    </w:p>
    <w:p w14:paraId="3F582821" w14:textId="77777777" w:rsidR="00DB27FE" w:rsidRPr="00D13AAF" w:rsidRDefault="00DB27FE" w:rsidP="00DB27FE">
      <w:pPr>
        <w:numPr>
          <w:ilvl w:val="0"/>
          <w:numId w:val="36"/>
        </w:numPr>
        <w:rPr>
          <w:lang w:val="en-GB"/>
        </w:rPr>
      </w:pPr>
      <w:r w:rsidRPr="00D13AAF">
        <w:rPr>
          <w:i/>
          <w:iCs/>
          <w:lang w:val="en-GB"/>
        </w:rPr>
        <w:t>Alberta Land Stewardship Act Regional Plans</w:t>
      </w:r>
      <w:r w:rsidRPr="00D13AAF">
        <w:rPr>
          <w:lang w:val="en-GB"/>
        </w:rPr>
        <w:t xml:space="preserve"> (Alberta, Canadá)</w:t>
      </w:r>
    </w:p>
    <w:p w14:paraId="34085F11" w14:textId="77777777" w:rsidR="00DB27FE" w:rsidRPr="00D13AAF" w:rsidRDefault="00DB27FE" w:rsidP="00DB27FE">
      <w:pPr>
        <w:numPr>
          <w:ilvl w:val="0"/>
          <w:numId w:val="36"/>
        </w:numPr>
        <w:rPr>
          <w:lang w:val="fr-FR"/>
        </w:rPr>
      </w:pPr>
      <w:r w:rsidRPr="00D13AAF">
        <w:rPr>
          <w:i/>
          <w:iCs/>
          <w:lang w:val="fr-FR"/>
        </w:rPr>
        <w:t>Plans régionaux des milieux humides et hydriques</w:t>
      </w:r>
      <w:r w:rsidRPr="00D13AAF">
        <w:rPr>
          <w:lang w:val="fr-FR"/>
        </w:rPr>
        <w:t xml:space="preserve"> (Quebec, Canadá)</w:t>
      </w:r>
    </w:p>
    <w:p w14:paraId="4033EA4A" w14:textId="77777777" w:rsidR="00DB27FE" w:rsidRPr="00D13AAF" w:rsidRDefault="00DB27FE" w:rsidP="00DB27FE">
      <w:pPr>
        <w:numPr>
          <w:ilvl w:val="0"/>
          <w:numId w:val="36"/>
        </w:numPr>
        <w:rPr>
          <w:lang w:val="fr-FR"/>
        </w:rPr>
      </w:pPr>
      <w:r w:rsidRPr="00D13AAF">
        <w:rPr>
          <w:i/>
          <w:iCs/>
          <w:lang w:val="fr-FR"/>
        </w:rPr>
        <w:t>Schéma directeur d’aménagement et de gestion des eaux</w:t>
      </w:r>
      <w:r w:rsidRPr="00D13AAF">
        <w:rPr>
          <w:lang w:val="fr-FR"/>
        </w:rPr>
        <w:t xml:space="preserve"> (Francia)</w:t>
      </w:r>
    </w:p>
    <w:p w14:paraId="22AFEDEE" w14:textId="77777777" w:rsidR="00DB27FE" w:rsidRPr="00D13AAF" w:rsidRDefault="00DB27FE" w:rsidP="00DB27FE">
      <w:pPr>
        <w:rPr>
          <w:lang w:val="fr-FR"/>
        </w:rPr>
      </w:pPr>
    </w:p>
    <w:p w14:paraId="52477D28" w14:textId="77777777" w:rsidR="00DB27FE" w:rsidRPr="00D13AAF" w:rsidRDefault="00DB27FE" w:rsidP="00DB27FE">
      <w:pPr>
        <w:rPr>
          <w:lang w:val="fr-FR"/>
        </w:rPr>
      </w:pPr>
      <w:r w:rsidRPr="00D13AAF">
        <w:rPr>
          <w:lang w:val="fr-FR"/>
        </w:rPr>
        <w:br w:type="page"/>
      </w:r>
    </w:p>
    <w:p w14:paraId="1B993C21" w14:textId="77777777" w:rsidR="00DB27FE" w:rsidRPr="006D3772" w:rsidRDefault="00DB27FE" w:rsidP="00DB27FE">
      <w:pPr>
        <w:rPr>
          <w:b/>
          <w:sz w:val="24"/>
          <w:szCs w:val="24"/>
          <w:lang w:val="es-ES"/>
        </w:rPr>
      </w:pPr>
      <w:r w:rsidRPr="006D3772">
        <w:rPr>
          <w:b/>
          <w:sz w:val="24"/>
          <w:szCs w:val="24"/>
          <w:lang w:val="es-ES"/>
        </w:rPr>
        <w:lastRenderedPageBreak/>
        <w:t xml:space="preserve">Anexo 4 </w:t>
      </w:r>
    </w:p>
    <w:p w14:paraId="60A4743C" w14:textId="3B087AC3" w:rsidR="00DB27FE" w:rsidRPr="006D3772" w:rsidRDefault="00DB27FE" w:rsidP="00DB27FE">
      <w:pPr>
        <w:rPr>
          <w:b/>
          <w:sz w:val="24"/>
          <w:szCs w:val="24"/>
          <w:lang w:val="es-ES"/>
        </w:rPr>
      </w:pPr>
      <w:r w:rsidRPr="006D3772">
        <w:rPr>
          <w:b/>
          <w:sz w:val="24"/>
          <w:szCs w:val="24"/>
          <w:lang w:val="es-ES" w:eastAsia="zh-CN"/>
        </w:rPr>
        <w:t xml:space="preserve">Enfoque propuesto para la preparación de ediciones futuras de la </w:t>
      </w:r>
      <w:r w:rsidR="00D10FC7" w:rsidRPr="006D3772">
        <w:rPr>
          <w:b/>
          <w:sz w:val="24"/>
          <w:szCs w:val="24"/>
          <w:lang w:val="es-ES" w:eastAsia="zh-CN"/>
        </w:rPr>
        <w:t>Perspectiva Mundial sobre los Humedales</w:t>
      </w:r>
    </w:p>
    <w:p w14:paraId="200C0F1F" w14:textId="77777777" w:rsidR="00DB27FE" w:rsidRPr="006D3772" w:rsidRDefault="00DB27FE" w:rsidP="00DB27FE">
      <w:pPr>
        <w:rPr>
          <w:lang w:val="es-ES"/>
        </w:rPr>
      </w:pPr>
    </w:p>
    <w:p w14:paraId="09ACCC44" w14:textId="56F559FD" w:rsidR="00DB27FE" w:rsidRPr="006D3772" w:rsidRDefault="00DB27FE" w:rsidP="00DB27FE">
      <w:pPr>
        <w:ind w:left="432" w:hanging="432"/>
        <w:rPr>
          <w:lang w:val="es-ES"/>
        </w:rPr>
      </w:pPr>
      <w:r w:rsidRPr="006D3772">
        <w:rPr>
          <w:lang w:val="es-ES"/>
        </w:rPr>
        <w:t>1.</w:t>
      </w:r>
      <w:r w:rsidRPr="006D3772">
        <w:rPr>
          <w:lang w:val="es-ES"/>
        </w:rPr>
        <w:tab/>
        <w:t xml:space="preserve">La </w:t>
      </w:r>
      <w:r w:rsidR="00D10FC7" w:rsidRPr="006D3772">
        <w:rPr>
          <w:lang w:val="es-ES"/>
        </w:rPr>
        <w:t>Perspectiva Mundial sobre los Humedales</w:t>
      </w:r>
      <w:r w:rsidRPr="006D3772">
        <w:rPr>
          <w:lang w:val="es-ES"/>
        </w:rPr>
        <w:t xml:space="preserve"> (PMH) es una publicación emblemática del Grupo de Examen Científico y Técnico en el marco de la Convención sobre los Humedales. Con arreglo al plan de trabajo del GECT para 2023-2025 (Tarea 5.3), se encargó al GECT que preparara un informe para el Comité Permanente en el que se definieran un marco conceptual y un plan detallado para ediciones futuras de la PMH. El alcance de esta labor comprende lo siguiente:</w:t>
      </w:r>
    </w:p>
    <w:p w14:paraId="4525026D" w14:textId="77777777" w:rsidR="00DB27FE" w:rsidRPr="006D3772" w:rsidRDefault="00DB27FE" w:rsidP="00DB27FE">
      <w:pPr>
        <w:pStyle w:val="ListParagraph"/>
        <w:numPr>
          <w:ilvl w:val="0"/>
          <w:numId w:val="32"/>
        </w:numPr>
        <w:ind w:left="810"/>
        <w:rPr>
          <w:lang w:val="es-ES"/>
        </w:rPr>
      </w:pPr>
      <w:r w:rsidRPr="006D3772">
        <w:rPr>
          <w:rFonts w:eastAsia="Calibri"/>
          <w:lang w:val="es-ES"/>
        </w:rPr>
        <w:t xml:space="preserve">Definir la finalidad de la </w:t>
      </w:r>
      <w:r w:rsidRPr="006D3772">
        <w:rPr>
          <w:lang w:val="es-ES"/>
        </w:rPr>
        <w:t>PMH como producto emblemático en el marco de la Convención, en consonancia con los objetivos del Plan Estratégico y otros acuerdos multilaterales sobre el medio ambiente (AMMA);</w:t>
      </w:r>
    </w:p>
    <w:p w14:paraId="37DAF281" w14:textId="77777777" w:rsidR="00DB27FE" w:rsidRPr="006D3772" w:rsidRDefault="00DB27FE" w:rsidP="00DB27FE">
      <w:pPr>
        <w:pStyle w:val="ListParagraph"/>
        <w:numPr>
          <w:ilvl w:val="0"/>
          <w:numId w:val="32"/>
        </w:numPr>
        <w:ind w:left="810"/>
        <w:rPr>
          <w:lang w:val="es-ES"/>
        </w:rPr>
      </w:pPr>
      <w:r w:rsidRPr="006D3772">
        <w:rPr>
          <w:lang w:val="es-ES"/>
        </w:rPr>
        <w:t>Definir un enfoque estructurado para facilitar la preparación de futuras ediciones de la PMH, teniendo en cuenta marcos metodológicos, calendarios, recursos necesarios (p. ej., financieros), estrategias de comunicación y fuentes de información.</w:t>
      </w:r>
    </w:p>
    <w:p w14:paraId="65960FB5" w14:textId="77777777" w:rsidR="00DB27FE" w:rsidRPr="006D3772" w:rsidRDefault="00DB27FE" w:rsidP="00DB27FE">
      <w:pPr>
        <w:ind w:left="432"/>
        <w:rPr>
          <w:lang w:val="es-ES"/>
        </w:rPr>
      </w:pPr>
      <w:r w:rsidRPr="006D3772">
        <w:rPr>
          <w:lang w:val="es-ES"/>
        </w:rPr>
        <w:t>En el plan anual se han incorporado las lecciones extraídas de la edición de 2018 de la PMH y de la edición especial preparada con arreglo al plan de trabajo para 2019-2021, junto con información procedente de otras evaluaciones mundiales.</w:t>
      </w:r>
    </w:p>
    <w:p w14:paraId="48E59295" w14:textId="77777777" w:rsidR="00DB27FE" w:rsidRPr="006D3772" w:rsidRDefault="00DB27FE" w:rsidP="00DB27FE">
      <w:pPr>
        <w:rPr>
          <w:lang w:val="es-ES"/>
        </w:rPr>
      </w:pPr>
    </w:p>
    <w:p w14:paraId="2A353353" w14:textId="28450901" w:rsidR="00DB27FE" w:rsidRPr="006D3772" w:rsidRDefault="00DB27FE" w:rsidP="00DB27FE">
      <w:pPr>
        <w:ind w:left="432" w:hanging="432"/>
        <w:rPr>
          <w:lang w:val="es-ES"/>
        </w:rPr>
      </w:pPr>
      <w:r w:rsidRPr="006D3772">
        <w:rPr>
          <w:lang w:val="es-ES"/>
        </w:rPr>
        <w:t>2.</w:t>
      </w:r>
      <w:r w:rsidRPr="006D3772">
        <w:rPr>
          <w:lang w:val="es-ES"/>
        </w:rPr>
        <w:tab/>
        <w:t xml:space="preserve">El GECT constituyó un grupo de trabajo para esta tarea dirigido por el Dr. Hugh Robertson (Presidente del GECT) y el Dr. Ritesh Kumar (experto técnico). El grupo se reunió dos veces de forma virtual y presentó un </w:t>
      </w:r>
      <w:r w:rsidR="00DD05DA" w:rsidRPr="006D3772">
        <w:rPr>
          <w:lang w:val="es-ES"/>
        </w:rPr>
        <w:t>esquema de planteamiento</w:t>
      </w:r>
      <w:r w:rsidRPr="006D3772">
        <w:rPr>
          <w:lang w:val="es-ES"/>
        </w:rPr>
        <w:t xml:space="preserve"> para futuras ediciones de la PMH durante la reunión entre períodos de sesiones del GECT en septiembre de 2024. Se han incorporado observaciones procedentes de estas deliberaciones en el presente informe. </w:t>
      </w:r>
    </w:p>
    <w:p w14:paraId="55FEBEC8" w14:textId="77777777" w:rsidR="00DB27FE" w:rsidRPr="006D3772" w:rsidRDefault="00DB27FE" w:rsidP="00DB27FE">
      <w:pPr>
        <w:ind w:left="432" w:hanging="432"/>
        <w:rPr>
          <w:lang w:val="es-ES"/>
        </w:rPr>
      </w:pPr>
    </w:p>
    <w:p w14:paraId="28E9F160" w14:textId="58B2EF17" w:rsidR="00DB27FE" w:rsidRPr="006D3772" w:rsidRDefault="00DB27FE" w:rsidP="00DB27FE">
      <w:pPr>
        <w:ind w:left="432" w:hanging="432"/>
        <w:rPr>
          <w:b/>
          <w:bCs w:val="0"/>
          <w:lang w:val="es-ES"/>
        </w:rPr>
      </w:pPr>
      <w:r w:rsidRPr="006D3772">
        <w:rPr>
          <w:b/>
          <w:lang w:val="es-ES"/>
        </w:rPr>
        <w:t xml:space="preserve">Finalidad de la </w:t>
      </w:r>
      <w:r w:rsidR="00D10FC7" w:rsidRPr="006D3772">
        <w:rPr>
          <w:b/>
          <w:lang w:val="es-ES"/>
        </w:rPr>
        <w:t>Perspectiva Mundial sobre los Humedales</w:t>
      </w:r>
    </w:p>
    <w:p w14:paraId="31DDA6E0" w14:textId="77777777" w:rsidR="00DB27FE" w:rsidRPr="006D3772" w:rsidRDefault="00DB27FE" w:rsidP="00DB27FE">
      <w:pPr>
        <w:ind w:left="432" w:hanging="432"/>
        <w:rPr>
          <w:lang w:val="es-ES"/>
        </w:rPr>
      </w:pPr>
    </w:p>
    <w:p w14:paraId="1F579F4B" w14:textId="77777777" w:rsidR="00DB27FE" w:rsidRPr="006D3772" w:rsidRDefault="00DB27FE" w:rsidP="00DB27FE">
      <w:pPr>
        <w:ind w:left="432" w:hanging="432"/>
        <w:rPr>
          <w:lang w:val="es-ES"/>
        </w:rPr>
      </w:pPr>
      <w:r w:rsidRPr="006D3772">
        <w:rPr>
          <w:lang w:val="es-ES"/>
        </w:rPr>
        <w:t>3.</w:t>
      </w:r>
      <w:r w:rsidRPr="006D3772">
        <w:rPr>
          <w:lang w:val="es-ES"/>
        </w:rPr>
        <w:tab/>
        <w:t>La PMH fue solicitada por primera vez por la Resolución XII.5, que pidió al GECT que actualizara y ampliara la Nota Informativa 7: Estado de los humedales de mundo y sus servicios a las personas. En la resolución se pedía al GECT y al Secretario General que, con sujeción a la disponibilidad de recursos, estudiaran modalidades para la mejora y actualización de la PMH como informe emblemático periódico de la Convención, contribuyendo así también a la Perspectiva Mundial sobre la Diversidad Biológica del Convenio sobre la Diversidad Biológica (CDB). La finalidad principal de la PMH</w:t>
      </w:r>
      <w:r w:rsidRPr="006D3772">
        <w:rPr>
          <w:rStyle w:val="FootnoteReference"/>
          <w:lang w:val="es-ES"/>
        </w:rPr>
        <w:footnoteReference w:id="11"/>
      </w:r>
      <w:r w:rsidRPr="006D3772">
        <w:rPr>
          <w:lang w:val="es-ES"/>
        </w:rPr>
        <w:t xml:space="preserve"> es lograr que se entienda mejor el valor de los humedales, ofreciendo recomendaciones para garantizar su conservación y uso racional y el reconocimiento de sus beneficios por todos.</w:t>
      </w:r>
      <w:r w:rsidRPr="006D3772">
        <w:rPr>
          <w:rStyle w:val="FootnoteReference"/>
          <w:lang w:val="es-ES"/>
        </w:rPr>
        <w:footnoteReference w:id="12"/>
      </w:r>
    </w:p>
    <w:p w14:paraId="7F86B165" w14:textId="77777777" w:rsidR="00DB27FE" w:rsidRPr="006D3772" w:rsidRDefault="00DB27FE" w:rsidP="00DB27FE">
      <w:pPr>
        <w:ind w:left="432" w:hanging="432"/>
        <w:rPr>
          <w:lang w:val="es-ES"/>
        </w:rPr>
      </w:pPr>
    </w:p>
    <w:p w14:paraId="6D5075E3" w14:textId="77777777" w:rsidR="00DB27FE" w:rsidRPr="006D3772" w:rsidRDefault="00DB27FE" w:rsidP="00DB27FE">
      <w:pPr>
        <w:ind w:left="432" w:hanging="432"/>
        <w:rPr>
          <w:lang w:val="es-ES"/>
        </w:rPr>
      </w:pPr>
      <w:r w:rsidRPr="006D3772">
        <w:rPr>
          <w:lang w:val="es-ES"/>
        </w:rPr>
        <w:t>4.</w:t>
      </w:r>
      <w:r w:rsidRPr="006D3772">
        <w:rPr>
          <w:lang w:val="es-ES"/>
        </w:rPr>
        <w:tab/>
        <w:t>Con arreglo a las prácticas adoptadas por otras convenciones y AMMA que elaboran publicaciones emblemáticas similares, se recomienda ampliar la finalidad de la PMH para cumplir plenamente la intención de la Resolución XII.5. Se propone lo siguiente:</w:t>
      </w:r>
    </w:p>
    <w:p w14:paraId="42C76B98" w14:textId="77777777" w:rsidR="00DB27FE" w:rsidRPr="006D3772" w:rsidRDefault="00DB27FE" w:rsidP="00DB27FE">
      <w:pPr>
        <w:ind w:left="432" w:hanging="432"/>
        <w:rPr>
          <w:lang w:val="es-ES"/>
        </w:rPr>
      </w:pPr>
    </w:p>
    <w:p w14:paraId="77776FDF" w14:textId="77777777" w:rsidR="00DB27FE" w:rsidRPr="006D3772" w:rsidRDefault="00DB27FE" w:rsidP="00DB27FE">
      <w:pPr>
        <w:ind w:left="432"/>
        <w:rPr>
          <w:lang w:val="es-ES"/>
        </w:rPr>
      </w:pPr>
      <w:r w:rsidRPr="006D3772">
        <w:rPr>
          <w:lang w:val="es-ES"/>
        </w:rPr>
        <w:t>“que la PMH, como publicación emblemática de la Convención sobre los Humedales:</w:t>
      </w:r>
    </w:p>
    <w:p w14:paraId="3C0BAD0E" w14:textId="77777777" w:rsidR="00DB27FE" w:rsidRPr="006D3772" w:rsidRDefault="00DB27FE" w:rsidP="00DB27FE">
      <w:pPr>
        <w:pStyle w:val="ListParagraph"/>
        <w:numPr>
          <w:ilvl w:val="0"/>
          <w:numId w:val="26"/>
        </w:numPr>
        <w:ind w:left="810"/>
        <w:rPr>
          <w:lang w:val="es-ES"/>
        </w:rPr>
      </w:pPr>
      <w:r w:rsidRPr="006D3772">
        <w:rPr>
          <w:lang w:val="es-ES"/>
        </w:rPr>
        <w:t>Proporcione un resumen con base empírica del estado [mundial] de los humedales y de los factores impulsores y las presiones que favorecen cambios adversos en estos ecosistemas.</w:t>
      </w:r>
    </w:p>
    <w:p w14:paraId="26FAD345" w14:textId="77777777" w:rsidR="00DB27FE" w:rsidRPr="006D3772" w:rsidRDefault="00DB27FE" w:rsidP="00DB27FE">
      <w:pPr>
        <w:pStyle w:val="ListParagraph"/>
        <w:numPr>
          <w:ilvl w:val="0"/>
          <w:numId w:val="26"/>
        </w:numPr>
        <w:ind w:left="810"/>
        <w:rPr>
          <w:lang w:val="es-ES"/>
        </w:rPr>
      </w:pPr>
      <w:r w:rsidRPr="006D3772">
        <w:rPr>
          <w:lang w:val="es-ES"/>
        </w:rPr>
        <w:t>Examine las distintas maneras en las que se están conservando y gestionando los humedales en distintas regiones del mundo y las dificultades encontradas.</w:t>
      </w:r>
    </w:p>
    <w:p w14:paraId="7F87C818" w14:textId="77777777" w:rsidR="00DB27FE" w:rsidRPr="006D3772" w:rsidRDefault="00DB27FE" w:rsidP="00DB27FE">
      <w:pPr>
        <w:pStyle w:val="ListParagraph"/>
        <w:numPr>
          <w:ilvl w:val="0"/>
          <w:numId w:val="26"/>
        </w:numPr>
        <w:ind w:left="810"/>
        <w:rPr>
          <w:lang w:val="es-ES"/>
        </w:rPr>
      </w:pPr>
      <w:r w:rsidRPr="006D3772">
        <w:rPr>
          <w:lang w:val="es-ES"/>
        </w:rPr>
        <w:lastRenderedPageBreak/>
        <w:t>Haga un seguimiento periódico de los avances hacia el logro de distintos indicadores que figuran en el Plan Estratégico.</w:t>
      </w:r>
    </w:p>
    <w:p w14:paraId="17142C3E" w14:textId="77777777" w:rsidR="00DB27FE" w:rsidRPr="006D3772" w:rsidRDefault="00DB27FE" w:rsidP="00DB27FE">
      <w:pPr>
        <w:pStyle w:val="ListParagraph"/>
        <w:numPr>
          <w:ilvl w:val="0"/>
          <w:numId w:val="26"/>
        </w:numPr>
        <w:ind w:left="810"/>
        <w:rPr>
          <w:lang w:val="es-ES"/>
        </w:rPr>
      </w:pPr>
      <w:r w:rsidRPr="006D3772">
        <w:rPr>
          <w:lang w:val="es-ES"/>
        </w:rPr>
        <w:t xml:space="preserve">Ofrezca a los responsables de políticas recomendaciones del GECT para lograr la conservación y el uso racional de los humedales”. </w:t>
      </w:r>
    </w:p>
    <w:p w14:paraId="7BF2132C" w14:textId="77777777" w:rsidR="00DB27FE" w:rsidRPr="006D3772" w:rsidRDefault="00DB27FE" w:rsidP="00DB27FE">
      <w:pPr>
        <w:rPr>
          <w:b/>
          <w:lang w:val="es-ES"/>
        </w:rPr>
      </w:pPr>
    </w:p>
    <w:p w14:paraId="10D67839" w14:textId="6BFC0A0A" w:rsidR="00DB27FE" w:rsidRPr="006D3772" w:rsidRDefault="00DB27FE" w:rsidP="00DB27FE">
      <w:pPr>
        <w:keepNext/>
        <w:rPr>
          <w:lang w:val="es-ES"/>
        </w:rPr>
      </w:pPr>
      <w:r w:rsidRPr="006D3772">
        <w:rPr>
          <w:b/>
          <w:lang w:val="es-ES"/>
        </w:rPr>
        <w:t xml:space="preserve">Alcance de la </w:t>
      </w:r>
      <w:r w:rsidR="00D10FC7" w:rsidRPr="006D3772">
        <w:rPr>
          <w:b/>
          <w:lang w:val="es-ES"/>
        </w:rPr>
        <w:t>Perspectiva Mundial sobre los Humedales</w:t>
      </w:r>
    </w:p>
    <w:p w14:paraId="0ECED224" w14:textId="77777777" w:rsidR="00DB27FE" w:rsidRPr="006D3772" w:rsidRDefault="00DB27FE" w:rsidP="00DB27FE">
      <w:pPr>
        <w:ind w:left="432" w:hanging="432"/>
        <w:rPr>
          <w:lang w:val="es-ES"/>
        </w:rPr>
      </w:pPr>
    </w:p>
    <w:p w14:paraId="2F6061BB" w14:textId="77777777" w:rsidR="00DB27FE" w:rsidRPr="006D3772" w:rsidRDefault="00DB27FE" w:rsidP="00DB27FE">
      <w:pPr>
        <w:ind w:left="432" w:hanging="432"/>
        <w:rPr>
          <w:lang w:val="es-ES"/>
        </w:rPr>
      </w:pPr>
      <w:r w:rsidRPr="006D3772">
        <w:rPr>
          <w:lang w:val="es-ES"/>
        </w:rPr>
        <w:t>5.</w:t>
      </w:r>
      <w:r w:rsidRPr="006D3772">
        <w:rPr>
          <w:lang w:val="es-ES"/>
        </w:rPr>
        <w:tab/>
        <w:t xml:space="preserve">En las ediciones de 2018 y 2021 de la PMH se decidió que el análisis tuviera un alcance mundial, y la edición de 2018 contenía capítulos sobre el estado y las tendencias de los humedales, los factores impulsores del cambio y las opciones de respuesta. No obstante, la PMH proporciona información limitada sobre el estado de la aplicación de la Convención, por ejemplo, las características ecológicas de los Humedales de Importancia Internacional y el estado de los humedales indicado por las Partes Contratantes. En la edición de 2021 también se incluyó el porcentaje de Humedales de Importancia Internacional afectados por prácticas agrícolas. </w:t>
      </w:r>
    </w:p>
    <w:p w14:paraId="1F9214AF" w14:textId="77777777" w:rsidR="00DB27FE" w:rsidRPr="006D3772" w:rsidRDefault="00DB27FE" w:rsidP="00DB27FE">
      <w:pPr>
        <w:ind w:left="720"/>
        <w:rPr>
          <w:lang w:val="es-ES"/>
        </w:rPr>
      </w:pPr>
    </w:p>
    <w:p w14:paraId="42303792" w14:textId="77777777" w:rsidR="00DB27FE" w:rsidRPr="006D3772" w:rsidRDefault="00DB27FE" w:rsidP="00DB27FE">
      <w:pPr>
        <w:ind w:left="432" w:hanging="432"/>
        <w:rPr>
          <w:lang w:val="es-ES"/>
        </w:rPr>
      </w:pPr>
      <w:r w:rsidRPr="006D3772">
        <w:rPr>
          <w:lang w:val="es-ES"/>
        </w:rPr>
        <w:t>6.</w:t>
      </w:r>
      <w:r w:rsidRPr="006D3772">
        <w:rPr>
          <w:lang w:val="es-ES"/>
        </w:rPr>
        <w:tab/>
        <w:t>Históricamente, se han hecho esfuerzos para facilitar evaluaciones específicas sobre los humedales derivadas de evaluaciones mundiales. En 1999, la Convención sobre los Humedales publicó un examen de los recursos de humedales y las prioridades para el inventario de humedales</w:t>
      </w:r>
      <w:r w:rsidRPr="006D3772">
        <w:rPr>
          <w:rStyle w:val="FootnoteReference"/>
          <w:lang w:val="es-ES"/>
        </w:rPr>
        <w:footnoteReference w:id="13"/>
      </w:r>
      <w:r w:rsidRPr="006D3772">
        <w:rPr>
          <w:lang w:val="es-ES"/>
        </w:rPr>
        <w:t xml:space="preserve">. El informe de síntesis </w:t>
      </w:r>
      <w:r w:rsidRPr="006D3772">
        <w:rPr>
          <w:i/>
          <w:iCs/>
          <w:lang w:val="es-ES"/>
        </w:rPr>
        <w:t xml:space="preserve">Los Ecosistemas y el Bienestar Humano: Humedales y Agua </w:t>
      </w:r>
      <w:r w:rsidRPr="006D3772">
        <w:rPr>
          <w:lang w:val="es-ES"/>
        </w:rPr>
        <w:t>de la Evaluación de los Ecosistemas del Milenio,</w:t>
      </w:r>
      <w:r w:rsidRPr="006D3772">
        <w:rPr>
          <w:rStyle w:val="FootnoteReference"/>
          <w:lang w:val="es-ES"/>
        </w:rPr>
        <w:footnoteReference w:id="14"/>
      </w:r>
      <w:r w:rsidRPr="006D3772">
        <w:rPr>
          <w:lang w:val="es-ES"/>
        </w:rPr>
        <w:t xml:space="preserve"> publicado en 2005, se centró en la sostenibilidad futura de los humedales y los recursos hídricos. Además, en respuesta a la </w:t>
      </w:r>
      <w:r w:rsidRPr="006D3772">
        <w:rPr>
          <w:rFonts w:eastAsia="Geneva"/>
          <w:lang w:val="es-ES"/>
        </w:rPr>
        <w:t xml:space="preserve">Resolución VIII.34, el GECT participó en la </w:t>
      </w:r>
      <w:r w:rsidRPr="006D3772">
        <w:rPr>
          <w:rFonts w:eastAsia="Geneva"/>
          <w:i/>
          <w:iCs/>
          <w:lang w:val="es-ES"/>
        </w:rPr>
        <w:t>Evaluación exhaustiva del manejo del Agua en Agricultura</w:t>
      </w:r>
      <w:r w:rsidRPr="006D3772">
        <w:rPr>
          <w:rFonts w:eastAsia="Geneva"/>
          <w:lang w:val="es-ES"/>
        </w:rPr>
        <w:t>, realizada por el Instituto Internacional para el Manejo del Agua.</w:t>
      </w:r>
      <w:r w:rsidRPr="006D3772">
        <w:rPr>
          <w:rStyle w:val="FootnoteReference"/>
          <w:rFonts w:eastAsia="Geneva"/>
          <w:lang w:val="es-ES"/>
        </w:rPr>
        <w:footnoteReference w:id="15"/>
      </w:r>
      <w:r w:rsidRPr="006D3772">
        <w:rPr>
          <w:rFonts w:eastAsia="Geneva"/>
          <w:lang w:val="es-ES"/>
        </w:rPr>
        <w:t xml:space="preserve"> El informe </w:t>
      </w:r>
      <w:r w:rsidRPr="006D3772">
        <w:rPr>
          <w:rFonts w:eastAsia="Geneva"/>
          <w:i/>
          <w:iCs/>
          <w:lang w:val="es-ES"/>
        </w:rPr>
        <w:t>The Economics of Ecosystems and Biodiversity for Water and Wetlands</w:t>
      </w:r>
      <w:r w:rsidRPr="006D3772">
        <w:rPr>
          <w:rFonts w:eastAsia="Geneva"/>
          <w:lang w:val="es-ES"/>
        </w:rPr>
        <w:t xml:space="preserve"> (La Economía de los Ecosistemas y la Biodiversidad relativa al agua y los humedales)</w:t>
      </w:r>
      <w:r w:rsidRPr="006D3772">
        <w:rPr>
          <w:rStyle w:val="FootnoteReference"/>
          <w:lang w:val="es-ES"/>
        </w:rPr>
        <w:footnoteReference w:id="16"/>
      </w:r>
      <w:r w:rsidRPr="006D3772">
        <w:rPr>
          <w:lang w:val="es-ES"/>
        </w:rPr>
        <w:t xml:space="preserve"> se elaboró basándose en el marco del informe </w:t>
      </w:r>
      <w:r w:rsidRPr="006D3772">
        <w:rPr>
          <w:i/>
          <w:iCs/>
          <w:lang w:val="es-ES"/>
        </w:rPr>
        <w:t>The Economics of Ecosystems and Biodiversity</w:t>
      </w:r>
      <w:r w:rsidRPr="006D3772">
        <w:rPr>
          <w:lang w:val="es-ES"/>
        </w:rPr>
        <w:t xml:space="preserve"> con miras a </w:t>
      </w:r>
      <w:r w:rsidRPr="006D3772">
        <w:rPr>
          <w:rFonts w:eastAsia="Geneva"/>
          <w:lang w:val="es-ES"/>
        </w:rPr>
        <w:t xml:space="preserve">mejorar el entendimiento de los valores en materia de servicios de los ecosistemas </w:t>
      </w:r>
      <w:r w:rsidRPr="006D3772">
        <w:rPr>
          <w:lang w:val="es-ES"/>
        </w:rPr>
        <w:t>del agua y los humedales, fomentando una mejor toma de decisiones y un mayor compromiso empresarial e inversiones en la conservación y el uso racional de los humedales.</w:t>
      </w:r>
    </w:p>
    <w:p w14:paraId="4ED0A624" w14:textId="77777777" w:rsidR="00DB27FE" w:rsidRPr="006D3772" w:rsidRDefault="00DB27FE" w:rsidP="00DB27FE">
      <w:pPr>
        <w:ind w:left="720"/>
        <w:rPr>
          <w:lang w:val="es-ES"/>
        </w:rPr>
      </w:pPr>
    </w:p>
    <w:p w14:paraId="3582A592" w14:textId="77777777" w:rsidR="00DB27FE" w:rsidRPr="006D3772" w:rsidRDefault="00DB27FE" w:rsidP="00DB27FE">
      <w:pPr>
        <w:ind w:left="432" w:hanging="432"/>
        <w:rPr>
          <w:lang w:val="es-ES"/>
        </w:rPr>
      </w:pPr>
      <w:r w:rsidRPr="006D3772">
        <w:rPr>
          <w:lang w:val="es-ES"/>
        </w:rPr>
        <w:t>7.</w:t>
      </w:r>
      <w:r w:rsidRPr="006D3772">
        <w:rPr>
          <w:lang w:val="es-ES"/>
        </w:rPr>
        <w:tab/>
        <w:t>Para lograr la finalidad de la PMH, se propone que las ediciones futuras abarquen lo siguiente:</w:t>
      </w:r>
    </w:p>
    <w:p w14:paraId="70169A7E" w14:textId="77777777" w:rsidR="00DB27FE" w:rsidRPr="006D3772" w:rsidRDefault="00DB27FE" w:rsidP="00DB27FE">
      <w:pPr>
        <w:pStyle w:val="ListParagraph"/>
        <w:numPr>
          <w:ilvl w:val="0"/>
          <w:numId w:val="27"/>
        </w:numPr>
        <w:ind w:left="810"/>
        <w:rPr>
          <w:lang w:val="es-ES"/>
        </w:rPr>
      </w:pPr>
      <w:r w:rsidRPr="006D3772">
        <w:rPr>
          <w:b/>
          <w:lang w:val="es-ES"/>
        </w:rPr>
        <w:t>Evaluaciones mundiales</w:t>
      </w:r>
      <w:r w:rsidRPr="006D3772">
        <w:rPr>
          <w:lang w:val="es-ES"/>
        </w:rPr>
        <w:t>: Evaluando el estado, las tendencias, la biodiversidad, los servicios de los ecosistemas y los vínculos entre los humedales y el bienestar humano a escala mundial. Las evaluaciones regionales proporcionarían componentes fundamentales de la evaluación mundial.</w:t>
      </w:r>
    </w:p>
    <w:p w14:paraId="2E31C66A" w14:textId="77777777" w:rsidR="00DB27FE" w:rsidRPr="006D3772" w:rsidRDefault="00DB27FE" w:rsidP="00DB27FE">
      <w:pPr>
        <w:pStyle w:val="ListParagraph"/>
        <w:numPr>
          <w:ilvl w:val="0"/>
          <w:numId w:val="27"/>
        </w:numPr>
        <w:ind w:left="810"/>
        <w:rPr>
          <w:lang w:val="es-ES"/>
        </w:rPr>
      </w:pPr>
      <w:r w:rsidRPr="006D3772">
        <w:rPr>
          <w:b/>
          <w:lang w:val="es-ES"/>
        </w:rPr>
        <w:t>Evaluaciones temáticas</w:t>
      </w:r>
      <w:r w:rsidRPr="006D3772">
        <w:rPr>
          <w:lang w:val="es-ES"/>
        </w:rPr>
        <w:t>: Centrándose en cuestiones contemporáneas como los humedales como soluciones basadas en la naturaleza.</w:t>
      </w:r>
    </w:p>
    <w:p w14:paraId="4695A6E6" w14:textId="77777777" w:rsidR="00DB27FE" w:rsidRPr="006D3772" w:rsidRDefault="00DB27FE" w:rsidP="00DB27FE">
      <w:pPr>
        <w:pStyle w:val="ListParagraph"/>
        <w:numPr>
          <w:ilvl w:val="0"/>
          <w:numId w:val="27"/>
        </w:numPr>
        <w:ind w:left="810"/>
        <w:rPr>
          <w:lang w:val="es-ES"/>
        </w:rPr>
      </w:pPr>
      <w:r w:rsidRPr="006D3772">
        <w:rPr>
          <w:b/>
          <w:lang w:val="es-ES"/>
        </w:rPr>
        <w:t xml:space="preserve">Evaluaciones metodológicas: </w:t>
      </w:r>
      <w:r w:rsidRPr="006D3772">
        <w:rPr>
          <w:lang w:val="es-ES"/>
        </w:rPr>
        <w:t>Examinando la disponibilidad y aplicación de métodos como la observación de la Tierra para el seguimiento de los humedales.</w:t>
      </w:r>
      <w:r w:rsidRPr="006D3772">
        <w:rPr>
          <w:rStyle w:val="FootnoteReference"/>
          <w:lang w:val="es-ES"/>
        </w:rPr>
        <w:footnoteReference w:id="17"/>
      </w:r>
      <w:r w:rsidRPr="006D3772">
        <w:rPr>
          <w:lang w:val="es-ES"/>
        </w:rPr>
        <w:t xml:space="preserve"> </w:t>
      </w:r>
    </w:p>
    <w:p w14:paraId="7630AFF3" w14:textId="77777777" w:rsidR="00DB27FE" w:rsidRPr="006D3772" w:rsidRDefault="00DB27FE" w:rsidP="00DB27FE">
      <w:pPr>
        <w:pStyle w:val="ListParagraph"/>
        <w:rPr>
          <w:lang w:val="es-ES"/>
        </w:rPr>
      </w:pPr>
    </w:p>
    <w:p w14:paraId="44DAFAC8" w14:textId="77777777" w:rsidR="00DB27FE" w:rsidRPr="006D3772" w:rsidRDefault="00DB27FE" w:rsidP="00DB27FE">
      <w:pPr>
        <w:ind w:left="432" w:hanging="432"/>
        <w:rPr>
          <w:lang w:val="es-ES"/>
        </w:rPr>
      </w:pPr>
      <w:r w:rsidRPr="006D3772">
        <w:rPr>
          <w:lang w:val="es-ES"/>
        </w:rPr>
        <w:lastRenderedPageBreak/>
        <w:t>8.</w:t>
      </w:r>
      <w:r w:rsidRPr="006D3772">
        <w:rPr>
          <w:lang w:val="es-ES"/>
        </w:rPr>
        <w:tab/>
        <w:t xml:space="preserve">En la evaluación mundial también debería hacerse un seguimiento de la aplicación de los objetivos, metas e indicadores del Plan Estratégico de la Convención, complementando la información procedente de los informes nacionales con más datos científicos. </w:t>
      </w:r>
    </w:p>
    <w:p w14:paraId="1FD3AE17" w14:textId="77777777" w:rsidR="00DB27FE" w:rsidRPr="006D3772" w:rsidRDefault="00DB27FE" w:rsidP="00DB27FE">
      <w:pPr>
        <w:rPr>
          <w:lang w:val="es-ES"/>
        </w:rPr>
      </w:pPr>
    </w:p>
    <w:p w14:paraId="16CA5D42" w14:textId="77777777" w:rsidR="00DB27FE" w:rsidRPr="006D3772" w:rsidRDefault="00DB27FE" w:rsidP="00DB27FE">
      <w:pPr>
        <w:keepNext/>
        <w:rPr>
          <w:lang w:val="es-ES"/>
        </w:rPr>
      </w:pPr>
      <w:r w:rsidRPr="006D3772">
        <w:rPr>
          <w:b/>
          <w:lang w:val="es-ES"/>
        </w:rPr>
        <w:t>Enfoques de otras convenciones y AMMA</w:t>
      </w:r>
    </w:p>
    <w:p w14:paraId="6C686997" w14:textId="0A5DCC3C" w:rsidR="00DB27FE" w:rsidRPr="006D3772" w:rsidRDefault="00DB27FE" w:rsidP="00DB27FE">
      <w:pPr>
        <w:ind w:left="432" w:hanging="432"/>
        <w:rPr>
          <w:rFonts w:eastAsia="Geneva"/>
          <w:color w:val="000000" w:themeColor="text1"/>
          <w:lang w:val="es-ES"/>
        </w:rPr>
      </w:pPr>
      <w:r w:rsidRPr="006D3772">
        <w:rPr>
          <w:lang w:val="es-ES"/>
        </w:rPr>
        <w:t>9.</w:t>
      </w:r>
      <w:r w:rsidRPr="006D3772">
        <w:rPr>
          <w:lang w:val="es-ES"/>
        </w:rPr>
        <w:tab/>
        <w:t>Varios AMMA y plataformas científico-normativas, como la Plataforma Intergubernamental Científico</w:t>
      </w:r>
      <w:r w:rsidR="00DE1A00" w:rsidRPr="006D3772">
        <w:rPr>
          <w:lang w:val="es-ES"/>
        </w:rPr>
        <w:t>-normativa</w:t>
      </w:r>
      <w:r w:rsidRPr="006D3772">
        <w:rPr>
          <w:lang w:val="es-ES"/>
        </w:rPr>
        <w:t xml:space="preserve"> sobre Diversidad Biológica y Servicios de los Ecosistemas </w:t>
      </w:r>
      <w:r w:rsidRPr="006D3772">
        <w:rPr>
          <w:color w:val="000000"/>
          <w:lang w:val="es-ES"/>
        </w:rPr>
        <w:t>(IPBES)</w:t>
      </w:r>
      <w:r w:rsidRPr="006D3772">
        <w:rPr>
          <w:rStyle w:val="FootnoteReference"/>
          <w:color w:val="000000"/>
          <w:lang w:val="es-ES"/>
        </w:rPr>
        <w:footnoteReference w:id="18"/>
      </w:r>
      <w:r w:rsidRPr="006D3772">
        <w:rPr>
          <w:color w:val="000000"/>
          <w:lang w:val="es-ES"/>
        </w:rPr>
        <w:t xml:space="preserve"> y el Grupo Intergubernamental de Expertos sobre el Cambio Climático (IPCC),</w:t>
      </w:r>
      <w:r w:rsidRPr="006D3772">
        <w:rPr>
          <w:rStyle w:val="FootnoteReference"/>
          <w:color w:val="000000"/>
          <w:lang w:val="es-ES"/>
        </w:rPr>
        <w:footnoteReference w:id="19"/>
      </w:r>
      <w:r w:rsidRPr="006D3772">
        <w:rPr>
          <w:rFonts w:eastAsia="Geneva"/>
          <w:lang w:val="es-ES"/>
        </w:rPr>
        <w:t xml:space="preserve"> han establecido procedimientos de evaluación estructurados. El Apéndice 1 contiene un resumen de los enfoques adoptados por otras convenciones. Se propone que la PMH adopte elementos clave de esos enfoques, tales como una finalidad clara de la evaluación, una fase de </w:t>
      </w:r>
      <w:r w:rsidR="00DD05DA" w:rsidRPr="006D3772">
        <w:rPr>
          <w:rFonts w:eastAsia="Geneva"/>
          <w:lang w:val="es-ES"/>
        </w:rPr>
        <w:t xml:space="preserve">determinación del alcance </w:t>
      </w:r>
      <w:r w:rsidRPr="006D3772">
        <w:rPr>
          <w:rFonts w:eastAsia="Geneva"/>
          <w:lang w:val="es-ES"/>
        </w:rPr>
        <w:t xml:space="preserve">detallada, un amplio equipo de expertos, un proceso de revisión explícito y una estrategia de comunicaciones para la </w:t>
      </w:r>
      <w:r w:rsidRPr="006D3772">
        <w:rPr>
          <w:rFonts w:eastAsia="Geneva"/>
          <w:color w:val="000000" w:themeColor="text1"/>
          <w:lang w:val="es-ES"/>
        </w:rPr>
        <w:t>asimilación de los resultados.</w:t>
      </w:r>
    </w:p>
    <w:p w14:paraId="7CA7C408" w14:textId="77777777" w:rsidR="00DB27FE" w:rsidRPr="006D3772" w:rsidRDefault="00DB27FE" w:rsidP="00DB27FE">
      <w:pPr>
        <w:spacing w:line="259" w:lineRule="auto"/>
        <w:rPr>
          <w:rFonts w:eastAsia="Geneva"/>
          <w:lang w:val="es-ES"/>
        </w:rPr>
      </w:pPr>
    </w:p>
    <w:p w14:paraId="4B18629D" w14:textId="77777777" w:rsidR="00DB27FE" w:rsidRPr="006D3772" w:rsidRDefault="00DB27FE" w:rsidP="00DB27FE">
      <w:pPr>
        <w:ind w:left="432" w:hanging="432"/>
        <w:rPr>
          <w:lang w:val="es-ES"/>
        </w:rPr>
      </w:pPr>
      <w:r w:rsidRPr="006D3772">
        <w:rPr>
          <w:lang w:val="es-ES"/>
        </w:rPr>
        <w:t>10.</w:t>
      </w:r>
      <w:r w:rsidRPr="006D3772">
        <w:rPr>
          <w:lang w:val="es-ES"/>
        </w:rPr>
        <w:tab/>
        <w:t>Se propone además que la PMH siga un proceso de evaluación que incluya lo siguiente:</w:t>
      </w:r>
    </w:p>
    <w:p w14:paraId="018BF6AF" w14:textId="77777777" w:rsidR="00DB27FE" w:rsidRPr="006D3772" w:rsidRDefault="00DB27FE" w:rsidP="00DB27FE">
      <w:pPr>
        <w:pStyle w:val="ListParagraph"/>
        <w:numPr>
          <w:ilvl w:val="0"/>
          <w:numId w:val="32"/>
        </w:numPr>
        <w:ind w:left="810"/>
        <w:rPr>
          <w:rFonts w:eastAsia="Calibri"/>
          <w:lang w:val="es-ES"/>
        </w:rPr>
      </w:pPr>
      <w:r w:rsidRPr="006D3772">
        <w:rPr>
          <w:lang w:val="es-ES"/>
        </w:rPr>
        <w:t>Una finalidad clara de la evaluación, que incluya un examen de la aplicación de la Convención</w:t>
      </w:r>
      <w:r w:rsidRPr="006D3772">
        <w:rPr>
          <w:rFonts w:eastAsia="Calibri"/>
          <w:lang w:val="es-ES"/>
        </w:rPr>
        <w:t>;</w:t>
      </w:r>
    </w:p>
    <w:p w14:paraId="71833C49" w14:textId="73A78612" w:rsidR="00DB27FE" w:rsidRPr="006D3772" w:rsidRDefault="00DB27FE" w:rsidP="00DB27FE">
      <w:pPr>
        <w:pStyle w:val="ListParagraph"/>
        <w:numPr>
          <w:ilvl w:val="0"/>
          <w:numId w:val="32"/>
        </w:numPr>
        <w:ind w:left="810"/>
        <w:rPr>
          <w:rFonts w:eastAsia="Calibri"/>
          <w:lang w:val="es-ES"/>
        </w:rPr>
      </w:pPr>
      <w:r w:rsidRPr="006D3772">
        <w:rPr>
          <w:rFonts w:eastAsia="Calibri"/>
          <w:lang w:val="es-ES"/>
        </w:rPr>
        <w:t xml:space="preserve">Una fase de </w:t>
      </w:r>
      <w:r w:rsidR="00DD05DA" w:rsidRPr="006D3772">
        <w:rPr>
          <w:rFonts w:eastAsia="Calibri"/>
          <w:lang w:val="es-ES"/>
        </w:rPr>
        <w:t>determinación del alcance</w:t>
      </w:r>
      <w:r w:rsidRPr="006D3772">
        <w:rPr>
          <w:rFonts w:eastAsia="Calibri"/>
          <w:lang w:val="es-ES"/>
        </w:rPr>
        <w:t xml:space="preserve"> detallada, aprobada por los órganos decisorios pertinentes;</w:t>
      </w:r>
    </w:p>
    <w:p w14:paraId="52ACBCDF" w14:textId="77777777" w:rsidR="00DB27FE" w:rsidRPr="006D3772" w:rsidRDefault="00DB27FE" w:rsidP="00DB27FE">
      <w:pPr>
        <w:pStyle w:val="ListParagraph"/>
        <w:numPr>
          <w:ilvl w:val="0"/>
          <w:numId w:val="32"/>
        </w:numPr>
        <w:ind w:left="810"/>
        <w:rPr>
          <w:rFonts w:eastAsia="Calibri"/>
          <w:lang w:val="es-ES"/>
        </w:rPr>
      </w:pPr>
      <w:r w:rsidRPr="006D3772">
        <w:rPr>
          <w:rFonts w:eastAsia="Calibri"/>
          <w:lang w:val="es-ES"/>
        </w:rPr>
        <w:t>Un amplio equipo de expertos para realizar la evaluación;</w:t>
      </w:r>
    </w:p>
    <w:p w14:paraId="47D6A216" w14:textId="77777777" w:rsidR="00DB27FE" w:rsidRPr="006D3772" w:rsidRDefault="00DB27FE" w:rsidP="00DB27FE">
      <w:pPr>
        <w:pStyle w:val="ListParagraph"/>
        <w:numPr>
          <w:ilvl w:val="0"/>
          <w:numId w:val="32"/>
        </w:numPr>
        <w:ind w:left="810"/>
        <w:rPr>
          <w:rFonts w:eastAsia="Calibri"/>
          <w:lang w:val="es-ES"/>
        </w:rPr>
      </w:pPr>
      <w:r w:rsidRPr="006D3772">
        <w:rPr>
          <w:rFonts w:eastAsia="Calibri"/>
          <w:lang w:val="es-ES"/>
        </w:rPr>
        <w:t xml:space="preserve">Un proceso de </w:t>
      </w:r>
      <w:r w:rsidRPr="006D3772">
        <w:rPr>
          <w:rFonts w:eastAsia="Calibri"/>
          <w:color w:val="000000" w:themeColor="text1"/>
          <w:lang w:val="es-ES"/>
        </w:rPr>
        <w:t xml:space="preserve">revisión </w:t>
      </w:r>
      <w:r w:rsidRPr="006D3772">
        <w:rPr>
          <w:rFonts w:eastAsia="Calibri"/>
          <w:lang w:val="es-ES"/>
        </w:rPr>
        <w:t>explícito y transparente;</w:t>
      </w:r>
    </w:p>
    <w:p w14:paraId="1014EF20" w14:textId="77777777" w:rsidR="00DB27FE" w:rsidRPr="006D3772" w:rsidRDefault="00DB27FE" w:rsidP="00DB27FE">
      <w:pPr>
        <w:pStyle w:val="ListParagraph"/>
        <w:numPr>
          <w:ilvl w:val="0"/>
          <w:numId w:val="32"/>
        </w:numPr>
        <w:ind w:left="810"/>
        <w:rPr>
          <w:rFonts w:eastAsia="Calibri"/>
          <w:lang w:val="es-ES"/>
        </w:rPr>
      </w:pPr>
      <w:r w:rsidRPr="006D3772">
        <w:rPr>
          <w:rFonts w:eastAsia="Calibri"/>
          <w:lang w:val="es-ES"/>
        </w:rPr>
        <w:t>La elaboración de un resumen para responsables de políticas en consulta con las Partes Contratantes;</w:t>
      </w:r>
    </w:p>
    <w:p w14:paraId="0E265CE5" w14:textId="77777777" w:rsidR="00DB27FE" w:rsidRPr="006D3772" w:rsidRDefault="00DB27FE" w:rsidP="00DB27FE">
      <w:pPr>
        <w:pStyle w:val="ListParagraph"/>
        <w:numPr>
          <w:ilvl w:val="0"/>
          <w:numId w:val="32"/>
        </w:numPr>
        <w:ind w:left="810"/>
        <w:rPr>
          <w:rFonts w:eastAsia="Geneva"/>
          <w:lang w:val="es-ES"/>
        </w:rPr>
      </w:pPr>
      <w:r w:rsidRPr="006D3772">
        <w:rPr>
          <w:rFonts w:eastAsia="Calibri"/>
          <w:lang w:val="es-ES"/>
        </w:rPr>
        <w:t>Una estrategia de comunicaciones para contribuir a la aceptación y la aplicación de los resultados de la evaluación.</w:t>
      </w:r>
    </w:p>
    <w:p w14:paraId="70C66E7E" w14:textId="77777777" w:rsidR="00DB27FE" w:rsidRPr="006D3772" w:rsidRDefault="00DB27FE" w:rsidP="00DB27FE">
      <w:pPr>
        <w:rPr>
          <w:lang w:val="es-ES"/>
        </w:rPr>
      </w:pPr>
    </w:p>
    <w:p w14:paraId="0789C58C" w14:textId="77777777" w:rsidR="00DB27FE" w:rsidRPr="006D3772" w:rsidRDefault="00DB27FE" w:rsidP="00DB27FE">
      <w:pPr>
        <w:rPr>
          <w:b/>
          <w:bCs w:val="0"/>
          <w:lang w:val="es-ES"/>
        </w:rPr>
      </w:pPr>
      <w:r w:rsidRPr="006D3772">
        <w:rPr>
          <w:b/>
          <w:lang w:val="es-ES"/>
        </w:rPr>
        <w:t xml:space="preserve">Tipo de producto y frecuencia </w:t>
      </w:r>
    </w:p>
    <w:p w14:paraId="4B6C4362" w14:textId="77777777" w:rsidR="00DB27FE" w:rsidRPr="006D3772" w:rsidRDefault="00DB27FE" w:rsidP="00DB27FE">
      <w:pPr>
        <w:rPr>
          <w:lang w:val="es-ES"/>
        </w:rPr>
      </w:pPr>
    </w:p>
    <w:p w14:paraId="1361D0EF" w14:textId="77777777" w:rsidR="00DB27FE" w:rsidRPr="006D3772" w:rsidRDefault="00DB27FE" w:rsidP="00DB27FE">
      <w:pPr>
        <w:ind w:left="432" w:hanging="432"/>
        <w:rPr>
          <w:lang w:val="es-ES"/>
        </w:rPr>
      </w:pPr>
      <w:r w:rsidRPr="006D3772">
        <w:rPr>
          <w:lang w:val="es-ES"/>
        </w:rPr>
        <w:t>11.</w:t>
      </w:r>
      <w:r w:rsidRPr="006D3772">
        <w:rPr>
          <w:lang w:val="es-ES"/>
        </w:rPr>
        <w:tab/>
        <w:t xml:space="preserve">La </w:t>
      </w:r>
      <w:r w:rsidRPr="006D3772">
        <w:rPr>
          <w:color w:val="000000" w:themeColor="text1"/>
          <w:lang w:val="es-ES"/>
        </w:rPr>
        <w:t xml:space="preserve">PMH publicada en 2018 de la </w:t>
      </w:r>
      <w:r w:rsidRPr="006D3772">
        <w:rPr>
          <w:lang w:val="es-ES"/>
        </w:rPr>
        <w:t xml:space="preserve">fue la primera evaluación mundial que proporcionó datos empíricos detallados sobre el estado de los humedales del mundo. El alcance de esa edición era similar al del informe de síntesis </w:t>
      </w:r>
      <w:r w:rsidRPr="006D3772">
        <w:rPr>
          <w:i/>
          <w:iCs/>
          <w:lang w:val="es-ES"/>
        </w:rPr>
        <w:t>Los Ecosistemas y el Bienestar Humano: Humedales y Agua</w:t>
      </w:r>
      <w:r w:rsidRPr="006D3772">
        <w:rPr>
          <w:lang w:val="es-ES"/>
        </w:rPr>
        <w:t>, publicado en 2005. En la edición especial de 2021 se resumía la información nueva sobre las tendencias de los humedales, ofreciendo lecciones para el uso racional y la protección de los humedales. En 2025 está prevista la publicación de una segunda edición especial centrada en los costos financieros de la pérdida y degradación de los humedales y en las inversiones necesarias para su restauración.</w:t>
      </w:r>
    </w:p>
    <w:p w14:paraId="2A991B7F" w14:textId="77777777" w:rsidR="00DB27FE" w:rsidRPr="006D3772" w:rsidRDefault="00DB27FE" w:rsidP="00DB27FE">
      <w:pPr>
        <w:ind w:left="432" w:hanging="432"/>
        <w:rPr>
          <w:lang w:val="es-ES"/>
        </w:rPr>
      </w:pPr>
    </w:p>
    <w:p w14:paraId="4EC0933B" w14:textId="77777777" w:rsidR="00DB27FE" w:rsidRPr="006D3772" w:rsidRDefault="00DB27FE" w:rsidP="00DB27FE">
      <w:pPr>
        <w:ind w:left="432" w:hanging="432"/>
        <w:rPr>
          <w:lang w:val="es-ES"/>
        </w:rPr>
      </w:pPr>
      <w:r w:rsidRPr="006D3772">
        <w:rPr>
          <w:lang w:val="es-ES"/>
        </w:rPr>
        <w:t>12.</w:t>
      </w:r>
      <w:r w:rsidRPr="006D3772">
        <w:rPr>
          <w:lang w:val="es-ES"/>
        </w:rPr>
        <w:tab/>
        <w:t>Las opciones futuras para la PMH son las siguientes:</w:t>
      </w:r>
    </w:p>
    <w:p w14:paraId="4CDD0BD6" w14:textId="77777777" w:rsidR="00DB27FE" w:rsidRPr="006D3772" w:rsidRDefault="00DB27FE" w:rsidP="00DB27FE">
      <w:pPr>
        <w:pStyle w:val="ListParagraph"/>
        <w:numPr>
          <w:ilvl w:val="0"/>
          <w:numId w:val="28"/>
        </w:numPr>
        <w:ind w:left="810"/>
        <w:rPr>
          <w:lang w:val="es-ES"/>
        </w:rPr>
      </w:pPr>
      <w:r w:rsidRPr="006D3772">
        <w:rPr>
          <w:b/>
          <w:lang w:val="es-ES"/>
        </w:rPr>
        <w:t xml:space="preserve">Evaluaciones mundiales </w:t>
      </w:r>
      <w:r w:rsidRPr="006D3772">
        <w:rPr>
          <w:lang w:val="es-ES"/>
        </w:rPr>
        <w:t>publicadas cada nueve años, que proporcionan un examen exhaustivo del estado y las tendencias de los humedales, los factores impulsores de su degradación y las opciones de respuesta. El calendario de estas evaluaciones estaría sincronizado con el de tres reuniones de la Conferencia de las Partes (COP) y el ciclo del Plan Estratégico;</w:t>
      </w:r>
    </w:p>
    <w:p w14:paraId="571BDC92" w14:textId="77777777" w:rsidR="00DB27FE" w:rsidRPr="006D3772" w:rsidRDefault="00DB27FE" w:rsidP="00DB27FE">
      <w:pPr>
        <w:pStyle w:val="ListParagraph"/>
        <w:numPr>
          <w:ilvl w:val="0"/>
          <w:numId w:val="28"/>
        </w:numPr>
        <w:ind w:left="810"/>
        <w:rPr>
          <w:lang w:val="es-ES"/>
        </w:rPr>
      </w:pPr>
      <w:r w:rsidRPr="006D3772">
        <w:rPr>
          <w:b/>
          <w:lang w:val="es-ES"/>
        </w:rPr>
        <w:t xml:space="preserve">Evaluaciones temáticas o metodológicas </w:t>
      </w:r>
      <w:r w:rsidRPr="006D3772">
        <w:rPr>
          <w:lang w:val="es-ES"/>
        </w:rPr>
        <w:t xml:space="preserve">publicadas cada tres años, centradas en cuestiones actuales o metodologías relevantes para la conservación, el uso racional y el seguimiento de los humedales. Estos temas se pueden extraer de las evaluaciones </w:t>
      </w:r>
      <w:r w:rsidRPr="006D3772">
        <w:rPr>
          <w:lang w:val="es-ES"/>
        </w:rPr>
        <w:lastRenderedPageBreak/>
        <w:t>publicadas por otras convenciones y AMMA, a partir de una tarea prioritaria del plan de trabajo del GECT.</w:t>
      </w:r>
    </w:p>
    <w:p w14:paraId="62E99FFC" w14:textId="77777777" w:rsidR="00DB27FE" w:rsidRPr="006D3772" w:rsidRDefault="00DB27FE" w:rsidP="00DB27FE">
      <w:pPr>
        <w:rPr>
          <w:lang w:val="es-ES"/>
        </w:rPr>
      </w:pPr>
    </w:p>
    <w:p w14:paraId="37AB634F" w14:textId="77777777" w:rsidR="00DB27FE" w:rsidRPr="006D3772" w:rsidRDefault="00DB27FE" w:rsidP="00DB27FE">
      <w:pPr>
        <w:rPr>
          <w:b/>
          <w:bCs w:val="0"/>
          <w:lang w:val="es-ES"/>
        </w:rPr>
      </w:pPr>
      <w:r w:rsidRPr="006D3772">
        <w:rPr>
          <w:b/>
          <w:lang w:val="es-ES"/>
        </w:rPr>
        <w:t>Procedimiento</w:t>
      </w:r>
    </w:p>
    <w:p w14:paraId="450DA298" w14:textId="77777777" w:rsidR="00DB27FE" w:rsidRPr="006D3772" w:rsidRDefault="00DB27FE" w:rsidP="00DB27FE">
      <w:pPr>
        <w:rPr>
          <w:b/>
          <w:bCs w:val="0"/>
          <w:lang w:val="es-ES"/>
        </w:rPr>
      </w:pPr>
    </w:p>
    <w:p w14:paraId="37237357" w14:textId="77777777" w:rsidR="00DB27FE" w:rsidRPr="006D3772" w:rsidRDefault="00DB27FE" w:rsidP="00DB27FE">
      <w:pPr>
        <w:ind w:left="432" w:hanging="432"/>
        <w:rPr>
          <w:lang w:val="es-ES"/>
        </w:rPr>
      </w:pPr>
      <w:r w:rsidRPr="006D3772">
        <w:rPr>
          <w:lang w:val="es-ES"/>
        </w:rPr>
        <w:t>13.</w:t>
      </w:r>
      <w:r w:rsidRPr="006D3772">
        <w:rPr>
          <w:lang w:val="es-ES"/>
        </w:rPr>
        <w:tab/>
        <w:t>La preparación de la PMH se gestiona actualmente como una tarea dentro del plan de trabajo del GECT. En consecuencia, solo los miembros y observadores del GECT han contribuido a la redacción del informe, con el apoyo de consultores que trabajando bajo su estrecha supervisión. Aunque este enfoque ofrece ventajas como la eficacia en función de los costos, el control de los procesos y el respeto de los plazos establecidos, sería recomendable que la PMH fuera el resultado de un proceso de evaluación más estructurado. Esto supondría la constitución estratégica de un equipo diverso de expertos y la incorporación de elementos de creación de capacidad y divulgación para incrementar la profundidad y pertinencia mundial del informe.</w:t>
      </w:r>
    </w:p>
    <w:p w14:paraId="660CAD71" w14:textId="77777777" w:rsidR="00DB27FE" w:rsidRPr="006D3772" w:rsidRDefault="00DB27FE" w:rsidP="00DB27FE">
      <w:pPr>
        <w:rPr>
          <w:lang w:val="es-ES"/>
        </w:rPr>
      </w:pPr>
    </w:p>
    <w:p w14:paraId="0F66A3EB" w14:textId="77777777" w:rsidR="00DB27FE" w:rsidRPr="006D3772" w:rsidRDefault="00DB27FE" w:rsidP="00DB27FE">
      <w:pPr>
        <w:rPr>
          <w:b/>
          <w:bCs w:val="0"/>
          <w:lang w:val="es-ES"/>
        </w:rPr>
      </w:pPr>
      <w:r w:rsidRPr="006D3772">
        <w:rPr>
          <w:b/>
          <w:lang w:val="es-ES"/>
        </w:rPr>
        <w:t>Composición del equipo de evaluación</w:t>
      </w:r>
    </w:p>
    <w:p w14:paraId="6FAB1601" w14:textId="77777777" w:rsidR="00DB27FE" w:rsidRPr="006D3772" w:rsidRDefault="00DB27FE" w:rsidP="00DB27FE">
      <w:pPr>
        <w:ind w:left="432" w:hanging="432"/>
        <w:rPr>
          <w:lang w:val="es-ES"/>
        </w:rPr>
      </w:pPr>
    </w:p>
    <w:p w14:paraId="117827F1" w14:textId="286EC784" w:rsidR="00DB27FE" w:rsidRPr="006D3772" w:rsidRDefault="00DB27FE" w:rsidP="00DB27FE">
      <w:pPr>
        <w:ind w:left="432" w:hanging="432"/>
        <w:rPr>
          <w:lang w:val="es-ES"/>
        </w:rPr>
      </w:pPr>
      <w:r w:rsidRPr="006D3772">
        <w:rPr>
          <w:lang w:val="es-ES"/>
        </w:rPr>
        <w:t>14.</w:t>
      </w:r>
      <w:r w:rsidRPr="006D3772">
        <w:rPr>
          <w:lang w:val="es-ES"/>
        </w:rPr>
        <w:tab/>
        <w:t xml:space="preserve">En ediciones anteriores, los equipos encargados de la evaluación para generar la PMH estuvieron compuestos principalmente por miembros del GECT, dos de los cuales eran los autores principales coordinadores. Aunque este método garantizó la publicación respetando los plazos y el control de los procesos, sería recomendable que la evaluación contara con un grupo de expertos más amplio. Por ejemplo, en la IPBES se han incluido componentes de creación de capacidad incorporando investigadores jóvenes o </w:t>
      </w:r>
      <w:r w:rsidR="00DE1A00" w:rsidRPr="006D3772">
        <w:rPr>
          <w:lang w:val="es-ES"/>
        </w:rPr>
        <w:t>profesionales noveles</w:t>
      </w:r>
      <w:r w:rsidRPr="006D3772">
        <w:rPr>
          <w:lang w:val="es-ES"/>
        </w:rPr>
        <w:t xml:space="preserve"> como becarios de investigación. Este enfoque incrementaría la profundidad de la PMH y ofrecería un conjunto de perspectivas más diverso.</w:t>
      </w:r>
    </w:p>
    <w:p w14:paraId="49A0FA87" w14:textId="77777777" w:rsidR="00DB27FE" w:rsidRPr="006D3772" w:rsidRDefault="00DB27FE" w:rsidP="00DB27FE">
      <w:pPr>
        <w:ind w:left="432" w:hanging="432"/>
        <w:rPr>
          <w:lang w:val="es-ES"/>
        </w:rPr>
      </w:pPr>
    </w:p>
    <w:p w14:paraId="3FB7ECCD" w14:textId="77777777" w:rsidR="00DB27FE" w:rsidRPr="006D3772" w:rsidRDefault="00DB27FE" w:rsidP="00DB27FE">
      <w:pPr>
        <w:ind w:left="432" w:hanging="432"/>
        <w:rPr>
          <w:lang w:val="es-ES"/>
        </w:rPr>
      </w:pPr>
      <w:r w:rsidRPr="006D3772">
        <w:rPr>
          <w:lang w:val="es-ES"/>
        </w:rPr>
        <w:t>15.</w:t>
      </w:r>
      <w:r w:rsidRPr="006D3772">
        <w:rPr>
          <w:lang w:val="es-ES"/>
        </w:rPr>
        <w:tab/>
        <w:t>Se recomienda en las ediciones futuras de la PMH los equipos responsables tengan la siguiente composición:</w:t>
      </w:r>
      <w:r w:rsidRPr="006D3772">
        <w:rPr>
          <w:rStyle w:val="FootnoteReference"/>
          <w:lang w:val="es-ES"/>
        </w:rPr>
        <w:footnoteReference w:id="20"/>
      </w:r>
    </w:p>
    <w:p w14:paraId="0E04538F" w14:textId="77777777" w:rsidR="00DB27FE" w:rsidRPr="006D3772" w:rsidRDefault="00DB27FE" w:rsidP="00DB27FE">
      <w:pPr>
        <w:pStyle w:val="ListParagraph"/>
        <w:numPr>
          <w:ilvl w:val="0"/>
          <w:numId w:val="33"/>
        </w:numPr>
        <w:ind w:left="810"/>
        <w:rPr>
          <w:lang w:val="es-ES"/>
        </w:rPr>
      </w:pPr>
      <w:r w:rsidRPr="006D3772">
        <w:rPr>
          <w:color w:val="000000" w:themeColor="text1"/>
          <w:lang w:val="es-ES"/>
        </w:rPr>
        <w:t>Autores principales coordinadores</w:t>
      </w:r>
      <w:r w:rsidRPr="006D3772">
        <w:rPr>
          <w:lang w:val="es-ES"/>
        </w:rPr>
        <w:t>: Responsables de presentar la evaluación general, gestionar los plazos y elaborar el resumen para responsables de políticas.</w:t>
      </w:r>
    </w:p>
    <w:p w14:paraId="57065BAE" w14:textId="77777777" w:rsidR="00DB27FE" w:rsidRPr="006D3772" w:rsidRDefault="00DB27FE" w:rsidP="00DB27FE">
      <w:pPr>
        <w:pStyle w:val="ListParagraph"/>
        <w:numPr>
          <w:ilvl w:val="0"/>
          <w:numId w:val="33"/>
        </w:numPr>
        <w:ind w:left="810"/>
        <w:rPr>
          <w:lang w:val="es-ES"/>
        </w:rPr>
      </w:pPr>
      <w:r w:rsidRPr="006D3772">
        <w:rPr>
          <w:color w:val="000000" w:themeColor="text1"/>
          <w:lang w:val="es-ES"/>
        </w:rPr>
        <w:t>Autores principales</w:t>
      </w:r>
      <w:r w:rsidRPr="006D3772">
        <w:rPr>
          <w:lang w:val="es-ES"/>
        </w:rPr>
        <w:t>: Encargados de realizar la evaluación siguiendo el marco establecido, seleccionados mediante una convocatoria abierta, incluyendo a miembros del GECT.</w:t>
      </w:r>
    </w:p>
    <w:p w14:paraId="29F80E09" w14:textId="77777777" w:rsidR="00DB27FE" w:rsidRPr="006D3772" w:rsidRDefault="00DB27FE" w:rsidP="00DB27FE">
      <w:pPr>
        <w:pStyle w:val="ListParagraph"/>
        <w:numPr>
          <w:ilvl w:val="0"/>
          <w:numId w:val="33"/>
        </w:numPr>
        <w:ind w:left="810"/>
        <w:rPr>
          <w:lang w:val="es-ES"/>
        </w:rPr>
      </w:pPr>
      <w:r w:rsidRPr="006D3772">
        <w:rPr>
          <w:color w:val="000000" w:themeColor="text1"/>
          <w:lang w:val="es-ES"/>
        </w:rPr>
        <w:t>Autores colaboradores</w:t>
      </w:r>
      <w:r w:rsidRPr="006D3772">
        <w:rPr>
          <w:lang w:val="es-ES"/>
        </w:rPr>
        <w:t>: Expertos invitados para proporcionar contribuciones técnicas o gráficos sobre temas específicos que se tratan en la evaluación.</w:t>
      </w:r>
    </w:p>
    <w:p w14:paraId="2C3F315C" w14:textId="77777777" w:rsidR="00DB27FE" w:rsidRPr="006D3772" w:rsidRDefault="00DB27FE" w:rsidP="00DB27FE">
      <w:pPr>
        <w:pStyle w:val="ListParagraph"/>
        <w:numPr>
          <w:ilvl w:val="0"/>
          <w:numId w:val="33"/>
        </w:numPr>
        <w:ind w:left="810"/>
        <w:rPr>
          <w:lang w:val="es-ES"/>
        </w:rPr>
      </w:pPr>
      <w:r w:rsidRPr="006D3772">
        <w:rPr>
          <w:lang w:val="es-ES"/>
        </w:rPr>
        <w:t>Revisores: Encargados de garantizar que todos los comentarios pertinentes realizados en la revisión se tengan en cuenta y de que se traten adecuadamente las cuestiones controvertidas.</w:t>
      </w:r>
    </w:p>
    <w:p w14:paraId="0F5551D8" w14:textId="0EA59427" w:rsidR="00DB27FE" w:rsidRPr="006D3772" w:rsidRDefault="00DB27FE" w:rsidP="00DB27FE">
      <w:pPr>
        <w:pStyle w:val="ListParagraph"/>
        <w:numPr>
          <w:ilvl w:val="0"/>
          <w:numId w:val="33"/>
        </w:numPr>
        <w:ind w:left="810"/>
        <w:rPr>
          <w:lang w:val="es-ES"/>
        </w:rPr>
      </w:pPr>
      <w:r w:rsidRPr="006D3772">
        <w:rPr>
          <w:color w:val="000000" w:themeColor="text1"/>
          <w:lang w:val="es-ES"/>
        </w:rPr>
        <w:t>Becarios</w:t>
      </w:r>
      <w:r w:rsidRPr="006D3772">
        <w:rPr>
          <w:lang w:val="es-ES"/>
        </w:rPr>
        <w:t xml:space="preserve">: Investigadores o profesionales </w:t>
      </w:r>
      <w:r w:rsidR="00DE1A00" w:rsidRPr="006D3772">
        <w:rPr>
          <w:lang w:val="es-ES"/>
        </w:rPr>
        <w:t>noveles</w:t>
      </w:r>
      <w:r w:rsidRPr="006D3772">
        <w:rPr>
          <w:lang w:val="es-ES"/>
        </w:rPr>
        <w:t xml:space="preserve"> que brinden asistencia a los autores principales, designados mediante una convocatoria abierta para promover la creación de capacidad. </w:t>
      </w:r>
    </w:p>
    <w:p w14:paraId="57318084" w14:textId="77777777" w:rsidR="00DB27FE" w:rsidRPr="006D3772" w:rsidRDefault="00DB27FE" w:rsidP="00DB27FE">
      <w:pPr>
        <w:rPr>
          <w:b/>
          <w:bCs w:val="0"/>
          <w:lang w:val="es-ES"/>
        </w:rPr>
      </w:pPr>
    </w:p>
    <w:p w14:paraId="211C38DF" w14:textId="77777777" w:rsidR="00DB27FE" w:rsidRPr="006D3772" w:rsidRDefault="00DB27FE" w:rsidP="00DB27FE">
      <w:pPr>
        <w:rPr>
          <w:b/>
          <w:bCs w:val="0"/>
          <w:lang w:val="es-ES"/>
        </w:rPr>
      </w:pPr>
      <w:r w:rsidRPr="006D3772">
        <w:rPr>
          <w:b/>
          <w:color w:val="000000" w:themeColor="text1"/>
          <w:lang w:val="es-ES"/>
        </w:rPr>
        <w:t xml:space="preserve">Fases de la </w:t>
      </w:r>
      <w:r w:rsidRPr="006D3772">
        <w:rPr>
          <w:b/>
          <w:lang w:val="es-ES"/>
        </w:rPr>
        <w:t>evaluación</w:t>
      </w:r>
    </w:p>
    <w:p w14:paraId="52BE9296" w14:textId="77777777" w:rsidR="00DB27FE" w:rsidRPr="006D3772" w:rsidRDefault="00DB27FE" w:rsidP="00DB27FE">
      <w:pPr>
        <w:rPr>
          <w:lang w:val="es-ES"/>
        </w:rPr>
      </w:pPr>
    </w:p>
    <w:p w14:paraId="740A5A95" w14:textId="77777777" w:rsidR="00DB27FE" w:rsidRPr="006D3772" w:rsidRDefault="00DB27FE" w:rsidP="00DB27FE">
      <w:pPr>
        <w:ind w:left="432" w:hanging="432"/>
        <w:rPr>
          <w:lang w:val="es-ES"/>
        </w:rPr>
      </w:pPr>
      <w:r w:rsidRPr="006D3772">
        <w:rPr>
          <w:lang w:val="es-ES"/>
        </w:rPr>
        <w:t>16.</w:t>
      </w:r>
      <w:r w:rsidRPr="006D3772">
        <w:rPr>
          <w:lang w:val="es-ES"/>
        </w:rPr>
        <w:tab/>
        <w:t xml:space="preserve">Actualmente, la evaluación PMH se inicia a partir de la descripción de una tarea aprobada en el plan de trabajo del GECT. El GECT elabora en su primera reunión el índice detallado, que guía la preparación del informe. Para mejorar el proceso de elaboración, se recomienda adoptar un enfoque de evaluación por etapas, como es habitual en otras evaluaciones mundiales, y así garantizar que haya etapas estructuradas y mecanismos de revisión adecuados. </w:t>
      </w:r>
    </w:p>
    <w:p w14:paraId="4C41FB04" w14:textId="77777777" w:rsidR="00DB27FE" w:rsidRPr="006D3772" w:rsidRDefault="00DB27FE" w:rsidP="00DB27FE">
      <w:pPr>
        <w:rPr>
          <w:lang w:val="es-ES"/>
        </w:rPr>
      </w:pPr>
    </w:p>
    <w:p w14:paraId="1A47B015" w14:textId="77777777" w:rsidR="00DB27FE" w:rsidRPr="006D3772" w:rsidRDefault="00DB27FE" w:rsidP="00DB27FE">
      <w:pPr>
        <w:ind w:left="432" w:hanging="432"/>
        <w:rPr>
          <w:lang w:val="es-ES"/>
        </w:rPr>
      </w:pPr>
      <w:r w:rsidRPr="006D3772">
        <w:rPr>
          <w:rFonts w:eastAsia="Geneva"/>
          <w:lang w:val="es-ES"/>
        </w:rPr>
        <w:lastRenderedPageBreak/>
        <w:t>17.</w:t>
      </w:r>
      <w:r w:rsidRPr="006D3772">
        <w:rPr>
          <w:rFonts w:eastAsia="Geneva"/>
          <w:lang w:val="es-ES"/>
        </w:rPr>
        <w:tab/>
        <w:t>El enfoque por etapas que se propone incluye lo siguiente:</w:t>
      </w:r>
    </w:p>
    <w:p w14:paraId="4B3AD11F" w14:textId="77777777" w:rsidR="00DB27FE" w:rsidRPr="006D3772" w:rsidRDefault="00DB27FE" w:rsidP="00DB27FE">
      <w:pPr>
        <w:pStyle w:val="ListParagraph"/>
        <w:rPr>
          <w:lang w:val="es-ES"/>
        </w:rPr>
      </w:pPr>
    </w:p>
    <w:p w14:paraId="2A7574A5" w14:textId="0656BAB2" w:rsidR="00DB27FE" w:rsidRPr="006D3772" w:rsidRDefault="00DB27FE" w:rsidP="00DB27FE">
      <w:pPr>
        <w:ind w:left="432"/>
        <w:rPr>
          <w:lang w:val="es-ES"/>
        </w:rPr>
      </w:pPr>
      <w:r w:rsidRPr="006D3772">
        <w:rPr>
          <w:b/>
          <w:color w:val="000000" w:themeColor="text1"/>
          <w:lang w:val="es-ES"/>
        </w:rPr>
        <w:t xml:space="preserve">Etapa </w:t>
      </w:r>
      <w:r w:rsidRPr="006D3772">
        <w:rPr>
          <w:b/>
          <w:lang w:val="es-ES"/>
        </w:rPr>
        <w:t>1</w:t>
      </w:r>
      <w:r w:rsidRPr="006D3772">
        <w:rPr>
          <w:lang w:val="es-ES"/>
        </w:rPr>
        <w:t xml:space="preserve">: </w:t>
      </w:r>
      <w:r w:rsidR="00DD05DA" w:rsidRPr="006D3772">
        <w:rPr>
          <w:lang w:val="es-ES"/>
        </w:rPr>
        <w:t>Determinación del alcance</w:t>
      </w:r>
      <w:r w:rsidRPr="006D3772">
        <w:rPr>
          <w:lang w:val="es-ES"/>
        </w:rPr>
        <w:t xml:space="preserve"> – Se preparará un documento </w:t>
      </w:r>
      <w:r w:rsidR="00DD05DA" w:rsidRPr="006D3772">
        <w:rPr>
          <w:lang w:val="es-ES"/>
        </w:rPr>
        <w:t>de determinación del alcance</w:t>
      </w:r>
      <w:r w:rsidRPr="006D3772">
        <w:rPr>
          <w:lang w:val="es-ES"/>
        </w:rPr>
        <w:t xml:space="preserve"> para cada ciclo de preparación de la PMH a fin de guiar el proceso de evaluación. El documento deberá indicar lo siguiente:</w:t>
      </w:r>
    </w:p>
    <w:p w14:paraId="7708A45F" w14:textId="77777777" w:rsidR="00DB27FE" w:rsidRPr="006D3772" w:rsidRDefault="00DB27FE" w:rsidP="00DB27FE">
      <w:pPr>
        <w:pStyle w:val="ListParagraph"/>
        <w:numPr>
          <w:ilvl w:val="0"/>
          <w:numId w:val="34"/>
        </w:numPr>
        <w:ind w:left="990" w:hanging="540"/>
        <w:rPr>
          <w:lang w:val="es-ES"/>
        </w:rPr>
      </w:pPr>
      <w:r w:rsidRPr="006D3772">
        <w:rPr>
          <w:lang w:val="es-ES"/>
        </w:rPr>
        <w:t>Preguntas relevantes para las políticas;</w:t>
      </w:r>
    </w:p>
    <w:p w14:paraId="2196C6D3" w14:textId="77777777" w:rsidR="00DB27FE" w:rsidRPr="006D3772" w:rsidRDefault="00DB27FE" w:rsidP="00DB27FE">
      <w:pPr>
        <w:pStyle w:val="ListParagraph"/>
        <w:numPr>
          <w:ilvl w:val="0"/>
          <w:numId w:val="34"/>
        </w:numPr>
        <w:ind w:left="990" w:hanging="540"/>
        <w:rPr>
          <w:lang w:val="es-ES"/>
        </w:rPr>
      </w:pPr>
      <w:r w:rsidRPr="006D3772">
        <w:rPr>
          <w:lang w:val="es-ES"/>
        </w:rPr>
        <w:t>Límites geográficos de la evaluación, si procede;</w:t>
      </w:r>
    </w:p>
    <w:p w14:paraId="30565F4D" w14:textId="77777777" w:rsidR="00DB27FE" w:rsidRPr="006D3772" w:rsidRDefault="00DB27FE" w:rsidP="00DB27FE">
      <w:pPr>
        <w:pStyle w:val="ListParagraph"/>
        <w:numPr>
          <w:ilvl w:val="0"/>
          <w:numId w:val="34"/>
        </w:numPr>
        <w:ind w:left="990" w:hanging="540"/>
        <w:rPr>
          <w:lang w:val="es-ES"/>
        </w:rPr>
      </w:pPr>
      <w:r w:rsidRPr="006D3772">
        <w:rPr>
          <w:color w:val="000000" w:themeColor="text1"/>
          <w:lang w:val="es-ES"/>
        </w:rPr>
        <w:t>Justificación de la evaluación</w:t>
      </w:r>
      <w:r w:rsidRPr="006D3772">
        <w:rPr>
          <w:lang w:val="es-ES"/>
        </w:rPr>
        <w:t>, incluido su posible impacto;</w:t>
      </w:r>
    </w:p>
    <w:p w14:paraId="7C92CDDB" w14:textId="77777777" w:rsidR="00DB27FE" w:rsidRPr="006D3772" w:rsidRDefault="00DB27FE" w:rsidP="00DB27FE">
      <w:pPr>
        <w:pStyle w:val="ListParagraph"/>
        <w:numPr>
          <w:ilvl w:val="0"/>
          <w:numId w:val="34"/>
        </w:numPr>
        <w:ind w:left="990" w:hanging="540"/>
        <w:rPr>
          <w:lang w:val="es-ES"/>
        </w:rPr>
      </w:pPr>
      <w:r w:rsidRPr="006D3772">
        <w:rPr>
          <w:lang w:val="es-ES"/>
        </w:rPr>
        <w:t>Utilidad de la evaluación, mencionando los usuarios finales previstos;</w:t>
      </w:r>
    </w:p>
    <w:p w14:paraId="26F0564D" w14:textId="77777777" w:rsidR="00DB27FE" w:rsidRPr="006D3772" w:rsidRDefault="00DB27FE" w:rsidP="00DB27FE">
      <w:pPr>
        <w:pStyle w:val="ListParagraph"/>
        <w:numPr>
          <w:ilvl w:val="0"/>
          <w:numId w:val="34"/>
        </w:numPr>
        <w:ind w:left="990" w:hanging="540"/>
        <w:rPr>
          <w:lang w:val="es-ES"/>
        </w:rPr>
      </w:pPr>
      <w:r w:rsidRPr="006D3772">
        <w:rPr>
          <w:lang w:val="es-ES"/>
        </w:rPr>
        <w:t>Marco metodológico y enfoque de evaluación;</w:t>
      </w:r>
    </w:p>
    <w:p w14:paraId="6D2B98AB" w14:textId="77777777" w:rsidR="00DB27FE" w:rsidRPr="006D3772" w:rsidRDefault="00DB27FE" w:rsidP="00DB27FE">
      <w:pPr>
        <w:pStyle w:val="ListParagraph"/>
        <w:numPr>
          <w:ilvl w:val="0"/>
          <w:numId w:val="34"/>
        </w:numPr>
        <w:ind w:left="990" w:hanging="540"/>
        <w:rPr>
          <w:lang w:val="es-ES"/>
        </w:rPr>
      </w:pPr>
      <w:r w:rsidRPr="006D3772">
        <w:rPr>
          <w:color w:val="000000" w:themeColor="text1"/>
          <w:lang w:val="es-ES"/>
        </w:rPr>
        <w:t xml:space="preserve">Lista de capítulos, con </w:t>
      </w:r>
      <w:r w:rsidRPr="006D3772">
        <w:rPr>
          <w:lang w:val="es-ES"/>
        </w:rPr>
        <w:t>una breve explicación de cada uno;</w:t>
      </w:r>
    </w:p>
    <w:p w14:paraId="3C8CCA03" w14:textId="77777777" w:rsidR="00DB27FE" w:rsidRPr="006D3772" w:rsidRDefault="00DB27FE" w:rsidP="00DB27FE">
      <w:pPr>
        <w:pStyle w:val="ListParagraph"/>
        <w:numPr>
          <w:ilvl w:val="0"/>
          <w:numId w:val="34"/>
        </w:numPr>
        <w:ind w:left="990" w:hanging="540"/>
        <w:rPr>
          <w:lang w:val="es-ES"/>
        </w:rPr>
      </w:pPr>
      <w:r w:rsidRPr="006D3772">
        <w:rPr>
          <w:lang w:val="es-ES"/>
        </w:rPr>
        <w:t>Principales conjuntos de datos que se utilizarán;</w:t>
      </w:r>
    </w:p>
    <w:p w14:paraId="002EB288" w14:textId="77777777" w:rsidR="00DB27FE" w:rsidRPr="006D3772" w:rsidRDefault="00DB27FE" w:rsidP="00DB27FE">
      <w:pPr>
        <w:pStyle w:val="ListParagraph"/>
        <w:numPr>
          <w:ilvl w:val="0"/>
          <w:numId w:val="34"/>
        </w:numPr>
        <w:ind w:left="990" w:hanging="540"/>
        <w:rPr>
          <w:lang w:val="es-ES"/>
        </w:rPr>
      </w:pPr>
      <w:r w:rsidRPr="006D3772">
        <w:rPr>
          <w:color w:val="000000" w:themeColor="text1"/>
          <w:lang w:val="es-ES"/>
        </w:rPr>
        <w:t xml:space="preserve">Colaboraciones </w:t>
      </w:r>
      <w:r w:rsidRPr="006D3772">
        <w:rPr>
          <w:lang w:val="es-ES"/>
        </w:rPr>
        <w:t>esenciales para realizar la evaluación;</w:t>
      </w:r>
    </w:p>
    <w:p w14:paraId="1A83ABEE" w14:textId="77777777" w:rsidR="00DB27FE" w:rsidRPr="006D3772" w:rsidRDefault="00DB27FE" w:rsidP="00DB27FE">
      <w:pPr>
        <w:pStyle w:val="ListParagraph"/>
        <w:numPr>
          <w:ilvl w:val="0"/>
          <w:numId w:val="34"/>
        </w:numPr>
        <w:ind w:left="990" w:hanging="540"/>
        <w:rPr>
          <w:lang w:val="es-ES"/>
        </w:rPr>
      </w:pPr>
      <w:r w:rsidRPr="006D3772">
        <w:rPr>
          <w:lang w:val="es-ES"/>
        </w:rPr>
        <w:t>Procedimiento y calendario;</w:t>
      </w:r>
    </w:p>
    <w:p w14:paraId="4867767E" w14:textId="77777777" w:rsidR="00DB27FE" w:rsidRPr="006D3772" w:rsidRDefault="00DB27FE" w:rsidP="00DB27FE">
      <w:pPr>
        <w:pStyle w:val="ListParagraph"/>
        <w:numPr>
          <w:ilvl w:val="0"/>
          <w:numId w:val="34"/>
        </w:numPr>
        <w:ind w:left="990" w:hanging="540"/>
        <w:rPr>
          <w:lang w:val="es-ES"/>
        </w:rPr>
      </w:pPr>
      <w:r w:rsidRPr="006D3772">
        <w:rPr>
          <w:lang w:val="es-ES"/>
        </w:rPr>
        <w:t>Estrategias de comunicación y divulgación;</w:t>
      </w:r>
    </w:p>
    <w:p w14:paraId="4439AE59" w14:textId="77777777" w:rsidR="00DB27FE" w:rsidRPr="006D3772" w:rsidRDefault="00DB27FE" w:rsidP="00DB27FE">
      <w:pPr>
        <w:pStyle w:val="ListParagraph"/>
        <w:numPr>
          <w:ilvl w:val="0"/>
          <w:numId w:val="34"/>
        </w:numPr>
        <w:ind w:left="990" w:hanging="540"/>
        <w:rPr>
          <w:lang w:val="es-ES"/>
        </w:rPr>
      </w:pPr>
      <w:r w:rsidRPr="006D3772">
        <w:rPr>
          <w:lang w:val="es-ES"/>
        </w:rPr>
        <w:t>Desarrollo de capacidad, detallando las competencias y conocimientos necesarios para realizar la evaluación; y</w:t>
      </w:r>
    </w:p>
    <w:p w14:paraId="73E271EF" w14:textId="77777777" w:rsidR="00DB27FE" w:rsidRPr="006D3772" w:rsidRDefault="00DB27FE" w:rsidP="00DB27FE">
      <w:pPr>
        <w:pStyle w:val="ListParagraph"/>
        <w:numPr>
          <w:ilvl w:val="0"/>
          <w:numId w:val="34"/>
        </w:numPr>
        <w:ind w:left="990" w:hanging="540"/>
        <w:rPr>
          <w:lang w:val="es-ES"/>
        </w:rPr>
      </w:pPr>
      <w:r w:rsidRPr="006D3772">
        <w:rPr>
          <w:lang w:val="es-ES"/>
        </w:rPr>
        <w:t>Requisitos presupuestarios.</w:t>
      </w:r>
    </w:p>
    <w:p w14:paraId="5139C35A" w14:textId="77777777" w:rsidR="00DB27FE" w:rsidRPr="006D3772" w:rsidRDefault="00DB27FE" w:rsidP="00DB27FE">
      <w:pPr>
        <w:ind w:left="432"/>
        <w:rPr>
          <w:lang w:val="es-ES"/>
        </w:rPr>
      </w:pPr>
    </w:p>
    <w:p w14:paraId="30083255" w14:textId="76471CA2" w:rsidR="00DB27FE" w:rsidRPr="006D3772" w:rsidRDefault="00DB27FE" w:rsidP="00DB27FE">
      <w:pPr>
        <w:ind w:left="432"/>
        <w:rPr>
          <w:lang w:val="es-ES"/>
        </w:rPr>
      </w:pPr>
      <w:r w:rsidRPr="006D3772">
        <w:rPr>
          <w:lang w:val="es-ES"/>
        </w:rPr>
        <w:t xml:space="preserve">Se recomienda que GECT prepare </w:t>
      </w:r>
      <w:r w:rsidR="006A06F2" w:rsidRPr="006D3772">
        <w:rPr>
          <w:lang w:val="es-ES"/>
        </w:rPr>
        <w:t xml:space="preserve">el documento de determinación del alcance </w:t>
      </w:r>
      <w:r w:rsidRPr="006D3772">
        <w:rPr>
          <w:lang w:val="es-ES"/>
        </w:rPr>
        <w:t>como parte de su plan de trabajo para el próximo trienio y lo presente al Comité Permanente para su aprobación.</w:t>
      </w:r>
    </w:p>
    <w:p w14:paraId="457FAA2A" w14:textId="77777777" w:rsidR="00DB27FE" w:rsidRPr="006D3772" w:rsidRDefault="00DB27FE" w:rsidP="00DB27FE">
      <w:pPr>
        <w:pStyle w:val="ListParagraph"/>
        <w:ind w:left="1440"/>
        <w:rPr>
          <w:lang w:val="es-ES"/>
        </w:rPr>
      </w:pPr>
      <w:r w:rsidRPr="006D3772">
        <w:rPr>
          <w:lang w:val="es-ES"/>
        </w:rPr>
        <w:t xml:space="preserve"> </w:t>
      </w:r>
    </w:p>
    <w:p w14:paraId="4DAFEB71" w14:textId="77777777" w:rsidR="00DB27FE" w:rsidRPr="006D3772" w:rsidRDefault="00DB27FE" w:rsidP="00DB27FE">
      <w:pPr>
        <w:ind w:left="432"/>
        <w:rPr>
          <w:lang w:val="es-ES"/>
        </w:rPr>
      </w:pPr>
      <w:r w:rsidRPr="006D3772">
        <w:rPr>
          <w:b/>
          <w:color w:val="000000" w:themeColor="text1"/>
          <w:lang w:val="es-ES"/>
        </w:rPr>
        <w:t xml:space="preserve">Etapa </w:t>
      </w:r>
      <w:r w:rsidRPr="006D3772">
        <w:rPr>
          <w:b/>
          <w:lang w:val="es-ES"/>
        </w:rPr>
        <w:t>2</w:t>
      </w:r>
      <w:r w:rsidRPr="006D3772">
        <w:rPr>
          <w:lang w:val="es-ES"/>
        </w:rPr>
        <w:t xml:space="preserve">: Evaluación – El equipo responsable de la evaluación, compuesto por los autores principales coordinadores, los autores principales y los becarios, evaluará el estado del conocimiento sobre la cuestión. Se recomienda que la Presidencia y Vicepresidencia, en consulta con la Secretaría, designen a los autores principales coordinadores. Los autores principales se pueden seleccionar mediante una convocatoria abierta de la Secretaría y pueden incluir a miembros del GECT y expertos externos sobre el tema (por invitación específica). constituir el equipo responsable de la evaluación, es importante garantizar la diversidad en materia de género, regiones y disciplinas. Asimismo, los becarios deberían ser seleccionados mediante una convocatoria abierta para ayudar a los autores principales a realizar la evaluación y contribuir a la creación de capacidad. </w:t>
      </w:r>
    </w:p>
    <w:p w14:paraId="70E83440" w14:textId="77777777" w:rsidR="00DB27FE" w:rsidRPr="006D3772" w:rsidRDefault="00DB27FE" w:rsidP="00DB27FE">
      <w:pPr>
        <w:rPr>
          <w:lang w:val="es-ES"/>
        </w:rPr>
      </w:pPr>
    </w:p>
    <w:p w14:paraId="1729722A" w14:textId="6AD82CD6" w:rsidR="00DB27FE" w:rsidRPr="006D3772" w:rsidRDefault="00DB27FE" w:rsidP="00DB27FE">
      <w:pPr>
        <w:ind w:left="432"/>
        <w:rPr>
          <w:lang w:val="es-ES"/>
        </w:rPr>
      </w:pPr>
      <w:r w:rsidRPr="006D3772">
        <w:rPr>
          <w:lang w:val="es-ES"/>
        </w:rPr>
        <w:t xml:space="preserve">Un aspecto fundamental de la evaluación será comunicar adecuadamente la confianza que los expertos tienen en los resultados. Se pueden adoptar prácticas establecidas, como las que utilizan la IPBES y el IPCC, para comunicar el nivel de confianza en términos cualitativos (véase el </w:t>
      </w:r>
      <w:r w:rsidR="00006997" w:rsidRPr="00006997">
        <w:rPr>
          <w:lang w:val="es-ES"/>
        </w:rPr>
        <w:t>Apéndice 2</w:t>
      </w:r>
      <w:r w:rsidR="00006997">
        <w:rPr>
          <w:lang w:val="es-ES"/>
        </w:rPr>
        <w:t xml:space="preserve"> </w:t>
      </w:r>
      <w:r w:rsidRPr="006D3772">
        <w:rPr>
          <w:lang w:val="es-ES"/>
        </w:rPr>
        <w:t>para consultar un ejemplo ilustrativo de la IPBES), particularmente para los resúmenes de capítulos y el resumen para responsables de políticas. También se recomienda mantener una trazabilidad de los resultados de la evaluación y el nivel de confianza de estos incluyendo referencias en las secciones pertinentes para justificar los datos utilizados en la evaluación. Al realizar la evaluación, debería incluirse la preparación de un resumen para responsables de políticas que proporcione un resumen de alto nivel en un lenguaje no técnico para los responsables de la toma de decisiones.</w:t>
      </w:r>
    </w:p>
    <w:p w14:paraId="2C0D72ED" w14:textId="77777777" w:rsidR="00DB27FE" w:rsidRPr="006D3772" w:rsidRDefault="00DB27FE" w:rsidP="00DB27FE">
      <w:pPr>
        <w:ind w:left="432"/>
        <w:rPr>
          <w:lang w:val="es-ES"/>
        </w:rPr>
      </w:pPr>
    </w:p>
    <w:p w14:paraId="1AFEB462" w14:textId="77777777" w:rsidR="00DB27FE" w:rsidRPr="006D3772" w:rsidRDefault="00DB27FE" w:rsidP="00DB27FE">
      <w:pPr>
        <w:ind w:left="432"/>
        <w:rPr>
          <w:lang w:val="es-ES"/>
        </w:rPr>
      </w:pPr>
      <w:r w:rsidRPr="006D3772">
        <w:rPr>
          <w:lang w:val="es-ES"/>
        </w:rPr>
        <w:t>Pasos propuestos para realizar la evaluación:</w:t>
      </w:r>
    </w:p>
    <w:p w14:paraId="385AD59D" w14:textId="6C2F52E0" w:rsidR="00DB27FE" w:rsidRPr="006D3772" w:rsidRDefault="00DB27FE" w:rsidP="00DB27FE">
      <w:pPr>
        <w:pStyle w:val="ListParagraph"/>
        <w:numPr>
          <w:ilvl w:val="0"/>
          <w:numId w:val="35"/>
        </w:numPr>
        <w:ind w:left="990" w:hanging="540"/>
        <w:rPr>
          <w:lang w:val="es-ES"/>
        </w:rPr>
      </w:pPr>
      <w:r w:rsidRPr="006D3772">
        <w:rPr>
          <w:b/>
          <w:color w:val="000000" w:themeColor="text1"/>
          <w:lang w:val="es-ES"/>
        </w:rPr>
        <w:t>Borrador cero</w:t>
      </w:r>
      <w:r w:rsidRPr="006D3772">
        <w:rPr>
          <w:color w:val="000000" w:themeColor="text1"/>
          <w:lang w:val="es-ES"/>
        </w:rPr>
        <w:t xml:space="preserve">: Este </w:t>
      </w:r>
      <w:r w:rsidRPr="006D3772">
        <w:rPr>
          <w:lang w:val="es-ES"/>
        </w:rPr>
        <w:t xml:space="preserve">incluirá un esquema anotado basado en el </w:t>
      </w:r>
      <w:r w:rsidR="00967AF3" w:rsidRPr="00967AF3">
        <w:rPr>
          <w:lang w:val="es-ES"/>
        </w:rPr>
        <w:t>documento de determinación del alcance</w:t>
      </w:r>
      <w:r w:rsidRPr="006D3772">
        <w:rPr>
          <w:lang w:val="es-ES"/>
        </w:rPr>
        <w:t>. En esa etapa se determina quiénes serán los autores colaboradores y los principales conjuntos de datos, análisis y ejemplos necesarios para la evaluación. El calendario de la evaluación se acuerda con los autores principales. Este borrador debe prepararse en los primeros seis meses del trienio.</w:t>
      </w:r>
    </w:p>
    <w:p w14:paraId="0FC1C2DA" w14:textId="77777777" w:rsidR="00DB27FE" w:rsidRPr="006D3772" w:rsidRDefault="00DB27FE" w:rsidP="00DB27FE">
      <w:pPr>
        <w:pStyle w:val="ListParagraph"/>
        <w:numPr>
          <w:ilvl w:val="0"/>
          <w:numId w:val="35"/>
        </w:numPr>
        <w:ind w:left="990" w:hanging="540"/>
        <w:rPr>
          <w:lang w:val="es-ES"/>
        </w:rPr>
      </w:pPr>
      <w:r w:rsidRPr="006D3772">
        <w:rPr>
          <w:b/>
          <w:color w:val="000000" w:themeColor="text1"/>
          <w:lang w:val="es-ES"/>
        </w:rPr>
        <w:lastRenderedPageBreak/>
        <w:t>Primer borrador</w:t>
      </w:r>
      <w:r w:rsidRPr="006D3772">
        <w:rPr>
          <w:color w:val="000000" w:themeColor="text1"/>
          <w:lang w:val="es-ES"/>
        </w:rPr>
        <w:t xml:space="preserve">: </w:t>
      </w:r>
      <w:r w:rsidRPr="006D3772">
        <w:rPr>
          <w:lang w:val="es-ES"/>
        </w:rPr>
        <w:t>En este se habrá finalizado aproximadamente el 70 % de la evaluación, así como los borradores iniciales de los resúmenes ejecutivos de los capítulos. En esa etapa se habrán definido también los gráficos necesarios. Los revisores propondrán una lista de expertos para revisar este borrador. El primer borrador debería estar listo para finales del primer año del trienio.</w:t>
      </w:r>
    </w:p>
    <w:p w14:paraId="175CDE5E" w14:textId="77777777" w:rsidR="00DB27FE" w:rsidRPr="006D3772" w:rsidRDefault="00DB27FE" w:rsidP="00DB27FE">
      <w:pPr>
        <w:pStyle w:val="ListParagraph"/>
        <w:numPr>
          <w:ilvl w:val="0"/>
          <w:numId w:val="35"/>
        </w:numPr>
        <w:ind w:left="990" w:hanging="540"/>
        <w:rPr>
          <w:lang w:val="es-ES"/>
        </w:rPr>
      </w:pPr>
      <w:r w:rsidRPr="006D3772">
        <w:rPr>
          <w:b/>
          <w:lang w:val="es-ES"/>
        </w:rPr>
        <w:t>Segundo borrador</w:t>
      </w:r>
      <w:r w:rsidRPr="006D3772">
        <w:rPr>
          <w:lang w:val="es-ES"/>
        </w:rPr>
        <w:t>: Este incluirá todo el texto y los gráficos e incorporará los comentarios realizados durante el examen del primer borrador. En esta etapa también se elaborará el proyecto del resumen para responsables de políticas. Este borrador debe remitirse a gobiernos y observadores para su examen y debería finalizarse para finales del segundo año del trienio.</w:t>
      </w:r>
    </w:p>
    <w:p w14:paraId="60CB8653" w14:textId="77777777" w:rsidR="00DB27FE" w:rsidRPr="006D3772" w:rsidRDefault="00DB27FE" w:rsidP="00DB27FE">
      <w:pPr>
        <w:pStyle w:val="ListParagraph"/>
        <w:numPr>
          <w:ilvl w:val="0"/>
          <w:numId w:val="35"/>
        </w:numPr>
        <w:ind w:left="990" w:hanging="540"/>
        <w:rPr>
          <w:lang w:val="es-ES"/>
        </w:rPr>
      </w:pPr>
      <w:r w:rsidRPr="006D3772">
        <w:rPr>
          <w:b/>
          <w:color w:val="000000" w:themeColor="text1"/>
          <w:lang w:val="es-ES"/>
        </w:rPr>
        <w:t>Tercer borrador</w:t>
      </w:r>
      <w:r w:rsidRPr="006D3772">
        <w:rPr>
          <w:color w:val="000000" w:themeColor="text1"/>
          <w:lang w:val="es-ES"/>
        </w:rPr>
        <w:t xml:space="preserve">: Este </w:t>
      </w:r>
      <w:r w:rsidRPr="006D3772">
        <w:rPr>
          <w:lang w:val="es-ES"/>
        </w:rPr>
        <w:t xml:space="preserve">contendrá el texto y los gráficos definitivos, teniendo en cuenta los comentarios de los gobiernos y observadores sobre el segundo borrador y el resumen para responsables de políticas. Este último finalizado deberá presentarse a la próxima reunión del Comité Permanente, de forma que este decida si debe presentarse una resolución basada en los resultados de la evaluación a la próxima Conferencia de las Partes Contratantes (COP). El tercer borrador debería finalizarse en un plazo de seis meses desde la finalización del segundo. </w:t>
      </w:r>
    </w:p>
    <w:p w14:paraId="7AED179C" w14:textId="77777777" w:rsidR="00DB27FE" w:rsidRPr="006D3772" w:rsidRDefault="00DB27FE" w:rsidP="00DB27FE">
      <w:pPr>
        <w:ind w:left="432"/>
        <w:rPr>
          <w:rFonts w:eastAsiaTheme="minorHAnsi"/>
          <w:kern w:val="2"/>
          <w:lang w:val="es-ES"/>
          <w14:ligatures w14:val="standardContextual"/>
        </w:rPr>
      </w:pPr>
    </w:p>
    <w:p w14:paraId="74AFA65E" w14:textId="687EF288" w:rsidR="00DB27FE" w:rsidRPr="006D3772" w:rsidRDefault="00DB27FE" w:rsidP="00DB27FE">
      <w:pPr>
        <w:ind w:left="432"/>
        <w:rPr>
          <w:lang w:val="es-ES"/>
        </w:rPr>
      </w:pPr>
      <w:r w:rsidRPr="006D3772">
        <w:rPr>
          <w:rFonts w:eastAsiaTheme="minorHAnsi"/>
          <w:b/>
          <w:kern w:val="2"/>
          <w:lang w:val="es-ES"/>
          <w14:ligatures w14:val="standardContextual"/>
        </w:rPr>
        <w:t>Etapa 3</w:t>
      </w:r>
      <w:r w:rsidRPr="006D3772">
        <w:rPr>
          <w:rFonts w:eastAsiaTheme="minorHAnsi"/>
          <w:kern w:val="2"/>
          <w:lang w:val="es-ES"/>
          <w14:ligatures w14:val="standardContextual"/>
        </w:rPr>
        <w:t xml:space="preserve">: </w:t>
      </w:r>
      <w:r w:rsidR="00A129D9" w:rsidRPr="006D3772">
        <w:rPr>
          <w:rFonts w:eastAsiaTheme="minorHAnsi"/>
          <w:kern w:val="2"/>
          <w:lang w:val="es-ES"/>
          <w14:ligatures w14:val="standardContextual"/>
        </w:rPr>
        <w:t>Examen y r</w:t>
      </w:r>
      <w:r w:rsidR="006A06F2" w:rsidRPr="006D3772">
        <w:rPr>
          <w:rFonts w:eastAsiaTheme="minorHAnsi"/>
          <w:kern w:val="2"/>
          <w:lang w:val="es-ES"/>
          <w14:ligatures w14:val="standardContextual"/>
        </w:rPr>
        <w:t xml:space="preserve">evisión </w:t>
      </w:r>
      <w:r w:rsidRPr="006D3772">
        <w:rPr>
          <w:rFonts w:eastAsiaTheme="minorHAnsi"/>
          <w:kern w:val="2"/>
          <w:lang w:val="es-ES"/>
          <w14:ligatures w14:val="standardContextual"/>
        </w:rPr>
        <w:t xml:space="preserve">– </w:t>
      </w:r>
      <w:r w:rsidRPr="006D3772">
        <w:rPr>
          <w:rFonts w:eastAsiaTheme="minorHAnsi"/>
          <w:color w:val="000000" w:themeColor="text1"/>
          <w:kern w:val="2"/>
          <w:lang w:val="es-ES"/>
          <w14:ligatures w14:val="standardContextual"/>
        </w:rPr>
        <w:t>Simultáneamente a la evaluación</w:t>
      </w:r>
      <w:r w:rsidRPr="006D3772">
        <w:rPr>
          <w:rFonts w:eastAsiaTheme="minorHAnsi"/>
          <w:kern w:val="2"/>
          <w:lang w:val="es-ES"/>
          <w14:ligatures w14:val="standardContextual"/>
        </w:rPr>
        <w:t>, se recomienda que la PMH sea objeto de un</w:t>
      </w:r>
      <w:r w:rsidR="006A06F2" w:rsidRPr="006D3772">
        <w:rPr>
          <w:rFonts w:eastAsiaTheme="minorHAnsi"/>
          <w:kern w:val="2"/>
          <w:lang w:val="es-ES"/>
          <w14:ligatures w14:val="standardContextual"/>
        </w:rPr>
        <w:t xml:space="preserve">a revisión </w:t>
      </w:r>
      <w:r w:rsidRPr="006D3772">
        <w:rPr>
          <w:rFonts w:eastAsiaTheme="minorHAnsi"/>
          <w:kern w:val="2"/>
          <w:lang w:val="es-ES"/>
          <w14:ligatures w14:val="standardContextual"/>
        </w:rPr>
        <w:t>independiente. El borrador cero y el primer borrador deberían ser objeto de una revisión interna por el GECT y las organizaciones observadoras. El segundo borrador y el resumen para responsables de políticas deberían enviarse a las Partes Contratantes para su examen y comentarios, con un claro mecanismo para incorporar estos últimos. El revisor deberá asegurarse de que se tengan en cuenta todos los comentarios durante el proceso de revisión.</w:t>
      </w:r>
    </w:p>
    <w:p w14:paraId="118E572B" w14:textId="77777777" w:rsidR="00DB27FE" w:rsidRPr="006D3772" w:rsidRDefault="00DB27FE" w:rsidP="00DB27FE">
      <w:pPr>
        <w:pStyle w:val="ListParagraph"/>
        <w:ind w:left="1440"/>
        <w:rPr>
          <w:lang w:val="es-ES"/>
        </w:rPr>
      </w:pPr>
    </w:p>
    <w:p w14:paraId="1CB2B935" w14:textId="633E1D78" w:rsidR="00DB27FE" w:rsidRPr="006D3772" w:rsidRDefault="00DB27FE" w:rsidP="00DB27FE">
      <w:pPr>
        <w:ind w:left="432"/>
        <w:rPr>
          <w:lang w:val="es-ES"/>
        </w:rPr>
      </w:pPr>
      <w:r w:rsidRPr="006D3772">
        <w:rPr>
          <w:b/>
          <w:lang w:val="es-ES"/>
        </w:rPr>
        <w:t>Etapa 4</w:t>
      </w:r>
      <w:r w:rsidRPr="006D3772">
        <w:rPr>
          <w:lang w:val="es-ES"/>
        </w:rPr>
        <w:t xml:space="preserve">: Comunicaciones y </w:t>
      </w:r>
      <w:r w:rsidRPr="006D3772">
        <w:rPr>
          <w:color w:val="000000" w:themeColor="text1"/>
          <w:lang w:val="es-ES"/>
        </w:rPr>
        <w:t xml:space="preserve">divulgación </w:t>
      </w:r>
      <w:r w:rsidRPr="006D3772">
        <w:rPr>
          <w:lang w:val="es-ES"/>
        </w:rPr>
        <w:t xml:space="preserve">– En esta etapa, la PMH y su resumen se divulgarán con arreglo a una estrategia de comunicaciones preparada en consulta con el Grupo de supervisión de las actividades de comunicación, </w:t>
      </w:r>
      <w:r w:rsidR="006D3772" w:rsidRPr="006D3772">
        <w:rPr>
          <w:lang w:val="es-ES"/>
        </w:rPr>
        <w:t xml:space="preserve">fomento de capacidad, </w:t>
      </w:r>
      <w:r w:rsidRPr="006D3772">
        <w:rPr>
          <w:lang w:val="es-ES"/>
        </w:rPr>
        <w:t>educación, concienciación y participación (</w:t>
      </w:r>
      <w:r w:rsidR="00E10757">
        <w:rPr>
          <w:lang w:val="es-ES"/>
        </w:rPr>
        <w:t>CECoP</w:t>
      </w:r>
      <w:r w:rsidRPr="006D3772">
        <w:rPr>
          <w:lang w:val="es-ES"/>
        </w:rPr>
        <w:t xml:space="preserve">). Se puede incrementar el impacto de la PMH a través de los siguientes mecanismos: </w:t>
      </w:r>
    </w:p>
    <w:p w14:paraId="0F77DCA8" w14:textId="77777777" w:rsidR="00DB27FE" w:rsidRPr="006D3772" w:rsidRDefault="00DB27FE" w:rsidP="00DB27FE">
      <w:pPr>
        <w:pStyle w:val="ListParagraph"/>
        <w:numPr>
          <w:ilvl w:val="0"/>
          <w:numId w:val="32"/>
        </w:numPr>
        <w:ind w:left="810"/>
        <w:rPr>
          <w:rFonts w:eastAsia="Calibri"/>
          <w:lang w:val="es-ES"/>
        </w:rPr>
      </w:pPr>
      <w:r w:rsidRPr="006D3772">
        <w:rPr>
          <w:rFonts w:eastAsia="Calibri"/>
          <w:lang w:val="es-ES"/>
        </w:rPr>
        <w:t>Colaborando con otras convenciones, AMMA, Organizaciones Internacionales Asociadas (OIA) y centros regionales para promover la utilización de los resultados de la PMH;</w:t>
      </w:r>
    </w:p>
    <w:p w14:paraId="0458C791" w14:textId="77777777" w:rsidR="00DB27FE" w:rsidRPr="006D3772" w:rsidRDefault="00DB27FE" w:rsidP="00DB27FE">
      <w:pPr>
        <w:pStyle w:val="ListParagraph"/>
        <w:numPr>
          <w:ilvl w:val="0"/>
          <w:numId w:val="32"/>
        </w:numPr>
        <w:ind w:left="810"/>
        <w:rPr>
          <w:rFonts w:eastAsia="Calibri"/>
          <w:lang w:val="es-ES"/>
        </w:rPr>
      </w:pPr>
      <w:r w:rsidRPr="006D3772">
        <w:rPr>
          <w:rFonts w:eastAsia="Calibri"/>
          <w:lang w:val="es-ES"/>
        </w:rPr>
        <w:t>Informando a la comunidad científica y los organismos de financiación de la investigación sobre los conocimientos y las carencias de datos observados para promover una mayor investigación y seguimiento;</w:t>
      </w:r>
    </w:p>
    <w:p w14:paraId="5CECB16F" w14:textId="77777777" w:rsidR="00DB27FE" w:rsidRPr="006D3772" w:rsidRDefault="00DB27FE" w:rsidP="00DB27FE">
      <w:pPr>
        <w:pStyle w:val="ListParagraph"/>
        <w:numPr>
          <w:ilvl w:val="0"/>
          <w:numId w:val="32"/>
        </w:numPr>
        <w:ind w:left="810"/>
        <w:rPr>
          <w:rFonts w:eastAsia="Calibri"/>
          <w:lang w:val="es-ES"/>
        </w:rPr>
      </w:pPr>
      <w:r w:rsidRPr="006D3772">
        <w:rPr>
          <w:rFonts w:eastAsia="Calibri"/>
          <w:lang w:val="es-ES"/>
        </w:rPr>
        <w:t>Colaborando con universidades e instituciones de investigación para incorporar los resultados de la PMH en programas curriculares académicos e implicar a estudiantes en la investigación sobre humedales;</w:t>
      </w:r>
    </w:p>
    <w:p w14:paraId="7F5FCC28" w14:textId="77777777" w:rsidR="00DB27FE" w:rsidRPr="006D3772" w:rsidRDefault="00DB27FE" w:rsidP="00DB27FE">
      <w:pPr>
        <w:pStyle w:val="ListParagraph"/>
        <w:numPr>
          <w:ilvl w:val="0"/>
          <w:numId w:val="32"/>
        </w:numPr>
        <w:ind w:left="810"/>
        <w:rPr>
          <w:rFonts w:eastAsia="Calibri"/>
          <w:lang w:val="es-ES"/>
        </w:rPr>
      </w:pPr>
      <w:r w:rsidRPr="006D3772">
        <w:rPr>
          <w:rFonts w:eastAsia="Calibri"/>
          <w:lang w:val="es-ES"/>
        </w:rPr>
        <w:t>Trabajando con las Partes Contratantes a través de actividades de CECoP y creación de capacidad para promover evaluaciones regionales y nacionales de humedales basadas en los resultados de la PMH;</w:t>
      </w:r>
    </w:p>
    <w:p w14:paraId="19281CC2" w14:textId="77777777" w:rsidR="00DB27FE" w:rsidRPr="006D3772" w:rsidRDefault="00DB27FE" w:rsidP="00DB27FE">
      <w:pPr>
        <w:pStyle w:val="ListParagraph"/>
        <w:numPr>
          <w:ilvl w:val="0"/>
          <w:numId w:val="32"/>
        </w:numPr>
        <w:ind w:left="810"/>
        <w:rPr>
          <w:rFonts w:eastAsia="Calibri"/>
          <w:lang w:val="es-ES"/>
        </w:rPr>
      </w:pPr>
      <w:r w:rsidRPr="006D3772">
        <w:rPr>
          <w:rFonts w:eastAsia="Calibri"/>
          <w:lang w:val="es-ES"/>
        </w:rPr>
        <w:t>Redactando publicaciones científicas sobre los principales de la PMH cuyos autores sean expertos implicados en la evaluación, y divulgándolas mediante el sitio web de la Convención;</w:t>
      </w:r>
    </w:p>
    <w:p w14:paraId="32E40C7A" w14:textId="4134C084" w:rsidR="00DB27FE" w:rsidRPr="006D3772" w:rsidRDefault="00DB27FE" w:rsidP="00DB27FE">
      <w:pPr>
        <w:pStyle w:val="ListParagraph"/>
        <w:numPr>
          <w:ilvl w:val="0"/>
          <w:numId w:val="32"/>
        </w:numPr>
        <w:ind w:left="810"/>
        <w:rPr>
          <w:rFonts w:eastAsia="Calibri"/>
          <w:lang w:val="es-ES"/>
        </w:rPr>
      </w:pPr>
      <w:r w:rsidRPr="006D3772">
        <w:rPr>
          <w:rFonts w:eastAsia="Calibri"/>
          <w:lang w:val="es-ES"/>
        </w:rPr>
        <w:t xml:space="preserve">Destacando proyectos e iniciativas exitosos en materia de conservación de los humedales como </w:t>
      </w:r>
      <w:r w:rsidR="006F3DD5" w:rsidRPr="006D3772">
        <w:rPr>
          <w:rFonts w:eastAsia="Calibri"/>
          <w:lang w:val="es-ES"/>
        </w:rPr>
        <w:t xml:space="preserve">casos de estudio </w:t>
      </w:r>
      <w:r w:rsidRPr="006D3772">
        <w:rPr>
          <w:rFonts w:eastAsia="Calibri"/>
          <w:lang w:val="es-ES"/>
        </w:rPr>
        <w:t>para demostrar la aplicación práctica de las recomendaciones de la PMH;</w:t>
      </w:r>
    </w:p>
    <w:p w14:paraId="71BF8187" w14:textId="77777777" w:rsidR="00DB27FE" w:rsidRPr="006D3772" w:rsidRDefault="00DB27FE" w:rsidP="00DB27FE">
      <w:pPr>
        <w:pStyle w:val="ListParagraph"/>
        <w:numPr>
          <w:ilvl w:val="0"/>
          <w:numId w:val="32"/>
        </w:numPr>
        <w:ind w:left="810"/>
        <w:rPr>
          <w:rFonts w:eastAsia="Calibri"/>
          <w:lang w:val="es-ES"/>
        </w:rPr>
      </w:pPr>
      <w:r w:rsidRPr="006D3772">
        <w:rPr>
          <w:rFonts w:eastAsia="Calibri"/>
          <w:lang w:val="es-ES"/>
        </w:rPr>
        <w:t>Organizando seminarios web y talleres interactivos para divulgar los resultados de la PMH y promoviendo el diálogo entre responsables de políticas, científicos y profesionales;</w:t>
      </w:r>
    </w:p>
    <w:p w14:paraId="5AD916BF" w14:textId="77777777" w:rsidR="00DB27FE" w:rsidRPr="006D3772" w:rsidRDefault="00DB27FE" w:rsidP="00DB27FE">
      <w:pPr>
        <w:pStyle w:val="ListParagraph"/>
        <w:numPr>
          <w:ilvl w:val="0"/>
          <w:numId w:val="32"/>
        </w:numPr>
        <w:ind w:left="810"/>
        <w:rPr>
          <w:rFonts w:eastAsia="Calibri"/>
          <w:lang w:val="es-ES"/>
        </w:rPr>
      </w:pPr>
      <w:r w:rsidRPr="006D3772">
        <w:rPr>
          <w:rFonts w:eastAsia="Calibri"/>
          <w:lang w:val="es-ES"/>
        </w:rPr>
        <w:t xml:space="preserve">Utilizando campañas en las redes sociales para crear conciencia sobre los resultados de la PMH, implicando a un mayor público y promoviendo la conservación de los humedales; y </w:t>
      </w:r>
    </w:p>
    <w:p w14:paraId="554A7D38" w14:textId="77777777" w:rsidR="00DB27FE" w:rsidRPr="006D3772" w:rsidRDefault="00DB27FE" w:rsidP="00DB27FE">
      <w:pPr>
        <w:pStyle w:val="ListParagraph"/>
        <w:numPr>
          <w:ilvl w:val="0"/>
          <w:numId w:val="32"/>
        </w:numPr>
        <w:ind w:left="810"/>
        <w:rPr>
          <w:rFonts w:eastAsia="Calibri"/>
          <w:lang w:val="es-ES"/>
        </w:rPr>
      </w:pPr>
      <w:r w:rsidRPr="006D3772">
        <w:rPr>
          <w:rFonts w:eastAsia="Calibri"/>
          <w:lang w:val="es-ES"/>
        </w:rPr>
        <w:lastRenderedPageBreak/>
        <w:t>Garantizando que el informe y los resúmenes de la PMH estén disponibles en varios idiomas para incrementar su accesibilidad y alcance.</w:t>
      </w:r>
    </w:p>
    <w:p w14:paraId="25B2B366" w14:textId="77777777" w:rsidR="00DB27FE" w:rsidRPr="006D3772" w:rsidRDefault="00DB27FE" w:rsidP="00DB27FE">
      <w:pPr>
        <w:rPr>
          <w:lang w:val="es-ES"/>
        </w:rPr>
      </w:pPr>
    </w:p>
    <w:p w14:paraId="539912AA" w14:textId="77777777" w:rsidR="00DB27FE" w:rsidRPr="006D3772" w:rsidRDefault="00DB27FE" w:rsidP="00DB27FE">
      <w:pPr>
        <w:rPr>
          <w:b/>
          <w:bCs w:val="0"/>
          <w:lang w:val="es-ES"/>
        </w:rPr>
      </w:pPr>
      <w:r w:rsidRPr="006D3772">
        <w:rPr>
          <w:b/>
          <w:lang w:val="es-ES"/>
        </w:rPr>
        <w:t xml:space="preserve">Resumen para responsables de políticas </w:t>
      </w:r>
    </w:p>
    <w:p w14:paraId="326DEFF5" w14:textId="77777777" w:rsidR="00DB27FE" w:rsidRPr="006D3772" w:rsidRDefault="00DB27FE" w:rsidP="00DB27FE">
      <w:pPr>
        <w:rPr>
          <w:lang w:val="es-ES"/>
        </w:rPr>
      </w:pPr>
    </w:p>
    <w:p w14:paraId="3E9B4892" w14:textId="77777777" w:rsidR="00DB27FE" w:rsidRPr="006D3772" w:rsidRDefault="00DB27FE" w:rsidP="00DB27FE">
      <w:pPr>
        <w:ind w:left="432" w:hanging="432"/>
        <w:rPr>
          <w:lang w:val="es-ES"/>
        </w:rPr>
      </w:pPr>
      <w:r w:rsidRPr="006D3772">
        <w:rPr>
          <w:lang w:val="es-ES"/>
        </w:rPr>
        <w:t>18.</w:t>
      </w:r>
      <w:r w:rsidRPr="006D3772">
        <w:rPr>
          <w:lang w:val="es-ES"/>
        </w:rPr>
        <w:tab/>
        <w:t>Se recomienda que cada PMH contenga un resumen para responsables de políticas en el que se señalen los principales datos y recomendaciones del informe en mensajes claros para los responsables de la toma de decisiones que se puedan traducir en acciones concretas. En principio, los autores principales coordinadores serían los responsables de redactar el resumen, que posteriormente sería presentado al Comité Permanente para su aprobación. En caso necesario, podría presentarse a la Conferencia de las Partes una resolución basada en los resultados de la PMH.</w:t>
      </w:r>
    </w:p>
    <w:p w14:paraId="663BD637" w14:textId="77777777" w:rsidR="00DB27FE" w:rsidRPr="006D3772" w:rsidRDefault="00DB27FE" w:rsidP="00DB27FE">
      <w:pPr>
        <w:ind w:left="432" w:hanging="432"/>
        <w:rPr>
          <w:lang w:val="es-ES"/>
        </w:rPr>
      </w:pPr>
    </w:p>
    <w:p w14:paraId="2095D945" w14:textId="77777777" w:rsidR="00DB27FE" w:rsidRPr="006D3772" w:rsidRDefault="00DB27FE" w:rsidP="00DB27FE">
      <w:pPr>
        <w:rPr>
          <w:lang w:val="es-ES"/>
        </w:rPr>
      </w:pPr>
      <w:r w:rsidRPr="006D3772">
        <w:rPr>
          <w:b/>
          <w:lang w:val="es-ES"/>
        </w:rPr>
        <w:t>Temas propuestos para futuras ediciones de la PMH</w:t>
      </w:r>
    </w:p>
    <w:p w14:paraId="2FBCE503" w14:textId="77777777" w:rsidR="00DB27FE" w:rsidRPr="006D3772" w:rsidRDefault="00DB27FE" w:rsidP="00DB27FE">
      <w:pPr>
        <w:rPr>
          <w:lang w:val="es-ES"/>
        </w:rPr>
      </w:pPr>
    </w:p>
    <w:p w14:paraId="7CAA7FB9" w14:textId="77777777" w:rsidR="00DB27FE" w:rsidRPr="006D3772" w:rsidRDefault="00DB27FE" w:rsidP="00DB27FE">
      <w:pPr>
        <w:ind w:left="432" w:hanging="432"/>
        <w:rPr>
          <w:lang w:val="es-ES"/>
        </w:rPr>
      </w:pPr>
      <w:r w:rsidRPr="006D3772">
        <w:rPr>
          <w:lang w:val="es-ES"/>
        </w:rPr>
        <w:t>20.</w:t>
      </w:r>
      <w:r w:rsidRPr="006D3772">
        <w:rPr>
          <w:lang w:val="es-ES"/>
        </w:rPr>
        <w:tab/>
        <w:t>Se recomienda que la próxima edición de la PMH sea una evaluación mundial similar a la de 2018. En ella se deberían analizar exhaustivamente el estado y las tendencias de los humedales, los factores impulsores directos e indirectos de la degradación y las opciones de respuesta. Esta debería basarse en evaluaciones regionales. En aras de la coherencia metodológica, también puede utilizarse el marco empleado en la evaluación de 2018 como base de esta evaluación (incluidas las actualizaciones futuras pertinentes, como revisiones del índice de tendencias de la extensión de los humedales o WET y el índice del estado de las características ecológicas o ECSI). Además, la evaluación debería incluir una evaluación del Cuarto Plan Estratégico (2016-2024) y deberían establecerse valores de referencia para las metas que se fijen en el próximo Quinto Plan Estratégico.</w:t>
      </w:r>
      <w:r w:rsidRPr="006D3772">
        <w:rPr>
          <w:rStyle w:val="FootnoteReference"/>
          <w:lang w:val="es-ES"/>
        </w:rPr>
        <w:footnoteReference w:id="21"/>
      </w:r>
      <w:r w:rsidRPr="006D3772">
        <w:rPr>
          <w:lang w:val="es-ES"/>
        </w:rPr>
        <w:t xml:space="preserve"> </w:t>
      </w:r>
    </w:p>
    <w:p w14:paraId="33F2E208" w14:textId="77777777" w:rsidR="00DB27FE" w:rsidRPr="006D3772" w:rsidRDefault="00DB27FE" w:rsidP="00DB27FE">
      <w:pPr>
        <w:ind w:left="720"/>
        <w:rPr>
          <w:lang w:val="es-ES"/>
        </w:rPr>
      </w:pPr>
    </w:p>
    <w:p w14:paraId="07D6101F" w14:textId="77777777" w:rsidR="00DB27FE" w:rsidRPr="006D3772" w:rsidRDefault="00DB27FE" w:rsidP="00DB27FE">
      <w:pPr>
        <w:ind w:left="432" w:hanging="432"/>
        <w:rPr>
          <w:lang w:val="es-ES"/>
        </w:rPr>
      </w:pPr>
      <w:r w:rsidRPr="006D3772">
        <w:rPr>
          <w:lang w:val="es-ES"/>
        </w:rPr>
        <w:t>21.</w:t>
      </w:r>
      <w:r w:rsidRPr="006D3772">
        <w:rPr>
          <w:lang w:val="es-ES"/>
        </w:rPr>
        <w:tab/>
        <w:t>Las evaluaciones futuras para la preparación de la PMH deberían ser exámenes mundiales exhaustivos similares a la edición de 2018, evaluando el estado y las tendencias de los humedales, los factores impulsores de la degradación y las opciones de respuesta. Esto puede incluir lo siguiente:</w:t>
      </w:r>
    </w:p>
    <w:p w14:paraId="3A35261E" w14:textId="77777777" w:rsidR="00DB27FE" w:rsidRPr="006D3772" w:rsidRDefault="00DB27FE" w:rsidP="00DB27FE">
      <w:pPr>
        <w:pStyle w:val="ListParagraph"/>
        <w:numPr>
          <w:ilvl w:val="0"/>
          <w:numId w:val="29"/>
        </w:numPr>
        <w:ind w:left="810"/>
        <w:rPr>
          <w:lang w:val="es-ES"/>
        </w:rPr>
      </w:pPr>
      <w:r w:rsidRPr="006D3772">
        <w:rPr>
          <w:lang w:val="es-ES"/>
        </w:rPr>
        <w:t>Los humedales como soluciones basadas en la naturaleza.</w:t>
      </w:r>
    </w:p>
    <w:p w14:paraId="240410DC" w14:textId="77777777" w:rsidR="00DB27FE" w:rsidRPr="006D3772" w:rsidRDefault="00DB27FE" w:rsidP="00DB27FE">
      <w:pPr>
        <w:pStyle w:val="ListParagraph"/>
        <w:numPr>
          <w:ilvl w:val="0"/>
          <w:numId w:val="29"/>
        </w:numPr>
        <w:ind w:left="810"/>
        <w:rPr>
          <w:lang w:val="es-ES"/>
        </w:rPr>
      </w:pPr>
      <w:r w:rsidRPr="006D3772">
        <w:rPr>
          <w:color w:val="000000" w:themeColor="text1"/>
          <w:lang w:val="es-ES"/>
        </w:rPr>
        <w:t>Un cambio transformador para el uso racional de los humedales</w:t>
      </w:r>
      <w:r w:rsidRPr="006D3772">
        <w:rPr>
          <w:lang w:val="es-ES"/>
        </w:rPr>
        <w:t>.</w:t>
      </w:r>
    </w:p>
    <w:p w14:paraId="4B079818" w14:textId="77777777" w:rsidR="00DB27FE" w:rsidRPr="006D3772" w:rsidRDefault="00DB27FE" w:rsidP="00DB27FE">
      <w:pPr>
        <w:pStyle w:val="ListParagraph"/>
        <w:numPr>
          <w:ilvl w:val="0"/>
          <w:numId w:val="29"/>
        </w:numPr>
        <w:ind w:left="810"/>
        <w:rPr>
          <w:lang w:val="es-ES"/>
        </w:rPr>
      </w:pPr>
      <w:r w:rsidRPr="006D3772">
        <w:rPr>
          <w:lang w:val="es-ES"/>
        </w:rPr>
        <w:t>Los humedales y la cultura.</w:t>
      </w:r>
    </w:p>
    <w:p w14:paraId="7D62B831" w14:textId="77777777" w:rsidR="00DB27FE" w:rsidRPr="006D3772" w:rsidRDefault="00DB27FE" w:rsidP="00DB27FE">
      <w:pPr>
        <w:pStyle w:val="ListParagraph"/>
        <w:numPr>
          <w:ilvl w:val="0"/>
          <w:numId w:val="29"/>
        </w:numPr>
        <w:ind w:left="810"/>
        <w:rPr>
          <w:lang w:val="es-ES"/>
        </w:rPr>
      </w:pPr>
      <w:r w:rsidRPr="006D3772">
        <w:rPr>
          <w:lang w:val="es-ES"/>
        </w:rPr>
        <w:t>El cambio climático y la resiliencia de los humedales.</w:t>
      </w:r>
    </w:p>
    <w:p w14:paraId="4F412A15" w14:textId="77777777" w:rsidR="00DB27FE" w:rsidRPr="006D3772" w:rsidRDefault="00DB27FE" w:rsidP="00DB27FE">
      <w:pPr>
        <w:pStyle w:val="ListParagraph"/>
        <w:numPr>
          <w:ilvl w:val="0"/>
          <w:numId w:val="29"/>
        </w:numPr>
        <w:ind w:left="810"/>
        <w:rPr>
          <w:lang w:val="es-ES"/>
        </w:rPr>
      </w:pPr>
      <w:r w:rsidRPr="006D3772">
        <w:rPr>
          <w:lang w:val="es-ES"/>
        </w:rPr>
        <w:t>Las especies invasoras y sus efectos sobre los humedales.</w:t>
      </w:r>
    </w:p>
    <w:p w14:paraId="11F85241" w14:textId="77777777" w:rsidR="00DB27FE" w:rsidRPr="006D3772" w:rsidRDefault="00DB27FE" w:rsidP="00DB27FE">
      <w:pPr>
        <w:pStyle w:val="ListParagraph"/>
        <w:numPr>
          <w:ilvl w:val="0"/>
          <w:numId w:val="29"/>
        </w:numPr>
        <w:ind w:left="810"/>
        <w:rPr>
          <w:lang w:val="es-ES"/>
        </w:rPr>
      </w:pPr>
      <w:r w:rsidRPr="006D3772">
        <w:rPr>
          <w:lang w:val="es-ES"/>
        </w:rPr>
        <w:t>Los humedales y las enfermedades (en el marco del enfoque “Una Salud”).</w:t>
      </w:r>
    </w:p>
    <w:p w14:paraId="7E784D4B" w14:textId="77777777" w:rsidR="00DB27FE" w:rsidRPr="006D3772" w:rsidRDefault="00DB27FE" w:rsidP="00DB27FE">
      <w:pPr>
        <w:rPr>
          <w:lang w:val="es-ES"/>
        </w:rPr>
      </w:pPr>
    </w:p>
    <w:p w14:paraId="683A3399" w14:textId="77777777" w:rsidR="00DB27FE" w:rsidRPr="006D3772" w:rsidRDefault="00DB27FE" w:rsidP="00DB27FE">
      <w:pPr>
        <w:rPr>
          <w:lang w:val="es-ES"/>
        </w:rPr>
      </w:pPr>
      <w:r w:rsidRPr="006D3772">
        <w:rPr>
          <w:b/>
          <w:lang w:val="es-ES"/>
        </w:rPr>
        <w:t>Colaboración con otros AMMA</w:t>
      </w:r>
      <w:r w:rsidRPr="006D3772">
        <w:rPr>
          <w:lang w:val="es-ES"/>
        </w:rPr>
        <w:t> </w:t>
      </w:r>
    </w:p>
    <w:p w14:paraId="1BDA7071" w14:textId="77777777" w:rsidR="00DB27FE" w:rsidRPr="006D3772" w:rsidRDefault="00DB27FE" w:rsidP="00DB27FE">
      <w:pPr>
        <w:rPr>
          <w:lang w:val="es-ES"/>
        </w:rPr>
      </w:pPr>
    </w:p>
    <w:p w14:paraId="26185C32" w14:textId="77777777" w:rsidR="00DB27FE" w:rsidRPr="006D3772" w:rsidRDefault="00DB27FE" w:rsidP="00DB27FE">
      <w:pPr>
        <w:ind w:left="432" w:hanging="432"/>
        <w:rPr>
          <w:lang w:val="es-ES"/>
        </w:rPr>
      </w:pPr>
      <w:r w:rsidRPr="006D3772">
        <w:rPr>
          <w:lang w:val="es-ES"/>
        </w:rPr>
        <w:t>22.</w:t>
      </w:r>
      <w:r w:rsidRPr="006D3772">
        <w:rPr>
          <w:lang w:val="es-ES"/>
        </w:rPr>
        <w:tab/>
        <w:t>Se recomienda que la Secretaría de la Convención sobre los Humedales colabore con otros AMMA y plataformas internacionales para realizar evaluaciones similares a la PMH. La colaboración podría tener el objetivo de mejorar la eficiencia en la recolección y generación de datos y conocimientos, compartir conocimientos, incluidos los procesos técnicos de apoyo, y compartir buenas prácticas en la realización de evaluaciones y la comunicación.</w:t>
      </w:r>
    </w:p>
    <w:p w14:paraId="0F95A609" w14:textId="77777777" w:rsidR="00DB27FE" w:rsidRPr="006D3772" w:rsidRDefault="00DB27FE" w:rsidP="00DB27FE">
      <w:pPr>
        <w:rPr>
          <w:b/>
          <w:bCs w:val="0"/>
          <w:lang w:val="es-ES"/>
        </w:rPr>
      </w:pPr>
    </w:p>
    <w:p w14:paraId="7B0F5FC3" w14:textId="77777777" w:rsidR="00DB27FE" w:rsidRPr="006D3772" w:rsidRDefault="00DB27FE" w:rsidP="00DB27FE">
      <w:pPr>
        <w:rPr>
          <w:lang w:val="es-ES"/>
        </w:rPr>
      </w:pPr>
      <w:r w:rsidRPr="006D3772">
        <w:rPr>
          <w:b/>
          <w:lang w:val="es-ES"/>
        </w:rPr>
        <w:t xml:space="preserve">Plan de trabajo del GECT para 2026-2028 </w:t>
      </w:r>
    </w:p>
    <w:p w14:paraId="17D9BA66" w14:textId="77777777" w:rsidR="00DB27FE" w:rsidRPr="006D3772" w:rsidRDefault="00DB27FE" w:rsidP="00DB27FE">
      <w:pPr>
        <w:rPr>
          <w:lang w:val="es-ES"/>
        </w:rPr>
      </w:pPr>
    </w:p>
    <w:p w14:paraId="16D08697" w14:textId="66BF3570" w:rsidR="00DB27FE" w:rsidRPr="006D3772" w:rsidRDefault="00DB27FE" w:rsidP="00DB27FE">
      <w:pPr>
        <w:ind w:left="432" w:hanging="432"/>
        <w:rPr>
          <w:lang w:val="es-ES"/>
        </w:rPr>
      </w:pPr>
      <w:r w:rsidRPr="006D3772">
        <w:rPr>
          <w:lang w:val="es-ES"/>
        </w:rPr>
        <w:t>23.</w:t>
      </w:r>
      <w:r w:rsidRPr="006D3772">
        <w:rPr>
          <w:lang w:val="es-ES"/>
        </w:rPr>
        <w:tab/>
        <w:t xml:space="preserve">Se indican las prioridades futuras propuestas para el GECT en el proyecto de resolución presentado al Comité Permanente. Entre estas se incluyen la publicación de una </w:t>
      </w:r>
      <w:r w:rsidR="00D10FC7" w:rsidRPr="006D3772">
        <w:rPr>
          <w:lang w:val="es-ES"/>
        </w:rPr>
        <w:t xml:space="preserve">Perspectiva </w:t>
      </w:r>
      <w:r w:rsidR="00D10FC7" w:rsidRPr="006D3772">
        <w:rPr>
          <w:lang w:val="es-ES"/>
        </w:rPr>
        <w:lastRenderedPageBreak/>
        <w:t>Mundial sobre los Humedales</w:t>
      </w:r>
      <w:r w:rsidRPr="006D3772">
        <w:rPr>
          <w:lang w:val="es-ES"/>
        </w:rPr>
        <w:t xml:space="preserve"> (2028), que proporcionará una evaluación mundial con arreglo al alcance y calendario propuestos.</w:t>
      </w:r>
    </w:p>
    <w:p w14:paraId="58C816C9" w14:textId="77777777" w:rsidR="00DB27FE" w:rsidRPr="006D3772" w:rsidRDefault="00DB27FE" w:rsidP="00DB27FE">
      <w:pPr>
        <w:rPr>
          <w:lang w:val="es-ES"/>
        </w:rPr>
      </w:pPr>
    </w:p>
    <w:p w14:paraId="0F1F0540" w14:textId="77777777" w:rsidR="00DB27FE" w:rsidRPr="006D3772" w:rsidRDefault="00DB27FE" w:rsidP="00DB27FE">
      <w:pPr>
        <w:rPr>
          <w:lang w:val="es-ES"/>
        </w:rPr>
      </w:pPr>
      <w:r w:rsidRPr="006D3772">
        <w:rPr>
          <w:b/>
          <w:lang w:val="es-ES"/>
        </w:rPr>
        <w:t>Recopilación de datos y apoyo técnico</w:t>
      </w:r>
    </w:p>
    <w:p w14:paraId="34190EC4" w14:textId="77777777" w:rsidR="00DB27FE" w:rsidRPr="006D3772" w:rsidRDefault="00DB27FE" w:rsidP="00DB27FE">
      <w:pPr>
        <w:rPr>
          <w:lang w:val="es-ES"/>
        </w:rPr>
      </w:pPr>
    </w:p>
    <w:p w14:paraId="4058369E" w14:textId="77777777" w:rsidR="00DB27FE" w:rsidRPr="006D3772" w:rsidRDefault="00DB27FE" w:rsidP="00DB27FE">
      <w:pPr>
        <w:ind w:left="432" w:hanging="432"/>
        <w:rPr>
          <w:lang w:val="es-ES"/>
        </w:rPr>
      </w:pPr>
      <w:r w:rsidRPr="006D3772">
        <w:rPr>
          <w:lang w:val="es-ES"/>
        </w:rPr>
        <w:t>24.</w:t>
      </w:r>
      <w:r w:rsidRPr="006D3772">
        <w:rPr>
          <w:lang w:val="es-ES"/>
        </w:rPr>
        <w:tab/>
        <w:t>La PMH debería elaborarse a partir de un sistema exhaustivo de recolección, recopilación y resumen de datos para garantizar la solidez de la evaluación. Se recomienda que la Secretaría establezca una Unidad de Apoyo Técnico dedicada a brindar apoyo técnico a la PMH. La finalidad de la unidad de apoyo técnico sería:</w:t>
      </w:r>
    </w:p>
    <w:p w14:paraId="133414D5" w14:textId="77777777" w:rsidR="00DB27FE" w:rsidRPr="006D3772" w:rsidRDefault="00DB27FE" w:rsidP="00DB27FE">
      <w:pPr>
        <w:pStyle w:val="ListParagraph"/>
        <w:numPr>
          <w:ilvl w:val="0"/>
          <w:numId w:val="30"/>
        </w:numPr>
        <w:ind w:left="810"/>
        <w:rPr>
          <w:lang w:val="es-ES"/>
        </w:rPr>
      </w:pPr>
      <w:r w:rsidRPr="006D3772">
        <w:rPr>
          <w:lang w:val="es-ES"/>
        </w:rPr>
        <w:t xml:space="preserve">Facilitar el trabajo: La Unidad </w:t>
      </w:r>
      <w:r w:rsidRPr="006D3772">
        <w:rPr>
          <w:color w:val="000000" w:themeColor="text1"/>
          <w:lang w:val="es-ES"/>
        </w:rPr>
        <w:t xml:space="preserve">proporcionará </w:t>
      </w:r>
      <w:r w:rsidRPr="006D3772">
        <w:rPr>
          <w:lang w:val="es-ES"/>
        </w:rPr>
        <w:t>apoyo logístico, entre otras cosas, por ejemplo, organizando talleres y consultas.</w:t>
      </w:r>
    </w:p>
    <w:p w14:paraId="500FE327" w14:textId="77777777" w:rsidR="00DB27FE" w:rsidRPr="006D3772" w:rsidRDefault="00DB27FE" w:rsidP="00DB27FE">
      <w:pPr>
        <w:pStyle w:val="ListParagraph"/>
        <w:numPr>
          <w:ilvl w:val="0"/>
          <w:numId w:val="30"/>
        </w:numPr>
        <w:ind w:left="810"/>
        <w:rPr>
          <w:lang w:val="es-ES"/>
        </w:rPr>
      </w:pPr>
      <w:r w:rsidRPr="006D3772">
        <w:rPr>
          <w:lang w:val="es-ES"/>
        </w:rPr>
        <w:t>Realizar contribuciones científicas: La Unidad realizará aportaciones científicas al trabajo de evaluación según sea necesario.</w:t>
      </w:r>
    </w:p>
    <w:p w14:paraId="0C8A3CB7" w14:textId="77777777" w:rsidR="00DB27FE" w:rsidRPr="006D3772" w:rsidRDefault="00DB27FE" w:rsidP="00DB27FE">
      <w:pPr>
        <w:pStyle w:val="ListParagraph"/>
        <w:numPr>
          <w:ilvl w:val="0"/>
          <w:numId w:val="30"/>
        </w:numPr>
        <w:ind w:left="810"/>
        <w:rPr>
          <w:lang w:val="es-ES"/>
        </w:rPr>
      </w:pPr>
      <w:r w:rsidRPr="006D3772">
        <w:rPr>
          <w:lang w:val="es-ES"/>
        </w:rPr>
        <w:t>Garantizar la transparencia: La Unidad se asegurará de que el trabajo se lleve a cabo de manera transparente e inclusiva y de que se sigan las reglas y procedimientos establecidos por el Comité Permanente.</w:t>
      </w:r>
    </w:p>
    <w:p w14:paraId="2E480163" w14:textId="77777777" w:rsidR="00DB27FE" w:rsidRPr="006D3772" w:rsidRDefault="00DB27FE" w:rsidP="00DB27FE">
      <w:pPr>
        <w:pStyle w:val="ListParagraph"/>
        <w:numPr>
          <w:ilvl w:val="0"/>
          <w:numId w:val="30"/>
        </w:numPr>
        <w:ind w:left="810"/>
        <w:rPr>
          <w:lang w:val="es-ES"/>
        </w:rPr>
      </w:pPr>
      <w:r w:rsidRPr="006D3772">
        <w:rPr>
          <w:color w:val="000000" w:themeColor="text1"/>
          <w:lang w:val="es-ES"/>
        </w:rPr>
        <w:t>Recibir observaciones</w:t>
      </w:r>
      <w:r w:rsidRPr="006D3772">
        <w:rPr>
          <w:lang w:val="es-ES"/>
        </w:rPr>
        <w:t>: Establecer mecanismos encaminados a obtener información y recomendaciones de los interesados sobre la eficacia del proceso de recopilación de datos y los resultados de la evaluación.</w:t>
      </w:r>
    </w:p>
    <w:p w14:paraId="1B6A02B1" w14:textId="77777777" w:rsidR="00DB27FE" w:rsidRPr="006D3772" w:rsidRDefault="00DB27FE" w:rsidP="00DB27FE">
      <w:pPr>
        <w:rPr>
          <w:lang w:val="es-ES"/>
        </w:rPr>
      </w:pPr>
    </w:p>
    <w:p w14:paraId="4CF5FDF7" w14:textId="77777777" w:rsidR="00DB27FE" w:rsidRPr="006D3772" w:rsidRDefault="00DB27FE" w:rsidP="00DB27FE">
      <w:pPr>
        <w:ind w:left="432" w:hanging="432"/>
        <w:rPr>
          <w:lang w:val="es-ES"/>
        </w:rPr>
      </w:pPr>
      <w:r w:rsidRPr="006D3772">
        <w:rPr>
          <w:lang w:val="es-ES"/>
        </w:rPr>
        <w:t>25.</w:t>
      </w:r>
      <w:r w:rsidRPr="006D3772">
        <w:rPr>
          <w:lang w:val="es-ES"/>
        </w:rPr>
        <w:tab/>
        <w:t>Se puede plantear la posibilidad de que la Unidad de Apoyo Técnico se encuentre en una organización externa. No obstante, entretanto, se recomienda que la Secretaría nombre un Oficial de Programas dedicado a brindar apoyo al proceso de elaboración de la PMH. Esta persona sería responsable de brindar apoyo logístico, del análisis de datos, del mantenimiento de la base de datos de la evaluación y de ayudar a la publicación final y la divulgación.</w:t>
      </w:r>
    </w:p>
    <w:p w14:paraId="141CD961" w14:textId="77777777" w:rsidR="00DB27FE" w:rsidRPr="006D3772" w:rsidRDefault="00DB27FE" w:rsidP="00DB27FE">
      <w:pPr>
        <w:rPr>
          <w:lang w:val="es-ES"/>
        </w:rPr>
      </w:pPr>
    </w:p>
    <w:p w14:paraId="31CC2040" w14:textId="77777777" w:rsidR="00DB27FE" w:rsidRPr="006D3772" w:rsidRDefault="00DB27FE" w:rsidP="00DB27FE">
      <w:pPr>
        <w:rPr>
          <w:lang w:val="es-ES"/>
        </w:rPr>
      </w:pPr>
      <w:r w:rsidRPr="006D3772">
        <w:rPr>
          <w:b/>
          <w:lang w:val="es-ES"/>
        </w:rPr>
        <w:t>Recursos</w:t>
      </w:r>
    </w:p>
    <w:p w14:paraId="7EFE120F" w14:textId="77777777" w:rsidR="00DB27FE" w:rsidRPr="006D3772" w:rsidRDefault="00DB27FE" w:rsidP="00DB27FE">
      <w:pPr>
        <w:rPr>
          <w:lang w:val="es-ES"/>
        </w:rPr>
      </w:pPr>
    </w:p>
    <w:p w14:paraId="7407CF58" w14:textId="77777777" w:rsidR="00DB27FE" w:rsidRPr="006D3772" w:rsidRDefault="00DB27FE" w:rsidP="00DB27FE">
      <w:pPr>
        <w:ind w:left="432" w:hanging="432"/>
        <w:rPr>
          <w:lang w:val="es-ES"/>
        </w:rPr>
      </w:pPr>
      <w:r w:rsidRPr="006D3772">
        <w:rPr>
          <w:lang w:val="es-ES"/>
        </w:rPr>
        <w:t>26.</w:t>
      </w:r>
      <w:r w:rsidRPr="006D3772">
        <w:rPr>
          <w:lang w:val="es-ES"/>
        </w:rPr>
        <w:tab/>
        <w:t>Deberían asignarse recursos adecuados para garantizar la publicación de la PMH en el próximo trienio. Esto incluye la financiación necesaria para el Oficial de Programas, la celebración de al menos una reunión presencial de los autores, y los costos asociados a la preparación y publicación de la PMH y su resumen para responsables de políticas.</w:t>
      </w:r>
    </w:p>
    <w:p w14:paraId="6AAA5395" w14:textId="77777777" w:rsidR="00DB27FE" w:rsidRPr="006D3772" w:rsidRDefault="00DB27FE" w:rsidP="00DB27FE">
      <w:pPr>
        <w:ind w:left="432" w:hanging="432"/>
        <w:rPr>
          <w:lang w:val="es-ES"/>
        </w:rPr>
      </w:pPr>
    </w:p>
    <w:p w14:paraId="23557BA2" w14:textId="77777777" w:rsidR="00DB27FE" w:rsidRPr="006D3772" w:rsidRDefault="00DB27FE" w:rsidP="00DB27FE">
      <w:pPr>
        <w:ind w:left="432" w:hanging="432"/>
        <w:rPr>
          <w:lang w:val="es-ES"/>
        </w:rPr>
      </w:pPr>
      <w:r w:rsidRPr="006D3772">
        <w:rPr>
          <w:lang w:val="es-ES"/>
        </w:rPr>
        <w:t>27.</w:t>
      </w:r>
      <w:r w:rsidRPr="006D3772">
        <w:rPr>
          <w:lang w:val="es-ES"/>
        </w:rPr>
        <w:tab/>
        <w:t xml:space="preserve">También deberían dedicarse recursos adicionales para apoyar los esfuerzos de comunicación y divulgación asociados a la PMH. Estas actividades son cruciales para asegurarse de que los resultados de la </w:t>
      </w:r>
      <w:r w:rsidRPr="006D3772">
        <w:rPr>
          <w:color w:val="000000" w:themeColor="text1"/>
          <w:lang w:val="es-ES"/>
        </w:rPr>
        <w:t xml:space="preserve">PMH </w:t>
      </w:r>
      <w:r w:rsidRPr="006D3772">
        <w:rPr>
          <w:lang w:val="es-ES"/>
        </w:rPr>
        <w:t>se comuniquen adecuadamente a un amplio público y tengan el impacto deseado sobre los esfuerzos de conservación de los humedales a escala mundial.</w:t>
      </w:r>
    </w:p>
    <w:p w14:paraId="2174BD09" w14:textId="77777777" w:rsidR="00DB27FE" w:rsidRPr="006D3772" w:rsidRDefault="00DB27FE" w:rsidP="00DB27FE">
      <w:pPr>
        <w:ind w:left="432" w:hanging="432"/>
        <w:rPr>
          <w:lang w:val="es-ES"/>
        </w:rPr>
      </w:pPr>
    </w:p>
    <w:p w14:paraId="1684CB2D" w14:textId="77777777" w:rsidR="00DB27FE" w:rsidRPr="006D3772" w:rsidRDefault="00DB27FE" w:rsidP="00DB27FE">
      <w:pPr>
        <w:ind w:left="432" w:hanging="432"/>
        <w:rPr>
          <w:lang w:val="es-ES"/>
        </w:rPr>
      </w:pPr>
      <w:r w:rsidRPr="006D3772">
        <w:rPr>
          <w:lang w:val="es-ES"/>
        </w:rPr>
        <w:t>28.</w:t>
      </w:r>
      <w:r w:rsidRPr="006D3772">
        <w:rPr>
          <w:lang w:val="es-ES"/>
        </w:rPr>
        <w:tab/>
        <w:t>El presupuesto asignado para la PMH en el próximo trienio debería abarcar todos los costos esenciales, incluido el personal, las reuniones entre los autores, la publicación y las actividades de divulgación. Será crucial contar con financiación suficiente para garantizar la publicación y el impacto adecuados de la PMH.</w:t>
      </w:r>
    </w:p>
    <w:p w14:paraId="7F734D11" w14:textId="77777777" w:rsidR="00DB27FE" w:rsidRPr="006D3772" w:rsidRDefault="00DB27FE" w:rsidP="00DB27FE">
      <w:pPr>
        <w:rPr>
          <w:lang w:val="es-ES"/>
        </w:rPr>
        <w:sectPr w:rsidR="00DB27FE" w:rsidRPr="006D3772" w:rsidSect="00DB27FE">
          <w:pgSz w:w="11906" w:h="16838" w:code="9"/>
          <w:pgMar w:top="1440" w:right="1440" w:bottom="1440" w:left="1440" w:header="720" w:footer="720" w:gutter="0"/>
          <w:cols w:space="720"/>
          <w:docGrid w:linePitch="360"/>
        </w:sectPr>
      </w:pPr>
    </w:p>
    <w:p w14:paraId="05608F92" w14:textId="77777777" w:rsidR="00DB27FE" w:rsidRPr="006D3772" w:rsidRDefault="00DB27FE" w:rsidP="00DB27FE">
      <w:pPr>
        <w:rPr>
          <w:b/>
          <w:bCs w:val="0"/>
          <w:lang w:val="es-ES"/>
        </w:rPr>
      </w:pPr>
      <w:r w:rsidRPr="006D3772">
        <w:rPr>
          <w:b/>
          <w:lang w:val="es-ES"/>
        </w:rPr>
        <w:lastRenderedPageBreak/>
        <w:t>Apéndice 1</w:t>
      </w:r>
    </w:p>
    <w:p w14:paraId="64709A65" w14:textId="77777777" w:rsidR="00DB27FE" w:rsidRPr="006D3772" w:rsidRDefault="00DB27FE" w:rsidP="00DB27FE">
      <w:pPr>
        <w:rPr>
          <w:b/>
          <w:bCs w:val="0"/>
          <w:lang w:val="es-ES"/>
        </w:rPr>
      </w:pPr>
      <w:r w:rsidRPr="006D3772">
        <w:rPr>
          <w:b/>
          <w:lang w:val="es-ES"/>
        </w:rPr>
        <w:t>Resumen de los productos de evaluación publicados por las distintas convenciones y AMMA</w:t>
      </w:r>
    </w:p>
    <w:p w14:paraId="4EE00409" w14:textId="77777777" w:rsidR="00DB27FE" w:rsidRPr="006D3772" w:rsidRDefault="00DB27FE" w:rsidP="00DB27FE">
      <w:pPr>
        <w:rPr>
          <w:lang w:val="es-E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122"/>
        <w:gridCol w:w="2126"/>
        <w:gridCol w:w="3354"/>
        <w:gridCol w:w="3355"/>
        <w:gridCol w:w="3355"/>
      </w:tblGrid>
      <w:tr w:rsidR="00DB27FE" w:rsidRPr="006D3772" w14:paraId="58DF1C29" w14:textId="77777777" w:rsidTr="00DA14B4">
        <w:trPr>
          <w:cantSplit/>
          <w:tblHeader/>
        </w:trPr>
        <w:tc>
          <w:tcPr>
            <w:tcW w:w="2122" w:type="dxa"/>
            <w:shd w:val="clear" w:color="auto" w:fill="E8E8E8" w:themeFill="background2"/>
            <w:hideMark/>
          </w:tcPr>
          <w:p w14:paraId="0307A3F7" w14:textId="77777777" w:rsidR="00DB27FE" w:rsidRPr="006D3772" w:rsidRDefault="00DB27FE" w:rsidP="00DA14B4">
            <w:pPr>
              <w:spacing w:line="259" w:lineRule="auto"/>
              <w:rPr>
                <w:b/>
                <w:bCs w:val="0"/>
                <w:color w:val="000000" w:themeColor="text1"/>
                <w:sz w:val="20"/>
                <w:szCs w:val="20"/>
                <w:lang w:val="es-ES"/>
              </w:rPr>
            </w:pPr>
            <w:r w:rsidRPr="006D3772">
              <w:rPr>
                <w:b/>
                <w:color w:val="000000" w:themeColor="text1"/>
                <w:sz w:val="20"/>
                <w:szCs w:val="20"/>
                <w:lang w:val="es-ES"/>
              </w:rPr>
              <w:t>Nombre de la convención, convenio o AMMA</w:t>
            </w:r>
          </w:p>
        </w:tc>
        <w:tc>
          <w:tcPr>
            <w:tcW w:w="2126" w:type="dxa"/>
            <w:shd w:val="clear" w:color="auto" w:fill="E8E8E8" w:themeFill="background2"/>
            <w:hideMark/>
          </w:tcPr>
          <w:p w14:paraId="5729F446" w14:textId="77777777" w:rsidR="00DB27FE" w:rsidRPr="006D3772" w:rsidRDefault="00DB27FE" w:rsidP="00DA14B4">
            <w:pPr>
              <w:rPr>
                <w:b/>
                <w:bCs w:val="0"/>
                <w:color w:val="000000"/>
                <w:sz w:val="20"/>
                <w:szCs w:val="20"/>
                <w:lang w:val="es-ES"/>
              </w:rPr>
            </w:pPr>
            <w:r w:rsidRPr="006D3772">
              <w:rPr>
                <w:b/>
                <w:color w:val="000000"/>
                <w:sz w:val="20"/>
                <w:szCs w:val="20"/>
                <w:lang w:val="es-ES"/>
              </w:rPr>
              <w:t>Nombre del informe de evaluación</w:t>
            </w:r>
          </w:p>
        </w:tc>
        <w:tc>
          <w:tcPr>
            <w:tcW w:w="3354" w:type="dxa"/>
            <w:shd w:val="clear" w:color="auto" w:fill="E8E8E8" w:themeFill="background2"/>
            <w:hideMark/>
          </w:tcPr>
          <w:p w14:paraId="7F8D0E73" w14:textId="77777777" w:rsidR="00DB27FE" w:rsidRPr="006D3772" w:rsidRDefault="00DB27FE" w:rsidP="00DA14B4">
            <w:pPr>
              <w:rPr>
                <w:b/>
                <w:bCs w:val="0"/>
                <w:color w:val="000000"/>
                <w:sz w:val="20"/>
                <w:szCs w:val="20"/>
                <w:lang w:val="es-ES"/>
              </w:rPr>
            </w:pPr>
            <w:r w:rsidRPr="006D3772">
              <w:rPr>
                <w:b/>
                <w:color w:val="000000"/>
                <w:sz w:val="20"/>
                <w:szCs w:val="20"/>
                <w:lang w:val="es-ES"/>
              </w:rPr>
              <w:t>Finalidad</w:t>
            </w:r>
          </w:p>
        </w:tc>
        <w:tc>
          <w:tcPr>
            <w:tcW w:w="3355" w:type="dxa"/>
            <w:shd w:val="clear" w:color="auto" w:fill="E8E8E8" w:themeFill="background2"/>
            <w:hideMark/>
          </w:tcPr>
          <w:p w14:paraId="61704DA2" w14:textId="77777777" w:rsidR="00DB27FE" w:rsidRPr="006D3772" w:rsidRDefault="00DB27FE" w:rsidP="00DA14B4">
            <w:pPr>
              <w:rPr>
                <w:b/>
                <w:bCs w:val="0"/>
                <w:color w:val="000000"/>
                <w:sz w:val="20"/>
                <w:szCs w:val="20"/>
                <w:lang w:val="es-ES"/>
              </w:rPr>
            </w:pPr>
            <w:r w:rsidRPr="006D3772">
              <w:rPr>
                <w:b/>
                <w:color w:val="000000"/>
                <w:sz w:val="20"/>
                <w:szCs w:val="20"/>
                <w:lang w:val="es-ES"/>
              </w:rPr>
              <w:t>Frecuencia de publicación</w:t>
            </w:r>
          </w:p>
        </w:tc>
        <w:tc>
          <w:tcPr>
            <w:tcW w:w="3355" w:type="dxa"/>
            <w:shd w:val="clear" w:color="auto" w:fill="E8E8E8" w:themeFill="background2"/>
            <w:hideMark/>
          </w:tcPr>
          <w:p w14:paraId="2C5F236F" w14:textId="77777777" w:rsidR="00DB27FE" w:rsidRPr="006D3772" w:rsidRDefault="00DB27FE" w:rsidP="00DA14B4">
            <w:pPr>
              <w:rPr>
                <w:b/>
                <w:bCs w:val="0"/>
                <w:color w:val="000000"/>
                <w:sz w:val="20"/>
                <w:szCs w:val="20"/>
                <w:lang w:val="es-ES"/>
              </w:rPr>
            </w:pPr>
            <w:r w:rsidRPr="006D3772">
              <w:rPr>
                <w:b/>
                <w:color w:val="000000"/>
                <w:sz w:val="20"/>
                <w:szCs w:val="20"/>
                <w:lang w:val="es-ES"/>
              </w:rPr>
              <w:t>Proceso de evaluación</w:t>
            </w:r>
          </w:p>
        </w:tc>
      </w:tr>
      <w:tr w:rsidR="00DB27FE" w:rsidRPr="00841C2D" w14:paraId="44C124B5" w14:textId="77777777" w:rsidTr="00DA14B4">
        <w:trPr>
          <w:cantSplit/>
        </w:trPr>
        <w:tc>
          <w:tcPr>
            <w:tcW w:w="2122" w:type="dxa"/>
            <w:shd w:val="clear" w:color="auto" w:fill="auto"/>
            <w:hideMark/>
          </w:tcPr>
          <w:p w14:paraId="02482BA3" w14:textId="77777777" w:rsidR="00DB27FE" w:rsidRPr="006D3772" w:rsidRDefault="00DB27FE" w:rsidP="00DA14B4">
            <w:pPr>
              <w:rPr>
                <w:color w:val="000000"/>
                <w:sz w:val="20"/>
                <w:szCs w:val="20"/>
                <w:lang w:val="es-ES"/>
              </w:rPr>
            </w:pPr>
            <w:r w:rsidRPr="006D3772">
              <w:rPr>
                <w:color w:val="000000"/>
                <w:sz w:val="20"/>
                <w:szCs w:val="20"/>
                <w:lang w:val="es-ES"/>
              </w:rPr>
              <w:t>Convenio sobre la Diversidad Biológica (CDB)</w:t>
            </w:r>
          </w:p>
        </w:tc>
        <w:tc>
          <w:tcPr>
            <w:tcW w:w="2126" w:type="dxa"/>
            <w:shd w:val="clear" w:color="auto" w:fill="auto"/>
            <w:hideMark/>
          </w:tcPr>
          <w:p w14:paraId="25BEBE6B" w14:textId="77777777" w:rsidR="00DB27FE" w:rsidRPr="006D3772" w:rsidRDefault="00DB27FE" w:rsidP="00DA14B4">
            <w:pPr>
              <w:rPr>
                <w:color w:val="000000"/>
                <w:sz w:val="20"/>
                <w:szCs w:val="20"/>
                <w:lang w:val="es-ES"/>
              </w:rPr>
            </w:pPr>
            <w:r w:rsidRPr="006D3772">
              <w:rPr>
                <w:color w:val="000000"/>
                <w:sz w:val="20"/>
                <w:szCs w:val="20"/>
                <w:lang w:val="es-ES"/>
              </w:rPr>
              <w:t xml:space="preserve">Perspectiva Mundial sobre la Diversidad Biológica </w:t>
            </w:r>
          </w:p>
          <w:p w14:paraId="219BDD2D" w14:textId="77777777" w:rsidR="00DB27FE" w:rsidRPr="006D3772" w:rsidRDefault="00DB27FE" w:rsidP="00DA14B4">
            <w:pPr>
              <w:rPr>
                <w:color w:val="000000"/>
                <w:sz w:val="20"/>
                <w:szCs w:val="20"/>
                <w:lang w:val="es-ES"/>
              </w:rPr>
            </w:pPr>
          </w:p>
        </w:tc>
        <w:tc>
          <w:tcPr>
            <w:tcW w:w="3354" w:type="dxa"/>
            <w:shd w:val="clear" w:color="auto" w:fill="auto"/>
            <w:hideMark/>
          </w:tcPr>
          <w:p w14:paraId="7380CAB5" w14:textId="77777777" w:rsidR="00DB27FE" w:rsidRPr="006D3772" w:rsidRDefault="00DB27FE" w:rsidP="00DA14B4">
            <w:pPr>
              <w:rPr>
                <w:color w:val="000000"/>
                <w:sz w:val="20"/>
                <w:szCs w:val="20"/>
                <w:lang w:val="es-ES"/>
              </w:rPr>
            </w:pPr>
            <w:r w:rsidRPr="006D3772">
              <w:rPr>
                <w:color w:val="000000"/>
                <w:sz w:val="20"/>
                <w:szCs w:val="20"/>
                <w:lang w:val="es-ES"/>
              </w:rPr>
              <w:t>Proporcionar un resumen del estado de la diversidad biológica y un análisis de los pasos que la comunidad mundial está dando para asegurar la conservación y utilización sostenible de la diversidad biológica y la participación equitativa de los beneficios que se deriven del uso de los recursos genéticas.</w:t>
            </w:r>
          </w:p>
        </w:tc>
        <w:tc>
          <w:tcPr>
            <w:tcW w:w="3355" w:type="dxa"/>
            <w:shd w:val="clear" w:color="auto" w:fill="auto"/>
            <w:hideMark/>
          </w:tcPr>
          <w:p w14:paraId="2EED66E9" w14:textId="77777777" w:rsidR="00DB27FE" w:rsidRPr="006D3772" w:rsidRDefault="00DB27FE" w:rsidP="00DA14B4">
            <w:pPr>
              <w:rPr>
                <w:color w:val="000000"/>
                <w:sz w:val="20"/>
                <w:szCs w:val="20"/>
                <w:lang w:val="es-ES"/>
              </w:rPr>
            </w:pPr>
            <w:r w:rsidRPr="006D3772">
              <w:rPr>
                <w:color w:val="000000"/>
                <w:sz w:val="20"/>
                <w:szCs w:val="20"/>
                <w:lang w:val="es-ES"/>
              </w:rPr>
              <w:t>Cada cinco años. Se publicó por primera vez en 2001</w:t>
            </w:r>
          </w:p>
        </w:tc>
        <w:tc>
          <w:tcPr>
            <w:tcW w:w="3355" w:type="dxa"/>
            <w:shd w:val="clear" w:color="auto" w:fill="auto"/>
            <w:hideMark/>
          </w:tcPr>
          <w:p w14:paraId="6491B45C" w14:textId="77777777" w:rsidR="00DB27FE" w:rsidRPr="006D3772" w:rsidRDefault="00DB27FE" w:rsidP="00DA14B4">
            <w:pPr>
              <w:rPr>
                <w:color w:val="000000"/>
                <w:sz w:val="20"/>
                <w:szCs w:val="20"/>
                <w:lang w:val="es-ES"/>
              </w:rPr>
            </w:pPr>
            <w:r w:rsidRPr="006D3772">
              <w:rPr>
                <w:color w:val="000000"/>
                <w:sz w:val="20"/>
                <w:szCs w:val="20"/>
                <w:lang w:val="es-ES"/>
              </w:rPr>
              <w:t xml:space="preserve">Guiada por un grupo asesor. La evaluación es realizada por autores seleccionados mediante una convocatoria abierta. </w:t>
            </w:r>
          </w:p>
        </w:tc>
      </w:tr>
      <w:tr w:rsidR="00DB27FE" w:rsidRPr="00841C2D" w14:paraId="553D2A7D" w14:textId="77777777" w:rsidTr="00DA14B4">
        <w:trPr>
          <w:cantSplit/>
        </w:trPr>
        <w:tc>
          <w:tcPr>
            <w:tcW w:w="2122" w:type="dxa"/>
            <w:shd w:val="clear" w:color="auto" w:fill="auto"/>
            <w:hideMark/>
          </w:tcPr>
          <w:p w14:paraId="40AA1430" w14:textId="77777777" w:rsidR="00DB27FE" w:rsidRPr="006D3772" w:rsidRDefault="00DB27FE" w:rsidP="00DA14B4">
            <w:pPr>
              <w:rPr>
                <w:color w:val="000000"/>
                <w:sz w:val="20"/>
                <w:szCs w:val="20"/>
                <w:lang w:val="es-ES"/>
              </w:rPr>
            </w:pPr>
            <w:r w:rsidRPr="006D3772">
              <w:rPr>
                <w:color w:val="000000" w:themeColor="text1"/>
                <w:sz w:val="20"/>
                <w:szCs w:val="20"/>
                <w:lang w:val="es-ES"/>
              </w:rPr>
              <w:t xml:space="preserve">Organización de las Naciones Unidas para la Educación, la Ciencia y la Cultura </w:t>
            </w:r>
            <w:r w:rsidRPr="006D3772">
              <w:rPr>
                <w:color w:val="000000"/>
                <w:sz w:val="20"/>
                <w:szCs w:val="20"/>
                <w:lang w:val="es-ES"/>
              </w:rPr>
              <w:t>(UNESCO)</w:t>
            </w:r>
          </w:p>
        </w:tc>
        <w:tc>
          <w:tcPr>
            <w:tcW w:w="2126" w:type="dxa"/>
            <w:shd w:val="clear" w:color="auto" w:fill="auto"/>
            <w:hideMark/>
          </w:tcPr>
          <w:p w14:paraId="57D54682" w14:textId="77777777" w:rsidR="00DB27FE" w:rsidRPr="006D3772" w:rsidRDefault="00DB27FE" w:rsidP="00DA14B4">
            <w:pPr>
              <w:rPr>
                <w:color w:val="000000"/>
                <w:sz w:val="20"/>
                <w:szCs w:val="20"/>
                <w:lang w:val="es-ES"/>
              </w:rPr>
            </w:pPr>
            <w:r w:rsidRPr="006D3772">
              <w:rPr>
                <w:color w:val="000000"/>
                <w:sz w:val="20"/>
                <w:szCs w:val="20"/>
                <w:lang w:val="es-ES"/>
              </w:rPr>
              <w:t>Informe Mundial sobre el Desarrollo de los Recursos Hídricos</w:t>
            </w:r>
          </w:p>
        </w:tc>
        <w:tc>
          <w:tcPr>
            <w:tcW w:w="3354" w:type="dxa"/>
            <w:shd w:val="clear" w:color="auto" w:fill="auto"/>
            <w:hideMark/>
          </w:tcPr>
          <w:p w14:paraId="2BFED799" w14:textId="77777777" w:rsidR="00DB27FE" w:rsidRPr="006D3772" w:rsidRDefault="00DB27FE" w:rsidP="00DA14B4">
            <w:pPr>
              <w:rPr>
                <w:color w:val="000000"/>
                <w:sz w:val="20"/>
                <w:szCs w:val="20"/>
                <w:lang w:val="es-ES"/>
              </w:rPr>
            </w:pPr>
            <w:r w:rsidRPr="006D3772">
              <w:rPr>
                <w:color w:val="000000"/>
                <w:sz w:val="20"/>
                <w:szCs w:val="20"/>
                <w:lang w:val="es-ES"/>
              </w:rPr>
              <w:t>Ofrecer un panorama fidedigno y global sobre el estado, la utilización y la gestión de los recursos de agua dulce del planeta. Su objetivo es proporcionar herramientas a los responsables de la toma de decisiones para la formulación e implementación de políticas hídricas sostenibles.</w:t>
            </w:r>
          </w:p>
        </w:tc>
        <w:tc>
          <w:tcPr>
            <w:tcW w:w="3355" w:type="dxa"/>
            <w:shd w:val="clear" w:color="auto" w:fill="auto"/>
            <w:hideMark/>
          </w:tcPr>
          <w:p w14:paraId="6AA1D169" w14:textId="77777777" w:rsidR="00DB27FE" w:rsidRPr="006D3772" w:rsidRDefault="00DB27FE" w:rsidP="00DA14B4">
            <w:pPr>
              <w:rPr>
                <w:color w:val="000000"/>
                <w:sz w:val="20"/>
                <w:szCs w:val="20"/>
                <w:lang w:val="es-ES"/>
              </w:rPr>
            </w:pPr>
            <w:r w:rsidRPr="006D3772">
              <w:rPr>
                <w:color w:val="000000"/>
                <w:sz w:val="20"/>
                <w:szCs w:val="20"/>
                <w:lang w:val="es-ES"/>
              </w:rPr>
              <w:t>Entre 2003 y 2012, el informe se elaboró y publicó cada tres años. Desde 2014, se trata de un informe temático anual. Cada edición se centra en un tema estratégico diferente relacionado con el agua. El tema de cada informe anual se armoniza con el del Día Mundial del Agua (22 de marzo) y sirve de base del conocimiento para celebraciones, eventos y deliberaciones al respecto durante el año.</w:t>
            </w:r>
          </w:p>
        </w:tc>
        <w:tc>
          <w:tcPr>
            <w:tcW w:w="3355" w:type="dxa"/>
            <w:shd w:val="clear" w:color="auto" w:fill="auto"/>
            <w:hideMark/>
          </w:tcPr>
          <w:p w14:paraId="5CEB9843" w14:textId="77777777" w:rsidR="00DB27FE" w:rsidRPr="006D3772" w:rsidRDefault="00DB27FE" w:rsidP="00DA14B4">
            <w:pPr>
              <w:rPr>
                <w:color w:val="000000"/>
                <w:sz w:val="20"/>
                <w:szCs w:val="20"/>
                <w:lang w:val="es-ES"/>
              </w:rPr>
            </w:pPr>
            <w:r w:rsidRPr="006D3772">
              <w:rPr>
                <w:color w:val="000000"/>
                <w:sz w:val="20"/>
                <w:szCs w:val="20"/>
                <w:lang w:val="es-ES"/>
              </w:rPr>
              <w:t>Coordinado por el Programa Mundial de Evaluación de los Recursos Hídricos de la UNESCO en nombre de la familia de ONU Agua.</w:t>
            </w:r>
          </w:p>
        </w:tc>
      </w:tr>
      <w:tr w:rsidR="00DB27FE" w:rsidRPr="00841C2D" w14:paraId="4611863D" w14:textId="77777777" w:rsidTr="00DA14B4">
        <w:trPr>
          <w:cantSplit/>
        </w:trPr>
        <w:tc>
          <w:tcPr>
            <w:tcW w:w="2122" w:type="dxa"/>
            <w:shd w:val="clear" w:color="auto" w:fill="auto"/>
            <w:hideMark/>
          </w:tcPr>
          <w:p w14:paraId="2693E9AF" w14:textId="77777777" w:rsidR="00DB27FE" w:rsidRPr="006D3772" w:rsidRDefault="00DB27FE" w:rsidP="00DA14B4">
            <w:pPr>
              <w:rPr>
                <w:color w:val="000000"/>
                <w:sz w:val="20"/>
                <w:szCs w:val="20"/>
                <w:lang w:val="es-ES"/>
              </w:rPr>
            </w:pPr>
            <w:r w:rsidRPr="006D3772">
              <w:rPr>
                <w:color w:val="000000"/>
                <w:sz w:val="20"/>
                <w:szCs w:val="20"/>
                <w:lang w:val="es-ES"/>
              </w:rPr>
              <w:lastRenderedPageBreak/>
              <w:t>ONU Medio Ambiente (PNUMA)</w:t>
            </w:r>
          </w:p>
        </w:tc>
        <w:tc>
          <w:tcPr>
            <w:tcW w:w="2126" w:type="dxa"/>
            <w:shd w:val="clear" w:color="auto" w:fill="auto"/>
            <w:hideMark/>
          </w:tcPr>
          <w:p w14:paraId="1378A41C" w14:textId="77777777" w:rsidR="00DB27FE" w:rsidRPr="006D3772" w:rsidRDefault="00DB27FE" w:rsidP="00DA14B4">
            <w:pPr>
              <w:rPr>
                <w:color w:val="000000"/>
                <w:sz w:val="20"/>
                <w:szCs w:val="20"/>
                <w:lang w:val="es-ES"/>
              </w:rPr>
            </w:pPr>
            <w:r w:rsidRPr="006D3772">
              <w:rPr>
                <w:color w:val="000000" w:themeColor="text1"/>
                <w:sz w:val="20"/>
                <w:szCs w:val="20"/>
                <w:lang w:val="es-ES"/>
              </w:rPr>
              <w:t>Perspectivas del Medio Ambiente Mundial</w:t>
            </w:r>
          </w:p>
        </w:tc>
        <w:tc>
          <w:tcPr>
            <w:tcW w:w="3354" w:type="dxa"/>
            <w:shd w:val="clear" w:color="auto" w:fill="auto"/>
            <w:hideMark/>
          </w:tcPr>
          <w:p w14:paraId="163C8F3B" w14:textId="77777777" w:rsidR="00DB27FE" w:rsidRPr="006D3772" w:rsidRDefault="00DB27FE" w:rsidP="00DA14B4">
            <w:pPr>
              <w:rPr>
                <w:color w:val="000000"/>
                <w:sz w:val="20"/>
                <w:szCs w:val="20"/>
                <w:lang w:val="es-ES"/>
              </w:rPr>
            </w:pPr>
            <w:r w:rsidRPr="006D3772">
              <w:rPr>
                <w:color w:val="000000"/>
                <w:sz w:val="20"/>
                <w:szCs w:val="20"/>
                <w:lang w:val="es-ES"/>
              </w:rPr>
              <w:t>Someter a un examen continuado las condiciones ambientales del planeta para informar periódicamente a los Estados miembros y los interesados y apoyar su labor individual y colectiva, al tiempo que se refuerza la interfaz científico-normativa del Programa de las Naciones Unidas para el Medio Ambiente;</w:t>
            </w:r>
          </w:p>
        </w:tc>
        <w:tc>
          <w:tcPr>
            <w:tcW w:w="3355" w:type="dxa"/>
            <w:shd w:val="clear" w:color="auto" w:fill="auto"/>
            <w:hideMark/>
          </w:tcPr>
          <w:p w14:paraId="2C4F81BB" w14:textId="77777777" w:rsidR="00DB27FE" w:rsidRPr="006D3772" w:rsidRDefault="00DB27FE" w:rsidP="00DA14B4">
            <w:pPr>
              <w:rPr>
                <w:color w:val="000000"/>
                <w:sz w:val="20"/>
                <w:szCs w:val="20"/>
                <w:lang w:val="es-ES"/>
              </w:rPr>
            </w:pPr>
            <w:r w:rsidRPr="006D3772">
              <w:rPr>
                <w:color w:val="000000"/>
                <w:sz w:val="20"/>
                <w:szCs w:val="20"/>
                <w:lang w:val="es-ES"/>
              </w:rPr>
              <w:t>Iniciado en 1995, se publica cada cuatro años.</w:t>
            </w:r>
          </w:p>
        </w:tc>
        <w:tc>
          <w:tcPr>
            <w:tcW w:w="3355" w:type="dxa"/>
            <w:shd w:val="clear" w:color="auto" w:fill="auto"/>
            <w:hideMark/>
          </w:tcPr>
          <w:p w14:paraId="0130BEBA" w14:textId="4AEC8ED7" w:rsidR="00DB27FE" w:rsidRPr="006D3772" w:rsidRDefault="00DB27FE" w:rsidP="00DA14B4">
            <w:pPr>
              <w:rPr>
                <w:color w:val="000000" w:themeColor="text1"/>
                <w:sz w:val="20"/>
                <w:szCs w:val="20"/>
                <w:lang w:val="es-ES"/>
              </w:rPr>
            </w:pPr>
            <w:r w:rsidRPr="006D3772">
              <w:rPr>
                <w:color w:val="000000" w:themeColor="text1"/>
                <w:sz w:val="20"/>
                <w:szCs w:val="20"/>
                <w:lang w:val="es-ES"/>
              </w:rPr>
              <w:t xml:space="preserve">El proceso de evaluación es presidido por un grupo asesor científico de expertos multidisciplinares. La evaluación es realizada por autores principales y autores principales coordinadores seleccionados mediante una convocatoria abierta. Los Estados miembros examinan y aprueban el </w:t>
            </w:r>
            <w:r w:rsidR="00414063" w:rsidRPr="006D3772">
              <w:rPr>
                <w:color w:val="000000" w:themeColor="text1"/>
                <w:sz w:val="20"/>
                <w:szCs w:val="20"/>
                <w:lang w:val="es-ES"/>
              </w:rPr>
              <w:t xml:space="preserve">documento de determinación del alcance </w:t>
            </w:r>
            <w:r w:rsidRPr="006D3772">
              <w:rPr>
                <w:color w:val="000000" w:themeColor="text1"/>
                <w:sz w:val="20"/>
                <w:szCs w:val="20"/>
                <w:lang w:val="es-ES"/>
              </w:rPr>
              <w:t>y un resumen para responsables de políticas en reuniones abiertas ad hoc.</w:t>
            </w:r>
          </w:p>
        </w:tc>
      </w:tr>
      <w:tr w:rsidR="00DB27FE" w:rsidRPr="00841C2D" w14:paraId="2BEBEAFA" w14:textId="77777777" w:rsidTr="00DA14B4">
        <w:trPr>
          <w:cantSplit/>
        </w:trPr>
        <w:tc>
          <w:tcPr>
            <w:tcW w:w="2122" w:type="dxa"/>
            <w:shd w:val="clear" w:color="auto" w:fill="auto"/>
            <w:hideMark/>
          </w:tcPr>
          <w:p w14:paraId="2957B37F" w14:textId="3F03C6C7" w:rsidR="00DB27FE" w:rsidRPr="006D3772" w:rsidRDefault="00DB27FE" w:rsidP="00DA14B4">
            <w:pPr>
              <w:rPr>
                <w:color w:val="000000"/>
                <w:sz w:val="20"/>
                <w:szCs w:val="20"/>
                <w:lang w:val="es-ES"/>
              </w:rPr>
            </w:pPr>
            <w:r w:rsidRPr="006D3772">
              <w:rPr>
                <w:color w:val="000000" w:themeColor="text1"/>
                <w:sz w:val="20"/>
                <w:szCs w:val="20"/>
                <w:lang w:val="es-ES"/>
              </w:rPr>
              <w:t>Plataforma Intergubernamental Científico</w:t>
            </w:r>
            <w:r w:rsidR="00DE1A00" w:rsidRPr="006D3772">
              <w:rPr>
                <w:color w:val="000000" w:themeColor="text1"/>
                <w:sz w:val="20"/>
                <w:szCs w:val="20"/>
                <w:lang w:val="es-ES"/>
              </w:rPr>
              <w:t>-normativa</w:t>
            </w:r>
            <w:r w:rsidRPr="006D3772">
              <w:rPr>
                <w:color w:val="000000" w:themeColor="text1"/>
                <w:sz w:val="20"/>
                <w:szCs w:val="20"/>
                <w:lang w:val="es-ES"/>
              </w:rPr>
              <w:t xml:space="preserve"> sobre Diversidad Biológica y Servicios de los Ecosistemas (IPBES</w:t>
            </w:r>
            <w:r w:rsidRPr="006D3772">
              <w:rPr>
                <w:color w:val="000000"/>
                <w:sz w:val="20"/>
                <w:szCs w:val="20"/>
                <w:lang w:val="es-ES"/>
              </w:rPr>
              <w:t>)</w:t>
            </w:r>
          </w:p>
        </w:tc>
        <w:tc>
          <w:tcPr>
            <w:tcW w:w="2126" w:type="dxa"/>
            <w:shd w:val="clear" w:color="auto" w:fill="auto"/>
            <w:hideMark/>
          </w:tcPr>
          <w:p w14:paraId="248DCC35" w14:textId="77777777" w:rsidR="00DB27FE" w:rsidRPr="006D3772" w:rsidRDefault="00DB27FE" w:rsidP="00DA14B4">
            <w:pPr>
              <w:rPr>
                <w:color w:val="000000"/>
                <w:sz w:val="20"/>
                <w:szCs w:val="20"/>
                <w:lang w:val="es-ES"/>
              </w:rPr>
            </w:pPr>
            <w:r w:rsidRPr="006D3772">
              <w:rPr>
                <w:color w:val="000000"/>
                <w:sz w:val="20"/>
                <w:szCs w:val="20"/>
                <w:lang w:val="es-ES"/>
              </w:rPr>
              <w:t>Varias evaluaciones</w:t>
            </w:r>
          </w:p>
        </w:tc>
        <w:tc>
          <w:tcPr>
            <w:tcW w:w="3354" w:type="dxa"/>
            <w:shd w:val="clear" w:color="auto" w:fill="auto"/>
            <w:hideMark/>
          </w:tcPr>
          <w:p w14:paraId="6EDFC227" w14:textId="77777777" w:rsidR="00DB27FE" w:rsidRPr="006D3772" w:rsidRDefault="00DB27FE" w:rsidP="00DA14B4">
            <w:pPr>
              <w:rPr>
                <w:color w:val="000000"/>
                <w:sz w:val="20"/>
                <w:szCs w:val="20"/>
                <w:lang w:val="es-ES"/>
              </w:rPr>
            </w:pPr>
            <w:r w:rsidRPr="006D3772">
              <w:rPr>
                <w:color w:val="000000"/>
                <w:sz w:val="20"/>
                <w:szCs w:val="20"/>
                <w:lang w:val="es-ES"/>
              </w:rPr>
              <w:t>Realizar evaluaciones periódicas y oportunas de los conocimientos sobre la biodiversidad y los servicios de los ecosistemas y sus interrelaciones, lo cual incluye evaluaciones temáticas, mundiales y regionales exhaustivas.</w:t>
            </w:r>
          </w:p>
        </w:tc>
        <w:tc>
          <w:tcPr>
            <w:tcW w:w="3355" w:type="dxa"/>
            <w:shd w:val="clear" w:color="auto" w:fill="auto"/>
            <w:hideMark/>
          </w:tcPr>
          <w:p w14:paraId="19283527" w14:textId="0CD1BC72" w:rsidR="00DB27FE" w:rsidRPr="006D3772" w:rsidRDefault="00DB27FE" w:rsidP="00DA14B4">
            <w:pPr>
              <w:rPr>
                <w:color w:val="4C94D8" w:themeColor="text2" w:themeTint="80"/>
                <w:sz w:val="20"/>
                <w:szCs w:val="20"/>
                <w:lang w:val="es-ES"/>
              </w:rPr>
            </w:pPr>
            <w:r w:rsidRPr="006D3772">
              <w:rPr>
                <w:color w:val="000000" w:themeColor="text1"/>
                <w:sz w:val="20"/>
                <w:szCs w:val="20"/>
                <w:lang w:val="es-ES"/>
              </w:rPr>
              <w:t xml:space="preserve">11 evaluaciones finalizadas; cada una requiere hasta cuatro años, el primer año para </w:t>
            </w:r>
            <w:r w:rsidR="00414063" w:rsidRPr="006D3772">
              <w:rPr>
                <w:color w:val="000000" w:themeColor="text1"/>
                <w:sz w:val="20"/>
                <w:szCs w:val="20"/>
                <w:lang w:val="es-ES"/>
              </w:rPr>
              <w:t xml:space="preserve">la determinación del alcance </w:t>
            </w:r>
            <w:r w:rsidRPr="006D3772">
              <w:rPr>
                <w:color w:val="000000" w:themeColor="text1"/>
                <w:sz w:val="20"/>
                <w:szCs w:val="20"/>
                <w:lang w:val="es-ES"/>
              </w:rPr>
              <w:t>y los 2-3 años siguientes para la evaluación</w:t>
            </w:r>
          </w:p>
        </w:tc>
        <w:tc>
          <w:tcPr>
            <w:tcW w:w="3355" w:type="dxa"/>
            <w:shd w:val="clear" w:color="auto" w:fill="auto"/>
            <w:hideMark/>
          </w:tcPr>
          <w:p w14:paraId="368BCAB2" w14:textId="359CACA3" w:rsidR="00DB27FE" w:rsidRPr="006D3772" w:rsidRDefault="00DB27FE" w:rsidP="00DA14B4">
            <w:pPr>
              <w:rPr>
                <w:color w:val="000000" w:themeColor="text1"/>
                <w:sz w:val="20"/>
                <w:szCs w:val="20"/>
                <w:lang w:val="es-ES"/>
              </w:rPr>
            </w:pPr>
            <w:r w:rsidRPr="006D3772">
              <w:rPr>
                <w:color w:val="000000" w:themeColor="text1"/>
                <w:sz w:val="20"/>
                <w:szCs w:val="20"/>
                <w:lang w:val="es-ES"/>
              </w:rPr>
              <w:t>Cuatro etapas: a) Encargo y</w:t>
            </w:r>
            <w:r w:rsidR="00414063" w:rsidRPr="006D3772">
              <w:rPr>
                <w:color w:val="000000" w:themeColor="text1"/>
                <w:sz w:val="20"/>
                <w:szCs w:val="20"/>
                <w:lang w:val="es-ES"/>
              </w:rPr>
              <w:t xml:space="preserve"> determinación del alcance</w:t>
            </w:r>
            <w:r w:rsidRPr="006D3772">
              <w:rPr>
                <w:color w:val="000000" w:themeColor="text1"/>
                <w:sz w:val="20"/>
                <w:szCs w:val="20"/>
                <w:lang w:val="es-ES"/>
              </w:rPr>
              <w:t>, b) evaluación de expertos, c) aprobación y aceptación del informe de evaluación final y d) uso de los resultados de la evaluación. La evaluación es guiada por un grupo multidisciplinario de expertos y es coordinada por los presidentes de la evaluación. Para cada sección o capítulo de la evaluación, se seleccionan o proponen autores principales coordinadores y autores principales. También se nombran becarios de investigación para apoyar el desarrollo de capacidad.</w:t>
            </w:r>
          </w:p>
        </w:tc>
      </w:tr>
      <w:tr w:rsidR="00DB27FE" w:rsidRPr="00841C2D" w14:paraId="177751F1" w14:textId="77777777" w:rsidTr="00DA14B4">
        <w:trPr>
          <w:cantSplit/>
        </w:trPr>
        <w:tc>
          <w:tcPr>
            <w:tcW w:w="2122" w:type="dxa"/>
            <w:shd w:val="clear" w:color="auto" w:fill="auto"/>
            <w:hideMark/>
          </w:tcPr>
          <w:p w14:paraId="14A24A45" w14:textId="77777777" w:rsidR="00DB27FE" w:rsidRPr="006D3772" w:rsidRDefault="00DB27FE" w:rsidP="00DA14B4">
            <w:pPr>
              <w:rPr>
                <w:color w:val="000000"/>
                <w:sz w:val="20"/>
                <w:szCs w:val="20"/>
                <w:lang w:val="es-ES"/>
              </w:rPr>
            </w:pPr>
            <w:r w:rsidRPr="006D3772">
              <w:rPr>
                <w:color w:val="000000"/>
                <w:sz w:val="20"/>
                <w:szCs w:val="20"/>
                <w:lang w:val="es-ES"/>
              </w:rPr>
              <w:lastRenderedPageBreak/>
              <w:t>Convención de las Naciones Unidas de Lucha contra la Desertificación (CNULD)</w:t>
            </w:r>
          </w:p>
        </w:tc>
        <w:tc>
          <w:tcPr>
            <w:tcW w:w="2126" w:type="dxa"/>
            <w:shd w:val="clear" w:color="auto" w:fill="auto"/>
            <w:hideMark/>
          </w:tcPr>
          <w:p w14:paraId="3107FD8D" w14:textId="77777777" w:rsidR="00DB27FE" w:rsidRPr="006D3772" w:rsidRDefault="00DB27FE" w:rsidP="00DA14B4">
            <w:pPr>
              <w:rPr>
                <w:color w:val="000000"/>
                <w:sz w:val="20"/>
                <w:szCs w:val="20"/>
                <w:lang w:val="es-ES"/>
              </w:rPr>
            </w:pPr>
            <w:r w:rsidRPr="006D3772">
              <w:rPr>
                <w:color w:val="000000" w:themeColor="text1"/>
                <w:sz w:val="20"/>
                <w:szCs w:val="20"/>
                <w:lang w:val="es-ES"/>
              </w:rPr>
              <w:t>Perspectiva global de la tierra</w:t>
            </w:r>
          </w:p>
        </w:tc>
        <w:tc>
          <w:tcPr>
            <w:tcW w:w="3354" w:type="dxa"/>
            <w:shd w:val="clear" w:color="auto" w:fill="auto"/>
            <w:hideMark/>
          </w:tcPr>
          <w:p w14:paraId="1A96E4D0" w14:textId="77777777" w:rsidR="00DB27FE" w:rsidRPr="006D3772" w:rsidRDefault="00DB27FE" w:rsidP="00DA14B4">
            <w:pPr>
              <w:rPr>
                <w:color w:val="000000"/>
                <w:sz w:val="20"/>
                <w:szCs w:val="20"/>
                <w:lang w:val="es-ES"/>
              </w:rPr>
            </w:pPr>
            <w:r w:rsidRPr="006D3772">
              <w:rPr>
                <w:color w:val="000000" w:themeColor="text1"/>
                <w:sz w:val="20"/>
                <w:szCs w:val="20"/>
                <w:lang w:val="es-ES"/>
              </w:rPr>
              <w:t xml:space="preserve">Comunicar </w:t>
            </w:r>
            <w:r w:rsidRPr="006D3772">
              <w:rPr>
                <w:color w:val="000000"/>
                <w:sz w:val="20"/>
                <w:szCs w:val="20"/>
                <w:lang w:val="es-ES"/>
              </w:rPr>
              <w:t>y concienciar sobre información y tendencias basadas en evidencia y relevantes para las políticas a una variedad de partes interesadas, incluidos los gobiernos nacionales que formulan sus respuestas a los compromisos para gestionar y restaurar mejor los recursos de la tierra, incluidos los ODS y las metas asociadas, como la Neutralidad en la Degradación de la Tierra (NDT). Los informes temáticos de la Perspectiva brindan un análisis global y ofrecen soluciones prácticas que son relevantes y oportunas para abordar desafíos y oportunidades específicos de gestión de la tierra en contextos geográficos y socioeconómicos seleccionados.</w:t>
            </w:r>
          </w:p>
        </w:tc>
        <w:tc>
          <w:tcPr>
            <w:tcW w:w="3355" w:type="dxa"/>
            <w:shd w:val="clear" w:color="auto" w:fill="auto"/>
            <w:hideMark/>
          </w:tcPr>
          <w:p w14:paraId="29D4CA31" w14:textId="77777777" w:rsidR="00DB27FE" w:rsidRPr="006D3772" w:rsidRDefault="00DB27FE" w:rsidP="00DA14B4">
            <w:pPr>
              <w:rPr>
                <w:color w:val="000000"/>
                <w:sz w:val="20"/>
                <w:szCs w:val="20"/>
                <w:lang w:val="es-ES"/>
              </w:rPr>
            </w:pPr>
            <w:r w:rsidRPr="006D3772">
              <w:rPr>
                <w:color w:val="000000"/>
                <w:sz w:val="20"/>
                <w:szCs w:val="20"/>
                <w:lang w:val="es-ES"/>
              </w:rPr>
              <w:t>La primera edición en 2017 y la segunda en 2022 (junto con informes regionales e informes temáticos)</w:t>
            </w:r>
          </w:p>
        </w:tc>
        <w:tc>
          <w:tcPr>
            <w:tcW w:w="3355" w:type="dxa"/>
            <w:shd w:val="clear" w:color="auto" w:fill="auto"/>
            <w:hideMark/>
          </w:tcPr>
          <w:p w14:paraId="635D9057" w14:textId="3E12DBBB" w:rsidR="00DB27FE" w:rsidRPr="006D3772" w:rsidRDefault="00DB27FE" w:rsidP="00DA14B4">
            <w:pPr>
              <w:rPr>
                <w:color w:val="000000"/>
                <w:sz w:val="20"/>
                <w:szCs w:val="20"/>
                <w:lang w:val="es-ES"/>
              </w:rPr>
            </w:pPr>
            <w:r w:rsidRPr="006D3772">
              <w:rPr>
                <w:color w:val="000000" w:themeColor="text1"/>
                <w:sz w:val="20"/>
                <w:szCs w:val="20"/>
                <w:lang w:val="es-ES"/>
              </w:rPr>
              <w:t>Redactada por une equipo de autores principales y colaboradores; la evaluación en su conjunto es realizada por un equipo de coordinadores, coautores y ayudantes de investigación de la Perspectiva, que trabajan bajo la coordinación de un Comité Directivo</w:t>
            </w:r>
            <w:r w:rsidR="002A0512">
              <w:rPr>
                <w:color w:val="000000" w:themeColor="text1"/>
                <w:sz w:val="20"/>
                <w:szCs w:val="20"/>
                <w:lang w:val="es-ES"/>
              </w:rPr>
              <w:t>.</w:t>
            </w:r>
          </w:p>
        </w:tc>
      </w:tr>
      <w:tr w:rsidR="00DB27FE" w:rsidRPr="00841C2D" w14:paraId="107B2D3F" w14:textId="77777777" w:rsidTr="00DA14B4">
        <w:trPr>
          <w:cantSplit/>
        </w:trPr>
        <w:tc>
          <w:tcPr>
            <w:tcW w:w="2122" w:type="dxa"/>
            <w:shd w:val="clear" w:color="auto" w:fill="auto"/>
            <w:hideMark/>
          </w:tcPr>
          <w:p w14:paraId="578F5973" w14:textId="77777777" w:rsidR="00DB27FE" w:rsidRPr="006D3772" w:rsidRDefault="00DB27FE" w:rsidP="00DA14B4">
            <w:pPr>
              <w:rPr>
                <w:color w:val="000000"/>
                <w:sz w:val="20"/>
                <w:szCs w:val="20"/>
                <w:lang w:val="es-ES"/>
              </w:rPr>
            </w:pPr>
            <w:r w:rsidRPr="006D3772">
              <w:rPr>
                <w:color w:val="000000" w:themeColor="text1"/>
                <w:sz w:val="20"/>
                <w:szCs w:val="20"/>
                <w:lang w:val="es-ES"/>
              </w:rPr>
              <w:lastRenderedPageBreak/>
              <w:t>Grupo Intergubernamental de Expertos sobre el Cambio Climático (IPCC)</w:t>
            </w:r>
          </w:p>
        </w:tc>
        <w:tc>
          <w:tcPr>
            <w:tcW w:w="2126" w:type="dxa"/>
            <w:shd w:val="clear" w:color="auto" w:fill="auto"/>
            <w:hideMark/>
          </w:tcPr>
          <w:p w14:paraId="316774E2" w14:textId="77777777" w:rsidR="00DB27FE" w:rsidRPr="006D3772" w:rsidRDefault="00DB27FE" w:rsidP="00DA14B4">
            <w:pPr>
              <w:rPr>
                <w:color w:val="000000"/>
                <w:sz w:val="20"/>
                <w:szCs w:val="20"/>
                <w:lang w:val="es-ES"/>
              </w:rPr>
            </w:pPr>
            <w:r w:rsidRPr="006D3772">
              <w:rPr>
                <w:color w:val="000000"/>
                <w:sz w:val="20"/>
                <w:szCs w:val="20"/>
                <w:lang w:val="es-ES"/>
              </w:rPr>
              <w:t>Informe de Evaluación</w:t>
            </w:r>
          </w:p>
        </w:tc>
        <w:tc>
          <w:tcPr>
            <w:tcW w:w="3354" w:type="dxa"/>
            <w:shd w:val="clear" w:color="auto" w:fill="auto"/>
            <w:hideMark/>
          </w:tcPr>
          <w:p w14:paraId="68FBCF5A" w14:textId="77777777" w:rsidR="00DB27FE" w:rsidRPr="006D3772" w:rsidRDefault="00DB27FE" w:rsidP="00DA14B4">
            <w:pPr>
              <w:rPr>
                <w:color w:val="000000"/>
                <w:sz w:val="20"/>
                <w:szCs w:val="20"/>
                <w:lang w:val="es-ES"/>
              </w:rPr>
            </w:pPr>
            <w:r w:rsidRPr="006D3772">
              <w:rPr>
                <w:color w:val="000000"/>
                <w:sz w:val="20"/>
                <w:szCs w:val="20"/>
                <w:lang w:val="es-ES"/>
              </w:rPr>
              <w:t>Preparar informes de evaluación integrales del estado de los conocimientos sobre el cambio climático, sus causas, posibles repercusiones y estrategias de respuesta. El IPCC también publica informes especiales sobre temas concretos, e informes metodológicos, que proporcionan directrices prácticas para preparar los inventarios de gases de efecto invernadero.</w:t>
            </w:r>
          </w:p>
        </w:tc>
        <w:tc>
          <w:tcPr>
            <w:tcW w:w="3355" w:type="dxa"/>
            <w:shd w:val="clear" w:color="auto" w:fill="auto"/>
            <w:hideMark/>
          </w:tcPr>
          <w:p w14:paraId="1F4E93F4" w14:textId="77777777" w:rsidR="00DB27FE" w:rsidRPr="006D3772" w:rsidRDefault="00DB27FE" w:rsidP="00DA14B4">
            <w:pPr>
              <w:rPr>
                <w:color w:val="000000"/>
                <w:sz w:val="20"/>
                <w:szCs w:val="20"/>
                <w:lang w:val="es-ES"/>
              </w:rPr>
            </w:pPr>
            <w:r w:rsidRPr="006D3772">
              <w:rPr>
                <w:color w:val="000000"/>
                <w:sz w:val="20"/>
                <w:szCs w:val="20"/>
                <w:lang w:val="es-ES"/>
              </w:rPr>
              <w:t>Cada 5-7 años. El primer informe de evaluación exhaustivo se publicó en 1990.</w:t>
            </w:r>
          </w:p>
        </w:tc>
        <w:tc>
          <w:tcPr>
            <w:tcW w:w="3355" w:type="dxa"/>
            <w:shd w:val="clear" w:color="auto" w:fill="auto"/>
            <w:hideMark/>
          </w:tcPr>
          <w:p w14:paraId="248EAC78" w14:textId="0837DD5C" w:rsidR="00DB27FE" w:rsidRPr="006D3772" w:rsidRDefault="00DB27FE" w:rsidP="00DA14B4">
            <w:pPr>
              <w:rPr>
                <w:color w:val="000000"/>
                <w:sz w:val="20"/>
                <w:szCs w:val="20"/>
                <w:lang w:val="es-ES"/>
              </w:rPr>
            </w:pPr>
            <w:r w:rsidRPr="006D3772">
              <w:rPr>
                <w:color w:val="000000" w:themeColor="text1"/>
                <w:sz w:val="20"/>
                <w:szCs w:val="20"/>
                <w:lang w:val="es-ES"/>
              </w:rPr>
              <w:t xml:space="preserve">Cada informe comienza con una reunión de </w:t>
            </w:r>
            <w:r w:rsidR="00414063" w:rsidRPr="006D3772">
              <w:rPr>
                <w:color w:val="000000" w:themeColor="text1"/>
                <w:sz w:val="20"/>
                <w:szCs w:val="20"/>
                <w:lang w:val="es-ES"/>
              </w:rPr>
              <w:t xml:space="preserve">análisis inicial </w:t>
            </w:r>
            <w:r w:rsidRPr="006D3772">
              <w:rPr>
                <w:color w:val="000000" w:themeColor="text1"/>
                <w:sz w:val="20"/>
                <w:szCs w:val="20"/>
                <w:lang w:val="es-ES"/>
              </w:rPr>
              <w:t xml:space="preserve">para preparar un proyecto de esquema. Los expertos designados por los gobiernos miembros, las organizaciones observadoras y la Mesa, y aquellos seleccionados por la Mesa pertinente, preparan un </w:t>
            </w:r>
            <w:r w:rsidR="006D3772" w:rsidRPr="006D3772">
              <w:rPr>
                <w:color w:val="000000" w:themeColor="text1"/>
                <w:sz w:val="20"/>
                <w:szCs w:val="20"/>
                <w:lang w:val="es-ES"/>
              </w:rPr>
              <w:t>proyecto</w:t>
            </w:r>
            <w:r w:rsidRPr="006D3772">
              <w:rPr>
                <w:color w:val="000000" w:themeColor="text1"/>
                <w:sz w:val="20"/>
                <w:szCs w:val="20"/>
                <w:lang w:val="es-ES"/>
              </w:rPr>
              <w:t xml:space="preserve"> de esquema del </w:t>
            </w:r>
            <w:r w:rsidR="006D3772" w:rsidRPr="006D3772">
              <w:rPr>
                <w:color w:val="000000" w:themeColor="text1"/>
                <w:sz w:val="20"/>
                <w:szCs w:val="20"/>
                <w:lang w:val="es-ES"/>
              </w:rPr>
              <w:t>informe</w:t>
            </w:r>
            <w:r w:rsidRPr="006D3772">
              <w:rPr>
                <w:color w:val="000000" w:themeColor="text1"/>
                <w:sz w:val="20"/>
                <w:szCs w:val="20"/>
                <w:lang w:val="es-ES"/>
              </w:rPr>
              <w:t xml:space="preserve"> para el </w:t>
            </w:r>
            <w:r w:rsidR="00A122D8">
              <w:rPr>
                <w:color w:val="000000" w:themeColor="text1"/>
                <w:sz w:val="20"/>
                <w:szCs w:val="20"/>
                <w:lang w:val="es-ES"/>
              </w:rPr>
              <w:t>Grupo</w:t>
            </w:r>
            <w:r w:rsidRPr="006D3772">
              <w:rPr>
                <w:color w:val="000000" w:themeColor="text1"/>
                <w:sz w:val="20"/>
                <w:szCs w:val="20"/>
                <w:lang w:val="es-ES"/>
              </w:rPr>
              <w:t xml:space="preserve">. A partir del informe de la reunión de </w:t>
            </w:r>
            <w:r w:rsidR="002A0512">
              <w:rPr>
                <w:color w:val="000000" w:themeColor="text1"/>
                <w:sz w:val="20"/>
                <w:szCs w:val="20"/>
                <w:lang w:val="es-ES"/>
              </w:rPr>
              <w:t>determinación del alcance</w:t>
            </w:r>
            <w:r w:rsidRPr="006D3772">
              <w:rPr>
                <w:color w:val="000000" w:themeColor="text1"/>
                <w:sz w:val="20"/>
                <w:szCs w:val="20"/>
                <w:lang w:val="es-ES"/>
              </w:rPr>
              <w:t xml:space="preserve">, el </w:t>
            </w:r>
            <w:r w:rsidR="00A122D8">
              <w:rPr>
                <w:sz w:val="20"/>
                <w:szCs w:val="20"/>
                <w:lang w:val="es-ES"/>
              </w:rPr>
              <w:t>Grupo</w:t>
            </w:r>
            <w:r w:rsidRPr="006D3772">
              <w:rPr>
                <w:sz w:val="20"/>
                <w:szCs w:val="20"/>
                <w:lang w:val="es-ES"/>
              </w:rPr>
              <w:t xml:space="preserve"> </w:t>
            </w:r>
            <w:r w:rsidRPr="006D3772">
              <w:rPr>
                <w:color w:val="000000" w:themeColor="text1"/>
                <w:sz w:val="20"/>
                <w:szCs w:val="20"/>
                <w:lang w:val="es-ES"/>
              </w:rPr>
              <w:t xml:space="preserve">decide si debe proseguir el trabajo para preparar el </w:t>
            </w:r>
            <w:r w:rsidR="006D3772" w:rsidRPr="006D3772">
              <w:rPr>
                <w:color w:val="000000" w:themeColor="text1"/>
                <w:sz w:val="20"/>
                <w:szCs w:val="20"/>
                <w:lang w:val="es-ES"/>
              </w:rPr>
              <w:t>informe</w:t>
            </w:r>
            <w:r w:rsidRPr="006D3772">
              <w:rPr>
                <w:color w:val="000000" w:themeColor="text1"/>
                <w:sz w:val="20"/>
                <w:szCs w:val="20"/>
                <w:lang w:val="es-ES"/>
              </w:rPr>
              <w:t xml:space="preserve"> y si aprueba su alcance, esquema y plan de trabajo, incluidos el calendario y presupuesto. Los gobiernos miembros, organizaciones </w:t>
            </w:r>
            <w:r w:rsidR="006D3772" w:rsidRPr="006D3772">
              <w:rPr>
                <w:color w:val="000000" w:themeColor="text1"/>
                <w:sz w:val="20"/>
                <w:szCs w:val="20"/>
                <w:lang w:val="es-ES"/>
              </w:rPr>
              <w:t>observadoras</w:t>
            </w:r>
            <w:r w:rsidRPr="006D3772">
              <w:rPr>
                <w:color w:val="000000" w:themeColor="text1"/>
                <w:sz w:val="20"/>
                <w:szCs w:val="20"/>
                <w:lang w:val="es-ES"/>
              </w:rPr>
              <w:t xml:space="preserve"> y la Mesa (copresidencias y vicepresidencias) del grupo de trabajo o equipo especial que elabora el informe elaboran una lista de expertos entre los cuales la(s) mesa(s) </w:t>
            </w:r>
            <w:r w:rsidR="006D3772" w:rsidRPr="006D3772">
              <w:rPr>
                <w:color w:val="000000" w:themeColor="text1"/>
                <w:sz w:val="20"/>
                <w:szCs w:val="20"/>
                <w:lang w:val="es-ES"/>
              </w:rPr>
              <w:t>pertinentes</w:t>
            </w:r>
            <w:r w:rsidRPr="006D3772">
              <w:rPr>
                <w:color w:val="000000" w:themeColor="text1"/>
                <w:sz w:val="20"/>
                <w:szCs w:val="20"/>
                <w:lang w:val="es-ES"/>
              </w:rPr>
              <w:t xml:space="preserve"> seleccionan a los autores del </w:t>
            </w:r>
            <w:r w:rsidR="006D3772" w:rsidRPr="006D3772">
              <w:rPr>
                <w:color w:val="000000" w:themeColor="text1"/>
                <w:sz w:val="20"/>
                <w:szCs w:val="20"/>
                <w:lang w:val="es-ES"/>
              </w:rPr>
              <w:t>informe</w:t>
            </w:r>
            <w:r w:rsidRPr="006D3772">
              <w:rPr>
                <w:color w:val="000000" w:themeColor="text1"/>
                <w:sz w:val="20"/>
                <w:szCs w:val="20"/>
                <w:lang w:val="es-ES"/>
              </w:rPr>
              <w:t xml:space="preserve">. La Mesa también puede tener en cuenta a otros expertos conocidos por sus publicaciones y trabajo. Se invita a los </w:t>
            </w:r>
            <w:r w:rsidR="006D3772" w:rsidRPr="006D3772">
              <w:rPr>
                <w:color w:val="000000" w:themeColor="text1"/>
                <w:sz w:val="20"/>
                <w:szCs w:val="20"/>
                <w:lang w:val="es-ES"/>
              </w:rPr>
              <w:t>científicos</w:t>
            </w:r>
            <w:r w:rsidRPr="006D3772">
              <w:rPr>
                <w:color w:val="000000" w:themeColor="text1"/>
                <w:sz w:val="20"/>
                <w:szCs w:val="20"/>
                <w:lang w:val="es-ES"/>
              </w:rPr>
              <w:t xml:space="preserve"> propuestos pero no seleccionados como autores a registrarse como revisores expertos del informe.</w:t>
            </w:r>
          </w:p>
        </w:tc>
      </w:tr>
    </w:tbl>
    <w:p w14:paraId="60837F75" w14:textId="77777777" w:rsidR="00DB27FE" w:rsidRPr="006D3772" w:rsidRDefault="00DB27FE" w:rsidP="00DB27FE">
      <w:pPr>
        <w:rPr>
          <w:lang w:val="es-ES"/>
        </w:rPr>
        <w:sectPr w:rsidR="00DB27FE" w:rsidRPr="006D3772" w:rsidSect="00DB27FE">
          <w:pgSz w:w="16838" w:h="11906" w:orient="landscape" w:code="9"/>
          <w:pgMar w:top="1440" w:right="1440" w:bottom="1440" w:left="1440" w:header="720" w:footer="720" w:gutter="0"/>
          <w:cols w:space="720"/>
          <w:docGrid w:linePitch="360"/>
        </w:sectPr>
      </w:pPr>
    </w:p>
    <w:p w14:paraId="2FBDA6D6" w14:textId="77777777" w:rsidR="00DB27FE" w:rsidRPr="006D3772" w:rsidRDefault="00DB27FE" w:rsidP="00DB27FE">
      <w:pPr>
        <w:rPr>
          <w:b/>
          <w:bCs w:val="0"/>
          <w:lang w:val="es-ES"/>
        </w:rPr>
      </w:pPr>
      <w:r w:rsidRPr="006D3772">
        <w:rPr>
          <w:b/>
          <w:lang w:val="es-ES"/>
        </w:rPr>
        <w:lastRenderedPageBreak/>
        <w:t>Apéndice 2</w:t>
      </w:r>
    </w:p>
    <w:p w14:paraId="19B638D6" w14:textId="77777777" w:rsidR="00DB27FE" w:rsidRPr="006D3772" w:rsidRDefault="00DB27FE" w:rsidP="00DB27FE">
      <w:pPr>
        <w:rPr>
          <w:lang w:val="es-ES"/>
        </w:rPr>
      </w:pPr>
      <w:r w:rsidRPr="006D3772">
        <w:rPr>
          <w:b/>
          <w:lang w:val="es-ES"/>
        </w:rPr>
        <w:t>Utilización de un proceso de evaluación de la confianza</w:t>
      </w:r>
    </w:p>
    <w:p w14:paraId="7EAF1C17" w14:textId="77777777" w:rsidR="00DB27FE" w:rsidRPr="006D3772" w:rsidRDefault="00DB27FE" w:rsidP="00DB27FE">
      <w:pPr>
        <w:rPr>
          <w:b/>
          <w:bCs w:val="0"/>
          <w:lang w:val="es-ES"/>
        </w:rPr>
      </w:pPr>
    </w:p>
    <w:p w14:paraId="1ED5A0F5" w14:textId="77777777" w:rsidR="00DB27FE" w:rsidRPr="006D3772" w:rsidRDefault="00DB27FE" w:rsidP="00DB27FE">
      <w:pPr>
        <w:ind w:left="432" w:hanging="432"/>
        <w:rPr>
          <w:lang w:val="es-ES"/>
        </w:rPr>
      </w:pPr>
      <w:r w:rsidRPr="006D3772">
        <w:rPr>
          <w:lang w:val="es-ES"/>
        </w:rPr>
        <w:t>1.</w:t>
      </w:r>
      <w:r w:rsidRPr="006D3772">
        <w:rPr>
          <w:lang w:val="es-ES"/>
        </w:rPr>
        <w:tab/>
        <w:t xml:space="preserve">Para garantizar que la PMH esté basada en una rigurosa evaluación de datos científicos, recomienda utilizar </w:t>
      </w:r>
      <w:r w:rsidRPr="006D3772">
        <w:rPr>
          <w:color w:val="000000" w:themeColor="text1"/>
          <w:lang w:val="es-ES"/>
        </w:rPr>
        <w:t xml:space="preserve">marcos </w:t>
      </w:r>
      <w:r w:rsidRPr="006D3772">
        <w:rPr>
          <w:lang w:val="es-ES"/>
        </w:rPr>
        <w:t>de evaluación de la confianza</w:t>
      </w:r>
      <w:r w:rsidRPr="006D3772">
        <w:rPr>
          <w:rStyle w:val="FootnoteReference"/>
          <w:lang w:val="es-ES"/>
        </w:rPr>
        <w:footnoteReference w:id="22"/>
      </w:r>
      <w:r w:rsidRPr="006D3772">
        <w:rPr>
          <w:lang w:val="es-ES"/>
        </w:rPr>
        <w:t xml:space="preserve">, asignando a cada conclusión un grado de fiabilidad. Estos grados se derivan de un examen de la calidad y cantidad de la información y el nivel de concordancia entre los datos. A partir de esos factores, se asignan cuatro grados de fiabilidad, a saber: </w:t>
      </w:r>
    </w:p>
    <w:p w14:paraId="048CA190" w14:textId="77777777" w:rsidR="00DB27FE" w:rsidRPr="006D3772" w:rsidRDefault="00DB27FE" w:rsidP="00DB27FE">
      <w:pPr>
        <w:ind w:left="432" w:hanging="432"/>
        <w:rPr>
          <w:lang w:val="es-ES"/>
        </w:rPr>
      </w:pPr>
    </w:p>
    <w:p w14:paraId="221EBA86" w14:textId="77777777" w:rsidR="00DB27FE" w:rsidRPr="006D3772" w:rsidRDefault="00DB27FE" w:rsidP="00DB27FE">
      <w:pPr>
        <w:pStyle w:val="ListParagraph"/>
        <w:numPr>
          <w:ilvl w:val="0"/>
          <w:numId w:val="31"/>
        </w:numPr>
        <w:ind w:left="810"/>
        <w:rPr>
          <w:color w:val="000000" w:themeColor="text1"/>
          <w:lang w:val="es-ES"/>
        </w:rPr>
      </w:pPr>
      <w:r w:rsidRPr="006D3772">
        <w:rPr>
          <w:color w:val="000000" w:themeColor="text1"/>
          <w:lang w:val="es-ES"/>
        </w:rPr>
        <w:t xml:space="preserve">Bien establecido: un metaanálisis exhaustivo, otros informes de síntesis o varios estudios independientes que coinciden. </w:t>
      </w:r>
    </w:p>
    <w:p w14:paraId="0FE67CC7" w14:textId="4C410BBE" w:rsidR="00DB27FE" w:rsidRPr="006D3772" w:rsidRDefault="00DB27FE" w:rsidP="00DB27FE">
      <w:pPr>
        <w:pStyle w:val="ListParagraph"/>
        <w:numPr>
          <w:ilvl w:val="0"/>
          <w:numId w:val="31"/>
        </w:numPr>
        <w:ind w:left="810"/>
        <w:rPr>
          <w:color w:val="000000" w:themeColor="text1"/>
          <w:lang w:val="es-ES"/>
        </w:rPr>
      </w:pPr>
      <w:r w:rsidRPr="006D3772">
        <w:rPr>
          <w:color w:val="000000" w:themeColor="text1"/>
          <w:lang w:val="es-ES"/>
        </w:rPr>
        <w:t xml:space="preserve">Establecido pero </w:t>
      </w:r>
      <w:r w:rsidR="003C486E">
        <w:rPr>
          <w:color w:val="000000" w:themeColor="text1"/>
          <w:lang w:val="es-ES"/>
        </w:rPr>
        <w:t>incompleto</w:t>
      </w:r>
      <w:r w:rsidRPr="006D3772">
        <w:rPr>
          <w:color w:val="000000" w:themeColor="text1"/>
          <w:lang w:val="es-ES"/>
        </w:rPr>
        <w:t>: acuerdo general, aunque solo existe un número limitado de estudios; no existe un informe de síntesis exhaustivo y/o existen estudios que abordan la cuestión de manera imprecisa.</w:t>
      </w:r>
    </w:p>
    <w:p w14:paraId="184D8675" w14:textId="77777777" w:rsidR="00DB27FE" w:rsidRPr="006D3772" w:rsidRDefault="00DB27FE" w:rsidP="00DB27FE">
      <w:pPr>
        <w:pStyle w:val="ListParagraph"/>
        <w:numPr>
          <w:ilvl w:val="0"/>
          <w:numId w:val="31"/>
        </w:numPr>
        <w:ind w:left="810"/>
        <w:rPr>
          <w:color w:val="000000" w:themeColor="text1"/>
          <w:lang w:val="es-ES"/>
        </w:rPr>
      </w:pPr>
      <w:r w:rsidRPr="006D3772">
        <w:rPr>
          <w:color w:val="000000" w:themeColor="text1"/>
          <w:lang w:val="es-ES"/>
        </w:rPr>
        <w:t>No resuelto: existen varios estudios independientes pero cuyas conclusiones presentan discrepancias.</w:t>
      </w:r>
    </w:p>
    <w:p w14:paraId="712BF7C4" w14:textId="77777777" w:rsidR="00DB27FE" w:rsidRPr="006D3772" w:rsidRDefault="00DB27FE" w:rsidP="00DB27FE">
      <w:pPr>
        <w:pStyle w:val="ListParagraph"/>
        <w:numPr>
          <w:ilvl w:val="0"/>
          <w:numId w:val="31"/>
        </w:numPr>
        <w:ind w:left="810"/>
        <w:rPr>
          <w:color w:val="000000" w:themeColor="text1"/>
          <w:lang w:val="es-ES"/>
        </w:rPr>
      </w:pPr>
      <w:r w:rsidRPr="006D3772">
        <w:rPr>
          <w:color w:val="000000" w:themeColor="text1"/>
          <w:lang w:val="es-ES"/>
        </w:rPr>
        <w:t>No concluyente: datos limitados; se reconocen grandes carencias de conocimientos.</w:t>
      </w:r>
    </w:p>
    <w:p w14:paraId="3ECCFC0F" w14:textId="77777777" w:rsidR="00DB27FE" w:rsidRPr="006D3772" w:rsidRDefault="00DB27FE" w:rsidP="00DB27FE">
      <w:pPr>
        <w:rPr>
          <w:color w:val="000000" w:themeColor="text1"/>
          <w:lang w:val="es-ES"/>
        </w:rPr>
      </w:pPr>
    </w:p>
    <w:p w14:paraId="58EEADD4" w14:textId="77777777" w:rsidR="00DB27FE" w:rsidRPr="006D3772" w:rsidRDefault="00DB27FE" w:rsidP="00DB27FE">
      <w:pPr>
        <w:rPr>
          <w:b/>
          <w:bCs w:val="0"/>
          <w:lang w:val="es-ES"/>
        </w:rPr>
      </w:pPr>
      <w:r w:rsidRPr="006D3772">
        <w:rPr>
          <w:b/>
          <w:bCs w:val="0"/>
          <w:noProof/>
          <w:lang w:val="es-ES"/>
        </w:rPr>
        <w:drawing>
          <wp:inline distT="0" distB="0" distL="0" distR="0" wp14:anchorId="4BC3C5B2" wp14:editId="308416D4">
            <wp:extent cx="4295593" cy="4167963"/>
            <wp:effectExtent l="0" t="0" r="0" b="4445"/>
            <wp:docPr id="324293955" name="Picture 1" descr="A diagram of a well-built mod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3902" name="Picture 1" descr="A diagram of a well-built model&#10;&#10;Description automatically generated with medium confidence"/>
                    <pic:cNvPicPr/>
                  </pic:nvPicPr>
                  <pic:blipFill>
                    <a:blip r:embed="rId32"/>
                    <a:stretch>
                      <a:fillRect/>
                    </a:stretch>
                  </pic:blipFill>
                  <pic:spPr>
                    <a:xfrm>
                      <a:off x="0" y="0"/>
                      <a:ext cx="4321015" cy="4192630"/>
                    </a:xfrm>
                    <a:prstGeom prst="rect">
                      <a:avLst/>
                    </a:prstGeom>
                  </pic:spPr>
                </pic:pic>
              </a:graphicData>
            </a:graphic>
          </wp:inline>
        </w:drawing>
      </w:r>
    </w:p>
    <w:p w14:paraId="578F8ACF" w14:textId="77777777" w:rsidR="00DB27FE" w:rsidRDefault="00DB27FE" w:rsidP="00DB27FE">
      <w:pPr>
        <w:rPr>
          <w:lang w:val="es-ES"/>
        </w:rPr>
      </w:pPr>
    </w:p>
    <w:tbl>
      <w:tblPr>
        <w:tblStyle w:val="TableGrid"/>
        <w:tblW w:w="0" w:type="auto"/>
        <w:tblLook w:val="04A0" w:firstRow="1" w:lastRow="0" w:firstColumn="1" w:lastColumn="0" w:noHBand="0" w:noVBand="1"/>
      </w:tblPr>
      <w:tblGrid>
        <w:gridCol w:w="4508"/>
        <w:gridCol w:w="4508"/>
      </w:tblGrid>
      <w:tr w:rsidR="006D7053" w:rsidRPr="00841C2D" w14:paraId="5330DC44" w14:textId="77777777" w:rsidTr="006D7053">
        <w:tc>
          <w:tcPr>
            <w:tcW w:w="4508" w:type="dxa"/>
          </w:tcPr>
          <w:p w14:paraId="3240CA59" w14:textId="160986BA" w:rsidR="006D7053" w:rsidRPr="00841C2D" w:rsidRDefault="006D7053" w:rsidP="00DB27FE">
            <w:pPr>
              <w:rPr>
                <w:sz w:val="20"/>
                <w:szCs w:val="20"/>
                <w:highlight w:val="yellow"/>
                <w:lang w:val="es-ES"/>
              </w:rPr>
            </w:pPr>
            <w:r w:rsidRPr="00841C2D">
              <w:rPr>
                <w:sz w:val="20"/>
                <w:szCs w:val="20"/>
                <w:highlight w:val="yellow"/>
                <w:lang w:val="es-ES"/>
              </w:rPr>
              <w:t xml:space="preserve">Figura SPM.A2 – Texto en inglés </w:t>
            </w:r>
          </w:p>
        </w:tc>
        <w:tc>
          <w:tcPr>
            <w:tcW w:w="4508" w:type="dxa"/>
          </w:tcPr>
          <w:p w14:paraId="7A9F7AA4" w14:textId="3468C913" w:rsidR="006D7053" w:rsidRPr="00841C2D" w:rsidRDefault="006D7053" w:rsidP="00DB27FE">
            <w:pPr>
              <w:rPr>
                <w:sz w:val="20"/>
                <w:szCs w:val="20"/>
                <w:lang w:val="es-ES"/>
              </w:rPr>
            </w:pPr>
            <w:r w:rsidRPr="00841C2D">
              <w:rPr>
                <w:sz w:val="20"/>
                <w:szCs w:val="20"/>
                <w:highlight w:val="yellow"/>
                <w:lang w:val="es-ES"/>
              </w:rPr>
              <w:t>Traducción al español</w:t>
            </w:r>
          </w:p>
        </w:tc>
      </w:tr>
      <w:tr w:rsidR="006D7053" w:rsidRPr="00841C2D" w14:paraId="4AA22EC1" w14:textId="77777777" w:rsidTr="006D7053">
        <w:tc>
          <w:tcPr>
            <w:tcW w:w="4508" w:type="dxa"/>
          </w:tcPr>
          <w:p w14:paraId="147EEBC1" w14:textId="70762647" w:rsidR="006D7053" w:rsidRPr="00841C2D" w:rsidRDefault="006D7053" w:rsidP="00DB27FE">
            <w:pPr>
              <w:rPr>
                <w:sz w:val="20"/>
                <w:szCs w:val="20"/>
                <w:lang w:val="es-ES"/>
              </w:rPr>
            </w:pPr>
            <w:r w:rsidRPr="00841C2D">
              <w:rPr>
                <w:sz w:val="20"/>
                <w:szCs w:val="20"/>
                <w:lang w:val="es-ES"/>
              </w:rPr>
              <w:t>Level of agreement</w:t>
            </w:r>
          </w:p>
        </w:tc>
        <w:tc>
          <w:tcPr>
            <w:tcW w:w="4508" w:type="dxa"/>
          </w:tcPr>
          <w:p w14:paraId="642716CA" w14:textId="4F2591D8" w:rsidR="006D7053" w:rsidRPr="00841C2D" w:rsidRDefault="003C486E" w:rsidP="00DB27FE">
            <w:pPr>
              <w:rPr>
                <w:sz w:val="20"/>
                <w:szCs w:val="20"/>
                <w:lang w:val="es-ES"/>
              </w:rPr>
            </w:pPr>
            <w:r w:rsidRPr="00841C2D">
              <w:rPr>
                <w:sz w:val="20"/>
                <w:szCs w:val="20"/>
                <w:lang w:val="es-ES"/>
              </w:rPr>
              <w:t>Nivel de concordancia</w:t>
            </w:r>
          </w:p>
        </w:tc>
      </w:tr>
      <w:tr w:rsidR="006D7053" w:rsidRPr="00841C2D" w14:paraId="729C2068" w14:textId="77777777" w:rsidTr="006D7053">
        <w:tc>
          <w:tcPr>
            <w:tcW w:w="4508" w:type="dxa"/>
          </w:tcPr>
          <w:p w14:paraId="33EC68E8" w14:textId="0AAAE687" w:rsidR="006D7053" w:rsidRPr="00841C2D" w:rsidRDefault="006D7053" w:rsidP="00DB27FE">
            <w:pPr>
              <w:rPr>
                <w:sz w:val="20"/>
                <w:szCs w:val="20"/>
                <w:lang w:val="es-ES"/>
              </w:rPr>
            </w:pPr>
            <w:r w:rsidRPr="00841C2D">
              <w:rPr>
                <w:sz w:val="20"/>
                <w:szCs w:val="20"/>
                <w:lang w:val="es-ES"/>
              </w:rPr>
              <w:t>Certainty scale</w:t>
            </w:r>
          </w:p>
        </w:tc>
        <w:tc>
          <w:tcPr>
            <w:tcW w:w="4508" w:type="dxa"/>
          </w:tcPr>
          <w:p w14:paraId="0F8168BF" w14:textId="08EC4C9E" w:rsidR="006D7053" w:rsidRPr="00841C2D" w:rsidRDefault="003C486E" w:rsidP="00DB27FE">
            <w:pPr>
              <w:rPr>
                <w:sz w:val="20"/>
                <w:szCs w:val="20"/>
                <w:lang w:val="es-ES"/>
              </w:rPr>
            </w:pPr>
            <w:r w:rsidRPr="00841C2D">
              <w:rPr>
                <w:sz w:val="20"/>
                <w:szCs w:val="20"/>
                <w:lang w:val="es-ES"/>
              </w:rPr>
              <w:t>Escala de certidumbre</w:t>
            </w:r>
          </w:p>
        </w:tc>
      </w:tr>
      <w:tr w:rsidR="006D7053" w:rsidRPr="00841C2D" w14:paraId="7EB58646" w14:textId="77777777" w:rsidTr="006D7053">
        <w:tc>
          <w:tcPr>
            <w:tcW w:w="4508" w:type="dxa"/>
          </w:tcPr>
          <w:p w14:paraId="67E11E43" w14:textId="3569FFE7" w:rsidR="006D7053" w:rsidRPr="00841C2D" w:rsidRDefault="006D7053" w:rsidP="00DB27FE">
            <w:pPr>
              <w:rPr>
                <w:sz w:val="20"/>
                <w:szCs w:val="20"/>
                <w:lang w:val="en-GB"/>
              </w:rPr>
            </w:pPr>
            <w:r w:rsidRPr="00841C2D">
              <w:rPr>
                <w:sz w:val="20"/>
                <w:szCs w:val="20"/>
                <w:lang w:val="en-GB"/>
              </w:rPr>
              <w:t>Quantity and quality of the evidence</w:t>
            </w:r>
          </w:p>
        </w:tc>
        <w:tc>
          <w:tcPr>
            <w:tcW w:w="4508" w:type="dxa"/>
          </w:tcPr>
          <w:p w14:paraId="4252D4AB" w14:textId="195E0065" w:rsidR="006D7053" w:rsidRPr="00841C2D" w:rsidRDefault="003C486E" w:rsidP="00DB27FE">
            <w:pPr>
              <w:rPr>
                <w:sz w:val="20"/>
                <w:szCs w:val="20"/>
                <w:lang w:val="es-ES"/>
              </w:rPr>
            </w:pPr>
            <w:r w:rsidRPr="00841C2D">
              <w:rPr>
                <w:sz w:val="20"/>
                <w:szCs w:val="20"/>
                <w:lang w:val="es-ES"/>
              </w:rPr>
              <w:t>Cantidad y calidad de l</w:t>
            </w:r>
            <w:r w:rsidR="00A35912" w:rsidRPr="00841C2D">
              <w:rPr>
                <w:sz w:val="20"/>
                <w:szCs w:val="20"/>
                <w:lang w:val="es-ES"/>
              </w:rPr>
              <w:t>os datos</w:t>
            </w:r>
          </w:p>
        </w:tc>
      </w:tr>
      <w:tr w:rsidR="006D7053" w:rsidRPr="00841C2D" w14:paraId="1E06EECD" w14:textId="77777777" w:rsidTr="006D7053">
        <w:tc>
          <w:tcPr>
            <w:tcW w:w="4508" w:type="dxa"/>
          </w:tcPr>
          <w:p w14:paraId="261ACCC3" w14:textId="19236E6D" w:rsidR="006D7053" w:rsidRPr="00841C2D" w:rsidRDefault="006D7053" w:rsidP="00DB27FE">
            <w:pPr>
              <w:rPr>
                <w:sz w:val="20"/>
                <w:szCs w:val="20"/>
                <w:lang w:val="es-ES"/>
              </w:rPr>
            </w:pPr>
            <w:r w:rsidRPr="00841C2D">
              <w:rPr>
                <w:sz w:val="20"/>
                <w:szCs w:val="20"/>
                <w:lang w:val="es-ES"/>
              </w:rPr>
              <w:lastRenderedPageBreak/>
              <w:t>High</w:t>
            </w:r>
          </w:p>
        </w:tc>
        <w:tc>
          <w:tcPr>
            <w:tcW w:w="4508" w:type="dxa"/>
          </w:tcPr>
          <w:p w14:paraId="6D2E2323" w14:textId="2E55AD51" w:rsidR="006D7053" w:rsidRPr="00841C2D" w:rsidRDefault="003C486E" w:rsidP="00DB27FE">
            <w:pPr>
              <w:rPr>
                <w:sz w:val="20"/>
                <w:szCs w:val="20"/>
                <w:lang w:val="es-ES"/>
              </w:rPr>
            </w:pPr>
            <w:r w:rsidRPr="00841C2D">
              <w:rPr>
                <w:sz w:val="20"/>
                <w:szCs w:val="20"/>
                <w:lang w:val="es-ES"/>
              </w:rPr>
              <w:t>Alto/Alta</w:t>
            </w:r>
          </w:p>
        </w:tc>
      </w:tr>
      <w:tr w:rsidR="006D7053" w:rsidRPr="00841C2D" w14:paraId="0BD9E9EB" w14:textId="77777777" w:rsidTr="006D7053">
        <w:tc>
          <w:tcPr>
            <w:tcW w:w="4508" w:type="dxa"/>
          </w:tcPr>
          <w:p w14:paraId="148B322E" w14:textId="1826AFA5" w:rsidR="006D7053" w:rsidRPr="00841C2D" w:rsidRDefault="006D7053" w:rsidP="00DB27FE">
            <w:pPr>
              <w:rPr>
                <w:sz w:val="20"/>
                <w:szCs w:val="20"/>
                <w:lang w:val="es-ES"/>
              </w:rPr>
            </w:pPr>
            <w:r w:rsidRPr="00841C2D">
              <w:rPr>
                <w:sz w:val="20"/>
                <w:szCs w:val="20"/>
                <w:lang w:val="es-ES"/>
              </w:rPr>
              <w:t>Low</w:t>
            </w:r>
          </w:p>
        </w:tc>
        <w:tc>
          <w:tcPr>
            <w:tcW w:w="4508" w:type="dxa"/>
          </w:tcPr>
          <w:p w14:paraId="3B10BAC5" w14:textId="4B1A8E35" w:rsidR="006D7053" w:rsidRPr="00841C2D" w:rsidRDefault="003C486E" w:rsidP="00DB27FE">
            <w:pPr>
              <w:rPr>
                <w:sz w:val="20"/>
                <w:szCs w:val="20"/>
                <w:lang w:val="es-ES"/>
              </w:rPr>
            </w:pPr>
            <w:r w:rsidRPr="00841C2D">
              <w:rPr>
                <w:sz w:val="20"/>
                <w:szCs w:val="20"/>
                <w:lang w:val="es-ES"/>
              </w:rPr>
              <w:t>Bajo/Baja/Bajas</w:t>
            </w:r>
          </w:p>
        </w:tc>
      </w:tr>
      <w:tr w:rsidR="006D7053" w:rsidRPr="00841C2D" w14:paraId="76DE41E0" w14:textId="77777777" w:rsidTr="006D7053">
        <w:tc>
          <w:tcPr>
            <w:tcW w:w="4508" w:type="dxa"/>
          </w:tcPr>
          <w:p w14:paraId="46A9930C" w14:textId="7DF0ACF1" w:rsidR="006D7053" w:rsidRPr="00841C2D" w:rsidRDefault="006D7053" w:rsidP="00DB27FE">
            <w:pPr>
              <w:rPr>
                <w:sz w:val="20"/>
                <w:szCs w:val="20"/>
                <w:lang w:val="es-ES"/>
              </w:rPr>
            </w:pPr>
            <w:r w:rsidRPr="00841C2D">
              <w:rPr>
                <w:sz w:val="20"/>
                <w:szCs w:val="20"/>
                <w:lang w:val="es-ES"/>
              </w:rPr>
              <w:t>Robust</w:t>
            </w:r>
          </w:p>
        </w:tc>
        <w:tc>
          <w:tcPr>
            <w:tcW w:w="4508" w:type="dxa"/>
          </w:tcPr>
          <w:p w14:paraId="727B14EA" w14:textId="59872F01" w:rsidR="006D7053" w:rsidRPr="00841C2D" w:rsidRDefault="003C486E" w:rsidP="00DB27FE">
            <w:pPr>
              <w:rPr>
                <w:sz w:val="20"/>
                <w:szCs w:val="20"/>
                <w:lang w:val="es-ES"/>
              </w:rPr>
            </w:pPr>
            <w:r w:rsidRPr="00841C2D">
              <w:rPr>
                <w:sz w:val="20"/>
                <w:szCs w:val="20"/>
                <w:lang w:val="es-ES"/>
              </w:rPr>
              <w:t>Sólidas</w:t>
            </w:r>
          </w:p>
        </w:tc>
      </w:tr>
      <w:tr w:rsidR="006D7053" w:rsidRPr="00841C2D" w14:paraId="3FEB77C8" w14:textId="77777777" w:rsidTr="006D7053">
        <w:tc>
          <w:tcPr>
            <w:tcW w:w="4508" w:type="dxa"/>
          </w:tcPr>
          <w:p w14:paraId="1300801C" w14:textId="3C3EAAF3" w:rsidR="006D7053" w:rsidRPr="00841C2D" w:rsidRDefault="006D7053" w:rsidP="00DB27FE">
            <w:pPr>
              <w:rPr>
                <w:sz w:val="20"/>
                <w:szCs w:val="20"/>
                <w:lang w:val="es-ES"/>
              </w:rPr>
            </w:pPr>
            <w:r w:rsidRPr="00841C2D">
              <w:rPr>
                <w:sz w:val="20"/>
                <w:szCs w:val="20"/>
                <w:lang w:val="es-ES"/>
              </w:rPr>
              <w:t>Established but incomplete</w:t>
            </w:r>
          </w:p>
        </w:tc>
        <w:tc>
          <w:tcPr>
            <w:tcW w:w="4508" w:type="dxa"/>
          </w:tcPr>
          <w:p w14:paraId="153F7EAD" w14:textId="34C95883" w:rsidR="006D7053" w:rsidRPr="00841C2D" w:rsidRDefault="003C486E" w:rsidP="00DB27FE">
            <w:pPr>
              <w:rPr>
                <w:sz w:val="20"/>
                <w:szCs w:val="20"/>
                <w:lang w:val="es-ES"/>
              </w:rPr>
            </w:pPr>
            <w:r w:rsidRPr="00841C2D">
              <w:rPr>
                <w:sz w:val="20"/>
                <w:szCs w:val="20"/>
                <w:lang w:val="es-ES"/>
              </w:rPr>
              <w:t>Establecido pero incompleto</w:t>
            </w:r>
          </w:p>
        </w:tc>
      </w:tr>
      <w:tr w:rsidR="006D7053" w:rsidRPr="00841C2D" w14:paraId="566EB86E" w14:textId="77777777" w:rsidTr="006D7053">
        <w:tc>
          <w:tcPr>
            <w:tcW w:w="4508" w:type="dxa"/>
          </w:tcPr>
          <w:p w14:paraId="7C37F4CC" w14:textId="16E06F2B" w:rsidR="006D7053" w:rsidRPr="00841C2D" w:rsidRDefault="006D7053" w:rsidP="00DB27FE">
            <w:pPr>
              <w:rPr>
                <w:sz w:val="20"/>
                <w:szCs w:val="20"/>
                <w:lang w:val="es-ES"/>
              </w:rPr>
            </w:pPr>
            <w:r w:rsidRPr="00841C2D">
              <w:rPr>
                <w:sz w:val="20"/>
                <w:szCs w:val="20"/>
                <w:lang w:val="es-ES"/>
              </w:rPr>
              <w:t>Well established</w:t>
            </w:r>
          </w:p>
        </w:tc>
        <w:tc>
          <w:tcPr>
            <w:tcW w:w="4508" w:type="dxa"/>
          </w:tcPr>
          <w:p w14:paraId="09B74214" w14:textId="3373B267" w:rsidR="006D7053" w:rsidRPr="00841C2D" w:rsidRDefault="003C486E" w:rsidP="00DB27FE">
            <w:pPr>
              <w:rPr>
                <w:sz w:val="20"/>
                <w:szCs w:val="20"/>
                <w:lang w:val="es-ES"/>
              </w:rPr>
            </w:pPr>
            <w:r w:rsidRPr="00841C2D">
              <w:rPr>
                <w:sz w:val="20"/>
                <w:szCs w:val="20"/>
                <w:lang w:val="es-ES"/>
              </w:rPr>
              <w:t>Bien establecido</w:t>
            </w:r>
          </w:p>
        </w:tc>
      </w:tr>
      <w:tr w:rsidR="006D7053" w:rsidRPr="00841C2D" w14:paraId="471A00BD" w14:textId="77777777" w:rsidTr="006D7053">
        <w:tc>
          <w:tcPr>
            <w:tcW w:w="4508" w:type="dxa"/>
          </w:tcPr>
          <w:p w14:paraId="7F9539B4" w14:textId="23252D34" w:rsidR="006D7053" w:rsidRPr="00841C2D" w:rsidRDefault="006D7053" w:rsidP="00DB27FE">
            <w:pPr>
              <w:rPr>
                <w:sz w:val="20"/>
                <w:szCs w:val="20"/>
                <w:lang w:val="es-ES"/>
              </w:rPr>
            </w:pPr>
            <w:r w:rsidRPr="00841C2D">
              <w:rPr>
                <w:sz w:val="20"/>
                <w:szCs w:val="20"/>
                <w:lang w:val="es-ES"/>
              </w:rPr>
              <w:t>Inconclusive</w:t>
            </w:r>
          </w:p>
        </w:tc>
        <w:tc>
          <w:tcPr>
            <w:tcW w:w="4508" w:type="dxa"/>
          </w:tcPr>
          <w:p w14:paraId="1AD3B6D6" w14:textId="62C08C47" w:rsidR="006D7053" w:rsidRPr="00841C2D" w:rsidRDefault="003C486E" w:rsidP="00DB27FE">
            <w:pPr>
              <w:rPr>
                <w:sz w:val="20"/>
                <w:szCs w:val="20"/>
                <w:lang w:val="es-ES"/>
              </w:rPr>
            </w:pPr>
            <w:r w:rsidRPr="00841C2D">
              <w:rPr>
                <w:sz w:val="20"/>
                <w:szCs w:val="20"/>
                <w:lang w:val="es-ES"/>
              </w:rPr>
              <w:t>No concluyente</w:t>
            </w:r>
          </w:p>
        </w:tc>
      </w:tr>
      <w:tr w:rsidR="006D7053" w:rsidRPr="00841C2D" w14:paraId="296D1915" w14:textId="77777777" w:rsidTr="006D7053">
        <w:tc>
          <w:tcPr>
            <w:tcW w:w="4508" w:type="dxa"/>
          </w:tcPr>
          <w:p w14:paraId="6B2E7DB5" w14:textId="52CF9BE1" w:rsidR="006D7053" w:rsidRPr="00841C2D" w:rsidRDefault="006D7053" w:rsidP="00DB27FE">
            <w:pPr>
              <w:rPr>
                <w:sz w:val="20"/>
                <w:szCs w:val="20"/>
                <w:lang w:val="es-ES"/>
              </w:rPr>
            </w:pPr>
            <w:r w:rsidRPr="00841C2D">
              <w:rPr>
                <w:sz w:val="20"/>
                <w:szCs w:val="20"/>
                <w:lang w:val="es-ES"/>
              </w:rPr>
              <w:t>Unresolved</w:t>
            </w:r>
          </w:p>
        </w:tc>
        <w:tc>
          <w:tcPr>
            <w:tcW w:w="4508" w:type="dxa"/>
          </w:tcPr>
          <w:p w14:paraId="71998415" w14:textId="1DA1DFBA" w:rsidR="006D7053" w:rsidRPr="00841C2D" w:rsidRDefault="003C486E" w:rsidP="00DB27FE">
            <w:pPr>
              <w:rPr>
                <w:sz w:val="20"/>
                <w:szCs w:val="20"/>
                <w:lang w:val="es-ES"/>
              </w:rPr>
            </w:pPr>
            <w:r w:rsidRPr="00841C2D">
              <w:rPr>
                <w:sz w:val="20"/>
                <w:szCs w:val="20"/>
                <w:lang w:val="es-ES"/>
              </w:rPr>
              <w:t>No resuelto</w:t>
            </w:r>
          </w:p>
        </w:tc>
      </w:tr>
      <w:tr w:rsidR="006D7053" w:rsidRPr="00841C2D" w14:paraId="3204DB97" w14:textId="77777777" w:rsidTr="006D7053">
        <w:tc>
          <w:tcPr>
            <w:tcW w:w="4508" w:type="dxa"/>
          </w:tcPr>
          <w:p w14:paraId="2625D146" w14:textId="755F9C79" w:rsidR="006D7053" w:rsidRPr="00841C2D" w:rsidRDefault="006D7053" w:rsidP="00DB27FE">
            <w:pPr>
              <w:rPr>
                <w:sz w:val="20"/>
                <w:szCs w:val="20"/>
                <w:lang w:val="es-ES"/>
              </w:rPr>
            </w:pPr>
            <w:r w:rsidRPr="00841C2D">
              <w:rPr>
                <w:sz w:val="20"/>
                <w:szCs w:val="20"/>
                <w:lang w:val="en-GB"/>
              </w:rPr>
              <w:t xml:space="preserve">The four-box model for the qualitative communication of evidence. Confidence increases towards the top-right corner as suggested by the increasing strength of shading. </w:t>
            </w:r>
            <w:r w:rsidRPr="00841C2D">
              <w:rPr>
                <w:sz w:val="20"/>
                <w:szCs w:val="20"/>
                <w:lang w:val="es-ES"/>
              </w:rPr>
              <w:t>Source: modified from Moss and Schneider (2000)</w:t>
            </w:r>
          </w:p>
        </w:tc>
        <w:tc>
          <w:tcPr>
            <w:tcW w:w="4508" w:type="dxa"/>
          </w:tcPr>
          <w:p w14:paraId="13DA1FDB" w14:textId="478A2D80" w:rsidR="006D7053" w:rsidRPr="00841C2D" w:rsidRDefault="003C486E" w:rsidP="00DB27FE">
            <w:pPr>
              <w:rPr>
                <w:sz w:val="20"/>
                <w:szCs w:val="20"/>
                <w:lang w:val="es-ES"/>
              </w:rPr>
            </w:pPr>
            <w:r w:rsidRPr="00841C2D">
              <w:rPr>
                <w:sz w:val="20"/>
                <w:szCs w:val="20"/>
                <w:lang w:val="es-ES"/>
              </w:rPr>
              <w:t>Modelo de cuatro recuadros para la comunicación cualitativa de la fiabilidad. El grado de fiabilidad aumenta hacia la esquina superior derecha tal como indica la variación del tono. Fuente: diagrama de Moss y Schneider (2000) modificado.</w:t>
            </w:r>
          </w:p>
        </w:tc>
      </w:tr>
    </w:tbl>
    <w:p w14:paraId="79146A95" w14:textId="77777777" w:rsidR="006D7053" w:rsidRPr="006D3772" w:rsidRDefault="006D7053" w:rsidP="00DB27FE">
      <w:pPr>
        <w:rPr>
          <w:lang w:val="es-ES"/>
        </w:rPr>
      </w:pPr>
    </w:p>
    <w:p w14:paraId="38CD1D83" w14:textId="77777777" w:rsidR="00DB27FE" w:rsidRPr="006D3772" w:rsidRDefault="00DB27FE" w:rsidP="00DB27FE">
      <w:pPr>
        <w:rPr>
          <w:lang w:val="es-ES"/>
        </w:rPr>
      </w:pPr>
      <w:r w:rsidRPr="006D3772">
        <w:rPr>
          <w:lang w:val="es-ES"/>
        </w:rPr>
        <w:br w:type="page"/>
      </w:r>
    </w:p>
    <w:p w14:paraId="2FF1FD2A" w14:textId="77777777" w:rsidR="00DB27FE" w:rsidRPr="006D3772" w:rsidRDefault="00DB27FE" w:rsidP="00DB27FE">
      <w:pPr>
        <w:rPr>
          <w:b/>
          <w:bCs w:val="0"/>
          <w:sz w:val="24"/>
          <w:szCs w:val="24"/>
          <w:lang w:val="es-ES"/>
        </w:rPr>
      </w:pPr>
      <w:r w:rsidRPr="006D3772">
        <w:rPr>
          <w:b/>
          <w:bCs w:val="0"/>
          <w:sz w:val="24"/>
          <w:szCs w:val="24"/>
          <w:lang w:val="es-ES"/>
        </w:rPr>
        <w:lastRenderedPageBreak/>
        <w:t>Anexo 5</w:t>
      </w:r>
    </w:p>
    <w:p w14:paraId="7189EE2D" w14:textId="77777777" w:rsidR="00DB27FE" w:rsidRPr="006D3772" w:rsidRDefault="00DB27FE" w:rsidP="00DB27FE">
      <w:pPr>
        <w:rPr>
          <w:b/>
          <w:bCs w:val="0"/>
          <w:color w:val="000000" w:themeColor="text1"/>
          <w:sz w:val="24"/>
          <w:szCs w:val="24"/>
          <w:lang w:val="es-ES"/>
        </w:rPr>
      </w:pPr>
      <w:r w:rsidRPr="006D3772">
        <w:rPr>
          <w:b/>
          <w:bCs w:val="0"/>
          <w:sz w:val="24"/>
          <w:szCs w:val="24"/>
          <w:lang w:val="es-ES"/>
        </w:rPr>
        <w:t xml:space="preserve">Financiación del </w:t>
      </w:r>
      <w:r w:rsidRPr="006D3772">
        <w:rPr>
          <w:b/>
          <w:bCs w:val="0"/>
          <w:color w:val="000000" w:themeColor="text1"/>
          <w:sz w:val="24"/>
          <w:szCs w:val="24"/>
          <w:lang w:val="es-ES"/>
        </w:rPr>
        <w:t xml:space="preserve">establecimiento de la Alianza para las Estimaciones de Aves Acuáticas y la publicación de la edición de 2027 de </w:t>
      </w:r>
      <w:r w:rsidRPr="006D3772">
        <w:rPr>
          <w:b/>
          <w:bCs w:val="0"/>
          <w:i/>
          <w:iCs/>
          <w:color w:val="000000" w:themeColor="text1"/>
          <w:sz w:val="24"/>
          <w:szCs w:val="24"/>
          <w:lang w:val="es-ES"/>
        </w:rPr>
        <w:t>Waterbird Population Estimates</w:t>
      </w:r>
      <w:r w:rsidRPr="006D3772">
        <w:rPr>
          <w:b/>
          <w:bCs w:val="0"/>
          <w:color w:val="000000" w:themeColor="text1"/>
          <w:sz w:val="24"/>
          <w:szCs w:val="24"/>
          <w:lang w:val="es-ES"/>
        </w:rPr>
        <w:t xml:space="preserve"> (WPE 2027)</w:t>
      </w:r>
    </w:p>
    <w:p w14:paraId="53831DD9" w14:textId="77777777" w:rsidR="00DB27FE" w:rsidRPr="006D3772" w:rsidRDefault="00DB27FE" w:rsidP="00DB27FE">
      <w:pPr>
        <w:rPr>
          <w:lang w:val="es-ES"/>
        </w:rPr>
      </w:pPr>
    </w:p>
    <w:p w14:paraId="681CDE14" w14:textId="08F4CBB6" w:rsidR="00DB27FE" w:rsidRPr="006D3772" w:rsidRDefault="00DB27FE" w:rsidP="00DB27FE">
      <w:pPr>
        <w:ind w:left="432" w:hanging="432"/>
        <w:rPr>
          <w:lang w:val="es-ES"/>
        </w:rPr>
      </w:pPr>
      <w:r w:rsidRPr="006D3772">
        <w:rPr>
          <w:lang w:val="es-ES"/>
        </w:rPr>
        <w:t>1.</w:t>
      </w:r>
      <w:r w:rsidRPr="006D3772">
        <w:rPr>
          <w:lang w:val="es-ES"/>
        </w:rPr>
        <w:tab/>
        <w:t xml:space="preserve">De conformidad con la </w:t>
      </w:r>
      <w:r w:rsidRPr="006D3772">
        <w:rPr>
          <w:color w:val="000000" w:themeColor="text1"/>
          <w:lang w:val="es-ES"/>
        </w:rPr>
        <w:t xml:space="preserve">Decisión </w:t>
      </w:r>
      <w:r w:rsidRPr="006D3772">
        <w:rPr>
          <w:lang w:val="es-ES"/>
        </w:rPr>
        <w:t xml:space="preserve">SC63-31, el GECT, en colaboración con los asociados pertinentes, ha presentado un proyecto de resolución sobre el establecimiento de la Alianza para las Estimaciones de Aves Acuáticas (AEAA) y la publicación de la edición de 2027 de </w:t>
      </w:r>
      <w:r w:rsidRPr="006D3772">
        <w:rPr>
          <w:i/>
          <w:iCs/>
          <w:lang w:val="es-ES"/>
        </w:rPr>
        <w:t>Waterbird Population Estimates</w:t>
      </w:r>
      <w:r w:rsidRPr="006D3772">
        <w:rPr>
          <w:lang w:val="es-ES"/>
        </w:rPr>
        <w:t xml:space="preserve"> (WPE 2027). Este anexo contiene recomendaciones para financiar la AEAA </w:t>
      </w:r>
      <w:r w:rsidR="00B37BD6" w:rsidRPr="006D3772">
        <w:rPr>
          <w:lang w:val="es-ES"/>
        </w:rPr>
        <w:t>y</w:t>
      </w:r>
      <w:r w:rsidRPr="006D3772">
        <w:rPr>
          <w:lang w:val="es-ES"/>
        </w:rPr>
        <w:t xml:space="preserve"> WPE 2027 antes de la consulta al Subgrupo de Finanzas que tendrá lugar en diciembre de 2024.</w:t>
      </w:r>
    </w:p>
    <w:p w14:paraId="368093B6" w14:textId="77777777" w:rsidR="00DB27FE" w:rsidRPr="006D3772" w:rsidRDefault="00DB27FE" w:rsidP="00DB27FE">
      <w:pPr>
        <w:rPr>
          <w:lang w:val="es-ES"/>
        </w:rPr>
      </w:pPr>
    </w:p>
    <w:p w14:paraId="7DAF7CEA" w14:textId="77777777" w:rsidR="00DB27FE" w:rsidRPr="006D3772" w:rsidRDefault="00DB27FE" w:rsidP="00DB27FE">
      <w:pPr>
        <w:ind w:left="432" w:hanging="432"/>
        <w:rPr>
          <w:lang w:val="es-ES"/>
        </w:rPr>
      </w:pPr>
      <w:r w:rsidRPr="006D3772">
        <w:rPr>
          <w:lang w:val="es-ES"/>
        </w:rPr>
        <w:t>2.</w:t>
      </w:r>
      <w:r w:rsidRPr="006D3772">
        <w:rPr>
          <w:lang w:val="es-ES"/>
        </w:rPr>
        <w:tab/>
        <w:t xml:space="preserve">Este anexo proporciona información detallada sobre los requisitos financieros para hacer frente a la falta de datos actualizados sobre poblaciones prioritarias de aves acuáticas mediante la preparación de la edición WPE 2027 y el establecimiento de la Alianza para las Estimaciones de Aves Acuáticas. La AEAA supervisará y coordinará las actualizaciones futuras de </w:t>
      </w:r>
      <w:r w:rsidRPr="006D3772">
        <w:rPr>
          <w:i/>
          <w:iCs/>
          <w:lang w:val="es-ES"/>
        </w:rPr>
        <w:t xml:space="preserve">Waterbird Population Estimates </w:t>
      </w:r>
      <w:r w:rsidRPr="006D3772">
        <w:rPr>
          <w:lang w:val="es-ES"/>
        </w:rPr>
        <w:t>y obtendrá recursos para ellas.</w:t>
      </w:r>
    </w:p>
    <w:p w14:paraId="50580801" w14:textId="77777777" w:rsidR="00DB27FE" w:rsidRPr="006D3772" w:rsidRDefault="00DB27FE" w:rsidP="00DB27FE">
      <w:pPr>
        <w:rPr>
          <w:lang w:val="es-ES"/>
        </w:rPr>
      </w:pPr>
    </w:p>
    <w:p w14:paraId="5C37F6E3" w14:textId="77777777" w:rsidR="00DB27FE" w:rsidRPr="006D3772" w:rsidRDefault="00DB27FE" w:rsidP="00DB27FE">
      <w:pPr>
        <w:rPr>
          <w:b/>
          <w:bCs w:val="0"/>
          <w:lang w:val="es-ES"/>
        </w:rPr>
      </w:pPr>
      <w:r w:rsidRPr="006D3772">
        <w:rPr>
          <w:b/>
          <w:lang w:val="es-ES"/>
        </w:rPr>
        <w:t>Repercusiones financieras de la publicación de la WPE 2027 y la creación de la AEAA</w:t>
      </w:r>
    </w:p>
    <w:p w14:paraId="6A074B36" w14:textId="77777777" w:rsidR="00DB27FE" w:rsidRPr="006D3772" w:rsidRDefault="00DB27FE" w:rsidP="00DB27FE">
      <w:pPr>
        <w:rPr>
          <w:lang w:val="es-ES"/>
        </w:rPr>
      </w:pPr>
    </w:p>
    <w:p w14:paraId="34DD5446" w14:textId="77777777" w:rsidR="00DB27FE" w:rsidRPr="006D3772" w:rsidRDefault="00DB27FE" w:rsidP="00DB27FE">
      <w:pPr>
        <w:ind w:left="432" w:hanging="432"/>
        <w:rPr>
          <w:lang w:val="es-ES"/>
        </w:rPr>
      </w:pPr>
      <w:r w:rsidRPr="006D3772">
        <w:rPr>
          <w:rFonts w:eastAsia="Calibri"/>
          <w:lang w:val="es-ES"/>
        </w:rPr>
        <w:t>3.</w:t>
      </w:r>
      <w:r w:rsidRPr="006D3772">
        <w:rPr>
          <w:rFonts w:eastAsia="Calibri"/>
          <w:lang w:val="es-ES"/>
        </w:rPr>
        <w:tab/>
        <w:t xml:space="preserve">Las repercusiones financieras previstas para el establecimiento de </w:t>
      </w:r>
      <w:r w:rsidRPr="006D3772">
        <w:rPr>
          <w:lang w:val="es-ES"/>
        </w:rPr>
        <w:t>la Alianza para las Estimaciones de Aves Acuáticas y la publicación de la WPE 2027 son las siguientes:</w:t>
      </w:r>
    </w:p>
    <w:p w14:paraId="29F6CC5C" w14:textId="77777777" w:rsidR="00DB27FE" w:rsidRPr="006D3772" w:rsidRDefault="00DB27FE" w:rsidP="00DB27FE">
      <w:pPr>
        <w:pStyle w:val="ListParagraph"/>
        <w:numPr>
          <w:ilvl w:val="0"/>
          <w:numId w:val="9"/>
        </w:numPr>
        <w:ind w:left="810"/>
        <w:rPr>
          <w:lang w:val="es-ES"/>
        </w:rPr>
      </w:pPr>
      <w:r w:rsidRPr="006D3772">
        <w:rPr>
          <w:b/>
          <w:lang w:val="es-ES"/>
        </w:rPr>
        <w:t>Establecimiento de la Alianza</w:t>
      </w:r>
      <w:r w:rsidRPr="006D3772">
        <w:rPr>
          <w:lang w:val="es-ES"/>
        </w:rPr>
        <w:t>: Se estima que los costos asociados a las consultas, la participación de los asociados y la documentación ascienden a 38 047 francos suizos.</w:t>
      </w:r>
    </w:p>
    <w:p w14:paraId="7C0AB179" w14:textId="77777777" w:rsidR="00DB27FE" w:rsidRPr="006D3772" w:rsidRDefault="00DB27FE" w:rsidP="00DB27FE">
      <w:pPr>
        <w:pStyle w:val="ListParagraph"/>
        <w:numPr>
          <w:ilvl w:val="0"/>
          <w:numId w:val="9"/>
        </w:numPr>
        <w:ind w:left="810"/>
        <w:rPr>
          <w:lang w:val="es-ES"/>
        </w:rPr>
      </w:pPr>
      <w:r w:rsidRPr="006D3772">
        <w:rPr>
          <w:b/>
          <w:lang w:val="es-ES"/>
        </w:rPr>
        <w:t>Actualizacions de la WPE 2027</w:t>
      </w:r>
      <w:r w:rsidRPr="006D3772">
        <w:rPr>
          <w:lang w:val="es-ES"/>
        </w:rPr>
        <w:t>: El costo estimado de actualizar la información sobre 1 600 poblaciones de aves acuáticas en distintas regiones es de 366 076 francos suizos. Esto incluye la recolección de datos, su análisis y la consulta a expertos.</w:t>
      </w:r>
    </w:p>
    <w:p w14:paraId="414756CF" w14:textId="77777777" w:rsidR="00DB27FE" w:rsidRPr="006D3772" w:rsidRDefault="00DB27FE" w:rsidP="00DB27FE">
      <w:pPr>
        <w:pStyle w:val="ListParagraph"/>
        <w:numPr>
          <w:ilvl w:val="0"/>
          <w:numId w:val="9"/>
        </w:numPr>
        <w:ind w:left="810"/>
        <w:rPr>
          <w:lang w:val="es-ES"/>
        </w:rPr>
      </w:pPr>
      <w:r w:rsidRPr="006D3772">
        <w:rPr>
          <w:b/>
          <w:lang w:val="es-ES"/>
        </w:rPr>
        <w:t>Mantenimiento del Portal sobre Poblaciones de Aves Acuáticas (</w:t>
      </w:r>
      <w:r w:rsidRPr="006D3772">
        <w:rPr>
          <w:b/>
          <w:i/>
          <w:iCs/>
          <w:lang w:val="es-ES"/>
        </w:rPr>
        <w:t>Waterbird Populations Portal</w:t>
      </w:r>
      <w:r w:rsidRPr="006D3772">
        <w:rPr>
          <w:b/>
          <w:lang w:val="es-ES"/>
        </w:rPr>
        <w:t>, WPP)</w:t>
      </w:r>
      <w:r w:rsidRPr="006D3772">
        <w:rPr>
          <w:lang w:val="es-ES"/>
        </w:rPr>
        <w:t>: Se calcula un costo estimado de 61 234 francos suizos para las mejoras y correcciones de errores a fin de mejorar la funcionalidad del Portal para las Partes Contratantes.</w:t>
      </w:r>
    </w:p>
    <w:p w14:paraId="68DA1398" w14:textId="77777777" w:rsidR="00DB27FE" w:rsidRPr="006D3772" w:rsidRDefault="00DB27FE" w:rsidP="00DB27FE">
      <w:pPr>
        <w:rPr>
          <w:lang w:val="es-ES"/>
        </w:rPr>
      </w:pPr>
    </w:p>
    <w:p w14:paraId="112EAA9A" w14:textId="77777777" w:rsidR="00DB27FE" w:rsidRPr="006D3772" w:rsidRDefault="00DB27FE" w:rsidP="00DB27FE">
      <w:pPr>
        <w:ind w:left="432" w:hanging="432"/>
        <w:rPr>
          <w:lang w:val="es-ES"/>
        </w:rPr>
      </w:pPr>
      <w:r w:rsidRPr="006D3772">
        <w:rPr>
          <w:lang w:val="es-ES"/>
        </w:rPr>
        <w:t>4.</w:t>
      </w:r>
      <w:r w:rsidRPr="006D3772">
        <w:rPr>
          <w:lang w:val="es-ES"/>
        </w:rPr>
        <w:tab/>
        <w:t xml:space="preserve">Estas estimaciones de costos están basadas en experiencias anteriores, tales como los informes sobre el estado de conservación (CSR, por sus siglas en inglés) del AEWA y esfuerzos similares realizados en la Vía Migratoria Asia Oriental-Australasia. Reflejan el alcance exhaustivo de las actualizaciones de </w:t>
      </w:r>
      <w:r w:rsidRPr="006D3772">
        <w:rPr>
          <w:i/>
          <w:iCs/>
          <w:lang w:val="es-ES"/>
        </w:rPr>
        <w:t>Waterbird Population Estimates</w:t>
      </w:r>
      <w:r w:rsidRPr="006D3772">
        <w:rPr>
          <w:lang w:val="es-ES"/>
        </w:rPr>
        <w:t xml:space="preserve"> y el mantenimiento a largo plazo necesario para el Portal sobre Poblaciones de Aves Acuáticas.</w:t>
      </w:r>
    </w:p>
    <w:p w14:paraId="46539D80" w14:textId="77777777" w:rsidR="00DB27FE" w:rsidRPr="006D3772" w:rsidRDefault="00DB27FE" w:rsidP="00DB27FE">
      <w:pPr>
        <w:rPr>
          <w:lang w:val="es-ES"/>
        </w:rPr>
      </w:pPr>
    </w:p>
    <w:p w14:paraId="10CE2340" w14:textId="77777777" w:rsidR="00DB27FE" w:rsidRPr="006D3772" w:rsidRDefault="00DB27FE" w:rsidP="00DB27FE">
      <w:pPr>
        <w:rPr>
          <w:lang w:val="es-ES"/>
        </w:rPr>
      </w:pPr>
      <w:r w:rsidRPr="006D3772">
        <w:rPr>
          <w:lang w:val="es-ES"/>
        </w:rPr>
        <w:t>Cuadro 1. Costos totales de la publicación de la edición WPE 2027 y el establecimiento de la AEAA en euros y francos suizos.</w:t>
      </w:r>
    </w:p>
    <w:tbl>
      <w:tblPr>
        <w:tblStyle w:val="TableGrid"/>
        <w:tblW w:w="8926" w:type="dxa"/>
        <w:tblLook w:val="04A0" w:firstRow="1" w:lastRow="0" w:firstColumn="1" w:lastColumn="0" w:noHBand="0" w:noVBand="1"/>
      </w:tblPr>
      <w:tblGrid>
        <w:gridCol w:w="5524"/>
        <w:gridCol w:w="1701"/>
        <w:gridCol w:w="1701"/>
      </w:tblGrid>
      <w:tr w:rsidR="00DB27FE" w:rsidRPr="006D3772" w14:paraId="1AB36AC3" w14:textId="77777777" w:rsidTr="00DA14B4">
        <w:tc>
          <w:tcPr>
            <w:tcW w:w="5524" w:type="dxa"/>
          </w:tcPr>
          <w:p w14:paraId="4F2B095E" w14:textId="77777777" w:rsidR="00DB27FE" w:rsidRPr="006D3772" w:rsidRDefault="00DB27FE" w:rsidP="00DA14B4">
            <w:pPr>
              <w:suppressLineNumbers/>
              <w:suppressAutoHyphens/>
              <w:contextualSpacing/>
              <w:rPr>
                <w:b/>
                <w:bCs w:val="0"/>
                <w:sz w:val="20"/>
                <w:szCs w:val="20"/>
                <w:lang w:val="es-ES"/>
              </w:rPr>
            </w:pPr>
            <w:r w:rsidRPr="006D3772">
              <w:rPr>
                <w:b/>
                <w:bCs w:val="0"/>
                <w:sz w:val="20"/>
                <w:szCs w:val="20"/>
                <w:lang w:val="es-ES"/>
              </w:rPr>
              <w:t>Acciones prioritarias</w:t>
            </w:r>
          </w:p>
        </w:tc>
        <w:tc>
          <w:tcPr>
            <w:tcW w:w="3402" w:type="dxa"/>
            <w:gridSpan w:val="2"/>
          </w:tcPr>
          <w:p w14:paraId="4113410D" w14:textId="77777777" w:rsidR="00DB27FE" w:rsidRPr="006D3772" w:rsidRDefault="00DB27FE" w:rsidP="00DA14B4">
            <w:pPr>
              <w:suppressLineNumbers/>
              <w:suppressAutoHyphens/>
              <w:contextualSpacing/>
              <w:rPr>
                <w:b/>
                <w:bCs w:val="0"/>
                <w:sz w:val="20"/>
                <w:szCs w:val="20"/>
                <w:lang w:val="es-ES"/>
              </w:rPr>
            </w:pPr>
            <w:r w:rsidRPr="006D3772">
              <w:rPr>
                <w:b/>
                <w:bCs w:val="0"/>
                <w:sz w:val="20"/>
                <w:szCs w:val="20"/>
                <w:lang w:val="es-ES"/>
              </w:rPr>
              <w:t>Todas las poblaciones (1600)</w:t>
            </w:r>
          </w:p>
        </w:tc>
      </w:tr>
      <w:tr w:rsidR="00DB27FE" w:rsidRPr="006D3772" w14:paraId="0056C30A" w14:textId="77777777" w:rsidTr="00DA14B4">
        <w:tc>
          <w:tcPr>
            <w:tcW w:w="5524" w:type="dxa"/>
          </w:tcPr>
          <w:p w14:paraId="701388EA" w14:textId="77777777" w:rsidR="00DB27FE" w:rsidRPr="006D3772" w:rsidRDefault="00DB27FE" w:rsidP="00DA14B4">
            <w:pPr>
              <w:suppressLineNumbers/>
              <w:suppressAutoHyphens/>
              <w:contextualSpacing/>
              <w:rPr>
                <w:b/>
                <w:bCs w:val="0"/>
                <w:sz w:val="20"/>
                <w:szCs w:val="20"/>
                <w:lang w:val="es-ES"/>
              </w:rPr>
            </w:pPr>
          </w:p>
        </w:tc>
        <w:tc>
          <w:tcPr>
            <w:tcW w:w="1701" w:type="dxa"/>
          </w:tcPr>
          <w:p w14:paraId="38785D30" w14:textId="77777777" w:rsidR="00DB27FE" w:rsidRPr="006D3772" w:rsidRDefault="00DB27FE" w:rsidP="00DA14B4">
            <w:pPr>
              <w:suppressLineNumbers/>
              <w:suppressAutoHyphens/>
              <w:contextualSpacing/>
              <w:rPr>
                <w:b/>
                <w:bCs w:val="0"/>
                <w:sz w:val="20"/>
                <w:szCs w:val="20"/>
                <w:lang w:val="es-ES"/>
              </w:rPr>
            </w:pPr>
            <w:r w:rsidRPr="006D3772">
              <w:rPr>
                <w:b/>
                <w:bCs w:val="0"/>
                <w:sz w:val="20"/>
                <w:szCs w:val="20"/>
                <w:lang w:val="es-ES"/>
              </w:rPr>
              <w:t>Costo en euros</w:t>
            </w:r>
          </w:p>
        </w:tc>
        <w:tc>
          <w:tcPr>
            <w:tcW w:w="1701" w:type="dxa"/>
          </w:tcPr>
          <w:p w14:paraId="7C9BCEBA" w14:textId="77777777" w:rsidR="00DB27FE" w:rsidRPr="006D3772" w:rsidRDefault="00DB27FE" w:rsidP="00DA14B4">
            <w:pPr>
              <w:suppressLineNumbers/>
              <w:suppressAutoHyphens/>
              <w:contextualSpacing/>
              <w:rPr>
                <w:b/>
                <w:bCs w:val="0"/>
                <w:sz w:val="20"/>
                <w:szCs w:val="20"/>
                <w:lang w:val="es-ES"/>
              </w:rPr>
            </w:pPr>
            <w:r w:rsidRPr="006D3772">
              <w:rPr>
                <w:b/>
                <w:bCs w:val="0"/>
                <w:sz w:val="20"/>
                <w:szCs w:val="20"/>
                <w:lang w:val="es-ES"/>
              </w:rPr>
              <w:t>Costo en francos suizos</w:t>
            </w:r>
          </w:p>
        </w:tc>
      </w:tr>
      <w:tr w:rsidR="00DB27FE" w:rsidRPr="006D3772" w14:paraId="0D5E2ED5" w14:textId="77777777" w:rsidTr="00DA14B4">
        <w:tc>
          <w:tcPr>
            <w:tcW w:w="5524" w:type="dxa"/>
          </w:tcPr>
          <w:p w14:paraId="1B8507B7" w14:textId="77777777" w:rsidR="00DB27FE" w:rsidRPr="006D3772" w:rsidRDefault="00DB27FE" w:rsidP="00DA14B4">
            <w:pPr>
              <w:suppressLineNumbers/>
              <w:suppressAutoHyphens/>
              <w:contextualSpacing/>
              <w:rPr>
                <w:sz w:val="20"/>
                <w:szCs w:val="20"/>
                <w:lang w:val="es-ES"/>
              </w:rPr>
            </w:pPr>
            <w:r w:rsidRPr="006D3772">
              <w:rPr>
                <w:sz w:val="20"/>
                <w:szCs w:val="20"/>
                <w:lang w:val="es-ES"/>
              </w:rPr>
              <w:t>a. Establecimiento de una Alianza para las Estimaciones de Aves Acuáticas mundial a largo plazo a partir de consultas a los posibles asociados (2025-2026)</w:t>
            </w:r>
          </w:p>
        </w:tc>
        <w:tc>
          <w:tcPr>
            <w:tcW w:w="1701" w:type="dxa"/>
          </w:tcPr>
          <w:p w14:paraId="5985A9FB" w14:textId="77777777" w:rsidR="00DB27FE" w:rsidRPr="006D3772" w:rsidRDefault="00DB27FE" w:rsidP="00DA14B4">
            <w:pPr>
              <w:suppressLineNumbers/>
              <w:suppressAutoHyphens/>
              <w:contextualSpacing/>
              <w:jc w:val="right"/>
              <w:rPr>
                <w:color w:val="000000" w:themeColor="text1"/>
                <w:sz w:val="20"/>
                <w:szCs w:val="20"/>
                <w:lang w:val="es-ES"/>
              </w:rPr>
            </w:pPr>
            <w:r w:rsidRPr="006D3772">
              <w:rPr>
                <w:color w:val="000000" w:themeColor="text1"/>
                <w:sz w:val="20"/>
                <w:szCs w:val="20"/>
                <w:lang w:val="es-ES"/>
              </w:rPr>
              <w:t>40 050,00</w:t>
            </w:r>
          </w:p>
        </w:tc>
        <w:tc>
          <w:tcPr>
            <w:tcW w:w="1701" w:type="dxa"/>
          </w:tcPr>
          <w:p w14:paraId="77D6FABD" w14:textId="77777777" w:rsidR="00DB27FE" w:rsidRPr="006D3772" w:rsidRDefault="00DB27FE" w:rsidP="00DA14B4">
            <w:pPr>
              <w:suppressLineNumbers/>
              <w:suppressAutoHyphens/>
              <w:contextualSpacing/>
              <w:jc w:val="right"/>
              <w:rPr>
                <w:color w:val="000000" w:themeColor="text1"/>
                <w:sz w:val="20"/>
                <w:szCs w:val="20"/>
                <w:lang w:val="es-ES"/>
              </w:rPr>
            </w:pPr>
            <w:r w:rsidRPr="006D3772">
              <w:rPr>
                <w:color w:val="000000" w:themeColor="text1"/>
                <w:sz w:val="20"/>
                <w:szCs w:val="20"/>
                <w:lang w:val="es-ES"/>
              </w:rPr>
              <w:t>38 047,50</w:t>
            </w:r>
          </w:p>
        </w:tc>
      </w:tr>
      <w:tr w:rsidR="00DB27FE" w:rsidRPr="006D3772" w14:paraId="1EB53647" w14:textId="77777777" w:rsidTr="00DA14B4">
        <w:tc>
          <w:tcPr>
            <w:tcW w:w="5524" w:type="dxa"/>
          </w:tcPr>
          <w:p w14:paraId="713752C1" w14:textId="77777777" w:rsidR="00DB27FE" w:rsidRPr="006D3772" w:rsidRDefault="00DB27FE" w:rsidP="00DA14B4">
            <w:pPr>
              <w:suppressLineNumbers/>
              <w:suppressAutoHyphens/>
              <w:contextualSpacing/>
              <w:rPr>
                <w:sz w:val="20"/>
                <w:szCs w:val="20"/>
                <w:lang w:val="es-ES"/>
              </w:rPr>
            </w:pPr>
            <w:r w:rsidRPr="006D3772">
              <w:rPr>
                <w:sz w:val="20"/>
                <w:szCs w:val="20"/>
                <w:lang w:val="es-ES"/>
              </w:rPr>
              <w:t>b. Preparación de la WPE 2027 mediante una revisión y actualización de 1 600 poblaciones prioritarias seleccionadas, no incluidas en los últimos CSR del AEWA y la EAAFP</w:t>
            </w:r>
          </w:p>
        </w:tc>
        <w:tc>
          <w:tcPr>
            <w:tcW w:w="1701" w:type="dxa"/>
          </w:tcPr>
          <w:p w14:paraId="726EAAD9" w14:textId="77777777" w:rsidR="00DB27FE" w:rsidRPr="006D3772" w:rsidRDefault="00DB27FE" w:rsidP="00DA14B4">
            <w:pPr>
              <w:suppressLineNumbers/>
              <w:suppressAutoHyphens/>
              <w:contextualSpacing/>
              <w:jc w:val="right"/>
              <w:rPr>
                <w:sz w:val="20"/>
                <w:szCs w:val="20"/>
                <w:lang w:val="es-ES"/>
              </w:rPr>
            </w:pPr>
            <w:r w:rsidRPr="006D3772">
              <w:rPr>
                <w:sz w:val="20"/>
                <w:szCs w:val="20"/>
                <w:lang w:val="es-ES"/>
              </w:rPr>
              <w:t>385 343,83</w:t>
            </w:r>
          </w:p>
        </w:tc>
        <w:tc>
          <w:tcPr>
            <w:tcW w:w="1701" w:type="dxa"/>
          </w:tcPr>
          <w:p w14:paraId="1A9D46E3" w14:textId="77777777" w:rsidR="00DB27FE" w:rsidRPr="006D3772" w:rsidRDefault="00DB27FE" w:rsidP="00DA14B4">
            <w:pPr>
              <w:suppressLineNumbers/>
              <w:suppressAutoHyphens/>
              <w:contextualSpacing/>
              <w:jc w:val="right"/>
              <w:rPr>
                <w:sz w:val="20"/>
                <w:szCs w:val="20"/>
                <w:lang w:val="es-ES"/>
              </w:rPr>
            </w:pPr>
            <w:r w:rsidRPr="006D3772">
              <w:rPr>
                <w:sz w:val="20"/>
                <w:szCs w:val="20"/>
                <w:lang w:val="es-ES"/>
              </w:rPr>
              <w:t>366 076,64</w:t>
            </w:r>
          </w:p>
        </w:tc>
      </w:tr>
      <w:tr w:rsidR="00DB27FE" w:rsidRPr="006D3772" w14:paraId="0813A5E6" w14:textId="77777777" w:rsidTr="00DA14B4">
        <w:tc>
          <w:tcPr>
            <w:tcW w:w="5524" w:type="dxa"/>
          </w:tcPr>
          <w:p w14:paraId="28F00408" w14:textId="77777777" w:rsidR="00DB27FE" w:rsidRPr="006D3772" w:rsidRDefault="00DB27FE" w:rsidP="00DA14B4">
            <w:pPr>
              <w:suppressLineNumbers/>
              <w:suppressAutoHyphens/>
              <w:contextualSpacing/>
              <w:rPr>
                <w:sz w:val="20"/>
                <w:szCs w:val="20"/>
                <w:lang w:val="es-ES"/>
              </w:rPr>
            </w:pPr>
            <w:r w:rsidRPr="006D3772">
              <w:rPr>
                <w:sz w:val="20"/>
                <w:szCs w:val="20"/>
                <w:lang w:val="es-ES"/>
              </w:rPr>
              <w:t>c. Mantenimiento o mejora del Portal sobre Poblaciones de Aves Acuáticas (incluye la mejora de su funcionalidad para una mayor facilidad de uso por las Partes)</w:t>
            </w:r>
          </w:p>
        </w:tc>
        <w:tc>
          <w:tcPr>
            <w:tcW w:w="1701" w:type="dxa"/>
          </w:tcPr>
          <w:p w14:paraId="1AD77043" w14:textId="77777777" w:rsidR="00DB27FE" w:rsidRPr="006D3772" w:rsidRDefault="00DB27FE" w:rsidP="00DA14B4">
            <w:pPr>
              <w:suppressLineNumbers/>
              <w:suppressAutoHyphens/>
              <w:contextualSpacing/>
              <w:jc w:val="right"/>
              <w:rPr>
                <w:sz w:val="20"/>
                <w:szCs w:val="20"/>
                <w:lang w:val="es-ES"/>
              </w:rPr>
            </w:pPr>
            <w:r w:rsidRPr="006D3772">
              <w:rPr>
                <w:sz w:val="20"/>
                <w:szCs w:val="20"/>
                <w:lang w:val="es-ES"/>
              </w:rPr>
              <w:t>64 457,50</w:t>
            </w:r>
          </w:p>
        </w:tc>
        <w:tc>
          <w:tcPr>
            <w:tcW w:w="1701" w:type="dxa"/>
          </w:tcPr>
          <w:p w14:paraId="55FA8D82" w14:textId="77777777" w:rsidR="00DB27FE" w:rsidRPr="006D3772" w:rsidRDefault="00DB27FE" w:rsidP="00DA14B4">
            <w:pPr>
              <w:suppressLineNumbers/>
              <w:suppressAutoHyphens/>
              <w:contextualSpacing/>
              <w:jc w:val="right"/>
              <w:rPr>
                <w:sz w:val="20"/>
                <w:szCs w:val="20"/>
                <w:lang w:val="es-ES"/>
              </w:rPr>
            </w:pPr>
            <w:r w:rsidRPr="006D3772">
              <w:rPr>
                <w:sz w:val="20"/>
                <w:szCs w:val="20"/>
                <w:lang w:val="es-ES"/>
              </w:rPr>
              <w:t>61 234,63</w:t>
            </w:r>
          </w:p>
        </w:tc>
      </w:tr>
      <w:tr w:rsidR="00DB27FE" w:rsidRPr="006D3772" w14:paraId="34E288DD" w14:textId="77777777" w:rsidTr="00DA14B4">
        <w:tc>
          <w:tcPr>
            <w:tcW w:w="5524" w:type="dxa"/>
          </w:tcPr>
          <w:p w14:paraId="74D00AB8" w14:textId="77777777" w:rsidR="00DB27FE" w:rsidRPr="006D3772" w:rsidRDefault="00DB27FE" w:rsidP="00DA14B4">
            <w:pPr>
              <w:suppressLineNumbers/>
              <w:suppressAutoHyphens/>
              <w:contextualSpacing/>
              <w:rPr>
                <w:b/>
                <w:bCs w:val="0"/>
                <w:sz w:val="20"/>
                <w:szCs w:val="20"/>
                <w:lang w:val="es-ES"/>
              </w:rPr>
            </w:pPr>
            <w:r w:rsidRPr="006D3772">
              <w:rPr>
                <w:b/>
                <w:bCs w:val="0"/>
                <w:sz w:val="20"/>
                <w:szCs w:val="20"/>
                <w:lang w:val="es-ES"/>
              </w:rPr>
              <w:t>Total</w:t>
            </w:r>
          </w:p>
        </w:tc>
        <w:tc>
          <w:tcPr>
            <w:tcW w:w="1701" w:type="dxa"/>
          </w:tcPr>
          <w:p w14:paraId="6C382E73" w14:textId="77777777" w:rsidR="00DB27FE" w:rsidRPr="006D3772" w:rsidRDefault="00DB27FE" w:rsidP="00DA14B4">
            <w:pPr>
              <w:suppressLineNumbers/>
              <w:suppressAutoHyphens/>
              <w:contextualSpacing/>
              <w:jc w:val="right"/>
              <w:rPr>
                <w:b/>
                <w:bCs w:val="0"/>
                <w:sz w:val="20"/>
                <w:szCs w:val="20"/>
                <w:lang w:val="es-ES"/>
              </w:rPr>
            </w:pPr>
            <w:r w:rsidRPr="006D3772">
              <w:rPr>
                <w:b/>
                <w:bCs w:val="0"/>
                <w:sz w:val="20"/>
                <w:szCs w:val="20"/>
                <w:lang w:val="es-ES"/>
              </w:rPr>
              <w:t>489 851,33</w:t>
            </w:r>
          </w:p>
        </w:tc>
        <w:tc>
          <w:tcPr>
            <w:tcW w:w="1701" w:type="dxa"/>
          </w:tcPr>
          <w:p w14:paraId="425AEA7D" w14:textId="77777777" w:rsidR="00DB27FE" w:rsidRPr="006D3772" w:rsidRDefault="00DB27FE" w:rsidP="00DA14B4">
            <w:pPr>
              <w:suppressLineNumbers/>
              <w:suppressAutoHyphens/>
              <w:contextualSpacing/>
              <w:jc w:val="right"/>
              <w:rPr>
                <w:b/>
                <w:bCs w:val="0"/>
                <w:sz w:val="20"/>
                <w:szCs w:val="20"/>
                <w:lang w:val="es-ES"/>
              </w:rPr>
            </w:pPr>
            <w:r w:rsidRPr="006D3772">
              <w:rPr>
                <w:b/>
                <w:bCs w:val="0"/>
                <w:sz w:val="20"/>
                <w:szCs w:val="20"/>
                <w:lang w:val="es-ES"/>
              </w:rPr>
              <w:t>465 358,76</w:t>
            </w:r>
          </w:p>
        </w:tc>
      </w:tr>
    </w:tbl>
    <w:p w14:paraId="078DE2FA" w14:textId="77777777" w:rsidR="00DB27FE" w:rsidRPr="006D3772" w:rsidRDefault="00DB27FE" w:rsidP="00DB27FE">
      <w:pPr>
        <w:ind w:left="432" w:hanging="432"/>
        <w:rPr>
          <w:lang w:val="es-ES"/>
        </w:rPr>
      </w:pPr>
      <w:r w:rsidRPr="006D3772">
        <w:rPr>
          <w:lang w:val="es-ES"/>
        </w:rPr>
        <w:lastRenderedPageBreak/>
        <w:t>5.</w:t>
      </w:r>
      <w:r w:rsidRPr="006D3772">
        <w:rPr>
          <w:lang w:val="es-ES"/>
        </w:rPr>
        <w:tab/>
        <w:t xml:space="preserve">El Cuadro 2 indica las poblaciones de aves acuáticas prioritarias y los mecanismos de revisión para las actualizaciones de la WPE 2027 a partir de evaluaciones regionales. </w:t>
      </w:r>
    </w:p>
    <w:p w14:paraId="6949371B" w14:textId="77777777" w:rsidR="00DB27FE" w:rsidRPr="006D3772" w:rsidRDefault="00DB27FE" w:rsidP="00DB27FE">
      <w:pPr>
        <w:pBdr>
          <w:top w:val="nil"/>
          <w:left w:val="nil"/>
          <w:bottom w:val="nil"/>
          <w:right w:val="nil"/>
          <w:between w:val="nil"/>
        </w:pBdr>
        <w:rPr>
          <w:lang w:val="es-ES"/>
        </w:rPr>
      </w:pPr>
    </w:p>
    <w:p w14:paraId="38D4000B" w14:textId="77777777" w:rsidR="00DB27FE" w:rsidRPr="006D3772" w:rsidRDefault="00DB27FE" w:rsidP="00DB27FE">
      <w:pPr>
        <w:rPr>
          <w:lang w:val="es-ES"/>
        </w:rPr>
      </w:pPr>
      <w:r w:rsidRPr="006D3772">
        <w:rPr>
          <w:lang w:val="es-ES"/>
        </w:rPr>
        <w:t>Cuadro 2. Prioridades en materia de poblaciones de aves acuáticas y mecanismo de revisión para la WPE 2027.</w:t>
      </w:r>
    </w:p>
    <w:tbl>
      <w:tblPr>
        <w:tblStyle w:val="5"/>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2122"/>
        <w:gridCol w:w="2551"/>
        <w:gridCol w:w="1985"/>
        <w:gridCol w:w="2267"/>
      </w:tblGrid>
      <w:tr w:rsidR="00DB27FE" w:rsidRPr="00841C2D" w14:paraId="68B0587B" w14:textId="77777777" w:rsidTr="002B7C72">
        <w:trPr>
          <w:trHeight w:val="288"/>
          <w:tblHeader/>
        </w:trPr>
        <w:tc>
          <w:tcPr>
            <w:tcW w:w="2122" w:type="dxa"/>
            <w:tcBorders>
              <w:bottom w:val="single" w:sz="4" w:space="0" w:color="000000"/>
            </w:tcBorders>
            <w:shd w:val="clear" w:color="auto" w:fill="E8E8E8" w:themeFill="background2"/>
            <w:vAlign w:val="center"/>
          </w:tcPr>
          <w:p w14:paraId="38127BCA" w14:textId="77777777" w:rsidR="00DB27FE" w:rsidRPr="006D3772" w:rsidRDefault="00DB27FE" w:rsidP="00DA14B4">
            <w:pPr>
              <w:ind w:left="82"/>
              <w:rPr>
                <w:rFonts w:eastAsia="Arial"/>
                <w:color w:val="000000"/>
                <w:sz w:val="18"/>
                <w:szCs w:val="18"/>
                <w:lang w:val="es-ES"/>
              </w:rPr>
            </w:pPr>
            <w:r w:rsidRPr="006D3772">
              <w:rPr>
                <w:rFonts w:eastAsia="Arial"/>
                <w:color w:val="000000"/>
                <w:sz w:val="18"/>
                <w:szCs w:val="18"/>
                <w:lang w:val="es-ES"/>
              </w:rPr>
              <w:t>Poblaciones (con el núm. de poblaciones por región/vía migratoria en el Portal)</w:t>
            </w:r>
          </w:p>
        </w:tc>
        <w:tc>
          <w:tcPr>
            <w:tcW w:w="2551" w:type="dxa"/>
            <w:tcBorders>
              <w:bottom w:val="single" w:sz="4" w:space="0" w:color="000000"/>
            </w:tcBorders>
            <w:shd w:val="clear" w:color="auto" w:fill="E8E8E8" w:themeFill="background2"/>
            <w:vAlign w:val="center"/>
          </w:tcPr>
          <w:p w14:paraId="3823CD66" w14:textId="77777777" w:rsidR="00DB27FE" w:rsidRPr="006D3772" w:rsidRDefault="00DB27FE" w:rsidP="00DA14B4">
            <w:pPr>
              <w:ind w:left="82" w:right="-58"/>
              <w:rPr>
                <w:rFonts w:eastAsia="Arial"/>
                <w:color w:val="000000"/>
                <w:sz w:val="18"/>
                <w:szCs w:val="18"/>
                <w:lang w:val="es-ES"/>
              </w:rPr>
            </w:pPr>
            <w:r w:rsidRPr="006D3772">
              <w:rPr>
                <w:rFonts w:eastAsia="Arial"/>
                <w:color w:val="000000"/>
                <w:sz w:val="18"/>
                <w:szCs w:val="18"/>
                <w:lang w:val="es-ES"/>
              </w:rPr>
              <w:t>Proceso/mecanismo actual de revisión y evaluación de los recursos</w:t>
            </w:r>
          </w:p>
        </w:tc>
        <w:tc>
          <w:tcPr>
            <w:tcW w:w="1985" w:type="dxa"/>
            <w:tcBorders>
              <w:bottom w:val="single" w:sz="4" w:space="0" w:color="000000"/>
            </w:tcBorders>
            <w:shd w:val="clear" w:color="auto" w:fill="E8E8E8" w:themeFill="background2"/>
            <w:vAlign w:val="center"/>
          </w:tcPr>
          <w:p w14:paraId="508B93CD" w14:textId="77777777" w:rsidR="00DB27FE" w:rsidRPr="006D3772" w:rsidRDefault="00DB27FE" w:rsidP="00DA14B4">
            <w:pPr>
              <w:ind w:left="82"/>
              <w:rPr>
                <w:rFonts w:eastAsia="Arial"/>
                <w:color w:val="000000"/>
                <w:sz w:val="18"/>
                <w:szCs w:val="18"/>
                <w:lang w:val="es-ES"/>
              </w:rPr>
            </w:pPr>
            <w:r w:rsidRPr="006D3772">
              <w:rPr>
                <w:rFonts w:eastAsia="Arial"/>
                <w:color w:val="000000"/>
                <w:sz w:val="18"/>
                <w:szCs w:val="18"/>
                <w:lang w:val="es-ES"/>
              </w:rPr>
              <w:t>Prioridad para una propuesta de actualización de la WPE 2027</w:t>
            </w:r>
          </w:p>
        </w:tc>
        <w:tc>
          <w:tcPr>
            <w:tcW w:w="2267" w:type="dxa"/>
            <w:tcBorders>
              <w:bottom w:val="single" w:sz="4" w:space="0" w:color="000000"/>
            </w:tcBorders>
            <w:shd w:val="clear" w:color="auto" w:fill="E8E8E8" w:themeFill="background2"/>
            <w:vAlign w:val="center"/>
          </w:tcPr>
          <w:p w14:paraId="15B1FFD5" w14:textId="77777777" w:rsidR="00DB27FE" w:rsidRPr="006D3772" w:rsidRDefault="00DB27FE" w:rsidP="00DA14B4">
            <w:pPr>
              <w:ind w:left="82"/>
              <w:rPr>
                <w:rFonts w:eastAsia="Arial"/>
                <w:color w:val="000000"/>
                <w:sz w:val="18"/>
                <w:szCs w:val="18"/>
                <w:lang w:val="es-ES"/>
              </w:rPr>
            </w:pPr>
            <w:r w:rsidRPr="006D3772">
              <w:rPr>
                <w:rFonts w:eastAsia="Arial"/>
                <w:color w:val="000000"/>
                <w:sz w:val="18"/>
                <w:szCs w:val="18"/>
                <w:lang w:val="es-ES"/>
              </w:rPr>
              <w:t>Actividades con repercusiones en materia de recursos</w:t>
            </w:r>
          </w:p>
        </w:tc>
      </w:tr>
    </w:tbl>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4957"/>
        <w:gridCol w:w="1984"/>
        <w:gridCol w:w="1985"/>
      </w:tblGrid>
      <w:tr w:rsidR="00DB27FE" w:rsidRPr="00D13AAF" w14:paraId="055740EE" w14:textId="77777777" w:rsidTr="00DA14B4">
        <w:trPr>
          <w:trHeight w:val="260"/>
        </w:trPr>
        <w:tc>
          <w:tcPr>
            <w:tcW w:w="4957" w:type="dxa"/>
            <w:tcBorders>
              <w:right w:val="nil"/>
            </w:tcBorders>
            <w:shd w:val="clear" w:color="auto" w:fill="auto"/>
          </w:tcPr>
          <w:p w14:paraId="503F592C" w14:textId="77777777" w:rsidR="00DB27FE" w:rsidRPr="006D3772" w:rsidRDefault="00DB27FE" w:rsidP="00DA14B4">
            <w:pPr>
              <w:ind w:left="80" w:hanging="80"/>
              <w:rPr>
                <w:rFonts w:eastAsia="Arial"/>
                <w:b/>
                <w:color w:val="000000"/>
                <w:sz w:val="18"/>
                <w:szCs w:val="18"/>
                <w:lang w:val="es-ES"/>
              </w:rPr>
            </w:pPr>
            <w:r w:rsidRPr="006D3772">
              <w:rPr>
                <w:rFonts w:eastAsia="Arial"/>
                <w:b/>
                <w:color w:val="000000"/>
                <w:sz w:val="18"/>
                <w:szCs w:val="18"/>
                <w:lang w:val="es-ES"/>
              </w:rPr>
              <w:t>Residentes o en dispersión a escala local</w:t>
            </w:r>
          </w:p>
        </w:tc>
        <w:tc>
          <w:tcPr>
            <w:tcW w:w="1984" w:type="dxa"/>
            <w:tcBorders>
              <w:left w:val="nil"/>
              <w:right w:val="nil"/>
            </w:tcBorders>
            <w:shd w:val="clear" w:color="auto" w:fill="auto"/>
          </w:tcPr>
          <w:p w14:paraId="294CDBCE" w14:textId="77777777" w:rsidR="00DB27FE" w:rsidRPr="006D3772" w:rsidRDefault="00DB27FE" w:rsidP="00DA14B4">
            <w:pPr>
              <w:rPr>
                <w:rFonts w:eastAsia="Arial"/>
                <w:sz w:val="18"/>
                <w:szCs w:val="18"/>
                <w:lang w:val="es-ES"/>
              </w:rPr>
            </w:pPr>
          </w:p>
        </w:tc>
        <w:tc>
          <w:tcPr>
            <w:tcW w:w="1985" w:type="dxa"/>
            <w:tcBorders>
              <w:left w:val="nil"/>
            </w:tcBorders>
            <w:shd w:val="clear" w:color="auto" w:fill="auto"/>
          </w:tcPr>
          <w:p w14:paraId="04993A1E" w14:textId="77777777" w:rsidR="00DB27FE" w:rsidRPr="006D3772" w:rsidRDefault="00DB27FE" w:rsidP="00DA14B4">
            <w:pPr>
              <w:rPr>
                <w:rFonts w:eastAsia="Arial"/>
                <w:sz w:val="18"/>
                <w:szCs w:val="18"/>
                <w:lang w:val="es-ES"/>
              </w:rPr>
            </w:pPr>
          </w:p>
        </w:tc>
      </w:tr>
    </w:tbl>
    <w:tbl>
      <w:tblPr>
        <w:tblStyle w:val="5"/>
        <w:tblW w:w="8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2122"/>
        <w:gridCol w:w="2551"/>
        <w:gridCol w:w="1985"/>
        <w:gridCol w:w="2271"/>
      </w:tblGrid>
      <w:tr w:rsidR="00DB27FE" w:rsidRPr="00D13AAF" w14:paraId="2A832613" w14:textId="77777777" w:rsidTr="002B7C72">
        <w:trPr>
          <w:trHeight w:val="576"/>
        </w:trPr>
        <w:tc>
          <w:tcPr>
            <w:tcW w:w="2122" w:type="dxa"/>
            <w:shd w:val="clear" w:color="auto" w:fill="auto"/>
          </w:tcPr>
          <w:p w14:paraId="7F62AE7E" w14:textId="77777777" w:rsidR="00DB27FE" w:rsidRPr="006D3772" w:rsidRDefault="00DB27FE" w:rsidP="00DA14B4">
            <w:pPr>
              <w:ind w:left="82"/>
              <w:rPr>
                <w:rFonts w:eastAsia="Arial"/>
                <w:color w:val="000000" w:themeColor="text1"/>
                <w:sz w:val="18"/>
                <w:szCs w:val="18"/>
                <w:lang w:val="es-ES"/>
              </w:rPr>
            </w:pPr>
            <w:r w:rsidRPr="006D3772">
              <w:rPr>
                <w:rFonts w:eastAsia="Arial"/>
                <w:color w:val="000000" w:themeColor="text1"/>
                <w:sz w:val="18"/>
                <w:szCs w:val="18"/>
                <w:lang w:val="es-ES"/>
              </w:rPr>
              <w:t>África (226)</w:t>
            </w:r>
          </w:p>
        </w:tc>
        <w:tc>
          <w:tcPr>
            <w:tcW w:w="2551" w:type="dxa"/>
            <w:shd w:val="clear" w:color="auto" w:fill="auto"/>
          </w:tcPr>
          <w:p w14:paraId="07CD1548" w14:textId="77777777" w:rsidR="00DB27FE" w:rsidRPr="006D3772" w:rsidRDefault="00DB27FE" w:rsidP="00DA14B4">
            <w:pPr>
              <w:rPr>
                <w:rFonts w:eastAsia="Arial"/>
                <w:color w:val="000000" w:themeColor="text1"/>
                <w:sz w:val="18"/>
                <w:szCs w:val="18"/>
                <w:lang w:val="es-ES"/>
              </w:rPr>
            </w:pPr>
            <w:r w:rsidRPr="006D3772">
              <w:rPr>
                <w:rFonts w:eastAsia="Arial"/>
                <w:color w:val="000000" w:themeColor="text1"/>
                <w:sz w:val="18"/>
                <w:szCs w:val="18"/>
                <w:lang w:val="es-ES"/>
              </w:rPr>
              <w:t>Información obsoleta sin proceso establecido</w:t>
            </w:r>
          </w:p>
        </w:tc>
        <w:tc>
          <w:tcPr>
            <w:tcW w:w="1985" w:type="dxa"/>
            <w:shd w:val="clear" w:color="auto" w:fill="auto"/>
          </w:tcPr>
          <w:p w14:paraId="61B62839" w14:textId="77777777" w:rsidR="00DB27FE" w:rsidRPr="006D3772" w:rsidRDefault="00DB27FE" w:rsidP="00DA14B4">
            <w:pPr>
              <w:rPr>
                <w:rFonts w:eastAsia="Arial"/>
                <w:color w:val="000000" w:themeColor="text1"/>
                <w:sz w:val="18"/>
                <w:szCs w:val="18"/>
                <w:lang w:val="es-ES"/>
              </w:rPr>
            </w:pPr>
            <w:r w:rsidRPr="006D3772">
              <w:rPr>
                <w:rFonts w:eastAsia="Arial"/>
                <w:color w:val="000000" w:themeColor="text1"/>
                <w:sz w:val="18"/>
                <w:szCs w:val="18"/>
                <w:lang w:val="es-ES"/>
              </w:rPr>
              <w:t xml:space="preserve">Prioridad alta </w:t>
            </w:r>
          </w:p>
        </w:tc>
        <w:tc>
          <w:tcPr>
            <w:tcW w:w="2271" w:type="dxa"/>
            <w:shd w:val="clear" w:color="auto" w:fill="auto"/>
          </w:tcPr>
          <w:p w14:paraId="2431EDF9" w14:textId="77777777" w:rsidR="00DB27FE" w:rsidRPr="006D3772" w:rsidRDefault="00DB27FE" w:rsidP="00DA14B4">
            <w:pPr>
              <w:rPr>
                <w:rFonts w:eastAsia="Arial"/>
                <w:color w:val="000000" w:themeColor="text1"/>
                <w:sz w:val="18"/>
                <w:szCs w:val="18"/>
                <w:lang w:val="es-ES"/>
              </w:rPr>
            </w:pPr>
            <w:r w:rsidRPr="006D3772">
              <w:rPr>
                <w:rFonts w:eastAsia="Arial"/>
                <w:color w:val="000000" w:themeColor="text1"/>
                <w:sz w:val="18"/>
                <w:szCs w:val="18"/>
                <w:lang w:val="es-ES"/>
              </w:rPr>
              <w:t>Cotejar, revisar y actualizar el Portal</w:t>
            </w:r>
          </w:p>
        </w:tc>
      </w:tr>
      <w:tr w:rsidR="00DB27FE" w:rsidRPr="00D13AAF" w14:paraId="5C2B24DA" w14:textId="77777777" w:rsidTr="002B7C72">
        <w:trPr>
          <w:trHeight w:val="864"/>
        </w:trPr>
        <w:tc>
          <w:tcPr>
            <w:tcW w:w="2122" w:type="dxa"/>
            <w:shd w:val="clear" w:color="auto" w:fill="auto"/>
          </w:tcPr>
          <w:p w14:paraId="04587EB9" w14:textId="77777777" w:rsidR="00DB27FE" w:rsidRPr="006D3772" w:rsidRDefault="00DB27FE" w:rsidP="00DA14B4">
            <w:pPr>
              <w:ind w:left="82"/>
              <w:rPr>
                <w:rFonts w:eastAsia="Arial"/>
                <w:color w:val="000000"/>
                <w:sz w:val="18"/>
                <w:szCs w:val="18"/>
                <w:lang w:val="es-ES"/>
              </w:rPr>
            </w:pPr>
            <w:r w:rsidRPr="006D3772">
              <w:rPr>
                <w:rFonts w:eastAsia="Arial"/>
                <w:color w:val="000000"/>
                <w:sz w:val="18"/>
                <w:szCs w:val="18"/>
                <w:lang w:val="es-ES"/>
              </w:rPr>
              <w:t>Neártico (América del Norte) (91)</w:t>
            </w:r>
          </w:p>
        </w:tc>
        <w:tc>
          <w:tcPr>
            <w:tcW w:w="2551" w:type="dxa"/>
            <w:shd w:val="clear" w:color="auto" w:fill="auto"/>
          </w:tcPr>
          <w:p w14:paraId="52022E30"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Existen procesos nacionales en América del Norte</w:t>
            </w:r>
          </w:p>
        </w:tc>
        <w:tc>
          <w:tcPr>
            <w:tcW w:w="1985" w:type="dxa"/>
            <w:shd w:val="clear" w:color="auto" w:fill="auto"/>
          </w:tcPr>
          <w:p w14:paraId="38B2BD02"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 xml:space="preserve">Prioridad alta </w:t>
            </w:r>
          </w:p>
        </w:tc>
        <w:tc>
          <w:tcPr>
            <w:tcW w:w="2271" w:type="dxa"/>
            <w:shd w:val="clear" w:color="auto" w:fill="auto"/>
          </w:tcPr>
          <w:p w14:paraId="3C09B9D6"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Evaluar la compatibilidad de la información disponible y actualizar el Portal</w:t>
            </w:r>
          </w:p>
        </w:tc>
      </w:tr>
      <w:tr w:rsidR="00DB27FE" w:rsidRPr="00D13AAF" w14:paraId="7641709C" w14:textId="77777777" w:rsidTr="002B7C72">
        <w:trPr>
          <w:trHeight w:val="576"/>
        </w:trPr>
        <w:tc>
          <w:tcPr>
            <w:tcW w:w="2122" w:type="dxa"/>
            <w:shd w:val="clear" w:color="auto" w:fill="auto"/>
          </w:tcPr>
          <w:p w14:paraId="7E319E6D" w14:textId="77777777" w:rsidR="00DB27FE" w:rsidRPr="006D3772" w:rsidRDefault="00DB27FE" w:rsidP="00DA14B4">
            <w:pPr>
              <w:ind w:left="82"/>
              <w:rPr>
                <w:rFonts w:eastAsia="Arial"/>
                <w:color w:val="000000"/>
                <w:sz w:val="18"/>
                <w:szCs w:val="18"/>
                <w:lang w:val="es-ES"/>
              </w:rPr>
            </w:pPr>
            <w:r w:rsidRPr="006D3772">
              <w:rPr>
                <w:rFonts w:eastAsia="Arial"/>
                <w:color w:val="000000"/>
                <w:sz w:val="18"/>
                <w:szCs w:val="18"/>
                <w:lang w:val="es-ES"/>
              </w:rPr>
              <w:t xml:space="preserve">Neotrópico (América Central, del Sur y el Caribe) (200) </w:t>
            </w:r>
          </w:p>
        </w:tc>
        <w:tc>
          <w:tcPr>
            <w:tcW w:w="2551" w:type="dxa"/>
            <w:shd w:val="clear" w:color="auto" w:fill="auto"/>
          </w:tcPr>
          <w:p w14:paraId="5097B6A1"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Información obsoleta sin proceso establecido</w:t>
            </w:r>
          </w:p>
        </w:tc>
        <w:tc>
          <w:tcPr>
            <w:tcW w:w="1985" w:type="dxa"/>
            <w:shd w:val="clear" w:color="auto" w:fill="auto"/>
          </w:tcPr>
          <w:p w14:paraId="67462211"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 xml:space="preserve">Prioridad alta </w:t>
            </w:r>
          </w:p>
        </w:tc>
        <w:tc>
          <w:tcPr>
            <w:tcW w:w="2271" w:type="dxa"/>
            <w:shd w:val="clear" w:color="auto" w:fill="auto"/>
          </w:tcPr>
          <w:p w14:paraId="0895CF61"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Cotejar, revisar y actualizar el Portal</w:t>
            </w:r>
          </w:p>
        </w:tc>
      </w:tr>
      <w:tr w:rsidR="00DB27FE" w:rsidRPr="00D13AAF" w14:paraId="3027E84D" w14:textId="77777777" w:rsidTr="002B7C72">
        <w:trPr>
          <w:trHeight w:val="576"/>
        </w:trPr>
        <w:tc>
          <w:tcPr>
            <w:tcW w:w="2122" w:type="dxa"/>
            <w:shd w:val="clear" w:color="auto" w:fill="auto"/>
          </w:tcPr>
          <w:p w14:paraId="478A0F9A" w14:textId="77777777" w:rsidR="00DB27FE" w:rsidRPr="006D3772" w:rsidRDefault="00DB27FE" w:rsidP="00DA14B4">
            <w:pPr>
              <w:ind w:left="82"/>
              <w:rPr>
                <w:rFonts w:eastAsia="Arial"/>
                <w:color w:val="000000"/>
                <w:sz w:val="18"/>
                <w:szCs w:val="18"/>
                <w:lang w:val="es-ES"/>
              </w:rPr>
            </w:pPr>
            <w:r w:rsidRPr="006D3772">
              <w:rPr>
                <w:rFonts w:eastAsia="Arial"/>
                <w:color w:val="000000"/>
                <w:sz w:val="18"/>
                <w:szCs w:val="18"/>
                <w:lang w:val="es-ES"/>
              </w:rPr>
              <w:t>Asia (región indomalaya y paleártica oriental) (132)</w:t>
            </w:r>
          </w:p>
        </w:tc>
        <w:tc>
          <w:tcPr>
            <w:tcW w:w="2551" w:type="dxa"/>
            <w:shd w:val="clear" w:color="auto" w:fill="auto"/>
          </w:tcPr>
          <w:p w14:paraId="16855540"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Información obsoleta sin proceso establecido</w:t>
            </w:r>
          </w:p>
        </w:tc>
        <w:tc>
          <w:tcPr>
            <w:tcW w:w="1985" w:type="dxa"/>
            <w:shd w:val="clear" w:color="auto" w:fill="auto"/>
          </w:tcPr>
          <w:p w14:paraId="1424249C"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 xml:space="preserve">Prioridad alta </w:t>
            </w:r>
          </w:p>
        </w:tc>
        <w:tc>
          <w:tcPr>
            <w:tcW w:w="2271" w:type="dxa"/>
            <w:shd w:val="clear" w:color="auto" w:fill="auto"/>
          </w:tcPr>
          <w:p w14:paraId="499D3C87"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Cotejar, revisar y actualizar el Portal</w:t>
            </w:r>
          </w:p>
        </w:tc>
      </w:tr>
      <w:tr w:rsidR="00DB27FE" w:rsidRPr="00D13AAF" w14:paraId="3B265780" w14:textId="77777777" w:rsidTr="002B7C72">
        <w:trPr>
          <w:trHeight w:val="864"/>
        </w:trPr>
        <w:tc>
          <w:tcPr>
            <w:tcW w:w="2122" w:type="dxa"/>
            <w:shd w:val="clear" w:color="auto" w:fill="auto"/>
          </w:tcPr>
          <w:p w14:paraId="0607A2F9" w14:textId="77777777" w:rsidR="00DB27FE" w:rsidRPr="006D3772" w:rsidRDefault="00DB27FE" w:rsidP="00DA14B4">
            <w:pPr>
              <w:ind w:left="82"/>
              <w:rPr>
                <w:rFonts w:eastAsia="Arial"/>
                <w:color w:val="000000"/>
                <w:sz w:val="18"/>
                <w:szCs w:val="18"/>
                <w:lang w:val="es-ES"/>
              </w:rPr>
            </w:pPr>
            <w:r w:rsidRPr="006D3772">
              <w:rPr>
                <w:rFonts w:eastAsia="Arial"/>
                <w:color w:val="000000"/>
                <w:sz w:val="18"/>
                <w:szCs w:val="18"/>
                <w:lang w:val="es-ES"/>
              </w:rPr>
              <w:t>Oceanía (incluida Australasia) (337)</w:t>
            </w:r>
          </w:p>
        </w:tc>
        <w:tc>
          <w:tcPr>
            <w:tcW w:w="2551" w:type="dxa"/>
            <w:shd w:val="clear" w:color="auto" w:fill="auto"/>
          </w:tcPr>
          <w:p w14:paraId="6E03EB7E"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Actualizaciones nacionales en Australia y Nueva Zelandia</w:t>
            </w:r>
          </w:p>
          <w:p w14:paraId="276E3417" w14:textId="77777777" w:rsidR="00DB27FE" w:rsidRPr="006D3772" w:rsidRDefault="00DB27FE" w:rsidP="00DA14B4">
            <w:pPr>
              <w:rPr>
                <w:rFonts w:eastAsia="Arial"/>
                <w:color w:val="000000"/>
                <w:sz w:val="18"/>
                <w:szCs w:val="18"/>
                <w:lang w:val="es-ES"/>
              </w:rPr>
            </w:pPr>
          </w:p>
        </w:tc>
        <w:tc>
          <w:tcPr>
            <w:tcW w:w="1985" w:type="dxa"/>
            <w:shd w:val="clear" w:color="auto" w:fill="auto"/>
          </w:tcPr>
          <w:p w14:paraId="49D11ED0"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 xml:space="preserve">Prioridad alta </w:t>
            </w:r>
          </w:p>
        </w:tc>
        <w:tc>
          <w:tcPr>
            <w:tcW w:w="2271" w:type="dxa"/>
            <w:shd w:val="clear" w:color="auto" w:fill="auto"/>
          </w:tcPr>
          <w:p w14:paraId="7697DDD6"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Evaluar la compatibilidad de la información disponible y actualizar el Portal</w:t>
            </w:r>
          </w:p>
        </w:tc>
      </w:tr>
      <w:tr w:rsidR="00DB27FE" w:rsidRPr="00D13AAF" w14:paraId="1164B0B8" w14:textId="77777777" w:rsidTr="002B7C72">
        <w:trPr>
          <w:trHeight w:val="864"/>
        </w:trPr>
        <w:tc>
          <w:tcPr>
            <w:tcW w:w="2122" w:type="dxa"/>
            <w:shd w:val="clear" w:color="auto" w:fill="auto"/>
          </w:tcPr>
          <w:p w14:paraId="48F78D9C" w14:textId="77777777" w:rsidR="00DB27FE" w:rsidRPr="006D3772" w:rsidRDefault="00DB27FE" w:rsidP="00DA14B4">
            <w:pPr>
              <w:ind w:left="82"/>
              <w:rPr>
                <w:rFonts w:eastAsia="Arial"/>
                <w:color w:val="000000"/>
                <w:sz w:val="18"/>
                <w:szCs w:val="18"/>
                <w:lang w:val="es-ES"/>
              </w:rPr>
            </w:pPr>
            <w:r w:rsidRPr="006D3772">
              <w:rPr>
                <w:rFonts w:eastAsia="Arial"/>
                <w:color w:val="000000"/>
                <w:sz w:val="18"/>
                <w:szCs w:val="18"/>
                <w:lang w:val="es-ES"/>
              </w:rPr>
              <w:t>Europa (35)</w:t>
            </w:r>
          </w:p>
        </w:tc>
        <w:tc>
          <w:tcPr>
            <w:tcW w:w="2551" w:type="dxa"/>
            <w:shd w:val="clear" w:color="auto" w:fill="auto"/>
          </w:tcPr>
          <w:p w14:paraId="5C0077C8"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Proceso del artículo 12 de la UE, vinculado a la Lista Roja Europea de las Aves, cotejo financiado por la Comisión Europea/Agencia Europea de Medio Ambiente</w:t>
            </w:r>
          </w:p>
        </w:tc>
        <w:tc>
          <w:tcPr>
            <w:tcW w:w="1985" w:type="dxa"/>
            <w:shd w:val="clear" w:color="auto" w:fill="auto"/>
          </w:tcPr>
          <w:p w14:paraId="190012E5"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 xml:space="preserve">Prioridad alta </w:t>
            </w:r>
          </w:p>
        </w:tc>
        <w:tc>
          <w:tcPr>
            <w:tcW w:w="2271" w:type="dxa"/>
            <w:shd w:val="clear" w:color="auto" w:fill="auto"/>
          </w:tcPr>
          <w:p w14:paraId="32E18980"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Evaluar la compatibilidad de la información disponible y actualizar el Portal</w:t>
            </w:r>
          </w:p>
        </w:tc>
      </w:tr>
      <w:tr w:rsidR="00DB27FE" w:rsidRPr="006D3772" w14:paraId="1E041C4A" w14:textId="77777777" w:rsidTr="002B7C72">
        <w:trPr>
          <w:trHeight w:val="288"/>
        </w:trPr>
        <w:tc>
          <w:tcPr>
            <w:tcW w:w="2122" w:type="dxa"/>
            <w:tcBorders>
              <w:right w:val="nil"/>
            </w:tcBorders>
            <w:shd w:val="clear" w:color="auto" w:fill="auto"/>
          </w:tcPr>
          <w:p w14:paraId="5EDC45AE" w14:textId="77777777" w:rsidR="00DB27FE" w:rsidRPr="006D3772" w:rsidRDefault="00DB27FE" w:rsidP="00DA14B4">
            <w:pPr>
              <w:ind w:left="82"/>
              <w:rPr>
                <w:rFonts w:eastAsia="Arial"/>
                <w:b/>
                <w:color w:val="000000"/>
                <w:sz w:val="18"/>
                <w:szCs w:val="18"/>
                <w:lang w:val="es-ES"/>
              </w:rPr>
            </w:pPr>
            <w:r w:rsidRPr="006D3772">
              <w:rPr>
                <w:rFonts w:eastAsia="Arial"/>
                <w:b/>
                <w:color w:val="000000"/>
                <w:sz w:val="18"/>
                <w:szCs w:val="18"/>
                <w:lang w:val="es-ES"/>
              </w:rPr>
              <w:t xml:space="preserve">Migratorias </w:t>
            </w:r>
          </w:p>
        </w:tc>
        <w:tc>
          <w:tcPr>
            <w:tcW w:w="2551" w:type="dxa"/>
            <w:tcBorders>
              <w:left w:val="nil"/>
              <w:right w:val="nil"/>
            </w:tcBorders>
            <w:shd w:val="clear" w:color="auto" w:fill="auto"/>
          </w:tcPr>
          <w:p w14:paraId="4369FEF3" w14:textId="77777777" w:rsidR="00DB27FE" w:rsidRPr="006D3772" w:rsidRDefault="00DB27FE" w:rsidP="00DA14B4">
            <w:pPr>
              <w:rPr>
                <w:rFonts w:eastAsia="Arial"/>
                <w:color w:val="000000"/>
                <w:sz w:val="18"/>
                <w:szCs w:val="18"/>
                <w:lang w:val="es-ES"/>
              </w:rPr>
            </w:pPr>
          </w:p>
        </w:tc>
        <w:tc>
          <w:tcPr>
            <w:tcW w:w="1985" w:type="dxa"/>
            <w:tcBorders>
              <w:left w:val="nil"/>
              <w:right w:val="nil"/>
            </w:tcBorders>
            <w:shd w:val="clear" w:color="auto" w:fill="auto"/>
          </w:tcPr>
          <w:p w14:paraId="546688D7" w14:textId="77777777" w:rsidR="00DB27FE" w:rsidRPr="006D3772" w:rsidRDefault="00DB27FE" w:rsidP="00DA14B4">
            <w:pPr>
              <w:rPr>
                <w:rFonts w:eastAsia="Arial"/>
                <w:color w:val="000000"/>
                <w:sz w:val="18"/>
                <w:szCs w:val="18"/>
                <w:lang w:val="es-ES"/>
              </w:rPr>
            </w:pPr>
          </w:p>
        </w:tc>
        <w:tc>
          <w:tcPr>
            <w:tcW w:w="2271" w:type="dxa"/>
            <w:tcBorders>
              <w:left w:val="nil"/>
            </w:tcBorders>
            <w:shd w:val="clear" w:color="auto" w:fill="auto"/>
          </w:tcPr>
          <w:p w14:paraId="7C9C94C4" w14:textId="77777777" w:rsidR="00DB27FE" w:rsidRPr="006D3772" w:rsidRDefault="00DB27FE" w:rsidP="00DA14B4">
            <w:pPr>
              <w:rPr>
                <w:rFonts w:eastAsia="Arial"/>
                <w:color w:val="000000"/>
                <w:sz w:val="18"/>
                <w:szCs w:val="18"/>
                <w:lang w:val="es-ES"/>
              </w:rPr>
            </w:pPr>
          </w:p>
        </w:tc>
      </w:tr>
      <w:tr w:rsidR="00DB27FE" w:rsidRPr="00D13AAF" w14:paraId="09F5BB57" w14:textId="77777777" w:rsidTr="002B7C72">
        <w:trPr>
          <w:trHeight w:val="864"/>
        </w:trPr>
        <w:tc>
          <w:tcPr>
            <w:tcW w:w="2122" w:type="dxa"/>
            <w:shd w:val="clear" w:color="auto" w:fill="auto"/>
          </w:tcPr>
          <w:p w14:paraId="1EBE0ABE" w14:textId="77777777" w:rsidR="00DB27FE" w:rsidRPr="006D3772" w:rsidRDefault="00DB27FE" w:rsidP="00DA14B4">
            <w:pPr>
              <w:keepNext/>
              <w:rPr>
                <w:rFonts w:eastAsia="Arial"/>
                <w:color w:val="000000"/>
                <w:sz w:val="18"/>
                <w:szCs w:val="18"/>
                <w:lang w:val="es-ES"/>
              </w:rPr>
            </w:pPr>
            <w:r w:rsidRPr="006D3772">
              <w:rPr>
                <w:rFonts w:eastAsia="Arial"/>
                <w:color w:val="000000"/>
                <w:sz w:val="18"/>
                <w:szCs w:val="18"/>
                <w:lang w:val="es-ES"/>
              </w:rPr>
              <w:t>Corredor aéreo de Asia central (CAF)</w:t>
            </w:r>
          </w:p>
          <w:p w14:paraId="7BAED5EA" w14:textId="77777777" w:rsidR="00DB27FE" w:rsidRPr="006D3772" w:rsidRDefault="00DB27FE" w:rsidP="00DA14B4">
            <w:pPr>
              <w:ind w:left="82"/>
              <w:rPr>
                <w:rFonts w:eastAsia="Arial"/>
                <w:color w:val="000000"/>
                <w:sz w:val="18"/>
                <w:szCs w:val="18"/>
                <w:lang w:val="es-ES"/>
              </w:rPr>
            </w:pPr>
            <w:r w:rsidRPr="006D3772">
              <w:rPr>
                <w:rFonts w:eastAsia="Arial"/>
                <w:color w:val="000000"/>
                <w:sz w:val="18"/>
                <w:szCs w:val="18"/>
                <w:lang w:val="es-ES"/>
              </w:rPr>
              <w:t xml:space="preserve"> (264)</w:t>
            </w:r>
          </w:p>
        </w:tc>
        <w:tc>
          <w:tcPr>
            <w:tcW w:w="2551" w:type="dxa"/>
            <w:shd w:val="clear" w:color="auto" w:fill="auto"/>
          </w:tcPr>
          <w:p w14:paraId="7D51695D" w14:textId="77777777" w:rsidR="00DB27FE" w:rsidRPr="006D3772" w:rsidRDefault="00DB27FE" w:rsidP="00DA14B4">
            <w:pPr>
              <w:keepNext/>
              <w:rPr>
                <w:sz w:val="18"/>
                <w:szCs w:val="18"/>
                <w:lang w:val="es-ES"/>
              </w:rPr>
            </w:pPr>
            <w:r w:rsidRPr="006D3772">
              <w:rPr>
                <w:rFonts w:eastAsia="Arial"/>
                <w:color w:val="000000"/>
                <w:sz w:val="18"/>
                <w:szCs w:val="18"/>
                <w:lang w:val="es-ES"/>
              </w:rPr>
              <w:t>Incluido en el CAF Waterbird Action Plan</w:t>
            </w:r>
            <w:r w:rsidRPr="006D3772">
              <w:rPr>
                <w:rFonts w:eastAsia="Arial"/>
                <w:color w:val="000000"/>
                <w:sz w:val="18"/>
                <w:szCs w:val="18"/>
                <w:vertAlign w:val="superscript"/>
                <w:lang w:val="es-ES"/>
              </w:rPr>
              <w:footnoteReference w:id="23"/>
            </w:r>
            <w:r w:rsidRPr="006D3772">
              <w:rPr>
                <w:rFonts w:eastAsia="Arial"/>
                <w:color w:val="000000"/>
                <w:sz w:val="18"/>
                <w:szCs w:val="18"/>
                <w:lang w:val="es-ES"/>
              </w:rPr>
              <w:t>. (264 poblaciones, de las cuales &gt;</w:t>
            </w:r>
            <w:r w:rsidRPr="006D3772">
              <w:rPr>
                <w:sz w:val="18"/>
                <w:szCs w:val="18"/>
                <w:lang w:val="es-ES"/>
              </w:rPr>
              <w:t>140 poblaciones están cubiertas por informes sobre el estado de conservación del AEWA</w:t>
            </w:r>
          </w:p>
          <w:p w14:paraId="374422A0"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La información obsoleta sobre &gt;124 poblaciones sin financiación o proceso establecido es una prioridad</w:t>
            </w:r>
          </w:p>
        </w:tc>
        <w:tc>
          <w:tcPr>
            <w:tcW w:w="1985" w:type="dxa"/>
            <w:shd w:val="clear" w:color="auto" w:fill="auto"/>
          </w:tcPr>
          <w:p w14:paraId="4BF1281F"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Prioridad alta</w:t>
            </w:r>
          </w:p>
        </w:tc>
        <w:tc>
          <w:tcPr>
            <w:tcW w:w="2271" w:type="dxa"/>
            <w:shd w:val="clear" w:color="auto" w:fill="auto"/>
          </w:tcPr>
          <w:p w14:paraId="7D9CF87C"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Cotejar, revisar y actualizar el Portal</w:t>
            </w:r>
          </w:p>
        </w:tc>
      </w:tr>
      <w:tr w:rsidR="00DB27FE" w:rsidRPr="00D13AAF" w14:paraId="34425309" w14:textId="77777777" w:rsidTr="002B7C72">
        <w:trPr>
          <w:trHeight w:val="576"/>
        </w:trPr>
        <w:tc>
          <w:tcPr>
            <w:tcW w:w="2122" w:type="dxa"/>
            <w:shd w:val="clear" w:color="auto" w:fill="auto"/>
          </w:tcPr>
          <w:p w14:paraId="3320A9AF" w14:textId="77777777" w:rsidR="00DB27FE" w:rsidRPr="006D3772" w:rsidRDefault="00DB27FE" w:rsidP="00DA14B4">
            <w:pPr>
              <w:ind w:left="82"/>
              <w:rPr>
                <w:rFonts w:eastAsia="Arial"/>
                <w:color w:val="000000"/>
                <w:sz w:val="18"/>
                <w:szCs w:val="18"/>
                <w:lang w:val="es-ES"/>
              </w:rPr>
            </w:pPr>
            <w:r w:rsidRPr="006D3772">
              <w:rPr>
                <w:rFonts w:eastAsia="Arial"/>
                <w:color w:val="000000"/>
                <w:sz w:val="18"/>
                <w:szCs w:val="18"/>
                <w:lang w:val="es-ES"/>
              </w:rPr>
              <w:t>Vía migratoria del Pacífico Central (y la Antártida)</w:t>
            </w:r>
            <w:r w:rsidRPr="006D3772">
              <w:rPr>
                <w:rStyle w:val="FootnoteReference"/>
                <w:rFonts w:eastAsia="Arial"/>
                <w:color w:val="000000"/>
                <w:sz w:val="18"/>
                <w:szCs w:val="18"/>
                <w:lang w:val="es-ES"/>
              </w:rPr>
              <w:footnoteReference w:id="24"/>
            </w:r>
            <w:r w:rsidRPr="006D3772">
              <w:rPr>
                <w:rFonts w:eastAsia="Arial"/>
                <w:color w:val="000000"/>
                <w:sz w:val="18"/>
                <w:szCs w:val="18"/>
                <w:lang w:val="es-ES"/>
              </w:rPr>
              <w:t xml:space="preserve"> (60)</w:t>
            </w:r>
          </w:p>
        </w:tc>
        <w:tc>
          <w:tcPr>
            <w:tcW w:w="2551" w:type="dxa"/>
            <w:shd w:val="clear" w:color="auto" w:fill="auto"/>
          </w:tcPr>
          <w:p w14:paraId="071A7771"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Información obsoleta sin proceso establecido</w:t>
            </w:r>
          </w:p>
        </w:tc>
        <w:tc>
          <w:tcPr>
            <w:tcW w:w="1985" w:type="dxa"/>
            <w:shd w:val="clear" w:color="auto" w:fill="auto"/>
          </w:tcPr>
          <w:p w14:paraId="1D64EDDD"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Prioridad alta</w:t>
            </w:r>
          </w:p>
        </w:tc>
        <w:tc>
          <w:tcPr>
            <w:tcW w:w="2271" w:type="dxa"/>
            <w:shd w:val="clear" w:color="auto" w:fill="auto"/>
          </w:tcPr>
          <w:p w14:paraId="4405F986"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Cotejar, revisar y actualizar el Portal</w:t>
            </w:r>
          </w:p>
        </w:tc>
      </w:tr>
      <w:tr w:rsidR="00DB27FE" w:rsidRPr="00D13AAF" w14:paraId="1FB58D7B" w14:textId="77777777" w:rsidTr="002B7C72">
        <w:trPr>
          <w:trHeight w:val="487"/>
        </w:trPr>
        <w:tc>
          <w:tcPr>
            <w:tcW w:w="2122" w:type="dxa"/>
            <w:shd w:val="clear" w:color="auto" w:fill="auto"/>
          </w:tcPr>
          <w:p w14:paraId="6F785370" w14:textId="77777777" w:rsidR="00DB27FE" w:rsidRPr="006D3772" w:rsidRDefault="00DB27FE" w:rsidP="00DA14B4">
            <w:pPr>
              <w:ind w:left="82"/>
              <w:rPr>
                <w:rFonts w:eastAsia="Arial"/>
                <w:color w:val="000000"/>
                <w:sz w:val="18"/>
                <w:szCs w:val="18"/>
                <w:lang w:val="es-ES"/>
              </w:rPr>
            </w:pPr>
            <w:r w:rsidRPr="006D3772">
              <w:rPr>
                <w:rFonts w:eastAsia="Arial"/>
                <w:color w:val="000000"/>
                <w:sz w:val="18"/>
                <w:szCs w:val="18"/>
                <w:lang w:val="es-ES"/>
              </w:rPr>
              <w:t>Vías migratorias de las Américas (379)</w:t>
            </w:r>
          </w:p>
        </w:tc>
        <w:tc>
          <w:tcPr>
            <w:tcW w:w="2551" w:type="dxa"/>
            <w:shd w:val="clear" w:color="auto" w:fill="auto"/>
          </w:tcPr>
          <w:p w14:paraId="7625E15A"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Existen procesos de revisión para las aves acuáticas de América del Norte (hasta América Central) y 79 poblaciones de aves limícolas migratorias de todo el continente americano</w:t>
            </w:r>
          </w:p>
        </w:tc>
        <w:tc>
          <w:tcPr>
            <w:tcW w:w="1985" w:type="dxa"/>
            <w:shd w:val="clear" w:color="auto" w:fill="auto"/>
          </w:tcPr>
          <w:p w14:paraId="264328AA"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 xml:space="preserve">Prioridad alta </w:t>
            </w:r>
          </w:p>
        </w:tc>
        <w:tc>
          <w:tcPr>
            <w:tcW w:w="2271" w:type="dxa"/>
            <w:shd w:val="clear" w:color="auto" w:fill="auto"/>
          </w:tcPr>
          <w:p w14:paraId="797BDC0B"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Evaluar la compatibilidad de la información disponible y actualizar el Portal</w:t>
            </w:r>
          </w:p>
        </w:tc>
      </w:tr>
      <w:tr w:rsidR="00DB27FE" w:rsidRPr="006D3772" w14:paraId="10514B1E" w14:textId="77777777" w:rsidTr="002B7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6"/>
        </w:trPr>
        <w:tc>
          <w:tcPr>
            <w:tcW w:w="2122" w:type="dxa"/>
            <w:tcBorders>
              <w:top w:val="single" w:sz="4" w:space="0" w:color="auto"/>
              <w:left w:val="single" w:sz="4" w:space="0" w:color="auto"/>
              <w:bottom w:val="single" w:sz="4" w:space="0" w:color="auto"/>
              <w:right w:val="single" w:sz="4" w:space="0" w:color="auto"/>
            </w:tcBorders>
          </w:tcPr>
          <w:p w14:paraId="1301685A" w14:textId="77777777" w:rsidR="00DB27FE" w:rsidRPr="006D3772" w:rsidRDefault="00DB27FE" w:rsidP="00DA14B4">
            <w:pPr>
              <w:ind w:left="82"/>
              <w:rPr>
                <w:rFonts w:eastAsia="Arial"/>
                <w:color w:val="000000"/>
                <w:sz w:val="18"/>
                <w:szCs w:val="18"/>
                <w:lang w:val="es-ES"/>
              </w:rPr>
            </w:pPr>
            <w:r w:rsidRPr="006D3772">
              <w:rPr>
                <w:rFonts w:eastAsia="Arial"/>
                <w:color w:val="000000"/>
                <w:sz w:val="18"/>
                <w:szCs w:val="18"/>
                <w:lang w:val="es-ES"/>
              </w:rPr>
              <w:t>Vía Migratoria Asia Oriental-Australasia (276)</w:t>
            </w:r>
          </w:p>
        </w:tc>
        <w:tc>
          <w:tcPr>
            <w:tcW w:w="2551" w:type="dxa"/>
            <w:tcBorders>
              <w:top w:val="single" w:sz="4" w:space="0" w:color="auto"/>
              <w:left w:val="single" w:sz="4" w:space="0" w:color="auto"/>
              <w:bottom w:val="single" w:sz="4" w:space="0" w:color="auto"/>
              <w:right w:val="single" w:sz="4" w:space="0" w:color="auto"/>
            </w:tcBorders>
          </w:tcPr>
          <w:p w14:paraId="380CEECE"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 xml:space="preserve">Proceso de informes sobre el estado de conservación de la </w:t>
            </w:r>
            <w:r w:rsidRPr="006D3772">
              <w:rPr>
                <w:rFonts w:eastAsia="Arial"/>
                <w:color w:val="000000"/>
                <w:sz w:val="18"/>
                <w:szCs w:val="18"/>
                <w:lang w:val="es-ES"/>
              </w:rPr>
              <w:lastRenderedPageBreak/>
              <w:t>EAAFP financiado por esta (276 poblaciones)</w:t>
            </w:r>
          </w:p>
        </w:tc>
        <w:tc>
          <w:tcPr>
            <w:tcW w:w="1985" w:type="dxa"/>
            <w:tcBorders>
              <w:top w:val="single" w:sz="4" w:space="0" w:color="auto"/>
              <w:left w:val="single" w:sz="4" w:space="0" w:color="auto"/>
              <w:bottom w:val="single" w:sz="4" w:space="0" w:color="auto"/>
              <w:right w:val="single" w:sz="4" w:space="0" w:color="auto"/>
            </w:tcBorders>
          </w:tcPr>
          <w:p w14:paraId="633231D2"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lastRenderedPageBreak/>
              <w:t xml:space="preserve">Prioridad media, para abordar las lagunas poblacionales de muchas </w:t>
            </w:r>
            <w:r w:rsidRPr="006D3772">
              <w:rPr>
                <w:rFonts w:eastAsia="Arial"/>
                <w:color w:val="000000"/>
                <w:sz w:val="18"/>
                <w:szCs w:val="18"/>
                <w:lang w:val="es-ES"/>
              </w:rPr>
              <w:lastRenderedPageBreak/>
              <w:t>familias y especies no incluidas en el informe sobre el estado de conservación CSR1</w:t>
            </w:r>
          </w:p>
        </w:tc>
        <w:tc>
          <w:tcPr>
            <w:tcW w:w="2271" w:type="dxa"/>
            <w:tcBorders>
              <w:top w:val="single" w:sz="4" w:space="0" w:color="auto"/>
              <w:left w:val="single" w:sz="4" w:space="0" w:color="auto"/>
              <w:bottom w:val="single" w:sz="4" w:space="0" w:color="auto"/>
              <w:right w:val="single" w:sz="4" w:space="0" w:color="auto"/>
            </w:tcBorders>
          </w:tcPr>
          <w:p w14:paraId="17AE2F17"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lastRenderedPageBreak/>
              <w:t>Ninguna</w:t>
            </w:r>
          </w:p>
        </w:tc>
      </w:tr>
      <w:tr w:rsidR="00DB27FE" w:rsidRPr="006D3772" w14:paraId="5587C35E" w14:textId="77777777" w:rsidTr="002B7C72">
        <w:trPr>
          <w:trHeight w:val="288"/>
        </w:trPr>
        <w:tc>
          <w:tcPr>
            <w:tcW w:w="2122" w:type="dxa"/>
            <w:tcBorders>
              <w:top w:val="single" w:sz="4" w:space="0" w:color="auto"/>
              <w:left w:val="single" w:sz="4" w:space="0" w:color="auto"/>
              <w:bottom w:val="single" w:sz="4" w:space="0" w:color="auto"/>
              <w:right w:val="single" w:sz="4" w:space="0" w:color="auto"/>
            </w:tcBorders>
          </w:tcPr>
          <w:p w14:paraId="19BB757F" w14:textId="77777777" w:rsidR="00DB27FE" w:rsidRPr="006D3772" w:rsidRDefault="00DB27FE" w:rsidP="00DA14B4">
            <w:pPr>
              <w:ind w:left="82"/>
              <w:rPr>
                <w:rFonts w:eastAsia="Arial"/>
                <w:color w:val="000000"/>
                <w:sz w:val="18"/>
                <w:szCs w:val="18"/>
                <w:lang w:val="es-ES"/>
              </w:rPr>
            </w:pPr>
            <w:r w:rsidRPr="006D3772">
              <w:rPr>
                <w:rFonts w:eastAsia="Arial"/>
                <w:color w:val="000000"/>
                <w:sz w:val="18"/>
                <w:szCs w:val="18"/>
                <w:lang w:val="es-ES"/>
              </w:rPr>
              <w:t>Vías Migratorias de África y Eurasia (532)</w:t>
            </w:r>
          </w:p>
        </w:tc>
        <w:tc>
          <w:tcPr>
            <w:tcW w:w="2551" w:type="dxa"/>
            <w:tcBorders>
              <w:top w:val="single" w:sz="4" w:space="0" w:color="auto"/>
              <w:left w:val="single" w:sz="4" w:space="0" w:color="auto"/>
              <w:bottom w:val="single" w:sz="4" w:space="0" w:color="auto"/>
              <w:right w:val="single" w:sz="4" w:space="0" w:color="auto"/>
            </w:tcBorders>
          </w:tcPr>
          <w:p w14:paraId="47975A6F"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Proceso de CSR (</w:t>
            </w:r>
            <w:r w:rsidRPr="006D3772">
              <w:rPr>
                <w:rFonts w:eastAsia="Arial"/>
                <w:sz w:val="18"/>
                <w:szCs w:val="18"/>
                <w:lang w:val="es-ES"/>
              </w:rPr>
              <w:t xml:space="preserve">informes </w:t>
            </w:r>
            <w:r w:rsidRPr="006D3772">
              <w:rPr>
                <w:rFonts w:eastAsia="Arial"/>
                <w:color w:val="000000"/>
                <w:sz w:val="18"/>
                <w:szCs w:val="18"/>
                <w:lang w:val="es-ES"/>
              </w:rPr>
              <w:t>sobre el estado de conservación) del AEWA financiado por este (CSR8 - 560 poblaciones de aves acuáticas y marinas)</w:t>
            </w:r>
          </w:p>
        </w:tc>
        <w:tc>
          <w:tcPr>
            <w:tcW w:w="1985" w:type="dxa"/>
            <w:tcBorders>
              <w:top w:val="single" w:sz="4" w:space="0" w:color="auto"/>
              <w:left w:val="single" w:sz="4" w:space="0" w:color="auto"/>
              <w:bottom w:val="single" w:sz="4" w:space="0" w:color="auto"/>
              <w:right w:val="single" w:sz="4" w:space="0" w:color="auto"/>
            </w:tcBorders>
          </w:tcPr>
          <w:p w14:paraId="1475313D"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Prioridad baja, existe un plan para su actualización en 2029</w:t>
            </w:r>
          </w:p>
        </w:tc>
        <w:tc>
          <w:tcPr>
            <w:tcW w:w="2271" w:type="dxa"/>
            <w:tcBorders>
              <w:top w:val="single" w:sz="4" w:space="0" w:color="auto"/>
              <w:left w:val="single" w:sz="4" w:space="0" w:color="auto"/>
              <w:bottom w:val="single" w:sz="4" w:space="0" w:color="auto"/>
              <w:right w:val="single" w:sz="4" w:space="0" w:color="auto"/>
            </w:tcBorders>
          </w:tcPr>
          <w:p w14:paraId="6EEEADA0" w14:textId="77777777" w:rsidR="00DB27FE" w:rsidRPr="006D3772" w:rsidRDefault="00DB27FE" w:rsidP="00DA14B4">
            <w:pPr>
              <w:rPr>
                <w:rFonts w:eastAsia="Arial"/>
                <w:color w:val="000000"/>
                <w:sz w:val="18"/>
                <w:szCs w:val="18"/>
                <w:lang w:val="es-ES"/>
              </w:rPr>
            </w:pPr>
            <w:r w:rsidRPr="006D3772">
              <w:rPr>
                <w:rFonts w:eastAsia="Arial"/>
                <w:color w:val="000000"/>
                <w:sz w:val="18"/>
                <w:szCs w:val="18"/>
                <w:lang w:val="es-ES"/>
              </w:rPr>
              <w:t>Ninguna</w:t>
            </w:r>
          </w:p>
        </w:tc>
      </w:tr>
      <w:tr w:rsidR="00DB27FE" w:rsidRPr="006D3772" w14:paraId="054E9EB4" w14:textId="77777777" w:rsidTr="002B7C72">
        <w:trPr>
          <w:trHeight w:val="288"/>
        </w:trPr>
        <w:tc>
          <w:tcPr>
            <w:tcW w:w="2122" w:type="dxa"/>
            <w:tcBorders>
              <w:top w:val="single" w:sz="4" w:space="0" w:color="auto"/>
              <w:left w:val="single" w:sz="4" w:space="0" w:color="auto"/>
              <w:bottom w:val="single" w:sz="4" w:space="0" w:color="auto"/>
              <w:right w:val="single" w:sz="4" w:space="0" w:color="auto"/>
            </w:tcBorders>
          </w:tcPr>
          <w:p w14:paraId="545ECABC" w14:textId="77777777" w:rsidR="00DB27FE" w:rsidRPr="006D3772" w:rsidRDefault="00DB27FE" w:rsidP="00DA14B4">
            <w:pPr>
              <w:rPr>
                <w:rFonts w:eastAsia="Arial"/>
                <w:b/>
                <w:bCs w:val="0"/>
                <w:color w:val="000000"/>
                <w:sz w:val="20"/>
                <w:szCs w:val="20"/>
                <w:lang w:val="es-ES"/>
              </w:rPr>
            </w:pPr>
            <w:r w:rsidRPr="006D3772">
              <w:rPr>
                <w:rFonts w:eastAsia="Times New Roman"/>
                <w:b/>
                <w:color w:val="000000" w:themeColor="text1"/>
                <w:sz w:val="20"/>
                <w:szCs w:val="20"/>
                <w:lang w:val="es-ES"/>
              </w:rPr>
              <w:t>Costo total indicativo:</w:t>
            </w:r>
          </w:p>
        </w:tc>
        <w:tc>
          <w:tcPr>
            <w:tcW w:w="2551" w:type="dxa"/>
            <w:tcBorders>
              <w:top w:val="single" w:sz="4" w:space="0" w:color="auto"/>
              <w:left w:val="single" w:sz="4" w:space="0" w:color="auto"/>
              <w:bottom w:val="single" w:sz="4" w:space="0" w:color="auto"/>
              <w:right w:val="single" w:sz="4" w:space="0" w:color="auto"/>
            </w:tcBorders>
          </w:tcPr>
          <w:p w14:paraId="5394631D" w14:textId="77777777" w:rsidR="00DB27FE" w:rsidRPr="006D3772" w:rsidRDefault="00DB27FE" w:rsidP="00DA14B4">
            <w:pPr>
              <w:rPr>
                <w:rFonts w:eastAsia="Arial"/>
                <w:color w:val="000000"/>
                <w:sz w:val="20"/>
                <w:szCs w:val="20"/>
                <w:lang w:val="es-ES"/>
              </w:rPr>
            </w:pPr>
          </w:p>
        </w:tc>
        <w:tc>
          <w:tcPr>
            <w:tcW w:w="1985" w:type="dxa"/>
            <w:tcBorders>
              <w:top w:val="single" w:sz="4" w:space="0" w:color="auto"/>
              <w:left w:val="single" w:sz="4" w:space="0" w:color="auto"/>
              <w:bottom w:val="single" w:sz="4" w:space="0" w:color="auto"/>
              <w:right w:val="single" w:sz="4" w:space="0" w:color="auto"/>
            </w:tcBorders>
          </w:tcPr>
          <w:p w14:paraId="7EAB410C" w14:textId="77777777" w:rsidR="00DB27FE" w:rsidRPr="006D3772" w:rsidRDefault="00DB27FE" w:rsidP="00DA14B4">
            <w:pPr>
              <w:rPr>
                <w:rFonts w:eastAsia="Arial"/>
                <w:color w:val="000000"/>
                <w:sz w:val="20"/>
                <w:szCs w:val="20"/>
                <w:lang w:val="es-ES"/>
              </w:rPr>
            </w:pPr>
          </w:p>
        </w:tc>
        <w:tc>
          <w:tcPr>
            <w:tcW w:w="2271" w:type="dxa"/>
            <w:tcBorders>
              <w:top w:val="single" w:sz="4" w:space="0" w:color="auto"/>
              <w:left w:val="single" w:sz="4" w:space="0" w:color="auto"/>
              <w:bottom w:val="single" w:sz="4" w:space="0" w:color="auto"/>
              <w:right w:val="single" w:sz="4" w:space="0" w:color="auto"/>
            </w:tcBorders>
          </w:tcPr>
          <w:p w14:paraId="0AEB70AF" w14:textId="77777777" w:rsidR="00DB27FE" w:rsidRPr="006D3772" w:rsidRDefault="00DB27FE" w:rsidP="00DA14B4">
            <w:pPr>
              <w:jc w:val="right"/>
              <w:rPr>
                <w:rFonts w:eastAsia="Arial"/>
                <w:color w:val="000000"/>
                <w:sz w:val="20"/>
                <w:szCs w:val="20"/>
                <w:lang w:val="es-ES"/>
              </w:rPr>
            </w:pPr>
            <w:r w:rsidRPr="006D3772">
              <w:rPr>
                <w:b/>
                <w:sz w:val="20"/>
                <w:szCs w:val="20"/>
                <w:lang w:val="es-ES"/>
              </w:rPr>
              <w:t>366 000 francos suizos</w:t>
            </w:r>
            <w:r w:rsidRPr="006D3772">
              <w:rPr>
                <w:rStyle w:val="FootnoteReference"/>
                <w:sz w:val="20"/>
                <w:szCs w:val="20"/>
                <w:lang w:val="es-ES"/>
              </w:rPr>
              <w:footnoteReference w:id="25"/>
            </w:r>
          </w:p>
        </w:tc>
      </w:tr>
    </w:tbl>
    <w:p w14:paraId="342B0A8D" w14:textId="77777777" w:rsidR="00DB27FE" w:rsidRPr="006D3772" w:rsidRDefault="00DB27FE" w:rsidP="00DB27FE">
      <w:pPr>
        <w:pBdr>
          <w:top w:val="nil"/>
          <w:left w:val="nil"/>
          <w:bottom w:val="nil"/>
          <w:right w:val="nil"/>
          <w:between w:val="nil"/>
        </w:pBdr>
        <w:rPr>
          <w:b/>
          <w:bCs w:val="0"/>
          <w:lang w:val="es-ES"/>
        </w:rPr>
      </w:pPr>
    </w:p>
    <w:p w14:paraId="72408EAC" w14:textId="77777777" w:rsidR="00DB27FE" w:rsidRPr="006D3772" w:rsidRDefault="00DB27FE" w:rsidP="00DB27FE">
      <w:pPr>
        <w:pBdr>
          <w:top w:val="nil"/>
          <w:left w:val="nil"/>
          <w:bottom w:val="nil"/>
          <w:right w:val="nil"/>
          <w:between w:val="nil"/>
        </w:pBdr>
        <w:rPr>
          <w:b/>
          <w:bCs w:val="0"/>
          <w:lang w:val="es-ES"/>
        </w:rPr>
      </w:pPr>
      <w:r w:rsidRPr="006D3772">
        <w:rPr>
          <w:b/>
          <w:bCs w:val="0"/>
          <w:lang w:val="es-ES"/>
        </w:rPr>
        <w:t>Calendario y prioridades en materia de aplicación</w:t>
      </w:r>
    </w:p>
    <w:p w14:paraId="31AE5951" w14:textId="77777777" w:rsidR="00DB27FE" w:rsidRPr="006D3772" w:rsidRDefault="00DB27FE" w:rsidP="00DB27FE">
      <w:pPr>
        <w:pBdr>
          <w:top w:val="nil"/>
          <w:left w:val="nil"/>
          <w:bottom w:val="nil"/>
          <w:right w:val="nil"/>
          <w:between w:val="nil"/>
        </w:pBdr>
        <w:rPr>
          <w:lang w:val="es-ES"/>
        </w:rPr>
      </w:pPr>
    </w:p>
    <w:p w14:paraId="08A5436F" w14:textId="77777777" w:rsidR="00DB27FE" w:rsidRPr="006D3772" w:rsidRDefault="00DB27FE" w:rsidP="00DB27FE">
      <w:pPr>
        <w:ind w:left="432" w:hanging="432"/>
        <w:rPr>
          <w:lang w:val="es-ES"/>
        </w:rPr>
      </w:pPr>
      <w:r w:rsidRPr="006D3772">
        <w:rPr>
          <w:lang w:val="es-ES"/>
        </w:rPr>
        <w:t>6.</w:t>
      </w:r>
      <w:r w:rsidRPr="006D3772">
        <w:rPr>
          <w:lang w:val="es-ES"/>
        </w:rPr>
        <w:tab/>
        <w:t>El calendario para constituir la Alianza para las Estimaciones de Aves Acuáticas (antes de la COP15) y preparar la WPE 2027 para 2027 es ambicioso. Para cumplir este calendario, el trabajo sobre la AEAA debe comenzar a principios de enero de 2025 como muy tarde, y la preparación de la WPE 2027 debería empezar a mediados de 2025. Los recursos financieros para iniciar estas tareas esenciales se detallan en la Figura 1.</w:t>
      </w:r>
    </w:p>
    <w:p w14:paraId="4718A5FB" w14:textId="77777777" w:rsidR="00DB27FE" w:rsidRPr="006D3772" w:rsidRDefault="00DB27FE" w:rsidP="00DB27FE">
      <w:pPr>
        <w:pBdr>
          <w:top w:val="nil"/>
          <w:left w:val="nil"/>
          <w:bottom w:val="nil"/>
          <w:right w:val="nil"/>
          <w:between w:val="nil"/>
        </w:pBdr>
        <w:rPr>
          <w:lang w:val="es-ES"/>
        </w:rPr>
      </w:pPr>
    </w:p>
    <w:p w14:paraId="17A471EA" w14:textId="77777777" w:rsidR="00DB27FE" w:rsidRPr="006D3772" w:rsidRDefault="00DB27FE" w:rsidP="00DB27FE">
      <w:pPr>
        <w:pBdr>
          <w:top w:val="nil"/>
          <w:left w:val="nil"/>
          <w:bottom w:val="nil"/>
          <w:right w:val="nil"/>
          <w:between w:val="nil"/>
        </w:pBdr>
        <w:rPr>
          <w:b/>
          <w:bCs w:val="0"/>
          <w:color w:val="000000" w:themeColor="text1"/>
          <w:lang w:val="es-ES"/>
        </w:rPr>
      </w:pPr>
      <w:r w:rsidRPr="006D3772">
        <w:rPr>
          <w:b/>
          <w:bCs w:val="0"/>
          <w:color w:val="000000" w:themeColor="text1"/>
          <w:lang w:val="es-ES"/>
        </w:rPr>
        <w:t>Opciones de financiación</w:t>
      </w:r>
    </w:p>
    <w:p w14:paraId="1AB2EEC8" w14:textId="77777777" w:rsidR="00DB27FE" w:rsidRPr="006D3772" w:rsidRDefault="00DB27FE" w:rsidP="00DB27FE">
      <w:pPr>
        <w:pBdr>
          <w:top w:val="nil"/>
          <w:left w:val="nil"/>
          <w:bottom w:val="nil"/>
          <w:right w:val="nil"/>
          <w:between w:val="nil"/>
        </w:pBdr>
        <w:rPr>
          <w:lang w:val="es-ES"/>
        </w:rPr>
      </w:pPr>
    </w:p>
    <w:p w14:paraId="5D7F4127" w14:textId="77777777" w:rsidR="00DB27FE" w:rsidRPr="006D3772" w:rsidRDefault="00DB27FE" w:rsidP="00DB27FE">
      <w:pPr>
        <w:ind w:left="432" w:hanging="432"/>
        <w:rPr>
          <w:lang w:val="es-ES"/>
        </w:rPr>
      </w:pPr>
      <w:r w:rsidRPr="006D3772">
        <w:rPr>
          <w:lang w:val="es-ES"/>
        </w:rPr>
        <w:t>7.</w:t>
      </w:r>
      <w:r w:rsidRPr="006D3772">
        <w:rPr>
          <w:lang w:val="es-ES"/>
        </w:rPr>
        <w:tab/>
        <w:t>Se proponen tres opciones de financiación principales:</w:t>
      </w:r>
    </w:p>
    <w:p w14:paraId="75F34E7B" w14:textId="77777777" w:rsidR="00DB27FE" w:rsidRPr="006D3772" w:rsidRDefault="00DB27FE" w:rsidP="00DB27FE">
      <w:pPr>
        <w:pStyle w:val="ListParagraph"/>
        <w:numPr>
          <w:ilvl w:val="0"/>
          <w:numId w:val="9"/>
        </w:numPr>
        <w:ind w:left="810"/>
        <w:rPr>
          <w:lang w:val="es-ES"/>
        </w:rPr>
      </w:pPr>
      <w:r w:rsidRPr="006D3772">
        <w:rPr>
          <w:lang w:val="es-ES"/>
        </w:rPr>
        <w:t>Financiación integral (asignación del 100 %): Financiación total aportada por la Convención sobre los Humedales, posiblemente mediante fondos excedentarios.</w:t>
      </w:r>
    </w:p>
    <w:p w14:paraId="1216B24F" w14:textId="77777777" w:rsidR="00DB27FE" w:rsidRPr="006D3772" w:rsidRDefault="00DB27FE" w:rsidP="00DB27FE">
      <w:pPr>
        <w:pStyle w:val="ListParagraph"/>
        <w:numPr>
          <w:ilvl w:val="0"/>
          <w:numId w:val="9"/>
        </w:numPr>
        <w:ind w:left="810"/>
        <w:rPr>
          <w:lang w:val="es-ES"/>
        </w:rPr>
      </w:pPr>
      <w:r w:rsidRPr="006D3772">
        <w:rPr>
          <w:lang w:val="es-ES"/>
        </w:rPr>
        <w:t>Financiación intermedia (asignación del 75 %): Financiación parcial aportada por la Convención, complementada mediante una movilización de recursos adicionales.</w:t>
      </w:r>
    </w:p>
    <w:p w14:paraId="0BC32A4A" w14:textId="77777777" w:rsidR="00DB27FE" w:rsidRPr="006D3772" w:rsidRDefault="00DB27FE" w:rsidP="00DB27FE">
      <w:pPr>
        <w:pStyle w:val="ListParagraph"/>
        <w:numPr>
          <w:ilvl w:val="0"/>
          <w:numId w:val="9"/>
        </w:numPr>
        <w:ind w:left="810"/>
        <w:rPr>
          <w:lang w:val="es-ES"/>
        </w:rPr>
      </w:pPr>
      <w:r w:rsidRPr="006D3772">
        <w:rPr>
          <w:lang w:val="es-ES"/>
        </w:rPr>
        <w:t>Financiación mínima (asignación del 50 %): Financiación básica aportada por la Convención, y solicitud de recursos adicionales a las Partes Contratantes y otras organizaciones.</w:t>
      </w:r>
    </w:p>
    <w:p w14:paraId="593A0517" w14:textId="77777777" w:rsidR="00DB27FE" w:rsidRPr="006D3772" w:rsidRDefault="00DB27FE" w:rsidP="00DB27FE">
      <w:pPr>
        <w:pBdr>
          <w:top w:val="nil"/>
          <w:left w:val="nil"/>
          <w:bottom w:val="nil"/>
          <w:right w:val="nil"/>
          <w:between w:val="nil"/>
        </w:pBdr>
        <w:rPr>
          <w:lang w:val="es-ES"/>
        </w:rPr>
      </w:pPr>
    </w:p>
    <w:p w14:paraId="21E223A4" w14:textId="77777777" w:rsidR="00DB27FE" w:rsidRPr="006D3772" w:rsidRDefault="00DB27FE" w:rsidP="00DB27FE">
      <w:pPr>
        <w:ind w:left="432" w:hanging="432"/>
        <w:rPr>
          <w:lang w:val="es-ES"/>
        </w:rPr>
      </w:pPr>
      <w:r w:rsidRPr="006D3772">
        <w:rPr>
          <w:lang w:val="es-ES"/>
        </w:rPr>
        <w:t>8.</w:t>
      </w:r>
      <w:r w:rsidRPr="006D3772">
        <w:rPr>
          <w:lang w:val="es-ES"/>
        </w:rPr>
        <w:tab/>
        <w:t>En caso de que solo se disponga de financiación parcial, será crucial acometer actividades de movilización de recursos adicionales. El logro completo de los resultados depende de la obtención de esos recursos adicionales. En el Cuadro 3 se muestran los costos y las posibles reducciones en los resultados con las opciones de financiación intermedia y mínima.</w:t>
      </w:r>
    </w:p>
    <w:p w14:paraId="7B7E0DB6" w14:textId="77777777" w:rsidR="00DB27FE" w:rsidRPr="006D3772" w:rsidRDefault="00DB27FE" w:rsidP="00DB27FE">
      <w:pPr>
        <w:ind w:left="432" w:hanging="432"/>
        <w:rPr>
          <w:lang w:val="es-ES"/>
        </w:rPr>
      </w:pPr>
    </w:p>
    <w:p w14:paraId="2DE0F5BB" w14:textId="77777777" w:rsidR="00DB27FE" w:rsidRPr="006D3772" w:rsidRDefault="00DB27FE" w:rsidP="00DB27FE">
      <w:pPr>
        <w:rPr>
          <w:lang w:val="es-ES"/>
        </w:rPr>
      </w:pPr>
    </w:p>
    <w:p w14:paraId="2A3FCF17" w14:textId="77777777" w:rsidR="00DB27FE" w:rsidRPr="006D3772" w:rsidRDefault="00DB27FE" w:rsidP="00DB27FE">
      <w:pPr>
        <w:rPr>
          <w:lang w:val="es-ES"/>
        </w:rPr>
      </w:pPr>
    </w:p>
    <w:p w14:paraId="6CF87C1F" w14:textId="77777777" w:rsidR="00DB27FE" w:rsidRPr="006D3772" w:rsidRDefault="00DB27FE" w:rsidP="00DB27FE">
      <w:pPr>
        <w:rPr>
          <w:lang w:val="es-ES"/>
        </w:rPr>
      </w:pPr>
    </w:p>
    <w:p w14:paraId="13BE9824" w14:textId="77777777" w:rsidR="00DB27FE" w:rsidRPr="006D3772" w:rsidRDefault="00DB27FE" w:rsidP="00DB27FE">
      <w:pPr>
        <w:rPr>
          <w:lang w:val="es-ES"/>
        </w:rPr>
      </w:pPr>
    </w:p>
    <w:p w14:paraId="11DF5FB1" w14:textId="77777777" w:rsidR="00DB27FE" w:rsidRPr="006D3772" w:rsidRDefault="00DB27FE" w:rsidP="002B7C72">
      <w:pPr>
        <w:keepNext/>
        <w:rPr>
          <w:lang w:val="es-ES"/>
        </w:rPr>
      </w:pPr>
      <w:r w:rsidRPr="006D3772">
        <w:rPr>
          <w:lang w:val="es-ES"/>
        </w:rPr>
        <w:lastRenderedPageBreak/>
        <w:t>Cuadro 3. Opciones en materia de costos (en francos suizos).</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256"/>
        <w:gridCol w:w="1883"/>
        <w:gridCol w:w="1883"/>
        <w:gridCol w:w="1883"/>
      </w:tblGrid>
      <w:tr w:rsidR="00DB27FE" w:rsidRPr="006D3772" w14:paraId="7A7C0D85" w14:textId="77777777" w:rsidTr="002B7C72">
        <w:trPr>
          <w:tblHeader/>
        </w:trPr>
        <w:tc>
          <w:tcPr>
            <w:tcW w:w="3256" w:type="dxa"/>
            <w:shd w:val="clear" w:color="auto" w:fill="E8E8E8" w:themeFill="background2"/>
            <w:noWrap/>
            <w:vAlign w:val="center"/>
            <w:hideMark/>
          </w:tcPr>
          <w:p w14:paraId="4166CF22" w14:textId="77777777" w:rsidR="00DB27FE" w:rsidRPr="006D3772" w:rsidRDefault="00DB27FE" w:rsidP="00DA14B4">
            <w:pPr>
              <w:rPr>
                <w:rFonts w:eastAsia="Arial"/>
                <w:b/>
                <w:color w:val="000000"/>
                <w:sz w:val="20"/>
                <w:szCs w:val="20"/>
                <w:lang w:val="es-ES"/>
              </w:rPr>
            </w:pPr>
            <w:r w:rsidRPr="006D3772">
              <w:rPr>
                <w:rFonts w:eastAsia="Arial"/>
                <w:b/>
                <w:color w:val="000000"/>
                <w:sz w:val="20"/>
                <w:szCs w:val="20"/>
                <w:lang w:val="es-ES"/>
              </w:rPr>
              <w:t>Acciones prioritarias</w:t>
            </w:r>
          </w:p>
        </w:tc>
        <w:tc>
          <w:tcPr>
            <w:tcW w:w="1883" w:type="dxa"/>
            <w:shd w:val="clear" w:color="auto" w:fill="E8E8E8" w:themeFill="background2"/>
            <w:vAlign w:val="center"/>
          </w:tcPr>
          <w:p w14:paraId="20253048" w14:textId="77777777" w:rsidR="00DB27FE" w:rsidRPr="006D3772" w:rsidRDefault="00DB27FE" w:rsidP="00DA14B4">
            <w:pPr>
              <w:jc w:val="center"/>
              <w:rPr>
                <w:rFonts w:eastAsia="Arial"/>
                <w:b/>
                <w:color w:val="000000"/>
                <w:sz w:val="20"/>
                <w:szCs w:val="20"/>
                <w:lang w:val="es-ES"/>
              </w:rPr>
            </w:pPr>
            <w:r w:rsidRPr="006D3772">
              <w:rPr>
                <w:rFonts w:eastAsia="Arial"/>
                <w:b/>
                <w:color w:val="000000"/>
                <w:sz w:val="20"/>
                <w:szCs w:val="20"/>
                <w:lang w:val="es-ES"/>
              </w:rPr>
              <w:t>Financiación integral (todas las acciones)</w:t>
            </w:r>
          </w:p>
        </w:tc>
        <w:tc>
          <w:tcPr>
            <w:tcW w:w="1883" w:type="dxa"/>
            <w:shd w:val="clear" w:color="auto" w:fill="E8E8E8" w:themeFill="background2"/>
          </w:tcPr>
          <w:p w14:paraId="4DBA0755" w14:textId="77777777" w:rsidR="00DB27FE" w:rsidRPr="006D3772" w:rsidRDefault="00DB27FE" w:rsidP="00DA14B4">
            <w:pPr>
              <w:jc w:val="center"/>
              <w:rPr>
                <w:rFonts w:eastAsia="Arial"/>
                <w:b/>
                <w:color w:val="000000"/>
                <w:sz w:val="20"/>
                <w:szCs w:val="20"/>
                <w:lang w:val="es-ES"/>
              </w:rPr>
            </w:pPr>
            <w:r w:rsidRPr="006D3772">
              <w:rPr>
                <w:rFonts w:eastAsia="Arial"/>
                <w:b/>
                <w:color w:val="000000"/>
                <w:sz w:val="20"/>
                <w:szCs w:val="20"/>
                <w:lang w:val="es-ES"/>
              </w:rPr>
              <w:t>Financiación intermedia*</w:t>
            </w:r>
          </w:p>
          <w:p w14:paraId="74B82529" w14:textId="77777777" w:rsidR="00DB27FE" w:rsidRPr="006D3772" w:rsidRDefault="00DB27FE" w:rsidP="00DA14B4">
            <w:pPr>
              <w:jc w:val="center"/>
              <w:rPr>
                <w:rFonts w:eastAsia="Arial"/>
                <w:b/>
                <w:color w:val="000000"/>
                <w:sz w:val="20"/>
                <w:szCs w:val="20"/>
                <w:lang w:val="es-ES"/>
              </w:rPr>
            </w:pPr>
            <w:r w:rsidRPr="006D3772">
              <w:rPr>
                <w:rFonts w:eastAsia="Arial"/>
                <w:b/>
                <w:color w:val="000000"/>
                <w:sz w:val="20"/>
                <w:szCs w:val="20"/>
                <w:lang w:val="es-ES"/>
              </w:rPr>
              <w:t>(75 %)</w:t>
            </w:r>
          </w:p>
        </w:tc>
        <w:tc>
          <w:tcPr>
            <w:tcW w:w="1883" w:type="dxa"/>
            <w:shd w:val="clear" w:color="auto" w:fill="E8E8E8" w:themeFill="background2"/>
          </w:tcPr>
          <w:p w14:paraId="57769B91" w14:textId="77777777" w:rsidR="00DB27FE" w:rsidRPr="006D3772" w:rsidRDefault="00DB27FE" w:rsidP="00DA14B4">
            <w:pPr>
              <w:jc w:val="center"/>
              <w:rPr>
                <w:rFonts w:eastAsia="Arial"/>
                <w:b/>
                <w:color w:val="000000"/>
                <w:sz w:val="20"/>
                <w:szCs w:val="20"/>
                <w:lang w:val="es-ES"/>
              </w:rPr>
            </w:pPr>
            <w:r w:rsidRPr="006D3772">
              <w:rPr>
                <w:rFonts w:eastAsia="Arial"/>
                <w:b/>
                <w:color w:val="000000"/>
                <w:sz w:val="20"/>
                <w:szCs w:val="20"/>
                <w:lang w:val="es-ES"/>
              </w:rPr>
              <w:t>Financiación mínima*</w:t>
            </w:r>
          </w:p>
          <w:p w14:paraId="7C3AE54F" w14:textId="77777777" w:rsidR="00DB27FE" w:rsidRPr="006D3772" w:rsidRDefault="00DB27FE" w:rsidP="00DA14B4">
            <w:pPr>
              <w:jc w:val="center"/>
              <w:rPr>
                <w:rFonts w:eastAsia="Arial"/>
                <w:b/>
                <w:color w:val="000000"/>
                <w:sz w:val="20"/>
                <w:szCs w:val="20"/>
                <w:lang w:val="es-ES"/>
              </w:rPr>
            </w:pPr>
            <w:r w:rsidRPr="006D3772">
              <w:rPr>
                <w:rFonts w:eastAsia="Arial"/>
                <w:b/>
                <w:color w:val="000000"/>
                <w:sz w:val="20"/>
                <w:szCs w:val="20"/>
                <w:lang w:val="es-ES"/>
              </w:rPr>
              <w:t xml:space="preserve"> (50 %)</w:t>
            </w:r>
          </w:p>
        </w:tc>
      </w:tr>
      <w:tr w:rsidR="00DB27FE" w:rsidRPr="006D3772" w14:paraId="1740D420" w14:textId="77777777" w:rsidTr="002B7C72">
        <w:tc>
          <w:tcPr>
            <w:tcW w:w="3256" w:type="dxa"/>
            <w:shd w:val="clear" w:color="auto" w:fill="auto"/>
            <w:noWrap/>
          </w:tcPr>
          <w:p w14:paraId="041F90E5" w14:textId="5ADB438F" w:rsidR="00DB27FE" w:rsidRPr="006D3772" w:rsidRDefault="00DB27FE" w:rsidP="00DA14B4">
            <w:pPr>
              <w:pStyle w:val="ListParagraph"/>
              <w:numPr>
                <w:ilvl w:val="0"/>
                <w:numId w:val="19"/>
              </w:numPr>
              <w:ind w:left="284" w:hanging="284"/>
              <w:rPr>
                <w:rFonts w:eastAsia="Times New Roman"/>
                <w:color w:val="000000"/>
                <w:sz w:val="20"/>
                <w:szCs w:val="20"/>
                <w:lang w:val="es-ES"/>
              </w:rPr>
            </w:pPr>
            <w:r w:rsidRPr="006D3772">
              <w:rPr>
                <w:rFonts w:eastAsia="Times New Roman"/>
                <w:color w:val="000000"/>
                <w:sz w:val="20"/>
                <w:szCs w:val="20"/>
                <w:lang w:val="es-ES"/>
              </w:rPr>
              <w:t>Establecimiento de la Alianza para las Estimaciones de Aves Acuáticas</w:t>
            </w:r>
            <w:r w:rsidR="00480861">
              <w:rPr>
                <w:rFonts w:eastAsia="Times New Roman"/>
                <w:color w:val="000000"/>
                <w:sz w:val="20"/>
                <w:szCs w:val="20"/>
                <w:lang w:val="es-ES"/>
              </w:rPr>
              <w:t xml:space="preserve"> (AEAA)</w:t>
            </w:r>
          </w:p>
        </w:tc>
        <w:tc>
          <w:tcPr>
            <w:tcW w:w="1883" w:type="dxa"/>
          </w:tcPr>
          <w:p w14:paraId="4A06521F" w14:textId="77777777" w:rsidR="00DB27FE" w:rsidRPr="006D3772" w:rsidRDefault="00DB27FE" w:rsidP="00DA14B4">
            <w:pPr>
              <w:jc w:val="right"/>
              <w:rPr>
                <w:rFonts w:eastAsia="Times New Roman"/>
                <w:color w:val="000000"/>
                <w:sz w:val="20"/>
                <w:szCs w:val="20"/>
                <w:lang w:val="es-ES"/>
              </w:rPr>
            </w:pPr>
            <w:r w:rsidRPr="006D3772">
              <w:rPr>
                <w:sz w:val="20"/>
                <w:szCs w:val="20"/>
                <w:lang w:val="es-ES"/>
              </w:rPr>
              <w:t xml:space="preserve"> 38 000 </w:t>
            </w:r>
          </w:p>
        </w:tc>
        <w:tc>
          <w:tcPr>
            <w:tcW w:w="1883" w:type="dxa"/>
          </w:tcPr>
          <w:p w14:paraId="6F893A30" w14:textId="77777777" w:rsidR="00DB27FE" w:rsidRPr="006D3772" w:rsidRDefault="00DB27FE" w:rsidP="00DA14B4">
            <w:pPr>
              <w:jc w:val="right"/>
              <w:rPr>
                <w:sz w:val="20"/>
                <w:szCs w:val="20"/>
                <w:lang w:val="es-ES"/>
              </w:rPr>
            </w:pPr>
            <w:r w:rsidRPr="006D3772">
              <w:rPr>
                <w:sz w:val="20"/>
                <w:szCs w:val="20"/>
                <w:lang w:val="es-ES"/>
              </w:rPr>
              <w:t>38 000</w:t>
            </w:r>
          </w:p>
        </w:tc>
        <w:tc>
          <w:tcPr>
            <w:tcW w:w="1883" w:type="dxa"/>
          </w:tcPr>
          <w:p w14:paraId="7E8A35D9" w14:textId="77777777" w:rsidR="00DB27FE" w:rsidRPr="006D3772" w:rsidRDefault="00DB27FE" w:rsidP="00DA14B4">
            <w:pPr>
              <w:jc w:val="right"/>
              <w:rPr>
                <w:sz w:val="20"/>
                <w:szCs w:val="20"/>
                <w:lang w:val="es-ES"/>
              </w:rPr>
            </w:pPr>
            <w:r w:rsidRPr="006D3772">
              <w:rPr>
                <w:sz w:val="20"/>
                <w:szCs w:val="20"/>
                <w:lang w:val="es-ES"/>
              </w:rPr>
              <w:t>38 000</w:t>
            </w:r>
          </w:p>
        </w:tc>
      </w:tr>
      <w:tr w:rsidR="00DB27FE" w:rsidRPr="006D3772" w14:paraId="54485700" w14:textId="77777777" w:rsidTr="002B7C72">
        <w:trPr>
          <w:trHeight w:val="716"/>
        </w:trPr>
        <w:tc>
          <w:tcPr>
            <w:tcW w:w="3256" w:type="dxa"/>
            <w:shd w:val="clear" w:color="auto" w:fill="auto"/>
            <w:noWrap/>
          </w:tcPr>
          <w:p w14:paraId="2D1680B4" w14:textId="77777777" w:rsidR="00DB27FE" w:rsidRPr="006D3772" w:rsidRDefault="00DB27FE" w:rsidP="00DA14B4">
            <w:pPr>
              <w:pStyle w:val="ListParagraph"/>
              <w:numPr>
                <w:ilvl w:val="0"/>
                <w:numId w:val="19"/>
              </w:numPr>
              <w:ind w:left="284" w:hanging="284"/>
              <w:rPr>
                <w:color w:val="000000"/>
                <w:sz w:val="20"/>
                <w:szCs w:val="20"/>
                <w:lang w:val="es-ES"/>
              </w:rPr>
            </w:pPr>
            <w:r w:rsidRPr="006D3772">
              <w:rPr>
                <w:rFonts w:eastAsia="Times New Roman"/>
                <w:color w:val="000000" w:themeColor="text1"/>
                <w:sz w:val="20"/>
                <w:szCs w:val="20"/>
                <w:lang w:val="es-ES"/>
              </w:rPr>
              <w:t>Publicación de la WPE 2027 mediante la revisión y actualizaciones de poblaciones prioritarias</w:t>
            </w:r>
          </w:p>
        </w:tc>
        <w:tc>
          <w:tcPr>
            <w:tcW w:w="1883" w:type="dxa"/>
          </w:tcPr>
          <w:p w14:paraId="53545241" w14:textId="77777777" w:rsidR="00DB27FE" w:rsidRPr="006D3772" w:rsidRDefault="00DB27FE" w:rsidP="00DA14B4">
            <w:pPr>
              <w:jc w:val="right"/>
              <w:rPr>
                <w:sz w:val="20"/>
                <w:szCs w:val="20"/>
                <w:lang w:val="es-ES"/>
              </w:rPr>
            </w:pPr>
            <w:r w:rsidRPr="006D3772">
              <w:rPr>
                <w:sz w:val="20"/>
                <w:szCs w:val="20"/>
                <w:lang w:val="es-ES"/>
              </w:rPr>
              <w:t>366 000</w:t>
            </w:r>
          </w:p>
          <w:p w14:paraId="64E471C9" w14:textId="77777777" w:rsidR="00DB27FE" w:rsidRPr="006D3772" w:rsidRDefault="00DB27FE" w:rsidP="00DA14B4">
            <w:pPr>
              <w:jc w:val="right"/>
              <w:rPr>
                <w:sz w:val="20"/>
                <w:szCs w:val="20"/>
                <w:lang w:val="es-ES"/>
              </w:rPr>
            </w:pPr>
            <w:r w:rsidRPr="006D3772">
              <w:rPr>
                <w:color w:val="000000"/>
                <w:sz w:val="20"/>
                <w:szCs w:val="20"/>
                <w:lang w:val="es-ES"/>
              </w:rPr>
              <w:t>(1 600 poblaciones)</w:t>
            </w:r>
          </w:p>
        </w:tc>
        <w:tc>
          <w:tcPr>
            <w:tcW w:w="1883" w:type="dxa"/>
          </w:tcPr>
          <w:p w14:paraId="2AEE149F" w14:textId="77777777" w:rsidR="00DB27FE" w:rsidRPr="006D3772" w:rsidRDefault="00DB27FE" w:rsidP="00DA14B4">
            <w:pPr>
              <w:jc w:val="right"/>
              <w:rPr>
                <w:sz w:val="20"/>
                <w:szCs w:val="20"/>
                <w:lang w:val="es-ES"/>
              </w:rPr>
            </w:pPr>
            <w:r w:rsidRPr="006D3772">
              <w:rPr>
                <w:sz w:val="20"/>
                <w:szCs w:val="20"/>
                <w:lang w:val="es-ES"/>
              </w:rPr>
              <w:t>287 000</w:t>
            </w:r>
          </w:p>
          <w:p w14:paraId="0A99E11F" w14:textId="77777777" w:rsidR="00DB27FE" w:rsidRPr="006D3772" w:rsidRDefault="00DB27FE" w:rsidP="00DA14B4">
            <w:pPr>
              <w:rPr>
                <w:sz w:val="20"/>
                <w:szCs w:val="20"/>
                <w:lang w:val="es-ES"/>
              </w:rPr>
            </w:pPr>
            <w:r w:rsidRPr="006D3772">
              <w:rPr>
                <w:sz w:val="20"/>
                <w:szCs w:val="20"/>
                <w:lang w:val="es-ES"/>
              </w:rPr>
              <w:t>(1 255 poblaciones)</w:t>
            </w:r>
          </w:p>
        </w:tc>
        <w:tc>
          <w:tcPr>
            <w:tcW w:w="1883" w:type="dxa"/>
          </w:tcPr>
          <w:p w14:paraId="4C5E0F12" w14:textId="77777777" w:rsidR="00DB27FE" w:rsidRPr="006D3772" w:rsidRDefault="00DB27FE" w:rsidP="00DA14B4">
            <w:pPr>
              <w:jc w:val="right"/>
              <w:rPr>
                <w:sz w:val="20"/>
                <w:szCs w:val="20"/>
                <w:lang w:val="es-ES"/>
              </w:rPr>
            </w:pPr>
            <w:r w:rsidRPr="006D3772">
              <w:rPr>
                <w:sz w:val="20"/>
                <w:szCs w:val="20"/>
                <w:lang w:val="es-ES"/>
              </w:rPr>
              <w:t>170 000</w:t>
            </w:r>
          </w:p>
          <w:p w14:paraId="4F74F0D7" w14:textId="77777777" w:rsidR="00DB27FE" w:rsidRPr="006D3772" w:rsidRDefault="00DB27FE" w:rsidP="00DA14B4">
            <w:pPr>
              <w:jc w:val="right"/>
              <w:rPr>
                <w:sz w:val="20"/>
                <w:szCs w:val="20"/>
                <w:lang w:val="es-ES"/>
              </w:rPr>
            </w:pPr>
            <w:r w:rsidRPr="006D3772">
              <w:rPr>
                <w:sz w:val="20"/>
                <w:szCs w:val="20"/>
                <w:lang w:val="es-ES"/>
              </w:rPr>
              <w:t>(743 poblaciones)</w:t>
            </w:r>
          </w:p>
        </w:tc>
      </w:tr>
      <w:tr w:rsidR="00DB27FE" w:rsidRPr="006D3772" w14:paraId="316A2AC1" w14:textId="77777777" w:rsidTr="002B7C72">
        <w:tc>
          <w:tcPr>
            <w:tcW w:w="3256" w:type="dxa"/>
            <w:shd w:val="clear" w:color="auto" w:fill="auto"/>
            <w:noWrap/>
            <w:hideMark/>
          </w:tcPr>
          <w:p w14:paraId="763E6E3E" w14:textId="77777777" w:rsidR="00DB27FE" w:rsidRPr="006D3772" w:rsidRDefault="00DB27FE" w:rsidP="00DA14B4">
            <w:pPr>
              <w:pStyle w:val="ListParagraph"/>
              <w:numPr>
                <w:ilvl w:val="0"/>
                <w:numId w:val="19"/>
              </w:numPr>
              <w:ind w:left="284" w:hanging="284"/>
              <w:rPr>
                <w:rFonts w:eastAsia="Arial"/>
                <w:lang w:val="es-ES"/>
              </w:rPr>
            </w:pPr>
            <w:r w:rsidRPr="006D3772">
              <w:rPr>
                <w:color w:val="000000"/>
                <w:sz w:val="20"/>
                <w:szCs w:val="20"/>
                <w:lang w:val="es-ES"/>
              </w:rPr>
              <w:t>Mantenimiento del Portal sobre Poblaciones de Aves Acuáticas para publicar la información de la AEAA</w:t>
            </w:r>
          </w:p>
        </w:tc>
        <w:tc>
          <w:tcPr>
            <w:tcW w:w="1883" w:type="dxa"/>
          </w:tcPr>
          <w:p w14:paraId="54183928" w14:textId="77777777" w:rsidR="00DB27FE" w:rsidRPr="006D3772" w:rsidRDefault="00DB27FE" w:rsidP="00DA14B4">
            <w:pPr>
              <w:jc w:val="right"/>
              <w:rPr>
                <w:rFonts w:eastAsia="Times New Roman"/>
                <w:color w:val="000000"/>
                <w:sz w:val="20"/>
                <w:szCs w:val="20"/>
                <w:lang w:val="es-ES"/>
              </w:rPr>
            </w:pPr>
            <w:r w:rsidRPr="006D3772">
              <w:rPr>
                <w:sz w:val="20"/>
                <w:szCs w:val="20"/>
                <w:lang w:val="es-ES"/>
              </w:rPr>
              <w:t>61 000</w:t>
            </w:r>
          </w:p>
        </w:tc>
        <w:tc>
          <w:tcPr>
            <w:tcW w:w="1883" w:type="dxa"/>
          </w:tcPr>
          <w:p w14:paraId="40559E4E" w14:textId="77777777" w:rsidR="00DB27FE" w:rsidRPr="006D3772" w:rsidRDefault="00DB27FE" w:rsidP="00DA14B4">
            <w:pPr>
              <w:jc w:val="right"/>
              <w:rPr>
                <w:sz w:val="20"/>
                <w:szCs w:val="20"/>
                <w:lang w:val="es-ES"/>
              </w:rPr>
            </w:pPr>
            <w:r w:rsidRPr="006D3772">
              <w:rPr>
                <w:sz w:val="20"/>
                <w:szCs w:val="20"/>
                <w:lang w:val="es-ES"/>
              </w:rPr>
              <w:t>25 000</w:t>
            </w:r>
          </w:p>
        </w:tc>
        <w:tc>
          <w:tcPr>
            <w:tcW w:w="1883" w:type="dxa"/>
          </w:tcPr>
          <w:p w14:paraId="2FA6E9F5" w14:textId="77777777" w:rsidR="00DB27FE" w:rsidRPr="006D3772" w:rsidRDefault="00DB27FE" w:rsidP="00DA14B4">
            <w:pPr>
              <w:jc w:val="right"/>
              <w:rPr>
                <w:sz w:val="20"/>
                <w:szCs w:val="20"/>
                <w:lang w:val="es-ES"/>
              </w:rPr>
            </w:pPr>
            <w:r w:rsidRPr="006D3772">
              <w:rPr>
                <w:sz w:val="20"/>
                <w:szCs w:val="20"/>
                <w:lang w:val="es-ES"/>
              </w:rPr>
              <w:t>25 000</w:t>
            </w:r>
          </w:p>
        </w:tc>
      </w:tr>
      <w:tr w:rsidR="00DB27FE" w:rsidRPr="006D3772" w14:paraId="31EBBFD2" w14:textId="77777777" w:rsidTr="002B7C72">
        <w:tc>
          <w:tcPr>
            <w:tcW w:w="3256" w:type="dxa"/>
            <w:shd w:val="clear" w:color="auto" w:fill="auto"/>
            <w:noWrap/>
          </w:tcPr>
          <w:p w14:paraId="50F70448" w14:textId="77777777" w:rsidR="00DB27FE" w:rsidRPr="006D3772" w:rsidRDefault="00DB27FE" w:rsidP="00DA14B4">
            <w:pPr>
              <w:rPr>
                <w:rFonts w:eastAsia="Times New Roman"/>
                <w:b/>
                <w:bCs w:val="0"/>
                <w:color w:val="000000" w:themeColor="text1"/>
                <w:sz w:val="20"/>
                <w:szCs w:val="20"/>
                <w:lang w:val="es-ES"/>
              </w:rPr>
            </w:pPr>
            <w:r w:rsidRPr="006D3772">
              <w:rPr>
                <w:rFonts w:eastAsia="Times New Roman"/>
                <w:b/>
                <w:color w:val="000000" w:themeColor="text1"/>
                <w:sz w:val="20"/>
                <w:szCs w:val="20"/>
                <w:lang w:val="es-ES"/>
              </w:rPr>
              <w:t>Costos indicativos totales (estimación preliminar):</w:t>
            </w:r>
          </w:p>
        </w:tc>
        <w:tc>
          <w:tcPr>
            <w:tcW w:w="1883" w:type="dxa"/>
          </w:tcPr>
          <w:p w14:paraId="2F6C13A7" w14:textId="77777777" w:rsidR="00DB27FE" w:rsidRPr="006D3772" w:rsidRDefault="00DB27FE" w:rsidP="00DA14B4">
            <w:pPr>
              <w:jc w:val="right"/>
              <w:rPr>
                <w:rFonts w:eastAsia="Times New Roman"/>
                <w:b/>
                <w:bCs w:val="0"/>
                <w:color w:val="000000"/>
                <w:sz w:val="20"/>
                <w:szCs w:val="20"/>
                <w:lang w:val="es-ES"/>
              </w:rPr>
            </w:pPr>
            <w:r w:rsidRPr="006D3772">
              <w:rPr>
                <w:rFonts w:eastAsia="Times New Roman"/>
                <w:b/>
                <w:color w:val="000000"/>
                <w:sz w:val="20"/>
                <w:szCs w:val="20"/>
                <w:lang w:val="es-ES"/>
              </w:rPr>
              <w:t>465 000</w:t>
            </w:r>
          </w:p>
        </w:tc>
        <w:tc>
          <w:tcPr>
            <w:tcW w:w="1883" w:type="dxa"/>
          </w:tcPr>
          <w:p w14:paraId="603AAACF" w14:textId="77777777" w:rsidR="00DB27FE" w:rsidRPr="006D3772" w:rsidRDefault="00DB27FE" w:rsidP="00DA14B4">
            <w:pPr>
              <w:jc w:val="right"/>
              <w:rPr>
                <w:rFonts w:eastAsia="Times New Roman"/>
                <w:b/>
                <w:bCs w:val="0"/>
                <w:color w:val="000000"/>
                <w:sz w:val="20"/>
                <w:szCs w:val="20"/>
                <w:lang w:val="es-ES"/>
              </w:rPr>
            </w:pPr>
            <w:r w:rsidRPr="006D3772">
              <w:rPr>
                <w:b/>
                <w:sz w:val="20"/>
                <w:szCs w:val="20"/>
                <w:lang w:val="es-ES"/>
              </w:rPr>
              <w:t>350 000</w:t>
            </w:r>
          </w:p>
        </w:tc>
        <w:tc>
          <w:tcPr>
            <w:tcW w:w="1883" w:type="dxa"/>
          </w:tcPr>
          <w:p w14:paraId="45B7A96E" w14:textId="77777777" w:rsidR="00DB27FE" w:rsidRPr="006D3772" w:rsidRDefault="00DB27FE" w:rsidP="00DA14B4">
            <w:pPr>
              <w:jc w:val="right"/>
              <w:rPr>
                <w:rFonts w:eastAsia="Times New Roman"/>
                <w:b/>
                <w:bCs w:val="0"/>
                <w:color w:val="000000"/>
                <w:sz w:val="20"/>
                <w:szCs w:val="20"/>
                <w:lang w:val="es-ES"/>
              </w:rPr>
            </w:pPr>
            <w:r w:rsidRPr="006D3772">
              <w:rPr>
                <w:b/>
                <w:sz w:val="20"/>
                <w:szCs w:val="20"/>
                <w:lang w:val="es-ES"/>
              </w:rPr>
              <w:t>233 000</w:t>
            </w:r>
          </w:p>
        </w:tc>
      </w:tr>
    </w:tbl>
    <w:p w14:paraId="3C2AB37B" w14:textId="77777777" w:rsidR="00DB27FE" w:rsidRPr="006D3772" w:rsidRDefault="00DB27FE" w:rsidP="00DB27FE">
      <w:pPr>
        <w:rPr>
          <w:i/>
          <w:iCs/>
          <w:sz w:val="18"/>
          <w:szCs w:val="18"/>
          <w:lang w:val="es-ES"/>
        </w:rPr>
      </w:pPr>
      <w:r w:rsidRPr="006D3772">
        <w:rPr>
          <w:i/>
          <w:iCs/>
          <w:sz w:val="18"/>
          <w:szCs w:val="18"/>
          <w:lang w:val="es-ES"/>
        </w:rPr>
        <w:t>* En los casos en los que se aporte financiación parcial (intermedia o mínima), será crucial realizar actividades de movilización de recursos adicionales para obtener contribuciones complementarias de Partes Contratantes y organizaciones colaboradoras; el logro de los resultados completos estará sujeto a la disponibilidad de dichos recursos.</w:t>
      </w:r>
    </w:p>
    <w:p w14:paraId="4D344781" w14:textId="77777777" w:rsidR="00DB27FE" w:rsidRPr="006D3772" w:rsidRDefault="00DB27FE" w:rsidP="00DB27FE">
      <w:pPr>
        <w:ind w:left="432" w:hanging="432"/>
        <w:rPr>
          <w:lang w:val="es-ES"/>
        </w:rPr>
      </w:pPr>
    </w:p>
    <w:p w14:paraId="69A80730" w14:textId="77777777" w:rsidR="00DB27FE" w:rsidRPr="006D3772" w:rsidRDefault="00DB27FE" w:rsidP="00DB27FE">
      <w:pPr>
        <w:ind w:left="432" w:hanging="432"/>
        <w:rPr>
          <w:lang w:val="es-ES"/>
        </w:rPr>
      </w:pPr>
      <w:r w:rsidRPr="006D3772">
        <w:rPr>
          <w:lang w:val="es-ES"/>
        </w:rPr>
        <w:t>9.</w:t>
      </w:r>
      <w:r w:rsidRPr="006D3772">
        <w:rPr>
          <w:lang w:val="es-ES"/>
        </w:rPr>
        <w:tab/>
        <w:t>Las opciones de financiación intermedia y mínima reducirían considerablemente los resultados, particularmente en el caso de las actualizaciones de la WPE 2027. Las reducciones principales serían las siguientes:</w:t>
      </w:r>
    </w:p>
    <w:p w14:paraId="6E28A8C8" w14:textId="77777777" w:rsidR="00DB27FE" w:rsidRPr="006D3772" w:rsidRDefault="00DB27FE" w:rsidP="00DB27FE">
      <w:pPr>
        <w:pStyle w:val="ListParagraph"/>
        <w:numPr>
          <w:ilvl w:val="0"/>
          <w:numId w:val="9"/>
        </w:numPr>
        <w:ind w:left="810"/>
        <w:rPr>
          <w:lang w:val="es-ES"/>
        </w:rPr>
      </w:pPr>
      <w:r w:rsidRPr="006D3772">
        <w:rPr>
          <w:b/>
          <w:bCs w:val="0"/>
          <w:lang w:val="es-ES"/>
        </w:rPr>
        <w:t>Portal sobre Poblaciones de Aves Acuáticas</w:t>
      </w:r>
      <w:r w:rsidRPr="006D3772">
        <w:rPr>
          <w:lang w:val="es-ES"/>
        </w:rPr>
        <w:t>: El mantenimiento se limitaría a la corrección de errores.</w:t>
      </w:r>
    </w:p>
    <w:p w14:paraId="28DFF386" w14:textId="77777777" w:rsidR="00DB27FE" w:rsidRPr="006D3772" w:rsidRDefault="00DB27FE" w:rsidP="00DB27FE">
      <w:pPr>
        <w:pStyle w:val="ListParagraph"/>
        <w:numPr>
          <w:ilvl w:val="0"/>
          <w:numId w:val="9"/>
        </w:numPr>
        <w:ind w:left="810"/>
        <w:rPr>
          <w:lang w:val="es-ES"/>
        </w:rPr>
      </w:pPr>
      <w:r w:rsidRPr="006D3772">
        <w:rPr>
          <w:b/>
          <w:bCs w:val="0"/>
          <w:lang w:val="es-ES"/>
        </w:rPr>
        <w:t>Actualizaciones en la WPE 2027</w:t>
      </w:r>
      <w:r w:rsidRPr="006D3772">
        <w:rPr>
          <w:lang w:val="es-ES"/>
        </w:rPr>
        <w:t>: Actualización de menos poblaciones, a saber, 1 600 poblaciones en la opción de financiación integral, 1 255 poblaciones en la opción de financiación intermedia y 743 poblaciones en la de financiación mínima. La priorización se basará en factores como el estado de conservación, la exhaustividad de los datos y la importancia regional.</w:t>
      </w:r>
    </w:p>
    <w:p w14:paraId="328E20B1" w14:textId="77777777" w:rsidR="00DB27FE" w:rsidRPr="006D3772" w:rsidRDefault="00DB27FE" w:rsidP="00DB27FE">
      <w:pPr>
        <w:ind w:left="432" w:hanging="432"/>
        <w:rPr>
          <w:lang w:val="es-ES"/>
        </w:rPr>
      </w:pPr>
    </w:p>
    <w:p w14:paraId="777D0133" w14:textId="0B8AEAD0" w:rsidR="006975BB" w:rsidRPr="006D3772" w:rsidRDefault="00DB27FE" w:rsidP="00D279E1">
      <w:pPr>
        <w:ind w:left="426" w:hanging="426"/>
        <w:rPr>
          <w:rFonts w:eastAsia="Times New Roman"/>
          <w:b/>
          <w:strike/>
          <w:sz w:val="24"/>
          <w:szCs w:val="24"/>
          <w:highlight w:val="green"/>
          <w:lang w:val="es-ES"/>
        </w:rPr>
      </w:pPr>
      <w:r w:rsidRPr="006D3772">
        <w:rPr>
          <w:lang w:val="es-ES"/>
        </w:rPr>
        <w:t>10.</w:t>
      </w:r>
      <w:r w:rsidRPr="006D3772">
        <w:rPr>
          <w:lang w:val="es-ES"/>
        </w:rPr>
        <w:tab/>
        <w:t>Para el éxito de la Alianza para las Estimaciones de Aves Acuáticas y la publicación de la WPE 2027 es esencial una dotación suficiente de recursos. Se recomienda la opción de financiación integral para garantizar el logro de todas las actualizaciones y mejoras. En caso de que se proporcione solo financiación parcial, serán necesarios esfuerzos de movilización de recursos adicionales.</w:t>
      </w:r>
    </w:p>
    <w:sectPr w:rsidR="006975BB" w:rsidRPr="006D3772" w:rsidSect="00CE42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1EB34" w14:textId="77777777" w:rsidR="00277A5B" w:rsidRDefault="00277A5B">
      <w:r>
        <w:separator/>
      </w:r>
    </w:p>
  </w:endnote>
  <w:endnote w:type="continuationSeparator" w:id="0">
    <w:p w14:paraId="2B385525" w14:textId="77777777" w:rsidR="00277A5B" w:rsidRDefault="00277A5B">
      <w:r>
        <w:continuationSeparator/>
      </w:r>
    </w:p>
  </w:endnote>
  <w:endnote w:type="continuationNotice" w:id="1">
    <w:p w14:paraId="1CC009D5" w14:textId="77777777" w:rsidR="00277A5B" w:rsidRDefault="00277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45738" w14:textId="199BB0BA" w:rsidR="009F2B73" w:rsidRDefault="009F2B73" w:rsidP="009F2B73">
    <w:pPr>
      <w:pBdr>
        <w:top w:val="nil"/>
        <w:left w:val="nil"/>
        <w:bottom w:val="nil"/>
        <w:right w:val="nil"/>
        <w:between w:val="nil"/>
      </w:pBdr>
      <w:tabs>
        <w:tab w:val="center" w:pos="4680"/>
        <w:tab w:val="right" w:pos="9360"/>
      </w:tabs>
      <w:rPr>
        <w:rFonts w:eastAsia="Calibri"/>
        <w:color w:val="000000"/>
        <w:sz w:val="20"/>
        <w:szCs w:val="20"/>
      </w:rPr>
    </w:pPr>
    <w:r>
      <w:rPr>
        <w:rFonts w:eastAsia="Calibri"/>
        <w:color w:val="000000"/>
        <w:sz w:val="20"/>
        <w:szCs w:val="20"/>
      </w:rPr>
      <w:t>SC64 Doc.</w:t>
    </w:r>
    <w:r w:rsidR="006E6FED">
      <w:rPr>
        <w:rFonts w:eastAsia="Calibri"/>
        <w:color w:val="000000"/>
        <w:sz w:val="20"/>
        <w:szCs w:val="20"/>
      </w:rPr>
      <w:t>18</w:t>
    </w:r>
    <w:r>
      <w:rPr>
        <w:rFonts w:eastAsia="Calibri"/>
        <w:color w:val="000000"/>
        <w:sz w:val="20"/>
        <w:szCs w:val="20"/>
      </w:rPr>
      <w:tab/>
    </w:r>
    <w:r>
      <w:rPr>
        <w:rFonts w:eastAsia="Calibri"/>
        <w:color w:val="000000"/>
        <w:sz w:val="20"/>
        <w:szCs w:val="20"/>
      </w:rPr>
      <w:tab/>
    </w:r>
    <w:r>
      <w:rPr>
        <w:rFonts w:eastAsia="Calibri"/>
        <w:color w:val="000000"/>
        <w:sz w:val="20"/>
        <w:szCs w:val="20"/>
      </w:rPr>
      <w:fldChar w:fldCharType="begin"/>
    </w:r>
    <w:r>
      <w:rPr>
        <w:rFonts w:eastAsia="Calibri"/>
        <w:color w:val="000000"/>
        <w:sz w:val="20"/>
        <w:szCs w:val="20"/>
      </w:rPr>
      <w:instrText>PAGE</w:instrText>
    </w:r>
    <w:r>
      <w:rPr>
        <w:rFonts w:eastAsia="Calibri"/>
        <w:color w:val="000000"/>
        <w:sz w:val="20"/>
        <w:szCs w:val="20"/>
      </w:rPr>
      <w:fldChar w:fldCharType="separate"/>
    </w:r>
    <w:r>
      <w:rPr>
        <w:color w:val="000000"/>
        <w:sz w:val="20"/>
        <w:szCs w:val="20"/>
      </w:rPr>
      <w:t>1</w:t>
    </w:r>
    <w:r>
      <w:rPr>
        <w:rFonts w:eastAsia="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341F" w14:textId="6489C6EB" w:rsidR="00F8458C" w:rsidRDefault="00F8458C" w:rsidP="00EF7423">
    <w:pPr>
      <w:pBdr>
        <w:top w:val="nil"/>
        <w:left w:val="nil"/>
        <w:bottom w:val="nil"/>
        <w:right w:val="nil"/>
        <w:between w:val="nil"/>
      </w:pBdr>
      <w:tabs>
        <w:tab w:val="center" w:pos="4680"/>
        <w:tab w:val="right" w:pos="14175"/>
      </w:tabs>
      <w:rPr>
        <w:rFonts w:eastAsia="Calibri"/>
        <w:color w:val="000000"/>
        <w:sz w:val="20"/>
        <w:szCs w:val="20"/>
      </w:rPr>
    </w:pPr>
    <w:r>
      <w:rPr>
        <w:rFonts w:eastAsia="Calibri"/>
        <w:color w:val="000000"/>
        <w:sz w:val="20"/>
        <w:szCs w:val="20"/>
      </w:rPr>
      <w:t>SC64 Doc.</w:t>
    </w:r>
    <w:r w:rsidR="00E309F2">
      <w:rPr>
        <w:rFonts w:eastAsia="Calibri"/>
        <w:color w:val="000000"/>
        <w:sz w:val="20"/>
        <w:szCs w:val="20"/>
      </w:rPr>
      <w:t>1</w:t>
    </w:r>
    <w:r w:rsidR="0012694A">
      <w:rPr>
        <w:rFonts w:eastAsia="Calibri"/>
        <w:color w:val="000000"/>
        <w:sz w:val="20"/>
        <w:szCs w:val="20"/>
      </w:rPr>
      <w:t>8</w:t>
    </w:r>
    <w:r>
      <w:rPr>
        <w:rFonts w:eastAsia="Calibri"/>
        <w:color w:val="000000"/>
        <w:sz w:val="20"/>
        <w:szCs w:val="20"/>
      </w:rPr>
      <w:tab/>
    </w:r>
    <w:r>
      <w:rPr>
        <w:rFonts w:eastAsia="Calibri"/>
        <w:color w:val="000000"/>
        <w:sz w:val="20"/>
        <w:szCs w:val="20"/>
      </w:rPr>
      <w:tab/>
    </w:r>
    <w:r>
      <w:rPr>
        <w:rFonts w:eastAsia="Calibri"/>
        <w:color w:val="000000"/>
        <w:sz w:val="20"/>
        <w:szCs w:val="20"/>
      </w:rPr>
      <w:fldChar w:fldCharType="begin"/>
    </w:r>
    <w:r>
      <w:rPr>
        <w:rFonts w:eastAsia="Calibri"/>
        <w:color w:val="000000"/>
        <w:sz w:val="20"/>
        <w:szCs w:val="20"/>
      </w:rPr>
      <w:instrText>PAGE</w:instrText>
    </w:r>
    <w:r>
      <w:rPr>
        <w:rFonts w:eastAsia="Calibri"/>
        <w:color w:val="000000"/>
        <w:sz w:val="20"/>
        <w:szCs w:val="20"/>
      </w:rPr>
      <w:fldChar w:fldCharType="separate"/>
    </w:r>
    <w:r>
      <w:rPr>
        <w:color w:val="000000"/>
        <w:sz w:val="20"/>
        <w:szCs w:val="20"/>
      </w:rPr>
      <w:t>1</w:t>
    </w:r>
    <w:r>
      <w:rPr>
        <w:rFonts w:eastAsia="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94119" w14:textId="77777777" w:rsidR="00277A5B" w:rsidRDefault="00277A5B" w:rsidP="006E2DD3">
      <w:r>
        <w:separator/>
      </w:r>
    </w:p>
  </w:footnote>
  <w:footnote w:type="continuationSeparator" w:id="0">
    <w:p w14:paraId="2A998A46" w14:textId="77777777" w:rsidR="00277A5B" w:rsidRDefault="00277A5B" w:rsidP="006E2DD3">
      <w:r>
        <w:continuationSeparator/>
      </w:r>
    </w:p>
  </w:footnote>
  <w:footnote w:type="continuationNotice" w:id="1">
    <w:p w14:paraId="29E300A8" w14:textId="77777777" w:rsidR="00277A5B" w:rsidRDefault="00277A5B"/>
  </w:footnote>
  <w:footnote w:id="2">
    <w:p w14:paraId="33A89A8A" w14:textId="1F711286" w:rsidR="00B37BD6" w:rsidRPr="00D13AAF" w:rsidRDefault="00B37BD6" w:rsidP="00B37BD6">
      <w:pPr>
        <w:pStyle w:val="FootnoteText"/>
        <w:ind w:left="0" w:firstLine="0"/>
        <w:rPr>
          <w:rFonts w:cs="Calibri"/>
          <w:lang w:val="fr-FR"/>
        </w:rPr>
      </w:pPr>
      <w:r w:rsidRPr="00CE4218">
        <w:rPr>
          <w:rStyle w:val="FootnoteReference"/>
          <w:rFonts w:cs="Calibri"/>
        </w:rPr>
        <w:footnoteRef/>
      </w:r>
      <w:r w:rsidRPr="00D13AAF">
        <w:rPr>
          <w:rFonts w:cs="Calibri"/>
          <w:lang w:val="fr-FR"/>
        </w:rPr>
        <w:t xml:space="preserve"> Véase </w:t>
      </w:r>
      <w:hyperlink r:id="rId1" w:history="1">
        <w:r w:rsidRPr="00D13AAF">
          <w:rPr>
            <w:rStyle w:val="Hyperlink"/>
            <w:rFonts w:cs="Calibri"/>
            <w:lang w:val="fr-FR"/>
          </w:rPr>
          <w:t>https://www.ramsar.org/document/population-estimates-1-thresholds-wetland-dependent-non-avian-animal-species-application</w:t>
        </w:r>
      </w:hyperlink>
      <w:r w:rsidR="00232BFC" w:rsidRPr="00D13AAF">
        <w:rPr>
          <w:rFonts w:cs="Calibri"/>
          <w:lang w:val="fr-FR"/>
        </w:rPr>
        <w:t>.</w:t>
      </w:r>
    </w:p>
  </w:footnote>
  <w:footnote w:id="3">
    <w:p w14:paraId="1C2DF26E" w14:textId="007D9AB2" w:rsidR="00070675" w:rsidRPr="00070675" w:rsidRDefault="00070675" w:rsidP="00070675">
      <w:pPr>
        <w:pStyle w:val="FootnoteText"/>
        <w:ind w:left="0" w:firstLine="0"/>
        <w:rPr>
          <w:rFonts w:cs="Calibri"/>
          <w:lang w:val="fr-FR"/>
        </w:rPr>
      </w:pPr>
      <w:r w:rsidRPr="00CE4218">
        <w:rPr>
          <w:rStyle w:val="FootnoteReference"/>
          <w:rFonts w:cs="Calibri"/>
        </w:rPr>
        <w:footnoteRef/>
      </w:r>
      <w:r w:rsidRPr="00070675">
        <w:rPr>
          <w:rFonts w:cs="Calibri"/>
          <w:lang w:val="fr-FR"/>
        </w:rPr>
        <w:t xml:space="preserve"> Vé</w:t>
      </w:r>
      <w:r>
        <w:rPr>
          <w:rFonts w:cs="Calibri"/>
          <w:lang w:val="fr-FR"/>
        </w:rPr>
        <w:t>ase</w:t>
      </w:r>
      <w:r w:rsidRPr="00070675">
        <w:rPr>
          <w:rFonts w:cs="Calibri"/>
          <w:lang w:val="fr-FR"/>
        </w:rPr>
        <w:t xml:space="preserve"> </w:t>
      </w:r>
      <w:hyperlink r:id="rId2" w:history="1">
        <w:r w:rsidRPr="00070675">
          <w:rPr>
            <w:rStyle w:val="Hyperlink"/>
            <w:rFonts w:cs="Calibri"/>
            <w:lang w:val="fr-FR"/>
          </w:rPr>
          <w:t>https://elearning.fao.org/</w:t>
        </w:r>
      </w:hyperlink>
      <w:r w:rsidRPr="00070675">
        <w:rPr>
          <w:rFonts w:cs="Calibri"/>
          <w:lang w:val="fr-FR"/>
        </w:rPr>
        <w:t xml:space="preserve">. </w:t>
      </w:r>
    </w:p>
  </w:footnote>
  <w:footnote w:id="4">
    <w:p w14:paraId="0C2D3448" w14:textId="77777777" w:rsidR="00A70E83" w:rsidRPr="00A70E83" w:rsidRDefault="00A70E83" w:rsidP="00A70E83">
      <w:pPr>
        <w:pStyle w:val="FootnoteText"/>
        <w:ind w:left="0" w:firstLine="0"/>
        <w:rPr>
          <w:rFonts w:cs="Calibri"/>
          <w:lang w:val="fr-FR"/>
        </w:rPr>
      </w:pPr>
      <w:r w:rsidRPr="00CE4218">
        <w:rPr>
          <w:rStyle w:val="FootnoteReference"/>
          <w:rFonts w:cs="Calibri"/>
        </w:rPr>
        <w:footnoteRef/>
      </w:r>
      <w:r w:rsidRPr="00A70E83">
        <w:rPr>
          <w:rFonts w:cs="Calibri"/>
          <w:lang w:val="fr-FR"/>
        </w:rPr>
        <w:t xml:space="preserve"> Véase </w:t>
      </w:r>
      <w:hyperlink r:id="rId3" w:history="1">
        <w:r w:rsidRPr="00A70E83">
          <w:rPr>
            <w:rStyle w:val="Hyperlink"/>
            <w:rFonts w:cs="Calibri"/>
            <w:lang w:val="fr-FR"/>
          </w:rPr>
          <w:t>https://www.ramsar.org/document/sc63-inf3-submission-convention-wetlands-6th-meeting-ad-hoc-technical-expert-group</w:t>
        </w:r>
      </w:hyperlink>
      <w:r w:rsidRPr="00A70E83">
        <w:rPr>
          <w:rFonts w:cs="Calibri"/>
          <w:lang w:val="fr-FR"/>
        </w:rPr>
        <w:t xml:space="preserve">. </w:t>
      </w:r>
    </w:p>
  </w:footnote>
  <w:footnote w:id="5">
    <w:p w14:paraId="108897E9" w14:textId="34E780D6" w:rsidR="00F6506C" w:rsidRPr="00A70E83" w:rsidRDefault="00F6506C" w:rsidP="00F6506C">
      <w:pPr>
        <w:pStyle w:val="FootnoteText"/>
        <w:ind w:left="0" w:firstLine="0"/>
        <w:rPr>
          <w:rFonts w:cs="Calibri"/>
          <w:lang w:val="fr-FR"/>
        </w:rPr>
      </w:pPr>
      <w:r w:rsidRPr="00CE4218">
        <w:rPr>
          <w:rStyle w:val="FootnoteReference"/>
          <w:rFonts w:cs="Calibri"/>
        </w:rPr>
        <w:footnoteRef/>
      </w:r>
      <w:r w:rsidRPr="00A70E83">
        <w:rPr>
          <w:rFonts w:cs="Calibri"/>
          <w:lang w:val="fr-FR"/>
        </w:rPr>
        <w:t xml:space="preserve"> Véase</w:t>
      </w:r>
      <w:r w:rsidR="006D3772" w:rsidRPr="00D13AAF">
        <w:rPr>
          <w:rFonts w:cs="Calibri"/>
          <w:lang w:val="fr-FR"/>
        </w:rPr>
        <w:t xml:space="preserve"> </w:t>
      </w:r>
      <w:hyperlink r:id="rId4" w:history="1">
        <w:r w:rsidR="006D3772" w:rsidRPr="00D13AAF">
          <w:rPr>
            <w:rStyle w:val="Hyperlink"/>
            <w:lang w:val="fr-FR"/>
          </w:rPr>
          <w:t>https://www.ramsar.org/es/document/marco-mundial-de-biodiversidad-de-kunming-montreal-ampliacion-de-la-escala-de-conservacion</w:t>
        </w:r>
      </w:hyperlink>
      <w:r w:rsidR="006D3772" w:rsidRPr="00D13AAF">
        <w:rPr>
          <w:lang w:val="fr-FR"/>
        </w:rPr>
        <w:t>.</w:t>
      </w:r>
      <w:r w:rsidRPr="00A70E83">
        <w:rPr>
          <w:rFonts w:cs="Calibri"/>
          <w:lang w:val="fr-FR"/>
        </w:rPr>
        <w:t xml:space="preserve"> </w:t>
      </w:r>
    </w:p>
  </w:footnote>
  <w:footnote w:id="6">
    <w:p w14:paraId="30113E45" w14:textId="1859BF81" w:rsidR="006D3772" w:rsidRPr="00D13AAF" w:rsidRDefault="006D3772" w:rsidP="006D3772">
      <w:pPr>
        <w:pStyle w:val="FootnoteText"/>
        <w:ind w:left="0" w:firstLine="0"/>
        <w:rPr>
          <w:rFonts w:cs="Calibri"/>
          <w:lang w:val="fr-FR"/>
        </w:rPr>
      </w:pPr>
      <w:r w:rsidRPr="00CE4218">
        <w:rPr>
          <w:rStyle w:val="FootnoteReference"/>
          <w:rFonts w:cs="Calibri"/>
        </w:rPr>
        <w:footnoteRef/>
      </w:r>
      <w:r w:rsidRPr="00D13AAF">
        <w:rPr>
          <w:rFonts w:cs="Calibri"/>
          <w:lang w:val="fr-FR"/>
        </w:rPr>
        <w:t xml:space="preserve"> Véase </w:t>
      </w:r>
      <w:hyperlink r:id="rId5" w:history="1">
        <w:r w:rsidRPr="00D13AAF">
          <w:rPr>
            <w:rStyle w:val="Hyperlink"/>
            <w:rFonts w:cs="Calibri"/>
            <w:lang w:val="fr-FR"/>
          </w:rPr>
          <w:t>https://www.ramsar.org/document/scaling-wetland-conservation-restoration-deliver-kunming-montreal-global-biodiversity</w:t>
        </w:r>
      </w:hyperlink>
      <w:r w:rsidRPr="00D13AAF">
        <w:rPr>
          <w:rFonts w:cs="Calibri"/>
          <w:lang w:val="fr-FR"/>
        </w:rPr>
        <w:t xml:space="preserve">. </w:t>
      </w:r>
    </w:p>
  </w:footnote>
  <w:footnote w:id="7">
    <w:p w14:paraId="566CA2B3" w14:textId="1F66DF49" w:rsidR="00DB27FE" w:rsidRPr="006D3772" w:rsidRDefault="00DB27FE" w:rsidP="00DB27FE">
      <w:pPr>
        <w:pStyle w:val="FootnoteText"/>
        <w:ind w:left="0" w:firstLine="0"/>
        <w:rPr>
          <w:rFonts w:cs="Calibri"/>
          <w:lang w:val="es-ES"/>
        </w:rPr>
      </w:pPr>
      <w:r w:rsidRPr="00CE4218">
        <w:rPr>
          <w:rStyle w:val="FootnoteReference"/>
          <w:rFonts w:cs="Calibri"/>
        </w:rPr>
        <w:footnoteRef/>
      </w:r>
      <w:r w:rsidRPr="00D13AAF">
        <w:rPr>
          <w:rFonts w:cs="Calibri"/>
          <w:lang w:val="es-ES"/>
        </w:rPr>
        <w:t xml:space="preserve"> </w:t>
      </w:r>
      <w:r w:rsidRPr="006D3772">
        <w:rPr>
          <w:rFonts w:cs="Calibri"/>
          <w:lang w:val="es-ES"/>
        </w:rPr>
        <w:t xml:space="preserve">Convención sobre los Humedales, 2010, </w:t>
      </w:r>
      <w:r w:rsidRPr="006D3772">
        <w:rPr>
          <w:rFonts w:cs="Calibri"/>
          <w:i/>
          <w:lang w:val="es-ES"/>
        </w:rPr>
        <w:t>Leyes e instituciones: Examen de leyes e instituciones para promover la conservación y el uso racional de los humedales</w:t>
      </w:r>
      <w:r w:rsidRPr="006D3772">
        <w:rPr>
          <w:rFonts w:cs="Calibri"/>
          <w:lang w:val="es-ES"/>
        </w:rPr>
        <w:t xml:space="preserve">. Manuales Ramsar para el uso racional de los humedales, 4ª edición, vol. 3. </w:t>
      </w:r>
      <w:r w:rsidR="006D3772" w:rsidRPr="006D3772">
        <w:rPr>
          <w:rFonts w:cs="Calibri"/>
          <w:lang w:val="es-ES"/>
        </w:rPr>
        <w:t>Convención sobre los Humedales</w:t>
      </w:r>
      <w:r w:rsidRPr="006D3772">
        <w:rPr>
          <w:rFonts w:cs="Calibri"/>
          <w:lang w:val="es-ES"/>
        </w:rPr>
        <w:t>, Gland (Suiza).</w:t>
      </w:r>
    </w:p>
  </w:footnote>
  <w:footnote w:id="8">
    <w:p w14:paraId="20AA8525" w14:textId="6909F9E7" w:rsidR="00DB27FE" w:rsidRPr="006D3772" w:rsidRDefault="00DB27FE" w:rsidP="00DB27FE">
      <w:pPr>
        <w:pStyle w:val="FootnoteText"/>
        <w:ind w:left="0" w:firstLine="0"/>
        <w:rPr>
          <w:rFonts w:cs="Calibri"/>
          <w:lang w:val="es-ES"/>
        </w:rPr>
      </w:pPr>
      <w:r w:rsidRPr="006D3772">
        <w:rPr>
          <w:rStyle w:val="FootnoteReference"/>
          <w:rFonts w:cs="Calibri"/>
          <w:lang w:val="es-ES"/>
        </w:rPr>
        <w:footnoteRef/>
      </w:r>
      <w:r w:rsidRPr="006D3772">
        <w:rPr>
          <w:rFonts w:cs="Calibri"/>
          <w:lang w:val="es-ES"/>
        </w:rPr>
        <w:t xml:space="preserve"> Convención sobre los Humedales, 2010, </w:t>
      </w:r>
      <w:r w:rsidRPr="006D3772">
        <w:rPr>
          <w:rFonts w:cs="Calibri"/>
          <w:i/>
          <w:lang w:val="es-ES"/>
        </w:rPr>
        <w:t>Designación de sitios Ramsar: Marco estratégico y lineamientos para el desarrollo futuro de la Lista de Humedales de Importancia Internacional</w:t>
      </w:r>
      <w:r w:rsidRPr="006D3772">
        <w:rPr>
          <w:rFonts w:cs="Calibri"/>
          <w:lang w:val="es-ES"/>
        </w:rPr>
        <w:t xml:space="preserve">. Manuales Ramsar para el uso racional de los humedales, 4ª edición, vol. 17, </w:t>
      </w:r>
      <w:r w:rsidR="006D3772" w:rsidRPr="006D3772">
        <w:rPr>
          <w:rFonts w:cs="Calibri"/>
          <w:lang w:val="es-ES"/>
        </w:rPr>
        <w:t>Convención sobre los Humedales</w:t>
      </w:r>
      <w:r w:rsidRPr="006D3772">
        <w:rPr>
          <w:rFonts w:cs="Calibri"/>
          <w:lang w:val="es-ES"/>
        </w:rPr>
        <w:t>, Gland (Suiza), páginas 87-88.</w:t>
      </w:r>
    </w:p>
  </w:footnote>
  <w:footnote w:id="9">
    <w:p w14:paraId="48C2A74B" w14:textId="77777777" w:rsidR="00DB27FE" w:rsidRPr="00D13AAF" w:rsidRDefault="00DB27FE" w:rsidP="00DB27FE">
      <w:pPr>
        <w:pStyle w:val="FootnoteText"/>
        <w:ind w:left="0" w:firstLine="0"/>
        <w:rPr>
          <w:rFonts w:cs="Calibri"/>
          <w:lang w:val="es-ES"/>
        </w:rPr>
      </w:pPr>
      <w:r w:rsidRPr="00CE4218">
        <w:rPr>
          <w:rStyle w:val="FootnoteReference"/>
          <w:rFonts w:cs="Calibri"/>
        </w:rPr>
        <w:footnoteRef/>
      </w:r>
      <w:r w:rsidRPr="00D13AAF">
        <w:rPr>
          <w:rFonts w:cs="Calibri"/>
          <w:lang w:val="es-ES"/>
        </w:rPr>
        <w:t xml:space="preserve"> Estas categorías se han adaptado y ampliado a partir de las categorías que se describen en la publicación de </w:t>
      </w:r>
      <w:r w:rsidRPr="00D13AAF">
        <w:rPr>
          <w:rFonts w:eastAsia="Times New Roman" w:cs="Calibri"/>
          <w:color w:val="000000"/>
          <w:lang w:val="es-ES"/>
        </w:rPr>
        <w:t xml:space="preserve">James Salzman (2013) </w:t>
      </w:r>
      <w:r w:rsidRPr="00D13AAF">
        <w:rPr>
          <w:rFonts w:eastAsia="Times New Roman" w:cs="Calibri"/>
          <w:i/>
          <w:iCs/>
          <w:color w:val="000000"/>
          <w:lang w:val="es-ES"/>
        </w:rPr>
        <w:t>Teaching Policy Instrument Choice in Environmental Law: The Five P’s</w:t>
      </w:r>
      <w:r w:rsidRPr="00D13AAF">
        <w:rPr>
          <w:rFonts w:eastAsia="Times New Roman" w:cs="Calibri"/>
          <w:color w:val="000000"/>
          <w:lang w:val="es-ES"/>
        </w:rPr>
        <w:t xml:space="preserve">, Duke Environmental Law &amp; Policy Forum, disponible en </w:t>
      </w:r>
      <w:hyperlink r:id="rId6" w:history="1">
        <w:r w:rsidRPr="00D13AAF">
          <w:rPr>
            <w:rStyle w:val="Hyperlink"/>
            <w:rFonts w:eastAsia="Times New Roman" w:cs="Calibri"/>
            <w:lang w:val="es-ES"/>
          </w:rPr>
          <w:t>https://scholarship.law.duke.edu/cgi/viewcontent.cgi?article=1250&amp;context=delpf</w:t>
        </w:r>
      </w:hyperlink>
      <w:r w:rsidRPr="00D13AAF">
        <w:rPr>
          <w:rFonts w:eastAsia="Times New Roman" w:cs="Calibri"/>
          <w:color w:val="000000"/>
          <w:lang w:val="es-ES"/>
        </w:rPr>
        <w:t>.</w:t>
      </w:r>
    </w:p>
  </w:footnote>
  <w:footnote w:id="10">
    <w:p w14:paraId="6E98D3B1" w14:textId="77777777" w:rsidR="00DB27FE" w:rsidRPr="00D13AAF" w:rsidRDefault="00DB27FE" w:rsidP="00DB27FE">
      <w:pPr>
        <w:rPr>
          <w:sz w:val="20"/>
          <w:szCs w:val="20"/>
          <w:lang w:val="es-ES"/>
        </w:rPr>
      </w:pPr>
      <w:r w:rsidRPr="00CE4218">
        <w:rPr>
          <w:rStyle w:val="FootnoteReference"/>
          <w:sz w:val="20"/>
          <w:szCs w:val="20"/>
        </w:rPr>
        <w:footnoteRef/>
      </w:r>
      <w:r w:rsidRPr="00D13AAF">
        <w:rPr>
          <w:sz w:val="20"/>
          <w:szCs w:val="20"/>
          <w:lang w:val="es-ES"/>
        </w:rPr>
        <w:t xml:space="preserve"> Los sectores y actividades tienen que ver con la erradicación de la pobreza, la gestión de los recursos hídricos, la gestión de los recursos costeros y marinos, la gestión integrada de las zonas costeras, la agricultura, la biodiversidad, la energía y la minería, el turismo, el desarrollo urbano, las infraestructuras, la industria, la acuicultura y la pesca, el control y la gestión de la contaminación y la gestión de las aguas residuales.</w:t>
      </w:r>
    </w:p>
  </w:footnote>
  <w:footnote w:id="11">
    <w:p w14:paraId="77FE1945" w14:textId="77777777" w:rsidR="00DB27FE" w:rsidRPr="00D13AAF" w:rsidRDefault="00DB27FE" w:rsidP="00DB27FE">
      <w:pPr>
        <w:pStyle w:val="FootnoteText"/>
        <w:ind w:left="0" w:firstLine="0"/>
        <w:rPr>
          <w:rFonts w:cs="Calibri"/>
          <w:lang w:val="es-ES"/>
        </w:rPr>
      </w:pPr>
      <w:r w:rsidRPr="00CE4218">
        <w:rPr>
          <w:rStyle w:val="FootnoteReference"/>
          <w:rFonts w:cs="Calibri"/>
        </w:rPr>
        <w:footnoteRef/>
      </w:r>
      <w:r w:rsidRPr="00D13AAF">
        <w:rPr>
          <w:rFonts w:cs="Calibri"/>
          <w:lang w:val="es-ES"/>
        </w:rPr>
        <w:t xml:space="preserve"> Según se indica en la página de la Perspectiva mundial sobre los humedales: </w:t>
      </w:r>
      <w:hyperlink r:id="rId7" w:history="1">
        <w:r w:rsidRPr="00D13AAF">
          <w:rPr>
            <w:rStyle w:val="Hyperlink"/>
            <w:rFonts w:cs="Calibri"/>
            <w:lang w:val="es-ES"/>
          </w:rPr>
          <w:t>https://www.global-wetland-outlook.ramsar.org/</w:t>
        </w:r>
      </w:hyperlink>
    </w:p>
  </w:footnote>
  <w:footnote w:id="12">
    <w:p w14:paraId="6A1C6287" w14:textId="77777777" w:rsidR="00DB27FE" w:rsidRPr="00D13AAF" w:rsidRDefault="00DB27FE" w:rsidP="00DB27FE">
      <w:pPr>
        <w:pStyle w:val="FootnoteText"/>
        <w:ind w:left="0" w:firstLine="0"/>
        <w:rPr>
          <w:rFonts w:cs="Calibri"/>
          <w:lang w:val="es-ES"/>
        </w:rPr>
      </w:pPr>
      <w:r w:rsidRPr="00CE4218">
        <w:rPr>
          <w:rStyle w:val="FootnoteReference"/>
          <w:rFonts w:cs="Calibri"/>
        </w:rPr>
        <w:footnoteRef/>
      </w:r>
      <w:r w:rsidRPr="00D13AAF">
        <w:rPr>
          <w:rFonts w:cs="Calibri"/>
          <w:lang w:val="es-ES"/>
        </w:rPr>
        <w:t xml:space="preserve"> En los últimos 12 meses, la página de la PMH ha recibido más de 20 000 visitas y el informe se ha descargado más de 6 000 veces.</w:t>
      </w:r>
    </w:p>
  </w:footnote>
  <w:footnote w:id="13">
    <w:p w14:paraId="5DFCB5A0" w14:textId="77777777" w:rsidR="00DB27FE" w:rsidRPr="00D13AAF" w:rsidRDefault="00DB27FE" w:rsidP="00DB27FE">
      <w:pPr>
        <w:pStyle w:val="FootnoteText"/>
        <w:ind w:left="0" w:firstLine="0"/>
        <w:rPr>
          <w:rFonts w:cs="Calibri"/>
          <w:lang w:val="es-ES"/>
        </w:rPr>
      </w:pPr>
      <w:r w:rsidRPr="00CE4218">
        <w:rPr>
          <w:rStyle w:val="FootnoteReference"/>
          <w:rFonts w:cs="Calibri"/>
        </w:rPr>
        <w:footnoteRef/>
      </w:r>
      <w:r w:rsidRPr="00D13AAF">
        <w:rPr>
          <w:rFonts w:cs="Calibri"/>
          <w:lang w:val="fr-FR"/>
        </w:rPr>
        <w:t xml:space="preserve"> Finlayson CM y Spiers AG (ed.) 1999. </w:t>
      </w:r>
      <w:r w:rsidRPr="00CE4218">
        <w:rPr>
          <w:rFonts w:cs="Calibri"/>
        </w:rPr>
        <w:t xml:space="preserve">Global review of wetland resources and priorities for wetlands inventory. </w:t>
      </w:r>
      <w:r w:rsidRPr="00D13AAF">
        <w:rPr>
          <w:rFonts w:cs="Calibri"/>
          <w:lang w:val="es-ES"/>
        </w:rPr>
        <w:t>Supervising Scientist Report 144 / Wetlands International Publication 53, Supervising Scientist, Canberra.</w:t>
      </w:r>
    </w:p>
  </w:footnote>
  <w:footnote w:id="14">
    <w:p w14:paraId="42D09A22" w14:textId="77777777" w:rsidR="00DB27FE" w:rsidRPr="00CE4218" w:rsidRDefault="00DB27FE" w:rsidP="00DB27FE">
      <w:pPr>
        <w:pStyle w:val="FootnoteText"/>
        <w:ind w:left="0" w:firstLine="0"/>
        <w:rPr>
          <w:rFonts w:cs="Calibri"/>
        </w:rPr>
      </w:pPr>
      <w:r w:rsidRPr="00CE4218">
        <w:rPr>
          <w:rStyle w:val="FootnoteReference"/>
          <w:rFonts w:cs="Calibri"/>
        </w:rPr>
        <w:footnoteRef/>
      </w:r>
      <w:r w:rsidRPr="00D13AAF">
        <w:rPr>
          <w:rFonts w:cs="Calibri"/>
          <w:lang w:val="es-ES"/>
        </w:rPr>
        <w:t xml:space="preserve"> Evaluación de los Ecosistemas del Milenio, 2005. LOS ECOSISTEMAS Y EL BIENESTAR HUMANO: HUMEDALES Y AGUA. </w:t>
      </w:r>
      <w:r>
        <w:rPr>
          <w:rFonts w:cs="Calibri"/>
        </w:rPr>
        <w:t>INFORME DE SÍNTESIS</w:t>
      </w:r>
      <w:r w:rsidRPr="00CE4218">
        <w:rPr>
          <w:rFonts w:cs="Calibri"/>
        </w:rPr>
        <w:t>. World Resources Institute, Washington, DC.</w:t>
      </w:r>
    </w:p>
  </w:footnote>
  <w:footnote w:id="15">
    <w:p w14:paraId="57B5F07A" w14:textId="77777777" w:rsidR="00DB27FE" w:rsidRPr="00CE4218" w:rsidRDefault="00DB27FE" w:rsidP="00DB27FE">
      <w:pPr>
        <w:pStyle w:val="FootnoteText"/>
        <w:ind w:left="0" w:firstLine="0"/>
        <w:rPr>
          <w:rFonts w:cs="Calibri"/>
          <w:lang w:val="en-GB"/>
        </w:rPr>
      </w:pPr>
      <w:r w:rsidRPr="00CE4218">
        <w:rPr>
          <w:rStyle w:val="FootnoteReference"/>
          <w:rFonts w:cs="Calibri"/>
        </w:rPr>
        <w:footnoteRef/>
      </w:r>
      <w:r>
        <w:rPr>
          <w:rFonts w:cs="Calibri"/>
        </w:rPr>
        <w:t xml:space="preserve"> </w:t>
      </w:r>
      <w:r w:rsidRPr="00CE4218">
        <w:rPr>
          <w:rFonts w:cs="Calibri"/>
          <w:lang w:val="en-GB"/>
        </w:rPr>
        <w:t>Molden D (ed</w:t>
      </w:r>
      <w:r>
        <w:rPr>
          <w:rFonts w:cs="Calibri"/>
          <w:lang w:val="en-GB"/>
        </w:rPr>
        <w:t>.</w:t>
      </w:r>
      <w:r w:rsidRPr="00CE4218">
        <w:rPr>
          <w:rFonts w:cs="Calibri"/>
          <w:lang w:val="en-GB"/>
        </w:rPr>
        <w:t>), Water for food, water for life: a comprehensive assessment of water management in agriculture. Earthscan, Lon</w:t>
      </w:r>
      <w:r>
        <w:rPr>
          <w:rFonts w:cs="Calibri"/>
          <w:lang w:val="en-GB"/>
        </w:rPr>
        <w:t>dres (Reino Unido)</w:t>
      </w:r>
      <w:r w:rsidRPr="00CE4218">
        <w:rPr>
          <w:rFonts w:cs="Calibri"/>
          <w:lang w:val="en-GB"/>
        </w:rPr>
        <w:t>, pp</w:t>
      </w:r>
      <w:r>
        <w:rPr>
          <w:rFonts w:cs="Calibri"/>
          <w:lang w:val="en-GB"/>
        </w:rPr>
        <w:t>.</w:t>
      </w:r>
      <w:r w:rsidRPr="00CE4218">
        <w:rPr>
          <w:rFonts w:cs="Calibri"/>
          <w:lang w:val="en-GB"/>
        </w:rPr>
        <w:t xml:space="preserve"> 57-89.</w:t>
      </w:r>
    </w:p>
  </w:footnote>
  <w:footnote w:id="16">
    <w:p w14:paraId="79D76843" w14:textId="77777777" w:rsidR="00DB27FE" w:rsidRPr="00D13AAF" w:rsidRDefault="00DB27FE" w:rsidP="00DB27FE">
      <w:pPr>
        <w:pStyle w:val="FootnoteText"/>
        <w:ind w:left="0" w:firstLine="0"/>
        <w:rPr>
          <w:rFonts w:cs="Calibri"/>
          <w:lang w:val="es-ES"/>
        </w:rPr>
      </w:pPr>
      <w:r w:rsidRPr="00CE4218">
        <w:rPr>
          <w:rStyle w:val="FootnoteReference"/>
          <w:rFonts w:cs="Calibri"/>
        </w:rPr>
        <w:footnoteRef/>
      </w:r>
      <w:r>
        <w:rPr>
          <w:rFonts w:cs="Calibri"/>
        </w:rPr>
        <w:t xml:space="preserve"> </w:t>
      </w:r>
      <w:r w:rsidRPr="00CE4218">
        <w:rPr>
          <w:rFonts w:cs="Calibri"/>
        </w:rPr>
        <w:t xml:space="preserve">Russi D., ten Brink P., Farmer A., Badura T., Coates D., Förster J., Kumar R. </w:t>
      </w:r>
      <w:r>
        <w:rPr>
          <w:rFonts w:cs="Calibri"/>
        </w:rPr>
        <w:t>y</w:t>
      </w:r>
      <w:r w:rsidRPr="00CE4218">
        <w:rPr>
          <w:rFonts w:cs="Calibri"/>
        </w:rPr>
        <w:t xml:space="preserve"> Davidson N. (2013) The Economics of Ecosystems and Biodiversity for Water and Wetlands. </w:t>
      </w:r>
      <w:r w:rsidRPr="00D13AAF">
        <w:rPr>
          <w:rFonts w:cs="Calibri"/>
          <w:lang w:val="es-ES"/>
        </w:rPr>
        <w:t>IEEP, Londres y Bruselas; Secretaría de la Convención sobre los Humedales, Gland.</w:t>
      </w:r>
    </w:p>
  </w:footnote>
  <w:footnote w:id="17">
    <w:p w14:paraId="57C7BA6A" w14:textId="77777777" w:rsidR="00DB27FE" w:rsidRPr="00D13AAF" w:rsidRDefault="00DB27FE" w:rsidP="00DB27FE">
      <w:pPr>
        <w:pStyle w:val="FootnoteText"/>
        <w:ind w:left="0" w:firstLine="0"/>
        <w:rPr>
          <w:rFonts w:cs="Calibri"/>
          <w:lang w:val="es-ES"/>
        </w:rPr>
      </w:pPr>
      <w:r w:rsidRPr="00CE4218">
        <w:rPr>
          <w:rStyle w:val="FootnoteReference"/>
          <w:rFonts w:cs="Calibri"/>
        </w:rPr>
        <w:footnoteRef/>
      </w:r>
      <w:r w:rsidRPr="00D13AAF">
        <w:rPr>
          <w:rFonts w:cs="Calibri"/>
          <w:lang w:val="es-ES"/>
        </w:rPr>
        <w:t xml:space="preserve"> Algunos de los informes técnicos elaborados por el GECT y disponibles en la dirección </w:t>
      </w:r>
      <w:hyperlink r:id="rId8" w:history="1">
        <w:r w:rsidRPr="00D13AAF">
          <w:rPr>
            <w:rStyle w:val="Hyperlink"/>
            <w:rFonts w:cs="Calibri"/>
            <w:lang w:val="es-ES"/>
          </w:rPr>
          <w:t>https://www.ramsar.org/es/publicaciones</w:t>
        </w:r>
      </w:hyperlink>
      <w:r w:rsidRPr="00D13AAF">
        <w:rPr>
          <w:rFonts w:cs="Calibri"/>
          <w:lang w:val="es-ES"/>
        </w:rPr>
        <w:t xml:space="preserve"> corresponderían a esta categoría.</w:t>
      </w:r>
    </w:p>
  </w:footnote>
  <w:footnote w:id="18">
    <w:p w14:paraId="244759E3" w14:textId="2097683A" w:rsidR="00DB27FE" w:rsidRPr="00D13AAF" w:rsidRDefault="00DB27FE" w:rsidP="00DB27FE">
      <w:pPr>
        <w:pStyle w:val="FootnoteText"/>
        <w:ind w:left="0" w:firstLine="0"/>
        <w:rPr>
          <w:rFonts w:cs="Calibri"/>
          <w:lang w:val="es-ES"/>
        </w:rPr>
      </w:pPr>
      <w:r w:rsidRPr="00CE4218">
        <w:rPr>
          <w:rStyle w:val="FootnoteReference"/>
          <w:rFonts w:cs="Calibri"/>
        </w:rPr>
        <w:footnoteRef/>
      </w:r>
      <w:r w:rsidRPr="00CE4218">
        <w:rPr>
          <w:rFonts w:cs="Calibri"/>
        </w:rPr>
        <w:t xml:space="preserve"> </w:t>
      </w:r>
      <w:r>
        <w:rPr>
          <w:rFonts w:cs="Calibri"/>
        </w:rPr>
        <w:t>I</w:t>
      </w:r>
      <w:r w:rsidRPr="00CE4218">
        <w:rPr>
          <w:rFonts w:cs="Calibri"/>
        </w:rPr>
        <w:t>PBES (2018): IPBES Guide on the production of assessments. Secretariat of the Intergovernmental Science-Policy Platform on Biodiversity and Ecosystem Services, Bonn</w:t>
      </w:r>
      <w:r>
        <w:rPr>
          <w:rFonts w:cs="Calibri"/>
        </w:rPr>
        <w:t xml:space="preserve"> (Alemania)</w:t>
      </w:r>
      <w:r w:rsidRPr="00CE4218">
        <w:rPr>
          <w:rFonts w:cs="Calibri"/>
        </w:rPr>
        <w:t xml:space="preserve">. </w:t>
      </w:r>
      <w:r w:rsidRPr="00D13AAF">
        <w:rPr>
          <w:rFonts w:cs="Calibri"/>
          <w:lang w:val="es-ES"/>
        </w:rPr>
        <w:t xml:space="preserve">44 páginas, disponible en: </w:t>
      </w:r>
      <w:hyperlink r:id="rId9" w:history="1">
        <w:r w:rsidR="006D3772" w:rsidRPr="00D13AAF">
          <w:rPr>
            <w:rStyle w:val="Hyperlink"/>
            <w:lang w:val="es-ES"/>
          </w:rPr>
          <w:t>https://www.ipbes.net/guide-production-assessments</w:t>
        </w:r>
      </w:hyperlink>
      <w:r w:rsidR="006D3772" w:rsidRPr="00D13AAF">
        <w:rPr>
          <w:lang w:val="es-ES"/>
        </w:rPr>
        <w:t>.</w:t>
      </w:r>
    </w:p>
  </w:footnote>
  <w:footnote w:id="19">
    <w:p w14:paraId="2DC0B2F9" w14:textId="16D63C8C" w:rsidR="00D80078" w:rsidRPr="00CE4218" w:rsidRDefault="00DB27FE" w:rsidP="00DB27FE">
      <w:pPr>
        <w:pStyle w:val="FootnoteText"/>
        <w:ind w:left="0" w:firstLine="0"/>
        <w:rPr>
          <w:rFonts w:cs="Calibri"/>
        </w:rPr>
      </w:pPr>
      <w:r w:rsidRPr="00CE4218">
        <w:rPr>
          <w:rStyle w:val="FootnoteReference"/>
          <w:rFonts w:cs="Calibri"/>
        </w:rPr>
        <w:footnoteRef/>
      </w:r>
      <w:r>
        <w:rPr>
          <w:rFonts w:cs="Calibri"/>
        </w:rPr>
        <w:t xml:space="preserve"> </w:t>
      </w:r>
      <w:r w:rsidRPr="00CE4218">
        <w:rPr>
          <w:rFonts w:cs="Calibri"/>
        </w:rPr>
        <w:t>IPCC Procedure</w:t>
      </w:r>
      <w:r>
        <w:rPr>
          <w:rFonts w:cs="Calibri"/>
        </w:rPr>
        <w:t>s</w:t>
      </w:r>
      <w:r w:rsidRPr="00CE4218">
        <w:rPr>
          <w:rFonts w:cs="Calibri"/>
        </w:rPr>
        <w:t xml:space="preserve"> for the Preparation, Review, Acceptance, Adoption, Approval and Publication of IPCC Reports</w:t>
      </w:r>
      <w:r>
        <w:rPr>
          <w:rFonts w:cs="Calibri"/>
        </w:rPr>
        <w:t>, disponible en</w:t>
      </w:r>
      <w:r w:rsidRPr="00CE4218">
        <w:rPr>
          <w:rFonts w:cs="Calibri"/>
        </w:rPr>
        <w:t xml:space="preserve">: </w:t>
      </w:r>
      <w:hyperlink r:id="rId10" w:history="1">
        <w:r w:rsidR="00006997" w:rsidRPr="001D6F8D">
          <w:rPr>
            <w:rStyle w:val="Hyperlink"/>
            <w:rFonts w:cs="Calibri"/>
          </w:rPr>
          <w:t>https://www.ipcc.ch/site/assets/uploads/2018/09/ipcc-principles-appendix-a-final.pdf</w:t>
        </w:r>
      </w:hyperlink>
      <w:r w:rsidR="00006997">
        <w:rPr>
          <w:rFonts w:cs="Calibri"/>
        </w:rPr>
        <w:t xml:space="preserve">. </w:t>
      </w:r>
    </w:p>
  </w:footnote>
  <w:footnote w:id="20">
    <w:p w14:paraId="7E6B78E9" w14:textId="77777777" w:rsidR="00DB27FE" w:rsidRPr="00D13AAF" w:rsidRDefault="00DB27FE" w:rsidP="00DB27FE">
      <w:pPr>
        <w:pStyle w:val="FootnoteText"/>
        <w:ind w:left="0" w:firstLine="0"/>
        <w:rPr>
          <w:rFonts w:cs="Calibri"/>
          <w:lang w:val="es-ES"/>
        </w:rPr>
      </w:pPr>
      <w:r w:rsidRPr="00CE4218">
        <w:rPr>
          <w:rStyle w:val="FootnoteReference"/>
          <w:rFonts w:cs="Calibri"/>
        </w:rPr>
        <w:footnoteRef/>
      </w:r>
      <w:r w:rsidRPr="00D13AAF">
        <w:rPr>
          <w:rFonts w:cs="Calibri"/>
          <w:lang w:val="es-ES"/>
        </w:rPr>
        <w:t xml:space="preserve"> Esta estructura se ha utilizado en</w:t>
      </w:r>
      <w:r w:rsidRPr="00377F7D">
        <w:rPr>
          <w:lang w:val="es-ES"/>
        </w:rPr>
        <w:t xml:space="preserve"> </w:t>
      </w:r>
      <w:r>
        <w:rPr>
          <w:lang w:val="es-ES"/>
        </w:rPr>
        <w:t xml:space="preserve">el informe de síntesis </w:t>
      </w:r>
      <w:r w:rsidRPr="009A2399">
        <w:rPr>
          <w:i/>
          <w:iCs/>
          <w:lang w:val="es-ES"/>
        </w:rPr>
        <w:t xml:space="preserve">Los Ecosistemas y el Bienestar Humano: Humedales y Agua </w:t>
      </w:r>
      <w:r>
        <w:rPr>
          <w:lang w:val="es-ES"/>
        </w:rPr>
        <w:t>de la</w:t>
      </w:r>
      <w:r w:rsidRPr="007977E7">
        <w:rPr>
          <w:lang w:val="es-ES"/>
        </w:rPr>
        <w:t xml:space="preserve"> Evaluación de los Ecosistemas del Milenio</w:t>
      </w:r>
      <w:r w:rsidRPr="00D13AAF">
        <w:rPr>
          <w:rFonts w:cs="Calibri"/>
          <w:lang w:val="es-ES"/>
        </w:rPr>
        <w:t>.</w:t>
      </w:r>
    </w:p>
  </w:footnote>
  <w:footnote w:id="21">
    <w:p w14:paraId="7C0A8A90" w14:textId="77777777" w:rsidR="00DB27FE" w:rsidRPr="00D13AAF" w:rsidRDefault="00DB27FE" w:rsidP="00DB27FE">
      <w:pPr>
        <w:pStyle w:val="FootnoteText"/>
        <w:ind w:left="0" w:firstLine="0"/>
        <w:rPr>
          <w:rFonts w:cs="Calibri"/>
          <w:lang w:val="es-ES"/>
        </w:rPr>
      </w:pPr>
      <w:r w:rsidRPr="00CE4218">
        <w:rPr>
          <w:rStyle w:val="FootnoteReference"/>
          <w:rFonts w:cs="Calibri"/>
        </w:rPr>
        <w:footnoteRef/>
      </w:r>
      <w:r w:rsidRPr="00D13AAF">
        <w:rPr>
          <w:rFonts w:cs="Calibri"/>
          <w:lang w:val="es-ES"/>
        </w:rPr>
        <w:t xml:space="preserve"> </w:t>
      </w:r>
      <w:r w:rsidRPr="006D3772">
        <w:rPr>
          <w:rFonts w:cs="Calibri"/>
          <w:lang w:val="es-ES"/>
        </w:rPr>
        <w:t>Este informe se estaba preparando en el momento de redactar la presente propuesta</w:t>
      </w:r>
      <w:r w:rsidRPr="00D13AAF">
        <w:rPr>
          <w:rFonts w:cs="Calibri"/>
          <w:lang w:val="es-ES"/>
        </w:rPr>
        <w:t>.</w:t>
      </w:r>
    </w:p>
  </w:footnote>
  <w:footnote w:id="22">
    <w:p w14:paraId="3B72A32F" w14:textId="7FAC66AA" w:rsidR="00DB27FE" w:rsidRPr="00A122D8" w:rsidRDefault="00DB27FE" w:rsidP="00DB27FE">
      <w:pPr>
        <w:pStyle w:val="FootnoteText"/>
        <w:ind w:left="0" w:firstLine="0"/>
        <w:rPr>
          <w:rFonts w:cs="Calibri"/>
          <w:lang w:val="es-ES"/>
        </w:rPr>
      </w:pPr>
      <w:r w:rsidRPr="00CE4218">
        <w:rPr>
          <w:rStyle w:val="FootnoteReference"/>
          <w:rFonts w:cs="Calibri"/>
        </w:rPr>
        <w:footnoteRef/>
      </w:r>
      <w:r w:rsidRPr="00CE4218">
        <w:rPr>
          <w:rFonts w:cs="Calibri"/>
        </w:rPr>
        <w:t xml:space="preserve"> </w:t>
      </w:r>
      <w:r w:rsidRPr="002A0512">
        <w:rPr>
          <w:rFonts w:cs="Calibri"/>
        </w:rPr>
        <w:t xml:space="preserve">IPBES (2018): IPBES Assessment Guide Summary. Secretariat of the Intergovernmental Science-Policy Platform on Biodiversity and Ecosystem Services, Bonn (Alemania). </w:t>
      </w:r>
      <w:r w:rsidRPr="00D13AAF">
        <w:rPr>
          <w:rFonts w:cs="Calibri"/>
          <w:lang w:val="es-ES"/>
        </w:rPr>
        <w:t xml:space="preserve">12 páginas. La Guía de la IPBES para la realización de evaluaciones se puede ver y descargar </w:t>
      </w:r>
      <w:r w:rsidRPr="00A122D8">
        <w:rPr>
          <w:rFonts w:cs="Calibri"/>
          <w:lang w:val="es-ES"/>
        </w:rPr>
        <w:t>en</w:t>
      </w:r>
      <w:r w:rsidRPr="00D13AAF">
        <w:rPr>
          <w:rFonts w:cs="Calibri"/>
          <w:lang w:val="es-ES"/>
        </w:rPr>
        <w:t xml:space="preserve">: </w:t>
      </w:r>
      <w:hyperlink r:id="rId11" w:history="1">
        <w:r w:rsidR="00A122D8" w:rsidRPr="00A122D8">
          <w:rPr>
            <w:rStyle w:val="Hyperlink"/>
            <w:rFonts w:cs="Calibri"/>
            <w:lang w:val="es-ES"/>
          </w:rPr>
          <w:t>https://www.ipbes.net/document-library-catalogue/ipbes-assessment-guide-summary</w:t>
        </w:r>
      </w:hyperlink>
      <w:r w:rsidR="00A122D8" w:rsidRPr="00A122D8">
        <w:rPr>
          <w:rFonts w:cs="Calibri"/>
          <w:lang w:val="es-ES"/>
        </w:rPr>
        <w:t>.</w:t>
      </w:r>
    </w:p>
  </w:footnote>
  <w:footnote w:id="23">
    <w:p w14:paraId="37EB1911" w14:textId="77777777" w:rsidR="00DB27FE" w:rsidRPr="00A122D8" w:rsidRDefault="00DB27FE" w:rsidP="00DB27FE">
      <w:pPr>
        <w:pStyle w:val="Footnote"/>
        <w:ind w:left="0" w:firstLine="0"/>
        <w:rPr>
          <w:rFonts w:cs="Calibri"/>
          <w:sz w:val="14"/>
          <w:szCs w:val="14"/>
          <w:lang w:val="fr-FR"/>
        </w:rPr>
      </w:pPr>
      <w:r w:rsidRPr="004E406B">
        <w:rPr>
          <w:rStyle w:val="FootnoteReference"/>
          <w:rFonts w:cs="Calibri"/>
          <w:sz w:val="16"/>
          <w:szCs w:val="16"/>
        </w:rPr>
        <w:footnoteRef/>
      </w:r>
      <w:r w:rsidRPr="00A122D8">
        <w:rPr>
          <w:rFonts w:cs="Calibri"/>
          <w:lang w:val="fr-FR"/>
        </w:rPr>
        <w:t xml:space="preserve"> </w:t>
      </w:r>
      <w:r w:rsidRPr="00A122D8">
        <w:rPr>
          <w:rFonts w:cs="Calibri"/>
          <w:sz w:val="18"/>
          <w:szCs w:val="18"/>
          <w:lang w:val="fr-FR"/>
        </w:rPr>
        <w:t xml:space="preserve">Véase </w:t>
      </w:r>
      <w:hyperlink r:id="rId12" w:history="1">
        <w:r w:rsidRPr="00A122D8">
          <w:rPr>
            <w:rStyle w:val="Hyperlink"/>
            <w:rFonts w:cs="Calibri"/>
            <w:sz w:val="18"/>
            <w:szCs w:val="18"/>
            <w:lang w:val="fr-FR"/>
          </w:rPr>
          <w:t>https://www.cms.int/en/document/central-asian-flyway-action-plan-conservation-migratory-waterbirds-and-their-habitats</w:t>
        </w:r>
      </w:hyperlink>
      <w:r w:rsidRPr="00A122D8">
        <w:rPr>
          <w:rFonts w:cs="Calibri"/>
          <w:sz w:val="14"/>
          <w:szCs w:val="14"/>
          <w:lang w:val="fr-FR"/>
        </w:rPr>
        <w:t>.</w:t>
      </w:r>
    </w:p>
  </w:footnote>
  <w:footnote w:id="24">
    <w:p w14:paraId="512D7698" w14:textId="5982C36E" w:rsidR="00DB27FE" w:rsidRPr="004E406B" w:rsidRDefault="00DB27FE" w:rsidP="00DB27FE">
      <w:pPr>
        <w:pStyle w:val="FootnoteText"/>
        <w:ind w:left="0" w:firstLine="0"/>
        <w:rPr>
          <w:rFonts w:cs="Calibri"/>
          <w:sz w:val="16"/>
          <w:szCs w:val="16"/>
          <w:lang w:val="es-ES"/>
        </w:rPr>
      </w:pPr>
      <w:r w:rsidRPr="004E406B">
        <w:rPr>
          <w:rStyle w:val="FootnoteReference"/>
          <w:rFonts w:cs="Calibri"/>
          <w:sz w:val="16"/>
          <w:szCs w:val="16"/>
        </w:rPr>
        <w:footnoteRef/>
      </w:r>
      <w:r w:rsidRPr="004E406B">
        <w:rPr>
          <w:rFonts w:cs="Calibri"/>
          <w:sz w:val="16"/>
          <w:szCs w:val="16"/>
          <w:lang w:val="es-ES"/>
        </w:rPr>
        <w:t xml:space="preserve"> </w:t>
      </w:r>
      <w:r w:rsidR="006608FA">
        <w:rPr>
          <w:rFonts w:cs="Calibri"/>
          <w:sz w:val="18"/>
          <w:szCs w:val="18"/>
          <w:lang w:val="es-ES"/>
        </w:rPr>
        <w:t>En el caso de</w:t>
      </w:r>
      <w:r w:rsidRPr="004E406B">
        <w:rPr>
          <w:rFonts w:cs="Calibri"/>
          <w:sz w:val="18"/>
          <w:szCs w:val="18"/>
          <w:lang w:val="es-ES"/>
        </w:rPr>
        <w:t xml:space="preserve"> la vía migratoria del Pacífico central (y la Antártida)</w:t>
      </w:r>
      <w:r w:rsidR="006608FA">
        <w:rPr>
          <w:rFonts w:cs="Calibri"/>
          <w:sz w:val="18"/>
          <w:szCs w:val="18"/>
          <w:lang w:val="es-ES"/>
        </w:rPr>
        <w:t>,</w:t>
      </w:r>
      <w:r w:rsidRPr="004E406B">
        <w:rPr>
          <w:rFonts w:cs="Calibri"/>
          <w:sz w:val="18"/>
          <w:szCs w:val="18"/>
          <w:lang w:val="es-ES"/>
        </w:rPr>
        <w:t xml:space="preserve"> se </w:t>
      </w:r>
      <w:r>
        <w:rPr>
          <w:rFonts w:cs="Calibri"/>
          <w:sz w:val="18"/>
          <w:szCs w:val="18"/>
          <w:lang w:val="es-ES"/>
        </w:rPr>
        <w:t>han sumado</w:t>
      </w:r>
      <w:r w:rsidRPr="004E406B">
        <w:rPr>
          <w:rFonts w:cs="Calibri"/>
          <w:sz w:val="18"/>
          <w:szCs w:val="18"/>
          <w:lang w:val="es-ES"/>
        </w:rPr>
        <w:t xml:space="preserve"> los números de poblaciones residentes y migratorias.</w:t>
      </w:r>
    </w:p>
    <w:p w14:paraId="582B81C1" w14:textId="77777777" w:rsidR="00DB27FE" w:rsidRPr="00554EF5" w:rsidRDefault="00DB27FE" w:rsidP="00DB27FE">
      <w:pPr>
        <w:pStyle w:val="FootnoteText"/>
        <w:rPr>
          <w:lang w:val="es-ES"/>
        </w:rPr>
      </w:pPr>
    </w:p>
  </w:footnote>
  <w:footnote w:id="25">
    <w:p w14:paraId="181DAF78" w14:textId="77777777" w:rsidR="00DB27FE" w:rsidRPr="00D13AAF" w:rsidRDefault="00DB27FE" w:rsidP="00DB27FE">
      <w:pPr>
        <w:pStyle w:val="Footnote"/>
        <w:ind w:left="0" w:firstLine="0"/>
        <w:rPr>
          <w:rFonts w:cs="Calibri"/>
          <w:lang w:val="es-ES"/>
        </w:rPr>
      </w:pPr>
      <w:r w:rsidRPr="00CE4218">
        <w:rPr>
          <w:rStyle w:val="FootnoteReference"/>
          <w:rFonts w:cs="Calibri"/>
        </w:rPr>
        <w:footnoteRef/>
      </w:r>
      <w:r w:rsidRPr="00D13AAF">
        <w:rPr>
          <w:rFonts w:cs="Calibri"/>
          <w:lang w:val="es-ES"/>
        </w:rPr>
        <w:t xml:space="preserve"> </w:t>
      </w:r>
      <w:r w:rsidRPr="009605AB">
        <w:rPr>
          <w:rFonts w:cs="Calibri"/>
          <w:sz w:val="18"/>
          <w:szCs w:val="18"/>
          <w:lang w:val="es-ES"/>
        </w:rPr>
        <w:t xml:space="preserve">Una </w:t>
      </w:r>
      <w:r w:rsidRPr="00877ABF">
        <w:rPr>
          <w:rFonts w:cs="Calibri"/>
          <w:sz w:val="18"/>
          <w:szCs w:val="18"/>
          <w:lang w:val="es-ES"/>
        </w:rPr>
        <w:t xml:space="preserve">estimación </w:t>
      </w:r>
      <w:r w:rsidRPr="009605AB">
        <w:rPr>
          <w:rFonts w:cs="Calibri"/>
          <w:sz w:val="18"/>
          <w:szCs w:val="18"/>
          <w:lang w:val="es-ES"/>
        </w:rPr>
        <w:t xml:space="preserve">preliminar de los costos se basa en las tareas previstas para cada región o vía migratoria en función de la información disponible y el trabajo previstos. Una estimación de los costos por unidad de población se basa en los costos del CSR8 </w:t>
      </w:r>
      <w:r>
        <w:rPr>
          <w:rFonts w:cs="Calibri"/>
          <w:sz w:val="18"/>
          <w:szCs w:val="18"/>
          <w:lang w:val="es-ES"/>
        </w:rPr>
        <w:t>del AEWA</w:t>
      </w:r>
      <w:r w:rsidRPr="009605AB">
        <w:rPr>
          <w:rFonts w:cs="Calibri"/>
          <w:sz w:val="18"/>
          <w:szCs w:val="18"/>
          <w:lang w:val="es-ES"/>
        </w:rPr>
        <w:t xml:space="preserve"> y del CSR1 de la EAAFP. Las principales tareas previstas para la evaluación del tamaño de las poblaciones son: revisar la definición actual de las poblaciones y adaptarla a la taxonomía más reciente (según BirdLife International/</w:t>
      </w:r>
      <w:r w:rsidRPr="009605AB">
        <w:rPr>
          <w:rFonts w:cs="Calibri"/>
          <w:i/>
          <w:iCs/>
          <w:sz w:val="18"/>
          <w:szCs w:val="18"/>
          <w:lang w:val="es-ES"/>
        </w:rPr>
        <w:t>Handbook</w:t>
      </w:r>
      <w:r w:rsidRPr="009605AB">
        <w:rPr>
          <w:rFonts w:cs="Calibri"/>
          <w:sz w:val="18"/>
          <w:szCs w:val="18"/>
          <w:lang w:val="es-ES"/>
        </w:rPr>
        <w:t xml:space="preserve"> </w:t>
      </w:r>
      <w:r w:rsidRPr="009605AB">
        <w:rPr>
          <w:rFonts w:cs="Calibri"/>
          <w:i/>
          <w:iCs/>
          <w:sz w:val="18"/>
          <w:szCs w:val="18"/>
          <w:lang w:val="es-ES"/>
        </w:rPr>
        <w:t>of the Birds of the World</w:t>
      </w:r>
      <w:r w:rsidRPr="009605AB">
        <w:rPr>
          <w:rFonts w:cs="Calibri"/>
          <w:sz w:val="18"/>
          <w:szCs w:val="18"/>
          <w:lang w:val="es-ES"/>
        </w:rPr>
        <w:t xml:space="preserve">); cotejar y revisar la bibliografía existente sobre datos de estimación del tamaño de las poblaciones (en algunas regiones, la revisión de la bibliografía en diferentes idiomas requiere un esfuerzo adicional); adaptar la información a la definición de las estimaciones de población y los límites de las WPE; actualizar las estimaciones del tamaño de las poblaciones y finalizarlas en consulta con expertos; y generar umbrales derivados de selección de sitios del 1 % actualizados. Las acciones propuestas para la evaluación de las tendencias de la población incluyen: revisión bibliográfica para nuevas estimaciones de tendencias de la población; propuesta de estimaciones actualizadas de tendencias de la población, basadas en la revisión de nuevas tendencias y análisis de tendencias y finalización de las tendencias de la población en colaboración con expertos. Se realizarán análisis de tendencias utilizando los datos del International Waterbird Census (censo internacional de aves acuáticas) para un número limitado de poblaciones del corredor aéreo de Asia Central no cubiertas actualmente por el CSR8 </w:t>
      </w:r>
      <w:r>
        <w:rPr>
          <w:rFonts w:cs="Calibri"/>
          <w:sz w:val="18"/>
          <w:szCs w:val="18"/>
          <w:lang w:val="es-ES"/>
        </w:rPr>
        <w:t>del AEWA</w:t>
      </w:r>
      <w:r w:rsidRPr="00D13AAF">
        <w:rPr>
          <w:rFonts w:cs="Calibri"/>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1794"/>
    <w:multiLevelType w:val="hybridMultilevel"/>
    <w:tmpl w:val="938021C2"/>
    <w:lvl w:ilvl="0" w:tplc="30582D0E">
      <w:start w:val="1"/>
      <w:numFmt w:val="bullet"/>
      <w:lvlText w:val="-"/>
      <w:lvlJc w:val="left"/>
      <w:pPr>
        <w:ind w:left="1170" w:hanging="360"/>
      </w:pPr>
      <w:rPr>
        <w:rFonts w:ascii="Aptos" w:hAnsi="Aptos" w:hint="default"/>
      </w:rPr>
    </w:lvl>
    <w:lvl w:ilvl="1" w:tplc="B82E2DFA" w:tentative="1">
      <w:start w:val="1"/>
      <w:numFmt w:val="bullet"/>
      <w:lvlText w:val="o"/>
      <w:lvlJc w:val="left"/>
      <w:pPr>
        <w:ind w:left="1890" w:hanging="360"/>
      </w:pPr>
      <w:rPr>
        <w:rFonts w:ascii="Courier New" w:hAnsi="Courier New" w:cs="Courier New" w:hint="default"/>
      </w:rPr>
    </w:lvl>
    <w:lvl w:ilvl="2" w:tplc="2FB205EC" w:tentative="1">
      <w:start w:val="1"/>
      <w:numFmt w:val="bullet"/>
      <w:lvlText w:val=""/>
      <w:lvlJc w:val="left"/>
      <w:pPr>
        <w:ind w:left="2610" w:hanging="360"/>
      </w:pPr>
      <w:rPr>
        <w:rFonts w:ascii="Wingdings" w:hAnsi="Wingdings" w:hint="default"/>
      </w:rPr>
    </w:lvl>
    <w:lvl w:ilvl="3" w:tplc="8976DE2C" w:tentative="1">
      <w:start w:val="1"/>
      <w:numFmt w:val="bullet"/>
      <w:lvlText w:val=""/>
      <w:lvlJc w:val="left"/>
      <w:pPr>
        <w:ind w:left="3330" w:hanging="360"/>
      </w:pPr>
      <w:rPr>
        <w:rFonts w:ascii="Symbol" w:hAnsi="Symbol" w:hint="default"/>
      </w:rPr>
    </w:lvl>
    <w:lvl w:ilvl="4" w:tplc="01D0DE66" w:tentative="1">
      <w:start w:val="1"/>
      <w:numFmt w:val="bullet"/>
      <w:lvlText w:val="o"/>
      <w:lvlJc w:val="left"/>
      <w:pPr>
        <w:ind w:left="4050" w:hanging="360"/>
      </w:pPr>
      <w:rPr>
        <w:rFonts w:ascii="Courier New" w:hAnsi="Courier New" w:cs="Courier New" w:hint="default"/>
      </w:rPr>
    </w:lvl>
    <w:lvl w:ilvl="5" w:tplc="B478ED9A" w:tentative="1">
      <w:start w:val="1"/>
      <w:numFmt w:val="bullet"/>
      <w:lvlText w:val=""/>
      <w:lvlJc w:val="left"/>
      <w:pPr>
        <w:ind w:left="4770" w:hanging="360"/>
      </w:pPr>
      <w:rPr>
        <w:rFonts w:ascii="Wingdings" w:hAnsi="Wingdings" w:hint="default"/>
      </w:rPr>
    </w:lvl>
    <w:lvl w:ilvl="6" w:tplc="CE3C80FA" w:tentative="1">
      <w:start w:val="1"/>
      <w:numFmt w:val="bullet"/>
      <w:lvlText w:val=""/>
      <w:lvlJc w:val="left"/>
      <w:pPr>
        <w:ind w:left="5490" w:hanging="360"/>
      </w:pPr>
      <w:rPr>
        <w:rFonts w:ascii="Symbol" w:hAnsi="Symbol" w:hint="default"/>
      </w:rPr>
    </w:lvl>
    <w:lvl w:ilvl="7" w:tplc="85661D04" w:tentative="1">
      <w:start w:val="1"/>
      <w:numFmt w:val="bullet"/>
      <w:lvlText w:val="o"/>
      <w:lvlJc w:val="left"/>
      <w:pPr>
        <w:ind w:left="6210" w:hanging="360"/>
      </w:pPr>
      <w:rPr>
        <w:rFonts w:ascii="Courier New" w:hAnsi="Courier New" w:cs="Courier New" w:hint="default"/>
      </w:rPr>
    </w:lvl>
    <w:lvl w:ilvl="8" w:tplc="877E6CE8" w:tentative="1">
      <w:start w:val="1"/>
      <w:numFmt w:val="bullet"/>
      <w:lvlText w:val=""/>
      <w:lvlJc w:val="left"/>
      <w:pPr>
        <w:ind w:left="6930" w:hanging="360"/>
      </w:pPr>
      <w:rPr>
        <w:rFonts w:ascii="Wingdings" w:hAnsi="Wingdings" w:hint="default"/>
      </w:rPr>
    </w:lvl>
  </w:abstractNum>
  <w:abstractNum w:abstractNumId="2" w15:restartNumberingAfterBreak="0">
    <w:nsid w:val="00A44D28"/>
    <w:multiLevelType w:val="hybridMultilevel"/>
    <w:tmpl w:val="6FEAE8F6"/>
    <w:lvl w:ilvl="0" w:tplc="513CE7DC">
      <w:start w:val="1"/>
      <w:numFmt w:val="bullet"/>
      <w:lvlText w:val=""/>
      <w:lvlJc w:val="left"/>
      <w:pPr>
        <w:ind w:left="720" w:hanging="360"/>
      </w:pPr>
      <w:rPr>
        <w:rFonts w:ascii="Symbol" w:hAnsi="Symbol" w:hint="default"/>
      </w:rPr>
    </w:lvl>
    <w:lvl w:ilvl="1" w:tplc="77DE0386" w:tentative="1">
      <w:start w:val="1"/>
      <w:numFmt w:val="bullet"/>
      <w:lvlText w:val="o"/>
      <w:lvlJc w:val="left"/>
      <w:pPr>
        <w:ind w:left="1440" w:hanging="360"/>
      </w:pPr>
      <w:rPr>
        <w:rFonts w:ascii="Courier New" w:hAnsi="Courier New" w:cs="Courier New" w:hint="default"/>
      </w:rPr>
    </w:lvl>
    <w:lvl w:ilvl="2" w:tplc="940AAF58" w:tentative="1">
      <w:start w:val="1"/>
      <w:numFmt w:val="bullet"/>
      <w:lvlText w:val=""/>
      <w:lvlJc w:val="left"/>
      <w:pPr>
        <w:ind w:left="2160" w:hanging="360"/>
      </w:pPr>
      <w:rPr>
        <w:rFonts w:ascii="Wingdings" w:hAnsi="Wingdings" w:hint="default"/>
      </w:rPr>
    </w:lvl>
    <w:lvl w:ilvl="3" w:tplc="556EE712" w:tentative="1">
      <w:start w:val="1"/>
      <w:numFmt w:val="bullet"/>
      <w:lvlText w:val=""/>
      <w:lvlJc w:val="left"/>
      <w:pPr>
        <w:ind w:left="2880" w:hanging="360"/>
      </w:pPr>
      <w:rPr>
        <w:rFonts w:ascii="Symbol" w:hAnsi="Symbol" w:hint="default"/>
      </w:rPr>
    </w:lvl>
    <w:lvl w:ilvl="4" w:tplc="4734F328" w:tentative="1">
      <w:start w:val="1"/>
      <w:numFmt w:val="bullet"/>
      <w:lvlText w:val="o"/>
      <w:lvlJc w:val="left"/>
      <w:pPr>
        <w:ind w:left="3600" w:hanging="360"/>
      </w:pPr>
      <w:rPr>
        <w:rFonts w:ascii="Courier New" w:hAnsi="Courier New" w:cs="Courier New" w:hint="default"/>
      </w:rPr>
    </w:lvl>
    <w:lvl w:ilvl="5" w:tplc="CCE61F98" w:tentative="1">
      <w:start w:val="1"/>
      <w:numFmt w:val="bullet"/>
      <w:lvlText w:val=""/>
      <w:lvlJc w:val="left"/>
      <w:pPr>
        <w:ind w:left="4320" w:hanging="360"/>
      </w:pPr>
      <w:rPr>
        <w:rFonts w:ascii="Wingdings" w:hAnsi="Wingdings" w:hint="default"/>
      </w:rPr>
    </w:lvl>
    <w:lvl w:ilvl="6" w:tplc="539AA918" w:tentative="1">
      <w:start w:val="1"/>
      <w:numFmt w:val="bullet"/>
      <w:lvlText w:val=""/>
      <w:lvlJc w:val="left"/>
      <w:pPr>
        <w:ind w:left="5040" w:hanging="360"/>
      </w:pPr>
      <w:rPr>
        <w:rFonts w:ascii="Symbol" w:hAnsi="Symbol" w:hint="default"/>
      </w:rPr>
    </w:lvl>
    <w:lvl w:ilvl="7" w:tplc="6B1813C6" w:tentative="1">
      <w:start w:val="1"/>
      <w:numFmt w:val="bullet"/>
      <w:lvlText w:val="o"/>
      <w:lvlJc w:val="left"/>
      <w:pPr>
        <w:ind w:left="5760" w:hanging="360"/>
      </w:pPr>
      <w:rPr>
        <w:rFonts w:ascii="Courier New" w:hAnsi="Courier New" w:cs="Courier New" w:hint="default"/>
      </w:rPr>
    </w:lvl>
    <w:lvl w:ilvl="8" w:tplc="04AEBFC6" w:tentative="1">
      <w:start w:val="1"/>
      <w:numFmt w:val="bullet"/>
      <w:lvlText w:val=""/>
      <w:lvlJc w:val="left"/>
      <w:pPr>
        <w:ind w:left="6480" w:hanging="360"/>
      </w:pPr>
      <w:rPr>
        <w:rFonts w:ascii="Wingdings" w:hAnsi="Wingdings" w:hint="default"/>
      </w:rPr>
    </w:lvl>
  </w:abstractNum>
  <w:abstractNum w:abstractNumId="3" w15:restartNumberingAfterBreak="0">
    <w:nsid w:val="06410F1B"/>
    <w:multiLevelType w:val="hybridMultilevel"/>
    <w:tmpl w:val="C804E21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DC38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3B3F98"/>
    <w:multiLevelType w:val="hybridMultilevel"/>
    <w:tmpl w:val="7180C532"/>
    <w:lvl w:ilvl="0" w:tplc="8F02D0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1E503F"/>
    <w:multiLevelType w:val="hybridMultilevel"/>
    <w:tmpl w:val="6CE64CE4"/>
    <w:lvl w:ilvl="0" w:tplc="2A12690E">
      <w:start w:val="1"/>
      <w:numFmt w:val="bullet"/>
      <w:lvlText w:val=""/>
      <w:lvlJc w:val="left"/>
      <w:pPr>
        <w:ind w:left="720" w:hanging="360"/>
      </w:pPr>
      <w:rPr>
        <w:rFonts w:ascii="Symbol" w:hAnsi="Symbol" w:hint="default"/>
        <w:color w:val="auto"/>
      </w:rPr>
    </w:lvl>
    <w:lvl w:ilvl="1" w:tplc="B56EAFF0" w:tentative="1">
      <w:start w:val="1"/>
      <w:numFmt w:val="bullet"/>
      <w:lvlText w:val="o"/>
      <w:lvlJc w:val="left"/>
      <w:pPr>
        <w:ind w:left="1440" w:hanging="360"/>
      </w:pPr>
      <w:rPr>
        <w:rFonts w:ascii="Courier New" w:hAnsi="Courier New" w:cs="Courier New" w:hint="default"/>
      </w:rPr>
    </w:lvl>
    <w:lvl w:ilvl="2" w:tplc="1CD80978" w:tentative="1">
      <w:start w:val="1"/>
      <w:numFmt w:val="bullet"/>
      <w:lvlText w:val=""/>
      <w:lvlJc w:val="left"/>
      <w:pPr>
        <w:ind w:left="2160" w:hanging="360"/>
      </w:pPr>
      <w:rPr>
        <w:rFonts w:ascii="Wingdings" w:hAnsi="Wingdings" w:hint="default"/>
      </w:rPr>
    </w:lvl>
    <w:lvl w:ilvl="3" w:tplc="A536AC5A" w:tentative="1">
      <w:start w:val="1"/>
      <w:numFmt w:val="bullet"/>
      <w:lvlText w:val=""/>
      <w:lvlJc w:val="left"/>
      <w:pPr>
        <w:ind w:left="2880" w:hanging="360"/>
      </w:pPr>
      <w:rPr>
        <w:rFonts w:ascii="Symbol" w:hAnsi="Symbol" w:hint="default"/>
      </w:rPr>
    </w:lvl>
    <w:lvl w:ilvl="4" w:tplc="6DBC55E6" w:tentative="1">
      <w:start w:val="1"/>
      <w:numFmt w:val="bullet"/>
      <w:lvlText w:val="o"/>
      <w:lvlJc w:val="left"/>
      <w:pPr>
        <w:ind w:left="3600" w:hanging="360"/>
      </w:pPr>
      <w:rPr>
        <w:rFonts w:ascii="Courier New" w:hAnsi="Courier New" w:cs="Courier New" w:hint="default"/>
      </w:rPr>
    </w:lvl>
    <w:lvl w:ilvl="5" w:tplc="D832AB22" w:tentative="1">
      <w:start w:val="1"/>
      <w:numFmt w:val="bullet"/>
      <w:lvlText w:val=""/>
      <w:lvlJc w:val="left"/>
      <w:pPr>
        <w:ind w:left="4320" w:hanging="360"/>
      </w:pPr>
      <w:rPr>
        <w:rFonts w:ascii="Wingdings" w:hAnsi="Wingdings" w:hint="default"/>
      </w:rPr>
    </w:lvl>
    <w:lvl w:ilvl="6" w:tplc="A44C92AC" w:tentative="1">
      <w:start w:val="1"/>
      <w:numFmt w:val="bullet"/>
      <w:lvlText w:val=""/>
      <w:lvlJc w:val="left"/>
      <w:pPr>
        <w:ind w:left="5040" w:hanging="360"/>
      </w:pPr>
      <w:rPr>
        <w:rFonts w:ascii="Symbol" w:hAnsi="Symbol" w:hint="default"/>
      </w:rPr>
    </w:lvl>
    <w:lvl w:ilvl="7" w:tplc="6E7E766E" w:tentative="1">
      <w:start w:val="1"/>
      <w:numFmt w:val="bullet"/>
      <w:lvlText w:val="o"/>
      <w:lvlJc w:val="left"/>
      <w:pPr>
        <w:ind w:left="5760" w:hanging="360"/>
      </w:pPr>
      <w:rPr>
        <w:rFonts w:ascii="Courier New" w:hAnsi="Courier New" w:cs="Courier New" w:hint="default"/>
      </w:rPr>
    </w:lvl>
    <w:lvl w:ilvl="8" w:tplc="CB5E641E" w:tentative="1">
      <w:start w:val="1"/>
      <w:numFmt w:val="bullet"/>
      <w:lvlText w:val=""/>
      <w:lvlJc w:val="left"/>
      <w:pPr>
        <w:ind w:left="6480" w:hanging="360"/>
      </w:pPr>
      <w:rPr>
        <w:rFonts w:ascii="Wingdings" w:hAnsi="Wingdings" w:hint="default"/>
      </w:rPr>
    </w:lvl>
  </w:abstractNum>
  <w:abstractNum w:abstractNumId="7" w15:restartNumberingAfterBreak="0">
    <w:nsid w:val="16EC0050"/>
    <w:multiLevelType w:val="hybridMultilevel"/>
    <w:tmpl w:val="551A4F74"/>
    <w:lvl w:ilvl="0" w:tplc="40929214">
      <w:start w:val="1"/>
      <w:numFmt w:val="bullet"/>
      <w:lvlText w:val=""/>
      <w:lvlJc w:val="left"/>
      <w:pPr>
        <w:ind w:left="720" w:hanging="360"/>
      </w:pPr>
      <w:rPr>
        <w:rFonts w:ascii="Symbol" w:hAnsi="Symbol" w:hint="default"/>
      </w:rPr>
    </w:lvl>
    <w:lvl w:ilvl="1" w:tplc="98E2C44A">
      <w:start w:val="1"/>
      <w:numFmt w:val="bullet"/>
      <w:lvlText w:val="o"/>
      <w:lvlJc w:val="left"/>
      <w:pPr>
        <w:ind w:left="1440" w:hanging="360"/>
      </w:pPr>
      <w:rPr>
        <w:rFonts w:ascii="Courier New" w:hAnsi="Courier New" w:cs="Courier New" w:hint="default"/>
      </w:rPr>
    </w:lvl>
    <w:lvl w:ilvl="2" w:tplc="F0C2E7C4" w:tentative="1">
      <w:start w:val="1"/>
      <w:numFmt w:val="bullet"/>
      <w:lvlText w:val=""/>
      <w:lvlJc w:val="left"/>
      <w:pPr>
        <w:ind w:left="2160" w:hanging="360"/>
      </w:pPr>
      <w:rPr>
        <w:rFonts w:ascii="Wingdings" w:hAnsi="Wingdings" w:hint="default"/>
      </w:rPr>
    </w:lvl>
    <w:lvl w:ilvl="3" w:tplc="D098CBF0" w:tentative="1">
      <w:start w:val="1"/>
      <w:numFmt w:val="bullet"/>
      <w:lvlText w:val=""/>
      <w:lvlJc w:val="left"/>
      <w:pPr>
        <w:ind w:left="2880" w:hanging="360"/>
      </w:pPr>
      <w:rPr>
        <w:rFonts w:ascii="Symbol" w:hAnsi="Symbol" w:hint="default"/>
      </w:rPr>
    </w:lvl>
    <w:lvl w:ilvl="4" w:tplc="6AEA0F10" w:tentative="1">
      <w:start w:val="1"/>
      <w:numFmt w:val="bullet"/>
      <w:lvlText w:val="o"/>
      <w:lvlJc w:val="left"/>
      <w:pPr>
        <w:ind w:left="3600" w:hanging="360"/>
      </w:pPr>
      <w:rPr>
        <w:rFonts w:ascii="Courier New" w:hAnsi="Courier New" w:cs="Courier New" w:hint="default"/>
      </w:rPr>
    </w:lvl>
    <w:lvl w:ilvl="5" w:tplc="47142996" w:tentative="1">
      <w:start w:val="1"/>
      <w:numFmt w:val="bullet"/>
      <w:lvlText w:val=""/>
      <w:lvlJc w:val="left"/>
      <w:pPr>
        <w:ind w:left="4320" w:hanging="360"/>
      </w:pPr>
      <w:rPr>
        <w:rFonts w:ascii="Wingdings" w:hAnsi="Wingdings" w:hint="default"/>
      </w:rPr>
    </w:lvl>
    <w:lvl w:ilvl="6" w:tplc="D91EE950" w:tentative="1">
      <w:start w:val="1"/>
      <w:numFmt w:val="bullet"/>
      <w:lvlText w:val=""/>
      <w:lvlJc w:val="left"/>
      <w:pPr>
        <w:ind w:left="5040" w:hanging="360"/>
      </w:pPr>
      <w:rPr>
        <w:rFonts w:ascii="Symbol" w:hAnsi="Symbol" w:hint="default"/>
      </w:rPr>
    </w:lvl>
    <w:lvl w:ilvl="7" w:tplc="637E3BD4" w:tentative="1">
      <w:start w:val="1"/>
      <w:numFmt w:val="bullet"/>
      <w:lvlText w:val="o"/>
      <w:lvlJc w:val="left"/>
      <w:pPr>
        <w:ind w:left="5760" w:hanging="360"/>
      </w:pPr>
      <w:rPr>
        <w:rFonts w:ascii="Courier New" w:hAnsi="Courier New" w:cs="Courier New" w:hint="default"/>
      </w:rPr>
    </w:lvl>
    <w:lvl w:ilvl="8" w:tplc="B31A634A" w:tentative="1">
      <w:start w:val="1"/>
      <w:numFmt w:val="bullet"/>
      <w:lvlText w:val=""/>
      <w:lvlJc w:val="left"/>
      <w:pPr>
        <w:ind w:left="6480" w:hanging="360"/>
      </w:pPr>
      <w:rPr>
        <w:rFonts w:ascii="Wingdings" w:hAnsi="Wingdings" w:hint="default"/>
      </w:rPr>
    </w:lvl>
  </w:abstractNum>
  <w:abstractNum w:abstractNumId="8" w15:restartNumberingAfterBreak="0">
    <w:nsid w:val="172D5681"/>
    <w:multiLevelType w:val="hybridMultilevel"/>
    <w:tmpl w:val="C804E21A"/>
    <w:lvl w:ilvl="0" w:tplc="C2B05456">
      <w:start w:val="1"/>
      <w:numFmt w:val="lowerLetter"/>
      <w:lvlText w:val="%1)"/>
      <w:lvlJc w:val="left"/>
      <w:pPr>
        <w:ind w:left="1440" w:hanging="360"/>
      </w:pPr>
    </w:lvl>
    <w:lvl w:ilvl="1" w:tplc="D1F07C60">
      <w:start w:val="1"/>
      <w:numFmt w:val="lowerLetter"/>
      <w:lvlText w:val="%2."/>
      <w:lvlJc w:val="left"/>
      <w:pPr>
        <w:ind w:left="2160" w:hanging="360"/>
      </w:pPr>
    </w:lvl>
    <w:lvl w:ilvl="2" w:tplc="FBBA9476" w:tentative="1">
      <w:start w:val="1"/>
      <w:numFmt w:val="lowerRoman"/>
      <w:lvlText w:val="%3."/>
      <w:lvlJc w:val="right"/>
      <w:pPr>
        <w:ind w:left="2880" w:hanging="180"/>
      </w:pPr>
    </w:lvl>
    <w:lvl w:ilvl="3" w:tplc="082AACFA" w:tentative="1">
      <w:start w:val="1"/>
      <w:numFmt w:val="decimal"/>
      <w:lvlText w:val="%4."/>
      <w:lvlJc w:val="left"/>
      <w:pPr>
        <w:ind w:left="3600" w:hanging="360"/>
      </w:pPr>
    </w:lvl>
    <w:lvl w:ilvl="4" w:tplc="8FA06B2E" w:tentative="1">
      <w:start w:val="1"/>
      <w:numFmt w:val="lowerLetter"/>
      <w:lvlText w:val="%5."/>
      <w:lvlJc w:val="left"/>
      <w:pPr>
        <w:ind w:left="4320" w:hanging="360"/>
      </w:pPr>
    </w:lvl>
    <w:lvl w:ilvl="5" w:tplc="5E4AB12C" w:tentative="1">
      <w:start w:val="1"/>
      <w:numFmt w:val="lowerRoman"/>
      <w:lvlText w:val="%6."/>
      <w:lvlJc w:val="right"/>
      <w:pPr>
        <w:ind w:left="5040" w:hanging="180"/>
      </w:pPr>
    </w:lvl>
    <w:lvl w:ilvl="6" w:tplc="763A2634" w:tentative="1">
      <w:start w:val="1"/>
      <w:numFmt w:val="decimal"/>
      <w:lvlText w:val="%7."/>
      <w:lvlJc w:val="left"/>
      <w:pPr>
        <w:ind w:left="5760" w:hanging="360"/>
      </w:pPr>
    </w:lvl>
    <w:lvl w:ilvl="7" w:tplc="062073AC" w:tentative="1">
      <w:start w:val="1"/>
      <w:numFmt w:val="lowerLetter"/>
      <w:lvlText w:val="%8."/>
      <w:lvlJc w:val="left"/>
      <w:pPr>
        <w:ind w:left="6480" w:hanging="360"/>
      </w:pPr>
    </w:lvl>
    <w:lvl w:ilvl="8" w:tplc="225C8970" w:tentative="1">
      <w:start w:val="1"/>
      <w:numFmt w:val="lowerRoman"/>
      <w:lvlText w:val="%9."/>
      <w:lvlJc w:val="right"/>
      <w:pPr>
        <w:ind w:left="7200" w:hanging="180"/>
      </w:pPr>
    </w:lvl>
  </w:abstractNum>
  <w:abstractNum w:abstractNumId="9" w15:restartNumberingAfterBreak="0">
    <w:nsid w:val="179F6C85"/>
    <w:multiLevelType w:val="hybridMultilevel"/>
    <w:tmpl w:val="10DC07CA"/>
    <w:lvl w:ilvl="0" w:tplc="86029AB2">
      <w:start w:val="1"/>
      <w:numFmt w:val="bullet"/>
      <w:lvlText w:val=""/>
      <w:lvlJc w:val="left"/>
      <w:pPr>
        <w:ind w:left="720" w:hanging="360"/>
      </w:pPr>
      <w:rPr>
        <w:rFonts w:ascii="Symbol" w:hAnsi="Symbol" w:hint="default"/>
      </w:rPr>
    </w:lvl>
    <w:lvl w:ilvl="1" w:tplc="0CAA3D2C" w:tentative="1">
      <w:start w:val="1"/>
      <w:numFmt w:val="bullet"/>
      <w:lvlText w:val="o"/>
      <w:lvlJc w:val="left"/>
      <w:pPr>
        <w:ind w:left="1440" w:hanging="360"/>
      </w:pPr>
      <w:rPr>
        <w:rFonts w:ascii="Courier New" w:hAnsi="Courier New" w:cs="Courier New" w:hint="default"/>
      </w:rPr>
    </w:lvl>
    <w:lvl w:ilvl="2" w:tplc="3AC03C84" w:tentative="1">
      <w:start w:val="1"/>
      <w:numFmt w:val="bullet"/>
      <w:lvlText w:val=""/>
      <w:lvlJc w:val="left"/>
      <w:pPr>
        <w:ind w:left="2160" w:hanging="360"/>
      </w:pPr>
      <w:rPr>
        <w:rFonts w:ascii="Wingdings" w:hAnsi="Wingdings" w:hint="default"/>
      </w:rPr>
    </w:lvl>
    <w:lvl w:ilvl="3" w:tplc="E45658DC" w:tentative="1">
      <w:start w:val="1"/>
      <w:numFmt w:val="bullet"/>
      <w:lvlText w:val=""/>
      <w:lvlJc w:val="left"/>
      <w:pPr>
        <w:ind w:left="2880" w:hanging="360"/>
      </w:pPr>
      <w:rPr>
        <w:rFonts w:ascii="Symbol" w:hAnsi="Symbol" w:hint="default"/>
      </w:rPr>
    </w:lvl>
    <w:lvl w:ilvl="4" w:tplc="8B5CB324" w:tentative="1">
      <w:start w:val="1"/>
      <w:numFmt w:val="bullet"/>
      <w:lvlText w:val="o"/>
      <w:lvlJc w:val="left"/>
      <w:pPr>
        <w:ind w:left="3600" w:hanging="360"/>
      </w:pPr>
      <w:rPr>
        <w:rFonts w:ascii="Courier New" w:hAnsi="Courier New" w:cs="Courier New" w:hint="default"/>
      </w:rPr>
    </w:lvl>
    <w:lvl w:ilvl="5" w:tplc="189EE7D4" w:tentative="1">
      <w:start w:val="1"/>
      <w:numFmt w:val="bullet"/>
      <w:lvlText w:val=""/>
      <w:lvlJc w:val="left"/>
      <w:pPr>
        <w:ind w:left="4320" w:hanging="360"/>
      </w:pPr>
      <w:rPr>
        <w:rFonts w:ascii="Wingdings" w:hAnsi="Wingdings" w:hint="default"/>
      </w:rPr>
    </w:lvl>
    <w:lvl w:ilvl="6" w:tplc="5D8A130C" w:tentative="1">
      <w:start w:val="1"/>
      <w:numFmt w:val="bullet"/>
      <w:lvlText w:val=""/>
      <w:lvlJc w:val="left"/>
      <w:pPr>
        <w:ind w:left="5040" w:hanging="360"/>
      </w:pPr>
      <w:rPr>
        <w:rFonts w:ascii="Symbol" w:hAnsi="Symbol" w:hint="default"/>
      </w:rPr>
    </w:lvl>
    <w:lvl w:ilvl="7" w:tplc="FD4835AA" w:tentative="1">
      <w:start w:val="1"/>
      <w:numFmt w:val="bullet"/>
      <w:lvlText w:val="o"/>
      <w:lvlJc w:val="left"/>
      <w:pPr>
        <w:ind w:left="5760" w:hanging="360"/>
      </w:pPr>
      <w:rPr>
        <w:rFonts w:ascii="Courier New" w:hAnsi="Courier New" w:cs="Courier New" w:hint="default"/>
      </w:rPr>
    </w:lvl>
    <w:lvl w:ilvl="8" w:tplc="242C2CDA" w:tentative="1">
      <w:start w:val="1"/>
      <w:numFmt w:val="bullet"/>
      <w:lvlText w:val=""/>
      <w:lvlJc w:val="left"/>
      <w:pPr>
        <w:ind w:left="6480" w:hanging="360"/>
      </w:pPr>
      <w:rPr>
        <w:rFonts w:ascii="Wingdings" w:hAnsi="Wingdings" w:hint="default"/>
      </w:rPr>
    </w:lvl>
  </w:abstractNum>
  <w:abstractNum w:abstractNumId="10" w15:restartNumberingAfterBreak="0">
    <w:nsid w:val="17F255E3"/>
    <w:multiLevelType w:val="hybridMultilevel"/>
    <w:tmpl w:val="7180C5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92E1D0A"/>
    <w:multiLevelType w:val="hybridMultilevel"/>
    <w:tmpl w:val="C804E21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9FE4B66"/>
    <w:multiLevelType w:val="hybridMultilevel"/>
    <w:tmpl w:val="98966080"/>
    <w:lvl w:ilvl="0" w:tplc="C870F982">
      <w:numFmt w:val="bullet"/>
      <w:lvlText w:val="•"/>
      <w:lvlJc w:val="left"/>
      <w:pPr>
        <w:ind w:left="1080" w:hanging="720"/>
      </w:pPr>
      <w:rPr>
        <w:rFonts w:ascii="Calibri" w:eastAsia="Calibri" w:hAnsi="Calibri" w:cs="Calibri" w:hint="default"/>
      </w:rPr>
    </w:lvl>
    <w:lvl w:ilvl="1" w:tplc="9012AD4C" w:tentative="1">
      <w:start w:val="1"/>
      <w:numFmt w:val="bullet"/>
      <w:lvlText w:val="o"/>
      <w:lvlJc w:val="left"/>
      <w:pPr>
        <w:ind w:left="1440" w:hanging="360"/>
      </w:pPr>
      <w:rPr>
        <w:rFonts w:ascii="Courier New" w:hAnsi="Courier New" w:cs="Courier New" w:hint="default"/>
      </w:rPr>
    </w:lvl>
    <w:lvl w:ilvl="2" w:tplc="B7281060" w:tentative="1">
      <w:start w:val="1"/>
      <w:numFmt w:val="bullet"/>
      <w:lvlText w:val=""/>
      <w:lvlJc w:val="left"/>
      <w:pPr>
        <w:ind w:left="2160" w:hanging="360"/>
      </w:pPr>
      <w:rPr>
        <w:rFonts w:ascii="Wingdings" w:hAnsi="Wingdings" w:hint="default"/>
      </w:rPr>
    </w:lvl>
    <w:lvl w:ilvl="3" w:tplc="85189160" w:tentative="1">
      <w:start w:val="1"/>
      <w:numFmt w:val="bullet"/>
      <w:lvlText w:val=""/>
      <w:lvlJc w:val="left"/>
      <w:pPr>
        <w:ind w:left="2880" w:hanging="360"/>
      </w:pPr>
      <w:rPr>
        <w:rFonts w:ascii="Symbol" w:hAnsi="Symbol" w:hint="default"/>
      </w:rPr>
    </w:lvl>
    <w:lvl w:ilvl="4" w:tplc="ABB6F9C0" w:tentative="1">
      <w:start w:val="1"/>
      <w:numFmt w:val="bullet"/>
      <w:lvlText w:val="o"/>
      <w:lvlJc w:val="left"/>
      <w:pPr>
        <w:ind w:left="3600" w:hanging="360"/>
      </w:pPr>
      <w:rPr>
        <w:rFonts w:ascii="Courier New" w:hAnsi="Courier New" w:cs="Courier New" w:hint="default"/>
      </w:rPr>
    </w:lvl>
    <w:lvl w:ilvl="5" w:tplc="E01AF3BE" w:tentative="1">
      <w:start w:val="1"/>
      <w:numFmt w:val="bullet"/>
      <w:lvlText w:val=""/>
      <w:lvlJc w:val="left"/>
      <w:pPr>
        <w:ind w:left="4320" w:hanging="360"/>
      </w:pPr>
      <w:rPr>
        <w:rFonts w:ascii="Wingdings" w:hAnsi="Wingdings" w:hint="default"/>
      </w:rPr>
    </w:lvl>
    <w:lvl w:ilvl="6" w:tplc="5E8CBCB0" w:tentative="1">
      <w:start w:val="1"/>
      <w:numFmt w:val="bullet"/>
      <w:lvlText w:val=""/>
      <w:lvlJc w:val="left"/>
      <w:pPr>
        <w:ind w:left="5040" w:hanging="360"/>
      </w:pPr>
      <w:rPr>
        <w:rFonts w:ascii="Symbol" w:hAnsi="Symbol" w:hint="default"/>
      </w:rPr>
    </w:lvl>
    <w:lvl w:ilvl="7" w:tplc="6240B768" w:tentative="1">
      <w:start w:val="1"/>
      <w:numFmt w:val="bullet"/>
      <w:lvlText w:val="o"/>
      <w:lvlJc w:val="left"/>
      <w:pPr>
        <w:ind w:left="5760" w:hanging="360"/>
      </w:pPr>
      <w:rPr>
        <w:rFonts w:ascii="Courier New" w:hAnsi="Courier New" w:cs="Courier New" w:hint="default"/>
      </w:rPr>
    </w:lvl>
    <w:lvl w:ilvl="8" w:tplc="C3C25B64" w:tentative="1">
      <w:start w:val="1"/>
      <w:numFmt w:val="bullet"/>
      <w:lvlText w:val=""/>
      <w:lvlJc w:val="left"/>
      <w:pPr>
        <w:ind w:left="6480" w:hanging="360"/>
      </w:pPr>
      <w:rPr>
        <w:rFonts w:ascii="Wingdings" w:hAnsi="Wingdings" w:hint="default"/>
      </w:rPr>
    </w:lvl>
  </w:abstractNum>
  <w:abstractNum w:abstractNumId="13" w15:restartNumberingAfterBreak="0">
    <w:nsid w:val="1C1F760E"/>
    <w:multiLevelType w:val="hybridMultilevel"/>
    <w:tmpl w:val="C804E21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DCA0343"/>
    <w:multiLevelType w:val="hybridMultilevel"/>
    <w:tmpl w:val="30BCF296"/>
    <w:lvl w:ilvl="0" w:tplc="B23AE27C">
      <w:start w:val="1"/>
      <w:numFmt w:val="lowerLetter"/>
      <w:lvlText w:val="%1."/>
      <w:lvlJc w:val="left"/>
      <w:pPr>
        <w:ind w:left="720" w:hanging="360"/>
      </w:pPr>
      <w:rPr>
        <w:rFonts w:hint="default"/>
      </w:rPr>
    </w:lvl>
    <w:lvl w:ilvl="1" w:tplc="38BCE65E" w:tentative="1">
      <w:start w:val="1"/>
      <w:numFmt w:val="lowerLetter"/>
      <w:lvlText w:val="%2."/>
      <w:lvlJc w:val="left"/>
      <w:pPr>
        <w:ind w:left="1440" w:hanging="360"/>
      </w:pPr>
    </w:lvl>
    <w:lvl w:ilvl="2" w:tplc="66485FA8" w:tentative="1">
      <w:start w:val="1"/>
      <w:numFmt w:val="lowerRoman"/>
      <w:lvlText w:val="%3."/>
      <w:lvlJc w:val="right"/>
      <w:pPr>
        <w:ind w:left="2160" w:hanging="180"/>
      </w:pPr>
    </w:lvl>
    <w:lvl w:ilvl="3" w:tplc="3FAE4F14" w:tentative="1">
      <w:start w:val="1"/>
      <w:numFmt w:val="decimal"/>
      <w:lvlText w:val="%4."/>
      <w:lvlJc w:val="left"/>
      <w:pPr>
        <w:ind w:left="2880" w:hanging="360"/>
      </w:pPr>
    </w:lvl>
    <w:lvl w:ilvl="4" w:tplc="3C8E8646" w:tentative="1">
      <w:start w:val="1"/>
      <w:numFmt w:val="lowerLetter"/>
      <w:lvlText w:val="%5."/>
      <w:lvlJc w:val="left"/>
      <w:pPr>
        <w:ind w:left="3600" w:hanging="360"/>
      </w:pPr>
    </w:lvl>
    <w:lvl w:ilvl="5" w:tplc="C5361A50" w:tentative="1">
      <w:start w:val="1"/>
      <w:numFmt w:val="lowerRoman"/>
      <w:lvlText w:val="%6."/>
      <w:lvlJc w:val="right"/>
      <w:pPr>
        <w:ind w:left="4320" w:hanging="180"/>
      </w:pPr>
    </w:lvl>
    <w:lvl w:ilvl="6" w:tplc="C59C86F2" w:tentative="1">
      <w:start w:val="1"/>
      <w:numFmt w:val="decimal"/>
      <w:lvlText w:val="%7."/>
      <w:lvlJc w:val="left"/>
      <w:pPr>
        <w:ind w:left="5040" w:hanging="360"/>
      </w:pPr>
    </w:lvl>
    <w:lvl w:ilvl="7" w:tplc="8AD81B6E" w:tentative="1">
      <w:start w:val="1"/>
      <w:numFmt w:val="lowerLetter"/>
      <w:lvlText w:val="%8."/>
      <w:lvlJc w:val="left"/>
      <w:pPr>
        <w:ind w:left="5760" w:hanging="360"/>
      </w:pPr>
    </w:lvl>
    <w:lvl w:ilvl="8" w:tplc="8AE4F93C" w:tentative="1">
      <w:start w:val="1"/>
      <w:numFmt w:val="lowerRoman"/>
      <w:lvlText w:val="%9."/>
      <w:lvlJc w:val="right"/>
      <w:pPr>
        <w:ind w:left="6480" w:hanging="180"/>
      </w:pPr>
    </w:lvl>
  </w:abstractNum>
  <w:abstractNum w:abstractNumId="15" w15:restartNumberingAfterBreak="0">
    <w:nsid w:val="1DD9516F"/>
    <w:multiLevelType w:val="hybridMultilevel"/>
    <w:tmpl w:val="5A9C7B24"/>
    <w:lvl w:ilvl="0" w:tplc="81D065BC">
      <w:start w:val="1"/>
      <w:numFmt w:val="lowerLetter"/>
      <w:lvlText w:val="%1."/>
      <w:lvlJc w:val="left"/>
      <w:pPr>
        <w:ind w:left="845" w:hanging="420"/>
      </w:pPr>
      <w:rPr>
        <w:rFonts w:hint="default"/>
      </w:rPr>
    </w:lvl>
    <w:lvl w:ilvl="1" w:tplc="6D7461E8">
      <w:start w:val="1"/>
      <w:numFmt w:val="lowerRoman"/>
      <w:lvlText w:val="%2."/>
      <w:lvlJc w:val="right"/>
      <w:pPr>
        <w:ind w:left="1505" w:hanging="360"/>
      </w:pPr>
    </w:lvl>
    <w:lvl w:ilvl="2" w:tplc="9E90A89E" w:tentative="1">
      <w:start w:val="1"/>
      <w:numFmt w:val="lowerRoman"/>
      <w:lvlText w:val="%3."/>
      <w:lvlJc w:val="right"/>
      <w:pPr>
        <w:ind w:left="2225" w:hanging="180"/>
      </w:pPr>
    </w:lvl>
    <w:lvl w:ilvl="3" w:tplc="29EC8F70" w:tentative="1">
      <w:start w:val="1"/>
      <w:numFmt w:val="decimal"/>
      <w:lvlText w:val="%4."/>
      <w:lvlJc w:val="left"/>
      <w:pPr>
        <w:ind w:left="2945" w:hanging="360"/>
      </w:pPr>
    </w:lvl>
    <w:lvl w:ilvl="4" w:tplc="53BCDE2A" w:tentative="1">
      <w:start w:val="1"/>
      <w:numFmt w:val="lowerLetter"/>
      <w:lvlText w:val="%5."/>
      <w:lvlJc w:val="left"/>
      <w:pPr>
        <w:ind w:left="3665" w:hanging="360"/>
      </w:pPr>
    </w:lvl>
    <w:lvl w:ilvl="5" w:tplc="9C8E5DA4" w:tentative="1">
      <w:start w:val="1"/>
      <w:numFmt w:val="lowerRoman"/>
      <w:lvlText w:val="%6."/>
      <w:lvlJc w:val="right"/>
      <w:pPr>
        <w:ind w:left="4385" w:hanging="180"/>
      </w:pPr>
    </w:lvl>
    <w:lvl w:ilvl="6" w:tplc="EBEC51B0" w:tentative="1">
      <w:start w:val="1"/>
      <w:numFmt w:val="decimal"/>
      <w:lvlText w:val="%7."/>
      <w:lvlJc w:val="left"/>
      <w:pPr>
        <w:ind w:left="5105" w:hanging="360"/>
      </w:pPr>
    </w:lvl>
    <w:lvl w:ilvl="7" w:tplc="2DF8E652" w:tentative="1">
      <w:start w:val="1"/>
      <w:numFmt w:val="lowerLetter"/>
      <w:lvlText w:val="%8."/>
      <w:lvlJc w:val="left"/>
      <w:pPr>
        <w:ind w:left="5825" w:hanging="360"/>
      </w:pPr>
    </w:lvl>
    <w:lvl w:ilvl="8" w:tplc="5ADE7258" w:tentative="1">
      <w:start w:val="1"/>
      <w:numFmt w:val="lowerRoman"/>
      <w:lvlText w:val="%9."/>
      <w:lvlJc w:val="right"/>
      <w:pPr>
        <w:ind w:left="6545" w:hanging="180"/>
      </w:pPr>
    </w:lvl>
  </w:abstractNum>
  <w:abstractNum w:abstractNumId="16" w15:restartNumberingAfterBreak="0">
    <w:nsid w:val="2E53507D"/>
    <w:multiLevelType w:val="hybridMultilevel"/>
    <w:tmpl w:val="CE926766"/>
    <w:lvl w:ilvl="0" w:tplc="B2644794">
      <w:start w:val="1"/>
      <w:numFmt w:val="lowerLetter"/>
      <w:lvlText w:val="%1."/>
      <w:lvlJc w:val="left"/>
      <w:pPr>
        <w:ind w:left="1080" w:hanging="360"/>
      </w:pPr>
      <w:rPr>
        <w:rFonts w:hint="default"/>
      </w:rPr>
    </w:lvl>
    <w:lvl w:ilvl="1" w:tplc="782EFAC0" w:tentative="1">
      <w:start w:val="1"/>
      <w:numFmt w:val="lowerLetter"/>
      <w:lvlText w:val="%2."/>
      <w:lvlJc w:val="left"/>
      <w:pPr>
        <w:ind w:left="1800" w:hanging="360"/>
      </w:pPr>
    </w:lvl>
    <w:lvl w:ilvl="2" w:tplc="5E08E792" w:tentative="1">
      <w:start w:val="1"/>
      <w:numFmt w:val="lowerRoman"/>
      <w:lvlText w:val="%3."/>
      <w:lvlJc w:val="right"/>
      <w:pPr>
        <w:ind w:left="2520" w:hanging="180"/>
      </w:pPr>
    </w:lvl>
    <w:lvl w:ilvl="3" w:tplc="888AA8CA" w:tentative="1">
      <w:start w:val="1"/>
      <w:numFmt w:val="decimal"/>
      <w:lvlText w:val="%4."/>
      <w:lvlJc w:val="left"/>
      <w:pPr>
        <w:ind w:left="3240" w:hanging="360"/>
      </w:pPr>
    </w:lvl>
    <w:lvl w:ilvl="4" w:tplc="EBBAE02A" w:tentative="1">
      <w:start w:val="1"/>
      <w:numFmt w:val="lowerLetter"/>
      <w:lvlText w:val="%5."/>
      <w:lvlJc w:val="left"/>
      <w:pPr>
        <w:ind w:left="3960" w:hanging="360"/>
      </w:pPr>
    </w:lvl>
    <w:lvl w:ilvl="5" w:tplc="705E5682" w:tentative="1">
      <w:start w:val="1"/>
      <w:numFmt w:val="lowerRoman"/>
      <w:lvlText w:val="%6."/>
      <w:lvlJc w:val="right"/>
      <w:pPr>
        <w:ind w:left="4680" w:hanging="180"/>
      </w:pPr>
    </w:lvl>
    <w:lvl w:ilvl="6" w:tplc="14CE604A" w:tentative="1">
      <w:start w:val="1"/>
      <w:numFmt w:val="decimal"/>
      <w:lvlText w:val="%7."/>
      <w:lvlJc w:val="left"/>
      <w:pPr>
        <w:ind w:left="5400" w:hanging="360"/>
      </w:pPr>
    </w:lvl>
    <w:lvl w:ilvl="7" w:tplc="8ACC2AB8" w:tentative="1">
      <w:start w:val="1"/>
      <w:numFmt w:val="lowerLetter"/>
      <w:lvlText w:val="%8."/>
      <w:lvlJc w:val="left"/>
      <w:pPr>
        <w:ind w:left="6120" w:hanging="360"/>
      </w:pPr>
    </w:lvl>
    <w:lvl w:ilvl="8" w:tplc="33FC9F0C" w:tentative="1">
      <w:start w:val="1"/>
      <w:numFmt w:val="lowerRoman"/>
      <w:lvlText w:val="%9."/>
      <w:lvlJc w:val="right"/>
      <w:pPr>
        <w:ind w:left="6840" w:hanging="180"/>
      </w:pPr>
    </w:lvl>
  </w:abstractNum>
  <w:abstractNum w:abstractNumId="17" w15:restartNumberingAfterBreak="0">
    <w:nsid w:val="30CA6931"/>
    <w:multiLevelType w:val="hybridMultilevel"/>
    <w:tmpl w:val="B57CE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FC76F2"/>
    <w:multiLevelType w:val="multilevel"/>
    <w:tmpl w:val="A9C8F8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34EC7B0A"/>
    <w:multiLevelType w:val="hybridMultilevel"/>
    <w:tmpl w:val="7A686EF2"/>
    <w:lvl w:ilvl="0" w:tplc="61A0A72E">
      <w:start w:val="1"/>
      <w:numFmt w:val="lowerRoman"/>
      <w:lvlText w:val="%1."/>
      <w:lvlJc w:val="left"/>
      <w:pPr>
        <w:ind w:left="720" w:hanging="360"/>
      </w:pPr>
      <w:rPr>
        <w:rFonts w:hint="default"/>
      </w:rPr>
    </w:lvl>
    <w:lvl w:ilvl="1" w:tplc="E7F648E0" w:tentative="1">
      <w:start w:val="1"/>
      <w:numFmt w:val="lowerLetter"/>
      <w:lvlText w:val="%2."/>
      <w:lvlJc w:val="left"/>
      <w:pPr>
        <w:ind w:left="1440" w:hanging="360"/>
      </w:pPr>
    </w:lvl>
    <w:lvl w:ilvl="2" w:tplc="45647744" w:tentative="1">
      <w:start w:val="1"/>
      <w:numFmt w:val="lowerRoman"/>
      <w:lvlText w:val="%3."/>
      <w:lvlJc w:val="right"/>
      <w:pPr>
        <w:ind w:left="2160" w:hanging="180"/>
      </w:pPr>
    </w:lvl>
    <w:lvl w:ilvl="3" w:tplc="FC0879A8" w:tentative="1">
      <w:start w:val="1"/>
      <w:numFmt w:val="decimal"/>
      <w:lvlText w:val="%4."/>
      <w:lvlJc w:val="left"/>
      <w:pPr>
        <w:ind w:left="2880" w:hanging="360"/>
      </w:pPr>
    </w:lvl>
    <w:lvl w:ilvl="4" w:tplc="C060C99E" w:tentative="1">
      <w:start w:val="1"/>
      <w:numFmt w:val="lowerLetter"/>
      <w:lvlText w:val="%5."/>
      <w:lvlJc w:val="left"/>
      <w:pPr>
        <w:ind w:left="3600" w:hanging="360"/>
      </w:pPr>
    </w:lvl>
    <w:lvl w:ilvl="5" w:tplc="3EAE1442" w:tentative="1">
      <w:start w:val="1"/>
      <w:numFmt w:val="lowerRoman"/>
      <w:lvlText w:val="%6."/>
      <w:lvlJc w:val="right"/>
      <w:pPr>
        <w:ind w:left="4320" w:hanging="180"/>
      </w:pPr>
    </w:lvl>
    <w:lvl w:ilvl="6" w:tplc="7980C9C6" w:tentative="1">
      <w:start w:val="1"/>
      <w:numFmt w:val="decimal"/>
      <w:lvlText w:val="%7."/>
      <w:lvlJc w:val="left"/>
      <w:pPr>
        <w:ind w:left="5040" w:hanging="360"/>
      </w:pPr>
    </w:lvl>
    <w:lvl w:ilvl="7" w:tplc="4E488252" w:tentative="1">
      <w:start w:val="1"/>
      <w:numFmt w:val="lowerLetter"/>
      <w:lvlText w:val="%8."/>
      <w:lvlJc w:val="left"/>
      <w:pPr>
        <w:ind w:left="5760" w:hanging="360"/>
      </w:pPr>
    </w:lvl>
    <w:lvl w:ilvl="8" w:tplc="0F9E9F0E" w:tentative="1">
      <w:start w:val="1"/>
      <w:numFmt w:val="lowerRoman"/>
      <w:lvlText w:val="%9."/>
      <w:lvlJc w:val="right"/>
      <w:pPr>
        <w:ind w:left="6480" w:hanging="180"/>
      </w:pPr>
    </w:lvl>
  </w:abstractNum>
  <w:abstractNum w:abstractNumId="20" w15:restartNumberingAfterBreak="0">
    <w:nsid w:val="3F0140F4"/>
    <w:multiLevelType w:val="hybridMultilevel"/>
    <w:tmpl w:val="5A9C7B24"/>
    <w:lvl w:ilvl="0" w:tplc="D3782400">
      <w:start w:val="1"/>
      <w:numFmt w:val="lowerLetter"/>
      <w:lvlText w:val="%1."/>
      <w:lvlJc w:val="left"/>
      <w:pPr>
        <w:ind w:left="845" w:hanging="420"/>
      </w:pPr>
      <w:rPr>
        <w:rFonts w:hint="default"/>
      </w:rPr>
    </w:lvl>
    <w:lvl w:ilvl="1" w:tplc="9C3881A4">
      <w:start w:val="1"/>
      <w:numFmt w:val="lowerRoman"/>
      <w:lvlText w:val="%2."/>
      <w:lvlJc w:val="right"/>
      <w:pPr>
        <w:ind w:left="1505" w:hanging="360"/>
      </w:pPr>
    </w:lvl>
    <w:lvl w:ilvl="2" w:tplc="0DD06B50" w:tentative="1">
      <w:start w:val="1"/>
      <w:numFmt w:val="lowerRoman"/>
      <w:lvlText w:val="%3."/>
      <w:lvlJc w:val="right"/>
      <w:pPr>
        <w:ind w:left="2225" w:hanging="180"/>
      </w:pPr>
    </w:lvl>
    <w:lvl w:ilvl="3" w:tplc="46AC85F8" w:tentative="1">
      <w:start w:val="1"/>
      <w:numFmt w:val="decimal"/>
      <w:lvlText w:val="%4."/>
      <w:lvlJc w:val="left"/>
      <w:pPr>
        <w:ind w:left="2945" w:hanging="360"/>
      </w:pPr>
    </w:lvl>
    <w:lvl w:ilvl="4" w:tplc="043A6ED8" w:tentative="1">
      <w:start w:val="1"/>
      <w:numFmt w:val="lowerLetter"/>
      <w:lvlText w:val="%5."/>
      <w:lvlJc w:val="left"/>
      <w:pPr>
        <w:ind w:left="3665" w:hanging="360"/>
      </w:pPr>
    </w:lvl>
    <w:lvl w:ilvl="5" w:tplc="B426BEB0" w:tentative="1">
      <w:start w:val="1"/>
      <w:numFmt w:val="lowerRoman"/>
      <w:lvlText w:val="%6."/>
      <w:lvlJc w:val="right"/>
      <w:pPr>
        <w:ind w:left="4385" w:hanging="180"/>
      </w:pPr>
    </w:lvl>
    <w:lvl w:ilvl="6" w:tplc="056AF696" w:tentative="1">
      <w:start w:val="1"/>
      <w:numFmt w:val="decimal"/>
      <w:lvlText w:val="%7."/>
      <w:lvlJc w:val="left"/>
      <w:pPr>
        <w:ind w:left="5105" w:hanging="360"/>
      </w:pPr>
    </w:lvl>
    <w:lvl w:ilvl="7" w:tplc="59162852" w:tentative="1">
      <w:start w:val="1"/>
      <w:numFmt w:val="lowerLetter"/>
      <w:lvlText w:val="%8."/>
      <w:lvlJc w:val="left"/>
      <w:pPr>
        <w:ind w:left="5825" w:hanging="360"/>
      </w:pPr>
    </w:lvl>
    <w:lvl w:ilvl="8" w:tplc="5EFEA462" w:tentative="1">
      <w:start w:val="1"/>
      <w:numFmt w:val="lowerRoman"/>
      <w:lvlText w:val="%9."/>
      <w:lvlJc w:val="right"/>
      <w:pPr>
        <w:ind w:left="6545" w:hanging="180"/>
      </w:pPr>
    </w:lvl>
  </w:abstractNum>
  <w:abstractNum w:abstractNumId="21" w15:restartNumberingAfterBreak="0">
    <w:nsid w:val="45517C95"/>
    <w:multiLevelType w:val="hybridMultilevel"/>
    <w:tmpl w:val="5FFA8002"/>
    <w:lvl w:ilvl="0" w:tplc="6AC21E76">
      <w:start w:val="1"/>
      <w:numFmt w:val="bullet"/>
      <w:lvlText w:val=""/>
      <w:lvlJc w:val="left"/>
      <w:pPr>
        <w:ind w:left="720" w:hanging="360"/>
      </w:pPr>
      <w:rPr>
        <w:rFonts w:ascii="Symbol" w:hAnsi="Symbol" w:hint="default"/>
      </w:rPr>
    </w:lvl>
    <w:lvl w:ilvl="1" w:tplc="04849CC0" w:tentative="1">
      <w:start w:val="1"/>
      <w:numFmt w:val="bullet"/>
      <w:lvlText w:val="o"/>
      <w:lvlJc w:val="left"/>
      <w:pPr>
        <w:ind w:left="1440" w:hanging="360"/>
      </w:pPr>
      <w:rPr>
        <w:rFonts w:ascii="Courier New" w:hAnsi="Courier New" w:cs="Courier New" w:hint="default"/>
      </w:rPr>
    </w:lvl>
    <w:lvl w:ilvl="2" w:tplc="E8BC244A" w:tentative="1">
      <w:start w:val="1"/>
      <w:numFmt w:val="bullet"/>
      <w:lvlText w:val=""/>
      <w:lvlJc w:val="left"/>
      <w:pPr>
        <w:ind w:left="2160" w:hanging="360"/>
      </w:pPr>
      <w:rPr>
        <w:rFonts w:ascii="Wingdings" w:hAnsi="Wingdings" w:hint="default"/>
      </w:rPr>
    </w:lvl>
    <w:lvl w:ilvl="3" w:tplc="6FEACDBC" w:tentative="1">
      <w:start w:val="1"/>
      <w:numFmt w:val="bullet"/>
      <w:lvlText w:val=""/>
      <w:lvlJc w:val="left"/>
      <w:pPr>
        <w:ind w:left="2880" w:hanging="360"/>
      </w:pPr>
      <w:rPr>
        <w:rFonts w:ascii="Symbol" w:hAnsi="Symbol" w:hint="default"/>
      </w:rPr>
    </w:lvl>
    <w:lvl w:ilvl="4" w:tplc="542ED032" w:tentative="1">
      <w:start w:val="1"/>
      <w:numFmt w:val="bullet"/>
      <w:lvlText w:val="o"/>
      <w:lvlJc w:val="left"/>
      <w:pPr>
        <w:ind w:left="3600" w:hanging="360"/>
      </w:pPr>
      <w:rPr>
        <w:rFonts w:ascii="Courier New" w:hAnsi="Courier New" w:cs="Courier New" w:hint="default"/>
      </w:rPr>
    </w:lvl>
    <w:lvl w:ilvl="5" w:tplc="86921050" w:tentative="1">
      <w:start w:val="1"/>
      <w:numFmt w:val="bullet"/>
      <w:lvlText w:val=""/>
      <w:lvlJc w:val="left"/>
      <w:pPr>
        <w:ind w:left="4320" w:hanging="360"/>
      </w:pPr>
      <w:rPr>
        <w:rFonts w:ascii="Wingdings" w:hAnsi="Wingdings" w:hint="default"/>
      </w:rPr>
    </w:lvl>
    <w:lvl w:ilvl="6" w:tplc="21D0AD04" w:tentative="1">
      <w:start w:val="1"/>
      <w:numFmt w:val="bullet"/>
      <w:lvlText w:val=""/>
      <w:lvlJc w:val="left"/>
      <w:pPr>
        <w:ind w:left="5040" w:hanging="360"/>
      </w:pPr>
      <w:rPr>
        <w:rFonts w:ascii="Symbol" w:hAnsi="Symbol" w:hint="default"/>
      </w:rPr>
    </w:lvl>
    <w:lvl w:ilvl="7" w:tplc="1D36F210" w:tentative="1">
      <w:start w:val="1"/>
      <w:numFmt w:val="bullet"/>
      <w:lvlText w:val="o"/>
      <w:lvlJc w:val="left"/>
      <w:pPr>
        <w:ind w:left="5760" w:hanging="360"/>
      </w:pPr>
      <w:rPr>
        <w:rFonts w:ascii="Courier New" w:hAnsi="Courier New" w:cs="Courier New" w:hint="default"/>
      </w:rPr>
    </w:lvl>
    <w:lvl w:ilvl="8" w:tplc="1A685DA0" w:tentative="1">
      <w:start w:val="1"/>
      <w:numFmt w:val="bullet"/>
      <w:lvlText w:val=""/>
      <w:lvlJc w:val="left"/>
      <w:pPr>
        <w:ind w:left="6480" w:hanging="360"/>
      </w:pPr>
      <w:rPr>
        <w:rFonts w:ascii="Wingdings" w:hAnsi="Wingdings" w:hint="default"/>
      </w:rPr>
    </w:lvl>
  </w:abstractNum>
  <w:abstractNum w:abstractNumId="22" w15:restartNumberingAfterBreak="0">
    <w:nsid w:val="48563FA0"/>
    <w:multiLevelType w:val="hybridMultilevel"/>
    <w:tmpl w:val="1A14F1BC"/>
    <w:lvl w:ilvl="0" w:tplc="069CF896">
      <w:start w:val="1"/>
      <w:numFmt w:val="decimal"/>
      <w:lvlText w:val="%1."/>
      <w:lvlJc w:val="left"/>
      <w:pPr>
        <w:ind w:left="720" w:hanging="360"/>
      </w:pPr>
    </w:lvl>
    <w:lvl w:ilvl="1" w:tplc="39C0FED2" w:tentative="1">
      <w:start w:val="1"/>
      <w:numFmt w:val="lowerLetter"/>
      <w:lvlText w:val="%2."/>
      <w:lvlJc w:val="left"/>
      <w:pPr>
        <w:ind w:left="1440" w:hanging="360"/>
      </w:pPr>
    </w:lvl>
    <w:lvl w:ilvl="2" w:tplc="41B63AFE" w:tentative="1">
      <w:start w:val="1"/>
      <w:numFmt w:val="lowerRoman"/>
      <w:lvlText w:val="%3."/>
      <w:lvlJc w:val="right"/>
      <w:pPr>
        <w:ind w:left="2160" w:hanging="180"/>
      </w:pPr>
    </w:lvl>
    <w:lvl w:ilvl="3" w:tplc="6F9E8BD2" w:tentative="1">
      <w:start w:val="1"/>
      <w:numFmt w:val="decimal"/>
      <w:lvlText w:val="%4."/>
      <w:lvlJc w:val="left"/>
      <w:pPr>
        <w:ind w:left="2880" w:hanging="360"/>
      </w:pPr>
    </w:lvl>
    <w:lvl w:ilvl="4" w:tplc="78C20C80" w:tentative="1">
      <w:start w:val="1"/>
      <w:numFmt w:val="lowerLetter"/>
      <w:lvlText w:val="%5."/>
      <w:lvlJc w:val="left"/>
      <w:pPr>
        <w:ind w:left="3600" w:hanging="360"/>
      </w:pPr>
    </w:lvl>
    <w:lvl w:ilvl="5" w:tplc="FFBA3708" w:tentative="1">
      <w:start w:val="1"/>
      <w:numFmt w:val="lowerRoman"/>
      <w:lvlText w:val="%6."/>
      <w:lvlJc w:val="right"/>
      <w:pPr>
        <w:ind w:left="4320" w:hanging="180"/>
      </w:pPr>
    </w:lvl>
    <w:lvl w:ilvl="6" w:tplc="7F1A6550" w:tentative="1">
      <w:start w:val="1"/>
      <w:numFmt w:val="decimal"/>
      <w:lvlText w:val="%7."/>
      <w:lvlJc w:val="left"/>
      <w:pPr>
        <w:ind w:left="5040" w:hanging="360"/>
      </w:pPr>
    </w:lvl>
    <w:lvl w:ilvl="7" w:tplc="4336EE6E" w:tentative="1">
      <w:start w:val="1"/>
      <w:numFmt w:val="lowerLetter"/>
      <w:lvlText w:val="%8."/>
      <w:lvlJc w:val="left"/>
      <w:pPr>
        <w:ind w:left="5760" w:hanging="360"/>
      </w:pPr>
    </w:lvl>
    <w:lvl w:ilvl="8" w:tplc="9ACCFE8E" w:tentative="1">
      <w:start w:val="1"/>
      <w:numFmt w:val="lowerRoman"/>
      <w:lvlText w:val="%9."/>
      <w:lvlJc w:val="right"/>
      <w:pPr>
        <w:ind w:left="6480" w:hanging="180"/>
      </w:pPr>
    </w:lvl>
  </w:abstractNum>
  <w:abstractNum w:abstractNumId="23" w15:restartNumberingAfterBreak="0">
    <w:nsid w:val="494B09B7"/>
    <w:multiLevelType w:val="hybridMultilevel"/>
    <w:tmpl w:val="491668D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14A545C"/>
    <w:multiLevelType w:val="hybridMultilevel"/>
    <w:tmpl w:val="2C785CF4"/>
    <w:lvl w:ilvl="0" w:tplc="FD264C06">
      <w:start w:val="1"/>
      <w:numFmt w:val="bullet"/>
      <w:lvlText w:val=""/>
      <w:lvlJc w:val="left"/>
      <w:pPr>
        <w:ind w:left="720" w:hanging="360"/>
      </w:pPr>
      <w:rPr>
        <w:rFonts w:ascii="Symbol" w:hAnsi="Symbol" w:hint="default"/>
      </w:rPr>
    </w:lvl>
    <w:lvl w:ilvl="1" w:tplc="F1CCE3D2">
      <w:start w:val="1"/>
      <w:numFmt w:val="bullet"/>
      <w:lvlText w:val="o"/>
      <w:lvlJc w:val="left"/>
      <w:pPr>
        <w:ind w:left="1440" w:hanging="360"/>
      </w:pPr>
      <w:rPr>
        <w:rFonts w:ascii="Courier New" w:hAnsi="Courier New" w:cs="Courier New" w:hint="default"/>
      </w:rPr>
    </w:lvl>
    <w:lvl w:ilvl="2" w:tplc="A238C9BC" w:tentative="1">
      <w:start w:val="1"/>
      <w:numFmt w:val="bullet"/>
      <w:lvlText w:val=""/>
      <w:lvlJc w:val="left"/>
      <w:pPr>
        <w:ind w:left="2160" w:hanging="360"/>
      </w:pPr>
      <w:rPr>
        <w:rFonts w:ascii="Wingdings" w:hAnsi="Wingdings" w:hint="default"/>
      </w:rPr>
    </w:lvl>
    <w:lvl w:ilvl="3" w:tplc="C6A05A0C" w:tentative="1">
      <w:start w:val="1"/>
      <w:numFmt w:val="bullet"/>
      <w:lvlText w:val=""/>
      <w:lvlJc w:val="left"/>
      <w:pPr>
        <w:ind w:left="2880" w:hanging="360"/>
      </w:pPr>
      <w:rPr>
        <w:rFonts w:ascii="Symbol" w:hAnsi="Symbol" w:hint="default"/>
      </w:rPr>
    </w:lvl>
    <w:lvl w:ilvl="4" w:tplc="ECDC4216" w:tentative="1">
      <w:start w:val="1"/>
      <w:numFmt w:val="bullet"/>
      <w:lvlText w:val="o"/>
      <w:lvlJc w:val="left"/>
      <w:pPr>
        <w:ind w:left="3600" w:hanging="360"/>
      </w:pPr>
      <w:rPr>
        <w:rFonts w:ascii="Courier New" w:hAnsi="Courier New" w:cs="Courier New" w:hint="default"/>
      </w:rPr>
    </w:lvl>
    <w:lvl w:ilvl="5" w:tplc="CC6245CE" w:tentative="1">
      <w:start w:val="1"/>
      <w:numFmt w:val="bullet"/>
      <w:lvlText w:val=""/>
      <w:lvlJc w:val="left"/>
      <w:pPr>
        <w:ind w:left="4320" w:hanging="360"/>
      </w:pPr>
      <w:rPr>
        <w:rFonts w:ascii="Wingdings" w:hAnsi="Wingdings" w:hint="default"/>
      </w:rPr>
    </w:lvl>
    <w:lvl w:ilvl="6" w:tplc="74B836EE" w:tentative="1">
      <w:start w:val="1"/>
      <w:numFmt w:val="bullet"/>
      <w:lvlText w:val=""/>
      <w:lvlJc w:val="left"/>
      <w:pPr>
        <w:ind w:left="5040" w:hanging="360"/>
      </w:pPr>
      <w:rPr>
        <w:rFonts w:ascii="Symbol" w:hAnsi="Symbol" w:hint="default"/>
      </w:rPr>
    </w:lvl>
    <w:lvl w:ilvl="7" w:tplc="B8FE9146" w:tentative="1">
      <w:start w:val="1"/>
      <w:numFmt w:val="bullet"/>
      <w:lvlText w:val="o"/>
      <w:lvlJc w:val="left"/>
      <w:pPr>
        <w:ind w:left="5760" w:hanging="360"/>
      </w:pPr>
      <w:rPr>
        <w:rFonts w:ascii="Courier New" w:hAnsi="Courier New" w:cs="Courier New" w:hint="default"/>
      </w:rPr>
    </w:lvl>
    <w:lvl w:ilvl="8" w:tplc="9E9A069C" w:tentative="1">
      <w:start w:val="1"/>
      <w:numFmt w:val="bullet"/>
      <w:lvlText w:val=""/>
      <w:lvlJc w:val="left"/>
      <w:pPr>
        <w:ind w:left="6480" w:hanging="360"/>
      </w:pPr>
      <w:rPr>
        <w:rFonts w:ascii="Wingdings" w:hAnsi="Wingdings" w:hint="default"/>
      </w:rPr>
    </w:lvl>
  </w:abstractNum>
  <w:abstractNum w:abstractNumId="25" w15:restartNumberingAfterBreak="0">
    <w:nsid w:val="51A44875"/>
    <w:multiLevelType w:val="hybridMultilevel"/>
    <w:tmpl w:val="491668D2"/>
    <w:lvl w:ilvl="0" w:tplc="8F02D0B0">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4AE5688"/>
    <w:multiLevelType w:val="hybridMultilevel"/>
    <w:tmpl w:val="C804E21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7244E7E"/>
    <w:multiLevelType w:val="hybridMultilevel"/>
    <w:tmpl w:val="BF4AFE12"/>
    <w:lvl w:ilvl="0" w:tplc="2A2C3552">
      <w:start w:val="1"/>
      <w:numFmt w:val="bullet"/>
      <w:lvlText w:val=""/>
      <w:lvlJc w:val="left"/>
      <w:pPr>
        <w:ind w:left="720" w:hanging="360"/>
      </w:pPr>
      <w:rPr>
        <w:rFonts w:ascii="Symbol" w:hAnsi="Symbol" w:hint="default"/>
      </w:rPr>
    </w:lvl>
    <w:lvl w:ilvl="1" w:tplc="F00A4118" w:tentative="1">
      <w:start w:val="1"/>
      <w:numFmt w:val="bullet"/>
      <w:lvlText w:val="o"/>
      <w:lvlJc w:val="left"/>
      <w:pPr>
        <w:ind w:left="1440" w:hanging="360"/>
      </w:pPr>
      <w:rPr>
        <w:rFonts w:ascii="Courier New" w:hAnsi="Courier New" w:cs="Courier New" w:hint="default"/>
      </w:rPr>
    </w:lvl>
    <w:lvl w:ilvl="2" w:tplc="BC70984C" w:tentative="1">
      <w:start w:val="1"/>
      <w:numFmt w:val="bullet"/>
      <w:lvlText w:val=""/>
      <w:lvlJc w:val="left"/>
      <w:pPr>
        <w:ind w:left="2160" w:hanging="360"/>
      </w:pPr>
      <w:rPr>
        <w:rFonts w:ascii="Wingdings" w:hAnsi="Wingdings" w:hint="default"/>
      </w:rPr>
    </w:lvl>
    <w:lvl w:ilvl="3" w:tplc="10E467F0" w:tentative="1">
      <w:start w:val="1"/>
      <w:numFmt w:val="bullet"/>
      <w:lvlText w:val=""/>
      <w:lvlJc w:val="left"/>
      <w:pPr>
        <w:ind w:left="2880" w:hanging="360"/>
      </w:pPr>
      <w:rPr>
        <w:rFonts w:ascii="Symbol" w:hAnsi="Symbol" w:hint="default"/>
      </w:rPr>
    </w:lvl>
    <w:lvl w:ilvl="4" w:tplc="BEBEF960" w:tentative="1">
      <w:start w:val="1"/>
      <w:numFmt w:val="bullet"/>
      <w:lvlText w:val="o"/>
      <w:lvlJc w:val="left"/>
      <w:pPr>
        <w:ind w:left="3600" w:hanging="360"/>
      </w:pPr>
      <w:rPr>
        <w:rFonts w:ascii="Courier New" w:hAnsi="Courier New" w:cs="Courier New" w:hint="default"/>
      </w:rPr>
    </w:lvl>
    <w:lvl w:ilvl="5" w:tplc="9294B77E" w:tentative="1">
      <w:start w:val="1"/>
      <w:numFmt w:val="bullet"/>
      <w:lvlText w:val=""/>
      <w:lvlJc w:val="left"/>
      <w:pPr>
        <w:ind w:left="4320" w:hanging="360"/>
      </w:pPr>
      <w:rPr>
        <w:rFonts w:ascii="Wingdings" w:hAnsi="Wingdings" w:hint="default"/>
      </w:rPr>
    </w:lvl>
    <w:lvl w:ilvl="6" w:tplc="FD600368" w:tentative="1">
      <w:start w:val="1"/>
      <w:numFmt w:val="bullet"/>
      <w:lvlText w:val=""/>
      <w:lvlJc w:val="left"/>
      <w:pPr>
        <w:ind w:left="5040" w:hanging="360"/>
      </w:pPr>
      <w:rPr>
        <w:rFonts w:ascii="Symbol" w:hAnsi="Symbol" w:hint="default"/>
      </w:rPr>
    </w:lvl>
    <w:lvl w:ilvl="7" w:tplc="20E099A8" w:tentative="1">
      <w:start w:val="1"/>
      <w:numFmt w:val="bullet"/>
      <w:lvlText w:val="o"/>
      <w:lvlJc w:val="left"/>
      <w:pPr>
        <w:ind w:left="5760" w:hanging="360"/>
      </w:pPr>
      <w:rPr>
        <w:rFonts w:ascii="Courier New" w:hAnsi="Courier New" w:cs="Courier New" w:hint="default"/>
      </w:rPr>
    </w:lvl>
    <w:lvl w:ilvl="8" w:tplc="550C16D4" w:tentative="1">
      <w:start w:val="1"/>
      <w:numFmt w:val="bullet"/>
      <w:lvlText w:val=""/>
      <w:lvlJc w:val="left"/>
      <w:pPr>
        <w:ind w:left="6480" w:hanging="360"/>
      </w:pPr>
      <w:rPr>
        <w:rFonts w:ascii="Wingdings" w:hAnsi="Wingdings" w:hint="default"/>
      </w:rPr>
    </w:lvl>
  </w:abstractNum>
  <w:abstractNum w:abstractNumId="28" w15:restartNumberingAfterBreak="0">
    <w:nsid w:val="60542EA2"/>
    <w:multiLevelType w:val="hybridMultilevel"/>
    <w:tmpl w:val="5E124D3C"/>
    <w:lvl w:ilvl="0" w:tplc="F552FF72">
      <w:start w:val="1"/>
      <w:numFmt w:val="bullet"/>
      <w:lvlText w:val=""/>
      <w:lvlJc w:val="left"/>
      <w:pPr>
        <w:ind w:left="720" w:hanging="360"/>
      </w:pPr>
      <w:rPr>
        <w:rFonts w:ascii="Symbol" w:hAnsi="Symbol" w:hint="default"/>
      </w:rPr>
    </w:lvl>
    <w:lvl w:ilvl="1" w:tplc="4AF02CE4" w:tentative="1">
      <w:start w:val="1"/>
      <w:numFmt w:val="bullet"/>
      <w:lvlText w:val="o"/>
      <w:lvlJc w:val="left"/>
      <w:pPr>
        <w:ind w:left="1440" w:hanging="360"/>
      </w:pPr>
      <w:rPr>
        <w:rFonts w:ascii="Courier New" w:hAnsi="Courier New" w:cs="Courier New" w:hint="default"/>
      </w:rPr>
    </w:lvl>
    <w:lvl w:ilvl="2" w:tplc="B6E28238" w:tentative="1">
      <w:start w:val="1"/>
      <w:numFmt w:val="bullet"/>
      <w:lvlText w:val=""/>
      <w:lvlJc w:val="left"/>
      <w:pPr>
        <w:ind w:left="2160" w:hanging="360"/>
      </w:pPr>
      <w:rPr>
        <w:rFonts w:ascii="Wingdings" w:hAnsi="Wingdings" w:hint="default"/>
      </w:rPr>
    </w:lvl>
    <w:lvl w:ilvl="3" w:tplc="00C4DFDA" w:tentative="1">
      <w:start w:val="1"/>
      <w:numFmt w:val="bullet"/>
      <w:lvlText w:val=""/>
      <w:lvlJc w:val="left"/>
      <w:pPr>
        <w:ind w:left="2880" w:hanging="360"/>
      </w:pPr>
      <w:rPr>
        <w:rFonts w:ascii="Symbol" w:hAnsi="Symbol" w:hint="default"/>
      </w:rPr>
    </w:lvl>
    <w:lvl w:ilvl="4" w:tplc="303480F2" w:tentative="1">
      <w:start w:val="1"/>
      <w:numFmt w:val="bullet"/>
      <w:lvlText w:val="o"/>
      <w:lvlJc w:val="left"/>
      <w:pPr>
        <w:ind w:left="3600" w:hanging="360"/>
      </w:pPr>
      <w:rPr>
        <w:rFonts w:ascii="Courier New" w:hAnsi="Courier New" w:cs="Courier New" w:hint="default"/>
      </w:rPr>
    </w:lvl>
    <w:lvl w:ilvl="5" w:tplc="402EAB84" w:tentative="1">
      <w:start w:val="1"/>
      <w:numFmt w:val="bullet"/>
      <w:lvlText w:val=""/>
      <w:lvlJc w:val="left"/>
      <w:pPr>
        <w:ind w:left="4320" w:hanging="360"/>
      </w:pPr>
      <w:rPr>
        <w:rFonts w:ascii="Wingdings" w:hAnsi="Wingdings" w:hint="default"/>
      </w:rPr>
    </w:lvl>
    <w:lvl w:ilvl="6" w:tplc="573C1D56" w:tentative="1">
      <w:start w:val="1"/>
      <w:numFmt w:val="bullet"/>
      <w:lvlText w:val=""/>
      <w:lvlJc w:val="left"/>
      <w:pPr>
        <w:ind w:left="5040" w:hanging="360"/>
      </w:pPr>
      <w:rPr>
        <w:rFonts w:ascii="Symbol" w:hAnsi="Symbol" w:hint="default"/>
      </w:rPr>
    </w:lvl>
    <w:lvl w:ilvl="7" w:tplc="B476A5F6" w:tentative="1">
      <w:start w:val="1"/>
      <w:numFmt w:val="bullet"/>
      <w:lvlText w:val="o"/>
      <w:lvlJc w:val="left"/>
      <w:pPr>
        <w:ind w:left="5760" w:hanging="360"/>
      </w:pPr>
      <w:rPr>
        <w:rFonts w:ascii="Courier New" w:hAnsi="Courier New" w:cs="Courier New" w:hint="default"/>
      </w:rPr>
    </w:lvl>
    <w:lvl w:ilvl="8" w:tplc="7C5A168A" w:tentative="1">
      <w:start w:val="1"/>
      <w:numFmt w:val="bullet"/>
      <w:lvlText w:val=""/>
      <w:lvlJc w:val="left"/>
      <w:pPr>
        <w:ind w:left="6480" w:hanging="360"/>
      </w:pPr>
      <w:rPr>
        <w:rFonts w:ascii="Wingdings" w:hAnsi="Wingdings" w:hint="default"/>
      </w:rPr>
    </w:lvl>
  </w:abstractNum>
  <w:abstractNum w:abstractNumId="29" w15:restartNumberingAfterBreak="0">
    <w:nsid w:val="618B53FD"/>
    <w:multiLevelType w:val="hybridMultilevel"/>
    <w:tmpl w:val="B128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39D5767"/>
    <w:multiLevelType w:val="hybridMultilevel"/>
    <w:tmpl w:val="C804E21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E6C640C"/>
    <w:multiLevelType w:val="hybridMultilevel"/>
    <w:tmpl w:val="13E6DFB6"/>
    <w:lvl w:ilvl="0" w:tplc="2F94BD2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02F0527"/>
    <w:multiLevelType w:val="hybridMultilevel"/>
    <w:tmpl w:val="C804E21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43B4131"/>
    <w:multiLevelType w:val="hybridMultilevel"/>
    <w:tmpl w:val="4DF63D9A"/>
    <w:lvl w:ilvl="0" w:tplc="4EC6643C">
      <w:start w:val="1"/>
      <w:numFmt w:val="bullet"/>
      <w:lvlText w:val=""/>
      <w:lvlJc w:val="left"/>
      <w:pPr>
        <w:ind w:left="720" w:hanging="360"/>
      </w:pPr>
      <w:rPr>
        <w:rFonts w:ascii="Symbol" w:hAnsi="Symbol" w:hint="default"/>
      </w:rPr>
    </w:lvl>
    <w:lvl w:ilvl="1" w:tplc="DF8E03D4" w:tentative="1">
      <w:start w:val="1"/>
      <w:numFmt w:val="bullet"/>
      <w:lvlText w:val="o"/>
      <w:lvlJc w:val="left"/>
      <w:pPr>
        <w:ind w:left="1440" w:hanging="360"/>
      </w:pPr>
      <w:rPr>
        <w:rFonts w:ascii="Courier New" w:hAnsi="Courier New" w:cs="Courier New" w:hint="default"/>
      </w:rPr>
    </w:lvl>
    <w:lvl w:ilvl="2" w:tplc="2E86471C" w:tentative="1">
      <w:start w:val="1"/>
      <w:numFmt w:val="bullet"/>
      <w:lvlText w:val=""/>
      <w:lvlJc w:val="left"/>
      <w:pPr>
        <w:ind w:left="2160" w:hanging="360"/>
      </w:pPr>
      <w:rPr>
        <w:rFonts w:ascii="Wingdings" w:hAnsi="Wingdings" w:hint="default"/>
      </w:rPr>
    </w:lvl>
    <w:lvl w:ilvl="3" w:tplc="4B321066" w:tentative="1">
      <w:start w:val="1"/>
      <w:numFmt w:val="bullet"/>
      <w:lvlText w:val=""/>
      <w:lvlJc w:val="left"/>
      <w:pPr>
        <w:ind w:left="2880" w:hanging="360"/>
      </w:pPr>
      <w:rPr>
        <w:rFonts w:ascii="Symbol" w:hAnsi="Symbol" w:hint="default"/>
      </w:rPr>
    </w:lvl>
    <w:lvl w:ilvl="4" w:tplc="68D67376" w:tentative="1">
      <w:start w:val="1"/>
      <w:numFmt w:val="bullet"/>
      <w:lvlText w:val="o"/>
      <w:lvlJc w:val="left"/>
      <w:pPr>
        <w:ind w:left="3600" w:hanging="360"/>
      </w:pPr>
      <w:rPr>
        <w:rFonts w:ascii="Courier New" w:hAnsi="Courier New" w:cs="Courier New" w:hint="default"/>
      </w:rPr>
    </w:lvl>
    <w:lvl w:ilvl="5" w:tplc="0436F84C" w:tentative="1">
      <w:start w:val="1"/>
      <w:numFmt w:val="bullet"/>
      <w:lvlText w:val=""/>
      <w:lvlJc w:val="left"/>
      <w:pPr>
        <w:ind w:left="4320" w:hanging="360"/>
      </w:pPr>
      <w:rPr>
        <w:rFonts w:ascii="Wingdings" w:hAnsi="Wingdings" w:hint="default"/>
      </w:rPr>
    </w:lvl>
    <w:lvl w:ilvl="6" w:tplc="0964B7A6" w:tentative="1">
      <w:start w:val="1"/>
      <w:numFmt w:val="bullet"/>
      <w:lvlText w:val=""/>
      <w:lvlJc w:val="left"/>
      <w:pPr>
        <w:ind w:left="5040" w:hanging="360"/>
      </w:pPr>
      <w:rPr>
        <w:rFonts w:ascii="Symbol" w:hAnsi="Symbol" w:hint="default"/>
      </w:rPr>
    </w:lvl>
    <w:lvl w:ilvl="7" w:tplc="E10643F0" w:tentative="1">
      <w:start w:val="1"/>
      <w:numFmt w:val="bullet"/>
      <w:lvlText w:val="o"/>
      <w:lvlJc w:val="left"/>
      <w:pPr>
        <w:ind w:left="5760" w:hanging="360"/>
      </w:pPr>
      <w:rPr>
        <w:rFonts w:ascii="Courier New" w:hAnsi="Courier New" w:cs="Courier New" w:hint="default"/>
      </w:rPr>
    </w:lvl>
    <w:lvl w:ilvl="8" w:tplc="A85C7BA4" w:tentative="1">
      <w:start w:val="1"/>
      <w:numFmt w:val="bullet"/>
      <w:lvlText w:val=""/>
      <w:lvlJc w:val="left"/>
      <w:pPr>
        <w:ind w:left="6480" w:hanging="360"/>
      </w:pPr>
      <w:rPr>
        <w:rFonts w:ascii="Wingdings" w:hAnsi="Wingdings" w:hint="default"/>
      </w:rPr>
    </w:lvl>
  </w:abstractNum>
  <w:abstractNum w:abstractNumId="34" w15:restartNumberingAfterBreak="0">
    <w:nsid w:val="7955728C"/>
    <w:multiLevelType w:val="hybridMultilevel"/>
    <w:tmpl w:val="15EECF6E"/>
    <w:lvl w:ilvl="0" w:tplc="F2A64C52">
      <w:numFmt w:val="bullet"/>
      <w:lvlText w:val="•"/>
      <w:lvlJc w:val="left"/>
      <w:pPr>
        <w:ind w:left="1080" w:hanging="720"/>
      </w:pPr>
      <w:rPr>
        <w:rFonts w:ascii="Calibri" w:eastAsia="Calibri" w:hAnsi="Calibri" w:cs="Calibri" w:hint="default"/>
      </w:rPr>
    </w:lvl>
    <w:lvl w:ilvl="1" w:tplc="588A3C4E" w:tentative="1">
      <w:start w:val="1"/>
      <w:numFmt w:val="bullet"/>
      <w:lvlText w:val="o"/>
      <w:lvlJc w:val="left"/>
      <w:pPr>
        <w:ind w:left="1440" w:hanging="360"/>
      </w:pPr>
      <w:rPr>
        <w:rFonts w:ascii="Courier New" w:hAnsi="Courier New" w:cs="Courier New" w:hint="default"/>
      </w:rPr>
    </w:lvl>
    <w:lvl w:ilvl="2" w:tplc="DCA0A082" w:tentative="1">
      <w:start w:val="1"/>
      <w:numFmt w:val="bullet"/>
      <w:lvlText w:val=""/>
      <w:lvlJc w:val="left"/>
      <w:pPr>
        <w:ind w:left="2160" w:hanging="360"/>
      </w:pPr>
      <w:rPr>
        <w:rFonts w:ascii="Wingdings" w:hAnsi="Wingdings" w:hint="default"/>
      </w:rPr>
    </w:lvl>
    <w:lvl w:ilvl="3" w:tplc="1EFE6128" w:tentative="1">
      <w:start w:val="1"/>
      <w:numFmt w:val="bullet"/>
      <w:lvlText w:val=""/>
      <w:lvlJc w:val="left"/>
      <w:pPr>
        <w:ind w:left="2880" w:hanging="360"/>
      </w:pPr>
      <w:rPr>
        <w:rFonts w:ascii="Symbol" w:hAnsi="Symbol" w:hint="default"/>
      </w:rPr>
    </w:lvl>
    <w:lvl w:ilvl="4" w:tplc="AF76ECC4" w:tentative="1">
      <w:start w:val="1"/>
      <w:numFmt w:val="bullet"/>
      <w:lvlText w:val="o"/>
      <w:lvlJc w:val="left"/>
      <w:pPr>
        <w:ind w:left="3600" w:hanging="360"/>
      </w:pPr>
      <w:rPr>
        <w:rFonts w:ascii="Courier New" w:hAnsi="Courier New" w:cs="Courier New" w:hint="default"/>
      </w:rPr>
    </w:lvl>
    <w:lvl w:ilvl="5" w:tplc="D45E9606" w:tentative="1">
      <w:start w:val="1"/>
      <w:numFmt w:val="bullet"/>
      <w:lvlText w:val=""/>
      <w:lvlJc w:val="left"/>
      <w:pPr>
        <w:ind w:left="4320" w:hanging="360"/>
      </w:pPr>
      <w:rPr>
        <w:rFonts w:ascii="Wingdings" w:hAnsi="Wingdings" w:hint="default"/>
      </w:rPr>
    </w:lvl>
    <w:lvl w:ilvl="6" w:tplc="D384EEC8" w:tentative="1">
      <w:start w:val="1"/>
      <w:numFmt w:val="bullet"/>
      <w:lvlText w:val=""/>
      <w:lvlJc w:val="left"/>
      <w:pPr>
        <w:ind w:left="5040" w:hanging="360"/>
      </w:pPr>
      <w:rPr>
        <w:rFonts w:ascii="Symbol" w:hAnsi="Symbol" w:hint="default"/>
      </w:rPr>
    </w:lvl>
    <w:lvl w:ilvl="7" w:tplc="130CF60A" w:tentative="1">
      <w:start w:val="1"/>
      <w:numFmt w:val="bullet"/>
      <w:lvlText w:val="o"/>
      <w:lvlJc w:val="left"/>
      <w:pPr>
        <w:ind w:left="5760" w:hanging="360"/>
      </w:pPr>
      <w:rPr>
        <w:rFonts w:ascii="Courier New" w:hAnsi="Courier New" w:cs="Courier New" w:hint="default"/>
      </w:rPr>
    </w:lvl>
    <w:lvl w:ilvl="8" w:tplc="79AEAEDA" w:tentative="1">
      <w:start w:val="1"/>
      <w:numFmt w:val="bullet"/>
      <w:lvlText w:val=""/>
      <w:lvlJc w:val="left"/>
      <w:pPr>
        <w:ind w:left="6480" w:hanging="360"/>
      </w:pPr>
      <w:rPr>
        <w:rFonts w:ascii="Wingdings" w:hAnsi="Wingdings" w:hint="default"/>
      </w:rPr>
    </w:lvl>
  </w:abstractNum>
  <w:abstractNum w:abstractNumId="35" w15:restartNumberingAfterBreak="0">
    <w:nsid w:val="79B348B5"/>
    <w:multiLevelType w:val="hybridMultilevel"/>
    <w:tmpl w:val="1A9071D8"/>
    <w:lvl w:ilvl="0" w:tplc="7ABE645A">
      <w:start w:val="1"/>
      <w:numFmt w:val="bullet"/>
      <w:lvlText w:val="-"/>
      <w:lvlJc w:val="left"/>
      <w:pPr>
        <w:ind w:left="720" w:hanging="360"/>
      </w:pPr>
      <w:rPr>
        <w:rFonts w:ascii="Aptos" w:hAnsi="Aptos" w:hint="default"/>
      </w:rPr>
    </w:lvl>
    <w:lvl w:ilvl="1" w:tplc="5A586428">
      <w:start w:val="1"/>
      <w:numFmt w:val="bullet"/>
      <w:lvlText w:val="o"/>
      <w:lvlJc w:val="left"/>
      <w:pPr>
        <w:ind w:left="1440" w:hanging="360"/>
      </w:pPr>
      <w:rPr>
        <w:rFonts w:ascii="Courier New" w:hAnsi="Courier New" w:hint="default"/>
      </w:rPr>
    </w:lvl>
    <w:lvl w:ilvl="2" w:tplc="F0C0AC84">
      <w:start w:val="1"/>
      <w:numFmt w:val="bullet"/>
      <w:lvlText w:val=""/>
      <w:lvlJc w:val="left"/>
      <w:pPr>
        <w:ind w:left="2160" w:hanging="360"/>
      </w:pPr>
      <w:rPr>
        <w:rFonts w:ascii="Wingdings" w:hAnsi="Wingdings" w:hint="default"/>
      </w:rPr>
    </w:lvl>
    <w:lvl w:ilvl="3" w:tplc="E3D4E0BE">
      <w:start w:val="1"/>
      <w:numFmt w:val="bullet"/>
      <w:lvlText w:val=""/>
      <w:lvlJc w:val="left"/>
      <w:pPr>
        <w:ind w:left="2880" w:hanging="360"/>
      </w:pPr>
      <w:rPr>
        <w:rFonts w:ascii="Symbol" w:hAnsi="Symbol" w:hint="default"/>
      </w:rPr>
    </w:lvl>
    <w:lvl w:ilvl="4" w:tplc="78805E5A">
      <w:start w:val="1"/>
      <w:numFmt w:val="bullet"/>
      <w:lvlText w:val="o"/>
      <w:lvlJc w:val="left"/>
      <w:pPr>
        <w:ind w:left="3600" w:hanging="360"/>
      </w:pPr>
      <w:rPr>
        <w:rFonts w:ascii="Courier New" w:hAnsi="Courier New" w:hint="default"/>
      </w:rPr>
    </w:lvl>
    <w:lvl w:ilvl="5" w:tplc="340AB8F2">
      <w:start w:val="1"/>
      <w:numFmt w:val="bullet"/>
      <w:lvlText w:val=""/>
      <w:lvlJc w:val="left"/>
      <w:pPr>
        <w:ind w:left="4320" w:hanging="360"/>
      </w:pPr>
      <w:rPr>
        <w:rFonts w:ascii="Wingdings" w:hAnsi="Wingdings" w:hint="default"/>
      </w:rPr>
    </w:lvl>
    <w:lvl w:ilvl="6" w:tplc="A930437C">
      <w:start w:val="1"/>
      <w:numFmt w:val="bullet"/>
      <w:lvlText w:val=""/>
      <w:lvlJc w:val="left"/>
      <w:pPr>
        <w:ind w:left="5040" w:hanging="360"/>
      </w:pPr>
      <w:rPr>
        <w:rFonts w:ascii="Symbol" w:hAnsi="Symbol" w:hint="default"/>
      </w:rPr>
    </w:lvl>
    <w:lvl w:ilvl="7" w:tplc="7ADA99FE">
      <w:start w:val="1"/>
      <w:numFmt w:val="bullet"/>
      <w:lvlText w:val="o"/>
      <w:lvlJc w:val="left"/>
      <w:pPr>
        <w:ind w:left="5760" w:hanging="360"/>
      </w:pPr>
      <w:rPr>
        <w:rFonts w:ascii="Courier New" w:hAnsi="Courier New" w:hint="default"/>
      </w:rPr>
    </w:lvl>
    <w:lvl w:ilvl="8" w:tplc="2650251E">
      <w:start w:val="1"/>
      <w:numFmt w:val="bullet"/>
      <w:lvlText w:val=""/>
      <w:lvlJc w:val="left"/>
      <w:pPr>
        <w:ind w:left="6480" w:hanging="360"/>
      </w:pPr>
      <w:rPr>
        <w:rFonts w:ascii="Wingdings" w:hAnsi="Wingdings" w:hint="default"/>
      </w:rPr>
    </w:lvl>
  </w:abstractNum>
  <w:num w:numId="1" w16cid:durableId="1805999314">
    <w:abstractNumId w:val="35"/>
  </w:num>
  <w:num w:numId="2" w16cid:durableId="1589577332">
    <w:abstractNumId w:val="21"/>
  </w:num>
  <w:num w:numId="3" w16cid:durableId="1589850560">
    <w:abstractNumId w:val="15"/>
  </w:num>
  <w:num w:numId="4" w16cid:durableId="1445808997">
    <w:abstractNumId w:val="20"/>
  </w:num>
  <w:num w:numId="5" w16cid:durableId="1721711268">
    <w:abstractNumId w:val="28"/>
  </w:num>
  <w:num w:numId="6" w16cid:durableId="376583623">
    <w:abstractNumId w:val="27"/>
  </w:num>
  <w:num w:numId="7" w16cid:durableId="931084928">
    <w:abstractNumId w:val="33"/>
  </w:num>
  <w:num w:numId="8" w16cid:durableId="1330214856">
    <w:abstractNumId w:val="9"/>
  </w:num>
  <w:num w:numId="9" w16cid:durableId="444010408">
    <w:abstractNumId w:val="7"/>
  </w:num>
  <w:num w:numId="10" w16cid:durableId="119493528">
    <w:abstractNumId w:val="19"/>
  </w:num>
  <w:num w:numId="11" w16cid:durableId="262229360">
    <w:abstractNumId w:val="4"/>
  </w:num>
  <w:num w:numId="12" w16cid:durableId="289894738">
    <w:abstractNumId w:val="6"/>
  </w:num>
  <w:num w:numId="13" w16cid:durableId="1126894454">
    <w:abstractNumId w:val="34"/>
  </w:num>
  <w:num w:numId="14" w16cid:durableId="1031565790">
    <w:abstractNumId w:val="12"/>
  </w:num>
  <w:num w:numId="15" w16cid:durableId="1350911867">
    <w:abstractNumId w:val="1"/>
  </w:num>
  <w:num w:numId="16" w16cid:durableId="1656759969">
    <w:abstractNumId w:val="18"/>
  </w:num>
  <w:num w:numId="17" w16cid:durableId="1208645005">
    <w:abstractNumId w:val="2"/>
  </w:num>
  <w:num w:numId="18" w16cid:durableId="1732775199">
    <w:abstractNumId w:val="14"/>
  </w:num>
  <w:num w:numId="19" w16cid:durableId="1912352941">
    <w:abstractNumId w:val="22"/>
  </w:num>
  <w:num w:numId="20" w16cid:durableId="1206200">
    <w:abstractNumId w:val="24"/>
  </w:num>
  <w:num w:numId="21" w16cid:durableId="357924753">
    <w:abstractNumId w:val="16"/>
  </w:num>
  <w:num w:numId="22" w16cid:durableId="1656569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3112461">
    <w:abstractNumId w:val="29"/>
  </w:num>
  <w:num w:numId="24" w16cid:durableId="223875137">
    <w:abstractNumId w:val="5"/>
  </w:num>
  <w:num w:numId="25" w16cid:durableId="511140797">
    <w:abstractNumId w:val="10"/>
  </w:num>
  <w:num w:numId="26" w16cid:durableId="1189684039">
    <w:abstractNumId w:val="8"/>
  </w:num>
  <w:num w:numId="27" w16cid:durableId="1259753345">
    <w:abstractNumId w:val="11"/>
  </w:num>
  <w:num w:numId="28" w16cid:durableId="1065492810">
    <w:abstractNumId w:val="3"/>
  </w:num>
  <w:num w:numId="29" w16cid:durableId="931818590">
    <w:abstractNumId w:val="13"/>
  </w:num>
  <w:num w:numId="30" w16cid:durableId="1116943469">
    <w:abstractNumId w:val="30"/>
  </w:num>
  <w:num w:numId="31" w16cid:durableId="1619214211">
    <w:abstractNumId w:val="26"/>
  </w:num>
  <w:num w:numId="32" w16cid:durableId="434711609">
    <w:abstractNumId w:val="17"/>
  </w:num>
  <w:num w:numId="33" w16cid:durableId="1481114050">
    <w:abstractNumId w:val="32"/>
  </w:num>
  <w:num w:numId="34" w16cid:durableId="1752461796">
    <w:abstractNumId w:val="25"/>
  </w:num>
  <w:num w:numId="35" w16cid:durableId="1745294423">
    <w:abstractNumId w:val="23"/>
  </w:num>
  <w:num w:numId="36" w16cid:durableId="565604550">
    <w:abstractNumId w:val="29"/>
  </w:num>
  <w:num w:numId="37" w16cid:durableId="200870974">
    <w:abstractNumId w:val="0"/>
  </w:num>
  <w:num w:numId="38" w16cid:durableId="3042847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E3"/>
    <w:rsid w:val="00001104"/>
    <w:rsid w:val="0000218A"/>
    <w:rsid w:val="000049BF"/>
    <w:rsid w:val="000053A9"/>
    <w:rsid w:val="000053C0"/>
    <w:rsid w:val="000054F1"/>
    <w:rsid w:val="00006997"/>
    <w:rsid w:val="0000712D"/>
    <w:rsid w:val="00010DF0"/>
    <w:rsid w:val="00011730"/>
    <w:rsid w:val="00011EE6"/>
    <w:rsid w:val="000142F9"/>
    <w:rsid w:val="000147DF"/>
    <w:rsid w:val="00014FE7"/>
    <w:rsid w:val="000157AC"/>
    <w:rsid w:val="00015964"/>
    <w:rsid w:val="00020D59"/>
    <w:rsid w:val="000242ED"/>
    <w:rsid w:val="00025A42"/>
    <w:rsid w:val="00026891"/>
    <w:rsid w:val="000305BB"/>
    <w:rsid w:val="000369FA"/>
    <w:rsid w:val="00036AF3"/>
    <w:rsid w:val="00037818"/>
    <w:rsid w:val="00042532"/>
    <w:rsid w:val="00042C71"/>
    <w:rsid w:val="00052115"/>
    <w:rsid w:val="0005211F"/>
    <w:rsid w:val="00052D21"/>
    <w:rsid w:val="00053888"/>
    <w:rsid w:val="00053A45"/>
    <w:rsid w:val="00053A82"/>
    <w:rsid w:val="00054577"/>
    <w:rsid w:val="00060D73"/>
    <w:rsid w:val="00060EAF"/>
    <w:rsid w:val="00061998"/>
    <w:rsid w:val="000658CD"/>
    <w:rsid w:val="00065B00"/>
    <w:rsid w:val="00066464"/>
    <w:rsid w:val="00070675"/>
    <w:rsid w:val="000730F7"/>
    <w:rsid w:val="000744EC"/>
    <w:rsid w:val="00075AED"/>
    <w:rsid w:val="000771D4"/>
    <w:rsid w:val="000776D4"/>
    <w:rsid w:val="000777FD"/>
    <w:rsid w:val="00077B66"/>
    <w:rsid w:val="00081018"/>
    <w:rsid w:val="000812AC"/>
    <w:rsid w:val="000825E0"/>
    <w:rsid w:val="00084A6D"/>
    <w:rsid w:val="00085B28"/>
    <w:rsid w:val="00092D97"/>
    <w:rsid w:val="0009366C"/>
    <w:rsid w:val="00093F8C"/>
    <w:rsid w:val="0009541C"/>
    <w:rsid w:val="000961E0"/>
    <w:rsid w:val="00096364"/>
    <w:rsid w:val="000A07D0"/>
    <w:rsid w:val="000A07D9"/>
    <w:rsid w:val="000A12B9"/>
    <w:rsid w:val="000A2B5A"/>
    <w:rsid w:val="000A3FF5"/>
    <w:rsid w:val="000A4884"/>
    <w:rsid w:val="000A48C7"/>
    <w:rsid w:val="000A6BC0"/>
    <w:rsid w:val="000B3550"/>
    <w:rsid w:val="000B39E6"/>
    <w:rsid w:val="000B411D"/>
    <w:rsid w:val="000B439A"/>
    <w:rsid w:val="000B4503"/>
    <w:rsid w:val="000B6612"/>
    <w:rsid w:val="000B7A15"/>
    <w:rsid w:val="000C0C01"/>
    <w:rsid w:val="000C15B2"/>
    <w:rsid w:val="000C24D1"/>
    <w:rsid w:val="000C4A61"/>
    <w:rsid w:val="000C694F"/>
    <w:rsid w:val="000C6971"/>
    <w:rsid w:val="000C6B7B"/>
    <w:rsid w:val="000C7415"/>
    <w:rsid w:val="000C7C8C"/>
    <w:rsid w:val="000D0240"/>
    <w:rsid w:val="000D21ED"/>
    <w:rsid w:val="000D28D0"/>
    <w:rsid w:val="000D34E0"/>
    <w:rsid w:val="000D5E3D"/>
    <w:rsid w:val="000D624C"/>
    <w:rsid w:val="000D7EBF"/>
    <w:rsid w:val="000E0BE1"/>
    <w:rsid w:val="000E24A5"/>
    <w:rsid w:val="000E3232"/>
    <w:rsid w:val="000E414B"/>
    <w:rsid w:val="000E51D5"/>
    <w:rsid w:val="000E6287"/>
    <w:rsid w:val="000E6424"/>
    <w:rsid w:val="000E671D"/>
    <w:rsid w:val="000E6921"/>
    <w:rsid w:val="000E7AC4"/>
    <w:rsid w:val="000F469F"/>
    <w:rsid w:val="000F4A51"/>
    <w:rsid w:val="000F4EBF"/>
    <w:rsid w:val="000F597C"/>
    <w:rsid w:val="000F5E30"/>
    <w:rsid w:val="000F69B6"/>
    <w:rsid w:val="00104FC4"/>
    <w:rsid w:val="00105305"/>
    <w:rsid w:val="00106632"/>
    <w:rsid w:val="001077CE"/>
    <w:rsid w:val="00107DF6"/>
    <w:rsid w:val="00111AA6"/>
    <w:rsid w:val="00112A3B"/>
    <w:rsid w:val="00113E20"/>
    <w:rsid w:val="001146F4"/>
    <w:rsid w:val="0011473F"/>
    <w:rsid w:val="00115BA8"/>
    <w:rsid w:val="00115D03"/>
    <w:rsid w:val="0011735E"/>
    <w:rsid w:val="001174D0"/>
    <w:rsid w:val="00117FFB"/>
    <w:rsid w:val="0012018C"/>
    <w:rsid w:val="00120746"/>
    <w:rsid w:val="0012111F"/>
    <w:rsid w:val="001220E3"/>
    <w:rsid w:val="001233DE"/>
    <w:rsid w:val="00123F49"/>
    <w:rsid w:val="0012694A"/>
    <w:rsid w:val="00130448"/>
    <w:rsid w:val="00131CF4"/>
    <w:rsid w:val="00132F47"/>
    <w:rsid w:val="00133A42"/>
    <w:rsid w:val="00134028"/>
    <w:rsid w:val="001379C7"/>
    <w:rsid w:val="00140275"/>
    <w:rsid w:val="00140922"/>
    <w:rsid w:val="00140FFC"/>
    <w:rsid w:val="00141320"/>
    <w:rsid w:val="001427FF"/>
    <w:rsid w:val="00145236"/>
    <w:rsid w:val="00145A36"/>
    <w:rsid w:val="00146552"/>
    <w:rsid w:val="001469ED"/>
    <w:rsid w:val="001516CD"/>
    <w:rsid w:val="00153FD9"/>
    <w:rsid w:val="001619F5"/>
    <w:rsid w:val="00162F49"/>
    <w:rsid w:val="001632D1"/>
    <w:rsid w:val="00163CEA"/>
    <w:rsid w:val="00164C2D"/>
    <w:rsid w:val="00164DAC"/>
    <w:rsid w:val="001658E3"/>
    <w:rsid w:val="00166460"/>
    <w:rsid w:val="00167355"/>
    <w:rsid w:val="001712AB"/>
    <w:rsid w:val="00171F09"/>
    <w:rsid w:val="0017228E"/>
    <w:rsid w:val="001749AF"/>
    <w:rsid w:val="00174EC3"/>
    <w:rsid w:val="0017656F"/>
    <w:rsid w:val="0017761E"/>
    <w:rsid w:val="00180C3E"/>
    <w:rsid w:val="00181908"/>
    <w:rsid w:val="0018212F"/>
    <w:rsid w:val="00185B26"/>
    <w:rsid w:val="00186188"/>
    <w:rsid w:val="00186A0A"/>
    <w:rsid w:val="00187358"/>
    <w:rsid w:val="001901FF"/>
    <w:rsid w:val="001911C1"/>
    <w:rsid w:val="00191259"/>
    <w:rsid w:val="00191811"/>
    <w:rsid w:val="0019242E"/>
    <w:rsid w:val="001925E7"/>
    <w:rsid w:val="00192696"/>
    <w:rsid w:val="00193ADE"/>
    <w:rsid w:val="001A1140"/>
    <w:rsid w:val="001A2D81"/>
    <w:rsid w:val="001A4C50"/>
    <w:rsid w:val="001A75C9"/>
    <w:rsid w:val="001A7B14"/>
    <w:rsid w:val="001B089B"/>
    <w:rsid w:val="001B1512"/>
    <w:rsid w:val="001B1E6C"/>
    <w:rsid w:val="001B29BB"/>
    <w:rsid w:val="001B29C4"/>
    <w:rsid w:val="001B7802"/>
    <w:rsid w:val="001B79B5"/>
    <w:rsid w:val="001C1F10"/>
    <w:rsid w:val="001C45DC"/>
    <w:rsid w:val="001C762F"/>
    <w:rsid w:val="001D1030"/>
    <w:rsid w:val="001D1E95"/>
    <w:rsid w:val="001D205F"/>
    <w:rsid w:val="001D30A7"/>
    <w:rsid w:val="001D4202"/>
    <w:rsid w:val="001D47B1"/>
    <w:rsid w:val="001D4B6D"/>
    <w:rsid w:val="001D6720"/>
    <w:rsid w:val="001D756E"/>
    <w:rsid w:val="001E1393"/>
    <w:rsid w:val="001E2B36"/>
    <w:rsid w:val="001E2D07"/>
    <w:rsid w:val="001E3504"/>
    <w:rsid w:val="001E4DDF"/>
    <w:rsid w:val="001E51BD"/>
    <w:rsid w:val="001E61D7"/>
    <w:rsid w:val="001E6D10"/>
    <w:rsid w:val="001F10D2"/>
    <w:rsid w:val="001F19A4"/>
    <w:rsid w:val="001F27D0"/>
    <w:rsid w:val="001F44A7"/>
    <w:rsid w:val="001F52AF"/>
    <w:rsid w:val="001F6A92"/>
    <w:rsid w:val="002006E7"/>
    <w:rsid w:val="00201BDC"/>
    <w:rsid w:val="002024DD"/>
    <w:rsid w:val="002034DD"/>
    <w:rsid w:val="0020607C"/>
    <w:rsid w:val="00206254"/>
    <w:rsid w:val="00207E1B"/>
    <w:rsid w:val="00207FDA"/>
    <w:rsid w:val="00210010"/>
    <w:rsid w:val="00211058"/>
    <w:rsid w:val="00211317"/>
    <w:rsid w:val="00212AAC"/>
    <w:rsid w:val="002159B0"/>
    <w:rsid w:val="00215A76"/>
    <w:rsid w:val="002164EF"/>
    <w:rsid w:val="0022105A"/>
    <w:rsid w:val="00221161"/>
    <w:rsid w:val="0022287B"/>
    <w:rsid w:val="00224CAC"/>
    <w:rsid w:val="002252A3"/>
    <w:rsid w:val="00226B08"/>
    <w:rsid w:val="00226DCD"/>
    <w:rsid w:val="00230FC2"/>
    <w:rsid w:val="002323E4"/>
    <w:rsid w:val="00232BFC"/>
    <w:rsid w:val="002339B2"/>
    <w:rsid w:val="002340AD"/>
    <w:rsid w:val="00234519"/>
    <w:rsid w:val="00235156"/>
    <w:rsid w:val="00235FB2"/>
    <w:rsid w:val="0023741C"/>
    <w:rsid w:val="0024106E"/>
    <w:rsid w:val="002423BF"/>
    <w:rsid w:val="002435E0"/>
    <w:rsid w:val="002445BD"/>
    <w:rsid w:val="00246513"/>
    <w:rsid w:val="00250B74"/>
    <w:rsid w:val="0025161D"/>
    <w:rsid w:val="002520E5"/>
    <w:rsid w:val="002527EC"/>
    <w:rsid w:val="002534B9"/>
    <w:rsid w:val="00255F50"/>
    <w:rsid w:val="00256DC7"/>
    <w:rsid w:val="00257639"/>
    <w:rsid w:val="00260899"/>
    <w:rsid w:val="0026217E"/>
    <w:rsid w:val="00262180"/>
    <w:rsid w:val="00262808"/>
    <w:rsid w:val="00263FF1"/>
    <w:rsid w:val="00266705"/>
    <w:rsid w:val="00267954"/>
    <w:rsid w:val="00270CC5"/>
    <w:rsid w:val="00273BBC"/>
    <w:rsid w:val="00275768"/>
    <w:rsid w:val="00276823"/>
    <w:rsid w:val="00277A5B"/>
    <w:rsid w:val="00277C52"/>
    <w:rsid w:val="00281041"/>
    <w:rsid w:val="00283F8F"/>
    <w:rsid w:val="0028446A"/>
    <w:rsid w:val="00284EB0"/>
    <w:rsid w:val="00286350"/>
    <w:rsid w:val="002867AE"/>
    <w:rsid w:val="00290AE9"/>
    <w:rsid w:val="00291EEF"/>
    <w:rsid w:val="002921ED"/>
    <w:rsid w:val="0029327F"/>
    <w:rsid w:val="002954F7"/>
    <w:rsid w:val="0029559E"/>
    <w:rsid w:val="00296A35"/>
    <w:rsid w:val="002A020D"/>
    <w:rsid w:val="002A0512"/>
    <w:rsid w:val="002A05B0"/>
    <w:rsid w:val="002A0663"/>
    <w:rsid w:val="002A1553"/>
    <w:rsid w:val="002A2E1A"/>
    <w:rsid w:val="002A3AA6"/>
    <w:rsid w:val="002A431C"/>
    <w:rsid w:val="002A5BCA"/>
    <w:rsid w:val="002A63EA"/>
    <w:rsid w:val="002A7BC2"/>
    <w:rsid w:val="002B195A"/>
    <w:rsid w:val="002B1DCF"/>
    <w:rsid w:val="002B1E9B"/>
    <w:rsid w:val="002B2588"/>
    <w:rsid w:val="002B2FAD"/>
    <w:rsid w:val="002B32E7"/>
    <w:rsid w:val="002B3636"/>
    <w:rsid w:val="002B414A"/>
    <w:rsid w:val="002B5534"/>
    <w:rsid w:val="002B59E7"/>
    <w:rsid w:val="002B7C72"/>
    <w:rsid w:val="002C0338"/>
    <w:rsid w:val="002C14AC"/>
    <w:rsid w:val="002C360A"/>
    <w:rsid w:val="002C54EF"/>
    <w:rsid w:val="002C576A"/>
    <w:rsid w:val="002C703B"/>
    <w:rsid w:val="002C723A"/>
    <w:rsid w:val="002D38D2"/>
    <w:rsid w:val="002D3ECB"/>
    <w:rsid w:val="002D45A8"/>
    <w:rsid w:val="002D463C"/>
    <w:rsid w:val="002D4F26"/>
    <w:rsid w:val="002D5EE3"/>
    <w:rsid w:val="002D6E5E"/>
    <w:rsid w:val="002D7CF0"/>
    <w:rsid w:val="002E00D0"/>
    <w:rsid w:val="002E0399"/>
    <w:rsid w:val="002E06E1"/>
    <w:rsid w:val="002E17EC"/>
    <w:rsid w:val="002E2CDA"/>
    <w:rsid w:val="002E31E5"/>
    <w:rsid w:val="002E3D9F"/>
    <w:rsid w:val="002E53DE"/>
    <w:rsid w:val="002E6D2A"/>
    <w:rsid w:val="002F1A68"/>
    <w:rsid w:val="002F2C4A"/>
    <w:rsid w:val="002F537F"/>
    <w:rsid w:val="002F5B5F"/>
    <w:rsid w:val="002F6E20"/>
    <w:rsid w:val="002F7B29"/>
    <w:rsid w:val="003009F6"/>
    <w:rsid w:val="003034D6"/>
    <w:rsid w:val="0030437E"/>
    <w:rsid w:val="00305F99"/>
    <w:rsid w:val="003060C0"/>
    <w:rsid w:val="00307F11"/>
    <w:rsid w:val="00311A39"/>
    <w:rsid w:val="00312AFB"/>
    <w:rsid w:val="00314DC1"/>
    <w:rsid w:val="00315182"/>
    <w:rsid w:val="0031643E"/>
    <w:rsid w:val="00316B1D"/>
    <w:rsid w:val="0032043D"/>
    <w:rsid w:val="0032063B"/>
    <w:rsid w:val="0032207D"/>
    <w:rsid w:val="0032211D"/>
    <w:rsid w:val="003227C7"/>
    <w:rsid w:val="00330104"/>
    <w:rsid w:val="00335583"/>
    <w:rsid w:val="003416AF"/>
    <w:rsid w:val="0034198B"/>
    <w:rsid w:val="00342783"/>
    <w:rsid w:val="00342E0E"/>
    <w:rsid w:val="00344A71"/>
    <w:rsid w:val="003502F4"/>
    <w:rsid w:val="00353411"/>
    <w:rsid w:val="0035351D"/>
    <w:rsid w:val="003535E2"/>
    <w:rsid w:val="003553AB"/>
    <w:rsid w:val="00355ABB"/>
    <w:rsid w:val="00355C04"/>
    <w:rsid w:val="00356296"/>
    <w:rsid w:val="00356D32"/>
    <w:rsid w:val="0036213C"/>
    <w:rsid w:val="00362DEC"/>
    <w:rsid w:val="00364821"/>
    <w:rsid w:val="00365F17"/>
    <w:rsid w:val="00366870"/>
    <w:rsid w:val="00371ED7"/>
    <w:rsid w:val="0037352F"/>
    <w:rsid w:val="00373E27"/>
    <w:rsid w:val="003749C1"/>
    <w:rsid w:val="0038220F"/>
    <w:rsid w:val="003842AB"/>
    <w:rsid w:val="003846DD"/>
    <w:rsid w:val="003850E1"/>
    <w:rsid w:val="00385582"/>
    <w:rsid w:val="00386F2D"/>
    <w:rsid w:val="00390AE2"/>
    <w:rsid w:val="00390CD0"/>
    <w:rsid w:val="00390F83"/>
    <w:rsid w:val="00394785"/>
    <w:rsid w:val="00395D0C"/>
    <w:rsid w:val="0039666B"/>
    <w:rsid w:val="00397059"/>
    <w:rsid w:val="003974B7"/>
    <w:rsid w:val="003A0756"/>
    <w:rsid w:val="003A3C9E"/>
    <w:rsid w:val="003A500A"/>
    <w:rsid w:val="003A59F3"/>
    <w:rsid w:val="003A5A43"/>
    <w:rsid w:val="003B0270"/>
    <w:rsid w:val="003B1406"/>
    <w:rsid w:val="003B146E"/>
    <w:rsid w:val="003B22C1"/>
    <w:rsid w:val="003B26F5"/>
    <w:rsid w:val="003B31AC"/>
    <w:rsid w:val="003B4130"/>
    <w:rsid w:val="003B57FC"/>
    <w:rsid w:val="003B60FA"/>
    <w:rsid w:val="003B65CB"/>
    <w:rsid w:val="003B7610"/>
    <w:rsid w:val="003C02D7"/>
    <w:rsid w:val="003C0661"/>
    <w:rsid w:val="003C1AC0"/>
    <w:rsid w:val="003C256E"/>
    <w:rsid w:val="003C4350"/>
    <w:rsid w:val="003C486E"/>
    <w:rsid w:val="003C52C5"/>
    <w:rsid w:val="003C56C2"/>
    <w:rsid w:val="003C6800"/>
    <w:rsid w:val="003C75D6"/>
    <w:rsid w:val="003D5647"/>
    <w:rsid w:val="003D574A"/>
    <w:rsid w:val="003D594E"/>
    <w:rsid w:val="003D61CF"/>
    <w:rsid w:val="003D736D"/>
    <w:rsid w:val="003E42CC"/>
    <w:rsid w:val="003E4563"/>
    <w:rsid w:val="003E530B"/>
    <w:rsid w:val="003E63E4"/>
    <w:rsid w:val="003E6CC8"/>
    <w:rsid w:val="003E74F3"/>
    <w:rsid w:val="003E7846"/>
    <w:rsid w:val="003F0345"/>
    <w:rsid w:val="003F0D01"/>
    <w:rsid w:val="003F10FE"/>
    <w:rsid w:val="003F1BCE"/>
    <w:rsid w:val="003F4E0E"/>
    <w:rsid w:val="00401824"/>
    <w:rsid w:val="00402A5A"/>
    <w:rsid w:val="00403DF6"/>
    <w:rsid w:val="00405226"/>
    <w:rsid w:val="004060A9"/>
    <w:rsid w:val="00410B22"/>
    <w:rsid w:val="0041360B"/>
    <w:rsid w:val="00413D97"/>
    <w:rsid w:val="00414063"/>
    <w:rsid w:val="004140B3"/>
    <w:rsid w:val="00414558"/>
    <w:rsid w:val="00414BFF"/>
    <w:rsid w:val="00415EE8"/>
    <w:rsid w:val="00416D23"/>
    <w:rsid w:val="00416D5F"/>
    <w:rsid w:val="00416FC1"/>
    <w:rsid w:val="00417AA0"/>
    <w:rsid w:val="00420C4A"/>
    <w:rsid w:val="004224D3"/>
    <w:rsid w:val="004232EF"/>
    <w:rsid w:val="0042532E"/>
    <w:rsid w:val="00425C0A"/>
    <w:rsid w:val="00425DC7"/>
    <w:rsid w:val="0043036B"/>
    <w:rsid w:val="00434670"/>
    <w:rsid w:val="00434A79"/>
    <w:rsid w:val="00440F3F"/>
    <w:rsid w:val="00441430"/>
    <w:rsid w:val="00442CE9"/>
    <w:rsid w:val="0044301A"/>
    <w:rsid w:val="004444FC"/>
    <w:rsid w:val="0044480E"/>
    <w:rsid w:val="00444F22"/>
    <w:rsid w:val="004474C2"/>
    <w:rsid w:val="004500F5"/>
    <w:rsid w:val="004514C4"/>
    <w:rsid w:val="0045178D"/>
    <w:rsid w:val="00453205"/>
    <w:rsid w:val="00454CBE"/>
    <w:rsid w:val="0045540A"/>
    <w:rsid w:val="004556BE"/>
    <w:rsid w:val="004559A6"/>
    <w:rsid w:val="00456278"/>
    <w:rsid w:val="00457211"/>
    <w:rsid w:val="0045754F"/>
    <w:rsid w:val="00460BF0"/>
    <w:rsid w:val="004618CE"/>
    <w:rsid w:val="00462815"/>
    <w:rsid w:val="00462DC6"/>
    <w:rsid w:val="00465B9D"/>
    <w:rsid w:val="00466195"/>
    <w:rsid w:val="00467E2A"/>
    <w:rsid w:val="00470EEF"/>
    <w:rsid w:val="0047149D"/>
    <w:rsid w:val="004715B5"/>
    <w:rsid w:val="00471D56"/>
    <w:rsid w:val="00471EB5"/>
    <w:rsid w:val="004728A4"/>
    <w:rsid w:val="00473798"/>
    <w:rsid w:val="0047621D"/>
    <w:rsid w:val="00477660"/>
    <w:rsid w:val="0047772B"/>
    <w:rsid w:val="00480861"/>
    <w:rsid w:val="00482991"/>
    <w:rsid w:val="00482BD8"/>
    <w:rsid w:val="004842DB"/>
    <w:rsid w:val="00484432"/>
    <w:rsid w:val="004846F4"/>
    <w:rsid w:val="00484905"/>
    <w:rsid w:val="00485DB4"/>
    <w:rsid w:val="0048791D"/>
    <w:rsid w:val="00490F8D"/>
    <w:rsid w:val="00492679"/>
    <w:rsid w:val="00493943"/>
    <w:rsid w:val="004953D3"/>
    <w:rsid w:val="00496811"/>
    <w:rsid w:val="00497D86"/>
    <w:rsid w:val="004A061D"/>
    <w:rsid w:val="004A0A39"/>
    <w:rsid w:val="004A1653"/>
    <w:rsid w:val="004A1FDC"/>
    <w:rsid w:val="004A4595"/>
    <w:rsid w:val="004A46DD"/>
    <w:rsid w:val="004A4AF9"/>
    <w:rsid w:val="004A5B8B"/>
    <w:rsid w:val="004B209D"/>
    <w:rsid w:val="004B2CDD"/>
    <w:rsid w:val="004B5E76"/>
    <w:rsid w:val="004B63EA"/>
    <w:rsid w:val="004B7681"/>
    <w:rsid w:val="004C16CA"/>
    <w:rsid w:val="004C1CB7"/>
    <w:rsid w:val="004C3097"/>
    <w:rsid w:val="004C5D2D"/>
    <w:rsid w:val="004C5F5B"/>
    <w:rsid w:val="004C722C"/>
    <w:rsid w:val="004C7B2C"/>
    <w:rsid w:val="004D455B"/>
    <w:rsid w:val="004D4A55"/>
    <w:rsid w:val="004D5BC3"/>
    <w:rsid w:val="004D787F"/>
    <w:rsid w:val="004E0EAB"/>
    <w:rsid w:val="004E205B"/>
    <w:rsid w:val="004E32DA"/>
    <w:rsid w:val="004E34D3"/>
    <w:rsid w:val="004E6145"/>
    <w:rsid w:val="004F241F"/>
    <w:rsid w:val="004F4315"/>
    <w:rsid w:val="004F4656"/>
    <w:rsid w:val="004F4BDD"/>
    <w:rsid w:val="004F5BE4"/>
    <w:rsid w:val="004F6993"/>
    <w:rsid w:val="004F719D"/>
    <w:rsid w:val="004F7731"/>
    <w:rsid w:val="004F7AD1"/>
    <w:rsid w:val="005029AF"/>
    <w:rsid w:val="00502FF1"/>
    <w:rsid w:val="00505479"/>
    <w:rsid w:val="00506E0B"/>
    <w:rsid w:val="00510C76"/>
    <w:rsid w:val="00511D10"/>
    <w:rsid w:val="00511E8D"/>
    <w:rsid w:val="00512565"/>
    <w:rsid w:val="00512B92"/>
    <w:rsid w:val="005131C7"/>
    <w:rsid w:val="005204BA"/>
    <w:rsid w:val="00520EEE"/>
    <w:rsid w:val="00522DEC"/>
    <w:rsid w:val="005233A0"/>
    <w:rsid w:val="00524687"/>
    <w:rsid w:val="00525329"/>
    <w:rsid w:val="00526199"/>
    <w:rsid w:val="00527031"/>
    <w:rsid w:val="00530602"/>
    <w:rsid w:val="00531652"/>
    <w:rsid w:val="0053223F"/>
    <w:rsid w:val="005346DF"/>
    <w:rsid w:val="00534B08"/>
    <w:rsid w:val="00536155"/>
    <w:rsid w:val="0053674F"/>
    <w:rsid w:val="00537275"/>
    <w:rsid w:val="00537C8B"/>
    <w:rsid w:val="005400A6"/>
    <w:rsid w:val="00543848"/>
    <w:rsid w:val="00543B5A"/>
    <w:rsid w:val="00544DE4"/>
    <w:rsid w:val="00545196"/>
    <w:rsid w:val="00546347"/>
    <w:rsid w:val="00546AEC"/>
    <w:rsid w:val="0055096F"/>
    <w:rsid w:val="00551159"/>
    <w:rsid w:val="00551475"/>
    <w:rsid w:val="00551A9C"/>
    <w:rsid w:val="00551DDB"/>
    <w:rsid w:val="0055321E"/>
    <w:rsid w:val="00555358"/>
    <w:rsid w:val="00556775"/>
    <w:rsid w:val="0056081F"/>
    <w:rsid w:val="00560CA8"/>
    <w:rsid w:val="00561151"/>
    <w:rsid w:val="00564797"/>
    <w:rsid w:val="00565734"/>
    <w:rsid w:val="005658AE"/>
    <w:rsid w:val="00566B04"/>
    <w:rsid w:val="00566F25"/>
    <w:rsid w:val="00570A68"/>
    <w:rsid w:val="00570F2A"/>
    <w:rsid w:val="00572263"/>
    <w:rsid w:val="005741CA"/>
    <w:rsid w:val="005766ED"/>
    <w:rsid w:val="00577EF2"/>
    <w:rsid w:val="005821E7"/>
    <w:rsid w:val="005825F4"/>
    <w:rsid w:val="0058307A"/>
    <w:rsid w:val="00583A72"/>
    <w:rsid w:val="00587966"/>
    <w:rsid w:val="00587ED7"/>
    <w:rsid w:val="00587F93"/>
    <w:rsid w:val="0059046B"/>
    <w:rsid w:val="00592E08"/>
    <w:rsid w:val="00594C1A"/>
    <w:rsid w:val="005950CF"/>
    <w:rsid w:val="00597063"/>
    <w:rsid w:val="005A4489"/>
    <w:rsid w:val="005A496F"/>
    <w:rsid w:val="005B0DF5"/>
    <w:rsid w:val="005B2149"/>
    <w:rsid w:val="005B281E"/>
    <w:rsid w:val="005B2B35"/>
    <w:rsid w:val="005B2CAF"/>
    <w:rsid w:val="005B56D9"/>
    <w:rsid w:val="005B68B7"/>
    <w:rsid w:val="005B7CB7"/>
    <w:rsid w:val="005C07EC"/>
    <w:rsid w:val="005C0C00"/>
    <w:rsid w:val="005C1257"/>
    <w:rsid w:val="005C4ED4"/>
    <w:rsid w:val="005C4F4C"/>
    <w:rsid w:val="005C5539"/>
    <w:rsid w:val="005C5593"/>
    <w:rsid w:val="005C5C90"/>
    <w:rsid w:val="005C65C3"/>
    <w:rsid w:val="005C7551"/>
    <w:rsid w:val="005D0220"/>
    <w:rsid w:val="005D11E1"/>
    <w:rsid w:val="005D28D3"/>
    <w:rsid w:val="005D40EF"/>
    <w:rsid w:val="005D5340"/>
    <w:rsid w:val="005D6B58"/>
    <w:rsid w:val="005E036E"/>
    <w:rsid w:val="005E0596"/>
    <w:rsid w:val="005E11B4"/>
    <w:rsid w:val="005E17D2"/>
    <w:rsid w:val="005E20BF"/>
    <w:rsid w:val="005E23C8"/>
    <w:rsid w:val="005E4BEC"/>
    <w:rsid w:val="005E65C8"/>
    <w:rsid w:val="005E6A94"/>
    <w:rsid w:val="005E6ADA"/>
    <w:rsid w:val="005E74C9"/>
    <w:rsid w:val="005E77A0"/>
    <w:rsid w:val="005F01E2"/>
    <w:rsid w:val="005F08DC"/>
    <w:rsid w:val="005F1EF6"/>
    <w:rsid w:val="005F1F4F"/>
    <w:rsid w:val="005F38EB"/>
    <w:rsid w:val="005F3A8D"/>
    <w:rsid w:val="005F3E6F"/>
    <w:rsid w:val="005F4289"/>
    <w:rsid w:val="005F4FC3"/>
    <w:rsid w:val="005F4FD2"/>
    <w:rsid w:val="005F7B27"/>
    <w:rsid w:val="0060072C"/>
    <w:rsid w:val="00602304"/>
    <w:rsid w:val="00602EDF"/>
    <w:rsid w:val="006034C1"/>
    <w:rsid w:val="00604DDD"/>
    <w:rsid w:val="0061276A"/>
    <w:rsid w:val="0061306A"/>
    <w:rsid w:val="00613071"/>
    <w:rsid w:val="00613DC8"/>
    <w:rsid w:val="0061618D"/>
    <w:rsid w:val="0061644B"/>
    <w:rsid w:val="006175C3"/>
    <w:rsid w:val="00620984"/>
    <w:rsid w:val="00621664"/>
    <w:rsid w:val="00624436"/>
    <w:rsid w:val="00627636"/>
    <w:rsid w:val="006305D2"/>
    <w:rsid w:val="00630823"/>
    <w:rsid w:val="00633257"/>
    <w:rsid w:val="00634154"/>
    <w:rsid w:val="00634833"/>
    <w:rsid w:val="00634F25"/>
    <w:rsid w:val="006350F6"/>
    <w:rsid w:val="0063609B"/>
    <w:rsid w:val="006363A7"/>
    <w:rsid w:val="0063659D"/>
    <w:rsid w:val="00637BD1"/>
    <w:rsid w:val="00641999"/>
    <w:rsid w:val="00641BE2"/>
    <w:rsid w:val="0064294B"/>
    <w:rsid w:val="00644EDA"/>
    <w:rsid w:val="0064537C"/>
    <w:rsid w:val="006468A3"/>
    <w:rsid w:val="00647651"/>
    <w:rsid w:val="006519C4"/>
    <w:rsid w:val="0065281E"/>
    <w:rsid w:val="00652E0B"/>
    <w:rsid w:val="00653485"/>
    <w:rsid w:val="00653EB7"/>
    <w:rsid w:val="00654ECF"/>
    <w:rsid w:val="0065689F"/>
    <w:rsid w:val="00657563"/>
    <w:rsid w:val="006602AD"/>
    <w:rsid w:val="006608FA"/>
    <w:rsid w:val="00660AC5"/>
    <w:rsid w:val="00661B84"/>
    <w:rsid w:val="00664F60"/>
    <w:rsid w:val="0066520F"/>
    <w:rsid w:val="00666D59"/>
    <w:rsid w:val="00666DC8"/>
    <w:rsid w:val="00667AE1"/>
    <w:rsid w:val="00672449"/>
    <w:rsid w:val="00672A86"/>
    <w:rsid w:val="00673374"/>
    <w:rsid w:val="0067340B"/>
    <w:rsid w:val="006770A1"/>
    <w:rsid w:val="00677ED4"/>
    <w:rsid w:val="006800EF"/>
    <w:rsid w:val="00682D4D"/>
    <w:rsid w:val="006874AF"/>
    <w:rsid w:val="0069109B"/>
    <w:rsid w:val="00691767"/>
    <w:rsid w:val="00691A2A"/>
    <w:rsid w:val="006975BB"/>
    <w:rsid w:val="006A06F2"/>
    <w:rsid w:val="006A0CA6"/>
    <w:rsid w:val="006A1041"/>
    <w:rsid w:val="006A2974"/>
    <w:rsid w:val="006A5708"/>
    <w:rsid w:val="006B01ED"/>
    <w:rsid w:val="006B0B32"/>
    <w:rsid w:val="006B2DF8"/>
    <w:rsid w:val="006B38CD"/>
    <w:rsid w:val="006B496C"/>
    <w:rsid w:val="006B61CB"/>
    <w:rsid w:val="006B6883"/>
    <w:rsid w:val="006B7384"/>
    <w:rsid w:val="006B7B06"/>
    <w:rsid w:val="006C1BC1"/>
    <w:rsid w:val="006C2A7F"/>
    <w:rsid w:val="006C37E3"/>
    <w:rsid w:val="006C4877"/>
    <w:rsid w:val="006C55AC"/>
    <w:rsid w:val="006C7C66"/>
    <w:rsid w:val="006D0876"/>
    <w:rsid w:val="006D0D44"/>
    <w:rsid w:val="006D3083"/>
    <w:rsid w:val="006D3772"/>
    <w:rsid w:val="006D5654"/>
    <w:rsid w:val="006D7053"/>
    <w:rsid w:val="006E034B"/>
    <w:rsid w:val="006E16B1"/>
    <w:rsid w:val="006E2DD3"/>
    <w:rsid w:val="006E670C"/>
    <w:rsid w:val="006E6FED"/>
    <w:rsid w:val="006E7AFB"/>
    <w:rsid w:val="006E7DB9"/>
    <w:rsid w:val="006F2645"/>
    <w:rsid w:val="006F2F2A"/>
    <w:rsid w:val="006F30E5"/>
    <w:rsid w:val="006F376F"/>
    <w:rsid w:val="006F3DD5"/>
    <w:rsid w:val="006F5462"/>
    <w:rsid w:val="00700FB9"/>
    <w:rsid w:val="00701721"/>
    <w:rsid w:val="00701938"/>
    <w:rsid w:val="0070205A"/>
    <w:rsid w:val="007021C1"/>
    <w:rsid w:val="0070246B"/>
    <w:rsid w:val="007044CD"/>
    <w:rsid w:val="00706C8F"/>
    <w:rsid w:val="0070759F"/>
    <w:rsid w:val="007079A3"/>
    <w:rsid w:val="00711323"/>
    <w:rsid w:val="00712D89"/>
    <w:rsid w:val="007147A9"/>
    <w:rsid w:val="007149DB"/>
    <w:rsid w:val="00715DCB"/>
    <w:rsid w:val="00716740"/>
    <w:rsid w:val="0071711A"/>
    <w:rsid w:val="007217CA"/>
    <w:rsid w:val="00721E09"/>
    <w:rsid w:val="00723B1B"/>
    <w:rsid w:val="00725190"/>
    <w:rsid w:val="007256AB"/>
    <w:rsid w:val="00725C8C"/>
    <w:rsid w:val="007264DE"/>
    <w:rsid w:val="00730555"/>
    <w:rsid w:val="0073105C"/>
    <w:rsid w:val="00731F2A"/>
    <w:rsid w:val="00732525"/>
    <w:rsid w:val="00735389"/>
    <w:rsid w:val="00736DD9"/>
    <w:rsid w:val="0074046F"/>
    <w:rsid w:val="007406BD"/>
    <w:rsid w:val="00742634"/>
    <w:rsid w:val="00742C3A"/>
    <w:rsid w:val="00745D87"/>
    <w:rsid w:val="00746935"/>
    <w:rsid w:val="00746D08"/>
    <w:rsid w:val="00746E00"/>
    <w:rsid w:val="007473A8"/>
    <w:rsid w:val="007502A1"/>
    <w:rsid w:val="00751470"/>
    <w:rsid w:val="0075379B"/>
    <w:rsid w:val="007549D3"/>
    <w:rsid w:val="00754AE4"/>
    <w:rsid w:val="00754CD2"/>
    <w:rsid w:val="00754E5E"/>
    <w:rsid w:val="00756AD8"/>
    <w:rsid w:val="00757263"/>
    <w:rsid w:val="0075738A"/>
    <w:rsid w:val="0076015D"/>
    <w:rsid w:val="00760FFB"/>
    <w:rsid w:val="00761896"/>
    <w:rsid w:val="0076211F"/>
    <w:rsid w:val="00763B20"/>
    <w:rsid w:val="00766D23"/>
    <w:rsid w:val="007677E1"/>
    <w:rsid w:val="00771678"/>
    <w:rsid w:val="00772031"/>
    <w:rsid w:val="00781F47"/>
    <w:rsid w:val="00783592"/>
    <w:rsid w:val="00784A8B"/>
    <w:rsid w:val="0078640F"/>
    <w:rsid w:val="00786C8D"/>
    <w:rsid w:val="00787410"/>
    <w:rsid w:val="00790083"/>
    <w:rsid w:val="00790B46"/>
    <w:rsid w:val="00790FC4"/>
    <w:rsid w:val="007925A8"/>
    <w:rsid w:val="007954EB"/>
    <w:rsid w:val="00795D93"/>
    <w:rsid w:val="00796B6F"/>
    <w:rsid w:val="00797A42"/>
    <w:rsid w:val="007A3156"/>
    <w:rsid w:val="007A506F"/>
    <w:rsid w:val="007A5D9F"/>
    <w:rsid w:val="007A6AA6"/>
    <w:rsid w:val="007A6CF8"/>
    <w:rsid w:val="007A7E86"/>
    <w:rsid w:val="007B0D96"/>
    <w:rsid w:val="007B0E3A"/>
    <w:rsid w:val="007B2827"/>
    <w:rsid w:val="007B29EE"/>
    <w:rsid w:val="007B31B2"/>
    <w:rsid w:val="007B36E2"/>
    <w:rsid w:val="007B3CD2"/>
    <w:rsid w:val="007B45B3"/>
    <w:rsid w:val="007B51DF"/>
    <w:rsid w:val="007B5CC6"/>
    <w:rsid w:val="007B6B95"/>
    <w:rsid w:val="007B7386"/>
    <w:rsid w:val="007B7FB3"/>
    <w:rsid w:val="007C29D9"/>
    <w:rsid w:val="007C2A44"/>
    <w:rsid w:val="007C3485"/>
    <w:rsid w:val="007C75C9"/>
    <w:rsid w:val="007D03C3"/>
    <w:rsid w:val="007D1290"/>
    <w:rsid w:val="007D46C9"/>
    <w:rsid w:val="007D7275"/>
    <w:rsid w:val="007E02A1"/>
    <w:rsid w:val="007E1252"/>
    <w:rsid w:val="007E1265"/>
    <w:rsid w:val="007E2203"/>
    <w:rsid w:val="007E2248"/>
    <w:rsid w:val="007E263E"/>
    <w:rsid w:val="007E3930"/>
    <w:rsid w:val="007E50DB"/>
    <w:rsid w:val="007E55E8"/>
    <w:rsid w:val="007E721A"/>
    <w:rsid w:val="007F0436"/>
    <w:rsid w:val="007F0657"/>
    <w:rsid w:val="007F13E8"/>
    <w:rsid w:val="007F1591"/>
    <w:rsid w:val="007F1AB9"/>
    <w:rsid w:val="007F2583"/>
    <w:rsid w:val="007F3C3C"/>
    <w:rsid w:val="007F4D7E"/>
    <w:rsid w:val="007F7E87"/>
    <w:rsid w:val="00801767"/>
    <w:rsid w:val="00801BC8"/>
    <w:rsid w:val="008031D2"/>
    <w:rsid w:val="00804A00"/>
    <w:rsid w:val="00805AC2"/>
    <w:rsid w:val="00810815"/>
    <w:rsid w:val="00812058"/>
    <w:rsid w:val="00814CEB"/>
    <w:rsid w:val="00815F85"/>
    <w:rsid w:val="008166DB"/>
    <w:rsid w:val="00816A52"/>
    <w:rsid w:val="00816C1A"/>
    <w:rsid w:val="008174F2"/>
    <w:rsid w:val="00820E0D"/>
    <w:rsid w:val="0082107F"/>
    <w:rsid w:val="0082326D"/>
    <w:rsid w:val="00824523"/>
    <w:rsid w:val="00825B6C"/>
    <w:rsid w:val="00826AA0"/>
    <w:rsid w:val="008331F4"/>
    <w:rsid w:val="00833236"/>
    <w:rsid w:val="00835029"/>
    <w:rsid w:val="00837D0C"/>
    <w:rsid w:val="008401E5"/>
    <w:rsid w:val="008413F4"/>
    <w:rsid w:val="00841ABF"/>
    <w:rsid w:val="00841C2D"/>
    <w:rsid w:val="00842A17"/>
    <w:rsid w:val="00842F14"/>
    <w:rsid w:val="00843FC0"/>
    <w:rsid w:val="008454CA"/>
    <w:rsid w:val="00845FA5"/>
    <w:rsid w:val="00846C13"/>
    <w:rsid w:val="00852E11"/>
    <w:rsid w:val="008535D1"/>
    <w:rsid w:val="008538B9"/>
    <w:rsid w:val="00854ADC"/>
    <w:rsid w:val="00855EC9"/>
    <w:rsid w:val="00857BF1"/>
    <w:rsid w:val="008618BD"/>
    <w:rsid w:val="00862BC3"/>
    <w:rsid w:val="00862CD9"/>
    <w:rsid w:val="00865A36"/>
    <w:rsid w:val="00866E4C"/>
    <w:rsid w:val="0086751E"/>
    <w:rsid w:val="0087056E"/>
    <w:rsid w:val="008742D0"/>
    <w:rsid w:val="008772E8"/>
    <w:rsid w:val="0088605C"/>
    <w:rsid w:val="00890008"/>
    <w:rsid w:val="00890FE5"/>
    <w:rsid w:val="00892F8B"/>
    <w:rsid w:val="00895029"/>
    <w:rsid w:val="0089549A"/>
    <w:rsid w:val="008955EB"/>
    <w:rsid w:val="0089711B"/>
    <w:rsid w:val="008A023C"/>
    <w:rsid w:val="008A076D"/>
    <w:rsid w:val="008A20E4"/>
    <w:rsid w:val="008A26B2"/>
    <w:rsid w:val="008A28F8"/>
    <w:rsid w:val="008A29B8"/>
    <w:rsid w:val="008A36AA"/>
    <w:rsid w:val="008A3E5D"/>
    <w:rsid w:val="008A407C"/>
    <w:rsid w:val="008A6A84"/>
    <w:rsid w:val="008B05C2"/>
    <w:rsid w:val="008B102F"/>
    <w:rsid w:val="008B1078"/>
    <w:rsid w:val="008B1512"/>
    <w:rsid w:val="008B23A0"/>
    <w:rsid w:val="008B38AF"/>
    <w:rsid w:val="008B3920"/>
    <w:rsid w:val="008B5189"/>
    <w:rsid w:val="008B5548"/>
    <w:rsid w:val="008C254D"/>
    <w:rsid w:val="008C3E73"/>
    <w:rsid w:val="008C3F3F"/>
    <w:rsid w:val="008C778D"/>
    <w:rsid w:val="008C785D"/>
    <w:rsid w:val="008D0136"/>
    <w:rsid w:val="008D0692"/>
    <w:rsid w:val="008D1053"/>
    <w:rsid w:val="008D2D1B"/>
    <w:rsid w:val="008D33B7"/>
    <w:rsid w:val="008D4049"/>
    <w:rsid w:val="008D7999"/>
    <w:rsid w:val="008E197D"/>
    <w:rsid w:val="008E2943"/>
    <w:rsid w:val="008E309B"/>
    <w:rsid w:val="008E35A7"/>
    <w:rsid w:val="008E3901"/>
    <w:rsid w:val="008E5AAB"/>
    <w:rsid w:val="008E6E85"/>
    <w:rsid w:val="008E77E1"/>
    <w:rsid w:val="008E7A60"/>
    <w:rsid w:val="008E7CDC"/>
    <w:rsid w:val="008E7E17"/>
    <w:rsid w:val="008E7ED2"/>
    <w:rsid w:val="008F017C"/>
    <w:rsid w:val="008F0641"/>
    <w:rsid w:val="008F1A19"/>
    <w:rsid w:val="008F2BC4"/>
    <w:rsid w:val="008F361A"/>
    <w:rsid w:val="008F38F7"/>
    <w:rsid w:val="008F44DE"/>
    <w:rsid w:val="008F4EE0"/>
    <w:rsid w:val="008F5199"/>
    <w:rsid w:val="008F571A"/>
    <w:rsid w:val="008F5993"/>
    <w:rsid w:val="008F72AA"/>
    <w:rsid w:val="008F78B1"/>
    <w:rsid w:val="008F7BCD"/>
    <w:rsid w:val="00902606"/>
    <w:rsid w:val="00902FC8"/>
    <w:rsid w:val="0090305F"/>
    <w:rsid w:val="0090580C"/>
    <w:rsid w:val="00905D25"/>
    <w:rsid w:val="009061B7"/>
    <w:rsid w:val="00906E80"/>
    <w:rsid w:val="0090753B"/>
    <w:rsid w:val="009129FE"/>
    <w:rsid w:val="009155BA"/>
    <w:rsid w:val="009157D9"/>
    <w:rsid w:val="009173DC"/>
    <w:rsid w:val="009223E4"/>
    <w:rsid w:val="009232E4"/>
    <w:rsid w:val="009240E2"/>
    <w:rsid w:val="00925D66"/>
    <w:rsid w:val="00930A41"/>
    <w:rsid w:val="00932020"/>
    <w:rsid w:val="009330B5"/>
    <w:rsid w:val="00934511"/>
    <w:rsid w:val="0093578A"/>
    <w:rsid w:val="00936B00"/>
    <w:rsid w:val="0094232B"/>
    <w:rsid w:val="00943BA5"/>
    <w:rsid w:val="0094460F"/>
    <w:rsid w:val="00944F23"/>
    <w:rsid w:val="009454C3"/>
    <w:rsid w:val="00946348"/>
    <w:rsid w:val="0094721D"/>
    <w:rsid w:val="00950FD8"/>
    <w:rsid w:val="0095141C"/>
    <w:rsid w:val="00955AD3"/>
    <w:rsid w:val="00955B7E"/>
    <w:rsid w:val="00955BEE"/>
    <w:rsid w:val="00955E44"/>
    <w:rsid w:val="00956F55"/>
    <w:rsid w:val="009616B4"/>
    <w:rsid w:val="009623D8"/>
    <w:rsid w:val="00962AA6"/>
    <w:rsid w:val="00962C6C"/>
    <w:rsid w:val="00964F5A"/>
    <w:rsid w:val="009664FE"/>
    <w:rsid w:val="00966E4B"/>
    <w:rsid w:val="00967AF3"/>
    <w:rsid w:val="00970392"/>
    <w:rsid w:val="009727BE"/>
    <w:rsid w:val="00972B7E"/>
    <w:rsid w:val="00974B64"/>
    <w:rsid w:val="009766C2"/>
    <w:rsid w:val="009768C8"/>
    <w:rsid w:val="009775D7"/>
    <w:rsid w:val="00981BDE"/>
    <w:rsid w:val="009823BD"/>
    <w:rsid w:val="00982959"/>
    <w:rsid w:val="00983832"/>
    <w:rsid w:val="00984655"/>
    <w:rsid w:val="00984882"/>
    <w:rsid w:val="00985E4A"/>
    <w:rsid w:val="009866AA"/>
    <w:rsid w:val="00986EB2"/>
    <w:rsid w:val="00986F4F"/>
    <w:rsid w:val="00987332"/>
    <w:rsid w:val="0098749E"/>
    <w:rsid w:val="00990498"/>
    <w:rsid w:val="00991661"/>
    <w:rsid w:val="0099442A"/>
    <w:rsid w:val="00995074"/>
    <w:rsid w:val="00995BCF"/>
    <w:rsid w:val="0099724F"/>
    <w:rsid w:val="009A193C"/>
    <w:rsid w:val="009A2313"/>
    <w:rsid w:val="009A2E2D"/>
    <w:rsid w:val="009A2FD8"/>
    <w:rsid w:val="009A71A5"/>
    <w:rsid w:val="009B00A0"/>
    <w:rsid w:val="009B2BFE"/>
    <w:rsid w:val="009B2EA8"/>
    <w:rsid w:val="009B2F8C"/>
    <w:rsid w:val="009B4CB8"/>
    <w:rsid w:val="009B4D60"/>
    <w:rsid w:val="009B5A0E"/>
    <w:rsid w:val="009B73D1"/>
    <w:rsid w:val="009B7707"/>
    <w:rsid w:val="009B7FD7"/>
    <w:rsid w:val="009C046B"/>
    <w:rsid w:val="009C4137"/>
    <w:rsid w:val="009C424C"/>
    <w:rsid w:val="009C4449"/>
    <w:rsid w:val="009C6431"/>
    <w:rsid w:val="009D201C"/>
    <w:rsid w:val="009D24B1"/>
    <w:rsid w:val="009D46C3"/>
    <w:rsid w:val="009D5FB4"/>
    <w:rsid w:val="009D7008"/>
    <w:rsid w:val="009D78A5"/>
    <w:rsid w:val="009E11F5"/>
    <w:rsid w:val="009E4EE3"/>
    <w:rsid w:val="009E5765"/>
    <w:rsid w:val="009E667C"/>
    <w:rsid w:val="009F0744"/>
    <w:rsid w:val="009F195E"/>
    <w:rsid w:val="009F1C54"/>
    <w:rsid w:val="009F1D90"/>
    <w:rsid w:val="009F2B73"/>
    <w:rsid w:val="009F39FC"/>
    <w:rsid w:val="009F65EE"/>
    <w:rsid w:val="009F75AE"/>
    <w:rsid w:val="00A01F30"/>
    <w:rsid w:val="00A027BA"/>
    <w:rsid w:val="00A032B0"/>
    <w:rsid w:val="00A04500"/>
    <w:rsid w:val="00A060D8"/>
    <w:rsid w:val="00A064D4"/>
    <w:rsid w:val="00A0754E"/>
    <w:rsid w:val="00A07B94"/>
    <w:rsid w:val="00A11F04"/>
    <w:rsid w:val="00A122D8"/>
    <w:rsid w:val="00A129D9"/>
    <w:rsid w:val="00A138A6"/>
    <w:rsid w:val="00A13E8B"/>
    <w:rsid w:val="00A142DB"/>
    <w:rsid w:val="00A143E3"/>
    <w:rsid w:val="00A14F5F"/>
    <w:rsid w:val="00A16CD3"/>
    <w:rsid w:val="00A17A7E"/>
    <w:rsid w:val="00A2120B"/>
    <w:rsid w:val="00A214CF"/>
    <w:rsid w:val="00A21820"/>
    <w:rsid w:val="00A21D4A"/>
    <w:rsid w:val="00A2226D"/>
    <w:rsid w:val="00A2383F"/>
    <w:rsid w:val="00A24146"/>
    <w:rsid w:val="00A2414E"/>
    <w:rsid w:val="00A24154"/>
    <w:rsid w:val="00A250B8"/>
    <w:rsid w:val="00A25CD3"/>
    <w:rsid w:val="00A3240D"/>
    <w:rsid w:val="00A3275A"/>
    <w:rsid w:val="00A347A8"/>
    <w:rsid w:val="00A35912"/>
    <w:rsid w:val="00A3672B"/>
    <w:rsid w:val="00A37D1C"/>
    <w:rsid w:val="00A37F6C"/>
    <w:rsid w:val="00A40387"/>
    <w:rsid w:val="00A40B5F"/>
    <w:rsid w:val="00A42685"/>
    <w:rsid w:val="00A4297E"/>
    <w:rsid w:val="00A42B5E"/>
    <w:rsid w:val="00A43D48"/>
    <w:rsid w:val="00A44542"/>
    <w:rsid w:val="00A5163F"/>
    <w:rsid w:val="00A55928"/>
    <w:rsid w:val="00A55F80"/>
    <w:rsid w:val="00A56EBC"/>
    <w:rsid w:val="00A57696"/>
    <w:rsid w:val="00A5799E"/>
    <w:rsid w:val="00A6093E"/>
    <w:rsid w:val="00A617CA"/>
    <w:rsid w:val="00A62656"/>
    <w:rsid w:val="00A62DE8"/>
    <w:rsid w:val="00A636E1"/>
    <w:rsid w:val="00A6381A"/>
    <w:rsid w:val="00A66976"/>
    <w:rsid w:val="00A677B2"/>
    <w:rsid w:val="00A67A77"/>
    <w:rsid w:val="00A70902"/>
    <w:rsid w:val="00A70E83"/>
    <w:rsid w:val="00A72CE0"/>
    <w:rsid w:val="00A736E7"/>
    <w:rsid w:val="00A77104"/>
    <w:rsid w:val="00A817CA"/>
    <w:rsid w:val="00A82082"/>
    <w:rsid w:val="00A84038"/>
    <w:rsid w:val="00A84E26"/>
    <w:rsid w:val="00A85B30"/>
    <w:rsid w:val="00A85CAD"/>
    <w:rsid w:val="00A861AE"/>
    <w:rsid w:val="00A86360"/>
    <w:rsid w:val="00A87384"/>
    <w:rsid w:val="00A87EFB"/>
    <w:rsid w:val="00A91AF7"/>
    <w:rsid w:val="00A924CB"/>
    <w:rsid w:val="00A93D32"/>
    <w:rsid w:val="00A953C6"/>
    <w:rsid w:val="00A95BAD"/>
    <w:rsid w:val="00A96010"/>
    <w:rsid w:val="00A97DFC"/>
    <w:rsid w:val="00AA0FAF"/>
    <w:rsid w:val="00AA2453"/>
    <w:rsid w:val="00AA4ED9"/>
    <w:rsid w:val="00AA5994"/>
    <w:rsid w:val="00AA796E"/>
    <w:rsid w:val="00AA7CC3"/>
    <w:rsid w:val="00AA7E6B"/>
    <w:rsid w:val="00AB0E38"/>
    <w:rsid w:val="00AB2511"/>
    <w:rsid w:val="00AB2C05"/>
    <w:rsid w:val="00AB3ED7"/>
    <w:rsid w:val="00AB4328"/>
    <w:rsid w:val="00AB77C4"/>
    <w:rsid w:val="00AC0792"/>
    <w:rsid w:val="00AC127D"/>
    <w:rsid w:val="00AC23F9"/>
    <w:rsid w:val="00AC390E"/>
    <w:rsid w:val="00AD08CE"/>
    <w:rsid w:val="00AD2D48"/>
    <w:rsid w:val="00AD37D7"/>
    <w:rsid w:val="00AD72A0"/>
    <w:rsid w:val="00AE0064"/>
    <w:rsid w:val="00AE0088"/>
    <w:rsid w:val="00AE0C30"/>
    <w:rsid w:val="00AE16D6"/>
    <w:rsid w:val="00AE1F0F"/>
    <w:rsid w:val="00AE284E"/>
    <w:rsid w:val="00AE30AF"/>
    <w:rsid w:val="00AE3578"/>
    <w:rsid w:val="00AE5A18"/>
    <w:rsid w:val="00AE60E7"/>
    <w:rsid w:val="00AE64DC"/>
    <w:rsid w:val="00AE65A9"/>
    <w:rsid w:val="00AF2D48"/>
    <w:rsid w:val="00AF2FCC"/>
    <w:rsid w:val="00AF4204"/>
    <w:rsid w:val="00AF5DE6"/>
    <w:rsid w:val="00AF6022"/>
    <w:rsid w:val="00B0075C"/>
    <w:rsid w:val="00B0146B"/>
    <w:rsid w:val="00B01EEF"/>
    <w:rsid w:val="00B05862"/>
    <w:rsid w:val="00B06066"/>
    <w:rsid w:val="00B106D6"/>
    <w:rsid w:val="00B10C8E"/>
    <w:rsid w:val="00B10FBD"/>
    <w:rsid w:val="00B114C5"/>
    <w:rsid w:val="00B11CA8"/>
    <w:rsid w:val="00B12717"/>
    <w:rsid w:val="00B12E47"/>
    <w:rsid w:val="00B14025"/>
    <w:rsid w:val="00B14625"/>
    <w:rsid w:val="00B1518A"/>
    <w:rsid w:val="00B177A9"/>
    <w:rsid w:val="00B17EA2"/>
    <w:rsid w:val="00B21004"/>
    <w:rsid w:val="00B2162F"/>
    <w:rsid w:val="00B2182A"/>
    <w:rsid w:val="00B23C18"/>
    <w:rsid w:val="00B24998"/>
    <w:rsid w:val="00B27C30"/>
    <w:rsid w:val="00B31A86"/>
    <w:rsid w:val="00B33638"/>
    <w:rsid w:val="00B3586C"/>
    <w:rsid w:val="00B36960"/>
    <w:rsid w:val="00B37304"/>
    <w:rsid w:val="00B37BD6"/>
    <w:rsid w:val="00B37C09"/>
    <w:rsid w:val="00B37D5F"/>
    <w:rsid w:val="00B412C9"/>
    <w:rsid w:val="00B4148A"/>
    <w:rsid w:val="00B41EEA"/>
    <w:rsid w:val="00B428F4"/>
    <w:rsid w:val="00B4439E"/>
    <w:rsid w:val="00B44BD3"/>
    <w:rsid w:val="00B46A7E"/>
    <w:rsid w:val="00B46F2F"/>
    <w:rsid w:val="00B47322"/>
    <w:rsid w:val="00B526D0"/>
    <w:rsid w:val="00B5370C"/>
    <w:rsid w:val="00B54EE1"/>
    <w:rsid w:val="00B55447"/>
    <w:rsid w:val="00B55F49"/>
    <w:rsid w:val="00B56C6A"/>
    <w:rsid w:val="00B60B4B"/>
    <w:rsid w:val="00B61350"/>
    <w:rsid w:val="00B614FC"/>
    <w:rsid w:val="00B61B68"/>
    <w:rsid w:val="00B6289B"/>
    <w:rsid w:val="00B64AC9"/>
    <w:rsid w:val="00B663D3"/>
    <w:rsid w:val="00B67A74"/>
    <w:rsid w:val="00B67E50"/>
    <w:rsid w:val="00B67F05"/>
    <w:rsid w:val="00B71942"/>
    <w:rsid w:val="00B7292B"/>
    <w:rsid w:val="00B733E2"/>
    <w:rsid w:val="00B7691B"/>
    <w:rsid w:val="00B76B5C"/>
    <w:rsid w:val="00B8027F"/>
    <w:rsid w:val="00B82F94"/>
    <w:rsid w:val="00B84075"/>
    <w:rsid w:val="00B84139"/>
    <w:rsid w:val="00B844CB"/>
    <w:rsid w:val="00B84A2F"/>
    <w:rsid w:val="00B8592F"/>
    <w:rsid w:val="00B901A3"/>
    <w:rsid w:val="00B9260F"/>
    <w:rsid w:val="00B93E1F"/>
    <w:rsid w:val="00B94F19"/>
    <w:rsid w:val="00B96AD3"/>
    <w:rsid w:val="00B97A37"/>
    <w:rsid w:val="00BA35F6"/>
    <w:rsid w:val="00BA3B2D"/>
    <w:rsid w:val="00BA4107"/>
    <w:rsid w:val="00BA5234"/>
    <w:rsid w:val="00BA5241"/>
    <w:rsid w:val="00BA58C7"/>
    <w:rsid w:val="00BA69AB"/>
    <w:rsid w:val="00BA7BCF"/>
    <w:rsid w:val="00BB06A9"/>
    <w:rsid w:val="00BB2636"/>
    <w:rsid w:val="00BB3111"/>
    <w:rsid w:val="00BB3184"/>
    <w:rsid w:val="00BB3B6B"/>
    <w:rsid w:val="00BB4256"/>
    <w:rsid w:val="00BB54F4"/>
    <w:rsid w:val="00BC0F4A"/>
    <w:rsid w:val="00BC2975"/>
    <w:rsid w:val="00BC2B2E"/>
    <w:rsid w:val="00BC46E3"/>
    <w:rsid w:val="00BC4F09"/>
    <w:rsid w:val="00BC502A"/>
    <w:rsid w:val="00BC599E"/>
    <w:rsid w:val="00BC6270"/>
    <w:rsid w:val="00BD0AB7"/>
    <w:rsid w:val="00BD1E66"/>
    <w:rsid w:val="00BD4D0C"/>
    <w:rsid w:val="00BE4C57"/>
    <w:rsid w:val="00BE4DA3"/>
    <w:rsid w:val="00BE5A6F"/>
    <w:rsid w:val="00BE5EDB"/>
    <w:rsid w:val="00BE7363"/>
    <w:rsid w:val="00BE7F14"/>
    <w:rsid w:val="00BF0082"/>
    <w:rsid w:val="00BF0545"/>
    <w:rsid w:val="00BF3385"/>
    <w:rsid w:val="00BF4284"/>
    <w:rsid w:val="00BF43CC"/>
    <w:rsid w:val="00BF48E5"/>
    <w:rsid w:val="00C00483"/>
    <w:rsid w:val="00C01A7B"/>
    <w:rsid w:val="00C0202D"/>
    <w:rsid w:val="00C03109"/>
    <w:rsid w:val="00C0487E"/>
    <w:rsid w:val="00C04F76"/>
    <w:rsid w:val="00C059C9"/>
    <w:rsid w:val="00C05DC7"/>
    <w:rsid w:val="00C061CA"/>
    <w:rsid w:val="00C06A9F"/>
    <w:rsid w:val="00C06CD6"/>
    <w:rsid w:val="00C11950"/>
    <w:rsid w:val="00C13BD2"/>
    <w:rsid w:val="00C14273"/>
    <w:rsid w:val="00C1443F"/>
    <w:rsid w:val="00C14D76"/>
    <w:rsid w:val="00C15FAF"/>
    <w:rsid w:val="00C17097"/>
    <w:rsid w:val="00C172D8"/>
    <w:rsid w:val="00C17AB6"/>
    <w:rsid w:val="00C17D22"/>
    <w:rsid w:val="00C2272E"/>
    <w:rsid w:val="00C228D4"/>
    <w:rsid w:val="00C251BA"/>
    <w:rsid w:val="00C25531"/>
    <w:rsid w:val="00C26BC9"/>
    <w:rsid w:val="00C27490"/>
    <w:rsid w:val="00C3037E"/>
    <w:rsid w:val="00C303A5"/>
    <w:rsid w:val="00C30E6C"/>
    <w:rsid w:val="00C30EA5"/>
    <w:rsid w:val="00C31A63"/>
    <w:rsid w:val="00C33109"/>
    <w:rsid w:val="00C33130"/>
    <w:rsid w:val="00C33A14"/>
    <w:rsid w:val="00C3439A"/>
    <w:rsid w:val="00C34A6E"/>
    <w:rsid w:val="00C3570A"/>
    <w:rsid w:val="00C378D6"/>
    <w:rsid w:val="00C41784"/>
    <w:rsid w:val="00C42628"/>
    <w:rsid w:val="00C42774"/>
    <w:rsid w:val="00C42B72"/>
    <w:rsid w:val="00C42C20"/>
    <w:rsid w:val="00C42DDC"/>
    <w:rsid w:val="00C445AE"/>
    <w:rsid w:val="00C46FA6"/>
    <w:rsid w:val="00C47D52"/>
    <w:rsid w:val="00C50A31"/>
    <w:rsid w:val="00C536D3"/>
    <w:rsid w:val="00C550B5"/>
    <w:rsid w:val="00C55844"/>
    <w:rsid w:val="00C560E4"/>
    <w:rsid w:val="00C56446"/>
    <w:rsid w:val="00C56630"/>
    <w:rsid w:val="00C572AC"/>
    <w:rsid w:val="00C57705"/>
    <w:rsid w:val="00C60BC7"/>
    <w:rsid w:val="00C61C87"/>
    <w:rsid w:val="00C63623"/>
    <w:rsid w:val="00C647D6"/>
    <w:rsid w:val="00C65B66"/>
    <w:rsid w:val="00C70453"/>
    <w:rsid w:val="00C70A42"/>
    <w:rsid w:val="00C70E08"/>
    <w:rsid w:val="00C71031"/>
    <w:rsid w:val="00C71846"/>
    <w:rsid w:val="00C72807"/>
    <w:rsid w:val="00C74C9E"/>
    <w:rsid w:val="00C74E9A"/>
    <w:rsid w:val="00C75AC3"/>
    <w:rsid w:val="00C778D7"/>
    <w:rsid w:val="00C77B96"/>
    <w:rsid w:val="00C77C8E"/>
    <w:rsid w:val="00C77CEE"/>
    <w:rsid w:val="00C802A4"/>
    <w:rsid w:val="00C8231F"/>
    <w:rsid w:val="00C82856"/>
    <w:rsid w:val="00C84593"/>
    <w:rsid w:val="00C84BB8"/>
    <w:rsid w:val="00C84CDE"/>
    <w:rsid w:val="00C878CE"/>
    <w:rsid w:val="00C8794A"/>
    <w:rsid w:val="00C92BC0"/>
    <w:rsid w:val="00C9346B"/>
    <w:rsid w:val="00C941A0"/>
    <w:rsid w:val="00C953EE"/>
    <w:rsid w:val="00C9716F"/>
    <w:rsid w:val="00C97645"/>
    <w:rsid w:val="00C97D00"/>
    <w:rsid w:val="00CA039E"/>
    <w:rsid w:val="00CA14BC"/>
    <w:rsid w:val="00CA63F5"/>
    <w:rsid w:val="00CA66B5"/>
    <w:rsid w:val="00CA7379"/>
    <w:rsid w:val="00CB0D29"/>
    <w:rsid w:val="00CB1B30"/>
    <w:rsid w:val="00CB4066"/>
    <w:rsid w:val="00CB47F8"/>
    <w:rsid w:val="00CB5508"/>
    <w:rsid w:val="00CB5925"/>
    <w:rsid w:val="00CC2089"/>
    <w:rsid w:val="00CC2345"/>
    <w:rsid w:val="00CC2CB6"/>
    <w:rsid w:val="00CC2E0C"/>
    <w:rsid w:val="00CC3F64"/>
    <w:rsid w:val="00CC47AB"/>
    <w:rsid w:val="00CC4B71"/>
    <w:rsid w:val="00CC68D6"/>
    <w:rsid w:val="00CC7607"/>
    <w:rsid w:val="00CD0990"/>
    <w:rsid w:val="00CD0AB2"/>
    <w:rsid w:val="00CD1377"/>
    <w:rsid w:val="00CD1477"/>
    <w:rsid w:val="00CD386C"/>
    <w:rsid w:val="00CD3CF0"/>
    <w:rsid w:val="00CD3E1F"/>
    <w:rsid w:val="00CD4939"/>
    <w:rsid w:val="00CD52A6"/>
    <w:rsid w:val="00CD6603"/>
    <w:rsid w:val="00CD70CD"/>
    <w:rsid w:val="00CD728B"/>
    <w:rsid w:val="00CE2741"/>
    <w:rsid w:val="00CE3470"/>
    <w:rsid w:val="00CE4218"/>
    <w:rsid w:val="00CE518C"/>
    <w:rsid w:val="00CE5660"/>
    <w:rsid w:val="00CE68CC"/>
    <w:rsid w:val="00CF097D"/>
    <w:rsid w:val="00CF0F14"/>
    <w:rsid w:val="00CF11A7"/>
    <w:rsid w:val="00CF1B09"/>
    <w:rsid w:val="00CF2C73"/>
    <w:rsid w:val="00CF2D52"/>
    <w:rsid w:val="00CF3793"/>
    <w:rsid w:val="00CF3A85"/>
    <w:rsid w:val="00CF45DB"/>
    <w:rsid w:val="00CF6E6E"/>
    <w:rsid w:val="00D03553"/>
    <w:rsid w:val="00D03D64"/>
    <w:rsid w:val="00D046D5"/>
    <w:rsid w:val="00D06659"/>
    <w:rsid w:val="00D07002"/>
    <w:rsid w:val="00D07F82"/>
    <w:rsid w:val="00D10454"/>
    <w:rsid w:val="00D10FC7"/>
    <w:rsid w:val="00D11FC6"/>
    <w:rsid w:val="00D135DA"/>
    <w:rsid w:val="00D137DD"/>
    <w:rsid w:val="00D13AAF"/>
    <w:rsid w:val="00D15FBE"/>
    <w:rsid w:val="00D1697B"/>
    <w:rsid w:val="00D17E2A"/>
    <w:rsid w:val="00D208A2"/>
    <w:rsid w:val="00D22C84"/>
    <w:rsid w:val="00D23550"/>
    <w:rsid w:val="00D23B75"/>
    <w:rsid w:val="00D2475F"/>
    <w:rsid w:val="00D24D6D"/>
    <w:rsid w:val="00D25422"/>
    <w:rsid w:val="00D26A98"/>
    <w:rsid w:val="00D279E1"/>
    <w:rsid w:val="00D334E7"/>
    <w:rsid w:val="00D3383D"/>
    <w:rsid w:val="00D3558D"/>
    <w:rsid w:val="00D35C81"/>
    <w:rsid w:val="00D36302"/>
    <w:rsid w:val="00D363AE"/>
    <w:rsid w:val="00D4296B"/>
    <w:rsid w:val="00D42A73"/>
    <w:rsid w:val="00D42AA1"/>
    <w:rsid w:val="00D42E69"/>
    <w:rsid w:val="00D433CE"/>
    <w:rsid w:val="00D43794"/>
    <w:rsid w:val="00D450DB"/>
    <w:rsid w:val="00D45B49"/>
    <w:rsid w:val="00D4795E"/>
    <w:rsid w:val="00D5006C"/>
    <w:rsid w:val="00D502F6"/>
    <w:rsid w:val="00D50FDA"/>
    <w:rsid w:val="00D5192F"/>
    <w:rsid w:val="00D5278A"/>
    <w:rsid w:val="00D5284A"/>
    <w:rsid w:val="00D53021"/>
    <w:rsid w:val="00D538E9"/>
    <w:rsid w:val="00D53CCD"/>
    <w:rsid w:val="00D57B0B"/>
    <w:rsid w:val="00D60319"/>
    <w:rsid w:val="00D63784"/>
    <w:rsid w:val="00D64D38"/>
    <w:rsid w:val="00D6560F"/>
    <w:rsid w:val="00D70234"/>
    <w:rsid w:val="00D76072"/>
    <w:rsid w:val="00D80078"/>
    <w:rsid w:val="00D8008F"/>
    <w:rsid w:val="00D806CC"/>
    <w:rsid w:val="00D81114"/>
    <w:rsid w:val="00D838A7"/>
    <w:rsid w:val="00D83E2B"/>
    <w:rsid w:val="00D84622"/>
    <w:rsid w:val="00D85DDC"/>
    <w:rsid w:val="00D8640D"/>
    <w:rsid w:val="00D86C40"/>
    <w:rsid w:val="00D92740"/>
    <w:rsid w:val="00D92B4A"/>
    <w:rsid w:val="00D93BB0"/>
    <w:rsid w:val="00D93D9C"/>
    <w:rsid w:val="00D96491"/>
    <w:rsid w:val="00D96AFC"/>
    <w:rsid w:val="00D97E8E"/>
    <w:rsid w:val="00DA099D"/>
    <w:rsid w:val="00DA09E4"/>
    <w:rsid w:val="00DA36D9"/>
    <w:rsid w:val="00DB0384"/>
    <w:rsid w:val="00DB1EE8"/>
    <w:rsid w:val="00DB2041"/>
    <w:rsid w:val="00DB27FE"/>
    <w:rsid w:val="00DB2812"/>
    <w:rsid w:val="00DB3481"/>
    <w:rsid w:val="00DB364F"/>
    <w:rsid w:val="00DB53E6"/>
    <w:rsid w:val="00DB5645"/>
    <w:rsid w:val="00DC0309"/>
    <w:rsid w:val="00DC20E1"/>
    <w:rsid w:val="00DC2E93"/>
    <w:rsid w:val="00DC4215"/>
    <w:rsid w:val="00DC5A79"/>
    <w:rsid w:val="00DC5BAD"/>
    <w:rsid w:val="00DC79C1"/>
    <w:rsid w:val="00DD05DA"/>
    <w:rsid w:val="00DD0B60"/>
    <w:rsid w:val="00DD1D14"/>
    <w:rsid w:val="00DD2526"/>
    <w:rsid w:val="00DD2A49"/>
    <w:rsid w:val="00DD3503"/>
    <w:rsid w:val="00DD4AEB"/>
    <w:rsid w:val="00DD5BDE"/>
    <w:rsid w:val="00DD6ECF"/>
    <w:rsid w:val="00DD7786"/>
    <w:rsid w:val="00DE1A00"/>
    <w:rsid w:val="00DE1DFD"/>
    <w:rsid w:val="00DE2EAB"/>
    <w:rsid w:val="00DE599B"/>
    <w:rsid w:val="00DE696C"/>
    <w:rsid w:val="00DE7BD7"/>
    <w:rsid w:val="00DF2BA1"/>
    <w:rsid w:val="00DF3374"/>
    <w:rsid w:val="00DF39DD"/>
    <w:rsid w:val="00DF610C"/>
    <w:rsid w:val="00DF6B4A"/>
    <w:rsid w:val="00DF6F64"/>
    <w:rsid w:val="00DF7BA8"/>
    <w:rsid w:val="00E00910"/>
    <w:rsid w:val="00E0142C"/>
    <w:rsid w:val="00E01D7B"/>
    <w:rsid w:val="00E04B21"/>
    <w:rsid w:val="00E05393"/>
    <w:rsid w:val="00E066C4"/>
    <w:rsid w:val="00E10408"/>
    <w:rsid w:val="00E106B9"/>
    <w:rsid w:val="00E10757"/>
    <w:rsid w:val="00E11CE2"/>
    <w:rsid w:val="00E12103"/>
    <w:rsid w:val="00E127FF"/>
    <w:rsid w:val="00E12A51"/>
    <w:rsid w:val="00E12B55"/>
    <w:rsid w:val="00E16DD4"/>
    <w:rsid w:val="00E17B67"/>
    <w:rsid w:val="00E20DEE"/>
    <w:rsid w:val="00E2116E"/>
    <w:rsid w:val="00E225BF"/>
    <w:rsid w:val="00E22DFC"/>
    <w:rsid w:val="00E27381"/>
    <w:rsid w:val="00E300AE"/>
    <w:rsid w:val="00E309F2"/>
    <w:rsid w:val="00E313D7"/>
    <w:rsid w:val="00E31BFC"/>
    <w:rsid w:val="00E31C46"/>
    <w:rsid w:val="00E32947"/>
    <w:rsid w:val="00E33CD4"/>
    <w:rsid w:val="00E34ED9"/>
    <w:rsid w:val="00E351EC"/>
    <w:rsid w:val="00E41B24"/>
    <w:rsid w:val="00E42864"/>
    <w:rsid w:val="00E431FA"/>
    <w:rsid w:val="00E45854"/>
    <w:rsid w:val="00E45D59"/>
    <w:rsid w:val="00E45FA9"/>
    <w:rsid w:val="00E500A7"/>
    <w:rsid w:val="00E51B8A"/>
    <w:rsid w:val="00E52A91"/>
    <w:rsid w:val="00E530B5"/>
    <w:rsid w:val="00E533E1"/>
    <w:rsid w:val="00E53445"/>
    <w:rsid w:val="00E550BE"/>
    <w:rsid w:val="00E61AC3"/>
    <w:rsid w:val="00E61BAF"/>
    <w:rsid w:val="00E63082"/>
    <w:rsid w:val="00E637CF"/>
    <w:rsid w:val="00E63E80"/>
    <w:rsid w:val="00E64723"/>
    <w:rsid w:val="00E66D71"/>
    <w:rsid w:val="00E67798"/>
    <w:rsid w:val="00E67FE3"/>
    <w:rsid w:val="00E70340"/>
    <w:rsid w:val="00E708A5"/>
    <w:rsid w:val="00E73030"/>
    <w:rsid w:val="00E731FC"/>
    <w:rsid w:val="00E73635"/>
    <w:rsid w:val="00E73DFF"/>
    <w:rsid w:val="00E74139"/>
    <w:rsid w:val="00E7517E"/>
    <w:rsid w:val="00E76814"/>
    <w:rsid w:val="00E77AFC"/>
    <w:rsid w:val="00E810B0"/>
    <w:rsid w:val="00E811CA"/>
    <w:rsid w:val="00E81E21"/>
    <w:rsid w:val="00E831A3"/>
    <w:rsid w:val="00E8368C"/>
    <w:rsid w:val="00E83A3A"/>
    <w:rsid w:val="00E83F4A"/>
    <w:rsid w:val="00E83F57"/>
    <w:rsid w:val="00E84970"/>
    <w:rsid w:val="00E85529"/>
    <w:rsid w:val="00E864E5"/>
    <w:rsid w:val="00E8708E"/>
    <w:rsid w:val="00E87A30"/>
    <w:rsid w:val="00E919B4"/>
    <w:rsid w:val="00E919FF"/>
    <w:rsid w:val="00E92FAF"/>
    <w:rsid w:val="00E94767"/>
    <w:rsid w:val="00E952E3"/>
    <w:rsid w:val="00E975C8"/>
    <w:rsid w:val="00EA132F"/>
    <w:rsid w:val="00EA1565"/>
    <w:rsid w:val="00EA2DFC"/>
    <w:rsid w:val="00EA4431"/>
    <w:rsid w:val="00EA49A4"/>
    <w:rsid w:val="00EA4E0D"/>
    <w:rsid w:val="00EA5D86"/>
    <w:rsid w:val="00EA639A"/>
    <w:rsid w:val="00EA6BAE"/>
    <w:rsid w:val="00EA6C52"/>
    <w:rsid w:val="00EA6F4C"/>
    <w:rsid w:val="00EA75B4"/>
    <w:rsid w:val="00EB00F7"/>
    <w:rsid w:val="00EB44E0"/>
    <w:rsid w:val="00EB605E"/>
    <w:rsid w:val="00EB7654"/>
    <w:rsid w:val="00EB7E37"/>
    <w:rsid w:val="00EC0CAC"/>
    <w:rsid w:val="00EC1799"/>
    <w:rsid w:val="00EC1825"/>
    <w:rsid w:val="00EC191F"/>
    <w:rsid w:val="00EC1959"/>
    <w:rsid w:val="00EC1FCF"/>
    <w:rsid w:val="00EC20E8"/>
    <w:rsid w:val="00EC220D"/>
    <w:rsid w:val="00EC27E0"/>
    <w:rsid w:val="00EC38EF"/>
    <w:rsid w:val="00EC3ACE"/>
    <w:rsid w:val="00EC55CA"/>
    <w:rsid w:val="00EC5C29"/>
    <w:rsid w:val="00EC6D44"/>
    <w:rsid w:val="00EC6E96"/>
    <w:rsid w:val="00EC7481"/>
    <w:rsid w:val="00ED022F"/>
    <w:rsid w:val="00ED10AA"/>
    <w:rsid w:val="00ED110F"/>
    <w:rsid w:val="00ED1E2A"/>
    <w:rsid w:val="00ED4E18"/>
    <w:rsid w:val="00ED4F29"/>
    <w:rsid w:val="00ED59E8"/>
    <w:rsid w:val="00ED5A98"/>
    <w:rsid w:val="00ED6066"/>
    <w:rsid w:val="00ED6788"/>
    <w:rsid w:val="00ED6D2A"/>
    <w:rsid w:val="00ED7F80"/>
    <w:rsid w:val="00EE10BA"/>
    <w:rsid w:val="00EE1443"/>
    <w:rsid w:val="00EE1933"/>
    <w:rsid w:val="00EE1BED"/>
    <w:rsid w:val="00EE308F"/>
    <w:rsid w:val="00EE362F"/>
    <w:rsid w:val="00EE395D"/>
    <w:rsid w:val="00EE4201"/>
    <w:rsid w:val="00EE4BB3"/>
    <w:rsid w:val="00EE609E"/>
    <w:rsid w:val="00EE6CF7"/>
    <w:rsid w:val="00EF281E"/>
    <w:rsid w:val="00EF29C2"/>
    <w:rsid w:val="00EF3636"/>
    <w:rsid w:val="00EF59A3"/>
    <w:rsid w:val="00EF5F25"/>
    <w:rsid w:val="00EF7323"/>
    <w:rsid w:val="00EF7423"/>
    <w:rsid w:val="00F00C1A"/>
    <w:rsid w:val="00F00DC6"/>
    <w:rsid w:val="00F0185F"/>
    <w:rsid w:val="00F01FBB"/>
    <w:rsid w:val="00F030DE"/>
    <w:rsid w:val="00F0541C"/>
    <w:rsid w:val="00F063F5"/>
    <w:rsid w:val="00F07211"/>
    <w:rsid w:val="00F07F55"/>
    <w:rsid w:val="00F14062"/>
    <w:rsid w:val="00F1413B"/>
    <w:rsid w:val="00F141E1"/>
    <w:rsid w:val="00F1499A"/>
    <w:rsid w:val="00F16EB2"/>
    <w:rsid w:val="00F2322F"/>
    <w:rsid w:val="00F241A5"/>
    <w:rsid w:val="00F26E1E"/>
    <w:rsid w:val="00F27028"/>
    <w:rsid w:val="00F27CAF"/>
    <w:rsid w:val="00F30488"/>
    <w:rsid w:val="00F30BE6"/>
    <w:rsid w:val="00F30FFE"/>
    <w:rsid w:val="00F319AD"/>
    <w:rsid w:val="00F3293A"/>
    <w:rsid w:val="00F34FE8"/>
    <w:rsid w:val="00F352CC"/>
    <w:rsid w:val="00F35962"/>
    <w:rsid w:val="00F35B28"/>
    <w:rsid w:val="00F3640F"/>
    <w:rsid w:val="00F36C90"/>
    <w:rsid w:val="00F36E27"/>
    <w:rsid w:val="00F42B54"/>
    <w:rsid w:val="00F43510"/>
    <w:rsid w:val="00F44745"/>
    <w:rsid w:val="00F45C8F"/>
    <w:rsid w:val="00F45C9A"/>
    <w:rsid w:val="00F47D70"/>
    <w:rsid w:val="00F50CED"/>
    <w:rsid w:val="00F51F0B"/>
    <w:rsid w:val="00F529C4"/>
    <w:rsid w:val="00F5386E"/>
    <w:rsid w:val="00F5567D"/>
    <w:rsid w:val="00F6075C"/>
    <w:rsid w:val="00F6377C"/>
    <w:rsid w:val="00F63D4D"/>
    <w:rsid w:val="00F6506C"/>
    <w:rsid w:val="00F65517"/>
    <w:rsid w:val="00F666E7"/>
    <w:rsid w:val="00F67640"/>
    <w:rsid w:val="00F70A3A"/>
    <w:rsid w:val="00F72239"/>
    <w:rsid w:val="00F72951"/>
    <w:rsid w:val="00F73F1C"/>
    <w:rsid w:val="00F75C20"/>
    <w:rsid w:val="00F75D4C"/>
    <w:rsid w:val="00F80F11"/>
    <w:rsid w:val="00F81AAC"/>
    <w:rsid w:val="00F840EA"/>
    <w:rsid w:val="00F8458C"/>
    <w:rsid w:val="00F86BB0"/>
    <w:rsid w:val="00F9227D"/>
    <w:rsid w:val="00F9376F"/>
    <w:rsid w:val="00F94E31"/>
    <w:rsid w:val="00F951D2"/>
    <w:rsid w:val="00FA0B9A"/>
    <w:rsid w:val="00FA1D33"/>
    <w:rsid w:val="00FA204E"/>
    <w:rsid w:val="00FA2787"/>
    <w:rsid w:val="00FA2985"/>
    <w:rsid w:val="00FA4DDF"/>
    <w:rsid w:val="00FA7345"/>
    <w:rsid w:val="00FA7B15"/>
    <w:rsid w:val="00FB0CF7"/>
    <w:rsid w:val="00FB170C"/>
    <w:rsid w:val="00FB3351"/>
    <w:rsid w:val="00FB5617"/>
    <w:rsid w:val="00FB5DE3"/>
    <w:rsid w:val="00FB6842"/>
    <w:rsid w:val="00FB774C"/>
    <w:rsid w:val="00FB7D64"/>
    <w:rsid w:val="00FB7EF2"/>
    <w:rsid w:val="00FB7FCF"/>
    <w:rsid w:val="00FC0E77"/>
    <w:rsid w:val="00FC1457"/>
    <w:rsid w:val="00FC1C56"/>
    <w:rsid w:val="00FC4148"/>
    <w:rsid w:val="00FC7218"/>
    <w:rsid w:val="00FD049D"/>
    <w:rsid w:val="00FD139B"/>
    <w:rsid w:val="00FD2706"/>
    <w:rsid w:val="00FD4D50"/>
    <w:rsid w:val="00FD575F"/>
    <w:rsid w:val="00FE0F4A"/>
    <w:rsid w:val="00FE1217"/>
    <w:rsid w:val="00FE3789"/>
    <w:rsid w:val="00FE38C8"/>
    <w:rsid w:val="00FE46CC"/>
    <w:rsid w:val="00FE6D02"/>
    <w:rsid w:val="00FE74E0"/>
    <w:rsid w:val="00FF0993"/>
    <w:rsid w:val="00FF177C"/>
    <w:rsid w:val="00FF297F"/>
    <w:rsid w:val="00FF49ED"/>
    <w:rsid w:val="00FF5024"/>
    <w:rsid w:val="00FF51C3"/>
    <w:rsid w:val="00FF6574"/>
    <w:rsid w:val="1EFFA1B9"/>
    <w:rsid w:val="28E71401"/>
    <w:rsid w:val="3232FCE7"/>
    <w:rsid w:val="3785CA8C"/>
    <w:rsid w:val="3BB566B8"/>
    <w:rsid w:val="69362D15"/>
    <w:rsid w:val="7E0A5B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F4EE8"/>
  <w15:chartTrackingRefBased/>
  <w15:docId w15:val="{DA41CAB0-56EB-41E3-9212-F3AC181C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2E3"/>
    <w:pPr>
      <w:spacing w:after="0" w:line="240" w:lineRule="auto"/>
    </w:pPr>
    <w:rPr>
      <w:rFonts w:ascii="Calibri" w:eastAsia="Helvetica Neue" w:hAnsi="Calibri" w:cs="Calibri"/>
      <w:bCs/>
    </w:rPr>
  </w:style>
  <w:style w:type="paragraph" w:styleId="Heading1">
    <w:name w:val="heading 1"/>
    <w:basedOn w:val="Normal"/>
    <w:next w:val="Normal"/>
    <w:link w:val="Heading1Char"/>
    <w:uiPriority w:val="9"/>
    <w:qFormat/>
    <w:rsid w:val="00E95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2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2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2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2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2E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952E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952E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952E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952E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952E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952E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952E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952E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952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2E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95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2E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952E3"/>
    <w:pPr>
      <w:spacing w:before="160"/>
      <w:jc w:val="center"/>
    </w:pPr>
    <w:rPr>
      <w:i/>
      <w:iCs/>
      <w:color w:val="404040" w:themeColor="text1" w:themeTint="BF"/>
    </w:rPr>
  </w:style>
  <w:style w:type="character" w:customStyle="1" w:styleId="QuoteChar">
    <w:name w:val="Quote Char"/>
    <w:basedOn w:val="DefaultParagraphFont"/>
    <w:link w:val="Quote"/>
    <w:uiPriority w:val="29"/>
    <w:rsid w:val="00E952E3"/>
    <w:rPr>
      <w:i/>
      <w:iCs/>
      <w:color w:val="404040" w:themeColor="text1" w:themeTint="BF"/>
      <w:lang w:val="en-GB"/>
    </w:rPr>
  </w:style>
  <w:style w:type="paragraph" w:styleId="ListParagraph">
    <w:name w:val="List Paragraph"/>
    <w:basedOn w:val="Normal"/>
    <w:uiPriority w:val="34"/>
    <w:qFormat/>
    <w:rsid w:val="00E952E3"/>
    <w:pPr>
      <w:ind w:left="720"/>
      <w:contextualSpacing/>
    </w:pPr>
  </w:style>
  <w:style w:type="character" w:styleId="IntenseEmphasis">
    <w:name w:val="Intense Emphasis"/>
    <w:basedOn w:val="DefaultParagraphFont"/>
    <w:uiPriority w:val="21"/>
    <w:qFormat/>
    <w:rsid w:val="00E952E3"/>
    <w:rPr>
      <w:i/>
      <w:iCs/>
      <w:color w:val="0F4761" w:themeColor="accent1" w:themeShade="BF"/>
    </w:rPr>
  </w:style>
  <w:style w:type="paragraph" w:styleId="IntenseQuote">
    <w:name w:val="Intense Quote"/>
    <w:basedOn w:val="Normal"/>
    <w:next w:val="Normal"/>
    <w:link w:val="IntenseQuoteChar"/>
    <w:uiPriority w:val="30"/>
    <w:qFormat/>
    <w:rsid w:val="00E95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2E3"/>
    <w:rPr>
      <w:i/>
      <w:iCs/>
      <w:color w:val="0F4761" w:themeColor="accent1" w:themeShade="BF"/>
      <w:lang w:val="en-GB"/>
    </w:rPr>
  </w:style>
  <w:style w:type="character" w:styleId="IntenseReference">
    <w:name w:val="Intense Reference"/>
    <w:basedOn w:val="DefaultParagraphFont"/>
    <w:uiPriority w:val="32"/>
    <w:qFormat/>
    <w:rsid w:val="00E952E3"/>
    <w:rPr>
      <w:b/>
      <w:bCs/>
      <w:smallCaps/>
      <w:color w:val="0F4761" w:themeColor="accent1" w:themeShade="BF"/>
      <w:spacing w:val="5"/>
    </w:rPr>
  </w:style>
  <w:style w:type="character" w:styleId="CommentReference">
    <w:name w:val="annotation reference"/>
    <w:basedOn w:val="DefaultParagraphFont"/>
    <w:uiPriority w:val="99"/>
    <w:semiHidden/>
    <w:unhideWhenUsed/>
    <w:rsid w:val="004846F4"/>
    <w:rPr>
      <w:sz w:val="16"/>
      <w:szCs w:val="16"/>
    </w:rPr>
  </w:style>
  <w:style w:type="paragraph" w:styleId="CommentText">
    <w:name w:val="annotation text"/>
    <w:basedOn w:val="Normal"/>
    <w:link w:val="CommentTextChar"/>
    <w:uiPriority w:val="99"/>
    <w:unhideWhenUsed/>
    <w:rsid w:val="004846F4"/>
    <w:rPr>
      <w:sz w:val="20"/>
      <w:szCs w:val="20"/>
    </w:rPr>
  </w:style>
  <w:style w:type="character" w:customStyle="1" w:styleId="CommentTextChar">
    <w:name w:val="Comment Text Char"/>
    <w:basedOn w:val="DefaultParagraphFont"/>
    <w:link w:val="CommentText"/>
    <w:uiPriority w:val="99"/>
    <w:rsid w:val="004846F4"/>
    <w:rPr>
      <w:rFonts w:ascii="Calibri" w:eastAsia="Helvetica Neue" w:hAnsi="Calibri" w:cs="Calibri"/>
      <w:bCs/>
      <w:sz w:val="20"/>
      <w:szCs w:val="20"/>
      <w:lang w:val="en-GB"/>
    </w:rPr>
  </w:style>
  <w:style w:type="paragraph" w:styleId="CommentSubject">
    <w:name w:val="annotation subject"/>
    <w:basedOn w:val="CommentText"/>
    <w:next w:val="CommentText"/>
    <w:link w:val="CommentSubjectChar"/>
    <w:uiPriority w:val="99"/>
    <w:semiHidden/>
    <w:unhideWhenUsed/>
    <w:rsid w:val="004846F4"/>
    <w:rPr>
      <w:b/>
    </w:rPr>
  </w:style>
  <w:style w:type="character" w:customStyle="1" w:styleId="CommentSubjectChar">
    <w:name w:val="Comment Subject Char"/>
    <w:basedOn w:val="CommentTextChar"/>
    <w:link w:val="CommentSubject"/>
    <w:uiPriority w:val="99"/>
    <w:semiHidden/>
    <w:rsid w:val="004846F4"/>
    <w:rPr>
      <w:rFonts w:ascii="Calibri" w:eastAsia="Helvetica Neue" w:hAnsi="Calibri" w:cs="Calibri"/>
      <w:b/>
      <w:bCs/>
      <w:sz w:val="20"/>
      <w:szCs w:val="20"/>
      <w:lang w:val="en-GB"/>
    </w:rPr>
  </w:style>
  <w:style w:type="character" w:styleId="Hyperlink">
    <w:name w:val="Hyperlink"/>
    <w:basedOn w:val="DefaultParagraphFont"/>
    <w:uiPriority w:val="99"/>
    <w:unhideWhenUsed/>
    <w:rsid w:val="00CE4218"/>
    <w:rPr>
      <w:color w:val="0000FF"/>
      <w:u w:val="single"/>
    </w:rPr>
  </w:style>
  <w:style w:type="character" w:styleId="UnresolvedMention">
    <w:name w:val="Unresolved Mention"/>
    <w:basedOn w:val="DefaultParagraphFont"/>
    <w:uiPriority w:val="99"/>
    <w:semiHidden/>
    <w:unhideWhenUsed/>
    <w:rsid w:val="007E02A1"/>
    <w:rPr>
      <w:color w:val="605E5C"/>
      <w:shd w:val="clear" w:color="auto" w:fill="E1DFDD"/>
    </w:rPr>
  </w:style>
  <w:style w:type="paragraph" w:styleId="Revision">
    <w:name w:val="Revision"/>
    <w:hidden/>
    <w:uiPriority w:val="99"/>
    <w:semiHidden/>
    <w:rsid w:val="00CB5925"/>
    <w:pPr>
      <w:spacing w:after="0" w:line="240" w:lineRule="auto"/>
    </w:pPr>
    <w:rPr>
      <w:rFonts w:ascii="Calibri" w:eastAsia="Helvetica Neue" w:hAnsi="Calibri" w:cs="Calibri"/>
      <w:bCs/>
      <w:lang w:val="en-GB"/>
    </w:rPr>
  </w:style>
  <w:style w:type="table" w:styleId="TableGrid">
    <w:name w:val="Table Grid"/>
    <w:basedOn w:val="TableNormal"/>
    <w:uiPriority w:val="39"/>
    <w:rsid w:val="00C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26BC9"/>
    <w:rPr>
      <w:color w:val="96607D" w:themeColor="followedHyperlink"/>
      <w:u w:val="single"/>
    </w:rPr>
  </w:style>
  <w:style w:type="paragraph" w:customStyle="1" w:styleId="ColorfulList-Accent11">
    <w:name w:val="Colorful List - Accent 11"/>
    <w:basedOn w:val="Normal"/>
    <w:uiPriority w:val="34"/>
    <w:qFormat/>
    <w:rsid w:val="00AE65A9"/>
    <w:pPr>
      <w:ind w:left="720" w:hanging="425"/>
      <w:contextualSpacing/>
    </w:pPr>
    <w:rPr>
      <w:rFonts w:eastAsia="Calibri" w:cs="Times New Roman"/>
      <w:bCs w:val="0"/>
    </w:rPr>
  </w:style>
  <w:style w:type="paragraph" w:styleId="Header">
    <w:name w:val="header"/>
    <w:basedOn w:val="Normal"/>
    <w:link w:val="HeaderChar"/>
    <w:uiPriority w:val="99"/>
    <w:unhideWhenUsed/>
    <w:rsid w:val="006E2DD3"/>
    <w:pPr>
      <w:tabs>
        <w:tab w:val="center" w:pos="4680"/>
        <w:tab w:val="right" w:pos="9360"/>
      </w:tabs>
    </w:pPr>
  </w:style>
  <w:style w:type="character" w:customStyle="1" w:styleId="HeaderChar">
    <w:name w:val="Header Char"/>
    <w:basedOn w:val="DefaultParagraphFont"/>
    <w:link w:val="Header"/>
    <w:uiPriority w:val="99"/>
    <w:rsid w:val="006E2DD3"/>
    <w:rPr>
      <w:rFonts w:ascii="Calibri" w:eastAsia="Helvetica Neue" w:hAnsi="Calibri" w:cs="Calibri"/>
      <w:bCs/>
      <w:lang w:val="en-GB"/>
    </w:rPr>
  </w:style>
  <w:style w:type="paragraph" w:styleId="Footer">
    <w:name w:val="footer"/>
    <w:basedOn w:val="Normal"/>
    <w:link w:val="FooterChar"/>
    <w:uiPriority w:val="99"/>
    <w:unhideWhenUsed/>
    <w:rsid w:val="006E2DD3"/>
    <w:pPr>
      <w:tabs>
        <w:tab w:val="center" w:pos="4680"/>
        <w:tab w:val="right" w:pos="9360"/>
      </w:tabs>
    </w:pPr>
  </w:style>
  <w:style w:type="character" w:customStyle="1" w:styleId="FooterChar">
    <w:name w:val="Footer Char"/>
    <w:basedOn w:val="DefaultParagraphFont"/>
    <w:link w:val="Footer"/>
    <w:uiPriority w:val="99"/>
    <w:rsid w:val="006E2DD3"/>
    <w:rPr>
      <w:rFonts w:ascii="Calibri" w:eastAsia="Helvetica Neue" w:hAnsi="Calibri" w:cs="Calibri"/>
      <w:bCs/>
      <w:lang w:val="en-GB"/>
    </w:rPr>
  </w:style>
  <w:style w:type="character" w:styleId="FootnoteReference">
    <w:name w:val="footnote reference"/>
    <w:aliases w:val="Appel note de bas de page,stylish,Ref,de nota al pie,16 Point,Superscript 6 Point,Footnotemark,FR,Footnotemark1,Footnotemark2,FR1,Footnotemark3,FR2,Footnotemark4,FR3,Footnotemark5,FR4,Footnotemark6,Footnotemark7,Footnotemark8,FR5"/>
    <w:basedOn w:val="DefaultParagraphFont"/>
    <w:uiPriority w:val="99"/>
    <w:unhideWhenUsed/>
    <w:qFormat/>
    <w:rsid w:val="00EC7481"/>
    <w:rPr>
      <w:vertAlign w:val="superscript"/>
    </w:rPr>
  </w:style>
  <w:style w:type="paragraph" w:customStyle="1" w:styleId="Footnote">
    <w:name w:val="Footnote"/>
    <w:basedOn w:val="FootnoteText"/>
    <w:link w:val="FootnoteChar"/>
    <w:qFormat/>
    <w:rsid w:val="00EC7481"/>
    <w:pPr>
      <w:ind w:left="425" w:hanging="425"/>
    </w:pPr>
  </w:style>
  <w:style w:type="character" w:customStyle="1" w:styleId="FootnoteChar">
    <w:name w:val="Footnote Char"/>
    <w:basedOn w:val="FootnoteTextChar"/>
    <w:link w:val="Footnote"/>
    <w:rsid w:val="00EC7481"/>
    <w:rPr>
      <w:rFonts w:ascii="Calibri" w:eastAsia="Calibri" w:hAnsi="Calibri" w:cs="Times New Roman"/>
      <w:bCs/>
      <w:sz w:val="20"/>
      <w:szCs w:val="20"/>
      <w:lang w:val="en-GB"/>
    </w:rPr>
  </w:style>
  <w:style w:type="table" w:customStyle="1" w:styleId="5">
    <w:name w:val="5"/>
    <w:basedOn w:val="TableNormal"/>
    <w:rsid w:val="00EC7481"/>
    <w:rPr>
      <w:rFonts w:ascii="Calibri" w:eastAsia="Calibri" w:hAnsi="Calibri" w:cs="Calibri"/>
      <w:lang w:val="en-GB" w:eastAsia="ko-KR"/>
    </w:rPr>
    <w:tblPr>
      <w:tblStyleRowBandSize w:val="1"/>
      <w:tblStyleColBandSize w:val="1"/>
      <w:tblCellMar>
        <w:left w:w="115" w:type="dxa"/>
        <w:right w:w="115" w:type="dxa"/>
      </w:tblCellMar>
    </w:tblPr>
  </w:style>
  <w:style w:type="paragraph" w:styleId="FootnoteText">
    <w:name w:val="footnote text"/>
    <w:basedOn w:val="Normal"/>
    <w:link w:val="FootnoteTextChar"/>
    <w:uiPriority w:val="99"/>
    <w:unhideWhenUsed/>
    <w:rsid w:val="00EC7481"/>
    <w:pPr>
      <w:ind w:left="432" w:hanging="432"/>
    </w:pPr>
    <w:rPr>
      <w:rFonts w:eastAsia="Calibri" w:cs="Times New Roman"/>
      <w:bCs w:val="0"/>
      <w:sz w:val="20"/>
      <w:szCs w:val="20"/>
    </w:rPr>
  </w:style>
  <w:style w:type="character" w:customStyle="1" w:styleId="FootnoteTextChar">
    <w:name w:val="Footnote Text Char"/>
    <w:basedOn w:val="DefaultParagraphFont"/>
    <w:link w:val="FootnoteText"/>
    <w:uiPriority w:val="99"/>
    <w:rsid w:val="00EC7481"/>
    <w:rPr>
      <w:rFonts w:ascii="Calibri" w:eastAsia="Calibri" w:hAnsi="Calibri" w:cs="Times New Roman"/>
      <w:sz w:val="20"/>
      <w:szCs w:val="20"/>
      <w:lang w:val="en-GB"/>
    </w:rPr>
  </w:style>
  <w:style w:type="paragraph" w:styleId="NormalWeb">
    <w:name w:val="Normal (Web)"/>
    <w:basedOn w:val="Normal"/>
    <w:uiPriority w:val="99"/>
    <w:semiHidden/>
    <w:unhideWhenUsed/>
    <w:rsid w:val="00DD25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24239">
      <w:bodyDiv w:val="1"/>
      <w:marLeft w:val="0"/>
      <w:marRight w:val="0"/>
      <w:marTop w:val="0"/>
      <w:marBottom w:val="0"/>
      <w:divBdr>
        <w:top w:val="none" w:sz="0" w:space="0" w:color="auto"/>
        <w:left w:val="none" w:sz="0" w:space="0" w:color="auto"/>
        <w:bottom w:val="none" w:sz="0" w:space="0" w:color="auto"/>
        <w:right w:val="none" w:sz="0" w:space="0" w:color="auto"/>
      </w:divBdr>
    </w:div>
    <w:div w:id="96024836">
      <w:bodyDiv w:val="1"/>
      <w:marLeft w:val="0"/>
      <w:marRight w:val="0"/>
      <w:marTop w:val="0"/>
      <w:marBottom w:val="0"/>
      <w:divBdr>
        <w:top w:val="none" w:sz="0" w:space="0" w:color="auto"/>
        <w:left w:val="none" w:sz="0" w:space="0" w:color="auto"/>
        <w:bottom w:val="none" w:sz="0" w:space="0" w:color="auto"/>
        <w:right w:val="none" w:sz="0" w:space="0" w:color="auto"/>
      </w:divBdr>
    </w:div>
    <w:div w:id="100151620">
      <w:bodyDiv w:val="1"/>
      <w:marLeft w:val="0"/>
      <w:marRight w:val="0"/>
      <w:marTop w:val="0"/>
      <w:marBottom w:val="0"/>
      <w:divBdr>
        <w:top w:val="none" w:sz="0" w:space="0" w:color="auto"/>
        <w:left w:val="none" w:sz="0" w:space="0" w:color="auto"/>
        <w:bottom w:val="none" w:sz="0" w:space="0" w:color="auto"/>
        <w:right w:val="none" w:sz="0" w:space="0" w:color="auto"/>
      </w:divBdr>
    </w:div>
    <w:div w:id="108817269">
      <w:bodyDiv w:val="1"/>
      <w:marLeft w:val="0"/>
      <w:marRight w:val="0"/>
      <w:marTop w:val="0"/>
      <w:marBottom w:val="0"/>
      <w:divBdr>
        <w:top w:val="none" w:sz="0" w:space="0" w:color="auto"/>
        <w:left w:val="none" w:sz="0" w:space="0" w:color="auto"/>
        <w:bottom w:val="none" w:sz="0" w:space="0" w:color="auto"/>
        <w:right w:val="none" w:sz="0" w:space="0" w:color="auto"/>
      </w:divBdr>
    </w:div>
    <w:div w:id="111825454">
      <w:bodyDiv w:val="1"/>
      <w:marLeft w:val="0"/>
      <w:marRight w:val="0"/>
      <w:marTop w:val="0"/>
      <w:marBottom w:val="0"/>
      <w:divBdr>
        <w:top w:val="none" w:sz="0" w:space="0" w:color="auto"/>
        <w:left w:val="none" w:sz="0" w:space="0" w:color="auto"/>
        <w:bottom w:val="none" w:sz="0" w:space="0" w:color="auto"/>
        <w:right w:val="none" w:sz="0" w:space="0" w:color="auto"/>
      </w:divBdr>
    </w:div>
    <w:div w:id="113328487">
      <w:bodyDiv w:val="1"/>
      <w:marLeft w:val="0"/>
      <w:marRight w:val="0"/>
      <w:marTop w:val="0"/>
      <w:marBottom w:val="0"/>
      <w:divBdr>
        <w:top w:val="none" w:sz="0" w:space="0" w:color="auto"/>
        <w:left w:val="none" w:sz="0" w:space="0" w:color="auto"/>
        <w:bottom w:val="none" w:sz="0" w:space="0" w:color="auto"/>
        <w:right w:val="none" w:sz="0" w:space="0" w:color="auto"/>
      </w:divBdr>
    </w:div>
    <w:div w:id="135727180">
      <w:bodyDiv w:val="1"/>
      <w:marLeft w:val="0"/>
      <w:marRight w:val="0"/>
      <w:marTop w:val="0"/>
      <w:marBottom w:val="0"/>
      <w:divBdr>
        <w:top w:val="none" w:sz="0" w:space="0" w:color="auto"/>
        <w:left w:val="none" w:sz="0" w:space="0" w:color="auto"/>
        <w:bottom w:val="none" w:sz="0" w:space="0" w:color="auto"/>
        <w:right w:val="none" w:sz="0" w:space="0" w:color="auto"/>
      </w:divBdr>
    </w:div>
    <w:div w:id="160706253">
      <w:bodyDiv w:val="1"/>
      <w:marLeft w:val="0"/>
      <w:marRight w:val="0"/>
      <w:marTop w:val="0"/>
      <w:marBottom w:val="0"/>
      <w:divBdr>
        <w:top w:val="none" w:sz="0" w:space="0" w:color="auto"/>
        <w:left w:val="none" w:sz="0" w:space="0" w:color="auto"/>
        <w:bottom w:val="none" w:sz="0" w:space="0" w:color="auto"/>
        <w:right w:val="none" w:sz="0" w:space="0" w:color="auto"/>
      </w:divBdr>
    </w:div>
    <w:div w:id="171455754">
      <w:bodyDiv w:val="1"/>
      <w:marLeft w:val="0"/>
      <w:marRight w:val="0"/>
      <w:marTop w:val="0"/>
      <w:marBottom w:val="0"/>
      <w:divBdr>
        <w:top w:val="none" w:sz="0" w:space="0" w:color="auto"/>
        <w:left w:val="none" w:sz="0" w:space="0" w:color="auto"/>
        <w:bottom w:val="none" w:sz="0" w:space="0" w:color="auto"/>
        <w:right w:val="none" w:sz="0" w:space="0" w:color="auto"/>
      </w:divBdr>
    </w:div>
    <w:div w:id="189535606">
      <w:bodyDiv w:val="1"/>
      <w:marLeft w:val="0"/>
      <w:marRight w:val="0"/>
      <w:marTop w:val="0"/>
      <w:marBottom w:val="0"/>
      <w:divBdr>
        <w:top w:val="none" w:sz="0" w:space="0" w:color="auto"/>
        <w:left w:val="none" w:sz="0" w:space="0" w:color="auto"/>
        <w:bottom w:val="none" w:sz="0" w:space="0" w:color="auto"/>
        <w:right w:val="none" w:sz="0" w:space="0" w:color="auto"/>
      </w:divBdr>
    </w:div>
    <w:div w:id="205797584">
      <w:bodyDiv w:val="1"/>
      <w:marLeft w:val="0"/>
      <w:marRight w:val="0"/>
      <w:marTop w:val="0"/>
      <w:marBottom w:val="0"/>
      <w:divBdr>
        <w:top w:val="none" w:sz="0" w:space="0" w:color="auto"/>
        <w:left w:val="none" w:sz="0" w:space="0" w:color="auto"/>
        <w:bottom w:val="none" w:sz="0" w:space="0" w:color="auto"/>
        <w:right w:val="none" w:sz="0" w:space="0" w:color="auto"/>
      </w:divBdr>
    </w:div>
    <w:div w:id="213007657">
      <w:bodyDiv w:val="1"/>
      <w:marLeft w:val="0"/>
      <w:marRight w:val="0"/>
      <w:marTop w:val="0"/>
      <w:marBottom w:val="0"/>
      <w:divBdr>
        <w:top w:val="none" w:sz="0" w:space="0" w:color="auto"/>
        <w:left w:val="none" w:sz="0" w:space="0" w:color="auto"/>
        <w:bottom w:val="none" w:sz="0" w:space="0" w:color="auto"/>
        <w:right w:val="none" w:sz="0" w:space="0" w:color="auto"/>
      </w:divBdr>
    </w:div>
    <w:div w:id="224461644">
      <w:bodyDiv w:val="1"/>
      <w:marLeft w:val="0"/>
      <w:marRight w:val="0"/>
      <w:marTop w:val="0"/>
      <w:marBottom w:val="0"/>
      <w:divBdr>
        <w:top w:val="none" w:sz="0" w:space="0" w:color="auto"/>
        <w:left w:val="none" w:sz="0" w:space="0" w:color="auto"/>
        <w:bottom w:val="none" w:sz="0" w:space="0" w:color="auto"/>
        <w:right w:val="none" w:sz="0" w:space="0" w:color="auto"/>
      </w:divBdr>
    </w:div>
    <w:div w:id="237591164">
      <w:bodyDiv w:val="1"/>
      <w:marLeft w:val="0"/>
      <w:marRight w:val="0"/>
      <w:marTop w:val="0"/>
      <w:marBottom w:val="0"/>
      <w:divBdr>
        <w:top w:val="none" w:sz="0" w:space="0" w:color="auto"/>
        <w:left w:val="none" w:sz="0" w:space="0" w:color="auto"/>
        <w:bottom w:val="none" w:sz="0" w:space="0" w:color="auto"/>
        <w:right w:val="none" w:sz="0" w:space="0" w:color="auto"/>
      </w:divBdr>
    </w:div>
    <w:div w:id="246119245">
      <w:bodyDiv w:val="1"/>
      <w:marLeft w:val="0"/>
      <w:marRight w:val="0"/>
      <w:marTop w:val="0"/>
      <w:marBottom w:val="0"/>
      <w:divBdr>
        <w:top w:val="none" w:sz="0" w:space="0" w:color="auto"/>
        <w:left w:val="none" w:sz="0" w:space="0" w:color="auto"/>
        <w:bottom w:val="none" w:sz="0" w:space="0" w:color="auto"/>
        <w:right w:val="none" w:sz="0" w:space="0" w:color="auto"/>
      </w:divBdr>
    </w:div>
    <w:div w:id="246156236">
      <w:bodyDiv w:val="1"/>
      <w:marLeft w:val="0"/>
      <w:marRight w:val="0"/>
      <w:marTop w:val="0"/>
      <w:marBottom w:val="0"/>
      <w:divBdr>
        <w:top w:val="none" w:sz="0" w:space="0" w:color="auto"/>
        <w:left w:val="none" w:sz="0" w:space="0" w:color="auto"/>
        <w:bottom w:val="none" w:sz="0" w:space="0" w:color="auto"/>
        <w:right w:val="none" w:sz="0" w:space="0" w:color="auto"/>
      </w:divBdr>
    </w:div>
    <w:div w:id="285700321">
      <w:bodyDiv w:val="1"/>
      <w:marLeft w:val="0"/>
      <w:marRight w:val="0"/>
      <w:marTop w:val="0"/>
      <w:marBottom w:val="0"/>
      <w:divBdr>
        <w:top w:val="none" w:sz="0" w:space="0" w:color="auto"/>
        <w:left w:val="none" w:sz="0" w:space="0" w:color="auto"/>
        <w:bottom w:val="none" w:sz="0" w:space="0" w:color="auto"/>
        <w:right w:val="none" w:sz="0" w:space="0" w:color="auto"/>
      </w:divBdr>
    </w:div>
    <w:div w:id="293221429">
      <w:bodyDiv w:val="1"/>
      <w:marLeft w:val="0"/>
      <w:marRight w:val="0"/>
      <w:marTop w:val="0"/>
      <w:marBottom w:val="0"/>
      <w:divBdr>
        <w:top w:val="none" w:sz="0" w:space="0" w:color="auto"/>
        <w:left w:val="none" w:sz="0" w:space="0" w:color="auto"/>
        <w:bottom w:val="none" w:sz="0" w:space="0" w:color="auto"/>
        <w:right w:val="none" w:sz="0" w:space="0" w:color="auto"/>
      </w:divBdr>
    </w:div>
    <w:div w:id="309016809">
      <w:bodyDiv w:val="1"/>
      <w:marLeft w:val="0"/>
      <w:marRight w:val="0"/>
      <w:marTop w:val="0"/>
      <w:marBottom w:val="0"/>
      <w:divBdr>
        <w:top w:val="none" w:sz="0" w:space="0" w:color="auto"/>
        <w:left w:val="none" w:sz="0" w:space="0" w:color="auto"/>
        <w:bottom w:val="none" w:sz="0" w:space="0" w:color="auto"/>
        <w:right w:val="none" w:sz="0" w:space="0" w:color="auto"/>
      </w:divBdr>
    </w:div>
    <w:div w:id="315884362">
      <w:bodyDiv w:val="1"/>
      <w:marLeft w:val="0"/>
      <w:marRight w:val="0"/>
      <w:marTop w:val="0"/>
      <w:marBottom w:val="0"/>
      <w:divBdr>
        <w:top w:val="none" w:sz="0" w:space="0" w:color="auto"/>
        <w:left w:val="none" w:sz="0" w:space="0" w:color="auto"/>
        <w:bottom w:val="none" w:sz="0" w:space="0" w:color="auto"/>
        <w:right w:val="none" w:sz="0" w:space="0" w:color="auto"/>
      </w:divBdr>
    </w:div>
    <w:div w:id="371729453">
      <w:bodyDiv w:val="1"/>
      <w:marLeft w:val="0"/>
      <w:marRight w:val="0"/>
      <w:marTop w:val="0"/>
      <w:marBottom w:val="0"/>
      <w:divBdr>
        <w:top w:val="none" w:sz="0" w:space="0" w:color="auto"/>
        <w:left w:val="none" w:sz="0" w:space="0" w:color="auto"/>
        <w:bottom w:val="none" w:sz="0" w:space="0" w:color="auto"/>
        <w:right w:val="none" w:sz="0" w:space="0" w:color="auto"/>
      </w:divBdr>
    </w:div>
    <w:div w:id="381490374">
      <w:bodyDiv w:val="1"/>
      <w:marLeft w:val="0"/>
      <w:marRight w:val="0"/>
      <w:marTop w:val="0"/>
      <w:marBottom w:val="0"/>
      <w:divBdr>
        <w:top w:val="none" w:sz="0" w:space="0" w:color="auto"/>
        <w:left w:val="none" w:sz="0" w:space="0" w:color="auto"/>
        <w:bottom w:val="none" w:sz="0" w:space="0" w:color="auto"/>
        <w:right w:val="none" w:sz="0" w:space="0" w:color="auto"/>
      </w:divBdr>
    </w:div>
    <w:div w:id="407458607">
      <w:bodyDiv w:val="1"/>
      <w:marLeft w:val="0"/>
      <w:marRight w:val="0"/>
      <w:marTop w:val="0"/>
      <w:marBottom w:val="0"/>
      <w:divBdr>
        <w:top w:val="none" w:sz="0" w:space="0" w:color="auto"/>
        <w:left w:val="none" w:sz="0" w:space="0" w:color="auto"/>
        <w:bottom w:val="none" w:sz="0" w:space="0" w:color="auto"/>
        <w:right w:val="none" w:sz="0" w:space="0" w:color="auto"/>
      </w:divBdr>
    </w:div>
    <w:div w:id="408698693">
      <w:bodyDiv w:val="1"/>
      <w:marLeft w:val="0"/>
      <w:marRight w:val="0"/>
      <w:marTop w:val="0"/>
      <w:marBottom w:val="0"/>
      <w:divBdr>
        <w:top w:val="none" w:sz="0" w:space="0" w:color="auto"/>
        <w:left w:val="none" w:sz="0" w:space="0" w:color="auto"/>
        <w:bottom w:val="none" w:sz="0" w:space="0" w:color="auto"/>
        <w:right w:val="none" w:sz="0" w:space="0" w:color="auto"/>
      </w:divBdr>
    </w:div>
    <w:div w:id="422065732">
      <w:bodyDiv w:val="1"/>
      <w:marLeft w:val="0"/>
      <w:marRight w:val="0"/>
      <w:marTop w:val="0"/>
      <w:marBottom w:val="0"/>
      <w:divBdr>
        <w:top w:val="none" w:sz="0" w:space="0" w:color="auto"/>
        <w:left w:val="none" w:sz="0" w:space="0" w:color="auto"/>
        <w:bottom w:val="none" w:sz="0" w:space="0" w:color="auto"/>
        <w:right w:val="none" w:sz="0" w:space="0" w:color="auto"/>
      </w:divBdr>
    </w:div>
    <w:div w:id="438452610">
      <w:bodyDiv w:val="1"/>
      <w:marLeft w:val="0"/>
      <w:marRight w:val="0"/>
      <w:marTop w:val="0"/>
      <w:marBottom w:val="0"/>
      <w:divBdr>
        <w:top w:val="none" w:sz="0" w:space="0" w:color="auto"/>
        <w:left w:val="none" w:sz="0" w:space="0" w:color="auto"/>
        <w:bottom w:val="none" w:sz="0" w:space="0" w:color="auto"/>
        <w:right w:val="none" w:sz="0" w:space="0" w:color="auto"/>
      </w:divBdr>
    </w:div>
    <w:div w:id="441416857">
      <w:bodyDiv w:val="1"/>
      <w:marLeft w:val="0"/>
      <w:marRight w:val="0"/>
      <w:marTop w:val="0"/>
      <w:marBottom w:val="0"/>
      <w:divBdr>
        <w:top w:val="none" w:sz="0" w:space="0" w:color="auto"/>
        <w:left w:val="none" w:sz="0" w:space="0" w:color="auto"/>
        <w:bottom w:val="none" w:sz="0" w:space="0" w:color="auto"/>
        <w:right w:val="none" w:sz="0" w:space="0" w:color="auto"/>
      </w:divBdr>
    </w:div>
    <w:div w:id="451480759">
      <w:bodyDiv w:val="1"/>
      <w:marLeft w:val="0"/>
      <w:marRight w:val="0"/>
      <w:marTop w:val="0"/>
      <w:marBottom w:val="0"/>
      <w:divBdr>
        <w:top w:val="none" w:sz="0" w:space="0" w:color="auto"/>
        <w:left w:val="none" w:sz="0" w:space="0" w:color="auto"/>
        <w:bottom w:val="none" w:sz="0" w:space="0" w:color="auto"/>
        <w:right w:val="none" w:sz="0" w:space="0" w:color="auto"/>
      </w:divBdr>
    </w:div>
    <w:div w:id="453868847">
      <w:bodyDiv w:val="1"/>
      <w:marLeft w:val="0"/>
      <w:marRight w:val="0"/>
      <w:marTop w:val="0"/>
      <w:marBottom w:val="0"/>
      <w:divBdr>
        <w:top w:val="none" w:sz="0" w:space="0" w:color="auto"/>
        <w:left w:val="none" w:sz="0" w:space="0" w:color="auto"/>
        <w:bottom w:val="none" w:sz="0" w:space="0" w:color="auto"/>
        <w:right w:val="none" w:sz="0" w:space="0" w:color="auto"/>
      </w:divBdr>
    </w:div>
    <w:div w:id="539515453">
      <w:bodyDiv w:val="1"/>
      <w:marLeft w:val="0"/>
      <w:marRight w:val="0"/>
      <w:marTop w:val="0"/>
      <w:marBottom w:val="0"/>
      <w:divBdr>
        <w:top w:val="none" w:sz="0" w:space="0" w:color="auto"/>
        <w:left w:val="none" w:sz="0" w:space="0" w:color="auto"/>
        <w:bottom w:val="none" w:sz="0" w:space="0" w:color="auto"/>
        <w:right w:val="none" w:sz="0" w:space="0" w:color="auto"/>
      </w:divBdr>
    </w:div>
    <w:div w:id="561647514">
      <w:bodyDiv w:val="1"/>
      <w:marLeft w:val="0"/>
      <w:marRight w:val="0"/>
      <w:marTop w:val="0"/>
      <w:marBottom w:val="0"/>
      <w:divBdr>
        <w:top w:val="none" w:sz="0" w:space="0" w:color="auto"/>
        <w:left w:val="none" w:sz="0" w:space="0" w:color="auto"/>
        <w:bottom w:val="none" w:sz="0" w:space="0" w:color="auto"/>
        <w:right w:val="none" w:sz="0" w:space="0" w:color="auto"/>
      </w:divBdr>
    </w:div>
    <w:div w:id="563178997">
      <w:bodyDiv w:val="1"/>
      <w:marLeft w:val="0"/>
      <w:marRight w:val="0"/>
      <w:marTop w:val="0"/>
      <w:marBottom w:val="0"/>
      <w:divBdr>
        <w:top w:val="none" w:sz="0" w:space="0" w:color="auto"/>
        <w:left w:val="none" w:sz="0" w:space="0" w:color="auto"/>
        <w:bottom w:val="none" w:sz="0" w:space="0" w:color="auto"/>
        <w:right w:val="none" w:sz="0" w:space="0" w:color="auto"/>
      </w:divBdr>
    </w:div>
    <w:div w:id="593367273">
      <w:bodyDiv w:val="1"/>
      <w:marLeft w:val="0"/>
      <w:marRight w:val="0"/>
      <w:marTop w:val="0"/>
      <w:marBottom w:val="0"/>
      <w:divBdr>
        <w:top w:val="none" w:sz="0" w:space="0" w:color="auto"/>
        <w:left w:val="none" w:sz="0" w:space="0" w:color="auto"/>
        <w:bottom w:val="none" w:sz="0" w:space="0" w:color="auto"/>
        <w:right w:val="none" w:sz="0" w:space="0" w:color="auto"/>
      </w:divBdr>
    </w:div>
    <w:div w:id="601501103">
      <w:bodyDiv w:val="1"/>
      <w:marLeft w:val="0"/>
      <w:marRight w:val="0"/>
      <w:marTop w:val="0"/>
      <w:marBottom w:val="0"/>
      <w:divBdr>
        <w:top w:val="none" w:sz="0" w:space="0" w:color="auto"/>
        <w:left w:val="none" w:sz="0" w:space="0" w:color="auto"/>
        <w:bottom w:val="none" w:sz="0" w:space="0" w:color="auto"/>
        <w:right w:val="none" w:sz="0" w:space="0" w:color="auto"/>
      </w:divBdr>
    </w:div>
    <w:div w:id="646009723">
      <w:bodyDiv w:val="1"/>
      <w:marLeft w:val="0"/>
      <w:marRight w:val="0"/>
      <w:marTop w:val="0"/>
      <w:marBottom w:val="0"/>
      <w:divBdr>
        <w:top w:val="none" w:sz="0" w:space="0" w:color="auto"/>
        <w:left w:val="none" w:sz="0" w:space="0" w:color="auto"/>
        <w:bottom w:val="none" w:sz="0" w:space="0" w:color="auto"/>
        <w:right w:val="none" w:sz="0" w:space="0" w:color="auto"/>
      </w:divBdr>
    </w:div>
    <w:div w:id="659819059">
      <w:bodyDiv w:val="1"/>
      <w:marLeft w:val="0"/>
      <w:marRight w:val="0"/>
      <w:marTop w:val="0"/>
      <w:marBottom w:val="0"/>
      <w:divBdr>
        <w:top w:val="none" w:sz="0" w:space="0" w:color="auto"/>
        <w:left w:val="none" w:sz="0" w:space="0" w:color="auto"/>
        <w:bottom w:val="none" w:sz="0" w:space="0" w:color="auto"/>
        <w:right w:val="none" w:sz="0" w:space="0" w:color="auto"/>
      </w:divBdr>
    </w:div>
    <w:div w:id="677149672">
      <w:bodyDiv w:val="1"/>
      <w:marLeft w:val="0"/>
      <w:marRight w:val="0"/>
      <w:marTop w:val="0"/>
      <w:marBottom w:val="0"/>
      <w:divBdr>
        <w:top w:val="none" w:sz="0" w:space="0" w:color="auto"/>
        <w:left w:val="none" w:sz="0" w:space="0" w:color="auto"/>
        <w:bottom w:val="none" w:sz="0" w:space="0" w:color="auto"/>
        <w:right w:val="none" w:sz="0" w:space="0" w:color="auto"/>
      </w:divBdr>
    </w:div>
    <w:div w:id="679816221">
      <w:bodyDiv w:val="1"/>
      <w:marLeft w:val="0"/>
      <w:marRight w:val="0"/>
      <w:marTop w:val="0"/>
      <w:marBottom w:val="0"/>
      <w:divBdr>
        <w:top w:val="none" w:sz="0" w:space="0" w:color="auto"/>
        <w:left w:val="none" w:sz="0" w:space="0" w:color="auto"/>
        <w:bottom w:val="none" w:sz="0" w:space="0" w:color="auto"/>
        <w:right w:val="none" w:sz="0" w:space="0" w:color="auto"/>
      </w:divBdr>
    </w:div>
    <w:div w:id="692461497">
      <w:bodyDiv w:val="1"/>
      <w:marLeft w:val="0"/>
      <w:marRight w:val="0"/>
      <w:marTop w:val="0"/>
      <w:marBottom w:val="0"/>
      <w:divBdr>
        <w:top w:val="none" w:sz="0" w:space="0" w:color="auto"/>
        <w:left w:val="none" w:sz="0" w:space="0" w:color="auto"/>
        <w:bottom w:val="none" w:sz="0" w:space="0" w:color="auto"/>
        <w:right w:val="none" w:sz="0" w:space="0" w:color="auto"/>
      </w:divBdr>
    </w:div>
    <w:div w:id="704523475">
      <w:bodyDiv w:val="1"/>
      <w:marLeft w:val="0"/>
      <w:marRight w:val="0"/>
      <w:marTop w:val="0"/>
      <w:marBottom w:val="0"/>
      <w:divBdr>
        <w:top w:val="none" w:sz="0" w:space="0" w:color="auto"/>
        <w:left w:val="none" w:sz="0" w:space="0" w:color="auto"/>
        <w:bottom w:val="none" w:sz="0" w:space="0" w:color="auto"/>
        <w:right w:val="none" w:sz="0" w:space="0" w:color="auto"/>
      </w:divBdr>
    </w:div>
    <w:div w:id="725833630">
      <w:bodyDiv w:val="1"/>
      <w:marLeft w:val="0"/>
      <w:marRight w:val="0"/>
      <w:marTop w:val="0"/>
      <w:marBottom w:val="0"/>
      <w:divBdr>
        <w:top w:val="none" w:sz="0" w:space="0" w:color="auto"/>
        <w:left w:val="none" w:sz="0" w:space="0" w:color="auto"/>
        <w:bottom w:val="none" w:sz="0" w:space="0" w:color="auto"/>
        <w:right w:val="none" w:sz="0" w:space="0" w:color="auto"/>
      </w:divBdr>
    </w:div>
    <w:div w:id="734665256">
      <w:bodyDiv w:val="1"/>
      <w:marLeft w:val="0"/>
      <w:marRight w:val="0"/>
      <w:marTop w:val="0"/>
      <w:marBottom w:val="0"/>
      <w:divBdr>
        <w:top w:val="none" w:sz="0" w:space="0" w:color="auto"/>
        <w:left w:val="none" w:sz="0" w:space="0" w:color="auto"/>
        <w:bottom w:val="none" w:sz="0" w:space="0" w:color="auto"/>
        <w:right w:val="none" w:sz="0" w:space="0" w:color="auto"/>
      </w:divBdr>
    </w:div>
    <w:div w:id="747196619">
      <w:bodyDiv w:val="1"/>
      <w:marLeft w:val="0"/>
      <w:marRight w:val="0"/>
      <w:marTop w:val="0"/>
      <w:marBottom w:val="0"/>
      <w:divBdr>
        <w:top w:val="none" w:sz="0" w:space="0" w:color="auto"/>
        <w:left w:val="none" w:sz="0" w:space="0" w:color="auto"/>
        <w:bottom w:val="none" w:sz="0" w:space="0" w:color="auto"/>
        <w:right w:val="none" w:sz="0" w:space="0" w:color="auto"/>
      </w:divBdr>
    </w:div>
    <w:div w:id="761267498">
      <w:bodyDiv w:val="1"/>
      <w:marLeft w:val="0"/>
      <w:marRight w:val="0"/>
      <w:marTop w:val="0"/>
      <w:marBottom w:val="0"/>
      <w:divBdr>
        <w:top w:val="none" w:sz="0" w:space="0" w:color="auto"/>
        <w:left w:val="none" w:sz="0" w:space="0" w:color="auto"/>
        <w:bottom w:val="none" w:sz="0" w:space="0" w:color="auto"/>
        <w:right w:val="none" w:sz="0" w:space="0" w:color="auto"/>
      </w:divBdr>
    </w:div>
    <w:div w:id="768159414">
      <w:bodyDiv w:val="1"/>
      <w:marLeft w:val="0"/>
      <w:marRight w:val="0"/>
      <w:marTop w:val="0"/>
      <w:marBottom w:val="0"/>
      <w:divBdr>
        <w:top w:val="none" w:sz="0" w:space="0" w:color="auto"/>
        <w:left w:val="none" w:sz="0" w:space="0" w:color="auto"/>
        <w:bottom w:val="none" w:sz="0" w:space="0" w:color="auto"/>
        <w:right w:val="none" w:sz="0" w:space="0" w:color="auto"/>
      </w:divBdr>
    </w:div>
    <w:div w:id="797407850">
      <w:bodyDiv w:val="1"/>
      <w:marLeft w:val="0"/>
      <w:marRight w:val="0"/>
      <w:marTop w:val="0"/>
      <w:marBottom w:val="0"/>
      <w:divBdr>
        <w:top w:val="none" w:sz="0" w:space="0" w:color="auto"/>
        <w:left w:val="none" w:sz="0" w:space="0" w:color="auto"/>
        <w:bottom w:val="none" w:sz="0" w:space="0" w:color="auto"/>
        <w:right w:val="none" w:sz="0" w:space="0" w:color="auto"/>
      </w:divBdr>
    </w:div>
    <w:div w:id="842621880">
      <w:bodyDiv w:val="1"/>
      <w:marLeft w:val="0"/>
      <w:marRight w:val="0"/>
      <w:marTop w:val="0"/>
      <w:marBottom w:val="0"/>
      <w:divBdr>
        <w:top w:val="none" w:sz="0" w:space="0" w:color="auto"/>
        <w:left w:val="none" w:sz="0" w:space="0" w:color="auto"/>
        <w:bottom w:val="none" w:sz="0" w:space="0" w:color="auto"/>
        <w:right w:val="none" w:sz="0" w:space="0" w:color="auto"/>
      </w:divBdr>
    </w:div>
    <w:div w:id="865408127">
      <w:bodyDiv w:val="1"/>
      <w:marLeft w:val="0"/>
      <w:marRight w:val="0"/>
      <w:marTop w:val="0"/>
      <w:marBottom w:val="0"/>
      <w:divBdr>
        <w:top w:val="none" w:sz="0" w:space="0" w:color="auto"/>
        <w:left w:val="none" w:sz="0" w:space="0" w:color="auto"/>
        <w:bottom w:val="none" w:sz="0" w:space="0" w:color="auto"/>
        <w:right w:val="none" w:sz="0" w:space="0" w:color="auto"/>
      </w:divBdr>
    </w:div>
    <w:div w:id="871191374">
      <w:bodyDiv w:val="1"/>
      <w:marLeft w:val="0"/>
      <w:marRight w:val="0"/>
      <w:marTop w:val="0"/>
      <w:marBottom w:val="0"/>
      <w:divBdr>
        <w:top w:val="none" w:sz="0" w:space="0" w:color="auto"/>
        <w:left w:val="none" w:sz="0" w:space="0" w:color="auto"/>
        <w:bottom w:val="none" w:sz="0" w:space="0" w:color="auto"/>
        <w:right w:val="none" w:sz="0" w:space="0" w:color="auto"/>
      </w:divBdr>
    </w:div>
    <w:div w:id="904678180">
      <w:bodyDiv w:val="1"/>
      <w:marLeft w:val="0"/>
      <w:marRight w:val="0"/>
      <w:marTop w:val="0"/>
      <w:marBottom w:val="0"/>
      <w:divBdr>
        <w:top w:val="none" w:sz="0" w:space="0" w:color="auto"/>
        <w:left w:val="none" w:sz="0" w:space="0" w:color="auto"/>
        <w:bottom w:val="none" w:sz="0" w:space="0" w:color="auto"/>
        <w:right w:val="none" w:sz="0" w:space="0" w:color="auto"/>
      </w:divBdr>
    </w:div>
    <w:div w:id="906957641">
      <w:bodyDiv w:val="1"/>
      <w:marLeft w:val="0"/>
      <w:marRight w:val="0"/>
      <w:marTop w:val="0"/>
      <w:marBottom w:val="0"/>
      <w:divBdr>
        <w:top w:val="none" w:sz="0" w:space="0" w:color="auto"/>
        <w:left w:val="none" w:sz="0" w:space="0" w:color="auto"/>
        <w:bottom w:val="none" w:sz="0" w:space="0" w:color="auto"/>
        <w:right w:val="none" w:sz="0" w:space="0" w:color="auto"/>
      </w:divBdr>
    </w:div>
    <w:div w:id="913971016">
      <w:bodyDiv w:val="1"/>
      <w:marLeft w:val="0"/>
      <w:marRight w:val="0"/>
      <w:marTop w:val="0"/>
      <w:marBottom w:val="0"/>
      <w:divBdr>
        <w:top w:val="none" w:sz="0" w:space="0" w:color="auto"/>
        <w:left w:val="none" w:sz="0" w:space="0" w:color="auto"/>
        <w:bottom w:val="none" w:sz="0" w:space="0" w:color="auto"/>
        <w:right w:val="none" w:sz="0" w:space="0" w:color="auto"/>
      </w:divBdr>
    </w:div>
    <w:div w:id="927234517">
      <w:bodyDiv w:val="1"/>
      <w:marLeft w:val="0"/>
      <w:marRight w:val="0"/>
      <w:marTop w:val="0"/>
      <w:marBottom w:val="0"/>
      <w:divBdr>
        <w:top w:val="none" w:sz="0" w:space="0" w:color="auto"/>
        <w:left w:val="none" w:sz="0" w:space="0" w:color="auto"/>
        <w:bottom w:val="none" w:sz="0" w:space="0" w:color="auto"/>
        <w:right w:val="none" w:sz="0" w:space="0" w:color="auto"/>
      </w:divBdr>
    </w:div>
    <w:div w:id="942540798">
      <w:bodyDiv w:val="1"/>
      <w:marLeft w:val="0"/>
      <w:marRight w:val="0"/>
      <w:marTop w:val="0"/>
      <w:marBottom w:val="0"/>
      <w:divBdr>
        <w:top w:val="none" w:sz="0" w:space="0" w:color="auto"/>
        <w:left w:val="none" w:sz="0" w:space="0" w:color="auto"/>
        <w:bottom w:val="none" w:sz="0" w:space="0" w:color="auto"/>
        <w:right w:val="none" w:sz="0" w:space="0" w:color="auto"/>
      </w:divBdr>
    </w:div>
    <w:div w:id="952781653">
      <w:bodyDiv w:val="1"/>
      <w:marLeft w:val="0"/>
      <w:marRight w:val="0"/>
      <w:marTop w:val="0"/>
      <w:marBottom w:val="0"/>
      <w:divBdr>
        <w:top w:val="none" w:sz="0" w:space="0" w:color="auto"/>
        <w:left w:val="none" w:sz="0" w:space="0" w:color="auto"/>
        <w:bottom w:val="none" w:sz="0" w:space="0" w:color="auto"/>
        <w:right w:val="none" w:sz="0" w:space="0" w:color="auto"/>
      </w:divBdr>
    </w:div>
    <w:div w:id="1008367102">
      <w:bodyDiv w:val="1"/>
      <w:marLeft w:val="0"/>
      <w:marRight w:val="0"/>
      <w:marTop w:val="0"/>
      <w:marBottom w:val="0"/>
      <w:divBdr>
        <w:top w:val="none" w:sz="0" w:space="0" w:color="auto"/>
        <w:left w:val="none" w:sz="0" w:space="0" w:color="auto"/>
        <w:bottom w:val="none" w:sz="0" w:space="0" w:color="auto"/>
        <w:right w:val="none" w:sz="0" w:space="0" w:color="auto"/>
      </w:divBdr>
    </w:div>
    <w:div w:id="1009914982">
      <w:bodyDiv w:val="1"/>
      <w:marLeft w:val="0"/>
      <w:marRight w:val="0"/>
      <w:marTop w:val="0"/>
      <w:marBottom w:val="0"/>
      <w:divBdr>
        <w:top w:val="none" w:sz="0" w:space="0" w:color="auto"/>
        <w:left w:val="none" w:sz="0" w:space="0" w:color="auto"/>
        <w:bottom w:val="none" w:sz="0" w:space="0" w:color="auto"/>
        <w:right w:val="none" w:sz="0" w:space="0" w:color="auto"/>
      </w:divBdr>
    </w:div>
    <w:div w:id="1022364078">
      <w:bodyDiv w:val="1"/>
      <w:marLeft w:val="0"/>
      <w:marRight w:val="0"/>
      <w:marTop w:val="0"/>
      <w:marBottom w:val="0"/>
      <w:divBdr>
        <w:top w:val="none" w:sz="0" w:space="0" w:color="auto"/>
        <w:left w:val="none" w:sz="0" w:space="0" w:color="auto"/>
        <w:bottom w:val="none" w:sz="0" w:space="0" w:color="auto"/>
        <w:right w:val="none" w:sz="0" w:space="0" w:color="auto"/>
      </w:divBdr>
    </w:div>
    <w:div w:id="1034505015">
      <w:bodyDiv w:val="1"/>
      <w:marLeft w:val="0"/>
      <w:marRight w:val="0"/>
      <w:marTop w:val="0"/>
      <w:marBottom w:val="0"/>
      <w:divBdr>
        <w:top w:val="none" w:sz="0" w:space="0" w:color="auto"/>
        <w:left w:val="none" w:sz="0" w:space="0" w:color="auto"/>
        <w:bottom w:val="none" w:sz="0" w:space="0" w:color="auto"/>
        <w:right w:val="none" w:sz="0" w:space="0" w:color="auto"/>
      </w:divBdr>
    </w:div>
    <w:div w:id="1045443132">
      <w:bodyDiv w:val="1"/>
      <w:marLeft w:val="0"/>
      <w:marRight w:val="0"/>
      <w:marTop w:val="0"/>
      <w:marBottom w:val="0"/>
      <w:divBdr>
        <w:top w:val="none" w:sz="0" w:space="0" w:color="auto"/>
        <w:left w:val="none" w:sz="0" w:space="0" w:color="auto"/>
        <w:bottom w:val="none" w:sz="0" w:space="0" w:color="auto"/>
        <w:right w:val="none" w:sz="0" w:space="0" w:color="auto"/>
      </w:divBdr>
    </w:div>
    <w:div w:id="1048215382">
      <w:bodyDiv w:val="1"/>
      <w:marLeft w:val="0"/>
      <w:marRight w:val="0"/>
      <w:marTop w:val="0"/>
      <w:marBottom w:val="0"/>
      <w:divBdr>
        <w:top w:val="none" w:sz="0" w:space="0" w:color="auto"/>
        <w:left w:val="none" w:sz="0" w:space="0" w:color="auto"/>
        <w:bottom w:val="none" w:sz="0" w:space="0" w:color="auto"/>
        <w:right w:val="none" w:sz="0" w:space="0" w:color="auto"/>
      </w:divBdr>
    </w:div>
    <w:div w:id="1057893336">
      <w:bodyDiv w:val="1"/>
      <w:marLeft w:val="0"/>
      <w:marRight w:val="0"/>
      <w:marTop w:val="0"/>
      <w:marBottom w:val="0"/>
      <w:divBdr>
        <w:top w:val="none" w:sz="0" w:space="0" w:color="auto"/>
        <w:left w:val="none" w:sz="0" w:space="0" w:color="auto"/>
        <w:bottom w:val="none" w:sz="0" w:space="0" w:color="auto"/>
        <w:right w:val="none" w:sz="0" w:space="0" w:color="auto"/>
      </w:divBdr>
    </w:div>
    <w:div w:id="1063941486">
      <w:bodyDiv w:val="1"/>
      <w:marLeft w:val="0"/>
      <w:marRight w:val="0"/>
      <w:marTop w:val="0"/>
      <w:marBottom w:val="0"/>
      <w:divBdr>
        <w:top w:val="none" w:sz="0" w:space="0" w:color="auto"/>
        <w:left w:val="none" w:sz="0" w:space="0" w:color="auto"/>
        <w:bottom w:val="none" w:sz="0" w:space="0" w:color="auto"/>
        <w:right w:val="none" w:sz="0" w:space="0" w:color="auto"/>
      </w:divBdr>
    </w:div>
    <w:div w:id="1064598661">
      <w:bodyDiv w:val="1"/>
      <w:marLeft w:val="0"/>
      <w:marRight w:val="0"/>
      <w:marTop w:val="0"/>
      <w:marBottom w:val="0"/>
      <w:divBdr>
        <w:top w:val="none" w:sz="0" w:space="0" w:color="auto"/>
        <w:left w:val="none" w:sz="0" w:space="0" w:color="auto"/>
        <w:bottom w:val="none" w:sz="0" w:space="0" w:color="auto"/>
        <w:right w:val="none" w:sz="0" w:space="0" w:color="auto"/>
      </w:divBdr>
    </w:div>
    <w:div w:id="1083263212">
      <w:bodyDiv w:val="1"/>
      <w:marLeft w:val="0"/>
      <w:marRight w:val="0"/>
      <w:marTop w:val="0"/>
      <w:marBottom w:val="0"/>
      <w:divBdr>
        <w:top w:val="none" w:sz="0" w:space="0" w:color="auto"/>
        <w:left w:val="none" w:sz="0" w:space="0" w:color="auto"/>
        <w:bottom w:val="none" w:sz="0" w:space="0" w:color="auto"/>
        <w:right w:val="none" w:sz="0" w:space="0" w:color="auto"/>
      </w:divBdr>
    </w:div>
    <w:div w:id="1097294007">
      <w:bodyDiv w:val="1"/>
      <w:marLeft w:val="0"/>
      <w:marRight w:val="0"/>
      <w:marTop w:val="0"/>
      <w:marBottom w:val="0"/>
      <w:divBdr>
        <w:top w:val="none" w:sz="0" w:space="0" w:color="auto"/>
        <w:left w:val="none" w:sz="0" w:space="0" w:color="auto"/>
        <w:bottom w:val="none" w:sz="0" w:space="0" w:color="auto"/>
        <w:right w:val="none" w:sz="0" w:space="0" w:color="auto"/>
      </w:divBdr>
    </w:div>
    <w:div w:id="1128166651">
      <w:bodyDiv w:val="1"/>
      <w:marLeft w:val="0"/>
      <w:marRight w:val="0"/>
      <w:marTop w:val="0"/>
      <w:marBottom w:val="0"/>
      <w:divBdr>
        <w:top w:val="none" w:sz="0" w:space="0" w:color="auto"/>
        <w:left w:val="none" w:sz="0" w:space="0" w:color="auto"/>
        <w:bottom w:val="none" w:sz="0" w:space="0" w:color="auto"/>
        <w:right w:val="none" w:sz="0" w:space="0" w:color="auto"/>
      </w:divBdr>
    </w:div>
    <w:div w:id="1141771580">
      <w:bodyDiv w:val="1"/>
      <w:marLeft w:val="0"/>
      <w:marRight w:val="0"/>
      <w:marTop w:val="0"/>
      <w:marBottom w:val="0"/>
      <w:divBdr>
        <w:top w:val="none" w:sz="0" w:space="0" w:color="auto"/>
        <w:left w:val="none" w:sz="0" w:space="0" w:color="auto"/>
        <w:bottom w:val="none" w:sz="0" w:space="0" w:color="auto"/>
        <w:right w:val="none" w:sz="0" w:space="0" w:color="auto"/>
      </w:divBdr>
    </w:div>
    <w:div w:id="1168129092">
      <w:bodyDiv w:val="1"/>
      <w:marLeft w:val="0"/>
      <w:marRight w:val="0"/>
      <w:marTop w:val="0"/>
      <w:marBottom w:val="0"/>
      <w:divBdr>
        <w:top w:val="none" w:sz="0" w:space="0" w:color="auto"/>
        <w:left w:val="none" w:sz="0" w:space="0" w:color="auto"/>
        <w:bottom w:val="none" w:sz="0" w:space="0" w:color="auto"/>
        <w:right w:val="none" w:sz="0" w:space="0" w:color="auto"/>
      </w:divBdr>
    </w:div>
    <w:div w:id="1197623633">
      <w:bodyDiv w:val="1"/>
      <w:marLeft w:val="0"/>
      <w:marRight w:val="0"/>
      <w:marTop w:val="0"/>
      <w:marBottom w:val="0"/>
      <w:divBdr>
        <w:top w:val="none" w:sz="0" w:space="0" w:color="auto"/>
        <w:left w:val="none" w:sz="0" w:space="0" w:color="auto"/>
        <w:bottom w:val="none" w:sz="0" w:space="0" w:color="auto"/>
        <w:right w:val="none" w:sz="0" w:space="0" w:color="auto"/>
      </w:divBdr>
    </w:div>
    <w:div w:id="1198274758">
      <w:bodyDiv w:val="1"/>
      <w:marLeft w:val="0"/>
      <w:marRight w:val="0"/>
      <w:marTop w:val="0"/>
      <w:marBottom w:val="0"/>
      <w:divBdr>
        <w:top w:val="none" w:sz="0" w:space="0" w:color="auto"/>
        <w:left w:val="none" w:sz="0" w:space="0" w:color="auto"/>
        <w:bottom w:val="none" w:sz="0" w:space="0" w:color="auto"/>
        <w:right w:val="none" w:sz="0" w:space="0" w:color="auto"/>
      </w:divBdr>
    </w:div>
    <w:div w:id="1219628738">
      <w:bodyDiv w:val="1"/>
      <w:marLeft w:val="0"/>
      <w:marRight w:val="0"/>
      <w:marTop w:val="0"/>
      <w:marBottom w:val="0"/>
      <w:divBdr>
        <w:top w:val="none" w:sz="0" w:space="0" w:color="auto"/>
        <w:left w:val="none" w:sz="0" w:space="0" w:color="auto"/>
        <w:bottom w:val="none" w:sz="0" w:space="0" w:color="auto"/>
        <w:right w:val="none" w:sz="0" w:space="0" w:color="auto"/>
      </w:divBdr>
    </w:div>
    <w:div w:id="1232274726">
      <w:bodyDiv w:val="1"/>
      <w:marLeft w:val="0"/>
      <w:marRight w:val="0"/>
      <w:marTop w:val="0"/>
      <w:marBottom w:val="0"/>
      <w:divBdr>
        <w:top w:val="none" w:sz="0" w:space="0" w:color="auto"/>
        <w:left w:val="none" w:sz="0" w:space="0" w:color="auto"/>
        <w:bottom w:val="none" w:sz="0" w:space="0" w:color="auto"/>
        <w:right w:val="none" w:sz="0" w:space="0" w:color="auto"/>
      </w:divBdr>
    </w:div>
    <w:div w:id="1238708401">
      <w:bodyDiv w:val="1"/>
      <w:marLeft w:val="0"/>
      <w:marRight w:val="0"/>
      <w:marTop w:val="0"/>
      <w:marBottom w:val="0"/>
      <w:divBdr>
        <w:top w:val="none" w:sz="0" w:space="0" w:color="auto"/>
        <w:left w:val="none" w:sz="0" w:space="0" w:color="auto"/>
        <w:bottom w:val="none" w:sz="0" w:space="0" w:color="auto"/>
        <w:right w:val="none" w:sz="0" w:space="0" w:color="auto"/>
      </w:divBdr>
    </w:div>
    <w:div w:id="1251617542">
      <w:bodyDiv w:val="1"/>
      <w:marLeft w:val="0"/>
      <w:marRight w:val="0"/>
      <w:marTop w:val="0"/>
      <w:marBottom w:val="0"/>
      <w:divBdr>
        <w:top w:val="none" w:sz="0" w:space="0" w:color="auto"/>
        <w:left w:val="none" w:sz="0" w:space="0" w:color="auto"/>
        <w:bottom w:val="none" w:sz="0" w:space="0" w:color="auto"/>
        <w:right w:val="none" w:sz="0" w:space="0" w:color="auto"/>
      </w:divBdr>
    </w:div>
    <w:div w:id="1256747543">
      <w:bodyDiv w:val="1"/>
      <w:marLeft w:val="0"/>
      <w:marRight w:val="0"/>
      <w:marTop w:val="0"/>
      <w:marBottom w:val="0"/>
      <w:divBdr>
        <w:top w:val="none" w:sz="0" w:space="0" w:color="auto"/>
        <w:left w:val="none" w:sz="0" w:space="0" w:color="auto"/>
        <w:bottom w:val="none" w:sz="0" w:space="0" w:color="auto"/>
        <w:right w:val="none" w:sz="0" w:space="0" w:color="auto"/>
      </w:divBdr>
    </w:div>
    <w:div w:id="1258099153">
      <w:bodyDiv w:val="1"/>
      <w:marLeft w:val="0"/>
      <w:marRight w:val="0"/>
      <w:marTop w:val="0"/>
      <w:marBottom w:val="0"/>
      <w:divBdr>
        <w:top w:val="none" w:sz="0" w:space="0" w:color="auto"/>
        <w:left w:val="none" w:sz="0" w:space="0" w:color="auto"/>
        <w:bottom w:val="none" w:sz="0" w:space="0" w:color="auto"/>
        <w:right w:val="none" w:sz="0" w:space="0" w:color="auto"/>
      </w:divBdr>
    </w:div>
    <w:div w:id="1263144963">
      <w:bodyDiv w:val="1"/>
      <w:marLeft w:val="0"/>
      <w:marRight w:val="0"/>
      <w:marTop w:val="0"/>
      <w:marBottom w:val="0"/>
      <w:divBdr>
        <w:top w:val="none" w:sz="0" w:space="0" w:color="auto"/>
        <w:left w:val="none" w:sz="0" w:space="0" w:color="auto"/>
        <w:bottom w:val="none" w:sz="0" w:space="0" w:color="auto"/>
        <w:right w:val="none" w:sz="0" w:space="0" w:color="auto"/>
      </w:divBdr>
    </w:div>
    <w:div w:id="1263957371">
      <w:bodyDiv w:val="1"/>
      <w:marLeft w:val="0"/>
      <w:marRight w:val="0"/>
      <w:marTop w:val="0"/>
      <w:marBottom w:val="0"/>
      <w:divBdr>
        <w:top w:val="none" w:sz="0" w:space="0" w:color="auto"/>
        <w:left w:val="none" w:sz="0" w:space="0" w:color="auto"/>
        <w:bottom w:val="none" w:sz="0" w:space="0" w:color="auto"/>
        <w:right w:val="none" w:sz="0" w:space="0" w:color="auto"/>
      </w:divBdr>
    </w:div>
    <w:div w:id="1275405622">
      <w:bodyDiv w:val="1"/>
      <w:marLeft w:val="0"/>
      <w:marRight w:val="0"/>
      <w:marTop w:val="0"/>
      <w:marBottom w:val="0"/>
      <w:divBdr>
        <w:top w:val="none" w:sz="0" w:space="0" w:color="auto"/>
        <w:left w:val="none" w:sz="0" w:space="0" w:color="auto"/>
        <w:bottom w:val="none" w:sz="0" w:space="0" w:color="auto"/>
        <w:right w:val="none" w:sz="0" w:space="0" w:color="auto"/>
      </w:divBdr>
    </w:div>
    <w:div w:id="1305431966">
      <w:bodyDiv w:val="1"/>
      <w:marLeft w:val="0"/>
      <w:marRight w:val="0"/>
      <w:marTop w:val="0"/>
      <w:marBottom w:val="0"/>
      <w:divBdr>
        <w:top w:val="none" w:sz="0" w:space="0" w:color="auto"/>
        <w:left w:val="none" w:sz="0" w:space="0" w:color="auto"/>
        <w:bottom w:val="none" w:sz="0" w:space="0" w:color="auto"/>
        <w:right w:val="none" w:sz="0" w:space="0" w:color="auto"/>
      </w:divBdr>
    </w:div>
    <w:div w:id="1372459843">
      <w:bodyDiv w:val="1"/>
      <w:marLeft w:val="0"/>
      <w:marRight w:val="0"/>
      <w:marTop w:val="0"/>
      <w:marBottom w:val="0"/>
      <w:divBdr>
        <w:top w:val="none" w:sz="0" w:space="0" w:color="auto"/>
        <w:left w:val="none" w:sz="0" w:space="0" w:color="auto"/>
        <w:bottom w:val="none" w:sz="0" w:space="0" w:color="auto"/>
        <w:right w:val="none" w:sz="0" w:space="0" w:color="auto"/>
      </w:divBdr>
    </w:div>
    <w:div w:id="1377199795">
      <w:bodyDiv w:val="1"/>
      <w:marLeft w:val="0"/>
      <w:marRight w:val="0"/>
      <w:marTop w:val="0"/>
      <w:marBottom w:val="0"/>
      <w:divBdr>
        <w:top w:val="none" w:sz="0" w:space="0" w:color="auto"/>
        <w:left w:val="none" w:sz="0" w:space="0" w:color="auto"/>
        <w:bottom w:val="none" w:sz="0" w:space="0" w:color="auto"/>
        <w:right w:val="none" w:sz="0" w:space="0" w:color="auto"/>
      </w:divBdr>
    </w:div>
    <w:div w:id="1388996412">
      <w:bodyDiv w:val="1"/>
      <w:marLeft w:val="0"/>
      <w:marRight w:val="0"/>
      <w:marTop w:val="0"/>
      <w:marBottom w:val="0"/>
      <w:divBdr>
        <w:top w:val="none" w:sz="0" w:space="0" w:color="auto"/>
        <w:left w:val="none" w:sz="0" w:space="0" w:color="auto"/>
        <w:bottom w:val="none" w:sz="0" w:space="0" w:color="auto"/>
        <w:right w:val="none" w:sz="0" w:space="0" w:color="auto"/>
      </w:divBdr>
    </w:div>
    <w:div w:id="1401126211">
      <w:bodyDiv w:val="1"/>
      <w:marLeft w:val="0"/>
      <w:marRight w:val="0"/>
      <w:marTop w:val="0"/>
      <w:marBottom w:val="0"/>
      <w:divBdr>
        <w:top w:val="none" w:sz="0" w:space="0" w:color="auto"/>
        <w:left w:val="none" w:sz="0" w:space="0" w:color="auto"/>
        <w:bottom w:val="none" w:sz="0" w:space="0" w:color="auto"/>
        <w:right w:val="none" w:sz="0" w:space="0" w:color="auto"/>
      </w:divBdr>
    </w:div>
    <w:div w:id="1408648082">
      <w:bodyDiv w:val="1"/>
      <w:marLeft w:val="0"/>
      <w:marRight w:val="0"/>
      <w:marTop w:val="0"/>
      <w:marBottom w:val="0"/>
      <w:divBdr>
        <w:top w:val="none" w:sz="0" w:space="0" w:color="auto"/>
        <w:left w:val="none" w:sz="0" w:space="0" w:color="auto"/>
        <w:bottom w:val="none" w:sz="0" w:space="0" w:color="auto"/>
        <w:right w:val="none" w:sz="0" w:space="0" w:color="auto"/>
      </w:divBdr>
    </w:div>
    <w:div w:id="1451778013">
      <w:bodyDiv w:val="1"/>
      <w:marLeft w:val="0"/>
      <w:marRight w:val="0"/>
      <w:marTop w:val="0"/>
      <w:marBottom w:val="0"/>
      <w:divBdr>
        <w:top w:val="none" w:sz="0" w:space="0" w:color="auto"/>
        <w:left w:val="none" w:sz="0" w:space="0" w:color="auto"/>
        <w:bottom w:val="none" w:sz="0" w:space="0" w:color="auto"/>
        <w:right w:val="none" w:sz="0" w:space="0" w:color="auto"/>
      </w:divBdr>
    </w:div>
    <w:div w:id="1455829720">
      <w:bodyDiv w:val="1"/>
      <w:marLeft w:val="0"/>
      <w:marRight w:val="0"/>
      <w:marTop w:val="0"/>
      <w:marBottom w:val="0"/>
      <w:divBdr>
        <w:top w:val="none" w:sz="0" w:space="0" w:color="auto"/>
        <w:left w:val="none" w:sz="0" w:space="0" w:color="auto"/>
        <w:bottom w:val="none" w:sz="0" w:space="0" w:color="auto"/>
        <w:right w:val="none" w:sz="0" w:space="0" w:color="auto"/>
      </w:divBdr>
    </w:div>
    <w:div w:id="1468623333">
      <w:bodyDiv w:val="1"/>
      <w:marLeft w:val="0"/>
      <w:marRight w:val="0"/>
      <w:marTop w:val="0"/>
      <w:marBottom w:val="0"/>
      <w:divBdr>
        <w:top w:val="none" w:sz="0" w:space="0" w:color="auto"/>
        <w:left w:val="none" w:sz="0" w:space="0" w:color="auto"/>
        <w:bottom w:val="none" w:sz="0" w:space="0" w:color="auto"/>
        <w:right w:val="none" w:sz="0" w:space="0" w:color="auto"/>
      </w:divBdr>
    </w:div>
    <w:div w:id="1523130755">
      <w:bodyDiv w:val="1"/>
      <w:marLeft w:val="0"/>
      <w:marRight w:val="0"/>
      <w:marTop w:val="0"/>
      <w:marBottom w:val="0"/>
      <w:divBdr>
        <w:top w:val="none" w:sz="0" w:space="0" w:color="auto"/>
        <w:left w:val="none" w:sz="0" w:space="0" w:color="auto"/>
        <w:bottom w:val="none" w:sz="0" w:space="0" w:color="auto"/>
        <w:right w:val="none" w:sz="0" w:space="0" w:color="auto"/>
      </w:divBdr>
    </w:div>
    <w:div w:id="1533302995">
      <w:bodyDiv w:val="1"/>
      <w:marLeft w:val="0"/>
      <w:marRight w:val="0"/>
      <w:marTop w:val="0"/>
      <w:marBottom w:val="0"/>
      <w:divBdr>
        <w:top w:val="none" w:sz="0" w:space="0" w:color="auto"/>
        <w:left w:val="none" w:sz="0" w:space="0" w:color="auto"/>
        <w:bottom w:val="none" w:sz="0" w:space="0" w:color="auto"/>
        <w:right w:val="none" w:sz="0" w:space="0" w:color="auto"/>
      </w:divBdr>
    </w:div>
    <w:div w:id="1592664800">
      <w:bodyDiv w:val="1"/>
      <w:marLeft w:val="0"/>
      <w:marRight w:val="0"/>
      <w:marTop w:val="0"/>
      <w:marBottom w:val="0"/>
      <w:divBdr>
        <w:top w:val="none" w:sz="0" w:space="0" w:color="auto"/>
        <w:left w:val="none" w:sz="0" w:space="0" w:color="auto"/>
        <w:bottom w:val="none" w:sz="0" w:space="0" w:color="auto"/>
        <w:right w:val="none" w:sz="0" w:space="0" w:color="auto"/>
      </w:divBdr>
    </w:div>
    <w:div w:id="1600412212">
      <w:bodyDiv w:val="1"/>
      <w:marLeft w:val="0"/>
      <w:marRight w:val="0"/>
      <w:marTop w:val="0"/>
      <w:marBottom w:val="0"/>
      <w:divBdr>
        <w:top w:val="none" w:sz="0" w:space="0" w:color="auto"/>
        <w:left w:val="none" w:sz="0" w:space="0" w:color="auto"/>
        <w:bottom w:val="none" w:sz="0" w:space="0" w:color="auto"/>
        <w:right w:val="none" w:sz="0" w:space="0" w:color="auto"/>
      </w:divBdr>
    </w:div>
    <w:div w:id="1651397276">
      <w:bodyDiv w:val="1"/>
      <w:marLeft w:val="0"/>
      <w:marRight w:val="0"/>
      <w:marTop w:val="0"/>
      <w:marBottom w:val="0"/>
      <w:divBdr>
        <w:top w:val="none" w:sz="0" w:space="0" w:color="auto"/>
        <w:left w:val="none" w:sz="0" w:space="0" w:color="auto"/>
        <w:bottom w:val="none" w:sz="0" w:space="0" w:color="auto"/>
        <w:right w:val="none" w:sz="0" w:space="0" w:color="auto"/>
      </w:divBdr>
    </w:div>
    <w:div w:id="1661083694">
      <w:bodyDiv w:val="1"/>
      <w:marLeft w:val="0"/>
      <w:marRight w:val="0"/>
      <w:marTop w:val="0"/>
      <w:marBottom w:val="0"/>
      <w:divBdr>
        <w:top w:val="none" w:sz="0" w:space="0" w:color="auto"/>
        <w:left w:val="none" w:sz="0" w:space="0" w:color="auto"/>
        <w:bottom w:val="none" w:sz="0" w:space="0" w:color="auto"/>
        <w:right w:val="none" w:sz="0" w:space="0" w:color="auto"/>
      </w:divBdr>
    </w:div>
    <w:div w:id="1669744241">
      <w:bodyDiv w:val="1"/>
      <w:marLeft w:val="0"/>
      <w:marRight w:val="0"/>
      <w:marTop w:val="0"/>
      <w:marBottom w:val="0"/>
      <w:divBdr>
        <w:top w:val="none" w:sz="0" w:space="0" w:color="auto"/>
        <w:left w:val="none" w:sz="0" w:space="0" w:color="auto"/>
        <w:bottom w:val="none" w:sz="0" w:space="0" w:color="auto"/>
        <w:right w:val="none" w:sz="0" w:space="0" w:color="auto"/>
      </w:divBdr>
    </w:div>
    <w:div w:id="1692948635">
      <w:bodyDiv w:val="1"/>
      <w:marLeft w:val="0"/>
      <w:marRight w:val="0"/>
      <w:marTop w:val="0"/>
      <w:marBottom w:val="0"/>
      <w:divBdr>
        <w:top w:val="none" w:sz="0" w:space="0" w:color="auto"/>
        <w:left w:val="none" w:sz="0" w:space="0" w:color="auto"/>
        <w:bottom w:val="none" w:sz="0" w:space="0" w:color="auto"/>
        <w:right w:val="none" w:sz="0" w:space="0" w:color="auto"/>
      </w:divBdr>
    </w:div>
    <w:div w:id="1722830266">
      <w:bodyDiv w:val="1"/>
      <w:marLeft w:val="0"/>
      <w:marRight w:val="0"/>
      <w:marTop w:val="0"/>
      <w:marBottom w:val="0"/>
      <w:divBdr>
        <w:top w:val="none" w:sz="0" w:space="0" w:color="auto"/>
        <w:left w:val="none" w:sz="0" w:space="0" w:color="auto"/>
        <w:bottom w:val="none" w:sz="0" w:space="0" w:color="auto"/>
        <w:right w:val="none" w:sz="0" w:space="0" w:color="auto"/>
      </w:divBdr>
    </w:div>
    <w:div w:id="1722944599">
      <w:bodyDiv w:val="1"/>
      <w:marLeft w:val="0"/>
      <w:marRight w:val="0"/>
      <w:marTop w:val="0"/>
      <w:marBottom w:val="0"/>
      <w:divBdr>
        <w:top w:val="none" w:sz="0" w:space="0" w:color="auto"/>
        <w:left w:val="none" w:sz="0" w:space="0" w:color="auto"/>
        <w:bottom w:val="none" w:sz="0" w:space="0" w:color="auto"/>
        <w:right w:val="none" w:sz="0" w:space="0" w:color="auto"/>
      </w:divBdr>
    </w:div>
    <w:div w:id="1726836130">
      <w:bodyDiv w:val="1"/>
      <w:marLeft w:val="0"/>
      <w:marRight w:val="0"/>
      <w:marTop w:val="0"/>
      <w:marBottom w:val="0"/>
      <w:divBdr>
        <w:top w:val="none" w:sz="0" w:space="0" w:color="auto"/>
        <w:left w:val="none" w:sz="0" w:space="0" w:color="auto"/>
        <w:bottom w:val="none" w:sz="0" w:space="0" w:color="auto"/>
        <w:right w:val="none" w:sz="0" w:space="0" w:color="auto"/>
      </w:divBdr>
    </w:div>
    <w:div w:id="1742485635">
      <w:bodyDiv w:val="1"/>
      <w:marLeft w:val="0"/>
      <w:marRight w:val="0"/>
      <w:marTop w:val="0"/>
      <w:marBottom w:val="0"/>
      <w:divBdr>
        <w:top w:val="none" w:sz="0" w:space="0" w:color="auto"/>
        <w:left w:val="none" w:sz="0" w:space="0" w:color="auto"/>
        <w:bottom w:val="none" w:sz="0" w:space="0" w:color="auto"/>
        <w:right w:val="none" w:sz="0" w:space="0" w:color="auto"/>
      </w:divBdr>
    </w:div>
    <w:div w:id="1795364853">
      <w:bodyDiv w:val="1"/>
      <w:marLeft w:val="0"/>
      <w:marRight w:val="0"/>
      <w:marTop w:val="0"/>
      <w:marBottom w:val="0"/>
      <w:divBdr>
        <w:top w:val="none" w:sz="0" w:space="0" w:color="auto"/>
        <w:left w:val="none" w:sz="0" w:space="0" w:color="auto"/>
        <w:bottom w:val="none" w:sz="0" w:space="0" w:color="auto"/>
        <w:right w:val="none" w:sz="0" w:space="0" w:color="auto"/>
      </w:divBdr>
    </w:div>
    <w:div w:id="1819881934">
      <w:bodyDiv w:val="1"/>
      <w:marLeft w:val="0"/>
      <w:marRight w:val="0"/>
      <w:marTop w:val="0"/>
      <w:marBottom w:val="0"/>
      <w:divBdr>
        <w:top w:val="none" w:sz="0" w:space="0" w:color="auto"/>
        <w:left w:val="none" w:sz="0" w:space="0" w:color="auto"/>
        <w:bottom w:val="none" w:sz="0" w:space="0" w:color="auto"/>
        <w:right w:val="none" w:sz="0" w:space="0" w:color="auto"/>
      </w:divBdr>
    </w:div>
    <w:div w:id="1834297196">
      <w:bodyDiv w:val="1"/>
      <w:marLeft w:val="0"/>
      <w:marRight w:val="0"/>
      <w:marTop w:val="0"/>
      <w:marBottom w:val="0"/>
      <w:divBdr>
        <w:top w:val="none" w:sz="0" w:space="0" w:color="auto"/>
        <w:left w:val="none" w:sz="0" w:space="0" w:color="auto"/>
        <w:bottom w:val="none" w:sz="0" w:space="0" w:color="auto"/>
        <w:right w:val="none" w:sz="0" w:space="0" w:color="auto"/>
      </w:divBdr>
    </w:div>
    <w:div w:id="1834760357">
      <w:bodyDiv w:val="1"/>
      <w:marLeft w:val="0"/>
      <w:marRight w:val="0"/>
      <w:marTop w:val="0"/>
      <w:marBottom w:val="0"/>
      <w:divBdr>
        <w:top w:val="none" w:sz="0" w:space="0" w:color="auto"/>
        <w:left w:val="none" w:sz="0" w:space="0" w:color="auto"/>
        <w:bottom w:val="none" w:sz="0" w:space="0" w:color="auto"/>
        <w:right w:val="none" w:sz="0" w:space="0" w:color="auto"/>
      </w:divBdr>
    </w:div>
    <w:div w:id="1837652741">
      <w:bodyDiv w:val="1"/>
      <w:marLeft w:val="0"/>
      <w:marRight w:val="0"/>
      <w:marTop w:val="0"/>
      <w:marBottom w:val="0"/>
      <w:divBdr>
        <w:top w:val="none" w:sz="0" w:space="0" w:color="auto"/>
        <w:left w:val="none" w:sz="0" w:space="0" w:color="auto"/>
        <w:bottom w:val="none" w:sz="0" w:space="0" w:color="auto"/>
        <w:right w:val="none" w:sz="0" w:space="0" w:color="auto"/>
      </w:divBdr>
    </w:div>
    <w:div w:id="1865945483">
      <w:bodyDiv w:val="1"/>
      <w:marLeft w:val="0"/>
      <w:marRight w:val="0"/>
      <w:marTop w:val="0"/>
      <w:marBottom w:val="0"/>
      <w:divBdr>
        <w:top w:val="none" w:sz="0" w:space="0" w:color="auto"/>
        <w:left w:val="none" w:sz="0" w:space="0" w:color="auto"/>
        <w:bottom w:val="none" w:sz="0" w:space="0" w:color="auto"/>
        <w:right w:val="none" w:sz="0" w:space="0" w:color="auto"/>
      </w:divBdr>
    </w:div>
    <w:div w:id="1870726721">
      <w:bodyDiv w:val="1"/>
      <w:marLeft w:val="0"/>
      <w:marRight w:val="0"/>
      <w:marTop w:val="0"/>
      <w:marBottom w:val="0"/>
      <w:divBdr>
        <w:top w:val="none" w:sz="0" w:space="0" w:color="auto"/>
        <w:left w:val="none" w:sz="0" w:space="0" w:color="auto"/>
        <w:bottom w:val="none" w:sz="0" w:space="0" w:color="auto"/>
        <w:right w:val="none" w:sz="0" w:space="0" w:color="auto"/>
      </w:divBdr>
    </w:div>
    <w:div w:id="1919704266">
      <w:bodyDiv w:val="1"/>
      <w:marLeft w:val="0"/>
      <w:marRight w:val="0"/>
      <w:marTop w:val="0"/>
      <w:marBottom w:val="0"/>
      <w:divBdr>
        <w:top w:val="none" w:sz="0" w:space="0" w:color="auto"/>
        <w:left w:val="none" w:sz="0" w:space="0" w:color="auto"/>
        <w:bottom w:val="none" w:sz="0" w:space="0" w:color="auto"/>
        <w:right w:val="none" w:sz="0" w:space="0" w:color="auto"/>
      </w:divBdr>
    </w:div>
    <w:div w:id="1952859342">
      <w:bodyDiv w:val="1"/>
      <w:marLeft w:val="0"/>
      <w:marRight w:val="0"/>
      <w:marTop w:val="0"/>
      <w:marBottom w:val="0"/>
      <w:divBdr>
        <w:top w:val="none" w:sz="0" w:space="0" w:color="auto"/>
        <w:left w:val="none" w:sz="0" w:space="0" w:color="auto"/>
        <w:bottom w:val="none" w:sz="0" w:space="0" w:color="auto"/>
        <w:right w:val="none" w:sz="0" w:space="0" w:color="auto"/>
      </w:divBdr>
    </w:div>
    <w:div w:id="2010674599">
      <w:bodyDiv w:val="1"/>
      <w:marLeft w:val="0"/>
      <w:marRight w:val="0"/>
      <w:marTop w:val="0"/>
      <w:marBottom w:val="0"/>
      <w:divBdr>
        <w:top w:val="none" w:sz="0" w:space="0" w:color="auto"/>
        <w:left w:val="none" w:sz="0" w:space="0" w:color="auto"/>
        <w:bottom w:val="none" w:sz="0" w:space="0" w:color="auto"/>
        <w:right w:val="none" w:sz="0" w:space="0" w:color="auto"/>
      </w:divBdr>
    </w:div>
    <w:div w:id="2052999974">
      <w:bodyDiv w:val="1"/>
      <w:marLeft w:val="0"/>
      <w:marRight w:val="0"/>
      <w:marTop w:val="0"/>
      <w:marBottom w:val="0"/>
      <w:divBdr>
        <w:top w:val="none" w:sz="0" w:space="0" w:color="auto"/>
        <w:left w:val="none" w:sz="0" w:space="0" w:color="auto"/>
        <w:bottom w:val="none" w:sz="0" w:space="0" w:color="auto"/>
        <w:right w:val="none" w:sz="0" w:space="0" w:color="auto"/>
      </w:divBdr>
    </w:div>
    <w:div w:id="2058427816">
      <w:bodyDiv w:val="1"/>
      <w:marLeft w:val="0"/>
      <w:marRight w:val="0"/>
      <w:marTop w:val="0"/>
      <w:marBottom w:val="0"/>
      <w:divBdr>
        <w:top w:val="none" w:sz="0" w:space="0" w:color="auto"/>
        <w:left w:val="none" w:sz="0" w:space="0" w:color="auto"/>
        <w:bottom w:val="none" w:sz="0" w:space="0" w:color="auto"/>
        <w:right w:val="none" w:sz="0" w:space="0" w:color="auto"/>
      </w:divBdr>
    </w:div>
    <w:div w:id="2097750605">
      <w:bodyDiv w:val="1"/>
      <w:marLeft w:val="0"/>
      <w:marRight w:val="0"/>
      <w:marTop w:val="0"/>
      <w:marBottom w:val="0"/>
      <w:divBdr>
        <w:top w:val="none" w:sz="0" w:space="0" w:color="auto"/>
        <w:left w:val="none" w:sz="0" w:space="0" w:color="auto"/>
        <w:bottom w:val="none" w:sz="0" w:space="0" w:color="auto"/>
        <w:right w:val="none" w:sz="0" w:space="0" w:color="auto"/>
      </w:divBdr>
    </w:div>
    <w:div w:id="2109426086">
      <w:bodyDiv w:val="1"/>
      <w:marLeft w:val="0"/>
      <w:marRight w:val="0"/>
      <w:marTop w:val="0"/>
      <w:marBottom w:val="0"/>
      <w:divBdr>
        <w:top w:val="none" w:sz="0" w:space="0" w:color="auto"/>
        <w:left w:val="none" w:sz="0" w:space="0" w:color="auto"/>
        <w:bottom w:val="none" w:sz="0" w:space="0" w:color="auto"/>
        <w:right w:val="none" w:sz="0" w:space="0" w:color="auto"/>
      </w:divBdr>
    </w:div>
    <w:div w:id="211918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sites/default/files/documents/library/xiv.14_sci_tech_s.pdf" TargetMode="External"/><Relationship Id="rId18" Type="http://schemas.openxmlformats.org/officeDocument/2006/relationships/hyperlink" Target="https://wpp.wetlands.org/" TargetMode="External"/><Relationship Id="rId26" Type="http://schemas.openxmlformats.org/officeDocument/2006/relationships/hyperlink" Target="https://referenceworks.brillonline.com/browse/foreign-law-guide" TargetMode="External"/><Relationship Id="rId3" Type="http://schemas.openxmlformats.org/officeDocument/2006/relationships/customXml" Target="../customXml/item3.xml"/><Relationship Id="rId21" Type="http://schemas.openxmlformats.org/officeDocument/2006/relationships/hyperlink" Target="mailto:wpe@wetlands.org"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ramsar.org/es/document/informe-y-decisiones-de-la-63a-reunion-del-comite-permanente" TargetMode="External"/><Relationship Id="rId17" Type="http://schemas.openxmlformats.org/officeDocument/2006/relationships/hyperlink" Target="https://www.ramsar.org/es/document/resolucion-xiv18-estimaciones-del-tamano-de-las-poblaciones-de-aves-acuaticas-para-apoyar" TargetMode="External"/><Relationship Id="rId25" Type="http://schemas.openxmlformats.org/officeDocument/2006/relationships/hyperlink" Target="https://guides.loc.gov/nations-worl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trp@ramsar.org" TargetMode="External"/><Relationship Id="rId29" Type="http://schemas.openxmlformats.org/officeDocument/2006/relationships/hyperlink" Target="https://policies.worldbank.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msar.org/es/document/sc63-doc19-informe-de-la-presidencia-del-grupo-de-examen-cientifico-y-tecnico-sobre-la" TargetMode="External"/><Relationship Id="rId24" Type="http://schemas.openxmlformats.org/officeDocument/2006/relationships/hyperlink" Target="https://www.nyulawglobal.org/globalex/flr.html" TargetMode="External"/><Relationship Id="rId32"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ecolex.org/" TargetMode="External"/><Relationship Id="rId28" Type="http://schemas.openxmlformats.org/officeDocument/2006/relationships/hyperlink" Target="https://iea.uoregon.edu/" TargetMode="External"/><Relationship Id="rId10" Type="http://schemas.openxmlformats.org/officeDocument/2006/relationships/hyperlink" Target="https://www.ramsar.org/sites/default/files/2024-09/STRP_Communique_1_24_ESP.pdf" TargetMode="External"/><Relationship Id="rId19" Type="http://schemas.openxmlformats.org/officeDocument/2006/relationships/hyperlink" Target="https://wpp.wetlands.org/data/Threshold" TargetMode="External"/><Relationship Id="rId31" Type="http://schemas.openxmlformats.org/officeDocument/2006/relationships/hyperlink" Target="https://papers.ssrn.com/sol3/papers.cfm?abstract_id=112999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amsar.org/sites/default/files/2023-09/STRP_workplan_2023_2025_s.pdf" TargetMode="External"/><Relationship Id="rId22" Type="http://schemas.openxmlformats.org/officeDocument/2006/relationships/hyperlink" Target="https://www.legal-atlas.com/legal-intelligence-platform.html" TargetMode="External"/><Relationship Id="rId27" Type="http://schemas.openxmlformats.org/officeDocument/2006/relationships/hyperlink" Target="https://eur-lex.europa.eu/homepage.html" TargetMode="External"/><Relationship Id="rId30" Type="http://schemas.openxmlformats.org/officeDocument/2006/relationships/hyperlink" Target="https://treaties.un.org/" TargetMode="Externa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ramsar.org/es/publicaciones" TargetMode="External"/><Relationship Id="rId3" Type="http://schemas.openxmlformats.org/officeDocument/2006/relationships/hyperlink" Target="https://www.ramsar.org/document/sc63-inf3-submission-convention-wetlands-6th-meeting-ad-hoc-technical-expert-group" TargetMode="External"/><Relationship Id="rId7" Type="http://schemas.openxmlformats.org/officeDocument/2006/relationships/hyperlink" Target="https://www.global-wetland-outlook.ramsar.org/" TargetMode="External"/><Relationship Id="rId12" Type="http://schemas.openxmlformats.org/officeDocument/2006/relationships/hyperlink" Target="https://www.cms.int/en/document/central-asian-flyway-action-plan-conservation-migratory-waterbirds-and-their-habitats" TargetMode="External"/><Relationship Id="rId2" Type="http://schemas.openxmlformats.org/officeDocument/2006/relationships/hyperlink" Target="https://elearning.fao.org/" TargetMode="External"/><Relationship Id="rId1" Type="http://schemas.openxmlformats.org/officeDocument/2006/relationships/hyperlink" Target="https://www.ramsar.org/document/population-estimates-1-thresholds-wetland-dependent-non-avian-animal-species-application" TargetMode="External"/><Relationship Id="rId6" Type="http://schemas.openxmlformats.org/officeDocument/2006/relationships/hyperlink" Target="https://scholarship.law.duke.edu/cgi/viewcontent.cgi?article=1250&amp;context=delpf" TargetMode="External"/><Relationship Id="rId11" Type="http://schemas.openxmlformats.org/officeDocument/2006/relationships/hyperlink" Target="https://www.ipbes.net/document-library-catalogue/ipbes-assessment-guide-summary" TargetMode="External"/><Relationship Id="rId5" Type="http://schemas.openxmlformats.org/officeDocument/2006/relationships/hyperlink" Target="https://www.ramsar.org/document/scaling-wetland-conservation-restoration-deliver-kunming-montreal-global-biodiversity" TargetMode="External"/><Relationship Id="rId10" Type="http://schemas.openxmlformats.org/officeDocument/2006/relationships/hyperlink" Target="https://www.ipcc.ch/site/assets/uploads/2018/09/ipcc-principles-appendix-a-final.pdf" TargetMode="External"/><Relationship Id="rId4" Type="http://schemas.openxmlformats.org/officeDocument/2006/relationships/hyperlink" Target="https://www.ramsar.org/es/document/marco-mundial-de-biodiversidad-de-kunming-montreal-ampliacion-de-la-escala-de-conservacion" TargetMode="External"/><Relationship Id="rId9" Type="http://schemas.openxmlformats.org/officeDocument/2006/relationships/hyperlink" Target="https://www.ipbes.net/guide-production-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9B6F5-58D2-46AF-B181-6EDE398781D7}">
  <ds:schemaRefs>
    <ds:schemaRef ds:uri="http://schemas.openxmlformats.org/officeDocument/2006/bibliography"/>
  </ds:schemaRefs>
</ds:datastoreItem>
</file>

<file path=customXml/itemProps2.xml><?xml version="1.0" encoding="utf-8"?>
<ds:datastoreItem xmlns:ds="http://schemas.openxmlformats.org/officeDocument/2006/customXml" ds:itemID="{1810ED0B-2E87-47AD-8951-7ED3542B7212}">
  <ds:schemaRefs>
    <ds:schemaRef ds:uri="http://schemas.microsoft.com/sharepoint/v3/contenttype/forms"/>
  </ds:schemaRefs>
</ds:datastoreItem>
</file>

<file path=customXml/itemProps3.xml><?xml version="1.0" encoding="utf-8"?>
<ds:datastoreItem xmlns:ds="http://schemas.openxmlformats.org/officeDocument/2006/customXml" ds:itemID="{675E5C5B-789E-4CAA-9F7B-B95B8F73A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20252</Words>
  <Characters>110174</Characters>
  <Application>Microsoft Office Word</Application>
  <DocSecurity>0</DocSecurity>
  <Lines>4080</Lines>
  <Paragraphs>1207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6</cp:revision>
  <dcterms:created xsi:type="dcterms:W3CDTF">2024-11-11T13:16:00Z</dcterms:created>
  <dcterms:modified xsi:type="dcterms:W3CDTF">2024-11-11T15:05:00Z</dcterms:modified>
</cp:coreProperties>
</file>