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50008" w14:textId="77777777" w:rsidR="004B42B8" w:rsidRPr="00B715B3" w:rsidRDefault="004B42B8" w:rsidP="004B42B8">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lang w:val="fr-FR"/>
        </w:rPr>
      </w:pPr>
      <w:r w:rsidRPr="00B715B3">
        <w:rPr>
          <w:rFonts w:cs="Calibri"/>
          <w:lang w:val="fr-FR"/>
        </w:rPr>
        <w:t>CONVENTION SUR LES ZONES HUMIDES</w:t>
      </w:r>
    </w:p>
    <w:p w14:paraId="184CD192" w14:textId="499550F3" w:rsidR="00BC20B0" w:rsidRPr="004B42B8" w:rsidRDefault="00BC20B0" w:rsidP="00BC20B0">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Calibri" w:hAnsi="Calibri" w:cs="Calibri"/>
          <w:sz w:val="22"/>
          <w:szCs w:val="22"/>
          <w:lang w:val="fr-FR"/>
        </w:rPr>
      </w:pPr>
      <w:r w:rsidRPr="004B42B8">
        <w:rPr>
          <w:rFonts w:ascii="Calibri" w:hAnsi="Calibri"/>
          <w:sz w:val="22"/>
          <w:lang w:val="fr-FR"/>
        </w:rPr>
        <w:t>64</w:t>
      </w:r>
      <w:r w:rsidR="00A8311C" w:rsidRPr="00A8311C">
        <w:rPr>
          <w:rFonts w:ascii="Calibri" w:hAnsi="Calibri"/>
          <w:sz w:val="22"/>
          <w:vertAlign w:val="superscript"/>
          <w:lang w:val="fr-FR"/>
        </w:rPr>
        <w:t>e</w:t>
      </w:r>
      <w:r w:rsidRPr="004B42B8">
        <w:rPr>
          <w:rFonts w:ascii="Calibri" w:hAnsi="Calibri"/>
          <w:sz w:val="22"/>
          <w:lang w:val="fr-FR"/>
        </w:rPr>
        <w:t xml:space="preserve"> </w:t>
      </w:r>
      <w:r w:rsidR="004B42B8" w:rsidRPr="004B42B8">
        <w:rPr>
          <w:rFonts w:ascii="Calibri" w:hAnsi="Calibri"/>
          <w:sz w:val="22"/>
          <w:lang w:val="fr-FR"/>
        </w:rPr>
        <w:t>Réunion du Comité permanent</w:t>
      </w:r>
    </w:p>
    <w:p w14:paraId="561099A4" w14:textId="24855F9E" w:rsidR="00BC20B0" w:rsidRPr="004B42B8" w:rsidRDefault="00BC20B0" w:rsidP="00BC20B0">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Calibri" w:hAnsi="Calibri" w:cs="Calibri"/>
          <w:sz w:val="22"/>
          <w:szCs w:val="22"/>
          <w:lang w:val="fr-FR"/>
        </w:rPr>
      </w:pPr>
      <w:r w:rsidRPr="004B42B8">
        <w:rPr>
          <w:rFonts w:ascii="Calibri" w:hAnsi="Calibri"/>
          <w:sz w:val="22"/>
          <w:lang w:val="fr-FR"/>
        </w:rPr>
        <w:t>Gland, Sui</w:t>
      </w:r>
      <w:r w:rsidR="004B42B8" w:rsidRPr="004B42B8">
        <w:rPr>
          <w:rFonts w:ascii="Calibri" w:hAnsi="Calibri"/>
          <w:sz w:val="22"/>
          <w:lang w:val="fr-FR"/>
        </w:rPr>
        <w:t>sse</w:t>
      </w:r>
      <w:r w:rsidRPr="004B42B8">
        <w:rPr>
          <w:rFonts w:ascii="Calibri" w:hAnsi="Calibri"/>
          <w:sz w:val="22"/>
          <w:lang w:val="fr-FR"/>
        </w:rPr>
        <w:t>, 20 a</w:t>
      </w:r>
      <w:r w:rsidR="004B42B8" w:rsidRPr="004B42B8">
        <w:rPr>
          <w:rFonts w:ascii="Calibri" w:hAnsi="Calibri"/>
          <w:sz w:val="22"/>
          <w:lang w:val="fr-FR"/>
        </w:rPr>
        <w:t>u</w:t>
      </w:r>
      <w:r w:rsidRPr="004B42B8">
        <w:rPr>
          <w:rFonts w:ascii="Calibri" w:hAnsi="Calibri"/>
          <w:sz w:val="22"/>
          <w:lang w:val="fr-FR"/>
        </w:rPr>
        <w:t xml:space="preserve"> 24 </w:t>
      </w:r>
      <w:r w:rsidR="004B42B8">
        <w:rPr>
          <w:rFonts w:ascii="Calibri" w:hAnsi="Calibri"/>
          <w:sz w:val="22"/>
          <w:lang w:val="fr-FR"/>
        </w:rPr>
        <w:t>janvier</w:t>
      </w:r>
      <w:r w:rsidRPr="004B42B8">
        <w:rPr>
          <w:rFonts w:ascii="Calibri" w:hAnsi="Calibri"/>
          <w:sz w:val="22"/>
          <w:lang w:val="fr-FR"/>
        </w:rPr>
        <w:t xml:space="preserve"> 2025</w:t>
      </w:r>
    </w:p>
    <w:p w14:paraId="3A8AF76D" w14:textId="77777777" w:rsidR="00F30F7A" w:rsidRPr="004B42B8" w:rsidRDefault="00F30F7A" w:rsidP="00A50A41">
      <w:pPr>
        <w:jc w:val="right"/>
        <w:rPr>
          <w:sz w:val="28"/>
          <w:lang w:val="fr-FR"/>
        </w:rPr>
      </w:pPr>
    </w:p>
    <w:p w14:paraId="0068F559" w14:textId="77D79A5F" w:rsidR="00BC20B0" w:rsidRPr="00B715B3" w:rsidRDefault="00BC20B0" w:rsidP="00A50A41">
      <w:pPr>
        <w:jc w:val="right"/>
        <w:rPr>
          <w:b/>
          <w:bCs/>
          <w:sz w:val="28"/>
          <w:lang w:val="fr-FR"/>
        </w:rPr>
      </w:pPr>
      <w:r w:rsidRPr="00B715B3">
        <w:rPr>
          <w:b/>
          <w:bCs/>
          <w:sz w:val="28"/>
          <w:lang w:val="fr-FR"/>
        </w:rPr>
        <w:t>SC64 Doc.29.1</w:t>
      </w:r>
      <w:r w:rsidR="00EB17A8" w:rsidRPr="00B715B3">
        <w:rPr>
          <w:b/>
          <w:bCs/>
          <w:sz w:val="28"/>
          <w:lang w:val="fr-FR"/>
        </w:rPr>
        <w:t>0</w:t>
      </w:r>
    </w:p>
    <w:p w14:paraId="690192BC" w14:textId="77777777" w:rsidR="00BC20B0" w:rsidRPr="00B715B3" w:rsidRDefault="00BC20B0" w:rsidP="00A50A41">
      <w:pPr>
        <w:jc w:val="right"/>
        <w:rPr>
          <w:sz w:val="28"/>
          <w:lang w:val="fr-FR"/>
        </w:rPr>
      </w:pPr>
    </w:p>
    <w:p w14:paraId="6D7D4A5A" w14:textId="3A0864EB" w:rsidR="008B208E" w:rsidRPr="00033BE2" w:rsidRDefault="00033BE2" w:rsidP="00A50A41">
      <w:pPr>
        <w:jc w:val="center"/>
        <w:rPr>
          <w:b/>
          <w:bCs/>
          <w:sz w:val="28"/>
          <w:szCs w:val="28"/>
          <w:lang w:val="fr-FR"/>
        </w:rPr>
      </w:pPr>
      <w:r w:rsidRPr="00033BE2">
        <w:rPr>
          <w:rFonts w:eastAsia="Times New Roman"/>
          <w:b/>
          <w:bCs/>
          <w:sz w:val="28"/>
          <w:szCs w:val="28"/>
          <w:lang w:val="fr-FR"/>
        </w:rPr>
        <w:t>P</w:t>
      </w:r>
      <w:r w:rsidR="00C500E5">
        <w:rPr>
          <w:rFonts w:eastAsia="Times New Roman"/>
          <w:b/>
          <w:bCs/>
          <w:sz w:val="28"/>
          <w:szCs w:val="28"/>
          <w:lang w:val="fr-FR"/>
        </w:rPr>
        <w:t>roposition de p</w:t>
      </w:r>
      <w:r w:rsidRPr="00033BE2">
        <w:rPr>
          <w:rFonts w:eastAsia="Times New Roman"/>
          <w:b/>
          <w:bCs/>
          <w:sz w:val="28"/>
          <w:szCs w:val="28"/>
          <w:lang w:val="fr-FR"/>
        </w:rPr>
        <w:t xml:space="preserve">rojet de résolution </w:t>
      </w:r>
      <w:r w:rsidR="00561254">
        <w:rPr>
          <w:rFonts w:eastAsia="Times New Roman"/>
          <w:b/>
          <w:bCs/>
          <w:sz w:val="28"/>
          <w:szCs w:val="28"/>
          <w:lang w:val="fr-FR"/>
        </w:rPr>
        <w:t xml:space="preserve">sur la </w:t>
      </w:r>
      <w:r w:rsidRPr="00033BE2">
        <w:rPr>
          <w:rFonts w:eastAsia="Times New Roman"/>
          <w:b/>
          <w:bCs/>
          <w:sz w:val="28"/>
          <w:szCs w:val="28"/>
          <w:lang w:val="fr-FR"/>
        </w:rPr>
        <w:t>Reconna</w:t>
      </w:r>
      <w:r w:rsidR="00561254">
        <w:rPr>
          <w:rFonts w:eastAsia="Times New Roman"/>
          <w:b/>
          <w:bCs/>
          <w:sz w:val="28"/>
          <w:szCs w:val="28"/>
          <w:lang w:val="fr-FR"/>
        </w:rPr>
        <w:t>issance des</w:t>
      </w:r>
      <w:r w:rsidRPr="00033BE2">
        <w:rPr>
          <w:rFonts w:eastAsia="Times New Roman"/>
          <w:b/>
          <w:bCs/>
          <w:sz w:val="28"/>
          <w:szCs w:val="28"/>
          <w:lang w:val="fr-FR"/>
        </w:rPr>
        <w:t xml:space="preserve"> dauphins de rivière comme des espèces clés </w:t>
      </w:r>
      <w:bookmarkStart w:id="0" w:name="_Hlk184205381"/>
      <w:r w:rsidRPr="00033BE2">
        <w:rPr>
          <w:rFonts w:eastAsia="Times New Roman"/>
          <w:b/>
          <w:bCs/>
          <w:sz w:val="28"/>
          <w:szCs w:val="28"/>
          <w:lang w:val="fr-FR"/>
        </w:rPr>
        <w:t xml:space="preserve">pour la conservation et l’utilisation durable </w:t>
      </w:r>
      <w:r>
        <w:rPr>
          <w:rFonts w:eastAsia="Times New Roman"/>
          <w:b/>
          <w:bCs/>
          <w:sz w:val="28"/>
          <w:szCs w:val="28"/>
          <w:lang w:val="fr-FR"/>
        </w:rPr>
        <w:t>des zones humides d’Amérique du Sud et d’Asie</w:t>
      </w:r>
      <w:bookmarkEnd w:id="0"/>
    </w:p>
    <w:p w14:paraId="20EF4A75" w14:textId="14608233" w:rsidR="00F30F7A" w:rsidRPr="00033BE2" w:rsidRDefault="00F30F7A" w:rsidP="00A50A41">
      <w:pPr>
        <w:ind w:right="16"/>
        <w:jc w:val="both"/>
        <w:rPr>
          <w:rFonts w:eastAsia="Times New Roman"/>
          <w:sz w:val="22"/>
          <w:szCs w:val="22"/>
          <w:lang w:val="fr-FR"/>
        </w:rPr>
      </w:pPr>
    </w:p>
    <w:p w14:paraId="78F4F815" w14:textId="3FD89563" w:rsidR="00F30F7A" w:rsidRPr="00033BE2" w:rsidRDefault="00BC20B0" w:rsidP="00A50A41">
      <w:pPr>
        <w:ind w:right="16"/>
        <w:jc w:val="both"/>
        <w:rPr>
          <w:rFonts w:eastAsia="Times New Roman"/>
          <w:i/>
          <w:sz w:val="22"/>
          <w:szCs w:val="22"/>
          <w:lang w:val="fr-FR"/>
        </w:rPr>
      </w:pPr>
      <w:r w:rsidRPr="003F7858">
        <w:rPr>
          <w:rFonts w:cs="Arial"/>
          <w:b/>
          <w:noProof/>
          <w:lang w:val="en-CA" w:eastAsia="en-CA"/>
        </w:rPr>
        <mc:AlternateContent>
          <mc:Choice Requires="wps">
            <w:drawing>
              <wp:anchor distT="45720" distB="45720" distL="114300" distR="114300" simplePos="0" relativeHeight="251659264" behindDoc="0" locked="0" layoutInCell="1" allowOverlap="1" wp14:anchorId="32D2285F" wp14:editId="5950E435">
                <wp:simplePos x="0" y="0"/>
                <wp:positionH relativeFrom="margin">
                  <wp:posOffset>0</wp:posOffset>
                </wp:positionH>
                <wp:positionV relativeFrom="paragraph">
                  <wp:posOffset>319405</wp:posOffset>
                </wp:positionV>
                <wp:extent cx="5820410" cy="787400"/>
                <wp:effectExtent l="0" t="0" r="2794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787400"/>
                        </a:xfrm>
                        <a:prstGeom prst="rect">
                          <a:avLst/>
                        </a:prstGeom>
                        <a:solidFill>
                          <a:srgbClr val="FFFFFF"/>
                        </a:solidFill>
                        <a:ln w="9525">
                          <a:solidFill>
                            <a:srgbClr val="000000"/>
                          </a:solidFill>
                          <a:miter lim="800000"/>
                          <a:headEnd/>
                          <a:tailEnd/>
                        </a:ln>
                      </wps:spPr>
                      <wps:txbx>
                        <w:txbxContent>
                          <w:p w14:paraId="6FD360EC" w14:textId="302B9891" w:rsidR="00F30F7A" w:rsidRPr="00C1386F" w:rsidRDefault="00033BE2" w:rsidP="00F30F7A">
                            <w:pPr>
                              <w:rPr>
                                <w:rFonts w:cs="Calibri"/>
                                <w:b/>
                                <w:sz w:val="22"/>
                                <w:szCs w:val="22"/>
                                <w:lang w:val="fr-FR"/>
                              </w:rPr>
                            </w:pPr>
                            <w:r w:rsidRPr="00C1386F">
                              <w:rPr>
                                <w:rFonts w:cs="Calibri"/>
                                <w:b/>
                                <w:sz w:val="22"/>
                                <w:szCs w:val="22"/>
                                <w:lang w:val="fr-FR"/>
                              </w:rPr>
                              <w:t>Mesure requise </w:t>
                            </w:r>
                            <w:r w:rsidR="00F30F7A" w:rsidRPr="00C1386F">
                              <w:rPr>
                                <w:rFonts w:cs="Calibri"/>
                                <w:b/>
                                <w:sz w:val="22"/>
                                <w:szCs w:val="22"/>
                                <w:lang w:val="fr-FR"/>
                              </w:rPr>
                              <w:t>:</w:t>
                            </w:r>
                          </w:p>
                          <w:p w14:paraId="2D0B7F7F" w14:textId="77777777" w:rsidR="00BC20B0" w:rsidRPr="00C1386F" w:rsidRDefault="00BC20B0" w:rsidP="00F30F7A">
                            <w:pPr>
                              <w:rPr>
                                <w:rFonts w:cs="Calibri"/>
                                <w:b/>
                                <w:sz w:val="22"/>
                                <w:szCs w:val="22"/>
                                <w:lang w:val="fr-FR"/>
                              </w:rPr>
                            </w:pPr>
                          </w:p>
                          <w:p w14:paraId="1B3A3BB1" w14:textId="6DD7A0A2" w:rsidR="00F30F7A" w:rsidRPr="00C1386F" w:rsidRDefault="00C1386F" w:rsidP="00976373">
                            <w:pPr>
                              <w:widowControl w:val="0"/>
                              <w:rPr>
                                <w:sz w:val="22"/>
                                <w:szCs w:val="22"/>
                                <w:lang w:val="fr-FR"/>
                              </w:rPr>
                            </w:pPr>
                            <w:bookmarkStart w:id="1" w:name="_Hlk183618629"/>
                            <w:r w:rsidRPr="00C500E5">
                              <w:rPr>
                                <w:rFonts w:cs="Calibri"/>
                                <w:sz w:val="22"/>
                                <w:szCs w:val="22"/>
                                <w:lang w:val="fr-FR"/>
                              </w:rPr>
                              <w:t>Le Comité permanent est invité à examiner et approuver le projet de résolution ci-joint pour examen par la Conférence des Parties contractantes à sa 15</w:t>
                            </w:r>
                            <w:r w:rsidRPr="00C500E5">
                              <w:rPr>
                                <w:rFonts w:cs="Calibri"/>
                                <w:sz w:val="22"/>
                                <w:szCs w:val="22"/>
                                <w:vertAlign w:val="superscript"/>
                                <w:lang w:val="fr-FR"/>
                              </w:rPr>
                              <w:t>e</w:t>
                            </w:r>
                            <w:r w:rsidRPr="00C500E5">
                              <w:rPr>
                                <w:rFonts w:cs="Calibri"/>
                                <w:sz w:val="22"/>
                                <w:szCs w:val="22"/>
                                <w:lang w:val="fr-FR"/>
                              </w:rPr>
                              <w:t xml:space="preserve"> </w:t>
                            </w:r>
                            <w:r w:rsidR="00561254" w:rsidRPr="00C500E5">
                              <w:rPr>
                                <w:rFonts w:cs="Calibri"/>
                                <w:sz w:val="22"/>
                                <w:szCs w:val="22"/>
                                <w:lang w:val="fr-FR"/>
                              </w:rPr>
                              <w:t>Session</w:t>
                            </w:r>
                            <w:r w:rsidR="00F30F7A" w:rsidRPr="00C500E5">
                              <w:rPr>
                                <w:rFonts w:cs="Calibri"/>
                                <w:sz w:val="22"/>
                                <w:szCs w:val="22"/>
                                <w:lang w:val="fr-FR"/>
                              </w:rPr>
                              <w:t>.</w:t>
                            </w:r>
                          </w:p>
                          <w:bookmarkEnd w:i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D2285F" id="_x0000_t202" coordsize="21600,21600" o:spt="202" path="m,l,21600r21600,l21600,xe">
                <v:stroke joinstyle="miter"/>
                <v:path gradientshapeok="t" o:connecttype="rect"/>
              </v:shapetype>
              <v:shape id="Text Box 2" o:spid="_x0000_s1026" type="#_x0000_t202" style="position:absolute;left:0;text-align:left;margin-left:0;margin-top:25.15pt;width:458.3pt;height:6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">
                <v:textbox>
                  <w:txbxContent>
                    <w:p w14:paraId="6FD360EC" w14:textId="302B9891" w:rsidR="00F30F7A" w:rsidRPr="00C1386F" w:rsidRDefault="00033BE2" w:rsidP="00F30F7A">
                      <w:pPr>
                        <w:rPr>
                          <w:rFonts w:cs="Calibri"/>
                          <w:b/>
                          <w:sz w:val="22"/>
                          <w:szCs w:val="22"/>
                          <w:lang w:val="fr-FR"/>
                        </w:rPr>
                      </w:pPr>
                      <w:r w:rsidRPr="00C1386F">
                        <w:rPr>
                          <w:rFonts w:cs="Calibri"/>
                          <w:b/>
                          <w:sz w:val="22"/>
                          <w:szCs w:val="22"/>
                          <w:lang w:val="fr-FR"/>
                        </w:rPr>
                        <w:t>Mesure requise </w:t>
                      </w:r>
                      <w:r w:rsidR="00F30F7A" w:rsidRPr="00C1386F">
                        <w:rPr>
                          <w:rFonts w:cs="Calibri"/>
                          <w:b/>
                          <w:sz w:val="22"/>
                          <w:szCs w:val="22"/>
                          <w:lang w:val="fr-FR"/>
                        </w:rPr>
                        <w:t>:</w:t>
                      </w:r>
                    </w:p>
                    <w:p w14:paraId="2D0B7F7F" w14:textId="77777777" w:rsidR="00BC20B0" w:rsidRPr="00C1386F" w:rsidRDefault="00BC20B0" w:rsidP="00F30F7A">
                      <w:pPr>
                        <w:rPr>
                          <w:rFonts w:cs="Calibri"/>
                          <w:b/>
                          <w:sz w:val="22"/>
                          <w:szCs w:val="22"/>
                          <w:lang w:val="fr-FR"/>
                        </w:rPr>
                      </w:pPr>
                    </w:p>
                    <w:p w14:paraId="1B3A3BB1" w14:textId="6DD7A0A2" w:rsidR="00F30F7A" w:rsidRPr="00C1386F" w:rsidRDefault="00C1386F" w:rsidP="00976373">
                      <w:pPr>
                        <w:widowControl w:val="0"/>
                        <w:rPr>
                          <w:sz w:val="22"/>
                          <w:szCs w:val="22"/>
                          <w:lang w:val="fr-FR"/>
                        </w:rPr>
                      </w:pPr>
                      <w:bookmarkStart w:id="2" w:name="_Hlk183618629"/>
                      <w:r w:rsidRPr="00C500E5">
                        <w:rPr>
                          <w:rFonts w:cs="Calibri"/>
                          <w:sz w:val="22"/>
                          <w:szCs w:val="22"/>
                          <w:lang w:val="fr-FR"/>
                        </w:rPr>
                        <w:t>Le Comité permanent est invité à examiner et approuver le projet de résolution ci-joint pour examen par la Conférence des Parties contractantes à sa 15</w:t>
                      </w:r>
                      <w:r w:rsidRPr="00C500E5">
                        <w:rPr>
                          <w:rFonts w:cs="Calibri"/>
                          <w:sz w:val="22"/>
                          <w:szCs w:val="22"/>
                          <w:vertAlign w:val="superscript"/>
                          <w:lang w:val="fr-FR"/>
                        </w:rPr>
                        <w:t>e</w:t>
                      </w:r>
                      <w:r w:rsidRPr="00C500E5">
                        <w:rPr>
                          <w:rFonts w:cs="Calibri"/>
                          <w:sz w:val="22"/>
                          <w:szCs w:val="22"/>
                          <w:lang w:val="fr-FR"/>
                        </w:rPr>
                        <w:t xml:space="preserve"> </w:t>
                      </w:r>
                      <w:r w:rsidR="00561254" w:rsidRPr="00C500E5">
                        <w:rPr>
                          <w:rFonts w:cs="Calibri"/>
                          <w:sz w:val="22"/>
                          <w:szCs w:val="22"/>
                          <w:lang w:val="fr-FR"/>
                        </w:rPr>
                        <w:t>Session</w:t>
                      </w:r>
                      <w:r w:rsidR="00F30F7A" w:rsidRPr="00C500E5">
                        <w:rPr>
                          <w:rFonts w:cs="Calibri"/>
                          <w:sz w:val="22"/>
                          <w:szCs w:val="22"/>
                          <w:lang w:val="fr-FR"/>
                        </w:rPr>
                        <w:t>.</w:t>
                      </w:r>
                    </w:p>
                    <w:bookmarkEnd w:id="2"/>
                  </w:txbxContent>
                </v:textbox>
                <w10:wrap type="square" anchorx="margin"/>
              </v:shape>
            </w:pict>
          </mc:Fallback>
        </mc:AlternateContent>
      </w:r>
      <w:r w:rsidR="00033BE2" w:rsidRPr="00033BE2">
        <w:rPr>
          <w:rFonts w:eastAsia="Times New Roman"/>
          <w:i/>
          <w:sz w:val="22"/>
          <w:szCs w:val="22"/>
          <w:lang w:val="fr-FR"/>
        </w:rPr>
        <w:t>Soumis</w:t>
      </w:r>
      <w:r w:rsidR="000C681C">
        <w:rPr>
          <w:rFonts w:eastAsia="Times New Roman"/>
          <w:i/>
          <w:sz w:val="22"/>
          <w:szCs w:val="22"/>
          <w:lang w:val="fr-FR"/>
        </w:rPr>
        <w:t>e</w:t>
      </w:r>
      <w:r w:rsidR="00033BE2" w:rsidRPr="00033BE2">
        <w:rPr>
          <w:rFonts w:eastAsia="Times New Roman"/>
          <w:i/>
          <w:sz w:val="22"/>
          <w:szCs w:val="22"/>
          <w:lang w:val="fr-FR"/>
        </w:rPr>
        <w:t xml:space="preserve"> par la République </w:t>
      </w:r>
      <w:r w:rsidR="0026649B">
        <w:rPr>
          <w:rFonts w:eastAsia="Times New Roman"/>
          <w:i/>
          <w:sz w:val="22"/>
          <w:szCs w:val="22"/>
          <w:lang w:val="fr-FR"/>
        </w:rPr>
        <w:t>de</w:t>
      </w:r>
      <w:r w:rsidR="00033BE2" w:rsidRPr="00033BE2">
        <w:rPr>
          <w:rFonts w:eastAsia="Times New Roman"/>
          <w:i/>
          <w:sz w:val="22"/>
          <w:szCs w:val="22"/>
          <w:lang w:val="fr-FR"/>
        </w:rPr>
        <w:t xml:space="preserve"> Colombie</w:t>
      </w:r>
      <w:r w:rsidR="00FB5C87" w:rsidRPr="00033BE2">
        <w:rPr>
          <w:rFonts w:eastAsia="Times New Roman"/>
          <w:i/>
          <w:sz w:val="22"/>
          <w:szCs w:val="22"/>
          <w:lang w:val="fr-FR"/>
        </w:rPr>
        <w:t xml:space="preserve"> </w:t>
      </w:r>
    </w:p>
    <w:p w14:paraId="2E6D435B" w14:textId="77777777" w:rsidR="00F30F7A" w:rsidRDefault="00F30F7A" w:rsidP="00A50A41">
      <w:pPr>
        <w:jc w:val="both"/>
        <w:rPr>
          <w:rFonts w:cs="Arial"/>
          <w:b/>
          <w:sz w:val="20"/>
          <w:szCs w:val="20"/>
          <w:lang w:val="fr-FR"/>
        </w:rPr>
      </w:pPr>
    </w:p>
    <w:p w14:paraId="46DEA640" w14:textId="77777777" w:rsidR="00956452" w:rsidRDefault="00956452" w:rsidP="00A50A41">
      <w:pPr>
        <w:jc w:val="both"/>
        <w:rPr>
          <w:rFonts w:cs="Arial"/>
          <w:b/>
          <w:sz w:val="20"/>
          <w:szCs w:val="20"/>
          <w:lang w:val="fr-FR"/>
        </w:rPr>
      </w:pPr>
    </w:p>
    <w:p w14:paraId="59D3DED5" w14:textId="3BE48CCA" w:rsidR="00956452" w:rsidRPr="00C500E5" w:rsidRDefault="00956452" w:rsidP="00956452">
      <w:pPr>
        <w:rPr>
          <w:rFonts w:ascii="Calibri" w:eastAsiaTheme="minorEastAsia" w:hAnsi="Calibri" w:cs="Calibri"/>
          <w:i/>
          <w:iCs/>
          <w:sz w:val="22"/>
          <w:szCs w:val="22"/>
          <w:lang w:val="fr-FR" w:eastAsia="ko-KR"/>
        </w:rPr>
      </w:pPr>
      <w:bookmarkStart w:id="2" w:name="_Hlk184133263"/>
      <w:r w:rsidRPr="00C500E5">
        <w:rPr>
          <w:rFonts w:ascii="Calibri" w:eastAsiaTheme="minorEastAsia" w:hAnsi="Calibri" w:cs="Calibri"/>
          <w:i/>
          <w:iCs/>
          <w:sz w:val="22"/>
          <w:szCs w:val="22"/>
          <w:lang w:val="fr-FR" w:eastAsia="ko-KR"/>
        </w:rPr>
        <w:t xml:space="preserve">Note de couverture du Secrétariat </w:t>
      </w:r>
    </w:p>
    <w:p w14:paraId="30187329" w14:textId="77777777" w:rsidR="00956452" w:rsidRPr="003B436B" w:rsidRDefault="00956452" w:rsidP="00956452">
      <w:pPr>
        <w:rPr>
          <w:rFonts w:ascii="Calibri" w:eastAsiaTheme="minorEastAsia" w:hAnsi="Calibri" w:cs="Calibri"/>
          <w:sz w:val="22"/>
          <w:szCs w:val="22"/>
          <w:lang w:val="fr-FR" w:eastAsia="ko-KR"/>
        </w:rPr>
      </w:pPr>
    </w:p>
    <w:p w14:paraId="3506C74F" w14:textId="7159F9D1" w:rsidR="00956452" w:rsidRPr="00956452" w:rsidRDefault="00956452" w:rsidP="00956452">
      <w:pPr>
        <w:rPr>
          <w:rFonts w:ascii="Calibri" w:eastAsiaTheme="minorEastAsia" w:hAnsi="Calibri" w:cs="Calibri"/>
          <w:sz w:val="22"/>
          <w:szCs w:val="22"/>
          <w:lang w:val="fr-FR" w:eastAsia="ko-KR"/>
        </w:rPr>
      </w:pPr>
      <w:r w:rsidRPr="00956452">
        <w:rPr>
          <w:rFonts w:ascii="Calibri" w:eastAsiaTheme="minorEastAsia" w:hAnsi="Calibri" w:cs="Calibri"/>
          <w:sz w:val="22"/>
          <w:szCs w:val="22"/>
          <w:lang w:val="fr-FR" w:eastAsia="ko-KR"/>
        </w:rPr>
        <w:t>Le projet de résolution propose de reconnaître les dauphins de rivière comme des espèces clés pour la conservation et l’utilisation durable des zones humides d’Amérique du Sud et d’Asie</w:t>
      </w:r>
      <w:r w:rsidRPr="00956452">
        <w:rPr>
          <w:rFonts w:ascii="Calibri" w:hAnsi="Calibri" w:cs="Calibri"/>
          <w:sz w:val="22"/>
          <w:szCs w:val="22"/>
          <w:lang w:val="fr-FR"/>
        </w:rPr>
        <w:t>.</w:t>
      </w:r>
      <w:r w:rsidRPr="00956452">
        <w:rPr>
          <w:rFonts w:ascii="Calibri" w:hAnsi="Calibri" w:cs="Calibri"/>
          <w:b/>
          <w:bCs/>
          <w:sz w:val="22"/>
          <w:szCs w:val="22"/>
          <w:lang w:val="fr-FR"/>
        </w:rPr>
        <w:t xml:space="preserve"> </w:t>
      </w:r>
    </w:p>
    <w:p w14:paraId="6018EC40" w14:textId="77777777" w:rsidR="00956452" w:rsidRPr="00956452" w:rsidRDefault="00956452" w:rsidP="00956452">
      <w:pPr>
        <w:rPr>
          <w:rFonts w:ascii="Calibri" w:eastAsiaTheme="minorEastAsia" w:hAnsi="Calibri" w:cs="Calibri"/>
          <w:sz w:val="22"/>
          <w:szCs w:val="22"/>
          <w:lang w:val="fr-FR" w:eastAsia="ko-KR"/>
        </w:rPr>
      </w:pPr>
    </w:p>
    <w:p w14:paraId="372C4930" w14:textId="0390A7F7" w:rsidR="00956452" w:rsidRPr="003B436B" w:rsidRDefault="00956452" w:rsidP="00956452">
      <w:pPr>
        <w:rPr>
          <w:rFonts w:ascii="Calibri" w:hAnsi="Calibri" w:cs="Calibri"/>
          <w:sz w:val="22"/>
          <w:szCs w:val="22"/>
          <w:lang w:val="fr-FR"/>
        </w:rPr>
      </w:pPr>
      <w:r w:rsidRPr="00D94FB9">
        <w:rPr>
          <w:rFonts w:ascii="Calibri" w:hAnsi="Calibri" w:cs="Calibri"/>
          <w:sz w:val="22"/>
          <w:szCs w:val="22"/>
          <w:lang w:val="fr-FR"/>
        </w:rPr>
        <w:t>Le texte mentionne des efforts internationaux en</w:t>
      </w:r>
      <w:r w:rsidR="00D94FB9">
        <w:rPr>
          <w:rFonts w:ascii="Calibri" w:hAnsi="Calibri" w:cs="Calibri"/>
          <w:sz w:val="22"/>
          <w:szCs w:val="22"/>
          <w:lang w:val="fr-FR"/>
        </w:rPr>
        <w:t xml:space="preserve"> </w:t>
      </w:r>
      <w:r w:rsidRPr="00D94FB9">
        <w:rPr>
          <w:rFonts w:ascii="Calibri" w:hAnsi="Calibri" w:cs="Calibri"/>
          <w:sz w:val="22"/>
          <w:szCs w:val="22"/>
          <w:lang w:val="fr-FR"/>
        </w:rPr>
        <w:t xml:space="preserve">cours tels que des </w:t>
      </w:r>
      <w:r w:rsidR="00D94FB9" w:rsidRPr="00D94FB9">
        <w:rPr>
          <w:rFonts w:ascii="Calibri" w:hAnsi="Calibri" w:cs="Calibri"/>
          <w:sz w:val="22"/>
          <w:szCs w:val="22"/>
          <w:lang w:val="fr-FR"/>
        </w:rPr>
        <w:t>décisions</w:t>
      </w:r>
      <w:r w:rsidRPr="00D94FB9">
        <w:rPr>
          <w:rFonts w:ascii="Calibri" w:hAnsi="Calibri" w:cs="Calibri"/>
          <w:sz w:val="22"/>
          <w:szCs w:val="22"/>
          <w:lang w:val="fr-FR"/>
        </w:rPr>
        <w:t xml:space="preserve"> de justice, des résolutions des Nations Unies, le Cadre mondial de la biodiversité de Kunming-Montréal et d’autres initiatives qui servent de base à la protection </w:t>
      </w:r>
      <w:r w:rsidR="00D94FB9">
        <w:rPr>
          <w:rFonts w:ascii="Calibri" w:hAnsi="Calibri" w:cs="Calibri"/>
          <w:sz w:val="22"/>
          <w:szCs w:val="22"/>
          <w:lang w:val="fr-FR"/>
        </w:rPr>
        <w:t>d’espèces</w:t>
      </w:r>
      <w:r w:rsidRPr="00D94FB9">
        <w:rPr>
          <w:rFonts w:ascii="Calibri" w:hAnsi="Calibri" w:cs="Calibri"/>
          <w:sz w:val="22"/>
          <w:szCs w:val="22"/>
          <w:lang w:val="fr-FR"/>
        </w:rPr>
        <w:t xml:space="preserve"> rare</w:t>
      </w:r>
      <w:r w:rsidR="00D94FB9">
        <w:rPr>
          <w:rFonts w:ascii="Calibri" w:hAnsi="Calibri" w:cs="Calibri"/>
          <w:sz w:val="22"/>
          <w:szCs w:val="22"/>
          <w:lang w:val="fr-FR"/>
        </w:rPr>
        <w:t>s</w:t>
      </w:r>
      <w:r w:rsidR="003B436B">
        <w:rPr>
          <w:rFonts w:ascii="Calibri" w:hAnsi="Calibri" w:cs="Calibri"/>
          <w:sz w:val="22"/>
          <w:szCs w:val="22"/>
          <w:lang w:val="fr-FR"/>
        </w:rPr>
        <w:t xml:space="preserve">, menacées et en danger et cherchent à répondre au besoin de </w:t>
      </w:r>
      <w:r w:rsidR="003B436B" w:rsidRPr="003B436B">
        <w:rPr>
          <w:rFonts w:ascii="Calibri" w:hAnsi="Calibri" w:cs="Calibri"/>
          <w:sz w:val="22"/>
          <w:szCs w:val="22"/>
          <w:lang w:val="fr-FR"/>
        </w:rPr>
        <w:t>con</w:t>
      </w:r>
      <w:r w:rsidRPr="003B436B">
        <w:rPr>
          <w:rFonts w:ascii="Calibri" w:hAnsi="Calibri" w:cs="Calibri"/>
          <w:iCs/>
          <w:sz w:val="22"/>
          <w:szCs w:val="22"/>
          <w:lang w:val="fr-FR"/>
        </w:rPr>
        <w:t xml:space="preserve">servation </w:t>
      </w:r>
      <w:r w:rsidR="003B436B">
        <w:rPr>
          <w:rFonts w:ascii="Calibri" w:hAnsi="Calibri" w:cs="Calibri"/>
          <w:iCs/>
          <w:sz w:val="22"/>
          <w:szCs w:val="22"/>
          <w:lang w:val="fr-FR"/>
        </w:rPr>
        <w:t>de la biodiversité aquatique dans le cadre de la</w:t>
      </w:r>
      <w:r w:rsidRPr="003B436B">
        <w:rPr>
          <w:rFonts w:ascii="Calibri" w:hAnsi="Calibri" w:cs="Calibri"/>
          <w:iCs/>
          <w:sz w:val="22"/>
          <w:szCs w:val="22"/>
          <w:lang w:val="fr-FR"/>
        </w:rPr>
        <w:t xml:space="preserve"> Convention</w:t>
      </w:r>
      <w:r w:rsidR="003B436B">
        <w:rPr>
          <w:rFonts w:ascii="Calibri" w:hAnsi="Calibri" w:cs="Calibri"/>
          <w:iCs/>
          <w:sz w:val="22"/>
          <w:szCs w:val="22"/>
          <w:lang w:val="fr-FR"/>
        </w:rPr>
        <w:t xml:space="preserve">, </w:t>
      </w:r>
      <w:r w:rsidR="00106444">
        <w:rPr>
          <w:rFonts w:ascii="Calibri" w:hAnsi="Calibri" w:cs="Calibri"/>
          <w:iCs/>
          <w:sz w:val="22"/>
          <w:szCs w:val="22"/>
          <w:lang w:val="fr-FR"/>
        </w:rPr>
        <w:t xml:space="preserve">et </w:t>
      </w:r>
      <w:r w:rsidR="003B436B">
        <w:rPr>
          <w:rFonts w:ascii="Calibri" w:hAnsi="Calibri" w:cs="Calibri"/>
          <w:iCs/>
          <w:sz w:val="22"/>
          <w:szCs w:val="22"/>
          <w:lang w:val="fr-FR"/>
        </w:rPr>
        <w:t>en particulier</w:t>
      </w:r>
      <w:r w:rsidR="00106444">
        <w:rPr>
          <w:rFonts w:ascii="Calibri" w:hAnsi="Calibri" w:cs="Calibri"/>
          <w:iCs/>
          <w:sz w:val="22"/>
          <w:szCs w:val="22"/>
          <w:lang w:val="fr-FR"/>
        </w:rPr>
        <w:t>,</w:t>
      </w:r>
      <w:r w:rsidR="003B436B">
        <w:rPr>
          <w:rFonts w:ascii="Calibri" w:hAnsi="Calibri" w:cs="Calibri"/>
          <w:iCs/>
          <w:sz w:val="22"/>
          <w:szCs w:val="22"/>
          <w:lang w:val="fr-FR"/>
        </w:rPr>
        <w:t xml:space="preserve"> des mammifères aquatiques</w:t>
      </w:r>
      <w:r w:rsidR="00106444">
        <w:rPr>
          <w:rFonts w:ascii="Calibri" w:hAnsi="Calibri" w:cs="Calibri"/>
          <w:iCs/>
          <w:sz w:val="22"/>
          <w:szCs w:val="22"/>
          <w:lang w:val="fr-FR"/>
        </w:rPr>
        <w:t>,</w:t>
      </w:r>
      <w:r w:rsidR="003B436B">
        <w:rPr>
          <w:rFonts w:ascii="Calibri" w:hAnsi="Calibri" w:cs="Calibri"/>
          <w:iCs/>
          <w:sz w:val="22"/>
          <w:szCs w:val="22"/>
          <w:lang w:val="fr-FR"/>
        </w:rPr>
        <w:t xml:space="preserve"> compte tenu de leur grande valeur écologique et de leur représentativité dans les écosystèmes des zones humides</w:t>
      </w:r>
      <w:r w:rsidRPr="003B436B">
        <w:rPr>
          <w:rFonts w:ascii="Calibri" w:hAnsi="Calibri" w:cs="Calibri"/>
          <w:iCs/>
          <w:sz w:val="22"/>
          <w:szCs w:val="22"/>
          <w:lang w:val="fr-FR"/>
        </w:rPr>
        <w:t>.</w:t>
      </w:r>
      <w:r w:rsidRPr="003B436B">
        <w:rPr>
          <w:rFonts w:ascii="Calibri" w:hAnsi="Calibri" w:cs="Calibri"/>
          <w:i/>
          <w:sz w:val="22"/>
          <w:szCs w:val="22"/>
          <w:lang w:val="fr-FR"/>
        </w:rPr>
        <w:t xml:space="preserve"> </w:t>
      </w:r>
    </w:p>
    <w:p w14:paraId="39008C88" w14:textId="77777777" w:rsidR="00956452" w:rsidRPr="00B72AF7" w:rsidRDefault="00956452" w:rsidP="00956452">
      <w:pPr>
        <w:rPr>
          <w:rFonts w:ascii="Calibri" w:hAnsi="Calibri" w:cs="Calibri"/>
          <w:sz w:val="22"/>
          <w:szCs w:val="22"/>
          <w:highlight w:val="yellow"/>
          <w:lang w:val="fr-FR"/>
        </w:rPr>
      </w:pPr>
    </w:p>
    <w:p w14:paraId="651C0BEE" w14:textId="193EB76B" w:rsidR="00956452" w:rsidRPr="003B436B" w:rsidRDefault="003B436B" w:rsidP="00956452">
      <w:pPr>
        <w:rPr>
          <w:rFonts w:ascii="Calibri" w:hAnsi="Calibri" w:cs="Calibri"/>
          <w:bCs/>
          <w:sz w:val="22"/>
          <w:szCs w:val="22"/>
          <w:lang w:val="fr-FR"/>
        </w:rPr>
      </w:pPr>
      <w:r w:rsidRPr="003B436B">
        <w:rPr>
          <w:rFonts w:ascii="Calibri" w:hAnsi="Calibri" w:cs="Calibri"/>
          <w:sz w:val="22"/>
          <w:szCs w:val="22"/>
          <w:lang w:val="fr-FR"/>
        </w:rPr>
        <w:t>Le projet de résolution mentionne le troisième pilier</w:t>
      </w:r>
      <w:r w:rsidR="00956452" w:rsidRPr="003B436B">
        <w:rPr>
          <w:rFonts w:ascii="Calibri" w:hAnsi="Calibri" w:cs="Calibri"/>
          <w:sz w:val="22"/>
          <w:szCs w:val="22"/>
          <w:lang w:val="fr-FR"/>
        </w:rPr>
        <w:t xml:space="preserve"> </w:t>
      </w:r>
      <w:r w:rsidRPr="003B436B">
        <w:rPr>
          <w:rFonts w:ascii="Calibri" w:hAnsi="Calibri" w:cs="Calibri"/>
          <w:sz w:val="22"/>
          <w:szCs w:val="22"/>
          <w:lang w:val="fr-FR"/>
        </w:rPr>
        <w:t>(</w:t>
      </w:r>
      <w:r w:rsidR="00956452" w:rsidRPr="003B436B">
        <w:rPr>
          <w:rFonts w:ascii="Calibri" w:hAnsi="Calibri" w:cs="Calibri"/>
          <w:sz w:val="22"/>
          <w:szCs w:val="22"/>
          <w:lang w:val="fr-FR"/>
        </w:rPr>
        <w:t xml:space="preserve">iii) </w:t>
      </w:r>
      <w:r w:rsidRPr="003B436B">
        <w:rPr>
          <w:rFonts w:ascii="Calibri" w:hAnsi="Calibri" w:cs="Calibri"/>
          <w:sz w:val="22"/>
          <w:szCs w:val="22"/>
          <w:lang w:val="fr-FR"/>
        </w:rPr>
        <w:t>du quatrième Plan stratégique de</w:t>
      </w:r>
      <w:r>
        <w:rPr>
          <w:rFonts w:ascii="Calibri" w:hAnsi="Calibri" w:cs="Calibri"/>
          <w:sz w:val="22"/>
          <w:szCs w:val="22"/>
          <w:lang w:val="fr-FR"/>
        </w:rPr>
        <w:t xml:space="preserve"> la</w:t>
      </w:r>
      <w:r w:rsidR="00956452" w:rsidRPr="003B436B">
        <w:rPr>
          <w:rFonts w:ascii="Calibri" w:hAnsi="Calibri" w:cs="Calibri"/>
          <w:bCs/>
          <w:sz w:val="22"/>
          <w:szCs w:val="22"/>
          <w:lang w:val="fr-FR"/>
        </w:rPr>
        <w:t xml:space="preserve"> Convention (2016-2024) </w:t>
      </w:r>
      <w:r>
        <w:rPr>
          <w:rFonts w:ascii="Calibri" w:hAnsi="Calibri" w:cs="Calibri"/>
          <w:bCs/>
          <w:sz w:val="22"/>
          <w:szCs w:val="22"/>
          <w:lang w:val="fr-FR"/>
        </w:rPr>
        <w:t xml:space="preserve">portant sur la </w:t>
      </w:r>
      <w:r w:rsidRPr="003B436B">
        <w:rPr>
          <w:rFonts w:ascii="Calibri" w:hAnsi="Calibri" w:cs="Calibri"/>
          <w:bCs/>
          <w:sz w:val="22"/>
          <w:szCs w:val="22"/>
          <w:lang w:val="fr-FR"/>
        </w:rPr>
        <w:t>coopération</w:t>
      </w:r>
      <w:r w:rsidR="00956452" w:rsidRPr="003B436B">
        <w:rPr>
          <w:rFonts w:ascii="Calibri" w:hAnsi="Calibri" w:cs="Calibri"/>
          <w:bCs/>
          <w:sz w:val="22"/>
          <w:szCs w:val="22"/>
          <w:lang w:val="fr-FR"/>
        </w:rPr>
        <w:t xml:space="preserve"> </w:t>
      </w:r>
      <w:r w:rsidR="00C500E5" w:rsidRPr="00C500E5">
        <w:rPr>
          <w:rFonts w:ascii="Calibri" w:hAnsi="Calibri" w:cs="Calibri"/>
          <w:bCs/>
          <w:sz w:val="22"/>
          <w:szCs w:val="22"/>
          <w:lang w:val="fr-FR"/>
        </w:rPr>
        <w:t>internationale </w:t>
      </w:r>
      <w:r>
        <w:rPr>
          <w:rFonts w:ascii="Calibri" w:hAnsi="Calibri" w:cs="Calibri"/>
          <w:bCs/>
          <w:sz w:val="22"/>
          <w:szCs w:val="22"/>
          <w:lang w:val="fr-FR"/>
        </w:rPr>
        <w:t xml:space="preserve">relative aux </w:t>
      </w:r>
      <w:r>
        <w:rPr>
          <w:rFonts w:ascii="Calibri" w:hAnsi="Calibri" w:cs="Calibri"/>
          <w:iCs/>
          <w:sz w:val="22"/>
          <w:szCs w:val="22"/>
          <w:lang w:val="fr-FR"/>
        </w:rPr>
        <w:t>zones humides</w:t>
      </w:r>
      <w:r w:rsidR="00956452" w:rsidRPr="003B436B">
        <w:rPr>
          <w:rFonts w:ascii="Calibri" w:hAnsi="Calibri" w:cs="Calibri"/>
          <w:bCs/>
          <w:sz w:val="22"/>
          <w:szCs w:val="22"/>
          <w:lang w:val="fr-FR"/>
        </w:rPr>
        <w:t xml:space="preserve"> trans</w:t>
      </w:r>
      <w:r>
        <w:rPr>
          <w:rFonts w:ascii="Calibri" w:hAnsi="Calibri" w:cs="Calibri"/>
          <w:bCs/>
          <w:sz w:val="22"/>
          <w:szCs w:val="22"/>
          <w:lang w:val="fr-FR"/>
        </w:rPr>
        <w:t>frontières et aux espèces partagées</w:t>
      </w:r>
      <w:r w:rsidR="00956452" w:rsidRPr="003B436B">
        <w:rPr>
          <w:rFonts w:ascii="Calibri" w:hAnsi="Calibri" w:cs="Calibri"/>
          <w:bCs/>
          <w:sz w:val="22"/>
          <w:szCs w:val="22"/>
          <w:lang w:val="fr-FR"/>
        </w:rPr>
        <w:t xml:space="preserve">. </w:t>
      </w:r>
      <w:r w:rsidRPr="003B436B">
        <w:rPr>
          <w:rFonts w:ascii="Calibri" w:hAnsi="Calibri" w:cs="Calibri"/>
          <w:bCs/>
          <w:sz w:val="22"/>
          <w:szCs w:val="22"/>
          <w:lang w:val="fr-FR"/>
        </w:rPr>
        <w:t>Cette</w:t>
      </w:r>
      <w:r w:rsidR="00956452" w:rsidRPr="003B436B">
        <w:rPr>
          <w:rFonts w:ascii="Calibri" w:hAnsi="Calibri" w:cs="Calibri"/>
          <w:bCs/>
          <w:sz w:val="22"/>
          <w:szCs w:val="22"/>
          <w:lang w:val="fr-FR"/>
        </w:rPr>
        <w:t xml:space="preserve"> </w:t>
      </w:r>
      <w:r w:rsidRPr="003B436B">
        <w:rPr>
          <w:rFonts w:ascii="Calibri" w:hAnsi="Calibri" w:cs="Calibri"/>
          <w:bCs/>
          <w:sz w:val="22"/>
          <w:szCs w:val="22"/>
          <w:lang w:val="fr-FR"/>
        </w:rPr>
        <w:t>référence</w:t>
      </w:r>
      <w:r w:rsidR="00956452" w:rsidRPr="003B436B">
        <w:rPr>
          <w:rFonts w:ascii="Calibri" w:hAnsi="Calibri" w:cs="Calibri"/>
          <w:bCs/>
          <w:sz w:val="22"/>
          <w:szCs w:val="22"/>
          <w:lang w:val="fr-FR"/>
        </w:rPr>
        <w:t xml:space="preserve"> </w:t>
      </w:r>
      <w:r w:rsidRPr="003B436B">
        <w:rPr>
          <w:rFonts w:ascii="Calibri" w:hAnsi="Calibri" w:cs="Calibri"/>
          <w:bCs/>
          <w:sz w:val="22"/>
          <w:szCs w:val="22"/>
          <w:lang w:val="fr-FR"/>
        </w:rPr>
        <w:t>pourrait être actualisée à la</w:t>
      </w:r>
      <w:r w:rsidR="00956452" w:rsidRPr="003B436B">
        <w:rPr>
          <w:rFonts w:ascii="Calibri" w:hAnsi="Calibri" w:cs="Calibri"/>
          <w:bCs/>
          <w:sz w:val="22"/>
          <w:szCs w:val="22"/>
          <w:lang w:val="fr-FR"/>
        </w:rPr>
        <w:t xml:space="preserve"> COP15 </w:t>
      </w:r>
      <w:r w:rsidRPr="003B436B">
        <w:rPr>
          <w:rFonts w:ascii="Calibri" w:hAnsi="Calibri" w:cs="Calibri"/>
          <w:bCs/>
          <w:sz w:val="22"/>
          <w:szCs w:val="22"/>
          <w:lang w:val="fr-FR"/>
        </w:rPr>
        <w:t>pour refléter le texte final du</w:t>
      </w:r>
      <w:r>
        <w:rPr>
          <w:rFonts w:ascii="Calibri" w:hAnsi="Calibri" w:cs="Calibri"/>
          <w:bCs/>
          <w:sz w:val="22"/>
          <w:szCs w:val="22"/>
          <w:lang w:val="fr-FR"/>
        </w:rPr>
        <w:t xml:space="preserve"> cinquième Plan stratégique</w:t>
      </w:r>
      <w:r w:rsidR="00956452" w:rsidRPr="003B436B">
        <w:rPr>
          <w:rFonts w:ascii="Calibri" w:hAnsi="Calibri" w:cs="Calibri"/>
          <w:bCs/>
          <w:sz w:val="22"/>
          <w:szCs w:val="22"/>
          <w:lang w:val="fr-FR"/>
        </w:rPr>
        <w:t xml:space="preserve"> </w:t>
      </w:r>
      <w:r>
        <w:rPr>
          <w:rFonts w:ascii="Calibri" w:hAnsi="Calibri" w:cs="Calibri"/>
          <w:bCs/>
          <w:sz w:val="22"/>
          <w:szCs w:val="22"/>
          <w:lang w:val="fr-FR"/>
        </w:rPr>
        <w:t xml:space="preserve">qui guidera </w:t>
      </w:r>
      <w:r w:rsidR="001A76B8">
        <w:rPr>
          <w:rFonts w:ascii="Calibri" w:hAnsi="Calibri" w:cs="Calibri"/>
          <w:bCs/>
          <w:sz w:val="22"/>
          <w:szCs w:val="22"/>
          <w:lang w:val="fr-FR"/>
        </w:rPr>
        <w:t xml:space="preserve">les travaux de </w:t>
      </w:r>
      <w:r>
        <w:rPr>
          <w:rFonts w:ascii="Calibri" w:hAnsi="Calibri" w:cs="Calibri"/>
          <w:bCs/>
          <w:sz w:val="22"/>
          <w:szCs w:val="22"/>
          <w:lang w:val="fr-FR"/>
        </w:rPr>
        <w:t xml:space="preserve">la </w:t>
      </w:r>
      <w:r w:rsidR="00956452" w:rsidRPr="003B436B">
        <w:rPr>
          <w:rFonts w:ascii="Calibri" w:hAnsi="Calibri" w:cs="Calibri"/>
          <w:bCs/>
          <w:sz w:val="22"/>
          <w:szCs w:val="22"/>
          <w:lang w:val="fr-FR"/>
        </w:rPr>
        <w:t xml:space="preserve">Convention </w:t>
      </w:r>
      <w:r>
        <w:rPr>
          <w:rFonts w:ascii="Calibri" w:hAnsi="Calibri" w:cs="Calibri"/>
          <w:bCs/>
          <w:sz w:val="22"/>
          <w:szCs w:val="22"/>
          <w:lang w:val="fr-FR"/>
        </w:rPr>
        <w:t>à partir de</w:t>
      </w:r>
      <w:r w:rsidR="00956452" w:rsidRPr="003B436B">
        <w:rPr>
          <w:rFonts w:ascii="Calibri" w:hAnsi="Calibri" w:cs="Calibri"/>
          <w:bCs/>
          <w:sz w:val="22"/>
          <w:szCs w:val="22"/>
          <w:lang w:val="fr-FR"/>
        </w:rPr>
        <w:t xml:space="preserve"> 2025. </w:t>
      </w:r>
    </w:p>
    <w:p w14:paraId="00029117" w14:textId="77777777" w:rsidR="00956452" w:rsidRPr="003B436B" w:rsidRDefault="00956452" w:rsidP="00956452">
      <w:pPr>
        <w:rPr>
          <w:rFonts w:ascii="Calibri" w:hAnsi="Calibri" w:cs="Calibri"/>
          <w:bCs/>
          <w:sz w:val="22"/>
          <w:szCs w:val="22"/>
          <w:lang w:val="fr-FR"/>
        </w:rPr>
      </w:pPr>
    </w:p>
    <w:bookmarkEnd w:id="2"/>
    <w:p w14:paraId="7D84DAD8" w14:textId="4CB7B45A" w:rsidR="00956452" w:rsidRPr="003B436B" w:rsidRDefault="003B436B" w:rsidP="00956452">
      <w:pPr>
        <w:pStyle w:val="DRText"/>
        <w:rPr>
          <w:rFonts w:cs="Calibri"/>
          <w:lang w:val="fr-FR"/>
        </w:rPr>
      </w:pPr>
      <w:r w:rsidRPr="003B436B">
        <w:rPr>
          <w:rFonts w:cs="Calibri"/>
          <w:lang w:val="fr-FR"/>
        </w:rPr>
        <w:t>L</w:t>
      </w:r>
      <w:r w:rsidR="00956452" w:rsidRPr="003B436B">
        <w:rPr>
          <w:rFonts w:cs="Calibri"/>
          <w:lang w:val="fr-FR"/>
        </w:rPr>
        <w:t xml:space="preserve">e </w:t>
      </w:r>
      <w:r w:rsidRPr="003B436B">
        <w:rPr>
          <w:rFonts w:cs="Calibri"/>
          <w:lang w:val="fr-FR"/>
        </w:rPr>
        <w:t>GEST a été invit</w:t>
      </w:r>
      <w:r>
        <w:rPr>
          <w:rFonts w:cs="Calibri"/>
          <w:lang w:val="fr-FR"/>
        </w:rPr>
        <w:t>é</w:t>
      </w:r>
      <w:r w:rsidRPr="003B436B">
        <w:rPr>
          <w:rFonts w:cs="Calibri"/>
          <w:lang w:val="fr-FR"/>
        </w:rPr>
        <w:t xml:space="preserve"> à examiner le projet de ré</w:t>
      </w:r>
      <w:r w:rsidR="00956452" w:rsidRPr="003B436B">
        <w:rPr>
          <w:rFonts w:cs="Calibri"/>
          <w:lang w:val="fr-FR"/>
        </w:rPr>
        <w:t>solution.</w:t>
      </w:r>
    </w:p>
    <w:p w14:paraId="293E65CB" w14:textId="77777777" w:rsidR="00956452" w:rsidRPr="003B436B" w:rsidRDefault="00956452" w:rsidP="00A50A41">
      <w:pPr>
        <w:jc w:val="both"/>
        <w:rPr>
          <w:rFonts w:cs="Arial"/>
          <w:b/>
          <w:sz w:val="20"/>
          <w:szCs w:val="20"/>
          <w:lang w:val="fr-FR"/>
        </w:rPr>
      </w:pPr>
    </w:p>
    <w:p w14:paraId="20F1C710" w14:textId="77777777" w:rsidR="00BC20B0" w:rsidRPr="003B436B" w:rsidRDefault="00BC20B0" w:rsidP="00A50A41">
      <w:pPr>
        <w:jc w:val="both"/>
        <w:rPr>
          <w:rFonts w:cs="Arial"/>
          <w:b/>
          <w:sz w:val="20"/>
          <w:szCs w:val="20"/>
          <w:lang w:val="fr-FR"/>
        </w:rPr>
      </w:pPr>
    </w:p>
    <w:p w14:paraId="35BCB91B" w14:textId="77777777" w:rsidR="00C500E5" w:rsidRDefault="00C500E5">
      <w:pPr>
        <w:rPr>
          <w:rFonts w:ascii="Calibri" w:eastAsia="Calibri" w:hAnsi="Calibri" w:cs="Calibri"/>
          <w:b/>
          <w:lang w:val="fr-FR"/>
        </w:rPr>
      </w:pPr>
      <w:r>
        <w:rPr>
          <w:rFonts w:ascii="Calibri" w:eastAsia="Calibri" w:hAnsi="Calibri" w:cs="Calibri"/>
          <w:b/>
          <w:lang w:val="fr-FR"/>
        </w:rPr>
        <w:br w:type="page"/>
      </w:r>
    </w:p>
    <w:p w14:paraId="318FB4FD" w14:textId="3C9831D6" w:rsidR="00050042" w:rsidRPr="00050042" w:rsidRDefault="00050042" w:rsidP="00050042">
      <w:pPr>
        <w:rPr>
          <w:rFonts w:ascii="Calibri" w:eastAsia="Calibri" w:hAnsi="Calibri" w:cs="Calibri"/>
          <w:b/>
          <w:lang w:val="fr-FR"/>
        </w:rPr>
      </w:pPr>
      <w:r w:rsidRPr="00050042">
        <w:rPr>
          <w:rFonts w:ascii="Calibri" w:eastAsia="Calibri" w:hAnsi="Calibri" w:cs="Calibri"/>
          <w:b/>
          <w:lang w:val="fr-FR"/>
        </w:rPr>
        <w:lastRenderedPageBreak/>
        <w:t xml:space="preserve">Introduction </w:t>
      </w:r>
    </w:p>
    <w:p w14:paraId="711F0AE6" w14:textId="77777777" w:rsidR="00050042" w:rsidRPr="00050042" w:rsidRDefault="00050042" w:rsidP="00050042">
      <w:pPr>
        <w:rPr>
          <w:rFonts w:ascii="Calibri" w:eastAsia="Calibri" w:hAnsi="Calibri" w:cs="Calibri"/>
          <w:lang w:val="fr-FR"/>
        </w:rPr>
      </w:pPr>
    </w:p>
    <w:p w14:paraId="4EF21436" w14:textId="77777777" w:rsidR="00050042" w:rsidRPr="003D2F61" w:rsidRDefault="00050042" w:rsidP="00050042">
      <w:pPr>
        <w:rPr>
          <w:rFonts w:ascii="Calibri" w:eastAsia="Calibri" w:hAnsi="Calibri" w:cs="Calibri"/>
          <w:i/>
          <w:sz w:val="22"/>
          <w:szCs w:val="22"/>
          <w:lang w:val="fr-FR"/>
        </w:rPr>
      </w:pPr>
      <w:r w:rsidRPr="003D2F61">
        <w:rPr>
          <w:rFonts w:ascii="Calibri" w:eastAsia="Calibri" w:hAnsi="Calibri" w:cs="Calibri"/>
          <w:i/>
          <w:sz w:val="22"/>
          <w:szCs w:val="22"/>
          <w:lang w:val="fr-FR"/>
        </w:rPr>
        <w:t xml:space="preserve">Contexte, à l’intention du Comité permanent </w:t>
      </w:r>
    </w:p>
    <w:p w14:paraId="37FE42CB" w14:textId="77777777" w:rsidR="00050042" w:rsidRPr="003D2F61" w:rsidRDefault="00050042" w:rsidP="00050042">
      <w:pPr>
        <w:rPr>
          <w:rFonts w:ascii="Calibri" w:eastAsia="Calibri" w:hAnsi="Calibri" w:cs="Calibri"/>
          <w:i/>
          <w:sz w:val="22"/>
          <w:szCs w:val="22"/>
          <w:lang w:val="fr-FR"/>
        </w:rPr>
      </w:pPr>
    </w:p>
    <w:p w14:paraId="042919E9" w14:textId="09A5B050" w:rsidR="00F95A4D" w:rsidRPr="00E5257C" w:rsidRDefault="00050042" w:rsidP="00050042">
      <w:pPr>
        <w:rPr>
          <w:rFonts w:cs="Arial"/>
          <w:i/>
          <w:sz w:val="22"/>
          <w:szCs w:val="22"/>
          <w:lang w:val="fr-FR"/>
        </w:rPr>
      </w:pPr>
      <w:r w:rsidRPr="003D2F61">
        <w:rPr>
          <w:rFonts w:ascii="Calibri" w:eastAsia="Calibri" w:hAnsi="Calibri" w:cs="Calibri"/>
          <w:i/>
          <w:sz w:val="22"/>
          <w:szCs w:val="22"/>
          <w:lang w:val="fr-FR"/>
        </w:rPr>
        <w:t xml:space="preserve">Le Ministère de l’environnement et du développement durable de la Colombie a préparé ce projet de résolution </w:t>
      </w:r>
      <w:r w:rsidR="00630708" w:rsidRPr="003D2F61">
        <w:rPr>
          <w:rFonts w:ascii="Calibri" w:eastAsia="Calibri" w:hAnsi="Calibri" w:cs="Calibri"/>
          <w:i/>
          <w:sz w:val="22"/>
          <w:szCs w:val="22"/>
          <w:lang w:val="fr-FR"/>
        </w:rPr>
        <w:t>sachant</w:t>
      </w:r>
      <w:r w:rsidRPr="003D2F61">
        <w:rPr>
          <w:rFonts w:ascii="Calibri" w:eastAsia="Calibri" w:hAnsi="Calibri" w:cs="Calibri"/>
          <w:i/>
          <w:sz w:val="22"/>
          <w:szCs w:val="22"/>
          <w:lang w:val="fr-FR"/>
        </w:rPr>
        <w:t xml:space="preserve"> qu’il </w:t>
      </w:r>
      <w:r w:rsidR="00630708" w:rsidRPr="003D2F61">
        <w:rPr>
          <w:rFonts w:ascii="Calibri" w:eastAsia="Calibri" w:hAnsi="Calibri" w:cs="Calibri"/>
          <w:i/>
          <w:sz w:val="22"/>
          <w:szCs w:val="22"/>
          <w:lang w:val="fr-FR"/>
        </w:rPr>
        <w:t>est possible</w:t>
      </w:r>
      <w:r w:rsidRPr="003D2F61">
        <w:rPr>
          <w:rFonts w:ascii="Calibri" w:eastAsia="Calibri" w:hAnsi="Calibri" w:cs="Calibri"/>
          <w:i/>
          <w:sz w:val="22"/>
          <w:szCs w:val="22"/>
          <w:lang w:val="fr-FR"/>
        </w:rPr>
        <w:t xml:space="preserve">, dans le cadre de la Convention, </w:t>
      </w:r>
      <w:r w:rsidR="00630708" w:rsidRPr="003D2F61">
        <w:rPr>
          <w:rFonts w:ascii="Calibri" w:eastAsia="Calibri" w:hAnsi="Calibri" w:cs="Calibri"/>
          <w:i/>
          <w:sz w:val="22"/>
          <w:szCs w:val="22"/>
          <w:lang w:val="fr-FR"/>
        </w:rPr>
        <w:t>de répondre à la nécessité de conserver</w:t>
      </w:r>
      <w:r w:rsidRPr="003D2F61">
        <w:rPr>
          <w:rFonts w:cs="Arial"/>
          <w:i/>
          <w:sz w:val="22"/>
          <w:szCs w:val="22"/>
          <w:lang w:val="fr-FR"/>
        </w:rPr>
        <w:t xml:space="preserve"> la biodiversité aquatique et en particulier, </w:t>
      </w:r>
      <w:r w:rsidR="00630708" w:rsidRPr="003D2F61">
        <w:rPr>
          <w:rFonts w:cs="Arial"/>
          <w:i/>
          <w:sz w:val="22"/>
          <w:szCs w:val="22"/>
          <w:lang w:val="fr-FR"/>
        </w:rPr>
        <w:t>l</w:t>
      </w:r>
      <w:r w:rsidRPr="003D2F61">
        <w:rPr>
          <w:rFonts w:cs="Arial"/>
          <w:i/>
          <w:sz w:val="22"/>
          <w:szCs w:val="22"/>
          <w:lang w:val="fr-FR"/>
        </w:rPr>
        <w:t>es mammifères aquatiques</w:t>
      </w:r>
      <w:r w:rsidR="00630708" w:rsidRPr="003D2F61">
        <w:rPr>
          <w:rFonts w:cs="Arial"/>
          <w:i/>
          <w:sz w:val="22"/>
          <w:szCs w:val="22"/>
          <w:lang w:val="fr-FR"/>
        </w:rPr>
        <w:t>,</w:t>
      </w:r>
      <w:r w:rsidR="00F95A4D" w:rsidRPr="003D2F61">
        <w:rPr>
          <w:rFonts w:cs="Arial"/>
          <w:i/>
          <w:sz w:val="22"/>
          <w:szCs w:val="22"/>
          <w:lang w:val="fr-FR"/>
        </w:rPr>
        <w:t xml:space="preserve"> </w:t>
      </w:r>
      <w:r w:rsidRPr="003D2F61">
        <w:rPr>
          <w:rFonts w:cs="Arial"/>
          <w:i/>
          <w:sz w:val="22"/>
          <w:szCs w:val="22"/>
          <w:lang w:val="fr-FR"/>
        </w:rPr>
        <w:t>compte tenu de leur grande valeur écologique et de leur représentativité dans les écosystèmes des zones humides.</w:t>
      </w:r>
      <w:r w:rsidR="00F95A4D" w:rsidRPr="003D2F61">
        <w:rPr>
          <w:rFonts w:cs="Arial"/>
          <w:i/>
          <w:sz w:val="22"/>
          <w:szCs w:val="22"/>
          <w:lang w:val="fr-FR"/>
        </w:rPr>
        <w:t xml:space="preserve"> </w:t>
      </w:r>
      <w:r w:rsidR="00E5257C" w:rsidRPr="003D2F61">
        <w:rPr>
          <w:rFonts w:cs="Arial"/>
          <w:i/>
          <w:sz w:val="22"/>
          <w:szCs w:val="22"/>
          <w:lang w:val="fr-FR"/>
        </w:rPr>
        <w:t>À</w:t>
      </w:r>
      <w:r w:rsidR="00E5257C">
        <w:rPr>
          <w:rFonts w:cs="Arial"/>
          <w:i/>
          <w:sz w:val="22"/>
          <w:szCs w:val="22"/>
          <w:lang w:val="fr-FR"/>
        </w:rPr>
        <w:t xml:space="preserve"> cet égard, du 23 au 24 octobre 2023, la Colombie a organisé une réunion intitulée </w:t>
      </w:r>
      <w:r w:rsidR="00630708">
        <w:rPr>
          <w:rFonts w:cs="Arial"/>
          <w:i/>
          <w:sz w:val="22"/>
          <w:szCs w:val="22"/>
          <w:lang w:val="fr-FR"/>
        </w:rPr>
        <w:t>« </w:t>
      </w:r>
      <w:r w:rsidR="00F95A4D" w:rsidRPr="00E5257C">
        <w:rPr>
          <w:rFonts w:cs="Arial"/>
          <w:i/>
          <w:sz w:val="22"/>
          <w:szCs w:val="22"/>
          <w:lang w:val="fr-FR"/>
        </w:rPr>
        <w:t>D</w:t>
      </w:r>
      <w:r w:rsidR="007F45E8" w:rsidRPr="00E5257C">
        <w:rPr>
          <w:rFonts w:cs="Arial"/>
          <w:i/>
          <w:sz w:val="22"/>
          <w:szCs w:val="22"/>
          <w:lang w:val="fr-FR"/>
        </w:rPr>
        <w:t>é</w:t>
      </w:r>
      <w:r w:rsidR="00F95A4D" w:rsidRPr="00E5257C">
        <w:rPr>
          <w:rFonts w:cs="Arial"/>
          <w:i/>
          <w:sz w:val="22"/>
          <w:szCs w:val="22"/>
          <w:lang w:val="fr-FR"/>
        </w:rPr>
        <w:t>clara</w:t>
      </w:r>
      <w:r w:rsidR="007F45E8" w:rsidRPr="00E5257C">
        <w:rPr>
          <w:rFonts w:cs="Arial"/>
          <w:i/>
          <w:sz w:val="22"/>
          <w:szCs w:val="22"/>
          <w:lang w:val="fr-FR"/>
        </w:rPr>
        <w:t>tion mondiale pour les dauphins de rivière</w:t>
      </w:r>
      <w:r w:rsidR="00630708">
        <w:rPr>
          <w:rFonts w:cs="Arial"/>
          <w:i/>
          <w:sz w:val="22"/>
          <w:szCs w:val="22"/>
          <w:lang w:val="fr-FR"/>
        </w:rPr>
        <w:t> »</w:t>
      </w:r>
      <w:r w:rsidR="00F95A4D" w:rsidRPr="00E5257C">
        <w:rPr>
          <w:rFonts w:cs="Arial"/>
          <w:i/>
          <w:sz w:val="22"/>
          <w:szCs w:val="22"/>
          <w:lang w:val="fr-FR"/>
        </w:rPr>
        <w:t xml:space="preserve"> </w:t>
      </w:r>
      <w:r w:rsidR="00E5257C">
        <w:rPr>
          <w:rFonts w:cs="Arial"/>
          <w:i/>
          <w:sz w:val="22"/>
          <w:szCs w:val="22"/>
          <w:lang w:val="fr-FR"/>
        </w:rPr>
        <w:t>à laquelle ont assisté 14 pays d’Amérique du Sud et d’Asie qui sont des pays de l’aire de répartition de ces espèces</w:t>
      </w:r>
      <w:r w:rsidR="003D2F61">
        <w:rPr>
          <w:rFonts w:cs="Arial"/>
          <w:i/>
          <w:sz w:val="22"/>
          <w:szCs w:val="22"/>
          <w:lang w:val="fr-FR"/>
        </w:rPr>
        <w:t>, ainsi que</w:t>
      </w:r>
      <w:r w:rsidR="00E5257C">
        <w:rPr>
          <w:rFonts w:cs="Arial"/>
          <w:i/>
          <w:sz w:val="22"/>
          <w:szCs w:val="22"/>
          <w:lang w:val="fr-FR"/>
        </w:rPr>
        <w:t xml:space="preserve"> des observateurs du Secrétariat de la Convention de Ramsar, de la Convention sur les espèces migratrices, de l’ambassade du Royaume-Uni et de la Banque mondiale</w:t>
      </w:r>
      <w:r w:rsidR="003D2F61">
        <w:rPr>
          <w:rFonts w:cs="Arial"/>
          <w:i/>
          <w:sz w:val="22"/>
          <w:szCs w:val="22"/>
          <w:lang w:val="fr-FR"/>
        </w:rPr>
        <w:t>. Ils ont adopté</w:t>
      </w:r>
      <w:r w:rsidR="00E5257C">
        <w:rPr>
          <w:rFonts w:cs="Arial"/>
          <w:i/>
          <w:sz w:val="22"/>
          <w:szCs w:val="22"/>
          <w:lang w:val="fr-FR"/>
        </w:rPr>
        <w:t xml:space="preserve"> la Déclaration et recommandé de préparer un projet de résolution à l’intention de la COP15 de la Convention sur les zones humides. </w:t>
      </w:r>
      <w:r w:rsidR="004F74F5">
        <w:rPr>
          <w:rFonts w:cs="Arial"/>
          <w:i/>
          <w:sz w:val="22"/>
          <w:szCs w:val="22"/>
          <w:lang w:val="fr-FR"/>
        </w:rPr>
        <w:t xml:space="preserve">Leurs décisions ont aussi </w:t>
      </w:r>
      <w:r w:rsidR="003D2F61">
        <w:rPr>
          <w:rFonts w:cs="Arial"/>
          <w:i/>
          <w:sz w:val="22"/>
          <w:szCs w:val="22"/>
          <w:lang w:val="fr-FR"/>
        </w:rPr>
        <w:t>trouvé un écho</w:t>
      </w:r>
      <w:r w:rsidR="00561ECD">
        <w:rPr>
          <w:rFonts w:cs="Arial"/>
          <w:i/>
          <w:sz w:val="22"/>
          <w:szCs w:val="22"/>
          <w:lang w:val="fr-FR"/>
        </w:rPr>
        <w:t xml:space="preserve"> dans l’activité parallèle « La conservation des dauphins de rivière : Une initiative internationale réussie » lors de la COP16 de la CDB à Cali, en Colombie.</w:t>
      </w:r>
    </w:p>
    <w:p w14:paraId="6F13AB66" w14:textId="357338D0" w:rsidR="00F30F7A" w:rsidRPr="00E5257C" w:rsidRDefault="00F30F7A" w:rsidP="00AD0F15">
      <w:pPr>
        <w:rPr>
          <w:rFonts w:cs="Arial"/>
          <w:i/>
          <w:sz w:val="22"/>
          <w:szCs w:val="22"/>
          <w:lang w:val="fr-FR"/>
        </w:rPr>
      </w:pPr>
    </w:p>
    <w:p w14:paraId="248DC611" w14:textId="3928B39E" w:rsidR="00F30F7A" w:rsidRPr="00E5257C" w:rsidRDefault="007F45E8" w:rsidP="00AD0F15">
      <w:pPr>
        <w:rPr>
          <w:rFonts w:cs="Arial"/>
          <w:i/>
          <w:sz w:val="22"/>
          <w:szCs w:val="22"/>
          <w:lang w:val="fr-FR"/>
        </w:rPr>
      </w:pPr>
      <w:r w:rsidRPr="00E5257C">
        <w:rPr>
          <w:rFonts w:cs="Arial"/>
          <w:i/>
          <w:sz w:val="22"/>
          <w:szCs w:val="22"/>
          <w:lang w:val="fr-FR"/>
        </w:rPr>
        <w:t>Incidences financière</w:t>
      </w:r>
      <w:r w:rsidR="00E5257C">
        <w:rPr>
          <w:rFonts w:cs="Arial"/>
          <w:i/>
          <w:sz w:val="22"/>
          <w:szCs w:val="22"/>
          <w:lang w:val="fr-FR"/>
        </w:rPr>
        <w:t>s</w:t>
      </w:r>
      <w:r w:rsidRPr="00E5257C">
        <w:rPr>
          <w:rFonts w:cs="Arial"/>
          <w:i/>
          <w:sz w:val="22"/>
          <w:szCs w:val="22"/>
          <w:lang w:val="fr-FR"/>
        </w:rPr>
        <w:t xml:space="preserve"> de la mise en œuvre</w:t>
      </w:r>
    </w:p>
    <w:p w14:paraId="74E9A273" w14:textId="77777777" w:rsidR="005C172F" w:rsidRPr="00E5257C" w:rsidRDefault="005C172F" w:rsidP="00AD0F15">
      <w:pPr>
        <w:rPr>
          <w:rFonts w:cs="Arial"/>
          <w:i/>
          <w:sz w:val="22"/>
          <w:szCs w:val="22"/>
          <w:lang w:val="fr-FR"/>
        </w:rPr>
      </w:pPr>
    </w:p>
    <w:p w14:paraId="65ADB5E1" w14:textId="6D0C8640" w:rsidR="005C172F" w:rsidRPr="00E5257C" w:rsidRDefault="007F45E8" w:rsidP="00AD0F15">
      <w:pPr>
        <w:rPr>
          <w:rFonts w:cs="Arial"/>
          <w:i/>
          <w:sz w:val="22"/>
          <w:szCs w:val="22"/>
          <w:lang w:val="fr-FR"/>
        </w:rPr>
      </w:pPr>
      <w:r w:rsidRPr="00E5257C">
        <w:rPr>
          <w:rFonts w:cs="Arial"/>
          <w:i/>
          <w:sz w:val="22"/>
          <w:szCs w:val="22"/>
          <w:lang w:val="fr-FR"/>
        </w:rPr>
        <w:t>Aucune incidence de la mise en œuvre de ce projet de résolution n’est prévue</w:t>
      </w:r>
      <w:r w:rsidR="003D2F61">
        <w:rPr>
          <w:rFonts w:cs="Arial"/>
          <w:i/>
          <w:sz w:val="22"/>
          <w:szCs w:val="22"/>
          <w:lang w:val="fr-FR"/>
        </w:rPr>
        <w:t>, ni</w:t>
      </w:r>
      <w:r w:rsidRPr="00E5257C">
        <w:rPr>
          <w:rFonts w:cs="Arial"/>
          <w:i/>
          <w:sz w:val="22"/>
          <w:szCs w:val="22"/>
          <w:lang w:val="fr-FR"/>
        </w:rPr>
        <w:t xml:space="preserve"> sur le volume de travail du Secrétariat</w:t>
      </w:r>
      <w:r w:rsidR="003D2F61">
        <w:rPr>
          <w:rFonts w:cs="Arial"/>
          <w:i/>
          <w:sz w:val="22"/>
          <w:szCs w:val="22"/>
          <w:lang w:val="fr-FR"/>
        </w:rPr>
        <w:t>, ni</w:t>
      </w:r>
      <w:r w:rsidRPr="00E5257C">
        <w:rPr>
          <w:rFonts w:cs="Arial"/>
          <w:i/>
          <w:sz w:val="22"/>
          <w:szCs w:val="22"/>
          <w:lang w:val="fr-FR"/>
        </w:rPr>
        <w:t xml:space="preserve"> sur les budgets administratifs et complémentaires de la Convention</w:t>
      </w:r>
      <w:r w:rsidR="00625BE4" w:rsidRPr="00E5257C">
        <w:rPr>
          <w:rFonts w:cs="Arial"/>
          <w:i/>
          <w:sz w:val="22"/>
          <w:szCs w:val="22"/>
          <w:lang w:val="fr-FR"/>
        </w:rPr>
        <w:t>.</w:t>
      </w:r>
    </w:p>
    <w:p w14:paraId="6DF43870" w14:textId="77777777" w:rsidR="00F30F7A" w:rsidRPr="007F45E8" w:rsidRDefault="00F30F7A" w:rsidP="00A50A41">
      <w:pPr>
        <w:jc w:val="both"/>
        <w:rPr>
          <w:rFonts w:cs="Arial"/>
          <w:sz w:val="22"/>
          <w:szCs w:val="22"/>
          <w:lang w:val="fr-FR"/>
        </w:rPr>
      </w:pPr>
    </w:p>
    <w:tbl>
      <w:tblPr>
        <w:tblStyle w:val="TableGrid"/>
        <w:tblW w:w="9351" w:type="dxa"/>
        <w:tblLook w:val="04A0" w:firstRow="1" w:lastRow="0" w:firstColumn="1" w:lastColumn="0" w:noHBand="0" w:noVBand="1"/>
      </w:tblPr>
      <w:tblGrid>
        <w:gridCol w:w="2553"/>
        <w:gridCol w:w="2120"/>
        <w:gridCol w:w="2268"/>
        <w:gridCol w:w="2410"/>
      </w:tblGrid>
      <w:tr w:rsidR="007F45E8" w:rsidRPr="009D7A70" w14:paraId="28911F8B" w14:textId="77777777" w:rsidTr="00AD0F15">
        <w:tc>
          <w:tcPr>
            <w:tcW w:w="2553" w:type="dxa"/>
          </w:tcPr>
          <w:p w14:paraId="4D261EB7" w14:textId="0ABAB50A" w:rsidR="00F30F7A" w:rsidRPr="007F45E8" w:rsidRDefault="007F45E8" w:rsidP="00A50A41">
            <w:pPr>
              <w:ind w:left="0" w:firstLine="0"/>
              <w:contextualSpacing/>
              <w:jc w:val="both"/>
              <w:rPr>
                <w:rFonts w:cs="Arial"/>
                <w:lang w:val="fr-FR"/>
              </w:rPr>
            </w:pPr>
            <w:r w:rsidRPr="007F45E8">
              <w:rPr>
                <w:rFonts w:cs="Arial"/>
                <w:lang w:val="fr-FR"/>
              </w:rPr>
              <w:t>Paragraphe</w:t>
            </w:r>
            <w:r w:rsidR="00625BE4" w:rsidRPr="007F45E8">
              <w:rPr>
                <w:rFonts w:cs="Arial"/>
                <w:lang w:val="fr-FR"/>
              </w:rPr>
              <w:t xml:space="preserve"> </w:t>
            </w:r>
            <w:r w:rsidR="00F30F7A" w:rsidRPr="007F45E8">
              <w:rPr>
                <w:rFonts w:cs="Arial"/>
                <w:lang w:val="fr-FR"/>
              </w:rPr>
              <w:t>(</w:t>
            </w:r>
            <w:r w:rsidR="00EB66F3" w:rsidRPr="007F45E8">
              <w:rPr>
                <w:rFonts w:cs="Arial"/>
                <w:lang w:val="fr-FR"/>
              </w:rPr>
              <w:t>n</w:t>
            </w:r>
            <w:r w:rsidRPr="007F45E8">
              <w:rPr>
                <w:rFonts w:cs="Arial"/>
                <w:lang w:val="fr-FR"/>
              </w:rPr>
              <w:t>u</w:t>
            </w:r>
            <w:r w:rsidR="00EB66F3" w:rsidRPr="007F45E8">
              <w:rPr>
                <w:rFonts w:cs="Arial"/>
                <w:lang w:val="fr-FR"/>
              </w:rPr>
              <w:t>m</w:t>
            </w:r>
            <w:r w:rsidRPr="007F45E8">
              <w:rPr>
                <w:rFonts w:cs="Arial"/>
                <w:lang w:val="fr-FR"/>
              </w:rPr>
              <w:t>é</w:t>
            </w:r>
            <w:r w:rsidR="00EB66F3" w:rsidRPr="007F45E8">
              <w:rPr>
                <w:rFonts w:cs="Arial"/>
                <w:lang w:val="fr-FR"/>
              </w:rPr>
              <w:t>ro</w:t>
            </w:r>
            <w:r w:rsidR="00F30F7A" w:rsidRPr="007F45E8">
              <w:rPr>
                <w:rFonts w:cs="Arial"/>
                <w:lang w:val="fr-FR"/>
              </w:rPr>
              <w:t xml:space="preserve"> </w:t>
            </w:r>
            <w:r w:rsidRPr="007F45E8">
              <w:rPr>
                <w:rFonts w:cs="Arial"/>
                <w:lang w:val="fr-FR"/>
              </w:rPr>
              <w:t>et partie de texte</w:t>
            </w:r>
            <w:r w:rsidR="001350AC" w:rsidRPr="007F45E8">
              <w:rPr>
                <w:rFonts w:cs="Arial"/>
                <w:lang w:val="fr-FR"/>
              </w:rPr>
              <w:t xml:space="preserve">) </w:t>
            </w:r>
          </w:p>
        </w:tc>
        <w:tc>
          <w:tcPr>
            <w:tcW w:w="2120" w:type="dxa"/>
          </w:tcPr>
          <w:p w14:paraId="4A754066" w14:textId="2D03667D" w:rsidR="00F30F7A" w:rsidRPr="00BC20B0" w:rsidRDefault="00F30F7A" w:rsidP="00A50A41">
            <w:pPr>
              <w:ind w:left="0" w:firstLine="0"/>
              <w:contextualSpacing/>
              <w:jc w:val="both"/>
              <w:rPr>
                <w:rFonts w:cs="Arial"/>
              </w:rPr>
            </w:pPr>
            <w:r w:rsidRPr="00BC20B0">
              <w:rPr>
                <w:rFonts w:cs="Arial"/>
              </w:rPr>
              <w:t>Ac</w:t>
            </w:r>
            <w:r w:rsidR="007F45E8">
              <w:rPr>
                <w:rFonts w:cs="Arial"/>
              </w:rPr>
              <w:t>tion</w:t>
            </w:r>
            <w:r w:rsidR="00095336">
              <w:rPr>
                <w:rFonts w:cs="Arial"/>
              </w:rPr>
              <w:t xml:space="preserve"> </w:t>
            </w:r>
          </w:p>
        </w:tc>
        <w:tc>
          <w:tcPr>
            <w:tcW w:w="2268" w:type="dxa"/>
          </w:tcPr>
          <w:p w14:paraId="0F3474CE" w14:textId="7CA578E9" w:rsidR="00F30F7A" w:rsidRPr="007F45E8" w:rsidRDefault="00EE7529" w:rsidP="00A50A41">
            <w:pPr>
              <w:ind w:left="0" w:firstLine="0"/>
              <w:contextualSpacing/>
              <w:jc w:val="both"/>
              <w:rPr>
                <w:rFonts w:cs="Arial"/>
                <w:lang w:val="fr-FR"/>
              </w:rPr>
            </w:pPr>
            <w:r w:rsidRPr="007F45E8">
              <w:rPr>
                <w:rFonts w:cs="Arial"/>
                <w:lang w:val="fr-FR"/>
              </w:rPr>
              <w:t>Co</w:t>
            </w:r>
            <w:r w:rsidR="007F45E8" w:rsidRPr="007F45E8">
              <w:rPr>
                <w:rFonts w:cs="Arial"/>
                <w:lang w:val="fr-FR"/>
              </w:rPr>
              <w:t xml:space="preserve">ût pour le </w:t>
            </w:r>
            <w:r w:rsidR="007F45E8">
              <w:rPr>
                <w:rFonts w:cs="Arial"/>
                <w:lang w:val="fr-FR"/>
              </w:rPr>
              <w:t>b</w:t>
            </w:r>
            <w:r w:rsidR="007F45E8" w:rsidRPr="007F45E8">
              <w:rPr>
                <w:rFonts w:cs="Arial"/>
                <w:lang w:val="fr-FR"/>
              </w:rPr>
              <w:t>udget administratif</w:t>
            </w:r>
            <w:r w:rsidRPr="007F45E8">
              <w:rPr>
                <w:rFonts w:cs="Arial"/>
                <w:lang w:val="fr-FR"/>
              </w:rPr>
              <w:t xml:space="preserve"> </w:t>
            </w:r>
            <w:r w:rsidR="00F30F7A" w:rsidRPr="007F45E8">
              <w:rPr>
                <w:rFonts w:cs="Arial"/>
                <w:lang w:val="fr-FR"/>
              </w:rPr>
              <w:t>(CHF)</w:t>
            </w:r>
          </w:p>
        </w:tc>
        <w:tc>
          <w:tcPr>
            <w:tcW w:w="2410" w:type="dxa"/>
          </w:tcPr>
          <w:p w14:paraId="6A71BDF4" w14:textId="06D408E8" w:rsidR="00F30F7A" w:rsidRPr="007F45E8" w:rsidRDefault="007F45E8" w:rsidP="00A50A41">
            <w:pPr>
              <w:ind w:left="0" w:firstLine="0"/>
              <w:contextualSpacing/>
              <w:jc w:val="both"/>
              <w:rPr>
                <w:rFonts w:cs="Arial"/>
                <w:lang w:val="fr-FR"/>
              </w:rPr>
            </w:pPr>
            <w:r w:rsidRPr="007F45E8">
              <w:rPr>
                <w:rFonts w:cs="Arial"/>
                <w:lang w:val="fr-FR"/>
              </w:rPr>
              <w:t>Coût pour</w:t>
            </w:r>
            <w:r w:rsidR="007940BD" w:rsidRPr="007F45E8">
              <w:rPr>
                <w:rFonts w:cs="Arial"/>
                <w:lang w:val="fr-FR"/>
              </w:rPr>
              <w:t xml:space="preserve"> </w:t>
            </w:r>
            <w:r w:rsidRPr="007F45E8">
              <w:rPr>
                <w:rFonts w:cs="Arial"/>
                <w:lang w:val="fr-FR"/>
              </w:rPr>
              <w:t>les budgets complé</w:t>
            </w:r>
            <w:r>
              <w:rPr>
                <w:rFonts w:cs="Arial"/>
                <w:lang w:val="fr-FR"/>
              </w:rPr>
              <w:t>mentaires</w:t>
            </w:r>
            <w:r w:rsidR="00F30F7A" w:rsidRPr="007F45E8">
              <w:rPr>
                <w:rFonts w:cs="Arial"/>
                <w:lang w:val="fr-FR"/>
              </w:rPr>
              <w:t xml:space="preserve"> (CHF)</w:t>
            </w:r>
          </w:p>
        </w:tc>
      </w:tr>
      <w:tr w:rsidR="007F45E8" w:rsidRPr="009D7A70" w14:paraId="76E365CF" w14:textId="77777777" w:rsidTr="00AD0F15">
        <w:tc>
          <w:tcPr>
            <w:tcW w:w="2553" w:type="dxa"/>
          </w:tcPr>
          <w:p w14:paraId="6273F288" w14:textId="77777777" w:rsidR="00F30F7A" w:rsidRPr="007F45E8" w:rsidRDefault="00F30F7A" w:rsidP="00A50A41">
            <w:pPr>
              <w:ind w:left="0" w:firstLine="0"/>
              <w:contextualSpacing/>
              <w:jc w:val="both"/>
              <w:rPr>
                <w:rFonts w:cs="Arial"/>
                <w:lang w:val="fr-FR"/>
              </w:rPr>
            </w:pPr>
          </w:p>
        </w:tc>
        <w:tc>
          <w:tcPr>
            <w:tcW w:w="2120" w:type="dxa"/>
          </w:tcPr>
          <w:p w14:paraId="152C3FD9" w14:textId="77777777" w:rsidR="00F30F7A" w:rsidRPr="007F45E8" w:rsidRDefault="00F30F7A" w:rsidP="00A50A41">
            <w:pPr>
              <w:ind w:left="0" w:firstLine="0"/>
              <w:contextualSpacing/>
              <w:jc w:val="both"/>
              <w:rPr>
                <w:rFonts w:cs="Arial"/>
                <w:lang w:val="fr-FR"/>
              </w:rPr>
            </w:pPr>
          </w:p>
        </w:tc>
        <w:tc>
          <w:tcPr>
            <w:tcW w:w="2268" w:type="dxa"/>
          </w:tcPr>
          <w:p w14:paraId="5D9A25A5" w14:textId="77777777" w:rsidR="00F30F7A" w:rsidRPr="007F45E8" w:rsidRDefault="00F30F7A" w:rsidP="00A50A41">
            <w:pPr>
              <w:ind w:left="0" w:firstLine="0"/>
              <w:contextualSpacing/>
              <w:jc w:val="both"/>
              <w:rPr>
                <w:rFonts w:cs="Arial"/>
                <w:lang w:val="fr-FR"/>
              </w:rPr>
            </w:pPr>
          </w:p>
        </w:tc>
        <w:tc>
          <w:tcPr>
            <w:tcW w:w="2410" w:type="dxa"/>
          </w:tcPr>
          <w:p w14:paraId="7DA32585" w14:textId="77777777" w:rsidR="00F30F7A" w:rsidRPr="007F45E8" w:rsidRDefault="00F30F7A" w:rsidP="00A50A41">
            <w:pPr>
              <w:ind w:left="0" w:firstLine="0"/>
              <w:contextualSpacing/>
              <w:jc w:val="both"/>
              <w:rPr>
                <w:rFonts w:cs="Arial"/>
                <w:lang w:val="fr-FR"/>
              </w:rPr>
            </w:pPr>
          </w:p>
        </w:tc>
      </w:tr>
      <w:tr w:rsidR="007F45E8" w:rsidRPr="009D7A70" w14:paraId="64E22AD8" w14:textId="77777777" w:rsidTr="00AD0F15">
        <w:tc>
          <w:tcPr>
            <w:tcW w:w="2553" w:type="dxa"/>
          </w:tcPr>
          <w:p w14:paraId="0CC5B834" w14:textId="77777777" w:rsidR="00F30F7A" w:rsidRPr="007F45E8" w:rsidRDefault="00F30F7A" w:rsidP="00A50A41">
            <w:pPr>
              <w:ind w:left="0" w:firstLine="0"/>
              <w:contextualSpacing/>
              <w:jc w:val="both"/>
              <w:rPr>
                <w:rFonts w:cs="Arial"/>
                <w:lang w:val="fr-FR"/>
              </w:rPr>
            </w:pPr>
          </w:p>
        </w:tc>
        <w:tc>
          <w:tcPr>
            <w:tcW w:w="2120" w:type="dxa"/>
          </w:tcPr>
          <w:p w14:paraId="18385C10" w14:textId="77777777" w:rsidR="00F30F7A" w:rsidRPr="007F45E8" w:rsidRDefault="00F30F7A" w:rsidP="00A50A41">
            <w:pPr>
              <w:ind w:left="0" w:firstLine="0"/>
              <w:contextualSpacing/>
              <w:jc w:val="both"/>
              <w:rPr>
                <w:rFonts w:cs="Arial"/>
                <w:lang w:val="fr-FR"/>
              </w:rPr>
            </w:pPr>
          </w:p>
        </w:tc>
        <w:tc>
          <w:tcPr>
            <w:tcW w:w="2268" w:type="dxa"/>
          </w:tcPr>
          <w:p w14:paraId="45309BFE" w14:textId="77777777" w:rsidR="00F30F7A" w:rsidRPr="007F45E8" w:rsidRDefault="00F30F7A" w:rsidP="00A50A41">
            <w:pPr>
              <w:ind w:left="0" w:firstLine="0"/>
              <w:contextualSpacing/>
              <w:jc w:val="both"/>
              <w:rPr>
                <w:rFonts w:cs="Arial"/>
                <w:lang w:val="fr-FR"/>
              </w:rPr>
            </w:pPr>
          </w:p>
        </w:tc>
        <w:tc>
          <w:tcPr>
            <w:tcW w:w="2410" w:type="dxa"/>
          </w:tcPr>
          <w:p w14:paraId="74DD325E" w14:textId="77777777" w:rsidR="00F30F7A" w:rsidRPr="007F45E8" w:rsidRDefault="00F30F7A" w:rsidP="00A50A41">
            <w:pPr>
              <w:ind w:left="0" w:firstLine="0"/>
              <w:contextualSpacing/>
              <w:jc w:val="both"/>
              <w:rPr>
                <w:rFonts w:cs="Arial"/>
                <w:lang w:val="fr-FR"/>
              </w:rPr>
            </w:pPr>
          </w:p>
        </w:tc>
      </w:tr>
    </w:tbl>
    <w:p w14:paraId="5264A35A" w14:textId="77777777" w:rsidR="00AD0F15" w:rsidRPr="007F45E8" w:rsidRDefault="00AD0F15">
      <w:pPr>
        <w:rPr>
          <w:b/>
          <w:bCs/>
          <w:sz w:val="22"/>
          <w:szCs w:val="22"/>
          <w:lang w:val="fr-FR"/>
        </w:rPr>
      </w:pPr>
      <w:r w:rsidRPr="007F45E8">
        <w:rPr>
          <w:b/>
          <w:bCs/>
          <w:color w:val="2F5496" w:themeColor="accent1" w:themeShade="BF"/>
          <w:sz w:val="22"/>
          <w:szCs w:val="22"/>
          <w:lang w:val="fr-FR"/>
        </w:rPr>
        <w:br w:type="page"/>
      </w:r>
    </w:p>
    <w:p w14:paraId="3810C8C9" w14:textId="0FBF2456" w:rsidR="0004759E" w:rsidRPr="007F45E8" w:rsidRDefault="007F45E8" w:rsidP="001C126B">
      <w:pPr>
        <w:jc w:val="both"/>
        <w:rPr>
          <w:b/>
          <w:bCs/>
          <w:sz w:val="22"/>
          <w:szCs w:val="22"/>
          <w:lang w:val="fr-FR"/>
        </w:rPr>
      </w:pPr>
      <w:r w:rsidRPr="007F45E8">
        <w:rPr>
          <w:b/>
          <w:bCs/>
          <w:sz w:val="22"/>
          <w:szCs w:val="22"/>
          <w:lang w:val="fr-FR"/>
        </w:rPr>
        <w:lastRenderedPageBreak/>
        <w:t>Projet de résolution</w:t>
      </w:r>
      <w:r w:rsidR="0004759E" w:rsidRPr="007F45E8">
        <w:rPr>
          <w:b/>
          <w:bCs/>
          <w:sz w:val="22"/>
          <w:szCs w:val="22"/>
          <w:lang w:val="fr-FR"/>
        </w:rPr>
        <w:t xml:space="preserve"> </w:t>
      </w:r>
      <w:r w:rsidR="004E680B" w:rsidRPr="007F45E8">
        <w:rPr>
          <w:b/>
          <w:bCs/>
          <w:sz w:val="22"/>
          <w:szCs w:val="22"/>
          <w:lang w:val="fr-FR"/>
        </w:rPr>
        <w:t>X</w:t>
      </w:r>
      <w:r w:rsidR="002D6A80" w:rsidRPr="007F45E8">
        <w:rPr>
          <w:b/>
          <w:bCs/>
          <w:sz w:val="22"/>
          <w:szCs w:val="22"/>
          <w:lang w:val="fr-FR"/>
        </w:rPr>
        <w:t>V</w:t>
      </w:r>
      <w:r w:rsidR="0026649B">
        <w:rPr>
          <w:b/>
          <w:bCs/>
          <w:sz w:val="22"/>
          <w:szCs w:val="22"/>
          <w:lang w:val="fr-FR"/>
        </w:rPr>
        <w:t>.</w:t>
      </w:r>
      <w:r w:rsidRPr="007F45E8">
        <w:rPr>
          <w:b/>
          <w:bCs/>
          <w:sz w:val="22"/>
          <w:szCs w:val="22"/>
          <w:lang w:val="fr-FR"/>
        </w:rPr>
        <w:t xml:space="preserve"> xx</w:t>
      </w:r>
    </w:p>
    <w:p w14:paraId="76F3A161" w14:textId="77777777" w:rsidR="0004759E" w:rsidRPr="007F45E8" w:rsidRDefault="0004759E" w:rsidP="001C126B">
      <w:pPr>
        <w:jc w:val="both"/>
        <w:rPr>
          <w:sz w:val="22"/>
          <w:szCs w:val="22"/>
          <w:lang w:val="fr-FR"/>
        </w:rPr>
      </w:pPr>
    </w:p>
    <w:p w14:paraId="6CF12AEA" w14:textId="71584E75" w:rsidR="0004759E" w:rsidRPr="003D2F61" w:rsidRDefault="007F45E8" w:rsidP="001C126B">
      <w:pPr>
        <w:jc w:val="both"/>
        <w:rPr>
          <w:b/>
          <w:bCs/>
          <w:sz w:val="22"/>
          <w:szCs w:val="22"/>
          <w:lang w:val="fr-FR"/>
        </w:rPr>
      </w:pPr>
      <w:r w:rsidRPr="003D2F61">
        <w:rPr>
          <w:b/>
          <w:bCs/>
          <w:sz w:val="22"/>
          <w:szCs w:val="22"/>
          <w:lang w:val="fr-FR"/>
        </w:rPr>
        <w:t>Reconna</w:t>
      </w:r>
      <w:r w:rsidR="00561254" w:rsidRPr="003D2F61">
        <w:rPr>
          <w:b/>
          <w:bCs/>
          <w:sz w:val="22"/>
          <w:szCs w:val="22"/>
          <w:lang w:val="fr-FR"/>
        </w:rPr>
        <w:t>issance des</w:t>
      </w:r>
      <w:r w:rsidRPr="003D2F61">
        <w:rPr>
          <w:b/>
          <w:bCs/>
          <w:sz w:val="22"/>
          <w:szCs w:val="22"/>
          <w:lang w:val="fr-FR"/>
        </w:rPr>
        <w:t xml:space="preserve"> dauphins de rivière comme des espèces clés pour la conservation et l’utilisation durable des zones humides d’Amérique du Sud et d’Asie</w:t>
      </w:r>
    </w:p>
    <w:p w14:paraId="2D79BC01" w14:textId="77777777" w:rsidR="007F45E8" w:rsidRPr="003D2F61" w:rsidRDefault="007F45E8" w:rsidP="001C126B">
      <w:pPr>
        <w:jc w:val="both"/>
        <w:rPr>
          <w:sz w:val="22"/>
          <w:szCs w:val="22"/>
          <w:lang w:val="fr-FR"/>
        </w:rPr>
      </w:pPr>
    </w:p>
    <w:p w14:paraId="092253BB" w14:textId="1B9E8085" w:rsidR="0004759E" w:rsidRPr="00B715B3" w:rsidRDefault="00A50A41" w:rsidP="00A50A41">
      <w:pPr>
        <w:ind w:left="425" w:hanging="425"/>
        <w:rPr>
          <w:bCs/>
          <w:sz w:val="22"/>
          <w:szCs w:val="22"/>
          <w:lang w:val="fr-FR"/>
        </w:rPr>
      </w:pPr>
      <w:r w:rsidRPr="003D2F61">
        <w:rPr>
          <w:bCs/>
          <w:sz w:val="22"/>
          <w:szCs w:val="22"/>
          <w:lang w:val="fr-FR"/>
        </w:rPr>
        <w:t>1.</w:t>
      </w:r>
      <w:r w:rsidRPr="003D2F61">
        <w:rPr>
          <w:bCs/>
          <w:sz w:val="22"/>
          <w:szCs w:val="22"/>
          <w:lang w:val="fr-FR"/>
        </w:rPr>
        <w:tab/>
      </w:r>
      <w:r w:rsidR="00B715B3" w:rsidRPr="003D2F61">
        <w:rPr>
          <w:bCs/>
          <w:sz w:val="22"/>
          <w:szCs w:val="22"/>
          <w:lang w:val="fr-FR"/>
        </w:rPr>
        <w:t xml:space="preserve">RAPPELANT que le </w:t>
      </w:r>
      <w:r w:rsidR="00601155" w:rsidRPr="003D2F61">
        <w:rPr>
          <w:bCs/>
          <w:sz w:val="22"/>
          <w:szCs w:val="22"/>
          <w:lang w:val="fr-FR"/>
        </w:rPr>
        <w:t xml:space="preserve">quatrième </w:t>
      </w:r>
      <w:r w:rsidR="00B715B3" w:rsidRPr="003D2F61">
        <w:rPr>
          <w:bCs/>
          <w:sz w:val="22"/>
          <w:szCs w:val="22"/>
          <w:lang w:val="fr-FR"/>
        </w:rPr>
        <w:t xml:space="preserve">Plan stratégique de la Convention </w:t>
      </w:r>
      <w:r w:rsidR="0004759E" w:rsidRPr="003D2F61">
        <w:rPr>
          <w:bCs/>
          <w:sz w:val="22"/>
          <w:szCs w:val="22"/>
          <w:lang w:val="fr-FR"/>
        </w:rPr>
        <w:t>de Ramsar (20</w:t>
      </w:r>
      <w:r w:rsidR="002B26EE" w:rsidRPr="003D2F61">
        <w:rPr>
          <w:bCs/>
          <w:sz w:val="22"/>
          <w:szCs w:val="22"/>
          <w:lang w:val="fr-FR"/>
        </w:rPr>
        <w:t>16</w:t>
      </w:r>
      <w:r w:rsidR="0004759E" w:rsidRPr="003D2F61">
        <w:rPr>
          <w:bCs/>
          <w:sz w:val="22"/>
          <w:szCs w:val="22"/>
          <w:lang w:val="fr-FR"/>
        </w:rPr>
        <w:t>-202</w:t>
      </w:r>
      <w:r w:rsidR="002B26EE" w:rsidRPr="003D2F61">
        <w:rPr>
          <w:bCs/>
          <w:sz w:val="22"/>
          <w:szCs w:val="22"/>
          <w:lang w:val="fr-FR"/>
        </w:rPr>
        <w:t>4</w:t>
      </w:r>
      <w:r w:rsidR="0004759E" w:rsidRPr="003D2F61">
        <w:rPr>
          <w:bCs/>
          <w:sz w:val="22"/>
          <w:szCs w:val="22"/>
          <w:lang w:val="fr-FR"/>
        </w:rPr>
        <w:t xml:space="preserve">) </w:t>
      </w:r>
      <w:r w:rsidR="00B715B3" w:rsidRPr="003D2F61">
        <w:rPr>
          <w:bCs/>
          <w:sz w:val="22"/>
          <w:szCs w:val="22"/>
          <w:lang w:val="fr-FR"/>
        </w:rPr>
        <w:t>énonce les trois piliers de la Convention :</w:t>
      </w:r>
      <w:r w:rsidR="0004759E" w:rsidRPr="003D2F61">
        <w:rPr>
          <w:bCs/>
          <w:sz w:val="22"/>
          <w:szCs w:val="22"/>
          <w:lang w:val="fr-FR"/>
        </w:rPr>
        <w:t xml:space="preserve"> </w:t>
      </w:r>
      <w:r w:rsidR="00B715B3" w:rsidRPr="003D2F61">
        <w:rPr>
          <w:bCs/>
          <w:sz w:val="22"/>
          <w:szCs w:val="22"/>
          <w:lang w:val="fr-FR"/>
        </w:rPr>
        <w:t>i) l’utilisation rationnelle de toutes les zones humides dans le cadre de plans, de politiques et de législations, d’actions en matière de gestion et d’éducation du public au niveau national ; ii) l’inscription de zones humides appropriées sur la Liste des zones humides d’importance internationale et leur gestion durable ; et iii) la coopération internationale pour les zones humides transfrontières et les espèces partagées </w:t>
      </w:r>
      <w:r w:rsidR="00D90F1F" w:rsidRPr="003D2F61">
        <w:rPr>
          <w:bCs/>
          <w:sz w:val="22"/>
          <w:szCs w:val="22"/>
          <w:lang w:val="fr-FR"/>
        </w:rPr>
        <w:t>;</w:t>
      </w:r>
      <w:r w:rsidR="009B2546" w:rsidRPr="00B715B3">
        <w:rPr>
          <w:bCs/>
          <w:sz w:val="22"/>
          <w:szCs w:val="22"/>
          <w:lang w:val="fr-FR"/>
        </w:rPr>
        <w:t xml:space="preserve"> </w:t>
      </w:r>
    </w:p>
    <w:p w14:paraId="04F2DF11" w14:textId="77777777" w:rsidR="0004759E" w:rsidRPr="00B715B3" w:rsidRDefault="0004759E" w:rsidP="00A50A41">
      <w:pPr>
        <w:rPr>
          <w:bCs/>
          <w:sz w:val="22"/>
          <w:szCs w:val="22"/>
          <w:lang w:val="fr-FR"/>
        </w:rPr>
      </w:pPr>
    </w:p>
    <w:p w14:paraId="74643024" w14:textId="36C6A43B" w:rsidR="0004759E" w:rsidRPr="00E5257C" w:rsidRDefault="009050DB" w:rsidP="00A50A41">
      <w:pPr>
        <w:ind w:left="425" w:hanging="425"/>
        <w:rPr>
          <w:bCs/>
          <w:sz w:val="22"/>
          <w:szCs w:val="22"/>
          <w:lang w:val="fr-FR"/>
        </w:rPr>
      </w:pPr>
      <w:r w:rsidRPr="00E5257C">
        <w:rPr>
          <w:bCs/>
          <w:sz w:val="22"/>
          <w:szCs w:val="22"/>
          <w:lang w:val="fr-FR"/>
        </w:rPr>
        <w:t>2.</w:t>
      </w:r>
      <w:r w:rsidR="00A50A41" w:rsidRPr="00E5257C">
        <w:rPr>
          <w:bCs/>
          <w:sz w:val="22"/>
          <w:szCs w:val="22"/>
          <w:lang w:val="fr-FR"/>
        </w:rPr>
        <w:tab/>
      </w:r>
      <w:r w:rsidRPr="00E5257C">
        <w:rPr>
          <w:bCs/>
          <w:sz w:val="22"/>
          <w:szCs w:val="22"/>
          <w:lang w:val="fr-FR"/>
        </w:rPr>
        <w:t>RECON</w:t>
      </w:r>
      <w:r w:rsidR="00B8048A">
        <w:rPr>
          <w:bCs/>
          <w:sz w:val="22"/>
          <w:szCs w:val="22"/>
          <w:lang w:val="fr-FR"/>
        </w:rPr>
        <w:t xml:space="preserve">NAISSANT que le réseau de Sites Ramsar et la gestion efficace de ces sites ainsi que, plus généralement, l’utilisation rationnelle des autres zones humides </w:t>
      </w:r>
      <w:r w:rsidR="005053F3">
        <w:rPr>
          <w:bCs/>
          <w:sz w:val="22"/>
          <w:szCs w:val="22"/>
          <w:lang w:val="fr-FR"/>
        </w:rPr>
        <w:t>de la planète</w:t>
      </w:r>
      <w:r w:rsidR="00B8048A">
        <w:rPr>
          <w:bCs/>
          <w:sz w:val="22"/>
          <w:szCs w:val="22"/>
          <w:lang w:val="fr-FR"/>
        </w:rPr>
        <w:t xml:space="preserve"> représentent une contribution essentielle non seulement pour les travaux de la Convention sur la diversité biologique (CDB) mais aussi pour ceux d’autres accords multilatéraux sur l’environnement comme la Convention sur les espèces migratrices (CMS), la Convention-cadre des Nations Unies sur les changements climatiques (CCNUCC), la Convention des Nations Unies sur la lutte contre la désertification </w:t>
      </w:r>
      <w:r w:rsidR="00B8048A" w:rsidRPr="009D1600">
        <w:rPr>
          <w:bCs/>
          <w:sz w:val="22"/>
          <w:szCs w:val="22"/>
          <w:lang w:val="fr-FR"/>
        </w:rPr>
        <w:t>(</w:t>
      </w:r>
      <w:r w:rsidR="00D8472B" w:rsidRPr="009D1600">
        <w:rPr>
          <w:bCs/>
          <w:sz w:val="22"/>
          <w:szCs w:val="22"/>
          <w:lang w:val="fr-FR"/>
        </w:rPr>
        <w:t>CNU</w:t>
      </w:r>
      <w:r w:rsidR="00B8048A" w:rsidRPr="009D1600">
        <w:rPr>
          <w:bCs/>
          <w:sz w:val="22"/>
          <w:szCs w:val="22"/>
          <w:lang w:val="fr-FR"/>
        </w:rPr>
        <w:t>L</w:t>
      </w:r>
      <w:r w:rsidR="009D1600" w:rsidRPr="009D1600">
        <w:rPr>
          <w:bCs/>
          <w:sz w:val="22"/>
          <w:szCs w:val="22"/>
          <w:lang w:val="fr-FR"/>
        </w:rPr>
        <w:t>C</w:t>
      </w:r>
      <w:r w:rsidR="00B8048A" w:rsidRPr="009D1600">
        <w:rPr>
          <w:bCs/>
          <w:sz w:val="22"/>
          <w:szCs w:val="22"/>
          <w:lang w:val="fr-FR"/>
        </w:rPr>
        <w:t>D)</w:t>
      </w:r>
      <w:r w:rsidR="00D8472B">
        <w:rPr>
          <w:bCs/>
          <w:sz w:val="22"/>
          <w:szCs w:val="22"/>
          <w:lang w:val="fr-FR"/>
        </w:rPr>
        <w:t xml:space="preserve"> et les conventions relatives à l’eau</w:t>
      </w:r>
      <w:r w:rsidR="005053F3">
        <w:rPr>
          <w:bCs/>
          <w:sz w:val="22"/>
          <w:szCs w:val="22"/>
          <w:lang w:val="fr-FR"/>
        </w:rPr>
        <w:t>,</w:t>
      </w:r>
      <w:r w:rsidR="00D8472B">
        <w:rPr>
          <w:bCs/>
          <w:sz w:val="22"/>
          <w:szCs w:val="22"/>
          <w:lang w:val="fr-FR"/>
        </w:rPr>
        <w:t xml:space="preserve"> la Convention sur le commerce international des espèces de faune et de flore sauvages menacées d’extinction (CITES) ainsi que </w:t>
      </w:r>
      <w:r w:rsidR="005053F3">
        <w:rPr>
          <w:bCs/>
          <w:sz w:val="22"/>
          <w:szCs w:val="22"/>
          <w:lang w:val="fr-FR"/>
        </w:rPr>
        <w:t xml:space="preserve">pour </w:t>
      </w:r>
      <w:r w:rsidR="00D8472B">
        <w:rPr>
          <w:bCs/>
          <w:sz w:val="22"/>
          <w:szCs w:val="22"/>
          <w:lang w:val="fr-FR"/>
        </w:rPr>
        <w:t>la coopération entre les régions ;</w:t>
      </w:r>
      <w:r w:rsidR="00095336">
        <w:rPr>
          <w:bCs/>
          <w:sz w:val="22"/>
          <w:szCs w:val="22"/>
          <w:lang w:val="fr-FR"/>
        </w:rPr>
        <w:t xml:space="preserve"> </w:t>
      </w:r>
      <w:r w:rsidR="00B8048A">
        <w:rPr>
          <w:bCs/>
          <w:sz w:val="22"/>
          <w:szCs w:val="22"/>
          <w:lang w:val="fr-FR"/>
        </w:rPr>
        <w:t xml:space="preserve"> </w:t>
      </w:r>
    </w:p>
    <w:p w14:paraId="02FF3CA2" w14:textId="77777777" w:rsidR="00843A5E" w:rsidRPr="00E5257C" w:rsidRDefault="00843A5E" w:rsidP="00A50A41">
      <w:pPr>
        <w:ind w:left="425" w:hanging="425"/>
        <w:rPr>
          <w:bCs/>
          <w:sz w:val="22"/>
          <w:szCs w:val="22"/>
          <w:lang w:val="fr-FR"/>
        </w:rPr>
      </w:pPr>
    </w:p>
    <w:p w14:paraId="3E3022CD" w14:textId="4CC56FC4" w:rsidR="000D16A1" w:rsidRPr="00E5257C" w:rsidRDefault="009050DB" w:rsidP="00A50A41">
      <w:pPr>
        <w:ind w:left="425" w:hanging="425"/>
        <w:rPr>
          <w:bCs/>
          <w:sz w:val="22"/>
          <w:szCs w:val="22"/>
          <w:lang w:val="fr-FR"/>
        </w:rPr>
      </w:pPr>
      <w:r w:rsidRPr="00E5257C">
        <w:rPr>
          <w:bCs/>
          <w:sz w:val="22"/>
          <w:szCs w:val="22"/>
          <w:lang w:val="fr-FR"/>
        </w:rPr>
        <w:t>3.</w:t>
      </w:r>
      <w:r w:rsidR="00A50A41" w:rsidRPr="00E5257C">
        <w:rPr>
          <w:bCs/>
          <w:sz w:val="22"/>
          <w:szCs w:val="22"/>
          <w:lang w:val="fr-FR"/>
        </w:rPr>
        <w:tab/>
      </w:r>
      <w:r w:rsidR="00784737">
        <w:rPr>
          <w:bCs/>
          <w:sz w:val="22"/>
          <w:szCs w:val="22"/>
          <w:lang w:val="fr-FR"/>
        </w:rPr>
        <w:t>RAPPELANT que l’Initiative régionale Ramsar pour la conservation et l’utilisation durable des zones humides du bassin de l’Amazone dont font partie la Bolivie, le Brésil, la Colombie, l’Équateur, le Pérou, le Suriname et le Venezuela, comprend 23 Sites Ramsar et encourage la création de corridors favorisant la connectivité écologique entre les zones humides du bassin de l’Amazone ainsi que la protection, la conservation et la restauration des habitats d’espèces telles que le</w:t>
      </w:r>
      <w:r w:rsidR="00BE19BA">
        <w:rPr>
          <w:bCs/>
          <w:sz w:val="22"/>
          <w:szCs w:val="22"/>
          <w:lang w:val="fr-FR"/>
        </w:rPr>
        <w:t>s</w:t>
      </w:r>
      <w:r w:rsidR="00784737">
        <w:rPr>
          <w:bCs/>
          <w:sz w:val="22"/>
          <w:szCs w:val="22"/>
          <w:lang w:val="fr-FR"/>
        </w:rPr>
        <w:t xml:space="preserve"> dauphin</w:t>
      </w:r>
      <w:r w:rsidR="00BE19BA">
        <w:rPr>
          <w:bCs/>
          <w:sz w:val="22"/>
          <w:szCs w:val="22"/>
          <w:lang w:val="fr-FR"/>
        </w:rPr>
        <w:t>s</w:t>
      </w:r>
      <w:r w:rsidR="00784737">
        <w:rPr>
          <w:bCs/>
          <w:sz w:val="22"/>
          <w:szCs w:val="22"/>
          <w:lang w:val="fr-FR"/>
        </w:rPr>
        <w:t xml:space="preserve"> de rivière ;</w:t>
      </w:r>
    </w:p>
    <w:p w14:paraId="0B7C0F76" w14:textId="77777777" w:rsidR="009B73B2" w:rsidRPr="00E5257C" w:rsidRDefault="009B73B2" w:rsidP="00A50A41">
      <w:pPr>
        <w:ind w:left="425" w:hanging="425"/>
        <w:rPr>
          <w:bCs/>
          <w:sz w:val="22"/>
          <w:szCs w:val="22"/>
          <w:lang w:val="fr-FR"/>
        </w:rPr>
      </w:pPr>
    </w:p>
    <w:p w14:paraId="271C7907" w14:textId="0052284F" w:rsidR="009A0284" w:rsidRPr="00E5257C" w:rsidRDefault="00AD0678" w:rsidP="00A50A41">
      <w:pPr>
        <w:ind w:left="425" w:hanging="425"/>
        <w:rPr>
          <w:bCs/>
          <w:sz w:val="22"/>
          <w:szCs w:val="22"/>
          <w:lang w:val="fr-FR"/>
        </w:rPr>
      </w:pPr>
      <w:r w:rsidRPr="00E5257C">
        <w:rPr>
          <w:bCs/>
          <w:sz w:val="22"/>
          <w:szCs w:val="22"/>
          <w:lang w:val="fr-FR"/>
        </w:rPr>
        <w:t>4.</w:t>
      </w:r>
      <w:r w:rsidR="00A50A41" w:rsidRPr="00E5257C">
        <w:rPr>
          <w:bCs/>
          <w:sz w:val="22"/>
          <w:szCs w:val="22"/>
          <w:lang w:val="fr-FR"/>
        </w:rPr>
        <w:tab/>
      </w:r>
      <w:r w:rsidRPr="00E5257C">
        <w:rPr>
          <w:bCs/>
          <w:sz w:val="22"/>
          <w:szCs w:val="22"/>
          <w:lang w:val="fr-FR"/>
        </w:rPr>
        <w:t>RECON</w:t>
      </w:r>
      <w:r w:rsidR="00784737">
        <w:rPr>
          <w:bCs/>
          <w:sz w:val="22"/>
          <w:szCs w:val="22"/>
          <w:lang w:val="fr-FR"/>
        </w:rPr>
        <w:t>NAISSANT que la coordination de plateformes de coopération ou la participation à ces plateformes (à l’échelle de sites, de villes, de bassins hydrographiques, lacustres et d’eaux souterraines, de pays, de régions et de la planète) peut encourager la mise en application de mesures de gestion pour les dauphins de rivière qui vivent dans les fleuves et les zones humides d’Asie et d’Amérique du Sud ;</w:t>
      </w:r>
    </w:p>
    <w:p w14:paraId="053B7EA7" w14:textId="77777777" w:rsidR="0004759E" w:rsidRPr="00E5257C" w:rsidRDefault="0004759E" w:rsidP="00A50A41">
      <w:pPr>
        <w:ind w:left="425" w:hanging="425"/>
        <w:rPr>
          <w:bCs/>
          <w:sz w:val="22"/>
          <w:szCs w:val="22"/>
          <w:lang w:val="fr-FR"/>
        </w:rPr>
      </w:pPr>
    </w:p>
    <w:p w14:paraId="7A23ABC5" w14:textId="7EE74C8E" w:rsidR="0004759E" w:rsidRPr="00E5257C" w:rsidRDefault="007940BD" w:rsidP="00A50A41">
      <w:pPr>
        <w:ind w:left="425" w:hanging="425"/>
        <w:rPr>
          <w:bCs/>
          <w:sz w:val="22"/>
          <w:szCs w:val="22"/>
          <w:lang w:val="fr-FR"/>
        </w:rPr>
      </w:pPr>
      <w:r w:rsidRPr="00E5257C">
        <w:rPr>
          <w:bCs/>
          <w:sz w:val="22"/>
          <w:szCs w:val="22"/>
          <w:lang w:val="fr-FR"/>
        </w:rPr>
        <w:t>5</w:t>
      </w:r>
      <w:r w:rsidR="003C5A21" w:rsidRPr="00E5257C">
        <w:rPr>
          <w:bCs/>
          <w:sz w:val="22"/>
          <w:szCs w:val="22"/>
          <w:lang w:val="fr-FR"/>
        </w:rPr>
        <w:t>.</w:t>
      </w:r>
      <w:r w:rsidR="00A50A41" w:rsidRPr="00E5257C">
        <w:rPr>
          <w:bCs/>
          <w:sz w:val="22"/>
          <w:szCs w:val="22"/>
          <w:lang w:val="fr-FR"/>
        </w:rPr>
        <w:tab/>
      </w:r>
      <w:r w:rsidR="00784737">
        <w:rPr>
          <w:bCs/>
          <w:sz w:val="22"/>
          <w:szCs w:val="22"/>
          <w:lang w:val="fr-FR"/>
        </w:rPr>
        <w:t xml:space="preserve">RAPPELANT que la Convention de Ramsar est </w:t>
      </w:r>
      <w:r w:rsidR="00DC312A">
        <w:rPr>
          <w:bCs/>
          <w:sz w:val="22"/>
          <w:szCs w:val="22"/>
          <w:lang w:val="fr-FR"/>
        </w:rPr>
        <w:t>chef de file</w:t>
      </w:r>
      <w:r w:rsidR="00784737">
        <w:rPr>
          <w:bCs/>
          <w:sz w:val="22"/>
          <w:szCs w:val="22"/>
          <w:lang w:val="fr-FR"/>
        </w:rPr>
        <w:t xml:space="preserve"> </w:t>
      </w:r>
      <w:r w:rsidR="00197551">
        <w:rPr>
          <w:bCs/>
          <w:sz w:val="22"/>
          <w:szCs w:val="22"/>
          <w:lang w:val="fr-FR"/>
        </w:rPr>
        <w:t>pour</w:t>
      </w:r>
      <w:r w:rsidR="00784737">
        <w:rPr>
          <w:bCs/>
          <w:sz w:val="22"/>
          <w:szCs w:val="22"/>
          <w:lang w:val="fr-FR"/>
        </w:rPr>
        <w:t xml:space="preserve"> la coopération </w:t>
      </w:r>
      <w:r w:rsidR="00197551">
        <w:rPr>
          <w:bCs/>
          <w:sz w:val="22"/>
          <w:szCs w:val="22"/>
          <w:lang w:val="fr-FR"/>
        </w:rPr>
        <w:t>concernant</w:t>
      </w:r>
      <w:r w:rsidR="001D66DB">
        <w:rPr>
          <w:bCs/>
          <w:sz w:val="22"/>
          <w:szCs w:val="22"/>
          <w:lang w:val="fr-FR"/>
        </w:rPr>
        <w:t xml:space="preserve"> les activités relatives aux zones humides dans le cadre de la CDB</w:t>
      </w:r>
      <w:r w:rsidR="00DC312A">
        <w:rPr>
          <w:bCs/>
          <w:sz w:val="22"/>
          <w:szCs w:val="22"/>
          <w:lang w:val="fr-FR"/>
        </w:rPr>
        <w:t>,</w:t>
      </w:r>
      <w:r w:rsidR="001D66DB">
        <w:rPr>
          <w:bCs/>
          <w:sz w:val="22"/>
          <w:szCs w:val="22"/>
          <w:lang w:val="fr-FR"/>
        </w:rPr>
        <w:t xml:space="preserve"> </w:t>
      </w:r>
      <w:r w:rsidR="001D66DB" w:rsidRPr="0026649B">
        <w:rPr>
          <w:bCs/>
          <w:sz w:val="22"/>
          <w:szCs w:val="22"/>
          <w:lang w:val="fr-FR"/>
        </w:rPr>
        <w:t xml:space="preserve">responsable </w:t>
      </w:r>
      <w:r w:rsidR="00197551" w:rsidRPr="0026649B">
        <w:rPr>
          <w:bCs/>
          <w:sz w:val="22"/>
          <w:szCs w:val="22"/>
          <w:lang w:val="fr-FR"/>
        </w:rPr>
        <w:t>de</w:t>
      </w:r>
      <w:r w:rsidR="001D66DB" w:rsidRPr="0026649B">
        <w:rPr>
          <w:bCs/>
          <w:sz w:val="22"/>
          <w:szCs w:val="22"/>
          <w:lang w:val="fr-FR"/>
        </w:rPr>
        <w:t xml:space="preserve"> l’apport de conseils et d’orientations politiques, techniques et scientifiques </w:t>
      </w:r>
      <w:r w:rsidR="00DC312A" w:rsidRPr="0026649B">
        <w:rPr>
          <w:bCs/>
          <w:sz w:val="22"/>
          <w:szCs w:val="22"/>
          <w:lang w:val="fr-FR"/>
        </w:rPr>
        <w:t>à</w:t>
      </w:r>
      <w:r w:rsidR="001D66DB" w:rsidRPr="0026649B">
        <w:rPr>
          <w:bCs/>
          <w:sz w:val="22"/>
          <w:szCs w:val="22"/>
          <w:lang w:val="fr-FR"/>
        </w:rPr>
        <w:t xml:space="preserve"> cette </w:t>
      </w:r>
      <w:r w:rsidR="00197551" w:rsidRPr="0026649B">
        <w:rPr>
          <w:bCs/>
          <w:sz w:val="22"/>
          <w:szCs w:val="22"/>
          <w:lang w:val="fr-FR"/>
        </w:rPr>
        <w:t>C</w:t>
      </w:r>
      <w:r w:rsidR="001D66DB" w:rsidRPr="0026649B">
        <w:rPr>
          <w:bCs/>
          <w:sz w:val="22"/>
          <w:szCs w:val="22"/>
          <w:lang w:val="fr-FR"/>
        </w:rPr>
        <w:t xml:space="preserve">onvention et </w:t>
      </w:r>
      <w:r w:rsidR="00197551" w:rsidRPr="0026649B">
        <w:rPr>
          <w:bCs/>
          <w:sz w:val="22"/>
          <w:szCs w:val="22"/>
          <w:lang w:val="fr-FR"/>
        </w:rPr>
        <w:t>du renforcement de</w:t>
      </w:r>
      <w:r w:rsidR="001D66DB" w:rsidRPr="0026649B">
        <w:rPr>
          <w:bCs/>
          <w:sz w:val="22"/>
          <w:szCs w:val="22"/>
          <w:lang w:val="fr-FR"/>
        </w:rPr>
        <w:t xml:space="preserve"> la coopération entre les deux </w:t>
      </w:r>
      <w:r w:rsidR="00197551" w:rsidRPr="0026649B">
        <w:rPr>
          <w:bCs/>
          <w:sz w:val="22"/>
          <w:szCs w:val="22"/>
          <w:lang w:val="fr-FR"/>
        </w:rPr>
        <w:t>C</w:t>
      </w:r>
      <w:r w:rsidR="001D66DB" w:rsidRPr="0026649B">
        <w:rPr>
          <w:bCs/>
          <w:sz w:val="22"/>
          <w:szCs w:val="22"/>
          <w:lang w:val="fr-FR"/>
        </w:rPr>
        <w:t>onventions à tous les niveaux ;</w:t>
      </w:r>
    </w:p>
    <w:p w14:paraId="45819901" w14:textId="4B402DF4" w:rsidR="0004759E" w:rsidRPr="00E5257C" w:rsidRDefault="0004759E" w:rsidP="00A50A41">
      <w:pPr>
        <w:rPr>
          <w:bCs/>
          <w:sz w:val="22"/>
          <w:szCs w:val="22"/>
          <w:lang w:val="fr-FR"/>
        </w:rPr>
      </w:pPr>
    </w:p>
    <w:p w14:paraId="17D79F8C" w14:textId="2A89F02A" w:rsidR="0004759E" w:rsidRPr="00E5257C" w:rsidRDefault="007940BD" w:rsidP="00A50A41">
      <w:pPr>
        <w:ind w:left="425" w:hanging="425"/>
        <w:rPr>
          <w:bCs/>
          <w:sz w:val="22"/>
          <w:szCs w:val="22"/>
          <w:lang w:val="fr-FR"/>
        </w:rPr>
      </w:pPr>
      <w:r w:rsidRPr="00E5257C">
        <w:rPr>
          <w:bCs/>
          <w:sz w:val="22"/>
          <w:szCs w:val="22"/>
          <w:lang w:val="fr-FR"/>
        </w:rPr>
        <w:t>6</w:t>
      </w:r>
      <w:r w:rsidR="00E86536" w:rsidRPr="00E5257C">
        <w:rPr>
          <w:bCs/>
          <w:sz w:val="22"/>
          <w:szCs w:val="22"/>
          <w:lang w:val="fr-FR"/>
        </w:rPr>
        <w:t>.</w:t>
      </w:r>
      <w:r w:rsidR="00A50A41" w:rsidRPr="00E5257C">
        <w:rPr>
          <w:bCs/>
          <w:sz w:val="22"/>
          <w:szCs w:val="22"/>
          <w:lang w:val="fr-FR"/>
        </w:rPr>
        <w:tab/>
      </w:r>
      <w:r w:rsidR="00601155">
        <w:rPr>
          <w:bCs/>
          <w:sz w:val="22"/>
          <w:szCs w:val="22"/>
          <w:lang w:val="fr-FR"/>
        </w:rPr>
        <w:t xml:space="preserve">SOULIGNANT que </w:t>
      </w:r>
      <w:r w:rsidR="00FD5E20">
        <w:rPr>
          <w:bCs/>
          <w:sz w:val="22"/>
          <w:szCs w:val="22"/>
          <w:lang w:val="fr-FR"/>
        </w:rPr>
        <w:t xml:space="preserve">selon </w:t>
      </w:r>
      <w:r w:rsidR="00601155">
        <w:rPr>
          <w:bCs/>
          <w:sz w:val="22"/>
          <w:szCs w:val="22"/>
          <w:lang w:val="fr-FR"/>
        </w:rPr>
        <w:t xml:space="preserve">le quatrième </w:t>
      </w:r>
      <w:r w:rsidR="00FD5E20" w:rsidRPr="00FD5E20">
        <w:rPr>
          <w:bCs/>
          <w:sz w:val="22"/>
          <w:szCs w:val="22"/>
          <w:lang w:val="fr-FR"/>
        </w:rPr>
        <w:t xml:space="preserve">Plan stratégique Ramsar, ses quatre </w:t>
      </w:r>
      <w:r w:rsidR="00FD5E20">
        <w:rPr>
          <w:bCs/>
          <w:sz w:val="22"/>
          <w:szCs w:val="22"/>
          <w:lang w:val="fr-FR"/>
        </w:rPr>
        <w:t>buts</w:t>
      </w:r>
      <w:r w:rsidR="00FD5E20" w:rsidRPr="00FD5E20">
        <w:rPr>
          <w:bCs/>
          <w:sz w:val="22"/>
          <w:szCs w:val="22"/>
          <w:lang w:val="fr-FR"/>
        </w:rPr>
        <w:t xml:space="preserve"> et dix-neuf </w:t>
      </w:r>
      <w:r w:rsidR="00FD5E20">
        <w:rPr>
          <w:bCs/>
          <w:sz w:val="22"/>
          <w:szCs w:val="22"/>
          <w:lang w:val="fr-FR"/>
        </w:rPr>
        <w:t>objectifs</w:t>
      </w:r>
      <w:r w:rsidR="00FD5E20" w:rsidRPr="00FD5E20">
        <w:rPr>
          <w:bCs/>
          <w:sz w:val="22"/>
          <w:szCs w:val="22"/>
          <w:lang w:val="fr-FR"/>
        </w:rPr>
        <w:t xml:space="preserve"> spécifiques, pour améliorer les </w:t>
      </w:r>
      <w:r w:rsidR="00FD5E20">
        <w:rPr>
          <w:bCs/>
          <w:sz w:val="22"/>
          <w:szCs w:val="22"/>
          <w:lang w:val="fr-FR"/>
        </w:rPr>
        <w:t>S</w:t>
      </w:r>
      <w:r w:rsidR="00FD5E20" w:rsidRPr="00FD5E20">
        <w:rPr>
          <w:bCs/>
          <w:sz w:val="22"/>
          <w:szCs w:val="22"/>
          <w:lang w:val="fr-FR"/>
        </w:rPr>
        <w:t xml:space="preserve">ites Ramsar, il </w:t>
      </w:r>
      <w:r w:rsidR="00FD5E20">
        <w:rPr>
          <w:bCs/>
          <w:sz w:val="22"/>
          <w:szCs w:val="22"/>
          <w:lang w:val="fr-FR"/>
        </w:rPr>
        <w:t>importe de prendre</w:t>
      </w:r>
      <w:r w:rsidR="00FD5E20" w:rsidRPr="00FD5E20">
        <w:rPr>
          <w:bCs/>
          <w:sz w:val="22"/>
          <w:szCs w:val="22"/>
          <w:lang w:val="fr-FR"/>
        </w:rPr>
        <w:t xml:space="preserve"> des mesures de conservation et de gestion dans le cadre de programmes intégrés </w:t>
      </w:r>
      <w:r w:rsidR="00FD5E20">
        <w:rPr>
          <w:bCs/>
          <w:sz w:val="22"/>
          <w:szCs w:val="22"/>
          <w:lang w:val="fr-FR"/>
        </w:rPr>
        <w:t>auxquels participent</w:t>
      </w:r>
      <w:r w:rsidR="00FD5E20" w:rsidRPr="00FD5E20">
        <w:rPr>
          <w:bCs/>
          <w:sz w:val="22"/>
          <w:szCs w:val="22"/>
          <w:lang w:val="fr-FR"/>
        </w:rPr>
        <w:t xml:space="preserve"> les Parties</w:t>
      </w:r>
      <w:r w:rsidR="00FD5E20">
        <w:rPr>
          <w:bCs/>
          <w:sz w:val="22"/>
          <w:szCs w:val="22"/>
          <w:lang w:val="fr-FR"/>
        </w:rPr>
        <w:t xml:space="preserve"> contractantes</w:t>
      </w:r>
      <w:r w:rsidR="00886428">
        <w:rPr>
          <w:bCs/>
          <w:sz w:val="22"/>
          <w:szCs w:val="22"/>
          <w:lang w:val="fr-FR"/>
        </w:rPr>
        <w:t> ;</w:t>
      </w:r>
      <w:r w:rsidR="00095336">
        <w:rPr>
          <w:bCs/>
          <w:sz w:val="22"/>
          <w:szCs w:val="22"/>
          <w:lang w:val="fr-FR"/>
        </w:rPr>
        <w:t xml:space="preserve"> </w:t>
      </w:r>
    </w:p>
    <w:p w14:paraId="6491AECE" w14:textId="77777777" w:rsidR="00513D0F" w:rsidRPr="00E5257C" w:rsidRDefault="00513D0F" w:rsidP="00A50A41">
      <w:pPr>
        <w:ind w:left="425" w:hanging="425"/>
        <w:rPr>
          <w:bCs/>
          <w:sz w:val="22"/>
          <w:szCs w:val="22"/>
          <w:lang w:val="fr-FR"/>
        </w:rPr>
      </w:pPr>
    </w:p>
    <w:p w14:paraId="1AB87F8C" w14:textId="5B79C0C0" w:rsidR="00F65A28" w:rsidRPr="00E5257C" w:rsidRDefault="007940BD" w:rsidP="00A50A41">
      <w:pPr>
        <w:ind w:left="425" w:hanging="425"/>
        <w:rPr>
          <w:bCs/>
          <w:sz w:val="22"/>
          <w:szCs w:val="22"/>
          <w:lang w:val="fr-FR"/>
        </w:rPr>
      </w:pPr>
      <w:r w:rsidRPr="00E5257C">
        <w:rPr>
          <w:bCs/>
          <w:sz w:val="22"/>
          <w:szCs w:val="22"/>
          <w:lang w:val="fr-FR"/>
        </w:rPr>
        <w:t>7</w:t>
      </w:r>
      <w:r w:rsidR="00CD6658" w:rsidRPr="00E5257C">
        <w:rPr>
          <w:bCs/>
          <w:sz w:val="22"/>
          <w:szCs w:val="22"/>
          <w:lang w:val="fr-FR"/>
        </w:rPr>
        <w:t>.</w:t>
      </w:r>
      <w:r w:rsidR="00A50A41" w:rsidRPr="00E5257C">
        <w:rPr>
          <w:bCs/>
          <w:sz w:val="22"/>
          <w:szCs w:val="22"/>
          <w:lang w:val="fr-FR"/>
        </w:rPr>
        <w:tab/>
      </w:r>
      <w:r w:rsidR="0004759E" w:rsidRPr="00E5257C">
        <w:rPr>
          <w:bCs/>
          <w:sz w:val="22"/>
          <w:szCs w:val="22"/>
          <w:lang w:val="fr-FR"/>
        </w:rPr>
        <w:t>CONSCIENTE</w:t>
      </w:r>
      <w:r w:rsidR="00886428">
        <w:rPr>
          <w:bCs/>
          <w:sz w:val="22"/>
          <w:szCs w:val="22"/>
          <w:lang w:val="fr-FR"/>
        </w:rPr>
        <w:t xml:space="preserve"> qu’actuellement, près de 1,6 milliard d’êtres humains vivent dans </w:t>
      </w:r>
      <w:r w:rsidR="00C117D1">
        <w:rPr>
          <w:bCs/>
          <w:sz w:val="22"/>
          <w:szCs w:val="22"/>
          <w:lang w:val="fr-FR"/>
        </w:rPr>
        <w:t>d</w:t>
      </w:r>
      <w:r w:rsidR="00886428">
        <w:rPr>
          <w:bCs/>
          <w:sz w:val="22"/>
          <w:szCs w:val="22"/>
          <w:lang w:val="fr-FR"/>
        </w:rPr>
        <w:t xml:space="preserve">es zones humides </w:t>
      </w:r>
      <w:r w:rsidR="00C117D1">
        <w:rPr>
          <w:bCs/>
          <w:sz w:val="22"/>
          <w:szCs w:val="22"/>
          <w:lang w:val="fr-FR"/>
        </w:rPr>
        <w:t>dont sont tributaires</w:t>
      </w:r>
      <w:r w:rsidR="00886428">
        <w:rPr>
          <w:bCs/>
          <w:sz w:val="22"/>
          <w:szCs w:val="22"/>
          <w:lang w:val="fr-FR"/>
        </w:rPr>
        <w:t xml:space="preserve"> six espèces de dauphins de rivière pour accomplir leur cycle de vie et que les impacts </w:t>
      </w:r>
      <w:r w:rsidR="00C117D1">
        <w:rPr>
          <w:bCs/>
          <w:sz w:val="22"/>
          <w:szCs w:val="22"/>
          <w:lang w:val="fr-FR"/>
        </w:rPr>
        <w:t xml:space="preserve">subis par ces espèces </w:t>
      </w:r>
      <w:r w:rsidR="00886428">
        <w:rPr>
          <w:bCs/>
          <w:sz w:val="22"/>
          <w:szCs w:val="22"/>
          <w:lang w:val="fr-FR"/>
        </w:rPr>
        <w:t>ont abouti à leur classement</w:t>
      </w:r>
      <w:r w:rsidR="00C117D1">
        <w:rPr>
          <w:bCs/>
          <w:sz w:val="22"/>
          <w:szCs w:val="22"/>
          <w:lang w:val="fr-FR"/>
        </w:rPr>
        <w:t>,</w:t>
      </w:r>
      <w:r w:rsidR="00886428">
        <w:rPr>
          <w:bCs/>
          <w:sz w:val="22"/>
          <w:szCs w:val="22"/>
          <w:lang w:val="fr-FR"/>
        </w:rPr>
        <w:t xml:space="preserve"> par l’Union internationale pour la conservation de la nature (UICN)</w:t>
      </w:r>
      <w:r w:rsidR="00C117D1">
        <w:rPr>
          <w:bCs/>
          <w:sz w:val="22"/>
          <w:szCs w:val="22"/>
          <w:lang w:val="fr-FR"/>
        </w:rPr>
        <w:t>,</w:t>
      </w:r>
      <w:r w:rsidR="00886428">
        <w:rPr>
          <w:bCs/>
          <w:sz w:val="22"/>
          <w:szCs w:val="22"/>
          <w:lang w:val="fr-FR"/>
        </w:rPr>
        <w:t xml:space="preserve"> comme espèces En danger en Amérique du Sud : </w:t>
      </w:r>
      <w:r w:rsidR="00C734EC" w:rsidRPr="00E5257C">
        <w:rPr>
          <w:bCs/>
          <w:i/>
          <w:sz w:val="22"/>
          <w:szCs w:val="22"/>
          <w:lang w:val="fr-FR"/>
        </w:rPr>
        <w:t>Inia geoffrensis</w:t>
      </w:r>
      <w:r w:rsidR="00E90904" w:rsidRPr="00E5257C">
        <w:rPr>
          <w:bCs/>
          <w:sz w:val="22"/>
          <w:szCs w:val="22"/>
          <w:lang w:val="fr-FR"/>
        </w:rPr>
        <w:t xml:space="preserve">, </w:t>
      </w:r>
      <w:r w:rsidR="00C734EC" w:rsidRPr="00E5257C">
        <w:rPr>
          <w:bCs/>
          <w:i/>
          <w:sz w:val="22"/>
          <w:szCs w:val="22"/>
          <w:lang w:val="fr-FR"/>
        </w:rPr>
        <w:lastRenderedPageBreak/>
        <w:t>Sotalia fluviatilis</w:t>
      </w:r>
      <w:r w:rsidR="00886428">
        <w:rPr>
          <w:bCs/>
          <w:sz w:val="22"/>
          <w:szCs w:val="22"/>
          <w:lang w:val="fr-FR"/>
        </w:rPr>
        <w:t> </w:t>
      </w:r>
      <w:r w:rsidR="00C117D1">
        <w:rPr>
          <w:bCs/>
          <w:sz w:val="22"/>
          <w:szCs w:val="22"/>
          <w:lang w:val="fr-FR"/>
        </w:rPr>
        <w:t>et</w:t>
      </w:r>
      <w:r w:rsidR="00E90904" w:rsidRPr="00E5257C">
        <w:rPr>
          <w:bCs/>
          <w:sz w:val="22"/>
          <w:szCs w:val="22"/>
          <w:lang w:val="fr-FR"/>
        </w:rPr>
        <w:t xml:space="preserve"> en </w:t>
      </w:r>
      <w:r w:rsidR="00C734EC" w:rsidRPr="00E5257C">
        <w:rPr>
          <w:bCs/>
          <w:sz w:val="22"/>
          <w:szCs w:val="22"/>
          <w:lang w:val="fr-FR"/>
        </w:rPr>
        <w:t>Asi</w:t>
      </w:r>
      <w:r w:rsidR="00886428">
        <w:rPr>
          <w:bCs/>
          <w:sz w:val="22"/>
          <w:szCs w:val="22"/>
          <w:lang w:val="fr-FR"/>
        </w:rPr>
        <w:t>e </w:t>
      </w:r>
      <w:r w:rsidR="00C734EC" w:rsidRPr="00E5257C">
        <w:rPr>
          <w:bCs/>
          <w:sz w:val="22"/>
          <w:szCs w:val="22"/>
          <w:lang w:val="fr-FR"/>
        </w:rPr>
        <w:t xml:space="preserve">: </w:t>
      </w:r>
      <w:r w:rsidR="00C734EC" w:rsidRPr="00E5257C">
        <w:rPr>
          <w:bCs/>
          <w:i/>
          <w:sz w:val="22"/>
          <w:szCs w:val="22"/>
          <w:lang w:val="fr-FR"/>
        </w:rPr>
        <w:t>Platanista gangetica</w:t>
      </w:r>
      <w:r w:rsidR="00C734EC" w:rsidRPr="00E5257C">
        <w:rPr>
          <w:bCs/>
          <w:sz w:val="22"/>
          <w:szCs w:val="22"/>
          <w:lang w:val="fr-FR"/>
        </w:rPr>
        <w:t xml:space="preserve">, </w:t>
      </w:r>
      <w:r w:rsidR="00C734EC" w:rsidRPr="00E5257C">
        <w:rPr>
          <w:bCs/>
          <w:i/>
          <w:sz w:val="22"/>
          <w:szCs w:val="22"/>
          <w:lang w:val="fr-FR"/>
        </w:rPr>
        <w:t>Platanista minor</w:t>
      </w:r>
      <w:r w:rsidR="00B50201" w:rsidRPr="00E5257C">
        <w:rPr>
          <w:bCs/>
          <w:i/>
          <w:sz w:val="22"/>
          <w:szCs w:val="22"/>
          <w:lang w:val="fr-FR"/>
        </w:rPr>
        <w:t>,</w:t>
      </w:r>
      <w:r w:rsidR="00C734EC" w:rsidRPr="00E5257C">
        <w:rPr>
          <w:bCs/>
          <w:sz w:val="22"/>
          <w:szCs w:val="22"/>
          <w:lang w:val="fr-FR"/>
        </w:rPr>
        <w:t xml:space="preserve"> </w:t>
      </w:r>
      <w:r w:rsidR="00B50201" w:rsidRPr="00E5257C">
        <w:rPr>
          <w:bCs/>
          <w:i/>
          <w:sz w:val="22"/>
          <w:szCs w:val="22"/>
          <w:lang w:val="fr-FR"/>
        </w:rPr>
        <w:t>Orcaella brevirostris</w:t>
      </w:r>
      <w:r w:rsidR="00D90F1F" w:rsidRPr="00E5257C">
        <w:rPr>
          <w:bCs/>
          <w:sz w:val="22"/>
          <w:szCs w:val="22"/>
          <w:lang w:val="fr-FR"/>
        </w:rPr>
        <w:t xml:space="preserve"> </w:t>
      </w:r>
      <w:r w:rsidR="00C117D1">
        <w:rPr>
          <w:bCs/>
          <w:sz w:val="22"/>
          <w:szCs w:val="22"/>
          <w:lang w:val="fr-FR"/>
        </w:rPr>
        <w:t>ainsi qu’</w:t>
      </w:r>
      <w:r w:rsidR="0026649B">
        <w:rPr>
          <w:bCs/>
          <w:sz w:val="22"/>
          <w:szCs w:val="22"/>
          <w:lang w:val="fr-FR"/>
        </w:rPr>
        <w:t>E</w:t>
      </w:r>
      <w:r w:rsidR="00886428">
        <w:rPr>
          <w:bCs/>
          <w:sz w:val="22"/>
          <w:szCs w:val="22"/>
          <w:lang w:val="fr-FR"/>
        </w:rPr>
        <w:t>n danger critique d’extinction</w:t>
      </w:r>
      <w:r w:rsidR="00C117D1">
        <w:rPr>
          <w:bCs/>
          <w:sz w:val="22"/>
          <w:szCs w:val="22"/>
          <w:lang w:val="fr-FR"/>
        </w:rPr>
        <w:t> :</w:t>
      </w:r>
      <w:r w:rsidR="00886428">
        <w:rPr>
          <w:bCs/>
          <w:sz w:val="22"/>
          <w:szCs w:val="22"/>
          <w:lang w:val="fr-FR"/>
        </w:rPr>
        <w:t xml:space="preserve"> </w:t>
      </w:r>
      <w:r w:rsidR="00EC44C9" w:rsidRPr="00E5257C">
        <w:rPr>
          <w:bCs/>
          <w:i/>
          <w:sz w:val="22"/>
          <w:szCs w:val="22"/>
          <w:lang w:val="fr-FR"/>
        </w:rPr>
        <w:t>Neophocaena asiaorientalis</w:t>
      </w:r>
      <w:r w:rsidR="00C171DB">
        <w:rPr>
          <w:bCs/>
          <w:i/>
          <w:sz w:val="22"/>
          <w:szCs w:val="22"/>
          <w:lang w:val="fr-FR"/>
        </w:rPr>
        <w:t> </w:t>
      </w:r>
      <w:r w:rsidR="00D90F1F" w:rsidRPr="00E5257C">
        <w:rPr>
          <w:bCs/>
          <w:sz w:val="22"/>
          <w:szCs w:val="22"/>
          <w:lang w:val="fr-FR"/>
        </w:rPr>
        <w:t xml:space="preserve">; </w:t>
      </w:r>
    </w:p>
    <w:p w14:paraId="35DB6B21" w14:textId="77777777" w:rsidR="00513D0F" w:rsidRPr="00E5257C" w:rsidRDefault="00513D0F" w:rsidP="00A50A41">
      <w:pPr>
        <w:ind w:left="425" w:hanging="425"/>
        <w:rPr>
          <w:bCs/>
          <w:sz w:val="22"/>
          <w:szCs w:val="22"/>
          <w:lang w:val="fr-FR"/>
        </w:rPr>
      </w:pPr>
    </w:p>
    <w:p w14:paraId="7F012B9C" w14:textId="6BBDB84D" w:rsidR="0004759E" w:rsidRPr="00E5257C" w:rsidRDefault="007940BD" w:rsidP="00A50A41">
      <w:pPr>
        <w:ind w:left="425" w:hanging="425"/>
        <w:rPr>
          <w:bCs/>
          <w:sz w:val="22"/>
          <w:szCs w:val="22"/>
          <w:lang w:val="fr-FR"/>
        </w:rPr>
      </w:pPr>
      <w:r w:rsidRPr="00E5257C">
        <w:rPr>
          <w:bCs/>
          <w:sz w:val="22"/>
          <w:szCs w:val="22"/>
          <w:lang w:val="fr-FR"/>
        </w:rPr>
        <w:t>8.</w:t>
      </w:r>
      <w:r w:rsidR="00A50A41" w:rsidRPr="00E5257C">
        <w:rPr>
          <w:bCs/>
          <w:sz w:val="22"/>
          <w:szCs w:val="22"/>
          <w:lang w:val="fr-FR"/>
        </w:rPr>
        <w:tab/>
      </w:r>
      <w:r w:rsidR="00FB01EC" w:rsidRPr="00E5257C">
        <w:rPr>
          <w:bCs/>
          <w:sz w:val="22"/>
          <w:szCs w:val="22"/>
          <w:lang w:val="fr-FR"/>
        </w:rPr>
        <w:t>RECON</w:t>
      </w:r>
      <w:r w:rsidR="00C171DB">
        <w:rPr>
          <w:bCs/>
          <w:sz w:val="22"/>
          <w:szCs w:val="22"/>
          <w:lang w:val="fr-FR"/>
        </w:rPr>
        <w:t xml:space="preserve">NAISSANT que les dauphins de rivière </w:t>
      </w:r>
      <w:r w:rsidR="00383CCC">
        <w:rPr>
          <w:bCs/>
          <w:sz w:val="22"/>
          <w:szCs w:val="22"/>
          <w:lang w:val="fr-FR"/>
        </w:rPr>
        <w:t>s</w:t>
      </w:r>
      <w:r w:rsidR="000E29AF">
        <w:rPr>
          <w:bCs/>
          <w:sz w:val="22"/>
          <w:szCs w:val="22"/>
          <w:lang w:val="fr-FR"/>
        </w:rPr>
        <w:t xml:space="preserve">ont </w:t>
      </w:r>
      <w:r w:rsidR="00383CCC">
        <w:rPr>
          <w:bCs/>
          <w:sz w:val="22"/>
          <w:szCs w:val="22"/>
          <w:lang w:val="fr-FR"/>
        </w:rPr>
        <w:t>de bons indicateurs de</w:t>
      </w:r>
      <w:r w:rsidR="000E29AF">
        <w:rPr>
          <w:bCs/>
          <w:sz w:val="22"/>
          <w:szCs w:val="22"/>
          <w:lang w:val="fr-FR"/>
        </w:rPr>
        <w:t xml:space="preserve"> la santé de quelques zones humides d’Amérique du Sud (bassin de l’Orénoque en Colombie) ; et que l’absence de ces espèces dans certain</w:t>
      </w:r>
      <w:r w:rsidR="0028430D">
        <w:rPr>
          <w:bCs/>
          <w:sz w:val="22"/>
          <w:szCs w:val="22"/>
          <w:lang w:val="fr-FR"/>
        </w:rPr>
        <w:t>s secteurs</w:t>
      </w:r>
      <w:r w:rsidR="000E29AF">
        <w:rPr>
          <w:bCs/>
          <w:sz w:val="22"/>
          <w:szCs w:val="22"/>
          <w:lang w:val="fr-FR"/>
        </w:rPr>
        <w:t xml:space="preserve"> des fleuves d’Asie (Gange et Jamuna en Inde) </w:t>
      </w:r>
      <w:r w:rsidR="00383CCC">
        <w:rPr>
          <w:bCs/>
          <w:sz w:val="22"/>
          <w:szCs w:val="22"/>
          <w:lang w:val="fr-FR"/>
        </w:rPr>
        <w:t>est le signe d’</w:t>
      </w:r>
      <w:r w:rsidR="000E29AF">
        <w:rPr>
          <w:bCs/>
          <w:sz w:val="22"/>
          <w:szCs w:val="22"/>
          <w:lang w:val="fr-FR"/>
        </w:rPr>
        <w:t xml:space="preserve">une mauvaise fonctionnalité écosystémique </w:t>
      </w:r>
      <w:r w:rsidR="00383CCC">
        <w:rPr>
          <w:bCs/>
          <w:sz w:val="22"/>
          <w:szCs w:val="22"/>
          <w:lang w:val="fr-FR"/>
        </w:rPr>
        <w:t>due à des taux</w:t>
      </w:r>
      <w:r w:rsidR="000E29AF">
        <w:rPr>
          <w:bCs/>
          <w:sz w:val="22"/>
          <w:szCs w:val="22"/>
          <w:lang w:val="fr-FR"/>
        </w:rPr>
        <w:t xml:space="preserve"> de pollution</w:t>
      </w:r>
      <w:r w:rsidR="00383CCC">
        <w:rPr>
          <w:bCs/>
          <w:sz w:val="22"/>
          <w:szCs w:val="22"/>
          <w:lang w:val="fr-FR"/>
        </w:rPr>
        <w:t xml:space="preserve"> élevés</w:t>
      </w:r>
      <w:r w:rsidR="000E29AF">
        <w:rPr>
          <w:bCs/>
          <w:sz w:val="22"/>
          <w:szCs w:val="22"/>
          <w:lang w:val="fr-FR"/>
        </w:rPr>
        <w:t xml:space="preserve">, </w:t>
      </w:r>
      <w:r w:rsidR="0028430D">
        <w:rPr>
          <w:bCs/>
          <w:sz w:val="22"/>
          <w:szCs w:val="22"/>
          <w:lang w:val="fr-FR"/>
        </w:rPr>
        <w:t>à</w:t>
      </w:r>
      <w:r w:rsidR="000E29AF">
        <w:rPr>
          <w:bCs/>
          <w:sz w:val="22"/>
          <w:szCs w:val="22"/>
          <w:lang w:val="fr-FR"/>
        </w:rPr>
        <w:t xml:space="preserve"> la réduction d</w:t>
      </w:r>
      <w:r w:rsidR="00383CCC">
        <w:rPr>
          <w:bCs/>
          <w:sz w:val="22"/>
          <w:szCs w:val="22"/>
          <w:lang w:val="fr-FR"/>
        </w:rPr>
        <w:t>u</w:t>
      </w:r>
      <w:r w:rsidR="000E29AF">
        <w:rPr>
          <w:bCs/>
          <w:sz w:val="22"/>
          <w:szCs w:val="22"/>
          <w:lang w:val="fr-FR"/>
        </w:rPr>
        <w:t xml:space="preserve"> débit des fleuves </w:t>
      </w:r>
      <w:r w:rsidR="000E29AF" w:rsidRPr="00383CCC">
        <w:rPr>
          <w:bCs/>
          <w:sz w:val="22"/>
          <w:szCs w:val="22"/>
          <w:lang w:val="fr-FR"/>
        </w:rPr>
        <w:t>en raison</w:t>
      </w:r>
      <w:r w:rsidR="000E29AF">
        <w:rPr>
          <w:bCs/>
          <w:sz w:val="22"/>
          <w:szCs w:val="22"/>
          <w:lang w:val="fr-FR"/>
        </w:rPr>
        <w:t xml:space="preserve"> du développement </w:t>
      </w:r>
      <w:r w:rsidR="00383CCC">
        <w:rPr>
          <w:bCs/>
          <w:sz w:val="22"/>
          <w:szCs w:val="22"/>
          <w:lang w:val="fr-FR"/>
        </w:rPr>
        <w:t>d’</w:t>
      </w:r>
      <w:r w:rsidR="000E29AF">
        <w:rPr>
          <w:bCs/>
          <w:sz w:val="22"/>
          <w:szCs w:val="22"/>
          <w:lang w:val="fr-FR"/>
        </w:rPr>
        <w:t xml:space="preserve">infrastructures </w:t>
      </w:r>
      <w:r w:rsidR="00383CCC">
        <w:rPr>
          <w:bCs/>
          <w:sz w:val="22"/>
          <w:szCs w:val="22"/>
          <w:lang w:val="fr-FR"/>
        </w:rPr>
        <w:t>liées</w:t>
      </w:r>
      <w:r w:rsidR="000E29AF">
        <w:rPr>
          <w:bCs/>
          <w:sz w:val="22"/>
          <w:szCs w:val="22"/>
          <w:lang w:val="fr-FR"/>
        </w:rPr>
        <w:t xml:space="preserve"> à la </w:t>
      </w:r>
      <w:r w:rsidR="00FC234A">
        <w:rPr>
          <w:bCs/>
          <w:sz w:val="22"/>
          <w:szCs w:val="22"/>
          <w:lang w:val="fr-FR"/>
        </w:rPr>
        <w:t>distribution</w:t>
      </w:r>
      <w:r w:rsidR="000E29AF">
        <w:rPr>
          <w:bCs/>
          <w:sz w:val="22"/>
          <w:szCs w:val="22"/>
          <w:lang w:val="fr-FR"/>
        </w:rPr>
        <w:t xml:space="preserve"> des ressources en eau et </w:t>
      </w:r>
      <w:r w:rsidR="0028430D">
        <w:rPr>
          <w:bCs/>
          <w:sz w:val="22"/>
          <w:szCs w:val="22"/>
          <w:lang w:val="fr-FR"/>
        </w:rPr>
        <w:t>au réseau</w:t>
      </w:r>
      <w:r w:rsidR="000E29AF">
        <w:rPr>
          <w:bCs/>
          <w:sz w:val="22"/>
          <w:szCs w:val="22"/>
          <w:lang w:val="fr-FR"/>
        </w:rPr>
        <w:t xml:space="preserve"> énergétique, ainsi qu’au détournement de la ressource pour les activités agricoles ;</w:t>
      </w:r>
    </w:p>
    <w:p w14:paraId="61403AA4" w14:textId="77777777" w:rsidR="00513D0F" w:rsidRPr="00E5257C" w:rsidRDefault="00513D0F" w:rsidP="00A50A41">
      <w:pPr>
        <w:ind w:left="425" w:hanging="425"/>
        <w:rPr>
          <w:bCs/>
          <w:sz w:val="22"/>
          <w:szCs w:val="22"/>
          <w:lang w:val="fr-FR"/>
        </w:rPr>
      </w:pPr>
    </w:p>
    <w:p w14:paraId="2C7400FD" w14:textId="0AB7CE62" w:rsidR="006F5B04" w:rsidRPr="00E5257C" w:rsidRDefault="007940BD" w:rsidP="00A50A41">
      <w:pPr>
        <w:ind w:left="425" w:hanging="425"/>
        <w:rPr>
          <w:rStyle w:val="ui-provider"/>
          <w:bCs/>
          <w:sz w:val="22"/>
          <w:szCs w:val="22"/>
          <w:lang w:val="fr-FR"/>
        </w:rPr>
      </w:pPr>
      <w:r w:rsidRPr="00E5257C">
        <w:rPr>
          <w:bCs/>
          <w:sz w:val="22"/>
          <w:szCs w:val="22"/>
          <w:lang w:val="fr-FR"/>
        </w:rPr>
        <w:t>9</w:t>
      </w:r>
      <w:r w:rsidR="00E86536" w:rsidRPr="00E5257C">
        <w:rPr>
          <w:bCs/>
          <w:sz w:val="22"/>
          <w:szCs w:val="22"/>
          <w:lang w:val="fr-FR"/>
        </w:rPr>
        <w:t>.</w:t>
      </w:r>
      <w:r w:rsidR="00A50A41" w:rsidRPr="00E5257C">
        <w:rPr>
          <w:bCs/>
          <w:sz w:val="22"/>
          <w:szCs w:val="22"/>
          <w:lang w:val="fr-FR"/>
        </w:rPr>
        <w:tab/>
      </w:r>
      <w:r w:rsidR="006267AB">
        <w:rPr>
          <w:bCs/>
          <w:sz w:val="22"/>
          <w:szCs w:val="22"/>
          <w:lang w:val="fr-FR"/>
        </w:rPr>
        <w:t xml:space="preserve">NOTANT que les dauphins de rivière sont des espèces sentinelles pour la conservation des grandes zones humides d’Amérique du Sud et d’Asie et RAPPELANT que différents gouvernements </w:t>
      </w:r>
      <w:r w:rsidR="0028430D">
        <w:rPr>
          <w:bCs/>
          <w:sz w:val="22"/>
          <w:szCs w:val="22"/>
          <w:lang w:val="fr-FR"/>
        </w:rPr>
        <w:t>tels que</w:t>
      </w:r>
      <w:r w:rsidR="006267AB">
        <w:rPr>
          <w:bCs/>
          <w:sz w:val="22"/>
          <w:szCs w:val="22"/>
          <w:lang w:val="fr-FR"/>
        </w:rPr>
        <w:t xml:space="preserve"> le Brésil, l’Équateur et le Pérou ont adopté des instruments tels que le Plan de gestion et de conservation pour les dauphins de rivière dans les bassins de l’Amazone, de l’Orénoque et du </w:t>
      </w:r>
      <w:r w:rsidR="00C76D79" w:rsidRPr="00E5257C">
        <w:rPr>
          <w:bCs/>
          <w:sz w:val="22"/>
          <w:szCs w:val="22"/>
          <w:lang w:val="fr-FR"/>
        </w:rPr>
        <w:t>Tocantins-Araguaia</w:t>
      </w:r>
      <w:r w:rsidR="006267AB">
        <w:rPr>
          <w:bCs/>
          <w:sz w:val="22"/>
          <w:szCs w:val="22"/>
          <w:lang w:val="fr-FR"/>
        </w:rPr>
        <w:t xml:space="preserve">, dans le cadre de la Commission baleinière internationale (CBI) ainsi que l’Action concertée </w:t>
      </w:r>
      <w:r w:rsidR="0028430D">
        <w:rPr>
          <w:bCs/>
          <w:sz w:val="22"/>
          <w:szCs w:val="22"/>
          <w:lang w:val="fr-FR"/>
        </w:rPr>
        <w:t>po</w:t>
      </w:r>
      <w:r w:rsidR="006267AB">
        <w:rPr>
          <w:bCs/>
          <w:sz w:val="22"/>
          <w:szCs w:val="22"/>
          <w:lang w:val="fr-FR"/>
        </w:rPr>
        <w:t>ur les dauphins du Gange dans le cadre de la Convention sur les espèces migratrices, à laquelle coopèrent le Bangladesh, l’Inde et le Népal ;</w:t>
      </w:r>
      <w:r w:rsidR="00095336">
        <w:rPr>
          <w:bCs/>
          <w:sz w:val="22"/>
          <w:szCs w:val="22"/>
          <w:lang w:val="fr-FR"/>
        </w:rPr>
        <w:t xml:space="preserve"> </w:t>
      </w:r>
    </w:p>
    <w:p w14:paraId="6E1063F2" w14:textId="77777777" w:rsidR="006F5B04" w:rsidRPr="00E5257C" w:rsidRDefault="006F5B04" w:rsidP="00A50A41">
      <w:pPr>
        <w:ind w:left="425" w:hanging="425"/>
        <w:rPr>
          <w:rStyle w:val="ui-provider"/>
          <w:bCs/>
          <w:sz w:val="22"/>
          <w:szCs w:val="22"/>
          <w:lang w:val="fr-FR"/>
        </w:rPr>
      </w:pPr>
    </w:p>
    <w:p w14:paraId="6AF30198" w14:textId="006237C5" w:rsidR="0004759E" w:rsidRPr="00E5257C" w:rsidRDefault="007940BD" w:rsidP="00A50A41">
      <w:pPr>
        <w:ind w:left="425" w:hanging="425"/>
        <w:rPr>
          <w:bCs/>
          <w:sz w:val="22"/>
          <w:szCs w:val="22"/>
          <w:lang w:val="fr-FR"/>
        </w:rPr>
      </w:pPr>
      <w:r w:rsidRPr="00E5257C">
        <w:rPr>
          <w:rStyle w:val="ui-provider"/>
          <w:bCs/>
          <w:sz w:val="22"/>
          <w:szCs w:val="22"/>
          <w:lang w:val="fr-FR"/>
        </w:rPr>
        <w:t>10.</w:t>
      </w:r>
      <w:r w:rsidR="00A50A41" w:rsidRPr="00E5257C">
        <w:rPr>
          <w:rStyle w:val="ui-provider"/>
          <w:bCs/>
          <w:sz w:val="22"/>
          <w:szCs w:val="22"/>
          <w:lang w:val="fr-FR"/>
        </w:rPr>
        <w:tab/>
      </w:r>
      <w:r w:rsidR="00246DE5" w:rsidRPr="00E5257C">
        <w:rPr>
          <w:rStyle w:val="ui-provider"/>
          <w:bCs/>
          <w:sz w:val="22"/>
          <w:szCs w:val="22"/>
          <w:lang w:val="fr-FR"/>
        </w:rPr>
        <w:t>R</w:t>
      </w:r>
      <w:r w:rsidR="006267AB">
        <w:rPr>
          <w:rStyle w:val="ui-provider"/>
          <w:bCs/>
          <w:sz w:val="22"/>
          <w:szCs w:val="22"/>
          <w:lang w:val="fr-FR"/>
        </w:rPr>
        <w:t xml:space="preserve">APPELANT la Déclaration mondiale non contraignante pour la conservation des dauphins de rivière adoptée à </w:t>
      </w:r>
      <w:r w:rsidR="00246DE5" w:rsidRPr="00E5257C">
        <w:rPr>
          <w:rStyle w:val="ui-provider"/>
          <w:bCs/>
          <w:sz w:val="22"/>
          <w:szCs w:val="22"/>
          <w:lang w:val="fr-FR"/>
        </w:rPr>
        <w:t>Bogot</w:t>
      </w:r>
      <w:r w:rsidR="006267AB">
        <w:rPr>
          <w:rStyle w:val="ui-provider"/>
          <w:bCs/>
          <w:sz w:val="22"/>
          <w:szCs w:val="22"/>
          <w:lang w:val="fr-FR"/>
        </w:rPr>
        <w:t>a</w:t>
      </w:r>
      <w:r w:rsidR="00246DE5" w:rsidRPr="00E5257C">
        <w:rPr>
          <w:rStyle w:val="ui-provider"/>
          <w:bCs/>
          <w:sz w:val="22"/>
          <w:szCs w:val="22"/>
          <w:lang w:val="fr-FR"/>
        </w:rPr>
        <w:t xml:space="preserve">, </w:t>
      </w:r>
      <w:r w:rsidR="006267AB">
        <w:rPr>
          <w:rStyle w:val="ui-provider"/>
          <w:bCs/>
          <w:sz w:val="22"/>
          <w:szCs w:val="22"/>
          <w:lang w:val="fr-FR"/>
        </w:rPr>
        <w:t xml:space="preserve">Colombie, en octobre 2023 par le Bangladesh, la Bolivie, le Brésil, le Cambodge, la Colombie, l’Équateur, l’Inde, le Népal, le Pakistan et le Venezuela ; </w:t>
      </w:r>
    </w:p>
    <w:p w14:paraId="5F70D85B" w14:textId="77777777" w:rsidR="00513D0F" w:rsidRPr="00E5257C" w:rsidRDefault="00513D0F" w:rsidP="00A50A41">
      <w:pPr>
        <w:ind w:left="425" w:hanging="425"/>
        <w:rPr>
          <w:bCs/>
          <w:sz w:val="22"/>
          <w:szCs w:val="22"/>
          <w:lang w:val="fr-FR"/>
        </w:rPr>
      </w:pPr>
    </w:p>
    <w:p w14:paraId="6E15DB32" w14:textId="6064A850" w:rsidR="00A80F79" w:rsidRPr="00E5257C" w:rsidRDefault="007940BD" w:rsidP="00A50A41">
      <w:pPr>
        <w:ind w:left="425" w:hanging="425"/>
        <w:rPr>
          <w:rFonts w:ascii="Calibri" w:eastAsia="Times New Roman" w:hAnsi="Calibri" w:cs="Calibri"/>
          <w:bCs/>
          <w:color w:val="000000"/>
          <w:sz w:val="22"/>
          <w:szCs w:val="22"/>
          <w:lang w:val="fr-FR" w:eastAsia="es-ES_tradnl"/>
        </w:rPr>
      </w:pPr>
      <w:r w:rsidRPr="00E5257C">
        <w:rPr>
          <w:bCs/>
          <w:sz w:val="22"/>
          <w:szCs w:val="22"/>
          <w:lang w:val="fr-FR"/>
        </w:rPr>
        <w:t>11</w:t>
      </w:r>
      <w:r w:rsidR="009B4C86" w:rsidRPr="00E5257C">
        <w:rPr>
          <w:bCs/>
          <w:sz w:val="22"/>
          <w:szCs w:val="22"/>
          <w:lang w:val="fr-FR"/>
        </w:rPr>
        <w:t>.</w:t>
      </w:r>
      <w:r w:rsidR="00A50A41" w:rsidRPr="00E5257C">
        <w:rPr>
          <w:bCs/>
          <w:sz w:val="22"/>
          <w:szCs w:val="22"/>
          <w:lang w:val="fr-FR"/>
        </w:rPr>
        <w:tab/>
      </w:r>
      <w:r w:rsidR="006267AB">
        <w:rPr>
          <w:bCs/>
          <w:sz w:val="22"/>
          <w:szCs w:val="22"/>
          <w:lang w:val="fr-FR"/>
        </w:rPr>
        <w:t xml:space="preserve">NOTANT qu’actuellement, on trouve des dauphins de rivière dans 29 Sites Ramsar au moins d’Amérique du Sud et d’Asie couvrant </w:t>
      </w:r>
      <w:r w:rsidR="0028430D">
        <w:rPr>
          <w:bCs/>
          <w:sz w:val="22"/>
          <w:szCs w:val="22"/>
          <w:lang w:val="fr-FR"/>
        </w:rPr>
        <w:t>une superficie totale de</w:t>
      </w:r>
      <w:r w:rsidR="006267AB">
        <w:rPr>
          <w:bCs/>
          <w:sz w:val="22"/>
          <w:szCs w:val="22"/>
          <w:lang w:val="fr-FR"/>
        </w:rPr>
        <w:t xml:space="preserve"> </w:t>
      </w:r>
      <w:r w:rsidR="00A80F79" w:rsidRPr="00E5257C">
        <w:rPr>
          <w:rFonts w:ascii="Calibri" w:eastAsia="Times New Roman" w:hAnsi="Calibri" w:cs="Calibri"/>
          <w:bCs/>
          <w:color w:val="000000"/>
          <w:sz w:val="22"/>
          <w:szCs w:val="22"/>
          <w:lang w:val="fr-FR" w:eastAsia="es-ES_tradnl"/>
        </w:rPr>
        <w:t>27</w:t>
      </w:r>
      <w:r w:rsidR="006267AB">
        <w:rPr>
          <w:rFonts w:ascii="Calibri" w:eastAsia="Times New Roman" w:hAnsi="Calibri" w:cs="Calibri"/>
          <w:bCs/>
          <w:color w:val="000000"/>
          <w:sz w:val="22"/>
          <w:szCs w:val="22"/>
          <w:lang w:val="fr-FR" w:eastAsia="es-ES_tradnl"/>
        </w:rPr>
        <w:t> </w:t>
      </w:r>
      <w:r w:rsidR="00A80F79" w:rsidRPr="00E5257C">
        <w:rPr>
          <w:rFonts w:ascii="Calibri" w:eastAsia="Times New Roman" w:hAnsi="Calibri" w:cs="Calibri"/>
          <w:bCs/>
          <w:color w:val="000000"/>
          <w:sz w:val="22"/>
          <w:szCs w:val="22"/>
          <w:lang w:val="fr-FR" w:eastAsia="es-ES_tradnl"/>
        </w:rPr>
        <w:t>497</w:t>
      </w:r>
      <w:r w:rsidR="006267AB">
        <w:rPr>
          <w:rFonts w:ascii="Calibri" w:eastAsia="Times New Roman" w:hAnsi="Calibri" w:cs="Calibri"/>
          <w:bCs/>
          <w:color w:val="000000"/>
          <w:sz w:val="22"/>
          <w:szCs w:val="22"/>
          <w:lang w:val="fr-FR" w:eastAsia="es-ES_tradnl"/>
        </w:rPr>
        <w:t> </w:t>
      </w:r>
      <w:r w:rsidR="00A80F79" w:rsidRPr="00E5257C">
        <w:rPr>
          <w:rFonts w:ascii="Calibri" w:eastAsia="Times New Roman" w:hAnsi="Calibri" w:cs="Calibri"/>
          <w:bCs/>
          <w:color w:val="000000"/>
          <w:sz w:val="22"/>
          <w:szCs w:val="22"/>
          <w:lang w:val="fr-FR" w:eastAsia="es-ES_tradnl"/>
        </w:rPr>
        <w:t>064</w:t>
      </w:r>
      <w:r w:rsidR="006267AB">
        <w:rPr>
          <w:rFonts w:ascii="Calibri" w:eastAsia="Times New Roman" w:hAnsi="Calibri" w:cs="Calibri"/>
          <w:bCs/>
          <w:color w:val="000000"/>
          <w:sz w:val="22"/>
          <w:szCs w:val="22"/>
          <w:lang w:val="fr-FR" w:eastAsia="es-ES_tradnl"/>
        </w:rPr>
        <w:t> hectares ;</w:t>
      </w:r>
    </w:p>
    <w:p w14:paraId="768BEAE1" w14:textId="22D1EFFD" w:rsidR="002C76D5" w:rsidRPr="00E5257C" w:rsidRDefault="002C76D5" w:rsidP="00A50A41">
      <w:pPr>
        <w:ind w:left="425" w:hanging="425"/>
        <w:rPr>
          <w:bCs/>
          <w:sz w:val="22"/>
          <w:szCs w:val="22"/>
          <w:lang w:val="fr-FR"/>
        </w:rPr>
      </w:pPr>
    </w:p>
    <w:p w14:paraId="07912313" w14:textId="5A50473D" w:rsidR="0004759E" w:rsidRPr="00E5257C" w:rsidRDefault="007940BD" w:rsidP="00A50A41">
      <w:pPr>
        <w:ind w:left="425" w:hanging="425"/>
        <w:rPr>
          <w:bCs/>
          <w:sz w:val="22"/>
          <w:szCs w:val="22"/>
          <w:lang w:val="fr-FR"/>
        </w:rPr>
      </w:pPr>
      <w:r w:rsidRPr="00E5257C">
        <w:rPr>
          <w:bCs/>
          <w:sz w:val="22"/>
          <w:szCs w:val="22"/>
          <w:lang w:val="fr-FR"/>
        </w:rPr>
        <w:t>12</w:t>
      </w:r>
      <w:r w:rsidR="009B4C86" w:rsidRPr="00E5257C">
        <w:rPr>
          <w:bCs/>
          <w:sz w:val="22"/>
          <w:szCs w:val="22"/>
          <w:lang w:val="fr-FR"/>
        </w:rPr>
        <w:t>.</w:t>
      </w:r>
      <w:r w:rsidR="00A50A41" w:rsidRPr="00E5257C">
        <w:rPr>
          <w:bCs/>
          <w:sz w:val="22"/>
          <w:szCs w:val="22"/>
          <w:lang w:val="fr-FR"/>
        </w:rPr>
        <w:tab/>
      </w:r>
      <w:r w:rsidR="00E47780" w:rsidRPr="00E5257C">
        <w:rPr>
          <w:bCs/>
          <w:sz w:val="22"/>
          <w:szCs w:val="22"/>
          <w:lang w:val="fr-FR"/>
        </w:rPr>
        <w:t>R</w:t>
      </w:r>
      <w:r w:rsidR="006267AB">
        <w:rPr>
          <w:bCs/>
          <w:sz w:val="22"/>
          <w:szCs w:val="22"/>
          <w:lang w:val="fr-FR"/>
        </w:rPr>
        <w:t xml:space="preserve">APPELANT </w:t>
      </w:r>
      <w:r w:rsidR="00E83DC0">
        <w:rPr>
          <w:bCs/>
          <w:sz w:val="22"/>
          <w:szCs w:val="22"/>
          <w:lang w:val="fr-FR"/>
        </w:rPr>
        <w:t>que</w:t>
      </w:r>
      <w:r w:rsidR="006267AB">
        <w:rPr>
          <w:bCs/>
          <w:sz w:val="22"/>
          <w:szCs w:val="22"/>
          <w:lang w:val="fr-FR"/>
        </w:rPr>
        <w:t xml:space="preserve"> les critères </w:t>
      </w:r>
      <w:r w:rsidR="00222E90">
        <w:rPr>
          <w:bCs/>
          <w:sz w:val="22"/>
          <w:szCs w:val="22"/>
          <w:lang w:val="fr-FR"/>
        </w:rPr>
        <w:t xml:space="preserve">d’identification et de désignation des zones humides d’importance internationale </w:t>
      </w:r>
      <w:r w:rsidR="00E83DC0">
        <w:rPr>
          <w:bCs/>
          <w:sz w:val="22"/>
          <w:szCs w:val="22"/>
          <w:lang w:val="fr-FR"/>
        </w:rPr>
        <w:t xml:space="preserve">prévoient </w:t>
      </w:r>
      <w:r w:rsidR="00222E90">
        <w:rPr>
          <w:bCs/>
          <w:sz w:val="22"/>
          <w:szCs w:val="22"/>
          <w:lang w:val="fr-FR"/>
        </w:rPr>
        <w:t xml:space="preserve">d’inclure des espèces menacées qui remplissent </w:t>
      </w:r>
      <w:r w:rsidR="00E83DC0">
        <w:rPr>
          <w:bCs/>
          <w:sz w:val="22"/>
          <w:szCs w:val="22"/>
          <w:lang w:val="fr-FR"/>
        </w:rPr>
        <w:t>un</w:t>
      </w:r>
      <w:r w:rsidR="00222E90">
        <w:rPr>
          <w:bCs/>
          <w:sz w:val="22"/>
          <w:szCs w:val="22"/>
          <w:lang w:val="fr-FR"/>
        </w:rPr>
        <w:t xml:space="preserve"> rôle écologique maintenant la biodiversité et qui trouvent refuge </w:t>
      </w:r>
      <w:r w:rsidR="00803D07">
        <w:rPr>
          <w:bCs/>
          <w:sz w:val="22"/>
          <w:szCs w:val="22"/>
          <w:lang w:val="fr-FR"/>
        </w:rPr>
        <w:t>dans les zones humides</w:t>
      </w:r>
      <w:r w:rsidR="007E4B8E">
        <w:rPr>
          <w:bCs/>
          <w:sz w:val="22"/>
          <w:szCs w:val="22"/>
          <w:lang w:val="fr-FR"/>
        </w:rPr>
        <w:t>,</w:t>
      </w:r>
      <w:r w:rsidR="00803D07">
        <w:rPr>
          <w:bCs/>
          <w:sz w:val="22"/>
          <w:szCs w:val="22"/>
          <w:lang w:val="fr-FR"/>
        </w:rPr>
        <w:t xml:space="preserve"> </w:t>
      </w:r>
      <w:r w:rsidR="00222E90">
        <w:rPr>
          <w:bCs/>
          <w:sz w:val="22"/>
          <w:szCs w:val="22"/>
          <w:lang w:val="fr-FR"/>
        </w:rPr>
        <w:t xml:space="preserve">durant les événements extrêmes et </w:t>
      </w:r>
      <w:r w:rsidR="00E83DC0">
        <w:rPr>
          <w:bCs/>
          <w:sz w:val="22"/>
          <w:szCs w:val="22"/>
          <w:lang w:val="fr-FR"/>
        </w:rPr>
        <w:t>lorsque les</w:t>
      </w:r>
      <w:r w:rsidR="00222E90">
        <w:rPr>
          <w:bCs/>
          <w:sz w:val="22"/>
          <w:szCs w:val="22"/>
          <w:lang w:val="fr-FR"/>
        </w:rPr>
        <w:t xml:space="preserve"> conditions</w:t>
      </w:r>
      <w:r w:rsidR="00E83DC0">
        <w:rPr>
          <w:bCs/>
          <w:sz w:val="22"/>
          <w:szCs w:val="22"/>
          <w:lang w:val="fr-FR"/>
        </w:rPr>
        <w:t xml:space="preserve"> sont</w:t>
      </w:r>
      <w:r w:rsidR="00222E90">
        <w:rPr>
          <w:bCs/>
          <w:sz w:val="22"/>
          <w:szCs w:val="22"/>
          <w:lang w:val="fr-FR"/>
        </w:rPr>
        <w:t xml:space="preserve"> </w:t>
      </w:r>
      <w:r w:rsidR="006F67A8">
        <w:rPr>
          <w:bCs/>
          <w:sz w:val="22"/>
          <w:szCs w:val="22"/>
          <w:lang w:val="fr-FR"/>
        </w:rPr>
        <w:t>défavorables</w:t>
      </w:r>
      <w:r w:rsidR="007E4B8E">
        <w:rPr>
          <w:bCs/>
          <w:sz w:val="22"/>
          <w:szCs w:val="22"/>
          <w:lang w:val="fr-FR"/>
        </w:rPr>
        <w:t> ;</w:t>
      </w:r>
      <w:r w:rsidR="00095336">
        <w:rPr>
          <w:bCs/>
          <w:sz w:val="22"/>
          <w:szCs w:val="22"/>
          <w:lang w:val="fr-FR"/>
        </w:rPr>
        <w:t xml:space="preserve"> </w:t>
      </w:r>
    </w:p>
    <w:p w14:paraId="4E2F510C" w14:textId="77777777" w:rsidR="009B4C86" w:rsidRPr="00E5257C" w:rsidRDefault="009B4C86" w:rsidP="00A50A41">
      <w:pPr>
        <w:ind w:left="425" w:hanging="425"/>
        <w:rPr>
          <w:bCs/>
          <w:sz w:val="22"/>
          <w:szCs w:val="22"/>
          <w:lang w:val="fr-FR"/>
        </w:rPr>
      </w:pPr>
    </w:p>
    <w:p w14:paraId="77985A96" w14:textId="1D6AD6F9" w:rsidR="0040482A" w:rsidRPr="00E5257C" w:rsidRDefault="007940BD" w:rsidP="00A50A41">
      <w:pPr>
        <w:ind w:left="425" w:hanging="425"/>
        <w:rPr>
          <w:bCs/>
          <w:sz w:val="22"/>
          <w:szCs w:val="22"/>
          <w:lang w:val="fr-FR"/>
        </w:rPr>
      </w:pPr>
      <w:r w:rsidRPr="00E5257C">
        <w:rPr>
          <w:bCs/>
          <w:sz w:val="22"/>
          <w:szCs w:val="22"/>
          <w:lang w:val="fr-FR"/>
        </w:rPr>
        <w:t>13</w:t>
      </w:r>
      <w:r w:rsidR="009B4C86" w:rsidRPr="00E5257C">
        <w:rPr>
          <w:bCs/>
          <w:sz w:val="22"/>
          <w:szCs w:val="22"/>
          <w:lang w:val="fr-FR"/>
        </w:rPr>
        <w:t>.</w:t>
      </w:r>
      <w:r w:rsidR="00A50A41" w:rsidRPr="00E5257C">
        <w:rPr>
          <w:bCs/>
          <w:sz w:val="22"/>
          <w:szCs w:val="22"/>
          <w:lang w:val="fr-FR"/>
        </w:rPr>
        <w:tab/>
      </w:r>
      <w:r w:rsidR="00BE29AF" w:rsidRPr="00E5257C">
        <w:rPr>
          <w:bCs/>
          <w:sz w:val="22"/>
          <w:szCs w:val="22"/>
          <w:lang w:val="fr-FR"/>
        </w:rPr>
        <w:t>PR</w:t>
      </w:r>
      <w:r w:rsidR="007E4B8E">
        <w:rPr>
          <w:bCs/>
          <w:sz w:val="22"/>
          <w:szCs w:val="22"/>
          <w:lang w:val="fr-FR"/>
        </w:rPr>
        <w:t xml:space="preserve">ÉOCCUPÉE </w:t>
      </w:r>
      <w:r w:rsidR="006F67A8">
        <w:rPr>
          <w:bCs/>
          <w:sz w:val="22"/>
          <w:szCs w:val="22"/>
          <w:lang w:val="fr-FR"/>
        </w:rPr>
        <w:t xml:space="preserve">de </w:t>
      </w:r>
      <w:r w:rsidR="00B6774C">
        <w:rPr>
          <w:bCs/>
          <w:sz w:val="22"/>
          <w:szCs w:val="22"/>
          <w:lang w:val="fr-FR"/>
        </w:rPr>
        <w:t xml:space="preserve">constater </w:t>
      </w:r>
      <w:r w:rsidR="006F67A8">
        <w:rPr>
          <w:bCs/>
          <w:sz w:val="22"/>
          <w:szCs w:val="22"/>
          <w:lang w:val="fr-FR"/>
        </w:rPr>
        <w:t xml:space="preserve">que les changements climatiques </w:t>
      </w:r>
      <w:r w:rsidR="00B6774C">
        <w:rPr>
          <w:bCs/>
          <w:sz w:val="22"/>
          <w:szCs w:val="22"/>
          <w:lang w:val="fr-FR"/>
        </w:rPr>
        <w:t>ont clairement des effets sur</w:t>
      </w:r>
      <w:r w:rsidR="006F67A8">
        <w:rPr>
          <w:bCs/>
          <w:sz w:val="22"/>
          <w:szCs w:val="22"/>
          <w:lang w:val="fr-FR"/>
        </w:rPr>
        <w:t xml:space="preserve"> l’intégrité biologique des zones humides et la survie des poissons et dauphins de rivière, entraînant des mortalités massives </w:t>
      </w:r>
      <w:r w:rsidR="006F67A8" w:rsidRPr="0026649B">
        <w:rPr>
          <w:bCs/>
          <w:sz w:val="22"/>
          <w:szCs w:val="22"/>
          <w:lang w:val="fr-FR"/>
        </w:rPr>
        <w:t xml:space="preserve">comme celles </w:t>
      </w:r>
      <w:r w:rsidR="00B6774C" w:rsidRPr="0026649B">
        <w:rPr>
          <w:bCs/>
          <w:sz w:val="22"/>
          <w:szCs w:val="22"/>
          <w:lang w:val="fr-FR"/>
        </w:rPr>
        <w:t>qu’a connues l’</w:t>
      </w:r>
      <w:r w:rsidR="006F67A8" w:rsidRPr="0026649B">
        <w:rPr>
          <w:bCs/>
          <w:sz w:val="22"/>
          <w:szCs w:val="22"/>
          <w:lang w:val="fr-FR"/>
        </w:rPr>
        <w:t>Amazonie</w:t>
      </w:r>
      <w:r w:rsidR="00B6774C" w:rsidRPr="0026649B">
        <w:rPr>
          <w:bCs/>
          <w:sz w:val="22"/>
          <w:szCs w:val="22"/>
          <w:lang w:val="fr-FR"/>
        </w:rPr>
        <w:t xml:space="preserve"> en 2023,</w:t>
      </w:r>
      <w:r w:rsidR="006F67A8" w:rsidRPr="0026649B">
        <w:rPr>
          <w:bCs/>
          <w:sz w:val="22"/>
          <w:szCs w:val="22"/>
          <w:lang w:val="fr-FR"/>
        </w:rPr>
        <w:t xml:space="preserve"> que </w:t>
      </w:r>
      <w:r w:rsidR="00B6774C" w:rsidRPr="0026649B">
        <w:rPr>
          <w:bCs/>
          <w:sz w:val="22"/>
          <w:szCs w:val="22"/>
          <w:lang w:val="fr-FR"/>
        </w:rPr>
        <w:t>d</w:t>
      </w:r>
      <w:r w:rsidR="006F67A8" w:rsidRPr="0026649B">
        <w:rPr>
          <w:bCs/>
          <w:sz w:val="22"/>
          <w:szCs w:val="22"/>
          <w:lang w:val="fr-FR"/>
        </w:rPr>
        <w:t xml:space="preserve">es inondations sans précédent ont </w:t>
      </w:r>
      <w:r w:rsidR="00B6774C" w:rsidRPr="0026649B">
        <w:rPr>
          <w:bCs/>
          <w:sz w:val="22"/>
          <w:szCs w:val="22"/>
          <w:lang w:val="fr-FR"/>
        </w:rPr>
        <w:t>causé</w:t>
      </w:r>
      <w:r w:rsidR="006F67A8" w:rsidRPr="0026649B">
        <w:rPr>
          <w:bCs/>
          <w:sz w:val="22"/>
          <w:szCs w:val="22"/>
          <w:lang w:val="fr-FR"/>
        </w:rPr>
        <w:t xml:space="preserve"> une augmentation</w:t>
      </w:r>
      <w:r w:rsidR="006F67A8">
        <w:rPr>
          <w:bCs/>
          <w:sz w:val="22"/>
          <w:szCs w:val="22"/>
          <w:lang w:val="fr-FR"/>
        </w:rPr>
        <w:t xml:space="preserve"> de la mortalité et des échouages de dauphins de rivière en Asie, </w:t>
      </w:r>
      <w:r w:rsidR="00B6774C">
        <w:rPr>
          <w:bCs/>
          <w:sz w:val="22"/>
          <w:szCs w:val="22"/>
          <w:lang w:val="fr-FR"/>
        </w:rPr>
        <w:t>et que les activités de pêche illéga</w:t>
      </w:r>
      <w:r w:rsidR="00B104A7">
        <w:rPr>
          <w:bCs/>
          <w:sz w:val="22"/>
          <w:szCs w:val="22"/>
          <w:lang w:val="fr-FR"/>
        </w:rPr>
        <w:t xml:space="preserve">le ont aggravé </w:t>
      </w:r>
      <w:r w:rsidR="0026649B">
        <w:rPr>
          <w:bCs/>
          <w:sz w:val="22"/>
          <w:szCs w:val="22"/>
          <w:lang w:val="fr-FR"/>
        </w:rPr>
        <w:t>leur</w:t>
      </w:r>
      <w:r w:rsidR="006F67A8">
        <w:rPr>
          <w:bCs/>
          <w:sz w:val="22"/>
          <w:szCs w:val="22"/>
          <w:lang w:val="fr-FR"/>
        </w:rPr>
        <w:t xml:space="preserve"> vulnérabilité ;</w:t>
      </w:r>
    </w:p>
    <w:p w14:paraId="7ACAD309" w14:textId="2F7C5B96" w:rsidR="0006458C" w:rsidRPr="00E5257C" w:rsidRDefault="0006458C" w:rsidP="00A50A41">
      <w:pPr>
        <w:ind w:left="425" w:hanging="425"/>
        <w:rPr>
          <w:bCs/>
          <w:sz w:val="22"/>
          <w:szCs w:val="22"/>
          <w:lang w:val="fr-FR"/>
        </w:rPr>
      </w:pPr>
    </w:p>
    <w:p w14:paraId="200F9130" w14:textId="4FD9606A" w:rsidR="00062238" w:rsidRPr="00E5257C" w:rsidRDefault="00762BA2" w:rsidP="00A50A41">
      <w:pPr>
        <w:ind w:left="425" w:hanging="425"/>
        <w:rPr>
          <w:bCs/>
          <w:sz w:val="22"/>
          <w:szCs w:val="22"/>
          <w:lang w:val="fr-FR"/>
        </w:rPr>
      </w:pPr>
      <w:r w:rsidRPr="00E5257C">
        <w:rPr>
          <w:bCs/>
          <w:sz w:val="22"/>
          <w:szCs w:val="22"/>
          <w:lang w:val="fr-FR"/>
        </w:rPr>
        <w:t>1</w:t>
      </w:r>
      <w:r w:rsidR="007940BD" w:rsidRPr="00E5257C">
        <w:rPr>
          <w:bCs/>
          <w:sz w:val="22"/>
          <w:szCs w:val="22"/>
          <w:lang w:val="fr-FR"/>
        </w:rPr>
        <w:t>4</w:t>
      </w:r>
      <w:r w:rsidR="009B4C86" w:rsidRPr="00E5257C">
        <w:rPr>
          <w:bCs/>
          <w:sz w:val="22"/>
          <w:szCs w:val="22"/>
          <w:lang w:val="fr-FR"/>
        </w:rPr>
        <w:t>.</w:t>
      </w:r>
      <w:r w:rsidR="00A50A41" w:rsidRPr="00E5257C">
        <w:rPr>
          <w:bCs/>
          <w:sz w:val="22"/>
          <w:szCs w:val="22"/>
          <w:lang w:val="fr-FR"/>
        </w:rPr>
        <w:tab/>
      </w:r>
      <w:r w:rsidR="00F91986">
        <w:rPr>
          <w:bCs/>
          <w:sz w:val="22"/>
          <w:szCs w:val="22"/>
          <w:lang w:val="fr-FR"/>
        </w:rPr>
        <w:t xml:space="preserve">INSISTANT SUR LE FAIT que </w:t>
      </w:r>
      <w:r w:rsidR="009A1C30">
        <w:rPr>
          <w:bCs/>
          <w:sz w:val="22"/>
          <w:szCs w:val="22"/>
          <w:lang w:val="fr-FR"/>
        </w:rPr>
        <w:t>les</w:t>
      </w:r>
      <w:r w:rsidR="00F91986">
        <w:rPr>
          <w:bCs/>
          <w:sz w:val="22"/>
          <w:szCs w:val="22"/>
          <w:lang w:val="fr-FR"/>
        </w:rPr>
        <w:t xml:space="preserve"> mesures de conservation </w:t>
      </w:r>
      <w:r w:rsidR="009A1C30">
        <w:rPr>
          <w:bCs/>
          <w:sz w:val="22"/>
          <w:szCs w:val="22"/>
          <w:lang w:val="fr-FR"/>
        </w:rPr>
        <w:t xml:space="preserve">prises </w:t>
      </w:r>
      <w:r w:rsidR="00F91986">
        <w:rPr>
          <w:bCs/>
          <w:sz w:val="22"/>
          <w:szCs w:val="22"/>
          <w:lang w:val="fr-FR"/>
        </w:rPr>
        <w:t>pour les dauphins de rivière bénéficier</w:t>
      </w:r>
      <w:r w:rsidR="009A1C30">
        <w:rPr>
          <w:bCs/>
          <w:sz w:val="22"/>
          <w:szCs w:val="22"/>
          <w:lang w:val="fr-FR"/>
        </w:rPr>
        <w:t>ont</w:t>
      </w:r>
      <w:r w:rsidR="00F91986">
        <w:rPr>
          <w:bCs/>
          <w:sz w:val="22"/>
          <w:szCs w:val="22"/>
          <w:lang w:val="fr-FR"/>
        </w:rPr>
        <w:t xml:space="preserve"> à d’autres espèces de vertébrés aquatiques comme les mammifères (lamantins, loutres), les reptiles (caïmans, tortues) et les poissons tels que les grands silures migrateurs des bassins de l’Orénoque et de l’Amazone ;</w:t>
      </w:r>
    </w:p>
    <w:p w14:paraId="283F6D9D" w14:textId="77777777" w:rsidR="0006458C" w:rsidRPr="00E5257C" w:rsidRDefault="0006458C" w:rsidP="00A50A41">
      <w:pPr>
        <w:ind w:left="425" w:hanging="425"/>
        <w:rPr>
          <w:bCs/>
          <w:sz w:val="22"/>
          <w:szCs w:val="22"/>
          <w:lang w:val="fr-FR"/>
        </w:rPr>
      </w:pPr>
    </w:p>
    <w:p w14:paraId="57785AFE" w14:textId="1ED08056" w:rsidR="002C76D5" w:rsidRPr="00E5257C" w:rsidRDefault="00762BA2" w:rsidP="00A50A41">
      <w:pPr>
        <w:ind w:left="425" w:hanging="425"/>
        <w:rPr>
          <w:bCs/>
          <w:sz w:val="22"/>
          <w:szCs w:val="22"/>
          <w:lang w:val="fr-FR"/>
        </w:rPr>
      </w:pPr>
      <w:r w:rsidRPr="00271E54">
        <w:rPr>
          <w:bCs/>
          <w:sz w:val="22"/>
          <w:szCs w:val="22"/>
          <w:lang w:val="fr-FR"/>
        </w:rPr>
        <w:t>1</w:t>
      </w:r>
      <w:r w:rsidR="007940BD" w:rsidRPr="00271E54">
        <w:rPr>
          <w:bCs/>
          <w:sz w:val="22"/>
          <w:szCs w:val="22"/>
          <w:lang w:val="fr-FR"/>
        </w:rPr>
        <w:t>5</w:t>
      </w:r>
      <w:r w:rsidR="0006458C" w:rsidRPr="00271E54">
        <w:rPr>
          <w:bCs/>
          <w:sz w:val="22"/>
          <w:szCs w:val="22"/>
          <w:lang w:val="fr-FR"/>
        </w:rPr>
        <w:t>.</w:t>
      </w:r>
      <w:r w:rsidR="00A50A41" w:rsidRPr="00271E54">
        <w:rPr>
          <w:bCs/>
          <w:sz w:val="22"/>
          <w:szCs w:val="22"/>
          <w:lang w:val="fr-FR"/>
        </w:rPr>
        <w:tab/>
      </w:r>
      <w:r w:rsidR="00DA3B0B" w:rsidRPr="00271E54">
        <w:rPr>
          <w:bCs/>
          <w:sz w:val="22"/>
          <w:szCs w:val="22"/>
          <w:lang w:val="fr-FR"/>
        </w:rPr>
        <w:t>RECON</w:t>
      </w:r>
      <w:r w:rsidR="00F91986" w:rsidRPr="00271E54">
        <w:rPr>
          <w:bCs/>
          <w:sz w:val="22"/>
          <w:szCs w:val="22"/>
          <w:lang w:val="fr-FR"/>
        </w:rPr>
        <w:t>NAISSANT</w:t>
      </w:r>
      <w:r w:rsidR="009A1C30" w:rsidRPr="009A1C30">
        <w:rPr>
          <w:bCs/>
          <w:sz w:val="22"/>
          <w:szCs w:val="22"/>
          <w:lang w:val="fr-FR"/>
        </w:rPr>
        <w:t xml:space="preserve"> </w:t>
      </w:r>
      <w:r w:rsidR="00F91986">
        <w:rPr>
          <w:bCs/>
          <w:sz w:val="22"/>
          <w:szCs w:val="22"/>
          <w:lang w:val="fr-FR"/>
        </w:rPr>
        <w:t>qu</w:t>
      </w:r>
      <w:r w:rsidR="00271E54">
        <w:rPr>
          <w:bCs/>
          <w:sz w:val="22"/>
          <w:szCs w:val="22"/>
          <w:lang w:val="fr-FR"/>
        </w:rPr>
        <w:t>’autour des dauphins de rivière ont été prises de</w:t>
      </w:r>
      <w:r w:rsidR="00F91986">
        <w:rPr>
          <w:bCs/>
          <w:sz w:val="22"/>
          <w:szCs w:val="22"/>
          <w:lang w:val="fr-FR"/>
        </w:rPr>
        <w:t xml:space="preserve">s mesures d’utilisation rationnelle de Sites Ramsar qui </w:t>
      </w:r>
      <w:r w:rsidR="00271E54">
        <w:rPr>
          <w:bCs/>
          <w:sz w:val="22"/>
          <w:szCs w:val="22"/>
          <w:lang w:val="fr-FR"/>
        </w:rPr>
        <w:t>profitent</w:t>
      </w:r>
      <w:r w:rsidR="00F91986">
        <w:rPr>
          <w:bCs/>
          <w:sz w:val="22"/>
          <w:szCs w:val="22"/>
          <w:lang w:val="fr-FR"/>
        </w:rPr>
        <w:t xml:space="preserve"> aux communautés locales, telles que le tourisme d’observation </w:t>
      </w:r>
      <w:r w:rsidR="008869E2">
        <w:rPr>
          <w:bCs/>
          <w:sz w:val="22"/>
          <w:szCs w:val="22"/>
          <w:lang w:val="fr-FR"/>
        </w:rPr>
        <w:t>responsable des dauphins</w:t>
      </w:r>
      <w:r w:rsidR="00BE19F2">
        <w:rPr>
          <w:bCs/>
          <w:sz w:val="22"/>
          <w:szCs w:val="22"/>
          <w:lang w:val="fr-FR"/>
        </w:rPr>
        <w:t>, le développement d’accords de pêche, la restauration de forêts inondées et l’utilisation de produits ligneux et non ligneux</w:t>
      </w:r>
      <w:r w:rsidR="00271E54">
        <w:rPr>
          <w:bCs/>
          <w:sz w:val="22"/>
          <w:szCs w:val="22"/>
          <w:lang w:val="fr-FR"/>
        </w:rPr>
        <w:t>, et que</w:t>
      </w:r>
      <w:r w:rsidR="00BE19F2">
        <w:rPr>
          <w:bCs/>
          <w:sz w:val="22"/>
          <w:szCs w:val="22"/>
          <w:lang w:val="fr-FR"/>
        </w:rPr>
        <w:t xml:space="preserve"> les communautés et peuples autochtones, y compris les femmes et d’autres groupes vulnérables, jouent un rôle fondamental dans la conservation de ces espèces des zones humides ;</w:t>
      </w:r>
    </w:p>
    <w:p w14:paraId="7A50F1C8" w14:textId="77777777" w:rsidR="00000015" w:rsidRPr="00E5257C" w:rsidRDefault="00000015" w:rsidP="00A50A41">
      <w:pPr>
        <w:ind w:left="425" w:hanging="425"/>
        <w:rPr>
          <w:bCs/>
          <w:sz w:val="22"/>
          <w:szCs w:val="22"/>
          <w:lang w:val="fr-FR"/>
        </w:rPr>
      </w:pPr>
    </w:p>
    <w:p w14:paraId="1D25BAA8" w14:textId="7FE8C3C9" w:rsidR="00000015" w:rsidRPr="00E5257C" w:rsidRDefault="00000015" w:rsidP="00A50A41">
      <w:pPr>
        <w:ind w:left="425" w:hanging="425"/>
        <w:rPr>
          <w:bCs/>
          <w:sz w:val="22"/>
          <w:szCs w:val="22"/>
          <w:lang w:val="fr-FR"/>
        </w:rPr>
      </w:pPr>
      <w:r w:rsidRPr="00E5257C">
        <w:rPr>
          <w:bCs/>
          <w:sz w:val="22"/>
          <w:szCs w:val="22"/>
          <w:lang w:val="fr-FR"/>
        </w:rPr>
        <w:t>1</w:t>
      </w:r>
      <w:r w:rsidR="007940BD" w:rsidRPr="00E5257C">
        <w:rPr>
          <w:bCs/>
          <w:sz w:val="22"/>
          <w:szCs w:val="22"/>
          <w:lang w:val="fr-FR"/>
        </w:rPr>
        <w:t>6</w:t>
      </w:r>
      <w:r w:rsidRPr="00E5257C">
        <w:rPr>
          <w:bCs/>
          <w:sz w:val="22"/>
          <w:szCs w:val="22"/>
          <w:lang w:val="fr-FR"/>
        </w:rPr>
        <w:t>.</w:t>
      </w:r>
      <w:r w:rsidR="00A50A41" w:rsidRPr="00E5257C">
        <w:rPr>
          <w:bCs/>
          <w:sz w:val="22"/>
          <w:szCs w:val="22"/>
          <w:lang w:val="fr-FR"/>
        </w:rPr>
        <w:tab/>
      </w:r>
      <w:r w:rsidR="00BE19F2">
        <w:rPr>
          <w:bCs/>
          <w:sz w:val="22"/>
          <w:szCs w:val="22"/>
          <w:lang w:val="fr-FR"/>
        </w:rPr>
        <w:t xml:space="preserve">OBSERVANT EN OUTRE que la Résolution </w:t>
      </w:r>
      <w:r w:rsidRPr="00E5257C">
        <w:rPr>
          <w:bCs/>
          <w:sz w:val="22"/>
          <w:szCs w:val="22"/>
          <w:lang w:val="fr-FR"/>
        </w:rPr>
        <w:t xml:space="preserve">12.23 de la CMS </w:t>
      </w:r>
      <w:r w:rsidR="00BE19F2">
        <w:rPr>
          <w:bCs/>
          <w:sz w:val="22"/>
          <w:szCs w:val="22"/>
          <w:lang w:val="fr-FR"/>
        </w:rPr>
        <w:t xml:space="preserve">sur le tourisme durable et les espèces migratrices </w:t>
      </w:r>
      <w:r w:rsidR="00F27FB9">
        <w:rPr>
          <w:bCs/>
          <w:sz w:val="22"/>
          <w:szCs w:val="22"/>
          <w:lang w:val="fr-FR"/>
        </w:rPr>
        <w:t xml:space="preserve">englobe </w:t>
      </w:r>
      <w:r w:rsidR="00C946FF">
        <w:rPr>
          <w:bCs/>
          <w:sz w:val="22"/>
          <w:szCs w:val="22"/>
          <w:lang w:val="fr-FR"/>
        </w:rPr>
        <w:t>d</w:t>
      </w:r>
      <w:r w:rsidR="00F27FB9">
        <w:rPr>
          <w:bCs/>
          <w:sz w:val="22"/>
          <w:szCs w:val="22"/>
          <w:lang w:val="fr-FR"/>
        </w:rPr>
        <w:t>es principes généraux garantiss</w:t>
      </w:r>
      <w:r w:rsidR="00C946FF">
        <w:rPr>
          <w:bCs/>
          <w:sz w:val="22"/>
          <w:szCs w:val="22"/>
          <w:lang w:val="fr-FR"/>
        </w:rPr>
        <w:t>a</w:t>
      </w:r>
      <w:r w:rsidR="00F27FB9">
        <w:rPr>
          <w:bCs/>
          <w:sz w:val="22"/>
          <w:szCs w:val="22"/>
          <w:lang w:val="fr-FR"/>
        </w:rPr>
        <w:t xml:space="preserve">nt </w:t>
      </w:r>
      <w:r w:rsidR="00C946FF">
        <w:rPr>
          <w:bCs/>
          <w:sz w:val="22"/>
          <w:szCs w:val="22"/>
          <w:lang w:val="fr-FR"/>
        </w:rPr>
        <w:t>des</w:t>
      </w:r>
      <w:r w:rsidR="00F27FB9">
        <w:rPr>
          <w:bCs/>
          <w:sz w:val="22"/>
          <w:szCs w:val="22"/>
          <w:lang w:val="fr-FR"/>
        </w:rPr>
        <w:t xml:space="preserve"> activités touristiques bénéfiques et non préjudiciables aux espèces migratrices, </w:t>
      </w:r>
      <w:r w:rsidR="00C946FF">
        <w:rPr>
          <w:bCs/>
          <w:sz w:val="22"/>
          <w:szCs w:val="22"/>
          <w:lang w:val="fr-FR"/>
        </w:rPr>
        <w:t>ainsi que</w:t>
      </w:r>
      <w:r w:rsidR="00F27FB9">
        <w:rPr>
          <w:bCs/>
          <w:sz w:val="22"/>
          <w:szCs w:val="22"/>
          <w:lang w:val="fr-FR"/>
        </w:rPr>
        <w:t xml:space="preserve"> la participation des communautés locales et les avantages qu’elles en retirent ; et </w:t>
      </w:r>
    </w:p>
    <w:p w14:paraId="75888B8F" w14:textId="77777777" w:rsidR="0006458C" w:rsidRPr="00E5257C" w:rsidRDefault="0006458C" w:rsidP="00A50A41">
      <w:pPr>
        <w:ind w:left="425" w:hanging="425"/>
        <w:rPr>
          <w:bCs/>
          <w:sz w:val="22"/>
          <w:szCs w:val="22"/>
          <w:lang w:val="fr-FR"/>
        </w:rPr>
      </w:pPr>
    </w:p>
    <w:p w14:paraId="22F7AA82" w14:textId="140CA4BA" w:rsidR="0004759E" w:rsidRPr="00E5257C" w:rsidRDefault="0006458C" w:rsidP="00A50A41">
      <w:pPr>
        <w:ind w:left="425" w:hanging="425"/>
        <w:rPr>
          <w:bCs/>
          <w:sz w:val="22"/>
          <w:szCs w:val="22"/>
          <w:lang w:val="fr-FR"/>
        </w:rPr>
      </w:pPr>
      <w:r w:rsidRPr="00E5257C">
        <w:rPr>
          <w:bCs/>
          <w:sz w:val="22"/>
          <w:szCs w:val="22"/>
          <w:lang w:val="fr-FR"/>
        </w:rPr>
        <w:t>1</w:t>
      </w:r>
      <w:r w:rsidR="007940BD" w:rsidRPr="00E5257C">
        <w:rPr>
          <w:bCs/>
          <w:sz w:val="22"/>
          <w:szCs w:val="22"/>
          <w:lang w:val="fr-FR"/>
        </w:rPr>
        <w:t>7</w:t>
      </w:r>
      <w:r w:rsidRPr="00E5257C">
        <w:rPr>
          <w:bCs/>
          <w:sz w:val="22"/>
          <w:szCs w:val="22"/>
          <w:lang w:val="fr-FR"/>
        </w:rPr>
        <w:t>.</w:t>
      </w:r>
      <w:r w:rsidR="00A50A41" w:rsidRPr="00E5257C">
        <w:rPr>
          <w:bCs/>
          <w:sz w:val="22"/>
          <w:szCs w:val="22"/>
          <w:lang w:val="fr-FR"/>
        </w:rPr>
        <w:tab/>
      </w:r>
      <w:r w:rsidR="0004759E" w:rsidRPr="00E5257C">
        <w:rPr>
          <w:bCs/>
          <w:sz w:val="22"/>
          <w:szCs w:val="22"/>
          <w:lang w:val="fr-FR"/>
        </w:rPr>
        <w:t>CONSCIENTE</w:t>
      </w:r>
      <w:r w:rsidR="00F27FB9">
        <w:rPr>
          <w:bCs/>
          <w:sz w:val="22"/>
          <w:szCs w:val="22"/>
          <w:lang w:val="fr-FR"/>
        </w:rPr>
        <w:t xml:space="preserve"> du travail que réalisent les Parties contractantes pour </w:t>
      </w:r>
      <w:r w:rsidR="00C946FF">
        <w:rPr>
          <w:bCs/>
          <w:sz w:val="22"/>
          <w:szCs w:val="22"/>
          <w:lang w:val="fr-FR"/>
        </w:rPr>
        <w:t xml:space="preserve">développer des </w:t>
      </w:r>
      <w:r w:rsidR="00F27FB9">
        <w:rPr>
          <w:bCs/>
          <w:sz w:val="22"/>
          <w:szCs w:val="22"/>
          <w:lang w:val="fr-FR"/>
        </w:rPr>
        <w:t xml:space="preserve">outils </w:t>
      </w:r>
      <w:r w:rsidR="00C946FF">
        <w:rPr>
          <w:bCs/>
          <w:sz w:val="22"/>
          <w:szCs w:val="22"/>
          <w:lang w:val="fr-FR"/>
        </w:rPr>
        <w:t>axés sur</w:t>
      </w:r>
      <w:r w:rsidR="00F27FB9">
        <w:rPr>
          <w:bCs/>
          <w:sz w:val="22"/>
          <w:szCs w:val="22"/>
          <w:lang w:val="fr-FR"/>
        </w:rPr>
        <w:t xml:space="preserve"> la conservation et l’utilisation durable des espèces de vertébrés aquatiques et plus particulièrement des dauphins de rivière ;</w:t>
      </w:r>
      <w:r w:rsidR="00095336">
        <w:rPr>
          <w:bCs/>
          <w:sz w:val="22"/>
          <w:szCs w:val="22"/>
          <w:lang w:val="fr-FR"/>
        </w:rPr>
        <w:t xml:space="preserve"> </w:t>
      </w:r>
    </w:p>
    <w:p w14:paraId="14BAAA8C" w14:textId="77777777" w:rsidR="007E76FA" w:rsidRPr="00E5257C" w:rsidRDefault="007E76FA" w:rsidP="001C126B">
      <w:pPr>
        <w:jc w:val="both"/>
        <w:rPr>
          <w:bCs/>
          <w:sz w:val="22"/>
          <w:szCs w:val="22"/>
          <w:lang w:val="fr-FR"/>
        </w:rPr>
      </w:pPr>
    </w:p>
    <w:p w14:paraId="766D39D1" w14:textId="276291E2" w:rsidR="007E76FA" w:rsidRPr="00F27FB9" w:rsidRDefault="007E76FA" w:rsidP="00A50A41">
      <w:pPr>
        <w:jc w:val="center"/>
        <w:rPr>
          <w:bCs/>
          <w:sz w:val="22"/>
          <w:szCs w:val="22"/>
          <w:lang w:val="fr-FR"/>
        </w:rPr>
      </w:pPr>
      <w:r w:rsidRPr="00F27FB9">
        <w:rPr>
          <w:bCs/>
          <w:sz w:val="22"/>
          <w:szCs w:val="22"/>
          <w:lang w:val="fr-FR"/>
        </w:rPr>
        <w:t>LA CONF</w:t>
      </w:r>
      <w:r w:rsidR="00F27FB9">
        <w:rPr>
          <w:bCs/>
          <w:sz w:val="22"/>
          <w:szCs w:val="22"/>
          <w:lang w:val="fr-FR"/>
        </w:rPr>
        <w:t>ÉRENCE DES PARTIES CONTRACTANTES</w:t>
      </w:r>
    </w:p>
    <w:p w14:paraId="3AF7A996" w14:textId="77777777" w:rsidR="00D97FB6" w:rsidRPr="00F27FB9" w:rsidRDefault="00D97FB6" w:rsidP="001C126B">
      <w:pPr>
        <w:jc w:val="both"/>
        <w:rPr>
          <w:bCs/>
          <w:sz w:val="22"/>
          <w:szCs w:val="22"/>
          <w:lang w:val="fr-FR"/>
        </w:rPr>
      </w:pPr>
    </w:p>
    <w:p w14:paraId="0AEA87C0" w14:textId="706D2EA2" w:rsidR="007768C1" w:rsidRPr="00F27FB9" w:rsidRDefault="007940BD" w:rsidP="00A50A41">
      <w:pPr>
        <w:ind w:left="425" w:hanging="425"/>
        <w:rPr>
          <w:bCs/>
          <w:sz w:val="22"/>
          <w:szCs w:val="22"/>
          <w:lang w:val="fr-FR"/>
        </w:rPr>
      </w:pPr>
      <w:r w:rsidRPr="00F27FB9">
        <w:rPr>
          <w:bCs/>
          <w:sz w:val="22"/>
          <w:szCs w:val="22"/>
          <w:lang w:val="fr-FR"/>
        </w:rPr>
        <w:t>18.</w:t>
      </w:r>
      <w:r w:rsidR="00A50A41" w:rsidRPr="00F27FB9">
        <w:rPr>
          <w:bCs/>
          <w:sz w:val="22"/>
          <w:szCs w:val="22"/>
          <w:lang w:val="fr-FR"/>
        </w:rPr>
        <w:tab/>
      </w:r>
      <w:r w:rsidR="00F27FB9">
        <w:rPr>
          <w:bCs/>
          <w:sz w:val="22"/>
          <w:szCs w:val="22"/>
          <w:lang w:val="fr-FR"/>
        </w:rPr>
        <w:t xml:space="preserve">ENCOURAGE les Parties contractantes à renforcer leurs mesures de gestion et de conservation </w:t>
      </w:r>
      <w:r w:rsidR="00F273E7">
        <w:rPr>
          <w:bCs/>
          <w:sz w:val="22"/>
          <w:szCs w:val="22"/>
          <w:lang w:val="fr-FR"/>
        </w:rPr>
        <w:t>des</w:t>
      </w:r>
      <w:r w:rsidR="00F27FB9">
        <w:rPr>
          <w:bCs/>
          <w:sz w:val="22"/>
          <w:szCs w:val="22"/>
          <w:lang w:val="fr-FR"/>
        </w:rPr>
        <w:t xml:space="preserve"> habitats de zones humides essentiels pour les dauphins de rivière. </w:t>
      </w:r>
    </w:p>
    <w:p w14:paraId="5A6A835D" w14:textId="77777777" w:rsidR="007768C1" w:rsidRPr="00F27FB9" w:rsidRDefault="007768C1" w:rsidP="00A50A41">
      <w:pPr>
        <w:ind w:left="425" w:hanging="425"/>
        <w:rPr>
          <w:bCs/>
          <w:sz w:val="22"/>
          <w:szCs w:val="22"/>
          <w:lang w:val="fr-FR"/>
        </w:rPr>
      </w:pPr>
    </w:p>
    <w:p w14:paraId="61EA80CF" w14:textId="63D107EA" w:rsidR="0004759E" w:rsidRPr="00F27FB9" w:rsidRDefault="0006458C" w:rsidP="00A50A41">
      <w:pPr>
        <w:ind w:left="425" w:hanging="425"/>
        <w:rPr>
          <w:bCs/>
          <w:sz w:val="22"/>
          <w:szCs w:val="22"/>
          <w:lang w:val="fr-FR"/>
        </w:rPr>
      </w:pPr>
      <w:r w:rsidRPr="00F27FB9">
        <w:rPr>
          <w:bCs/>
          <w:sz w:val="22"/>
          <w:szCs w:val="22"/>
          <w:lang w:val="fr-FR"/>
        </w:rPr>
        <w:t>1</w:t>
      </w:r>
      <w:r w:rsidR="007940BD" w:rsidRPr="00F27FB9">
        <w:rPr>
          <w:bCs/>
          <w:sz w:val="22"/>
          <w:szCs w:val="22"/>
          <w:lang w:val="fr-FR"/>
        </w:rPr>
        <w:t>9</w:t>
      </w:r>
      <w:r w:rsidRPr="00F27FB9">
        <w:rPr>
          <w:bCs/>
          <w:sz w:val="22"/>
          <w:szCs w:val="22"/>
          <w:lang w:val="fr-FR"/>
        </w:rPr>
        <w:t>.</w:t>
      </w:r>
      <w:r w:rsidR="00A50A41" w:rsidRPr="00F27FB9">
        <w:rPr>
          <w:bCs/>
          <w:sz w:val="22"/>
          <w:szCs w:val="22"/>
          <w:lang w:val="fr-FR"/>
        </w:rPr>
        <w:tab/>
      </w:r>
      <w:r w:rsidR="0004759E" w:rsidRPr="00F27FB9">
        <w:rPr>
          <w:bCs/>
          <w:sz w:val="22"/>
          <w:szCs w:val="22"/>
          <w:lang w:val="fr-FR"/>
        </w:rPr>
        <w:t>INVIT</w:t>
      </w:r>
      <w:r w:rsidR="00F27FB9">
        <w:rPr>
          <w:bCs/>
          <w:sz w:val="22"/>
          <w:szCs w:val="22"/>
          <w:lang w:val="fr-FR"/>
        </w:rPr>
        <w:t xml:space="preserve">E les Parties contractantes à considérer les dauphins de rivière comme des espèces clés pour les différents niveaux de la biodiversité, </w:t>
      </w:r>
      <w:r w:rsidR="0026649B">
        <w:rPr>
          <w:bCs/>
          <w:sz w:val="22"/>
          <w:szCs w:val="22"/>
          <w:lang w:val="fr-FR"/>
        </w:rPr>
        <w:t xml:space="preserve">et </w:t>
      </w:r>
      <w:r w:rsidR="00F27FB9">
        <w:rPr>
          <w:bCs/>
          <w:sz w:val="22"/>
          <w:szCs w:val="22"/>
          <w:lang w:val="fr-FR"/>
        </w:rPr>
        <w:t xml:space="preserve">en particulier pour la gestion des zones humides et les moyens d’existence des communautés humaines associées à ces </w:t>
      </w:r>
      <w:r w:rsidR="00250226">
        <w:rPr>
          <w:bCs/>
          <w:sz w:val="22"/>
          <w:szCs w:val="22"/>
          <w:lang w:val="fr-FR"/>
        </w:rPr>
        <w:t xml:space="preserve">écosystèmes, et d’appliquer les mesures suivantes : </w:t>
      </w:r>
    </w:p>
    <w:p w14:paraId="7C5C6601" w14:textId="77777777" w:rsidR="0004759E" w:rsidRPr="00F27FB9" w:rsidRDefault="0004759E" w:rsidP="00A50A41">
      <w:pPr>
        <w:rPr>
          <w:bCs/>
          <w:sz w:val="22"/>
          <w:szCs w:val="22"/>
          <w:lang w:val="fr-FR"/>
        </w:rPr>
      </w:pPr>
    </w:p>
    <w:p w14:paraId="7FC22846" w14:textId="7E6A6898" w:rsidR="0004759E" w:rsidRPr="00F27FB9" w:rsidRDefault="00EA23D4" w:rsidP="00A50A41">
      <w:pPr>
        <w:pStyle w:val="ListParagraph"/>
        <w:numPr>
          <w:ilvl w:val="0"/>
          <w:numId w:val="2"/>
        </w:numPr>
        <w:ind w:left="850" w:hanging="425"/>
        <w:rPr>
          <w:bCs/>
          <w:sz w:val="22"/>
          <w:szCs w:val="22"/>
          <w:lang w:val="fr-FR"/>
        </w:rPr>
      </w:pPr>
      <w:r>
        <w:rPr>
          <w:bCs/>
          <w:sz w:val="22"/>
          <w:szCs w:val="22"/>
          <w:lang w:val="fr-FR"/>
        </w:rPr>
        <w:t>s’efforcer de faire cesser et d’inverser la diminution de toutes les populations de dauphins de rivière dans leur aire de répartition</w:t>
      </w:r>
      <w:r w:rsidR="00914DB7">
        <w:rPr>
          <w:bCs/>
          <w:sz w:val="22"/>
          <w:szCs w:val="22"/>
          <w:lang w:val="fr-FR"/>
        </w:rPr>
        <w:t> ;</w:t>
      </w:r>
      <w:r>
        <w:rPr>
          <w:bCs/>
          <w:sz w:val="22"/>
          <w:szCs w:val="22"/>
          <w:lang w:val="fr-FR"/>
        </w:rPr>
        <w:t xml:space="preserve"> stabiliser et augmenter les populations les plus menacées ;</w:t>
      </w:r>
    </w:p>
    <w:p w14:paraId="569005A2" w14:textId="0CE32452" w:rsidR="0004759E" w:rsidRPr="00F27FB9" w:rsidRDefault="00914DB7" w:rsidP="00A50A41">
      <w:pPr>
        <w:pStyle w:val="ListParagraph"/>
        <w:numPr>
          <w:ilvl w:val="0"/>
          <w:numId w:val="2"/>
        </w:numPr>
        <w:ind w:left="850" w:hanging="425"/>
        <w:rPr>
          <w:bCs/>
          <w:sz w:val="22"/>
          <w:szCs w:val="22"/>
          <w:lang w:val="fr-FR"/>
        </w:rPr>
      </w:pPr>
      <w:r>
        <w:rPr>
          <w:bCs/>
          <w:sz w:val="22"/>
          <w:szCs w:val="22"/>
          <w:lang w:val="fr-FR"/>
        </w:rPr>
        <w:t>prendre des mesures</w:t>
      </w:r>
      <w:r w:rsidR="00EA23D4">
        <w:rPr>
          <w:bCs/>
          <w:sz w:val="22"/>
          <w:szCs w:val="22"/>
          <w:lang w:val="fr-FR"/>
        </w:rPr>
        <w:t xml:space="preserve"> de gestion, de conservation, de protection et d’utilisable durable et restaurer efficacement les habitats des dauphins de rivière, notamment par la création d’un réseau d’habitats fluviaux et lentiques protégé</w:t>
      </w:r>
      <w:r w:rsidR="00DC47E3">
        <w:rPr>
          <w:bCs/>
          <w:sz w:val="22"/>
          <w:szCs w:val="22"/>
          <w:lang w:val="fr-FR"/>
        </w:rPr>
        <w:t>s</w:t>
      </w:r>
      <w:r w:rsidR="00EA23D4">
        <w:rPr>
          <w:bCs/>
          <w:sz w:val="22"/>
          <w:szCs w:val="22"/>
          <w:lang w:val="fr-FR"/>
        </w:rPr>
        <w:t xml:space="preserve"> et connecté</w:t>
      </w:r>
      <w:r w:rsidR="00DC47E3">
        <w:rPr>
          <w:bCs/>
          <w:sz w:val="22"/>
          <w:szCs w:val="22"/>
          <w:lang w:val="fr-FR"/>
        </w:rPr>
        <w:t xml:space="preserve">s, et </w:t>
      </w:r>
      <w:r>
        <w:rPr>
          <w:bCs/>
          <w:sz w:val="22"/>
          <w:szCs w:val="22"/>
          <w:lang w:val="fr-FR"/>
        </w:rPr>
        <w:t>renforcer</w:t>
      </w:r>
      <w:r w:rsidR="00DC47E3">
        <w:rPr>
          <w:bCs/>
          <w:sz w:val="22"/>
          <w:szCs w:val="22"/>
          <w:lang w:val="fr-FR"/>
        </w:rPr>
        <w:t xml:space="preserve"> l’efficacité de leur gestion ;</w:t>
      </w:r>
      <w:r w:rsidR="00095336">
        <w:rPr>
          <w:bCs/>
          <w:sz w:val="22"/>
          <w:szCs w:val="22"/>
          <w:lang w:val="fr-FR"/>
        </w:rPr>
        <w:t xml:space="preserve"> </w:t>
      </w:r>
    </w:p>
    <w:p w14:paraId="6E34E999" w14:textId="267F45A6" w:rsidR="0004759E" w:rsidRPr="00F27FB9" w:rsidRDefault="00DC47E3" w:rsidP="00A50A41">
      <w:pPr>
        <w:pStyle w:val="ListParagraph"/>
        <w:numPr>
          <w:ilvl w:val="0"/>
          <w:numId w:val="2"/>
        </w:numPr>
        <w:ind w:left="850" w:hanging="425"/>
        <w:rPr>
          <w:bCs/>
          <w:sz w:val="22"/>
          <w:szCs w:val="22"/>
          <w:lang w:val="fr-FR"/>
        </w:rPr>
      </w:pPr>
      <w:r>
        <w:rPr>
          <w:bCs/>
          <w:sz w:val="22"/>
          <w:szCs w:val="22"/>
          <w:lang w:val="fr-FR"/>
        </w:rPr>
        <w:t xml:space="preserve">promouvoir le développement </w:t>
      </w:r>
      <w:r w:rsidR="00914DB7">
        <w:rPr>
          <w:bCs/>
          <w:sz w:val="22"/>
          <w:szCs w:val="22"/>
          <w:lang w:val="fr-FR"/>
        </w:rPr>
        <w:t>de la recherche</w:t>
      </w:r>
      <w:r>
        <w:rPr>
          <w:bCs/>
          <w:sz w:val="22"/>
          <w:szCs w:val="22"/>
          <w:lang w:val="fr-FR"/>
        </w:rPr>
        <w:t xml:space="preserve"> scientifique et </w:t>
      </w:r>
      <w:r w:rsidR="00914DB7">
        <w:rPr>
          <w:bCs/>
          <w:sz w:val="22"/>
          <w:szCs w:val="22"/>
          <w:lang w:val="fr-FR"/>
        </w:rPr>
        <w:t>de la recherche des</w:t>
      </w:r>
      <w:r>
        <w:rPr>
          <w:bCs/>
          <w:sz w:val="22"/>
          <w:szCs w:val="22"/>
          <w:lang w:val="fr-FR"/>
        </w:rPr>
        <w:t xml:space="preserve"> communautés locales et autochtones sur les dauphins de rivière, leurs habitats et le suivi des menaces ; </w:t>
      </w:r>
    </w:p>
    <w:p w14:paraId="5CEC639E" w14:textId="0C859CB1" w:rsidR="00773F51" w:rsidRPr="00F27FB9" w:rsidRDefault="00746492" w:rsidP="00A50A41">
      <w:pPr>
        <w:pStyle w:val="ListParagraph"/>
        <w:numPr>
          <w:ilvl w:val="0"/>
          <w:numId w:val="2"/>
        </w:numPr>
        <w:ind w:left="850" w:hanging="425"/>
        <w:rPr>
          <w:bCs/>
          <w:sz w:val="22"/>
          <w:szCs w:val="22"/>
          <w:lang w:val="fr-FR"/>
        </w:rPr>
      </w:pPr>
      <w:r>
        <w:rPr>
          <w:bCs/>
          <w:sz w:val="22"/>
          <w:szCs w:val="22"/>
          <w:lang w:val="fr-FR"/>
        </w:rPr>
        <w:t>mettre en place des activités</w:t>
      </w:r>
      <w:r w:rsidR="00DC47E3">
        <w:rPr>
          <w:bCs/>
          <w:sz w:val="22"/>
          <w:szCs w:val="22"/>
          <w:lang w:val="fr-FR"/>
        </w:rPr>
        <w:t xml:space="preserve"> </w:t>
      </w:r>
      <w:r w:rsidR="00914DB7">
        <w:rPr>
          <w:bCs/>
          <w:sz w:val="22"/>
          <w:szCs w:val="22"/>
          <w:lang w:val="fr-FR"/>
        </w:rPr>
        <w:t xml:space="preserve">d’utilisation durable favorables aux communautés locales, </w:t>
      </w:r>
      <w:r w:rsidR="00DC47E3">
        <w:rPr>
          <w:bCs/>
          <w:sz w:val="22"/>
          <w:szCs w:val="22"/>
          <w:lang w:val="fr-FR"/>
        </w:rPr>
        <w:t>dans les Sites Ramsar et autres aires protégées</w:t>
      </w:r>
      <w:r w:rsidR="00914DB7">
        <w:rPr>
          <w:bCs/>
          <w:sz w:val="22"/>
          <w:szCs w:val="22"/>
          <w:lang w:val="fr-FR"/>
        </w:rPr>
        <w:t>,</w:t>
      </w:r>
      <w:r w:rsidR="00DC47E3">
        <w:rPr>
          <w:bCs/>
          <w:sz w:val="22"/>
          <w:szCs w:val="22"/>
          <w:lang w:val="fr-FR"/>
        </w:rPr>
        <w:t xml:space="preserve"> comme par exemple le tourisme d’observation responsable, la promotion d’accords de pêche, la restauration de forêts inondées et l’utilisation de produits ligneux et non ligneux, entre autres ;</w:t>
      </w:r>
    </w:p>
    <w:p w14:paraId="5A06F740" w14:textId="59F4DBB6" w:rsidR="00422D4E" w:rsidRPr="00F27FB9" w:rsidRDefault="00DC47E3" w:rsidP="00A50A41">
      <w:pPr>
        <w:pStyle w:val="ListParagraph"/>
        <w:numPr>
          <w:ilvl w:val="0"/>
          <w:numId w:val="2"/>
        </w:numPr>
        <w:ind w:left="850" w:hanging="425"/>
        <w:rPr>
          <w:bCs/>
          <w:sz w:val="22"/>
          <w:szCs w:val="22"/>
          <w:lang w:val="fr-FR"/>
        </w:rPr>
      </w:pPr>
      <w:r>
        <w:rPr>
          <w:bCs/>
          <w:sz w:val="22"/>
          <w:szCs w:val="22"/>
          <w:lang w:val="fr-FR"/>
        </w:rPr>
        <w:t>renforcer l’engagement des communautés riveraines, des peuples autochtones et d’autres groupes ethniques par une approche inclusive de la conservation et de l’utilisation durable des ressources naturelles ;</w:t>
      </w:r>
    </w:p>
    <w:p w14:paraId="363051A8" w14:textId="6A0740A9" w:rsidR="0004759E" w:rsidRPr="00F27FB9" w:rsidRDefault="00DC47E3" w:rsidP="00A50A41">
      <w:pPr>
        <w:pStyle w:val="ListParagraph"/>
        <w:numPr>
          <w:ilvl w:val="0"/>
          <w:numId w:val="2"/>
        </w:numPr>
        <w:ind w:left="850" w:hanging="425"/>
        <w:rPr>
          <w:bCs/>
          <w:sz w:val="22"/>
          <w:szCs w:val="22"/>
          <w:lang w:val="fr-FR"/>
        </w:rPr>
      </w:pPr>
      <w:r>
        <w:rPr>
          <w:bCs/>
          <w:sz w:val="22"/>
          <w:szCs w:val="22"/>
          <w:lang w:val="fr-FR"/>
        </w:rPr>
        <w:t>promouvoir l’utilisation durable, le recours à de bonnes pratiques de pêche et autres activités économiques dans les zones humides ;</w:t>
      </w:r>
    </w:p>
    <w:p w14:paraId="76B9663B" w14:textId="05D54A51" w:rsidR="0004759E" w:rsidRPr="00F27FB9" w:rsidRDefault="00DC47E3" w:rsidP="00A50A41">
      <w:pPr>
        <w:pStyle w:val="ListParagraph"/>
        <w:numPr>
          <w:ilvl w:val="0"/>
          <w:numId w:val="2"/>
        </w:numPr>
        <w:ind w:left="850" w:hanging="425"/>
        <w:rPr>
          <w:bCs/>
          <w:sz w:val="22"/>
          <w:szCs w:val="22"/>
          <w:lang w:val="fr-FR"/>
        </w:rPr>
      </w:pPr>
      <w:r>
        <w:rPr>
          <w:bCs/>
          <w:sz w:val="22"/>
          <w:szCs w:val="22"/>
          <w:lang w:val="fr-FR"/>
        </w:rPr>
        <w:t xml:space="preserve">collaborer </w:t>
      </w:r>
      <w:r w:rsidR="00EB4A44">
        <w:rPr>
          <w:bCs/>
          <w:sz w:val="22"/>
          <w:szCs w:val="22"/>
          <w:lang w:val="fr-FR"/>
        </w:rPr>
        <w:t>avec les Parties contractantes à l’amélioration de la qualité de l’eau et de sa quantité dans ces zones humides ;</w:t>
      </w:r>
    </w:p>
    <w:p w14:paraId="7B644EB7" w14:textId="7C37122B" w:rsidR="00F8512F" w:rsidRPr="00F27FB9" w:rsidRDefault="00EB4A44" w:rsidP="00A50A41">
      <w:pPr>
        <w:pStyle w:val="ListParagraph"/>
        <w:numPr>
          <w:ilvl w:val="0"/>
          <w:numId w:val="2"/>
        </w:numPr>
        <w:ind w:left="850" w:hanging="425"/>
        <w:rPr>
          <w:bCs/>
          <w:sz w:val="22"/>
          <w:szCs w:val="22"/>
          <w:lang w:val="fr-FR"/>
        </w:rPr>
      </w:pPr>
      <w:r>
        <w:rPr>
          <w:bCs/>
          <w:sz w:val="22"/>
          <w:szCs w:val="22"/>
          <w:lang w:val="fr-FR"/>
        </w:rPr>
        <w:t>collaborer avec des partenaires, des institutions financières, des organisations de la société civile et des acteurs du secteur privé pour mobiliser des ressources financières et renforcer les capacités techniques ainsi que le transfert de technologies comme moyens de conservation et de surveillance des dauphins de rivière et de leurs habitats.</w:t>
      </w:r>
    </w:p>
    <w:p w14:paraId="26DEB20E" w14:textId="77777777" w:rsidR="0004759E" w:rsidRPr="00F27FB9" w:rsidRDefault="0004759E" w:rsidP="00A50A41">
      <w:pPr>
        <w:rPr>
          <w:bCs/>
          <w:sz w:val="22"/>
          <w:szCs w:val="22"/>
          <w:lang w:val="fr-FR"/>
        </w:rPr>
      </w:pPr>
    </w:p>
    <w:p w14:paraId="48618399" w14:textId="2AA1BB71" w:rsidR="0004759E" w:rsidRPr="00F27FB9" w:rsidRDefault="007940BD" w:rsidP="00A50A41">
      <w:pPr>
        <w:ind w:left="425" w:hanging="425"/>
        <w:rPr>
          <w:bCs/>
          <w:sz w:val="22"/>
          <w:szCs w:val="22"/>
          <w:lang w:val="fr-FR"/>
        </w:rPr>
      </w:pPr>
      <w:r w:rsidRPr="00F27FB9">
        <w:rPr>
          <w:bCs/>
          <w:sz w:val="22"/>
          <w:szCs w:val="22"/>
          <w:lang w:val="fr-FR"/>
        </w:rPr>
        <w:lastRenderedPageBreak/>
        <w:t>20</w:t>
      </w:r>
      <w:r w:rsidR="0006458C" w:rsidRPr="00F27FB9">
        <w:rPr>
          <w:bCs/>
          <w:sz w:val="22"/>
          <w:szCs w:val="22"/>
          <w:lang w:val="fr-FR"/>
        </w:rPr>
        <w:t>.</w:t>
      </w:r>
      <w:r w:rsidR="00A50A41" w:rsidRPr="00F27FB9">
        <w:rPr>
          <w:bCs/>
          <w:sz w:val="22"/>
          <w:szCs w:val="22"/>
          <w:lang w:val="fr-FR"/>
        </w:rPr>
        <w:tab/>
      </w:r>
      <w:r w:rsidR="00EB4A44">
        <w:rPr>
          <w:bCs/>
          <w:sz w:val="22"/>
          <w:szCs w:val="22"/>
          <w:lang w:val="fr-FR"/>
        </w:rPr>
        <w:t xml:space="preserve">DEMANDE aux Parties contractantes de se concerter avec des groupes d’experts, le milieu universitaire, les communautés locales et d’assurer la liaison entre eux pour promouvoir le développement d’activités de conservation et d’utilisation durable des dauphins de rivière et d’autres vertébrés aquatiques dans les Sites Ramsar d’Asie et d’Amérique du Sud. </w:t>
      </w:r>
    </w:p>
    <w:p w14:paraId="045EE72A" w14:textId="77777777" w:rsidR="0005545F" w:rsidRPr="00F27FB9" w:rsidRDefault="0005545F" w:rsidP="00A50A41">
      <w:pPr>
        <w:ind w:left="425" w:hanging="425"/>
        <w:rPr>
          <w:bCs/>
          <w:sz w:val="22"/>
          <w:szCs w:val="22"/>
          <w:lang w:val="fr-FR"/>
        </w:rPr>
      </w:pPr>
    </w:p>
    <w:p w14:paraId="3145A6BA" w14:textId="3BF4AF6C" w:rsidR="00A50A41" w:rsidRPr="00F27FB9" w:rsidRDefault="007940BD" w:rsidP="009D7A70">
      <w:pPr>
        <w:ind w:left="425" w:hanging="425"/>
        <w:rPr>
          <w:bCs/>
          <w:sz w:val="22"/>
          <w:szCs w:val="22"/>
          <w:lang w:val="fr-FR"/>
        </w:rPr>
      </w:pPr>
      <w:r w:rsidRPr="00F27FB9">
        <w:rPr>
          <w:bCs/>
          <w:sz w:val="22"/>
          <w:szCs w:val="22"/>
          <w:lang w:val="fr-FR"/>
        </w:rPr>
        <w:t>2</w:t>
      </w:r>
      <w:r w:rsidR="0006458C" w:rsidRPr="00F27FB9">
        <w:rPr>
          <w:bCs/>
          <w:sz w:val="22"/>
          <w:szCs w:val="22"/>
          <w:lang w:val="fr-FR"/>
        </w:rPr>
        <w:t>1.</w:t>
      </w:r>
      <w:r w:rsidR="00A50A41" w:rsidRPr="00F27FB9">
        <w:rPr>
          <w:bCs/>
          <w:sz w:val="22"/>
          <w:szCs w:val="22"/>
          <w:lang w:val="fr-FR"/>
        </w:rPr>
        <w:tab/>
      </w:r>
      <w:r w:rsidR="00EB4A44">
        <w:rPr>
          <w:bCs/>
          <w:sz w:val="22"/>
          <w:szCs w:val="22"/>
          <w:lang w:val="fr-FR"/>
        </w:rPr>
        <w:t xml:space="preserve">EXHORTE les Parties contractantes à établir un mécanisme pour l’échange d’informations et d’expériences concernant les mesures prises dans le cadre de différents instruments de planification tels que la Déclaration mondiale sur les dauphins de rivière (2023) et le Plan de gestion et de conservation pour les dauphins de rivière dans les bassins de l’Amazone, de l’Orénoque et du </w:t>
      </w:r>
      <w:r w:rsidR="0005545F" w:rsidRPr="00F27FB9">
        <w:rPr>
          <w:bCs/>
          <w:sz w:val="22"/>
          <w:szCs w:val="22"/>
          <w:lang w:val="fr-FR"/>
        </w:rPr>
        <w:t xml:space="preserve">Tocantins-Araguaia, </w:t>
      </w:r>
      <w:r w:rsidR="00EB4A44">
        <w:rPr>
          <w:bCs/>
          <w:sz w:val="22"/>
          <w:szCs w:val="22"/>
          <w:lang w:val="fr-FR"/>
        </w:rPr>
        <w:t>l’Action concertée sur les dauphins du Gange dans le cadre de la CMS et les plans de gestion nationaux de ces espèces et</w:t>
      </w:r>
      <w:r w:rsidR="00746492">
        <w:rPr>
          <w:bCs/>
          <w:sz w:val="22"/>
          <w:szCs w:val="22"/>
          <w:lang w:val="fr-FR"/>
        </w:rPr>
        <w:t xml:space="preserve"> de</w:t>
      </w:r>
      <w:r w:rsidR="00EB4A44">
        <w:rPr>
          <w:bCs/>
          <w:sz w:val="22"/>
          <w:szCs w:val="22"/>
          <w:lang w:val="fr-FR"/>
        </w:rPr>
        <w:t xml:space="preserve"> leurs habitats.</w:t>
      </w:r>
    </w:p>
    <w:sectPr w:rsidR="00A50A41" w:rsidRPr="00F27FB9" w:rsidSect="009D7A70">
      <w:footerReference w:type="default" r:id="rId11"/>
      <w:pgSz w:w="12240" w:h="15840"/>
      <w:pgMar w:top="1440" w:right="1440" w:bottom="1440" w:left="1440"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65137" w14:textId="77777777" w:rsidR="00AD76E5" w:rsidRDefault="00AD76E5">
      <w:r>
        <w:separator/>
      </w:r>
    </w:p>
  </w:endnote>
  <w:endnote w:type="continuationSeparator" w:id="0">
    <w:p w14:paraId="21C34306" w14:textId="77777777" w:rsidR="00AD76E5" w:rsidRDefault="00AD76E5">
      <w:r>
        <w:continuationSeparator/>
      </w:r>
    </w:p>
  </w:endnote>
  <w:endnote w:type="continuationNotice" w:id="1">
    <w:p w14:paraId="1D98976D" w14:textId="77777777" w:rsidR="00AD76E5" w:rsidRDefault="00AD76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446D3" w14:textId="77777777" w:rsidR="00C500E5" w:rsidRPr="00A50A41" w:rsidRDefault="00C500E5" w:rsidP="00C500E5">
    <w:pPr>
      <w:tabs>
        <w:tab w:val="center" w:pos="4513"/>
        <w:tab w:val="right" w:pos="12900"/>
      </w:tabs>
      <w:ind w:left="432" w:hanging="432"/>
      <w:rPr>
        <w:rFonts w:ascii="Calibri" w:eastAsia="Calibri" w:hAnsi="Calibri" w:cs="Times New Roman"/>
        <w:noProof/>
      </w:rPr>
    </w:pPr>
    <w:r>
      <w:rPr>
        <w:rFonts w:ascii="Calibri" w:hAnsi="Calibri"/>
        <w:sz w:val="20"/>
      </w:rPr>
      <w:t>SC64 Doc.29.10</w:t>
    </w:r>
    <w:r>
      <w:rPr>
        <w:rFonts w:ascii="Calibri" w:hAnsi="Calibri"/>
      </w:rPr>
      <w:tab/>
    </w:r>
    <w:r>
      <w:rPr>
        <w:rFonts w:ascii="Calibri" w:hAnsi="Calibri"/>
      </w:rPr>
      <w:tab/>
    </w:r>
    <w:sdt>
      <w:sdtPr>
        <w:rPr>
          <w:rFonts w:ascii="Calibri" w:eastAsia="Calibri" w:hAnsi="Calibri" w:cs="Times New Roman"/>
        </w:rPr>
        <w:id w:val="2117018929"/>
        <w:docPartObj>
          <w:docPartGallery w:val="Page Numbers (Top of Page)"/>
          <w:docPartUnique/>
        </w:docPartObj>
      </w:sdtPr>
      <w:sdtEndPr>
        <w:rPr>
          <w:noProof/>
        </w:rPr>
      </w:sdtEndPr>
      <w:sdtContent>
        <w:r w:rsidRPr="001666E3">
          <w:rPr>
            <w:rFonts w:ascii="Calibri" w:eastAsia="Calibri" w:hAnsi="Calibri" w:cs="Times New Roman"/>
            <w:sz w:val="20"/>
          </w:rPr>
          <w:fldChar w:fldCharType="begin"/>
        </w:r>
        <w:r w:rsidRPr="001666E3">
          <w:rPr>
            <w:rFonts w:ascii="Calibri" w:eastAsia="Calibri" w:hAnsi="Calibri" w:cs="Times New Roman"/>
            <w:sz w:val="20"/>
          </w:rPr>
          <w:instrText xml:space="preserve"> PAGE   \* MERGEFORMAT </w:instrText>
        </w:r>
        <w:r w:rsidRPr="001666E3">
          <w:rPr>
            <w:rFonts w:ascii="Calibri" w:eastAsia="Calibri" w:hAnsi="Calibri" w:cs="Times New Roman"/>
            <w:sz w:val="20"/>
          </w:rPr>
          <w:fldChar w:fldCharType="separate"/>
        </w:r>
        <w:r>
          <w:rPr>
            <w:rFonts w:ascii="Calibri" w:eastAsia="Calibri" w:hAnsi="Calibri" w:cs="Times New Roman"/>
            <w:noProof/>
            <w:sz w:val="20"/>
          </w:rPr>
          <w:t>11</w:t>
        </w:r>
        <w:r w:rsidRPr="001666E3">
          <w:rPr>
            <w:rFonts w:ascii="Calibri" w:eastAsia="Calibri" w:hAnsi="Calibri" w:cs="Times New Roman"/>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28023" w14:textId="77777777" w:rsidR="00AD76E5" w:rsidRDefault="00AD76E5">
      <w:r>
        <w:separator/>
      </w:r>
    </w:p>
  </w:footnote>
  <w:footnote w:type="continuationSeparator" w:id="0">
    <w:p w14:paraId="376483F5" w14:textId="77777777" w:rsidR="00AD76E5" w:rsidRDefault="00AD76E5">
      <w:r>
        <w:continuationSeparator/>
      </w:r>
    </w:p>
  </w:footnote>
  <w:footnote w:type="continuationNotice" w:id="1">
    <w:p w14:paraId="43B99313" w14:textId="77777777" w:rsidR="00AD76E5" w:rsidRDefault="00AD76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7670"/>
    <w:multiLevelType w:val="hybridMultilevel"/>
    <w:tmpl w:val="08A645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28978E3"/>
    <w:multiLevelType w:val="hybridMultilevel"/>
    <w:tmpl w:val="FCAE5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3002E"/>
    <w:multiLevelType w:val="hybridMultilevel"/>
    <w:tmpl w:val="1B503E9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48E25CF2"/>
    <w:multiLevelType w:val="hybridMultilevel"/>
    <w:tmpl w:val="086452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9B73BB8"/>
    <w:multiLevelType w:val="hybridMultilevel"/>
    <w:tmpl w:val="77F0969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779A25DA"/>
    <w:multiLevelType w:val="hybridMultilevel"/>
    <w:tmpl w:val="44BA27C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761339103">
    <w:abstractNumId w:val="6"/>
  </w:num>
  <w:num w:numId="2" w16cid:durableId="1452433880">
    <w:abstractNumId w:val="0"/>
  </w:num>
  <w:num w:numId="3" w16cid:durableId="139351869">
    <w:abstractNumId w:val="3"/>
  </w:num>
  <w:num w:numId="4" w16cid:durableId="1339498253">
    <w:abstractNumId w:val="5"/>
  </w:num>
  <w:num w:numId="5" w16cid:durableId="897320530">
    <w:abstractNumId w:val="4"/>
  </w:num>
  <w:num w:numId="6" w16cid:durableId="599341280">
    <w:abstractNumId w:val="2"/>
  </w:num>
  <w:num w:numId="7" w16cid:durableId="88815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59E"/>
    <w:rsid w:val="00000015"/>
    <w:rsid w:val="00002994"/>
    <w:rsid w:val="00003065"/>
    <w:rsid w:val="000075CD"/>
    <w:rsid w:val="000118C7"/>
    <w:rsid w:val="00026053"/>
    <w:rsid w:val="00033BE2"/>
    <w:rsid w:val="00034D95"/>
    <w:rsid w:val="0004759E"/>
    <w:rsid w:val="00050042"/>
    <w:rsid w:val="0005545F"/>
    <w:rsid w:val="00062238"/>
    <w:rsid w:val="000638B7"/>
    <w:rsid w:val="0006458C"/>
    <w:rsid w:val="0006634E"/>
    <w:rsid w:val="00080B47"/>
    <w:rsid w:val="00080ED6"/>
    <w:rsid w:val="00086CC9"/>
    <w:rsid w:val="00095336"/>
    <w:rsid w:val="00095953"/>
    <w:rsid w:val="000A0C70"/>
    <w:rsid w:val="000C2BF3"/>
    <w:rsid w:val="000C681C"/>
    <w:rsid w:val="000C68E8"/>
    <w:rsid w:val="000D01F8"/>
    <w:rsid w:val="000D16A1"/>
    <w:rsid w:val="000E29AF"/>
    <w:rsid w:val="000E6026"/>
    <w:rsid w:val="000E756F"/>
    <w:rsid w:val="000F3AEA"/>
    <w:rsid w:val="0010312E"/>
    <w:rsid w:val="00105C24"/>
    <w:rsid w:val="00106444"/>
    <w:rsid w:val="00115C2E"/>
    <w:rsid w:val="001217A8"/>
    <w:rsid w:val="001347B3"/>
    <w:rsid w:val="00134940"/>
    <w:rsid w:val="001350AC"/>
    <w:rsid w:val="001401E2"/>
    <w:rsid w:val="001529AA"/>
    <w:rsid w:val="001541FB"/>
    <w:rsid w:val="001665F1"/>
    <w:rsid w:val="001702A1"/>
    <w:rsid w:val="00173B01"/>
    <w:rsid w:val="00177CA5"/>
    <w:rsid w:val="001815AF"/>
    <w:rsid w:val="0018267B"/>
    <w:rsid w:val="0019073D"/>
    <w:rsid w:val="001913D7"/>
    <w:rsid w:val="00196416"/>
    <w:rsid w:val="00196AC3"/>
    <w:rsid w:val="001970B0"/>
    <w:rsid w:val="00197551"/>
    <w:rsid w:val="001A76B8"/>
    <w:rsid w:val="001B116B"/>
    <w:rsid w:val="001C126B"/>
    <w:rsid w:val="001D66DB"/>
    <w:rsid w:val="001D6D3E"/>
    <w:rsid w:val="001D79E0"/>
    <w:rsid w:val="001E0EEC"/>
    <w:rsid w:val="001F68EF"/>
    <w:rsid w:val="00200015"/>
    <w:rsid w:val="002127BE"/>
    <w:rsid w:val="00214675"/>
    <w:rsid w:val="00222E90"/>
    <w:rsid w:val="0023315D"/>
    <w:rsid w:val="002349EC"/>
    <w:rsid w:val="00246DE5"/>
    <w:rsid w:val="00250226"/>
    <w:rsid w:val="00256602"/>
    <w:rsid w:val="00261034"/>
    <w:rsid w:val="00261B36"/>
    <w:rsid w:val="0026649B"/>
    <w:rsid w:val="0027094D"/>
    <w:rsid w:val="00271E54"/>
    <w:rsid w:val="00275111"/>
    <w:rsid w:val="0028430D"/>
    <w:rsid w:val="002856A0"/>
    <w:rsid w:val="00290031"/>
    <w:rsid w:val="00293BB6"/>
    <w:rsid w:val="00294C40"/>
    <w:rsid w:val="002A1C4B"/>
    <w:rsid w:val="002A4D93"/>
    <w:rsid w:val="002A789D"/>
    <w:rsid w:val="002B04A1"/>
    <w:rsid w:val="002B26EE"/>
    <w:rsid w:val="002B5BD3"/>
    <w:rsid w:val="002B667F"/>
    <w:rsid w:val="002B7B2B"/>
    <w:rsid w:val="002C0575"/>
    <w:rsid w:val="002C65CC"/>
    <w:rsid w:val="002C76D5"/>
    <w:rsid w:val="002D6A80"/>
    <w:rsid w:val="002E3E8D"/>
    <w:rsid w:val="003023E3"/>
    <w:rsid w:val="00303B20"/>
    <w:rsid w:val="00307057"/>
    <w:rsid w:val="00310BCB"/>
    <w:rsid w:val="003124B1"/>
    <w:rsid w:val="00317C47"/>
    <w:rsid w:val="00317CBD"/>
    <w:rsid w:val="00320314"/>
    <w:rsid w:val="00320B45"/>
    <w:rsid w:val="003217D0"/>
    <w:rsid w:val="00346B93"/>
    <w:rsid w:val="00364DB8"/>
    <w:rsid w:val="0036616A"/>
    <w:rsid w:val="003771E7"/>
    <w:rsid w:val="00383CCC"/>
    <w:rsid w:val="00384695"/>
    <w:rsid w:val="00385606"/>
    <w:rsid w:val="003A3DF0"/>
    <w:rsid w:val="003B0B53"/>
    <w:rsid w:val="003B436B"/>
    <w:rsid w:val="003B5494"/>
    <w:rsid w:val="003C13EA"/>
    <w:rsid w:val="003C234F"/>
    <w:rsid w:val="003C5A21"/>
    <w:rsid w:val="003C76BE"/>
    <w:rsid w:val="003D02F5"/>
    <w:rsid w:val="003D2F61"/>
    <w:rsid w:val="0040482A"/>
    <w:rsid w:val="004063E6"/>
    <w:rsid w:val="00406829"/>
    <w:rsid w:val="004115EB"/>
    <w:rsid w:val="004160B3"/>
    <w:rsid w:val="0041745E"/>
    <w:rsid w:val="00422545"/>
    <w:rsid w:val="00422D4E"/>
    <w:rsid w:val="00424320"/>
    <w:rsid w:val="00431610"/>
    <w:rsid w:val="00433F50"/>
    <w:rsid w:val="004411B3"/>
    <w:rsid w:val="00445EAB"/>
    <w:rsid w:val="004740F6"/>
    <w:rsid w:val="00474BEA"/>
    <w:rsid w:val="004866D8"/>
    <w:rsid w:val="004A7040"/>
    <w:rsid w:val="004B42B8"/>
    <w:rsid w:val="004E004B"/>
    <w:rsid w:val="004E0207"/>
    <w:rsid w:val="004E040D"/>
    <w:rsid w:val="004E1366"/>
    <w:rsid w:val="004E3549"/>
    <w:rsid w:val="004E4A43"/>
    <w:rsid w:val="004E680B"/>
    <w:rsid w:val="004F74F5"/>
    <w:rsid w:val="005053F3"/>
    <w:rsid w:val="00506DF5"/>
    <w:rsid w:val="00513D0F"/>
    <w:rsid w:val="0051568A"/>
    <w:rsid w:val="0051622F"/>
    <w:rsid w:val="005328EF"/>
    <w:rsid w:val="00533C1B"/>
    <w:rsid w:val="00550780"/>
    <w:rsid w:val="005521B2"/>
    <w:rsid w:val="00554E00"/>
    <w:rsid w:val="005562F4"/>
    <w:rsid w:val="00561254"/>
    <w:rsid w:val="00561ECD"/>
    <w:rsid w:val="005773CB"/>
    <w:rsid w:val="00577921"/>
    <w:rsid w:val="005807E2"/>
    <w:rsid w:val="005B6258"/>
    <w:rsid w:val="005C172F"/>
    <w:rsid w:val="005C2500"/>
    <w:rsid w:val="005C67E5"/>
    <w:rsid w:val="005D21E5"/>
    <w:rsid w:val="005D2A95"/>
    <w:rsid w:val="005D784B"/>
    <w:rsid w:val="005E1529"/>
    <w:rsid w:val="005F201A"/>
    <w:rsid w:val="00601140"/>
    <w:rsid w:val="00601155"/>
    <w:rsid w:val="0061335D"/>
    <w:rsid w:val="00615EA7"/>
    <w:rsid w:val="006164C9"/>
    <w:rsid w:val="006222A5"/>
    <w:rsid w:val="00622864"/>
    <w:rsid w:val="00623EF5"/>
    <w:rsid w:val="00625BE4"/>
    <w:rsid w:val="006267AB"/>
    <w:rsid w:val="00630708"/>
    <w:rsid w:val="00633564"/>
    <w:rsid w:val="00634D48"/>
    <w:rsid w:val="0064271A"/>
    <w:rsid w:val="00642DAD"/>
    <w:rsid w:val="00645CC7"/>
    <w:rsid w:val="00664871"/>
    <w:rsid w:val="00677B60"/>
    <w:rsid w:val="0068492F"/>
    <w:rsid w:val="00692AE2"/>
    <w:rsid w:val="00692CAA"/>
    <w:rsid w:val="006935AF"/>
    <w:rsid w:val="006A7ABC"/>
    <w:rsid w:val="006B6926"/>
    <w:rsid w:val="006D5638"/>
    <w:rsid w:val="006E10CF"/>
    <w:rsid w:val="006E1DE2"/>
    <w:rsid w:val="006E68E7"/>
    <w:rsid w:val="006E69BD"/>
    <w:rsid w:val="006F5B04"/>
    <w:rsid w:val="006F67A8"/>
    <w:rsid w:val="00700FEB"/>
    <w:rsid w:val="00704ACC"/>
    <w:rsid w:val="007168EE"/>
    <w:rsid w:val="00720F3D"/>
    <w:rsid w:val="007245B5"/>
    <w:rsid w:val="00741535"/>
    <w:rsid w:val="00745D22"/>
    <w:rsid w:val="00746492"/>
    <w:rsid w:val="00752F95"/>
    <w:rsid w:val="00762BA2"/>
    <w:rsid w:val="007649E6"/>
    <w:rsid w:val="00773F51"/>
    <w:rsid w:val="00774AB5"/>
    <w:rsid w:val="007768C1"/>
    <w:rsid w:val="00784737"/>
    <w:rsid w:val="00787299"/>
    <w:rsid w:val="00790D70"/>
    <w:rsid w:val="00793419"/>
    <w:rsid w:val="007940BD"/>
    <w:rsid w:val="007B404B"/>
    <w:rsid w:val="007B5246"/>
    <w:rsid w:val="007B6436"/>
    <w:rsid w:val="007D39FC"/>
    <w:rsid w:val="007E0525"/>
    <w:rsid w:val="007E2F73"/>
    <w:rsid w:val="007E4B8E"/>
    <w:rsid w:val="007E6B13"/>
    <w:rsid w:val="007E76FA"/>
    <w:rsid w:val="007F25EA"/>
    <w:rsid w:val="007F45E8"/>
    <w:rsid w:val="00802B09"/>
    <w:rsid w:val="00803D07"/>
    <w:rsid w:val="00805FC8"/>
    <w:rsid w:val="00811195"/>
    <w:rsid w:val="00811A38"/>
    <w:rsid w:val="00835B74"/>
    <w:rsid w:val="008378B7"/>
    <w:rsid w:val="00843A5E"/>
    <w:rsid w:val="0084493C"/>
    <w:rsid w:val="00845102"/>
    <w:rsid w:val="00855FBD"/>
    <w:rsid w:val="00864856"/>
    <w:rsid w:val="008666AE"/>
    <w:rsid w:val="00886428"/>
    <w:rsid w:val="008869E2"/>
    <w:rsid w:val="00887779"/>
    <w:rsid w:val="00887DD3"/>
    <w:rsid w:val="008B208E"/>
    <w:rsid w:val="008B3597"/>
    <w:rsid w:val="008B65EA"/>
    <w:rsid w:val="008D1642"/>
    <w:rsid w:val="008E06DB"/>
    <w:rsid w:val="008E28AB"/>
    <w:rsid w:val="008E2B89"/>
    <w:rsid w:val="008F4D81"/>
    <w:rsid w:val="00900977"/>
    <w:rsid w:val="009050DB"/>
    <w:rsid w:val="00906D34"/>
    <w:rsid w:val="00911AA6"/>
    <w:rsid w:val="00912952"/>
    <w:rsid w:val="00914DB7"/>
    <w:rsid w:val="009154C9"/>
    <w:rsid w:val="00920650"/>
    <w:rsid w:val="009235F8"/>
    <w:rsid w:val="00924120"/>
    <w:rsid w:val="00932CF9"/>
    <w:rsid w:val="00943096"/>
    <w:rsid w:val="00945286"/>
    <w:rsid w:val="009514A8"/>
    <w:rsid w:val="00951B67"/>
    <w:rsid w:val="009540B2"/>
    <w:rsid w:val="00956452"/>
    <w:rsid w:val="009565D9"/>
    <w:rsid w:val="00965551"/>
    <w:rsid w:val="00966536"/>
    <w:rsid w:val="00975800"/>
    <w:rsid w:val="00976373"/>
    <w:rsid w:val="009811CC"/>
    <w:rsid w:val="00981656"/>
    <w:rsid w:val="0099556F"/>
    <w:rsid w:val="00996FB6"/>
    <w:rsid w:val="009A0284"/>
    <w:rsid w:val="009A1C30"/>
    <w:rsid w:val="009A2EFF"/>
    <w:rsid w:val="009A329A"/>
    <w:rsid w:val="009B2546"/>
    <w:rsid w:val="009B30B1"/>
    <w:rsid w:val="009B4C86"/>
    <w:rsid w:val="009B50CF"/>
    <w:rsid w:val="009B73B2"/>
    <w:rsid w:val="009C3C9D"/>
    <w:rsid w:val="009C533D"/>
    <w:rsid w:val="009C74A2"/>
    <w:rsid w:val="009D1519"/>
    <w:rsid w:val="009D1600"/>
    <w:rsid w:val="009D50E9"/>
    <w:rsid w:val="009D7A70"/>
    <w:rsid w:val="009E3087"/>
    <w:rsid w:val="009E35B3"/>
    <w:rsid w:val="009F2074"/>
    <w:rsid w:val="009F2C0B"/>
    <w:rsid w:val="009F6305"/>
    <w:rsid w:val="009F679D"/>
    <w:rsid w:val="00A130D0"/>
    <w:rsid w:val="00A17E58"/>
    <w:rsid w:val="00A249D2"/>
    <w:rsid w:val="00A2517D"/>
    <w:rsid w:val="00A33F4C"/>
    <w:rsid w:val="00A3652D"/>
    <w:rsid w:val="00A42445"/>
    <w:rsid w:val="00A4384A"/>
    <w:rsid w:val="00A50A41"/>
    <w:rsid w:val="00A520E2"/>
    <w:rsid w:val="00A63D19"/>
    <w:rsid w:val="00A7701C"/>
    <w:rsid w:val="00A77FE3"/>
    <w:rsid w:val="00A80F79"/>
    <w:rsid w:val="00A8130B"/>
    <w:rsid w:val="00A8311C"/>
    <w:rsid w:val="00A86AB7"/>
    <w:rsid w:val="00A87659"/>
    <w:rsid w:val="00A92154"/>
    <w:rsid w:val="00A93F5E"/>
    <w:rsid w:val="00AA14BA"/>
    <w:rsid w:val="00AA42B9"/>
    <w:rsid w:val="00AB5205"/>
    <w:rsid w:val="00AC1A6C"/>
    <w:rsid w:val="00AD0678"/>
    <w:rsid w:val="00AD0A20"/>
    <w:rsid w:val="00AD0F15"/>
    <w:rsid w:val="00AD76E5"/>
    <w:rsid w:val="00AE0C70"/>
    <w:rsid w:val="00AE1034"/>
    <w:rsid w:val="00AE53B8"/>
    <w:rsid w:val="00AF2A2D"/>
    <w:rsid w:val="00AF5AEC"/>
    <w:rsid w:val="00AF67F9"/>
    <w:rsid w:val="00B01D12"/>
    <w:rsid w:val="00B07336"/>
    <w:rsid w:val="00B104A7"/>
    <w:rsid w:val="00B128B6"/>
    <w:rsid w:val="00B128C5"/>
    <w:rsid w:val="00B132CD"/>
    <w:rsid w:val="00B31A20"/>
    <w:rsid w:val="00B37003"/>
    <w:rsid w:val="00B42EEF"/>
    <w:rsid w:val="00B438DA"/>
    <w:rsid w:val="00B44569"/>
    <w:rsid w:val="00B50201"/>
    <w:rsid w:val="00B60D03"/>
    <w:rsid w:val="00B64F0D"/>
    <w:rsid w:val="00B65944"/>
    <w:rsid w:val="00B6774C"/>
    <w:rsid w:val="00B715B3"/>
    <w:rsid w:val="00B72AF7"/>
    <w:rsid w:val="00B8048A"/>
    <w:rsid w:val="00B82AFF"/>
    <w:rsid w:val="00B85E2A"/>
    <w:rsid w:val="00B93380"/>
    <w:rsid w:val="00BA3156"/>
    <w:rsid w:val="00BB3689"/>
    <w:rsid w:val="00BB68A8"/>
    <w:rsid w:val="00BC06A5"/>
    <w:rsid w:val="00BC20B0"/>
    <w:rsid w:val="00BC3DDA"/>
    <w:rsid w:val="00BD1191"/>
    <w:rsid w:val="00BE19BA"/>
    <w:rsid w:val="00BE19F2"/>
    <w:rsid w:val="00BE29AF"/>
    <w:rsid w:val="00BE41FD"/>
    <w:rsid w:val="00BF046D"/>
    <w:rsid w:val="00BF2354"/>
    <w:rsid w:val="00C117D1"/>
    <w:rsid w:val="00C1386F"/>
    <w:rsid w:val="00C14DD2"/>
    <w:rsid w:val="00C14F80"/>
    <w:rsid w:val="00C171DB"/>
    <w:rsid w:val="00C20E90"/>
    <w:rsid w:val="00C21A9E"/>
    <w:rsid w:val="00C25796"/>
    <w:rsid w:val="00C329D9"/>
    <w:rsid w:val="00C356ED"/>
    <w:rsid w:val="00C37F98"/>
    <w:rsid w:val="00C42657"/>
    <w:rsid w:val="00C432DA"/>
    <w:rsid w:val="00C45643"/>
    <w:rsid w:val="00C500E5"/>
    <w:rsid w:val="00C5386B"/>
    <w:rsid w:val="00C53B35"/>
    <w:rsid w:val="00C53CEA"/>
    <w:rsid w:val="00C64EA8"/>
    <w:rsid w:val="00C71F5B"/>
    <w:rsid w:val="00C734EC"/>
    <w:rsid w:val="00C742E2"/>
    <w:rsid w:val="00C76D79"/>
    <w:rsid w:val="00C8360D"/>
    <w:rsid w:val="00C85703"/>
    <w:rsid w:val="00C941E7"/>
    <w:rsid w:val="00C946FF"/>
    <w:rsid w:val="00CA287A"/>
    <w:rsid w:val="00CA2DE0"/>
    <w:rsid w:val="00CC0D19"/>
    <w:rsid w:val="00CC388D"/>
    <w:rsid w:val="00CD17D8"/>
    <w:rsid w:val="00CD2E9D"/>
    <w:rsid w:val="00CD5CAD"/>
    <w:rsid w:val="00CD6658"/>
    <w:rsid w:val="00CE147E"/>
    <w:rsid w:val="00CE1544"/>
    <w:rsid w:val="00CE54FB"/>
    <w:rsid w:val="00CF3587"/>
    <w:rsid w:val="00CF4484"/>
    <w:rsid w:val="00D05286"/>
    <w:rsid w:val="00D079D2"/>
    <w:rsid w:val="00D10425"/>
    <w:rsid w:val="00D15CDA"/>
    <w:rsid w:val="00D16EAA"/>
    <w:rsid w:val="00D17378"/>
    <w:rsid w:val="00D316F5"/>
    <w:rsid w:val="00D4292B"/>
    <w:rsid w:val="00D43633"/>
    <w:rsid w:val="00D4429E"/>
    <w:rsid w:val="00D47692"/>
    <w:rsid w:val="00D4769E"/>
    <w:rsid w:val="00D5593A"/>
    <w:rsid w:val="00D5752C"/>
    <w:rsid w:val="00D57CC8"/>
    <w:rsid w:val="00D60C71"/>
    <w:rsid w:val="00D6172F"/>
    <w:rsid w:val="00D6211B"/>
    <w:rsid w:val="00D631F6"/>
    <w:rsid w:val="00D66810"/>
    <w:rsid w:val="00D72B10"/>
    <w:rsid w:val="00D73C5E"/>
    <w:rsid w:val="00D77FEB"/>
    <w:rsid w:val="00D8472B"/>
    <w:rsid w:val="00D90608"/>
    <w:rsid w:val="00D908C3"/>
    <w:rsid w:val="00D90F1F"/>
    <w:rsid w:val="00D94FB9"/>
    <w:rsid w:val="00D97FB6"/>
    <w:rsid w:val="00DA3B0B"/>
    <w:rsid w:val="00DB0B41"/>
    <w:rsid w:val="00DC16E8"/>
    <w:rsid w:val="00DC312A"/>
    <w:rsid w:val="00DC47E3"/>
    <w:rsid w:val="00DC586A"/>
    <w:rsid w:val="00DD7416"/>
    <w:rsid w:val="00DE122D"/>
    <w:rsid w:val="00DE582F"/>
    <w:rsid w:val="00DF5B29"/>
    <w:rsid w:val="00DF5C58"/>
    <w:rsid w:val="00DF738F"/>
    <w:rsid w:val="00E05EC0"/>
    <w:rsid w:val="00E13151"/>
    <w:rsid w:val="00E176C2"/>
    <w:rsid w:val="00E20406"/>
    <w:rsid w:val="00E22C97"/>
    <w:rsid w:val="00E3797F"/>
    <w:rsid w:val="00E40733"/>
    <w:rsid w:val="00E4508D"/>
    <w:rsid w:val="00E47780"/>
    <w:rsid w:val="00E5058E"/>
    <w:rsid w:val="00E5257C"/>
    <w:rsid w:val="00E53470"/>
    <w:rsid w:val="00E56819"/>
    <w:rsid w:val="00E672D6"/>
    <w:rsid w:val="00E704CE"/>
    <w:rsid w:val="00E7542F"/>
    <w:rsid w:val="00E80D16"/>
    <w:rsid w:val="00E83DC0"/>
    <w:rsid w:val="00E86536"/>
    <w:rsid w:val="00E90904"/>
    <w:rsid w:val="00E942EF"/>
    <w:rsid w:val="00E96A93"/>
    <w:rsid w:val="00EA23D4"/>
    <w:rsid w:val="00EA6710"/>
    <w:rsid w:val="00EA7D07"/>
    <w:rsid w:val="00EB17A8"/>
    <w:rsid w:val="00EB29CB"/>
    <w:rsid w:val="00EB3354"/>
    <w:rsid w:val="00EB4A44"/>
    <w:rsid w:val="00EB66F3"/>
    <w:rsid w:val="00EC022B"/>
    <w:rsid w:val="00EC44C9"/>
    <w:rsid w:val="00EE503F"/>
    <w:rsid w:val="00EE63DD"/>
    <w:rsid w:val="00EE7529"/>
    <w:rsid w:val="00EF0796"/>
    <w:rsid w:val="00EF7C36"/>
    <w:rsid w:val="00F00B70"/>
    <w:rsid w:val="00F10862"/>
    <w:rsid w:val="00F1119C"/>
    <w:rsid w:val="00F1169A"/>
    <w:rsid w:val="00F12837"/>
    <w:rsid w:val="00F15A85"/>
    <w:rsid w:val="00F25E0B"/>
    <w:rsid w:val="00F273E7"/>
    <w:rsid w:val="00F27540"/>
    <w:rsid w:val="00F27FB9"/>
    <w:rsid w:val="00F30F7A"/>
    <w:rsid w:val="00F33CB6"/>
    <w:rsid w:val="00F34AA9"/>
    <w:rsid w:val="00F37708"/>
    <w:rsid w:val="00F434D0"/>
    <w:rsid w:val="00F46034"/>
    <w:rsid w:val="00F50810"/>
    <w:rsid w:val="00F57270"/>
    <w:rsid w:val="00F613D9"/>
    <w:rsid w:val="00F65A28"/>
    <w:rsid w:val="00F71BC7"/>
    <w:rsid w:val="00F8512F"/>
    <w:rsid w:val="00F91986"/>
    <w:rsid w:val="00F93508"/>
    <w:rsid w:val="00F95A4D"/>
    <w:rsid w:val="00FA79D7"/>
    <w:rsid w:val="00FB01EC"/>
    <w:rsid w:val="00FB06E8"/>
    <w:rsid w:val="00FB1528"/>
    <w:rsid w:val="00FB2FEF"/>
    <w:rsid w:val="00FB427D"/>
    <w:rsid w:val="00FB4614"/>
    <w:rsid w:val="00FB5C87"/>
    <w:rsid w:val="00FC234A"/>
    <w:rsid w:val="00FD5E20"/>
    <w:rsid w:val="00FE08C7"/>
    <w:rsid w:val="00FF0E26"/>
    <w:rsid w:val="00FF4B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CCD75"/>
  <w15:chartTrackingRefBased/>
  <w15:docId w15:val="{EF539BFD-3F5D-0B4F-B69E-752F5F5A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59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59E"/>
    <w:pPr>
      <w:ind w:left="720"/>
      <w:contextualSpacing/>
    </w:pPr>
  </w:style>
  <w:style w:type="paragraph" w:styleId="CommentText">
    <w:name w:val="annotation text"/>
    <w:basedOn w:val="Normal"/>
    <w:link w:val="CommentTextChar"/>
    <w:uiPriority w:val="99"/>
    <w:unhideWhenUsed/>
    <w:rsid w:val="0004759E"/>
    <w:rPr>
      <w:sz w:val="20"/>
      <w:szCs w:val="20"/>
    </w:rPr>
  </w:style>
  <w:style w:type="character" w:customStyle="1" w:styleId="CommentTextChar">
    <w:name w:val="Comment Text Char"/>
    <w:basedOn w:val="DefaultParagraphFont"/>
    <w:link w:val="CommentText"/>
    <w:uiPriority w:val="99"/>
    <w:rsid w:val="0004759E"/>
    <w:rPr>
      <w:sz w:val="20"/>
      <w:szCs w:val="20"/>
      <w:lang w:val="en-US"/>
    </w:rPr>
  </w:style>
  <w:style w:type="character" w:styleId="CommentReference">
    <w:name w:val="annotation reference"/>
    <w:basedOn w:val="DefaultParagraphFont"/>
    <w:uiPriority w:val="99"/>
    <w:semiHidden/>
    <w:unhideWhenUsed/>
    <w:rsid w:val="0004759E"/>
    <w:rPr>
      <w:sz w:val="16"/>
      <w:szCs w:val="16"/>
    </w:rPr>
  </w:style>
  <w:style w:type="paragraph" w:styleId="BalloonText">
    <w:name w:val="Balloon Text"/>
    <w:basedOn w:val="Normal"/>
    <w:link w:val="BalloonTextChar"/>
    <w:uiPriority w:val="99"/>
    <w:semiHidden/>
    <w:unhideWhenUsed/>
    <w:rsid w:val="0004759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759E"/>
    <w:rPr>
      <w:rFonts w:ascii="Times New Roman" w:hAnsi="Times New Roman" w:cs="Times New Roman"/>
      <w:sz w:val="18"/>
      <w:szCs w:val="18"/>
      <w:lang w:val="en-US"/>
    </w:rPr>
  </w:style>
  <w:style w:type="paragraph" w:styleId="Revision">
    <w:name w:val="Revision"/>
    <w:hidden/>
    <w:uiPriority w:val="99"/>
    <w:semiHidden/>
    <w:rsid w:val="0004759E"/>
    <w:rPr>
      <w:lang w:val="en-US"/>
    </w:rPr>
  </w:style>
  <w:style w:type="paragraph" w:styleId="CommentSubject">
    <w:name w:val="annotation subject"/>
    <w:basedOn w:val="CommentText"/>
    <w:next w:val="CommentText"/>
    <w:link w:val="CommentSubjectChar"/>
    <w:uiPriority w:val="99"/>
    <w:semiHidden/>
    <w:unhideWhenUsed/>
    <w:rsid w:val="001E0EEC"/>
    <w:rPr>
      <w:b/>
      <w:bCs/>
    </w:rPr>
  </w:style>
  <w:style w:type="character" w:customStyle="1" w:styleId="CommentSubjectChar">
    <w:name w:val="Comment Subject Char"/>
    <w:basedOn w:val="CommentTextChar"/>
    <w:link w:val="CommentSubject"/>
    <w:uiPriority w:val="99"/>
    <w:semiHidden/>
    <w:rsid w:val="001E0EEC"/>
    <w:rPr>
      <w:b/>
      <w:bCs/>
      <w:sz w:val="20"/>
      <w:szCs w:val="20"/>
      <w:lang w:val="en-US"/>
    </w:rPr>
  </w:style>
  <w:style w:type="character" w:styleId="Hyperlink">
    <w:name w:val="Hyperlink"/>
    <w:basedOn w:val="DefaultParagraphFont"/>
    <w:uiPriority w:val="99"/>
    <w:unhideWhenUsed/>
    <w:rsid w:val="00F00B70"/>
    <w:rPr>
      <w:color w:val="0563C1" w:themeColor="hyperlink"/>
      <w:u w:val="single"/>
    </w:rPr>
  </w:style>
  <w:style w:type="character" w:customStyle="1" w:styleId="Mentionnonrsolue1">
    <w:name w:val="Mention non résolue1"/>
    <w:basedOn w:val="DefaultParagraphFont"/>
    <w:uiPriority w:val="99"/>
    <w:semiHidden/>
    <w:unhideWhenUsed/>
    <w:rsid w:val="00F00B70"/>
    <w:rPr>
      <w:color w:val="605E5C"/>
      <w:shd w:val="clear" w:color="auto" w:fill="E1DFDD"/>
    </w:rPr>
  </w:style>
  <w:style w:type="paragraph" w:styleId="Header">
    <w:name w:val="header"/>
    <w:basedOn w:val="Normal"/>
    <w:link w:val="HeaderChar"/>
    <w:uiPriority w:val="99"/>
    <w:unhideWhenUsed/>
    <w:rsid w:val="00AD0A20"/>
    <w:pPr>
      <w:tabs>
        <w:tab w:val="center" w:pos="4419"/>
        <w:tab w:val="right" w:pos="8838"/>
      </w:tabs>
    </w:pPr>
  </w:style>
  <w:style w:type="character" w:customStyle="1" w:styleId="HeaderChar">
    <w:name w:val="Header Char"/>
    <w:basedOn w:val="DefaultParagraphFont"/>
    <w:link w:val="Header"/>
    <w:uiPriority w:val="99"/>
    <w:rsid w:val="00AD0A20"/>
    <w:rPr>
      <w:lang w:val="en-US"/>
    </w:rPr>
  </w:style>
  <w:style w:type="paragraph" w:styleId="Footer">
    <w:name w:val="footer"/>
    <w:basedOn w:val="Normal"/>
    <w:link w:val="FooterChar"/>
    <w:uiPriority w:val="99"/>
    <w:unhideWhenUsed/>
    <w:rsid w:val="00AD0A20"/>
    <w:pPr>
      <w:tabs>
        <w:tab w:val="center" w:pos="4419"/>
        <w:tab w:val="right" w:pos="8838"/>
      </w:tabs>
    </w:pPr>
  </w:style>
  <w:style w:type="character" w:customStyle="1" w:styleId="FooterChar">
    <w:name w:val="Footer Char"/>
    <w:basedOn w:val="DefaultParagraphFont"/>
    <w:link w:val="Footer"/>
    <w:uiPriority w:val="99"/>
    <w:rsid w:val="00AD0A20"/>
    <w:rPr>
      <w:lang w:val="en-US"/>
    </w:rPr>
  </w:style>
  <w:style w:type="paragraph" w:styleId="HTMLPreformatted">
    <w:name w:val="HTML Preformatted"/>
    <w:basedOn w:val="Normal"/>
    <w:link w:val="HTMLPreformattedChar"/>
    <w:uiPriority w:val="99"/>
    <w:semiHidden/>
    <w:unhideWhenUsed/>
    <w:rsid w:val="000075C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075CD"/>
    <w:rPr>
      <w:rFonts w:ascii="Consolas" w:hAnsi="Consolas"/>
      <w:sz w:val="20"/>
      <w:szCs w:val="20"/>
      <w:lang w:val="en-US"/>
    </w:rPr>
  </w:style>
  <w:style w:type="character" w:customStyle="1" w:styleId="ui-provider">
    <w:name w:val="ui-provider"/>
    <w:basedOn w:val="DefaultParagraphFont"/>
    <w:rsid w:val="00622864"/>
  </w:style>
  <w:style w:type="table" w:styleId="TableGrid">
    <w:name w:val="Table Grid"/>
    <w:basedOn w:val="TableNormal"/>
    <w:uiPriority w:val="59"/>
    <w:rsid w:val="00F30F7A"/>
    <w:pPr>
      <w:ind w:left="432" w:hanging="432"/>
    </w:pPr>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Text">
    <w:name w:val="DR Text"/>
    <w:basedOn w:val="Normal"/>
    <w:link w:val="DRTextChar"/>
    <w:qFormat/>
    <w:rsid w:val="00956452"/>
    <w:rPr>
      <w:rFonts w:ascii="Calibri" w:eastAsiaTheme="minorEastAsia" w:hAnsi="Calibri" w:cs="Times New Roman"/>
      <w:sz w:val="22"/>
      <w:szCs w:val="22"/>
    </w:rPr>
  </w:style>
  <w:style w:type="character" w:customStyle="1" w:styleId="DRTextChar">
    <w:name w:val="DR Text Char"/>
    <w:basedOn w:val="DefaultParagraphFont"/>
    <w:link w:val="DRText"/>
    <w:rsid w:val="00956452"/>
    <w:rPr>
      <w:rFonts w:ascii="Calibri" w:eastAsiaTheme="minorEastAsia"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677168">
      <w:bodyDiv w:val="1"/>
      <w:marLeft w:val="0"/>
      <w:marRight w:val="0"/>
      <w:marTop w:val="0"/>
      <w:marBottom w:val="0"/>
      <w:divBdr>
        <w:top w:val="none" w:sz="0" w:space="0" w:color="auto"/>
        <w:left w:val="none" w:sz="0" w:space="0" w:color="auto"/>
        <w:bottom w:val="none" w:sz="0" w:space="0" w:color="auto"/>
        <w:right w:val="none" w:sz="0" w:space="0" w:color="auto"/>
      </w:divBdr>
    </w:div>
    <w:div w:id="847451461">
      <w:bodyDiv w:val="1"/>
      <w:marLeft w:val="0"/>
      <w:marRight w:val="0"/>
      <w:marTop w:val="0"/>
      <w:marBottom w:val="0"/>
      <w:divBdr>
        <w:top w:val="none" w:sz="0" w:space="0" w:color="auto"/>
        <w:left w:val="none" w:sz="0" w:space="0" w:color="auto"/>
        <w:bottom w:val="none" w:sz="0" w:space="0" w:color="auto"/>
        <w:right w:val="none" w:sz="0" w:space="0" w:color="auto"/>
      </w:divBdr>
    </w:div>
    <w:div w:id="926571815">
      <w:bodyDiv w:val="1"/>
      <w:marLeft w:val="0"/>
      <w:marRight w:val="0"/>
      <w:marTop w:val="0"/>
      <w:marBottom w:val="0"/>
      <w:divBdr>
        <w:top w:val="none" w:sz="0" w:space="0" w:color="auto"/>
        <w:left w:val="none" w:sz="0" w:space="0" w:color="auto"/>
        <w:bottom w:val="none" w:sz="0" w:space="0" w:color="auto"/>
        <w:right w:val="none" w:sz="0" w:space="0" w:color="auto"/>
      </w:divBdr>
    </w:div>
    <w:div w:id="990400397">
      <w:bodyDiv w:val="1"/>
      <w:marLeft w:val="0"/>
      <w:marRight w:val="0"/>
      <w:marTop w:val="0"/>
      <w:marBottom w:val="0"/>
      <w:divBdr>
        <w:top w:val="none" w:sz="0" w:space="0" w:color="auto"/>
        <w:left w:val="none" w:sz="0" w:space="0" w:color="auto"/>
        <w:bottom w:val="none" w:sz="0" w:space="0" w:color="auto"/>
        <w:right w:val="none" w:sz="0" w:space="0" w:color="auto"/>
      </w:divBdr>
    </w:div>
    <w:div w:id="1278295195">
      <w:bodyDiv w:val="1"/>
      <w:marLeft w:val="0"/>
      <w:marRight w:val="0"/>
      <w:marTop w:val="0"/>
      <w:marBottom w:val="0"/>
      <w:divBdr>
        <w:top w:val="none" w:sz="0" w:space="0" w:color="auto"/>
        <w:left w:val="none" w:sz="0" w:space="0" w:color="auto"/>
        <w:bottom w:val="none" w:sz="0" w:space="0" w:color="auto"/>
        <w:right w:val="none" w:sz="0" w:space="0" w:color="auto"/>
      </w:divBdr>
    </w:div>
    <w:div w:id="189723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BD87A-689B-46CD-873D-87BA6ED73F9A}">
  <ds:schemaRefs>
    <ds:schemaRef ds:uri="http://schemas.microsoft.com/sharepoint/v3/contenttype/forms"/>
  </ds:schemaRefs>
</ds:datastoreItem>
</file>

<file path=customXml/itemProps2.xml><?xml version="1.0" encoding="utf-8"?>
<ds:datastoreItem xmlns:ds="http://schemas.openxmlformats.org/officeDocument/2006/customXml" ds:itemID="{D42F325E-2A1F-41E3-A7B4-3B9B05876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5B49DD-07D2-411F-9613-B63FB73FD3C3}">
  <ds:schemaRef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http://purl.org/dc/terms/"/>
    <ds:schemaRef ds:uri="ecaa2b1f-0678-4421-92e9-1090174541bd"/>
    <ds:schemaRef ds:uri="a3a2dff7-4331-4a95-9af9-6b2cd4e65ac3"/>
    <ds:schemaRef ds:uri="http://purl.org/dc/dcmitype/"/>
  </ds:schemaRefs>
</ds:datastoreItem>
</file>

<file path=customXml/itemProps4.xml><?xml version="1.0" encoding="utf-8"?>
<ds:datastoreItem xmlns:ds="http://schemas.openxmlformats.org/officeDocument/2006/customXml" ds:itemID="{C604C828-E5AF-4F64-BE67-CADECF619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2093</Words>
  <Characters>11936</Characters>
  <Application>Microsoft Office Word</Application>
  <DocSecurity>0</DocSecurity>
  <Lines>99</Lines>
  <Paragraphs>28</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Fundacion Omacha</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Colombia</dc:creator>
  <cp:keywords/>
  <dc:description/>
  <cp:lastModifiedBy>JENNINGS Edmund</cp:lastModifiedBy>
  <cp:revision>4</cp:revision>
  <cp:lastPrinted>2024-12-05T14:27:00Z</cp:lastPrinted>
  <dcterms:created xsi:type="dcterms:W3CDTF">2024-12-05T14:27:00Z</dcterms:created>
  <dcterms:modified xsi:type="dcterms:W3CDTF">2024-12-06T08:54:00Z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ies>
</file>