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66CFC7" w14:textId="0612F041" w:rsidR="00E22EB2" w:rsidRPr="009463E5" w:rsidRDefault="001C0355" w:rsidP="00E22EB2">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rPr>
      </w:pPr>
      <w:r w:rsidRPr="009463E5">
        <w:rPr>
          <w:rFonts w:ascii="Calibri" w:hAnsi="Calibri" w:cs="Calibri"/>
          <w:sz w:val="22"/>
          <w:szCs w:val="22"/>
        </w:rPr>
        <w:t xml:space="preserve">LA </w:t>
      </w:r>
      <w:r w:rsidR="00E22EB2" w:rsidRPr="009463E5">
        <w:rPr>
          <w:rFonts w:ascii="Calibri" w:hAnsi="Calibri" w:cs="Calibri"/>
          <w:sz w:val="22"/>
          <w:szCs w:val="22"/>
        </w:rPr>
        <w:t>CONVENCI</w:t>
      </w:r>
      <w:r w:rsidRPr="009463E5">
        <w:rPr>
          <w:rFonts w:ascii="Calibri" w:hAnsi="Calibri" w:cs="Calibri"/>
          <w:sz w:val="22"/>
          <w:szCs w:val="22"/>
        </w:rPr>
        <w:t>Ó</w:t>
      </w:r>
      <w:r w:rsidR="00E22EB2" w:rsidRPr="009463E5">
        <w:rPr>
          <w:rFonts w:ascii="Calibri" w:hAnsi="Calibri" w:cs="Calibri"/>
          <w:sz w:val="22"/>
          <w:szCs w:val="22"/>
        </w:rPr>
        <w:t>N SOBRE LOS HUMEDALES</w:t>
      </w:r>
    </w:p>
    <w:p w14:paraId="079DF0AF" w14:textId="6794AABC" w:rsidR="00E22EB2" w:rsidRPr="009463E5" w:rsidRDefault="00E22EB2" w:rsidP="00E22EB2">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rPr>
      </w:pPr>
      <w:r w:rsidRPr="009463E5">
        <w:rPr>
          <w:rFonts w:ascii="Calibri" w:hAnsi="Calibri" w:cs="Calibri"/>
          <w:sz w:val="22"/>
          <w:szCs w:val="22"/>
        </w:rPr>
        <w:t>64ª reunión del Comité Permanente</w:t>
      </w:r>
    </w:p>
    <w:p w14:paraId="7375E07C" w14:textId="1F979361" w:rsidR="00392508" w:rsidRPr="009463E5" w:rsidRDefault="00E22EB2" w:rsidP="00E22EB2">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rPr>
      </w:pPr>
      <w:r w:rsidRPr="009463E5">
        <w:rPr>
          <w:rFonts w:ascii="Calibri" w:hAnsi="Calibri" w:cs="Calibri"/>
          <w:sz w:val="22"/>
          <w:szCs w:val="22"/>
        </w:rPr>
        <w:t>Gland, Suiza, 20 al 24 de enero de 2025</w:t>
      </w:r>
    </w:p>
    <w:p w14:paraId="03262B62" w14:textId="77777777" w:rsidR="004B5A55" w:rsidRDefault="004B5A55" w:rsidP="00392508">
      <w:pPr>
        <w:jc w:val="right"/>
        <w:rPr>
          <w:rFonts w:ascii="Calibri" w:hAnsi="Calibri" w:cs="Calibri"/>
          <w:b/>
          <w:bCs/>
          <w:sz w:val="28"/>
          <w:szCs w:val="28"/>
        </w:rPr>
      </w:pPr>
    </w:p>
    <w:p w14:paraId="705494F0" w14:textId="1AB093E3" w:rsidR="00392508" w:rsidRPr="009463E5" w:rsidRDefault="00392508" w:rsidP="00392508">
      <w:pPr>
        <w:jc w:val="right"/>
        <w:rPr>
          <w:rFonts w:ascii="Calibri" w:hAnsi="Calibri" w:cs="Calibri"/>
          <w:b/>
          <w:bCs/>
          <w:sz w:val="28"/>
          <w:szCs w:val="28"/>
        </w:rPr>
      </w:pPr>
      <w:r w:rsidRPr="009463E5">
        <w:rPr>
          <w:rFonts w:ascii="Calibri" w:hAnsi="Calibri" w:cs="Calibri"/>
          <w:b/>
          <w:bCs/>
          <w:sz w:val="28"/>
          <w:szCs w:val="28"/>
        </w:rPr>
        <w:t>SC64 Doc.29.1</w:t>
      </w:r>
      <w:r w:rsidR="00034B1A" w:rsidRPr="009463E5">
        <w:rPr>
          <w:rFonts w:ascii="Calibri" w:hAnsi="Calibri" w:cs="Calibri"/>
          <w:b/>
          <w:bCs/>
          <w:sz w:val="28"/>
          <w:szCs w:val="28"/>
        </w:rPr>
        <w:t>2</w:t>
      </w:r>
    </w:p>
    <w:p w14:paraId="7E784C94" w14:textId="77777777" w:rsidR="00392508" w:rsidRPr="009463E5" w:rsidRDefault="00392508" w:rsidP="008E220A">
      <w:pPr>
        <w:jc w:val="center"/>
        <w:rPr>
          <w:rFonts w:ascii="Calibri" w:hAnsi="Calibri"/>
          <w:b/>
          <w:bCs/>
          <w:sz w:val="28"/>
          <w:szCs w:val="28"/>
          <w:lang w:eastAsia="en-US"/>
        </w:rPr>
      </w:pPr>
    </w:p>
    <w:p w14:paraId="658A816C" w14:textId="77777777" w:rsidR="001C0355" w:rsidRPr="009463E5" w:rsidRDefault="001C0355" w:rsidP="001C0355">
      <w:pPr>
        <w:jc w:val="center"/>
        <w:rPr>
          <w:rFonts w:ascii="Calibri" w:hAnsi="Calibri"/>
          <w:b/>
          <w:bCs/>
          <w:sz w:val="28"/>
          <w:szCs w:val="28"/>
          <w:lang w:eastAsia="en-US"/>
        </w:rPr>
      </w:pPr>
      <w:bookmarkStart w:id="0" w:name="_Hlk184070059"/>
      <w:r w:rsidRPr="009463E5">
        <w:rPr>
          <w:rFonts w:ascii="Calibri" w:hAnsi="Calibri"/>
          <w:b/>
          <w:bCs/>
          <w:sz w:val="28"/>
          <w:szCs w:val="28"/>
          <w:lang w:eastAsia="en-US"/>
        </w:rPr>
        <w:t>Propuesta de p</w:t>
      </w:r>
      <w:r w:rsidR="00E22EB2" w:rsidRPr="009463E5">
        <w:rPr>
          <w:rFonts w:ascii="Calibri" w:hAnsi="Calibri"/>
          <w:b/>
          <w:bCs/>
          <w:sz w:val="28"/>
          <w:szCs w:val="28"/>
          <w:lang w:eastAsia="en-US"/>
        </w:rPr>
        <w:t xml:space="preserve">royecto de resolución sobre </w:t>
      </w:r>
      <w:r w:rsidRPr="009463E5">
        <w:rPr>
          <w:rFonts w:ascii="Calibri" w:hAnsi="Calibri"/>
          <w:b/>
          <w:bCs/>
          <w:sz w:val="28"/>
          <w:szCs w:val="28"/>
          <w:lang w:eastAsia="en-US"/>
        </w:rPr>
        <w:t>la</w:t>
      </w:r>
    </w:p>
    <w:p w14:paraId="556CE625" w14:textId="0D93EBFF" w:rsidR="0091380A" w:rsidRPr="009463E5" w:rsidRDefault="00E22EB2" w:rsidP="001C0355">
      <w:pPr>
        <w:jc w:val="center"/>
        <w:rPr>
          <w:rFonts w:ascii="Calibri" w:hAnsi="Calibri"/>
          <w:b/>
          <w:bCs/>
          <w:sz w:val="28"/>
          <w:szCs w:val="28"/>
          <w:lang w:eastAsia="en-US"/>
        </w:rPr>
      </w:pPr>
      <w:r w:rsidRPr="009463E5">
        <w:rPr>
          <w:rFonts w:ascii="Calibri" w:hAnsi="Calibri"/>
          <w:b/>
          <w:bCs/>
          <w:sz w:val="28"/>
          <w:szCs w:val="28"/>
          <w:lang w:eastAsia="en-US"/>
        </w:rPr>
        <w:t>evaluación de la vulnerabilidad de los humedales</w:t>
      </w:r>
    </w:p>
    <w:p w14:paraId="3EB7E628" w14:textId="77777777" w:rsidR="001C0355" w:rsidRPr="009463E5" w:rsidRDefault="001C0355" w:rsidP="001C0355">
      <w:pPr>
        <w:jc w:val="center"/>
        <w:rPr>
          <w:rFonts w:ascii="Calibri" w:hAnsi="Calibri"/>
          <w:sz w:val="28"/>
          <w:szCs w:val="28"/>
          <w:lang w:eastAsia="en-US"/>
        </w:rPr>
      </w:pPr>
    </w:p>
    <w:bookmarkEnd w:id="0"/>
    <w:p w14:paraId="72A5C99D" w14:textId="2FFCCFF8" w:rsidR="00000578" w:rsidRPr="009463E5" w:rsidRDefault="00392508" w:rsidP="00F77707">
      <w:pPr>
        <w:rPr>
          <w:rFonts w:ascii="Calibri" w:hAnsi="Calibri"/>
          <w:i/>
          <w:iCs/>
          <w:sz w:val="22"/>
          <w:szCs w:val="22"/>
          <w:lang w:eastAsia="en-US"/>
        </w:rPr>
      </w:pPr>
      <w:r w:rsidRPr="009463E5">
        <w:rPr>
          <w:rFonts w:ascii="Calibri" w:hAnsi="Calibri" w:cs="Calibri"/>
          <w:bCs/>
          <w:i/>
          <w:iCs/>
          <w:noProof/>
        </w:rPr>
        <mc:AlternateContent>
          <mc:Choice Requires="wps">
            <w:drawing>
              <wp:anchor distT="45720" distB="45720" distL="114300" distR="114300" simplePos="0" relativeHeight="251659264" behindDoc="0" locked="0" layoutInCell="1" allowOverlap="1" wp14:anchorId="4F1C16C6" wp14:editId="4F5086C4">
                <wp:simplePos x="0" y="0"/>
                <wp:positionH relativeFrom="column">
                  <wp:posOffset>0</wp:posOffset>
                </wp:positionH>
                <wp:positionV relativeFrom="paragraph">
                  <wp:posOffset>330835</wp:posOffset>
                </wp:positionV>
                <wp:extent cx="5820410" cy="853440"/>
                <wp:effectExtent l="0" t="0" r="27940" b="22860"/>
                <wp:wrapSquare wrapText="bothSides"/>
                <wp:docPr id="512069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853440"/>
                        </a:xfrm>
                        <a:prstGeom prst="rect">
                          <a:avLst/>
                        </a:prstGeom>
                        <a:solidFill>
                          <a:srgbClr val="FFFFFF"/>
                        </a:solidFill>
                        <a:ln w="9525">
                          <a:solidFill>
                            <a:srgbClr val="000000"/>
                          </a:solidFill>
                          <a:miter lim="800000"/>
                          <a:headEnd/>
                          <a:tailEnd/>
                        </a:ln>
                      </wps:spPr>
                      <wps:txbx>
                        <w:txbxContent>
                          <w:p w14:paraId="13218C64" w14:textId="2FB259AA" w:rsidR="00392508" w:rsidRPr="00486363" w:rsidRDefault="00E22EB2" w:rsidP="00392508">
                            <w:pPr>
                              <w:ind w:left="425" w:hanging="425"/>
                              <w:rPr>
                                <w:rFonts w:ascii="Calibri" w:hAnsi="Calibri" w:cs="Calibri"/>
                                <w:b/>
                                <w:sz w:val="22"/>
                                <w:szCs w:val="22"/>
                              </w:rPr>
                            </w:pPr>
                            <w:r w:rsidRPr="00486363">
                              <w:rPr>
                                <w:rFonts w:ascii="Calibri" w:hAnsi="Calibri" w:cs="Calibri"/>
                                <w:b/>
                                <w:sz w:val="22"/>
                                <w:szCs w:val="22"/>
                              </w:rPr>
                              <w:t>Acción solicitada</w:t>
                            </w:r>
                            <w:r w:rsidR="00392508" w:rsidRPr="00486363">
                              <w:rPr>
                                <w:rFonts w:ascii="Calibri" w:hAnsi="Calibri" w:cs="Calibri"/>
                                <w:b/>
                                <w:sz w:val="22"/>
                                <w:szCs w:val="22"/>
                              </w:rPr>
                              <w:t>:</w:t>
                            </w:r>
                          </w:p>
                          <w:p w14:paraId="09139EFD" w14:textId="77777777" w:rsidR="00392508" w:rsidRPr="00486363" w:rsidRDefault="00392508" w:rsidP="00392508">
                            <w:pPr>
                              <w:ind w:left="425" w:hanging="425"/>
                              <w:rPr>
                                <w:rFonts w:ascii="Calibri" w:hAnsi="Calibri" w:cs="Calibri"/>
                                <w:b/>
                                <w:sz w:val="22"/>
                                <w:szCs w:val="22"/>
                              </w:rPr>
                            </w:pPr>
                          </w:p>
                          <w:p w14:paraId="50C70E66" w14:textId="13B27DC2" w:rsidR="00392508" w:rsidRPr="00486363" w:rsidRDefault="00E22EB2" w:rsidP="00392508">
                            <w:pPr>
                              <w:widowControl w:val="0"/>
                              <w:rPr>
                                <w:rFonts w:ascii="Calibri" w:hAnsi="Calibri" w:cs="Calibri"/>
                                <w:sz w:val="22"/>
                                <w:szCs w:val="22"/>
                              </w:rPr>
                            </w:pPr>
                            <w:r w:rsidRPr="00486363">
                              <w:rPr>
                                <w:rFonts w:ascii="Calibri" w:hAnsi="Calibri" w:cs="Calibri"/>
                                <w:sz w:val="22"/>
                                <w:szCs w:val="22"/>
                              </w:rPr>
                              <w:t xml:space="preserve">Se invita al Comité Permanente a examinar y aprobar el proyecto de resolución adjunto para su consideración por la 15ª reunión de la Conferencia de las Partes Contratantes. </w:t>
                            </w:r>
                          </w:p>
                          <w:p w14:paraId="7F804B9F" w14:textId="77777777" w:rsidR="00392508" w:rsidRPr="00486363" w:rsidRDefault="00392508" w:rsidP="00392508">
                            <w:pPr>
                              <w:widowControl w:val="0"/>
                              <w:ind w:left="425" w:hanging="425"/>
                              <w:rPr>
                                <w:sz w:val="22"/>
                                <w:szCs w:val="22"/>
                              </w:rPr>
                            </w:pPr>
                          </w:p>
                          <w:p w14:paraId="77E21A87" w14:textId="77777777" w:rsidR="00392508" w:rsidRPr="00486363" w:rsidRDefault="00392508" w:rsidP="003925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C16C6" id="_x0000_t202" coordsize="21600,21600" o:spt="202" path="m,l,21600r21600,l21600,xe">
                <v:stroke joinstyle="miter"/>
                <v:path gradientshapeok="t" o:connecttype="rect"/>
              </v:shapetype>
              <v:shape id="Text Box 2" o:spid="_x0000_s1026" type="#_x0000_t202" style="position:absolute;margin-left:0;margin-top:26.05pt;width:458.3pt;height:67.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">
                <v:textbox>
                  <w:txbxContent>
                    <w:p w14:paraId="13218C64" w14:textId="2FB259AA" w:rsidR="00392508" w:rsidRPr="00486363" w:rsidRDefault="00E22EB2" w:rsidP="00392508">
                      <w:pPr>
                        <w:ind w:left="425" w:hanging="425"/>
                        <w:rPr>
                          <w:rFonts w:ascii="Calibri" w:hAnsi="Calibri" w:cs="Calibri"/>
                          <w:b/>
                          <w:sz w:val="22"/>
                          <w:szCs w:val="22"/>
                        </w:rPr>
                      </w:pPr>
                      <w:r w:rsidRPr="00486363">
                        <w:rPr>
                          <w:rFonts w:ascii="Calibri" w:hAnsi="Calibri" w:cs="Calibri"/>
                          <w:b/>
                          <w:sz w:val="22"/>
                          <w:szCs w:val="22"/>
                        </w:rPr>
                        <w:t>Acción solicitada</w:t>
                      </w:r>
                      <w:r w:rsidR="00392508" w:rsidRPr="00486363">
                        <w:rPr>
                          <w:rFonts w:ascii="Calibri" w:hAnsi="Calibri" w:cs="Calibri"/>
                          <w:b/>
                          <w:sz w:val="22"/>
                          <w:szCs w:val="22"/>
                        </w:rPr>
                        <w:t>:</w:t>
                      </w:r>
                    </w:p>
                    <w:p w14:paraId="09139EFD" w14:textId="77777777" w:rsidR="00392508" w:rsidRPr="00486363" w:rsidRDefault="00392508" w:rsidP="00392508">
                      <w:pPr>
                        <w:ind w:left="425" w:hanging="425"/>
                        <w:rPr>
                          <w:rFonts w:ascii="Calibri" w:hAnsi="Calibri" w:cs="Calibri"/>
                          <w:b/>
                          <w:sz w:val="22"/>
                          <w:szCs w:val="22"/>
                        </w:rPr>
                      </w:pPr>
                    </w:p>
                    <w:p w14:paraId="50C70E66" w14:textId="13B27DC2" w:rsidR="00392508" w:rsidRPr="00486363" w:rsidRDefault="00E22EB2" w:rsidP="00392508">
                      <w:pPr>
                        <w:widowControl w:val="0"/>
                        <w:rPr>
                          <w:rFonts w:ascii="Calibri" w:hAnsi="Calibri" w:cs="Calibri"/>
                          <w:sz w:val="22"/>
                          <w:szCs w:val="22"/>
                        </w:rPr>
                      </w:pPr>
                      <w:r w:rsidRPr="00486363">
                        <w:rPr>
                          <w:rFonts w:ascii="Calibri" w:hAnsi="Calibri" w:cs="Calibri"/>
                          <w:sz w:val="22"/>
                          <w:szCs w:val="22"/>
                        </w:rPr>
                        <w:t>Se invita al Comité Permanente a examinar y aprobar el proyecto de resolución adjunto para su consideración por la 15ª reunión de la Conferencia de las Partes Contratantes.</w:t>
                      </w:r>
                      <w:r w:rsidRPr="00486363">
                        <w:rPr>
                          <w:rFonts w:ascii="Calibri" w:hAnsi="Calibri" w:cs="Calibri"/>
                          <w:sz w:val="22"/>
                          <w:szCs w:val="22"/>
                        </w:rPr>
                        <w:t xml:space="preserve"> </w:t>
                      </w:r>
                    </w:p>
                    <w:p w14:paraId="7F804B9F" w14:textId="77777777" w:rsidR="00392508" w:rsidRPr="00486363" w:rsidRDefault="00392508" w:rsidP="00392508">
                      <w:pPr>
                        <w:widowControl w:val="0"/>
                        <w:ind w:left="425" w:hanging="425"/>
                        <w:rPr>
                          <w:sz w:val="22"/>
                          <w:szCs w:val="22"/>
                        </w:rPr>
                      </w:pPr>
                    </w:p>
                    <w:p w14:paraId="77E21A87" w14:textId="77777777" w:rsidR="00392508" w:rsidRPr="00486363" w:rsidRDefault="00392508" w:rsidP="00392508"/>
                  </w:txbxContent>
                </v:textbox>
                <w10:wrap type="square"/>
              </v:shape>
            </w:pict>
          </mc:Fallback>
        </mc:AlternateContent>
      </w:r>
      <w:r w:rsidR="00E22EB2" w:rsidRPr="009463E5">
        <w:rPr>
          <w:rFonts w:ascii="Calibri" w:hAnsi="Calibri"/>
          <w:i/>
          <w:iCs/>
          <w:sz w:val="22"/>
          <w:szCs w:val="22"/>
          <w:lang w:eastAsia="en-US"/>
        </w:rPr>
        <w:t>Presentad</w:t>
      </w:r>
      <w:r w:rsidR="001C0355" w:rsidRPr="009463E5">
        <w:rPr>
          <w:rFonts w:ascii="Calibri" w:hAnsi="Calibri"/>
          <w:i/>
          <w:iCs/>
          <w:sz w:val="22"/>
          <w:szCs w:val="22"/>
          <w:lang w:eastAsia="en-US"/>
        </w:rPr>
        <w:t>a</w:t>
      </w:r>
      <w:r w:rsidR="00E22EB2" w:rsidRPr="009463E5">
        <w:rPr>
          <w:rFonts w:ascii="Calibri" w:hAnsi="Calibri"/>
          <w:i/>
          <w:iCs/>
          <w:sz w:val="22"/>
          <w:szCs w:val="22"/>
          <w:lang w:eastAsia="en-US"/>
        </w:rPr>
        <w:t xml:space="preserve"> por la República de Corea</w:t>
      </w:r>
    </w:p>
    <w:p w14:paraId="0DCE69F4" w14:textId="77777777" w:rsidR="001C0355" w:rsidRPr="009463E5" w:rsidRDefault="001C0355" w:rsidP="001C0355">
      <w:pPr>
        <w:pStyle w:val="DRHeading1"/>
        <w:rPr>
          <w:b w:val="0"/>
          <w:bCs w:val="0"/>
          <w:i/>
          <w:iCs/>
          <w:lang w:val="es-ES"/>
        </w:rPr>
      </w:pPr>
    </w:p>
    <w:p w14:paraId="2486E778" w14:textId="77777777" w:rsidR="001C0355" w:rsidRPr="009463E5" w:rsidRDefault="001C0355" w:rsidP="001C0355">
      <w:pPr>
        <w:pStyle w:val="DRHeading1"/>
        <w:rPr>
          <w:b w:val="0"/>
          <w:bCs w:val="0"/>
          <w:i/>
          <w:iCs/>
          <w:lang w:val="es-ES"/>
        </w:rPr>
      </w:pPr>
    </w:p>
    <w:p w14:paraId="351A307F" w14:textId="05DD3B53" w:rsidR="001C0355" w:rsidRPr="009463E5" w:rsidRDefault="001C0355" w:rsidP="001C0355">
      <w:pPr>
        <w:pStyle w:val="DRHeading1"/>
        <w:rPr>
          <w:b w:val="0"/>
          <w:bCs w:val="0"/>
          <w:i/>
          <w:iCs/>
          <w:lang w:val="es-ES"/>
        </w:rPr>
      </w:pPr>
      <w:r w:rsidRPr="009463E5">
        <w:rPr>
          <w:b w:val="0"/>
          <w:bCs w:val="0"/>
          <w:i/>
          <w:iCs/>
          <w:lang w:val="es-ES"/>
        </w:rPr>
        <w:t>Nota introductoria de la Secretaría</w:t>
      </w:r>
    </w:p>
    <w:p w14:paraId="48C33AAC" w14:textId="77777777" w:rsidR="001C0355" w:rsidRPr="009463E5" w:rsidRDefault="001C0355" w:rsidP="001C0355">
      <w:pPr>
        <w:pStyle w:val="DRHeading1"/>
        <w:rPr>
          <w:b w:val="0"/>
          <w:bCs w:val="0"/>
          <w:i/>
          <w:iCs/>
          <w:lang w:val="es-ES"/>
        </w:rPr>
      </w:pPr>
    </w:p>
    <w:p w14:paraId="04AEBDB7" w14:textId="28438B23" w:rsidR="001C0355" w:rsidRPr="009463E5" w:rsidRDefault="001C0355" w:rsidP="001C0355">
      <w:pPr>
        <w:pStyle w:val="DRText"/>
        <w:rPr>
          <w:lang w:val="es-ES"/>
        </w:rPr>
      </w:pPr>
      <w:r w:rsidRPr="009463E5">
        <w:rPr>
          <w:lang w:val="es-ES"/>
        </w:rPr>
        <w:t>El proyecto de resolución presenta un</w:t>
      </w:r>
      <w:r w:rsidR="009463E5" w:rsidRPr="009463E5">
        <w:rPr>
          <w:lang w:val="es-ES"/>
        </w:rPr>
        <w:t xml:space="preserve">a sinopsis </w:t>
      </w:r>
      <w:r w:rsidRPr="009463E5">
        <w:rPr>
          <w:lang w:val="es-ES"/>
        </w:rPr>
        <w:t>de la Herramienta de Evaluación de la Vulnerabilidad de los Humedales (</w:t>
      </w:r>
      <w:r w:rsidRPr="009463E5">
        <w:rPr>
          <w:i/>
          <w:iCs/>
          <w:lang w:val="es-ES"/>
        </w:rPr>
        <w:t>Wetland Vulnerability Assessment Tool</w:t>
      </w:r>
      <w:r w:rsidRPr="009463E5">
        <w:rPr>
          <w:lang w:val="es-ES"/>
        </w:rPr>
        <w:t xml:space="preserve">, WETVAT) elaborada por el Centro Regional Ramsar – Asia Oriental en colaboración con expertos y </w:t>
      </w:r>
      <w:r w:rsidR="009463E5" w:rsidRPr="009463E5">
        <w:rPr>
          <w:lang w:val="es-ES"/>
        </w:rPr>
        <w:t>los</w:t>
      </w:r>
      <w:r w:rsidRPr="009463E5">
        <w:rPr>
          <w:lang w:val="es-ES"/>
        </w:rPr>
        <w:t xml:space="preserve"> Gobierno</w:t>
      </w:r>
      <w:r w:rsidR="009463E5" w:rsidRPr="009463E5">
        <w:rPr>
          <w:lang w:val="es-ES"/>
        </w:rPr>
        <w:t>s</w:t>
      </w:r>
      <w:r w:rsidRPr="009463E5">
        <w:rPr>
          <w:lang w:val="es-ES"/>
        </w:rPr>
        <w:t xml:space="preserve"> de la República de Corea y de Filipinas. Invita a las Partes Contratantes y otros interesados a utilizar este método en la evaluación y gestión de los humedales.</w:t>
      </w:r>
    </w:p>
    <w:p w14:paraId="3EB0D82B" w14:textId="77777777" w:rsidR="001C0355" w:rsidRPr="009463E5" w:rsidRDefault="001C0355" w:rsidP="001C0355">
      <w:pPr>
        <w:pStyle w:val="DRText"/>
        <w:rPr>
          <w:lang w:val="es-ES"/>
        </w:rPr>
      </w:pPr>
    </w:p>
    <w:p w14:paraId="2161B66D" w14:textId="6369AD07" w:rsidR="001C0355" w:rsidRPr="009463E5" w:rsidRDefault="001C0355" w:rsidP="001C0355">
      <w:pPr>
        <w:pStyle w:val="DRText"/>
        <w:rPr>
          <w:lang w:val="es-ES"/>
        </w:rPr>
      </w:pPr>
      <w:r w:rsidRPr="009463E5">
        <w:rPr>
          <w:lang w:val="es-ES"/>
        </w:rPr>
        <w:t>Se ha invitado al GECT a examinar el proyecto de resolución.</w:t>
      </w:r>
    </w:p>
    <w:p w14:paraId="711961A1" w14:textId="77777777" w:rsidR="00392508" w:rsidRPr="009463E5" w:rsidRDefault="00392508" w:rsidP="00F77707">
      <w:pPr>
        <w:rPr>
          <w:rFonts w:ascii="Calibri" w:hAnsi="Calibri"/>
          <w:sz w:val="22"/>
          <w:szCs w:val="22"/>
          <w:lang w:eastAsia="en-US"/>
        </w:rPr>
      </w:pPr>
    </w:p>
    <w:p w14:paraId="24E40570" w14:textId="77777777" w:rsidR="001C0355" w:rsidRPr="009463E5" w:rsidRDefault="001C0355">
      <w:pPr>
        <w:rPr>
          <w:rFonts w:ascii="Calibri" w:hAnsi="Calibri"/>
          <w:b/>
          <w:bCs/>
          <w:sz w:val="22"/>
          <w:szCs w:val="22"/>
          <w:lang w:eastAsia="en-US"/>
        </w:rPr>
      </w:pPr>
      <w:r w:rsidRPr="009463E5">
        <w:br w:type="page"/>
      </w:r>
    </w:p>
    <w:p w14:paraId="395F1E4B" w14:textId="681FBEB5" w:rsidR="008E220A" w:rsidRPr="009463E5" w:rsidRDefault="00486363" w:rsidP="00392508">
      <w:pPr>
        <w:pStyle w:val="DRHeading1"/>
        <w:rPr>
          <w:lang w:val="es-ES"/>
        </w:rPr>
      </w:pPr>
      <w:r w:rsidRPr="009463E5">
        <w:rPr>
          <w:lang w:val="es-ES"/>
        </w:rPr>
        <w:lastRenderedPageBreak/>
        <w:t>Introducción</w:t>
      </w:r>
    </w:p>
    <w:p w14:paraId="540E644D" w14:textId="77777777" w:rsidR="008E220A" w:rsidRPr="009463E5" w:rsidRDefault="008E220A" w:rsidP="00392508">
      <w:pPr>
        <w:rPr>
          <w:rFonts w:ascii="Calibri" w:hAnsi="Calibri"/>
          <w:sz w:val="22"/>
          <w:szCs w:val="22"/>
          <w:lang w:eastAsia="en-US"/>
        </w:rPr>
      </w:pPr>
    </w:p>
    <w:p w14:paraId="31DDE1F1" w14:textId="64065E31" w:rsidR="002F3AB3" w:rsidRPr="009463E5" w:rsidRDefault="00E22EB2" w:rsidP="00392508">
      <w:pPr>
        <w:pStyle w:val="DRText"/>
        <w:rPr>
          <w:i/>
          <w:iCs/>
          <w:lang w:val="es-ES"/>
        </w:rPr>
      </w:pPr>
      <w:r w:rsidRPr="009463E5">
        <w:rPr>
          <w:i/>
          <w:iCs/>
          <w:lang w:val="es-ES"/>
        </w:rPr>
        <w:t>Este proyecto de resolución responde a la necesidad de garantizar el uso racional de los humedales y de reconocer, evaluar y comprender la vulnerabilidad de los humedales</w:t>
      </w:r>
      <w:r w:rsidR="00486363" w:rsidRPr="009463E5">
        <w:rPr>
          <w:i/>
          <w:iCs/>
          <w:lang w:val="es-ES"/>
        </w:rPr>
        <w:t xml:space="preserve"> frente</w:t>
      </w:r>
      <w:r w:rsidRPr="009463E5">
        <w:rPr>
          <w:i/>
          <w:iCs/>
          <w:lang w:val="es-ES"/>
        </w:rPr>
        <w:t xml:space="preserve"> a una multitud de amenazas. </w:t>
      </w:r>
    </w:p>
    <w:p w14:paraId="5CAE9D85" w14:textId="77777777" w:rsidR="002F3AB3" w:rsidRPr="009463E5" w:rsidRDefault="002F3AB3" w:rsidP="00392508">
      <w:pPr>
        <w:pStyle w:val="DRText"/>
        <w:rPr>
          <w:i/>
          <w:iCs/>
          <w:lang w:val="es-ES"/>
        </w:rPr>
      </w:pPr>
    </w:p>
    <w:p w14:paraId="2829A18F" w14:textId="22A86ECF" w:rsidR="00000578" w:rsidRPr="009463E5" w:rsidRDefault="00E22EB2" w:rsidP="00392508">
      <w:pPr>
        <w:pStyle w:val="DRText"/>
        <w:rPr>
          <w:i/>
          <w:iCs/>
          <w:lang w:val="es-ES"/>
        </w:rPr>
      </w:pPr>
      <w:r w:rsidRPr="009463E5">
        <w:rPr>
          <w:i/>
          <w:iCs/>
          <w:lang w:val="es-ES"/>
        </w:rPr>
        <w:t xml:space="preserve">El proyecto de resolución presenta una </w:t>
      </w:r>
      <w:r w:rsidR="00486363" w:rsidRPr="009463E5">
        <w:rPr>
          <w:i/>
          <w:iCs/>
          <w:color w:val="000000" w:themeColor="text1"/>
          <w:lang w:val="es-ES"/>
        </w:rPr>
        <w:t>sinopsis</w:t>
      </w:r>
      <w:r w:rsidRPr="009463E5">
        <w:rPr>
          <w:i/>
          <w:iCs/>
          <w:color w:val="000000" w:themeColor="text1"/>
          <w:lang w:val="es-ES"/>
        </w:rPr>
        <w:t xml:space="preserve"> </w:t>
      </w:r>
      <w:r w:rsidRPr="009463E5">
        <w:rPr>
          <w:i/>
          <w:iCs/>
          <w:lang w:val="es-ES"/>
        </w:rPr>
        <w:t>de la Herramienta de Evaluación de la Vulnerabilidad de los Humedales (</w:t>
      </w:r>
      <w:r w:rsidR="001C0355" w:rsidRPr="009463E5">
        <w:rPr>
          <w:lang w:val="es-ES"/>
        </w:rPr>
        <w:t>Wetland Vulnerability Assessment Tool</w:t>
      </w:r>
      <w:r w:rsidR="001C0355" w:rsidRPr="009463E5">
        <w:rPr>
          <w:i/>
          <w:iCs/>
          <w:lang w:val="es-ES"/>
        </w:rPr>
        <w:t xml:space="preserve">, </w:t>
      </w:r>
      <w:r w:rsidRPr="009463E5">
        <w:rPr>
          <w:i/>
          <w:iCs/>
          <w:lang w:val="es-ES"/>
        </w:rPr>
        <w:t xml:space="preserve">WETVAT) elaborada por el Centro Regional Ramsar </w:t>
      </w:r>
      <w:r w:rsidR="001C0355" w:rsidRPr="009463E5">
        <w:rPr>
          <w:i/>
          <w:iCs/>
          <w:lang w:val="es-ES"/>
        </w:rPr>
        <w:t>–</w:t>
      </w:r>
      <w:r w:rsidRPr="009463E5">
        <w:rPr>
          <w:i/>
          <w:iCs/>
          <w:lang w:val="es-ES"/>
        </w:rPr>
        <w:t xml:space="preserve"> Asia Oriental en colaboración con expertos y los </w:t>
      </w:r>
      <w:r w:rsidRPr="009463E5">
        <w:rPr>
          <w:i/>
          <w:iCs/>
          <w:color w:val="000000" w:themeColor="text1"/>
          <w:lang w:val="es-ES"/>
        </w:rPr>
        <w:t xml:space="preserve">Gobiernos </w:t>
      </w:r>
      <w:r w:rsidRPr="009463E5">
        <w:rPr>
          <w:i/>
          <w:iCs/>
          <w:lang w:val="es-ES"/>
        </w:rPr>
        <w:t xml:space="preserve">de la República de Corea y de Filipinas. </w:t>
      </w:r>
    </w:p>
    <w:p w14:paraId="442A8C40" w14:textId="77777777" w:rsidR="00000578" w:rsidRPr="009463E5" w:rsidRDefault="00000578" w:rsidP="00392508">
      <w:pPr>
        <w:pStyle w:val="DRText"/>
        <w:rPr>
          <w:i/>
          <w:iCs/>
          <w:lang w:val="es-ES"/>
        </w:rPr>
      </w:pPr>
    </w:p>
    <w:p w14:paraId="1B14FC3D" w14:textId="07AAB267" w:rsidR="00A824F1" w:rsidRPr="009463E5" w:rsidRDefault="008E7654" w:rsidP="00392508">
      <w:pPr>
        <w:pStyle w:val="DRText"/>
        <w:rPr>
          <w:i/>
          <w:iCs/>
          <w:lang w:val="es-ES"/>
        </w:rPr>
      </w:pPr>
      <w:r w:rsidRPr="009463E5">
        <w:rPr>
          <w:i/>
          <w:iCs/>
          <w:lang w:val="es-ES"/>
        </w:rPr>
        <w:t xml:space="preserve">El proyecto de resolución pide a las Partes Contratantes que tomen nota de la </w:t>
      </w:r>
      <w:r w:rsidR="009463E5" w:rsidRPr="009463E5">
        <w:rPr>
          <w:i/>
          <w:iCs/>
          <w:lang w:val="es-ES"/>
        </w:rPr>
        <w:t xml:space="preserve">herramienta </w:t>
      </w:r>
      <w:r w:rsidRPr="009463E5">
        <w:rPr>
          <w:i/>
          <w:iCs/>
          <w:lang w:val="es-ES"/>
        </w:rPr>
        <w:t xml:space="preserve">WETVAT descrita en el </w:t>
      </w:r>
      <w:r w:rsidR="001C0355" w:rsidRPr="009463E5">
        <w:rPr>
          <w:i/>
          <w:iCs/>
          <w:lang w:val="es-ES"/>
        </w:rPr>
        <w:t>a</w:t>
      </w:r>
      <w:r w:rsidRPr="009463E5">
        <w:rPr>
          <w:i/>
          <w:iCs/>
          <w:lang w:val="es-ES"/>
        </w:rPr>
        <w:t xml:space="preserve">nexo e invita a las Partes Contratantes y a otros interesados a que, a título voluntario, utilicen el </w:t>
      </w:r>
      <w:r w:rsidR="001C0355" w:rsidRPr="009463E5">
        <w:rPr>
          <w:i/>
          <w:iCs/>
          <w:lang w:val="es-ES"/>
        </w:rPr>
        <w:t>método</w:t>
      </w:r>
      <w:r w:rsidRPr="009463E5">
        <w:rPr>
          <w:i/>
          <w:iCs/>
          <w:lang w:val="es-ES"/>
        </w:rPr>
        <w:t xml:space="preserve"> en la evaluación y </w:t>
      </w:r>
      <w:r w:rsidR="001C0355" w:rsidRPr="009463E5">
        <w:rPr>
          <w:i/>
          <w:iCs/>
          <w:lang w:val="es-ES"/>
        </w:rPr>
        <w:t xml:space="preserve">gestión </w:t>
      </w:r>
      <w:r w:rsidRPr="009463E5">
        <w:rPr>
          <w:i/>
          <w:iCs/>
          <w:lang w:val="es-ES"/>
        </w:rPr>
        <w:t xml:space="preserve">de los humedales. </w:t>
      </w:r>
    </w:p>
    <w:p w14:paraId="74F75C39" w14:textId="77777777" w:rsidR="00A824F1" w:rsidRPr="009463E5" w:rsidRDefault="00A824F1" w:rsidP="00392508">
      <w:pPr>
        <w:pStyle w:val="DRText"/>
        <w:rPr>
          <w:i/>
          <w:iCs/>
          <w:lang w:val="es-ES"/>
        </w:rPr>
      </w:pPr>
    </w:p>
    <w:p w14:paraId="425F1601" w14:textId="73431126" w:rsidR="00000578" w:rsidRPr="009463E5" w:rsidRDefault="008E7654" w:rsidP="00392508">
      <w:pPr>
        <w:pStyle w:val="DRText"/>
        <w:rPr>
          <w:i/>
          <w:iCs/>
          <w:lang w:val="es-ES"/>
        </w:rPr>
      </w:pPr>
      <w:r w:rsidRPr="009463E5">
        <w:rPr>
          <w:i/>
          <w:iCs/>
          <w:lang w:val="es-ES"/>
        </w:rPr>
        <w:t>Los elementos técnicos de la</w:t>
      </w:r>
      <w:r w:rsidR="009463E5" w:rsidRPr="009463E5">
        <w:rPr>
          <w:i/>
          <w:iCs/>
          <w:lang w:val="es-ES"/>
        </w:rPr>
        <w:t xml:space="preserve"> herramienta</w:t>
      </w:r>
      <w:r w:rsidRPr="009463E5">
        <w:rPr>
          <w:i/>
          <w:iCs/>
          <w:lang w:val="es-ES"/>
        </w:rPr>
        <w:t xml:space="preserve"> WETVAT han sido sometidos a consulta y evaluación con </w:t>
      </w:r>
      <w:r w:rsidR="001C0355" w:rsidRPr="009463E5">
        <w:rPr>
          <w:i/>
          <w:iCs/>
          <w:color w:val="000000" w:themeColor="text1"/>
          <w:lang w:val="es-ES"/>
        </w:rPr>
        <w:t>administradores</w:t>
      </w:r>
      <w:r w:rsidRPr="009463E5">
        <w:rPr>
          <w:i/>
          <w:iCs/>
          <w:color w:val="000000" w:themeColor="text1"/>
          <w:lang w:val="es-ES"/>
        </w:rPr>
        <w:t xml:space="preserve"> </w:t>
      </w:r>
      <w:r w:rsidRPr="009463E5">
        <w:rPr>
          <w:i/>
          <w:iCs/>
          <w:lang w:val="es-ES"/>
        </w:rPr>
        <w:t>de humedales de Asia Oriental y otras regiones.</w:t>
      </w:r>
    </w:p>
    <w:p w14:paraId="340E2E78" w14:textId="77777777" w:rsidR="001C0355" w:rsidRPr="009463E5" w:rsidRDefault="001C0355" w:rsidP="00392508">
      <w:pPr>
        <w:pStyle w:val="DRText"/>
        <w:rPr>
          <w:i/>
          <w:iCs/>
          <w:lang w:val="es-ES"/>
        </w:rPr>
      </w:pPr>
    </w:p>
    <w:p w14:paraId="2EBCB8E4" w14:textId="5846D8AF" w:rsidR="001C0355" w:rsidRPr="009463E5" w:rsidRDefault="001C0355" w:rsidP="00392508">
      <w:pPr>
        <w:pStyle w:val="DRText"/>
        <w:rPr>
          <w:i/>
          <w:iCs/>
          <w:lang w:val="es-ES"/>
        </w:rPr>
      </w:pPr>
      <w:r w:rsidRPr="009463E5">
        <w:rPr>
          <w:i/>
          <w:iCs/>
          <w:lang w:val="es-ES"/>
        </w:rPr>
        <w:t xml:space="preserve">Las cifras que se presentan en el Anexo 1 incluyen capturas de pantalla de las hojas de trabajo de la WETVAT para ilustrar el aspecto de la herramienta, no para que sean objeto de debate. La versión inicial de la herramienta está disponible en inglés por el momento; se </w:t>
      </w:r>
      <w:r w:rsidRPr="009463E5">
        <w:rPr>
          <w:i/>
          <w:iCs/>
          <w:color w:val="000000" w:themeColor="text1"/>
          <w:lang w:val="es-ES"/>
        </w:rPr>
        <w:t>dispondrá de versiones en español y francés para la COP15 mediante un enlace que se incluirá en un</w:t>
      </w:r>
      <w:r w:rsidR="009463E5" w:rsidRPr="009463E5">
        <w:rPr>
          <w:i/>
          <w:iCs/>
          <w:color w:val="000000" w:themeColor="text1"/>
          <w:lang w:val="es-ES"/>
        </w:rPr>
        <w:t xml:space="preserve">a </w:t>
      </w:r>
      <w:r w:rsidRPr="009463E5">
        <w:rPr>
          <w:i/>
          <w:iCs/>
          <w:color w:val="000000" w:themeColor="text1"/>
          <w:lang w:val="es-ES"/>
        </w:rPr>
        <w:t>guía sobre cómo utilizar la herramienta, que se presentará como documento informativo. Se podrán mejorar los detalles de la herramienta con el tiempo mediante los comentarios de sus usuarios.</w:t>
      </w:r>
    </w:p>
    <w:p w14:paraId="39552BD9" w14:textId="77777777" w:rsidR="00A824F1" w:rsidRPr="009463E5" w:rsidRDefault="00A824F1" w:rsidP="00392508">
      <w:pPr>
        <w:pStyle w:val="DRText"/>
        <w:rPr>
          <w:i/>
          <w:iCs/>
          <w:lang w:val="es-ES"/>
        </w:rPr>
      </w:pPr>
    </w:p>
    <w:p w14:paraId="30F4187E" w14:textId="70C45E8E" w:rsidR="00A824F1" w:rsidRPr="009463E5" w:rsidRDefault="008E7654" w:rsidP="00392508">
      <w:pPr>
        <w:pStyle w:val="DRText"/>
        <w:rPr>
          <w:i/>
          <w:iCs/>
          <w:lang w:val="es-ES"/>
        </w:rPr>
      </w:pPr>
      <w:r w:rsidRPr="009463E5">
        <w:rPr>
          <w:i/>
          <w:iCs/>
          <w:lang w:val="es-ES"/>
        </w:rPr>
        <w:t xml:space="preserve">Este proyecto de resolución no </w:t>
      </w:r>
      <w:r w:rsidR="001C0355" w:rsidRPr="009463E5">
        <w:rPr>
          <w:i/>
          <w:iCs/>
          <w:lang w:val="es-ES"/>
        </w:rPr>
        <w:t>tiene</w:t>
      </w:r>
      <w:r w:rsidRPr="009463E5">
        <w:rPr>
          <w:i/>
          <w:iCs/>
          <w:lang w:val="es-ES"/>
        </w:rPr>
        <w:t xml:space="preserve"> repercusiones financieras para la Secretaría.</w:t>
      </w:r>
    </w:p>
    <w:p w14:paraId="000649D7" w14:textId="77777777" w:rsidR="00000578" w:rsidRPr="009463E5" w:rsidRDefault="00000578" w:rsidP="00F77707">
      <w:pPr>
        <w:rPr>
          <w:rFonts w:ascii="Calibri" w:hAnsi="Calibri"/>
          <w:sz w:val="22"/>
          <w:szCs w:val="22"/>
          <w:lang w:eastAsia="en-US"/>
        </w:rPr>
      </w:pPr>
    </w:p>
    <w:tbl>
      <w:tblPr>
        <w:tblStyle w:val="TableGrid"/>
        <w:tblW w:w="0" w:type="auto"/>
        <w:tblLook w:val="04A0" w:firstRow="1" w:lastRow="0" w:firstColumn="1" w:lastColumn="0" w:noHBand="0" w:noVBand="1"/>
      </w:tblPr>
      <w:tblGrid>
        <w:gridCol w:w="2263"/>
        <w:gridCol w:w="4395"/>
        <w:gridCol w:w="2353"/>
      </w:tblGrid>
      <w:tr w:rsidR="008E220A" w:rsidRPr="009463E5" w14:paraId="7A7B05D1" w14:textId="77777777" w:rsidTr="006D7FDC">
        <w:tc>
          <w:tcPr>
            <w:tcW w:w="2263" w:type="dxa"/>
          </w:tcPr>
          <w:p w14:paraId="219D4B4F" w14:textId="4B5E1877" w:rsidR="008E220A" w:rsidRPr="009463E5" w:rsidRDefault="001C0355" w:rsidP="00F77707">
            <w:pPr>
              <w:rPr>
                <w:rFonts w:ascii="Calibri" w:hAnsi="Calibri"/>
                <w:sz w:val="22"/>
                <w:szCs w:val="22"/>
                <w:lang w:eastAsia="en-US"/>
              </w:rPr>
            </w:pPr>
            <w:r w:rsidRPr="009463E5">
              <w:rPr>
                <w:rFonts w:ascii="Calibri" w:hAnsi="Calibri"/>
                <w:sz w:val="22"/>
                <w:szCs w:val="22"/>
                <w:lang w:eastAsia="en-US"/>
              </w:rPr>
              <w:t>Párrafo</w:t>
            </w:r>
          </w:p>
        </w:tc>
        <w:tc>
          <w:tcPr>
            <w:tcW w:w="4395" w:type="dxa"/>
          </w:tcPr>
          <w:p w14:paraId="2A5ED04B" w14:textId="180E744E" w:rsidR="008E220A" w:rsidRPr="009463E5" w:rsidRDefault="008E220A" w:rsidP="00F77707">
            <w:pPr>
              <w:rPr>
                <w:rFonts w:ascii="Calibri" w:hAnsi="Calibri"/>
                <w:sz w:val="22"/>
                <w:szCs w:val="22"/>
                <w:lang w:eastAsia="en-US"/>
              </w:rPr>
            </w:pPr>
            <w:r w:rsidRPr="009463E5">
              <w:rPr>
                <w:rFonts w:ascii="Calibri" w:hAnsi="Calibri"/>
                <w:sz w:val="22"/>
                <w:szCs w:val="22"/>
                <w:lang w:eastAsia="en-US"/>
              </w:rPr>
              <w:t>Ac</w:t>
            </w:r>
            <w:r w:rsidR="008E7654" w:rsidRPr="009463E5">
              <w:rPr>
                <w:rFonts w:ascii="Calibri" w:hAnsi="Calibri"/>
                <w:sz w:val="22"/>
                <w:szCs w:val="22"/>
                <w:lang w:eastAsia="en-US"/>
              </w:rPr>
              <w:t>ción</w:t>
            </w:r>
          </w:p>
        </w:tc>
        <w:tc>
          <w:tcPr>
            <w:tcW w:w="2353" w:type="dxa"/>
          </w:tcPr>
          <w:p w14:paraId="1269A8BD" w14:textId="25217AB4" w:rsidR="008E220A" w:rsidRPr="009463E5" w:rsidRDefault="008E220A" w:rsidP="00F77707">
            <w:pPr>
              <w:rPr>
                <w:rFonts w:ascii="Calibri" w:hAnsi="Calibri"/>
                <w:sz w:val="22"/>
                <w:szCs w:val="22"/>
                <w:lang w:eastAsia="en-US"/>
              </w:rPr>
            </w:pPr>
            <w:r w:rsidRPr="009463E5">
              <w:rPr>
                <w:rFonts w:ascii="Calibri" w:hAnsi="Calibri"/>
                <w:sz w:val="22"/>
                <w:szCs w:val="22"/>
                <w:lang w:eastAsia="en-US"/>
              </w:rPr>
              <w:t>Cost</w:t>
            </w:r>
            <w:r w:rsidR="001C0355" w:rsidRPr="009463E5">
              <w:rPr>
                <w:rFonts w:ascii="Calibri" w:hAnsi="Calibri"/>
                <w:sz w:val="22"/>
                <w:szCs w:val="22"/>
                <w:lang w:eastAsia="en-US"/>
              </w:rPr>
              <w:t>o</w:t>
            </w:r>
            <w:r w:rsidRPr="009463E5">
              <w:rPr>
                <w:rFonts w:ascii="Calibri" w:hAnsi="Calibri"/>
                <w:sz w:val="22"/>
                <w:szCs w:val="22"/>
                <w:lang w:eastAsia="en-US"/>
              </w:rPr>
              <w:t xml:space="preserve"> (</w:t>
            </w:r>
            <w:r w:rsidR="008E7654" w:rsidRPr="009463E5">
              <w:rPr>
                <w:rFonts w:ascii="Calibri" w:hAnsi="Calibri"/>
                <w:sz w:val="22"/>
                <w:szCs w:val="22"/>
                <w:lang w:eastAsia="en-US"/>
              </w:rPr>
              <w:t>francos suizos</w:t>
            </w:r>
            <w:r w:rsidRPr="009463E5">
              <w:rPr>
                <w:rFonts w:ascii="Calibri" w:hAnsi="Calibri"/>
                <w:sz w:val="22"/>
                <w:szCs w:val="22"/>
                <w:lang w:eastAsia="en-US"/>
              </w:rPr>
              <w:t>)</w:t>
            </w:r>
          </w:p>
        </w:tc>
      </w:tr>
      <w:tr w:rsidR="008E220A" w:rsidRPr="009463E5" w14:paraId="4DE3F634" w14:textId="77777777" w:rsidTr="006D7FDC">
        <w:tc>
          <w:tcPr>
            <w:tcW w:w="2263" w:type="dxa"/>
          </w:tcPr>
          <w:p w14:paraId="5C9B14BE" w14:textId="25BEEE19" w:rsidR="008E220A" w:rsidRPr="009463E5" w:rsidRDefault="008E7654" w:rsidP="00F77707">
            <w:pPr>
              <w:rPr>
                <w:rFonts w:ascii="Calibri" w:hAnsi="Calibri"/>
                <w:sz w:val="22"/>
                <w:szCs w:val="22"/>
                <w:lang w:eastAsia="en-US"/>
              </w:rPr>
            </w:pPr>
            <w:r w:rsidRPr="009463E5">
              <w:rPr>
                <w:rFonts w:ascii="Calibri" w:hAnsi="Calibri"/>
                <w:sz w:val="22"/>
                <w:szCs w:val="22"/>
                <w:lang w:eastAsia="en-US"/>
              </w:rPr>
              <w:t>Todos</w:t>
            </w:r>
          </w:p>
        </w:tc>
        <w:tc>
          <w:tcPr>
            <w:tcW w:w="4395" w:type="dxa"/>
          </w:tcPr>
          <w:p w14:paraId="44779391" w14:textId="446A5BE6" w:rsidR="008E220A" w:rsidRPr="009463E5" w:rsidRDefault="00000578" w:rsidP="00F77707">
            <w:pPr>
              <w:rPr>
                <w:rFonts w:ascii="Calibri" w:hAnsi="Calibri"/>
                <w:sz w:val="22"/>
                <w:szCs w:val="22"/>
                <w:lang w:eastAsia="en-US"/>
              </w:rPr>
            </w:pPr>
            <w:r w:rsidRPr="009463E5">
              <w:rPr>
                <w:rFonts w:ascii="Calibri" w:hAnsi="Calibri"/>
                <w:sz w:val="22"/>
                <w:szCs w:val="22"/>
                <w:lang w:eastAsia="en-US"/>
              </w:rPr>
              <w:t>N</w:t>
            </w:r>
            <w:r w:rsidR="008E7654" w:rsidRPr="009463E5">
              <w:rPr>
                <w:rFonts w:ascii="Calibri" w:hAnsi="Calibri"/>
                <w:sz w:val="22"/>
                <w:szCs w:val="22"/>
                <w:lang w:eastAsia="en-US"/>
              </w:rPr>
              <w:t>inguna</w:t>
            </w:r>
          </w:p>
        </w:tc>
        <w:tc>
          <w:tcPr>
            <w:tcW w:w="2353" w:type="dxa"/>
          </w:tcPr>
          <w:p w14:paraId="3A64F3A6" w14:textId="44124FDB" w:rsidR="008E220A" w:rsidRPr="009463E5" w:rsidRDefault="00E5353A" w:rsidP="00F77707">
            <w:pPr>
              <w:rPr>
                <w:rFonts w:ascii="Calibri" w:hAnsi="Calibri"/>
                <w:sz w:val="22"/>
                <w:szCs w:val="22"/>
                <w:lang w:eastAsia="ko-KR"/>
              </w:rPr>
            </w:pPr>
            <w:r w:rsidRPr="009463E5">
              <w:rPr>
                <w:rFonts w:ascii="Calibri" w:hAnsi="Calibri"/>
                <w:sz w:val="22"/>
                <w:szCs w:val="22"/>
                <w:lang w:eastAsia="ko-KR"/>
              </w:rPr>
              <w:t>N</w:t>
            </w:r>
            <w:r w:rsidR="008E7654" w:rsidRPr="009463E5">
              <w:rPr>
                <w:rFonts w:ascii="Calibri" w:hAnsi="Calibri"/>
                <w:sz w:val="22"/>
                <w:szCs w:val="22"/>
                <w:lang w:eastAsia="ko-KR"/>
              </w:rPr>
              <w:t>inguno</w:t>
            </w:r>
          </w:p>
        </w:tc>
      </w:tr>
    </w:tbl>
    <w:p w14:paraId="1B93E000" w14:textId="77777777" w:rsidR="008E220A" w:rsidRPr="009463E5" w:rsidRDefault="008E220A" w:rsidP="00F77707">
      <w:pPr>
        <w:rPr>
          <w:rFonts w:ascii="Calibri" w:hAnsi="Calibri"/>
          <w:sz w:val="22"/>
          <w:szCs w:val="22"/>
          <w:lang w:eastAsia="en-US"/>
        </w:rPr>
      </w:pPr>
    </w:p>
    <w:p w14:paraId="476EFCB4" w14:textId="77777777" w:rsidR="001C0355" w:rsidRPr="009463E5" w:rsidRDefault="001C0355">
      <w:pPr>
        <w:rPr>
          <w:rFonts w:ascii="Calibri" w:hAnsi="Calibri"/>
          <w:b/>
          <w:bCs/>
          <w:lang w:eastAsia="en-US"/>
        </w:rPr>
      </w:pPr>
      <w:r w:rsidRPr="009463E5">
        <w:br w:type="page"/>
      </w:r>
    </w:p>
    <w:p w14:paraId="0904735D" w14:textId="0732EB06" w:rsidR="008E7654" w:rsidRPr="009463E5" w:rsidRDefault="008E7654" w:rsidP="008E7654">
      <w:pPr>
        <w:pStyle w:val="DRHeading1"/>
        <w:rPr>
          <w:sz w:val="24"/>
          <w:szCs w:val="24"/>
          <w:lang w:val="es-ES"/>
        </w:rPr>
      </w:pPr>
      <w:r w:rsidRPr="009463E5">
        <w:rPr>
          <w:sz w:val="24"/>
          <w:szCs w:val="24"/>
          <w:lang w:val="es-ES"/>
        </w:rPr>
        <w:lastRenderedPageBreak/>
        <w:t>Proyecto de resolución XV.x sobre la evaluación de la vulnerabilidad de los humedales</w:t>
      </w:r>
    </w:p>
    <w:p w14:paraId="6C8866BC" w14:textId="533A9C1C" w:rsidR="004C1845" w:rsidRPr="009463E5" w:rsidRDefault="004C1845" w:rsidP="008B1B5B">
      <w:pPr>
        <w:ind w:left="425" w:hanging="425"/>
        <w:rPr>
          <w:rFonts w:ascii="Calibri" w:hAnsi="Calibri"/>
          <w:sz w:val="22"/>
          <w:szCs w:val="22"/>
        </w:rPr>
      </w:pPr>
    </w:p>
    <w:p w14:paraId="64C185E0" w14:textId="5FB630AC" w:rsidR="00392508" w:rsidRPr="009463E5" w:rsidRDefault="00392508" w:rsidP="00392508">
      <w:pPr>
        <w:pStyle w:val="DRPara"/>
        <w:numPr>
          <w:ilvl w:val="0"/>
          <w:numId w:val="0"/>
        </w:numPr>
        <w:spacing w:after="0"/>
        <w:ind w:left="425" w:hanging="425"/>
      </w:pPr>
      <w:r w:rsidRPr="009463E5">
        <w:t>1.</w:t>
      </w:r>
      <w:r w:rsidRPr="009463E5">
        <w:tab/>
      </w:r>
      <w:r w:rsidR="00616C22" w:rsidRPr="009463E5">
        <w:t xml:space="preserve">RECONOCIENDO que el concepto de uso racional de los humedales, </w:t>
      </w:r>
      <w:r w:rsidR="001C0355" w:rsidRPr="009463E5">
        <w:t xml:space="preserve">según </w:t>
      </w:r>
      <w:r w:rsidR="00616C22" w:rsidRPr="009463E5">
        <w:t xml:space="preserve">se describe en el Anexo A de la Resolución IX.1, </w:t>
      </w:r>
      <w:r w:rsidR="00616C22" w:rsidRPr="009463E5">
        <w:rPr>
          <w:i/>
          <w:iCs/>
        </w:rPr>
        <w:t>Orientaciones científicas y técnicas adicionales para llevar a la práctica el concepto de Ramsar de uso racional</w:t>
      </w:r>
      <w:r w:rsidR="00616C22" w:rsidRPr="009463E5">
        <w:t>, es el centro de los esfuerzos de la Convención para detener e invertir la pérdida de humedales;</w:t>
      </w:r>
    </w:p>
    <w:p w14:paraId="47E4E6F2" w14:textId="77777777" w:rsidR="00392508" w:rsidRPr="009463E5" w:rsidRDefault="00392508" w:rsidP="00392508">
      <w:pPr>
        <w:pStyle w:val="DRPara"/>
        <w:numPr>
          <w:ilvl w:val="0"/>
          <w:numId w:val="0"/>
        </w:numPr>
        <w:spacing w:after="0"/>
        <w:ind w:left="425" w:hanging="425"/>
      </w:pPr>
    </w:p>
    <w:p w14:paraId="76039678" w14:textId="4AC944A2" w:rsidR="00B0349D" w:rsidRPr="009463E5" w:rsidRDefault="00392508" w:rsidP="00392508">
      <w:pPr>
        <w:pStyle w:val="DRPara"/>
        <w:numPr>
          <w:ilvl w:val="0"/>
          <w:numId w:val="0"/>
        </w:numPr>
        <w:spacing w:after="0"/>
        <w:ind w:left="425" w:hanging="425"/>
      </w:pPr>
      <w:r w:rsidRPr="009463E5">
        <w:t>2.</w:t>
      </w:r>
      <w:r w:rsidRPr="009463E5">
        <w:tab/>
      </w:r>
      <w:r w:rsidR="00616C22" w:rsidRPr="009463E5">
        <w:t>RECONOCIENDO que el uso racional de los humedales requiere una comprensión cabal de los factores que impulsan el cambio a fin de poder abordar las causas profundas de la pérdida y degradación de los humedales (</w:t>
      </w:r>
      <w:r w:rsidR="00616C22" w:rsidRPr="009463E5">
        <w:rPr>
          <w:i/>
          <w:iCs/>
        </w:rPr>
        <w:t>Perspectiva Mundial sobre los Humedales</w:t>
      </w:r>
      <w:r w:rsidR="00616C22" w:rsidRPr="009463E5">
        <w:t xml:space="preserve">, 2018); </w:t>
      </w:r>
    </w:p>
    <w:p w14:paraId="50320428" w14:textId="77777777" w:rsidR="00392508" w:rsidRPr="009463E5" w:rsidRDefault="00392508" w:rsidP="00392508">
      <w:pPr>
        <w:pStyle w:val="DRPara"/>
        <w:numPr>
          <w:ilvl w:val="0"/>
          <w:numId w:val="0"/>
        </w:numPr>
        <w:spacing w:after="0"/>
        <w:ind w:left="425" w:hanging="425"/>
      </w:pPr>
    </w:p>
    <w:p w14:paraId="114F99E4" w14:textId="2BE61791" w:rsidR="00B0349D" w:rsidRPr="009463E5" w:rsidRDefault="00392508" w:rsidP="00392508">
      <w:pPr>
        <w:pStyle w:val="DRPara"/>
        <w:numPr>
          <w:ilvl w:val="0"/>
          <w:numId w:val="0"/>
        </w:numPr>
        <w:spacing w:after="0"/>
        <w:ind w:left="425" w:hanging="425"/>
        <w:rPr>
          <w:rFonts w:eastAsia="FangSong"/>
          <w:lang w:eastAsia="zh-CN"/>
        </w:rPr>
      </w:pPr>
      <w:r w:rsidRPr="009463E5">
        <w:t>3.</w:t>
      </w:r>
      <w:r w:rsidRPr="009463E5">
        <w:tab/>
      </w:r>
      <w:r w:rsidR="00616C22" w:rsidRPr="009463E5">
        <w:t xml:space="preserve">ALERTA ante el hecho de que, a escala mundial, los humedales han disminuido en un 35 % desde 1970 y </w:t>
      </w:r>
      <w:r w:rsidR="001C0355" w:rsidRPr="009463E5">
        <w:t xml:space="preserve">de </w:t>
      </w:r>
      <w:r w:rsidR="00616C22" w:rsidRPr="009463E5">
        <w:t>que el deterioro de los humedales sigue siendo generalizado (</w:t>
      </w:r>
      <w:r w:rsidR="00616C22" w:rsidRPr="009463E5">
        <w:rPr>
          <w:i/>
          <w:iCs/>
        </w:rPr>
        <w:t>Perspectiva Mundial sobre los Humedales: Edición Especial</w:t>
      </w:r>
      <w:r w:rsidR="00616C22" w:rsidRPr="009463E5">
        <w:t>, 2021), y PREOCUPADA por</w:t>
      </w:r>
      <w:r w:rsidR="001C0355" w:rsidRPr="009463E5">
        <w:t xml:space="preserve">que </w:t>
      </w:r>
      <w:r w:rsidR="00616C22" w:rsidRPr="009463E5">
        <w:t>esta tendencia, si no se aborda adecuadamente, afectará a la consecución de los Objetivos de Desarrollo Sostenible (ODS) de las Naciones Unidas para 2030, a la adaptación al cambio climático</w:t>
      </w:r>
      <w:r w:rsidR="001C0355" w:rsidRPr="009463E5">
        <w:t xml:space="preserve"> y mitigación de este</w:t>
      </w:r>
      <w:r w:rsidR="00616C22" w:rsidRPr="009463E5">
        <w:t xml:space="preserve"> en virtud del Acuerdo de París y la Convención Marco de las Naciones Unidas sobre el Cambio Climático, y al Marco Mundial </w:t>
      </w:r>
      <w:r w:rsidR="001C0355" w:rsidRPr="009463E5">
        <w:t>de Biod</w:t>
      </w:r>
      <w:r w:rsidR="00616C22" w:rsidRPr="009463E5">
        <w:t>iversidad de Kunming-Montreal adoptado por el Convenio sobre la Diversidad Biológica;</w:t>
      </w:r>
    </w:p>
    <w:p w14:paraId="1DE082D0" w14:textId="77777777" w:rsidR="00392508" w:rsidRPr="009463E5" w:rsidRDefault="00392508" w:rsidP="00392508">
      <w:pPr>
        <w:pStyle w:val="DRPara"/>
        <w:numPr>
          <w:ilvl w:val="0"/>
          <w:numId w:val="0"/>
        </w:numPr>
        <w:spacing w:after="0"/>
        <w:ind w:left="425" w:hanging="425"/>
      </w:pPr>
    </w:p>
    <w:p w14:paraId="4B6E9EB2" w14:textId="5642D5CC" w:rsidR="005B05E9" w:rsidRPr="009463E5" w:rsidRDefault="00392508" w:rsidP="00392508">
      <w:pPr>
        <w:pStyle w:val="DRPara"/>
        <w:numPr>
          <w:ilvl w:val="0"/>
          <w:numId w:val="0"/>
        </w:numPr>
        <w:spacing w:after="0"/>
        <w:ind w:left="425" w:hanging="425"/>
        <w:rPr>
          <w:rFonts w:eastAsia="FangSong"/>
          <w:lang w:eastAsia="zh-CN"/>
        </w:rPr>
      </w:pPr>
      <w:r w:rsidRPr="009463E5">
        <w:t>4.</w:t>
      </w:r>
      <w:r w:rsidRPr="009463E5">
        <w:tab/>
      </w:r>
      <w:r w:rsidR="00616C22" w:rsidRPr="009463E5">
        <w:t>CONSCIENTE de la necesidad de evaluar el estado</w:t>
      </w:r>
      <w:r w:rsidR="001C0355" w:rsidRPr="009463E5">
        <w:t xml:space="preserve"> y</w:t>
      </w:r>
      <w:r w:rsidR="00616C22" w:rsidRPr="009463E5">
        <w:t xml:space="preserve"> las tendencias </w:t>
      </w:r>
      <w:r w:rsidR="001C0355" w:rsidRPr="009463E5">
        <w:t>de los humedales y las</w:t>
      </w:r>
      <w:r w:rsidR="00616C22" w:rsidRPr="009463E5">
        <w:t xml:space="preserve"> amenazas </w:t>
      </w:r>
      <w:r w:rsidR="001C0355" w:rsidRPr="009463E5">
        <w:t>a los mismos</w:t>
      </w:r>
      <w:r w:rsidR="00616C22" w:rsidRPr="009463E5">
        <w:t xml:space="preserve">, como se establece en el Anexo E de la Resolución IX.1, </w:t>
      </w:r>
      <w:r w:rsidR="00616C22" w:rsidRPr="009463E5">
        <w:rPr>
          <w:i/>
          <w:iCs/>
        </w:rPr>
        <w:t>Orientaciones científicas y técnicas adicionales para</w:t>
      </w:r>
      <w:r w:rsidR="001C0355" w:rsidRPr="009463E5">
        <w:rPr>
          <w:i/>
          <w:iCs/>
        </w:rPr>
        <w:t xml:space="preserve"> llevar a la práctica </w:t>
      </w:r>
      <w:r w:rsidR="00616C22" w:rsidRPr="009463E5">
        <w:rPr>
          <w:i/>
          <w:iCs/>
        </w:rPr>
        <w:t>el concepto de Ramsar de uso racional</w:t>
      </w:r>
      <w:r w:rsidR="00616C22" w:rsidRPr="009463E5">
        <w:t>, y en el mandato al Grupo de Examen Científico y Técnico</w:t>
      </w:r>
      <w:r w:rsidR="00637E51" w:rsidRPr="009463E5">
        <w:t xml:space="preserve">, que figura en </w:t>
      </w:r>
      <w:r w:rsidR="00616C22" w:rsidRPr="009463E5">
        <w:t xml:space="preserve">el Anexo 2 de la Resolución XIII.8, </w:t>
      </w:r>
      <w:r w:rsidR="00616C22" w:rsidRPr="009463E5">
        <w:rPr>
          <w:i/>
          <w:iCs/>
        </w:rPr>
        <w:t>Aplicación futura de los aspectos científicos y técnicos de la Convención para 2019-2021</w:t>
      </w:r>
      <w:r w:rsidR="00616C22" w:rsidRPr="009463E5">
        <w:t xml:space="preserve">, que destaca explícitamente la necesidad de metodologías y/o herramientas de </w:t>
      </w:r>
      <w:r w:rsidR="00637E51" w:rsidRPr="009463E5">
        <w:t>buenas</w:t>
      </w:r>
      <w:r w:rsidR="00616C22" w:rsidRPr="009463E5">
        <w:t xml:space="preserve"> prácticas para </w:t>
      </w:r>
      <w:r w:rsidR="00637E51" w:rsidRPr="009463E5">
        <w:t>hacer un seguimiento de</w:t>
      </w:r>
      <w:r w:rsidR="00616C22" w:rsidRPr="009463E5">
        <w:t xml:space="preserve"> los Humedales de Importancia Internacional;</w:t>
      </w:r>
    </w:p>
    <w:p w14:paraId="3551CD04" w14:textId="77777777" w:rsidR="00392508" w:rsidRPr="009463E5" w:rsidRDefault="00392508" w:rsidP="00392508">
      <w:pPr>
        <w:pStyle w:val="DRPara"/>
        <w:numPr>
          <w:ilvl w:val="0"/>
          <w:numId w:val="0"/>
        </w:numPr>
        <w:spacing w:after="0"/>
        <w:ind w:left="425" w:hanging="425"/>
      </w:pPr>
    </w:p>
    <w:p w14:paraId="521DE020" w14:textId="25AF650B" w:rsidR="00853601" w:rsidRPr="009463E5" w:rsidRDefault="00392508" w:rsidP="00392508">
      <w:pPr>
        <w:pStyle w:val="DRPara"/>
        <w:numPr>
          <w:ilvl w:val="0"/>
          <w:numId w:val="0"/>
        </w:numPr>
        <w:spacing w:after="0"/>
        <w:ind w:left="425" w:hanging="425"/>
      </w:pPr>
      <w:r w:rsidRPr="009463E5">
        <w:t>5.</w:t>
      </w:r>
      <w:r w:rsidRPr="009463E5">
        <w:tab/>
      </w:r>
      <w:r w:rsidR="00D919C0" w:rsidRPr="009463E5">
        <w:t>TENIENDO PRESENTE</w:t>
      </w:r>
      <w:r w:rsidR="00616C22" w:rsidRPr="009463E5">
        <w:t xml:space="preserve"> que el manejo eficaz de los humedales, como se describe en la Resolución XII.15, </w:t>
      </w:r>
      <w:r w:rsidR="00616C22" w:rsidRPr="009463E5">
        <w:rPr>
          <w:i/>
          <w:iCs/>
        </w:rPr>
        <w:t>Evaluación de la efectividad del manejo y la conservación de los sitios Ramsar,</w:t>
      </w:r>
      <w:r w:rsidR="00616C22" w:rsidRPr="009463E5">
        <w:t xml:space="preserve"> requiere una comprensión y evaluación de las amenazas a las características ecológicas de un sitio; </w:t>
      </w:r>
    </w:p>
    <w:p w14:paraId="1F2D52A0" w14:textId="77777777" w:rsidR="00392508" w:rsidRPr="009463E5" w:rsidRDefault="00392508" w:rsidP="00392508">
      <w:pPr>
        <w:pStyle w:val="DRPara"/>
        <w:numPr>
          <w:ilvl w:val="0"/>
          <w:numId w:val="0"/>
        </w:numPr>
        <w:spacing w:after="0"/>
        <w:ind w:left="425" w:hanging="425"/>
      </w:pPr>
    </w:p>
    <w:p w14:paraId="26877983" w14:textId="12855E51" w:rsidR="00853601" w:rsidRPr="009463E5" w:rsidRDefault="00392508" w:rsidP="004C318B">
      <w:pPr>
        <w:pStyle w:val="DRPara"/>
        <w:numPr>
          <w:ilvl w:val="0"/>
          <w:numId w:val="0"/>
        </w:numPr>
        <w:spacing w:after="0"/>
        <w:ind w:left="425" w:hanging="425"/>
        <w:rPr>
          <w:lang w:eastAsia="ko-KR"/>
        </w:rPr>
      </w:pPr>
      <w:r w:rsidRPr="009463E5">
        <w:t>6.</w:t>
      </w:r>
      <w:r w:rsidRPr="009463E5">
        <w:tab/>
      </w:r>
      <w:r w:rsidR="00AB4EC2" w:rsidRPr="009463E5">
        <w:t xml:space="preserve">TENIENDO PRESENTE ADEMÁS el requisito establecido en la </w:t>
      </w:r>
      <w:bookmarkStart w:id="1" w:name="_Hlk184075513"/>
      <w:r w:rsidR="00AB4EC2" w:rsidRPr="009463E5">
        <w:t>Resolución</w:t>
      </w:r>
      <w:bookmarkEnd w:id="1"/>
      <w:r w:rsidR="00AB4EC2" w:rsidRPr="009463E5">
        <w:t xml:space="preserve"> XI.8, </w:t>
      </w:r>
      <w:r w:rsidR="00AB4EC2" w:rsidRPr="009463E5">
        <w:rPr>
          <w:i/>
          <w:iCs/>
        </w:rPr>
        <w:t>Racionalización de los procedimientos para la descripción de Sitios Ramsar en el momento de la designación y de las posteriores actualizaciones de su descripción</w:t>
      </w:r>
      <w:r w:rsidR="00AB4EC2" w:rsidRPr="009463E5">
        <w:t>, de velar por que en la Ficha Informativa Ramsar (FIR) de un Humedal de Importancia Internacional se facilite una descripción exhaustiva de los factores</w:t>
      </w:r>
      <w:r w:rsidR="00D919C0" w:rsidRPr="009463E5">
        <w:t xml:space="preserve"> adversos</w:t>
      </w:r>
      <w:r w:rsidR="00AB4EC2" w:rsidRPr="009463E5">
        <w:t xml:space="preserve"> (reales</w:t>
      </w:r>
      <w:r w:rsidR="00D919C0" w:rsidRPr="009463E5">
        <w:t xml:space="preserve"> o posibles</w:t>
      </w:r>
      <w:r w:rsidR="00AB4EC2" w:rsidRPr="009463E5">
        <w:t xml:space="preserve">) que afectan a las características ecológicas de un sitio; y </w:t>
      </w:r>
    </w:p>
    <w:p w14:paraId="071342D2" w14:textId="77777777" w:rsidR="00392508" w:rsidRPr="009463E5" w:rsidRDefault="00392508" w:rsidP="00392508">
      <w:pPr>
        <w:pStyle w:val="DRPara"/>
        <w:numPr>
          <w:ilvl w:val="0"/>
          <w:numId w:val="0"/>
        </w:numPr>
        <w:spacing w:after="0"/>
        <w:ind w:left="425" w:hanging="425"/>
      </w:pPr>
    </w:p>
    <w:p w14:paraId="1D0723D8" w14:textId="5006352E" w:rsidR="00853601" w:rsidRPr="009463E5" w:rsidRDefault="00392508" w:rsidP="00392508">
      <w:pPr>
        <w:pStyle w:val="DRPara"/>
        <w:numPr>
          <w:ilvl w:val="0"/>
          <w:numId w:val="0"/>
        </w:numPr>
        <w:spacing w:after="0"/>
        <w:ind w:left="425" w:hanging="425"/>
      </w:pPr>
      <w:r w:rsidRPr="009463E5">
        <w:t>7.</w:t>
      </w:r>
      <w:r w:rsidRPr="009463E5">
        <w:tab/>
      </w:r>
      <w:r w:rsidR="00AB4EC2" w:rsidRPr="009463E5">
        <w:t xml:space="preserve">PREOCUPADA porque, sin una evaluación adecuada de los factores </w:t>
      </w:r>
      <w:r w:rsidR="00D919C0" w:rsidRPr="009463E5">
        <w:t xml:space="preserve">que impulsan los </w:t>
      </w:r>
      <w:r w:rsidR="00AB4EC2" w:rsidRPr="009463E5">
        <w:t>cambio</w:t>
      </w:r>
      <w:r w:rsidR="00D919C0" w:rsidRPr="009463E5">
        <w:t>s</w:t>
      </w:r>
      <w:r w:rsidR="00AB4EC2" w:rsidRPr="009463E5">
        <w:t xml:space="preserve"> negativo</w:t>
      </w:r>
      <w:r w:rsidR="00D919C0" w:rsidRPr="009463E5">
        <w:t>s</w:t>
      </w:r>
      <w:r w:rsidR="00AB4EC2" w:rsidRPr="009463E5">
        <w:t xml:space="preserve">, continuará la vulnerabilidad de los humedales, incluidos los Humedales de Importancia Internacional, a una diversidad de amenazas; </w:t>
      </w:r>
    </w:p>
    <w:p w14:paraId="47DA3302" w14:textId="3249693B" w:rsidR="004C1845" w:rsidRPr="009463E5" w:rsidRDefault="004C1845" w:rsidP="00392508">
      <w:pPr>
        <w:ind w:left="425" w:hanging="425"/>
        <w:contextualSpacing/>
        <w:rPr>
          <w:rFonts w:ascii="Calibri" w:hAnsi="Calibri"/>
          <w:sz w:val="22"/>
          <w:szCs w:val="22"/>
        </w:rPr>
      </w:pPr>
    </w:p>
    <w:p w14:paraId="18E39F2F" w14:textId="729A1CC6" w:rsidR="004C1845" w:rsidRPr="009463E5" w:rsidRDefault="00AB4EC2" w:rsidP="00392508">
      <w:pPr>
        <w:ind w:left="425" w:hanging="425"/>
        <w:jc w:val="center"/>
        <w:rPr>
          <w:rFonts w:ascii="Calibri" w:hAnsi="Calibri"/>
          <w:sz w:val="22"/>
          <w:szCs w:val="22"/>
        </w:rPr>
      </w:pPr>
      <w:r w:rsidRPr="009463E5">
        <w:rPr>
          <w:rFonts w:ascii="Calibri" w:hAnsi="Calibri"/>
          <w:sz w:val="22"/>
          <w:szCs w:val="22"/>
        </w:rPr>
        <w:t xml:space="preserve">LA </w:t>
      </w:r>
      <w:r w:rsidR="004C1845" w:rsidRPr="009463E5">
        <w:rPr>
          <w:rFonts w:ascii="Calibri" w:hAnsi="Calibri"/>
          <w:sz w:val="22"/>
          <w:szCs w:val="22"/>
        </w:rPr>
        <w:t>CONFERENC</w:t>
      </w:r>
      <w:r w:rsidRPr="009463E5">
        <w:rPr>
          <w:rFonts w:ascii="Calibri" w:hAnsi="Calibri"/>
          <w:sz w:val="22"/>
          <w:szCs w:val="22"/>
        </w:rPr>
        <w:t xml:space="preserve">IA DE LAS PARTES </w:t>
      </w:r>
      <w:r w:rsidR="004C1845" w:rsidRPr="009463E5">
        <w:rPr>
          <w:rFonts w:ascii="Calibri" w:hAnsi="Calibri"/>
          <w:sz w:val="22"/>
          <w:szCs w:val="22"/>
        </w:rPr>
        <w:t>CONTRAT</w:t>
      </w:r>
      <w:r w:rsidRPr="009463E5">
        <w:rPr>
          <w:rFonts w:ascii="Calibri" w:hAnsi="Calibri"/>
          <w:sz w:val="22"/>
          <w:szCs w:val="22"/>
        </w:rPr>
        <w:t>ANTES</w:t>
      </w:r>
    </w:p>
    <w:p w14:paraId="6F5E7E2D" w14:textId="77777777" w:rsidR="004C1845" w:rsidRPr="009463E5" w:rsidRDefault="004C1845" w:rsidP="00392508">
      <w:pPr>
        <w:ind w:left="425" w:hanging="425"/>
        <w:rPr>
          <w:rFonts w:ascii="Calibri" w:hAnsi="Calibri"/>
          <w:sz w:val="22"/>
          <w:szCs w:val="22"/>
        </w:rPr>
      </w:pPr>
    </w:p>
    <w:p w14:paraId="3D74A47E" w14:textId="69393841" w:rsidR="00AF4D60" w:rsidRPr="009463E5" w:rsidRDefault="00392508" w:rsidP="00392508">
      <w:pPr>
        <w:pStyle w:val="DRPara"/>
        <w:numPr>
          <w:ilvl w:val="0"/>
          <w:numId w:val="0"/>
        </w:numPr>
        <w:spacing w:after="0"/>
        <w:ind w:left="425" w:hanging="425"/>
      </w:pPr>
      <w:r w:rsidRPr="009463E5">
        <w:t>8.</w:t>
      </w:r>
      <w:r w:rsidRPr="009463E5">
        <w:tab/>
      </w:r>
      <w:r w:rsidR="00AB4EC2" w:rsidRPr="009463E5">
        <w:t>RECONOCE la necesidad de evaluar la vulnerabilidad de los humedales frente a una serie de amenazas e impulsores de cambios negativos en las características ecológicas;</w:t>
      </w:r>
    </w:p>
    <w:p w14:paraId="6661B49B" w14:textId="77777777" w:rsidR="00392508" w:rsidRPr="009463E5" w:rsidRDefault="00392508" w:rsidP="00392508">
      <w:pPr>
        <w:pStyle w:val="DRPara"/>
        <w:numPr>
          <w:ilvl w:val="0"/>
          <w:numId w:val="0"/>
        </w:numPr>
        <w:spacing w:after="0"/>
        <w:ind w:left="425" w:hanging="425"/>
      </w:pPr>
    </w:p>
    <w:p w14:paraId="157AFBFE" w14:textId="53300149" w:rsidR="00606B27" w:rsidRPr="009463E5" w:rsidRDefault="00392508" w:rsidP="00392508">
      <w:pPr>
        <w:pStyle w:val="DRPara"/>
        <w:numPr>
          <w:ilvl w:val="0"/>
          <w:numId w:val="0"/>
        </w:numPr>
        <w:spacing w:after="0"/>
        <w:ind w:left="425" w:hanging="425"/>
      </w:pPr>
      <w:r w:rsidRPr="009463E5">
        <w:t>9.</w:t>
      </w:r>
      <w:r w:rsidRPr="009463E5">
        <w:tab/>
      </w:r>
      <w:r w:rsidR="00AB4EC2" w:rsidRPr="009463E5">
        <w:t>REAFIRMA el valor a largo plazo de adoptar un enfoque participativo a la hora de evaluar las amenazas que pesan sobre los humedales, incluidos los Humedales de Importancia Internacional;</w:t>
      </w:r>
    </w:p>
    <w:p w14:paraId="26ED6B5F" w14:textId="77777777" w:rsidR="00392508" w:rsidRPr="009463E5" w:rsidRDefault="00392508" w:rsidP="00392508">
      <w:pPr>
        <w:pStyle w:val="DRPara"/>
        <w:numPr>
          <w:ilvl w:val="0"/>
          <w:numId w:val="0"/>
        </w:numPr>
        <w:spacing w:after="0"/>
        <w:ind w:left="425" w:hanging="425"/>
      </w:pPr>
    </w:p>
    <w:p w14:paraId="73F47B36" w14:textId="41F7AAAE" w:rsidR="00606B27" w:rsidRPr="009463E5" w:rsidRDefault="00392508" w:rsidP="00392508">
      <w:pPr>
        <w:pStyle w:val="DRPara"/>
        <w:numPr>
          <w:ilvl w:val="0"/>
          <w:numId w:val="0"/>
        </w:numPr>
        <w:spacing w:after="0"/>
        <w:ind w:left="425" w:hanging="425"/>
      </w:pPr>
      <w:r w:rsidRPr="009463E5">
        <w:t>10.</w:t>
      </w:r>
      <w:r w:rsidRPr="009463E5">
        <w:tab/>
      </w:r>
      <w:r w:rsidR="00AB4EC2" w:rsidRPr="009463E5">
        <w:t>PIDE a las Partes Contratantes que, cuando hagan un seguimiento del estado de los Humedales de Importancia Internacional y de otros humedales, velen por que dichas evaluaciones no s</w:t>
      </w:r>
      <w:r w:rsidR="00D919C0" w:rsidRPr="009463E5">
        <w:t>o</w:t>
      </w:r>
      <w:r w:rsidR="00AB4EC2" w:rsidRPr="009463E5">
        <w:t>lo incluyan componentes biológicos e hidrológicos, sino que también tengan en cuenta la vulnerabilidad de las características ecológicas de los humedales frente a diversas amenazas;</w:t>
      </w:r>
      <w:r w:rsidR="00606B27" w:rsidRPr="009463E5">
        <w:t xml:space="preserve"> </w:t>
      </w:r>
    </w:p>
    <w:p w14:paraId="2105CFC6" w14:textId="77777777" w:rsidR="00392508" w:rsidRPr="009463E5" w:rsidRDefault="00392508" w:rsidP="00392508">
      <w:pPr>
        <w:pStyle w:val="DRPara"/>
        <w:numPr>
          <w:ilvl w:val="0"/>
          <w:numId w:val="0"/>
        </w:numPr>
        <w:spacing w:after="0"/>
        <w:ind w:left="425" w:hanging="425"/>
      </w:pPr>
    </w:p>
    <w:p w14:paraId="4144E860" w14:textId="7B42A4ED" w:rsidR="005E59C5" w:rsidRPr="009463E5" w:rsidRDefault="00392508" w:rsidP="00392508">
      <w:pPr>
        <w:pStyle w:val="DRPara"/>
        <w:numPr>
          <w:ilvl w:val="0"/>
          <w:numId w:val="0"/>
        </w:numPr>
        <w:spacing w:after="0"/>
        <w:ind w:left="425" w:hanging="425"/>
      </w:pPr>
      <w:r w:rsidRPr="009463E5">
        <w:t>11.</w:t>
      </w:r>
      <w:r w:rsidRPr="009463E5">
        <w:tab/>
      </w:r>
      <w:r w:rsidR="00AB4EC2" w:rsidRPr="009463E5">
        <w:t>TOMA NOTA de la Herramienta de Evaluación de la Vulnerabilidad de los Humedales</w:t>
      </w:r>
      <w:r w:rsidR="00AB4EC2" w:rsidRPr="009463E5">
        <w:rPr>
          <w:i/>
          <w:iCs/>
        </w:rPr>
        <w:t xml:space="preserve"> </w:t>
      </w:r>
      <w:r w:rsidR="00AB4EC2" w:rsidRPr="009463E5">
        <w:t xml:space="preserve">(WETVAT) descrita en el Anexo 1 de la presente Resolución; y ALIENTA a las Partes Contratantes a que consideren, según proceda, la posibilidad de utilizar este enfoque para evaluar la vulnerabilidad de los humedales, especialmente los relacionados con el Artículo 3.2 de la Convención; </w:t>
      </w:r>
    </w:p>
    <w:p w14:paraId="6EC65161" w14:textId="77777777" w:rsidR="00392508" w:rsidRPr="009463E5" w:rsidRDefault="00392508" w:rsidP="00392508">
      <w:pPr>
        <w:pStyle w:val="DRPara"/>
        <w:numPr>
          <w:ilvl w:val="0"/>
          <w:numId w:val="0"/>
        </w:numPr>
        <w:spacing w:after="0"/>
        <w:ind w:left="425" w:hanging="425"/>
      </w:pPr>
    </w:p>
    <w:p w14:paraId="36DD441E" w14:textId="46BE1933" w:rsidR="003B1501" w:rsidRPr="009463E5" w:rsidRDefault="00392508" w:rsidP="00392508">
      <w:pPr>
        <w:pStyle w:val="DRPara"/>
        <w:numPr>
          <w:ilvl w:val="0"/>
          <w:numId w:val="0"/>
        </w:numPr>
        <w:spacing w:after="0"/>
        <w:ind w:left="425" w:hanging="425"/>
      </w:pPr>
      <w:r w:rsidRPr="009463E5">
        <w:t>12.</w:t>
      </w:r>
      <w:r w:rsidRPr="009463E5">
        <w:tab/>
      </w:r>
      <w:r w:rsidR="00AB4EC2" w:rsidRPr="009463E5">
        <w:t>ALIENTA ADEMÁS a las Partes Contratantes a que, en el uso del enfoque descrito en el Anexo 1 u otros enfoques similares, adopten principios de gestión adaptativa que permitan la recopilación continua de datos, la revisión periódica y la evaluación iterativa a medida que se disponga de nueva información, mejorando así la eficacia en la respuesta a las amenazas emergentes y a las lagunas de conocimiento;</w:t>
      </w:r>
    </w:p>
    <w:p w14:paraId="593CC9BC" w14:textId="77777777" w:rsidR="00392508" w:rsidRPr="009463E5" w:rsidRDefault="00392508" w:rsidP="00392508">
      <w:pPr>
        <w:pStyle w:val="DRPara"/>
        <w:numPr>
          <w:ilvl w:val="0"/>
          <w:numId w:val="0"/>
        </w:numPr>
        <w:spacing w:after="0"/>
        <w:ind w:left="425" w:hanging="425"/>
      </w:pPr>
    </w:p>
    <w:p w14:paraId="5CF25CCD" w14:textId="26386D92" w:rsidR="005E59C5" w:rsidRPr="009463E5" w:rsidRDefault="00392508" w:rsidP="00392508">
      <w:pPr>
        <w:pStyle w:val="DRPara"/>
        <w:numPr>
          <w:ilvl w:val="0"/>
          <w:numId w:val="0"/>
        </w:numPr>
        <w:spacing w:after="0"/>
        <w:ind w:left="425" w:hanging="425"/>
        <w:rPr>
          <w:rFonts w:cstheme="majorHAnsi"/>
          <w:iCs/>
        </w:rPr>
      </w:pPr>
      <w:r w:rsidRPr="009463E5">
        <w:t>13.</w:t>
      </w:r>
      <w:r w:rsidRPr="009463E5">
        <w:tab/>
      </w:r>
      <w:r w:rsidR="00AB4EC2" w:rsidRPr="009463E5">
        <w:t xml:space="preserve">ALIENTA TAMBIÉN a las Partes Contratantes a que, según proceda, utilicen el enfoque descrito en el Anexo 1, u otros </w:t>
      </w:r>
      <w:r w:rsidR="009463E5" w:rsidRPr="009463E5">
        <w:t>métodos</w:t>
      </w:r>
      <w:r w:rsidR="00AB4EC2" w:rsidRPr="009463E5">
        <w:t xml:space="preserve"> pertinentes para evaluar la vulnerabilidad de los humedales, </w:t>
      </w:r>
      <w:r w:rsidR="00F26844" w:rsidRPr="009463E5">
        <w:t xml:space="preserve">a la hora de </w:t>
      </w:r>
      <w:r w:rsidR="00AB4EC2" w:rsidRPr="009463E5">
        <w:t>describ</w:t>
      </w:r>
      <w:r w:rsidR="00F26844" w:rsidRPr="009463E5">
        <w:t>ir</w:t>
      </w:r>
      <w:r w:rsidR="00AB4EC2" w:rsidRPr="009463E5">
        <w:t xml:space="preserve"> el estado de los </w:t>
      </w:r>
      <w:r w:rsidR="00D919C0" w:rsidRPr="009463E5">
        <w:t>s</w:t>
      </w:r>
      <w:r w:rsidR="00AB4EC2" w:rsidRPr="009463E5">
        <w:t xml:space="preserve">itios incluidos en la Lista de Humedales de Importancia Internacional en sus </w:t>
      </w:r>
      <w:r w:rsidR="00D919C0" w:rsidRPr="009463E5">
        <w:t>i</w:t>
      </w:r>
      <w:r w:rsidR="00AB4EC2" w:rsidRPr="009463E5">
        <w:t xml:space="preserve">nformes </w:t>
      </w:r>
      <w:r w:rsidR="00D919C0" w:rsidRPr="009463E5">
        <w:t>na</w:t>
      </w:r>
      <w:r w:rsidR="00AB4EC2" w:rsidRPr="009463E5">
        <w:t>cionales y Fichas Informativas de Ramsar;</w:t>
      </w:r>
    </w:p>
    <w:p w14:paraId="7707BA60" w14:textId="77777777" w:rsidR="00392508" w:rsidRPr="009463E5" w:rsidRDefault="00392508" w:rsidP="00392508">
      <w:pPr>
        <w:pStyle w:val="DRPara"/>
        <w:numPr>
          <w:ilvl w:val="0"/>
          <w:numId w:val="0"/>
        </w:numPr>
        <w:spacing w:after="0"/>
        <w:ind w:left="425" w:hanging="425"/>
      </w:pPr>
    </w:p>
    <w:p w14:paraId="49C9D8C3" w14:textId="2017E054" w:rsidR="00C64FAA" w:rsidRPr="009463E5" w:rsidRDefault="00392508" w:rsidP="00392508">
      <w:pPr>
        <w:pStyle w:val="DRPara"/>
        <w:numPr>
          <w:ilvl w:val="0"/>
          <w:numId w:val="0"/>
        </w:numPr>
        <w:spacing w:after="0"/>
        <w:ind w:left="425" w:hanging="425"/>
      </w:pPr>
      <w:r w:rsidRPr="009463E5">
        <w:t>14.</w:t>
      </w:r>
      <w:r w:rsidRPr="009463E5">
        <w:tab/>
      </w:r>
      <w:r w:rsidR="00AB4EC2" w:rsidRPr="009463E5">
        <w:t xml:space="preserve">INVITA a las Partes Contratantes a asignar recursos, cuando los haya, o a buscar asociaciones con las </w:t>
      </w:r>
      <w:r w:rsidR="00D919C0" w:rsidRPr="009463E5">
        <w:t>i</w:t>
      </w:r>
      <w:r w:rsidR="00AB4EC2" w:rsidRPr="009463E5">
        <w:t xml:space="preserve">niciativas </w:t>
      </w:r>
      <w:r w:rsidR="00D919C0" w:rsidRPr="009463E5">
        <w:t>r</w:t>
      </w:r>
      <w:r w:rsidR="00AB4EC2" w:rsidRPr="009463E5">
        <w:t>egionales de Ramsar y las organizaciones internacionales pertinentes para facilitar la formación, los talleres y el intercambio de recursos destinados a fortalecer las capacidades técnicas para evaluar y abordar las vulnerabilidades de los humedales;</w:t>
      </w:r>
    </w:p>
    <w:p w14:paraId="74C72A0C" w14:textId="77777777" w:rsidR="00392508" w:rsidRPr="009463E5" w:rsidRDefault="00392508" w:rsidP="00392508">
      <w:pPr>
        <w:pStyle w:val="DRPara"/>
        <w:numPr>
          <w:ilvl w:val="0"/>
          <w:numId w:val="0"/>
        </w:numPr>
        <w:spacing w:after="0"/>
        <w:ind w:left="425" w:hanging="425"/>
      </w:pPr>
    </w:p>
    <w:p w14:paraId="617DC91C" w14:textId="338CCFD8" w:rsidR="00921C29" w:rsidRPr="009463E5" w:rsidRDefault="00392508" w:rsidP="00392508">
      <w:pPr>
        <w:pStyle w:val="DRPara"/>
        <w:numPr>
          <w:ilvl w:val="0"/>
          <w:numId w:val="0"/>
        </w:numPr>
        <w:spacing w:after="0"/>
        <w:ind w:left="425" w:hanging="425"/>
      </w:pPr>
      <w:r w:rsidRPr="009463E5">
        <w:rPr>
          <w:lang w:eastAsia="en-US"/>
        </w:rPr>
        <w:t>15.</w:t>
      </w:r>
      <w:r w:rsidRPr="009463E5">
        <w:rPr>
          <w:lang w:eastAsia="en-US"/>
        </w:rPr>
        <w:tab/>
      </w:r>
      <w:r w:rsidR="00AB4EC2" w:rsidRPr="009463E5">
        <w:rPr>
          <w:lang w:eastAsia="en-US"/>
        </w:rPr>
        <w:t xml:space="preserve">CONFIRMA que la presente </w:t>
      </w:r>
      <w:r w:rsidR="00205F5C" w:rsidRPr="009463E5">
        <w:rPr>
          <w:lang w:eastAsia="en-US"/>
        </w:rPr>
        <w:t>r</w:t>
      </w:r>
      <w:r w:rsidR="00AB4EC2" w:rsidRPr="009463E5">
        <w:rPr>
          <w:lang w:eastAsia="en-US"/>
        </w:rPr>
        <w:t xml:space="preserve">esolución no crea obligaciones adicionales de presentación de informes para las Partes, ni </w:t>
      </w:r>
      <w:r w:rsidR="00205F5C" w:rsidRPr="009463E5">
        <w:rPr>
          <w:lang w:eastAsia="en-US"/>
        </w:rPr>
        <w:t>tiene repercusiones</w:t>
      </w:r>
      <w:r w:rsidR="00AB4EC2" w:rsidRPr="009463E5">
        <w:rPr>
          <w:lang w:eastAsia="en-US"/>
        </w:rPr>
        <w:t xml:space="preserve"> financieras para la Secretaría; y </w:t>
      </w:r>
    </w:p>
    <w:p w14:paraId="2EF0A14E" w14:textId="77777777" w:rsidR="00392508" w:rsidRPr="009463E5" w:rsidRDefault="00392508" w:rsidP="00392508">
      <w:pPr>
        <w:pStyle w:val="DRPara"/>
        <w:numPr>
          <w:ilvl w:val="0"/>
          <w:numId w:val="0"/>
        </w:numPr>
        <w:spacing w:after="0"/>
        <w:ind w:left="425" w:hanging="425"/>
        <w:rPr>
          <w:b/>
          <w:bCs/>
          <w:lang w:eastAsia="en-US"/>
        </w:rPr>
      </w:pPr>
    </w:p>
    <w:p w14:paraId="38E333E8" w14:textId="0B6236A8" w:rsidR="00392508" w:rsidRPr="009463E5" w:rsidRDefault="00392508" w:rsidP="00392508">
      <w:pPr>
        <w:pStyle w:val="DRPara"/>
        <w:numPr>
          <w:ilvl w:val="0"/>
          <w:numId w:val="0"/>
        </w:numPr>
        <w:spacing w:after="0"/>
        <w:ind w:left="425" w:hanging="425"/>
      </w:pPr>
      <w:r w:rsidRPr="009463E5">
        <w:rPr>
          <w:lang w:eastAsia="en-US"/>
        </w:rPr>
        <w:t>16.</w:t>
      </w:r>
      <w:r w:rsidRPr="009463E5">
        <w:rPr>
          <w:lang w:eastAsia="en-US"/>
        </w:rPr>
        <w:tab/>
      </w:r>
      <w:r w:rsidR="00F26844" w:rsidRPr="009463E5">
        <w:rPr>
          <w:lang w:eastAsia="en-US"/>
        </w:rPr>
        <w:t xml:space="preserve">AGRADECE al Centro Regional Ramsar </w:t>
      </w:r>
      <w:r w:rsidR="00205F5C" w:rsidRPr="009463E5">
        <w:rPr>
          <w:lang w:eastAsia="en-US"/>
        </w:rPr>
        <w:t>–</w:t>
      </w:r>
      <w:r w:rsidR="00F26844" w:rsidRPr="009463E5">
        <w:rPr>
          <w:lang w:eastAsia="en-US"/>
        </w:rPr>
        <w:t xml:space="preserve"> Asia Oriental su patrocinio y organización, </w:t>
      </w:r>
      <w:r w:rsidR="00486363" w:rsidRPr="009463E5">
        <w:rPr>
          <w:lang w:eastAsia="en-US"/>
        </w:rPr>
        <w:t>las cuales</w:t>
      </w:r>
      <w:r w:rsidR="00F26844" w:rsidRPr="009463E5">
        <w:rPr>
          <w:lang w:eastAsia="en-US"/>
        </w:rPr>
        <w:t xml:space="preserve"> sentaron las bases de </w:t>
      </w:r>
      <w:r w:rsidR="00205F5C" w:rsidRPr="009463E5">
        <w:rPr>
          <w:lang w:eastAsia="en-US"/>
        </w:rPr>
        <w:t>la</w:t>
      </w:r>
      <w:r w:rsidR="009463E5" w:rsidRPr="009463E5">
        <w:rPr>
          <w:lang w:eastAsia="en-US"/>
        </w:rPr>
        <w:t xml:space="preserve"> herramienta</w:t>
      </w:r>
      <w:r w:rsidR="00205F5C" w:rsidRPr="009463E5">
        <w:rPr>
          <w:lang w:eastAsia="en-US"/>
        </w:rPr>
        <w:t xml:space="preserve"> </w:t>
      </w:r>
      <w:r w:rsidR="00F26844" w:rsidRPr="009463E5">
        <w:rPr>
          <w:lang w:eastAsia="en-US"/>
        </w:rPr>
        <w:t>WETVAT.</w:t>
      </w:r>
    </w:p>
    <w:p w14:paraId="53E1A33B" w14:textId="60690B4B" w:rsidR="006312C0" w:rsidRPr="009463E5" w:rsidRDefault="006312C0" w:rsidP="00392508">
      <w:pPr>
        <w:pStyle w:val="DRPara"/>
        <w:numPr>
          <w:ilvl w:val="0"/>
          <w:numId w:val="0"/>
        </w:numPr>
        <w:spacing w:after="0"/>
        <w:ind w:left="425" w:hanging="425"/>
        <w:rPr>
          <w:b/>
          <w:bCs/>
          <w:lang w:eastAsia="en-US"/>
        </w:rPr>
      </w:pPr>
      <w:r w:rsidRPr="009463E5">
        <w:br w:type="page"/>
      </w:r>
    </w:p>
    <w:p w14:paraId="09193B67" w14:textId="2DD49DF8" w:rsidR="00744140" w:rsidRPr="009463E5" w:rsidRDefault="006312C0" w:rsidP="0069547C">
      <w:pPr>
        <w:pStyle w:val="DRHeading1"/>
        <w:rPr>
          <w:sz w:val="24"/>
          <w:szCs w:val="24"/>
          <w:lang w:val="es-ES"/>
        </w:rPr>
      </w:pPr>
      <w:r w:rsidRPr="009463E5">
        <w:rPr>
          <w:sz w:val="24"/>
          <w:szCs w:val="24"/>
          <w:lang w:val="es-ES"/>
        </w:rPr>
        <w:lastRenderedPageBreak/>
        <w:t>A</w:t>
      </w:r>
      <w:r w:rsidR="00F26844" w:rsidRPr="009463E5">
        <w:rPr>
          <w:sz w:val="24"/>
          <w:szCs w:val="24"/>
          <w:lang w:val="es-ES"/>
        </w:rPr>
        <w:t xml:space="preserve">nexo </w:t>
      </w:r>
      <w:r w:rsidRPr="009463E5">
        <w:rPr>
          <w:sz w:val="24"/>
          <w:szCs w:val="24"/>
          <w:lang w:val="es-ES"/>
        </w:rPr>
        <w:t>1</w:t>
      </w:r>
    </w:p>
    <w:p w14:paraId="3B447700" w14:textId="3808CD46" w:rsidR="006312C0" w:rsidRPr="009463E5" w:rsidRDefault="00F26844" w:rsidP="006312C0">
      <w:pPr>
        <w:pStyle w:val="DRHeading1"/>
        <w:rPr>
          <w:sz w:val="24"/>
          <w:szCs w:val="24"/>
          <w:lang w:val="es-ES"/>
        </w:rPr>
      </w:pPr>
      <w:r w:rsidRPr="009463E5">
        <w:rPr>
          <w:sz w:val="24"/>
          <w:szCs w:val="24"/>
          <w:lang w:val="es-ES"/>
        </w:rPr>
        <w:t>Sinopsis de la Herramienta de Evaluación de la Vulnerabilidad de los Humedales (WETVAT)</w:t>
      </w:r>
    </w:p>
    <w:p w14:paraId="566459A6" w14:textId="77777777" w:rsidR="006312C0" w:rsidRPr="009463E5" w:rsidRDefault="006312C0">
      <w:pPr>
        <w:rPr>
          <w:rFonts w:ascii="Calibri" w:hAnsi="Calibri" w:cs="Calibri"/>
          <w:sz w:val="22"/>
          <w:szCs w:val="22"/>
        </w:rPr>
      </w:pPr>
    </w:p>
    <w:p w14:paraId="03FCCD4F" w14:textId="76EF9AF8" w:rsidR="001C3173" w:rsidRPr="009463E5" w:rsidRDefault="00F26844" w:rsidP="00154B49">
      <w:pPr>
        <w:pStyle w:val="AnnexH1"/>
        <w:rPr>
          <w:lang w:val="es-ES"/>
        </w:rPr>
      </w:pPr>
      <w:r w:rsidRPr="009463E5">
        <w:rPr>
          <w:lang w:val="es-ES"/>
        </w:rPr>
        <w:t>Introducción</w:t>
      </w:r>
    </w:p>
    <w:p w14:paraId="1C99A43E" w14:textId="3A51DC81" w:rsidR="009C1347" w:rsidRPr="009463E5" w:rsidRDefault="00392508" w:rsidP="00392508">
      <w:pPr>
        <w:pStyle w:val="AnnexText"/>
        <w:numPr>
          <w:ilvl w:val="0"/>
          <w:numId w:val="0"/>
        </w:numPr>
        <w:spacing w:after="0"/>
        <w:ind w:left="425" w:hanging="425"/>
        <w:rPr>
          <w:lang w:val="es-ES"/>
        </w:rPr>
      </w:pPr>
      <w:r w:rsidRPr="009463E5">
        <w:rPr>
          <w:bCs/>
          <w:lang w:val="es-ES"/>
        </w:rPr>
        <w:t>1.</w:t>
      </w:r>
      <w:r w:rsidRPr="009463E5">
        <w:rPr>
          <w:bCs/>
          <w:lang w:val="es-ES"/>
        </w:rPr>
        <w:tab/>
      </w:r>
      <w:r w:rsidR="00205F5C" w:rsidRPr="009463E5">
        <w:rPr>
          <w:bCs/>
          <w:lang w:val="es-ES"/>
        </w:rPr>
        <w:t>En todo el mundo</w:t>
      </w:r>
      <w:r w:rsidR="00F26844" w:rsidRPr="009463E5">
        <w:rPr>
          <w:bCs/>
          <w:lang w:val="es-ES"/>
        </w:rPr>
        <w:t xml:space="preserve">, los humedales </w:t>
      </w:r>
      <w:r w:rsidR="00D11F3A" w:rsidRPr="009463E5">
        <w:rPr>
          <w:bCs/>
          <w:lang w:val="es-ES"/>
        </w:rPr>
        <w:t>se encuentran</w:t>
      </w:r>
      <w:r w:rsidR="00F26844" w:rsidRPr="009463E5">
        <w:rPr>
          <w:bCs/>
          <w:lang w:val="es-ES"/>
        </w:rPr>
        <w:t xml:space="preserve"> expuestos a una serie de presiones que los hacen vulnerables. En algunos lugares, estas presiones e impactos potenciales están bien documentados y están </w:t>
      </w:r>
      <w:r w:rsidR="00D11F3A" w:rsidRPr="009463E5">
        <w:rPr>
          <w:bCs/>
          <w:lang w:val="es-ES"/>
        </w:rPr>
        <w:t xml:space="preserve">siendo </w:t>
      </w:r>
      <w:r w:rsidR="00F26844" w:rsidRPr="009463E5">
        <w:rPr>
          <w:bCs/>
          <w:lang w:val="es-ES"/>
        </w:rPr>
        <w:t>a</w:t>
      </w:r>
      <w:r w:rsidR="00D11F3A" w:rsidRPr="009463E5">
        <w:rPr>
          <w:bCs/>
          <w:lang w:val="es-ES"/>
        </w:rPr>
        <w:t>frontados</w:t>
      </w:r>
      <w:r w:rsidR="00F26844" w:rsidRPr="009463E5">
        <w:rPr>
          <w:bCs/>
          <w:lang w:val="es-ES"/>
        </w:rPr>
        <w:t xml:space="preserve"> con éxito. Sin embargo, en otros lugares, la falta de datos, recursos y métodos dificulta la realización de evaluaciones exhaustivas de su vulnerabilidad. Este es especialmente el caso de los humedales de difícil acceso o que cuentan con recursos limitados. </w:t>
      </w:r>
    </w:p>
    <w:p w14:paraId="500AF98C" w14:textId="77777777" w:rsidR="00392508" w:rsidRPr="009463E5" w:rsidRDefault="00392508" w:rsidP="00392508">
      <w:pPr>
        <w:pStyle w:val="AnnexText"/>
        <w:numPr>
          <w:ilvl w:val="0"/>
          <w:numId w:val="0"/>
        </w:numPr>
        <w:spacing w:after="0"/>
        <w:ind w:left="425" w:hanging="425"/>
        <w:rPr>
          <w:lang w:val="es-ES"/>
        </w:rPr>
      </w:pPr>
    </w:p>
    <w:p w14:paraId="0DBD0400" w14:textId="37BC8C52" w:rsidR="009C1347" w:rsidRPr="009463E5" w:rsidRDefault="00392508" w:rsidP="00392508">
      <w:pPr>
        <w:pStyle w:val="AnnexText"/>
        <w:numPr>
          <w:ilvl w:val="0"/>
          <w:numId w:val="0"/>
        </w:numPr>
        <w:spacing w:after="0"/>
        <w:ind w:left="425" w:hanging="425"/>
        <w:rPr>
          <w:lang w:val="es-ES"/>
        </w:rPr>
      </w:pPr>
      <w:r w:rsidRPr="009463E5">
        <w:rPr>
          <w:bCs/>
          <w:lang w:val="es-ES"/>
        </w:rPr>
        <w:t>2.</w:t>
      </w:r>
      <w:r w:rsidRPr="009463E5">
        <w:rPr>
          <w:bCs/>
          <w:lang w:val="es-ES"/>
        </w:rPr>
        <w:tab/>
      </w:r>
      <w:r w:rsidR="00F26844" w:rsidRPr="009463E5">
        <w:rPr>
          <w:bCs/>
          <w:lang w:val="es-ES"/>
        </w:rPr>
        <w:t xml:space="preserve">La evaluación de las amenazas que pesan sobre los humedales suele llevarse a cabo como parte del análisis del impacto ambiental de los proyectos de desarrollo o como elemento de la planificación de la gestión de los sitios, sobre todo en el caso de los Humedales de Importancia Internacional. Pero en muchos casos los métodos de evaluación se han establecido en países industrializados y se adaptan mal a las condiciones de países menos desarrollados, donde el conocimiento de los humedales suele ser menos completo y los recursos más limitados. A menudo no existen los datos necesarios para llevar a cabo una evaluación detallada de muchos humedales y, en consecuencia, se han realizado pocas evaluaciones de vulnerabilidad. Además, las comunidades que más dependen de un humedal suelen ser las que carecen de los recursos necesarios para llevar a cabo una evaluación formal. </w:t>
      </w:r>
    </w:p>
    <w:p w14:paraId="79DE987E" w14:textId="77777777" w:rsidR="00392508" w:rsidRPr="009463E5" w:rsidRDefault="00392508" w:rsidP="00392508">
      <w:pPr>
        <w:pStyle w:val="AnnexText"/>
        <w:numPr>
          <w:ilvl w:val="0"/>
          <w:numId w:val="0"/>
        </w:numPr>
        <w:spacing w:after="0"/>
        <w:ind w:left="425" w:hanging="425"/>
        <w:rPr>
          <w:lang w:val="es-ES"/>
        </w:rPr>
      </w:pPr>
    </w:p>
    <w:p w14:paraId="258A23E3" w14:textId="42BF8D29" w:rsidR="009C1347" w:rsidRPr="009463E5" w:rsidRDefault="00392508" w:rsidP="00392508">
      <w:pPr>
        <w:pStyle w:val="AnnexText"/>
        <w:numPr>
          <w:ilvl w:val="0"/>
          <w:numId w:val="0"/>
        </w:numPr>
        <w:spacing w:after="0"/>
        <w:ind w:left="425" w:hanging="425"/>
        <w:rPr>
          <w:lang w:val="es-ES"/>
        </w:rPr>
      </w:pPr>
      <w:r w:rsidRPr="009463E5">
        <w:rPr>
          <w:bCs/>
          <w:lang w:val="es-ES"/>
        </w:rPr>
        <w:t>3.</w:t>
      </w:r>
      <w:r w:rsidRPr="009463E5">
        <w:rPr>
          <w:bCs/>
          <w:lang w:val="es-ES"/>
        </w:rPr>
        <w:tab/>
      </w:r>
      <w:r w:rsidR="00F26844" w:rsidRPr="009463E5">
        <w:rPr>
          <w:bCs/>
          <w:lang w:val="es-ES"/>
        </w:rPr>
        <w:t>Una iniciativa conjunta de la Convención de Ramsar y el WWF</w:t>
      </w:r>
      <w:r w:rsidR="00D11F3A" w:rsidRPr="009463E5">
        <w:rPr>
          <w:bCs/>
          <w:lang w:val="es-ES"/>
        </w:rPr>
        <w:t>,</w:t>
      </w:r>
      <w:r w:rsidR="00F26844" w:rsidRPr="009463E5">
        <w:rPr>
          <w:bCs/>
          <w:lang w:val="es-ES"/>
        </w:rPr>
        <w:t xml:space="preserve"> destinada a fomentar la cooperación regional para la conservación a largo plazo de los humedales</w:t>
      </w:r>
      <w:r w:rsidR="00D11F3A" w:rsidRPr="009463E5">
        <w:rPr>
          <w:bCs/>
          <w:lang w:val="es-ES"/>
        </w:rPr>
        <w:t>,</w:t>
      </w:r>
      <w:r w:rsidR="00F26844" w:rsidRPr="009463E5">
        <w:rPr>
          <w:bCs/>
          <w:lang w:val="es-ES"/>
        </w:rPr>
        <w:t xml:space="preserve"> recomendó el desarrollo de herramientas para facilitar el seguimiento y la evaluación del cambio climático y otros impactos en los Humedales de Importancia Internacional y otros humedales</w:t>
      </w:r>
      <w:r w:rsidR="002E6DEC" w:rsidRPr="009463E5">
        <w:rPr>
          <w:rStyle w:val="FootnoteReference"/>
          <w:lang w:val="es-ES"/>
        </w:rPr>
        <w:footnoteReference w:id="1"/>
      </w:r>
      <w:r w:rsidR="00F26844" w:rsidRPr="009463E5">
        <w:rPr>
          <w:bCs/>
          <w:lang w:val="es-ES"/>
        </w:rPr>
        <w:t xml:space="preserve">. En consecuencia, el programa Asia Pro-Eco de la </w:t>
      </w:r>
      <w:r w:rsidR="009463E5" w:rsidRPr="009463E5">
        <w:rPr>
          <w:bCs/>
          <w:lang w:val="es-ES"/>
        </w:rPr>
        <w:t>Unión Europea</w:t>
      </w:r>
      <w:r w:rsidR="00F26844" w:rsidRPr="009463E5">
        <w:rPr>
          <w:bCs/>
          <w:lang w:val="es-ES"/>
        </w:rPr>
        <w:t xml:space="preserve"> financió el desarrollo de un conjunto de métodos de inventario y evaluación para los humedales del Gran Himalaya</w:t>
      </w:r>
      <w:r w:rsidR="002E6DEC" w:rsidRPr="009463E5">
        <w:rPr>
          <w:rStyle w:val="FootnoteReference"/>
          <w:lang w:val="es-ES"/>
        </w:rPr>
        <w:footnoteReference w:id="2"/>
      </w:r>
      <w:r w:rsidR="00F26844" w:rsidRPr="009463E5">
        <w:rPr>
          <w:bCs/>
          <w:lang w:val="es-ES"/>
        </w:rPr>
        <w:t>. Se desarrolló un método inicial de evaluación de la vulnerabilidad de los humedales situados a gran altitud en la región del Himalaya, que se puso a prueba en lugares remotos y no remotos</w:t>
      </w:r>
      <w:r w:rsidR="002E6DEC" w:rsidRPr="009463E5">
        <w:rPr>
          <w:rStyle w:val="FootnoteReference"/>
          <w:lang w:val="es-ES"/>
        </w:rPr>
        <w:footnoteReference w:id="3"/>
      </w:r>
      <w:r w:rsidR="00F26844" w:rsidRPr="009463E5">
        <w:rPr>
          <w:bCs/>
          <w:lang w:val="es-ES"/>
        </w:rPr>
        <w:t xml:space="preserve">. El método se basaba en una evaluación previa de los servicios ecosistémicos prestados por un humedal y las presiones a las </w:t>
      </w:r>
      <w:r w:rsidR="00205F5C" w:rsidRPr="009463E5">
        <w:rPr>
          <w:bCs/>
          <w:lang w:val="es-ES"/>
        </w:rPr>
        <w:t>que</w:t>
      </w:r>
      <w:r w:rsidR="00F26844" w:rsidRPr="009463E5">
        <w:rPr>
          <w:bCs/>
          <w:lang w:val="es-ES"/>
        </w:rPr>
        <w:t xml:space="preserve"> se enfrentan </w:t>
      </w:r>
      <w:r w:rsidR="002E6DEC" w:rsidRPr="009463E5">
        <w:rPr>
          <w:bCs/>
          <w:lang w:val="es-ES"/>
        </w:rPr>
        <w:t>est</w:t>
      </w:r>
      <w:r w:rsidR="00F26844" w:rsidRPr="009463E5">
        <w:rPr>
          <w:bCs/>
          <w:lang w:val="es-ES"/>
        </w:rPr>
        <w:t xml:space="preserve">os </w:t>
      </w:r>
      <w:r w:rsidR="002E6DEC" w:rsidRPr="009463E5">
        <w:rPr>
          <w:bCs/>
          <w:lang w:val="es-ES"/>
        </w:rPr>
        <w:t>ecosistemas</w:t>
      </w:r>
      <w:r w:rsidR="002E6DEC" w:rsidRPr="009463E5">
        <w:rPr>
          <w:rStyle w:val="FootnoteReference"/>
          <w:lang w:val="es-ES"/>
        </w:rPr>
        <w:footnoteReference w:id="4"/>
      </w:r>
      <w:r w:rsidR="00F26844" w:rsidRPr="009463E5">
        <w:rPr>
          <w:bCs/>
          <w:lang w:val="es-ES"/>
        </w:rPr>
        <w:t xml:space="preserve">. </w:t>
      </w:r>
    </w:p>
    <w:p w14:paraId="1F301D50" w14:textId="77777777" w:rsidR="00392508" w:rsidRPr="009463E5" w:rsidRDefault="00392508" w:rsidP="00392508">
      <w:pPr>
        <w:pStyle w:val="AnnexText"/>
        <w:numPr>
          <w:ilvl w:val="0"/>
          <w:numId w:val="0"/>
        </w:numPr>
        <w:spacing w:after="0"/>
        <w:ind w:left="425" w:hanging="425"/>
        <w:rPr>
          <w:lang w:val="es-ES"/>
        </w:rPr>
      </w:pPr>
    </w:p>
    <w:p w14:paraId="44E940BB" w14:textId="2140320C" w:rsidR="002E6DEC" w:rsidRPr="009463E5" w:rsidRDefault="002E6DEC" w:rsidP="00392508">
      <w:pPr>
        <w:pStyle w:val="AnnexH1"/>
        <w:spacing w:after="0"/>
        <w:rPr>
          <w:lang w:val="es-ES"/>
        </w:rPr>
      </w:pPr>
      <w:bookmarkStart w:id="2" w:name="_Toc176348650"/>
      <w:r w:rsidRPr="009463E5">
        <w:rPr>
          <w:lang w:val="es-ES"/>
        </w:rPr>
        <w:t>Desarrollo reciente de la Herramienta de Evaluación de la Vulnerabilidad de los Humedales</w:t>
      </w:r>
    </w:p>
    <w:bookmarkEnd w:id="2"/>
    <w:p w14:paraId="059E4552" w14:textId="77777777" w:rsidR="00392508" w:rsidRPr="009463E5" w:rsidRDefault="00392508" w:rsidP="00392508">
      <w:pPr>
        <w:pStyle w:val="AnnexH1"/>
        <w:spacing w:after="0"/>
        <w:rPr>
          <w:lang w:val="es-ES"/>
        </w:rPr>
      </w:pPr>
    </w:p>
    <w:p w14:paraId="22177264" w14:textId="4D2BD9F3" w:rsidR="001A023B" w:rsidRPr="009463E5" w:rsidRDefault="00392508" w:rsidP="00392508">
      <w:pPr>
        <w:pStyle w:val="AnnexText"/>
        <w:numPr>
          <w:ilvl w:val="0"/>
          <w:numId w:val="0"/>
        </w:numPr>
        <w:spacing w:after="0"/>
        <w:ind w:left="425" w:hanging="425"/>
        <w:rPr>
          <w:lang w:val="es-ES"/>
        </w:rPr>
      </w:pPr>
      <w:r w:rsidRPr="009463E5">
        <w:rPr>
          <w:bCs/>
          <w:lang w:val="es-ES"/>
        </w:rPr>
        <w:t>4.</w:t>
      </w:r>
      <w:r w:rsidRPr="009463E5">
        <w:rPr>
          <w:bCs/>
          <w:lang w:val="es-ES"/>
        </w:rPr>
        <w:tab/>
      </w:r>
      <w:r w:rsidR="002E6DEC" w:rsidRPr="009463E5">
        <w:rPr>
          <w:bCs/>
          <w:lang w:val="es-ES"/>
        </w:rPr>
        <w:t xml:space="preserve">El método desarrollado a través del trabajo sobre los humedales del Gran Himalaya ha sido mejorado posteriormente para su aplicación en el ámbito del Centro Regional de Ramsar </w:t>
      </w:r>
      <w:r w:rsidR="00205F5C" w:rsidRPr="009463E5">
        <w:rPr>
          <w:bCs/>
          <w:lang w:val="es-ES"/>
        </w:rPr>
        <w:t>–</w:t>
      </w:r>
      <w:r w:rsidR="002E6DEC" w:rsidRPr="009463E5">
        <w:rPr>
          <w:bCs/>
          <w:lang w:val="es-ES"/>
        </w:rPr>
        <w:t xml:space="preserve"> Asia Oriental (RRC-EA), así como en otros lugares, y puesto a prueba sobre una mayor variedad de sitios de la región. La Herramienta de Evaluación de la Vulnerabilidad de los Humedales (WETVAT) resultante complementa directamente otras herramientas y enfoques voluntarios a disposición de los administradores de humedales, como la </w:t>
      </w:r>
      <w:r w:rsidR="002E6DEC" w:rsidRPr="009463E5">
        <w:rPr>
          <w:bCs/>
          <w:i/>
          <w:iCs/>
          <w:lang w:val="es-ES"/>
        </w:rPr>
        <w:t xml:space="preserve">Evaluación </w:t>
      </w:r>
      <w:r w:rsidR="00205F5C" w:rsidRPr="009463E5">
        <w:rPr>
          <w:bCs/>
          <w:i/>
          <w:iCs/>
          <w:lang w:val="es-ES"/>
        </w:rPr>
        <w:t>r</w:t>
      </w:r>
      <w:r w:rsidR="002E6DEC" w:rsidRPr="009463E5">
        <w:rPr>
          <w:bCs/>
          <w:i/>
          <w:iCs/>
          <w:lang w:val="es-ES"/>
        </w:rPr>
        <w:t xml:space="preserve">ápida de los </w:t>
      </w:r>
      <w:r w:rsidR="00205F5C" w:rsidRPr="009463E5">
        <w:rPr>
          <w:bCs/>
          <w:i/>
          <w:iCs/>
          <w:lang w:val="es-ES"/>
        </w:rPr>
        <w:t>s</w:t>
      </w:r>
      <w:r w:rsidR="002E6DEC" w:rsidRPr="009463E5">
        <w:rPr>
          <w:bCs/>
          <w:i/>
          <w:iCs/>
          <w:lang w:val="es-ES"/>
        </w:rPr>
        <w:t>ervicios de</w:t>
      </w:r>
      <w:r w:rsidR="002E6DEC" w:rsidRPr="009463E5">
        <w:rPr>
          <w:bCs/>
          <w:lang w:val="es-ES"/>
        </w:rPr>
        <w:t xml:space="preserve"> </w:t>
      </w:r>
      <w:r w:rsidR="002E6DEC" w:rsidRPr="009463E5">
        <w:rPr>
          <w:bCs/>
          <w:i/>
          <w:iCs/>
          <w:lang w:val="es-ES"/>
        </w:rPr>
        <w:lastRenderedPageBreak/>
        <w:t xml:space="preserve">los </w:t>
      </w:r>
      <w:r w:rsidR="00205F5C" w:rsidRPr="009463E5">
        <w:rPr>
          <w:bCs/>
          <w:i/>
          <w:iCs/>
          <w:lang w:val="es-ES"/>
        </w:rPr>
        <w:t>e</w:t>
      </w:r>
      <w:r w:rsidR="002E6DEC" w:rsidRPr="009463E5">
        <w:rPr>
          <w:bCs/>
          <w:i/>
          <w:iCs/>
          <w:lang w:val="es-ES"/>
        </w:rPr>
        <w:t xml:space="preserve">cosistemas de </w:t>
      </w:r>
      <w:r w:rsidR="00205F5C" w:rsidRPr="009463E5">
        <w:rPr>
          <w:bCs/>
          <w:i/>
          <w:iCs/>
          <w:lang w:val="es-ES"/>
        </w:rPr>
        <w:t>h</w:t>
      </w:r>
      <w:r w:rsidR="002E6DEC" w:rsidRPr="009463E5">
        <w:rPr>
          <w:bCs/>
          <w:i/>
          <w:iCs/>
          <w:lang w:val="es-ES"/>
        </w:rPr>
        <w:t>umedales</w:t>
      </w:r>
      <w:r w:rsidR="002E6DEC" w:rsidRPr="009463E5">
        <w:rPr>
          <w:bCs/>
          <w:lang w:val="es-ES"/>
        </w:rPr>
        <w:t xml:space="preserve"> (RAWES)</w:t>
      </w:r>
      <w:r w:rsidR="002E6DEC" w:rsidRPr="009463E5">
        <w:rPr>
          <w:rStyle w:val="FootnoteReference"/>
          <w:lang w:val="es-ES"/>
        </w:rPr>
        <w:footnoteReference w:id="5"/>
      </w:r>
      <w:r w:rsidR="002E6DEC" w:rsidRPr="009463E5">
        <w:rPr>
          <w:lang w:val="es-ES"/>
        </w:rPr>
        <w:t xml:space="preserve"> </w:t>
      </w:r>
      <w:r w:rsidR="002E6DEC" w:rsidRPr="009463E5">
        <w:rPr>
          <w:bCs/>
          <w:lang w:val="es-ES"/>
        </w:rPr>
        <w:t xml:space="preserve">y la </w:t>
      </w:r>
      <w:r w:rsidR="002E6DEC" w:rsidRPr="009463E5">
        <w:rPr>
          <w:bCs/>
          <w:i/>
          <w:iCs/>
          <w:lang w:val="es-ES"/>
        </w:rPr>
        <w:t xml:space="preserve">Herramienta de </w:t>
      </w:r>
      <w:r w:rsidR="00205F5C" w:rsidRPr="009463E5">
        <w:rPr>
          <w:bCs/>
          <w:i/>
          <w:iCs/>
          <w:lang w:val="es-ES"/>
        </w:rPr>
        <w:t>s</w:t>
      </w:r>
      <w:r w:rsidR="002E6DEC" w:rsidRPr="009463E5">
        <w:rPr>
          <w:bCs/>
          <w:i/>
          <w:iCs/>
          <w:lang w:val="es-ES"/>
        </w:rPr>
        <w:t xml:space="preserve">eguimiento de la </w:t>
      </w:r>
      <w:r w:rsidR="00205F5C" w:rsidRPr="009463E5">
        <w:rPr>
          <w:bCs/>
          <w:i/>
          <w:iCs/>
          <w:lang w:val="es-ES"/>
        </w:rPr>
        <w:t>efectividad</w:t>
      </w:r>
      <w:r w:rsidR="002E6DEC" w:rsidRPr="009463E5">
        <w:rPr>
          <w:bCs/>
          <w:i/>
          <w:iCs/>
          <w:lang w:val="es-ES"/>
        </w:rPr>
        <w:t xml:space="preserve"> del </w:t>
      </w:r>
      <w:r w:rsidR="00205F5C" w:rsidRPr="009463E5">
        <w:rPr>
          <w:bCs/>
          <w:i/>
          <w:iCs/>
          <w:lang w:val="es-ES"/>
        </w:rPr>
        <w:t>m</w:t>
      </w:r>
      <w:r w:rsidR="002E6DEC" w:rsidRPr="009463E5">
        <w:rPr>
          <w:bCs/>
          <w:i/>
          <w:iCs/>
          <w:lang w:val="es-ES"/>
        </w:rPr>
        <w:t xml:space="preserve">anejo de </w:t>
      </w:r>
      <w:r w:rsidR="00205F5C" w:rsidRPr="009463E5">
        <w:rPr>
          <w:bCs/>
          <w:i/>
          <w:iCs/>
          <w:lang w:val="es-ES"/>
        </w:rPr>
        <w:t>s</w:t>
      </w:r>
      <w:r w:rsidR="002E6DEC" w:rsidRPr="009463E5">
        <w:rPr>
          <w:bCs/>
          <w:i/>
          <w:iCs/>
          <w:lang w:val="es-ES"/>
        </w:rPr>
        <w:t>itios Ramsar</w:t>
      </w:r>
      <w:r w:rsidR="002E6DEC" w:rsidRPr="009463E5">
        <w:rPr>
          <w:bCs/>
          <w:lang w:val="es-ES"/>
        </w:rPr>
        <w:t xml:space="preserve"> (R-METT)</w:t>
      </w:r>
      <w:r w:rsidR="003A30B5" w:rsidRPr="009463E5">
        <w:rPr>
          <w:rStyle w:val="FootnoteReference"/>
          <w:lang w:val="es-ES"/>
        </w:rPr>
        <w:footnoteReference w:id="6"/>
      </w:r>
      <w:r w:rsidR="003A30B5" w:rsidRPr="009463E5">
        <w:rPr>
          <w:lang w:val="es-ES"/>
        </w:rPr>
        <w:t>.</w:t>
      </w:r>
      <w:r w:rsidR="002E6DEC" w:rsidRPr="009463E5">
        <w:rPr>
          <w:bCs/>
          <w:lang w:val="es-ES"/>
        </w:rPr>
        <w:t xml:space="preserve"> Además, contribuye a garantizar que se lleven a cabo evaluaciones de impacto ambiental </w:t>
      </w:r>
      <w:r w:rsidR="00205F5C" w:rsidRPr="009463E5">
        <w:rPr>
          <w:bCs/>
          <w:lang w:val="es-ES"/>
        </w:rPr>
        <w:t xml:space="preserve">sólidas </w:t>
      </w:r>
      <w:r w:rsidR="002E6DEC" w:rsidRPr="009463E5">
        <w:rPr>
          <w:bCs/>
          <w:lang w:val="es-ES"/>
        </w:rPr>
        <w:t>y se identifiquen medidas para minimizar los impactos de los proyectos en los ecosistemas de humedales y, en consecuencia, proteger y mantener las características ecológicas de los humedales, tal como se alienta en la Resolución XIV.16</w:t>
      </w:r>
      <w:r w:rsidR="00D11F3A" w:rsidRPr="009463E5">
        <w:rPr>
          <w:bCs/>
          <w:vertAlign w:val="superscript"/>
          <w:lang w:val="es-ES"/>
        </w:rPr>
        <w:footnoteReference w:id="7"/>
      </w:r>
      <w:r w:rsidR="00D11F3A" w:rsidRPr="009463E5">
        <w:rPr>
          <w:bCs/>
          <w:lang w:val="es-ES"/>
        </w:rPr>
        <w:t>.</w:t>
      </w:r>
      <w:r w:rsidR="002E6DEC" w:rsidRPr="009463E5">
        <w:rPr>
          <w:bCs/>
          <w:lang w:val="es-ES"/>
        </w:rPr>
        <w:t xml:space="preserve"> </w:t>
      </w:r>
    </w:p>
    <w:p w14:paraId="65755DCE" w14:textId="77777777" w:rsidR="00392508" w:rsidRPr="009463E5" w:rsidRDefault="00392508" w:rsidP="00392508">
      <w:pPr>
        <w:pStyle w:val="AnnexText"/>
        <w:numPr>
          <w:ilvl w:val="0"/>
          <w:numId w:val="0"/>
        </w:numPr>
        <w:spacing w:after="0"/>
        <w:ind w:left="425" w:hanging="425"/>
        <w:rPr>
          <w:b/>
          <w:lang w:val="es-ES"/>
        </w:rPr>
      </w:pPr>
    </w:p>
    <w:p w14:paraId="39F23F80" w14:textId="39E7206C" w:rsidR="001A023B" w:rsidRPr="009463E5" w:rsidRDefault="00392508" w:rsidP="00392508">
      <w:pPr>
        <w:pStyle w:val="AnnexText"/>
        <w:numPr>
          <w:ilvl w:val="0"/>
          <w:numId w:val="0"/>
        </w:numPr>
        <w:spacing w:after="0"/>
        <w:ind w:left="425" w:hanging="425"/>
        <w:rPr>
          <w:lang w:val="es-ES"/>
        </w:rPr>
      </w:pPr>
      <w:r w:rsidRPr="009463E5">
        <w:rPr>
          <w:bCs/>
          <w:lang w:val="es-ES"/>
        </w:rPr>
        <w:t>5.</w:t>
      </w:r>
      <w:r w:rsidRPr="009463E5">
        <w:rPr>
          <w:bCs/>
          <w:lang w:val="es-ES"/>
        </w:rPr>
        <w:tab/>
      </w:r>
      <w:r w:rsidR="003A30B5" w:rsidRPr="009463E5">
        <w:rPr>
          <w:bCs/>
          <w:lang w:val="es-ES"/>
        </w:rPr>
        <w:t xml:space="preserve">WETVAT integra la importancia fundamental de los humedales para la conservación de la biodiversidad y el papel que desempeñan en la prestación de servicios ecosistémicos basados en </w:t>
      </w:r>
      <w:r w:rsidR="00205F5C" w:rsidRPr="009463E5">
        <w:rPr>
          <w:bCs/>
          <w:lang w:val="es-ES"/>
        </w:rPr>
        <w:t>dicha</w:t>
      </w:r>
      <w:r w:rsidR="003A30B5" w:rsidRPr="009463E5">
        <w:rPr>
          <w:bCs/>
          <w:lang w:val="es-ES"/>
        </w:rPr>
        <w:t xml:space="preserve"> biodiversidad. El método descrito en este </w:t>
      </w:r>
      <w:r w:rsidR="00205F5C" w:rsidRPr="009463E5">
        <w:rPr>
          <w:bCs/>
          <w:lang w:val="es-ES"/>
        </w:rPr>
        <w:t>a</w:t>
      </w:r>
      <w:r w:rsidR="003A30B5" w:rsidRPr="009463E5">
        <w:rPr>
          <w:bCs/>
          <w:lang w:val="es-ES"/>
        </w:rPr>
        <w:t xml:space="preserve">nexo </w:t>
      </w:r>
      <w:r w:rsidR="00205F5C" w:rsidRPr="009463E5">
        <w:rPr>
          <w:bCs/>
          <w:lang w:val="es-ES"/>
        </w:rPr>
        <w:t>considera</w:t>
      </w:r>
      <w:r w:rsidR="003A30B5" w:rsidRPr="009463E5">
        <w:rPr>
          <w:bCs/>
          <w:lang w:val="es-ES"/>
        </w:rPr>
        <w:t xml:space="preserve"> la biodiversidad por separado como componente fundamental de las características ecológicas de un humedal, pero integra la importancia de los humedales para conservar </w:t>
      </w:r>
      <w:r w:rsidR="00205F5C" w:rsidRPr="009463E5">
        <w:rPr>
          <w:bCs/>
          <w:lang w:val="es-ES"/>
        </w:rPr>
        <w:t xml:space="preserve">tanto </w:t>
      </w:r>
      <w:r w:rsidR="003A30B5" w:rsidRPr="009463E5">
        <w:rPr>
          <w:bCs/>
          <w:lang w:val="es-ES"/>
        </w:rPr>
        <w:t xml:space="preserve">la biodiversidad </w:t>
      </w:r>
      <w:r w:rsidR="00205F5C" w:rsidRPr="009463E5">
        <w:rPr>
          <w:bCs/>
          <w:lang w:val="es-ES"/>
        </w:rPr>
        <w:t xml:space="preserve">como </w:t>
      </w:r>
      <w:r w:rsidR="003A30B5" w:rsidRPr="009463E5">
        <w:rPr>
          <w:bCs/>
          <w:lang w:val="es-ES"/>
        </w:rPr>
        <w:t>su papel en la prestación de servicios ecosistémicos. El término “valor” se emplea para abarcar ambos elementos, ya que la Convención utiliza el término para indicar tanto la importancia intrínseca de los humedales para la biodiversidad como la importancia de los servicios de los ecosistemas para las personas.</w:t>
      </w:r>
    </w:p>
    <w:p w14:paraId="2C077A6A" w14:textId="77777777" w:rsidR="00392508" w:rsidRPr="009463E5" w:rsidRDefault="00392508" w:rsidP="00392508">
      <w:pPr>
        <w:pStyle w:val="AnnexText"/>
        <w:numPr>
          <w:ilvl w:val="0"/>
          <w:numId w:val="0"/>
        </w:numPr>
        <w:spacing w:after="0"/>
        <w:ind w:left="425" w:hanging="425"/>
        <w:rPr>
          <w:lang w:val="es-ES"/>
        </w:rPr>
      </w:pPr>
    </w:p>
    <w:p w14:paraId="294304D4" w14:textId="7865941B" w:rsidR="003A30B5" w:rsidRPr="009463E5" w:rsidRDefault="00205F5C" w:rsidP="00392508">
      <w:pPr>
        <w:pStyle w:val="AnnexH1"/>
        <w:spacing w:after="0"/>
        <w:rPr>
          <w:lang w:val="es-ES"/>
        </w:rPr>
      </w:pPr>
      <w:bookmarkStart w:id="3" w:name="_Toc176348651"/>
      <w:r w:rsidRPr="009463E5">
        <w:rPr>
          <w:lang w:val="es-ES"/>
        </w:rPr>
        <w:t>Finalidad</w:t>
      </w:r>
      <w:r w:rsidR="003A30B5" w:rsidRPr="009463E5">
        <w:rPr>
          <w:lang w:val="es-ES"/>
        </w:rPr>
        <w:t xml:space="preserve"> de la herramienta</w:t>
      </w:r>
    </w:p>
    <w:bookmarkEnd w:id="3"/>
    <w:p w14:paraId="52721FE3" w14:textId="77777777" w:rsidR="00392508" w:rsidRPr="009463E5" w:rsidRDefault="00392508" w:rsidP="00392508">
      <w:pPr>
        <w:pStyle w:val="AnnexH1"/>
        <w:spacing w:after="0"/>
        <w:rPr>
          <w:lang w:val="es-ES"/>
        </w:rPr>
      </w:pPr>
    </w:p>
    <w:p w14:paraId="39605C52" w14:textId="5A8917E7" w:rsidR="009C1347" w:rsidRPr="009463E5" w:rsidRDefault="00392508" w:rsidP="00392508">
      <w:pPr>
        <w:pStyle w:val="AnnexText"/>
        <w:numPr>
          <w:ilvl w:val="0"/>
          <w:numId w:val="0"/>
        </w:numPr>
        <w:spacing w:after="0"/>
        <w:ind w:left="425" w:hanging="425"/>
        <w:rPr>
          <w:lang w:val="es-ES"/>
        </w:rPr>
      </w:pPr>
      <w:r w:rsidRPr="009463E5">
        <w:rPr>
          <w:bCs/>
          <w:lang w:val="es-ES"/>
        </w:rPr>
        <w:t>6.</w:t>
      </w:r>
      <w:r w:rsidRPr="009463E5">
        <w:rPr>
          <w:bCs/>
          <w:lang w:val="es-ES"/>
        </w:rPr>
        <w:tab/>
      </w:r>
      <w:r w:rsidR="000C35DE" w:rsidRPr="009463E5">
        <w:rPr>
          <w:bCs/>
          <w:lang w:val="es-ES"/>
        </w:rPr>
        <w:t xml:space="preserve">Los humedales </w:t>
      </w:r>
      <w:r w:rsidR="00205F5C" w:rsidRPr="009463E5">
        <w:rPr>
          <w:bCs/>
          <w:lang w:val="es-ES"/>
        </w:rPr>
        <w:t>son</w:t>
      </w:r>
      <w:r w:rsidR="000C35DE" w:rsidRPr="009463E5">
        <w:rPr>
          <w:bCs/>
          <w:lang w:val="es-ES"/>
        </w:rPr>
        <w:t xml:space="preserve"> vulnerables a una gran variedad de amenazas humanas y cambios ambientales, como el </w:t>
      </w:r>
      <w:r w:rsidR="00205F5C" w:rsidRPr="009463E5">
        <w:rPr>
          <w:bCs/>
          <w:lang w:val="es-ES"/>
        </w:rPr>
        <w:t>sobre</w:t>
      </w:r>
      <w:r w:rsidR="000C35DE" w:rsidRPr="009463E5">
        <w:rPr>
          <w:bCs/>
          <w:lang w:val="es-ES"/>
        </w:rPr>
        <w:t xml:space="preserve">pastoreo, la construcción de presas, la contaminación, el drenaje y el cambio climático. Por consiguiente, si se quieren conservar las características y valores intrínsecos que poseen estos humedales, es necesario identificar, evaluar y gestionar las amenazas. </w:t>
      </w:r>
      <w:r w:rsidR="000C695F" w:rsidRPr="009463E5">
        <w:rPr>
          <w:bCs/>
          <w:lang w:val="es-ES"/>
        </w:rPr>
        <w:t xml:space="preserve">La herramienta </w:t>
      </w:r>
      <w:r w:rsidR="000C35DE" w:rsidRPr="009463E5">
        <w:rPr>
          <w:bCs/>
          <w:lang w:val="es-ES"/>
        </w:rPr>
        <w:t xml:space="preserve">WETVAT no </w:t>
      </w:r>
      <w:r w:rsidR="000C695F" w:rsidRPr="009463E5">
        <w:rPr>
          <w:bCs/>
          <w:lang w:val="es-ES"/>
        </w:rPr>
        <w:t>pretende</w:t>
      </w:r>
      <w:r w:rsidR="000C35DE" w:rsidRPr="009463E5">
        <w:rPr>
          <w:bCs/>
          <w:lang w:val="es-ES"/>
        </w:rPr>
        <w:t xml:space="preserve"> abordar la dinámica natural de los humedales que puede alterar sus características a lo largo del tiempo, sino que evalúa la vulnerabilidad del sistema </w:t>
      </w:r>
      <w:r w:rsidR="00205F5C" w:rsidRPr="009463E5">
        <w:rPr>
          <w:bCs/>
          <w:lang w:val="es-ES"/>
        </w:rPr>
        <w:t xml:space="preserve">frente </w:t>
      </w:r>
      <w:r w:rsidR="000C35DE" w:rsidRPr="009463E5">
        <w:rPr>
          <w:bCs/>
          <w:lang w:val="es-ES"/>
        </w:rPr>
        <w:t>a una serie de amenazas.</w:t>
      </w:r>
    </w:p>
    <w:p w14:paraId="2E4297ED" w14:textId="77777777" w:rsidR="00205F5C" w:rsidRPr="009463E5" w:rsidRDefault="00205F5C" w:rsidP="000C695F">
      <w:pPr>
        <w:pStyle w:val="AnnexText"/>
        <w:numPr>
          <w:ilvl w:val="0"/>
          <w:numId w:val="0"/>
        </w:numPr>
        <w:spacing w:after="0"/>
        <w:ind w:left="425" w:hanging="425"/>
        <w:rPr>
          <w:bCs/>
          <w:lang w:val="es-ES"/>
        </w:rPr>
      </w:pPr>
    </w:p>
    <w:p w14:paraId="02DC075D" w14:textId="3B52BB11" w:rsidR="009C1347" w:rsidRPr="009463E5" w:rsidRDefault="000C695F" w:rsidP="000C695F">
      <w:pPr>
        <w:pStyle w:val="AnnexText"/>
        <w:numPr>
          <w:ilvl w:val="0"/>
          <w:numId w:val="0"/>
        </w:numPr>
        <w:spacing w:after="0"/>
        <w:ind w:left="425" w:hanging="425"/>
        <w:rPr>
          <w:lang w:val="es-ES"/>
        </w:rPr>
      </w:pPr>
      <w:r w:rsidRPr="009463E5">
        <w:rPr>
          <w:bCs/>
          <w:lang w:val="es-ES"/>
        </w:rPr>
        <w:t>7.</w:t>
      </w:r>
      <w:r w:rsidRPr="009463E5">
        <w:rPr>
          <w:bCs/>
          <w:lang w:val="es-ES"/>
        </w:rPr>
        <w:tab/>
      </w:r>
      <w:r w:rsidR="00205F5C" w:rsidRPr="009463E5">
        <w:rPr>
          <w:bCs/>
          <w:lang w:val="es-ES"/>
        </w:rPr>
        <w:t xml:space="preserve">La finalidad </w:t>
      </w:r>
      <w:r w:rsidRPr="009463E5">
        <w:rPr>
          <w:bCs/>
          <w:lang w:val="es-ES"/>
        </w:rPr>
        <w:t>de esta herramienta es dotar a los gobiernos, organismos de conservación y administradores de humedales en todo el mundo de la capacidad de evaluar la vulnerabilidad de sus humedales y combinar la información con otras evaluaciones de humedales para evaluar la vulnerabilidad a diferentes niveles. La herramienta ha sido desarrollada específicamente teniendo en cuenta que muchas organizaciones no disponen de la información o los conocimientos necesarios para llevar a cabo una evaluación completa y detallada. Sin embargo, reconoce que el conocimiento local e indígena de un sitio es a menudo extremadamente completo y s</w:t>
      </w:r>
      <w:r w:rsidR="00205F5C" w:rsidRPr="009463E5">
        <w:rPr>
          <w:bCs/>
          <w:lang w:val="es-ES"/>
        </w:rPr>
        <w:t>o</w:t>
      </w:r>
      <w:r w:rsidRPr="009463E5">
        <w:rPr>
          <w:bCs/>
          <w:lang w:val="es-ES"/>
        </w:rPr>
        <w:t xml:space="preserve">lo necesita ser cotejado y estructurado de forma que facilite la evaluación de la vulnerabilidad. </w:t>
      </w:r>
    </w:p>
    <w:p w14:paraId="483E621B" w14:textId="77777777" w:rsidR="00392508" w:rsidRPr="009463E5" w:rsidRDefault="00392508" w:rsidP="00392508">
      <w:pPr>
        <w:pStyle w:val="AnnexText"/>
        <w:numPr>
          <w:ilvl w:val="0"/>
          <w:numId w:val="0"/>
        </w:numPr>
        <w:spacing w:after="0"/>
        <w:ind w:left="425" w:hanging="425"/>
        <w:rPr>
          <w:lang w:val="es-ES"/>
        </w:rPr>
      </w:pPr>
    </w:p>
    <w:p w14:paraId="479D2E41" w14:textId="2E3FC5DD" w:rsidR="001C3173" w:rsidRPr="009463E5" w:rsidRDefault="002C05F1" w:rsidP="00392508">
      <w:pPr>
        <w:pStyle w:val="AnnexH1"/>
        <w:spacing w:after="0"/>
        <w:rPr>
          <w:lang w:val="es-ES"/>
        </w:rPr>
      </w:pPr>
      <w:r w:rsidRPr="009463E5">
        <w:rPr>
          <w:lang w:val="es-ES"/>
        </w:rPr>
        <w:t>Metodología</w:t>
      </w:r>
    </w:p>
    <w:p w14:paraId="552EF0E9" w14:textId="77777777" w:rsidR="00392508" w:rsidRPr="009463E5" w:rsidRDefault="00392508" w:rsidP="00392508">
      <w:pPr>
        <w:pStyle w:val="AnnexH1"/>
        <w:spacing w:after="0"/>
        <w:rPr>
          <w:lang w:val="es-ES"/>
        </w:rPr>
      </w:pPr>
    </w:p>
    <w:p w14:paraId="00AF7EF2" w14:textId="11CDFF6C" w:rsidR="001A023B" w:rsidRPr="009463E5" w:rsidRDefault="00392508" w:rsidP="00392508">
      <w:pPr>
        <w:pStyle w:val="AnnexText"/>
        <w:numPr>
          <w:ilvl w:val="0"/>
          <w:numId w:val="0"/>
        </w:numPr>
        <w:spacing w:after="0"/>
        <w:ind w:left="425" w:hanging="425"/>
        <w:rPr>
          <w:lang w:val="es-ES"/>
        </w:rPr>
      </w:pPr>
      <w:r w:rsidRPr="009463E5">
        <w:rPr>
          <w:bCs/>
          <w:lang w:val="es-ES"/>
        </w:rPr>
        <w:t>8.</w:t>
      </w:r>
      <w:r w:rsidRPr="009463E5">
        <w:rPr>
          <w:bCs/>
          <w:lang w:val="es-ES"/>
        </w:rPr>
        <w:tab/>
      </w:r>
      <w:r w:rsidR="009463E5" w:rsidRPr="009463E5">
        <w:rPr>
          <w:bCs/>
          <w:lang w:val="es-ES"/>
        </w:rPr>
        <w:t>WETVAT</w:t>
      </w:r>
      <w:r w:rsidR="000C695F" w:rsidRPr="009463E5">
        <w:rPr>
          <w:bCs/>
          <w:lang w:val="es-ES"/>
        </w:rPr>
        <w:t xml:space="preserve"> es una herramienta interactiva basada en una hoja de cálculo (en Microsoft Excel). Es complementaria del marco publicado por la Convención para evaluar la vulnerabilidad de los humedales al cambio climático</w:t>
      </w:r>
      <w:r w:rsidR="000C695F" w:rsidRPr="009463E5">
        <w:rPr>
          <w:bCs/>
          <w:vertAlign w:val="superscript"/>
          <w:lang w:val="es-ES"/>
        </w:rPr>
        <w:footnoteReference w:id="8"/>
      </w:r>
      <w:r w:rsidR="000C695F" w:rsidRPr="009463E5">
        <w:rPr>
          <w:bCs/>
          <w:lang w:val="es-ES"/>
        </w:rPr>
        <w:t xml:space="preserve">. Ambos evalúan la respuesta probable de los valores asociados al sistema de humedales a la variedad de amenazas identificadas. Sin embargo, </w:t>
      </w:r>
      <w:r w:rsidR="009463E5" w:rsidRPr="009463E5">
        <w:rPr>
          <w:bCs/>
          <w:lang w:val="es-ES"/>
        </w:rPr>
        <w:t>la herramienta</w:t>
      </w:r>
      <w:r w:rsidR="000C695F" w:rsidRPr="009463E5">
        <w:rPr>
          <w:bCs/>
          <w:lang w:val="es-ES"/>
        </w:rPr>
        <w:t xml:space="preserve"> WETVAT evalúa un conjunto de amenazas mucho más amplio que incluye, aunque no de modo </w:t>
      </w:r>
      <w:r w:rsidR="000C695F" w:rsidRPr="009463E5">
        <w:rPr>
          <w:bCs/>
          <w:lang w:val="es-ES"/>
        </w:rPr>
        <w:lastRenderedPageBreak/>
        <w:t xml:space="preserve">exclusivo, el cambio climático. WETVAT ha </w:t>
      </w:r>
      <w:r w:rsidR="00D11F3A" w:rsidRPr="009463E5">
        <w:rPr>
          <w:bCs/>
          <w:lang w:val="es-ES"/>
        </w:rPr>
        <w:t xml:space="preserve">sido </w:t>
      </w:r>
      <w:r w:rsidR="000C695F" w:rsidRPr="009463E5">
        <w:rPr>
          <w:bCs/>
          <w:lang w:val="es-ES"/>
        </w:rPr>
        <w:t>cread</w:t>
      </w:r>
      <w:r w:rsidR="00D11F3A" w:rsidRPr="009463E5">
        <w:rPr>
          <w:bCs/>
          <w:lang w:val="es-ES"/>
        </w:rPr>
        <w:t>a</w:t>
      </w:r>
      <w:r w:rsidR="000C695F" w:rsidRPr="009463E5">
        <w:rPr>
          <w:bCs/>
          <w:lang w:val="es-ES"/>
        </w:rPr>
        <w:t xml:space="preserve"> deliberadamente para evaluar los valores y las amenazas desde la perspectiva de los interesados locales y es probable que incluya en su análisis datos cuantitativos y cualitativos.</w:t>
      </w:r>
    </w:p>
    <w:p w14:paraId="76283E17" w14:textId="77777777" w:rsidR="00392508" w:rsidRPr="009463E5" w:rsidRDefault="00392508" w:rsidP="00392508">
      <w:pPr>
        <w:pStyle w:val="AnnexText"/>
        <w:numPr>
          <w:ilvl w:val="0"/>
          <w:numId w:val="0"/>
        </w:numPr>
        <w:spacing w:after="0"/>
        <w:ind w:left="425" w:hanging="425"/>
        <w:rPr>
          <w:lang w:val="es-ES"/>
        </w:rPr>
      </w:pPr>
    </w:p>
    <w:p w14:paraId="6FEEB359" w14:textId="63944362" w:rsidR="001C3173" w:rsidRPr="009463E5" w:rsidRDefault="00392508" w:rsidP="00392508">
      <w:pPr>
        <w:pStyle w:val="AnnexText"/>
        <w:numPr>
          <w:ilvl w:val="0"/>
          <w:numId w:val="0"/>
        </w:numPr>
        <w:spacing w:after="0"/>
        <w:ind w:left="425" w:hanging="425"/>
        <w:rPr>
          <w:lang w:val="es-ES"/>
        </w:rPr>
      </w:pPr>
      <w:r w:rsidRPr="009463E5">
        <w:rPr>
          <w:bCs/>
          <w:lang w:val="es-ES"/>
        </w:rPr>
        <w:t>9.</w:t>
      </w:r>
      <w:r w:rsidRPr="009463E5">
        <w:rPr>
          <w:bCs/>
          <w:lang w:val="es-ES"/>
        </w:rPr>
        <w:tab/>
      </w:r>
      <w:r w:rsidR="002C05F1" w:rsidRPr="009463E5">
        <w:rPr>
          <w:bCs/>
          <w:lang w:val="es-ES"/>
        </w:rPr>
        <w:t>WETVAT utiliza un</w:t>
      </w:r>
      <w:r w:rsidR="00D11F3A" w:rsidRPr="009463E5">
        <w:rPr>
          <w:bCs/>
          <w:lang w:val="es-ES"/>
        </w:rPr>
        <w:t>a metodología</w:t>
      </w:r>
      <w:r w:rsidR="002C05F1" w:rsidRPr="009463E5">
        <w:rPr>
          <w:bCs/>
          <w:lang w:val="es-ES"/>
        </w:rPr>
        <w:t xml:space="preserve"> basad</w:t>
      </w:r>
      <w:r w:rsidR="00D11F3A" w:rsidRPr="009463E5">
        <w:rPr>
          <w:bCs/>
          <w:lang w:val="es-ES"/>
        </w:rPr>
        <w:t>a</w:t>
      </w:r>
      <w:r w:rsidR="002C05F1" w:rsidRPr="009463E5">
        <w:rPr>
          <w:bCs/>
          <w:lang w:val="es-ES"/>
        </w:rPr>
        <w:t xml:space="preserve"> en el riesgo para evaluar la vulnerabilidad de los humedales ante las amenazas. Esta evaluación se basa en la probabilidad de que se produzcan impactos negativos y en la gravedad de cualquier impacto sobre la biodiversidad y los servicios ecosistémicos. La puntuación de riesgo (Alto, Medio</w:t>
      </w:r>
      <w:r w:rsidR="00F9056B" w:rsidRPr="009463E5">
        <w:rPr>
          <w:bCs/>
          <w:lang w:val="es-ES"/>
        </w:rPr>
        <w:t xml:space="preserve"> o</w:t>
      </w:r>
      <w:r w:rsidR="002C05F1" w:rsidRPr="009463E5">
        <w:rPr>
          <w:bCs/>
          <w:lang w:val="es-ES"/>
        </w:rPr>
        <w:t xml:space="preserve"> Bajo) permite a los </w:t>
      </w:r>
      <w:r w:rsidR="00F9056B" w:rsidRPr="009463E5">
        <w:rPr>
          <w:bCs/>
          <w:lang w:val="es-ES"/>
        </w:rPr>
        <w:t>administradores</w:t>
      </w:r>
      <w:r w:rsidR="002C05F1" w:rsidRPr="009463E5">
        <w:rPr>
          <w:bCs/>
          <w:lang w:val="es-ES"/>
        </w:rPr>
        <w:t xml:space="preserve"> de humedales priorizar las actividades de conservación y los recursos necesarios, e identifica aquellos humedales que requieren mayor consideración y una evaluación de impacto más detallada.</w:t>
      </w:r>
      <w:r w:rsidR="00836692" w:rsidRPr="009463E5">
        <w:rPr>
          <w:bCs/>
          <w:lang w:val="es-ES"/>
        </w:rPr>
        <w:t xml:space="preserve"> </w:t>
      </w:r>
    </w:p>
    <w:p w14:paraId="1E69377E" w14:textId="77777777" w:rsidR="00392508" w:rsidRPr="009463E5" w:rsidRDefault="00392508" w:rsidP="00392508">
      <w:pPr>
        <w:pStyle w:val="AnnexText"/>
        <w:numPr>
          <w:ilvl w:val="0"/>
          <w:numId w:val="0"/>
        </w:numPr>
        <w:spacing w:after="0"/>
        <w:ind w:left="425" w:hanging="425"/>
        <w:rPr>
          <w:lang w:val="es-ES"/>
        </w:rPr>
      </w:pPr>
    </w:p>
    <w:p w14:paraId="28526AC0" w14:textId="3E5E2EDC" w:rsidR="008B46AB" w:rsidRPr="009463E5" w:rsidRDefault="00392508" w:rsidP="00392508">
      <w:pPr>
        <w:pStyle w:val="AnnexText"/>
        <w:numPr>
          <w:ilvl w:val="0"/>
          <w:numId w:val="0"/>
        </w:numPr>
        <w:spacing w:after="0"/>
        <w:ind w:left="425" w:hanging="425"/>
        <w:rPr>
          <w:lang w:val="es-ES"/>
        </w:rPr>
      </w:pPr>
      <w:r w:rsidRPr="009463E5">
        <w:rPr>
          <w:bCs/>
          <w:lang w:val="es-ES"/>
        </w:rPr>
        <w:t>10.</w:t>
      </w:r>
      <w:r w:rsidRPr="009463E5">
        <w:rPr>
          <w:bCs/>
          <w:lang w:val="es-ES"/>
        </w:rPr>
        <w:tab/>
      </w:r>
      <w:r w:rsidR="002C05F1" w:rsidRPr="009463E5">
        <w:rPr>
          <w:bCs/>
          <w:lang w:val="es-ES"/>
        </w:rPr>
        <w:t xml:space="preserve">La herramienta de hoja de cálculo de WETVAT consta de seis hojas de </w:t>
      </w:r>
      <w:r w:rsidR="00F9056B" w:rsidRPr="009463E5">
        <w:rPr>
          <w:bCs/>
          <w:lang w:val="es-ES"/>
        </w:rPr>
        <w:t>trabajo</w:t>
      </w:r>
      <w:r w:rsidR="002C05F1" w:rsidRPr="009463E5">
        <w:rPr>
          <w:bCs/>
          <w:lang w:val="es-ES"/>
        </w:rPr>
        <w:t xml:space="preserve"> vinculadas dentro de un archivo de Microsoft Excel:</w:t>
      </w:r>
    </w:p>
    <w:p w14:paraId="41F52A19" w14:textId="77777777" w:rsidR="00392508" w:rsidRPr="009463E5" w:rsidRDefault="00392508" w:rsidP="00392508">
      <w:pPr>
        <w:pStyle w:val="AnnexText"/>
        <w:numPr>
          <w:ilvl w:val="0"/>
          <w:numId w:val="0"/>
        </w:numPr>
        <w:spacing w:after="0"/>
        <w:ind w:left="425" w:hanging="425"/>
        <w:rPr>
          <w:lang w:val="es-ES"/>
        </w:rPr>
      </w:pPr>
    </w:p>
    <w:p w14:paraId="73170DCA" w14:textId="6C59145D" w:rsidR="008B46AB" w:rsidRPr="009463E5" w:rsidRDefault="00392508" w:rsidP="0069547C">
      <w:pPr>
        <w:pStyle w:val="Annexbullet"/>
        <w:numPr>
          <w:ilvl w:val="0"/>
          <w:numId w:val="0"/>
        </w:numPr>
        <w:spacing w:after="0"/>
        <w:ind w:left="850" w:hanging="425"/>
      </w:pPr>
      <w:r w:rsidRPr="009463E5">
        <w:rPr>
          <w:rFonts w:ascii="Symbol" w:hAnsi="Symbol"/>
        </w:rPr>
        <w:t></w:t>
      </w:r>
      <w:r w:rsidRPr="009463E5">
        <w:rPr>
          <w:rFonts w:ascii="Symbol" w:hAnsi="Symbol"/>
        </w:rPr>
        <w:tab/>
      </w:r>
      <w:bookmarkStart w:id="4" w:name="_Hlk184077304"/>
      <w:r w:rsidR="002C05F1" w:rsidRPr="009463E5">
        <w:t xml:space="preserve">Hoja de </w:t>
      </w:r>
      <w:r w:rsidR="00F9056B" w:rsidRPr="009463E5">
        <w:t>trabajo</w:t>
      </w:r>
      <w:r w:rsidR="002C05F1" w:rsidRPr="009463E5">
        <w:t xml:space="preserve"> </w:t>
      </w:r>
      <w:bookmarkEnd w:id="4"/>
      <w:r w:rsidR="002C05F1" w:rsidRPr="009463E5">
        <w:t>1: Página de inicio</w:t>
      </w:r>
    </w:p>
    <w:p w14:paraId="6CF4B745" w14:textId="032C46C6" w:rsidR="008B46AB" w:rsidRPr="009463E5" w:rsidRDefault="00392508" w:rsidP="0069547C">
      <w:pPr>
        <w:pStyle w:val="Annexbullet"/>
        <w:numPr>
          <w:ilvl w:val="0"/>
          <w:numId w:val="0"/>
        </w:numPr>
        <w:spacing w:after="0"/>
        <w:ind w:left="850" w:hanging="425"/>
      </w:pPr>
      <w:r w:rsidRPr="009463E5">
        <w:rPr>
          <w:rFonts w:ascii="Symbol" w:hAnsi="Symbol"/>
        </w:rPr>
        <w:t></w:t>
      </w:r>
      <w:r w:rsidRPr="009463E5">
        <w:rPr>
          <w:rFonts w:ascii="Symbol" w:hAnsi="Symbol"/>
        </w:rPr>
        <w:tab/>
      </w:r>
      <w:r w:rsidR="002C05F1" w:rsidRPr="009463E5">
        <w:t xml:space="preserve">Hoja de </w:t>
      </w:r>
      <w:r w:rsidR="00F9056B" w:rsidRPr="009463E5">
        <w:t>trabajo</w:t>
      </w:r>
      <w:r w:rsidR="002C05F1" w:rsidRPr="009463E5">
        <w:t xml:space="preserve"> </w:t>
      </w:r>
      <w:r w:rsidR="008B46AB" w:rsidRPr="009463E5">
        <w:t xml:space="preserve">2: </w:t>
      </w:r>
      <w:r w:rsidR="002C05F1" w:rsidRPr="009463E5">
        <w:t>Componentes de los ecosistemas</w:t>
      </w:r>
    </w:p>
    <w:p w14:paraId="2DB68007" w14:textId="3B411BD6" w:rsidR="008B46AB" w:rsidRPr="009463E5" w:rsidRDefault="00392508" w:rsidP="0069547C">
      <w:pPr>
        <w:pStyle w:val="Annexbullet"/>
        <w:numPr>
          <w:ilvl w:val="0"/>
          <w:numId w:val="0"/>
        </w:numPr>
        <w:spacing w:after="0"/>
        <w:ind w:left="850" w:hanging="425"/>
      </w:pPr>
      <w:r w:rsidRPr="009463E5">
        <w:rPr>
          <w:rFonts w:ascii="Symbol" w:hAnsi="Symbol"/>
        </w:rPr>
        <w:t></w:t>
      </w:r>
      <w:r w:rsidRPr="009463E5">
        <w:rPr>
          <w:rFonts w:ascii="Symbol" w:hAnsi="Symbol"/>
        </w:rPr>
        <w:tab/>
      </w:r>
      <w:r w:rsidR="002C05F1" w:rsidRPr="009463E5">
        <w:t xml:space="preserve">Hoja de </w:t>
      </w:r>
      <w:r w:rsidR="00F9056B" w:rsidRPr="009463E5">
        <w:t>trabajo</w:t>
      </w:r>
      <w:r w:rsidR="002C05F1" w:rsidRPr="009463E5">
        <w:t xml:space="preserve"> </w:t>
      </w:r>
      <w:r w:rsidR="008B46AB" w:rsidRPr="009463E5">
        <w:t xml:space="preserve">3: </w:t>
      </w:r>
      <w:r w:rsidR="002C05F1" w:rsidRPr="009463E5">
        <w:t>Servicios de los ecosistemas</w:t>
      </w:r>
    </w:p>
    <w:p w14:paraId="1821DBAD" w14:textId="4B1E3E02" w:rsidR="008B46AB" w:rsidRPr="009463E5" w:rsidRDefault="00392508" w:rsidP="0069547C">
      <w:pPr>
        <w:pStyle w:val="Annexbullet"/>
        <w:numPr>
          <w:ilvl w:val="0"/>
          <w:numId w:val="0"/>
        </w:numPr>
        <w:spacing w:after="0"/>
        <w:ind w:left="850" w:hanging="425"/>
      </w:pPr>
      <w:r w:rsidRPr="009463E5">
        <w:rPr>
          <w:rFonts w:ascii="Symbol" w:hAnsi="Symbol"/>
        </w:rPr>
        <w:t></w:t>
      </w:r>
      <w:r w:rsidRPr="009463E5">
        <w:rPr>
          <w:rFonts w:ascii="Symbol" w:hAnsi="Symbol"/>
        </w:rPr>
        <w:tab/>
      </w:r>
      <w:r w:rsidR="002C05F1" w:rsidRPr="009463E5">
        <w:t xml:space="preserve">Hoja de </w:t>
      </w:r>
      <w:r w:rsidR="00F9056B" w:rsidRPr="009463E5">
        <w:t>trabajo</w:t>
      </w:r>
      <w:r w:rsidR="002C05F1" w:rsidRPr="009463E5">
        <w:t xml:space="preserve"> </w:t>
      </w:r>
      <w:r w:rsidR="008B46AB" w:rsidRPr="009463E5">
        <w:t xml:space="preserve">4: </w:t>
      </w:r>
      <w:r w:rsidR="002C05F1" w:rsidRPr="009463E5">
        <w:t>Amenazas</w:t>
      </w:r>
    </w:p>
    <w:p w14:paraId="27096F69" w14:textId="325E3562" w:rsidR="008B46AB" w:rsidRPr="009463E5" w:rsidRDefault="00392508" w:rsidP="0069547C">
      <w:pPr>
        <w:pStyle w:val="Annexbullet"/>
        <w:numPr>
          <w:ilvl w:val="0"/>
          <w:numId w:val="0"/>
        </w:numPr>
        <w:spacing w:after="0"/>
        <w:ind w:left="850" w:hanging="425"/>
      </w:pPr>
      <w:r w:rsidRPr="009463E5">
        <w:rPr>
          <w:rFonts w:ascii="Symbol" w:hAnsi="Symbol"/>
        </w:rPr>
        <w:t></w:t>
      </w:r>
      <w:r w:rsidRPr="009463E5">
        <w:rPr>
          <w:rFonts w:ascii="Symbol" w:hAnsi="Symbol"/>
        </w:rPr>
        <w:tab/>
      </w:r>
      <w:r w:rsidR="002C05F1" w:rsidRPr="009463E5">
        <w:t xml:space="preserve">Hoja de </w:t>
      </w:r>
      <w:r w:rsidR="00F9056B" w:rsidRPr="009463E5">
        <w:t>trabajo</w:t>
      </w:r>
      <w:r w:rsidR="002C05F1" w:rsidRPr="009463E5">
        <w:t xml:space="preserve"> </w:t>
      </w:r>
      <w:r w:rsidR="008B46AB" w:rsidRPr="009463E5">
        <w:t xml:space="preserve">5: </w:t>
      </w:r>
      <w:r w:rsidR="002C05F1" w:rsidRPr="009463E5">
        <w:t>Evaluación</w:t>
      </w:r>
    </w:p>
    <w:p w14:paraId="024D9A91" w14:textId="1DEEB7AC" w:rsidR="008B46AB" w:rsidRPr="009463E5" w:rsidRDefault="00392508" w:rsidP="0069547C">
      <w:pPr>
        <w:pStyle w:val="Annexbullet"/>
        <w:numPr>
          <w:ilvl w:val="0"/>
          <w:numId w:val="0"/>
        </w:numPr>
        <w:spacing w:after="0"/>
        <w:ind w:left="850" w:hanging="425"/>
      </w:pPr>
      <w:r w:rsidRPr="009463E5">
        <w:rPr>
          <w:rFonts w:ascii="Symbol" w:hAnsi="Symbol"/>
        </w:rPr>
        <w:t></w:t>
      </w:r>
      <w:r w:rsidRPr="009463E5">
        <w:rPr>
          <w:rFonts w:ascii="Symbol" w:hAnsi="Symbol"/>
        </w:rPr>
        <w:tab/>
      </w:r>
      <w:r w:rsidR="002C05F1" w:rsidRPr="009463E5">
        <w:t xml:space="preserve">Hoja de </w:t>
      </w:r>
      <w:r w:rsidR="00F9056B" w:rsidRPr="009463E5">
        <w:t>trabajo</w:t>
      </w:r>
      <w:r w:rsidR="008B46AB" w:rsidRPr="009463E5">
        <w:t xml:space="preserve"> 6: </w:t>
      </w:r>
      <w:r w:rsidR="002C05F1" w:rsidRPr="009463E5">
        <w:t>Res</w:t>
      </w:r>
      <w:r w:rsidR="008B46AB" w:rsidRPr="009463E5">
        <w:t>um</w:t>
      </w:r>
      <w:r w:rsidR="002C05F1" w:rsidRPr="009463E5">
        <w:t>en</w:t>
      </w:r>
    </w:p>
    <w:p w14:paraId="05D74674" w14:textId="77777777" w:rsidR="00392508" w:rsidRPr="009463E5" w:rsidRDefault="00392508" w:rsidP="00392508">
      <w:pPr>
        <w:pStyle w:val="Annexbullet"/>
        <w:numPr>
          <w:ilvl w:val="0"/>
          <w:numId w:val="0"/>
        </w:numPr>
        <w:spacing w:after="0"/>
        <w:ind w:left="720" w:hanging="295"/>
      </w:pPr>
    </w:p>
    <w:p w14:paraId="48D18DEA" w14:textId="3134D3D7" w:rsidR="008B46AB" w:rsidRPr="009463E5" w:rsidRDefault="00392508" w:rsidP="00392508">
      <w:pPr>
        <w:pStyle w:val="AnnexText"/>
        <w:numPr>
          <w:ilvl w:val="0"/>
          <w:numId w:val="0"/>
        </w:numPr>
        <w:spacing w:after="0"/>
        <w:ind w:left="425" w:hanging="425"/>
        <w:rPr>
          <w:lang w:val="es-ES"/>
        </w:rPr>
      </w:pPr>
      <w:r w:rsidRPr="009463E5">
        <w:rPr>
          <w:bCs/>
          <w:lang w:val="es-ES"/>
        </w:rPr>
        <w:t>11.</w:t>
      </w:r>
      <w:r w:rsidRPr="009463E5">
        <w:rPr>
          <w:bCs/>
          <w:lang w:val="es-ES"/>
        </w:rPr>
        <w:tab/>
      </w:r>
      <w:r w:rsidR="007051A3" w:rsidRPr="009463E5">
        <w:rPr>
          <w:bCs/>
          <w:i/>
          <w:iCs/>
          <w:lang w:val="es-ES"/>
        </w:rPr>
        <w:t xml:space="preserve">Hoja de </w:t>
      </w:r>
      <w:r w:rsidR="00F9056B" w:rsidRPr="009463E5">
        <w:rPr>
          <w:bCs/>
          <w:i/>
          <w:iCs/>
          <w:lang w:val="es-ES"/>
        </w:rPr>
        <w:t>trabajo</w:t>
      </w:r>
      <w:r w:rsidR="007051A3" w:rsidRPr="009463E5">
        <w:rPr>
          <w:bCs/>
          <w:i/>
          <w:iCs/>
          <w:lang w:val="es-ES"/>
        </w:rPr>
        <w:t xml:space="preserve"> 1: </w:t>
      </w:r>
      <w:r w:rsidR="00F9056B" w:rsidRPr="009463E5">
        <w:rPr>
          <w:bCs/>
          <w:i/>
          <w:iCs/>
          <w:lang w:val="es-ES"/>
        </w:rPr>
        <w:t>P</w:t>
      </w:r>
      <w:r w:rsidR="007051A3" w:rsidRPr="009463E5">
        <w:rPr>
          <w:bCs/>
          <w:i/>
          <w:iCs/>
          <w:lang w:val="es-ES"/>
        </w:rPr>
        <w:t>ágina de inicio</w:t>
      </w:r>
      <w:r w:rsidR="007051A3" w:rsidRPr="009463E5">
        <w:rPr>
          <w:bCs/>
          <w:lang w:val="es-ES"/>
        </w:rPr>
        <w:t xml:space="preserve">. En la hoja de </w:t>
      </w:r>
      <w:r w:rsidR="00F9056B" w:rsidRPr="009463E5">
        <w:rPr>
          <w:bCs/>
          <w:lang w:val="es-ES"/>
        </w:rPr>
        <w:t>trabajo</w:t>
      </w:r>
      <w:r w:rsidR="007051A3" w:rsidRPr="009463E5">
        <w:rPr>
          <w:bCs/>
          <w:lang w:val="es-ES"/>
        </w:rPr>
        <w:t xml:space="preserve"> 1 se introduce información general como, por ejemplo, el nombre del </w:t>
      </w:r>
      <w:r w:rsidR="00F9056B" w:rsidRPr="009463E5">
        <w:rPr>
          <w:bCs/>
          <w:lang w:val="es-ES"/>
        </w:rPr>
        <w:t>sitio</w:t>
      </w:r>
      <w:r w:rsidR="007051A3" w:rsidRPr="009463E5">
        <w:rPr>
          <w:bCs/>
          <w:lang w:val="es-ES"/>
        </w:rPr>
        <w:t xml:space="preserve">, la fecha de la evaluación y el responsable o responsables de la misma. La hoja de </w:t>
      </w:r>
      <w:r w:rsidR="00F9056B" w:rsidRPr="009463E5">
        <w:rPr>
          <w:bCs/>
          <w:lang w:val="es-ES"/>
        </w:rPr>
        <w:t>trabajo</w:t>
      </w:r>
      <w:r w:rsidR="007051A3" w:rsidRPr="009463E5">
        <w:rPr>
          <w:bCs/>
          <w:lang w:val="es-ES"/>
        </w:rPr>
        <w:t xml:space="preserve"> también destaca, mediante un sencillo sistema de semáforo, el estado de </w:t>
      </w:r>
      <w:r w:rsidR="00F9056B" w:rsidRPr="009463E5">
        <w:rPr>
          <w:bCs/>
          <w:lang w:val="es-ES"/>
        </w:rPr>
        <w:t xml:space="preserve">realización de </w:t>
      </w:r>
      <w:r w:rsidR="007051A3" w:rsidRPr="009463E5">
        <w:rPr>
          <w:bCs/>
          <w:lang w:val="es-ES"/>
        </w:rPr>
        <w:t xml:space="preserve">las hojas de </w:t>
      </w:r>
      <w:r w:rsidR="00F9056B" w:rsidRPr="009463E5">
        <w:rPr>
          <w:bCs/>
          <w:lang w:val="es-ES"/>
        </w:rPr>
        <w:t>trabajo</w:t>
      </w:r>
      <w:r w:rsidR="007051A3" w:rsidRPr="009463E5">
        <w:rPr>
          <w:bCs/>
          <w:lang w:val="es-ES"/>
        </w:rPr>
        <w:t xml:space="preserve"> posteriores (Fig. 1).</w:t>
      </w:r>
    </w:p>
    <w:p w14:paraId="2BEC8A2D" w14:textId="77777777" w:rsidR="00392508" w:rsidRPr="009463E5" w:rsidRDefault="00392508" w:rsidP="00392508">
      <w:pPr>
        <w:pStyle w:val="AnnexText"/>
        <w:numPr>
          <w:ilvl w:val="0"/>
          <w:numId w:val="0"/>
        </w:numPr>
        <w:spacing w:after="0"/>
        <w:ind w:left="425" w:hanging="425"/>
        <w:rPr>
          <w:lang w:val="es-ES"/>
        </w:rPr>
      </w:pPr>
    </w:p>
    <w:p w14:paraId="0BCD748C" w14:textId="0BA10CCC" w:rsidR="00686A60" w:rsidRPr="009463E5" w:rsidRDefault="00392508" w:rsidP="00392508">
      <w:pPr>
        <w:pStyle w:val="AnnexText"/>
        <w:numPr>
          <w:ilvl w:val="0"/>
          <w:numId w:val="0"/>
        </w:numPr>
        <w:spacing w:after="0"/>
        <w:ind w:left="425" w:hanging="425"/>
        <w:rPr>
          <w:lang w:val="es-ES"/>
        </w:rPr>
      </w:pPr>
      <w:r w:rsidRPr="009463E5">
        <w:rPr>
          <w:bCs/>
          <w:lang w:val="es-ES"/>
        </w:rPr>
        <w:t>12.</w:t>
      </w:r>
      <w:r w:rsidRPr="009463E5">
        <w:rPr>
          <w:bCs/>
          <w:lang w:val="es-ES"/>
        </w:rPr>
        <w:tab/>
      </w:r>
      <w:r w:rsidR="006003CA" w:rsidRPr="009463E5">
        <w:rPr>
          <w:bCs/>
          <w:i/>
          <w:iCs/>
          <w:lang w:val="es-ES"/>
        </w:rPr>
        <w:t xml:space="preserve">Hoja de </w:t>
      </w:r>
      <w:r w:rsidR="00F9056B" w:rsidRPr="009463E5">
        <w:rPr>
          <w:bCs/>
          <w:i/>
          <w:iCs/>
          <w:lang w:val="es-ES"/>
        </w:rPr>
        <w:t>trabajo</w:t>
      </w:r>
      <w:r w:rsidR="006003CA" w:rsidRPr="009463E5">
        <w:rPr>
          <w:bCs/>
          <w:i/>
          <w:iCs/>
          <w:lang w:val="es-ES"/>
        </w:rPr>
        <w:t xml:space="preserve"> 2: Componentes del ecosistema.</w:t>
      </w:r>
      <w:r w:rsidR="006003CA" w:rsidRPr="009463E5">
        <w:rPr>
          <w:bCs/>
          <w:lang w:val="es-ES"/>
        </w:rPr>
        <w:t xml:space="preserve"> Los componentes del ecosistema registran el interés de la biodiversidad del sitio (a nivel genético, de especies y de ecosistemas). La información se registra en cinco categorías: (i) fauna dependiente de los humedales; (ii) flora dependiente de los humedales; (iii) diversidad de hábitats; (iv) diversidad genética; y (v) otros valores ecológicos (Fig. 2).</w:t>
      </w:r>
      <w:r w:rsidR="006003CA" w:rsidRPr="009463E5">
        <w:rPr>
          <w:lang w:val="es-ES"/>
        </w:rPr>
        <w:t xml:space="preserve"> </w:t>
      </w:r>
    </w:p>
    <w:p w14:paraId="69381057" w14:textId="77777777" w:rsidR="00392508" w:rsidRPr="009463E5" w:rsidRDefault="00392508" w:rsidP="00392508">
      <w:pPr>
        <w:pStyle w:val="AnnexText"/>
        <w:numPr>
          <w:ilvl w:val="0"/>
          <w:numId w:val="0"/>
        </w:numPr>
        <w:spacing w:after="0"/>
        <w:ind w:left="425" w:hanging="425"/>
        <w:rPr>
          <w:lang w:val="es-ES"/>
        </w:rPr>
      </w:pPr>
    </w:p>
    <w:p w14:paraId="728B16AC" w14:textId="4BD71B39" w:rsidR="00494B95" w:rsidRPr="009463E5" w:rsidRDefault="00392508" w:rsidP="00392508">
      <w:pPr>
        <w:pStyle w:val="AnnexText"/>
        <w:numPr>
          <w:ilvl w:val="0"/>
          <w:numId w:val="0"/>
        </w:numPr>
        <w:spacing w:after="0"/>
        <w:ind w:left="425" w:hanging="425"/>
        <w:rPr>
          <w:lang w:val="es-ES"/>
        </w:rPr>
      </w:pPr>
      <w:r w:rsidRPr="009463E5">
        <w:rPr>
          <w:bCs/>
          <w:lang w:val="es-ES"/>
        </w:rPr>
        <w:t>13.</w:t>
      </w:r>
      <w:r w:rsidRPr="009463E5">
        <w:rPr>
          <w:bCs/>
          <w:lang w:val="es-ES"/>
        </w:rPr>
        <w:tab/>
      </w:r>
      <w:r w:rsidR="006003CA" w:rsidRPr="009463E5">
        <w:rPr>
          <w:bCs/>
          <w:lang w:val="es-ES"/>
        </w:rPr>
        <w:t xml:space="preserve">Para cada una de las categorías, se efectúa una evaluación de la importancia del componente utilizando una escala de cuatro puntos: (i) ++ componente muy significativo; (ii) + componente significativo; (iii) 0 componente insignificante; (iv) ? lagunas en los datos. Estas puntuaciones representan la magnitud relativa del valor del componente en el sitio. El </w:t>
      </w:r>
      <w:r w:rsidR="009463E5" w:rsidRPr="009463E5">
        <w:rPr>
          <w:bCs/>
          <w:lang w:val="es-ES"/>
        </w:rPr>
        <w:t>evaluador</w:t>
      </w:r>
      <w:r w:rsidR="006003CA" w:rsidRPr="009463E5">
        <w:rPr>
          <w:bCs/>
          <w:lang w:val="es-ES"/>
        </w:rPr>
        <w:t xml:space="preserve"> también debe introducir una segunda puntuación para cada uno de los cinco componentes del ecosistema. Esta segunda puntuación se refiere a la fiabilidad del valor. Estas dos puntuaciones se combinan en una matriz sencilla a fin de obtener una única puntuación que refleje tanto la magnitud como la certeza del valor de cada una de las cinco categorías de componentes del ecosistema. </w:t>
      </w:r>
    </w:p>
    <w:p w14:paraId="3D1FE1AC" w14:textId="77777777" w:rsidR="00392508" w:rsidRPr="009463E5" w:rsidRDefault="00392508" w:rsidP="00392508">
      <w:pPr>
        <w:pStyle w:val="AnnexText"/>
        <w:numPr>
          <w:ilvl w:val="0"/>
          <w:numId w:val="0"/>
        </w:numPr>
        <w:spacing w:after="0"/>
        <w:ind w:left="425" w:hanging="425"/>
        <w:rPr>
          <w:lang w:val="es-ES"/>
        </w:rPr>
      </w:pPr>
    </w:p>
    <w:p w14:paraId="3E95F58B" w14:textId="203040E9" w:rsidR="001C3173" w:rsidRPr="009463E5" w:rsidRDefault="00392508" w:rsidP="00392508">
      <w:pPr>
        <w:pStyle w:val="AnnexText"/>
        <w:numPr>
          <w:ilvl w:val="0"/>
          <w:numId w:val="0"/>
        </w:numPr>
        <w:spacing w:after="0"/>
        <w:ind w:left="425" w:hanging="425"/>
        <w:rPr>
          <w:lang w:val="es-ES"/>
        </w:rPr>
      </w:pPr>
      <w:r w:rsidRPr="009463E5">
        <w:rPr>
          <w:bCs/>
          <w:lang w:val="es-ES"/>
        </w:rPr>
        <w:t>14.</w:t>
      </w:r>
      <w:r w:rsidRPr="009463E5">
        <w:rPr>
          <w:bCs/>
          <w:lang w:val="es-ES"/>
        </w:rPr>
        <w:tab/>
      </w:r>
      <w:r w:rsidR="006003CA" w:rsidRPr="009463E5">
        <w:rPr>
          <w:bCs/>
          <w:lang w:val="es-ES"/>
        </w:rPr>
        <w:t xml:space="preserve">Para completar la hoja de </w:t>
      </w:r>
      <w:r w:rsidR="00F9056B" w:rsidRPr="009463E5">
        <w:rPr>
          <w:bCs/>
          <w:lang w:val="es-ES"/>
        </w:rPr>
        <w:t>trabajo</w:t>
      </w:r>
      <w:r w:rsidR="006003CA" w:rsidRPr="009463E5">
        <w:rPr>
          <w:bCs/>
          <w:lang w:val="es-ES"/>
        </w:rPr>
        <w:t xml:space="preserve"> 2, el </w:t>
      </w:r>
      <w:r w:rsidR="009463E5" w:rsidRPr="009463E5">
        <w:rPr>
          <w:bCs/>
          <w:lang w:val="es-ES"/>
        </w:rPr>
        <w:t>evaluador</w:t>
      </w:r>
      <w:r w:rsidR="006003CA" w:rsidRPr="009463E5">
        <w:rPr>
          <w:bCs/>
          <w:lang w:val="es-ES"/>
        </w:rPr>
        <w:t xml:space="preserve"> debe identificar los datos de los inventarios locales y nacionales y los </w:t>
      </w:r>
      <w:r w:rsidR="00774F7C" w:rsidRPr="009463E5">
        <w:rPr>
          <w:bCs/>
          <w:lang w:val="es-ES"/>
        </w:rPr>
        <w:t>datos que poseen los</w:t>
      </w:r>
      <w:r w:rsidR="006003CA" w:rsidRPr="009463E5">
        <w:rPr>
          <w:bCs/>
          <w:lang w:val="es-ES"/>
        </w:rPr>
        <w:t xml:space="preserve"> departamentos gubernamentales y universidades, </w:t>
      </w:r>
      <w:r w:rsidR="00774F7C" w:rsidRPr="009463E5">
        <w:rPr>
          <w:bCs/>
          <w:lang w:val="es-ES"/>
        </w:rPr>
        <w:t>las</w:t>
      </w:r>
      <w:r w:rsidR="006003CA" w:rsidRPr="009463E5">
        <w:rPr>
          <w:bCs/>
          <w:lang w:val="es-ES"/>
        </w:rPr>
        <w:t xml:space="preserve"> organizaciones no gubernamentales, como grupos </w:t>
      </w:r>
      <w:r w:rsidR="00774F7C" w:rsidRPr="009463E5">
        <w:rPr>
          <w:bCs/>
          <w:lang w:val="es-ES"/>
        </w:rPr>
        <w:t>ecologistas</w:t>
      </w:r>
      <w:r w:rsidR="006003CA" w:rsidRPr="009463E5">
        <w:rPr>
          <w:bCs/>
          <w:lang w:val="es-ES"/>
        </w:rPr>
        <w:t>, y los conocimientos de la población local e indígena. También se puede incluir información procedente de bases de datos internacionales, como el Servicio de Información sobre Sitios Ramsar y las Listas Rojas de la UICN.</w:t>
      </w:r>
    </w:p>
    <w:p w14:paraId="1828E04C" w14:textId="77777777" w:rsidR="00392508" w:rsidRPr="009463E5" w:rsidRDefault="00392508" w:rsidP="00392508">
      <w:pPr>
        <w:pStyle w:val="AnnexText"/>
        <w:numPr>
          <w:ilvl w:val="0"/>
          <w:numId w:val="0"/>
        </w:numPr>
        <w:spacing w:after="0"/>
        <w:ind w:left="425" w:hanging="425"/>
        <w:rPr>
          <w:lang w:val="es-ES"/>
        </w:rPr>
      </w:pPr>
    </w:p>
    <w:p w14:paraId="5F73E4DA" w14:textId="4C5E1BE7" w:rsidR="00F66047" w:rsidRPr="009463E5" w:rsidRDefault="00392508" w:rsidP="00392508">
      <w:pPr>
        <w:pStyle w:val="AnnexText"/>
        <w:numPr>
          <w:ilvl w:val="0"/>
          <w:numId w:val="0"/>
        </w:numPr>
        <w:spacing w:after="0"/>
        <w:ind w:left="425" w:hanging="425"/>
        <w:rPr>
          <w:lang w:val="es-ES"/>
        </w:rPr>
      </w:pPr>
      <w:r w:rsidRPr="009463E5">
        <w:rPr>
          <w:bCs/>
          <w:lang w:val="es-ES"/>
        </w:rPr>
        <w:lastRenderedPageBreak/>
        <w:t>15.</w:t>
      </w:r>
      <w:r w:rsidRPr="009463E5">
        <w:rPr>
          <w:bCs/>
          <w:lang w:val="es-ES"/>
        </w:rPr>
        <w:tab/>
      </w:r>
      <w:r w:rsidR="006003CA" w:rsidRPr="009463E5">
        <w:rPr>
          <w:bCs/>
          <w:i/>
          <w:iCs/>
          <w:lang w:val="es-ES"/>
        </w:rPr>
        <w:t xml:space="preserve">Hoja de </w:t>
      </w:r>
      <w:r w:rsidR="00774F7C" w:rsidRPr="009463E5">
        <w:rPr>
          <w:bCs/>
          <w:i/>
          <w:iCs/>
          <w:lang w:val="es-ES"/>
        </w:rPr>
        <w:t>trabajo</w:t>
      </w:r>
      <w:r w:rsidR="006003CA" w:rsidRPr="009463E5">
        <w:rPr>
          <w:bCs/>
          <w:i/>
          <w:iCs/>
          <w:lang w:val="es-ES"/>
        </w:rPr>
        <w:t xml:space="preserve"> 3: Servicios de los ecosistemas.</w:t>
      </w:r>
      <w:r w:rsidR="006003CA" w:rsidRPr="009463E5">
        <w:rPr>
          <w:bCs/>
          <w:lang w:val="es-ES"/>
        </w:rPr>
        <w:t xml:space="preserve"> </w:t>
      </w:r>
      <w:r w:rsidR="00774F7C" w:rsidRPr="009463E5">
        <w:rPr>
          <w:bCs/>
          <w:lang w:val="es-ES"/>
        </w:rPr>
        <w:t>Aquí se</w:t>
      </w:r>
      <w:r w:rsidR="006003CA" w:rsidRPr="009463E5">
        <w:rPr>
          <w:bCs/>
          <w:lang w:val="es-ES"/>
        </w:rPr>
        <w:t xml:space="preserve"> </w:t>
      </w:r>
      <w:r w:rsidR="00774F7C" w:rsidRPr="009463E5">
        <w:rPr>
          <w:bCs/>
          <w:lang w:val="es-ES"/>
        </w:rPr>
        <w:t>documentan</w:t>
      </w:r>
      <w:r w:rsidR="006003CA" w:rsidRPr="009463E5">
        <w:rPr>
          <w:bCs/>
          <w:lang w:val="es-ES"/>
        </w:rPr>
        <w:t xml:space="preserve"> los múltiples beneficios que el sitio aporta a la sociedad humana. Se registra información sobre los distintos servicios ecosistémicos en cuatro categorías principales (con el número total de servicios de cada categoría entre paréntesis): servicios de aprovisionamiento (10), de regulación (16), culturales (8) y de apoyo (6) (Fig. 3). </w:t>
      </w:r>
    </w:p>
    <w:p w14:paraId="4AA9E490" w14:textId="77777777" w:rsidR="00392508" w:rsidRPr="009463E5" w:rsidRDefault="00392508" w:rsidP="00392508">
      <w:pPr>
        <w:pStyle w:val="AnnexText"/>
        <w:numPr>
          <w:ilvl w:val="0"/>
          <w:numId w:val="0"/>
        </w:numPr>
        <w:spacing w:after="0"/>
        <w:ind w:left="425" w:hanging="425"/>
        <w:rPr>
          <w:lang w:val="es-ES"/>
        </w:rPr>
      </w:pPr>
    </w:p>
    <w:p w14:paraId="7E81DB40" w14:textId="2BEBCC9A" w:rsidR="00494B95" w:rsidRPr="009463E5" w:rsidRDefault="00392508" w:rsidP="00392508">
      <w:pPr>
        <w:pStyle w:val="AnnexText"/>
        <w:numPr>
          <w:ilvl w:val="0"/>
          <w:numId w:val="0"/>
        </w:numPr>
        <w:spacing w:after="0"/>
        <w:ind w:left="425" w:hanging="425"/>
        <w:rPr>
          <w:lang w:val="es-ES"/>
        </w:rPr>
      </w:pPr>
      <w:r w:rsidRPr="009463E5">
        <w:rPr>
          <w:bCs/>
          <w:lang w:val="es-ES"/>
        </w:rPr>
        <w:t>16.</w:t>
      </w:r>
      <w:r w:rsidRPr="009463E5">
        <w:rPr>
          <w:bCs/>
          <w:lang w:val="es-ES"/>
        </w:rPr>
        <w:tab/>
      </w:r>
      <w:r w:rsidR="00E60219" w:rsidRPr="009463E5">
        <w:rPr>
          <w:bCs/>
          <w:lang w:val="es-ES"/>
        </w:rPr>
        <w:t xml:space="preserve">Para cada servicio ecosistémico, se </w:t>
      </w:r>
      <w:r w:rsidR="00774F7C" w:rsidRPr="009463E5">
        <w:rPr>
          <w:bCs/>
          <w:lang w:val="es-ES"/>
        </w:rPr>
        <w:t>evalúa l</w:t>
      </w:r>
      <w:r w:rsidR="00E60219" w:rsidRPr="009463E5">
        <w:rPr>
          <w:bCs/>
          <w:lang w:val="es-ES"/>
        </w:rPr>
        <w:t>a importancia de su contribución a los beneficiarios de</w:t>
      </w:r>
      <w:r w:rsidR="00774F7C" w:rsidRPr="009463E5">
        <w:rPr>
          <w:bCs/>
          <w:lang w:val="es-ES"/>
        </w:rPr>
        <w:t xml:space="preserve">l </w:t>
      </w:r>
      <w:r w:rsidR="00E60219" w:rsidRPr="009463E5">
        <w:rPr>
          <w:bCs/>
          <w:lang w:val="es-ES"/>
        </w:rPr>
        <w:t xml:space="preserve">servicio utilizando una escala de cuatro puntos: (i) ++ contribución positiva significativa; (ii) + contribución positiva; (iii) 0 contribución insignificante; (iv) ? lagunas en los datos. Estas puntuaciones representan la magnitud relativa del valor del servicio ecosistémico en el lugar. El evaluador también debe introducir una segunda puntuación para cada uno de los servicios. Esta segunda puntuación se refiere a la certeza del valor. Estas dos puntuaciones se combinan en una matriz sencilla para obtener una única puntuación que refleja tanto la magnitud como la certeza del valor de cada uno de los servicios </w:t>
      </w:r>
      <w:r w:rsidR="00774F7C" w:rsidRPr="009463E5">
        <w:rPr>
          <w:bCs/>
          <w:lang w:val="es-ES"/>
        </w:rPr>
        <w:t>de los ecosistemas</w:t>
      </w:r>
      <w:r w:rsidR="00E60219" w:rsidRPr="009463E5">
        <w:rPr>
          <w:bCs/>
          <w:lang w:val="es-ES"/>
        </w:rPr>
        <w:t xml:space="preserve">. </w:t>
      </w:r>
    </w:p>
    <w:p w14:paraId="3AE8AC1E" w14:textId="77777777" w:rsidR="00392508" w:rsidRPr="009463E5" w:rsidRDefault="00392508" w:rsidP="00392508">
      <w:pPr>
        <w:pStyle w:val="AnnexText"/>
        <w:numPr>
          <w:ilvl w:val="0"/>
          <w:numId w:val="0"/>
        </w:numPr>
        <w:spacing w:after="0"/>
        <w:ind w:left="425" w:hanging="425"/>
        <w:rPr>
          <w:lang w:val="es-ES"/>
        </w:rPr>
      </w:pPr>
    </w:p>
    <w:p w14:paraId="0705F241" w14:textId="34F0BA89" w:rsidR="00F66047" w:rsidRPr="009463E5" w:rsidRDefault="00392508" w:rsidP="009A09FC">
      <w:pPr>
        <w:pStyle w:val="AnnexText"/>
        <w:numPr>
          <w:ilvl w:val="0"/>
          <w:numId w:val="0"/>
        </w:numPr>
        <w:spacing w:after="0"/>
        <w:ind w:left="425" w:hanging="425"/>
        <w:rPr>
          <w:lang w:val="es-ES"/>
        </w:rPr>
      </w:pPr>
      <w:r w:rsidRPr="009463E5">
        <w:rPr>
          <w:bCs/>
          <w:lang w:val="es-ES"/>
        </w:rPr>
        <w:t>17.</w:t>
      </w:r>
      <w:r w:rsidRPr="009463E5">
        <w:rPr>
          <w:bCs/>
          <w:lang w:val="es-ES"/>
        </w:rPr>
        <w:tab/>
      </w:r>
      <w:r w:rsidR="00A53CF8" w:rsidRPr="009463E5">
        <w:rPr>
          <w:bCs/>
          <w:lang w:val="es-ES"/>
        </w:rPr>
        <w:t xml:space="preserve">La estructura de la hoja de </w:t>
      </w:r>
      <w:r w:rsidR="00774F7C" w:rsidRPr="009463E5">
        <w:rPr>
          <w:bCs/>
          <w:lang w:val="es-ES"/>
        </w:rPr>
        <w:t>trabajo</w:t>
      </w:r>
      <w:r w:rsidR="00A53CF8" w:rsidRPr="009463E5">
        <w:rPr>
          <w:bCs/>
          <w:lang w:val="es-ES"/>
        </w:rPr>
        <w:t xml:space="preserve"> 3 es directamente compatible con la hoja de </w:t>
      </w:r>
      <w:r w:rsidR="00774F7C" w:rsidRPr="009463E5">
        <w:rPr>
          <w:bCs/>
          <w:lang w:val="es-ES"/>
        </w:rPr>
        <w:t>trabajo</w:t>
      </w:r>
      <w:r w:rsidR="00A53CF8" w:rsidRPr="009463E5">
        <w:rPr>
          <w:bCs/>
          <w:lang w:val="es-ES"/>
        </w:rPr>
        <w:t xml:space="preserve"> RAWES, lo que permite una </w:t>
      </w:r>
      <w:r w:rsidR="00774F7C" w:rsidRPr="009463E5">
        <w:rPr>
          <w:bCs/>
          <w:lang w:val="es-ES"/>
        </w:rPr>
        <w:t>transferencia</w:t>
      </w:r>
      <w:r w:rsidR="00A53CF8" w:rsidRPr="009463E5">
        <w:rPr>
          <w:bCs/>
          <w:lang w:val="es-ES"/>
        </w:rPr>
        <w:t xml:space="preserve"> directa de una herramienta a otra. En los casos en que se haya realizado una evaluación RAWES, lo lógico sería asignar un alto grado de fiabilidad a </w:t>
      </w:r>
      <w:r w:rsidR="00774F7C" w:rsidRPr="009463E5">
        <w:rPr>
          <w:bCs/>
          <w:lang w:val="es-ES"/>
        </w:rPr>
        <w:t>la información</w:t>
      </w:r>
      <w:r w:rsidR="00A53CF8" w:rsidRPr="009463E5">
        <w:rPr>
          <w:bCs/>
          <w:lang w:val="es-ES"/>
        </w:rPr>
        <w:t xml:space="preserve">. Sin embargo, en situaciones en las que no se haya aplicado </w:t>
      </w:r>
      <w:r w:rsidR="00774F7C" w:rsidRPr="009463E5">
        <w:rPr>
          <w:bCs/>
          <w:lang w:val="es-ES"/>
        </w:rPr>
        <w:t xml:space="preserve">el método </w:t>
      </w:r>
      <w:r w:rsidR="00A53CF8" w:rsidRPr="009463E5">
        <w:rPr>
          <w:bCs/>
          <w:lang w:val="es-ES"/>
        </w:rPr>
        <w:t xml:space="preserve">RAWES, el </w:t>
      </w:r>
      <w:r w:rsidR="009463E5" w:rsidRPr="009463E5">
        <w:rPr>
          <w:bCs/>
          <w:lang w:val="es-ES"/>
        </w:rPr>
        <w:t>evaluador</w:t>
      </w:r>
      <w:r w:rsidR="00A53CF8" w:rsidRPr="009463E5">
        <w:rPr>
          <w:bCs/>
          <w:lang w:val="es-ES"/>
        </w:rPr>
        <w:t xml:space="preserve"> tendrá que evaluar los servicios </w:t>
      </w:r>
      <w:r w:rsidR="00774F7C" w:rsidRPr="009463E5">
        <w:rPr>
          <w:bCs/>
          <w:lang w:val="es-ES"/>
        </w:rPr>
        <w:t>de los ecosistemas</w:t>
      </w:r>
      <w:r w:rsidR="00A53CF8" w:rsidRPr="009463E5">
        <w:rPr>
          <w:bCs/>
          <w:lang w:val="es-ES"/>
        </w:rPr>
        <w:t xml:space="preserve"> que proporciona el sitio a través de otros medios, como la realización de talleres participativos, la utilización de otras metodologías formales de evaluación de </w:t>
      </w:r>
      <w:r w:rsidR="00774F7C" w:rsidRPr="009463E5">
        <w:rPr>
          <w:bCs/>
          <w:lang w:val="es-ES"/>
        </w:rPr>
        <w:t>estos</w:t>
      </w:r>
      <w:r w:rsidR="00A53CF8" w:rsidRPr="009463E5">
        <w:rPr>
          <w:bCs/>
          <w:lang w:val="es-ES"/>
        </w:rPr>
        <w:t xml:space="preserve"> servicios o la consulta con </w:t>
      </w:r>
      <w:r w:rsidR="00774F7C" w:rsidRPr="009463E5">
        <w:rPr>
          <w:bCs/>
          <w:lang w:val="es-ES"/>
        </w:rPr>
        <w:t>los</w:t>
      </w:r>
      <w:r w:rsidR="00A53CF8" w:rsidRPr="009463E5">
        <w:rPr>
          <w:bCs/>
          <w:lang w:val="es-ES"/>
        </w:rPr>
        <w:t xml:space="preserve"> interesad</w:t>
      </w:r>
      <w:r w:rsidR="00774F7C" w:rsidRPr="009463E5">
        <w:rPr>
          <w:bCs/>
          <w:lang w:val="es-ES"/>
        </w:rPr>
        <w:t>o</w:t>
      </w:r>
      <w:r w:rsidR="00A53CF8" w:rsidRPr="009463E5">
        <w:rPr>
          <w:bCs/>
          <w:lang w:val="es-ES"/>
        </w:rPr>
        <w:t>s</w:t>
      </w:r>
      <w:r w:rsidR="00774F7C" w:rsidRPr="009463E5">
        <w:rPr>
          <w:bCs/>
          <w:lang w:val="es-ES"/>
        </w:rPr>
        <w:t xml:space="preserve"> locales</w:t>
      </w:r>
      <w:r w:rsidR="00A53CF8" w:rsidRPr="009463E5">
        <w:rPr>
          <w:bCs/>
          <w:lang w:val="es-ES"/>
        </w:rPr>
        <w:t xml:space="preserve">, las personas que poseen los conocimientos y el personal. En tales circunstancias, la fiabilidad puede verse reducida. </w:t>
      </w:r>
    </w:p>
    <w:p w14:paraId="5E6DB120" w14:textId="77777777" w:rsidR="00392508" w:rsidRPr="009463E5" w:rsidRDefault="00392508" w:rsidP="00392508">
      <w:pPr>
        <w:pStyle w:val="AnnexText"/>
        <w:numPr>
          <w:ilvl w:val="0"/>
          <w:numId w:val="0"/>
        </w:numPr>
        <w:spacing w:after="0"/>
        <w:ind w:left="425" w:hanging="425"/>
        <w:rPr>
          <w:lang w:val="es-ES"/>
        </w:rPr>
      </w:pPr>
    </w:p>
    <w:p w14:paraId="1BFCC6CD" w14:textId="2CB13CBC" w:rsidR="005C29D5" w:rsidRPr="009463E5" w:rsidRDefault="00392508" w:rsidP="00392508">
      <w:pPr>
        <w:pStyle w:val="AnnexText"/>
        <w:numPr>
          <w:ilvl w:val="0"/>
          <w:numId w:val="0"/>
        </w:numPr>
        <w:spacing w:after="0"/>
        <w:ind w:left="425" w:hanging="425"/>
        <w:rPr>
          <w:lang w:val="es-ES"/>
        </w:rPr>
      </w:pPr>
      <w:r w:rsidRPr="009463E5">
        <w:rPr>
          <w:bCs/>
          <w:lang w:val="es-ES"/>
        </w:rPr>
        <w:t>18.</w:t>
      </w:r>
      <w:r w:rsidRPr="009463E5">
        <w:rPr>
          <w:bCs/>
          <w:lang w:val="es-ES"/>
        </w:rPr>
        <w:tab/>
      </w:r>
      <w:r w:rsidR="00112F4A" w:rsidRPr="009463E5">
        <w:rPr>
          <w:bCs/>
          <w:i/>
          <w:iCs/>
          <w:lang w:val="es-ES"/>
        </w:rPr>
        <w:t xml:space="preserve">Hoja de </w:t>
      </w:r>
      <w:r w:rsidR="00774F7C" w:rsidRPr="009463E5">
        <w:rPr>
          <w:bCs/>
          <w:i/>
          <w:iCs/>
          <w:lang w:val="es-ES"/>
        </w:rPr>
        <w:t>trabajo</w:t>
      </w:r>
      <w:r w:rsidR="00112F4A" w:rsidRPr="009463E5">
        <w:rPr>
          <w:bCs/>
          <w:i/>
          <w:iCs/>
          <w:lang w:val="es-ES"/>
        </w:rPr>
        <w:t xml:space="preserve"> 4: Amenazas</w:t>
      </w:r>
      <w:r w:rsidR="00112F4A" w:rsidRPr="009463E5">
        <w:rPr>
          <w:bCs/>
          <w:lang w:val="es-ES"/>
        </w:rPr>
        <w:t xml:space="preserve">. Las amenazas se </w:t>
      </w:r>
      <w:r w:rsidR="00774F7C" w:rsidRPr="009463E5">
        <w:rPr>
          <w:bCs/>
          <w:lang w:val="es-ES"/>
        </w:rPr>
        <w:t xml:space="preserve">documentan en </w:t>
      </w:r>
      <w:r w:rsidR="00112F4A" w:rsidRPr="009463E5">
        <w:rPr>
          <w:bCs/>
          <w:lang w:val="es-ES"/>
        </w:rPr>
        <w:t>las 13 categorías presentadas en la Ficha 3 de</w:t>
      </w:r>
      <w:r w:rsidR="00774F7C" w:rsidRPr="009463E5">
        <w:rPr>
          <w:bCs/>
          <w:lang w:val="es-ES"/>
        </w:rPr>
        <w:t xml:space="preserve">l método </w:t>
      </w:r>
      <w:r w:rsidR="00112F4A" w:rsidRPr="009463E5">
        <w:rPr>
          <w:bCs/>
          <w:lang w:val="es-ES"/>
        </w:rPr>
        <w:t xml:space="preserve">RMETT, a saber: </w:t>
      </w:r>
    </w:p>
    <w:p w14:paraId="3F81BD81" w14:textId="77777777" w:rsidR="00392508" w:rsidRPr="009463E5" w:rsidRDefault="00392508" w:rsidP="00392508">
      <w:pPr>
        <w:pStyle w:val="AnnexText"/>
        <w:numPr>
          <w:ilvl w:val="0"/>
          <w:numId w:val="0"/>
        </w:numPr>
        <w:spacing w:after="0"/>
        <w:ind w:left="425" w:hanging="425"/>
        <w:rPr>
          <w:lang w:val="es-ES"/>
        </w:rPr>
      </w:pPr>
    </w:p>
    <w:p w14:paraId="7E06D03B" w14:textId="1E80B490" w:rsidR="00670E29" w:rsidRPr="009463E5" w:rsidRDefault="00392508" w:rsidP="0069547C">
      <w:pPr>
        <w:pStyle w:val="Annexbullet"/>
        <w:numPr>
          <w:ilvl w:val="0"/>
          <w:numId w:val="0"/>
        </w:numPr>
        <w:spacing w:after="0"/>
        <w:ind w:left="850" w:hanging="425"/>
        <w:rPr>
          <w:lang w:eastAsia="en-GB"/>
        </w:rPr>
      </w:pPr>
      <w:r w:rsidRPr="009463E5">
        <w:rPr>
          <w:rFonts w:ascii="Symbol" w:hAnsi="Symbol"/>
          <w:lang w:eastAsia="en-GB"/>
        </w:rPr>
        <w:t></w:t>
      </w:r>
      <w:r w:rsidRPr="009463E5">
        <w:rPr>
          <w:rFonts w:ascii="Symbol" w:hAnsi="Symbol"/>
          <w:lang w:eastAsia="en-GB"/>
        </w:rPr>
        <w:tab/>
      </w:r>
      <w:r w:rsidR="00112F4A" w:rsidRPr="009463E5">
        <w:rPr>
          <w:lang w:eastAsia="en-GB"/>
        </w:rPr>
        <w:t>Desarrollo residencial y comercial (dentro del sitio)</w:t>
      </w:r>
    </w:p>
    <w:p w14:paraId="666F6742" w14:textId="0EE5BC97" w:rsidR="00670E29" w:rsidRPr="009463E5" w:rsidRDefault="00392508" w:rsidP="0069547C">
      <w:pPr>
        <w:pStyle w:val="Annexbullet"/>
        <w:numPr>
          <w:ilvl w:val="0"/>
          <w:numId w:val="0"/>
        </w:numPr>
        <w:spacing w:after="0"/>
        <w:ind w:left="850" w:hanging="425"/>
        <w:rPr>
          <w:lang w:eastAsia="en-GB"/>
        </w:rPr>
      </w:pPr>
      <w:r w:rsidRPr="009463E5">
        <w:rPr>
          <w:rFonts w:ascii="Symbol" w:hAnsi="Symbol"/>
          <w:lang w:eastAsia="en-GB"/>
        </w:rPr>
        <w:t></w:t>
      </w:r>
      <w:r w:rsidRPr="009463E5">
        <w:rPr>
          <w:rFonts w:ascii="Symbol" w:hAnsi="Symbol"/>
          <w:lang w:eastAsia="en-GB"/>
        </w:rPr>
        <w:tab/>
      </w:r>
      <w:r w:rsidR="00112F4A" w:rsidRPr="009463E5">
        <w:rPr>
          <w:lang w:eastAsia="en-GB"/>
        </w:rPr>
        <w:t>Agricultura y acuicultura (dentro del sitio)</w:t>
      </w:r>
    </w:p>
    <w:p w14:paraId="5AD94AAF" w14:textId="60469597" w:rsidR="00670E29" w:rsidRPr="009463E5" w:rsidRDefault="00392508" w:rsidP="0069547C">
      <w:pPr>
        <w:pStyle w:val="Annexbullet"/>
        <w:numPr>
          <w:ilvl w:val="0"/>
          <w:numId w:val="0"/>
        </w:numPr>
        <w:spacing w:after="0"/>
        <w:ind w:left="850" w:hanging="425"/>
        <w:rPr>
          <w:lang w:eastAsia="en-GB"/>
        </w:rPr>
      </w:pPr>
      <w:r w:rsidRPr="009463E5">
        <w:rPr>
          <w:rFonts w:ascii="Symbol" w:hAnsi="Symbol"/>
          <w:lang w:eastAsia="en-GB"/>
        </w:rPr>
        <w:t></w:t>
      </w:r>
      <w:r w:rsidRPr="009463E5">
        <w:rPr>
          <w:rFonts w:ascii="Symbol" w:hAnsi="Symbol"/>
          <w:lang w:eastAsia="en-GB"/>
        </w:rPr>
        <w:tab/>
      </w:r>
      <w:r w:rsidR="00112F4A" w:rsidRPr="009463E5">
        <w:rPr>
          <w:lang w:eastAsia="en-GB"/>
        </w:rPr>
        <w:t>Producción de energía y minería (dentro del sitio)</w:t>
      </w:r>
    </w:p>
    <w:p w14:paraId="5D12F124" w14:textId="20DD2E51" w:rsidR="00670E29" w:rsidRPr="009463E5" w:rsidRDefault="00392508" w:rsidP="0069547C">
      <w:pPr>
        <w:pStyle w:val="Annexbullet"/>
        <w:numPr>
          <w:ilvl w:val="0"/>
          <w:numId w:val="0"/>
        </w:numPr>
        <w:spacing w:after="0"/>
        <w:ind w:left="850" w:hanging="425"/>
        <w:rPr>
          <w:lang w:eastAsia="en-GB"/>
        </w:rPr>
      </w:pPr>
      <w:r w:rsidRPr="009463E5">
        <w:rPr>
          <w:rFonts w:ascii="Symbol" w:hAnsi="Symbol"/>
          <w:lang w:eastAsia="en-GB"/>
        </w:rPr>
        <w:t></w:t>
      </w:r>
      <w:r w:rsidRPr="009463E5">
        <w:rPr>
          <w:rFonts w:ascii="Symbol" w:hAnsi="Symbol"/>
          <w:lang w:eastAsia="en-GB"/>
        </w:rPr>
        <w:tab/>
      </w:r>
      <w:r w:rsidR="00112F4A" w:rsidRPr="009463E5">
        <w:rPr>
          <w:lang w:eastAsia="en-GB"/>
        </w:rPr>
        <w:t>Corredores de transporte y servicios dentro del sitio</w:t>
      </w:r>
    </w:p>
    <w:p w14:paraId="3AB9DC8D" w14:textId="32A01062" w:rsidR="00670E29" w:rsidRPr="009463E5" w:rsidRDefault="00392508" w:rsidP="0069547C">
      <w:pPr>
        <w:pStyle w:val="Annexbullet"/>
        <w:numPr>
          <w:ilvl w:val="0"/>
          <w:numId w:val="0"/>
        </w:numPr>
        <w:spacing w:after="0"/>
        <w:ind w:left="850" w:hanging="425"/>
        <w:rPr>
          <w:lang w:eastAsia="en-GB"/>
        </w:rPr>
      </w:pPr>
      <w:r w:rsidRPr="009463E5">
        <w:rPr>
          <w:rFonts w:ascii="Symbol" w:hAnsi="Symbol"/>
          <w:lang w:eastAsia="en-GB"/>
        </w:rPr>
        <w:t></w:t>
      </w:r>
      <w:r w:rsidRPr="009463E5">
        <w:rPr>
          <w:rFonts w:ascii="Symbol" w:hAnsi="Symbol"/>
          <w:lang w:eastAsia="en-GB"/>
        </w:rPr>
        <w:tab/>
      </w:r>
      <w:r w:rsidR="009463E5" w:rsidRPr="009463E5">
        <w:rPr>
          <w:lang w:eastAsia="en-GB"/>
        </w:rPr>
        <w:t>Aprovechamiento de recursos biológicos y daños causados a los mismos</w:t>
      </w:r>
      <w:r w:rsidR="00112F4A" w:rsidRPr="009463E5">
        <w:rPr>
          <w:lang w:eastAsia="en-GB"/>
        </w:rPr>
        <w:t xml:space="preserve"> dentro del sitio</w:t>
      </w:r>
    </w:p>
    <w:p w14:paraId="074EEB56" w14:textId="1A2E9BB7" w:rsidR="00670E29" w:rsidRPr="009463E5" w:rsidRDefault="00392508" w:rsidP="0069547C">
      <w:pPr>
        <w:pStyle w:val="Annexbullet"/>
        <w:numPr>
          <w:ilvl w:val="0"/>
          <w:numId w:val="0"/>
        </w:numPr>
        <w:spacing w:after="0"/>
        <w:ind w:left="850" w:hanging="425"/>
        <w:rPr>
          <w:lang w:eastAsia="en-GB"/>
        </w:rPr>
      </w:pPr>
      <w:r w:rsidRPr="009463E5">
        <w:rPr>
          <w:rFonts w:ascii="Symbol" w:hAnsi="Symbol"/>
          <w:lang w:eastAsia="en-GB"/>
        </w:rPr>
        <w:t></w:t>
      </w:r>
      <w:r w:rsidRPr="009463E5">
        <w:rPr>
          <w:rFonts w:ascii="Symbol" w:hAnsi="Symbol"/>
          <w:lang w:eastAsia="en-GB"/>
        </w:rPr>
        <w:tab/>
      </w:r>
      <w:r w:rsidR="00112F4A" w:rsidRPr="009463E5">
        <w:rPr>
          <w:lang w:eastAsia="en-GB"/>
        </w:rPr>
        <w:t>Intrusi</w:t>
      </w:r>
      <w:r w:rsidR="009463E5" w:rsidRPr="009463E5">
        <w:rPr>
          <w:lang w:eastAsia="en-GB"/>
        </w:rPr>
        <w:t>ones humanas</w:t>
      </w:r>
      <w:r w:rsidR="00112F4A" w:rsidRPr="009463E5">
        <w:rPr>
          <w:lang w:eastAsia="en-GB"/>
        </w:rPr>
        <w:t xml:space="preserve"> y perturbaci</w:t>
      </w:r>
      <w:r w:rsidR="009463E5" w:rsidRPr="009463E5">
        <w:rPr>
          <w:lang w:eastAsia="en-GB"/>
        </w:rPr>
        <w:t>ones</w:t>
      </w:r>
      <w:r w:rsidR="00112F4A" w:rsidRPr="009463E5">
        <w:rPr>
          <w:lang w:eastAsia="en-GB"/>
        </w:rPr>
        <w:t xml:space="preserve"> de origen humano dentro del sitio</w:t>
      </w:r>
    </w:p>
    <w:p w14:paraId="79A6FB1C" w14:textId="7D237CAF" w:rsidR="00670E29" w:rsidRPr="009463E5" w:rsidRDefault="00392508" w:rsidP="0069547C">
      <w:pPr>
        <w:pStyle w:val="Annexbullet"/>
        <w:numPr>
          <w:ilvl w:val="0"/>
          <w:numId w:val="0"/>
        </w:numPr>
        <w:spacing w:after="0"/>
        <w:ind w:left="850" w:hanging="425"/>
        <w:rPr>
          <w:lang w:eastAsia="en-GB"/>
        </w:rPr>
      </w:pPr>
      <w:r w:rsidRPr="009463E5">
        <w:rPr>
          <w:rFonts w:ascii="Symbol" w:hAnsi="Symbol"/>
          <w:lang w:eastAsia="en-GB"/>
        </w:rPr>
        <w:t></w:t>
      </w:r>
      <w:r w:rsidRPr="009463E5">
        <w:rPr>
          <w:rFonts w:ascii="Symbol" w:hAnsi="Symbol"/>
          <w:lang w:eastAsia="en-GB"/>
        </w:rPr>
        <w:tab/>
      </w:r>
      <w:r w:rsidR="00112F4A" w:rsidRPr="009463E5">
        <w:rPr>
          <w:lang w:eastAsia="en-GB"/>
        </w:rPr>
        <w:t xml:space="preserve">Modificaciones </w:t>
      </w:r>
      <w:r w:rsidR="009463E5" w:rsidRPr="009463E5">
        <w:rPr>
          <w:lang w:eastAsia="en-GB"/>
        </w:rPr>
        <w:t>del</w:t>
      </w:r>
      <w:r w:rsidR="00112F4A" w:rsidRPr="009463E5">
        <w:rPr>
          <w:lang w:eastAsia="en-GB"/>
        </w:rPr>
        <w:t xml:space="preserve"> sistema natural</w:t>
      </w:r>
    </w:p>
    <w:p w14:paraId="15FC5C35" w14:textId="4C3702A0" w:rsidR="00670E29" w:rsidRPr="009463E5" w:rsidRDefault="00392508" w:rsidP="0069547C">
      <w:pPr>
        <w:pStyle w:val="Annexbullet"/>
        <w:numPr>
          <w:ilvl w:val="0"/>
          <w:numId w:val="0"/>
        </w:numPr>
        <w:spacing w:after="0"/>
        <w:ind w:left="850" w:hanging="425"/>
        <w:rPr>
          <w:lang w:eastAsia="en-GB"/>
        </w:rPr>
      </w:pPr>
      <w:r w:rsidRPr="009463E5">
        <w:rPr>
          <w:rFonts w:ascii="Symbol" w:hAnsi="Symbol"/>
          <w:lang w:eastAsia="en-GB"/>
        </w:rPr>
        <w:t></w:t>
      </w:r>
      <w:r w:rsidRPr="009463E5">
        <w:rPr>
          <w:rFonts w:ascii="Symbol" w:hAnsi="Symbol"/>
          <w:lang w:eastAsia="en-GB"/>
        </w:rPr>
        <w:tab/>
      </w:r>
      <w:r w:rsidR="000902D7" w:rsidRPr="009463E5">
        <w:rPr>
          <w:lang w:eastAsia="en-GB"/>
        </w:rPr>
        <w:t>Cambios hidrológico</w:t>
      </w:r>
      <w:r w:rsidR="009463E5" w:rsidRPr="009463E5">
        <w:rPr>
          <w:lang w:eastAsia="en-GB"/>
        </w:rPr>
        <w:t>s</w:t>
      </w:r>
    </w:p>
    <w:p w14:paraId="0D6A1AA0" w14:textId="2B8E5E84" w:rsidR="00670E29" w:rsidRPr="009463E5" w:rsidRDefault="00392508" w:rsidP="0069547C">
      <w:pPr>
        <w:pStyle w:val="Annexbullet"/>
        <w:numPr>
          <w:ilvl w:val="0"/>
          <w:numId w:val="0"/>
        </w:numPr>
        <w:spacing w:after="0"/>
        <w:ind w:left="850" w:hanging="425"/>
        <w:rPr>
          <w:lang w:eastAsia="en-GB"/>
        </w:rPr>
      </w:pPr>
      <w:r w:rsidRPr="009463E5">
        <w:rPr>
          <w:rFonts w:ascii="Symbol" w:hAnsi="Symbol"/>
          <w:lang w:eastAsia="en-GB"/>
        </w:rPr>
        <w:t></w:t>
      </w:r>
      <w:r w:rsidRPr="009463E5">
        <w:rPr>
          <w:rFonts w:ascii="Symbol" w:hAnsi="Symbol"/>
          <w:lang w:eastAsia="en-GB"/>
        </w:rPr>
        <w:tab/>
      </w:r>
      <w:r w:rsidR="000902D7" w:rsidRPr="009463E5">
        <w:rPr>
          <w:lang w:eastAsia="en-GB"/>
        </w:rPr>
        <w:t xml:space="preserve">Especies </w:t>
      </w:r>
      <w:r w:rsidR="009463E5" w:rsidRPr="009463E5">
        <w:rPr>
          <w:lang w:eastAsia="en-GB"/>
        </w:rPr>
        <w:t xml:space="preserve">y genes invasores </w:t>
      </w:r>
      <w:r w:rsidR="000902D7" w:rsidRPr="009463E5">
        <w:rPr>
          <w:lang w:eastAsia="en-GB"/>
        </w:rPr>
        <w:t>y otras especies y genes problemáticos</w:t>
      </w:r>
    </w:p>
    <w:p w14:paraId="3A8C1689" w14:textId="0D59D30A" w:rsidR="00670E29" w:rsidRPr="009463E5" w:rsidRDefault="00392508" w:rsidP="0069547C">
      <w:pPr>
        <w:pStyle w:val="Annexbullet"/>
        <w:numPr>
          <w:ilvl w:val="0"/>
          <w:numId w:val="0"/>
        </w:numPr>
        <w:spacing w:after="0"/>
        <w:ind w:left="850" w:hanging="425"/>
        <w:rPr>
          <w:lang w:eastAsia="en-GB"/>
        </w:rPr>
      </w:pPr>
      <w:r w:rsidRPr="009463E5">
        <w:rPr>
          <w:rFonts w:ascii="Symbol" w:hAnsi="Symbol"/>
          <w:lang w:eastAsia="en-GB"/>
        </w:rPr>
        <w:t></w:t>
      </w:r>
      <w:r w:rsidRPr="009463E5">
        <w:rPr>
          <w:rFonts w:ascii="Symbol" w:hAnsi="Symbol"/>
          <w:lang w:eastAsia="en-GB"/>
        </w:rPr>
        <w:tab/>
      </w:r>
      <w:r w:rsidR="000902D7" w:rsidRPr="009463E5">
        <w:rPr>
          <w:lang w:eastAsia="en-GB"/>
        </w:rPr>
        <w:t xml:space="preserve">Contaminación </w:t>
      </w:r>
      <w:r w:rsidR="009463E5" w:rsidRPr="009463E5">
        <w:rPr>
          <w:lang w:eastAsia="en-GB"/>
        </w:rPr>
        <w:t>que afecta al sitio Ramsar o se genera en el mismo</w:t>
      </w:r>
    </w:p>
    <w:p w14:paraId="2B495844" w14:textId="567F6D1A" w:rsidR="00670E29" w:rsidRPr="009463E5" w:rsidRDefault="00392508" w:rsidP="0069547C">
      <w:pPr>
        <w:pStyle w:val="Annexbullet"/>
        <w:numPr>
          <w:ilvl w:val="0"/>
          <w:numId w:val="0"/>
        </w:numPr>
        <w:spacing w:after="0"/>
        <w:ind w:left="850" w:hanging="425"/>
        <w:rPr>
          <w:lang w:eastAsia="en-GB"/>
        </w:rPr>
      </w:pPr>
      <w:r w:rsidRPr="009463E5">
        <w:rPr>
          <w:rFonts w:ascii="Symbol" w:hAnsi="Symbol"/>
          <w:lang w:eastAsia="en-GB"/>
        </w:rPr>
        <w:t></w:t>
      </w:r>
      <w:r w:rsidRPr="009463E5">
        <w:rPr>
          <w:rFonts w:ascii="Symbol" w:hAnsi="Symbol"/>
          <w:lang w:eastAsia="en-GB"/>
        </w:rPr>
        <w:tab/>
      </w:r>
      <w:r w:rsidR="000902D7" w:rsidRPr="009463E5">
        <w:rPr>
          <w:lang w:eastAsia="en-GB"/>
        </w:rPr>
        <w:t>Fenómenos geológicos</w:t>
      </w:r>
    </w:p>
    <w:p w14:paraId="37CC0205" w14:textId="13FCA961" w:rsidR="00670E29" w:rsidRPr="009463E5" w:rsidRDefault="00392508" w:rsidP="0069547C">
      <w:pPr>
        <w:pStyle w:val="Annexbullet"/>
        <w:numPr>
          <w:ilvl w:val="0"/>
          <w:numId w:val="0"/>
        </w:numPr>
        <w:spacing w:after="0"/>
        <w:ind w:left="850" w:hanging="425"/>
        <w:rPr>
          <w:lang w:eastAsia="en-GB"/>
        </w:rPr>
      </w:pPr>
      <w:r w:rsidRPr="009463E5">
        <w:rPr>
          <w:rFonts w:ascii="Symbol" w:hAnsi="Symbol"/>
          <w:lang w:eastAsia="en-GB"/>
        </w:rPr>
        <w:t></w:t>
      </w:r>
      <w:r w:rsidRPr="009463E5">
        <w:rPr>
          <w:rFonts w:ascii="Symbol" w:hAnsi="Symbol"/>
          <w:lang w:eastAsia="en-GB"/>
        </w:rPr>
        <w:tab/>
      </w:r>
      <w:r w:rsidR="000902D7" w:rsidRPr="009463E5">
        <w:rPr>
          <w:lang w:eastAsia="en-GB"/>
        </w:rPr>
        <w:t xml:space="preserve">Cambio climático y </w:t>
      </w:r>
      <w:r w:rsidR="009463E5" w:rsidRPr="009463E5">
        <w:rPr>
          <w:lang w:eastAsia="en-GB"/>
        </w:rPr>
        <w:t>meteorología extrema</w:t>
      </w:r>
    </w:p>
    <w:p w14:paraId="28764113" w14:textId="4950D60F" w:rsidR="00670E29" w:rsidRPr="009463E5" w:rsidRDefault="00392508" w:rsidP="0069547C">
      <w:pPr>
        <w:pStyle w:val="Annexbullet"/>
        <w:numPr>
          <w:ilvl w:val="0"/>
          <w:numId w:val="0"/>
        </w:numPr>
        <w:spacing w:after="0"/>
        <w:ind w:left="850" w:hanging="425"/>
        <w:rPr>
          <w:lang w:eastAsia="en-GB"/>
        </w:rPr>
      </w:pPr>
      <w:r w:rsidRPr="009463E5">
        <w:rPr>
          <w:rFonts w:ascii="Symbol" w:hAnsi="Symbol"/>
          <w:lang w:eastAsia="en-GB"/>
        </w:rPr>
        <w:t></w:t>
      </w:r>
      <w:r w:rsidRPr="009463E5">
        <w:rPr>
          <w:rFonts w:ascii="Symbol" w:hAnsi="Symbol"/>
          <w:lang w:eastAsia="en-GB"/>
        </w:rPr>
        <w:tab/>
      </w:r>
      <w:r w:rsidR="000902D7" w:rsidRPr="009463E5">
        <w:rPr>
          <w:lang w:eastAsia="en-GB"/>
        </w:rPr>
        <w:t xml:space="preserve">Amenazas sociales </w:t>
      </w:r>
      <w:r w:rsidR="009463E5" w:rsidRPr="009463E5">
        <w:rPr>
          <w:lang w:eastAsia="en-GB"/>
        </w:rPr>
        <w:t xml:space="preserve">y culturales </w:t>
      </w:r>
      <w:r w:rsidR="000902D7" w:rsidRPr="009463E5">
        <w:rPr>
          <w:lang w:eastAsia="en-GB"/>
        </w:rPr>
        <w:t>específicas</w:t>
      </w:r>
    </w:p>
    <w:p w14:paraId="645AEE56" w14:textId="77777777" w:rsidR="00392508" w:rsidRPr="009463E5" w:rsidRDefault="00392508" w:rsidP="00392508">
      <w:pPr>
        <w:pStyle w:val="Annexbullet"/>
        <w:numPr>
          <w:ilvl w:val="0"/>
          <w:numId w:val="0"/>
        </w:numPr>
        <w:spacing w:after="0"/>
        <w:ind w:left="720" w:hanging="295"/>
        <w:rPr>
          <w:lang w:eastAsia="en-GB"/>
        </w:rPr>
      </w:pPr>
    </w:p>
    <w:p w14:paraId="47C53B48" w14:textId="338BF2F3" w:rsidR="00670E29" w:rsidRPr="009463E5" w:rsidRDefault="00392508" w:rsidP="00392508">
      <w:pPr>
        <w:pStyle w:val="AnnexText"/>
        <w:numPr>
          <w:ilvl w:val="0"/>
          <w:numId w:val="0"/>
        </w:numPr>
        <w:spacing w:after="0"/>
        <w:ind w:left="425" w:hanging="425"/>
        <w:rPr>
          <w:lang w:val="es-ES"/>
        </w:rPr>
      </w:pPr>
      <w:r w:rsidRPr="009463E5">
        <w:rPr>
          <w:bCs/>
          <w:lang w:val="es-ES"/>
        </w:rPr>
        <w:t>19.</w:t>
      </w:r>
      <w:r w:rsidRPr="009463E5">
        <w:rPr>
          <w:bCs/>
          <w:lang w:val="es-ES"/>
        </w:rPr>
        <w:tab/>
      </w:r>
      <w:r w:rsidR="000902D7" w:rsidRPr="009463E5">
        <w:rPr>
          <w:bCs/>
          <w:lang w:val="es-ES"/>
        </w:rPr>
        <w:t xml:space="preserve">En cada una de las 13 categorías se enumeran amenazas adicionales de modo más detallado. Se dispone de un total de 48 categorías de amenazas sobre las que informar. Para cada amenaza se registran dos puntuaciones, una para la probabilidad de la amenaza y otra para la gravedad de la amenaza, y se genera automáticamente una matriz sencilla para asignar una única puntuación a cada amenaza. La puntuación asignada se basa en: (H) de alta importancia: son las que están degradando gravemente los valores del sitio; (M) de importancia media: son las amenazas que tienen algún impacto negativo; (L) caracterizadas como bajas: son las amenazas que están presentes pero no afectan gravemente a los valores; (N/A) cuando la amenaza no </w:t>
      </w:r>
      <w:r w:rsidR="000902D7" w:rsidRPr="009463E5">
        <w:rPr>
          <w:bCs/>
          <w:lang w:val="es-ES"/>
        </w:rPr>
        <w:lastRenderedPageBreak/>
        <w:t xml:space="preserve">está presente o no es aplicable al sitio; y (U) cuando no se dispone de información sobre la amenaza. </w:t>
      </w:r>
    </w:p>
    <w:p w14:paraId="498EC4E1" w14:textId="77777777" w:rsidR="00392508" w:rsidRPr="009463E5" w:rsidRDefault="00392508" w:rsidP="00392508">
      <w:pPr>
        <w:pStyle w:val="AnnexText"/>
        <w:numPr>
          <w:ilvl w:val="0"/>
          <w:numId w:val="0"/>
        </w:numPr>
        <w:spacing w:after="0"/>
        <w:ind w:left="425" w:hanging="425"/>
        <w:rPr>
          <w:lang w:val="es-ES"/>
        </w:rPr>
      </w:pPr>
    </w:p>
    <w:p w14:paraId="0E94D156" w14:textId="2402D149" w:rsidR="001C3173" w:rsidRPr="009463E5" w:rsidRDefault="00392508" w:rsidP="00392508">
      <w:pPr>
        <w:pStyle w:val="AnnexText"/>
        <w:numPr>
          <w:ilvl w:val="0"/>
          <w:numId w:val="0"/>
        </w:numPr>
        <w:spacing w:after="0"/>
        <w:ind w:left="425" w:hanging="425"/>
        <w:rPr>
          <w:lang w:val="es-ES"/>
        </w:rPr>
      </w:pPr>
      <w:r w:rsidRPr="009463E5">
        <w:rPr>
          <w:bCs/>
          <w:lang w:val="es-ES"/>
        </w:rPr>
        <w:t>20.</w:t>
      </w:r>
      <w:r w:rsidRPr="009463E5">
        <w:rPr>
          <w:bCs/>
          <w:lang w:val="es-ES"/>
        </w:rPr>
        <w:tab/>
      </w:r>
      <w:r w:rsidR="006857B6" w:rsidRPr="009463E5">
        <w:rPr>
          <w:bCs/>
          <w:i/>
          <w:iCs/>
          <w:lang w:val="es-ES"/>
        </w:rPr>
        <w:t xml:space="preserve">Hoja de </w:t>
      </w:r>
      <w:r w:rsidR="009463E5" w:rsidRPr="009463E5">
        <w:rPr>
          <w:bCs/>
          <w:i/>
          <w:iCs/>
          <w:lang w:val="es-ES"/>
        </w:rPr>
        <w:t>trabajo</w:t>
      </w:r>
      <w:r w:rsidR="006857B6" w:rsidRPr="009463E5">
        <w:rPr>
          <w:bCs/>
          <w:i/>
          <w:iCs/>
          <w:lang w:val="es-ES"/>
        </w:rPr>
        <w:t xml:space="preserve"> 5: Evaluación.</w:t>
      </w:r>
      <w:r w:rsidR="006857B6" w:rsidRPr="009463E5">
        <w:rPr>
          <w:bCs/>
          <w:lang w:val="es-ES"/>
        </w:rPr>
        <w:t xml:space="preserve"> La hoja de </w:t>
      </w:r>
      <w:r w:rsidR="009463E5" w:rsidRPr="009463E5">
        <w:rPr>
          <w:bCs/>
          <w:lang w:val="es-ES"/>
        </w:rPr>
        <w:t>trabajo</w:t>
      </w:r>
      <w:r w:rsidR="006857B6" w:rsidRPr="009463E5">
        <w:rPr>
          <w:bCs/>
          <w:lang w:val="es-ES"/>
        </w:rPr>
        <w:t xml:space="preserve"> de evaluación relaciona automáticamente los valores del humedal (componentes y servicios del ecosistema) y las amenazas que pesan sobre él. Esta hoja </w:t>
      </w:r>
      <w:r w:rsidR="009463E5" w:rsidRPr="009463E5">
        <w:rPr>
          <w:bCs/>
          <w:lang w:val="es-ES"/>
        </w:rPr>
        <w:t>de trabajo</w:t>
      </w:r>
      <w:r w:rsidR="006857B6" w:rsidRPr="009463E5">
        <w:rPr>
          <w:bCs/>
          <w:lang w:val="es-ES"/>
        </w:rPr>
        <w:t xml:space="preserve"> determina cómo es probable que las amenazas afecten a los componentes y servicios. Esta hoja de </w:t>
      </w:r>
      <w:r w:rsidR="009463E5" w:rsidRPr="009463E5">
        <w:rPr>
          <w:bCs/>
          <w:lang w:val="es-ES"/>
        </w:rPr>
        <w:t>trabajo</w:t>
      </w:r>
      <w:r w:rsidR="006857B6" w:rsidRPr="009463E5">
        <w:rPr>
          <w:bCs/>
          <w:lang w:val="es-ES"/>
        </w:rPr>
        <w:t xml:space="preserve"> cuenta con valores por defecto predefinidos basados en información derivada de múltiples publicaciones y </w:t>
      </w:r>
      <w:r w:rsidR="009463E5" w:rsidRPr="009463E5">
        <w:rPr>
          <w:bCs/>
          <w:lang w:val="es-ES"/>
        </w:rPr>
        <w:t>publicaciones</w:t>
      </w:r>
      <w:r w:rsidR="006857B6" w:rsidRPr="009463E5">
        <w:rPr>
          <w:bCs/>
          <w:lang w:val="es-ES"/>
        </w:rPr>
        <w:t xml:space="preserve"> revisada</w:t>
      </w:r>
      <w:r w:rsidR="009463E5" w:rsidRPr="009463E5">
        <w:rPr>
          <w:bCs/>
          <w:lang w:val="es-ES"/>
        </w:rPr>
        <w:t xml:space="preserve">s </w:t>
      </w:r>
      <w:r w:rsidR="006857B6" w:rsidRPr="009463E5">
        <w:rPr>
          <w:bCs/>
          <w:lang w:val="es-ES"/>
        </w:rPr>
        <w:t xml:space="preserve">por expertos. </w:t>
      </w:r>
    </w:p>
    <w:p w14:paraId="4A0EBD0A" w14:textId="77777777" w:rsidR="00392508" w:rsidRPr="009463E5" w:rsidRDefault="00392508" w:rsidP="00392508">
      <w:pPr>
        <w:pStyle w:val="AnnexText"/>
        <w:numPr>
          <w:ilvl w:val="0"/>
          <w:numId w:val="0"/>
        </w:numPr>
        <w:spacing w:after="0"/>
        <w:ind w:left="425" w:hanging="425"/>
        <w:rPr>
          <w:lang w:val="es-ES"/>
        </w:rPr>
      </w:pPr>
    </w:p>
    <w:p w14:paraId="7188DA22" w14:textId="74604934" w:rsidR="006857B6" w:rsidRPr="009463E5" w:rsidRDefault="00392508" w:rsidP="006857B6">
      <w:pPr>
        <w:pStyle w:val="AnnexText"/>
        <w:numPr>
          <w:ilvl w:val="0"/>
          <w:numId w:val="0"/>
        </w:numPr>
        <w:spacing w:after="0"/>
        <w:ind w:left="425" w:hanging="425"/>
        <w:rPr>
          <w:bCs/>
          <w:lang w:val="es-ES"/>
        </w:rPr>
      </w:pPr>
      <w:r w:rsidRPr="009463E5">
        <w:rPr>
          <w:bCs/>
          <w:lang w:val="es-ES"/>
        </w:rPr>
        <w:t>21.</w:t>
      </w:r>
      <w:r w:rsidRPr="009463E5">
        <w:rPr>
          <w:bCs/>
          <w:lang w:val="es-ES"/>
        </w:rPr>
        <w:tab/>
      </w:r>
      <w:r w:rsidR="006857B6" w:rsidRPr="009463E5">
        <w:rPr>
          <w:bCs/>
          <w:lang w:val="es-ES"/>
        </w:rPr>
        <w:t xml:space="preserve">La hoja de </w:t>
      </w:r>
      <w:r w:rsidR="009463E5" w:rsidRPr="009463E5">
        <w:rPr>
          <w:bCs/>
          <w:lang w:val="es-ES"/>
        </w:rPr>
        <w:t>trabajo</w:t>
      </w:r>
      <w:r w:rsidR="006857B6" w:rsidRPr="009463E5">
        <w:rPr>
          <w:bCs/>
          <w:lang w:val="es-ES"/>
        </w:rPr>
        <w:t xml:space="preserve"> 5 combina todos los valores en una única matriz y ofrece un único resultado para cada intersección de valor y amenaza (basado en la ecuación (1)). La hoja de </w:t>
      </w:r>
      <w:r w:rsidR="009463E5" w:rsidRPr="009463E5">
        <w:rPr>
          <w:bCs/>
          <w:lang w:val="es-ES"/>
        </w:rPr>
        <w:t>trabajo</w:t>
      </w:r>
      <w:r w:rsidR="006857B6" w:rsidRPr="009463E5">
        <w:rPr>
          <w:bCs/>
          <w:lang w:val="es-ES"/>
        </w:rPr>
        <w:t xml:space="preserve"> de evaluación presenta una síntesis de todos los valores que aporta el humedal, de las amenazas que pesan sobre </w:t>
      </w:r>
      <w:r w:rsidR="009463E5" w:rsidRPr="009463E5">
        <w:rPr>
          <w:bCs/>
          <w:lang w:val="es-ES"/>
        </w:rPr>
        <w:t>e</w:t>
      </w:r>
      <w:r w:rsidR="006857B6" w:rsidRPr="009463E5">
        <w:rPr>
          <w:bCs/>
          <w:lang w:val="es-ES"/>
        </w:rPr>
        <w:t xml:space="preserve">ste y muestra qué amenazas afectan a qué valores. </w:t>
      </w:r>
    </w:p>
    <w:p w14:paraId="47DF0843" w14:textId="6C74BCAC" w:rsidR="006857B6" w:rsidRPr="009463E5" w:rsidRDefault="006857B6" w:rsidP="00392508">
      <w:pPr>
        <w:pStyle w:val="DRText"/>
        <w:ind w:firstLine="425"/>
        <w:rPr>
          <w:bCs/>
          <w:lang w:val="es-ES"/>
        </w:rPr>
      </w:pPr>
      <w:r w:rsidRPr="009463E5">
        <w:rPr>
          <w:bCs/>
          <w:lang w:val="es-ES"/>
        </w:rPr>
        <w:t>Valor final de la evaluación = Puntuación del valor × Enlace × Puntuación de la amenaza</w:t>
      </w:r>
      <w:r w:rsidR="00D11F3A" w:rsidRPr="009463E5">
        <w:rPr>
          <w:bCs/>
          <w:lang w:val="es-ES"/>
        </w:rPr>
        <w:t xml:space="preserve"> (</w:t>
      </w:r>
      <w:r w:rsidRPr="009463E5">
        <w:rPr>
          <w:bCs/>
          <w:lang w:val="es-ES"/>
        </w:rPr>
        <w:t>Ecuación 1)</w:t>
      </w:r>
    </w:p>
    <w:p w14:paraId="460D610F" w14:textId="77777777" w:rsidR="00CF1FB8" w:rsidRPr="009463E5" w:rsidRDefault="00CF1FB8" w:rsidP="00392508">
      <w:pPr>
        <w:pStyle w:val="DRText"/>
        <w:rPr>
          <w:lang w:val="es-ES"/>
        </w:rPr>
      </w:pPr>
    </w:p>
    <w:p w14:paraId="0A516594" w14:textId="5576F29E" w:rsidR="00CF1FB8" w:rsidRPr="009463E5" w:rsidRDefault="00392508" w:rsidP="00392508">
      <w:pPr>
        <w:pStyle w:val="AnnexText"/>
        <w:numPr>
          <w:ilvl w:val="0"/>
          <w:numId w:val="0"/>
        </w:numPr>
        <w:spacing w:after="0"/>
        <w:ind w:left="425" w:hanging="425"/>
        <w:rPr>
          <w:lang w:val="es-ES"/>
        </w:rPr>
      </w:pPr>
      <w:r w:rsidRPr="009463E5">
        <w:rPr>
          <w:bCs/>
          <w:lang w:val="es-ES"/>
        </w:rPr>
        <w:t>22.</w:t>
      </w:r>
      <w:r w:rsidRPr="009463E5">
        <w:rPr>
          <w:bCs/>
          <w:lang w:val="es-ES"/>
        </w:rPr>
        <w:tab/>
      </w:r>
      <w:r w:rsidR="000F0DA6" w:rsidRPr="009463E5">
        <w:rPr>
          <w:bCs/>
          <w:lang w:val="es-ES"/>
        </w:rPr>
        <w:t>Dado que se pueden asignar valores numéricos de 3, 2, 1 y 0, respectivamente, a las puntuaciones de amenaza H, M, L y N, la puntuación final de la evaluación es un número entre 0 y 27. Las puntuaciones entre 0 y 9 se codifican en verde, considerándose como amenazas relativamente bajas, las puntuaciones entre 10 y 18 se codifican en ámbar y las puntuaciones entre 19 y 27 se codifican en rojo, a fin de destacar los componentes y servicios sujetos a una amenaza significativa.</w:t>
      </w:r>
    </w:p>
    <w:p w14:paraId="065FD6CF" w14:textId="77777777" w:rsidR="00742DB7" w:rsidRPr="009463E5" w:rsidRDefault="00742DB7" w:rsidP="00392508">
      <w:pPr>
        <w:pStyle w:val="AnnexText"/>
        <w:numPr>
          <w:ilvl w:val="0"/>
          <w:numId w:val="0"/>
        </w:numPr>
        <w:spacing w:after="0"/>
        <w:ind w:left="425" w:hanging="425"/>
        <w:rPr>
          <w:lang w:val="es-ES"/>
        </w:rPr>
      </w:pPr>
    </w:p>
    <w:p w14:paraId="2FB850AC" w14:textId="26E34A43" w:rsidR="00CF1FB8" w:rsidRPr="009463E5" w:rsidRDefault="00392508" w:rsidP="00392508">
      <w:pPr>
        <w:pStyle w:val="AnnexText"/>
        <w:numPr>
          <w:ilvl w:val="0"/>
          <w:numId w:val="0"/>
        </w:numPr>
        <w:spacing w:after="0"/>
        <w:ind w:left="425" w:hanging="425"/>
        <w:rPr>
          <w:lang w:val="es-ES"/>
        </w:rPr>
      </w:pPr>
      <w:r w:rsidRPr="009463E5">
        <w:rPr>
          <w:bCs/>
          <w:lang w:val="es-ES"/>
        </w:rPr>
        <w:t>23.</w:t>
      </w:r>
      <w:r w:rsidRPr="009463E5">
        <w:rPr>
          <w:bCs/>
          <w:lang w:val="es-ES"/>
        </w:rPr>
        <w:tab/>
      </w:r>
      <w:r w:rsidR="000F0DA6" w:rsidRPr="009463E5">
        <w:rPr>
          <w:bCs/>
          <w:lang w:val="es-ES"/>
        </w:rPr>
        <w:t xml:space="preserve">El método está diseñado para que sea posible realizar una evaluación en situaciones en las que falten datos o </w:t>
      </w:r>
      <w:r w:rsidR="009463E5" w:rsidRPr="009463E5">
        <w:rPr>
          <w:bCs/>
          <w:lang w:val="es-ES"/>
        </w:rPr>
        <w:t>e</w:t>
      </w:r>
      <w:r w:rsidR="000F0DA6" w:rsidRPr="009463E5">
        <w:rPr>
          <w:bCs/>
          <w:lang w:val="es-ES"/>
        </w:rPr>
        <w:t xml:space="preserve">stos sean limitados y, en esos casos, la evaluación finalizada resaltará los datos que falten. Al introducir una U (Desconocido) junto a un valor o amenaza, la hoja de </w:t>
      </w:r>
      <w:r w:rsidR="009463E5" w:rsidRPr="009463E5">
        <w:rPr>
          <w:bCs/>
          <w:lang w:val="es-ES"/>
        </w:rPr>
        <w:t>trabajo</w:t>
      </w:r>
      <w:r w:rsidR="000F0DA6" w:rsidRPr="009463E5">
        <w:rPr>
          <w:bCs/>
          <w:lang w:val="es-ES"/>
        </w:rPr>
        <w:t xml:space="preserve"> comprueba si existe la posibilidad de un impacto negativo y, en caso afirmativo, lo resalta en la evaluación de la hoja de </w:t>
      </w:r>
      <w:r w:rsidR="009463E5" w:rsidRPr="009463E5">
        <w:rPr>
          <w:bCs/>
          <w:lang w:val="es-ES"/>
        </w:rPr>
        <w:t>trabajo</w:t>
      </w:r>
      <w:r w:rsidR="000F0DA6" w:rsidRPr="009463E5">
        <w:rPr>
          <w:bCs/>
          <w:lang w:val="es-ES"/>
        </w:rPr>
        <w:t xml:space="preserve"> 5. El método es flexible porque ofrece un espacio para </w:t>
      </w:r>
      <w:r w:rsidR="009463E5" w:rsidRPr="009463E5">
        <w:rPr>
          <w:bCs/>
          <w:lang w:val="es-ES"/>
        </w:rPr>
        <w:t>“</w:t>
      </w:r>
      <w:r w:rsidR="000F0DA6" w:rsidRPr="009463E5">
        <w:rPr>
          <w:bCs/>
          <w:lang w:val="es-ES"/>
        </w:rPr>
        <w:t>otros valores/amenazas</w:t>
      </w:r>
      <w:r w:rsidR="009463E5" w:rsidRPr="009463E5">
        <w:rPr>
          <w:bCs/>
          <w:lang w:val="es-ES"/>
        </w:rPr>
        <w:t>”</w:t>
      </w:r>
      <w:r w:rsidR="000F0DA6" w:rsidRPr="009463E5">
        <w:rPr>
          <w:bCs/>
          <w:lang w:val="es-ES"/>
        </w:rPr>
        <w:t xml:space="preserve">, en el cual el usuario puede anotar su valor o amenaza (o ambos), que aparecerán en las siguientes hojas de </w:t>
      </w:r>
      <w:r w:rsidR="009463E5" w:rsidRPr="009463E5">
        <w:rPr>
          <w:bCs/>
          <w:lang w:val="es-ES"/>
        </w:rPr>
        <w:t>trabajo</w:t>
      </w:r>
      <w:r w:rsidR="000F0DA6" w:rsidRPr="009463E5">
        <w:rPr>
          <w:bCs/>
          <w:lang w:val="es-ES"/>
        </w:rPr>
        <w:t xml:space="preserve">. Esto facilita la introducción de cualquier valor o amenaza imprevistos presentes en el sitio. </w:t>
      </w:r>
    </w:p>
    <w:p w14:paraId="624DEB43" w14:textId="77777777" w:rsidR="00742DB7" w:rsidRPr="009463E5" w:rsidRDefault="00742DB7" w:rsidP="00392508">
      <w:pPr>
        <w:pStyle w:val="AnnexText"/>
        <w:numPr>
          <w:ilvl w:val="0"/>
          <w:numId w:val="0"/>
        </w:numPr>
        <w:spacing w:after="0"/>
        <w:ind w:left="425" w:hanging="425"/>
        <w:rPr>
          <w:lang w:val="es-ES"/>
        </w:rPr>
      </w:pPr>
    </w:p>
    <w:p w14:paraId="0D3C9697" w14:textId="6C40FFAB" w:rsidR="00010DF9" w:rsidRPr="009463E5" w:rsidRDefault="00392508" w:rsidP="00392508">
      <w:pPr>
        <w:pStyle w:val="AnnexText"/>
        <w:numPr>
          <w:ilvl w:val="0"/>
          <w:numId w:val="0"/>
        </w:numPr>
        <w:spacing w:after="0"/>
        <w:ind w:left="425" w:hanging="425"/>
        <w:rPr>
          <w:lang w:val="es-ES"/>
        </w:rPr>
      </w:pPr>
      <w:r w:rsidRPr="009463E5">
        <w:rPr>
          <w:bCs/>
          <w:lang w:val="es-ES"/>
        </w:rPr>
        <w:t>24.</w:t>
      </w:r>
      <w:r w:rsidRPr="009463E5">
        <w:rPr>
          <w:bCs/>
          <w:lang w:val="es-ES"/>
        </w:rPr>
        <w:tab/>
      </w:r>
      <w:r w:rsidR="000F0DA6" w:rsidRPr="009463E5">
        <w:rPr>
          <w:bCs/>
          <w:i/>
          <w:iCs/>
          <w:lang w:val="es-ES"/>
        </w:rPr>
        <w:t xml:space="preserve">Hoja de </w:t>
      </w:r>
      <w:r w:rsidR="009463E5" w:rsidRPr="009463E5">
        <w:rPr>
          <w:bCs/>
          <w:i/>
          <w:iCs/>
          <w:lang w:val="es-ES"/>
        </w:rPr>
        <w:t>trabajo</w:t>
      </w:r>
      <w:r w:rsidR="000F0DA6" w:rsidRPr="009463E5">
        <w:rPr>
          <w:bCs/>
          <w:i/>
          <w:iCs/>
          <w:lang w:val="es-ES"/>
        </w:rPr>
        <w:t xml:space="preserve"> 6: Resumen.</w:t>
      </w:r>
      <w:r w:rsidR="000F0DA6" w:rsidRPr="009463E5">
        <w:rPr>
          <w:bCs/>
          <w:lang w:val="es-ES"/>
        </w:rPr>
        <w:t xml:space="preserve"> Dado que la hoja de </w:t>
      </w:r>
      <w:r w:rsidR="009463E5" w:rsidRPr="009463E5">
        <w:rPr>
          <w:bCs/>
          <w:lang w:val="es-ES"/>
        </w:rPr>
        <w:t>trabajo</w:t>
      </w:r>
      <w:r w:rsidR="000F0DA6" w:rsidRPr="009463E5">
        <w:rPr>
          <w:bCs/>
          <w:lang w:val="es-ES"/>
        </w:rPr>
        <w:t xml:space="preserve"> 5 contiene una gran cantidad de información, las principales amenazas y los componentes y servicios amenazados se resumen en la hoja de </w:t>
      </w:r>
      <w:r w:rsidR="009463E5" w:rsidRPr="009463E5">
        <w:rPr>
          <w:bCs/>
          <w:lang w:val="es-ES"/>
        </w:rPr>
        <w:t>trabajo</w:t>
      </w:r>
      <w:r w:rsidR="000F0DA6" w:rsidRPr="009463E5">
        <w:rPr>
          <w:bCs/>
          <w:lang w:val="es-ES"/>
        </w:rPr>
        <w:t xml:space="preserve"> 6 para ayudar a los </w:t>
      </w:r>
      <w:r w:rsidR="009463E5" w:rsidRPr="009463E5">
        <w:rPr>
          <w:bCs/>
          <w:lang w:val="es-ES"/>
        </w:rPr>
        <w:t>administradores</w:t>
      </w:r>
      <w:r w:rsidR="000F0DA6" w:rsidRPr="009463E5">
        <w:rPr>
          <w:bCs/>
          <w:lang w:val="es-ES"/>
        </w:rPr>
        <w:t xml:space="preserve"> de humedales a priorizar futuras acciones de manejo.</w:t>
      </w:r>
    </w:p>
    <w:p w14:paraId="6441FDDD" w14:textId="77777777" w:rsidR="00742DB7" w:rsidRPr="009463E5" w:rsidRDefault="00742DB7" w:rsidP="00392508">
      <w:pPr>
        <w:pStyle w:val="AnnexText"/>
        <w:numPr>
          <w:ilvl w:val="0"/>
          <w:numId w:val="0"/>
        </w:numPr>
        <w:spacing w:after="0"/>
        <w:ind w:left="425" w:hanging="425"/>
        <w:rPr>
          <w:lang w:val="es-ES"/>
        </w:rPr>
      </w:pPr>
    </w:p>
    <w:p w14:paraId="268E42FF" w14:textId="7AB14B11" w:rsidR="00682B61" w:rsidRPr="009463E5" w:rsidRDefault="000F0DA6" w:rsidP="00392508">
      <w:pPr>
        <w:pStyle w:val="AnnexH1"/>
        <w:spacing w:after="0"/>
        <w:rPr>
          <w:lang w:val="es-ES"/>
        </w:rPr>
      </w:pPr>
      <w:r w:rsidRPr="009463E5">
        <w:rPr>
          <w:lang w:val="es-ES"/>
        </w:rPr>
        <w:t xml:space="preserve">Utilización de los resultados </w:t>
      </w:r>
    </w:p>
    <w:p w14:paraId="00BD13D6" w14:textId="77777777" w:rsidR="00742DB7" w:rsidRPr="009463E5" w:rsidRDefault="00742DB7" w:rsidP="00392508">
      <w:pPr>
        <w:pStyle w:val="AnnexH1"/>
        <w:spacing w:after="0"/>
        <w:rPr>
          <w:lang w:val="es-ES"/>
        </w:rPr>
      </w:pPr>
    </w:p>
    <w:p w14:paraId="3AAD03E2" w14:textId="1D6FC78B" w:rsidR="00682B61" w:rsidRPr="009463E5" w:rsidRDefault="00392508" w:rsidP="00392508">
      <w:pPr>
        <w:pStyle w:val="AnnexText"/>
        <w:numPr>
          <w:ilvl w:val="0"/>
          <w:numId w:val="0"/>
        </w:numPr>
        <w:spacing w:after="0"/>
        <w:ind w:left="425" w:hanging="425"/>
        <w:rPr>
          <w:lang w:val="es-ES"/>
        </w:rPr>
      </w:pPr>
      <w:r w:rsidRPr="009463E5">
        <w:rPr>
          <w:bCs/>
          <w:lang w:val="es-ES"/>
        </w:rPr>
        <w:t>25.</w:t>
      </w:r>
      <w:r w:rsidRPr="009463E5">
        <w:rPr>
          <w:bCs/>
          <w:lang w:val="es-ES"/>
        </w:rPr>
        <w:tab/>
      </w:r>
      <w:r w:rsidR="00F05D99" w:rsidRPr="009463E5">
        <w:rPr>
          <w:bCs/>
          <w:lang w:val="es-ES"/>
        </w:rPr>
        <w:t xml:space="preserve">La herramienta WETVAT ha sido </w:t>
      </w:r>
      <w:r w:rsidR="009463E5" w:rsidRPr="009463E5">
        <w:rPr>
          <w:bCs/>
          <w:lang w:val="es-ES"/>
        </w:rPr>
        <w:t xml:space="preserve">diseñada para </w:t>
      </w:r>
      <w:r w:rsidR="00F05D99" w:rsidRPr="009463E5">
        <w:rPr>
          <w:bCs/>
          <w:lang w:val="es-ES"/>
        </w:rPr>
        <w:t xml:space="preserve">ser utilizada en Humedales de Importancia Internacional </w:t>
      </w:r>
      <w:r w:rsidR="009463E5" w:rsidRPr="009463E5">
        <w:rPr>
          <w:bCs/>
          <w:lang w:val="es-ES"/>
        </w:rPr>
        <w:t>y</w:t>
      </w:r>
      <w:r w:rsidR="00F05D99" w:rsidRPr="009463E5">
        <w:rPr>
          <w:bCs/>
          <w:lang w:val="es-ES"/>
        </w:rPr>
        <w:t xml:space="preserve"> otros humedales. Los resultados </w:t>
      </w:r>
      <w:r w:rsidR="009463E5" w:rsidRPr="009463E5">
        <w:rPr>
          <w:bCs/>
          <w:lang w:val="es-ES"/>
        </w:rPr>
        <w:t xml:space="preserve">se </w:t>
      </w:r>
      <w:r w:rsidR="00F05D99" w:rsidRPr="009463E5">
        <w:rPr>
          <w:bCs/>
          <w:lang w:val="es-ES"/>
        </w:rPr>
        <w:t>pueden utiliza</w:t>
      </w:r>
      <w:r w:rsidR="009463E5" w:rsidRPr="009463E5">
        <w:rPr>
          <w:bCs/>
          <w:lang w:val="es-ES"/>
        </w:rPr>
        <w:t xml:space="preserve">r </w:t>
      </w:r>
      <w:r w:rsidR="00F05D99" w:rsidRPr="009463E5">
        <w:rPr>
          <w:bCs/>
          <w:lang w:val="es-ES"/>
        </w:rPr>
        <w:t>para diversos fines, como la investigación de hipótesis de amenazas reales o potenciales de proyectos o iniciativas que puedan afectar a un humedal, la priorización de la asignación de recursos para intervenir en la mitigación de amenazas, la planificación de actividades de gestión en el marco de planes de gestión de sitios, o la identificación de carencias de conocimientos y la priorización de la asignación de recursos para comprender y afrontar las amenazas más importantes.</w:t>
      </w:r>
    </w:p>
    <w:p w14:paraId="0DD776DF" w14:textId="77777777" w:rsidR="001F59E8" w:rsidRPr="009463E5" w:rsidRDefault="001F59E8" w:rsidP="00CF1FB8">
      <w:pPr>
        <w:pStyle w:val="DRText"/>
        <w:rPr>
          <w:lang w:val="es-ES"/>
        </w:rPr>
        <w:sectPr w:rsidR="001F59E8" w:rsidRPr="009463E5" w:rsidSect="0091380A">
          <w:footerReference w:type="default" r:id="rId11"/>
          <w:pgSz w:w="11901" w:h="16817"/>
          <w:pgMar w:top="1440" w:right="1440" w:bottom="1440" w:left="1440" w:header="1134" w:footer="720" w:gutter="0"/>
          <w:cols w:space="708"/>
          <w:titlePg/>
          <w:docGrid w:linePitch="360"/>
        </w:sectPr>
      </w:pPr>
    </w:p>
    <w:p w14:paraId="3AFDBD1E" w14:textId="6CB8799A" w:rsidR="00F05D99" w:rsidRPr="009463E5" w:rsidRDefault="00F05D99" w:rsidP="00686A60">
      <w:pPr>
        <w:pStyle w:val="AnnexFig"/>
        <w:rPr>
          <w:lang w:val="es-ES"/>
        </w:rPr>
      </w:pPr>
      <w:r w:rsidRPr="009463E5">
        <w:rPr>
          <w:lang w:val="es-ES"/>
        </w:rPr>
        <w:lastRenderedPageBreak/>
        <w:t xml:space="preserve">Figura 1. Hoja de </w:t>
      </w:r>
      <w:r w:rsidR="009463E5" w:rsidRPr="009463E5">
        <w:rPr>
          <w:lang w:val="es-ES"/>
        </w:rPr>
        <w:t>trabajo</w:t>
      </w:r>
      <w:r w:rsidRPr="009463E5">
        <w:rPr>
          <w:lang w:val="es-ES"/>
        </w:rPr>
        <w:t xml:space="preserve"> 1: Página de inicio (únicamente en inglés)</w:t>
      </w:r>
    </w:p>
    <w:p w14:paraId="0CFF442E" w14:textId="77777777" w:rsidR="00977A18" w:rsidRPr="009463E5" w:rsidRDefault="00977A18" w:rsidP="00686A60">
      <w:pPr>
        <w:pStyle w:val="AnnexFig"/>
        <w:rPr>
          <w:lang w:val="es-ES"/>
        </w:rPr>
      </w:pPr>
    </w:p>
    <w:p w14:paraId="6C94540C" w14:textId="6B764359" w:rsidR="00686A60" w:rsidRPr="009463E5" w:rsidRDefault="004B19AF" w:rsidP="00CF1FB8">
      <w:pPr>
        <w:pStyle w:val="DRText"/>
        <w:rPr>
          <w:lang w:val="es-ES"/>
        </w:rPr>
      </w:pPr>
      <w:r>
        <w:rPr>
          <w:noProof/>
        </w:rPr>
        <w:drawing>
          <wp:inline distT="0" distB="0" distL="0" distR="0" wp14:anchorId="4AAFC16F" wp14:editId="36C2D51B">
            <wp:extent cx="5067300" cy="4262655"/>
            <wp:effectExtent l="0" t="0" r="0" b="5080"/>
            <wp:docPr id="1871858790" name="그림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58790" name="그림 1" descr="A screenshot of a computer&#10;&#10;Description automatically generated"/>
                    <pic:cNvPicPr/>
                  </pic:nvPicPr>
                  <pic:blipFill rotWithShape="1">
                    <a:blip r:embed="rId12"/>
                    <a:srcRect l="889" t="33235" r="74405" b="11247"/>
                    <a:stretch/>
                  </pic:blipFill>
                  <pic:spPr bwMode="auto">
                    <a:xfrm>
                      <a:off x="0" y="0"/>
                      <a:ext cx="5094167" cy="4285256"/>
                    </a:xfrm>
                    <a:prstGeom prst="rect">
                      <a:avLst/>
                    </a:prstGeom>
                    <a:ln>
                      <a:noFill/>
                    </a:ln>
                    <a:extLst>
                      <a:ext uri="{53640926-AAD7-44D8-BBD7-CCE9431645EC}">
                        <a14:shadowObscured xmlns:a14="http://schemas.microsoft.com/office/drawing/2010/main"/>
                      </a:ext>
                    </a:extLst>
                  </pic:spPr>
                </pic:pic>
              </a:graphicData>
            </a:graphic>
          </wp:inline>
        </w:drawing>
      </w:r>
    </w:p>
    <w:p w14:paraId="29DDC6DD" w14:textId="77777777" w:rsidR="00977A18" w:rsidRPr="009463E5" w:rsidRDefault="00977A18" w:rsidP="00977A18"/>
    <w:p w14:paraId="1E11D745" w14:textId="2223C9B4" w:rsidR="00977A18" w:rsidRPr="009463E5" w:rsidRDefault="00977A18" w:rsidP="00977A18"/>
    <w:p w14:paraId="51FDBF34" w14:textId="0E9D0C4E" w:rsidR="00732665" w:rsidRPr="009463E5" w:rsidRDefault="00732665" w:rsidP="00977A18"/>
    <w:p w14:paraId="39EDBAB8" w14:textId="77777777" w:rsidR="00732665" w:rsidRPr="009463E5" w:rsidRDefault="00732665" w:rsidP="00977A18"/>
    <w:p w14:paraId="11AA354A" w14:textId="77777777" w:rsidR="00977A18" w:rsidRPr="009463E5" w:rsidRDefault="00977A18" w:rsidP="00977A18"/>
    <w:p w14:paraId="56519F4B" w14:textId="22A5FE5A" w:rsidR="00F05D99" w:rsidRPr="009463E5" w:rsidRDefault="00F05D99" w:rsidP="002E5F52">
      <w:pPr>
        <w:pStyle w:val="AnnexFig"/>
        <w:rPr>
          <w:lang w:val="es-ES"/>
        </w:rPr>
      </w:pPr>
      <w:r w:rsidRPr="009463E5">
        <w:rPr>
          <w:lang w:val="es-ES"/>
        </w:rPr>
        <w:t xml:space="preserve">Figura 2. Hoja </w:t>
      </w:r>
      <w:r w:rsidR="009463E5" w:rsidRPr="009463E5">
        <w:rPr>
          <w:lang w:val="es-ES"/>
        </w:rPr>
        <w:t>de trabajo</w:t>
      </w:r>
      <w:r w:rsidRPr="009463E5">
        <w:rPr>
          <w:lang w:val="es-ES"/>
        </w:rPr>
        <w:t xml:space="preserve"> 2: Componentes del ecosistema (únicamente en inglés)</w:t>
      </w:r>
    </w:p>
    <w:p w14:paraId="05D69599" w14:textId="156D3578" w:rsidR="001F59E8" w:rsidRPr="009463E5" w:rsidRDefault="006B326C" w:rsidP="00686A60">
      <w:pPr>
        <w:pStyle w:val="AnnexFig"/>
        <w:rPr>
          <w:lang w:val="es-ES"/>
        </w:rPr>
      </w:pPr>
      <w:r>
        <w:rPr>
          <w:noProof/>
        </w:rPr>
        <w:drawing>
          <wp:inline distT="0" distB="0" distL="0" distR="0" wp14:anchorId="19A9068D" wp14:editId="39061636">
            <wp:extent cx="6642735" cy="2868582"/>
            <wp:effectExtent l="0" t="0" r="5715" b="8255"/>
            <wp:docPr id="7" name="그림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descr="A screenshot of a computer&#10;&#10;Description automatically generated"/>
                    <pic:cNvPicPr/>
                  </pic:nvPicPr>
                  <pic:blipFill rotWithShape="1">
                    <a:blip r:embed="rId13"/>
                    <a:srcRect l="803" t="33174" r="65106" b="27502"/>
                    <a:stretch/>
                  </pic:blipFill>
                  <pic:spPr bwMode="auto">
                    <a:xfrm>
                      <a:off x="0" y="0"/>
                      <a:ext cx="6642735" cy="2868582"/>
                    </a:xfrm>
                    <a:prstGeom prst="rect">
                      <a:avLst/>
                    </a:prstGeom>
                    <a:ln>
                      <a:noFill/>
                    </a:ln>
                    <a:extLst>
                      <a:ext uri="{53640926-AAD7-44D8-BBD7-CCE9431645EC}">
                        <a14:shadowObscured xmlns:a14="http://schemas.microsoft.com/office/drawing/2010/main"/>
                      </a:ext>
                    </a:extLst>
                  </pic:spPr>
                </pic:pic>
              </a:graphicData>
            </a:graphic>
          </wp:inline>
        </w:drawing>
      </w:r>
    </w:p>
    <w:p w14:paraId="6DB3077F" w14:textId="48373810" w:rsidR="001F59E8" w:rsidRPr="009463E5" w:rsidRDefault="001F59E8" w:rsidP="00686A60">
      <w:pPr>
        <w:pStyle w:val="AnnexFig"/>
        <w:rPr>
          <w:lang w:val="es-ES"/>
        </w:rPr>
      </w:pPr>
    </w:p>
    <w:p w14:paraId="096EA06C" w14:textId="77777777" w:rsidR="007D06CC" w:rsidRPr="009463E5" w:rsidRDefault="007D06CC" w:rsidP="00686A60">
      <w:pPr>
        <w:pStyle w:val="AnnexFig"/>
        <w:rPr>
          <w:lang w:val="es-ES"/>
        </w:rPr>
      </w:pPr>
    </w:p>
    <w:p w14:paraId="4BFEB2DA" w14:textId="1E820EC1" w:rsidR="00686A60" w:rsidRPr="009463E5" w:rsidRDefault="00F05D99" w:rsidP="00686A60">
      <w:pPr>
        <w:pStyle w:val="AnnexFig"/>
        <w:rPr>
          <w:lang w:val="es-ES"/>
        </w:rPr>
      </w:pPr>
      <w:r w:rsidRPr="009463E5">
        <w:rPr>
          <w:lang w:val="es-ES"/>
        </w:rPr>
        <w:lastRenderedPageBreak/>
        <w:t xml:space="preserve">Figura 3. Hoja </w:t>
      </w:r>
      <w:r w:rsidR="009463E5" w:rsidRPr="009463E5">
        <w:rPr>
          <w:lang w:val="es-ES"/>
        </w:rPr>
        <w:t>de trabajo</w:t>
      </w:r>
      <w:r w:rsidRPr="009463E5">
        <w:rPr>
          <w:lang w:val="es-ES"/>
        </w:rPr>
        <w:t xml:space="preserve"> 3: Servicios de los ecosistemas (únicamente en inglés)</w:t>
      </w:r>
    </w:p>
    <w:p w14:paraId="3CE792E5" w14:textId="0CDDFF6C" w:rsidR="00686A60" w:rsidRDefault="006B326C" w:rsidP="00686A60">
      <w:pPr>
        <w:pStyle w:val="DRText"/>
        <w:rPr>
          <w:lang w:val="es-ES"/>
        </w:rPr>
      </w:pPr>
      <w:r>
        <w:rPr>
          <w:noProof/>
        </w:rPr>
        <w:drawing>
          <wp:inline distT="0" distB="0" distL="0" distR="0" wp14:anchorId="3B9C7EBE" wp14:editId="7DB714D0">
            <wp:extent cx="6626087" cy="4536374"/>
            <wp:effectExtent l="0" t="0" r="3810" b="0"/>
            <wp:docPr id="9" name="그림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A screenshot of a computer&#10;&#10;Description automatically generated"/>
                    <pic:cNvPicPr/>
                  </pic:nvPicPr>
                  <pic:blipFill rotWithShape="1">
                    <a:blip r:embed="rId14"/>
                    <a:srcRect l="40741" t="18429" r="28484" b="25286"/>
                    <a:stretch/>
                  </pic:blipFill>
                  <pic:spPr bwMode="auto">
                    <a:xfrm>
                      <a:off x="0" y="0"/>
                      <a:ext cx="6666387" cy="4563964"/>
                    </a:xfrm>
                    <a:prstGeom prst="rect">
                      <a:avLst/>
                    </a:prstGeom>
                    <a:ln>
                      <a:noFill/>
                    </a:ln>
                    <a:extLst>
                      <a:ext uri="{53640926-AAD7-44D8-BBD7-CCE9431645EC}">
                        <a14:shadowObscured xmlns:a14="http://schemas.microsoft.com/office/drawing/2010/main"/>
                      </a:ext>
                    </a:extLst>
                  </pic:spPr>
                </pic:pic>
              </a:graphicData>
            </a:graphic>
          </wp:inline>
        </w:drawing>
      </w:r>
    </w:p>
    <w:p w14:paraId="62BEE3F5" w14:textId="69B224F1" w:rsidR="006B326C" w:rsidRPr="009463E5" w:rsidRDefault="006B326C" w:rsidP="00686A60">
      <w:pPr>
        <w:pStyle w:val="DRText"/>
        <w:rPr>
          <w:lang w:val="es-ES"/>
        </w:rPr>
      </w:pPr>
      <w:r>
        <w:rPr>
          <w:noProof/>
        </w:rPr>
        <w:drawing>
          <wp:inline distT="0" distB="0" distL="0" distR="0" wp14:anchorId="724010EF" wp14:editId="3A585569">
            <wp:extent cx="6642735" cy="2735580"/>
            <wp:effectExtent l="0" t="0" r="5715" b="7620"/>
            <wp:docPr id="10" name="그림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A screenshot of a computer&#10;&#10;Description automatically generated"/>
                    <pic:cNvPicPr/>
                  </pic:nvPicPr>
                  <pic:blipFill rotWithShape="1">
                    <a:blip r:embed="rId15"/>
                    <a:srcRect l="40767" t="34569" r="28401" b="31512"/>
                    <a:stretch/>
                  </pic:blipFill>
                  <pic:spPr bwMode="auto">
                    <a:xfrm>
                      <a:off x="0" y="0"/>
                      <a:ext cx="6642735" cy="2735580"/>
                    </a:xfrm>
                    <a:prstGeom prst="rect">
                      <a:avLst/>
                    </a:prstGeom>
                    <a:ln>
                      <a:noFill/>
                    </a:ln>
                    <a:extLst>
                      <a:ext uri="{53640926-AAD7-44D8-BBD7-CCE9431645EC}">
                        <a14:shadowObscured xmlns:a14="http://schemas.microsoft.com/office/drawing/2010/main"/>
                      </a:ext>
                    </a:extLst>
                  </pic:spPr>
                </pic:pic>
              </a:graphicData>
            </a:graphic>
          </wp:inline>
        </w:drawing>
      </w:r>
    </w:p>
    <w:p w14:paraId="26067CBE" w14:textId="508E4110" w:rsidR="00C32A74" w:rsidRPr="009463E5" w:rsidRDefault="006B326C" w:rsidP="00686A60">
      <w:pPr>
        <w:pStyle w:val="DRText"/>
        <w:rPr>
          <w:lang w:val="es-ES"/>
        </w:rPr>
      </w:pPr>
      <w:r>
        <w:rPr>
          <w:noProof/>
        </w:rPr>
        <w:drawing>
          <wp:inline distT="0" distB="0" distL="0" distR="0" wp14:anchorId="7C62DB4D" wp14:editId="778406AA">
            <wp:extent cx="6504167" cy="1748642"/>
            <wp:effectExtent l="0" t="0" r="0" b="4445"/>
            <wp:docPr id="11" name="그림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descr="A screenshot of a computer&#10;&#10;Description automatically generated"/>
                    <pic:cNvPicPr/>
                  </pic:nvPicPr>
                  <pic:blipFill rotWithShape="1">
                    <a:blip r:embed="rId16"/>
                    <a:srcRect l="42732" t="24142" r="7939" b="40430"/>
                    <a:stretch/>
                  </pic:blipFill>
                  <pic:spPr bwMode="auto">
                    <a:xfrm>
                      <a:off x="0" y="0"/>
                      <a:ext cx="6634983" cy="1783812"/>
                    </a:xfrm>
                    <a:prstGeom prst="rect">
                      <a:avLst/>
                    </a:prstGeom>
                    <a:ln>
                      <a:noFill/>
                    </a:ln>
                    <a:extLst>
                      <a:ext uri="{53640926-AAD7-44D8-BBD7-CCE9431645EC}">
                        <a14:shadowObscured xmlns:a14="http://schemas.microsoft.com/office/drawing/2010/main"/>
                      </a:ext>
                    </a:extLst>
                  </pic:spPr>
                </pic:pic>
              </a:graphicData>
            </a:graphic>
          </wp:inline>
        </w:drawing>
      </w:r>
    </w:p>
    <w:p w14:paraId="1A350526" w14:textId="04F26747" w:rsidR="006B326C" w:rsidRDefault="006B326C" w:rsidP="00686A60"/>
    <w:p w14:paraId="1AFB1DA8" w14:textId="7F13505A" w:rsidR="00686A60" w:rsidRPr="009463E5" w:rsidRDefault="00686A60" w:rsidP="00686A60">
      <w:pPr>
        <w:rPr>
          <w:rFonts w:ascii="Calibri" w:hAnsi="Calibri"/>
          <w:sz w:val="22"/>
          <w:szCs w:val="22"/>
          <w:lang w:eastAsia="en-US"/>
        </w:rPr>
      </w:pPr>
      <w:r w:rsidRPr="009463E5">
        <w:br w:type="page"/>
      </w:r>
    </w:p>
    <w:p w14:paraId="2EAD6DEE" w14:textId="1576C3AE" w:rsidR="00686A60" w:rsidRPr="009463E5" w:rsidRDefault="00686A60" w:rsidP="00686A60">
      <w:pPr>
        <w:pStyle w:val="AnnexFig"/>
        <w:rPr>
          <w:lang w:val="es-ES"/>
        </w:rPr>
      </w:pPr>
      <w:r w:rsidRPr="009463E5">
        <w:rPr>
          <w:lang w:val="es-ES"/>
        </w:rPr>
        <w:lastRenderedPageBreak/>
        <w:t>Figur</w:t>
      </w:r>
      <w:r w:rsidR="00F05D99" w:rsidRPr="009463E5">
        <w:rPr>
          <w:lang w:val="es-ES"/>
        </w:rPr>
        <w:t>a</w:t>
      </w:r>
      <w:r w:rsidRPr="009463E5">
        <w:rPr>
          <w:lang w:val="es-ES"/>
        </w:rPr>
        <w:t xml:space="preserve"> 4. </w:t>
      </w:r>
      <w:r w:rsidR="00F05D99" w:rsidRPr="009463E5">
        <w:rPr>
          <w:lang w:val="es-ES"/>
        </w:rPr>
        <w:t xml:space="preserve">Hoja </w:t>
      </w:r>
      <w:r w:rsidR="009463E5" w:rsidRPr="009463E5">
        <w:rPr>
          <w:lang w:val="es-ES"/>
        </w:rPr>
        <w:t>de trabajo</w:t>
      </w:r>
      <w:r w:rsidR="00F05D99" w:rsidRPr="009463E5">
        <w:rPr>
          <w:lang w:val="es-ES"/>
        </w:rPr>
        <w:t xml:space="preserve"> </w:t>
      </w:r>
      <w:r w:rsidRPr="009463E5">
        <w:rPr>
          <w:lang w:val="es-ES"/>
        </w:rPr>
        <w:t xml:space="preserve">4: </w:t>
      </w:r>
      <w:r w:rsidR="00F05D99" w:rsidRPr="009463E5">
        <w:rPr>
          <w:lang w:val="es-ES"/>
        </w:rPr>
        <w:t>Amenazas (únicamente en inglés)</w:t>
      </w:r>
    </w:p>
    <w:p w14:paraId="2F19C57F" w14:textId="48527676" w:rsidR="00686A60" w:rsidRDefault="006B326C" w:rsidP="00686A60">
      <w:pPr>
        <w:pStyle w:val="DRText"/>
        <w:rPr>
          <w:lang w:val="es-ES"/>
        </w:rPr>
      </w:pPr>
      <w:r>
        <w:rPr>
          <w:noProof/>
        </w:rPr>
        <w:drawing>
          <wp:inline distT="0" distB="0" distL="0" distR="0" wp14:anchorId="1E9763DC" wp14:editId="30DEC457">
            <wp:extent cx="6612890" cy="240919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pic:cNvPicPr/>
                  </pic:nvPicPr>
                  <pic:blipFill rotWithShape="1">
                    <a:blip r:embed="rId17"/>
                    <a:srcRect l="41077" t="19056" r="689" b="24271"/>
                    <a:stretch/>
                  </pic:blipFill>
                  <pic:spPr bwMode="auto">
                    <a:xfrm>
                      <a:off x="0" y="0"/>
                      <a:ext cx="6672794" cy="2431014"/>
                    </a:xfrm>
                    <a:prstGeom prst="rect">
                      <a:avLst/>
                    </a:prstGeom>
                    <a:ln>
                      <a:noFill/>
                    </a:ln>
                    <a:extLst>
                      <a:ext uri="{53640926-AAD7-44D8-BBD7-CCE9431645EC}">
                        <a14:shadowObscured xmlns:a14="http://schemas.microsoft.com/office/drawing/2010/main"/>
                      </a:ext>
                    </a:extLst>
                  </pic:spPr>
                </pic:pic>
              </a:graphicData>
            </a:graphic>
          </wp:inline>
        </w:drawing>
      </w:r>
    </w:p>
    <w:p w14:paraId="3571CE34" w14:textId="1478070B" w:rsidR="006B326C" w:rsidRDefault="006B326C" w:rsidP="00686A60">
      <w:pPr>
        <w:pStyle w:val="DRText"/>
        <w:rPr>
          <w:lang w:val="es-ES"/>
        </w:rPr>
      </w:pPr>
      <w:r>
        <w:rPr>
          <w:noProof/>
        </w:rPr>
        <w:drawing>
          <wp:inline distT="0" distB="0" distL="0" distR="0" wp14:anchorId="5BB2F375" wp14:editId="7B32ADC3">
            <wp:extent cx="6612890" cy="2442949"/>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057" t="23561" r="646" b="18908"/>
                    <a:stretch/>
                  </pic:blipFill>
                  <pic:spPr bwMode="auto">
                    <a:xfrm>
                      <a:off x="0" y="0"/>
                      <a:ext cx="6699846" cy="2475072"/>
                    </a:xfrm>
                    <a:prstGeom prst="rect">
                      <a:avLst/>
                    </a:prstGeom>
                    <a:ln>
                      <a:noFill/>
                    </a:ln>
                    <a:extLst>
                      <a:ext uri="{53640926-AAD7-44D8-BBD7-CCE9431645EC}">
                        <a14:shadowObscured xmlns:a14="http://schemas.microsoft.com/office/drawing/2010/main"/>
                      </a:ext>
                    </a:extLst>
                  </pic:spPr>
                </pic:pic>
              </a:graphicData>
            </a:graphic>
          </wp:inline>
        </w:drawing>
      </w:r>
    </w:p>
    <w:p w14:paraId="3427498F" w14:textId="5F3A917D" w:rsidR="006B326C" w:rsidRPr="009463E5" w:rsidRDefault="006B326C" w:rsidP="00686A60">
      <w:pPr>
        <w:pStyle w:val="DRText"/>
        <w:rPr>
          <w:lang w:val="es-ES"/>
        </w:rPr>
      </w:pPr>
      <w:r>
        <w:rPr>
          <w:noProof/>
        </w:rPr>
        <w:drawing>
          <wp:inline distT="0" distB="0" distL="0" distR="0" wp14:anchorId="64EC483E" wp14:editId="579C5893">
            <wp:extent cx="6612890" cy="2508508"/>
            <wp:effectExtent l="0" t="0" r="0" b="635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038" t="23313" r="603" b="17549"/>
                    <a:stretch/>
                  </pic:blipFill>
                  <pic:spPr bwMode="auto">
                    <a:xfrm>
                      <a:off x="0" y="0"/>
                      <a:ext cx="6649858" cy="2522531"/>
                    </a:xfrm>
                    <a:prstGeom prst="rect">
                      <a:avLst/>
                    </a:prstGeom>
                    <a:ln>
                      <a:noFill/>
                    </a:ln>
                    <a:extLst>
                      <a:ext uri="{53640926-AAD7-44D8-BBD7-CCE9431645EC}">
                        <a14:shadowObscured xmlns:a14="http://schemas.microsoft.com/office/drawing/2010/main"/>
                      </a:ext>
                    </a:extLst>
                  </pic:spPr>
                </pic:pic>
              </a:graphicData>
            </a:graphic>
          </wp:inline>
        </w:drawing>
      </w:r>
    </w:p>
    <w:p w14:paraId="67109A0C" w14:textId="77777777" w:rsidR="00C32A74" w:rsidRPr="009463E5" w:rsidRDefault="00C32A74" w:rsidP="00686A60">
      <w:pPr>
        <w:pStyle w:val="DRText"/>
        <w:rPr>
          <w:lang w:val="es-ES"/>
        </w:rPr>
      </w:pPr>
    </w:p>
    <w:p w14:paraId="0ABA571B" w14:textId="21853614" w:rsidR="00686A60" w:rsidRPr="009463E5" w:rsidRDefault="006B326C" w:rsidP="00686A60">
      <w:pPr>
        <w:rPr>
          <w:rFonts w:ascii="Calibri" w:hAnsi="Calibri"/>
          <w:sz w:val="22"/>
          <w:szCs w:val="22"/>
          <w:lang w:eastAsia="en-US"/>
        </w:rPr>
      </w:pPr>
      <w:r>
        <w:rPr>
          <w:noProof/>
        </w:rPr>
        <w:drawing>
          <wp:inline distT="0" distB="0" distL="0" distR="0" wp14:anchorId="0E78601B" wp14:editId="3B0BA02F">
            <wp:extent cx="3441032" cy="1815399"/>
            <wp:effectExtent l="0" t="0" r="762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249" t="23747" r="24858" b="29895"/>
                    <a:stretch/>
                  </pic:blipFill>
                  <pic:spPr bwMode="auto">
                    <a:xfrm>
                      <a:off x="0" y="0"/>
                      <a:ext cx="3492336" cy="1842465"/>
                    </a:xfrm>
                    <a:prstGeom prst="rect">
                      <a:avLst/>
                    </a:prstGeom>
                    <a:ln>
                      <a:noFill/>
                    </a:ln>
                    <a:extLst>
                      <a:ext uri="{53640926-AAD7-44D8-BBD7-CCE9431645EC}">
                        <a14:shadowObscured xmlns:a14="http://schemas.microsoft.com/office/drawing/2010/main"/>
                      </a:ext>
                    </a:extLst>
                  </pic:spPr>
                </pic:pic>
              </a:graphicData>
            </a:graphic>
          </wp:inline>
        </w:drawing>
      </w:r>
      <w:r w:rsidR="00686A60" w:rsidRPr="009463E5">
        <w:br w:type="page"/>
      </w:r>
    </w:p>
    <w:p w14:paraId="29AC629A" w14:textId="7399A92E" w:rsidR="00686A60" w:rsidRPr="009463E5" w:rsidRDefault="00686A60" w:rsidP="00686A60">
      <w:pPr>
        <w:pStyle w:val="AnnexFig"/>
        <w:rPr>
          <w:lang w:val="es-ES" w:eastAsia="ko-KR"/>
        </w:rPr>
      </w:pPr>
      <w:bookmarkStart w:id="5" w:name="_Hlk184242138"/>
      <w:r w:rsidRPr="009463E5">
        <w:rPr>
          <w:lang w:val="es-ES"/>
        </w:rPr>
        <w:lastRenderedPageBreak/>
        <w:t>Figur</w:t>
      </w:r>
      <w:r w:rsidR="00486363" w:rsidRPr="009463E5">
        <w:rPr>
          <w:lang w:val="es-ES"/>
        </w:rPr>
        <w:t>a</w:t>
      </w:r>
      <w:r w:rsidRPr="009463E5">
        <w:rPr>
          <w:lang w:val="es-ES"/>
        </w:rPr>
        <w:t xml:space="preserve"> 5. </w:t>
      </w:r>
      <w:r w:rsidR="00486363" w:rsidRPr="009463E5">
        <w:rPr>
          <w:lang w:val="es-ES"/>
        </w:rPr>
        <w:t xml:space="preserve">Hoja </w:t>
      </w:r>
      <w:r w:rsidR="009463E5" w:rsidRPr="009463E5">
        <w:rPr>
          <w:lang w:val="es-ES"/>
        </w:rPr>
        <w:t>de trabajo</w:t>
      </w:r>
      <w:r w:rsidRPr="009463E5">
        <w:rPr>
          <w:lang w:val="es-ES"/>
        </w:rPr>
        <w:t xml:space="preserve"> 5: </w:t>
      </w:r>
      <w:r w:rsidR="00486363" w:rsidRPr="009463E5">
        <w:rPr>
          <w:lang w:val="es-ES"/>
        </w:rPr>
        <w:t>Evaluación (únicamente en inglés)</w:t>
      </w:r>
    </w:p>
    <w:bookmarkEnd w:id="5"/>
    <w:p w14:paraId="6E4BAC5A" w14:textId="086A6870" w:rsidR="002D7C0A" w:rsidRPr="009463E5" w:rsidRDefault="00126934" w:rsidP="00686A60">
      <w:pPr>
        <w:pStyle w:val="AnnexFig"/>
        <w:rPr>
          <w:lang w:val="es-ES"/>
        </w:rPr>
      </w:pPr>
      <w:r>
        <w:rPr>
          <w:noProof/>
        </w:rPr>
        <w:drawing>
          <wp:inline distT="0" distB="0" distL="0" distR="0" wp14:anchorId="75354BBA" wp14:editId="08BA54CA">
            <wp:extent cx="6642735" cy="5923728"/>
            <wp:effectExtent l="0" t="0" r="5715" b="1270"/>
            <wp:docPr id="17" name="그림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descr="A screenshot of a computer&#10;&#10;Description automatically generated"/>
                    <pic:cNvPicPr/>
                  </pic:nvPicPr>
                  <pic:blipFill rotWithShape="1">
                    <a:blip r:embed="rId21"/>
                    <a:srcRect l="40592" t="10438" r="29740" b="18887"/>
                    <a:stretch/>
                  </pic:blipFill>
                  <pic:spPr bwMode="auto">
                    <a:xfrm>
                      <a:off x="0" y="0"/>
                      <a:ext cx="6642735" cy="5923728"/>
                    </a:xfrm>
                    <a:prstGeom prst="rect">
                      <a:avLst/>
                    </a:prstGeom>
                    <a:ln>
                      <a:noFill/>
                    </a:ln>
                    <a:extLst>
                      <a:ext uri="{53640926-AAD7-44D8-BBD7-CCE9431645EC}">
                        <a14:shadowObscured xmlns:a14="http://schemas.microsoft.com/office/drawing/2010/main"/>
                      </a:ext>
                    </a:extLst>
                  </pic:spPr>
                </pic:pic>
              </a:graphicData>
            </a:graphic>
          </wp:inline>
        </w:drawing>
      </w:r>
    </w:p>
    <w:p w14:paraId="021C18C7" w14:textId="77777777" w:rsidR="00C32A74" w:rsidRPr="009463E5" w:rsidRDefault="00C32A74" w:rsidP="002D7C0A">
      <w:pPr>
        <w:pStyle w:val="AnnexFig"/>
        <w:rPr>
          <w:lang w:val="es-ES"/>
        </w:rPr>
      </w:pPr>
      <w:r w:rsidRPr="009463E5">
        <w:rPr>
          <w:lang w:val="es-ES"/>
        </w:rPr>
        <w:br w:type="page"/>
      </w:r>
    </w:p>
    <w:p w14:paraId="0C8361D9" w14:textId="2D5C996B" w:rsidR="00486363" w:rsidRPr="009463E5" w:rsidRDefault="00486363" w:rsidP="00486363">
      <w:pPr>
        <w:pStyle w:val="AnnexFig"/>
        <w:rPr>
          <w:lang w:val="es-ES"/>
        </w:rPr>
      </w:pPr>
      <w:r w:rsidRPr="009463E5">
        <w:rPr>
          <w:lang w:val="es-ES"/>
        </w:rPr>
        <w:lastRenderedPageBreak/>
        <w:t xml:space="preserve">Figura 5. Hoja </w:t>
      </w:r>
      <w:r w:rsidR="009463E5" w:rsidRPr="009463E5">
        <w:rPr>
          <w:lang w:val="es-ES"/>
        </w:rPr>
        <w:t>de trabajo</w:t>
      </w:r>
      <w:r w:rsidRPr="009463E5">
        <w:rPr>
          <w:lang w:val="es-ES"/>
        </w:rPr>
        <w:t xml:space="preserve"> 5: Evaluación (continuación) (únicamente en inglés)</w:t>
      </w:r>
    </w:p>
    <w:p w14:paraId="66CE3F0D" w14:textId="16D1477A" w:rsidR="00686A60" w:rsidRPr="009463E5" w:rsidRDefault="00126934" w:rsidP="00686A60">
      <w:pPr>
        <w:pStyle w:val="DRText"/>
        <w:rPr>
          <w:lang w:val="es-ES"/>
        </w:rPr>
      </w:pPr>
      <w:r>
        <w:rPr>
          <w:noProof/>
        </w:rPr>
        <w:drawing>
          <wp:inline distT="0" distB="0" distL="0" distR="0" wp14:anchorId="75AFC3DF" wp14:editId="69DB308D">
            <wp:extent cx="6210300" cy="5294860"/>
            <wp:effectExtent l="0" t="0" r="0" b="1270"/>
            <wp:docPr id="18" name="그림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descr="A screenshot of a computer&#10;&#10;Description automatically generated"/>
                    <pic:cNvPicPr/>
                  </pic:nvPicPr>
                  <pic:blipFill rotWithShape="1">
                    <a:blip r:embed="rId22"/>
                    <a:srcRect l="63663" t="10429" r="5288" b="18857"/>
                    <a:stretch/>
                  </pic:blipFill>
                  <pic:spPr bwMode="auto">
                    <a:xfrm>
                      <a:off x="0" y="0"/>
                      <a:ext cx="6255335" cy="5333257"/>
                    </a:xfrm>
                    <a:prstGeom prst="rect">
                      <a:avLst/>
                    </a:prstGeom>
                    <a:ln>
                      <a:noFill/>
                    </a:ln>
                    <a:extLst>
                      <a:ext uri="{53640926-AAD7-44D8-BBD7-CCE9431645EC}">
                        <a14:shadowObscured xmlns:a14="http://schemas.microsoft.com/office/drawing/2010/main"/>
                      </a:ext>
                    </a:extLst>
                  </pic:spPr>
                </pic:pic>
              </a:graphicData>
            </a:graphic>
          </wp:inline>
        </w:drawing>
      </w:r>
    </w:p>
    <w:p w14:paraId="1155CD89" w14:textId="2737E3A6" w:rsidR="00686A60" w:rsidRPr="009463E5" w:rsidRDefault="00686A60" w:rsidP="00686A60">
      <w:pPr>
        <w:rPr>
          <w:rFonts w:ascii="Calibri" w:hAnsi="Calibri"/>
          <w:sz w:val="22"/>
          <w:szCs w:val="22"/>
          <w:lang w:eastAsia="en-US"/>
        </w:rPr>
      </w:pPr>
      <w:r w:rsidRPr="009463E5">
        <w:br w:type="page"/>
      </w:r>
    </w:p>
    <w:p w14:paraId="6786D88B" w14:textId="5C859933" w:rsidR="00686A60" w:rsidRPr="009463E5" w:rsidRDefault="00686A60" w:rsidP="00686A60">
      <w:pPr>
        <w:pStyle w:val="AnnexFig"/>
        <w:rPr>
          <w:lang w:val="es-ES"/>
        </w:rPr>
      </w:pPr>
      <w:bookmarkStart w:id="6" w:name="_Hlk184242149"/>
      <w:r w:rsidRPr="009463E5">
        <w:rPr>
          <w:lang w:val="es-ES"/>
        </w:rPr>
        <w:lastRenderedPageBreak/>
        <w:t>Figur</w:t>
      </w:r>
      <w:r w:rsidR="00486363" w:rsidRPr="009463E5">
        <w:rPr>
          <w:lang w:val="es-ES"/>
        </w:rPr>
        <w:t>a</w:t>
      </w:r>
      <w:r w:rsidRPr="009463E5">
        <w:rPr>
          <w:lang w:val="es-ES"/>
        </w:rPr>
        <w:t xml:space="preserve"> 6. </w:t>
      </w:r>
      <w:r w:rsidR="00486363" w:rsidRPr="009463E5">
        <w:rPr>
          <w:lang w:val="es-ES"/>
        </w:rPr>
        <w:t xml:space="preserve">Hoja </w:t>
      </w:r>
      <w:r w:rsidR="009463E5" w:rsidRPr="009463E5">
        <w:rPr>
          <w:lang w:val="es-ES"/>
        </w:rPr>
        <w:t>de trabajo</w:t>
      </w:r>
      <w:r w:rsidR="00486363" w:rsidRPr="009463E5">
        <w:rPr>
          <w:lang w:val="es-ES"/>
        </w:rPr>
        <w:t xml:space="preserve"> </w:t>
      </w:r>
      <w:r w:rsidRPr="009463E5">
        <w:rPr>
          <w:lang w:val="es-ES"/>
        </w:rPr>
        <w:t xml:space="preserve">6: </w:t>
      </w:r>
      <w:r w:rsidR="00486363" w:rsidRPr="009463E5">
        <w:rPr>
          <w:lang w:val="es-ES"/>
        </w:rPr>
        <w:t>Resumen (únicamente en inglés)</w:t>
      </w:r>
    </w:p>
    <w:bookmarkEnd w:id="6"/>
    <w:p w14:paraId="6B20EC49" w14:textId="73B1256A" w:rsidR="00686A60" w:rsidRPr="009463E5" w:rsidRDefault="00126934" w:rsidP="00CF1FB8">
      <w:pPr>
        <w:pStyle w:val="DRText"/>
        <w:rPr>
          <w:lang w:val="es-ES"/>
        </w:rPr>
      </w:pPr>
      <w:r>
        <w:rPr>
          <w:noProof/>
        </w:rPr>
        <w:drawing>
          <wp:inline distT="0" distB="0" distL="0" distR="0" wp14:anchorId="6DF55415" wp14:editId="5F3CEE38">
            <wp:extent cx="6642735" cy="6969125"/>
            <wp:effectExtent l="0" t="0" r="5715" b="3175"/>
            <wp:docPr id="19" name="그림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descr="A screenshot of a computer&#10;&#10;Description automatically generated"/>
                    <pic:cNvPicPr/>
                  </pic:nvPicPr>
                  <pic:blipFill rotWithShape="1">
                    <a:blip r:embed="rId23"/>
                    <a:srcRect l="40816" t="10685" r="33570" b="17526"/>
                    <a:stretch/>
                  </pic:blipFill>
                  <pic:spPr bwMode="auto">
                    <a:xfrm>
                      <a:off x="0" y="0"/>
                      <a:ext cx="6642735" cy="6969125"/>
                    </a:xfrm>
                    <a:prstGeom prst="rect">
                      <a:avLst/>
                    </a:prstGeom>
                    <a:ln>
                      <a:noFill/>
                    </a:ln>
                    <a:extLst>
                      <a:ext uri="{53640926-AAD7-44D8-BBD7-CCE9431645EC}">
                        <a14:shadowObscured xmlns:a14="http://schemas.microsoft.com/office/drawing/2010/main"/>
                      </a:ext>
                    </a:extLst>
                  </pic:spPr>
                </pic:pic>
              </a:graphicData>
            </a:graphic>
          </wp:inline>
        </w:drawing>
      </w:r>
    </w:p>
    <w:p w14:paraId="5A49C65F" w14:textId="31684B44" w:rsidR="00C32A74" w:rsidRPr="009463E5" w:rsidRDefault="00126934" w:rsidP="00CF1FB8">
      <w:pPr>
        <w:pStyle w:val="DRText"/>
        <w:rPr>
          <w:lang w:val="es-ES"/>
        </w:rPr>
      </w:pPr>
      <w:r>
        <w:rPr>
          <w:noProof/>
        </w:rPr>
        <w:drawing>
          <wp:inline distT="0" distB="0" distL="0" distR="0" wp14:anchorId="091C2BF3" wp14:editId="0AF3D951">
            <wp:extent cx="6235700" cy="1938710"/>
            <wp:effectExtent l="0" t="0" r="0" b="4445"/>
            <wp:docPr id="20" name="그림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descr="A screenshot of a computer&#10;&#10;Description automatically generated"/>
                    <pic:cNvPicPr/>
                  </pic:nvPicPr>
                  <pic:blipFill rotWithShape="1">
                    <a:blip r:embed="rId24"/>
                    <a:srcRect l="40828" t="19548" r="35093" b="60454"/>
                    <a:stretch/>
                  </pic:blipFill>
                  <pic:spPr bwMode="auto">
                    <a:xfrm>
                      <a:off x="0" y="0"/>
                      <a:ext cx="6292452" cy="1956355"/>
                    </a:xfrm>
                    <a:prstGeom prst="rect">
                      <a:avLst/>
                    </a:prstGeom>
                    <a:ln>
                      <a:noFill/>
                    </a:ln>
                    <a:extLst>
                      <a:ext uri="{53640926-AAD7-44D8-BBD7-CCE9431645EC}">
                        <a14:shadowObscured xmlns:a14="http://schemas.microsoft.com/office/drawing/2010/main"/>
                      </a:ext>
                    </a:extLst>
                  </pic:spPr>
                </pic:pic>
              </a:graphicData>
            </a:graphic>
          </wp:inline>
        </w:drawing>
      </w:r>
    </w:p>
    <w:p w14:paraId="6F60CBAA" w14:textId="77777777" w:rsidR="00126934" w:rsidRDefault="00126934">
      <w:pPr>
        <w:rPr>
          <w:rFonts w:ascii="Calibri" w:hAnsi="Calibri"/>
          <w:b/>
          <w:bCs/>
          <w:sz w:val="22"/>
          <w:szCs w:val="22"/>
          <w:lang w:eastAsia="en-US"/>
        </w:rPr>
      </w:pPr>
      <w:r>
        <w:br w:type="page"/>
      </w:r>
    </w:p>
    <w:p w14:paraId="1B0E712D" w14:textId="3F8BC065" w:rsidR="00292E7E" w:rsidRPr="009463E5" w:rsidRDefault="00486363" w:rsidP="00292E7E">
      <w:pPr>
        <w:pStyle w:val="AnnexFig"/>
        <w:rPr>
          <w:lang w:val="es-ES"/>
        </w:rPr>
      </w:pPr>
      <w:r w:rsidRPr="009463E5">
        <w:rPr>
          <w:lang w:val="es-ES"/>
        </w:rPr>
        <w:lastRenderedPageBreak/>
        <w:t xml:space="preserve">Figura 6. Hoja </w:t>
      </w:r>
      <w:r w:rsidR="009463E5" w:rsidRPr="009463E5">
        <w:rPr>
          <w:lang w:val="es-ES"/>
        </w:rPr>
        <w:t>de trabajo</w:t>
      </w:r>
      <w:r w:rsidRPr="009463E5">
        <w:rPr>
          <w:lang w:val="es-ES"/>
        </w:rPr>
        <w:t xml:space="preserve"> 6: Resumen (continuación) (únicamente en inglés)</w:t>
      </w:r>
    </w:p>
    <w:p w14:paraId="22CFC161" w14:textId="1761CB3B" w:rsidR="00C32A74" w:rsidRPr="009463E5" w:rsidRDefault="00126934" w:rsidP="00CF1FB8">
      <w:pPr>
        <w:pStyle w:val="DRText"/>
        <w:rPr>
          <w:lang w:val="es-ES"/>
        </w:rPr>
      </w:pPr>
      <w:r>
        <w:rPr>
          <w:noProof/>
        </w:rPr>
        <w:drawing>
          <wp:inline distT="0" distB="0" distL="0" distR="0" wp14:anchorId="1DBE54A0" wp14:editId="0362F1BA">
            <wp:extent cx="6170212" cy="3500271"/>
            <wp:effectExtent l="0" t="0" r="2540" b="5080"/>
            <wp:docPr id="21" name="그림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descr="A screenshot of a computer&#10;&#10;Description automatically generated"/>
                    <pic:cNvPicPr/>
                  </pic:nvPicPr>
                  <pic:blipFill rotWithShape="1">
                    <a:blip r:embed="rId24"/>
                    <a:srcRect l="40828" t="39993" r="35093" b="23517"/>
                    <a:stretch/>
                  </pic:blipFill>
                  <pic:spPr bwMode="auto">
                    <a:xfrm>
                      <a:off x="0" y="0"/>
                      <a:ext cx="6216663" cy="3526622"/>
                    </a:xfrm>
                    <a:prstGeom prst="rect">
                      <a:avLst/>
                    </a:prstGeom>
                    <a:ln>
                      <a:noFill/>
                    </a:ln>
                    <a:extLst>
                      <a:ext uri="{53640926-AAD7-44D8-BBD7-CCE9431645EC}">
                        <a14:shadowObscured xmlns:a14="http://schemas.microsoft.com/office/drawing/2010/main"/>
                      </a:ext>
                    </a:extLst>
                  </pic:spPr>
                </pic:pic>
              </a:graphicData>
            </a:graphic>
          </wp:inline>
        </w:drawing>
      </w:r>
    </w:p>
    <w:p w14:paraId="53A108B0" w14:textId="01422245" w:rsidR="00C32A74" w:rsidRPr="009463E5" w:rsidRDefault="00C32A74" w:rsidP="00CF1FB8">
      <w:pPr>
        <w:pStyle w:val="DRText"/>
        <w:rPr>
          <w:lang w:val="es-ES"/>
        </w:rPr>
      </w:pPr>
    </w:p>
    <w:p w14:paraId="4DE128D9" w14:textId="72976C56" w:rsidR="001F59E8" w:rsidRPr="009463E5" w:rsidRDefault="00126934" w:rsidP="00CF1FB8">
      <w:pPr>
        <w:pStyle w:val="DRText"/>
        <w:rPr>
          <w:lang w:val="es-ES"/>
        </w:rPr>
      </w:pPr>
      <w:r>
        <w:rPr>
          <w:noProof/>
        </w:rPr>
        <w:drawing>
          <wp:inline distT="0" distB="0" distL="0" distR="0" wp14:anchorId="36240BD0" wp14:editId="175CE15A">
            <wp:extent cx="4610100" cy="1954916"/>
            <wp:effectExtent l="0" t="0" r="0" b="7620"/>
            <wp:docPr id="22" name="그림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descr="A screenshot of a computer&#10;&#10;Description automatically generated"/>
                    <pic:cNvPicPr/>
                  </pic:nvPicPr>
                  <pic:blipFill rotWithShape="1">
                    <a:blip r:embed="rId25"/>
                    <a:srcRect l="58599" t="17365" r="11194" b="48417"/>
                    <a:stretch/>
                  </pic:blipFill>
                  <pic:spPr bwMode="auto">
                    <a:xfrm>
                      <a:off x="0" y="0"/>
                      <a:ext cx="4623599" cy="1960640"/>
                    </a:xfrm>
                    <a:prstGeom prst="rect">
                      <a:avLst/>
                    </a:prstGeom>
                    <a:ln>
                      <a:noFill/>
                    </a:ln>
                    <a:extLst>
                      <a:ext uri="{53640926-AAD7-44D8-BBD7-CCE9431645EC}">
                        <a14:shadowObscured xmlns:a14="http://schemas.microsoft.com/office/drawing/2010/main"/>
                      </a:ext>
                    </a:extLst>
                  </pic:spPr>
                </pic:pic>
              </a:graphicData>
            </a:graphic>
          </wp:inline>
        </w:drawing>
      </w:r>
    </w:p>
    <w:sectPr w:rsidR="001F59E8" w:rsidRPr="009463E5" w:rsidSect="00977A18">
      <w:pgSz w:w="11901" w:h="16817"/>
      <w:pgMar w:top="720" w:right="720" w:bottom="720" w:left="720" w:header="1134" w:footer="3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122593" w14:textId="77777777" w:rsidR="00794272" w:rsidRPr="00486363" w:rsidRDefault="00794272" w:rsidP="0062242F">
      <w:r w:rsidRPr="00486363">
        <w:separator/>
      </w:r>
    </w:p>
  </w:endnote>
  <w:endnote w:type="continuationSeparator" w:id="0">
    <w:p w14:paraId="075BEA56" w14:textId="77777777" w:rsidR="00794272" w:rsidRPr="00486363" w:rsidRDefault="00794272" w:rsidP="0062242F">
      <w:r w:rsidRPr="0048636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w:altName w:val="Times New Roman"/>
    <w:panose1 w:val="00000000000000000000"/>
    <w:charset w:val="00"/>
    <w:family w:val="roman"/>
    <w:notTrueType/>
    <w:pitch w:val="default"/>
    <w:sig w:usb0="00000003" w:usb1="00000000" w:usb2="00000000" w:usb3="00000000" w:csb0="00000001"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3F380" w14:textId="3360037C" w:rsidR="0027129D" w:rsidRPr="00486363" w:rsidRDefault="00B115B7" w:rsidP="00B115B7">
    <w:pPr>
      <w:tabs>
        <w:tab w:val="center" w:pos="4513"/>
        <w:tab w:val="right" w:pos="9026"/>
      </w:tabs>
      <w:ind w:left="432" w:hanging="432"/>
      <w:rPr>
        <w:rFonts w:ascii="Calibri" w:eastAsia="Calibri" w:hAnsi="Calibri"/>
      </w:rPr>
    </w:pPr>
    <w:r w:rsidRPr="00486363">
      <w:rPr>
        <w:rFonts w:ascii="Calibri" w:eastAsia="Calibri" w:hAnsi="Calibri"/>
        <w:sz w:val="20"/>
        <w:szCs w:val="20"/>
      </w:rPr>
      <w:t>SC64 Doc.29.1</w:t>
    </w:r>
    <w:r w:rsidR="00034B1A" w:rsidRPr="00486363">
      <w:rPr>
        <w:rFonts w:ascii="Calibri" w:eastAsia="Calibri" w:hAnsi="Calibri"/>
        <w:sz w:val="20"/>
        <w:szCs w:val="20"/>
      </w:rPr>
      <w:t>2</w:t>
    </w:r>
    <w:r w:rsidRPr="00486363">
      <w:rPr>
        <w:rFonts w:ascii="Calibri" w:eastAsia="Calibri" w:hAnsi="Calibri"/>
        <w:sz w:val="20"/>
        <w:szCs w:val="20"/>
      </w:rPr>
      <w:t xml:space="preserve"> </w:t>
    </w:r>
    <w:r w:rsidRPr="00486363">
      <w:rPr>
        <w:rFonts w:ascii="Calibri" w:eastAsia="Calibri" w:hAnsi="Calibri"/>
      </w:rPr>
      <w:tab/>
    </w:r>
    <w:r w:rsidRPr="00486363">
      <w:rPr>
        <w:rFonts w:ascii="Calibri" w:eastAsia="Calibri" w:hAnsi="Calibri"/>
      </w:rPr>
      <w:tab/>
    </w:r>
    <w:sdt>
      <w:sdtPr>
        <w:rPr>
          <w:rFonts w:ascii="Calibri" w:eastAsia="Calibri" w:hAnsi="Calibri"/>
        </w:rPr>
        <w:id w:val="-637723370"/>
        <w:docPartObj>
          <w:docPartGallery w:val="Page Numbers (Top of Page)"/>
          <w:docPartUnique/>
        </w:docPartObj>
      </w:sdtPr>
      <w:sdtEndPr/>
      <w:sdtContent>
        <w:r w:rsidRPr="00486363">
          <w:rPr>
            <w:rFonts w:ascii="Calibri" w:eastAsia="Calibri" w:hAnsi="Calibri"/>
            <w:sz w:val="20"/>
            <w:szCs w:val="20"/>
          </w:rPr>
          <w:fldChar w:fldCharType="begin"/>
        </w:r>
        <w:r w:rsidRPr="00486363">
          <w:rPr>
            <w:rFonts w:ascii="Calibri" w:eastAsia="Calibri" w:hAnsi="Calibri"/>
            <w:sz w:val="20"/>
            <w:szCs w:val="20"/>
          </w:rPr>
          <w:instrText xml:space="preserve"> PAGE   \* MERGEFORMAT </w:instrText>
        </w:r>
        <w:r w:rsidRPr="00486363">
          <w:rPr>
            <w:rFonts w:ascii="Calibri" w:eastAsia="Calibri" w:hAnsi="Calibri"/>
            <w:sz w:val="20"/>
            <w:szCs w:val="20"/>
          </w:rPr>
          <w:fldChar w:fldCharType="separate"/>
        </w:r>
        <w:r w:rsidRPr="00486363">
          <w:rPr>
            <w:rFonts w:ascii="Calibri" w:eastAsia="Calibri" w:hAnsi="Calibri"/>
            <w:sz w:val="20"/>
            <w:szCs w:val="20"/>
          </w:rPr>
          <w:t>2</w:t>
        </w:r>
        <w:r w:rsidRPr="00486363">
          <w:rPr>
            <w:rFonts w:ascii="Calibri" w:eastAsia="Calibri" w:hAnsi="Calibri"/>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C07EA3" w14:textId="77777777" w:rsidR="00794272" w:rsidRPr="00486363" w:rsidRDefault="00794272" w:rsidP="0062242F">
      <w:r w:rsidRPr="00486363">
        <w:separator/>
      </w:r>
    </w:p>
  </w:footnote>
  <w:footnote w:type="continuationSeparator" w:id="0">
    <w:p w14:paraId="63E52869" w14:textId="77777777" w:rsidR="00794272" w:rsidRPr="00486363" w:rsidRDefault="00794272" w:rsidP="0062242F">
      <w:r w:rsidRPr="00486363">
        <w:continuationSeparator/>
      </w:r>
    </w:p>
  </w:footnote>
  <w:footnote w:id="1">
    <w:p w14:paraId="5EAD5090" w14:textId="2D3771D4" w:rsidR="002E6DEC" w:rsidRPr="004B19AF" w:rsidRDefault="002E6DEC" w:rsidP="002E6DEC">
      <w:pPr>
        <w:autoSpaceDE w:val="0"/>
        <w:autoSpaceDN w:val="0"/>
        <w:adjustRightInd w:val="0"/>
        <w:rPr>
          <w:lang w:val="en-GB"/>
        </w:rPr>
      </w:pPr>
      <w:r w:rsidRPr="00486363">
        <w:rPr>
          <w:rStyle w:val="FootnoteReference"/>
          <w:rFonts w:ascii="Calibri" w:hAnsi="Calibri" w:cs="Calibri"/>
          <w:sz w:val="18"/>
          <w:szCs w:val="18"/>
        </w:rPr>
        <w:footnoteRef/>
      </w:r>
      <w:r w:rsidRPr="004B19AF">
        <w:rPr>
          <w:rFonts w:ascii="Calibri" w:hAnsi="Calibri" w:cs="Calibri"/>
          <w:sz w:val="18"/>
          <w:szCs w:val="18"/>
          <w:lang w:val="en-GB"/>
        </w:rPr>
        <w:t xml:space="preserve"> </w:t>
      </w:r>
      <w:r w:rsidRPr="004B19AF">
        <w:rPr>
          <w:rFonts w:ascii="Calibri" w:hAnsi="Calibri" w:cs="Calibri"/>
          <w:color w:val="231F20"/>
          <w:sz w:val="18"/>
          <w:szCs w:val="18"/>
          <w:lang w:val="en-GB" w:eastAsia="en-US"/>
        </w:rPr>
        <w:t xml:space="preserve">WWF, 2006. Conservation of high-altitude wetlands in the Himalayas. Report of the Fourth Regional Workshop. Capacity building for high altitude wetlands conservation and management. </w:t>
      </w:r>
      <w:r w:rsidR="00205F5C" w:rsidRPr="004B19AF">
        <w:rPr>
          <w:rFonts w:ascii="Calibri" w:hAnsi="Calibri" w:cs="Calibri"/>
          <w:color w:val="231F20"/>
          <w:sz w:val="18"/>
          <w:szCs w:val="18"/>
          <w:lang w:val="en-GB" w:eastAsia="en-US"/>
        </w:rPr>
        <w:t>Nueva</w:t>
      </w:r>
      <w:r w:rsidRPr="004B19AF">
        <w:rPr>
          <w:rFonts w:ascii="Calibri" w:hAnsi="Calibri" w:cs="Calibri"/>
          <w:color w:val="231F20"/>
          <w:sz w:val="18"/>
          <w:szCs w:val="18"/>
          <w:lang w:val="en-GB" w:eastAsia="en-US"/>
        </w:rPr>
        <w:t xml:space="preserve"> Delhi</w:t>
      </w:r>
      <w:r w:rsidR="00205F5C" w:rsidRPr="004B19AF">
        <w:rPr>
          <w:rFonts w:ascii="Calibri" w:hAnsi="Calibri" w:cs="Calibri"/>
          <w:color w:val="231F20"/>
          <w:sz w:val="18"/>
          <w:szCs w:val="18"/>
          <w:lang w:val="en-GB" w:eastAsia="en-US"/>
        </w:rPr>
        <w:t xml:space="preserve"> (</w:t>
      </w:r>
      <w:r w:rsidRPr="004B19AF">
        <w:rPr>
          <w:rFonts w:ascii="Calibri" w:hAnsi="Calibri" w:cs="Calibri"/>
          <w:color w:val="231F20"/>
          <w:sz w:val="18"/>
          <w:szCs w:val="18"/>
          <w:lang w:val="en-GB" w:eastAsia="en-US"/>
        </w:rPr>
        <w:t>India</w:t>
      </w:r>
      <w:r w:rsidR="00205F5C" w:rsidRPr="004B19AF">
        <w:rPr>
          <w:rFonts w:ascii="Calibri" w:hAnsi="Calibri" w:cs="Calibri"/>
          <w:color w:val="231F20"/>
          <w:sz w:val="18"/>
          <w:szCs w:val="18"/>
          <w:lang w:val="en-GB" w:eastAsia="en-US"/>
        </w:rPr>
        <w:t>)</w:t>
      </w:r>
      <w:r w:rsidRPr="004B19AF">
        <w:rPr>
          <w:rFonts w:ascii="Calibri" w:hAnsi="Calibri" w:cs="Calibri"/>
          <w:color w:val="231F20"/>
          <w:sz w:val="18"/>
          <w:szCs w:val="18"/>
          <w:lang w:val="en-GB" w:eastAsia="en-US"/>
        </w:rPr>
        <w:t xml:space="preserve">, 27–29 </w:t>
      </w:r>
      <w:r w:rsidR="00205F5C" w:rsidRPr="004B19AF">
        <w:rPr>
          <w:rFonts w:ascii="Calibri" w:hAnsi="Calibri" w:cs="Calibri"/>
          <w:color w:val="231F20"/>
          <w:sz w:val="18"/>
          <w:szCs w:val="18"/>
          <w:lang w:val="en-GB" w:eastAsia="en-US"/>
        </w:rPr>
        <w:t>de junio de</w:t>
      </w:r>
      <w:r w:rsidRPr="004B19AF">
        <w:rPr>
          <w:rFonts w:ascii="Calibri" w:hAnsi="Calibri" w:cs="Calibri"/>
          <w:color w:val="231F20"/>
          <w:sz w:val="18"/>
          <w:szCs w:val="18"/>
          <w:lang w:val="en-GB" w:eastAsia="en-US"/>
        </w:rPr>
        <w:t xml:space="preserve"> 2006. </w:t>
      </w:r>
    </w:p>
  </w:footnote>
  <w:footnote w:id="2">
    <w:p w14:paraId="61D89EA4" w14:textId="5CC26927" w:rsidR="002E6DEC" w:rsidRPr="004B19AF" w:rsidRDefault="002E6DEC" w:rsidP="002E6DEC">
      <w:pPr>
        <w:autoSpaceDE w:val="0"/>
        <w:autoSpaceDN w:val="0"/>
        <w:adjustRightInd w:val="0"/>
        <w:rPr>
          <w:rFonts w:ascii="Calibri" w:hAnsi="Calibri" w:cs="Calibri"/>
          <w:sz w:val="18"/>
          <w:szCs w:val="18"/>
          <w:lang w:val="en-GB"/>
        </w:rPr>
      </w:pPr>
      <w:r w:rsidRPr="00486363">
        <w:rPr>
          <w:rStyle w:val="FootnoteReference"/>
          <w:rFonts w:ascii="Calibri" w:hAnsi="Calibri" w:cs="Calibri"/>
          <w:sz w:val="18"/>
          <w:szCs w:val="18"/>
        </w:rPr>
        <w:footnoteRef/>
      </w:r>
      <w:r w:rsidRPr="004B19AF">
        <w:rPr>
          <w:rFonts w:ascii="Calibri" w:hAnsi="Calibri" w:cs="Calibri"/>
          <w:sz w:val="18"/>
          <w:szCs w:val="18"/>
          <w:lang w:val="en-GB"/>
        </w:rPr>
        <w:t xml:space="preserve"> </w:t>
      </w:r>
      <w:r w:rsidRPr="004B19AF">
        <w:rPr>
          <w:rFonts w:ascii="Calibri" w:hAnsi="Calibri" w:cs="Calibri"/>
          <w:color w:val="231F20"/>
          <w:sz w:val="18"/>
          <w:szCs w:val="18"/>
          <w:lang w:val="en-GB" w:eastAsia="en-US"/>
        </w:rPr>
        <w:t xml:space="preserve">ICIMOD, 2009. </w:t>
      </w:r>
      <w:r w:rsidRPr="004B19AF">
        <w:rPr>
          <w:rFonts w:ascii="Calibri" w:hAnsi="Calibri" w:cs="Calibri"/>
          <w:i/>
          <w:iCs/>
          <w:color w:val="231F20"/>
          <w:sz w:val="18"/>
          <w:szCs w:val="18"/>
          <w:lang w:val="en-GB" w:eastAsia="en-US"/>
        </w:rPr>
        <w:t>A manual for an inventory of Greater Himalayan wetlands</w:t>
      </w:r>
      <w:r w:rsidRPr="004B19AF">
        <w:rPr>
          <w:rFonts w:ascii="Calibri" w:hAnsi="Calibri" w:cs="Calibri"/>
          <w:color w:val="231F20"/>
          <w:sz w:val="18"/>
          <w:szCs w:val="18"/>
          <w:lang w:val="en-GB" w:eastAsia="en-US"/>
        </w:rPr>
        <w:t>. Ka</w:t>
      </w:r>
      <w:r w:rsidR="00205F5C" w:rsidRPr="004B19AF">
        <w:rPr>
          <w:rFonts w:ascii="Calibri" w:hAnsi="Calibri" w:cs="Calibri"/>
          <w:color w:val="231F20"/>
          <w:sz w:val="18"/>
          <w:szCs w:val="18"/>
          <w:lang w:val="en-GB" w:eastAsia="en-US"/>
        </w:rPr>
        <w:t>tmandú (</w:t>
      </w:r>
      <w:r w:rsidRPr="004B19AF">
        <w:rPr>
          <w:rFonts w:ascii="Calibri" w:hAnsi="Calibri" w:cs="Calibri"/>
          <w:color w:val="231F20"/>
          <w:sz w:val="18"/>
          <w:szCs w:val="18"/>
          <w:lang w:val="en-GB" w:eastAsia="en-US"/>
        </w:rPr>
        <w:t>Nepal</w:t>
      </w:r>
      <w:r w:rsidR="00205F5C" w:rsidRPr="004B19AF">
        <w:rPr>
          <w:rFonts w:ascii="Calibri" w:hAnsi="Calibri" w:cs="Calibri"/>
          <w:color w:val="231F20"/>
          <w:sz w:val="18"/>
          <w:szCs w:val="18"/>
          <w:lang w:val="en-GB" w:eastAsia="en-US"/>
        </w:rPr>
        <w:t>)</w:t>
      </w:r>
      <w:r w:rsidRPr="004B19AF">
        <w:rPr>
          <w:rFonts w:ascii="Calibri" w:hAnsi="Calibri" w:cs="Calibri"/>
          <w:color w:val="231F20"/>
          <w:sz w:val="18"/>
          <w:szCs w:val="18"/>
          <w:lang w:val="en-GB" w:eastAsia="en-US"/>
        </w:rPr>
        <w:t>: International Centre for Integrated Mountain Development (ICIMOD).</w:t>
      </w:r>
    </w:p>
  </w:footnote>
  <w:footnote w:id="3">
    <w:p w14:paraId="701BF4F6" w14:textId="6D92152F" w:rsidR="002E6DEC" w:rsidRPr="004B19AF" w:rsidRDefault="002E6DEC" w:rsidP="002E6DEC">
      <w:pPr>
        <w:pStyle w:val="FootnoteText"/>
        <w:rPr>
          <w:rFonts w:ascii="Calibri" w:hAnsi="Calibri" w:cs="Calibri"/>
          <w:sz w:val="18"/>
          <w:szCs w:val="18"/>
          <w:lang w:val="en-GB"/>
        </w:rPr>
      </w:pPr>
      <w:r w:rsidRPr="00486363">
        <w:rPr>
          <w:rStyle w:val="FootnoteReference"/>
          <w:rFonts w:ascii="Calibri" w:hAnsi="Calibri" w:cs="Calibri"/>
          <w:sz w:val="18"/>
          <w:szCs w:val="18"/>
        </w:rPr>
        <w:footnoteRef/>
      </w:r>
      <w:r w:rsidRPr="004B19AF">
        <w:rPr>
          <w:rFonts w:ascii="Calibri" w:hAnsi="Calibri" w:cs="Calibri"/>
          <w:sz w:val="18"/>
          <w:szCs w:val="18"/>
          <w:lang w:val="en-GB"/>
        </w:rPr>
        <w:t xml:space="preserve"> Stratford, C. J., Acreman, M. C., </w:t>
      </w:r>
      <w:r w:rsidR="00205F5C" w:rsidRPr="004B19AF">
        <w:rPr>
          <w:rFonts w:ascii="Calibri" w:hAnsi="Calibri" w:cs="Calibri"/>
          <w:sz w:val="18"/>
          <w:szCs w:val="18"/>
          <w:lang w:val="en-GB"/>
        </w:rPr>
        <w:t>y</w:t>
      </w:r>
      <w:r w:rsidRPr="004B19AF">
        <w:rPr>
          <w:rFonts w:ascii="Calibri" w:hAnsi="Calibri" w:cs="Calibri"/>
          <w:sz w:val="18"/>
          <w:szCs w:val="18"/>
          <w:lang w:val="en-GB"/>
        </w:rPr>
        <w:t xml:space="preserve"> Rees, H. G. 2011. A simple method for assessing the vulnerability of wetland ecosystem services. </w:t>
      </w:r>
      <w:r w:rsidRPr="004B19AF">
        <w:rPr>
          <w:rFonts w:ascii="Calibri" w:hAnsi="Calibri" w:cs="Calibri"/>
          <w:i/>
          <w:iCs/>
          <w:sz w:val="18"/>
          <w:szCs w:val="18"/>
          <w:lang w:val="en-GB"/>
        </w:rPr>
        <w:t>Hydrological Sciences Journal</w:t>
      </w:r>
      <w:r w:rsidRPr="004B19AF">
        <w:rPr>
          <w:rFonts w:ascii="Calibri" w:hAnsi="Calibri" w:cs="Calibri"/>
          <w:sz w:val="18"/>
          <w:szCs w:val="18"/>
          <w:lang w:val="en-GB"/>
        </w:rPr>
        <w:t xml:space="preserve">, </w:t>
      </w:r>
      <w:r w:rsidRPr="004B19AF">
        <w:rPr>
          <w:rFonts w:ascii="Calibri" w:hAnsi="Calibri" w:cs="Calibri"/>
          <w:i/>
          <w:iCs/>
          <w:sz w:val="18"/>
          <w:szCs w:val="18"/>
          <w:lang w:val="en-GB"/>
        </w:rPr>
        <w:t>56</w:t>
      </w:r>
      <w:r w:rsidRPr="004B19AF">
        <w:rPr>
          <w:rFonts w:ascii="Calibri" w:hAnsi="Calibri" w:cs="Calibri"/>
          <w:sz w:val="18"/>
          <w:szCs w:val="18"/>
          <w:lang w:val="en-GB"/>
        </w:rPr>
        <w:t>(8), 1485-1500.</w:t>
      </w:r>
    </w:p>
  </w:footnote>
  <w:footnote w:id="4">
    <w:p w14:paraId="16734088" w14:textId="64667904" w:rsidR="002E6DEC" w:rsidRPr="00486363" w:rsidRDefault="002E6DEC" w:rsidP="002E6DEC">
      <w:pPr>
        <w:pStyle w:val="FootnoteText"/>
        <w:rPr>
          <w:rFonts w:ascii="Calibri" w:hAnsi="Calibri" w:cs="Calibri"/>
          <w:sz w:val="18"/>
          <w:szCs w:val="18"/>
        </w:rPr>
      </w:pPr>
      <w:r w:rsidRPr="00486363">
        <w:rPr>
          <w:rStyle w:val="FootnoteReference"/>
          <w:rFonts w:ascii="Calibri" w:hAnsi="Calibri" w:cs="Calibri"/>
          <w:sz w:val="18"/>
          <w:szCs w:val="18"/>
        </w:rPr>
        <w:footnoteRef/>
      </w:r>
      <w:r w:rsidRPr="004B19AF">
        <w:rPr>
          <w:rFonts w:ascii="Calibri" w:hAnsi="Calibri" w:cs="Calibri"/>
          <w:sz w:val="18"/>
          <w:szCs w:val="18"/>
          <w:lang w:val="en-GB"/>
        </w:rPr>
        <w:t xml:space="preserve"> Stratford, C.J., Acreman, M.C., Rees, H.G. </w:t>
      </w:r>
      <w:r w:rsidR="00205F5C" w:rsidRPr="004B19AF">
        <w:rPr>
          <w:rFonts w:ascii="Calibri" w:hAnsi="Calibri" w:cs="Calibri"/>
          <w:sz w:val="18"/>
          <w:szCs w:val="18"/>
          <w:lang w:val="en-GB"/>
        </w:rPr>
        <w:t>y</w:t>
      </w:r>
      <w:r w:rsidRPr="004B19AF">
        <w:rPr>
          <w:rFonts w:ascii="Calibri" w:hAnsi="Calibri" w:cs="Calibri"/>
          <w:sz w:val="18"/>
          <w:szCs w:val="18"/>
          <w:lang w:val="en-GB"/>
        </w:rPr>
        <w:t xml:space="preserve"> Shilpakar, R., 2008. A vulnerability assessment method for wetlands in the Himalayan region. </w:t>
      </w:r>
      <w:r w:rsidR="00205F5C">
        <w:rPr>
          <w:rFonts w:ascii="Calibri" w:hAnsi="Calibri" w:cs="Calibri"/>
          <w:sz w:val="18"/>
          <w:szCs w:val="18"/>
        </w:rPr>
        <w:t xml:space="preserve">Informe al Programa </w:t>
      </w:r>
      <w:r w:rsidRPr="00486363">
        <w:rPr>
          <w:rFonts w:ascii="Calibri" w:hAnsi="Calibri" w:cs="Calibri"/>
          <w:sz w:val="18"/>
          <w:szCs w:val="18"/>
        </w:rPr>
        <w:t xml:space="preserve">Asia Pro-Eco </w:t>
      </w:r>
      <w:r w:rsidR="00205F5C">
        <w:rPr>
          <w:rFonts w:ascii="Calibri" w:hAnsi="Calibri" w:cs="Calibri"/>
          <w:sz w:val="18"/>
          <w:szCs w:val="18"/>
        </w:rPr>
        <w:t>de la Comisión Europea</w:t>
      </w:r>
      <w:r w:rsidRPr="00486363">
        <w:rPr>
          <w:rFonts w:ascii="Calibri" w:hAnsi="Calibri" w:cs="Calibri"/>
          <w:sz w:val="18"/>
          <w:szCs w:val="18"/>
        </w:rPr>
        <w:t>.</w:t>
      </w:r>
    </w:p>
  </w:footnote>
  <w:footnote w:id="5">
    <w:p w14:paraId="2241F5EE" w14:textId="31C14FA1" w:rsidR="002E6DEC" w:rsidRPr="00486363" w:rsidRDefault="002E6DEC" w:rsidP="002E6DEC">
      <w:pPr>
        <w:pStyle w:val="FootnoteText"/>
        <w:rPr>
          <w:rFonts w:ascii="Calibri" w:hAnsi="Calibri" w:cs="Calibri"/>
          <w:sz w:val="18"/>
          <w:szCs w:val="18"/>
        </w:rPr>
      </w:pPr>
      <w:r w:rsidRPr="00486363">
        <w:rPr>
          <w:rStyle w:val="FootnoteReference"/>
          <w:rFonts w:ascii="Calibri" w:hAnsi="Calibri" w:cs="Calibri"/>
          <w:sz w:val="18"/>
          <w:szCs w:val="18"/>
        </w:rPr>
        <w:footnoteRef/>
      </w:r>
      <w:r w:rsidRPr="00486363">
        <w:rPr>
          <w:rFonts w:ascii="Calibri" w:hAnsi="Calibri" w:cs="Calibri"/>
          <w:sz w:val="18"/>
          <w:szCs w:val="18"/>
        </w:rPr>
        <w:t xml:space="preserve"> </w:t>
      </w:r>
      <w:r w:rsidR="003A30B5" w:rsidRPr="00486363">
        <w:rPr>
          <w:rFonts w:ascii="Calibri" w:hAnsi="Calibri" w:cs="Calibri"/>
          <w:sz w:val="18"/>
          <w:szCs w:val="18"/>
        </w:rPr>
        <w:t>Resolución</w:t>
      </w:r>
      <w:r w:rsidRPr="00486363">
        <w:rPr>
          <w:rFonts w:ascii="Calibri" w:hAnsi="Calibri" w:cs="Calibri"/>
          <w:sz w:val="18"/>
          <w:szCs w:val="18"/>
        </w:rPr>
        <w:t xml:space="preserve"> XIII.17: </w:t>
      </w:r>
      <w:r w:rsidR="003A30B5" w:rsidRPr="00486363">
        <w:rPr>
          <w:rFonts w:ascii="Calibri" w:hAnsi="Calibri" w:cs="Calibri"/>
          <w:sz w:val="18"/>
          <w:szCs w:val="18"/>
        </w:rPr>
        <w:t>Evaluación rápida de los servicios de los ecosistemas de humedales.</w:t>
      </w:r>
    </w:p>
  </w:footnote>
  <w:footnote w:id="6">
    <w:p w14:paraId="3D314209" w14:textId="07931CB7" w:rsidR="003A30B5" w:rsidRPr="00486363" w:rsidRDefault="003A30B5" w:rsidP="003A30B5">
      <w:pPr>
        <w:pStyle w:val="FootnoteText"/>
      </w:pPr>
      <w:r w:rsidRPr="00486363">
        <w:rPr>
          <w:rStyle w:val="FootnoteReference"/>
          <w:rFonts w:ascii="Calibri" w:hAnsi="Calibri" w:cs="Calibri"/>
          <w:sz w:val="18"/>
          <w:szCs w:val="18"/>
        </w:rPr>
        <w:footnoteRef/>
      </w:r>
      <w:r w:rsidRPr="00486363">
        <w:rPr>
          <w:rFonts w:ascii="Calibri" w:hAnsi="Calibri" w:cs="Calibri"/>
          <w:sz w:val="18"/>
          <w:szCs w:val="18"/>
        </w:rPr>
        <w:t xml:space="preserve"> Resolución XII.15: Evaluación de la efectividad del manejo y la conservación de los sitios Ramsar.</w:t>
      </w:r>
    </w:p>
  </w:footnote>
  <w:footnote w:id="7">
    <w:p w14:paraId="0E00FD1C" w14:textId="7D0F5027" w:rsidR="00D11F3A" w:rsidRPr="00486363" w:rsidRDefault="00D11F3A" w:rsidP="00D11F3A">
      <w:pPr>
        <w:pStyle w:val="FootnoteText"/>
        <w:rPr>
          <w:rFonts w:ascii="Calibri" w:hAnsi="Calibri" w:cs="Calibri"/>
          <w:sz w:val="18"/>
          <w:szCs w:val="18"/>
        </w:rPr>
      </w:pPr>
      <w:r w:rsidRPr="00486363">
        <w:rPr>
          <w:rStyle w:val="FootnoteReference"/>
          <w:rFonts w:ascii="Calibri" w:hAnsi="Calibri" w:cs="Calibri"/>
          <w:sz w:val="18"/>
          <w:szCs w:val="18"/>
        </w:rPr>
        <w:footnoteRef/>
      </w:r>
      <w:r w:rsidRPr="00486363">
        <w:rPr>
          <w:rFonts w:ascii="Calibri" w:hAnsi="Calibri" w:cs="Calibri"/>
          <w:sz w:val="18"/>
          <w:szCs w:val="18"/>
        </w:rPr>
        <w:t xml:space="preserve"> </w:t>
      </w:r>
      <w:r w:rsidRPr="00486363">
        <w:rPr>
          <w:rFonts w:ascii="Calibri" w:hAnsi="Calibri" w:cs="Calibri"/>
          <w:bCs/>
          <w:sz w:val="18"/>
          <w:szCs w:val="18"/>
          <w:lang w:eastAsia="en-US"/>
        </w:rPr>
        <w:t>Resolución XIV.16</w:t>
      </w:r>
      <w:r w:rsidR="009463E5">
        <w:rPr>
          <w:rFonts w:ascii="Calibri" w:hAnsi="Calibri" w:cs="Calibri"/>
          <w:bCs/>
          <w:sz w:val="18"/>
          <w:szCs w:val="18"/>
          <w:lang w:eastAsia="en-US"/>
        </w:rPr>
        <w:t>:</w:t>
      </w:r>
      <w:r w:rsidRPr="00486363">
        <w:rPr>
          <w:rFonts w:ascii="Calibri" w:hAnsi="Calibri" w:cs="Calibri"/>
          <w:bCs/>
          <w:sz w:val="18"/>
          <w:szCs w:val="18"/>
        </w:rPr>
        <w:t xml:space="preserve"> </w:t>
      </w:r>
      <w:r w:rsidRPr="00486363">
        <w:rPr>
          <w:rFonts w:ascii="Calibri" w:hAnsi="Calibri" w:cs="Calibri"/>
          <w:bCs/>
          <w:sz w:val="18"/>
          <w:szCs w:val="18"/>
          <w:lang w:eastAsia="en-US"/>
        </w:rPr>
        <w:t>Integración de la protección, la conservación, la restauración, el uso sostenible y la gestión de los humedales en las estrategias nacionales de desarrollo sostenible.</w:t>
      </w:r>
    </w:p>
  </w:footnote>
  <w:footnote w:id="8">
    <w:p w14:paraId="612EA537" w14:textId="11A388B3" w:rsidR="000C695F" w:rsidRPr="001A023B" w:rsidRDefault="000C695F" w:rsidP="000C695F">
      <w:pPr>
        <w:pStyle w:val="FootnoteText"/>
        <w:rPr>
          <w:rFonts w:ascii="Calibri" w:hAnsi="Calibri" w:cs="Calibri"/>
          <w:sz w:val="18"/>
          <w:szCs w:val="18"/>
        </w:rPr>
      </w:pPr>
      <w:r w:rsidRPr="00486363">
        <w:rPr>
          <w:rStyle w:val="FootnoteReference"/>
          <w:rFonts w:ascii="Calibri" w:hAnsi="Calibri" w:cs="Calibri"/>
          <w:sz w:val="18"/>
          <w:szCs w:val="18"/>
        </w:rPr>
        <w:footnoteRef/>
      </w:r>
      <w:r w:rsidRPr="004B19AF">
        <w:rPr>
          <w:rFonts w:ascii="Calibri" w:hAnsi="Calibri" w:cs="Calibri"/>
          <w:sz w:val="18"/>
          <w:szCs w:val="18"/>
          <w:lang w:val="fr-FR"/>
        </w:rPr>
        <w:t xml:space="preserve"> Gitay, H., Finlayson, C.M. y Davidson, N.C., 2011. </w:t>
      </w:r>
      <w:r w:rsidRPr="004B19AF">
        <w:rPr>
          <w:rFonts w:ascii="Calibri" w:hAnsi="Calibri" w:cs="Calibri"/>
          <w:sz w:val="18"/>
          <w:szCs w:val="18"/>
          <w:lang w:val="en-GB"/>
        </w:rPr>
        <w:t>A framework for assessing the vulnerability of wetlands to climate change. Gland</w:t>
      </w:r>
      <w:r w:rsidR="009463E5" w:rsidRPr="004B19AF">
        <w:rPr>
          <w:rFonts w:ascii="Calibri" w:hAnsi="Calibri" w:cs="Calibri"/>
          <w:sz w:val="18"/>
          <w:szCs w:val="18"/>
          <w:lang w:val="en-GB"/>
        </w:rPr>
        <w:t xml:space="preserve"> (Suiza)</w:t>
      </w:r>
      <w:r w:rsidRPr="004B19AF">
        <w:rPr>
          <w:rFonts w:ascii="Calibri" w:hAnsi="Calibri" w:cs="Calibri"/>
          <w:sz w:val="18"/>
          <w:szCs w:val="18"/>
          <w:lang w:val="en-GB"/>
        </w:rPr>
        <w:t xml:space="preserve">: </w:t>
      </w:r>
      <w:r w:rsidR="009463E5" w:rsidRPr="004B19AF">
        <w:rPr>
          <w:rFonts w:ascii="Calibri" w:hAnsi="Calibri" w:cs="Calibri"/>
          <w:sz w:val="18"/>
          <w:szCs w:val="18"/>
          <w:lang w:val="en-GB"/>
        </w:rPr>
        <w:t xml:space="preserve">Secretaría de la Convención de </w:t>
      </w:r>
      <w:r w:rsidRPr="004B19AF">
        <w:rPr>
          <w:rFonts w:ascii="Calibri" w:hAnsi="Calibri" w:cs="Calibri"/>
          <w:sz w:val="18"/>
          <w:szCs w:val="18"/>
          <w:lang w:val="en-GB"/>
        </w:rPr>
        <w:t xml:space="preserve">Ramsar </w:t>
      </w:r>
      <w:r w:rsidR="009463E5" w:rsidRPr="004B19AF">
        <w:rPr>
          <w:rFonts w:ascii="Calibri" w:hAnsi="Calibri" w:cs="Calibri"/>
          <w:sz w:val="18"/>
          <w:szCs w:val="18"/>
          <w:lang w:val="en-GB"/>
        </w:rPr>
        <w:t xml:space="preserve">y </w:t>
      </w:r>
      <w:r w:rsidRPr="004B19AF">
        <w:rPr>
          <w:rFonts w:ascii="Calibri" w:hAnsi="Calibri" w:cs="Calibri"/>
          <w:sz w:val="18"/>
          <w:szCs w:val="18"/>
          <w:lang w:val="en-GB"/>
        </w:rPr>
        <w:t>Montreal</w:t>
      </w:r>
      <w:r w:rsidR="009463E5" w:rsidRPr="004B19AF">
        <w:rPr>
          <w:rFonts w:ascii="Calibri" w:hAnsi="Calibri" w:cs="Calibri"/>
          <w:sz w:val="18"/>
          <w:szCs w:val="18"/>
          <w:lang w:val="en-GB"/>
        </w:rPr>
        <w:t xml:space="preserve"> (</w:t>
      </w:r>
      <w:r w:rsidRPr="004B19AF">
        <w:rPr>
          <w:rFonts w:ascii="Calibri" w:hAnsi="Calibri" w:cs="Calibri"/>
          <w:sz w:val="18"/>
          <w:szCs w:val="18"/>
          <w:lang w:val="en-GB"/>
        </w:rPr>
        <w:t>Canad</w:t>
      </w:r>
      <w:r w:rsidR="009463E5" w:rsidRPr="004B19AF">
        <w:rPr>
          <w:rFonts w:ascii="Calibri" w:hAnsi="Calibri" w:cs="Calibri"/>
          <w:sz w:val="18"/>
          <w:szCs w:val="18"/>
          <w:lang w:val="en-GB"/>
        </w:rPr>
        <w:t>á)</w:t>
      </w:r>
      <w:r w:rsidRPr="004B19AF">
        <w:rPr>
          <w:rFonts w:ascii="Calibri" w:hAnsi="Calibri" w:cs="Calibri"/>
          <w:sz w:val="18"/>
          <w:szCs w:val="18"/>
          <w:lang w:val="en-GB"/>
        </w:rPr>
        <w:t xml:space="preserve">: Secretariat of the Convention on Biological Diversity, Ramsar Technical Report no. 5 / CBD Technical Series no. 57. </w:t>
      </w:r>
      <w:r w:rsidRPr="00486363">
        <w:rPr>
          <w:rFonts w:ascii="Calibri" w:hAnsi="Calibri" w:cs="Calibri"/>
          <w:sz w:val="18"/>
          <w:szCs w:val="18"/>
        </w:rPr>
        <w:t>ISBN 92-9225-361-1 (</w:t>
      </w:r>
      <w:r w:rsidR="009463E5">
        <w:rPr>
          <w:rFonts w:ascii="Calibri" w:hAnsi="Calibri" w:cs="Calibri"/>
          <w:sz w:val="18"/>
          <w:szCs w:val="18"/>
        </w:rPr>
        <w:t>publicación impresa</w:t>
      </w:r>
      <w:r w:rsidRPr="00486363">
        <w:rPr>
          <w:rFonts w:ascii="Calibri" w:hAnsi="Calibri" w:cs="Calibri"/>
          <w:sz w:val="18"/>
          <w:szCs w:val="18"/>
        </w:rPr>
        <w:t>); 92-9225-362-X (web).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2614F"/>
    <w:multiLevelType w:val="hybridMultilevel"/>
    <w:tmpl w:val="12D00580"/>
    <w:lvl w:ilvl="0" w:tplc="433CBFCC">
      <w:start w:val="1"/>
      <w:numFmt w:val="decimal"/>
      <w:pStyle w:val="AnnexText"/>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097291"/>
    <w:multiLevelType w:val="hybridMultilevel"/>
    <w:tmpl w:val="A8ECDC32"/>
    <w:lvl w:ilvl="0" w:tplc="295643C4">
      <w:start w:val="1"/>
      <w:numFmt w:val="bullet"/>
      <w:pStyle w:val="Annex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003A19"/>
    <w:multiLevelType w:val="hybridMultilevel"/>
    <w:tmpl w:val="3AEE38BE"/>
    <w:lvl w:ilvl="0" w:tplc="48707F36">
      <w:start w:val="1"/>
      <w:numFmt w:val="decimal"/>
      <w:pStyle w:val="DRPara"/>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9663692">
    <w:abstractNumId w:val="1"/>
  </w:num>
  <w:num w:numId="2" w16cid:durableId="794057485">
    <w:abstractNumId w:val="2"/>
  </w:num>
  <w:num w:numId="3" w16cid:durableId="145451595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42F"/>
    <w:rsid w:val="0000033A"/>
    <w:rsid w:val="000004EB"/>
    <w:rsid w:val="00000578"/>
    <w:rsid w:val="000014E1"/>
    <w:rsid w:val="00003242"/>
    <w:rsid w:val="00003575"/>
    <w:rsid w:val="00003E75"/>
    <w:rsid w:val="00005980"/>
    <w:rsid w:val="00006504"/>
    <w:rsid w:val="0000672F"/>
    <w:rsid w:val="00006AB3"/>
    <w:rsid w:val="00010DF9"/>
    <w:rsid w:val="00010E79"/>
    <w:rsid w:val="000118ED"/>
    <w:rsid w:val="0001191F"/>
    <w:rsid w:val="0001293D"/>
    <w:rsid w:val="00013C52"/>
    <w:rsid w:val="00014603"/>
    <w:rsid w:val="00023BFF"/>
    <w:rsid w:val="00024D46"/>
    <w:rsid w:val="00025243"/>
    <w:rsid w:val="00026470"/>
    <w:rsid w:val="00027B60"/>
    <w:rsid w:val="00027C5C"/>
    <w:rsid w:val="00031121"/>
    <w:rsid w:val="00034B1A"/>
    <w:rsid w:val="00034F6C"/>
    <w:rsid w:val="000362FF"/>
    <w:rsid w:val="000408C9"/>
    <w:rsid w:val="00041E42"/>
    <w:rsid w:val="0004307C"/>
    <w:rsid w:val="00043953"/>
    <w:rsid w:val="00043B7E"/>
    <w:rsid w:val="00043C24"/>
    <w:rsid w:val="00045B85"/>
    <w:rsid w:val="0004670A"/>
    <w:rsid w:val="00051810"/>
    <w:rsid w:val="0005258F"/>
    <w:rsid w:val="000526E1"/>
    <w:rsid w:val="00052E6A"/>
    <w:rsid w:val="0005553E"/>
    <w:rsid w:val="0005682D"/>
    <w:rsid w:val="000574D9"/>
    <w:rsid w:val="0006146A"/>
    <w:rsid w:val="000620D9"/>
    <w:rsid w:val="00062C22"/>
    <w:rsid w:val="00063377"/>
    <w:rsid w:val="00063C03"/>
    <w:rsid w:val="00064167"/>
    <w:rsid w:val="000664FB"/>
    <w:rsid w:val="00067587"/>
    <w:rsid w:val="000676A9"/>
    <w:rsid w:val="000704A6"/>
    <w:rsid w:val="00071559"/>
    <w:rsid w:val="000738A8"/>
    <w:rsid w:val="00074CC9"/>
    <w:rsid w:val="00081EB1"/>
    <w:rsid w:val="0008200D"/>
    <w:rsid w:val="000821AE"/>
    <w:rsid w:val="00082F25"/>
    <w:rsid w:val="00083479"/>
    <w:rsid w:val="00083A3A"/>
    <w:rsid w:val="00084F98"/>
    <w:rsid w:val="0008516C"/>
    <w:rsid w:val="00087AC4"/>
    <w:rsid w:val="000902D7"/>
    <w:rsid w:val="0009058E"/>
    <w:rsid w:val="0009075C"/>
    <w:rsid w:val="000910C0"/>
    <w:rsid w:val="00091FE3"/>
    <w:rsid w:val="0009719F"/>
    <w:rsid w:val="00097ECE"/>
    <w:rsid w:val="000A06A2"/>
    <w:rsid w:val="000A1D4E"/>
    <w:rsid w:val="000A5DCF"/>
    <w:rsid w:val="000A5EB8"/>
    <w:rsid w:val="000B0233"/>
    <w:rsid w:val="000B1087"/>
    <w:rsid w:val="000B53F2"/>
    <w:rsid w:val="000B58D1"/>
    <w:rsid w:val="000B5DDB"/>
    <w:rsid w:val="000B5E9A"/>
    <w:rsid w:val="000C35DE"/>
    <w:rsid w:val="000C4CB1"/>
    <w:rsid w:val="000C570B"/>
    <w:rsid w:val="000C5CAB"/>
    <w:rsid w:val="000C695F"/>
    <w:rsid w:val="000C7EF4"/>
    <w:rsid w:val="000D0C24"/>
    <w:rsid w:val="000D2E29"/>
    <w:rsid w:val="000D3221"/>
    <w:rsid w:val="000D4259"/>
    <w:rsid w:val="000D43D6"/>
    <w:rsid w:val="000D4B7D"/>
    <w:rsid w:val="000D69BA"/>
    <w:rsid w:val="000D6ED8"/>
    <w:rsid w:val="000D79C9"/>
    <w:rsid w:val="000E0248"/>
    <w:rsid w:val="000E1C52"/>
    <w:rsid w:val="000E2667"/>
    <w:rsid w:val="000E3A37"/>
    <w:rsid w:val="000E420E"/>
    <w:rsid w:val="000F0DA6"/>
    <w:rsid w:val="000F182C"/>
    <w:rsid w:val="000F368F"/>
    <w:rsid w:val="000F3827"/>
    <w:rsid w:val="000F3D8D"/>
    <w:rsid w:val="000F5379"/>
    <w:rsid w:val="000F7D2B"/>
    <w:rsid w:val="0010006B"/>
    <w:rsid w:val="00101BD9"/>
    <w:rsid w:val="001046B9"/>
    <w:rsid w:val="00110E66"/>
    <w:rsid w:val="0011177A"/>
    <w:rsid w:val="00112F4A"/>
    <w:rsid w:val="00113365"/>
    <w:rsid w:val="00115ED4"/>
    <w:rsid w:val="00122C43"/>
    <w:rsid w:val="001231C9"/>
    <w:rsid w:val="00126934"/>
    <w:rsid w:val="00126995"/>
    <w:rsid w:val="00135A85"/>
    <w:rsid w:val="00137BD2"/>
    <w:rsid w:val="00142250"/>
    <w:rsid w:val="00142A25"/>
    <w:rsid w:val="001462D2"/>
    <w:rsid w:val="001465C9"/>
    <w:rsid w:val="001465EF"/>
    <w:rsid w:val="00147073"/>
    <w:rsid w:val="001473E9"/>
    <w:rsid w:val="00147B62"/>
    <w:rsid w:val="00147E23"/>
    <w:rsid w:val="0015176C"/>
    <w:rsid w:val="00154B49"/>
    <w:rsid w:val="00156322"/>
    <w:rsid w:val="00161FFF"/>
    <w:rsid w:val="001627F0"/>
    <w:rsid w:val="00162E57"/>
    <w:rsid w:val="001638B5"/>
    <w:rsid w:val="00167498"/>
    <w:rsid w:val="00170263"/>
    <w:rsid w:val="00170E2D"/>
    <w:rsid w:val="00174A1A"/>
    <w:rsid w:val="0018176A"/>
    <w:rsid w:val="001826AC"/>
    <w:rsid w:val="00183CB9"/>
    <w:rsid w:val="00184C18"/>
    <w:rsid w:val="00184EF4"/>
    <w:rsid w:val="0019360D"/>
    <w:rsid w:val="00195EA9"/>
    <w:rsid w:val="001A023B"/>
    <w:rsid w:val="001A2771"/>
    <w:rsid w:val="001A31B3"/>
    <w:rsid w:val="001A6E9F"/>
    <w:rsid w:val="001A73ED"/>
    <w:rsid w:val="001B79CE"/>
    <w:rsid w:val="001C0018"/>
    <w:rsid w:val="001C0355"/>
    <w:rsid w:val="001C1E3F"/>
    <w:rsid w:val="001C2604"/>
    <w:rsid w:val="001C3173"/>
    <w:rsid w:val="001C358C"/>
    <w:rsid w:val="001D0546"/>
    <w:rsid w:val="001D1EB9"/>
    <w:rsid w:val="001D3480"/>
    <w:rsid w:val="001E4125"/>
    <w:rsid w:val="001E4262"/>
    <w:rsid w:val="001E4DF8"/>
    <w:rsid w:val="001E510B"/>
    <w:rsid w:val="001E5583"/>
    <w:rsid w:val="001E7448"/>
    <w:rsid w:val="001E7C4A"/>
    <w:rsid w:val="001F07A7"/>
    <w:rsid w:val="001F1ECB"/>
    <w:rsid w:val="001F267D"/>
    <w:rsid w:val="001F51DC"/>
    <w:rsid w:val="001F58E1"/>
    <w:rsid w:val="001F59E8"/>
    <w:rsid w:val="002006F7"/>
    <w:rsid w:val="002012C0"/>
    <w:rsid w:val="0020310E"/>
    <w:rsid w:val="00205F5C"/>
    <w:rsid w:val="0021265F"/>
    <w:rsid w:val="00212FEA"/>
    <w:rsid w:val="00214C18"/>
    <w:rsid w:val="0021506D"/>
    <w:rsid w:val="00217EF8"/>
    <w:rsid w:val="0022169E"/>
    <w:rsid w:val="00221851"/>
    <w:rsid w:val="00224CFB"/>
    <w:rsid w:val="002263F8"/>
    <w:rsid w:val="0022654E"/>
    <w:rsid w:val="00226C42"/>
    <w:rsid w:val="00227C88"/>
    <w:rsid w:val="002323E4"/>
    <w:rsid w:val="002324B0"/>
    <w:rsid w:val="002325B1"/>
    <w:rsid w:val="00232E67"/>
    <w:rsid w:val="002335E1"/>
    <w:rsid w:val="002345C3"/>
    <w:rsid w:val="00235635"/>
    <w:rsid w:val="0024042E"/>
    <w:rsid w:val="00250AF3"/>
    <w:rsid w:val="00251164"/>
    <w:rsid w:val="002528D1"/>
    <w:rsid w:val="00255200"/>
    <w:rsid w:val="00260411"/>
    <w:rsid w:val="00260980"/>
    <w:rsid w:val="00260CA9"/>
    <w:rsid w:val="00263A35"/>
    <w:rsid w:val="00264011"/>
    <w:rsid w:val="002642C1"/>
    <w:rsid w:val="00265735"/>
    <w:rsid w:val="00267207"/>
    <w:rsid w:val="0026760D"/>
    <w:rsid w:val="00270721"/>
    <w:rsid w:val="0027129D"/>
    <w:rsid w:val="00271D33"/>
    <w:rsid w:val="0027708C"/>
    <w:rsid w:val="002808C1"/>
    <w:rsid w:val="002828BE"/>
    <w:rsid w:val="00283A12"/>
    <w:rsid w:val="002869C1"/>
    <w:rsid w:val="002917DF"/>
    <w:rsid w:val="00292B35"/>
    <w:rsid w:val="00292E7E"/>
    <w:rsid w:val="0029380C"/>
    <w:rsid w:val="002A1513"/>
    <w:rsid w:val="002A2906"/>
    <w:rsid w:val="002A35A6"/>
    <w:rsid w:val="002B1320"/>
    <w:rsid w:val="002B7E9F"/>
    <w:rsid w:val="002C0037"/>
    <w:rsid w:val="002C01D7"/>
    <w:rsid w:val="002C05F1"/>
    <w:rsid w:val="002C08D5"/>
    <w:rsid w:val="002C171D"/>
    <w:rsid w:val="002C31A1"/>
    <w:rsid w:val="002C31AD"/>
    <w:rsid w:val="002D185E"/>
    <w:rsid w:val="002D187F"/>
    <w:rsid w:val="002D2C30"/>
    <w:rsid w:val="002D344E"/>
    <w:rsid w:val="002D3542"/>
    <w:rsid w:val="002D4C8A"/>
    <w:rsid w:val="002D4F75"/>
    <w:rsid w:val="002D576B"/>
    <w:rsid w:val="002D704D"/>
    <w:rsid w:val="002D7C0A"/>
    <w:rsid w:val="002E34C3"/>
    <w:rsid w:val="002E37F3"/>
    <w:rsid w:val="002E38FE"/>
    <w:rsid w:val="002E529B"/>
    <w:rsid w:val="002E5F52"/>
    <w:rsid w:val="002E63E4"/>
    <w:rsid w:val="002E6DEC"/>
    <w:rsid w:val="002E7FA7"/>
    <w:rsid w:val="002F06AA"/>
    <w:rsid w:val="002F3AB3"/>
    <w:rsid w:val="002F55F0"/>
    <w:rsid w:val="002F6D48"/>
    <w:rsid w:val="002F71D2"/>
    <w:rsid w:val="00300089"/>
    <w:rsid w:val="003010EC"/>
    <w:rsid w:val="003050FD"/>
    <w:rsid w:val="0030515E"/>
    <w:rsid w:val="003070EC"/>
    <w:rsid w:val="0031427E"/>
    <w:rsid w:val="003148F2"/>
    <w:rsid w:val="00315BB0"/>
    <w:rsid w:val="0031709B"/>
    <w:rsid w:val="00317672"/>
    <w:rsid w:val="003203EF"/>
    <w:rsid w:val="00322DDA"/>
    <w:rsid w:val="003239D9"/>
    <w:rsid w:val="003274CB"/>
    <w:rsid w:val="00334401"/>
    <w:rsid w:val="00337766"/>
    <w:rsid w:val="00340E17"/>
    <w:rsid w:val="00341C62"/>
    <w:rsid w:val="0034564D"/>
    <w:rsid w:val="00350A28"/>
    <w:rsid w:val="00351DDA"/>
    <w:rsid w:val="003540D6"/>
    <w:rsid w:val="00354E1B"/>
    <w:rsid w:val="003553E3"/>
    <w:rsid w:val="00356631"/>
    <w:rsid w:val="003579F0"/>
    <w:rsid w:val="00361B45"/>
    <w:rsid w:val="00362608"/>
    <w:rsid w:val="00363F1D"/>
    <w:rsid w:val="003718AB"/>
    <w:rsid w:val="0037214E"/>
    <w:rsid w:val="00373581"/>
    <w:rsid w:val="00373852"/>
    <w:rsid w:val="0037416F"/>
    <w:rsid w:val="00374C83"/>
    <w:rsid w:val="003759AC"/>
    <w:rsid w:val="00375BED"/>
    <w:rsid w:val="003763BD"/>
    <w:rsid w:val="003770B3"/>
    <w:rsid w:val="0038000F"/>
    <w:rsid w:val="0038184E"/>
    <w:rsid w:val="00382304"/>
    <w:rsid w:val="003838CD"/>
    <w:rsid w:val="00383CB9"/>
    <w:rsid w:val="00390231"/>
    <w:rsid w:val="00392508"/>
    <w:rsid w:val="0039300F"/>
    <w:rsid w:val="00393E13"/>
    <w:rsid w:val="0039410E"/>
    <w:rsid w:val="00397EB9"/>
    <w:rsid w:val="003A0C3A"/>
    <w:rsid w:val="003A1319"/>
    <w:rsid w:val="003A20C5"/>
    <w:rsid w:val="003A30B5"/>
    <w:rsid w:val="003A5589"/>
    <w:rsid w:val="003A6343"/>
    <w:rsid w:val="003A7372"/>
    <w:rsid w:val="003B1501"/>
    <w:rsid w:val="003B3AAD"/>
    <w:rsid w:val="003B4642"/>
    <w:rsid w:val="003B50FC"/>
    <w:rsid w:val="003B57C2"/>
    <w:rsid w:val="003B77F7"/>
    <w:rsid w:val="003C010A"/>
    <w:rsid w:val="003C052B"/>
    <w:rsid w:val="003C4D2C"/>
    <w:rsid w:val="003C5D29"/>
    <w:rsid w:val="003D1925"/>
    <w:rsid w:val="003D1D82"/>
    <w:rsid w:val="003D4110"/>
    <w:rsid w:val="003D5449"/>
    <w:rsid w:val="003D6DDD"/>
    <w:rsid w:val="003E01E3"/>
    <w:rsid w:val="003E3CFA"/>
    <w:rsid w:val="003E7CD8"/>
    <w:rsid w:val="003F05A3"/>
    <w:rsid w:val="003F0D15"/>
    <w:rsid w:val="003F12AF"/>
    <w:rsid w:val="003F146E"/>
    <w:rsid w:val="003F221A"/>
    <w:rsid w:val="003F3A48"/>
    <w:rsid w:val="003F3DC4"/>
    <w:rsid w:val="003F49F8"/>
    <w:rsid w:val="003F674E"/>
    <w:rsid w:val="003F68B9"/>
    <w:rsid w:val="004000CF"/>
    <w:rsid w:val="004028F1"/>
    <w:rsid w:val="00403F30"/>
    <w:rsid w:val="00404787"/>
    <w:rsid w:val="0040498F"/>
    <w:rsid w:val="004063E4"/>
    <w:rsid w:val="0040773E"/>
    <w:rsid w:val="00412E21"/>
    <w:rsid w:val="00413A8B"/>
    <w:rsid w:val="004166CF"/>
    <w:rsid w:val="0041787D"/>
    <w:rsid w:val="004200C6"/>
    <w:rsid w:val="004202F9"/>
    <w:rsid w:val="00421FAC"/>
    <w:rsid w:val="00425A53"/>
    <w:rsid w:val="00427BBF"/>
    <w:rsid w:val="0043148E"/>
    <w:rsid w:val="00436882"/>
    <w:rsid w:val="00437CAA"/>
    <w:rsid w:val="00440C08"/>
    <w:rsid w:val="00441F10"/>
    <w:rsid w:val="00445B48"/>
    <w:rsid w:val="00445C19"/>
    <w:rsid w:val="00445CF9"/>
    <w:rsid w:val="00451156"/>
    <w:rsid w:val="00451A08"/>
    <w:rsid w:val="00451A32"/>
    <w:rsid w:val="00457E8F"/>
    <w:rsid w:val="0046086B"/>
    <w:rsid w:val="004629C6"/>
    <w:rsid w:val="0046549E"/>
    <w:rsid w:val="004679EB"/>
    <w:rsid w:val="00467DCD"/>
    <w:rsid w:val="0047148F"/>
    <w:rsid w:val="00471D6C"/>
    <w:rsid w:val="00472FBD"/>
    <w:rsid w:val="00475E1D"/>
    <w:rsid w:val="00476C73"/>
    <w:rsid w:val="0048194A"/>
    <w:rsid w:val="00484994"/>
    <w:rsid w:val="00486363"/>
    <w:rsid w:val="004863B3"/>
    <w:rsid w:val="004865C7"/>
    <w:rsid w:val="004875B9"/>
    <w:rsid w:val="00492CF9"/>
    <w:rsid w:val="00492EEB"/>
    <w:rsid w:val="00494B95"/>
    <w:rsid w:val="00495A4E"/>
    <w:rsid w:val="004A1CFA"/>
    <w:rsid w:val="004A1E25"/>
    <w:rsid w:val="004A44D1"/>
    <w:rsid w:val="004A46B9"/>
    <w:rsid w:val="004A4C68"/>
    <w:rsid w:val="004A5D22"/>
    <w:rsid w:val="004A7AAA"/>
    <w:rsid w:val="004B0505"/>
    <w:rsid w:val="004B0E46"/>
    <w:rsid w:val="004B11CF"/>
    <w:rsid w:val="004B19AF"/>
    <w:rsid w:val="004B1ACF"/>
    <w:rsid w:val="004B3AFF"/>
    <w:rsid w:val="004B48FE"/>
    <w:rsid w:val="004B4978"/>
    <w:rsid w:val="004B5518"/>
    <w:rsid w:val="004B5A55"/>
    <w:rsid w:val="004C0036"/>
    <w:rsid w:val="004C0D8A"/>
    <w:rsid w:val="004C1845"/>
    <w:rsid w:val="004C265A"/>
    <w:rsid w:val="004C3238"/>
    <w:rsid w:val="004C443B"/>
    <w:rsid w:val="004D1938"/>
    <w:rsid w:val="004D1A2B"/>
    <w:rsid w:val="004D4466"/>
    <w:rsid w:val="004D541E"/>
    <w:rsid w:val="004D6F82"/>
    <w:rsid w:val="004E0FD4"/>
    <w:rsid w:val="004E25BB"/>
    <w:rsid w:val="004E2969"/>
    <w:rsid w:val="004E5C33"/>
    <w:rsid w:val="004F02EE"/>
    <w:rsid w:val="004F228F"/>
    <w:rsid w:val="005012BF"/>
    <w:rsid w:val="00503A47"/>
    <w:rsid w:val="00504ABF"/>
    <w:rsid w:val="00504ED5"/>
    <w:rsid w:val="00507F75"/>
    <w:rsid w:val="00510565"/>
    <w:rsid w:val="005171C5"/>
    <w:rsid w:val="00520A5A"/>
    <w:rsid w:val="005226DE"/>
    <w:rsid w:val="005247CD"/>
    <w:rsid w:val="0052537A"/>
    <w:rsid w:val="00525EFE"/>
    <w:rsid w:val="005319F0"/>
    <w:rsid w:val="00534BB5"/>
    <w:rsid w:val="00534E57"/>
    <w:rsid w:val="0053558F"/>
    <w:rsid w:val="0053688F"/>
    <w:rsid w:val="00537DC1"/>
    <w:rsid w:val="005414A8"/>
    <w:rsid w:val="0054270F"/>
    <w:rsid w:val="00544DA9"/>
    <w:rsid w:val="00547BE5"/>
    <w:rsid w:val="005531D3"/>
    <w:rsid w:val="0055542C"/>
    <w:rsid w:val="0055611A"/>
    <w:rsid w:val="0056194A"/>
    <w:rsid w:val="0056260A"/>
    <w:rsid w:val="005634F5"/>
    <w:rsid w:val="005639EC"/>
    <w:rsid w:val="00564076"/>
    <w:rsid w:val="005653AD"/>
    <w:rsid w:val="00570736"/>
    <w:rsid w:val="00571960"/>
    <w:rsid w:val="005743FD"/>
    <w:rsid w:val="00576E22"/>
    <w:rsid w:val="00584B1A"/>
    <w:rsid w:val="00586626"/>
    <w:rsid w:val="005915B7"/>
    <w:rsid w:val="00593126"/>
    <w:rsid w:val="00594CA8"/>
    <w:rsid w:val="0059557D"/>
    <w:rsid w:val="00596E5F"/>
    <w:rsid w:val="00597C61"/>
    <w:rsid w:val="005A3238"/>
    <w:rsid w:val="005A4B6E"/>
    <w:rsid w:val="005A5936"/>
    <w:rsid w:val="005A6335"/>
    <w:rsid w:val="005A66E5"/>
    <w:rsid w:val="005A775D"/>
    <w:rsid w:val="005A7A37"/>
    <w:rsid w:val="005A7AFC"/>
    <w:rsid w:val="005B0003"/>
    <w:rsid w:val="005B05E9"/>
    <w:rsid w:val="005B2E66"/>
    <w:rsid w:val="005B3494"/>
    <w:rsid w:val="005B48A2"/>
    <w:rsid w:val="005B6E94"/>
    <w:rsid w:val="005B756C"/>
    <w:rsid w:val="005B7B40"/>
    <w:rsid w:val="005C2739"/>
    <w:rsid w:val="005C29D5"/>
    <w:rsid w:val="005C5E72"/>
    <w:rsid w:val="005C795C"/>
    <w:rsid w:val="005C7F1A"/>
    <w:rsid w:val="005D05E7"/>
    <w:rsid w:val="005D1395"/>
    <w:rsid w:val="005D589D"/>
    <w:rsid w:val="005D592C"/>
    <w:rsid w:val="005D6BFB"/>
    <w:rsid w:val="005E235F"/>
    <w:rsid w:val="005E2B54"/>
    <w:rsid w:val="005E396F"/>
    <w:rsid w:val="005E4CBB"/>
    <w:rsid w:val="005E59C5"/>
    <w:rsid w:val="005E7140"/>
    <w:rsid w:val="005F034C"/>
    <w:rsid w:val="005F140C"/>
    <w:rsid w:val="005F2F58"/>
    <w:rsid w:val="005F49D0"/>
    <w:rsid w:val="005F5A28"/>
    <w:rsid w:val="005F6340"/>
    <w:rsid w:val="005F7CB0"/>
    <w:rsid w:val="006003CA"/>
    <w:rsid w:val="00600A82"/>
    <w:rsid w:val="00602A98"/>
    <w:rsid w:val="006033D6"/>
    <w:rsid w:val="00604B25"/>
    <w:rsid w:val="00604D8A"/>
    <w:rsid w:val="00606B27"/>
    <w:rsid w:val="00607189"/>
    <w:rsid w:val="00611D6D"/>
    <w:rsid w:val="00612084"/>
    <w:rsid w:val="00612D47"/>
    <w:rsid w:val="0061444B"/>
    <w:rsid w:val="00615D47"/>
    <w:rsid w:val="006164ED"/>
    <w:rsid w:val="00616C22"/>
    <w:rsid w:val="00620F3C"/>
    <w:rsid w:val="00620FA9"/>
    <w:rsid w:val="0062242F"/>
    <w:rsid w:val="006245A3"/>
    <w:rsid w:val="006247AC"/>
    <w:rsid w:val="006268D7"/>
    <w:rsid w:val="006312C0"/>
    <w:rsid w:val="006371B4"/>
    <w:rsid w:val="00637E51"/>
    <w:rsid w:val="00643B6B"/>
    <w:rsid w:val="0064565B"/>
    <w:rsid w:val="006511CE"/>
    <w:rsid w:val="006550E0"/>
    <w:rsid w:val="00656858"/>
    <w:rsid w:val="00657452"/>
    <w:rsid w:val="0066336B"/>
    <w:rsid w:val="00663AEE"/>
    <w:rsid w:val="0066656D"/>
    <w:rsid w:val="006668E7"/>
    <w:rsid w:val="00667AE1"/>
    <w:rsid w:val="00670E29"/>
    <w:rsid w:val="00674B70"/>
    <w:rsid w:val="0067554C"/>
    <w:rsid w:val="00681247"/>
    <w:rsid w:val="00682B61"/>
    <w:rsid w:val="00682CFF"/>
    <w:rsid w:val="006848DA"/>
    <w:rsid w:val="006857B6"/>
    <w:rsid w:val="00686A60"/>
    <w:rsid w:val="006874A7"/>
    <w:rsid w:val="006876B0"/>
    <w:rsid w:val="006904DA"/>
    <w:rsid w:val="00693894"/>
    <w:rsid w:val="00695246"/>
    <w:rsid w:val="0069547C"/>
    <w:rsid w:val="006976B3"/>
    <w:rsid w:val="006A3CC3"/>
    <w:rsid w:val="006A46A0"/>
    <w:rsid w:val="006A59FA"/>
    <w:rsid w:val="006A6D13"/>
    <w:rsid w:val="006A7C8F"/>
    <w:rsid w:val="006B09E8"/>
    <w:rsid w:val="006B2A25"/>
    <w:rsid w:val="006B2E67"/>
    <w:rsid w:val="006B326C"/>
    <w:rsid w:val="006B729B"/>
    <w:rsid w:val="006B7C2E"/>
    <w:rsid w:val="006C051C"/>
    <w:rsid w:val="006C1060"/>
    <w:rsid w:val="006C5C5E"/>
    <w:rsid w:val="006C5E49"/>
    <w:rsid w:val="006D0687"/>
    <w:rsid w:val="006D0781"/>
    <w:rsid w:val="006D4745"/>
    <w:rsid w:val="006D4D80"/>
    <w:rsid w:val="006D7FDC"/>
    <w:rsid w:val="006E1C78"/>
    <w:rsid w:val="006E4070"/>
    <w:rsid w:val="006E420A"/>
    <w:rsid w:val="006E47B9"/>
    <w:rsid w:val="006E59C7"/>
    <w:rsid w:val="006E7307"/>
    <w:rsid w:val="006F1764"/>
    <w:rsid w:val="006F39C5"/>
    <w:rsid w:val="006F5B9C"/>
    <w:rsid w:val="00702DBF"/>
    <w:rsid w:val="007051A3"/>
    <w:rsid w:val="00706302"/>
    <w:rsid w:val="00706511"/>
    <w:rsid w:val="007078C0"/>
    <w:rsid w:val="00710DFD"/>
    <w:rsid w:val="00713383"/>
    <w:rsid w:val="007143FD"/>
    <w:rsid w:val="00715EFF"/>
    <w:rsid w:val="00715FCB"/>
    <w:rsid w:val="007216CF"/>
    <w:rsid w:val="007217E8"/>
    <w:rsid w:val="00723898"/>
    <w:rsid w:val="00723C52"/>
    <w:rsid w:val="0072551A"/>
    <w:rsid w:val="0073182E"/>
    <w:rsid w:val="00732665"/>
    <w:rsid w:val="00733234"/>
    <w:rsid w:val="00735950"/>
    <w:rsid w:val="00742DB7"/>
    <w:rsid w:val="007439E3"/>
    <w:rsid w:val="00744140"/>
    <w:rsid w:val="00745881"/>
    <w:rsid w:val="00746999"/>
    <w:rsid w:val="007474DF"/>
    <w:rsid w:val="00747A70"/>
    <w:rsid w:val="007505E5"/>
    <w:rsid w:val="0075189A"/>
    <w:rsid w:val="00752064"/>
    <w:rsid w:val="00753449"/>
    <w:rsid w:val="007548FF"/>
    <w:rsid w:val="00763F25"/>
    <w:rsid w:val="0076595F"/>
    <w:rsid w:val="00765994"/>
    <w:rsid w:val="00767590"/>
    <w:rsid w:val="0077328F"/>
    <w:rsid w:val="00773A18"/>
    <w:rsid w:val="00774F7C"/>
    <w:rsid w:val="00775DB7"/>
    <w:rsid w:val="0077673F"/>
    <w:rsid w:val="007816C1"/>
    <w:rsid w:val="0078214F"/>
    <w:rsid w:val="00782D5B"/>
    <w:rsid w:val="00784AFD"/>
    <w:rsid w:val="00785B60"/>
    <w:rsid w:val="00786879"/>
    <w:rsid w:val="00787039"/>
    <w:rsid w:val="007921A4"/>
    <w:rsid w:val="007924F7"/>
    <w:rsid w:val="00794272"/>
    <w:rsid w:val="00796344"/>
    <w:rsid w:val="007970ED"/>
    <w:rsid w:val="007A15BB"/>
    <w:rsid w:val="007A32F4"/>
    <w:rsid w:val="007A3CD1"/>
    <w:rsid w:val="007A562F"/>
    <w:rsid w:val="007A6657"/>
    <w:rsid w:val="007B002D"/>
    <w:rsid w:val="007B1C3E"/>
    <w:rsid w:val="007B41C8"/>
    <w:rsid w:val="007C7F37"/>
    <w:rsid w:val="007D007F"/>
    <w:rsid w:val="007D044A"/>
    <w:rsid w:val="007D06CC"/>
    <w:rsid w:val="007D0F1B"/>
    <w:rsid w:val="007D21AA"/>
    <w:rsid w:val="007D2AE0"/>
    <w:rsid w:val="007D306C"/>
    <w:rsid w:val="007D3787"/>
    <w:rsid w:val="007D4D4D"/>
    <w:rsid w:val="007E024D"/>
    <w:rsid w:val="007E4AA7"/>
    <w:rsid w:val="007E585D"/>
    <w:rsid w:val="007E63B9"/>
    <w:rsid w:val="007F586E"/>
    <w:rsid w:val="00801566"/>
    <w:rsid w:val="008023E9"/>
    <w:rsid w:val="008025CA"/>
    <w:rsid w:val="00802DBE"/>
    <w:rsid w:val="008045D9"/>
    <w:rsid w:val="00810309"/>
    <w:rsid w:val="00810C5D"/>
    <w:rsid w:val="00810D0F"/>
    <w:rsid w:val="00811D47"/>
    <w:rsid w:val="008137B2"/>
    <w:rsid w:val="00815B76"/>
    <w:rsid w:val="0082126A"/>
    <w:rsid w:val="00821E50"/>
    <w:rsid w:val="00822FF7"/>
    <w:rsid w:val="008241DF"/>
    <w:rsid w:val="008251BD"/>
    <w:rsid w:val="008257EA"/>
    <w:rsid w:val="00831D27"/>
    <w:rsid w:val="00832738"/>
    <w:rsid w:val="00834328"/>
    <w:rsid w:val="00835589"/>
    <w:rsid w:val="0083629D"/>
    <w:rsid w:val="00836692"/>
    <w:rsid w:val="00840FC4"/>
    <w:rsid w:val="008431C9"/>
    <w:rsid w:val="008431DE"/>
    <w:rsid w:val="008435F5"/>
    <w:rsid w:val="00845781"/>
    <w:rsid w:val="00845B93"/>
    <w:rsid w:val="00853601"/>
    <w:rsid w:val="008621FD"/>
    <w:rsid w:val="00862284"/>
    <w:rsid w:val="0086459A"/>
    <w:rsid w:val="00865ABF"/>
    <w:rsid w:val="00870BD1"/>
    <w:rsid w:val="00876895"/>
    <w:rsid w:val="008814F6"/>
    <w:rsid w:val="0089087C"/>
    <w:rsid w:val="00893328"/>
    <w:rsid w:val="008A114A"/>
    <w:rsid w:val="008A277C"/>
    <w:rsid w:val="008A30D7"/>
    <w:rsid w:val="008A3371"/>
    <w:rsid w:val="008A4AEC"/>
    <w:rsid w:val="008A5E5D"/>
    <w:rsid w:val="008A7CD2"/>
    <w:rsid w:val="008B00D7"/>
    <w:rsid w:val="008B1B5B"/>
    <w:rsid w:val="008B1B69"/>
    <w:rsid w:val="008B46AB"/>
    <w:rsid w:val="008B6757"/>
    <w:rsid w:val="008C16A8"/>
    <w:rsid w:val="008C3138"/>
    <w:rsid w:val="008C3B24"/>
    <w:rsid w:val="008C3E0A"/>
    <w:rsid w:val="008C7978"/>
    <w:rsid w:val="008D3807"/>
    <w:rsid w:val="008D6DC5"/>
    <w:rsid w:val="008E220A"/>
    <w:rsid w:val="008E2A6B"/>
    <w:rsid w:val="008E3824"/>
    <w:rsid w:val="008E4D8E"/>
    <w:rsid w:val="008E5AAB"/>
    <w:rsid w:val="008E5B2F"/>
    <w:rsid w:val="008E6855"/>
    <w:rsid w:val="008E7451"/>
    <w:rsid w:val="008E7654"/>
    <w:rsid w:val="008F20A4"/>
    <w:rsid w:val="008F357D"/>
    <w:rsid w:val="008F365C"/>
    <w:rsid w:val="008F5058"/>
    <w:rsid w:val="008F63CC"/>
    <w:rsid w:val="008F7AE9"/>
    <w:rsid w:val="009004C9"/>
    <w:rsid w:val="00904FE1"/>
    <w:rsid w:val="0090742E"/>
    <w:rsid w:val="00912E7E"/>
    <w:rsid w:val="00913014"/>
    <w:rsid w:val="0091380A"/>
    <w:rsid w:val="00914691"/>
    <w:rsid w:val="00920E7D"/>
    <w:rsid w:val="00920F39"/>
    <w:rsid w:val="0092160D"/>
    <w:rsid w:val="00921C29"/>
    <w:rsid w:val="00923582"/>
    <w:rsid w:val="0092536D"/>
    <w:rsid w:val="00925EEA"/>
    <w:rsid w:val="00927BBA"/>
    <w:rsid w:val="009304E6"/>
    <w:rsid w:val="00932860"/>
    <w:rsid w:val="009337B5"/>
    <w:rsid w:val="00933B54"/>
    <w:rsid w:val="00934E88"/>
    <w:rsid w:val="009352A0"/>
    <w:rsid w:val="009352C8"/>
    <w:rsid w:val="00935601"/>
    <w:rsid w:val="009361B6"/>
    <w:rsid w:val="00940920"/>
    <w:rsid w:val="00941EF2"/>
    <w:rsid w:val="00945CFE"/>
    <w:rsid w:val="00945F59"/>
    <w:rsid w:val="009463E5"/>
    <w:rsid w:val="00946524"/>
    <w:rsid w:val="009514B0"/>
    <w:rsid w:val="00951B17"/>
    <w:rsid w:val="00952747"/>
    <w:rsid w:val="009533CD"/>
    <w:rsid w:val="00957373"/>
    <w:rsid w:val="0096139A"/>
    <w:rsid w:val="00965583"/>
    <w:rsid w:val="0096768C"/>
    <w:rsid w:val="00972BEA"/>
    <w:rsid w:val="0097349F"/>
    <w:rsid w:val="00975F15"/>
    <w:rsid w:val="00976DA2"/>
    <w:rsid w:val="00976E82"/>
    <w:rsid w:val="009776B0"/>
    <w:rsid w:val="00977A18"/>
    <w:rsid w:val="009806BA"/>
    <w:rsid w:val="009862AE"/>
    <w:rsid w:val="00992499"/>
    <w:rsid w:val="00992682"/>
    <w:rsid w:val="009966C0"/>
    <w:rsid w:val="0099792F"/>
    <w:rsid w:val="009A0285"/>
    <w:rsid w:val="009A06F6"/>
    <w:rsid w:val="009A17E3"/>
    <w:rsid w:val="009A2051"/>
    <w:rsid w:val="009A5866"/>
    <w:rsid w:val="009A665E"/>
    <w:rsid w:val="009B045A"/>
    <w:rsid w:val="009B11A1"/>
    <w:rsid w:val="009B2FF9"/>
    <w:rsid w:val="009B48C3"/>
    <w:rsid w:val="009B495C"/>
    <w:rsid w:val="009B5977"/>
    <w:rsid w:val="009C1347"/>
    <w:rsid w:val="009C2904"/>
    <w:rsid w:val="009C41EA"/>
    <w:rsid w:val="009C59FC"/>
    <w:rsid w:val="009D14E3"/>
    <w:rsid w:val="009D1E93"/>
    <w:rsid w:val="009D306E"/>
    <w:rsid w:val="009D5DC3"/>
    <w:rsid w:val="009D67F8"/>
    <w:rsid w:val="009D7AAF"/>
    <w:rsid w:val="009E1A4B"/>
    <w:rsid w:val="009E3EDD"/>
    <w:rsid w:val="009E749D"/>
    <w:rsid w:val="009F0B42"/>
    <w:rsid w:val="009F1F69"/>
    <w:rsid w:val="009F35EC"/>
    <w:rsid w:val="009F5899"/>
    <w:rsid w:val="009F653D"/>
    <w:rsid w:val="00A010B5"/>
    <w:rsid w:val="00A07CE2"/>
    <w:rsid w:val="00A23AE1"/>
    <w:rsid w:val="00A25D78"/>
    <w:rsid w:val="00A26436"/>
    <w:rsid w:val="00A27BCA"/>
    <w:rsid w:val="00A27D8D"/>
    <w:rsid w:val="00A27FE4"/>
    <w:rsid w:val="00A32B77"/>
    <w:rsid w:val="00A35A74"/>
    <w:rsid w:val="00A360D8"/>
    <w:rsid w:val="00A36160"/>
    <w:rsid w:val="00A36A39"/>
    <w:rsid w:val="00A409F9"/>
    <w:rsid w:val="00A40AB6"/>
    <w:rsid w:val="00A41FCA"/>
    <w:rsid w:val="00A42492"/>
    <w:rsid w:val="00A42612"/>
    <w:rsid w:val="00A453B5"/>
    <w:rsid w:val="00A454B1"/>
    <w:rsid w:val="00A456C8"/>
    <w:rsid w:val="00A518E0"/>
    <w:rsid w:val="00A53CF8"/>
    <w:rsid w:val="00A54813"/>
    <w:rsid w:val="00A5496C"/>
    <w:rsid w:val="00A549A6"/>
    <w:rsid w:val="00A578EA"/>
    <w:rsid w:val="00A60C9A"/>
    <w:rsid w:val="00A63BF9"/>
    <w:rsid w:val="00A651B7"/>
    <w:rsid w:val="00A71EE4"/>
    <w:rsid w:val="00A80AF1"/>
    <w:rsid w:val="00A824F1"/>
    <w:rsid w:val="00A82D9D"/>
    <w:rsid w:val="00A85E64"/>
    <w:rsid w:val="00A85FC3"/>
    <w:rsid w:val="00A873FC"/>
    <w:rsid w:val="00A939D3"/>
    <w:rsid w:val="00A947C1"/>
    <w:rsid w:val="00AA2232"/>
    <w:rsid w:val="00AA3DEB"/>
    <w:rsid w:val="00AA4CDD"/>
    <w:rsid w:val="00AA786F"/>
    <w:rsid w:val="00AB0DC6"/>
    <w:rsid w:val="00AB0E58"/>
    <w:rsid w:val="00AB1F13"/>
    <w:rsid w:val="00AB4EC2"/>
    <w:rsid w:val="00AB50FB"/>
    <w:rsid w:val="00AB524C"/>
    <w:rsid w:val="00AB5318"/>
    <w:rsid w:val="00AB55B8"/>
    <w:rsid w:val="00AB5A0F"/>
    <w:rsid w:val="00AB7472"/>
    <w:rsid w:val="00AC17C9"/>
    <w:rsid w:val="00AC4418"/>
    <w:rsid w:val="00AC45EF"/>
    <w:rsid w:val="00AC5944"/>
    <w:rsid w:val="00AC6EEE"/>
    <w:rsid w:val="00AD0E12"/>
    <w:rsid w:val="00AD3410"/>
    <w:rsid w:val="00AD39BA"/>
    <w:rsid w:val="00AE0C70"/>
    <w:rsid w:val="00AE737C"/>
    <w:rsid w:val="00AF085D"/>
    <w:rsid w:val="00AF2EE0"/>
    <w:rsid w:val="00AF4619"/>
    <w:rsid w:val="00AF4D60"/>
    <w:rsid w:val="00AF4E79"/>
    <w:rsid w:val="00B0349D"/>
    <w:rsid w:val="00B03C53"/>
    <w:rsid w:val="00B04102"/>
    <w:rsid w:val="00B068FC"/>
    <w:rsid w:val="00B111BD"/>
    <w:rsid w:val="00B115B7"/>
    <w:rsid w:val="00B11AD9"/>
    <w:rsid w:val="00B12C06"/>
    <w:rsid w:val="00B15A12"/>
    <w:rsid w:val="00B16843"/>
    <w:rsid w:val="00B16DEB"/>
    <w:rsid w:val="00B211AD"/>
    <w:rsid w:val="00B215C4"/>
    <w:rsid w:val="00B24818"/>
    <w:rsid w:val="00B24860"/>
    <w:rsid w:val="00B24A81"/>
    <w:rsid w:val="00B24EA0"/>
    <w:rsid w:val="00B251B3"/>
    <w:rsid w:val="00B25545"/>
    <w:rsid w:val="00B25D2E"/>
    <w:rsid w:val="00B276E2"/>
    <w:rsid w:val="00B27A26"/>
    <w:rsid w:val="00B3048B"/>
    <w:rsid w:val="00B30A96"/>
    <w:rsid w:val="00B31F4C"/>
    <w:rsid w:val="00B31F7E"/>
    <w:rsid w:val="00B36775"/>
    <w:rsid w:val="00B40CB1"/>
    <w:rsid w:val="00B44787"/>
    <w:rsid w:val="00B44AE2"/>
    <w:rsid w:val="00B4508D"/>
    <w:rsid w:val="00B45157"/>
    <w:rsid w:val="00B45BD3"/>
    <w:rsid w:val="00B54013"/>
    <w:rsid w:val="00B5679C"/>
    <w:rsid w:val="00B571D9"/>
    <w:rsid w:val="00B57B24"/>
    <w:rsid w:val="00B602BA"/>
    <w:rsid w:val="00B64194"/>
    <w:rsid w:val="00B65289"/>
    <w:rsid w:val="00B66F4B"/>
    <w:rsid w:val="00B70C8B"/>
    <w:rsid w:val="00B75809"/>
    <w:rsid w:val="00B759D9"/>
    <w:rsid w:val="00B76064"/>
    <w:rsid w:val="00B76536"/>
    <w:rsid w:val="00B7792C"/>
    <w:rsid w:val="00B817C6"/>
    <w:rsid w:val="00B8244D"/>
    <w:rsid w:val="00B8528B"/>
    <w:rsid w:val="00B86BA4"/>
    <w:rsid w:val="00B9162E"/>
    <w:rsid w:val="00B94048"/>
    <w:rsid w:val="00B97D81"/>
    <w:rsid w:val="00BA15C8"/>
    <w:rsid w:val="00BA30E2"/>
    <w:rsid w:val="00BA3F76"/>
    <w:rsid w:val="00BA551B"/>
    <w:rsid w:val="00BA6212"/>
    <w:rsid w:val="00BA79A9"/>
    <w:rsid w:val="00BB10A1"/>
    <w:rsid w:val="00BB32D7"/>
    <w:rsid w:val="00BB656F"/>
    <w:rsid w:val="00BB6CFB"/>
    <w:rsid w:val="00BB7511"/>
    <w:rsid w:val="00BC05EE"/>
    <w:rsid w:val="00BC5380"/>
    <w:rsid w:val="00BC6606"/>
    <w:rsid w:val="00BD101A"/>
    <w:rsid w:val="00BD44A5"/>
    <w:rsid w:val="00BD5B49"/>
    <w:rsid w:val="00BD6AB1"/>
    <w:rsid w:val="00BD7DCD"/>
    <w:rsid w:val="00BD7E17"/>
    <w:rsid w:val="00BE0F1E"/>
    <w:rsid w:val="00BE1813"/>
    <w:rsid w:val="00BE20FA"/>
    <w:rsid w:val="00BE2FC4"/>
    <w:rsid w:val="00BE3646"/>
    <w:rsid w:val="00BF4295"/>
    <w:rsid w:val="00BF5705"/>
    <w:rsid w:val="00BF7987"/>
    <w:rsid w:val="00C015FB"/>
    <w:rsid w:val="00C04C84"/>
    <w:rsid w:val="00C061E3"/>
    <w:rsid w:val="00C0692A"/>
    <w:rsid w:val="00C06EF0"/>
    <w:rsid w:val="00C10034"/>
    <w:rsid w:val="00C131D4"/>
    <w:rsid w:val="00C1517B"/>
    <w:rsid w:val="00C15E1C"/>
    <w:rsid w:val="00C17570"/>
    <w:rsid w:val="00C176EE"/>
    <w:rsid w:val="00C2045A"/>
    <w:rsid w:val="00C21602"/>
    <w:rsid w:val="00C21E8A"/>
    <w:rsid w:val="00C226F5"/>
    <w:rsid w:val="00C236B2"/>
    <w:rsid w:val="00C25493"/>
    <w:rsid w:val="00C301AC"/>
    <w:rsid w:val="00C306B1"/>
    <w:rsid w:val="00C3230C"/>
    <w:rsid w:val="00C32A74"/>
    <w:rsid w:val="00C34D52"/>
    <w:rsid w:val="00C360D8"/>
    <w:rsid w:val="00C3685A"/>
    <w:rsid w:val="00C368DA"/>
    <w:rsid w:val="00C41125"/>
    <w:rsid w:val="00C4178B"/>
    <w:rsid w:val="00C42271"/>
    <w:rsid w:val="00C47A88"/>
    <w:rsid w:val="00C50FCC"/>
    <w:rsid w:val="00C518F9"/>
    <w:rsid w:val="00C51F5E"/>
    <w:rsid w:val="00C5226F"/>
    <w:rsid w:val="00C53626"/>
    <w:rsid w:val="00C542B7"/>
    <w:rsid w:val="00C54AD6"/>
    <w:rsid w:val="00C55B4A"/>
    <w:rsid w:val="00C57131"/>
    <w:rsid w:val="00C64FAA"/>
    <w:rsid w:val="00C65C08"/>
    <w:rsid w:val="00C717EE"/>
    <w:rsid w:val="00C71EFD"/>
    <w:rsid w:val="00C72036"/>
    <w:rsid w:val="00C7414C"/>
    <w:rsid w:val="00C7469A"/>
    <w:rsid w:val="00C806AB"/>
    <w:rsid w:val="00C8091C"/>
    <w:rsid w:val="00C81B5B"/>
    <w:rsid w:val="00C81E7A"/>
    <w:rsid w:val="00C81FDA"/>
    <w:rsid w:val="00C825C5"/>
    <w:rsid w:val="00C844B6"/>
    <w:rsid w:val="00C909AE"/>
    <w:rsid w:val="00C944AB"/>
    <w:rsid w:val="00C94747"/>
    <w:rsid w:val="00C96895"/>
    <w:rsid w:val="00C975F9"/>
    <w:rsid w:val="00CA5FC9"/>
    <w:rsid w:val="00CA6284"/>
    <w:rsid w:val="00CB00D5"/>
    <w:rsid w:val="00CB1622"/>
    <w:rsid w:val="00CB32C7"/>
    <w:rsid w:val="00CB706A"/>
    <w:rsid w:val="00CB7D4A"/>
    <w:rsid w:val="00CC14E9"/>
    <w:rsid w:val="00CC4E06"/>
    <w:rsid w:val="00CC5882"/>
    <w:rsid w:val="00CC630D"/>
    <w:rsid w:val="00CC6CAF"/>
    <w:rsid w:val="00CC7AD3"/>
    <w:rsid w:val="00CD0E36"/>
    <w:rsid w:val="00CD0F40"/>
    <w:rsid w:val="00CD1054"/>
    <w:rsid w:val="00CD200E"/>
    <w:rsid w:val="00CD270F"/>
    <w:rsid w:val="00CD42F5"/>
    <w:rsid w:val="00CD5DB1"/>
    <w:rsid w:val="00CE33F1"/>
    <w:rsid w:val="00CE52E7"/>
    <w:rsid w:val="00CE7674"/>
    <w:rsid w:val="00CF1581"/>
    <w:rsid w:val="00CF1FB8"/>
    <w:rsid w:val="00CF5E69"/>
    <w:rsid w:val="00CF67B1"/>
    <w:rsid w:val="00CF6CC8"/>
    <w:rsid w:val="00CF7342"/>
    <w:rsid w:val="00D010F6"/>
    <w:rsid w:val="00D0196D"/>
    <w:rsid w:val="00D03189"/>
    <w:rsid w:val="00D03C71"/>
    <w:rsid w:val="00D055EB"/>
    <w:rsid w:val="00D05E34"/>
    <w:rsid w:val="00D07168"/>
    <w:rsid w:val="00D11F3A"/>
    <w:rsid w:val="00D1323A"/>
    <w:rsid w:val="00D1384E"/>
    <w:rsid w:val="00D14DA0"/>
    <w:rsid w:val="00D164BB"/>
    <w:rsid w:val="00D16BD4"/>
    <w:rsid w:val="00D1725F"/>
    <w:rsid w:val="00D21A4C"/>
    <w:rsid w:val="00D21C42"/>
    <w:rsid w:val="00D23401"/>
    <w:rsid w:val="00D248DD"/>
    <w:rsid w:val="00D32766"/>
    <w:rsid w:val="00D36D8D"/>
    <w:rsid w:val="00D36E65"/>
    <w:rsid w:val="00D41E48"/>
    <w:rsid w:val="00D423AF"/>
    <w:rsid w:val="00D43B46"/>
    <w:rsid w:val="00D51633"/>
    <w:rsid w:val="00D51BDF"/>
    <w:rsid w:val="00D56575"/>
    <w:rsid w:val="00D5668C"/>
    <w:rsid w:val="00D56784"/>
    <w:rsid w:val="00D60349"/>
    <w:rsid w:val="00D63BD5"/>
    <w:rsid w:val="00D640E0"/>
    <w:rsid w:val="00D64153"/>
    <w:rsid w:val="00D6701A"/>
    <w:rsid w:val="00D70F4B"/>
    <w:rsid w:val="00D727A8"/>
    <w:rsid w:val="00D73C5E"/>
    <w:rsid w:val="00D76FB7"/>
    <w:rsid w:val="00D80AD4"/>
    <w:rsid w:val="00D81783"/>
    <w:rsid w:val="00D819DE"/>
    <w:rsid w:val="00D8604C"/>
    <w:rsid w:val="00D86113"/>
    <w:rsid w:val="00D863DB"/>
    <w:rsid w:val="00D872FC"/>
    <w:rsid w:val="00D873FE"/>
    <w:rsid w:val="00D919C0"/>
    <w:rsid w:val="00DA13C8"/>
    <w:rsid w:val="00DA49EA"/>
    <w:rsid w:val="00DA4E24"/>
    <w:rsid w:val="00DA585A"/>
    <w:rsid w:val="00DA6C0D"/>
    <w:rsid w:val="00DA7F5D"/>
    <w:rsid w:val="00DB5E1E"/>
    <w:rsid w:val="00DB7856"/>
    <w:rsid w:val="00DC0B03"/>
    <w:rsid w:val="00DC18B8"/>
    <w:rsid w:val="00DC277E"/>
    <w:rsid w:val="00DC33F1"/>
    <w:rsid w:val="00DC3B5F"/>
    <w:rsid w:val="00DC4166"/>
    <w:rsid w:val="00DC48B2"/>
    <w:rsid w:val="00DC7A2A"/>
    <w:rsid w:val="00DD16E4"/>
    <w:rsid w:val="00DD2C40"/>
    <w:rsid w:val="00DD38C9"/>
    <w:rsid w:val="00DD6082"/>
    <w:rsid w:val="00DE0858"/>
    <w:rsid w:val="00DE242F"/>
    <w:rsid w:val="00DE37B6"/>
    <w:rsid w:val="00DE4049"/>
    <w:rsid w:val="00DE4CB8"/>
    <w:rsid w:val="00DF3EC0"/>
    <w:rsid w:val="00DF7A97"/>
    <w:rsid w:val="00E00125"/>
    <w:rsid w:val="00E01A5D"/>
    <w:rsid w:val="00E0209D"/>
    <w:rsid w:val="00E07223"/>
    <w:rsid w:val="00E114C8"/>
    <w:rsid w:val="00E1165F"/>
    <w:rsid w:val="00E11AEA"/>
    <w:rsid w:val="00E139DC"/>
    <w:rsid w:val="00E1749A"/>
    <w:rsid w:val="00E206C4"/>
    <w:rsid w:val="00E21317"/>
    <w:rsid w:val="00E22BAC"/>
    <w:rsid w:val="00E22EB2"/>
    <w:rsid w:val="00E25C9D"/>
    <w:rsid w:val="00E26AA5"/>
    <w:rsid w:val="00E26CFF"/>
    <w:rsid w:val="00E30F27"/>
    <w:rsid w:val="00E31DD5"/>
    <w:rsid w:val="00E34474"/>
    <w:rsid w:val="00E34E56"/>
    <w:rsid w:val="00E35F64"/>
    <w:rsid w:val="00E409CD"/>
    <w:rsid w:val="00E42049"/>
    <w:rsid w:val="00E439F4"/>
    <w:rsid w:val="00E4473F"/>
    <w:rsid w:val="00E5353A"/>
    <w:rsid w:val="00E559DB"/>
    <w:rsid w:val="00E561F9"/>
    <w:rsid w:val="00E60219"/>
    <w:rsid w:val="00E60EC4"/>
    <w:rsid w:val="00E60FCD"/>
    <w:rsid w:val="00E63C1A"/>
    <w:rsid w:val="00E65F84"/>
    <w:rsid w:val="00E70504"/>
    <w:rsid w:val="00E72775"/>
    <w:rsid w:val="00E7306F"/>
    <w:rsid w:val="00E764BD"/>
    <w:rsid w:val="00E7704F"/>
    <w:rsid w:val="00E81AA6"/>
    <w:rsid w:val="00E82843"/>
    <w:rsid w:val="00E8294A"/>
    <w:rsid w:val="00E834F4"/>
    <w:rsid w:val="00E83FFD"/>
    <w:rsid w:val="00E8444C"/>
    <w:rsid w:val="00E85264"/>
    <w:rsid w:val="00E864A1"/>
    <w:rsid w:val="00E90FA8"/>
    <w:rsid w:val="00E916BD"/>
    <w:rsid w:val="00E92242"/>
    <w:rsid w:val="00E92A45"/>
    <w:rsid w:val="00E96673"/>
    <w:rsid w:val="00EA7851"/>
    <w:rsid w:val="00EB009A"/>
    <w:rsid w:val="00EB31E2"/>
    <w:rsid w:val="00EB400F"/>
    <w:rsid w:val="00EB5A2C"/>
    <w:rsid w:val="00EC006F"/>
    <w:rsid w:val="00EC13CC"/>
    <w:rsid w:val="00EC17DA"/>
    <w:rsid w:val="00EC2916"/>
    <w:rsid w:val="00EC3F88"/>
    <w:rsid w:val="00EC4E57"/>
    <w:rsid w:val="00EC5C31"/>
    <w:rsid w:val="00EC7649"/>
    <w:rsid w:val="00EC79A6"/>
    <w:rsid w:val="00ED096E"/>
    <w:rsid w:val="00ED0A73"/>
    <w:rsid w:val="00ED2FCF"/>
    <w:rsid w:val="00ED3235"/>
    <w:rsid w:val="00ED3AD6"/>
    <w:rsid w:val="00ED5309"/>
    <w:rsid w:val="00EE24B8"/>
    <w:rsid w:val="00EE2778"/>
    <w:rsid w:val="00EE3483"/>
    <w:rsid w:val="00EE6CFC"/>
    <w:rsid w:val="00EE7C55"/>
    <w:rsid w:val="00EF11EE"/>
    <w:rsid w:val="00EF1E28"/>
    <w:rsid w:val="00EF30DA"/>
    <w:rsid w:val="00EF4850"/>
    <w:rsid w:val="00EF5130"/>
    <w:rsid w:val="00EF69C6"/>
    <w:rsid w:val="00EF71FD"/>
    <w:rsid w:val="00F019CD"/>
    <w:rsid w:val="00F02844"/>
    <w:rsid w:val="00F02A33"/>
    <w:rsid w:val="00F05D99"/>
    <w:rsid w:val="00F1281B"/>
    <w:rsid w:val="00F131DE"/>
    <w:rsid w:val="00F1325F"/>
    <w:rsid w:val="00F173C5"/>
    <w:rsid w:val="00F213A7"/>
    <w:rsid w:val="00F2146C"/>
    <w:rsid w:val="00F239C2"/>
    <w:rsid w:val="00F23B2C"/>
    <w:rsid w:val="00F24673"/>
    <w:rsid w:val="00F25F8C"/>
    <w:rsid w:val="00F26418"/>
    <w:rsid w:val="00F26844"/>
    <w:rsid w:val="00F27192"/>
    <w:rsid w:val="00F31B4B"/>
    <w:rsid w:val="00F33522"/>
    <w:rsid w:val="00F355DE"/>
    <w:rsid w:val="00F37ADF"/>
    <w:rsid w:val="00F40951"/>
    <w:rsid w:val="00F42174"/>
    <w:rsid w:val="00F43F87"/>
    <w:rsid w:val="00F44E02"/>
    <w:rsid w:val="00F469ED"/>
    <w:rsid w:val="00F51666"/>
    <w:rsid w:val="00F52720"/>
    <w:rsid w:val="00F53740"/>
    <w:rsid w:val="00F543EB"/>
    <w:rsid w:val="00F55932"/>
    <w:rsid w:val="00F601D1"/>
    <w:rsid w:val="00F60F86"/>
    <w:rsid w:val="00F65D6A"/>
    <w:rsid w:val="00F66047"/>
    <w:rsid w:val="00F726B2"/>
    <w:rsid w:val="00F730CB"/>
    <w:rsid w:val="00F73C05"/>
    <w:rsid w:val="00F748BB"/>
    <w:rsid w:val="00F74A32"/>
    <w:rsid w:val="00F77349"/>
    <w:rsid w:val="00F77707"/>
    <w:rsid w:val="00F801E4"/>
    <w:rsid w:val="00F8048C"/>
    <w:rsid w:val="00F822FC"/>
    <w:rsid w:val="00F82BE3"/>
    <w:rsid w:val="00F849D8"/>
    <w:rsid w:val="00F85978"/>
    <w:rsid w:val="00F878FC"/>
    <w:rsid w:val="00F9056B"/>
    <w:rsid w:val="00F91A21"/>
    <w:rsid w:val="00F91C00"/>
    <w:rsid w:val="00F9790E"/>
    <w:rsid w:val="00FA03F6"/>
    <w:rsid w:val="00FA29C5"/>
    <w:rsid w:val="00FA2F5C"/>
    <w:rsid w:val="00FA50F8"/>
    <w:rsid w:val="00FB002B"/>
    <w:rsid w:val="00FB0A8F"/>
    <w:rsid w:val="00FB650C"/>
    <w:rsid w:val="00FB6DB5"/>
    <w:rsid w:val="00FC0FF4"/>
    <w:rsid w:val="00FC16A8"/>
    <w:rsid w:val="00FC1DA3"/>
    <w:rsid w:val="00FC2E75"/>
    <w:rsid w:val="00FC5F23"/>
    <w:rsid w:val="00FC61F5"/>
    <w:rsid w:val="00FC6818"/>
    <w:rsid w:val="00FD3C8D"/>
    <w:rsid w:val="00FD573F"/>
    <w:rsid w:val="00FD6C93"/>
    <w:rsid w:val="00FD7A78"/>
    <w:rsid w:val="00FE15A2"/>
    <w:rsid w:val="00FE17B6"/>
    <w:rsid w:val="00FE1D54"/>
    <w:rsid w:val="00FE5A3A"/>
    <w:rsid w:val="00FE5D50"/>
    <w:rsid w:val="00FF2289"/>
    <w:rsid w:val="00FF2798"/>
    <w:rsid w:val="00FF3208"/>
    <w:rsid w:val="00FF4A2F"/>
    <w:rsid w:val="00FF5627"/>
    <w:rsid w:val="00FF62EC"/>
    <w:rsid w:val="00FF6C6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BD056B"/>
  <w15:docId w15:val="{9B0F9AB7-6030-48CA-B789-5B0AFB7F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heme="minorEastAsia" w:hAnsi="Cambria" w:cs="Cambri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42F"/>
    <w:rPr>
      <w:rFonts w:cs="Times New Roman"/>
      <w:sz w:val="24"/>
      <w:szCs w:val="24"/>
      <w:lang w:val="es-ES" w:eastAsia="fr-FR"/>
    </w:rPr>
  </w:style>
  <w:style w:type="paragraph" w:styleId="Heading1">
    <w:name w:val="heading 1"/>
    <w:basedOn w:val="Normal"/>
    <w:next w:val="Normal"/>
    <w:link w:val="Heading1Char"/>
    <w:uiPriority w:val="9"/>
    <w:rsid w:val="009C134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5B05E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242F"/>
    <w:pPr>
      <w:ind w:left="720"/>
      <w:contextualSpacing/>
    </w:pPr>
  </w:style>
  <w:style w:type="paragraph" w:styleId="FootnoteText">
    <w:name w:val="footnote text"/>
    <w:basedOn w:val="Normal"/>
    <w:link w:val="FootnoteTextChar"/>
    <w:uiPriority w:val="99"/>
    <w:unhideWhenUsed/>
    <w:rsid w:val="0062242F"/>
  </w:style>
  <w:style w:type="character" w:customStyle="1" w:styleId="FootnoteTextChar">
    <w:name w:val="Footnote Text Char"/>
    <w:link w:val="FootnoteText"/>
    <w:uiPriority w:val="99"/>
    <w:locked/>
    <w:rsid w:val="0062242F"/>
    <w:rPr>
      <w:rFonts w:cs="Times New Roman"/>
    </w:rPr>
  </w:style>
  <w:style w:type="character" w:styleId="FootnoteReference">
    <w:name w:val="footnote reference"/>
    <w:uiPriority w:val="99"/>
    <w:unhideWhenUsed/>
    <w:rsid w:val="0062242F"/>
    <w:rPr>
      <w:rFonts w:cs="Times New Roman"/>
      <w:vertAlign w:val="superscript"/>
    </w:rPr>
  </w:style>
  <w:style w:type="paragraph" w:styleId="BalloonText">
    <w:name w:val="Balloon Text"/>
    <w:basedOn w:val="Normal"/>
    <w:link w:val="BalloonTextChar"/>
    <w:uiPriority w:val="99"/>
    <w:semiHidden/>
    <w:unhideWhenUsed/>
    <w:rsid w:val="0062242F"/>
    <w:rPr>
      <w:rFonts w:ascii="Lucida Grande" w:hAnsi="Lucida Grande" w:cs="Lucida Grande"/>
      <w:sz w:val="18"/>
      <w:szCs w:val="18"/>
    </w:rPr>
  </w:style>
  <w:style w:type="character" w:customStyle="1" w:styleId="BalloonTextChar">
    <w:name w:val="Balloon Text Char"/>
    <w:link w:val="BalloonText"/>
    <w:uiPriority w:val="99"/>
    <w:semiHidden/>
    <w:locked/>
    <w:rsid w:val="0062242F"/>
    <w:rPr>
      <w:rFonts w:ascii="Lucida Grande" w:hAnsi="Lucida Grande" w:cs="Lucida Grande"/>
      <w:sz w:val="18"/>
      <w:szCs w:val="18"/>
    </w:rPr>
  </w:style>
  <w:style w:type="character" w:styleId="Hyperlink">
    <w:name w:val="Hyperlink"/>
    <w:uiPriority w:val="99"/>
    <w:unhideWhenUsed/>
    <w:rsid w:val="00315BB0"/>
    <w:rPr>
      <w:rFonts w:cs="Times New Roman"/>
      <w:color w:val="0000FF"/>
      <w:u w:val="single"/>
    </w:rPr>
  </w:style>
  <w:style w:type="paragraph" w:styleId="Header">
    <w:name w:val="header"/>
    <w:basedOn w:val="Normal"/>
    <w:link w:val="HeaderChar"/>
    <w:uiPriority w:val="99"/>
    <w:unhideWhenUsed/>
    <w:rsid w:val="00BC6606"/>
    <w:pPr>
      <w:tabs>
        <w:tab w:val="center" w:pos="4536"/>
        <w:tab w:val="right" w:pos="9072"/>
      </w:tabs>
    </w:pPr>
  </w:style>
  <w:style w:type="character" w:customStyle="1" w:styleId="HeaderChar">
    <w:name w:val="Header Char"/>
    <w:link w:val="Header"/>
    <w:uiPriority w:val="99"/>
    <w:locked/>
    <w:rsid w:val="00BC6606"/>
    <w:rPr>
      <w:rFonts w:cs="Times New Roman"/>
    </w:rPr>
  </w:style>
  <w:style w:type="paragraph" w:styleId="Footer">
    <w:name w:val="footer"/>
    <w:basedOn w:val="Normal"/>
    <w:link w:val="FooterChar"/>
    <w:uiPriority w:val="99"/>
    <w:unhideWhenUsed/>
    <w:rsid w:val="00BC6606"/>
    <w:pPr>
      <w:tabs>
        <w:tab w:val="center" w:pos="4536"/>
        <w:tab w:val="right" w:pos="9072"/>
      </w:tabs>
    </w:pPr>
  </w:style>
  <w:style w:type="character" w:customStyle="1" w:styleId="FooterChar">
    <w:name w:val="Footer Char"/>
    <w:link w:val="Footer"/>
    <w:uiPriority w:val="99"/>
    <w:locked/>
    <w:rsid w:val="00BC6606"/>
    <w:rPr>
      <w:rFonts w:cs="Times New Roman"/>
    </w:rPr>
  </w:style>
  <w:style w:type="character" w:styleId="PageNumber">
    <w:name w:val="page number"/>
    <w:uiPriority w:val="99"/>
    <w:semiHidden/>
    <w:unhideWhenUsed/>
    <w:rsid w:val="00BC6606"/>
    <w:rPr>
      <w:rFonts w:cs="Times New Roman"/>
    </w:rPr>
  </w:style>
  <w:style w:type="character" w:styleId="CommentReference">
    <w:name w:val="annotation reference"/>
    <w:uiPriority w:val="99"/>
    <w:semiHidden/>
    <w:unhideWhenUsed/>
    <w:rsid w:val="0005553E"/>
    <w:rPr>
      <w:rFonts w:cs="Times New Roman"/>
      <w:sz w:val="16"/>
      <w:szCs w:val="16"/>
    </w:rPr>
  </w:style>
  <w:style w:type="paragraph" w:styleId="CommentText">
    <w:name w:val="annotation text"/>
    <w:basedOn w:val="Normal"/>
    <w:link w:val="CommentTextChar"/>
    <w:uiPriority w:val="99"/>
    <w:unhideWhenUsed/>
    <w:rsid w:val="0005553E"/>
    <w:rPr>
      <w:sz w:val="20"/>
      <w:szCs w:val="20"/>
    </w:rPr>
  </w:style>
  <w:style w:type="character" w:customStyle="1" w:styleId="CommentTextChar">
    <w:name w:val="Comment Text Char"/>
    <w:link w:val="CommentText"/>
    <w:uiPriority w:val="99"/>
    <w:locked/>
    <w:rsid w:val="0005553E"/>
    <w:rPr>
      <w:rFonts w:cs="Times New Roman"/>
      <w:sz w:val="20"/>
      <w:szCs w:val="20"/>
    </w:rPr>
  </w:style>
  <w:style w:type="paragraph" w:styleId="CommentSubject">
    <w:name w:val="annotation subject"/>
    <w:basedOn w:val="CommentText"/>
    <w:next w:val="CommentText"/>
    <w:link w:val="CommentSubjectChar"/>
    <w:uiPriority w:val="99"/>
    <w:semiHidden/>
    <w:unhideWhenUsed/>
    <w:rsid w:val="0005553E"/>
    <w:rPr>
      <w:b/>
      <w:bCs/>
    </w:rPr>
  </w:style>
  <w:style w:type="character" w:customStyle="1" w:styleId="CommentSubjectChar">
    <w:name w:val="Comment Subject Char"/>
    <w:link w:val="CommentSubject"/>
    <w:uiPriority w:val="99"/>
    <w:semiHidden/>
    <w:locked/>
    <w:rsid w:val="0005553E"/>
    <w:rPr>
      <w:rFonts w:cs="Times New Roman"/>
      <w:b/>
      <w:bCs/>
      <w:sz w:val="20"/>
      <w:szCs w:val="20"/>
    </w:rPr>
  </w:style>
  <w:style w:type="paragraph" w:styleId="Revision">
    <w:name w:val="Revision"/>
    <w:hidden/>
    <w:uiPriority w:val="99"/>
    <w:semiHidden/>
    <w:rsid w:val="00D51633"/>
    <w:rPr>
      <w:rFonts w:cs="Times New Roman"/>
      <w:sz w:val="24"/>
      <w:szCs w:val="24"/>
      <w:lang w:val="en-GB" w:eastAsia="fr-FR"/>
    </w:rPr>
  </w:style>
  <w:style w:type="table" w:styleId="TableGrid">
    <w:name w:val="Table Grid"/>
    <w:basedOn w:val="TableNormal"/>
    <w:uiPriority w:val="59"/>
    <w:rsid w:val="006456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uiPriority w:val="99"/>
    <w:semiHidden/>
    <w:rsid w:val="00D86113"/>
    <w:rPr>
      <w:rFonts w:cs="Times New Roman"/>
      <w:sz w:val="20"/>
      <w:szCs w:val="20"/>
    </w:rPr>
  </w:style>
  <w:style w:type="character" w:customStyle="1" w:styleId="PieddepageCar">
    <w:name w:val="Pied de page Car"/>
    <w:semiHidden/>
    <w:rsid w:val="00E34E56"/>
    <w:rPr>
      <w:rFonts w:ascii="Arial" w:hAnsi="Arial" w:cs="Times New Roman"/>
      <w:noProof/>
      <w:sz w:val="20"/>
      <w:szCs w:val="20"/>
      <w:lang w:eastAsia="de-CH"/>
    </w:rPr>
  </w:style>
  <w:style w:type="paragraph" w:styleId="PlainText">
    <w:name w:val="Plain Text"/>
    <w:basedOn w:val="Normal"/>
    <w:link w:val="PlainTextChar"/>
    <w:uiPriority w:val="99"/>
    <w:unhideWhenUsed/>
    <w:rsid w:val="005C2739"/>
    <w:rPr>
      <w:rFonts w:ascii="Calibri" w:hAnsi="Calibri"/>
      <w:sz w:val="22"/>
      <w:szCs w:val="21"/>
      <w:lang w:eastAsia="en-US"/>
    </w:rPr>
  </w:style>
  <w:style w:type="character" w:customStyle="1" w:styleId="PlainTextChar">
    <w:name w:val="Plain Text Char"/>
    <w:link w:val="PlainText"/>
    <w:uiPriority w:val="99"/>
    <w:locked/>
    <w:rsid w:val="005C2739"/>
    <w:rPr>
      <w:rFonts w:ascii="Calibri" w:eastAsia="Times New Roman" w:hAnsi="Calibri" w:cs="Times New Roman"/>
      <w:sz w:val="21"/>
      <w:szCs w:val="21"/>
      <w:lang w:val="x-none" w:eastAsia="en-US"/>
    </w:rPr>
  </w:style>
  <w:style w:type="character" w:styleId="FollowedHyperlink">
    <w:name w:val="FollowedHyperlink"/>
    <w:uiPriority w:val="99"/>
    <w:semiHidden/>
    <w:unhideWhenUsed/>
    <w:rsid w:val="00E1749A"/>
    <w:rPr>
      <w:rFonts w:cs="Times New Roman"/>
      <w:color w:val="800080"/>
      <w:u w:val="single"/>
    </w:rPr>
  </w:style>
  <w:style w:type="paragraph" w:styleId="NormalWeb">
    <w:name w:val="Normal (Web)"/>
    <w:basedOn w:val="Normal"/>
    <w:uiPriority w:val="99"/>
    <w:unhideWhenUsed/>
    <w:rsid w:val="004202F9"/>
    <w:pPr>
      <w:spacing w:before="100" w:beforeAutospacing="1" w:after="100" w:afterAutospacing="1"/>
    </w:pPr>
    <w:rPr>
      <w:rFonts w:ascii="Times New Roman" w:hAnsi="Times New Roman"/>
      <w:lang w:eastAsia="en-GB"/>
    </w:rPr>
  </w:style>
  <w:style w:type="paragraph" w:styleId="NoSpacing">
    <w:name w:val="No Spacing"/>
    <w:uiPriority w:val="1"/>
    <w:rsid w:val="0083629D"/>
    <w:rPr>
      <w:rFonts w:cs="Times New Roman"/>
      <w:sz w:val="24"/>
      <w:szCs w:val="24"/>
      <w:lang w:val="en-GB" w:eastAsia="fr-FR"/>
    </w:rPr>
  </w:style>
  <w:style w:type="character" w:styleId="PlaceholderText">
    <w:name w:val="Placeholder Text"/>
    <w:uiPriority w:val="99"/>
    <w:semiHidden/>
    <w:rsid w:val="00CB7D4A"/>
    <w:rPr>
      <w:rFonts w:cs="Times New Roman"/>
      <w:color w:val="808080"/>
    </w:rPr>
  </w:style>
  <w:style w:type="paragraph" w:customStyle="1" w:styleId="DRPara">
    <w:name w:val="DR Para"/>
    <w:basedOn w:val="ListParagraph"/>
    <w:link w:val="DRParaChar"/>
    <w:qFormat/>
    <w:rsid w:val="00853601"/>
    <w:pPr>
      <w:numPr>
        <w:numId w:val="2"/>
      </w:numPr>
      <w:spacing w:after="240"/>
      <w:ind w:left="425" w:hanging="425"/>
      <w:contextualSpacing w:val="0"/>
    </w:pPr>
    <w:rPr>
      <w:rFonts w:ascii="Calibri" w:hAnsi="Calibri"/>
      <w:sz w:val="22"/>
      <w:szCs w:val="22"/>
    </w:rPr>
  </w:style>
  <w:style w:type="character" w:customStyle="1" w:styleId="ListParagraphChar">
    <w:name w:val="List Paragraph Char"/>
    <w:basedOn w:val="DefaultParagraphFont"/>
    <w:link w:val="ListParagraph"/>
    <w:uiPriority w:val="34"/>
    <w:rsid w:val="00853601"/>
    <w:rPr>
      <w:rFonts w:cs="Times New Roman"/>
      <w:sz w:val="24"/>
      <w:szCs w:val="24"/>
      <w:lang w:val="en-GB" w:eastAsia="fr-FR"/>
    </w:rPr>
  </w:style>
  <w:style w:type="character" w:customStyle="1" w:styleId="DRParaChar">
    <w:name w:val="DR Para Char"/>
    <w:basedOn w:val="ListParagraphChar"/>
    <w:link w:val="DRPara"/>
    <w:rsid w:val="00853601"/>
    <w:rPr>
      <w:rFonts w:ascii="Calibri" w:hAnsi="Calibri" w:cs="Times New Roman"/>
      <w:sz w:val="22"/>
      <w:szCs w:val="22"/>
      <w:lang w:val="en-GB" w:eastAsia="fr-FR"/>
    </w:rPr>
  </w:style>
  <w:style w:type="character" w:customStyle="1" w:styleId="Heading2Char">
    <w:name w:val="Heading 2 Char"/>
    <w:basedOn w:val="DefaultParagraphFont"/>
    <w:link w:val="Heading2"/>
    <w:uiPriority w:val="9"/>
    <w:semiHidden/>
    <w:rsid w:val="005B05E9"/>
    <w:rPr>
      <w:rFonts w:asciiTheme="majorHAnsi" w:eastAsiaTheme="majorEastAsia" w:hAnsiTheme="majorHAnsi" w:cstheme="majorBidi"/>
      <w:color w:val="2E74B5" w:themeColor="accent1" w:themeShade="BF"/>
      <w:sz w:val="26"/>
      <w:szCs w:val="26"/>
      <w:lang w:val="en-GB" w:eastAsia="fr-FR"/>
    </w:rPr>
  </w:style>
  <w:style w:type="paragraph" w:customStyle="1" w:styleId="DRText">
    <w:name w:val="DR Text"/>
    <w:basedOn w:val="Normal"/>
    <w:link w:val="DRTextChar"/>
    <w:qFormat/>
    <w:rsid w:val="006312C0"/>
    <w:rPr>
      <w:rFonts w:ascii="Calibri" w:hAnsi="Calibri"/>
      <w:sz w:val="22"/>
      <w:szCs w:val="22"/>
      <w:lang w:val="en-US" w:eastAsia="en-US"/>
    </w:rPr>
  </w:style>
  <w:style w:type="character" w:customStyle="1" w:styleId="DRTextChar">
    <w:name w:val="DR Text Char"/>
    <w:basedOn w:val="DefaultParagraphFont"/>
    <w:link w:val="DRText"/>
    <w:rsid w:val="006312C0"/>
    <w:rPr>
      <w:rFonts w:ascii="Calibri" w:hAnsi="Calibri" w:cs="Times New Roman"/>
      <w:sz w:val="22"/>
      <w:szCs w:val="22"/>
    </w:rPr>
  </w:style>
  <w:style w:type="paragraph" w:customStyle="1" w:styleId="DRHeading1">
    <w:name w:val="DR Heading 1"/>
    <w:basedOn w:val="Normal"/>
    <w:link w:val="DRHeading1Char"/>
    <w:qFormat/>
    <w:rsid w:val="006312C0"/>
    <w:rPr>
      <w:rFonts w:ascii="Calibri" w:hAnsi="Calibri"/>
      <w:b/>
      <w:bCs/>
      <w:sz w:val="22"/>
      <w:szCs w:val="22"/>
      <w:lang w:val="en-US" w:eastAsia="en-US"/>
    </w:rPr>
  </w:style>
  <w:style w:type="character" w:customStyle="1" w:styleId="DRHeading1Char">
    <w:name w:val="DR Heading 1 Char"/>
    <w:basedOn w:val="DefaultParagraphFont"/>
    <w:link w:val="DRHeading1"/>
    <w:rsid w:val="006312C0"/>
    <w:rPr>
      <w:rFonts w:ascii="Calibri" w:hAnsi="Calibri" w:cs="Times New Roman"/>
      <w:b/>
      <w:bCs/>
      <w:sz w:val="22"/>
      <w:szCs w:val="22"/>
    </w:rPr>
  </w:style>
  <w:style w:type="character" w:customStyle="1" w:styleId="Heading1Char">
    <w:name w:val="Heading 1 Char"/>
    <w:basedOn w:val="DefaultParagraphFont"/>
    <w:link w:val="Heading1"/>
    <w:uiPriority w:val="9"/>
    <w:rsid w:val="009C1347"/>
    <w:rPr>
      <w:rFonts w:asciiTheme="majorHAnsi" w:eastAsiaTheme="majorEastAsia" w:hAnsiTheme="majorHAnsi" w:cstheme="majorBidi"/>
      <w:color w:val="2E74B5" w:themeColor="accent1" w:themeShade="BF"/>
      <w:sz w:val="32"/>
      <w:szCs w:val="32"/>
      <w:lang w:val="en-GB" w:eastAsia="fr-FR"/>
    </w:rPr>
  </w:style>
  <w:style w:type="paragraph" w:customStyle="1" w:styleId="AnnexText">
    <w:name w:val="Annex Text"/>
    <w:basedOn w:val="DRText"/>
    <w:link w:val="AnnexTextChar"/>
    <w:qFormat/>
    <w:rsid w:val="00154B49"/>
    <w:pPr>
      <w:numPr>
        <w:numId w:val="3"/>
      </w:numPr>
      <w:spacing w:after="240"/>
      <w:ind w:left="425" w:hanging="425"/>
    </w:pPr>
  </w:style>
  <w:style w:type="character" w:customStyle="1" w:styleId="AnnexTextChar">
    <w:name w:val="Annex Text Char"/>
    <w:basedOn w:val="DRTextChar"/>
    <w:link w:val="AnnexText"/>
    <w:rsid w:val="00154B49"/>
    <w:rPr>
      <w:rFonts w:ascii="Calibri" w:hAnsi="Calibri" w:cs="Times New Roman"/>
      <w:sz w:val="22"/>
      <w:szCs w:val="22"/>
    </w:rPr>
  </w:style>
  <w:style w:type="paragraph" w:customStyle="1" w:styleId="AnnexH1">
    <w:name w:val="Annex H1"/>
    <w:basedOn w:val="DRText"/>
    <w:link w:val="AnnexH1Char"/>
    <w:qFormat/>
    <w:rsid w:val="00154B49"/>
    <w:pPr>
      <w:spacing w:after="240"/>
    </w:pPr>
    <w:rPr>
      <w:u w:val="single"/>
    </w:rPr>
  </w:style>
  <w:style w:type="character" w:customStyle="1" w:styleId="AnnexH1Char">
    <w:name w:val="Annex H1 Char"/>
    <w:basedOn w:val="DRTextChar"/>
    <w:link w:val="AnnexH1"/>
    <w:rsid w:val="00154B49"/>
    <w:rPr>
      <w:rFonts w:ascii="Calibri" w:hAnsi="Calibri" w:cs="Times New Roman"/>
      <w:sz w:val="22"/>
      <w:szCs w:val="22"/>
      <w:u w:val="single"/>
    </w:rPr>
  </w:style>
  <w:style w:type="paragraph" w:customStyle="1" w:styleId="Annexbullet">
    <w:name w:val="Annex bullet"/>
    <w:basedOn w:val="ListParagraph"/>
    <w:link w:val="AnnexbulletChar"/>
    <w:qFormat/>
    <w:rsid w:val="008B46AB"/>
    <w:pPr>
      <w:numPr>
        <w:numId w:val="1"/>
      </w:numPr>
      <w:spacing w:after="240"/>
      <w:ind w:hanging="295"/>
    </w:pPr>
    <w:rPr>
      <w:rFonts w:ascii="Calibri" w:hAnsi="Calibri" w:cs="Calibri"/>
      <w:sz w:val="22"/>
      <w:szCs w:val="22"/>
    </w:rPr>
  </w:style>
  <w:style w:type="character" w:customStyle="1" w:styleId="AnnexbulletChar">
    <w:name w:val="Annex bullet Char"/>
    <w:basedOn w:val="ListParagraphChar"/>
    <w:link w:val="Annexbullet"/>
    <w:rsid w:val="008B46AB"/>
    <w:rPr>
      <w:rFonts w:ascii="Calibri" w:hAnsi="Calibri" w:cs="Calibri"/>
      <w:sz w:val="22"/>
      <w:szCs w:val="22"/>
      <w:lang w:val="en-GB" w:eastAsia="fr-FR"/>
    </w:rPr>
  </w:style>
  <w:style w:type="paragraph" w:customStyle="1" w:styleId="AnnexFig">
    <w:name w:val="Annex Fig"/>
    <w:basedOn w:val="AnnexText"/>
    <w:link w:val="AnnexFigChar"/>
    <w:qFormat/>
    <w:rsid w:val="00686A60"/>
    <w:pPr>
      <w:numPr>
        <w:numId w:val="0"/>
      </w:numPr>
    </w:pPr>
    <w:rPr>
      <w:b/>
      <w:bCs/>
    </w:rPr>
  </w:style>
  <w:style w:type="character" w:customStyle="1" w:styleId="AnnexFigChar">
    <w:name w:val="Annex Fig Char"/>
    <w:basedOn w:val="AnnexTextChar"/>
    <w:link w:val="AnnexFig"/>
    <w:rsid w:val="00686A60"/>
    <w:rPr>
      <w:rFonts w:ascii="Calibri" w:hAnsi="Calibri" w:cs="Times New Roman"/>
      <w:b/>
      <w:bCs/>
      <w:sz w:val="22"/>
      <w:szCs w:val="22"/>
    </w:rPr>
  </w:style>
  <w:style w:type="paragraph" w:customStyle="1" w:styleId="Default">
    <w:name w:val="Default"/>
    <w:rsid w:val="00670E29"/>
    <w:pPr>
      <w:autoSpaceDE w:val="0"/>
      <w:autoSpaceDN w:val="0"/>
      <w:adjustRightInd w:val="0"/>
    </w:pPr>
    <w:rPr>
      <w:rFonts w:ascii="Myriad" w:hAnsi="Myriad" w:cs="Myriad"/>
      <w:color w:val="000000"/>
      <w:sz w:val="24"/>
      <w:szCs w:val="24"/>
    </w:rPr>
  </w:style>
  <w:style w:type="character" w:styleId="LineNumber">
    <w:name w:val="line number"/>
    <w:basedOn w:val="DefaultParagraphFont"/>
    <w:uiPriority w:val="99"/>
    <w:semiHidden/>
    <w:unhideWhenUsed/>
    <w:rsid w:val="00B15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16986">
      <w:bodyDiv w:val="1"/>
      <w:marLeft w:val="0"/>
      <w:marRight w:val="0"/>
      <w:marTop w:val="0"/>
      <w:marBottom w:val="0"/>
      <w:divBdr>
        <w:top w:val="none" w:sz="0" w:space="0" w:color="auto"/>
        <w:left w:val="none" w:sz="0" w:space="0" w:color="auto"/>
        <w:bottom w:val="none" w:sz="0" w:space="0" w:color="auto"/>
        <w:right w:val="none" w:sz="0" w:space="0" w:color="auto"/>
      </w:divBdr>
    </w:div>
    <w:div w:id="260334908">
      <w:marLeft w:val="120"/>
      <w:marRight w:val="120"/>
      <w:marTop w:val="0"/>
      <w:marBottom w:val="120"/>
      <w:divBdr>
        <w:top w:val="none" w:sz="0" w:space="0" w:color="auto"/>
        <w:left w:val="none" w:sz="0" w:space="0" w:color="auto"/>
        <w:bottom w:val="none" w:sz="0" w:space="0" w:color="auto"/>
        <w:right w:val="none" w:sz="0" w:space="0" w:color="auto"/>
      </w:divBdr>
      <w:divsChild>
        <w:div w:id="260334903">
          <w:marLeft w:val="0"/>
          <w:marRight w:val="0"/>
          <w:marTop w:val="0"/>
          <w:marBottom w:val="0"/>
          <w:divBdr>
            <w:top w:val="none" w:sz="0" w:space="0" w:color="auto"/>
            <w:left w:val="none" w:sz="0" w:space="0" w:color="auto"/>
            <w:bottom w:val="none" w:sz="0" w:space="0" w:color="auto"/>
            <w:right w:val="none" w:sz="0" w:space="0" w:color="auto"/>
          </w:divBdr>
          <w:divsChild>
            <w:div w:id="260334905">
              <w:marLeft w:val="0"/>
              <w:marRight w:val="0"/>
              <w:marTop w:val="0"/>
              <w:marBottom w:val="0"/>
              <w:divBdr>
                <w:top w:val="none" w:sz="0" w:space="0" w:color="auto"/>
                <w:left w:val="none" w:sz="0" w:space="0" w:color="auto"/>
                <w:bottom w:val="none" w:sz="0" w:space="0" w:color="auto"/>
                <w:right w:val="none" w:sz="0" w:space="0" w:color="auto"/>
              </w:divBdr>
              <w:divsChild>
                <w:div w:id="2603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34909">
      <w:marLeft w:val="0"/>
      <w:marRight w:val="0"/>
      <w:marTop w:val="0"/>
      <w:marBottom w:val="0"/>
      <w:divBdr>
        <w:top w:val="none" w:sz="0" w:space="0" w:color="auto"/>
        <w:left w:val="none" w:sz="0" w:space="0" w:color="auto"/>
        <w:bottom w:val="none" w:sz="0" w:space="0" w:color="auto"/>
        <w:right w:val="none" w:sz="0" w:space="0" w:color="auto"/>
      </w:divBdr>
    </w:div>
    <w:div w:id="260334913">
      <w:marLeft w:val="0"/>
      <w:marRight w:val="0"/>
      <w:marTop w:val="0"/>
      <w:marBottom w:val="0"/>
      <w:divBdr>
        <w:top w:val="none" w:sz="0" w:space="0" w:color="auto"/>
        <w:left w:val="none" w:sz="0" w:space="0" w:color="auto"/>
        <w:bottom w:val="none" w:sz="0" w:space="0" w:color="auto"/>
        <w:right w:val="none" w:sz="0" w:space="0" w:color="auto"/>
      </w:divBdr>
      <w:divsChild>
        <w:div w:id="260334904">
          <w:marLeft w:val="547"/>
          <w:marRight w:val="0"/>
          <w:marTop w:val="72"/>
          <w:marBottom w:val="0"/>
          <w:divBdr>
            <w:top w:val="none" w:sz="0" w:space="0" w:color="auto"/>
            <w:left w:val="none" w:sz="0" w:space="0" w:color="auto"/>
            <w:bottom w:val="none" w:sz="0" w:space="0" w:color="auto"/>
            <w:right w:val="none" w:sz="0" w:space="0" w:color="auto"/>
          </w:divBdr>
        </w:div>
        <w:div w:id="260334910">
          <w:marLeft w:val="547"/>
          <w:marRight w:val="0"/>
          <w:marTop w:val="72"/>
          <w:marBottom w:val="0"/>
          <w:divBdr>
            <w:top w:val="none" w:sz="0" w:space="0" w:color="auto"/>
            <w:left w:val="none" w:sz="0" w:space="0" w:color="auto"/>
            <w:bottom w:val="none" w:sz="0" w:space="0" w:color="auto"/>
            <w:right w:val="none" w:sz="0" w:space="0" w:color="auto"/>
          </w:divBdr>
        </w:div>
        <w:div w:id="260334911">
          <w:marLeft w:val="547"/>
          <w:marRight w:val="0"/>
          <w:marTop w:val="72"/>
          <w:marBottom w:val="0"/>
          <w:divBdr>
            <w:top w:val="none" w:sz="0" w:space="0" w:color="auto"/>
            <w:left w:val="none" w:sz="0" w:space="0" w:color="auto"/>
            <w:bottom w:val="none" w:sz="0" w:space="0" w:color="auto"/>
            <w:right w:val="none" w:sz="0" w:space="0" w:color="auto"/>
          </w:divBdr>
        </w:div>
        <w:div w:id="260334912">
          <w:marLeft w:val="547"/>
          <w:marRight w:val="0"/>
          <w:marTop w:val="72"/>
          <w:marBottom w:val="0"/>
          <w:divBdr>
            <w:top w:val="none" w:sz="0" w:space="0" w:color="auto"/>
            <w:left w:val="none" w:sz="0" w:space="0" w:color="auto"/>
            <w:bottom w:val="none" w:sz="0" w:space="0" w:color="auto"/>
            <w:right w:val="none" w:sz="0" w:space="0" w:color="auto"/>
          </w:divBdr>
        </w:div>
        <w:div w:id="260334915">
          <w:marLeft w:val="547"/>
          <w:marRight w:val="0"/>
          <w:marTop w:val="72"/>
          <w:marBottom w:val="0"/>
          <w:divBdr>
            <w:top w:val="none" w:sz="0" w:space="0" w:color="auto"/>
            <w:left w:val="none" w:sz="0" w:space="0" w:color="auto"/>
            <w:bottom w:val="none" w:sz="0" w:space="0" w:color="auto"/>
            <w:right w:val="none" w:sz="0" w:space="0" w:color="auto"/>
          </w:divBdr>
        </w:div>
        <w:div w:id="260334917">
          <w:marLeft w:val="547"/>
          <w:marRight w:val="0"/>
          <w:marTop w:val="72"/>
          <w:marBottom w:val="0"/>
          <w:divBdr>
            <w:top w:val="none" w:sz="0" w:space="0" w:color="auto"/>
            <w:left w:val="none" w:sz="0" w:space="0" w:color="auto"/>
            <w:bottom w:val="none" w:sz="0" w:space="0" w:color="auto"/>
            <w:right w:val="none" w:sz="0" w:space="0" w:color="auto"/>
          </w:divBdr>
        </w:div>
        <w:div w:id="260334919">
          <w:marLeft w:val="547"/>
          <w:marRight w:val="0"/>
          <w:marTop w:val="72"/>
          <w:marBottom w:val="0"/>
          <w:divBdr>
            <w:top w:val="none" w:sz="0" w:space="0" w:color="auto"/>
            <w:left w:val="none" w:sz="0" w:space="0" w:color="auto"/>
            <w:bottom w:val="none" w:sz="0" w:space="0" w:color="auto"/>
            <w:right w:val="none" w:sz="0" w:space="0" w:color="auto"/>
          </w:divBdr>
        </w:div>
      </w:divsChild>
    </w:div>
    <w:div w:id="260334916">
      <w:marLeft w:val="0"/>
      <w:marRight w:val="0"/>
      <w:marTop w:val="0"/>
      <w:marBottom w:val="0"/>
      <w:divBdr>
        <w:top w:val="none" w:sz="0" w:space="0" w:color="auto"/>
        <w:left w:val="none" w:sz="0" w:space="0" w:color="auto"/>
        <w:bottom w:val="none" w:sz="0" w:space="0" w:color="auto"/>
        <w:right w:val="none" w:sz="0" w:space="0" w:color="auto"/>
      </w:divBdr>
    </w:div>
    <w:div w:id="260334918">
      <w:marLeft w:val="120"/>
      <w:marRight w:val="120"/>
      <w:marTop w:val="0"/>
      <w:marBottom w:val="120"/>
      <w:divBdr>
        <w:top w:val="none" w:sz="0" w:space="0" w:color="auto"/>
        <w:left w:val="none" w:sz="0" w:space="0" w:color="auto"/>
        <w:bottom w:val="none" w:sz="0" w:space="0" w:color="auto"/>
        <w:right w:val="none" w:sz="0" w:space="0" w:color="auto"/>
      </w:divBdr>
      <w:divsChild>
        <w:div w:id="260334902">
          <w:marLeft w:val="0"/>
          <w:marRight w:val="0"/>
          <w:marTop w:val="0"/>
          <w:marBottom w:val="0"/>
          <w:divBdr>
            <w:top w:val="none" w:sz="0" w:space="0" w:color="auto"/>
            <w:left w:val="none" w:sz="0" w:space="0" w:color="auto"/>
            <w:bottom w:val="none" w:sz="0" w:space="0" w:color="auto"/>
            <w:right w:val="none" w:sz="0" w:space="0" w:color="auto"/>
          </w:divBdr>
          <w:divsChild>
            <w:div w:id="260334914">
              <w:marLeft w:val="0"/>
              <w:marRight w:val="0"/>
              <w:marTop w:val="0"/>
              <w:marBottom w:val="0"/>
              <w:divBdr>
                <w:top w:val="none" w:sz="0" w:space="0" w:color="auto"/>
                <w:left w:val="none" w:sz="0" w:space="0" w:color="auto"/>
                <w:bottom w:val="none" w:sz="0" w:space="0" w:color="auto"/>
                <w:right w:val="none" w:sz="0" w:space="0" w:color="auto"/>
              </w:divBdr>
              <w:divsChild>
                <w:div w:id="2603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061185">
      <w:bodyDiv w:val="1"/>
      <w:marLeft w:val="0"/>
      <w:marRight w:val="0"/>
      <w:marTop w:val="0"/>
      <w:marBottom w:val="0"/>
      <w:divBdr>
        <w:top w:val="none" w:sz="0" w:space="0" w:color="auto"/>
        <w:left w:val="none" w:sz="0" w:space="0" w:color="auto"/>
        <w:bottom w:val="none" w:sz="0" w:space="0" w:color="auto"/>
        <w:right w:val="none" w:sz="0" w:space="0" w:color="auto"/>
      </w:divBdr>
    </w:div>
    <w:div w:id="297103799">
      <w:bodyDiv w:val="1"/>
      <w:marLeft w:val="0"/>
      <w:marRight w:val="0"/>
      <w:marTop w:val="0"/>
      <w:marBottom w:val="0"/>
      <w:divBdr>
        <w:top w:val="none" w:sz="0" w:space="0" w:color="auto"/>
        <w:left w:val="none" w:sz="0" w:space="0" w:color="auto"/>
        <w:bottom w:val="none" w:sz="0" w:space="0" w:color="auto"/>
        <w:right w:val="none" w:sz="0" w:space="0" w:color="auto"/>
      </w:divBdr>
    </w:div>
    <w:div w:id="382800920">
      <w:bodyDiv w:val="1"/>
      <w:marLeft w:val="0"/>
      <w:marRight w:val="0"/>
      <w:marTop w:val="0"/>
      <w:marBottom w:val="0"/>
      <w:divBdr>
        <w:top w:val="none" w:sz="0" w:space="0" w:color="auto"/>
        <w:left w:val="none" w:sz="0" w:space="0" w:color="auto"/>
        <w:bottom w:val="none" w:sz="0" w:space="0" w:color="auto"/>
        <w:right w:val="none" w:sz="0" w:space="0" w:color="auto"/>
      </w:divBdr>
    </w:div>
    <w:div w:id="427776208">
      <w:bodyDiv w:val="1"/>
      <w:marLeft w:val="0"/>
      <w:marRight w:val="0"/>
      <w:marTop w:val="0"/>
      <w:marBottom w:val="0"/>
      <w:divBdr>
        <w:top w:val="none" w:sz="0" w:space="0" w:color="auto"/>
        <w:left w:val="none" w:sz="0" w:space="0" w:color="auto"/>
        <w:bottom w:val="none" w:sz="0" w:space="0" w:color="auto"/>
        <w:right w:val="none" w:sz="0" w:space="0" w:color="auto"/>
      </w:divBdr>
    </w:div>
    <w:div w:id="548421179">
      <w:bodyDiv w:val="1"/>
      <w:marLeft w:val="0"/>
      <w:marRight w:val="0"/>
      <w:marTop w:val="0"/>
      <w:marBottom w:val="0"/>
      <w:divBdr>
        <w:top w:val="none" w:sz="0" w:space="0" w:color="auto"/>
        <w:left w:val="none" w:sz="0" w:space="0" w:color="auto"/>
        <w:bottom w:val="none" w:sz="0" w:space="0" w:color="auto"/>
        <w:right w:val="none" w:sz="0" w:space="0" w:color="auto"/>
      </w:divBdr>
    </w:div>
    <w:div w:id="611128215">
      <w:bodyDiv w:val="1"/>
      <w:marLeft w:val="0"/>
      <w:marRight w:val="0"/>
      <w:marTop w:val="0"/>
      <w:marBottom w:val="0"/>
      <w:divBdr>
        <w:top w:val="none" w:sz="0" w:space="0" w:color="auto"/>
        <w:left w:val="none" w:sz="0" w:space="0" w:color="auto"/>
        <w:bottom w:val="none" w:sz="0" w:space="0" w:color="auto"/>
        <w:right w:val="none" w:sz="0" w:space="0" w:color="auto"/>
      </w:divBdr>
    </w:div>
    <w:div w:id="759448774">
      <w:bodyDiv w:val="1"/>
      <w:marLeft w:val="0"/>
      <w:marRight w:val="0"/>
      <w:marTop w:val="0"/>
      <w:marBottom w:val="0"/>
      <w:divBdr>
        <w:top w:val="none" w:sz="0" w:space="0" w:color="auto"/>
        <w:left w:val="none" w:sz="0" w:space="0" w:color="auto"/>
        <w:bottom w:val="none" w:sz="0" w:space="0" w:color="auto"/>
        <w:right w:val="none" w:sz="0" w:space="0" w:color="auto"/>
      </w:divBdr>
    </w:div>
    <w:div w:id="815075192">
      <w:bodyDiv w:val="1"/>
      <w:marLeft w:val="0"/>
      <w:marRight w:val="0"/>
      <w:marTop w:val="0"/>
      <w:marBottom w:val="0"/>
      <w:divBdr>
        <w:top w:val="none" w:sz="0" w:space="0" w:color="auto"/>
        <w:left w:val="none" w:sz="0" w:space="0" w:color="auto"/>
        <w:bottom w:val="none" w:sz="0" w:space="0" w:color="auto"/>
        <w:right w:val="none" w:sz="0" w:space="0" w:color="auto"/>
      </w:divBdr>
    </w:div>
    <w:div w:id="958224251">
      <w:bodyDiv w:val="1"/>
      <w:marLeft w:val="0"/>
      <w:marRight w:val="0"/>
      <w:marTop w:val="0"/>
      <w:marBottom w:val="0"/>
      <w:divBdr>
        <w:top w:val="none" w:sz="0" w:space="0" w:color="auto"/>
        <w:left w:val="none" w:sz="0" w:space="0" w:color="auto"/>
        <w:bottom w:val="none" w:sz="0" w:space="0" w:color="auto"/>
        <w:right w:val="none" w:sz="0" w:space="0" w:color="auto"/>
      </w:divBdr>
    </w:div>
    <w:div w:id="1106730355">
      <w:bodyDiv w:val="1"/>
      <w:marLeft w:val="0"/>
      <w:marRight w:val="0"/>
      <w:marTop w:val="0"/>
      <w:marBottom w:val="0"/>
      <w:divBdr>
        <w:top w:val="none" w:sz="0" w:space="0" w:color="auto"/>
        <w:left w:val="none" w:sz="0" w:space="0" w:color="auto"/>
        <w:bottom w:val="none" w:sz="0" w:space="0" w:color="auto"/>
        <w:right w:val="none" w:sz="0" w:space="0" w:color="auto"/>
      </w:divBdr>
    </w:div>
    <w:div w:id="1139148907">
      <w:bodyDiv w:val="1"/>
      <w:marLeft w:val="0"/>
      <w:marRight w:val="0"/>
      <w:marTop w:val="0"/>
      <w:marBottom w:val="0"/>
      <w:divBdr>
        <w:top w:val="none" w:sz="0" w:space="0" w:color="auto"/>
        <w:left w:val="none" w:sz="0" w:space="0" w:color="auto"/>
        <w:bottom w:val="none" w:sz="0" w:space="0" w:color="auto"/>
        <w:right w:val="none" w:sz="0" w:space="0" w:color="auto"/>
      </w:divBdr>
    </w:div>
    <w:div w:id="1158183622">
      <w:bodyDiv w:val="1"/>
      <w:marLeft w:val="0"/>
      <w:marRight w:val="0"/>
      <w:marTop w:val="0"/>
      <w:marBottom w:val="0"/>
      <w:divBdr>
        <w:top w:val="none" w:sz="0" w:space="0" w:color="auto"/>
        <w:left w:val="none" w:sz="0" w:space="0" w:color="auto"/>
        <w:bottom w:val="none" w:sz="0" w:space="0" w:color="auto"/>
        <w:right w:val="none" w:sz="0" w:space="0" w:color="auto"/>
      </w:divBdr>
    </w:div>
    <w:div w:id="1231426962">
      <w:bodyDiv w:val="1"/>
      <w:marLeft w:val="0"/>
      <w:marRight w:val="0"/>
      <w:marTop w:val="0"/>
      <w:marBottom w:val="0"/>
      <w:divBdr>
        <w:top w:val="none" w:sz="0" w:space="0" w:color="auto"/>
        <w:left w:val="none" w:sz="0" w:space="0" w:color="auto"/>
        <w:bottom w:val="none" w:sz="0" w:space="0" w:color="auto"/>
        <w:right w:val="none" w:sz="0" w:space="0" w:color="auto"/>
      </w:divBdr>
    </w:div>
    <w:div w:id="1331442916">
      <w:bodyDiv w:val="1"/>
      <w:marLeft w:val="0"/>
      <w:marRight w:val="0"/>
      <w:marTop w:val="0"/>
      <w:marBottom w:val="0"/>
      <w:divBdr>
        <w:top w:val="none" w:sz="0" w:space="0" w:color="auto"/>
        <w:left w:val="none" w:sz="0" w:space="0" w:color="auto"/>
        <w:bottom w:val="none" w:sz="0" w:space="0" w:color="auto"/>
        <w:right w:val="none" w:sz="0" w:space="0" w:color="auto"/>
      </w:divBdr>
    </w:div>
    <w:div w:id="1725718474">
      <w:bodyDiv w:val="1"/>
      <w:marLeft w:val="0"/>
      <w:marRight w:val="0"/>
      <w:marTop w:val="0"/>
      <w:marBottom w:val="0"/>
      <w:divBdr>
        <w:top w:val="none" w:sz="0" w:space="0" w:color="auto"/>
        <w:left w:val="none" w:sz="0" w:space="0" w:color="auto"/>
        <w:bottom w:val="none" w:sz="0" w:space="0" w:color="auto"/>
        <w:right w:val="none" w:sz="0" w:space="0" w:color="auto"/>
      </w:divBdr>
    </w:div>
    <w:div w:id="1766413560">
      <w:bodyDiv w:val="1"/>
      <w:marLeft w:val="0"/>
      <w:marRight w:val="0"/>
      <w:marTop w:val="0"/>
      <w:marBottom w:val="0"/>
      <w:divBdr>
        <w:top w:val="none" w:sz="0" w:space="0" w:color="auto"/>
        <w:left w:val="none" w:sz="0" w:space="0" w:color="auto"/>
        <w:bottom w:val="none" w:sz="0" w:space="0" w:color="auto"/>
        <w:right w:val="none" w:sz="0" w:space="0" w:color="auto"/>
      </w:divBdr>
    </w:div>
    <w:div w:id="1775711275">
      <w:bodyDiv w:val="1"/>
      <w:marLeft w:val="0"/>
      <w:marRight w:val="0"/>
      <w:marTop w:val="0"/>
      <w:marBottom w:val="0"/>
      <w:divBdr>
        <w:top w:val="none" w:sz="0" w:space="0" w:color="auto"/>
        <w:left w:val="none" w:sz="0" w:space="0" w:color="auto"/>
        <w:bottom w:val="none" w:sz="0" w:space="0" w:color="auto"/>
        <w:right w:val="none" w:sz="0" w:space="0" w:color="auto"/>
      </w:divBdr>
    </w:div>
    <w:div w:id="1787499126">
      <w:bodyDiv w:val="1"/>
      <w:marLeft w:val="0"/>
      <w:marRight w:val="0"/>
      <w:marTop w:val="0"/>
      <w:marBottom w:val="0"/>
      <w:divBdr>
        <w:top w:val="none" w:sz="0" w:space="0" w:color="auto"/>
        <w:left w:val="none" w:sz="0" w:space="0" w:color="auto"/>
        <w:bottom w:val="none" w:sz="0" w:space="0" w:color="auto"/>
        <w:right w:val="none" w:sz="0" w:space="0" w:color="auto"/>
      </w:divBdr>
      <w:divsChild>
        <w:div w:id="1643122074">
          <w:marLeft w:val="0"/>
          <w:marRight w:val="0"/>
          <w:marTop w:val="0"/>
          <w:marBottom w:val="0"/>
          <w:divBdr>
            <w:top w:val="none" w:sz="0" w:space="0" w:color="auto"/>
            <w:left w:val="none" w:sz="0" w:space="0" w:color="auto"/>
            <w:bottom w:val="none" w:sz="0" w:space="0" w:color="auto"/>
            <w:right w:val="none" w:sz="0" w:space="0" w:color="auto"/>
          </w:divBdr>
        </w:div>
      </w:divsChild>
    </w:div>
    <w:div w:id="1841503490">
      <w:bodyDiv w:val="1"/>
      <w:marLeft w:val="0"/>
      <w:marRight w:val="0"/>
      <w:marTop w:val="0"/>
      <w:marBottom w:val="0"/>
      <w:divBdr>
        <w:top w:val="none" w:sz="0" w:space="0" w:color="auto"/>
        <w:left w:val="none" w:sz="0" w:space="0" w:color="auto"/>
        <w:bottom w:val="none" w:sz="0" w:space="0" w:color="auto"/>
        <w:right w:val="none" w:sz="0" w:space="0" w:color="auto"/>
      </w:divBdr>
    </w:div>
    <w:div w:id="2031948052">
      <w:bodyDiv w:val="1"/>
      <w:marLeft w:val="0"/>
      <w:marRight w:val="0"/>
      <w:marTop w:val="0"/>
      <w:marBottom w:val="0"/>
      <w:divBdr>
        <w:top w:val="none" w:sz="0" w:space="0" w:color="auto"/>
        <w:left w:val="none" w:sz="0" w:space="0" w:color="auto"/>
        <w:bottom w:val="none" w:sz="0" w:space="0" w:color="auto"/>
        <w:right w:val="none" w:sz="0" w:space="0" w:color="auto"/>
      </w:divBdr>
      <w:divsChild>
        <w:div w:id="1953394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EE0E1D656D104D9982CB97F943D824" ma:contentTypeVersion="15" ma:contentTypeDescription="Create a new document." ma:contentTypeScope="" ma:versionID="8456ff96afa6b4ad4973873891214925">
  <xsd:schema xmlns:xsd="http://www.w3.org/2001/XMLSchema" xmlns:xs="http://www.w3.org/2001/XMLSchema" xmlns:p="http://schemas.microsoft.com/office/2006/metadata/properties" xmlns:ns2="a3a2dff7-4331-4a95-9af9-6b2cd4e65ac3" xmlns:ns3="ecaa2b1f-0678-4421-92e9-1090174541bd" targetNamespace="http://schemas.microsoft.com/office/2006/metadata/properties" ma:root="true" ma:fieldsID="b2a4fbd3c925dd17abe58bf570dfe939" ns2:_="" ns3:_="">
    <xsd:import namespace="a3a2dff7-4331-4a95-9af9-6b2cd4e65ac3"/>
    <xsd:import namespace="ecaa2b1f-0678-4421-92e9-1090174541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2dff7-4331-4a95-9af9-6b2cd4e65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e8566c-cd23-4427-80f6-db2d3da7b4d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aa2b1f-0678-4421-92e9-1090174541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9765f46-9ff9-428c-9541-663e9a6be89c}" ma:internalName="TaxCatchAll" ma:showField="CatchAllData" ma:web="ecaa2b1f-0678-4421-92e9-1090174541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3a2dff7-4331-4a95-9af9-6b2cd4e65ac3">
      <Terms xmlns="http://schemas.microsoft.com/office/infopath/2007/PartnerControls"/>
    </lcf76f155ced4ddcb4097134ff3c332f>
    <TaxCatchAll xmlns="ecaa2b1f-0678-4421-92e9-1090174541bd" xsi:nil="true"/>
  </documentManagement>
</p:properties>
</file>

<file path=customXml/itemProps1.xml><?xml version="1.0" encoding="utf-8"?>
<ds:datastoreItem xmlns:ds="http://schemas.openxmlformats.org/officeDocument/2006/customXml" ds:itemID="{A3901ED2-D527-4EDE-8502-32AAD8E0D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2dff7-4331-4a95-9af9-6b2cd4e65ac3"/>
    <ds:schemaRef ds:uri="ecaa2b1f-0678-4421-92e9-109017454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22EAF6-9296-4788-81E9-873B715926CF}">
  <ds:schemaRefs>
    <ds:schemaRef ds:uri="http://schemas.microsoft.com/sharepoint/v3/contenttype/forms"/>
  </ds:schemaRefs>
</ds:datastoreItem>
</file>

<file path=customXml/itemProps3.xml><?xml version="1.0" encoding="utf-8"?>
<ds:datastoreItem xmlns:ds="http://schemas.openxmlformats.org/officeDocument/2006/customXml" ds:itemID="{9EF64CFD-CCE1-4E67-A290-38633813BC6E}">
  <ds:schemaRefs>
    <ds:schemaRef ds:uri="http://schemas.openxmlformats.org/officeDocument/2006/bibliography"/>
  </ds:schemaRefs>
</ds:datastoreItem>
</file>

<file path=customXml/itemProps4.xml><?xml version="1.0" encoding="utf-8"?>
<ds:datastoreItem xmlns:ds="http://schemas.openxmlformats.org/officeDocument/2006/customXml" ds:itemID="{9320F154-6F78-4265-8115-20343B2D1CAA}">
  <ds:schemaRefs>
    <ds:schemaRef ds:uri="http://schemas.microsoft.com/office/2006/metadata/properties"/>
    <ds:schemaRef ds:uri="http://schemas.microsoft.com/office/infopath/2007/PartnerControls"/>
    <ds:schemaRef ds:uri="a3a2dff7-4331-4a95-9af9-6b2cd4e65ac3"/>
    <ds:schemaRef ds:uri="ecaa2b1f-0678-4421-92e9-1090174541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3841</Words>
  <Characters>20741</Characters>
  <Application>Microsoft Office Word</Application>
  <DocSecurity>0</DocSecurity>
  <Lines>172</Lines>
  <Paragraphs>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Ympäristöhallinto</Company>
  <LinksUpToDate>false</LinksUpToDate>
  <CharactersWithSpaces>24533</CharactersWithSpaces>
  <SharedDoc>false</SharedDoc>
  <HLinks>
    <vt:vector size="18" baseType="variant">
      <vt:variant>
        <vt:i4>5439611</vt:i4>
      </vt:variant>
      <vt:variant>
        <vt:i4>6</vt:i4>
      </vt:variant>
      <vt:variant>
        <vt:i4>0</vt:i4>
      </vt:variant>
      <vt:variant>
        <vt:i4>5</vt:i4>
      </vt:variant>
      <vt:variant>
        <vt:lpwstr>http://www.ramsar.org/cda/en/ramsar-documents-strategicplansc47/main/ramsar/1-31-605_4000_0__</vt:lpwstr>
      </vt:variant>
      <vt:variant>
        <vt:lpwstr/>
      </vt:variant>
      <vt:variant>
        <vt:i4>7667755</vt:i4>
      </vt:variant>
      <vt:variant>
        <vt:i4>3</vt:i4>
      </vt:variant>
      <vt:variant>
        <vt:i4>0</vt:i4>
      </vt:variant>
      <vt:variant>
        <vt:i4>5</vt:i4>
      </vt:variant>
      <vt:variant>
        <vt:lpwstr>https://www.cbd.int/gbo4advance</vt:lpwstr>
      </vt:variant>
      <vt:variant>
        <vt:lpwstr/>
      </vt:variant>
      <vt:variant>
        <vt:i4>4194355</vt:i4>
      </vt:variant>
      <vt:variant>
        <vt:i4>0</vt:i4>
      </vt:variant>
      <vt:variant>
        <vt:i4>0</vt:i4>
      </vt:variant>
      <vt:variant>
        <vt:i4>5</vt:i4>
      </vt:variant>
      <vt:variant>
        <vt:lpwstr>http://www.cdc.gov/healthywater/global/wash_statistics.html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Republic of Korea</dc:creator>
  <cp:lastModifiedBy>JENNINGS Edmund</cp:lastModifiedBy>
  <cp:revision>5</cp:revision>
  <cp:lastPrinted>2015-02-19T18:23:00Z</cp:lastPrinted>
  <dcterms:created xsi:type="dcterms:W3CDTF">2024-12-05T13:03:00Z</dcterms:created>
  <dcterms:modified xsi:type="dcterms:W3CDTF">2024-12-05T13:51:00Z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0x01010084EE0E1D656D104D9982CB97F943D824</vt:lpwstr>
  </property>
</Properties>
</file>