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82AB" w14:textId="77777777" w:rsidR="00F70FAF" w:rsidRPr="00F70FAF" w:rsidRDefault="00F70FAF" w:rsidP="00F70FA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Pr>
          <w:rFonts w:ascii="Calibri" w:hAnsi="Calibri"/>
          <w:sz w:val="22"/>
          <w:szCs w:val="22"/>
        </w:rPr>
        <w:t>LA CONVENCIÓN SOBRE LOS HUMEDALES</w:t>
      </w:r>
    </w:p>
    <w:p w14:paraId="06B2DCBA" w14:textId="77777777" w:rsidR="00F70FAF" w:rsidRPr="00F70FAF" w:rsidRDefault="00F70FAF" w:rsidP="00F70FA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Pr>
          <w:rFonts w:ascii="Calibri" w:hAnsi="Calibri"/>
          <w:sz w:val="22"/>
          <w:szCs w:val="22"/>
        </w:rPr>
        <w:t>64ª reunión del Comité Permanente</w:t>
      </w:r>
    </w:p>
    <w:p w14:paraId="16CA6FC3" w14:textId="77777777" w:rsidR="00F70FAF" w:rsidRPr="00F70FAF" w:rsidRDefault="00F70FAF" w:rsidP="00F70FA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Pr>
          <w:rFonts w:ascii="Calibri" w:hAnsi="Calibri"/>
          <w:sz w:val="22"/>
          <w:szCs w:val="22"/>
        </w:rPr>
        <w:t>Gland, Suiza, 20 a 24 de enero de 2025</w:t>
      </w:r>
    </w:p>
    <w:p w14:paraId="70B96578" w14:textId="77777777" w:rsidR="00D70C1B" w:rsidRDefault="00D70C1B" w:rsidP="00C0693F">
      <w:pPr>
        <w:jc w:val="right"/>
        <w:rPr>
          <w:b/>
          <w:sz w:val="28"/>
          <w:szCs w:val="28"/>
        </w:rPr>
      </w:pPr>
    </w:p>
    <w:p w14:paraId="7F834C1D" w14:textId="73947B93" w:rsidR="00F70FAF" w:rsidRDefault="00F70FAF" w:rsidP="00C0693F">
      <w:pPr>
        <w:jc w:val="right"/>
        <w:rPr>
          <w:b/>
          <w:sz w:val="28"/>
          <w:szCs w:val="28"/>
        </w:rPr>
      </w:pPr>
      <w:r>
        <w:rPr>
          <w:b/>
          <w:sz w:val="28"/>
          <w:szCs w:val="28"/>
        </w:rPr>
        <w:t>SC64 Doc.29.5</w:t>
      </w:r>
    </w:p>
    <w:p w14:paraId="44F80590" w14:textId="77777777" w:rsidR="00F70FAF" w:rsidRPr="003F7858" w:rsidRDefault="00F70FAF" w:rsidP="00C0693F">
      <w:pPr>
        <w:jc w:val="right"/>
        <w:rPr>
          <w:b/>
          <w:sz w:val="28"/>
          <w:szCs w:val="28"/>
        </w:rPr>
      </w:pPr>
    </w:p>
    <w:p w14:paraId="1376AD06" w14:textId="27A88F54" w:rsidR="00D70C1B" w:rsidRPr="00C0693F" w:rsidRDefault="00D70C1B" w:rsidP="00C0693F">
      <w:pPr>
        <w:ind w:right="16"/>
        <w:jc w:val="center"/>
        <w:rPr>
          <w:rFonts w:eastAsia="Times New Roman"/>
          <w:b/>
          <w:bCs/>
          <w:sz w:val="28"/>
          <w:szCs w:val="28"/>
        </w:rPr>
      </w:pPr>
      <w:r>
        <w:rPr>
          <w:b/>
          <w:bCs/>
          <w:sz w:val="28"/>
          <w:szCs w:val="28"/>
        </w:rPr>
        <w:t>Propuesta de proyecto de resolución sobre la consecución de la conservación equitativa y eficaz de los humedales como áreas protegidas y otras medidas eficaces de conservación basadas en áreas (OMEC)</w:t>
      </w:r>
    </w:p>
    <w:p w14:paraId="4AD87F8B" w14:textId="77777777" w:rsidR="00D70C1B" w:rsidRPr="003F7858" w:rsidRDefault="00D70C1B" w:rsidP="00C0693F">
      <w:pPr>
        <w:jc w:val="right"/>
        <w:rPr>
          <w:rFonts w:eastAsia="Times New Roman"/>
          <w:b/>
          <w:sz w:val="28"/>
          <w:szCs w:val="28"/>
        </w:rPr>
      </w:pPr>
    </w:p>
    <w:p w14:paraId="6EA1D275" w14:textId="78F4C7F4" w:rsidR="00D70C1B" w:rsidRPr="00F70FAF" w:rsidRDefault="0010331C" w:rsidP="00C0693F">
      <w:pPr>
        <w:ind w:right="16"/>
        <w:rPr>
          <w:rFonts w:eastAsia="Times New Roman"/>
          <w:i/>
          <w:sz w:val="22"/>
          <w:szCs w:val="22"/>
        </w:rPr>
      </w:pPr>
      <w:r>
        <w:rPr>
          <w:b/>
          <w:noProof/>
          <w:sz w:val="22"/>
          <w:szCs w:val="22"/>
        </w:rPr>
        <mc:AlternateContent>
          <mc:Choice Requires="wps">
            <w:drawing>
              <wp:anchor distT="45720" distB="45720" distL="114300" distR="114300" simplePos="0" relativeHeight="251658240" behindDoc="0" locked="0" layoutInCell="1" allowOverlap="1" wp14:anchorId="4C7D654B" wp14:editId="20D16A5B">
                <wp:simplePos x="0" y="0"/>
                <wp:positionH relativeFrom="margin">
                  <wp:align>left</wp:align>
                </wp:positionH>
                <wp:positionV relativeFrom="paragraph">
                  <wp:posOffset>321310</wp:posOffset>
                </wp:positionV>
                <wp:extent cx="5820410" cy="822960"/>
                <wp:effectExtent l="0" t="0" r="2794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22960"/>
                        </a:xfrm>
                        <a:prstGeom prst="rect">
                          <a:avLst/>
                        </a:prstGeom>
                        <a:solidFill>
                          <a:srgbClr val="FFFFFF"/>
                        </a:solidFill>
                        <a:ln w="9525">
                          <a:solidFill>
                            <a:srgbClr val="000000"/>
                          </a:solidFill>
                          <a:miter lim="800000"/>
                          <a:headEnd/>
                          <a:tailEnd/>
                        </a:ln>
                      </wps:spPr>
                      <wps:txbx>
                        <w:txbxContent>
                          <w:p w14:paraId="149B9FAE" w14:textId="77777777" w:rsidR="00D70C1B" w:rsidRDefault="00D70C1B" w:rsidP="00D70C1B">
                            <w:pPr>
                              <w:rPr>
                                <w:rFonts w:cs="Calibri"/>
                                <w:b/>
                                <w:sz w:val="22"/>
                                <w:szCs w:val="22"/>
                              </w:rPr>
                            </w:pPr>
                            <w:r>
                              <w:rPr>
                                <w:b/>
                                <w:sz w:val="22"/>
                                <w:szCs w:val="22"/>
                              </w:rPr>
                              <w:t>Acción solicitada:</w:t>
                            </w:r>
                          </w:p>
                          <w:p w14:paraId="7ADD4DC2" w14:textId="77777777" w:rsidR="00F70FAF" w:rsidRPr="00F70FAF" w:rsidRDefault="00F70FAF" w:rsidP="00D70C1B">
                            <w:pPr>
                              <w:rPr>
                                <w:rFonts w:cs="Calibri"/>
                                <w:b/>
                                <w:sz w:val="22"/>
                                <w:szCs w:val="22"/>
                              </w:rPr>
                            </w:pPr>
                          </w:p>
                          <w:p w14:paraId="31498A96" w14:textId="5AB57785" w:rsidR="00D70C1B" w:rsidRPr="00F70FAF" w:rsidRDefault="00D70C1B" w:rsidP="00F70FAF">
                            <w:pPr>
                              <w:widowControl w:val="0"/>
                              <w:rPr>
                                <w:sz w:val="22"/>
                                <w:szCs w:val="22"/>
                              </w:rPr>
                            </w:pPr>
                            <w:r>
                              <w:rPr>
                                <w:sz w:val="22"/>
                                <w:szCs w:val="22"/>
                              </w:rPr>
                              <w:t>Se invita al Comité Permanente a examinar y aprobar el proyecto de resolución adjunto para su consideración por la 15</w:t>
                            </w:r>
                            <w:r>
                              <w:rPr>
                                <w:sz w:val="22"/>
                                <w:szCs w:val="22"/>
                                <w:vertAlign w:val="superscript"/>
                              </w:rPr>
                              <w:t>a</w:t>
                            </w:r>
                            <w:r>
                              <w:rPr>
                                <w:sz w:val="22"/>
                                <w:szCs w:val="22"/>
                              </w:rPr>
                              <w:t xml:space="preserve"> reunión de la Conferencia de las Partes Contratantes.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D654B" id="_x0000_t202" coordsize="21600,21600" o:spt="202" path="m,l,21600r21600,l21600,xe">
                <v:stroke joinstyle="miter"/>
                <v:path gradientshapeok="t" o:connecttype="rect"/>
              </v:shapetype>
              <v:shape id="Text Box 2" o:spid="_x0000_s1026" type="#_x0000_t202" style="position:absolute;margin-left:0;margin-top:25.3pt;width:458.3pt;height:64.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HgDwIAAB8EAAAOAAAAZHJzL2Uyb0RvYy54bWysU1Fv0zAQfkfiP1h+p0mjdqxR02l0FCGN&#10;gTT4ARfHaSwcn7HdJuXXc3a7rhrwgvCD5fOdP999993yZuw120vnFZqKTyc5Z9IIbJTZVvzb182b&#10;a858ANOARiMrfpCe36xev1oOtpQFdqgb6RiBGF8OtuJdCLbMMi862YOfoJWGnC26HgKZbps1DgZC&#10;73VW5PlVNqBrrEMhvafbu6OTrxJ+20oRPretl4HpilNuIe0u7XXcs9USyq0D2ylxSgP+IYselKFP&#10;z1B3EIDtnPoNqlfCocc2TAT2GbatEjLVQNVM8xfVPHZgZaqFyPH2TJP/f7DiYf9ovzgWxnc4UgNT&#10;Ed7eo/jumcF1B2Yrb53DoZPQ0MfTSFk2WF+enkaqfekjSD18woaaDLuACWhsXR9ZoToZoVMDDmfS&#10;5RiYoMv5dZHPpuQS5LsuisVV6koG5dNr63z4ILFn8VBxR01N6LC/9yFmA+VTSPzMo1bNRmmdDLet&#10;19qxPZAANmmlAl6EacOGii/mxfxIwF8h8rT+BNGrQErWqqcqzkFQRtremybpLIDSxzOlrM2Jx0jd&#10;kcQw1iMFRj5rbA7EqMOjYmnC6NCh+8nZQGqtuP+xAyc50x8NdWUxnc2ivJMxm78tyHCXnvrSA0YQ&#10;VMUDZ8fjOqSRiIQZvKXutSoR+5zJKVdSYeL7NDFR5pd2inqe69UvAAAA//8DAFBLAwQUAAYACAAA&#10;ACEAYK2v190AAAAHAQAADwAAAGRycy9kb3ducmV2LnhtbEyPwU7DMBBE70j8g7VIXBC1WyCkIU6F&#10;kEBwg7aCqxtvkwh7HWI3DX/PcoLbrGY087ZcTd6JEYfYBdIwnykQSHWwHTUatpvHyxxETIascYFQ&#10;wzdGWFWnJ6UpbDjSG47r1AguoVgYDW1KfSFlrFv0Js5Cj8TePgzeJD6HRtrBHLncO7lQKpPedMQL&#10;renxocX6c33wGvLr5/Ejvly9vtfZ3i3Txe349DVofX423d+BSDilvzD84jM6VMy0CweyUTgN/EjS&#10;cKMyEOwu5xmLHcdytQBZlfI/f/UDAAD//wMAUEsBAi0AFAAGAAgAAAAhALaDOJL+AAAA4QEAABMA&#10;AAAAAAAAAAAAAAAAAAAAAFtDb250ZW50X1R5cGVzXS54bWxQSwECLQAUAAYACAAAACEAOP0h/9YA&#10;AACUAQAACwAAAAAAAAAAAAAAAAAvAQAAX3JlbHMvLnJlbHNQSwECLQAUAAYACAAAACEAEunB4A8C&#10;AAAfBAAADgAAAAAAAAAAAAAAAAAuAgAAZHJzL2Uyb0RvYy54bWxQSwECLQAUAAYACAAAACEAYK2v&#10;190AAAAHAQAADwAAAAAAAAAAAAAAAABpBAAAZHJzL2Rvd25yZXYueG1sUEsFBgAAAAAEAAQA8wAA&#10;AHMFAAAAAA==&#10;">
                <v:textbox>
                  <w:txbxContent>
                    <w:p w14:paraId="149B9FAE" w14:textId="77777777" w:rsidR="00D70C1B" w:rsidRDefault="00D70C1B" w:rsidP="00D70C1B">
                      <w:pPr>
                        <w:rPr>
                          <w:rFonts w:cs="Calibri"/>
                          <w:b/>
                          <w:sz w:val="22"/>
                          <w:szCs w:val="22"/>
                        </w:rPr>
                      </w:pPr>
                      <w:r>
                        <w:rPr>
                          <w:b/>
                          <w:sz w:val="22"/>
                          <w:szCs w:val="22"/>
                        </w:rPr>
                        <w:t>Acción solicitada:</w:t>
                      </w:r>
                    </w:p>
                    <w:p w14:paraId="7ADD4DC2" w14:textId="77777777" w:rsidR="00F70FAF" w:rsidRPr="00F70FAF" w:rsidRDefault="00F70FAF" w:rsidP="00D70C1B">
                      <w:pPr>
                        <w:rPr>
                          <w:rFonts w:cs="Calibri"/>
                          <w:b/>
                          <w:sz w:val="22"/>
                          <w:szCs w:val="22"/>
                        </w:rPr>
                      </w:pPr>
                    </w:p>
                    <w:p w14:paraId="31498A96" w14:textId="5AB57785" w:rsidR="00D70C1B" w:rsidRPr="00F70FAF" w:rsidRDefault="00D70C1B" w:rsidP="00F70FAF">
                      <w:pPr>
                        <w:widowControl w:val="0"/>
                        <w:rPr>
                          <w:sz w:val="22"/>
                          <w:szCs w:val="22"/>
                        </w:rPr>
                      </w:pPr>
                      <w:r>
                        <w:rPr>
                          <w:sz w:val="22"/>
                          <w:szCs w:val="22"/>
                        </w:rPr>
                        <w:t>Se invita al Comité Permanente a examinar y aprobar el proyecto de resolución adjunto para su consideración por la 15</w:t>
                      </w:r>
                      <w:r>
                        <w:rPr>
                          <w:sz w:val="22"/>
                          <w:szCs w:val="22"/>
                          <w:vertAlign w:val="superscript"/>
                        </w:rPr>
                        <w:t>a</w:t>
                      </w:r>
                      <w:r>
                        <w:rPr>
                          <w:sz w:val="22"/>
                          <w:szCs w:val="22"/>
                        </w:rPr>
                        <w:t xml:space="preserve"> reunión de la Conferencia de las Partes Contratantes.</w:t>
                      </w:r>
                    </w:p>
                  </w:txbxContent>
                </v:textbox>
                <w10:wrap type="square" anchorx="margin"/>
              </v:shape>
            </w:pict>
          </mc:Fallback>
        </mc:AlternateContent>
      </w:r>
      <w:r>
        <w:rPr>
          <w:i/>
          <w:sz w:val="22"/>
          <w:szCs w:val="22"/>
        </w:rPr>
        <w:t>Presentado por el Reino Unido de Gran Bretaña e Irlanda del Norte y Zimbabwe.</w:t>
      </w:r>
    </w:p>
    <w:p w14:paraId="2E3F1532" w14:textId="21F1AA6E" w:rsidR="00D70C1B" w:rsidRDefault="00D70C1B" w:rsidP="00C0693F">
      <w:pPr>
        <w:rPr>
          <w:rFonts w:cs="Arial"/>
          <w:b/>
          <w:sz w:val="22"/>
          <w:szCs w:val="22"/>
        </w:rPr>
      </w:pPr>
    </w:p>
    <w:p w14:paraId="7CFD6CBF" w14:textId="77777777" w:rsidR="00E53F28" w:rsidRDefault="00E53F28" w:rsidP="00E53F28">
      <w:pPr>
        <w:rPr>
          <w:rFonts w:cs="Arial"/>
          <w:bCs/>
          <w:i/>
          <w:iCs/>
          <w:sz w:val="22"/>
          <w:szCs w:val="22"/>
        </w:rPr>
      </w:pPr>
      <w:r>
        <w:rPr>
          <w:bCs/>
          <w:i/>
          <w:iCs/>
          <w:sz w:val="22"/>
          <w:szCs w:val="22"/>
        </w:rPr>
        <w:t xml:space="preserve">Nota introductoria de la Secretaría </w:t>
      </w:r>
    </w:p>
    <w:p w14:paraId="2141E7A8" w14:textId="77777777" w:rsidR="00E53F28" w:rsidRDefault="00E53F28" w:rsidP="00E53F28">
      <w:pPr>
        <w:rPr>
          <w:rFonts w:cs="Arial"/>
          <w:bCs/>
          <w:i/>
          <w:iCs/>
          <w:sz w:val="22"/>
          <w:szCs w:val="22"/>
        </w:rPr>
      </w:pPr>
    </w:p>
    <w:p w14:paraId="7860CCB4" w14:textId="3EFAAC3A" w:rsidR="00E53F28" w:rsidRPr="004D7834" w:rsidRDefault="00E53F28" w:rsidP="00E53F28">
      <w:pPr>
        <w:rPr>
          <w:rFonts w:cs="Arial"/>
          <w:bCs/>
          <w:sz w:val="22"/>
          <w:szCs w:val="22"/>
        </w:rPr>
      </w:pPr>
      <w:r>
        <w:rPr>
          <w:bCs/>
          <w:sz w:val="22"/>
          <w:szCs w:val="22"/>
        </w:rPr>
        <w:t xml:space="preserve">En el proyecto de resolución se proponen mecanismos con el fin </w:t>
      </w:r>
      <w:r w:rsidR="004604F6">
        <w:rPr>
          <w:bCs/>
          <w:sz w:val="22"/>
          <w:szCs w:val="22"/>
        </w:rPr>
        <w:t xml:space="preserve">de </w:t>
      </w:r>
      <w:r>
        <w:rPr>
          <w:bCs/>
          <w:sz w:val="22"/>
          <w:szCs w:val="22"/>
        </w:rPr>
        <w:t>integrar los Humedales de Importancia Internacional en los marcos de conservación nacionales e internacionales, haciendo hincapié en la gobernanza equitativa, la mejora de la accesibilidad financiera y la existencia de sistemas de supervisión sólidos.</w:t>
      </w:r>
    </w:p>
    <w:p w14:paraId="349A09D5" w14:textId="77777777" w:rsidR="00E53F28" w:rsidRPr="004D7834" w:rsidRDefault="00E53F28" w:rsidP="00E53F28">
      <w:pPr>
        <w:rPr>
          <w:rFonts w:cs="Arial"/>
          <w:bCs/>
          <w:sz w:val="22"/>
          <w:szCs w:val="22"/>
        </w:rPr>
      </w:pPr>
    </w:p>
    <w:p w14:paraId="1477EE59" w14:textId="77777777" w:rsidR="00E53F28" w:rsidRPr="004D7834" w:rsidRDefault="00E53F28" w:rsidP="00E53F28">
      <w:pPr>
        <w:rPr>
          <w:rFonts w:cs="Arial"/>
          <w:bCs/>
          <w:sz w:val="22"/>
          <w:szCs w:val="22"/>
        </w:rPr>
      </w:pPr>
      <w:r>
        <w:rPr>
          <w:bCs/>
          <w:sz w:val="22"/>
          <w:szCs w:val="22"/>
        </w:rPr>
        <w:t xml:space="preserve">La Secretaría señala que, en el momento de la publicación de este proyecto de resolución, la Convención no ha publicado la nueva </w:t>
      </w:r>
      <w:r>
        <w:rPr>
          <w:bCs/>
          <w:i/>
          <w:iCs/>
          <w:sz w:val="22"/>
          <w:szCs w:val="22"/>
        </w:rPr>
        <w:t>Perspectiva mundial de los humedales</w:t>
      </w:r>
      <w:r>
        <w:rPr>
          <w:bCs/>
          <w:sz w:val="22"/>
          <w:szCs w:val="22"/>
        </w:rPr>
        <w:t xml:space="preserve"> (PMH). Por esta razón, se podría aclarar la referencia del párrafo 3 indicando: "PMH, en prensa".</w:t>
      </w:r>
    </w:p>
    <w:p w14:paraId="57FF8820" w14:textId="77777777" w:rsidR="00E53F28" w:rsidRPr="004D7834" w:rsidRDefault="00E53F28" w:rsidP="00E53F28">
      <w:pPr>
        <w:rPr>
          <w:rFonts w:cs="Arial"/>
          <w:bCs/>
          <w:sz w:val="22"/>
          <w:szCs w:val="22"/>
        </w:rPr>
      </w:pPr>
    </w:p>
    <w:p w14:paraId="01160B85" w14:textId="7146DDF3" w:rsidR="00E53F28" w:rsidRPr="004D7834" w:rsidRDefault="00E53F28" w:rsidP="00E53F28">
      <w:pPr>
        <w:rPr>
          <w:rFonts w:cs="Arial"/>
          <w:bCs/>
          <w:sz w:val="22"/>
          <w:szCs w:val="22"/>
        </w:rPr>
      </w:pPr>
      <w:r>
        <w:rPr>
          <w:bCs/>
          <w:sz w:val="22"/>
          <w:szCs w:val="22"/>
        </w:rPr>
        <w:t xml:space="preserve">El proyecto de resolución hace referencia a resoluciones anteriores sobre Humedales de Importancia Internacional; sin embargo, podría ser necesario profundizar más en los párrafos operativos para hacer distinciones en las prácticas o criterios de gestión. La Convención ha adoptado varias resoluciones que apoyan la integración de los humedales en áreas protegidas, entre ellas las Resoluciones VII.19, XII.7, VII.12, XIII.1, VIII.14, IX.22 y XIV.6. Habida cuenta de que es la primera vez que las Partes Contratantes considerarían el papel de otras medidas eficaces de conservación basadas en áreas (OMEC), tal vez sea conveniente añadir </w:t>
      </w:r>
      <w:r w:rsidR="004604F6">
        <w:rPr>
          <w:bCs/>
          <w:sz w:val="22"/>
          <w:szCs w:val="22"/>
        </w:rPr>
        <w:t xml:space="preserve">algunas </w:t>
      </w:r>
      <w:r>
        <w:rPr>
          <w:bCs/>
          <w:sz w:val="22"/>
          <w:szCs w:val="22"/>
        </w:rPr>
        <w:t>clarificaci</w:t>
      </w:r>
      <w:r w:rsidR="004604F6">
        <w:rPr>
          <w:bCs/>
          <w:sz w:val="22"/>
          <w:szCs w:val="22"/>
        </w:rPr>
        <w:t>ones</w:t>
      </w:r>
      <w:r>
        <w:rPr>
          <w:bCs/>
          <w:sz w:val="22"/>
          <w:szCs w:val="22"/>
        </w:rPr>
        <w:t xml:space="preserve"> al proyecto de resolución para evitar la duplicación o la confusión operativa.</w:t>
      </w:r>
    </w:p>
    <w:p w14:paraId="45C4A344" w14:textId="77777777" w:rsidR="00E53F28" w:rsidRPr="004D7834" w:rsidRDefault="00E53F28" w:rsidP="00E53F28">
      <w:pPr>
        <w:rPr>
          <w:rFonts w:cs="Arial"/>
          <w:bCs/>
          <w:sz w:val="22"/>
          <w:szCs w:val="22"/>
        </w:rPr>
      </w:pPr>
    </w:p>
    <w:p w14:paraId="23B83927" w14:textId="77777777" w:rsidR="00E53F28" w:rsidRPr="004D7834" w:rsidRDefault="00E53F28" w:rsidP="00E53F28">
      <w:pPr>
        <w:rPr>
          <w:rFonts w:cs="Arial"/>
          <w:bCs/>
          <w:sz w:val="22"/>
          <w:szCs w:val="22"/>
        </w:rPr>
      </w:pPr>
      <w:r>
        <w:rPr>
          <w:bCs/>
          <w:sz w:val="22"/>
          <w:szCs w:val="22"/>
        </w:rPr>
        <w:t>En particular:</w:t>
      </w:r>
    </w:p>
    <w:p w14:paraId="6D755D1D" w14:textId="732BAF00" w:rsidR="00E53F28" w:rsidRPr="004D7834" w:rsidRDefault="00E53F28" w:rsidP="00E53F28">
      <w:pPr>
        <w:ind w:left="425" w:hanging="425"/>
        <w:rPr>
          <w:rFonts w:cs="Arial"/>
          <w:bCs/>
          <w:sz w:val="22"/>
          <w:szCs w:val="22"/>
        </w:rPr>
      </w:pPr>
      <w:r>
        <w:rPr>
          <w:bCs/>
          <w:sz w:val="22"/>
          <w:szCs w:val="22"/>
        </w:rPr>
        <w:t>•</w:t>
      </w:r>
      <w:r>
        <w:rPr>
          <w:bCs/>
          <w:sz w:val="22"/>
          <w:szCs w:val="22"/>
        </w:rPr>
        <w:tab/>
      </w:r>
      <w:r w:rsidR="004604F6">
        <w:rPr>
          <w:bCs/>
          <w:sz w:val="22"/>
          <w:szCs w:val="22"/>
        </w:rPr>
        <w:t>p</w:t>
      </w:r>
      <w:r>
        <w:rPr>
          <w:bCs/>
          <w:sz w:val="22"/>
          <w:szCs w:val="22"/>
        </w:rPr>
        <w:t>árrafo 8: podría ser necesario añadir orientaciones o criterios de distinción entre los humedales reconocidos como OMEC, ya sean Humedales de Importancia Internacional u otras áreas protegidas;</w:t>
      </w:r>
    </w:p>
    <w:p w14:paraId="4A821A78" w14:textId="1B8960D9" w:rsidR="00E53F28" w:rsidRPr="004D7834" w:rsidRDefault="00E53F28" w:rsidP="00E53F28">
      <w:pPr>
        <w:ind w:left="425" w:hanging="425"/>
        <w:rPr>
          <w:rFonts w:cs="Arial"/>
          <w:bCs/>
          <w:sz w:val="22"/>
          <w:szCs w:val="22"/>
        </w:rPr>
      </w:pPr>
      <w:r>
        <w:rPr>
          <w:bCs/>
          <w:sz w:val="22"/>
          <w:szCs w:val="22"/>
        </w:rPr>
        <w:t>•</w:t>
      </w:r>
      <w:r>
        <w:rPr>
          <w:bCs/>
          <w:sz w:val="22"/>
          <w:szCs w:val="22"/>
        </w:rPr>
        <w:tab/>
      </w:r>
      <w:r w:rsidR="004604F6">
        <w:rPr>
          <w:bCs/>
          <w:sz w:val="22"/>
          <w:szCs w:val="22"/>
        </w:rPr>
        <w:t>p</w:t>
      </w:r>
      <w:r>
        <w:rPr>
          <w:bCs/>
          <w:sz w:val="22"/>
          <w:szCs w:val="22"/>
        </w:rPr>
        <w:t>árrafo 22: podrían ser necesarios más detalles para ilustrar la manera en la que las actualizaciones de las Fichas Informativas de Ramsar mejorarán la gobernanza y la accesibilidad a las bases de datos mundiales;</w:t>
      </w:r>
    </w:p>
    <w:p w14:paraId="7C3E4E06" w14:textId="10F37CCC" w:rsidR="00E53F28" w:rsidRPr="004D7834" w:rsidRDefault="00E53F28" w:rsidP="00E53F28">
      <w:pPr>
        <w:ind w:left="425" w:hanging="425"/>
        <w:rPr>
          <w:rFonts w:cs="Arial"/>
          <w:bCs/>
          <w:sz w:val="22"/>
          <w:szCs w:val="22"/>
        </w:rPr>
      </w:pPr>
      <w:r>
        <w:rPr>
          <w:bCs/>
          <w:sz w:val="22"/>
          <w:szCs w:val="22"/>
        </w:rPr>
        <w:t>•</w:t>
      </w:r>
      <w:r>
        <w:rPr>
          <w:bCs/>
          <w:sz w:val="22"/>
          <w:szCs w:val="22"/>
        </w:rPr>
        <w:tab/>
      </w:r>
      <w:r w:rsidR="004604F6">
        <w:rPr>
          <w:bCs/>
          <w:sz w:val="22"/>
          <w:szCs w:val="22"/>
        </w:rPr>
        <w:t>p</w:t>
      </w:r>
      <w:r>
        <w:rPr>
          <w:bCs/>
          <w:sz w:val="22"/>
          <w:szCs w:val="22"/>
        </w:rPr>
        <w:t>árrafo 21</w:t>
      </w:r>
      <w:r w:rsidR="004604F6">
        <w:rPr>
          <w:bCs/>
          <w:sz w:val="22"/>
          <w:szCs w:val="22"/>
        </w:rPr>
        <w:t xml:space="preserve"> </w:t>
      </w:r>
      <w:r>
        <w:rPr>
          <w:bCs/>
          <w:sz w:val="22"/>
          <w:szCs w:val="22"/>
        </w:rPr>
        <w:t>v): podrían ser necesarias más precisiones acerca de los mecanismos de gobernanza para garantizar que se respeten y defiendan los derechos de los pueblos indígenas y las comunidades locales.</w:t>
      </w:r>
    </w:p>
    <w:p w14:paraId="7D44339D" w14:textId="77777777" w:rsidR="00E53F28" w:rsidRPr="004D7834" w:rsidRDefault="00E53F28" w:rsidP="00E53F28">
      <w:pPr>
        <w:rPr>
          <w:rFonts w:cs="Arial"/>
          <w:bCs/>
          <w:sz w:val="22"/>
          <w:szCs w:val="22"/>
        </w:rPr>
      </w:pPr>
    </w:p>
    <w:p w14:paraId="3C7CFC8E" w14:textId="77777777" w:rsidR="00E53F28" w:rsidRPr="004D7834" w:rsidRDefault="00E53F28" w:rsidP="00E53F28">
      <w:pPr>
        <w:rPr>
          <w:rFonts w:cs="Arial"/>
          <w:bCs/>
          <w:sz w:val="22"/>
          <w:szCs w:val="22"/>
        </w:rPr>
      </w:pPr>
      <w:r>
        <w:rPr>
          <w:bCs/>
          <w:sz w:val="22"/>
          <w:szCs w:val="22"/>
        </w:rPr>
        <w:t>El proyecto de resolución deberá ser examinado por el GECT.</w:t>
      </w:r>
    </w:p>
    <w:p w14:paraId="6E3376D2" w14:textId="77777777" w:rsidR="000F108B" w:rsidRDefault="000F108B">
      <w:pPr>
        <w:rPr>
          <w:rFonts w:cs="Arial"/>
          <w:b/>
          <w:sz w:val="22"/>
          <w:szCs w:val="22"/>
        </w:rPr>
        <w:sectPr w:rsidR="000F108B" w:rsidSect="000F108B">
          <w:footerReference w:type="default" r:id="rId11"/>
          <w:pgSz w:w="11900" w:h="16840"/>
          <w:pgMar w:top="1440" w:right="1440" w:bottom="1191" w:left="1440" w:header="709" w:footer="709" w:gutter="0"/>
          <w:cols w:space="708"/>
          <w:titlePg/>
          <w:docGrid w:linePitch="360"/>
        </w:sectPr>
      </w:pPr>
    </w:p>
    <w:p w14:paraId="451CD856" w14:textId="77777777" w:rsidR="00D70C1B" w:rsidRPr="00F70FAF" w:rsidRDefault="00D70C1B" w:rsidP="00C0693F">
      <w:pPr>
        <w:rPr>
          <w:rFonts w:cstheme="minorHAnsi"/>
          <w:b/>
          <w:sz w:val="22"/>
          <w:szCs w:val="22"/>
        </w:rPr>
      </w:pPr>
      <w:r>
        <w:rPr>
          <w:b/>
          <w:sz w:val="22"/>
          <w:szCs w:val="22"/>
        </w:rPr>
        <w:lastRenderedPageBreak/>
        <w:t>Introducción</w:t>
      </w:r>
    </w:p>
    <w:p w14:paraId="7C214849" w14:textId="77777777" w:rsidR="00D70C1B" w:rsidRPr="00F70FAF" w:rsidRDefault="00D70C1B" w:rsidP="00C0693F">
      <w:pPr>
        <w:rPr>
          <w:rFonts w:cstheme="minorHAnsi"/>
          <w:i/>
          <w:sz w:val="22"/>
          <w:szCs w:val="22"/>
        </w:rPr>
      </w:pPr>
    </w:p>
    <w:p w14:paraId="5AA6A4DD" w14:textId="3144D829" w:rsidR="00422581" w:rsidRPr="0010331C" w:rsidRDefault="00422581" w:rsidP="00C0693F">
      <w:pPr>
        <w:rPr>
          <w:rFonts w:cstheme="minorHAnsi"/>
          <w:i/>
          <w:sz w:val="22"/>
          <w:szCs w:val="22"/>
        </w:rPr>
      </w:pPr>
      <w:r>
        <w:rPr>
          <w:i/>
          <w:sz w:val="22"/>
          <w:szCs w:val="22"/>
        </w:rPr>
        <w:t>El Reino Unido de Gran Bretaña e Irlanda del Norte desea invitar al Comité Permanente de la Convención sobre los Humedales a que examine y apruebe el siguiente proyecto de resolución para su consideración en la 15</w:t>
      </w:r>
      <w:r>
        <w:rPr>
          <w:i/>
          <w:sz w:val="22"/>
          <w:szCs w:val="22"/>
          <w:vertAlign w:val="superscript"/>
        </w:rPr>
        <w:t>a</w:t>
      </w:r>
      <w:r>
        <w:rPr>
          <w:i/>
          <w:sz w:val="22"/>
          <w:szCs w:val="22"/>
        </w:rPr>
        <w:t xml:space="preserve"> reunión de la Conferencia de las Partes Contratantes (COP15).</w:t>
      </w:r>
    </w:p>
    <w:p w14:paraId="460F9FFB" w14:textId="77777777" w:rsidR="00422581" w:rsidRPr="0010331C" w:rsidRDefault="00422581" w:rsidP="00C0693F">
      <w:pPr>
        <w:rPr>
          <w:rFonts w:cstheme="minorHAnsi"/>
          <w:i/>
          <w:sz w:val="22"/>
          <w:szCs w:val="22"/>
        </w:rPr>
      </w:pPr>
    </w:p>
    <w:p w14:paraId="2601C28E" w14:textId="3254A179" w:rsidR="00680AE0" w:rsidRPr="0010331C" w:rsidRDefault="00422581" w:rsidP="00C0693F">
      <w:pPr>
        <w:rPr>
          <w:rFonts w:cstheme="minorHAnsi"/>
          <w:i/>
          <w:sz w:val="22"/>
          <w:szCs w:val="22"/>
        </w:rPr>
      </w:pPr>
      <w:r>
        <w:rPr>
          <w:i/>
          <w:sz w:val="22"/>
          <w:szCs w:val="22"/>
        </w:rPr>
        <w:t xml:space="preserve">La resolución tiene como objetivo armonizar el enfoque sobre las áreas protegidas y otras medidas eficaces de conservación basadas en áreas utilizado en el Convenio sobre la Diversidad Biológica y </w:t>
      </w:r>
      <w:r w:rsidR="005F77E0">
        <w:rPr>
          <w:i/>
          <w:sz w:val="22"/>
          <w:szCs w:val="22"/>
        </w:rPr>
        <w:t xml:space="preserve">en </w:t>
      </w:r>
      <w:r>
        <w:rPr>
          <w:i/>
          <w:sz w:val="22"/>
          <w:szCs w:val="22"/>
        </w:rPr>
        <w:t>la Convención sobre los Humedales. En particular, su propósito es apoyar la consecución de la meta 3 del Marco Mundial de Biodiversidad de Kunming-Montreal (</w:t>
      </w:r>
      <w:r w:rsidR="005F77E0">
        <w:rPr>
          <w:i/>
          <w:sz w:val="22"/>
          <w:szCs w:val="22"/>
        </w:rPr>
        <w:t>“</w:t>
      </w:r>
      <w:r>
        <w:rPr>
          <w:i/>
          <w:sz w:val="22"/>
          <w:szCs w:val="22"/>
        </w:rPr>
        <w:t>Conservar el 30 % de las tierras, aguas y mares para 2030</w:t>
      </w:r>
      <w:r w:rsidR="005F77E0">
        <w:rPr>
          <w:i/>
          <w:sz w:val="22"/>
          <w:szCs w:val="22"/>
        </w:rPr>
        <w:t>”</w:t>
      </w:r>
      <w:r>
        <w:rPr>
          <w:i/>
          <w:sz w:val="22"/>
          <w:szCs w:val="22"/>
        </w:rPr>
        <w:t xml:space="preserve">), dentro de la cual los humedales, incluidos los Humedales de Importancia Internacional, pueden desempeñar un papel fundamental. Además, la resolución procura describir los pasos que las Partes Contratantes, la Secretaría y el Grupo de Examen Científico y Técnico pueden dar para ayudar a los países a acceder a los mecanismos internacionales de financiación </w:t>
      </w:r>
      <w:r w:rsidR="005F77E0">
        <w:rPr>
          <w:i/>
          <w:sz w:val="22"/>
          <w:szCs w:val="22"/>
        </w:rPr>
        <w:t>dedicados a</w:t>
      </w:r>
      <w:r>
        <w:rPr>
          <w:i/>
          <w:sz w:val="22"/>
          <w:szCs w:val="22"/>
        </w:rPr>
        <w:t xml:space="preserve"> la naturaleza para lograr este objetivo.</w:t>
      </w:r>
    </w:p>
    <w:p w14:paraId="23DF1294" w14:textId="77777777" w:rsidR="00D70C1B" w:rsidRPr="00F70FAF" w:rsidRDefault="00D70C1B" w:rsidP="00C0693F">
      <w:pPr>
        <w:rPr>
          <w:rFonts w:cstheme="minorHAnsi"/>
          <w:sz w:val="22"/>
          <w:szCs w:val="22"/>
        </w:rPr>
      </w:pPr>
    </w:p>
    <w:p w14:paraId="6D9C58D9" w14:textId="553E1683" w:rsidR="00245231" w:rsidRPr="0010331C" w:rsidRDefault="00D70C1B" w:rsidP="00C0693F">
      <w:pPr>
        <w:rPr>
          <w:rFonts w:cstheme="minorHAnsi"/>
          <w:b/>
          <w:bCs/>
          <w:iCs/>
          <w:sz w:val="22"/>
          <w:szCs w:val="22"/>
        </w:rPr>
      </w:pPr>
      <w:r>
        <w:rPr>
          <w:b/>
          <w:bCs/>
          <w:iCs/>
          <w:sz w:val="22"/>
          <w:szCs w:val="22"/>
        </w:rPr>
        <w:t>Repercusiones financieras de la aplicación</w:t>
      </w:r>
    </w:p>
    <w:p w14:paraId="328EE468" w14:textId="77777777" w:rsidR="00AF0D6D" w:rsidRPr="00F70FAF" w:rsidRDefault="00AF0D6D" w:rsidP="00C0693F">
      <w:pPr>
        <w:rPr>
          <w:rFonts w:cstheme="minorHAnsi"/>
          <w:sz w:val="22"/>
          <w:szCs w:val="22"/>
        </w:rPr>
      </w:pPr>
    </w:p>
    <w:p w14:paraId="64140E05" w14:textId="21CC2F23" w:rsidR="00245231" w:rsidRPr="0010331C" w:rsidRDefault="00245231" w:rsidP="00C0693F">
      <w:pPr>
        <w:rPr>
          <w:rFonts w:cstheme="minorHAnsi"/>
          <w:i/>
          <w:iCs/>
          <w:sz w:val="22"/>
          <w:szCs w:val="22"/>
        </w:rPr>
      </w:pPr>
      <w:r>
        <w:rPr>
          <w:i/>
          <w:iCs/>
          <w:sz w:val="22"/>
          <w:szCs w:val="22"/>
        </w:rPr>
        <w:t xml:space="preserve">El proyecto de resolución pide una actuación de la Secretaría solo en esferas que se ajustan a responsabilidades existentes, a saber, la coordinación con otras organizaciones y el mantenimiento del modelo de las Fichas Informativas de Ramsar; por </w:t>
      </w:r>
      <w:r w:rsidR="005F77E0">
        <w:rPr>
          <w:i/>
          <w:iCs/>
          <w:sz w:val="22"/>
          <w:szCs w:val="22"/>
        </w:rPr>
        <w:t>consiguiente,</w:t>
      </w:r>
      <w:r>
        <w:rPr>
          <w:i/>
          <w:iCs/>
          <w:sz w:val="22"/>
          <w:szCs w:val="22"/>
        </w:rPr>
        <w:t xml:space="preserve"> no debería haber ningún nuevo coste significativo correspondiente a la aplicación.</w:t>
      </w:r>
    </w:p>
    <w:p w14:paraId="7422B2F8" w14:textId="77777777" w:rsidR="00245231" w:rsidRPr="00F70FAF" w:rsidRDefault="00245231" w:rsidP="00C0693F">
      <w:pPr>
        <w:rPr>
          <w:rFonts w:cstheme="minorHAnsi"/>
          <w:sz w:val="22"/>
          <w:szCs w:val="22"/>
        </w:rPr>
      </w:pPr>
    </w:p>
    <w:tbl>
      <w:tblPr>
        <w:tblStyle w:val="TableGrid"/>
        <w:tblW w:w="9351" w:type="dxa"/>
        <w:tblLook w:val="04A0" w:firstRow="1" w:lastRow="0" w:firstColumn="1" w:lastColumn="0" w:noHBand="0" w:noVBand="1"/>
      </w:tblPr>
      <w:tblGrid>
        <w:gridCol w:w="2802"/>
        <w:gridCol w:w="3785"/>
        <w:gridCol w:w="1347"/>
        <w:gridCol w:w="1417"/>
      </w:tblGrid>
      <w:tr w:rsidR="00D70C1B" w:rsidRPr="00F70FAF" w14:paraId="14B9F83F" w14:textId="77777777" w:rsidTr="00876940">
        <w:tc>
          <w:tcPr>
            <w:tcW w:w="2830" w:type="dxa"/>
          </w:tcPr>
          <w:p w14:paraId="4128F87A" w14:textId="77777777" w:rsidR="00D70C1B" w:rsidRPr="00F70FAF" w:rsidRDefault="00D70C1B" w:rsidP="00C0693F">
            <w:pPr>
              <w:ind w:left="0" w:firstLine="0"/>
              <w:contextualSpacing/>
              <w:rPr>
                <w:rFonts w:cstheme="minorHAnsi"/>
              </w:rPr>
            </w:pPr>
            <w:r>
              <w:t>Párrafo (número y parte principal del texto)</w:t>
            </w:r>
          </w:p>
        </w:tc>
        <w:tc>
          <w:tcPr>
            <w:tcW w:w="3828" w:type="dxa"/>
          </w:tcPr>
          <w:p w14:paraId="5BD140C0" w14:textId="77777777" w:rsidR="00D70C1B" w:rsidRPr="00F70FAF" w:rsidRDefault="00D70C1B" w:rsidP="00C0693F">
            <w:pPr>
              <w:ind w:left="0" w:firstLine="0"/>
              <w:contextualSpacing/>
              <w:rPr>
                <w:rFonts w:cstheme="minorHAnsi"/>
              </w:rPr>
            </w:pPr>
            <w:r>
              <w:t xml:space="preserve">Acción </w:t>
            </w:r>
          </w:p>
        </w:tc>
        <w:tc>
          <w:tcPr>
            <w:tcW w:w="1275" w:type="dxa"/>
          </w:tcPr>
          <w:p w14:paraId="05ADFD31" w14:textId="77777777" w:rsidR="00D70C1B" w:rsidRPr="00F70FAF" w:rsidRDefault="00D70C1B" w:rsidP="00C0693F">
            <w:pPr>
              <w:ind w:left="0" w:firstLine="0"/>
              <w:contextualSpacing/>
              <w:rPr>
                <w:rFonts w:cstheme="minorHAnsi"/>
              </w:rPr>
            </w:pPr>
            <w:r>
              <w:t>Coste con cargo al presupuesto básico (CHF)</w:t>
            </w:r>
          </w:p>
        </w:tc>
        <w:tc>
          <w:tcPr>
            <w:tcW w:w="1418" w:type="dxa"/>
          </w:tcPr>
          <w:p w14:paraId="7ED6E271" w14:textId="77777777" w:rsidR="00D70C1B" w:rsidRPr="00F70FAF" w:rsidRDefault="00D70C1B" w:rsidP="00C0693F">
            <w:pPr>
              <w:ind w:left="0" w:firstLine="0"/>
              <w:contextualSpacing/>
              <w:rPr>
                <w:rFonts w:cstheme="minorHAnsi"/>
              </w:rPr>
            </w:pPr>
            <w:r>
              <w:t>Coste con cargo al presupuesto no básico (CHF)</w:t>
            </w:r>
          </w:p>
        </w:tc>
      </w:tr>
      <w:tr w:rsidR="00D70C1B" w:rsidRPr="00F70FAF" w14:paraId="44E2EE6B" w14:textId="77777777" w:rsidTr="00876940">
        <w:tc>
          <w:tcPr>
            <w:tcW w:w="2830" w:type="dxa"/>
          </w:tcPr>
          <w:p w14:paraId="3D7551A4" w14:textId="6791B84A" w:rsidR="00D70C1B" w:rsidRPr="00F70FAF" w:rsidRDefault="00C2552B" w:rsidP="00C0693F">
            <w:pPr>
              <w:ind w:left="0" w:firstLine="0"/>
              <w:contextualSpacing/>
              <w:rPr>
                <w:rFonts w:cstheme="minorHAnsi"/>
              </w:rPr>
            </w:pPr>
            <w:r>
              <w:t xml:space="preserve">22. Pide a la Secretaría que apoye a las Partes en su contribución a la consecución de la meta 3 del MMBKM, entre otras cosas, mejorando el acceso a los mecanismos de financiación </w:t>
            </w:r>
            <w:r w:rsidR="005F77E0">
              <w:t>dedicados a</w:t>
            </w:r>
            <w:r>
              <w:t xml:space="preserve"> la naturaleza.</w:t>
            </w:r>
          </w:p>
        </w:tc>
        <w:tc>
          <w:tcPr>
            <w:tcW w:w="3828" w:type="dxa"/>
          </w:tcPr>
          <w:p w14:paraId="58C9E8BA" w14:textId="28C95513" w:rsidR="00D70C1B" w:rsidRPr="00F70FAF" w:rsidRDefault="00A274C7" w:rsidP="00C0693F">
            <w:pPr>
              <w:ind w:left="0" w:firstLine="0"/>
              <w:contextualSpacing/>
              <w:rPr>
                <w:rFonts w:cstheme="minorHAnsi"/>
              </w:rPr>
            </w:pPr>
            <w:r>
              <w:t xml:space="preserve">La Secretaría </w:t>
            </w:r>
            <w:r w:rsidR="005F77E0">
              <w:t>deberá coordinar</w:t>
            </w:r>
            <w:r>
              <w:t xml:space="preserve"> su trabajo con otras organizaciones (CMVC-PNUMA, Secretaría del CDB, Fondo para el Medio Ambiente Mundial) para apoyar y asesorar a las Partes Contratantes. La Secretaría </w:t>
            </w:r>
            <w:r w:rsidR="005F77E0">
              <w:t>deberá ajustar</w:t>
            </w:r>
            <w:r>
              <w:t xml:space="preserve"> el modelo de las Fichas Informativas de Ramsar.</w:t>
            </w:r>
          </w:p>
        </w:tc>
        <w:tc>
          <w:tcPr>
            <w:tcW w:w="1275" w:type="dxa"/>
          </w:tcPr>
          <w:p w14:paraId="54F213D7" w14:textId="321A421E" w:rsidR="00D70C1B" w:rsidRPr="00F70FAF" w:rsidRDefault="00C47D1C" w:rsidP="00C0693F">
            <w:pPr>
              <w:ind w:left="0" w:firstLine="0"/>
              <w:contextualSpacing/>
              <w:rPr>
                <w:rFonts w:cstheme="minorHAnsi"/>
              </w:rPr>
            </w:pPr>
            <w:r>
              <w:t>No corresponde</w:t>
            </w:r>
          </w:p>
        </w:tc>
        <w:tc>
          <w:tcPr>
            <w:tcW w:w="1418" w:type="dxa"/>
          </w:tcPr>
          <w:p w14:paraId="65F00B00" w14:textId="0EAD1E3C" w:rsidR="00D70C1B" w:rsidRPr="00F70FAF" w:rsidRDefault="00C47D1C" w:rsidP="00C0693F">
            <w:pPr>
              <w:ind w:left="0" w:firstLine="0"/>
              <w:contextualSpacing/>
              <w:rPr>
                <w:rFonts w:cstheme="minorHAnsi"/>
              </w:rPr>
            </w:pPr>
            <w:r>
              <w:t>No corresponde</w:t>
            </w:r>
          </w:p>
        </w:tc>
      </w:tr>
    </w:tbl>
    <w:p w14:paraId="20258E04" w14:textId="77777777" w:rsidR="00770FB1" w:rsidRDefault="00770FB1" w:rsidP="00C0693F">
      <w:pPr>
        <w:ind w:right="17"/>
        <w:rPr>
          <w:b/>
          <w:bCs/>
          <w:sz w:val="22"/>
          <w:szCs w:val="22"/>
        </w:rPr>
      </w:pPr>
    </w:p>
    <w:p w14:paraId="7E63AC2C" w14:textId="77777777" w:rsidR="000F108B" w:rsidRDefault="000F108B" w:rsidP="00C0693F">
      <w:pPr>
        <w:ind w:right="17"/>
        <w:rPr>
          <w:b/>
          <w:bCs/>
          <w:sz w:val="22"/>
          <w:szCs w:val="22"/>
        </w:rPr>
      </w:pPr>
    </w:p>
    <w:p w14:paraId="61962E10" w14:textId="77777777" w:rsidR="00204870" w:rsidRDefault="00204870">
      <w:pPr>
        <w:rPr>
          <w:b/>
          <w:bCs/>
          <w:sz w:val="22"/>
          <w:szCs w:val="22"/>
        </w:rPr>
      </w:pPr>
      <w:r>
        <w:rPr>
          <w:b/>
          <w:bCs/>
          <w:sz w:val="22"/>
          <w:szCs w:val="22"/>
        </w:rPr>
        <w:br w:type="page"/>
      </w:r>
    </w:p>
    <w:p w14:paraId="39FD9620" w14:textId="2EC89F5B" w:rsidR="004A1460" w:rsidRPr="00F70FAF" w:rsidRDefault="00EC4FAA" w:rsidP="00C0693F">
      <w:pPr>
        <w:ind w:right="17"/>
        <w:rPr>
          <w:rFonts w:eastAsia="Times New Roman" w:cstheme="minorHAnsi"/>
          <w:b/>
          <w:bCs/>
          <w:sz w:val="22"/>
          <w:szCs w:val="22"/>
        </w:rPr>
      </w:pPr>
      <w:r>
        <w:rPr>
          <w:b/>
          <w:bCs/>
          <w:sz w:val="22"/>
          <w:szCs w:val="22"/>
        </w:rPr>
        <w:lastRenderedPageBreak/>
        <w:t>Proyecto de Resolución XV.x: Consecución de la conservación equitativa y eficaz de los humedales como áreas protegidas y otras medidas eficaces de conservación basadas en áreas (OMEC)</w:t>
      </w:r>
    </w:p>
    <w:p w14:paraId="13DF81EF" w14:textId="77777777" w:rsidR="00652489" w:rsidRPr="00F70FAF" w:rsidRDefault="00652489">
      <w:pPr>
        <w:rPr>
          <w:rFonts w:cstheme="minorHAnsi"/>
          <w:sz w:val="22"/>
          <w:szCs w:val="22"/>
        </w:rPr>
      </w:pPr>
    </w:p>
    <w:p w14:paraId="5518BC07" w14:textId="02114096" w:rsidR="2B8BDADB" w:rsidRPr="00C0693F" w:rsidRDefault="00C0693F" w:rsidP="00C0693F">
      <w:pPr>
        <w:ind w:left="425" w:hanging="425"/>
        <w:rPr>
          <w:rFonts w:eastAsia="Geneva" w:cstheme="minorHAnsi"/>
          <w:sz w:val="22"/>
          <w:szCs w:val="22"/>
        </w:rPr>
      </w:pPr>
      <w:r>
        <w:rPr>
          <w:sz w:val="22"/>
          <w:szCs w:val="22"/>
        </w:rPr>
        <w:t>1.</w:t>
      </w:r>
      <w:r>
        <w:rPr>
          <w:sz w:val="22"/>
          <w:szCs w:val="22"/>
        </w:rPr>
        <w:tab/>
        <w:t>OBSERVANDO CON ALARMA la continua pérdida y degradación de humedales a escala mundial (</w:t>
      </w:r>
      <w:r>
        <w:rPr>
          <w:i/>
          <w:iCs/>
          <w:sz w:val="22"/>
          <w:szCs w:val="22"/>
        </w:rPr>
        <w:t>Perspectiva mundial sobre los humedales</w:t>
      </w:r>
      <w:r>
        <w:rPr>
          <w:sz w:val="22"/>
          <w:szCs w:val="22"/>
        </w:rPr>
        <w:t xml:space="preserve">, 2021) y subrayando que es necesario aumentar y mejorar sustancialmente la superficie de humedales objeto de una gestión de conservación equitativa y eficaz; </w:t>
      </w:r>
    </w:p>
    <w:p w14:paraId="30093243" w14:textId="52C5DB54" w:rsidR="2D05361C" w:rsidRPr="00F70FAF" w:rsidRDefault="2D05361C" w:rsidP="00C0693F">
      <w:pPr>
        <w:pStyle w:val="ListParagraph"/>
        <w:ind w:left="425" w:hanging="425"/>
        <w:rPr>
          <w:rFonts w:eastAsia="Geneva" w:cstheme="minorHAnsi"/>
          <w:sz w:val="22"/>
          <w:szCs w:val="22"/>
        </w:rPr>
      </w:pPr>
    </w:p>
    <w:p w14:paraId="0C61F067" w14:textId="3669B585" w:rsidR="00603053" w:rsidRPr="00C0693F" w:rsidRDefault="00C0693F" w:rsidP="00C0693F">
      <w:pPr>
        <w:ind w:left="425" w:hanging="425"/>
        <w:rPr>
          <w:rFonts w:eastAsia="Geneva" w:cstheme="minorHAnsi"/>
          <w:color w:val="000000" w:themeColor="text1"/>
          <w:sz w:val="22"/>
          <w:szCs w:val="22"/>
        </w:rPr>
      </w:pPr>
      <w:r>
        <w:rPr>
          <w:color w:val="000000" w:themeColor="text1"/>
          <w:sz w:val="22"/>
          <w:szCs w:val="22"/>
        </w:rPr>
        <w:t>2.</w:t>
      </w:r>
      <w:r>
        <w:rPr>
          <w:color w:val="000000" w:themeColor="text1"/>
          <w:sz w:val="22"/>
          <w:szCs w:val="22"/>
        </w:rPr>
        <w:tab/>
        <w:t>RECONOCIENDO que los humedales ofrecen soluciones importantes para hacer frente a la pérdida de biodiversidad, mitigar el cambio climático y apoyar los medios de subsistencia, ofreciendo una oportunidad eficaz con relación a los costos para el rendimiento ecológico, social y económico de la inversión de una serie de mecanismos de financiación públicos y privados como enfoques innovadores para hacer frente a estos desafíos;</w:t>
      </w:r>
    </w:p>
    <w:p w14:paraId="7AD77A04" w14:textId="4741EDFC" w:rsidR="3BD40408" w:rsidRPr="00F70FAF" w:rsidRDefault="3BD40408" w:rsidP="00C0693F">
      <w:pPr>
        <w:pStyle w:val="ListParagraph"/>
        <w:ind w:left="425" w:hanging="425"/>
        <w:rPr>
          <w:rFonts w:eastAsia="Geneva" w:cstheme="minorHAnsi"/>
          <w:color w:val="000000" w:themeColor="text1"/>
          <w:sz w:val="22"/>
          <w:szCs w:val="22"/>
        </w:rPr>
      </w:pPr>
    </w:p>
    <w:p w14:paraId="6612F4A3" w14:textId="1C4D9B67" w:rsidR="00973508" w:rsidRDefault="00C0693F" w:rsidP="00C0693F">
      <w:pPr>
        <w:ind w:left="425" w:hanging="425"/>
        <w:rPr>
          <w:rFonts w:eastAsia="Geneva" w:cstheme="minorHAnsi"/>
          <w:color w:val="000000" w:themeColor="text1"/>
          <w:sz w:val="22"/>
          <w:szCs w:val="22"/>
        </w:rPr>
      </w:pPr>
      <w:r>
        <w:rPr>
          <w:color w:val="000000" w:themeColor="text1"/>
          <w:sz w:val="22"/>
          <w:szCs w:val="22"/>
        </w:rPr>
        <w:t>3.</w:t>
      </w:r>
      <w:r>
        <w:rPr>
          <w:color w:val="000000" w:themeColor="text1"/>
          <w:sz w:val="22"/>
          <w:szCs w:val="22"/>
        </w:rPr>
        <w:tab/>
        <w:t>RECONOCIENDO ADEMÁS que el coste económico de la pérdida y degradación de los humedales supera con creces el coste de conservación y restauración de estos ecosistemas críticos (PMH, 2025), y que existe una necesidad imperiosa de aumentar la financiación, procedente de todas las fuentes, para la conservación y restauración de los humedales;</w:t>
      </w:r>
    </w:p>
    <w:p w14:paraId="6859FF06" w14:textId="77777777" w:rsidR="00973508" w:rsidRDefault="00973508" w:rsidP="00C0693F">
      <w:pPr>
        <w:ind w:left="425" w:hanging="425"/>
        <w:rPr>
          <w:rFonts w:eastAsia="Geneva" w:cstheme="minorHAnsi"/>
          <w:color w:val="000000" w:themeColor="text1"/>
          <w:sz w:val="22"/>
          <w:szCs w:val="22"/>
        </w:rPr>
      </w:pPr>
    </w:p>
    <w:p w14:paraId="02964C2A" w14:textId="28036C4E" w:rsidR="004B7BA7" w:rsidRPr="000F108B" w:rsidRDefault="00C0693F" w:rsidP="00C0693F">
      <w:pPr>
        <w:ind w:left="425" w:hanging="425"/>
        <w:rPr>
          <w:rFonts w:cstheme="minorHAnsi"/>
          <w:spacing w:val="-4"/>
          <w:sz w:val="22"/>
          <w:szCs w:val="22"/>
        </w:rPr>
      </w:pPr>
      <w:r w:rsidRPr="000F108B">
        <w:rPr>
          <w:spacing w:val="-4"/>
          <w:sz w:val="22"/>
          <w:szCs w:val="22"/>
        </w:rPr>
        <w:t>4.</w:t>
      </w:r>
      <w:r w:rsidRPr="000F108B">
        <w:rPr>
          <w:spacing w:val="-4"/>
          <w:sz w:val="22"/>
          <w:szCs w:val="22"/>
        </w:rPr>
        <w:tab/>
        <w:t>RECORDANDO las obligaciones de las Partes Contratantes contraídas en el marco de la Convención de elaborar listas de sitios y de formular y aplicar su planificación de forma que favorezca la conservación de los humedales incluidos en la Lista de Humedales de Importancia Internacional;</w:t>
      </w:r>
    </w:p>
    <w:p w14:paraId="4495CC14" w14:textId="783C1CEF" w:rsidR="17161C7B" w:rsidRPr="00F70FAF" w:rsidRDefault="17161C7B" w:rsidP="00C0693F">
      <w:pPr>
        <w:pStyle w:val="ListParagraph"/>
        <w:ind w:left="425" w:hanging="425"/>
        <w:rPr>
          <w:rFonts w:cstheme="minorHAnsi"/>
          <w:sz w:val="22"/>
          <w:szCs w:val="22"/>
        </w:rPr>
      </w:pPr>
    </w:p>
    <w:p w14:paraId="68B043F7" w14:textId="24E4F3BB" w:rsidR="00054DF7" w:rsidRPr="00A50B83" w:rsidRDefault="00C0693F" w:rsidP="00C0693F">
      <w:pPr>
        <w:ind w:left="425" w:hanging="425"/>
        <w:rPr>
          <w:rFonts w:cstheme="minorHAnsi"/>
          <w:sz w:val="22"/>
          <w:szCs w:val="22"/>
        </w:rPr>
      </w:pPr>
      <w:r>
        <w:rPr>
          <w:sz w:val="22"/>
          <w:szCs w:val="22"/>
        </w:rPr>
        <w:t>5.</w:t>
      </w:r>
      <w:r>
        <w:rPr>
          <w:sz w:val="22"/>
          <w:szCs w:val="22"/>
        </w:rPr>
        <w:tab/>
      </w:r>
      <w:r>
        <w:t xml:space="preserve">RECORDANDO la </w:t>
      </w:r>
      <w:hyperlink r:id="rId12">
        <w:r>
          <w:rPr>
            <w:rStyle w:val="Hyperlink"/>
            <w:sz w:val="22"/>
            <w:szCs w:val="22"/>
          </w:rPr>
          <w:t>Resolución IX.22</w:t>
        </w:r>
      </w:hyperlink>
      <w:r>
        <w:t xml:space="preserve"> relativa a los sitios Ramsar y los sistemas de áreas protegidas; la </w:t>
      </w:r>
      <w:hyperlink r:id="rId13">
        <w:r>
          <w:rPr>
            <w:rStyle w:val="Hyperlink"/>
            <w:sz w:val="22"/>
            <w:szCs w:val="22"/>
          </w:rPr>
          <w:t>Resolución XII.15</w:t>
        </w:r>
      </w:hyperlink>
      <w:r>
        <w:t xml:space="preserve"> relativa a la efectividad del manejo y la conservación de los sitios Ramsar; la </w:t>
      </w:r>
      <w:hyperlink r:id="rId14">
        <w:r>
          <w:rPr>
            <w:rStyle w:val="Hyperlink"/>
            <w:sz w:val="22"/>
            <w:szCs w:val="22"/>
          </w:rPr>
          <w:t>Resolución VIII.14</w:t>
        </w:r>
      </w:hyperlink>
      <w:r>
        <w:t xml:space="preserve"> relativa a la planificación del manejo de los sitios Ramsar y otros humedales; la </w:t>
      </w:r>
      <w:hyperlink r:id="rId15">
        <w:r>
          <w:rPr>
            <w:rStyle w:val="Hyperlink"/>
            <w:sz w:val="22"/>
            <w:szCs w:val="22"/>
          </w:rPr>
          <w:t>Resolución IX.6</w:t>
        </w:r>
      </w:hyperlink>
      <w:r>
        <w:t xml:space="preserve"> relativa a las orientaciones sobre los sitios Ramsar que ya no reúnen los criterios; y la </w:t>
      </w:r>
      <w:hyperlink r:id="rId16">
        <w:r>
          <w:rPr>
            <w:rStyle w:val="Hyperlink"/>
            <w:sz w:val="22"/>
            <w:szCs w:val="22"/>
          </w:rPr>
          <w:t>Resolución VII.12</w:t>
        </w:r>
      </w:hyperlink>
      <w:r>
        <w:t xml:space="preserve"> relativas a los sitios incluidos en la Lista de Ramsar;</w:t>
      </w:r>
    </w:p>
    <w:p w14:paraId="2B3A949F" w14:textId="77777777" w:rsidR="00C96A0B" w:rsidRPr="00F70FAF" w:rsidRDefault="00C96A0B" w:rsidP="00C0693F">
      <w:pPr>
        <w:pStyle w:val="ListParagraph"/>
        <w:ind w:left="425" w:hanging="425"/>
        <w:rPr>
          <w:rFonts w:cstheme="minorHAnsi"/>
          <w:sz w:val="22"/>
          <w:szCs w:val="22"/>
        </w:rPr>
      </w:pPr>
    </w:p>
    <w:p w14:paraId="70EC104F" w14:textId="3EDFD4EC" w:rsidR="00C96A0B" w:rsidRPr="00C0693F" w:rsidRDefault="00C0693F" w:rsidP="00C0693F">
      <w:pPr>
        <w:ind w:left="425" w:hanging="425"/>
        <w:rPr>
          <w:rFonts w:eastAsia="Geneva" w:cstheme="minorHAnsi"/>
          <w:sz w:val="22"/>
          <w:szCs w:val="22"/>
        </w:rPr>
      </w:pPr>
      <w:r>
        <w:rPr>
          <w:sz w:val="22"/>
          <w:szCs w:val="22"/>
        </w:rPr>
        <w:t>6.</w:t>
      </w:r>
      <w:r>
        <w:rPr>
          <w:sz w:val="22"/>
          <w:szCs w:val="22"/>
        </w:rPr>
        <w:tab/>
      </w:r>
      <w:r>
        <w:t xml:space="preserve">ACOGIENDO CON SATISFACCIÓN el Marco Mundial de Biodiversidad de Kunming-Montreal (MMBKM) y recordando la </w:t>
      </w:r>
      <w:hyperlink r:id="rId17">
        <w:r>
          <w:rPr>
            <w:rStyle w:val="Hyperlink"/>
            <w:sz w:val="22"/>
            <w:szCs w:val="22"/>
          </w:rPr>
          <w:t>Resolución XIV.6</w:t>
        </w:r>
      </w:hyperlink>
      <w:r>
        <w:t xml:space="preserve"> relativa a las sinergias y </w:t>
      </w:r>
      <w:r w:rsidR="005F77E0">
        <w:t>“</w:t>
      </w:r>
      <w:r>
        <w:t>la importancia de los sitios Ramsar para la aplicación del marco mundial de la diversidad biológica posterior a 2020 del CDB</w:t>
      </w:r>
      <w:r w:rsidR="005F77E0">
        <w:t>”</w:t>
      </w:r>
      <w:r>
        <w:t xml:space="preserve"> (párrafo 43);</w:t>
      </w:r>
    </w:p>
    <w:p w14:paraId="69B7E8AD" w14:textId="5DBE8C26" w:rsidR="2F51B6A8" w:rsidRPr="00F70FAF" w:rsidRDefault="2F51B6A8" w:rsidP="00C0693F">
      <w:pPr>
        <w:pStyle w:val="ListParagraph"/>
        <w:ind w:left="425" w:hanging="425"/>
        <w:rPr>
          <w:rFonts w:eastAsia="Geneva" w:cstheme="minorHAnsi"/>
          <w:sz w:val="22"/>
          <w:szCs w:val="22"/>
        </w:rPr>
      </w:pPr>
    </w:p>
    <w:p w14:paraId="1792FF5A" w14:textId="02E2549E" w:rsidR="66CDFEFD" w:rsidRPr="00C0693F" w:rsidRDefault="00C0693F" w:rsidP="00C0693F">
      <w:pPr>
        <w:ind w:left="425" w:hanging="425"/>
        <w:rPr>
          <w:rFonts w:cstheme="minorHAnsi"/>
          <w:sz w:val="22"/>
          <w:szCs w:val="22"/>
        </w:rPr>
      </w:pPr>
      <w:r>
        <w:rPr>
          <w:sz w:val="22"/>
          <w:szCs w:val="22"/>
        </w:rPr>
        <w:t>7.</w:t>
      </w:r>
      <w:r>
        <w:rPr>
          <w:sz w:val="22"/>
          <w:szCs w:val="22"/>
        </w:rPr>
        <w:tab/>
        <w:t>RECORDANDO la decisión 16/25 del Convenio sobre la Diversidad Biológica (CDB), en la que se pide a las Partes en el CDB que aún no lo hayan hecho que revisen o actualicen lo antes posible sus estrategias y planes de acción nacionales en materia de biodiversidad, tal como se solicita en la decisión 15/6 del mismo Convenio;</w:t>
      </w:r>
    </w:p>
    <w:p w14:paraId="46E7CAE2" w14:textId="23FFBFCB" w:rsidR="182F068A" w:rsidRPr="00F70FAF" w:rsidRDefault="182F068A" w:rsidP="00C0693F">
      <w:pPr>
        <w:pStyle w:val="ListParagraph"/>
        <w:ind w:left="425" w:hanging="425"/>
        <w:rPr>
          <w:rFonts w:cstheme="minorHAnsi"/>
          <w:sz w:val="22"/>
          <w:szCs w:val="22"/>
        </w:rPr>
      </w:pPr>
    </w:p>
    <w:p w14:paraId="03E29ED2" w14:textId="2451368E" w:rsidR="58DF3560" w:rsidRPr="00C0693F" w:rsidRDefault="00C0693F" w:rsidP="00C0693F">
      <w:pPr>
        <w:ind w:left="425" w:hanging="425"/>
        <w:rPr>
          <w:rFonts w:eastAsia="Geneva" w:cstheme="minorHAnsi"/>
          <w:color w:val="242424"/>
          <w:sz w:val="22"/>
          <w:szCs w:val="22"/>
        </w:rPr>
      </w:pPr>
      <w:r>
        <w:rPr>
          <w:color w:val="242424"/>
          <w:sz w:val="22"/>
          <w:szCs w:val="22"/>
        </w:rPr>
        <w:t>8.</w:t>
      </w:r>
      <w:r>
        <w:rPr>
          <w:color w:val="242424"/>
          <w:sz w:val="22"/>
          <w:szCs w:val="22"/>
        </w:rPr>
        <w:tab/>
        <w:t>OBSERVANDO que un Humedal de Importancia Internacional puede ser un área protegida o bien puede cumplir los requisitos para ser reconocido como otra medida eficaz de conservación basada áreas (OMEC), cuando se apliquen plenamente los marcos legales, de gestión o institucionales a esa área geográfica;</w:t>
      </w:r>
    </w:p>
    <w:p w14:paraId="47E58381" w14:textId="1B4653E2" w:rsidR="4EA7425D" w:rsidRPr="00F70FAF" w:rsidRDefault="4EA7425D" w:rsidP="00C0693F">
      <w:pPr>
        <w:pStyle w:val="ListParagraph"/>
        <w:ind w:left="425" w:hanging="425"/>
        <w:rPr>
          <w:rFonts w:eastAsia="Geneva" w:cstheme="minorHAnsi"/>
          <w:color w:val="242424"/>
          <w:sz w:val="22"/>
          <w:szCs w:val="22"/>
        </w:rPr>
      </w:pPr>
    </w:p>
    <w:p w14:paraId="519A8E0C" w14:textId="69DF0CEE" w:rsidR="70E043E4" w:rsidRPr="00C0693F" w:rsidRDefault="00C0693F" w:rsidP="00C0693F">
      <w:pPr>
        <w:ind w:left="425" w:hanging="425"/>
        <w:rPr>
          <w:rFonts w:eastAsia="Geneva" w:cstheme="minorHAnsi"/>
          <w:sz w:val="22"/>
          <w:szCs w:val="22"/>
        </w:rPr>
      </w:pPr>
      <w:r>
        <w:rPr>
          <w:sz w:val="22"/>
          <w:szCs w:val="22"/>
        </w:rPr>
        <w:t>9.</w:t>
      </w:r>
      <w:r>
        <w:rPr>
          <w:sz w:val="22"/>
          <w:szCs w:val="22"/>
        </w:rPr>
        <w:tab/>
        <w:t xml:space="preserve">OBSERVANDO ADEMÁS el potencial de los Humedales de Importancia Internacional para contribuir aún más a la consecución de la meta 3 del MMBKM como áreas protegidas u OMEC [, y el </w:t>
      </w:r>
      <w:r w:rsidR="005F77E0">
        <w:rPr>
          <w:sz w:val="22"/>
          <w:szCs w:val="22"/>
        </w:rPr>
        <w:t>o</w:t>
      </w:r>
      <w:r>
        <w:rPr>
          <w:sz w:val="22"/>
          <w:szCs w:val="22"/>
        </w:rPr>
        <w:t>bjetivo 3 del Quinto Plan Estratégico de designar y gestionar eficazmente XXX Humedales de Importancia Internacional para 2030];</w:t>
      </w:r>
    </w:p>
    <w:p w14:paraId="534EBDF6" w14:textId="1389693E" w:rsidR="66CDFEFD" w:rsidRPr="00F70FAF" w:rsidRDefault="66CDFEFD" w:rsidP="00C0693F">
      <w:pPr>
        <w:shd w:val="clear" w:color="auto" w:fill="FFFFFF" w:themeFill="background1"/>
        <w:ind w:left="425" w:hanging="425"/>
        <w:rPr>
          <w:rFonts w:eastAsia="Geneva" w:cstheme="minorHAnsi"/>
          <w:color w:val="242424"/>
          <w:sz w:val="22"/>
          <w:szCs w:val="22"/>
        </w:rPr>
      </w:pPr>
    </w:p>
    <w:p w14:paraId="59BBE81D" w14:textId="6FAA82F7" w:rsidR="58DF3560" w:rsidRPr="00C0693F" w:rsidRDefault="00C0693F" w:rsidP="00C0693F">
      <w:pPr>
        <w:shd w:val="clear" w:color="auto" w:fill="FFFFFF" w:themeFill="background1"/>
        <w:ind w:left="425" w:hanging="425"/>
        <w:rPr>
          <w:rFonts w:eastAsia="Geneva" w:cstheme="minorHAnsi"/>
          <w:color w:val="242424"/>
          <w:sz w:val="22"/>
          <w:szCs w:val="22"/>
        </w:rPr>
      </w:pPr>
      <w:r>
        <w:rPr>
          <w:color w:val="242424"/>
          <w:sz w:val="22"/>
          <w:szCs w:val="22"/>
        </w:rPr>
        <w:lastRenderedPageBreak/>
        <w:t>10.</w:t>
      </w:r>
      <w:r>
        <w:rPr>
          <w:color w:val="242424"/>
          <w:sz w:val="22"/>
          <w:szCs w:val="22"/>
        </w:rPr>
        <w:tab/>
        <w:t>OBSERVANDO ASIMISMO la importante oportunidad de identificar y reconocer también como OMEC otros humedales que reúnen los criterios, pero que no son Humedales de Importancia Internacional, lo que facilita aún más la consecución de los objetivos de conservación y uso racional de los humedales y la contribución a la meta 3 del MMBKM;</w:t>
      </w:r>
    </w:p>
    <w:p w14:paraId="3C5451FE" w14:textId="14E903B0" w:rsidR="0CBDE5EB" w:rsidRPr="00F70FAF" w:rsidRDefault="0CBDE5EB" w:rsidP="00C0693F">
      <w:pPr>
        <w:ind w:left="425" w:hanging="425"/>
        <w:rPr>
          <w:rFonts w:eastAsia="Geneva" w:cstheme="minorHAnsi"/>
          <w:sz w:val="22"/>
          <w:szCs w:val="22"/>
        </w:rPr>
      </w:pPr>
    </w:p>
    <w:p w14:paraId="471E3F13" w14:textId="3D2BA482" w:rsidR="004A1460" w:rsidRPr="00C0693F" w:rsidRDefault="00C0693F" w:rsidP="00C0693F">
      <w:pPr>
        <w:ind w:left="425" w:hanging="425"/>
        <w:rPr>
          <w:rFonts w:eastAsia="Geneva" w:cstheme="minorHAnsi"/>
          <w:sz w:val="22"/>
          <w:szCs w:val="22"/>
        </w:rPr>
      </w:pPr>
      <w:r>
        <w:rPr>
          <w:sz w:val="22"/>
          <w:szCs w:val="22"/>
        </w:rPr>
        <w:t>11.</w:t>
      </w:r>
      <w:r>
        <w:rPr>
          <w:sz w:val="22"/>
          <w:szCs w:val="22"/>
        </w:rPr>
        <w:tab/>
        <w:t>RECONOCIENDO que el compromiso de las Partes Contratantes de lograr un uso racional de los humedales y mantener sus características ecológicas se corresponde adecuadamente con las metas y objetivos del MMBKM;</w:t>
      </w:r>
    </w:p>
    <w:p w14:paraId="60061E4C" w14:textId="77777777" w:rsidR="002500A8" w:rsidRPr="00F70FAF" w:rsidRDefault="002500A8" w:rsidP="00C0693F">
      <w:pPr>
        <w:pStyle w:val="ListParagraph"/>
        <w:ind w:left="425" w:hanging="425"/>
        <w:rPr>
          <w:rFonts w:eastAsia="Geneva" w:cstheme="minorHAnsi"/>
          <w:sz w:val="22"/>
          <w:szCs w:val="22"/>
        </w:rPr>
      </w:pPr>
    </w:p>
    <w:p w14:paraId="7E07B317" w14:textId="184FE247" w:rsidR="63F4806E" w:rsidRPr="00C0693F" w:rsidRDefault="00C0693F" w:rsidP="00C0693F">
      <w:pPr>
        <w:ind w:left="425" w:hanging="425"/>
        <w:rPr>
          <w:rFonts w:cstheme="minorHAnsi"/>
          <w:sz w:val="22"/>
          <w:szCs w:val="22"/>
        </w:rPr>
      </w:pPr>
      <w:r>
        <w:rPr>
          <w:sz w:val="22"/>
          <w:szCs w:val="22"/>
        </w:rPr>
        <w:t>12.</w:t>
      </w:r>
      <w:r>
        <w:rPr>
          <w:sz w:val="22"/>
          <w:szCs w:val="22"/>
        </w:rPr>
        <w:tab/>
        <w:t>RECONOCIENDO que muchas Partes Contratantes requieren desarrollar sistemas y políticas nacionales, así como marcos institucionales y financieros para la identificación, el reconocimiento, el seguimiento y la gestión de las OMEC, y que la necesidad de incluir explícitamente a los humedales en estos procesos podría facilitar aún más la integración de humedales adicionales en la conservación basada en áreas;</w:t>
      </w:r>
    </w:p>
    <w:p w14:paraId="5651B89D" w14:textId="0B7217BE" w:rsidR="7E5B1C63" w:rsidRPr="00F70FAF" w:rsidRDefault="7E5B1C63" w:rsidP="00C0693F">
      <w:pPr>
        <w:pStyle w:val="ListParagraph"/>
        <w:ind w:left="425" w:hanging="425"/>
        <w:rPr>
          <w:rFonts w:cstheme="minorHAnsi"/>
          <w:sz w:val="22"/>
          <w:szCs w:val="22"/>
        </w:rPr>
      </w:pPr>
    </w:p>
    <w:p w14:paraId="250F2EB2" w14:textId="4B2F3DFE" w:rsidR="74B7A8F5" w:rsidRPr="00C0693F" w:rsidRDefault="00C0693F" w:rsidP="00C0693F">
      <w:pPr>
        <w:ind w:left="425" w:hanging="425"/>
        <w:rPr>
          <w:rFonts w:eastAsia="Geneva" w:cstheme="minorHAnsi"/>
          <w:color w:val="000000" w:themeColor="text1"/>
          <w:sz w:val="22"/>
          <w:szCs w:val="22"/>
        </w:rPr>
      </w:pPr>
      <w:r>
        <w:rPr>
          <w:color w:val="000000" w:themeColor="text1"/>
          <w:sz w:val="22"/>
          <w:szCs w:val="22"/>
        </w:rPr>
        <w:t>13.</w:t>
      </w:r>
      <w:r>
        <w:rPr>
          <w:color w:val="000000" w:themeColor="text1"/>
          <w:sz w:val="22"/>
          <w:szCs w:val="22"/>
        </w:rPr>
        <w:tab/>
      </w:r>
      <w:r>
        <w:rPr>
          <w:sz w:val="22"/>
          <w:szCs w:val="22"/>
        </w:rPr>
        <w:t xml:space="preserve">RECONOCIENDO ADEMÁS que, a pesar de la existencia de una serie de mecanismos privados y públicos de financiación </w:t>
      </w:r>
      <w:r w:rsidR="005F77E0">
        <w:rPr>
          <w:sz w:val="22"/>
          <w:szCs w:val="22"/>
        </w:rPr>
        <w:t>dedicados a</w:t>
      </w:r>
      <w:r>
        <w:rPr>
          <w:sz w:val="22"/>
          <w:szCs w:val="22"/>
        </w:rPr>
        <w:t xml:space="preserve"> la naturaleza, es necesario mejorar su accesibilidad y aplicación a la conservación y restauración de los humedales, garantizando al mismo tiempo que estos mecanismos sean equitativamente accesibles;</w:t>
      </w:r>
      <w:r>
        <w:rPr>
          <w:color w:val="000000" w:themeColor="text1"/>
          <w:sz w:val="22"/>
          <w:szCs w:val="22"/>
        </w:rPr>
        <w:t xml:space="preserve"> </w:t>
      </w:r>
    </w:p>
    <w:p w14:paraId="4892B4FD" w14:textId="4FE9A62C" w:rsidR="74B7A8F5" w:rsidRPr="00F70FAF" w:rsidRDefault="74B7A8F5" w:rsidP="00C0693F">
      <w:pPr>
        <w:pStyle w:val="ListParagraph"/>
        <w:ind w:left="425" w:hanging="425"/>
        <w:rPr>
          <w:rFonts w:eastAsia="Geneva" w:cstheme="minorHAnsi"/>
          <w:color w:val="000000" w:themeColor="text1"/>
          <w:sz w:val="22"/>
          <w:szCs w:val="22"/>
        </w:rPr>
      </w:pPr>
    </w:p>
    <w:p w14:paraId="5402158F" w14:textId="185F8A9D" w:rsidR="00D9359C" w:rsidRPr="00C0693F" w:rsidRDefault="00C0693F" w:rsidP="00C0693F">
      <w:pPr>
        <w:ind w:left="425" w:hanging="425"/>
        <w:rPr>
          <w:rFonts w:cstheme="minorHAnsi"/>
          <w:sz w:val="22"/>
          <w:szCs w:val="22"/>
        </w:rPr>
      </w:pPr>
      <w:r>
        <w:rPr>
          <w:sz w:val="22"/>
          <w:szCs w:val="22"/>
        </w:rPr>
        <w:t>14.</w:t>
      </w:r>
      <w:r>
        <w:rPr>
          <w:sz w:val="22"/>
          <w:szCs w:val="22"/>
        </w:rPr>
        <w:tab/>
        <w:t>[TENIENDO EN CONSIDERACIÓN la Nota Informativa sobre los Humedales y las OMEC elaborada por el Grupo de Examen Científico y Técnico de la Convención, en la que se ponen de relieve las limitaciones de la actual presentación de informes sobre los Humedales de Importancia Internacional;] y</w:t>
      </w:r>
    </w:p>
    <w:p w14:paraId="6AE51B13" w14:textId="3310807A" w:rsidR="00D9359C" w:rsidRPr="00F70FAF" w:rsidRDefault="00D9359C" w:rsidP="00C0693F">
      <w:pPr>
        <w:pStyle w:val="ListParagraph"/>
        <w:ind w:left="425" w:hanging="425"/>
        <w:rPr>
          <w:rFonts w:cstheme="minorHAnsi"/>
          <w:sz w:val="22"/>
          <w:szCs w:val="22"/>
        </w:rPr>
      </w:pPr>
    </w:p>
    <w:p w14:paraId="38DD72A8" w14:textId="1FA600D1" w:rsidR="00D9359C" w:rsidRPr="00C0693F" w:rsidRDefault="00C0693F" w:rsidP="00C0693F">
      <w:pPr>
        <w:ind w:left="425" w:hanging="425"/>
        <w:rPr>
          <w:rFonts w:cstheme="minorHAnsi"/>
          <w:sz w:val="22"/>
          <w:szCs w:val="22"/>
        </w:rPr>
      </w:pPr>
      <w:r>
        <w:rPr>
          <w:sz w:val="22"/>
          <w:szCs w:val="22"/>
        </w:rPr>
        <w:t>15.</w:t>
      </w:r>
      <w:r>
        <w:rPr>
          <w:sz w:val="22"/>
          <w:szCs w:val="22"/>
        </w:rPr>
        <w:tab/>
        <w:t>RECONOCIENDO que [en el momento en que se celebra la 15</w:t>
      </w:r>
      <w:r>
        <w:rPr>
          <w:sz w:val="22"/>
          <w:szCs w:val="22"/>
          <w:vertAlign w:val="superscript"/>
        </w:rPr>
        <w:t>a</w:t>
      </w:r>
      <w:r>
        <w:rPr>
          <w:sz w:val="22"/>
          <w:szCs w:val="22"/>
        </w:rPr>
        <w:t xml:space="preserve"> reunión de la Conferencia de las Partes Contratantes (COP15)] los Humedales de Importancia Internacional cubren [257 317 367] hectáreas y tienen potencial para contribuir significativamente a la consecución de la meta 3 del MMBKM, según la Base de Datos Mundial sobre Áreas Protegidas y la Base de Datos Mundial sobre OMEC, pero que no todos esos humedales son gestionados y/o reconocidos como áreas protegidas u OMEC;</w:t>
      </w:r>
    </w:p>
    <w:p w14:paraId="4B94D5A5" w14:textId="77777777" w:rsidR="00F24E13" w:rsidRPr="00C0693F" w:rsidRDefault="00F24E13" w:rsidP="00F24E13">
      <w:pPr>
        <w:rPr>
          <w:rFonts w:cstheme="minorHAnsi"/>
          <w:sz w:val="22"/>
          <w:szCs w:val="22"/>
        </w:rPr>
      </w:pPr>
    </w:p>
    <w:p w14:paraId="4F45C465" w14:textId="6DC3EDE2" w:rsidR="00F24E13" w:rsidRPr="00C0693F" w:rsidRDefault="00F24E13" w:rsidP="001A5FA8">
      <w:pPr>
        <w:jc w:val="center"/>
        <w:rPr>
          <w:rFonts w:cstheme="minorHAnsi"/>
          <w:caps/>
          <w:sz w:val="22"/>
          <w:szCs w:val="22"/>
        </w:rPr>
      </w:pPr>
      <w:r>
        <w:rPr>
          <w:caps/>
          <w:sz w:val="22"/>
          <w:szCs w:val="22"/>
        </w:rPr>
        <w:t>La Conferencia de las Partes Contratantes</w:t>
      </w:r>
    </w:p>
    <w:p w14:paraId="6B1EC17E" w14:textId="2BBB10C8" w:rsidR="000B3D46" w:rsidRPr="00F70FAF" w:rsidRDefault="000B3D46" w:rsidP="075CC0D0">
      <w:pPr>
        <w:rPr>
          <w:rFonts w:eastAsia="Geneva" w:cstheme="minorHAnsi"/>
          <w:sz w:val="22"/>
          <w:szCs w:val="22"/>
        </w:rPr>
      </w:pPr>
    </w:p>
    <w:p w14:paraId="7D45EBCB" w14:textId="6C7E3772" w:rsidR="000B3D46" w:rsidRPr="00C0693F" w:rsidRDefault="00C0693F" w:rsidP="00C0693F">
      <w:pPr>
        <w:ind w:left="425" w:hanging="425"/>
        <w:rPr>
          <w:rFonts w:eastAsia="Geneva" w:cstheme="minorHAnsi"/>
          <w:sz w:val="22"/>
          <w:szCs w:val="22"/>
        </w:rPr>
      </w:pPr>
      <w:r>
        <w:rPr>
          <w:sz w:val="22"/>
          <w:szCs w:val="22"/>
        </w:rPr>
        <w:t>16.</w:t>
      </w:r>
      <w:r>
        <w:rPr>
          <w:sz w:val="22"/>
          <w:szCs w:val="22"/>
        </w:rPr>
        <w:tab/>
        <w:t>REAFIRMA el papel de la Convención sobre los Humedales como asociado principal para los objetivos relacionados con los humedales en la aplicación del Convenio sobre la Diversidad Biológica (CDB) y la contribución de las Partes Contratantes a través de la Convención sobre los Humedales en la consecución de la meta 3 del Marco Mundial de Biodiversidad de Kunming-Montreal (MMBKM) y otras metas conexas, incluidas las metas 2 y 4;</w:t>
      </w:r>
    </w:p>
    <w:p w14:paraId="39A155A2" w14:textId="4BB9D344" w:rsidR="59A3E778" w:rsidRPr="00F70FAF" w:rsidRDefault="59A3E778" w:rsidP="00C0693F">
      <w:pPr>
        <w:ind w:left="425" w:hanging="425"/>
        <w:rPr>
          <w:rFonts w:eastAsia="Geneva" w:cstheme="minorHAnsi"/>
          <w:sz w:val="22"/>
          <w:szCs w:val="22"/>
        </w:rPr>
      </w:pPr>
    </w:p>
    <w:p w14:paraId="5CBB8E62" w14:textId="0ECF492A" w:rsidR="004A1460" w:rsidRPr="00C0693F" w:rsidRDefault="00C0693F" w:rsidP="00C0693F">
      <w:pPr>
        <w:ind w:left="425" w:hanging="425"/>
        <w:rPr>
          <w:rFonts w:eastAsia="Geneva" w:cstheme="minorHAnsi"/>
          <w:sz w:val="22"/>
          <w:szCs w:val="22"/>
        </w:rPr>
      </w:pPr>
      <w:r>
        <w:rPr>
          <w:sz w:val="22"/>
          <w:szCs w:val="22"/>
        </w:rPr>
        <w:t>17.</w:t>
      </w:r>
      <w:r>
        <w:rPr>
          <w:sz w:val="22"/>
          <w:szCs w:val="22"/>
        </w:rPr>
        <w:tab/>
        <w:t xml:space="preserve">ALIENTA a las Partes Contratantes a que actualicen sus estrategias y planes de acción nacionales en materia de biodiversidad (EPANB) y sus planes nacionales de financiación de la biodiversidad, cuando proceda, para priorizar sistemáticamente el papel de los Humedales de Importancia Internacional, ya sea como áreas protegidas o como otras medidas eficaces de conservación basadas en áreas (OMEC), y de otros humedales (como OMEC) en </w:t>
      </w:r>
      <w:r w:rsidR="00036F55">
        <w:rPr>
          <w:sz w:val="22"/>
          <w:szCs w:val="22"/>
        </w:rPr>
        <w:t>la consecución</w:t>
      </w:r>
      <w:r>
        <w:rPr>
          <w:sz w:val="22"/>
          <w:szCs w:val="22"/>
        </w:rPr>
        <w:t xml:space="preserve"> de la meta 3 del KMGBF;</w:t>
      </w:r>
    </w:p>
    <w:p w14:paraId="4B662341" w14:textId="68688D65" w:rsidR="004F2E2A" w:rsidRPr="00F70FAF" w:rsidRDefault="004F2E2A" w:rsidP="00C0693F">
      <w:pPr>
        <w:ind w:left="425" w:hanging="425"/>
        <w:rPr>
          <w:rFonts w:eastAsia="Geneva" w:cstheme="minorHAnsi"/>
          <w:sz w:val="22"/>
          <w:szCs w:val="22"/>
        </w:rPr>
      </w:pPr>
    </w:p>
    <w:p w14:paraId="7AB26B23" w14:textId="415B6562" w:rsidR="4C9CA403" w:rsidRPr="00C0693F" w:rsidRDefault="00C0693F" w:rsidP="00C0693F">
      <w:pPr>
        <w:ind w:left="425" w:hanging="425"/>
        <w:rPr>
          <w:rFonts w:eastAsia="Geneva" w:cstheme="minorHAnsi"/>
          <w:sz w:val="22"/>
          <w:szCs w:val="22"/>
        </w:rPr>
      </w:pPr>
      <w:r>
        <w:rPr>
          <w:sz w:val="22"/>
          <w:szCs w:val="22"/>
        </w:rPr>
        <w:t>18.</w:t>
      </w:r>
      <w:r>
        <w:rPr>
          <w:sz w:val="22"/>
          <w:szCs w:val="22"/>
        </w:rPr>
        <w:tab/>
        <w:t>ADOPTA las siguientes definiciones de áreas protegidas y otras medidas eficaces de conservación basadas en áreas del CDB:</w:t>
      </w:r>
    </w:p>
    <w:p w14:paraId="60B2445D" w14:textId="200F6AB7" w:rsidR="0FA5F422" w:rsidRPr="00F70FAF" w:rsidRDefault="0FA5F422" w:rsidP="70FEB5BE">
      <w:pPr>
        <w:pStyle w:val="ListParagraph"/>
        <w:ind w:left="1440"/>
        <w:rPr>
          <w:rFonts w:eastAsia="Geneva" w:cstheme="minorHAnsi"/>
          <w:sz w:val="22"/>
          <w:szCs w:val="22"/>
        </w:rPr>
      </w:pPr>
    </w:p>
    <w:p w14:paraId="1026B259" w14:textId="4AE9BAB9" w:rsidR="0FA5F422" w:rsidRPr="00C0693F" w:rsidRDefault="00C0693F" w:rsidP="00C0693F">
      <w:pPr>
        <w:ind w:left="850" w:hanging="425"/>
        <w:rPr>
          <w:rFonts w:cstheme="minorHAnsi"/>
          <w:sz w:val="22"/>
          <w:szCs w:val="22"/>
        </w:rPr>
      </w:pPr>
      <w:r>
        <w:rPr>
          <w:sz w:val="22"/>
          <w:szCs w:val="22"/>
        </w:rPr>
        <w:lastRenderedPageBreak/>
        <w:t>i.</w:t>
      </w:r>
      <w:r>
        <w:rPr>
          <w:sz w:val="22"/>
          <w:szCs w:val="22"/>
        </w:rPr>
        <w:tab/>
      </w:r>
      <w:r w:rsidR="00147701">
        <w:rPr>
          <w:sz w:val="22"/>
          <w:szCs w:val="22"/>
        </w:rPr>
        <w:t>á</w:t>
      </w:r>
      <w:r>
        <w:rPr>
          <w:sz w:val="22"/>
          <w:szCs w:val="22"/>
        </w:rPr>
        <w:t xml:space="preserve">reas protegidas: </w:t>
      </w:r>
      <w:r w:rsidR="005F77E0">
        <w:rPr>
          <w:sz w:val="22"/>
          <w:szCs w:val="22"/>
        </w:rPr>
        <w:t>“</w:t>
      </w:r>
      <w:r>
        <w:rPr>
          <w:sz w:val="22"/>
          <w:szCs w:val="22"/>
        </w:rPr>
        <w:t xml:space="preserve">Por </w:t>
      </w:r>
      <w:r w:rsidR="005F77E0">
        <w:rPr>
          <w:sz w:val="22"/>
          <w:szCs w:val="22"/>
        </w:rPr>
        <w:t>“</w:t>
      </w:r>
      <w:r>
        <w:rPr>
          <w:sz w:val="22"/>
          <w:szCs w:val="22"/>
        </w:rPr>
        <w:t>área protegida</w:t>
      </w:r>
      <w:r w:rsidR="005F77E0">
        <w:rPr>
          <w:sz w:val="22"/>
          <w:szCs w:val="22"/>
        </w:rPr>
        <w:t>”</w:t>
      </w:r>
      <w:r>
        <w:rPr>
          <w:sz w:val="22"/>
          <w:szCs w:val="22"/>
        </w:rPr>
        <w:t xml:space="preserve"> se entiende un área definida geográficamente que haya sido designada o regulada y administrada a fin de alcanzar objetivos específicos de conservación.</w:t>
      </w:r>
      <w:r w:rsidR="005F77E0">
        <w:rPr>
          <w:sz w:val="22"/>
          <w:szCs w:val="22"/>
        </w:rPr>
        <w:t>”</w:t>
      </w:r>
      <w:r>
        <w:rPr>
          <w:sz w:val="22"/>
          <w:szCs w:val="22"/>
        </w:rPr>
        <w:t xml:space="preserve"> (texto de la Convención del CDB);</w:t>
      </w:r>
    </w:p>
    <w:p w14:paraId="70FB42CF" w14:textId="5AB310F2" w:rsidR="0FA5F422" w:rsidRPr="00F70FAF" w:rsidRDefault="0FA5F422" w:rsidP="00C0693F">
      <w:pPr>
        <w:pStyle w:val="ListParagraph"/>
        <w:ind w:left="850" w:hanging="425"/>
        <w:rPr>
          <w:rFonts w:cstheme="minorHAnsi"/>
          <w:sz w:val="22"/>
          <w:szCs w:val="22"/>
        </w:rPr>
      </w:pPr>
    </w:p>
    <w:p w14:paraId="65251D3D" w14:textId="30C67850" w:rsidR="0FA5F422" w:rsidRPr="00C0693F" w:rsidRDefault="00C0693F" w:rsidP="00C0693F">
      <w:pPr>
        <w:ind w:left="850" w:hanging="425"/>
        <w:rPr>
          <w:rFonts w:cstheme="minorHAnsi"/>
          <w:sz w:val="22"/>
          <w:szCs w:val="22"/>
        </w:rPr>
      </w:pPr>
      <w:r>
        <w:rPr>
          <w:sz w:val="22"/>
          <w:szCs w:val="22"/>
        </w:rPr>
        <w:t>ii.</w:t>
      </w:r>
      <w:r>
        <w:rPr>
          <w:sz w:val="22"/>
          <w:szCs w:val="22"/>
        </w:rPr>
        <w:tab/>
        <w:t xml:space="preserve">otras medidas eficaces de conservación basadas en áreas: </w:t>
      </w:r>
      <w:r w:rsidR="005F77E0">
        <w:rPr>
          <w:sz w:val="22"/>
          <w:szCs w:val="22"/>
        </w:rPr>
        <w:t>“</w:t>
      </w:r>
      <w:r>
        <w:rPr>
          <w:sz w:val="22"/>
          <w:szCs w:val="22"/>
        </w:rPr>
        <w:t xml:space="preserve">una zona delimitada geográficamente que no sea un área protegida y que esté gobernada y gestionada de manera tal de lograr en forma sostenida resultados positivos y duraderos para la conservación de la diversidad biológica </w:t>
      </w:r>
      <w:r>
        <w:rPr>
          <w:i/>
          <w:iCs/>
          <w:sz w:val="22"/>
          <w:szCs w:val="22"/>
        </w:rPr>
        <w:t>in situ</w:t>
      </w:r>
      <w:r>
        <w:rPr>
          <w:sz w:val="22"/>
          <w:szCs w:val="22"/>
        </w:rPr>
        <w:t>, con funciones y servicios asociados de los ecosistemas y, donde proceda, valores culturales, espirituales, socioeconómicos y otros valores pertinentes a nivel local</w:t>
      </w:r>
      <w:r w:rsidR="005F77E0">
        <w:rPr>
          <w:sz w:val="22"/>
          <w:szCs w:val="22"/>
        </w:rPr>
        <w:t>”</w:t>
      </w:r>
      <w:r>
        <w:rPr>
          <w:sz w:val="22"/>
          <w:szCs w:val="22"/>
        </w:rPr>
        <w:t xml:space="preserve"> (decisión 14/8 del CDB);</w:t>
      </w:r>
    </w:p>
    <w:p w14:paraId="5FC845DF" w14:textId="18FE119B" w:rsidR="004A1460" w:rsidRPr="00F70FAF" w:rsidRDefault="004A1460" w:rsidP="70FEB5BE">
      <w:pPr>
        <w:pStyle w:val="ListParagraph"/>
        <w:ind w:left="1440"/>
        <w:rPr>
          <w:rFonts w:eastAsia="Geneva" w:cstheme="minorHAnsi"/>
          <w:sz w:val="22"/>
          <w:szCs w:val="22"/>
        </w:rPr>
      </w:pPr>
    </w:p>
    <w:p w14:paraId="72DDA84C" w14:textId="5A5A6E38" w:rsidR="004A1460" w:rsidRPr="00C0693F" w:rsidRDefault="00C0693F" w:rsidP="00C0693F">
      <w:pPr>
        <w:ind w:left="425" w:hanging="425"/>
        <w:rPr>
          <w:rFonts w:cstheme="minorHAnsi"/>
          <w:sz w:val="22"/>
          <w:szCs w:val="22"/>
        </w:rPr>
      </w:pPr>
      <w:r>
        <w:rPr>
          <w:sz w:val="22"/>
          <w:szCs w:val="22"/>
        </w:rPr>
        <w:t>19.</w:t>
      </w:r>
      <w:r>
        <w:rPr>
          <w:sz w:val="22"/>
          <w:szCs w:val="22"/>
        </w:rPr>
        <w:tab/>
        <w:t>INVITA a las Partes Contratantes a integrar los Humedales de Importancia Internacional y otros humedales gestionados eficazmente en los sistemas nacionales de áreas protegidas y/o de OMEC, para apoyar la consecución de la meta 3 del MMBKM;</w:t>
      </w:r>
    </w:p>
    <w:p w14:paraId="081C6FB5" w14:textId="4196C92A" w:rsidR="004A1460" w:rsidRPr="00F70FAF" w:rsidRDefault="004A1460" w:rsidP="00C0693F">
      <w:pPr>
        <w:ind w:left="425" w:hanging="425"/>
        <w:rPr>
          <w:rFonts w:cstheme="minorHAnsi"/>
          <w:sz w:val="22"/>
          <w:szCs w:val="22"/>
        </w:rPr>
      </w:pPr>
    </w:p>
    <w:p w14:paraId="6DD880DC" w14:textId="32B1C1BC" w:rsidR="004A1460" w:rsidRPr="00C0693F" w:rsidRDefault="00C0693F" w:rsidP="00C0693F">
      <w:pPr>
        <w:ind w:left="425" w:hanging="425"/>
        <w:rPr>
          <w:rFonts w:cstheme="minorHAnsi"/>
          <w:sz w:val="22"/>
          <w:szCs w:val="22"/>
        </w:rPr>
      </w:pPr>
      <w:r>
        <w:rPr>
          <w:sz w:val="22"/>
          <w:szCs w:val="22"/>
        </w:rPr>
        <w:t>20.</w:t>
      </w:r>
      <w:r>
        <w:rPr>
          <w:sz w:val="22"/>
          <w:szCs w:val="22"/>
        </w:rPr>
        <w:tab/>
        <w:t>PIDE que el Grupo de Examen Científico y Técnico (GECT), en colaboración con la Secretaría de la Comisión Mundial de Áreas Protegidas de la Unión Internacional para la Conservación de la Naturaleza (UICN) y otras organizaciones pertinentes, siga trabajando para actualizar las orientaciones dirigidas a las Partes Contratantes sobre la integración de los Humedales de Importancia Internacional en los sistemas nacionales de áreas protegidas y conservadas, incluyendo el reconocimiento, la gobernanza equitativa y la gestión eficaz de los humedales como OMEC;</w:t>
      </w:r>
    </w:p>
    <w:p w14:paraId="6F93655C" w14:textId="4B0340F7" w:rsidR="6DFCD0DD" w:rsidRPr="00F70FAF" w:rsidRDefault="6DFCD0DD" w:rsidP="00C0693F">
      <w:pPr>
        <w:pStyle w:val="ListParagraph"/>
        <w:ind w:left="425" w:hanging="425"/>
        <w:rPr>
          <w:rFonts w:cstheme="minorHAnsi"/>
          <w:sz w:val="22"/>
          <w:szCs w:val="22"/>
        </w:rPr>
      </w:pPr>
    </w:p>
    <w:p w14:paraId="373185CC" w14:textId="7831D842" w:rsidR="005F0709" w:rsidRPr="00C0693F" w:rsidRDefault="00C0693F" w:rsidP="00C0693F">
      <w:pPr>
        <w:ind w:left="425" w:hanging="425"/>
        <w:rPr>
          <w:rFonts w:cstheme="minorHAnsi"/>
          <w:sz w:val="22"/>
          <w:szCs w:val="22"/>
        </w:rPr>
      </w:pPr>
      <w:r>
        <w:rPr>
          <w:sz w:val="22"/>
          <w:szCs w:val="22"/>
        </w:rPr>
        <w:t>21.</w:t>
      </w:r>
      <w:r>
        <w:rPr>
          <w:sz w:val="22"/>
          <w:szCs w:val="22"/>
        </w:rPr>
        <w:tab/>
        <w:t>ALIENTA a las Partes Contratantes a que, con el apoyo de la Secretaría de la Convención, el GECT, las organizaciones internacionales asociadas, los centros regionales Ramsar, el Programa de CECoP (Comunicación, Educación, Concienciación y Participación) y otros asociados, contribuyan a la consecución de la meta 3 del MMBKM, para lo cual deberán:</w:t>
      </w:r>
    </w:p>
    <w:p w14:paraId="576E2295" w14:textId="77777777" w:rsidR="005F0709" w:rsidRPr="00F70FAF" w:rsidRDefault="005F0709" w:rsidP="005F0709">
      <w:pPr>
        <w:pStyle w:val="ListParagraph"/>
        <w:rPr>
          <w:rFonts w:cstheme="minorHAnsi"/>
          <w:sz w:val="22"/>
          <w:szCs w:val="22"/>
        </w:rPr>
      </w:pPr>
    </w:p>
    <w:p w14:paraId="794C36CD" w14:textId="7C6691BF" w:rsidR="00D2359E" w:rsidRPr="00C0693F" w:rsidRDefault="00C0693F" w:rsidP="00C0693F">
      <w:pPr>
        <w:ind w:left="850" w:hanging="425"/>
        <w:rPr>
          <w:rFonts w:cstheme="minorHAnsi"/>
          <w:sz w:val="22"/>
          <w:szCs w:val="22"/>
        </w:rPr>
      </w:pPr>
      <w:r>
        <w:rPr>
          <w:sz w:val="22"/>
          <w:szCs w:val="22"/>
        </w:rPr>
        <w:t>i.</w:t>
      </w:r>
      <w:r>
        <w:rPr>
          <w:sz w:val="22"/>
          <w:szCs w:val="22"/>
        </w:rPr>
        <w:tab/>
        <w:t>conservar los humedales identificados como importantes mediante sistemas de áreas protegidas y OMEC;</w:t>
      </w:r>
    </w:p>
    <w:p w14:paraId="456CB1C8" w14:textId="77777777" w:rsidR="00C01B53" w:rsidRPr="00F70FAF" w:rsidRDefault="00C01B53" w:rsidP="00C0693F">
      <w:pPr>
        <w:pStyle w:val="ListParagraph"/>
        <w:ind w:left="850" w:hanging="425"/>
        <w:rPr>
          <w:rFonts w:cstheme="minorHAnsi"/>
          <w:sz w:val="22"/>
          <w:szCs w:val="22"/>
        </w:rPr>
      </w:pPr>
    </w:p>
    <w:p w14:paraId="794B3B75" w14:textId="2794B30D" w:rsidR="00A82C5E" w:rsidRPr="00C0693F" w:rsidRDefault="00C0693F" w:rsidP="00C0693F">
      <w:pPr>
        <w:ind w:left="850" w:hanging="425"/>
        <w:rPr>
          <w:rFonts w:cstheme="minorHAnsi"/>
          <w:sz w:val="22"/>
          <w:szCs w:val="22"/>
        </w:rPr>
      </w:pPr>
      <w:r>
        <w:rPr>
          <w:sz w:val="22"/>
          <w:szCs w:val="22"/>
        </w:rPr>
        <w:t>ii.</w:t>
      </w:r>
      <w:r>
        <w:rPr>
          <w:sz w:val="22"/>
          <w:szCs w:val="22"/>
        </w:rPr>
        <w:tab/>
        <w:t>desarrollar y actualizar planes de gestión de los sitios u otras medidas de gestión para lograr la conservación a largo plazo de dichos sitios;</w:t>
      </w:r>
    </w:p>
    <w:p w14:paraId="2728826E" w14:textId="77777777" w:rsidR="00C01B53" w:rsidRPr="00F70FAF" w:rsidRDefault="00C01B53" w:rsidP="00C0693F">
      <w:pPr>
        <w:pStyle w:val="ListParagraph"/>
        <w:ind w:left="850" w:hanging="425"/>
        <w:rPr>
          <w:rFonts w:cstheme="minorHAnsi"/>
          <w:sz w:val="22"/>
          <w:szCs w:val="22"/>
        </w:rPr>
      </w:pPr>
    </w:p>
    <w:p w14:paraId="6C65BCC6" w14:textId="4DF43293" w:rsidR="00C01B53" w:rsidRPr="00C0693F" w:rsidRDefault="00C0693F" w:rsidP="00C0693F">
      <w:pPr>
        <w:ind w:left="850" w:hanging="425"/>
        <w:rPr>
          <w:rFonts w:cstheme="minorHAnsi"/>
          <w:sz w:val="22"/>
          <w:szCs w:val="22"/>
        </w:rPr>
      </w:pPr>
      <w:r>
        <w:rPr>
          <w:sz w:val="22"/>
          <w:szCs w:val="22"/>
        </w:rPr>
        <w:t>iii.</w:t>
      </w:r>
      <w:r>
        <w:rPr>
          <w:sz w:val="22"/>
          <w:szCs w:val="22"/>
        </w:rPr>
        <w:tab/>
        <w:t>evaluar los Humedales de Importancia Internacional existentes que no se gestionan actualmente como áreas protegidas u OMEC, a fin de identificar los casos en los que la formalización de su protección, cuando sea posible y apropiado, reforzaría su consecución de resultados positivos para la biodiversidad y consolidaría su contribución a la meta 3 del MMBKM;</w:t>
      </w:r>
    </w:p>
    <w:p w14:paraId="471E31B5" w14:textId="77777777" w:rsidR="00C01B53" w:rsidRPr="00F70FAF" w:rsidRDefault="00C01B53" w:rsidP="00C0693F">
      <w:pPr>
        <w:pStyle w:val="ListParagraph"/>
        <w:ind w:left="850" w:hanging="425"/>
        <w:rPr>
          <w:rFonts w:cstheme="minorHAnsi"/>
          <w:sz w:val="22"/>
          <w:szCs w:val="22"/>
        </w:rPr>
      </w:pPr>
    </w:p>
    <w:p w14:paraId="4D262D84" w14:textId="0452127E" w:rsidR="00C01B53" w:rsidRPr="00C0693F" w:rsidRDefault="00C0693F" w:rsidP="00C0693F">
      <w:pPr>
        <w:ind w:left="850" w:hanging="425"/>
        <w:rPr>
          <w:rFonts w:cstheme="minorHAnsi"/>
          <w:sz w:val="22"/>
          <w:szCs w:val="22"/>
        </w:rPr>
      </w:pPr>
      <w:r>
        <w:rPr>
          <w:sz w:val="22"/>
          <w:szCs w:val="22"/>
        </w:rPr>
        <w:t>iv.</w:t>
      </w:r>
      <w:r>
        <w:rPr>
          <w:sz w:val="22"/>
          <w:szCs w:val="22"/>
        </w:rPr>
        <w:tab/>
        <w:t xml:space="preserve">llevar a cabo una vigilancia coherente y regular de la biodiversidad dentro de las áreas protegidas y las áreas reconocidas como OMEC por su significativa contribución a la conservación de la diversidad biológica y adaptar la gestión </w:t>
      </w:r>
      <w:r>
        <w:rPr>
          <w:i/>
          <w:iCs/>
          <w:sz w:val="22"/>
          <w:szCs w:val="22"/>
        </w:rPr>
        <w:t>in situ</w:t>
      </w:r>
      <w:r>
        <w:rPr>
          <w:sz w:val="22"/>
          <w:szCs w:val="22"/>
        </w:rPr>
        <w:t xml:space="preserve"> basándose en los resultados de la vigilancia y otras constataciones;</w:t>
      </w:r>
    </w:p>
    <w:p w14:paraId="10594E86" w14:textId="77777777" w:rsidR="00C01B53" w:rsidRPr="00F70FAF" w:rsidRDefault="00C01B53" w:rsidP="00C0693F">
      <w:pPr>
        <w:pStyle w:val="ListParagraph"/>
        <w:ind w:left="850" w:hanging="425"/>
        <w:rPr>
          <w:rFonts w:cstheme="minorHAnsi"/>
          <w:sz w:val="22"/>
          <w:szCs w:val="22"/>
        </w:rPr>
      </w:pPr>
    </w:p>
    <w:p w14:paraId="33AF24FB" w14:textId="3E843954" w:rsidR="00C01B53" w:rsidRPr="00C0693F" w:rsidRDefault="00C0693F" w:rsidP="00C0693F">
      <w:pPr>
        <w:ind w:left="850" w:hanging="425"/>
        <w:rPr>
          <w:rFonts w:cstheme="minorHAnsi"/>
          <w:sz w:val="22"/>
          <w:szCs w:val="22"/>
        </w:rPr>
      </w:pPr>
      <w:r>
        <w:rPr>
          <w:sz w:val="22"/>
          <w:szCs w:val="22"/>
        </w:rPr>
        <w:t>v.</w:t>
      </w:r>
      <w:r>
        <w:rPr>
          <w:sz w:val="22"/>
          <w:szCs w:val="22"/>
        </w:rPr>
        <w:tab/>
        <w:t>velar por que exista un mecanismo o estructura de gobernanza clara para la gestión de</w:t>
      </w:r>
      <w:r w:rsidR="00036F55">
        <w:rPr>
          <w:sz w:val="22"/>
          <w:szCs w:val="22"/>
        </w:rPr>
        <w:t xml:space="preserve"> los</w:t>
      </w:r>
      <w:r>
        <w:rPr>
          <w:sz w:val="22"/>
          <w:szCs w:val="22"/>
        </w:rPr>
        <w:t xml:space="preserve"> Humedal</w:t>
      </w:r>
      <w:r w:rsidR="00036F55">
        <w:rPr>
          <w:sz w:val="22"/>
          <w:szCs w:val="22"/>
        </w:rPr>
        <w:t>es</w:t>
      </w:r>
      <w:r>
        <w:rPr>
          <w:sz w:val="22"/>
          <w:szCs w:val="22"/>
        </w:rPr>
        <w:t xml:space="preserve"> de Importancia Internacional u otros humedales dentro de áreas protegidas u OMEC, que reconozca y respete los derechos y conocimientos de los pueblos indígenas y las comunidades locales;</w:t>
      </w:r>
    </w:p>
    <w:p w14:paraId="6A9D6817" w14:textId="77777777" w:rsidR="00C01B53" w:rsidRPr="00F70FAF" w:rsidRDefault="00C01B53" w:rsidP="00C0693F">
      <w:pPr>
        <w:pStyle w:val="ListParagraph"/>
        <w:ind w:left="850" w:hanging="425"/>
        <w:rPr>
          <w:rFonts w:cstheme="minorHAnsi"/>
          <w:sz w:val="22"/>
          <w:szCs w:val="22"/>
        </w:rPr>
      </w:pPr>
    </w:p>
    <w:p w14:paraId="1B2440A1" w14:textId="111F4F1D" w:rsidR="00C01B53" w:rsidRPr="00C0693F" w:rsidRDefault="00C0693F" w:rsidP="00C0693F">
      <w:pPr>
        <w:ind w:left="850" w:hanging="425"/>
        <w:rPr>
          <w:rFonts w:cstheme="minorHAnsi"/>
          <w:sz w:val="22"/>
          <w:szCs w:val="22"/>
        </w:rPr>
      </w:pPr>
      <w:r>
        <w:rPr>
          <w:sz w:val="22"/>
          <w:szCs w:val="22"/>
        </w:rPr>
        <w:lastRenderedPageBreak/>
        <w:t>vi.</w:t>
      </w:r>
      <w:r>
        <w:rPr>
          <w:sz w:val="22"/>
          <w:szCs w:val="22"/>
        </w:rPr>
        <w:tab/>
        <w:t>garantizar que se disponga de límites actualizados de todos los Humedales de Importancia Internacional registrados como datos espaciales utilizables en un sistema de información geográfica (SIG);</w:t>
      </w:r>
    </w:p>
    <w:p w14:paraId="3A6DA373" w14:textId="77777777" w:rsidR="00C01B53" w:rsidRPr="00F70FAF" w:rsidRDefault="00C01B53" w:rsidP="00C0693F">
      <w:pPr>
        <w:pStyle w:val="ListParagraph"/>
        <w:ind w:left="850" w:hanging="425"/>
        <w:rPr>
          <w:rFonts w:cstheme="minorHAnsi"/>
          <w:sz w:val="22"/>
          <w:szCs w:val="22"/>
        </w:rPr>
      </w:pPr>
    </w:p>
    <w:p w14:paraId="0144F9FB" w14:textId="0964A534" w:rsidR="00C01B53" w:rsidRPr="00C0693F" w:rsidRDefault="00C0693F" w:rsidP="00C0693F">
      <w:pPr>
        <w:ind w:left="850" w:hanging="425"/>
        <w:rPr>
          <w:rFonts w:cstheme="minorHAnsi"/>
          <w:sz w:val="22"/>
          <w:szCs w:val="22"/>
        </w:rPr>
      </w:pPr>
      <w:r>
        <w:rPr>
          <w:sz w:val="22"/>
          <w:szCs w:val="22"/>
        </w:rPr>
        <w:t>vii.</w:t>
      </w:r>
      <w:r>
        <w:rPr>
          <w:sz w:val="22"/>
          <w:szCs w:val="22"/>
        </w:rPr>
        <w:tab/>
        <w:t>transmitir los límites actualizados de los Humedales de Importancia Internacional que reúnen los requisitos a la Base de Datos Mundial sobre Áreas Protegidas y a la Base de Datos Mundial sobre OMEC a fin de facilitar la salvaguardia de los sitios, los procesos de divulgación de la actividad empresarial y la orientación de las inversiones según lo preconizado por el Grupo de Trabajo sobre Declaraciones Financieras relacionadas con la Naturaleza (TNFD);</w:t>
      </w:r>
    </w:p>
    <w:p w14:paraId="7B54DA3B" w14:textId="77777777" w:rsidR="00C01B53" w:rsidRPr="00F70FAF" w:rsidRDefault="00C01B53" w:rsidP="00C0693F">
      <w:pPr>
        <w:pStyle w:val="ListParagraph"/>
        <w:ind w:left="850" w:hanging="425"/>
        <w:rPr>
          <w:rFonts w:cstheme="minorHAnsi"/>
          <w:sz w:val="22"/>
          <w:szCs w:val="22"/>
        </w:rPr>
      </w:pPr>
    </w:p>
    <w:p w14:paraId="15D31E1E" w14:textId="175B4C1E" w:rsidR="00C01B53" w:rsidRPr="00C0693F" w:rsidRDefault="00C0693F" w:rsidP="00C0693F">
      <w:pPr>
        <w:ind w:left="850" w:hanging="425"/>
        <w:rPr>
          <w:rFonts w:cstheme="minorHAnsi"/>
          <w:sz w:val="22"/>
          <w:szCs w:val="22"/>
        </w:rPr>
      </w:pPr>
      <w:r>
        <w:rPr>
          <w:sz w:val="22"/>
          <w:szCs w:val="22"/>
        </w:rPr>
        <w:t>viii.</w:t>
      </w:r>
      <w:r>
        <w:rPr>
          <w:sz w:val="22"/>
          <w:szCs w:val="22"/>
        </w:rPr>
        <w:tab/>
        <w:t xml:space="preserve">desarrollar soluciones financieras para financiar los humedales que son áreas protegidas y OMEC, </w:t>
      </w:r>
      <w:r w:rsidR="00036F55" w:rsidRPr="00036F55">
        <w:rPr>
          <w:sz w:val="22"/>
          <w:szCs w:val="22"/>
        </w:rPr>
        <w:t xml:space="preserve">adaptadas </w:t>
      </w:r>
      <w:r>
        <w:rPr>
          <w:sz w:val="22"/>
          <w:szCs w:val="22"/>
        </w:rPr>
        <w:t>a las circunstancias nacionales, incluyendo a través de las opciones descritas en el catálogo BIOFIN;</w:t>
      </w:r>
    </w:p>
    <w:p w14:paraId="7C4C4A80" w14:textId="77777777" w:rsidR="00C01B53" w:rsidRPr="00F70FAF" w:rsidRDefault="00C01B53" w:rsidP="00C0693F">
      <w:pPr>
        <w:pStyle w:val="ListParagraph"/>
        <w:ind w:left="850" w:hanging="425"/>
        <w:rPr>
          <w:rFonts w:cstheme="minorHAnsi"/>
          <w:sz w:val="22"/>
          <w:szCs w:val="22"/>
        </w:rPr>
      </w:pPr>
    </w:p>
    <w:p w14:paraId="173284EE" w14:textId="1AE165ED" w:rsidR="00C01B53" w:rsidRPr="00C0693F" w:rsidRDefault="00C0693F" w:rsidP="00C0693F">
      <w:pPr>
        <w:ind w:left="850" w:hanging="425"/>
        <w:rPr>
          <w:rFonts w:cstheme="minorHAnsi"/>
          <w:sz w:val="22"/>
          <w:szCs w:val="22"/>
        </w:rPr>
      </w:pPr>
      <w:r>
        <w:rPr>
          <w:sz w:val="22"/>
          <w:szCs w:val="22"/>
        </w:rPr>
        <w:t>ix.</w:t>
      </w:r>
      <w:r>
        <w:rPr>
          <w:sz w:val="22"/>
          <w:szCs w:val="22"/>
        </w:rPr>
        <w:tab/>
      </w:r>
      <w:r w:rsidR="00147701">
        <w:rPr>
          <w:sz w:val="22"/>
          <w:szCs w:val="22"/>
        </w:rPr>
        <w:t>c</w:t>
      </w:r>
      <w:r>
        <w:rPr>
          <w:sz w:val="22"/>
          <w:szCs w:val="22"/>
        </w:rPr>
        <w:t>omprometer fondos suficientes para la gestión de</w:t>
      </w:r>
      <w:r w:rsidR="004F6336">
        <w:rPr>
          <w:sz w:val="22"/>
          <w:szCs w:val="22"/>
        </w:rPr>
        <w:t xml:space="preserve"> los</w:t>
      </w:r>
      <w:r>
        <w:rPr>
          <w:sz w:val="22"/>
          <w:szCs w:val="22"/>
        </w:rPr>
        <w:t xml:space="preserve"> Humedal</w:t>
      </w:r>
      <w:r w:rsidR="004F6336">
        <w:rPr>
          <w:sz w:val="22"/>
          <w:szCs w:val="22"/>
        </w:rPr>
        <w:t>es</w:t>
      </w:r>
      <w:r>
        <w:rPr>
          <w:sz w:val="22"/>
          <w:szCs w:val="22"/>
        </w:rPr>
        <w:t xml:space="preserve"> de Importancia Internacional u otros humedales dentro de áreas protegidas u OMEC durante al menos 25 años, con la intención de gestionarlos a perpetuidad, en consonancia con las orientaciones del CDB;</w:t>
      </w:r>
    </w:p>
    <w:p w14:paraId="5AAF6E97" w14:textId="77777777" w:rsidR="00C01B53" w:rsidRPr="00F70FAF" w:rsidRDefault="00C01B53" w:rsidP="00C0693F">
      <w:pPr>
        <w:pStyle w:val="ListParagraph"/>
        <w:ind w:left="850" w:hanging="425"/>
        <w:rPr>
          <w:rFonts w:cstheme="minorHAnsi"/>
          <w:sz w:val="22"/>
          <w:szCs w:val="22"/>
        </w:rPr>
      </w:pPr>
    </w:p>
    <w:p w14:paraId="1B26D6C7" w14:textId="0579119E" w:rsidR="00C01B53" w:rsidRPr="00C0693F" w:rsidRDefault="00C0693F" w:rsidP="00C0693F">
      <w:pPr>
        <w:ind w:left="850" w:hanging="425"/>
        <w:rPr>
          <w:rFonts w:cstheme="minorHAnsi"/>
          <w:sz w:val="22"/>
          <w:szCs w:val="22"/>
        </w:rPr>
      </w:pPr>
      <w:r>
        <w:rPr>
          <w:sz w:val="22"/>
          <w:szCs w:val="22"/>
        </w:rPr>
        <w:t>x.</w:t>
      </w:r>
      <w:r>
        <w:rPr>
          <w:sz w:val="22"/>
          <w:szCs w:val="22"/>
        </w:rPr>
        <w:tab/>
      </w:r>
      <w:r w:rsidR="00147701">
        <w:rPr>
          <w:sz w:val="22"/>
          <w:szCs w:val="22"/>
        </w:rPr>
        <w:t>a</w:t>
      </w:r>
      <w:r>
        <w:rPr>
          <w:sz w:val="22"/>
          <w:szCs w:val="22"/>
        </w:rPr>
        <w:t xml:space="preserve">plicar de la herramienta </w:t>
      </w:r>
      <w:r w:rsidR="004F6336">
        <w:rPr>
          <w:sz w:val="22"/>
          <w:szCs w:val="22"/>
        </w:rPr>
        <w:t>sobre</w:t>
      </w:r>
      <w:r>
        <w:rPr>
          <w:sz w:val="22"/>
          <w:szCs w:val="22"/>
        </w:rPr>
        <w:t xml:space="preserve"> OECM a nivel de sitio, elaborada por la Comisión Mundial de Áreas Protegidas de la UICN, para la identificación de OECM; y</w:t>
      </w:r>
    </w:p>
    <w:p w14:paraId="6401264A" w14:textId="77777777" w:rsidR="00C01B53" w:rsidRPr="00F70FAF" w:rsidRDefault="00C01B53" w:rsidP="00C0693F">
      <w:pPr>
        <w:pStyle w:val="ListParagraph"/>
        <w:ind w:left="850" w:hanging="425"/>
        <w:rPr>
          <w:rFonts w:cstheme="minorHAnsi"/>
          <w:sz w:val="22"/>
          <w:szCs w:val="22"/>
        </w:rPr>
      </w:pPr>
    </w:p>
    <w:p w14:paraId="6E248580" w14:textId="37BF98E3" w:rsidR="4D506B05" w:rsidRPr="00C0693F" w:rsidRDefault="00C0693F" w:rsidP="00C0693F">
      <w:pPr>
        <w:ind w:left="850" w:hanging="425"/>
        <w:rPr>
          <w:rFonts w:cstheme="minorHAnsi"/>
          <w:sz w:val="22"/>
          <w:szCs w:val="22"/>
        </w:rPr>
      </w:pPr>
      <w:r>
        <w:rPr>
          <w:sz w:val="22"/>
          <w:szCs w:val="22"/>
        </w:rPr>
        <w:t>xi.</w:t>
      </w:r>
      <w:r>
        <w:rPr>
          <w:sz w:val="22"/>
          <w:szCs w:val="22"/>
        </w:rPr>
        <w:tab/>
      </w:r>
      <w:r w:rsidR="00147701">
        <w:rPr>
          <w:sz w:val="22"/>
          <w:szCs w:val="22"/>
        </w:rPr>
        <w:t>e</w:t>
      </w:r>
      <w:r>
        <w:rPr>
          <w:sz w:val="22"/>
          <w:szCs w:val="22"/>
        </w:rPr>
        <w:t>valuar la equidad de la gobernanza y la eficacia de la gestión de los sitios con respecto a normas universales, como la norma de la Lista Verde de la UICN, y priorizar las acciones en función de los resultados;</w:t>
      </w:r>
    </w:p>
    <w:p w14:paraId="53128261" w14:textId="77777777" w:rsidR="00F24E13" w:rsidRPr="00F70FAF" w:rsidRDefault="00F24E13" w:rsidP="00DA0B05">
      <w:pPr>
        <w:rPr>
          <w:rFonts w:cstheme="minorHAnsi"/>
          <w:sz w:val="22"/>
          <w:szCs w:val="22"/>
        </w:rPr>
      </w:pPr>
    </w:p>
    <w:p w14:paraId="10BA7C50" w14:textId="75DA24A3" w:rsidR="002500A8" w:rsidRPr="00C0693F" w:rsidRDefault="00C0693F" w:rsidP="00C0693F">
      <w:pPr>
        <w:ind w:left="425" w:hanging="425"/>
        <w:rPr>
          <w:rFonts w:cstheme="minorHAnsi"/>
          <w:sz w:val="22"/>
          <w:szCs w:val="22"/>
        </w:rPr>
      </w:pPr>
      <w:r>
        <w:rPr>
          <w:sz w:val="22"/>
          <w:szCs w:val="22"/>
        </w:rPr>
        <w:t>22.</w:t>
      </w:r>
      <w:r>
        <w:rPr>
          <w:sz w:val="22"/>
          <w:szCs w:val="22"/>
        </w:rPr>
        <w:tab/>
        <w:t>PIDE a la Secretaría que apoye a las Partes en su contribución</w:t>
      </w:r>
      <w:r w:rsidR="00BA2E11">
        <w:rPr>
          <w:sz w:val="22"/>
          <w:szCs w:val="22"/>
        </w:rPr>
        <w:t xml:space="preserve"> </w:t>
      </w:r>
      <w:r>
        <w:rPr>
          <w:sz w:val="22"/>
          <w:szCs w:val="22"/>
        </w:rPr>
        <w:t>a la consecución de la meta 3 del MMBKM, entre otras cosas, mejorando el acceso a los mecanismos de financiación relacionados con la naturaleza, para lo cual deberá:</w:t>
      </w:r>
    </w:p>
    <w:p w14:paraId="2C242950" w14:textId="77777777" w:rsidR="00C01B53" w:rsidRPr="00F70FAF" w:rsidRDefault="00C01B53" w:rsidP="00C01B53">
      <w:pPr>
        <w:pStyle w:val="ListParagraph"/>
        <w:rPr>
          <w:rFonts w:cstheme="minorHAnsi"/>
          <w:sz w:val="22"/>
          <w:szCs w:val="22"/>
        </w:rPr>
      </w:pPr>
    </w:p>
    <w:p w14:paraId="02A460ED" w14:textId="5D2CDB5C" w:rsidR="64640E14" w:rsidRPr="00C0693F" w:rsidRDefault="00C0693F" w:rsidP="00C0693F">
      <w:pPr>
        <w:ind w:left="850" w:hanging="425"/>
        <w:rPr>
          <w:rFonts w:cstheme="minorHAnsi"/>
          <w:sz w:val="22"/>
          <w:szCs w:val="22"/>
        </w:rPr>
      </w:pPr>
      <w:r>
        <w:rPr>
          <w:sz w:val="22"/>
          <w:szCs w:val="22"/>
        </w:rPr>
        <w:t>i.</w:t>
      </w:r>
      <w:r>
        <w:rPr>
          <w:sz w:val="22"/>
          <w:szCs w:val="22"/>
        </w:rPr>
        <w:tab/>
        <w:t>trabajar con las Partes Contratantes para compartir experiencias nacionales y estudios de casos sobre el establecimiento efectivo de zonas protegidas y OMEC equitativas y eficaces;</w:t>
      </w:r>
    </w:p>
    <w:p w14:paraId="13B98911" w14:textId="77777777" w:rsidR="00C01B53" w:rsidRPr="00F70FAF" w:rsidRDefault="00C01B53" w:rsidP="00C0693F">
      <w:pPr>
        <w:pStyle w:val="ListParagraph"/>
        <w:ind w:left="850" w:hanging="425"/>
        <w:rPr>
          <w:rFonts w:cstheme="minorHAnsi"/>
          <w:sz w:val="22"/>
          <w:szCs w:val="22"/>
        </w:rPr>
      </w:pPr>
    </w:p>
    <w:p w14:paraId="6A96FAB2" w14:textId="4CBC6DA3" w:rsidR="00C01B53" w:rsidRPr="00C0693F" w:rsidRDefault="00C0693F" w:rsidP="00C0693F">
      <w:pPr>
        <w:ind w:left="850" w:hanging="425"/>
        <w:rPr>
          <w:rFonts w:cstheme="minorHAnsi"/>
          <w:sz w:val="22"/>
          <w:szCs w:val="22"/>
        </w:rPr>
      </w:pPr>
      <w:r>
        <w:rPr>
          <w:sz w:val="22"/>
          <w:szCs w:val="22"/>
        </w:rPr>
        <w:t>ii.</w:t>
      </w:r>
      <w:r>
        <w:rPr>
          <w:sz w:val="22"/>
          <w:szCs w:val="22"/>
        </w:rPr>
        <w:tab/>
        <w:t>actualizar las Fichas Informativas de Ramsar para incluir un campo obligatorio sobre el tipo de gobernanza de todos los Humedales de Importancia Internacional, con el fin de garantizar que se pueda informar sobre ellos en la Base de Datos Mundial sobre Áreas Protegidas o en la Base de Datos Mundial sobre OMEC;</w:t>
      </w:r>
    </w:p>
    <w:p w14:paraId="64D215B0" w14:textId="77777777" w:rsidR="00C01B53" w:rsidRPr="00F70FAF" w:rsidRDefault="00C01B53" w:rsidP="00C0693F">
      <w:pPr>
        <w:pStyle w:val="ListParagraph"/>
        <w:ind w:left="850" w:hanging="425"/>
        <w:rPr>
          <w:rFonts w:cstheme="minorHAnsi"/>
          <w:sz w:val="22"/>
          <w:szCs w:val="22"/>
        </w:rPr>
      </w:pPr>
    </w:p>
    <w:p w14:paraId="2F1BD1AB" w14:textId="5C78AA89" w:rsidR="00C01B53" w:rsidRPr="00C0693F" w:rsidRDefault="00C0693F" w:rsidP="00C0693F">
      <w:pPr>
        <w:ind w:left="850" w:hanging="425"/>
        <w:rPr>
          <w:rFonts w:cstheme="minorHAnsi"/>
          <w:sz w:val="22"/>
          <w:szCs w:val="22"/>
        </w:rPr>
      </w:pPr>
      <w:r>
        <w:rPr>
          <w:sz w:val="22"/>
          <w:szCs w:val="22"/>
        </w:rPr>
        <w:t>iii.</w:t>
      </w:r>
      <w:r>
        <w:rPr>
          <w:sz w:val="22"/>
          <w:szCs w:val="22"/>
        </w:rPr>
        <w:tab/>
        <w:t>trabajar con el Centro Mundial de Vigilancia de la Conservación del Programa de las Naciones Unidas para el Medio Ambiente (CMVC-PNUMA) para ayudar a las Partes Contratantes a garantizar que se incluyan los límites de los Humedales de Importancia Internacional en la plataforma Planeta Protegido de forma continua, mejorando la precisión y la transparencia de los datos mundiales sobre humedales, facilitando las oportunidades que ofrece el TNFD para identificar oportunidades de inversión positivas para la naturaleza;</w:t>
      </w:r>
    </w:p>
    <w:p w14:paraId="358AF668" w14:textId="77777777" w:rsidR="00C01B53" w:rsidRPr="00F70FAF" w:rsidRDefault="00C01B53" w:rsidP="00C0693F">
      <w:pPr>
        <w:pStyle w:val="ListParagraph"/>
        <w:ind w:left="850" w:hanging="425"/>
        <w:rPr>
          <w:rFonts w:cstheme="minorHAnsi"/>
          <w:sz w:val="22"/>
          <w:szCs w:val="22"/>
        </w:rPr>
      </w:pPr>
    </w:p>
    <w:p w14:paraId="21CB2F1D" w14:textId="56849014" w:rsidR="00C01B53" w:rsidRPr="00C0693F" w:rsidRDefault="00C0693F" w:rsidP="00C0693F">
      <w:pPr>
        <w:ind w:left="850" w:hanging="425"/>
        <w:rPr>
          <w:rFonts w:cstheme="minorHAnsi"/>
          <w:sz w:val="22"/>
          <w:szCs w:val="22"/>
        </w:rPr>
      </w:pPr>
      <w:r>
        <w:rPr>
          <w:sz w:val="22"/>
          <w:szCs w:val="22"/>
        </w:rPr>
        <w:t>iv.</w:t>
      </w:r>
      <w:r>
        <w:rPr>
          <w:sz w:val="22"/>
          <w:szCs w:val="22"/>
        </w:rPr>
        <w:tab/>
        <w:t>trabajar con la Secretaría del CDB a fin de proporcionar asesoramiento estratégico, según proceda, en relación con las acciones nacionales que las Partes pueden llevar a cabo para apoyar la colaboración, la cooperación y las sinergias entre ambas Convenciones, con el fin de alcanzar los objetivos y metas del MMBKM, incluidas aquellas acciones que puedan ser financiadas por el Fondo para el Medio Ambiente Mundial (FMAM); y</w:t>
      </w:r>
    </w:p>
    <w:p w14:paraId="76AB3989" w14:textId="77777777" w:rsidR="00C01B53" w:rsidRPr="00F70FAF" w:rsidRDefault="00C01B53" w:rsidP="00C0693F">
      <w:pPr>
        <w:pStyle w:val="ListParagraph"/>
        <w:ind w:left="850" w:hanging="425"/>
        <w:rPr>
          <w:rFonts w:cstheme="minorHAnsi"/>
          <w:sz w:val="22"/>
          <w:szCs w:val="22"/>
        </w:rPr>
      </w:pPr>
    </w:p>
    <w:p w14:paraId="7F01F2B6" w14:textId="369840C8" w:rsidR="27FBBAAD" w:rsidRPr="00C0693F" w:rsidRDefault="00C0693F" w:rsidP="00C0693F">
      <w:pPr>
        <w:ind w:left="850" w:hanging="425"/>
        <w:rPr>
          <w:rFonts w:cstheme="minorHAnsi"/>
          <w:sz w:val="22"/>
          <w:szCs w:val="22"/>
        </w:rPr>
      </w:pPr>
      <w:r>
        <w:rPr>
          <w:sz w:val="22"/>
          <w:szCs w:val="22"/>
        </w:rPr>
        <w:t>v.</w:t>
      </w:r>
      <w:r>
        <w:rPr>
          <w:sz w:val="22"/>
          <w:szCs w:val="22"/>
        </w:rPr>
        <w:tab/>
        <w:t>realizar aportaciones a la consulta entre Secretarías para la elaboración del proyecto de orientaciones de programación y recomendaciones en materia de políticas para las negociaciones de la novena reposición del Fondo Fiduciario del FMAM.</w:t>
      </w:r>
    </w:p>
    <w:p w14:paraId="62486C05" w14:textId="5792B640" w:rsidR="002500A8" w:rsidRPr="00F70FAF" w:rsidRDefault="002500A8" w:rsidP="0CBDE5EB">
      <w:pPr>
        <w:pStyle w:val="ListParagraph"/>
        <w:rPr>
          <w:rFonts w:cstheme="minorHAnsi"/>
          <w:sz w:val="22"/>
          <w:szCs w:val="22"/>
        </w:rPr>
      </w:pPr>
    </w:p>
    <w:p w14:paraId="5C0F1E3C" w14:textId="50900C7D" w:rsidR="00F24E13" w:rsidRPr="000F108B" w:rsidRDefault="00C0693F" w:rsidP="00C0693F">
      <w:pPr>
        <w:ind w:left="425" w:hanging="425"/>
        <w:rPr>
          <w:rFonts w:cstheme="minorHAnsi"/>
          <w:sz w:val="22"/>
          <w:szCs w:val="22"/>
        </w:rPr>
      </w:pPr>
      <w:r w:rsidRPr="000F108B">
        <w:rPr>
          <w:sz w:val="22"/>
          <w:szCs w:val="22"/>
        </w:rPr>
        <w:t>23.</w:t>
      </w:r>
      <w:r w:rsidRPr="000F108B">
        <w:rPr>
          <w:sz w:val="22"/>
          <w:szCs w:val="22"/>
        </w:rPr>
        <w:tab/>
        <w:t>PIDE al GECT que, en colaboración con las partes interesadas pertinentes, [para la reunión SCXX]:</w:t>
      </w:r>
    </w:p>
    <w:p w14:paraId="1C8C8D17" w14:textId="77777777" w:rsidR="00C01B53" w:rsidRPr="00F70FAF" w:rsidRDefault="00C01B53" w:rsidP="00C01B53">
      <w:pPr>
        <w:pStyle w:val="ListParagraph"/>
        <w:rPr>
          <w:rFonts w:cstheme="minorHAnsi"/>
          <w:sz w:val="22"/>
          <w:szCs w:val="22"/>
        </w:rPr>
      </w:pPr>
    </w:p>
    <w:p w14:paraId="2A034773" w14:textId="562E05AD" w:rsidR="6515B5F0" w:rsidRPr="00C0693F" w:rsidRDefault="00C0693F" w:rsidP="00C0693F">
      <w:pPr>
        <w:ind w:left="850" w:hanging="425"/>
        <w:rPr>
          <w:rFonts w:cstheme="minorHAnsi"/>
          <w:sz w:val="22"/>
          <w:szCs w:val="22"/>
        </w:rPr>
      </w:pPr>
      <w:r>
        <w:rPr>
          <w:sz w:val="22"/>
          <w:szCs w:val="22"/>
        </w:rPr>
        <w:t>i.</w:t>
      </w:r>
      <w:r>
        <w:rPr>
          <w:sz w:val="22"/>
          <w:szCs w:val="22"/>
        </w:rPr>
        <w:tab/>
        <w:t>continúe desarrollando herramientas y normas para gestionar los humedales y evaluar la equidad de la gobernanza y la eficacia de la gestión; y</w:t>
      </w:r>
    </w:p>
    <w:p w14:paraId="399F64A9" w14:textId="77777777" w:rsidR="00C01B53" w:rsidRPr="00F70FAF" w:rsidRDefault="00C01B53" w:rsidP="00C0693F">
      <w:pPr>
        <w:pStyle w:val="ListParagraph"/>
        <w:ind w:left="850" w:hanging="425"/>
        <w:rPr>
          <w:rFonts w:cstheme="minorHAnsi"/>
          <w:sz w:val="22"/>
          <w:szCs w:val="22"/>
        </w:rPr>
      </w:pPr>
    </w:p>
    <w:p w14:paraId="72AE22B6" w14:textId="661BB25C" w:rsidR="00A9433A" w:rsidRPr="00C0693F" w:rsidRDefault="00C0693F" w:rsidP="00C0693F">
      <w:pPr>
        <w:ind w:left="850" w:hanging="425"/>
        <w:rPr>
          <w:rFonts w:cstheme="minorHAnsi"/>
          <w:sz w:val="22"/>
          <w:szCs w:val="22"/>
        </w:rPr>
      </w:pPr>
      <w:r>
        <w:rPr>
          <w:sz w:val="22"/>
          <w:szCs w:val="22"/>
        </w:rPr>
        <w:t>ii.</w:t>
      </w:r>
      <w:r>
        <w:rPr>
          <w:sz w:val="22"/>
          <w:szCs w:val="22"/>
        </w:rPr>
        <w:tab/>
        <w:t>proporcione apoyo técnico a las Partes Contratantes para delimitar los sitios y desarrollar planes eficaces de gestión y gobernanza de los mismos.</w:t>
      </w:r>
    </w:p>
    <w:p w14:paraId="4280013E" w14:textId="34CC2640" w:rsidR="00E40488" w:rsidRPr="00F70FAF" w:rsidRDefault="00E40488" w:rsidP="091B9C2B">
      <w:pPr>
        <w:ind w:left="720"/>
        <w:rPr>
          <w:rFonts w:cstheme="minorHAnsi"/>
          <w:sz w:val="22"/>
          <w:szCs w:val="22"/>
        </w:rPr>
      </w:pPr>
    </w:p>
    <w:sectPr w:rsidR="00E40488" w:rsidRPr="00F70FAF" w:rsidSect="000F108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C681B" w14:textId="77777777" w:rsidR="004634F4" w:rsidRDefault="004634F4" w:rsidP="00623A3E">
      <w:r>
        <w:separator/>
      </w:r>
    </w:p>
  </w:endnote>
  <w:endnote w:type="continuationSeparator" w:id="0">
    <w:p w14:paraId="2E4C63DF" w14:textId="77777777" w:rsidR="004634F4" w:rsidRDefault="004634F4" w:rsidP="00623A3E">
      <w:r>
        <w:continuationSeparator/>
      </w:r>
    </w:p>
  </w:endnote>
  <w:endnote w:type="continuationNotice" w:id="1">
    <w:p w14:paraId="7053C358" w14:textId="77777777" w:rsidR="004634F4" w:rsidRDefault="00463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neva">
    <w:altName w:val="Segoe UI Symbo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CB2A" w14:textId="61868444" w:rsidR="00F70FAF" w:rsidRPr="00F70FAF" w:rsidRDefault="00F70FAF" w:rsidP="00F70FAF">
    <w:pPr>
      <w:tabs>
        <w:tab w:val="left" w:pos="8789"/>
      </w:tabs>
      <w:rPr>
        <w:rFonts w:ascii="Calibri" w:hAnsi="Calibri" w:cs="Calibri"/>
        <w:bCs/>
        <w:sz w:val="20"/>
        <w:szCs w:val="20"/>
      </w:rPr>
    </w:pPr>
    <w:r>
      <w:rPr>
        <w:rFonts w:ascii="Calibri" w:hAnsi="Calibri"/>
        <w:bCs/>
        <w:sz w:val="20"/>
        <w:szCs w:val="20"/>
      </w:rPr>
      <w:t>SC64 Doc.29.5</w:t>
    </w:r>
    <w:r>
      <w:rPr>
        <w:rFonts w:ascii="Calibri" w:hAnsi="Calibri"/>
        <w:bCs/>
        <w:sz w:val="20"/>
        <w:szCs w:val="20"/>
      </w:rPr>
      <w:tab/>
    </w:r>
    <w:r w:rsidRPr="00B538BF">
      <w:rPr>
        <w:rFonts w:ascii="Calibri" w:hAnsi="Calibri" w:cs="Calibri"/>
        <w:bCs/>
        <w:sz w:val="20"/>
        <w:szCs w:val="20"/>
      </w:rPr>
      <w:fldChar w:fldCharType="begin"/>
    </w:r>
    <w:r w:rsidRPr="00B538BF">
      <w:rPr>
        <w:rFonts w:ascii="Calibri" w:hAnsi="Calibri" w:cs="Calibri"/>
        <w:bCs/>
        <w:sz w:val="20"/>
        <w:szCs w:val="20"/>
      </w:rPr>
      <w:instrText xml:space="preserve"> PAGE   \* MERGEFORMAT </w:instrText>
    </w:r>
    <w:r w:rsidRPr="00B538BF">
      <w:rPr>
        <w:rFonts w:ascii="Calibri" w:hAnsi="Calibri" w:cs="Calibri"/>
        <w:bCs/>
        <w:sz w:val="20"/>
        <w:szCs w:val="20"/>
      </w:rPr>
      <w:fldChar w:fldCharType="separate"/>
    </w:r>
    <w:r>
      <w:rPr>
        <w:rFonts w:ascii="Calibri" w:hAnsi="Calibri" w:cs="Calibri"/>
        <w:bCs/>
        <w:sz w:val="20"/>
        <w:szCs w:val="20"/>
      </w:rPr>
      <w:t>2</w:t>
    </w:r>
    <w:r w:rsidRPr="00B538BF">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FD082" w14:textId="77777777" w:rsidR="004634F4" w:rsidRDefault="004634F4" w:rsidP="00623A3E">
      <w:r>
        <w:separator/>
      </w:r>
    </w:p>
  </w:footnote>
  <w:footnote w:type="continuationSeparator" w:id="0">
    <w:p w14:paraId="27C3899F" w14:textId="77777777" w:rsidR="004634F4" w:rsidRDefault="004634F4" w:rsidP="00623A3E">
      <w:r>
        <w:continuationSeparator/>
      </w:r>
    </w:p>
  </w:footnote>
  <w:footnote w:type="continuationNotice" w:id="1">
    <w:p w14:paraId="305B22F6" w14:textId="77777777" w:rsidR="004634F4" w:rsidRDefault="004634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23305"/>
    <w:multiLevelType w:val="hybridMultilevel"/>
    <w:tmpl w:val="F33A9336"/>
    <w:lvl w:ilvl="0" w:tplc="7B20E508">
      <w:start w:val="1"/>
      <w:numFmt w:val="bullet"/>
      <w:lvlText w:val="-"/>
      <w:lvlJc w:val="left"/>
      <w:pPr>
        <w:ind w:left="720" w:hanging="360"/>
      </w:pPr>
      <w:rPr>
        <w:rFonts w:ascii="Geneva" w:eastAsiaTheme="minorHAnsi" w:hAnsi="Genev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B5CCB"/>
    <w:multiLevelType w:val="hybridMultilevel"/>
    <w:tmpl w:val="4B2A19E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F5E5297"/>
    <w:multiLevelType w:val="hybridMultilevel"/>
    <w:tmpl w:val="4BD0FCA4"/>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350901"/>
    <w:multiLevelType w:val="hybridMultilevel"/>
    <w:tmpl w:val="ED78C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541B9"/>
    <w:multiLevelType w:val="hybridMultilevel"/>
    <w:tmpl w:val="75584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7C5DB9"/>
    <w:multiLevelType w:val="hybridMultilevel"/>
    <w:tmpl w:val="906CF5A8"/>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0F71A7"/>
    <w:multiLevelType w:val="hybridMultilevel"/>
    <w:tmpl w:val="5D0896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D1A4A"/>
    <w:multiLevelType w:val="hybridMultilevel"/>
    <w:tmpl w:val="04BE4E40"/>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613E9B"/>
    <w:multiLevelType w:val="hybridMultilevel"/>
    <w:tmpl w:val="ED904EA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68890D0F"/>
    <w:multiLevelType w:val="hybridMultilevel"/>
    <w:tmpl w:val="B39AC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677733"/>
    <w:multiLevelType w:val="hybridMultilevel"/>
    <w:tmpl w:val="F2EE2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6727">
    <w:abstractNumId w:val="7"/>
  </w:num>
  <w:num w:numId="2" w16cid:durableId="212546430">
    <w:abstractNumId w:val="5"/>
  </w:num>
  <w:num w:numId="3" w16cid:durableId="500125094">
    <w:abstractNumId w:val="11"/>
  </w:num>
  <w:num w:numId="4" w16cid:durableId="1123769308">
    <w:abstractNumId w:val="3"/>
  </w:num>
  <w:num w:numId="5" w16cid:durableId="1753047413">
    <w:abstractNumId w:val="10"/>
  </w:num>
  <w:num w:numId="6" w16cid:durableId="830413155">
    <w:abstractNumId w:val="0"/>
  </w:num>
  <w:num w:numId="7" w16cid:durableId="864559237">
    <w:abstractNumId w:val="8"/>
  </w:num>
  <w:num w:numId="8" w16cid:durableId="562565928">
    <w:abstractNumId w:val="6"/>
  </w:num>
  <w:num w:numId="9" w16cid:durableId="1466850584">
    <w:abstractNumId w:val="2"/>
  </w:num>
  <w:num w:numId="10" w16cid:durableId="1409688086">
    <w:abstractNumId w:val="9"/>
  </w:num>
  <w:num w:numId="11" w16cid:durableId="1835410520">
    <w:abstractNumId w:val="4"/>
  </w:num>
  <w:num w:numId="12" w16cid:durableId="2066877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05"/>
    <w:rsid w:val="00002557"/>
    <w:rsid w:val="0000285F"/>
    <w:rsid w:val="0000723A"/>
    <w:rsid w:val="000072FE"/>
    <w:rsid w:val="0001071D"/>
    <w:rsid w:val="00013F91"/>
    <w:rsid w:val="00017851"/>
    <w:rsid w:val="00020C44"/>
    <w:rsid w:val="00023866"/>
    <w:rsid w:val="000238BB"/>
    <w:rsid w:val="00025441"/>
    <w:rsid w:val="000268B0"/>
    <w:rsid w:val="000352AC"/>
    <w:rsid w:val="00036F55"/>
    <w:rsid w:val="00050F44"/>
    <w:rsid w:val="00053193"/>
    <w:rsid w:val="00054DF7"/>
    <w:rsid w:val="000568CD"/>
    <w:rsid w:val="000736FB"/>
    <w:rsid w:val="00073C5A"/>
    <w:rsid w:val="00074922"/>
    <w:rsid w:val="00085387"/>
    <w:rsid w:val="00090E67"/>
    <w:rsid w:val="000B1695"/>
    <w:rsid w:val="000B3D46"/>
    <w:rsid w:val="000B5376"/>
    <w:rsid w:val="000BAFB2"/>
    <w:rsid w:val="000C3D3A"/>
    <w:rsid w:val="000D2399"/>
    <w:rsid w:val="000E1919"/>
    <w:rsid w:val="000F108B"/>
    <w:rsid w:val="000F20DF"/>
    <w:rsid w:val="000F4251"/>
    <w:rsid w:val="00102060"/>
    <w:rsid w:val="0010331C"/>
    <w:rsid w:val="001064D5"/>
    <w:rsid w:val="0011022F"/>
    <w:rsid w:val="0011158A"/>
    <w:rsid w:val="001138C1"/>
    <w:rsid w:val="00120E06"/>
    <w:rsid w:val="00123D97"/>
    <w:rsid w:val="001265AD"/>
    <w:rsid w:val="00127645"/>
    <w:rsid w:val="00142EF4"/>
    <w:rsid w:val="00144F40"/>
    <w:rsid w:val="00146138"/>
    <w:rsid w:val="00147701"/>
    <w:rsid w:val="00150AAC"/>
    <w:rsid w:val="00150C8B"/>
    <w:rsid w:val="00151B65"/>
    <w:rsid w:val="0015553D"/>
    <w:rsid w:val="00165D50"/>
    <w:rsid w:val="00167ED0"/>
    <w:rsid w:val="00176D4D"/>
    <w:rsid w:val="00181CF2"/>
    <w:rsid w:val="00182D68"/>
    <w:rsid w:val="001833F1"/>
    <w:rsid w:val="00191A4A"/>
    <w:rsid w:val="001A37AB"/>
    <w:rsid w:val="001A37DF"/>
    <w:rsid w:val="001A5FA8"/>
    <w:rsid w:val="001B248E"/>
    <w:rsid w:val="001B41E2"/>
    <w:rsid w:val="001C0981"/>
    <w:rsid w:val="001C1BE4"/>
    <w:rsid w:val="001C22CE"/>
    <w:rsid w:val="001D7B1B"/>
    <w:rsid w:val="001E6FB8"/>
    <w:rsid w:val="001F553B"/>
    <w:rsid w:val="001F6897"/>
    <w:rsid w:val="001F71C7"/>
    <w:rsid w:val="002017A8"/>
    <w:rsid w:val="00203B84"/>
    <w:rsid w:val="00204870"/>
    <w:rsid w:val="002054E7"/>
    <w:rsid w:val="00207CE0"/>
    <w:rsid w:val="002100D5"/>
    <w:rsid w:val="00215C29"/>
    <w:rsid w:val="0022015E"/>
    <w:rsid w:val="00220D4A"/>
    <w:rsid w:val="00224267"/>
    <w:rsid w:val="00227DEC"/>
    <w:rsid w:val="002321C3"/>
    <w:rsid w:val="00233CC8"/>
    <w:rsid w:val="00243583"/>
    <w:rsid w:val="00243CFE"/>
    <w:rsid w:val="00245231"/>
    <w:rsid w:val="002473EC"/>
    <w:rsid w:val="002500A8"/>
    <w:rsid w:val="00250D49"/>
    <w:rsid w:val="002532E6"/>
    <w:rsid w:val="002567D1"/>
    <w:rsid w:val="00257775"/>
    <w:rsid w:val="0027430F"/>
    <w:rsid w:val="002769DF"/>
    <w:rsid w:val="00276D5A"/>
    <w:rsid w:val="002861BC"/>
    <w:rsid w:val="002A0C0D"/>
    <w:rsid w:val="002A3D91"/>
    <w:rsid w:val="002A78A7"/>
    <w:rsid w:val="002B632C"/>
    <w:rsid w:val="002C0924"/>
    <w:rsid w:val="002C3F5A"/>
    <w:rsid w:val="002D15AC"/>
    <w:rsid w:val="002D7CC3"/>
    <w:rsid w:val="002E7CBC"/>
    <w:rsid w:val="002F4B09"/>
    <w:rsid w:val="002F60DC"/>
    <w:rsid w:val="003062CC"/>
    <w:rsid w:val="00320FAB"/>
    <w:rsid w:val="003228D2"/>
    <w:rsid w:val="00323B88"/>
    <w:rsid w:val="00331C31"/>
    <w:rsid w:val="003337BA"/>
    <w:rsid w:val="003364D4"/>
    <w:rsid w:val="00336859"/>
    <w:rsid w:val="0034002C"/>
    <w:rsid w:val="003400C1"/>
    <w:rsid w:val="00341BA5"/>
    <w:rsid w:val="003465DF"/>
    <w:rsid w:val="00350BC3"/>
    <w:rsid w:val="00354025"/>
    <w:rsid w:val="0036106A"/>
    <w:rsid w:val="00365256"/>
    <w:rsid w:val="003659BF"/>
    <w:rsid w:val="00377E08"/>
    <w:rsid w:val="00384E0C"/>
    <w:rsid w:val="00385CD8"/>
    <w:rsid w:val="0038764A"/>
    <w:rsid w:val="00393C08"/>
    <w:rsid w:val="00395573"/>
    <w:rsid w:val="003970BC"/>
    <w:rsid w:val="00397356"/>
    <w:rsid w:val="003A4896"/>
    <w:rsid w:val="003A6F5C"/>
    <w:rsid w:val="003B7894"/>
    <w:rsid w:val="003D07C7"/>
    <w:rsid w:val="003D3252"/>
    <w:rsid w:val="003D7811"/>
    <w:rsid w:val="003E0068"/>
    <w:rsid w:val="003E7EFD"/>
    <w:rsid w:val="00402512"/>
    <w:rsid w:val="00407319"/>
    <w:rsid w:val="00407B58"/>
    <w:rsid w:val="004142A9"/>
    <w:rsid w:val="00417AB4"/>
    <w:rsid w:val="00421A95"/>
    <w:rsid w:val="00422581"/>
    <w:rsid w:val="0042516B"/>
    <w:rsid w:val="00435333"/>
    <w:rsid w:val="00454150"/>
    <w:rsid w:val="004546F9"/>
    <w:rsid w:val="004604F6"/>
    <w:rsid w:val="00460E1D"/>
    <w:rsid w:val="00462459"/>
    <w:rsid w:val="004634F4"/>
    <w:rsid w:val="004654C5"/>
    <w:rsid w:val="00467862"/>
    <w:rsid w:val="00475EA4"/>
    <w:rsid w:val="00477090"/>
    <w:rsid w:val="00480892"/>
    <w:rsid w:val="00480904"/>
    <w:rsid w:val="0048281A"/>
    <w:rsid w:val="00484FB2"/>
    <w:rsid w:val="00486F87"/>
    <w:rsid w:val="00490C9B"/>
    <w:rsid w:val="00491D61"/>
    <w:rsid w:val="00494122"/>
    <w:rsid w:val="00495E7A"/>
    <w:rsid w:val="004966A2"/>
    <w:rsid w:val="004A0FAD"/>
    <w:rsid w:val="004A1460"/>
    <w:rsid w:val="004A31AB"/>
    <w:rsid w:val="004B4547"/>
    <w:rsid w:val="004B4ED4"/>
    <w:rsid w:val="004B5D6F"/>
    <w:rsid w:val="004B7BA7"/>
    <w:rsid w:val="004C2CB9"/>
    <w:rsid w:val="004D18B0"/>
    <w:rsid w:val="004D1C3B"/>
    <w:rsid w:val="004D3327"/>
    <w:rsid w:val="004E062D"/>
    <w:rsid w:val="004E111A"/>
    <w:rsid w:val="004E3F9A"/>
    <w:rsid w:val="004F1AAD"/>
    <w:rsid w:val="004F2E2A"/>
    <w:rsid w:val="004F6336"/>
    <w:rsid w:val="0050220B"/>
    <w:rsid w:val="00503B88"/>
    <w:rsid w:val="00510DA9"/>
    <w:rsid w:val="00515DE6"/>
    <w:rsid w:val="00524DE9"/>
    <w:rsid w:val="00536C8E"/>
    <w:rsid w:val="005438FE"/>
    <w:rsid w:val="005440F9"/>
    <w:rsid w:val="00544793"/>
    <w:rsid w:val="00544D30"/>
    <w:rsid w:val="005458EA"/>
    <w:rsid w:val="00547000"/>
    <w:rsid w:val="00551410"/>
    <w:rsid w:val="005517E2"/>
    <w:rsid w:val="00552E7B"/>
    <w:rsid w:val="00556266"/>
    <w:rsid w:val="00563F0C"/>
    <w:rsid w:val="005718CA"/>
    <w:rsid w:val="00574380"/>
    <w:rsid w:val="00576B91"/>
    <w:rsid w:val="00584E4A"/>
    <w:rsid w:val="005871F6"/>
    <w:rsid w:val="005878F0"/>
    <w:rsid w:val="00596438"/>
    <w:rsid w:val="005A42CD"/>
    <w:rsid w:val="005A48A5"/>
    <w:rsid w:val="005A63AA"/>
    <w:rsid w:val="005A685C"/>
    <w:rsid w:val="005B4481"/>
    <w:rsid w:val="005C5BDF"/>
    <w:rsid w:val="005C6B43"/>
    <w:rsid w:val="005D461C"/>
    <w:rsid w:val="005D5E0A"/>
    <w:rsid w:val="005D7350"/>
    <w:rsid w:val="005E01CF"/>
    <w:rsid w:val="005E3323"/>
    <w:rsid w:val="005E4DBC"/>
    <w:rsid w:val="005E6978"/>
    <w:rsid w:val="005E7244"/>
    <w:rsid w:val="005F0709"/>
    <w:rsid w:val="005F5EDF"/>
    <w:rsid w:val="005F77E0"/>
    <w:rsid w:val="00603053"/>
    <w:rsid w:val="00606B6E"/>
    <w:rsid w:val="00612A9E"/>
    <w:rsid w:val="006224E4"/>
    <w:rsid w:val="00623A3E"/>
    <w:rsid w:val="0062729E"/>
    <w:rsid w:val="006279B3"/>
    <w:rsid w:val="00631577"/>
    <w:rsid w:val="006334EB"/>
    <w:rsid w:val="006346B9"/>
    <w:rsid w:val="0063648E"/>
    <w:rsid w:val="00637E13"/>
    <w:rsid w:val="00652489"/>
    <w:rsid w:val="00655260"/>
    <w:rsid w:val="0065752D"/>
    <w:rsid w:val="006612E9"/>
    <w:rsid w:val="006636AF"/>
    <w:rsid w:val="00665A2B"/>
    <w:rsid w:val="00665E2F"/>
    <w:rsid w:val="00666BE5"/>
    <w:rsid w:val="00672EEA"/>
    <w:rsid w:val="00680AE0"/>
    <w:rsid w:val="00686186"/>
    <w:rsid w:val="006926B9"/>
    <w:rsid w:val="00692D0B"/>
    <w:rsid w:val="00697586"/>
    <w:rsid w:val="006B0AEC"/>
    <w:rsid w:val="006B43A7"/>
    <w:rsid w:val="006C162E"/>
    <w:rsid w:val="006C4528"/>
    <w:rsid w:val="006E1900"/>
    <w:rsid w:val="006E1BDB"/>
    <w:rsid w:val="006E2C58"/>
    <w:rsid w:val="006E6B36"/>
    <w:rsid w:val="006F3EBF"/>
    <w:rsid w:val="00701F07"/>
    <w:rsid w:val="00705335"/>
    <w:rsid w:val="00710E84"/>
    <w:rsid w:val="00713E20"/>
    <w:rsid w:val="00720731"/>
    <w:rsid w:val="007256F7"/>
    <w:rsid w:val="00725C67"/>
    <w:rsid w:val="0072756E"/>
    <w:rsid w:val="00732778"/>
    <w:rsid w:val="00753AD4"/>
    <w:rsid w:val="00761125"/>
    <w:rsid w:val="0076315E"/>
    <w:rsid w:val="00767D9C"/>
    <w:rsid w:val="00770FB1"/>
    <w:rsid w:val="00772377"/>
    <w:rsid w:val="00780790"/>
    <w:rsid w:val="0078249C"/>
    <w:rsid w:val="007A633E"/>
    <w:rsid w:val="007B383F"/>
    <w:rsid w:val="007D10FE"/>
    <w:rsid w:val="007D5F3A"/>
    <w:rsid w:val="007D659B"/>
    <w:rsid w:val="007F7EDD"/>
    <w:rsid w:val="0081394F"/>
    <w:rsid w:val="00813E56"/>
    <w:rsid w:val="008204BF"/>
    <w:rsid w:val="00820E9A"/>
    <w:rsid w:val="00823B45"/>
    <w:rsid w:val="00834BFF"/>
    <w:rsid w:val="0083507F"/>
    <w:rsid w:val="00842678"/>
    <w:rsid w:val="00843650"/>
    <w:rsid w:val="0084404F"/>
    <w:rsid w:val="008441CB"/>
    <w:rsid w:val="0084D25E"/>
    <w:rsid w:val="00860882"/>
    <w:rsid w:val="00862DAD"/>
    <w:rsid w:val="00870B35"/>
    <w:rsid w:val="008712D6"/>
    <w:rsid w:val="00873992"/>
    <w:rsid w:val="00876940"/>
    <w:rsid w:val="00880691"/>
    <w:rsid w:val="0088208D"/>
    <w:rsid w:val="0089163E"/>
    <w:rsid w:val="008A1366"/>
    <w:rsid w:val="008A15D8"/>
    <w:rsid w:val="008A5CFC"/>
    <w:rsid w:val="008A5EC3"/>
    <w:rsid w:val="008B3405"/>
    <w:rsid w:val="008B3CF4"/>
    <w:rsid w:val="008B5513"/>
    <w:rsid w:val="008C1578"/>
    <w:rsid w:val="008D5B7E"/>
    <w:rsid w:val="008D767A"/>
    <w:rsid w:val="008D7CDA"/>
    <w:rsid w:val="008E3E7C"/>
    <w:rsid w:val="008E6682"/>
    <w:rsid w:val="008E7EB2"/>
    <w:rsid w:val="008F17CA"/>
    <w:rsid w:val="008F4C6B"/>
    <w:rsid w:val="008F6C06"/>
    <w:rsid w:val="00900F4B"/>
    <w:rsid w:val="00901263"/>
    <w:rsid w:val="0090147F"/>
    <w:rsid w:val="00903113"/>
    <w:rsid w:val="00905513"/>
    <w:rsid w:val="00906DB4"/>
    <w:rsid w:val="00910433"/>
    <w:rsid w:val="00912EA9"/>
    <w:rsid w:val="00913525"/>
    <w:rsid w:val="00913A6E"/>
    <w:rsid w:val="00913E68"/>
    <w:rsid w:val="00914953"/>
    <w:rsid w:val="009274FB"/>
    <w:rsid w:val="00932491"/>
    <w:rsid w:val="009366C5"/>
    <w:rsid w:val="00936767"/>
    <w:rsid w:val="00947252"/>
    <w:rsid w:val="00951DF3"/>
    <w:rsid w:val="00954C60"/>
    <w:rsid w:val="00957A4B"/>
    <w:rsid w:val="00961965"/>
    <w:rsid w:val="00965EDD"/>
    <w:rsid w:val="009705DD"/>
    <w:rsid w:val="00973508"/>
    <w:rsid w:val="00974D47"/>
    <w:rsid w:val="00986638"/>
    <w:rsid w:val="00995009"/>
    <w:rsid w:val="009954A5"/>
    <w:rsid w:val="009A691C"/>
    <w:rsid w:val="009B79AB"/>
    <w:rsid w:val="009C259D"/>
    <w:rsid w:val="009C4BB1"/>
    <w:rsid w:val="009D0907"/>
    <w:rsid w:val="009D7F73"/>
    <w:rsid w:val="009E73A2"/>
    <w:rsid w:val="009F55EB"/>
    <w:rsid w:val="009F5CF7"/>
    <w:rsid w:val="009F6C41"/>
    <w:rsid w:val="00A2268D"/>
    <w:rsid w:val="00A2410F"/>
    <w:rsid w:val="00A271A2"/>
    <w:rsid w:val="00A274C7"/>
    <w:rsid w:val="00A305C3"/>
    <w:rsid w:val="00A32649"/>
    <w:rsid w:val="00A344D0"/>
    <w:rsid w:val="00A40098"/>
    <w:rsid w:val="00A40B59"/>
    <w:rsid w:val="00A46890"/>
    <w:rsid w:val="00A50B83"/>
    <w:rsid w:val="00A5681A"/>
    <w:rsid w:val="00A57D7C"/>
    <w:rsid w:val="00A606B7"/>
    <w:rsid w:val="00A7043C"/>
    <w:rsid w:val="00A72B18"/>
    <w:rsid w:val="00A73630"/>
    <w:rsid w:val="00A76C5A"/>
    <w:rsid w:val="00A82C5E"/>
    <w:rsid w:val="00A86A34"/>
    <w:rsid w:val="00A916B8"/>
    <w:rsid w:val="00A9433A"/>
    <w:rsid w:val="00A946CA"/>
    <w:rsid w:val="00A95145"/>
    <w:rsid w:val="00AA1A42"/>
    <w:rsid w:val="00AA3563"/>
    <w:rsid w:val="00AA7711"/>
    <w:rsid w:val="00AB049C"/>
    <w:rsid w:val="00AB2A26"/>
    <w:rsid w:val="00AB6FC7"/>
    <w:rsid w:val="00AC29D4"/>
    <w:rsid w:val="00AC3E9B"/>
    <w:rsid w:val="00AC45C9"/>
    <w:rsid w:val="00AD0606"/>
    <w:rsid w:val="00AD1CFA"/>
    <w:rsid w:val="00AD4C6E"/>
    <w:rsid w:val="00AE1FEE"/>
    <w:rsid w:val="00AF0D6D"/>
    <w:rsid w:val="00B03A7A"/>
    <w:rsid w:val="00B12802"/>
    <w:rsid w:val="00B13182"/>
    <w:rsid w:val="00B16C5F"/>
    <w:rsid w:val="00B20010"/>
    <w:rsid w:val="00B214DE"/>
    <w:rsid w:val="00B2282C"/>
    <w:rsid w:val="00B2353D"/>
    <w:rsid w:val="00B2360B"/>
    <w:rsid w:val="00B24F03"/>
    <w:rsid w:val="00B253D6"/>
    <w:rsid w:val="00B254A2"/>
    <w:rsid w:val="00B36DDC"/>
    <w:rsid w:val="00B37022"/>
    <w:rsid w:val="00B53CB9"/>
    <w:rsid w:val="00B5F58A"/>
    <w:rsid w:val="00B614E7"/>
    <w:rsid w:val="00B64328"/>
    <w:rsid w:val="00B7144B"/>
    <w:rsid w:val="00B7224C"/>
    <w:rsid w:val="00B757DE"/>
    <w:rsid w:val="00B7B52B"/>
    <w:rsid w:val="00B80ACF"/>
    <w:rsid w:val="00B85B5B"/>
    <w:rsid w:val="00B971EC"/>
    <w:rsid w:val="00BA28E3"/>
    <w:rsid w:val="00BA2E11"/>
    <w:rsid w:val="00BA7B57"/>
    <w:rsid w:val="00BB6753"/>
    <w:rsid w:val="00BB7DD6"/>
    <w:rsid w:val="00BC1DD0"/>
    <w:rsid w:val="00BD7038"/>
    <w:rsid w:val="00BE08C4"/>
    <w:rsid w:val="00BE64A6"/>
    <w:rsid w:val="00BF0FEF"/>
    <w:rsid w:val="00BF20A2"/>
    <w:rsid w:val="00BF4261"/>
    <w:rsid w:val="00C01976"/>
    <w:rsid w:val="00C01B53"/>
    <w:rsid w:val="00C02FED"/>
    <w:rsid w:val="00C05976"/>
    <w:rsid w:val="00C0693F"/>
    <w:rsid w:val="00C14664"/>
    <w:rsid w:val="00C17217"/>
    <w:rsid w:val="00C2552B"/>
    <w:rsid w:val="00C303A4"/>
    <w:rsid w:val="00C36672"/>
    <w:rsid w:val="00C47A23"/>
    <w:rsid w:val="00C47D1C"/>
    <w:rsid w:val="00C52CA4"/>
    <w:rsid w:val="00C52E62"/>
    <w:rsid w:val="00C5309D"/>
    <w:rsid w:val="00C57ABE"/>
    <w:rsid w:val="00C60D8E"/>
    <w:rsid w:val="00C82C62"/>
    <w:rsid w:val="00C82C77"/>
    <w:rsid w:val="00C87A79"/>
    <w:rsid w:val="00C96A0B"/>
    <w:rsid w:val="00C9701C"/>
    <w:rsid w:val="00CA1481"/>
    <w:rsid w:val="00CA20E8"/>
    <w:rsid w:val="00CA64EE"/>
    <w:rsid w:val="00CB391C"/>
    <w:rsid w:val="00CB40BF"/>
    <w:rsid w:val="00CB6403"/>
    <w:rsid w:val="00CC4936"/>
    <w:rsid w:val="00CC62F8"/>
    <w:rsid w:val="00CD1DAB"/>
    <w:rsid w:val="00CD24E7"/>
    <w:rsid w:val="00CD7694"/>
    <w:rsid w:val="00CF66F7"/>
    <w:rsid w:val="00CF683D"/>
    <w:rsid w:val="00D070FE"/>
    <w:rsid w:val="00D14950"/>
    <w:rsid w:val="00D158A8"/>
    <w:rsid w:val="00D170FD"/>
    <w:rsid w:val="00D2359E"/>
    <w:rsid w:val="00D259A9"/>
    <w:rsid w:val="00D31637"/>
    <w:rsid w:val="00D36BEF"/>
    <w:rsid w:val="00D42252"/>
    <w:rsid w:val="00D43502"/>
    <w:rsid w:val="00D45C6E"/>
    <w:rsid w:val="00D5182B"/>
    <w:rsid w:val="00D520FF"/>
    <w:rsid w:val="00D530FA"/>
    <w:rsid w:val="00D539FB"/>
    <w:rsid w:val="00D5DEAE"/>
    <w:rsid w:val="00D64235"/>
    <w:rsid w:val="00D70C1B"/>
    <w:rsid w:val="00D72866"/>
    <w:rsid w:val="00D7722A"/>
    <w:rsid w:val="00D809F6"/>
    <w:rsid w:val="00D9086C"/>
    <w:rsid w:val="00D91672"/>
    <w:rsid w:val="00D9359C"/>
    <w:rsid w:val="00D94100"/>
    <w:rsid w:val="00DA03BA"/>
    <w:rsid w:val="00DA0B05"/>
    <w:rsid w:val="00DA2593"/>
    <w:rsid w:val="00DA53A4"/>
    <w:rsid w:val="00DA5C10"/>
    <w:rsid w:val="00DB4778"/>
    <w:rsid w:val="00DB78F6"/>
    <w:rsid w:val="00DC62B2"/>
    <w:rsid w:val="00DC64F1"/>
    <w:rsid w:val="00DC7717"/>
    <w:rsid w:val="00DD56E6"/>
    <w:rsid w:val="00DE0AAD"/>
    <w:rsid w:val="00DE4237"/>
    <w:rsid w:val="00DE7755"/>
    <w:rsid w:val="00DE7F34"/>
    <w:rsid w:val="00E03F9F"/>
    <w:rsid w:val="00E14BCB"/>
    <w:rsid w:val="00E25A24"/>
    <w:rsid w:val="00E31C02"/>
    <w:rsid w:val="00E32EFE"/>
    <w:rsid w:val="00E351FA"/>
    <w:rsid w:val="00E40488"/>
    <w:rsid w:val="00E43B38"/>
    <w:rsid w:val="00E464CD"/>
    <w:rsid w:val="00E50C44"/>
    <w:rsid w:val="00E52D2C"/>
    <w:rsid w:val="00E53491"/>
    <w:rsid w:val="00E53F28"/>
    <w:rsid w:val="00E5491E"/>
    <w:rsid w:val="00E572B6"/>
    <w:rsid w:val="00E601EF"/>
    <w:rsid w:val="00E62623"/>
    <w:rsid w:val="00E66BC5"/>
    <w:rsid w:val="00E677BA"/>
    <w:rsid w:val="00E7138A"/>
    <w:rsid w:val="00E753D8"/>
    <w:rsid w:val="00E81044"/>
    <w:rsid w:val="00E8133E"/>
    <w:rsid w:val="00E82431"/>
    <w:rsid w:val="00E835CD"/>
    <w:rsid w:val="00E87D99"/>
    <w:rsid w:val="00E94C19"/>
    <w:rsid w:val="00EB1E98"/>
    <w:rsid w:val="00EB295B"/>
    <w:rsid w:val="00EB561A"/>
    <w:rsid w:val="00EC2215"/>
    <w:rsid w:val="00EC4B81"/>
    <w:rsid w:val="00EC4FAA"/>
    <w:rsid w:val="00EC7868"/>
    <w:rsid w:val="00ED010D"/>
    <w:rsid w:val="00ED7DF6"/>
    <w:rsid w:val="00EF04CF"/>
    <w:rsid w:val="00EF25D7"/>
    <w:rsid w:val="00EF4C9B"/>
    <w:rsid w:val="00EF687C"/>
    <w:rsid w:val="00F01CA2"/>
    <w:rsid w:val="00F03410"/>
    <w:rsid w:val="00F0454C"/>
    <w:rsid w:val="00F11434"/>
    <w:rsid w:val="00F11BF0"/>
    <w:rsid w:val="00F21AAF"/>
    <w:rsid w:val="00F24E13"/>
    <w:rsid w:val="00F24E72"/>
    <w:rsid w:val="00F24EAF"/>
    <w:rsid w:val="00F32E8E"/>
    <w:rsid w:val="00F40852"/>
    <w:rsid w:val="00F41960"/>
    <w:rsid w:val="00F44C90"/>
    <w:rsid w:val="00F538B1"/>
    <w:rsid w:val="00F557DF"/>
    <w:rsid w:val="00F6110B"/>
    <w:rsid w:val="00F62CD2"/>
    <w:rsid w:val="00F70130"/>
    <w:rsid w:val="00F70FAF"/>
    <w:rsid w:val="00F71CE5"/>
    <w:rsid w:val="00F7467B"/>
    <w:rsid w:val="00F95612"/>
    <w:rsid w:val="00F95A96"/>
    <w:rsid w:val="00F96ABD"/>
    <w:rsid w:val="00F97E15"/>
    <w:rsid w:val="00FA103A"/>
    <w:rsid w:val="00FB0902"/>
    <w:rsid w:val="00FB61A7"/>
    <w:rsid w:val="00FC013F"/>
    <w:rsid w:val="00FD62C9"/>
    <w:rsid w:val="00FE7461"/>
    <w:rsid w:val="00FE7E9E"/>
    <w:rsid w:val="00FF26FA"/>
    <w:rsid w:val="01077F89"/>
    <w:rsid w:val="01405D07"/>
    <w:rsid w:val="014D1B20"/>
    <w:rsid w:val="0157A8A0"/>
    <w:rsid w:val="015BD430"/>
    <w:rsid w:val="01A9E1F3"/>
    <w:rsid w:val="01C3A647"/>
    <w:rsid w:val="01CEE8D0"/>
    <w:rsid w:val="01D47A56"/>
    <w:rsid w:val="02044D38"/>
    <w:rsid w:val="02153E49"/>
    <w:rsid w:val="021D3B8B"/>
    <w:rsid w:val="022F1043"/>
    <w:rsid w:val="0230169E"/>
    <w:rsid w:val="0231D6AC"/>
    <w:rsid w:val="02586BB2"/>
    <w:rsid w:val="02752D4F"/>
    <w:rsid w:val="02D96D46"/>
    <w:rsid w:val="02D9AC2E"/>
    <w:rsid w:val="02F8215C"/>
    <w:rsid w:val="02FC289F"/>
    <w:rsid w:val="030564C7"/>
    <w:rsid w:val="030C06FB"/>
    <w:rsid w:val="032BA68A"/>
    <w:rsid w:val="03609D83"/>
    <w:rsid w:val="038E5009"/>
    <w:rsid w:val="039294EA"/>
    <w:rsid w:val="03A08D1F"/>
    <w:rsid w:val="03C4E4CE"/>
    <w:rsid w:val="03F155B7"/>
    <w:rsid w:val="041EECE3"/>
    <w:rsid w:val="042A4534"/>
    <w:rsid w:val="0438DECB"/>
    <w:rsid w:val="0465A16E"/>
    <w:rsid w:val="046DC5C1"/>
    <w:rsid w:val="04775850"/>
    <w:rsid w:val="04802229"/>
    <w:rsid w:val="04848F76"/>
    <w:rsid w:val="04A29F61"/>
    <w:rsid w:val="04A32A51"/>
    <w:rsid w:val="04B13D56"/>
    <w:rsid w:val="051834D4"/>
    <w:rsid w:val="0520FE96"/>
    <w:rsid w:val="052BCCBF"/>
    <w:rsid w:val="0572DB9B"/>
    <w:rsid w:val="05FAA115"/>
    <w:rsid w:val="06378B59"/>
    <w:rsid w:val="0638807D"/>
    <w:rsid w:val="06564D40"/>
    <w:rsid w:val="067532C1"/>
    <w:rsid w:val="06D06F3B"/>
    <w:rsid w:val="06DA4F79"/>
    <w:rsid w:val="06DBC017"/>
    <w:rsid w:val="06EADFFC"/>
    <w:rsid w:val="0702CB07"/>
    <w:rsid w:val="070540AB"/>
    <w:rsid w:val="073D43C0"/>
    <w:rsid w:val="074D669C"/>
    <w:rsid w:val="075616B5"/>
    <w:rsid w:val="075CC0D0"/>
    <w:rsid w:val="0761FD24"/>
    <w:rsid w:val="0778620F"/>
    <w:rsid w:val="078D5285"/>
    <w:rsid w:val="0792812D"/>
    <w:rsid w:val="079ABF09"/>
    <w:rsid w:val="07AB91AF"/>
    <w:rsid w:val="07CDF593"/>
    <w:rsid w:val="07CF5A4D"/>
    <w:rsid w:val="07DD9B06"/>
    <w:rsid w:val="07E6E3E2"/>
    <w:rsid w:val="07E81E08"/>
    <w:rsid w:val="07E84F2B"/>
    <w:rsid w:val="07FF49FF"/>
    <w:rsid w:val="082295C1"/>
    <w:rsid w:val="084056C9"/>
    <w:rsid w:val="08741E18"/>
    <w:rsid w:val="087CE0B3"/>
    <w:rsid w:val="08ABF885"/>
    <w:rsid w:val="08B9F3AF"/>
    <w:rsid w:val="08C39C8B"/>
    <w:rsid w:val="08D20164"/>
    <w:rsid w:val="08DE9381"/>
    <w:rsid w:val="08EB6E6A"/>
    <w:rsid w:val="091B9C2B"/>
    <w:rsid w:val="0952239A"/>
    <w:rsid w:val="099172EC"/>
    <w:rsid w:val="09CBE511"/>
    <w:rsid w:val="0A099910"/>
    <w:rsid w:val="0A23CFAF"/>
    <w:rsid w:val="0A3A4FDC"/>
    <w:rsid w:val="0A52BECE"/>
    <w:rsid w:val="0A5D90BA"/>
    <w:rsid w:val="0AA87AC2"/>
    <w:rsid w:val="0AB3D3AE"/>
    <w:rsid w:val="0AE2B7C8"/>
    <w:rsid w:val="0B04CAD0"/>
    <w:rsid w:val="0B0C1252"/>
    <w:rsid w:val="0B6D6247"/>
    <w:rsid w:val="0B6DD523"/>
    <w:rsid w:val="0B85FAF0"/>
    <w:rsid w:val="0BA2234B"/>
    <w:rsid w:val="0BB1AA13"/>
    <w:rsid w:val="0BD1552F"/>
    <w:rsid w:val="0C28B744"/>
    <w:rsid w:val="0C40AE00"/>
    <w:rsid w:val="0CA3E3D6"/>
    <w:rsid w:val="0CBDE5EB"/>
    <w:rsid w:val="0CD9AE31"/>
    <w:rsid w:val="0CEA10DB"/>
    <w:rsid w:val="0CED9752"/>
    <w:rsid w:val="0CF1A908"/>
    <w:rsid w:val="0D073372"/>
    <w:rsid w:val="0D26F0A8"/>
    <w:rsid w:val="0D2C7485"/>
    <w:rsid w:val="0D625D95"/>
    <w:rsid w:val="0D660F1D"/>
    <w:rsid w:val="0D71C460"/>
    <w:rsid w:val="0D9CE791"/>
    <w:rsid w:val="0DCFF3A0"/>
    <w:rsid w:val="0E7C1A92"/>
    <w:rsid w:val="0EA33594"/>
    <w:rsid w:val="0EA6709C"/>
    <w:rsid w:val="0EDAD4C1"/>
    <w:rsid w:val="0EE49552"/>
    <w:rsid w:val="0F0700F8"/>
    <w:rsid w:val="0F1D7A08"/>
    <w:rsid w:val="0F1DA1BB"/>
    <w:rsid w:val="0F974D07"/>
    <w:rsid w:val="0FA5F422"/>
    <w:rsid w:val="0FEC54A4"/>
    <w:rsid w:val="0FF0076C"/>
    <w:rsid w:val="10202660"/>
    <w:rsid w:val="10355567"/>
    <w:rsid w:val="1035B588"/>
    <w:rsid w:val="106FB74C"/>
    <w:rsid w:val="107A386D"/>
    <w:rsid w:val="10B60E91"/>
    <w:rsid w:val="10E3799A"/>
    <w:rsid w:val="10E4D8A6"/>
    <w:rsid w:val="110A3191"/>
    <w:rsid w:val="1138DFE4"/>
    <w:rsid w:val="11743CDC"/>
    <w:rsid w:val="1196F786"/>
    <w:rsid w:val="11E93F62"/>
    <w:rsid w:val="122B89B4"/>
    <w:rsid w:val="122FDAF9"/>
    <w:rsid w:val="1258228B"/>
    <w:rsid w:val="1267F9A8"/>
    <w:rsid w:val="12A41A50"/>
    <w:rsid w:val="12BB319C"/>
    <w:rsid w:val="12CC8954"/>
    <w:rsid w:val="12CD47DC"/>
    <w:rsid w:val="12DF9AB0"/>
    <w:rsid w:val="12E1BCF6"/>
    <w:rsid w:val="130A946C"/>
    <w:rsid w:val="130C4A7D"/>
    <w:rsid w:val="131BD2EC"/>
    <w:rsid w:val="13238694"/>
    <w:rsid w:val="134849FB"/>
    <w:rsid w:val="13491157"/>
    <w:rsid w:val="1360C4DE"/>
    <w:rsid w:val="1388C3A1"/>
    <w:rsid w:val="13C1DD3E"/>
    <w:rsid w:val="13C9E6E4"/>
    <w:rsid w:val="141AF594"/>
    <w:rsid w:val="14717A86"/>
    <w:rsid w:val="147181F1"/>
    <w:rsid w:val="149F6702"/>
    <w:rsid w:val="14B5841B"/>
    <w:rsid w:val="14BEC577"/>
    <w:rsid w:val="14F42CB2"/>
    <w:rsid w:val="1509CF29"/>
    <w:rsid w:val="151CDF0E"/>
    <w:rsid w:val="15319AE0"/>
    <w:rsid w:val="1539D1B1"/>
    <w:rsid w:val="154643FE"/>
    <w:rsid w:val="1560AE19"/>
    <w:rsid w:val="1561DDA9"/>
    <w:rsid w:val="15BAA395"/>
    <w:rsid w:val="15BE1B5F"/>
    <w:rsid w:val="15BE85B0"/>
    <w:rsid w:val="15CBCD7B"/>
    <w:rsid w:val="15D32D72"/>
    <w:rsid w:val="15DC0CE4"/>
    <w:rsid w:val="15DD6BD9"/>
    <w:rsid w:val="15E4D145"/>
    <w:rsid w:val="1637BE81"/>
    <w:rsid w:val="1644F15E"/>
    <w:rsid w:val="1697C744"/>
    <w:rsid w:val="169B15C4"/>
    <w:rsid w:val="16AF6E0D"/>
    <w:rsid w:val="16B2837E"/>
    <w:rsid w:val="16C275C4"/>
    <w:rsid w:val="16CA4D10"/>
    <w:rsid w:val="17161C7B"/>
    <w:rsid w:val="17479552"/>
    <w:rsid w:val="17498688"/>
    <w:rsid w:val="17552885"/>
    <w:rsid w:val="176DEE51"/>
    <w:rsid w:val="177C4AA0"/>
    <w:rsid w:val="1784DCFF"/>
    <w:rsid w:val="179A3E81"/>
    <w:rsid w:val="17A4824E"/>
    <w:rsid w:val="17BB9FB5"/>
    <w:rsid w:val="18024A32"/>
    <w:rsid w:val="182F068A"/>
    <w:rsid w:val="18372F12"/>
    <w:rsid w:val="1849B438"/>
    <w:rsid w:val="185F71AE"/>
    <w:rsid w:val="186A8F44"/>
    <w:rsid w:val="187396D6"/>
    <w:rsid w:val="1880D331"/>
    <w:rsid w:val="188F2235"/>
    <w:rsid w:val="18960C35"/>
    <w:rsid w:val="18B13D84"/>
    <w:rsid w:val="18F59D88"/>
    <w:rsid w:val="18FAF173"/>
    <w:rsid w:val="19417C22"/>
    <w:rsid w:val="19634787"/>
    <w:rsid w:val="1966F7DA"/>
    <w:rsid w:val="196748C0"/>
    <w:rsid w:val="197341C6"/>
    <w:rsid w:val="19791878"/>
    <w:rsid w:val="19825B72"/>
    <w:rsid w:val="19AC4D2F"/>
    <w:rsid w:val="19C08145"/>
    <w:rsid w:val="19C94A1B"/>
    <w:rsid w:val="19FCAA18"/>
    <w:rsid w:val="1A2AEDED"/>
    <w:rsid w:val="1A2E3969"/>
    <w:rsid w:val="1A479A2C"/>
    <w:rsid w:val="1A548804"/>
    <w:rsid w:val="1A5BC349"/>
    <w:rsid w:val="1A6E148B"/>
    <w:rsid w:val="1A8CB916"/>
    <w:rsid w:val="1A95ADF5"/>
    <w:rsid w:val="1AA2EB56"/>
    <w:rsid w:val="1AAF29B8"/>
    <w:rsid w:val="1AB39D5D"/>
    <w:rsid w:val="1B2A444D"/>
    <w:rsid w:val="1B3C036F"/>
    <w:rsid w:val="1B7B260B"/>
    <w:rsid w:val="1B83E3E4"/>
    <w:rsid w:val="1BC2987D"/>
    <w:rsid w:val="1C38FA04"/>
    <w:rsid w:val="1C4C7E47"/>
    <w:rsid w:val="1C54DA66"/>
    <w:rsid w:val="1C812C6C"/>
    <w:rsid w:val="1C861729"/>
    <w:rsid w:val="1C877618"/>
    <w:rsid w:val="1C98131E"/>
    <w:rsid w:val="1CAD4473"/>
    <w:rsid w:val="1CCBCE09"/>
    <w:rsid w:val="1CFCEE68"/>
    <w:rsid w:val="1D06BEA5"/>
    <w:rsid w:val="1D0B7A70"/>
    <w:rsid w:val="1D1C0513"/>
    <w:rsid w:val="1D2283B9"/>
    <w:rsid w:val="1D28A05C"/>
    <w:rsid w:val="1D6DD08D"/>
    <w:rsid w:val="1D8CDD59"/>
    <w:rsid w:val="1D950370"/>
    <w:rsid w:val="1DADF9DF"/>
    <w:rsid w:val="1DB74A62"/>
    <w:rsid w:val="1DBBDE24"/>
    <w:rsid w:val="1DCB030E"/>
    <w:rsid w:val="1DDF9CA0"/>
    <w:rsid w:val="1DFC230D"/>
    <w:rsid w:val="1E19A28E"/>
    <w:rsid w:val="1E20B41A"/>
    <w:rsid w:val="1E25D9F7"/>
    <w:rsid w:val="1E2A20EB"/>
    <w:rsid w:val="1E2D84B8"/>
    <w:rsid w:val="1EC5AF2F"/>
    <w:rsid w:val="1ED741F5"/>
    <w:rsid w:val="1EF26ED1"/>
    <w:rsid w:val="1F19B72F"/>
    <w:rsid w:val="1F204260"/>
    <w:rsid w:val="1F3BE6BC"/>
    <w:rsid w:val="1F6E1043"/>
    <w:rsid w:val="1F763F19"/>
    <w:rsid w:val="1F8920F1"/>
    <w:rsid w:val="1F8C6C48"/>
    <w:rsid w:val="1FDC0ABF"/>
    <w:rsid w:val="1FE8499F"/>
    <w:rsid w:val="20137466"/>
    <w:rsid w:val="20268CE4"/>
    <w:rsid w:val="205C8474"/>
    <w:rsid w:val="205E2BF2"/>
    <w:rsid w:val="2062DA32"/>
    <w:rsid w:val="208B6F8C"/>
    <w:rsid w:val="20A1EA2C"/>
    <w:rsid w:val="20B2ED99"/>
    <w:rsid w:val="20CA0B7A"/>
    <w:rsid w:val="20E6C812"/>
    <w:rsid w:val="212343EE"/>
    <w:rsid w:val="215089FC"/>
    <w:rsid w:val="217FF5A5"/>
    <w:rsid w:val="2184353A"/>
    <w:rsid w:val="218FD04D"/>
    <w:rsid w:val="21910F55"/>
    <w:rsid w:val="21A786D3"/>
    <w:rsid w:val="21A83646"/>
    <w:rsid w:val="21B57B3A"/>
    <w:rsid w:val="21B90170"/>
    <w:rsid w:val="21BB980A"/>
    <w:rsid w:val="21C8B5B3"/>
    <w:rsid w:val="22009912"/>
    <w:rsid w:val="22245908"/>
    <w:rsid w:val="2225416D"/>
    <w:rsid w:val="224F81BA"/>
    <w:rsid w:val="225E4534"/>
    <w:rsid w:val="22CB35D7"/>
    <w:rsid w:val="22D4051E"/>
    <w:rsid w:val="22F272B7"/>
    <w:rsid w:val="2346598D"/>
    <w:rsid w:val="235037C9"/>
    <w:rsid w:val="23FEA8FD"/>
    <w:rsid w:val="2403FCE2"/>
    <w:rsid w:val="248D5CB6"/>
    <w:rsid w:val="249412E5"/>
    <w:rsid w:val="24FD8ED7"/>
    <w:rsid w:val="2513F773"/>
    <w:rsid w:val="252F95C1"/>
    <w:rsid w:val="25410B90"/>
    <w:rsid w:val="254CD9E9"/>
    <w:rsid w:val="256D2FB1"/>
    <w:rsid w:val="256F0157"/>
    <w:rsid w:val="25AD559B"/>
    <w:rsid w:val="25FA51A0"/>
    <w:rsid w:val="260807A1"/>
    <w:rsid w:val="262014D1"/>
    <w:rsid w:val="262D56AB"/>
    <w:rsid w:val="263CC5BF"/>
    <w:rsid w:val="2656FD65"/>
    <w:rsid w:val="26BDDD0A"/>
    <w:rsid w:val="26E76EC9"/>
    <w:rsid w:val="2735B103"/>
    <w:rsid w:val="2753BD1B"/>
    <w:rsid w:val="27749A5F"/>
    <w:rsid w:val="277C88EF"/>
    <w:rsid w:val="277DC889"/>
    <w:rsid w:val="27862409"/>
    <w:rsid w:val="2797E5B3"/>
    <w:rsid w:val="27A375C9"/>
    <w:rsid w:val="27CDCDAE"/>
    <w:rsid w:val="27E06500"/>
    <w:rsid w:val="27FBBAAD"/>
    <w:rsid w:val="28650CF4"/>
    <w:rsid w:val="28D629D7"/>
    <w:rsid w:val="28E8DA65"/>
    <w:rsid w:val="292D02CF"/>
    <w:rsid w:val="2985922D"/>
    <w:rsid w:val="29A79E38"/>
    <w:rsid w:val="29C6F1FC"/>
    <w:rsid w:val="29E07E2D"/>
    <w:rsid w:val="29E21569"/>
    <w:rsid w:val="29EC0903"/>
    <w:rsid w:val="29EF2537"/>
    <w:rsid w:val="29F6F712"/>
    <w:rsid w:val="2A14D026"/>
    <w:rsid w:val="2A1E2F84"/>
    <w:rsid w:val="2A323A68"/>
    <w:rsid w:val="2A4ED9BF"/>
    <w:rsid w:val="2A813187"/>
    <w:rsid w:val="2A953BB6"/>
    <w:rsid w:val="2ABACFA9"/>
    <w:rsid w:val="2ABC7C6A"/>
    <w:rsid w:val="2AC6A035"/>
    <w:rsid w:val="2AD87932"/>
    <w:rsid w:val="2ADADFA6"/>
    <w:rsid w:val="2AE2F1A1"/>
    <w:rsid w:val="2AE56D57"/>
    <w:rsid w:val="2B21E34A"/>
    <w:rsid w:val="2B294999"/>
    <w:rsid w:val="2B84040D"/>
    <w:rsid w:val="2B8913C7"/>
    <w:rsid w:val="2B8BDADB"/>
    <w:rsid w:val="2B9C4D61"/>
    <w:rsid w:val="2BB5A529"/>
    <w:rsid w:val="2BE7BBD4"/>
    <w:rsid w:val="2BF692A6"/>
    <w:rsid w:val="2BFFB0CF"/>
    <w:rsid w:val="2C08D4A9"/>
    <w:rsid w:val="2C736782"/>
    <w:rsid w:val="2C794F35"/>
    <w:rsid w:val="2C83E1DA"/>
    <w:rsid w:val="2CC34BF6"/>
    <w:rsid w:val="2CE7F828"/>
    <w:rsid w:val="2CEF5BFC"/>
    <w:rsid w:val="2D05361C"/>
    <w:rsid w:val="2D0898B2"/>
    <w:rsid w:val="2D27AF29"/>
    <w:rsid w:val="2D34C3D6"/>
    <w:rsid w:val="2D39D6CB"/>
    <w:rsid w:val="2D410886"/>
    <w:rsid w:val="2D9D0173"/>
    <w:rsid w:val="2DB4F2CD"/>
    <w:rsid w:val="2DB5BE4E"/>
    <w:rsid w:val="2DC00990"/>
    <w:rsid w:val="2DCEF52E"/>
    <w:rsid w:val="2DD71605"/>
    <w:rsid w:val="2DE1DE27"/>
    <w:rsid w:val="2DFAA2AB"/>
    <w:rsid w:val="2DFFB6EA"/>
    <w:rsid w:val="2E7892E1"/>
    <w:rsid w:val="2E822D59"/>
    <w:rsid w:val="2E842681"/>
    <w:rsid w:val="2ED23989"/>
    <w:rsid w:val="2ED6228B"/>
    <w:rsid w:val="2F36DB4B"/>
    <w:rsid w:val="2F4C5CC7"/>
    <w:rsid w:val="2F50C195"/>
    <w:rsid w:val="2F51B6A8"/>
    <w:rsid w:val="2F8BCAE4"/>
    <w:rsid w:val="2F8BE628"/>
    <w:rsid w:val="2FF0DDA0"/>
    <w:rsid w:val="2FF882F9"/>
    <w:rsid w:val="2FFC5D62"/>
    <w:rsid w:val="300B60F5"/>
    <w:rsid w:val="30395AEB"/>
    <w:rsid w:val="30677EEB"/>
    <w:rsid w:val="307BA4E8"/>
    <w:rsid w:val="30AF1A37"/>
    <w:rsid w:val="30BBBC02"/>
    <w:rsid w:val="30C25625"/>
    <w:rsid w:val="30C8078C"/>
    <w:rsid w:val="30CBB733"/>
    <w:rsid w:val="30CD5681"/>
    <w:rsid w:val="30D741F3"/>
    <w:rsid w:val="30E403DF"/>
    <w:rsid w:val="30E4D0FE"/>
    <w:rsid w:val="30FEDB67"/>
    <w:rsid w:val="311622D6"/>
    <w:rsid w:val="311EB4FB"/>
    <w:rsid w:val="315F013A"/>
    <w:rsid w:val="3169E306"/>
    <w:rsid w:val="3185B197"/>
    <w:rsid w:val="31990527"/>
    <w:rsid w:val="319DA99A"/>
    <w:rsid w:val="31B760FA"/>
    <w:rsid w:val="31E52981"/>
    <w:rsid w:val="3201CD0C"/>
    <w:rsid w:val="32419EFA"/>
    <w:rsid w:val="3241E95D"/>
    <w:rsid w:val="3273D3F6"/>
    <w:rsid w:val="32940F11"/>
    <w:rsid w:val="329C7CCB"/>
    <w:rsid w:val="32CF7342"/>
    <w:rsid w:val="32D42929"/>
    <w:rsid w:val="32FB3A85"/>
    <w:rsid w:val="331BA692"/>
    <w:rsid w:val="33334B3C"/>
    <w:rsid w:val="33404AB1"/>
    <w:rsid w:val="336838FA"/>
    <w:rsid w:val="3381B05F"/>
    <w:rsid w:val="339C1EE8"/>
    <w:rsid w:val="33C8C1B3"/>
    <w:rsid w:val="340E25B4"/>
    <w:rsid w:val="343C2730"/>
    <w:rsid w:val="34709E29"/>
    <w:rsid w:val="34899A90"/>
    <w:rsid w:val="34BD806C"/>
    <w:rsid w:val="354A9984"/>
    <w:rsid w:val="355FCE16"/>
    <w:rsid w:val="3574C552"/>
    <w:rsid w:val="35782494"/>
    <w:rsid w:val="3589C5CB"/>
    <w:rsid w:val="35DEFFB5"/>
    <w:rsid w:val="35EC4C08"/>
    <w:rsid w:val="35F05C2A"/>
    <w:rsid w:val="360BDF06"/>
    <w:rsid w:val="3647C0DE"/>
    <w:rsid w:val="364CDC41"/>
    <w:rsid w:val="366F4345"/>
    <w:rsid w:val="36A009CE"/>
    <w:rsid w:val="36E62C08"/>
    <w:rsid w:val="36F69B2F"/>
    <w:rsid w:val="372FEAD7"/>
    <w:rsid w:val="37533A07"/>
    <w:rsid w:val="3762BB5C"/>
    <w:rsid w:val="376F1F8E"/>
    <w:rsid w:val="3770B91B"/>
    <w:rsid w:val="37B074F3"/>
    <w:rsid w:val="37BFB161"/>
    <w:rsid w:val="37DA88E1"/>
    <w:rsid w:val="37DD073D"/>
    <w:rsid w:val="3821F216"/>
    <w:rsid w:val="382ABBEE"/>
    <w:rsid w:val="38611F5B"/>
    <w:rsid w:val="38994A34"/>
    <w:rsid w:val="38CD9AC5"/>
    <w:rsid w:val="38D624C7"/>
    <w:rsid w:val="38F133EC"/>
    <w:rsid w:val="38F2ABDA"/>
    <w:rsid w:val="3901BC16"/>
    <w:rsid w:val="39148719"/>
    <w:rsid w:val="396001FA"/>
    <w:rsid w:val="3962FDAC"/>
    <w:rsid w:val="399D8D21"/>
    <w:rsid w:val="39C60DA2"/>
    <w:rsid w:val="39FC6F5B"/>
    <w:rsid w:val="3A07EF95"/>
    <w:rsid w:val="3A1A0F79"/>
    <w:rsid w:val="3A1D26AD"/>
    <w:rsid w:val="3A45E692"/>
    <w:rsid w:val="3A4D213E"/>
    <w:rsid w:val="3A6E81F8"/>
    <w:rsid w:val="3A9F60B2"/>
    <w:rsid w:val="3ACD259F"/>
    <w:rsid w:val="3AE0180D"/>
    <w:rsid w:val="3B1398FF"/>
    <w:rsid w:val="3B1BBA8B"/>
    <w:rsid w:val="3B5BB4B7"/>
    <w:rsid w:val="3BD40408"/>
    <w:rsid w:val="3C2DF111"/>
    <w:rsid w:val="3C3EDA8A"/>
    <w:rsid w:val="3C6ED389"/>
    <w:rsid w:val="3C818322"/>
    <w:rsid w:val="3C94452E"/>
    <w:rsid w:val="3CE48D42"/>
    <w:rsid w:val="3CFF4E16"/>
    <w:rsid w:val="3D004E5B"/>
    <w:rsid w:val="3D17E547"/>
    <w:rsid w:val="3D1D59F0"/>
    <w:rsid w:val="3D2F3D89"/>
    <w:rsid w:val="3D326D8A"/>
    <w:rsid w:val="3D5C331D"/>
    <w:rsid w:val="3D8675B7"/>
    <w:rsid w:val="3DCC34D0"/>
    <w:rsid w:val="3DDD2A9A"/>
    <w:rsid w:val="3DE39D8F"/>
    <w:rsid w:val="3E5FB5E3"/>
    <w:rsid w:val="3EDBA711"/>
    <w:rsid w:val="3EDC405F"/>
    <w:rsid w:val="3EE24C9D"/>
    <w:rsid w:val="3F130957"/>
    <w:rsid w:val="3F29776E"/>
    <w:rsid w:val="3F3663EB"/>
    <w:rsid w:val="3F36EE55"/>
    <w:rsid w:val="3F3D1DB6"/>
    <w:rsid w:val="3F42EB65"/>
    <w:rsid w:val="3F4B7CC5"/>
    <w:rsid w:val="3F6F1891"/>
    <w:rsid w:val="3F825FA4"/>
    <w:rsid w:val="3F85EE08"/>
    <w:rsid w:val="3F91D30E"/>
    <w:rsid w:val="3FA1BAC4"/>
    <w:rsid w:val="3FD1662C"/>
    <w:rsid w:val="3FEA2E9A"/>
    <w:rsid w:val="40058B17"/>
    <w:rsid w:val="404A50D7"/>
    <w:rsid w:val="404B6AFF"/>
    <w:rsid w:val="4092A046"/>
    <w:rsid w:val="409587D7"/>
    <w:rsid w:val="409651C6"/>
    <w:rsid w:val="40C218D5"/>
    <w:rsid w:val="40D29A38"/>
    <w:rsid w:val="40E96888"/>
    <w:rsid w:val="40F09302"/>
    <w:rsid w:val="4105997C"/>
    <w:rsid w:val="4105F6F8"/>
    <w:rsid w:val="415B303B"/>
    <w:rsid w:val="4194FF82"/>
    <w:rsid w:val="419E6331"/>
    <w:rsid w:val="41ABD301"/>
    <w:rsid w:val="41D65301"/>
    <w:rsid w:val="41E05F88"/>
    <w:rsid w:val="41F31D53"/>
    <w:rsid w:val="4205789E"/>
    <w:rsid w:val="425AD344"/>
    <w:rsid w:val="4268F1BE"/>
    <w:rsid w:val="427B4EBF"/>
    <w:rsid w:val="42B0462B"/>
    <w:rsid w:val="42B11765"/>
    <w:rsid w:val="42DF350D"/>
    <w:rsid w:val="42EBDD76"/>
    <w:rsid w:val="4303DB06"/>
    <w:rsid w:val="43159F82"/>
    <w:rsid w:val="432C726D"/>
    <w:rsid w:val="4339F524"/>
    <w:rsid w:val="435134E1"/>
    <w:rsid w:val="43609326"/>
    <w:rsid w:val="436544BA"/>
    <w:rsid w:val="43674C16"/>
    <w:rsid w:val="43733F8C"/>
    <w:rsid w:val="4381A9B2"/>
    <w:rsid w:val="4393A623"/>
    <w:rsid w:val="43D3B9E1"/>
    <w:rsid w:val="44048963"/>
    <w:rsid w:val="44092B3E"/>
    <w:rsid w:val="440DEC9B"/>
    <w:rsid w:val="444593DC"/>
    <w:rsid w:val="444D998D"/>
    <w:rsid w:val="44A4390A"/>
    <w:rsid w:val="44A6A6BD"/>
    <w:rsid w:val="44AB0F90"/>
    <w:rsid w:val="44B5B560"/>
    <w:rsid w:val="45089FB9"/>
    <w:rsid w:val="450A00DA"/>
    <w:rsid w:val="4523E141"/>
    <w:rsid w:val="4529EF96"/>
    <w:rsid w:val="452B5A56"/>
    <w:rsid w:val="45CAE82A"/>
    <w:rsid w:val="45CD414F"/>
    <w:rsid w:val="45E529E4"/>
    <w:rsid w:val="45F84103"/>
    <w:rsid w:val="462774FF"/>
    <w:rsid w:val="46297DE2"/>
    <w:rsid w:val="463A77FF"/>
    <w:rsid w:val="463F1B8E"/>
    <w:rsid w:val="46651330"/>
    <w:rsid w:val="467ED28B"/>
    <w:rsid w:val="469658EB"/>
    <w:rsid w:val="46ADAAF6"/>
    <w:rsid w:val="46B742F0"/>
    <w:rsid w:val="476D2BF4"/>
    <w:rsid w:val="477EFF52"/>
    <w:rsid w:val="47917ADF"/>
    <w:rsid w:val="47BE06EF"/>
    <w:rsid w:val="481BC9C4"/>
    <w:rsid w:val="48202FD6"/>
    <w:rsid w:val="48427011"/>
    <w:rsid w:val="48869D59"/>
    <w:rsid w:val="48A8D942"/>
    <w:rsid w:val="48A8F80D"/>
    <w:rsid w:val="48C7EB63"/>
    <w:rsid w:val="48D2402E"/>
    <w:rsid w:val="48D50DD3"/>
    <w:rsid w:val="48E5560C"/>
    <w:rsid w:val="49101DE1"/>
    <w:rsid w:val="49326D1C"/>
    <w:rsid w:val="493E1734"/>
    <w:rsid w:val="496D0803"/>
    <w:rsid w:val="498B60BB"/>
    <w:rsid w:val="49C78E17"/>
    <w:rsid w:val="4A014327"/>
    <w:rsid w:val="4A3192DD"/>
    <w:rsid w:val="4A3A5951"/>
    <w:rsid w:val="4A5E41D2"/>
    <w:rsid w:val="4A6654C7"/>
    <w:rsid w:val="4AB56BA1"/>
    <w:rsid w:val="4B132727"/>
    <w:rsid w:val="4B19AFB9"/>
    <w:rsid w:val="4B2D2881"/>
    <w:rsid w:val="4B497B12"/>
    <w:rsid w:val="4B70C0C6"/>
    <w:rsid w:val="4B7253B3"/>
    <w:rsid w:val="4B7FF2EE"/>
    <w:rsid w:val="4B84D261"/>
    <w:rsid w:val="4BB11B26"/>
    <w:rsid w:val="4BC38CB3"/>
    <w:rsid w:val="4BC5379B"/>
    <w:rsid w:val="4BE77239"/>
    <w:rsid w:val="4BF32725"/>
    <w:rsid w:val="4BFBAE3D"/>
    <w:rsid w:val="4C1F74E9"/>
    <w:rsid w:val="4C377740"/>
    <w:rsid w:val="4C41352A"/>
    <w:rsid w:val="4C4B84E2"/>
    <w:rsid w:val="4C559520"/>
    <w:rsid w:val="4C7A667E"/>
    <w:rsid w:val="4C868BF6"/>
    <w:rsid w:val="4C868E88"/>
    <w:rsid w:val="4C9CA403"/>
    <w:rsid w:val="4CAEECC1"/>
    <w:rsid w:val="4D447EDB"/>
    <w:rsid w:val="4D506B05"/>
    <w:rsid w:val="4D78A4D4"/>
    <w:rsid w:val="4DC65650"/>
    <w:rsid w:val="4DDB2981"/>
    <w:rsid w:val="4DE21CE5"/>
    <w:rsid w:val="4E00F3C5"/>
    <w:rsid w:val="4E020982"/>
    <w:rsid w:val="4E281018"/>
    <w:rsid w:val="4E649CD1"/>
    <w:rsid w:val="4E80B535"/>
    <w:rsid w:val="4E936D8B"/>
    <w:rsid w:val="4EA7425D"/>
    <w:rsid w:val="4EB3AC0B"/>
    <w:rsid w:val="4EBF723C"/>
    <w:rsid w:val="4EE077C4"/>
    <w:rsid w:val="4F15BFDD"/>
    <w:rsid w:val="4F2A0931"/>
    <w:rsid w:val="4F3BBDD4"/>
    <w:rsid w:val="4F4DE792"/>
    <w:rsid w:val="4F6BA10B"/>
    <w:rsid w:val="4F6DC070"/>
    <w:rsid w:val="4F8284AC"/>
    <w:rsid w:val="4F86743C"/>
    <w:rsid w:val="4FCE98EC"/>
    <w:rsid w:val="500F5064"/>
    <w:rsid w:val="50145F6A"/>
    <w:rsid w:val="501CF535"/>
    <w:rsid w:val="502679B9"/>
    <w:rsid w:val="503C5647"/>
    <w:rsid w:val="506143CF"/>
    <w:rsid w:val="50B32028"/>
    <w:rsid w:val="50C549B6"/>
    <w:rsid w:val="512994F8"/>
    <w:rsid w:val="513F0DEB"/>
    <w:rsid w:val="51547166"/>
    <w:rsid w:val="515F9384"/>
    <w:rsid w:val="517612D0"/>
    <w:rsid w:val="51780569"/>
    <w:rsid w:val="51E2AC3F"/>
    <w:rsid w:val="520B70E8"/>
    <w:rsid w:val="521B3534"/>
    <w:rsid w:val="522A98C1"/>
    <w:rsid w:val="52524AE0"/>
    <w:rsid w:val="5274D3B6"/>
    <w:rsid w:val="5284E754"/>
    <w:rsid w:val="528F90CE"/>
    <w:rsid w:val="52A2B3AD"/>
    <w:rsid w:val="52C57243"/>
    <w:rsid w:val="531FA95E"/>
    <w:rsid w:val="53278C55"/>
    <w:rsid w:val="53292D29"/>
    <w:rsid w:val="5352D6EE"/>
    <w:rsid w:val="5399B9C2"/>
    <w:rsid w:val="53A25EA8"/>
    <w:rsid w:val="53DEA1C3"/>
    <w:rsid w:val="53EAC66B"/>
    <w:rsid w:val="543CB792"/>
    <w:rsid w:val="5441F6C7"/>
    <w:rsid w:val="544FC40D"/>
    <w:rsid w:val="5458FD10"/>
    <w:rsid w:val="5477151B"/>
    <w:rsid w:val="54A98A85"/>
    <w:rsid w:val="54AA2381"/>
    <w:rsid w:val="54E61D5A"/>
    <w:rsid w:val="55223268"/>
    <w:rsid w:val="55290FD3"/>
    <w:rsid w:val="552DF95E"/>
    <w:rsid w:val="55500F54"/>
    <w:rsid w:val="5558FE25"/>
    <w:rsid w:val="55810590"/>
    <w:rsid w:val="55885EC8"/>
    <w:rsid w:val="5593BCA7"/>
    <w:rsid w:val="55E020F2"/>
    <w:rsid w:val="562DA02F"/>
    <w:rsid w:val="56650159"/>
    <w:rsid w:val="567C3023"/>
    <w:rsid w:val="568F5F52"/>
    <w:rsid w:val="56909385"/>
    <w:rsid w:val="56A35CFE"/>
    <w:rsid w:val="56A8709C"/>
    <w:rsid w:val="56CC7848"/>
    <w:rsid w:val="56DEFF01"/>
    <w:rsid w:val="56E63D73"/>
    <w:rsid w:val="57154937"/>
    <w:rsid w:val="571D85CD"/>
    <w:rsid w:val="5737BB99"/>
    <w:rsid w:val="573EBCBF"/>
    <w:rsid w:val="574A637D"/>
    <w:rsid w:val="575A2AFF"/>
    <w:rsid w:val="578A0F55"/>
    <w:rsid w:val="57A721FE"/>
    <w:rsid w:val="57BF6F35"/>
    <w:rsid w:val="57D36F69"/>
    <w:rsid w:val="57ECC7ED"/>
    <w:rsid w:val="57FC77DD"/>
    <w:rsid w:val="58252192"/>
    <w:rsid w:val="58979C86"/>
    <w:rsid w:val="58A4656D"/>
    <w:rsid w:val="58D305FC"/>
    <w:rsid w:val="58DF3560"/>
    <w:rsid w:val="59000E53"/>
    <w:rsid w:val="5905759A"/>
    <w:rsid w:val="591294FB"/>
    <w:rsid w:val="591FF227"/>
    <w:rsid w:val="5936E9EC"/>
    <w:rsid w:val="5979AEAB"/>
    <w:rsid w:val="5997D7E4"/>
    <w:rsid w:val="599F29D6"/>
    <w:rsid w:val="59A3E778"/>
    <w:rsid w:val="59BDF690"/>
    <w:rsid w:val="59C01BE5"/>
    <w:rsid w:val="59D6FAF9"/>
    <w:rsid w:val="59EC097F"/>
    <w:rsid w:val="59F7F900"/>
    <w:rsid w:val="5A5D3BF3"/>
    <w:rsid w:val="5A806AD0"/>
    <w:rsid w:val="5A8C328A"/>
    <w:rsid w:val="5AD1FE40"/>
    <w:rsid w:val="5B056CE0"/>
    <w:rsid w:val="5B14BAB7"/>
    <w:rsid w:val="5B16E2CC"/>
    <w:rsid w:val="5B5172A6"/>
    <w:rsid w:val="5B597249"/>
    <w:rsid w:val="5B69D4AF"/>
    <w:rsid w:val="5B6B566D"/>
    <w:rsid w:val="5B86777F"/>
    <w:rsid w:val="5B89671C"/>
    <w:rsid w:val="5B9D7810"/>
    <w:rsid w:val="5BC40D84"/>
    <w:rsid w:val="5BCDE5F7"/>
    <w:rsid w:val="5BD8DE8D"/>
    <w:rsid w:val="5BD8E73D"/>
    <w:rsid w:val="5BE57CA3"/>
    <w:rsid w:val="5BF117A7"/>
    <w:rsid w:val="5BF8F4B1"/>
    <w:rsid w:val="5C1465CF"/>
    <w:rsid w:val="5C250636"/>
    <w:rsid w:val="5C2772C0"/>
    <w:rsid w:val="5C4FEC9D"/>
    <w:rsid w:val="5C5DC64A"/>
    <w:rsid w:val="5CA692E0"/>
    <w:rsid w:val="5CCE086B"/>
    <w:rsid w:val="5CD46BA4"/>
    <w:rsid w:val="5CDA3611"/>
    <w:rsid w:val="5CED3424"/>
    <w:rsid w:val="5D553D38"/>
    <w:rsid w:val="5D8496E2"/>
    <w:rsid w:val="5D89ED42"/>
    <w:rsid w:val="5DB1B9AB"/>
    <w:rsid w:val="5DB23719"/>
    <w:rsid w:val="5DCBBBED"/>
    <w:rsid w:val="5DD28E14"/>
    <w:rsid w:val="5DE1BD05"/>
    <w:rsid w:val="5E2E80F5"/>
    <w:rsid w:val="5EAFC7EB"/>
    <w:rsid w:val="5EE9FC7D"/>
    <w:rsid w:val="5F5C80D9"/>
    <w:rsid w:val="5F623FE2"/>
    <w:rsid w:val="5F7F2476"/>
    <w:rsid w:val="602E9620"/>
    <w:rsid w:val="60352BDF"/>
    <w:rsid w:val="604BFD46"/>
    <w:rsid w:val="608AF738"/>
    <w:rsid w:val="608FA6FF"/>
    <w:rsid w:val="60AC6E68"/>
    <w:rsid w:val="60AC7B59"/>
    <w:rsid w:val="60C04ED9"/>
    <w:rsid w:val="60C688ED"/>
    <w:rsid w:val="60DE98DA"/>
    <w:rsid w:val="612959EF"/>
    <w:rsid w:val="61335C4D"/>
    <w:rsid w:val="6149BC54"/>
    <w:rsid w:val="616220AF"/>
    <w:rsid w:val="616CD981"/>
    <w:rsid w:val="61746DCC"/>
    <w:rsid w:val="61B0AE85"/>
    <w:rsid w:val="61BF9B53"/>
    <w:rsid w:val="61C53EF6"/>
    <w:rsid w:val="61E55F50"/>
    <w:rsid w:val="62438186"/>
    <w:rsid w:val="6246D458"/>
    <w:rsid w:val="624BBEC7"/>
    <w:rsid w:val="629035E1"/>
    <w:rsid w:val="62DA6F80"/>
    <w:rsid w:val="62F2BAE0"/>
    <w:rsid w:val="63048D5F"/>
    <w:rsid w:val="632F9A12"/>
    <w:rsid w:val="633C42DA"/>
    <w:rsid w:val="63455494"/>
    <w:rsid w:val="6386811A"/>
    <w:rsid w:val="63A7491C"/>
    <w:rsid w:val="63B8601C"/>
    <w:rsid w:val="63F4806E"/>
    <w:rsid w:val="63FBE13A"/>
    <w:rsid w:val="63FD1FA0"/>
    <w:rsid w:val="6404F79D"/>
    <w:rsid w:val="641D5E84"/>
    <w:rsid w:val="6429674A"/>
    <w:rsid w:val="643830E8"/>
    <w:rsid w:val="6443E916"/>
    <w:rsid w:val="6447A1E0"/>
    <w:rsid w:val="64640E14"/>
    <w:rsid w:val="64871247"/>
    <w:rsid w:val="6499D935"/>
    <w:rsid w:val="64A7F8C2"/>
    <w:rsid w:val="64BE754E"/>
    <w:rsid w:val="64D65470"/>
    <w:rsid w:val="64D991F8"/>
    <w:rsid w:val="6515B5F0"/>
    <w:rsid w:val="6547A96B"/>
    <w:rsid w:val="6555034C"/>
    <w:rsid w:val="6559D864"/>
    <w:rsid w:val="6564C137"/>
    <w:rsid w:val="65D22B81"/>
    <w:rsid w:val="65EBDB2A"/>
    <w:rsid w:val="65F36061"/>
    <w:rsid w:val="6688EF46"/>
    <w:rsid w:val="668A8554"/>
    <w:rsid w:val="66918478"/>
    <w:rsid w:val="66CDFEFD"/>
    <w:rsid w:val="66E26AAE"/>
    <w:rsid w:val="674E8C50"/>
    <w:rsid w:val="676B7EF3"/>
    <w:rsid w:val="676D908D"/>
    <w:rsid w:val="6775D726"/>
    <w:rsid w:val="678AEBA9"/>
    <w:rsid w:val="67BC6672"/>
    <w:rsid w:val="67D0457D"/>
    <w:rsid w:val="67DED62E"/>
    <w:rsid w:val="67F8E0D5"/>
    <w:rsid w:val="6807C10E"/>
    <w:rsid w:val="68297612"/>
    <w:rsid w:val="683B5B4A"/>
    <w:rsid w:val="68767849"/>
    <w:rsid w:val="688DC892"/>
    <w:rsid w:val="68A3AC46"/>
    <w:rsid w:val="68D67F92"/>
    <w:rsid w:val="68E7F192"/>
    <w:rsid w:val="68E87104"/>
    <w:rsid w:val="68ECEC5A"/>
    <w:rsid w:val="6902AF9D"/>
    <w:rsid w:val="69080A75"/>
    <w:rsid w:val="691A5E91"/>
    <w:rsid w:val="691DC992"/>
    <w:rsid w:val="693C50D3"/>
    <w:rsid w:val="6944C3C0"/>
    <w:rsid w:val="694922DE"/>
    <w:rsid w:val="69622DAA"/>
    <w:rsid w:val="69664F2B"/>
    <w:rsid w:val="696F6188"/>
    <w:rsid w:val="698EC9F0"/>
    <w:rsid w:val="69A0A366"/>
    <w:rsid w:val="69E30CE7"/>
    <w:rsid w:val="69FBD931"/>
    <w:rsid w:val="6A907DE2"/>
    <w:rsid w:val="6AA606DD"/>
    <w:rsid w:val="6AC2C7CB"/>
    <w:rsid w:val="6B14F3DD"/>
    <w:rsid w:val="6B1B37B0"/>
    <w:rsid w:val="6B64BC0B"/>
    <w:rsid w:val="6B8E993F"/>
    <w:rsid w:val="6B9042D0"/>
    <w:rsid w:val="6B9BE82E"/>
    <w:rsid w:val="6BB571B4"/>
    <w:rsid w:val="6BB5EDE2"/>
    <w:rsid w:val="6BC95563"/>
    <w:rsid w:val="6BE0E75F"/>
    <w:rsid w:val="6BE5C701"/>
    <w:rsid w:val="6BE61AD7"/>
    <w:rsid w:val="6BE92716"/>
    <w:rsid w:val="6BF045F7"/>
    <w:rsid w:val="6BF48B9C"/>
    <w:rsid w:val="6C1023C5"/>
    <w:rsid w:val="6C17B86F"/>
    <w:rsid w:val="6C251F0E"/>
    <w:rsid w:val="6C2B4D8F"/>
    <w:rsid w:val="6C54E209"/>
    <w:rsid w:val="6C585C05"/>
    <w:rsid w:val="6C782763"/>
    <w:rsid w:val="6C7D4DD8"/>
    <w:rsid w:val="6C81C760"/>
    <w:rsid w:val="6C91C836"/>
    <w:rsid w:val="6CBEFB05"/>
    <w:rsid w:val="6D0C5C3D"/>
    <w:rsid w:val="6DAC50F7"/>
    <w:rsid w:val="6DBDF303"/>
    <w:rsid w:val="6DDB71ED"/>
    <w:rsid w:val="6DFCD0DD"/>
    <w:rsid w:val="6E094049"/>
    <w:rsid w:val="6E0E9695"/>
    <w:rsid w:val="6E12C9DB"/>
    <w:rsid w:val="6E27C096"/>
    <w:rsid w:val="6E57DB7F"/>
    <w:rsid w:val="6E59697C"/>
    <w:rsid w:val="6E6119DD"/>
    <w:rsid w:val="6EC0CC15"/>
    <w:rsid w:val="6F161190"/>
    <w:rsid w:val="6F420939"/>
    <w:rsid w:val="6F680A35"/>
    <w:rsid w:val="6FA363BB"/>
    <w:rsid w:val="6FB33154"/>
    <w:rsid w:val="6FD679E1"/>
    <w:rsid w:val="6FEAC3C2"/>
    <w:rsid w:val="6FEC1CB0"/>
    <w:rsid w:val="6FECB2D7"/>
    <w:rsid w:val="6FFC749B"/>
    <w:rsid w:val="700AA11F"/>
    <w:rsid w:val="702B4D16"/>
    <w:rsid w:val="7033D707"/>
    <w:rsid w:val="70383279"/>
    <w:rsid w:val="705E7240"/>
    <w:rsid w:val="70621536"/>
    <w:rsid w:val="7098B05C"/>
    <w:rsid w:val="70C0D285"/>
    <w:rsid w:val="70E043E4"/>
    <w:rsid w:val="70FEB5BE"/>
    <w:rsid w:val="7129B7A3"/>
    <w:rsid w:val="712E694B"/>
    <w:rsid w:val="71333BF1"/>
    <w:rsid w:val="71619A75"/>
    <w:rsid w:val="719484C3"/>
    <w:rsid w:val="71CBF0EB"/>
    <w:rsid w:val="71F23F9A"/>
    <w:rsid w:val="71F2E451"/>
    <w:rsid w:val="725E8357"/>
    <w:rsid w:val="727CDFDF"/>
    <w:rsid w:val="72A3CD07"/>
    <w:rsid w:val="72CD5981"/>
    <w:rsid w:val="72CDD4CC"/>
    <w:rsid w:val="72D7DF4E"/>
    <w:rsid w:val="7329715A"/>
    <w:rsid w:val="7355E206"/>
    <w:rsid w:val="737F1CD4"/>
    <w:rsid w:val="73B4DB96"/>
    <w:rsid w:val="73B70CF5"/>
    <w:rsid w:val="73F99544"/>
    <w:rsid w:val="7456D312"/>
    <w:rsid w:val="745A4944"/>
    <w:rsid w:val="745E570D"/>
    <w:rsid w:val="7463FF79"/>
    <w:rsid w:val="74870A62"/>
    <w:rsid w:val="74B7A8F5"/>
    <w:rsid w:val="74DA90D7"/>
    <w:rsid w:val="75264113"/>
    <w:rsid w:val="7529F064"/>
    <w:rsid w:val="754A7942"/>
    <w:rsid w:val="757F5E66"/>
    <w:rsid w:val="75A594AD"/>
    <w:rsid w:val="75AE0275"/>
    <w:rsid w:val="75D856B1"/>
    <w:rsid w:val="75F48B83"/>
    <w:rsid w:val="76002FBB"/>
    <w:rsid w:val="76334AFB"/>
    <w:rsid w:val="7664DA2C"/>
    <w:rsid w:val="767CB22F"/>
    <w:rsid w:val="76A4948D"/>
    <w:rsid w:val="76CE7AAB"/>
    <w:rsid w:val="76D0CF21"/>
    <w:rsid w:val="76E2D586"/>
    <w:rsid w:val="772CA6CE"/>
    <w:rsid w:val="773F90CB"/>
    <w:rsid w:val="777A7FDC"/>
    <w:rsid w:val="7783851A"/>
    <w:rsid w:val="77AC7D9B"/>
    <w:rsid w:val="77D2B2D2"/>
    <w:rsid w:val="77E2B6B1"/>
    <w:rsid w:val="77EB9971"/>
    <w:rsid w:val="77EEE8DB"/>
    <w:rsid w:val="7823BEE3"/>
    <w:rsid w:val="782C493B"/>
    <w:rsid w:val="7842E620"/>
    <w:rsid w:val="784B1C51"/>
    <w:rsid w:val="787CC13B"/>
    <w:rsid w:val="78838895"/>
    <w:rsid w:val="78A2770E"/>
    <w:rsid w:val="78ABB088"/>
    <w:rsid w:val="78BFC323"/>
    <w:rsid w:val="78E6A79C"/>
    <w:rsid w:val="78E84B0D"/>
    <w:rsid w:val="79295134"/>
    <w:rsid w:val="795AC3B4"/>
    <w:rsid w:val="797EE542"/>
    <w:rsid w:val="79A2D416"/>
    <w:rsid w:val="79B95823"/>
    <w:rsid w:val="79BAA626"/>
    <w:rsid w:val="79BDA35D"/>
    <w:rsid w:val="79BE4037"/>
    <w:rsid w:val="79C8D02C"/>
    <w:rsid w:val="79D238F0"/>
    <w:rsid w:val="7A41E504"/>
    <w:rsid w:val="7A68A222"/>
    <w:rsid w:val="7A9164F4"/>
    <w:rsid w:val="7ABE7537"/>
    <w:rsid w:val="7AC47E66"/>
    <w:rsid w:val="7AC99E58"/>
    <w:rsid w:val="7AF58399"/>
    <w:rsid w:val="7B1733DE"/>
    <w:rsid w:val="7B1B16C5"/>
    <w:rsid w:val="7B4005F0"/>
    <w:rsid w:val="7B60809E"/>
    <w:rsid w:val="7B701AE7"/>
    <w:rsid w:val="7B726F05"/>
    <w:rsid w:val="7B888973"/>
    <w:rsid w:val="7B922850"/>
    <w:rsid w:val="7B9D7A00"/>
    <w:rsid w:val="7BC010AC"/>
    <w:rsid w:val="7BECF495"/>
    <w:rsid w:val="7C051E7A"/>
    <w:rsid w:val="7C122CA2"/>
    <w:rsid w:val="7C2149F9"/>
    <w:rsid w:val="7C34EE25"/>
    <w:rsid w:val="7C4C1762"/>
    <w:rsid w:val="7C4C7BC8"/>
    <w:rsid w:val="7C4FBC56"/>
    <w:rsid w:val="7C91AB6F"/>
    <w:rsid w:val="7C939541"/>
    <w:rsid w:val="7CB7278F"/>
    <w:rsid w:val="7CED5450"/>
    <w:rsid w:val="7D1F2CEF"/>
    <w:rsid w:val="7D4864B6"/>
    <w:rsid w:val="7D63C549"/>
    <w:rsid w:val="7D6E7D79"/>
    <w:rsid w:val="7D847AA5"/>
    <w:rsid w:val="7D993B7C"/>
    <w:rsid w:val="7D9C0068"/>
    <w:rsid w:val="7DFA65F3"/>
    <w:rsid w:val="7E0E421E"/>
    <w:rsid w:val="7E58A277"/>
    <w:rsid w:val="7E5B1C63"/>
    <w:rsid w:val="7E7EC10D"/>
    <w:rsid w:val="7E8EC2C7"/>
    <w:rsid w:val="7E90FFA8"/>
    <w:rsid w:val="7E9B4B23"/>
    <w:rsid w:val="7EE60F47"/>
    <w:rsid w:val="7EF3270E"/>
    <w:rsid w:val="7F0DCBB5"/>
    <w:rsid w:val="7F0F2821"/>
    <w:rsid w:val="7F24C3F4"/>
    <w:rsid w:val="7F292439"/>
    <w:rsid w:val="7F4BCBA6"/>
    <w:rsid w:val="7F4C40D8"/>
    <w:rsid w:val="7F56E4C9"/>
    <w:rsid w:val="7F5A59FC"/>
    <w:rsid w:val="7F8D85D6"/>
    <w:rsid w:val="7F90252F"/>
    <w:rsid w:val="7FB525C5"/>
    <w:rsid w:val="7FEB540F"/>
    <w:rsid w:val="7FEE13BA"/>
    <w:rsid w:val="7FF0EF94"/>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5121"/>
  <w15:chartTrackingRefBased/>
  <w15:docId w15:val="{615EFDC0-45A8-4522-9E9F-26DEA410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A3E"/>
    <w:pPr>
      <w:keepNext/>
      <w:keepLines/>
      <w:spacing w:before="480" w:after="120" w:line="276" w:lineRule="auto"/>
      <w:outlineLvl w:val="0"/>
    </w:pPr>
    <w:rPr>
      <w:rFonts w:ascii="Times New Roman" w:eastAsia="Times New Roman" w:hAnsi="Times New Roman" w:cs="Times New Roman"/>
      <w:b/>
      <w:kern w:val="0"/>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05"/>
    <w:pPr>
      <w:ind w:left="720"/>
      <w:contextualSpacing/>
    </w:pPr>
  </w:style>
  <w:style w:type="character" w:customStyle="1" w:styleId="normaltextrun">
    <w:name w:val="normaltextrun"/>
    <w:basedOn w:val="DefaultParagraphFont"/>
    <w:rsid w:val="002861BC"/>
  </w:style>
  <w:style w:type="character" w:customStyle="1" w:styleId="Heading1Char">
    <w:name w:val="Heading 1 Char"/>
    <w:basedOn w:val="DefaultParagraphFont"/>
    <w:link w:val="Heading1"/>
    <w:uiPriority w:val="9"/>
    <w:rsid w:val="00623A3E"/>
    <w:rPr>
      <w:rFonts w:ascii="Times New Roman" w:eastAsia="Times New Roman" w:hAnsi="Times New Roman" w:cs="Times New Roman"/>
      <w:b/>
      <w:kern w:val="0"/>
      <w:sz w:val="48"/>
      <w:szCs w:val="48"/>
      <w:lang w:val="es-ES"/>
      <w14:ligatures w14:val="none"/>
    </w:rPr>
  </w:style>
  <w:style w:type="character" w:styleId="FootnoteReference">
    <w:name w:val="footnote reference"/>
    <w:basedOn w:val="DefaultParagraphFont"/>
    <w:uiPriority w:val="99"/>
    <w:semiHidden/>
    <w:unhideWhenUsed/>
    <w:rsid w:val="00623A3E"/>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s-E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303A4"/>
    <w:rPr>
      <w:color w:val="0000FF"/>
      <w:u w:val="single"/>
    </w:rPr>
  </w:style>
  <w:style w:type="character" w:styleId="UnresolvedMention">
    <w:name w:val="Unresolved Mention"/>
    <w:basedOn w:val="DefaultParagraphFont"/>
    <w:uiPriority w:val="99"/>
    <w:semiHidden/>
    <w:unhideWhenUsed/>
    <w:rsid w:val="004A1460"/>
    <w:rPr>
      <w:color w:val="605E5C"/>
      <w:shd w:val="clear" w:color="auto" w:fill="E1DFDD"/>
    </w:rPr>
  </w:style>
  <w:style w:type="paragraph" w:styleId="Header">
    <w:name w:val="header"/>
    <w:basedOn w:val="Normal"/>
    <w:link w:val="HeaderChar"/>
    <w:uiPriority w:val="99"/>
    <w:unhideWhenUsed/>
    <w:rsid w:val="00544793"/>
    <w:pPr>
      <w:tabs>
        <w:tab w:val="center" w:pos="4513"/>
        <w:tab w:val="right" w:pos="9026"/>
      </w:tabs>
    </w:pPr>
  </w:style>
  <w:style w:type="character" w:customStyle="1" w:styleId="HeaderChar">
    <w:name w:val="Header Char"/>
    <w:basedOn w:val="DefaultParagraphFont"/>
    <w:link w:val="Header"/>
    <w:uiPriority w:val="99"/>
    <w:rsid w:val="00544793"/>
    <w:rPr>
      <w:lang w:val="es-ES"/>
    </w:rPr>
  </w:style>
  <w:style w:type="paragraph" w:styleId="Footer">
    <w:name w:val="footer"/>
    <w:basedOn w:val="Normal"/>
    <w:link w:val="FooterChar"/>
    <w:uiPriority w:val="99"/>
    <w:unhideWhenUsed/>
    <w:rsid w:val="00544793"/>
    <w:pPr>
      <w:tabs>
        <w:tab w:val="center" w:pos="4513"/>
        <w:tab w:val="right" w:pos="9026"/>
      </w:tabs>
    </w:pPr>
  </w:style>
  <w:style w:type="character" w:customStyle="1" w:styleId="FooterChar">
    <w:name w:val="Footer Char"/>
    <w:basedOn w:val="DefaultParagraphFont"/>
    <w:link w:val="Footer"/>
    <w:uiPriority w:val="99"/>
    <w:rsid w:val="00544793"/>
    <w:rPr>
      <w:lang w:val="es-ES"/>
    </w:rPr>
  </w:style>
  <w:style w:type="paragraph" w:styleId="CommentSubject">
    <w:name w:val="annotation subject"/>
    <w:basedOn w:val="CommentText"/>
    <w:next w:val="CommentText"/>
    <w:link w:val="CommentSubjectChar"/>
    <w:uiPriority w:val="99"/>
    <w:semiHidden/>
    <w:unhideWhenUsed/>
    <w:rsid w:val="001A37AB"/>
    <w:rPr>
      <w:b/>
      <w:bCs/>
    </w:rPr>
  </w:style>
  <w:style w:type="character" w:customStyle="1" w:styleId="CommentSubjectChar">
    <w:name w:val="Comment Subject Char"/>
    <w:basedOn w:val="CommentTextChar"/>
    <w:link w:val="CommentSubject"/>
    <w:uiPriority w:val="99"/>
    <w:semiHidden/>
    <w:rsid w:val="001A37AB"/>
    <w:rPr>
      <w:b/>
      <w:bCs/>
      <w:sz w:val="20"/>
      <w:szCs w:val="20"/>
      <w:lang w:val="es-ES"/>
    </w:rPr>
  </w:style>
  <w:style w:type="paragraph" w:styleId="FootnoteText">
    <w:name w:val="footnote text"/>
    <w:basedOn w:val="Normal"/>
    <w:link w:val="FootnoteTextChar"/>
    <w:uiPriority w:val="99"/>
    <w:semiHidden/>
    <w:unhideWhenUsed/>
    <w:rsid w:val="00574380"/>
    <w:rPr>
      <w:sz w:val="20"/>
      <w:szCs w:val="20"/>
    </w:rPr>
  </w:style>
  <w:style w:type="character" w:customStyle="1" w:styleId="FootnoteTextChar">
    <w:name w:val="Footnote Text Char"/>
    <w:basedOn w:val="DefaultParagraphFont"/>
    <w:link w:val="FootnoteText"/>
    <w:uiPriority w:val="99"/>
    <w:semiHidden/>
    <w:rsid w:val="00574380"/>
    <w:rPr>
      <w:sz w:val="20"/>
      <w:szCs w:val="20"/>
      <w:lang w:val="es-ES"/>
    </w:rPr>
  </w:style>
  <w:style w:type="paragraph" w:styleId="Revision">
    <w:name w:val="Revision"/>
    <w:hidden/>
    <w:uiPriority w:val="99"/>
    <w:semiHidden/>
    <w:rsid w:val="00BA28E3"/>
  </w:style>
  <w:style w:type="paragraph" w:styleId="BalloonText">
    <w:name w:val="Balloon Text"/>
    <w:basedOn w:val="Normal"/>
    <w:link w:val="BalloonTextChar"/>
    <w:uiPriority w:val="99"/>
    <w:semiHidden/>
    <w:unhideWhenUsed/>
    <w:rsid w:val="00A95145"/>
    <w:rPr>
      <w:rFonts w:ascii="Arial" w:hAnsi="Arial" w:cs="Arial"/>
      <w:sz w:val="18"/>
      <w:szCs w:val="18"/>
    </w:rPr>
  </w:style>
  <w:style w:type="character" w:customStyle="1" w:styleId="BalloonTextChar">
    <w:name w:val="Balloon Text Char"/>
    <w:basedOn w:val="DefaultParagraphFont"/>
    <w:link w:val="BalloonText"/>
    <w:uiPriority w:val="99"/>
    <w:semiHidden/>
    <w:rsid w:val="00A95145"/>
    <w:rPr>
      <w:rFonts w:ascii="Arial" w:hAnsi="Arial" w:cs="Arial"/>
      <w:sz w:val="18"/>
      <w:szCs w:val="18"/>
      <w:lang w:val="es-ES"/>
    </w:rPr>
  </w:style>
  <w:style w:type="character" w:styleId="FollowedHyperlink">
    <w:name w:val="FollowedHyperlink"/>
    <w:basedOn w:val="DefaultParagraphFont"/>
    <w:uiPriority w:val="99"/>
    <w:semiHidden/>
    <w:unhideWhenUsed/>
    <w:rsid w:val="00D7722A"/>
    <w:rPr>
      <w:color w:val="954F72" w:themeColor="followedHyperlink"/>
      <w:u w:val="single"/>
    </w:rPr>
  </w:style>
  <w:style w:type="table" w:styleId="TableGrid">
    <w:name w:val="Table Grid"/>
    <w:basedOn w:val="TableNormal"/>
    <w:uiPriority w:val="59"/>
    <w:rsid w:val="00D70C1B"/>
    <w:pPr>
      <w:ind w:left="432" w:hanging="432"/>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348069">
      <w:bodyDiv w:val="1"/>
      <w:marLeft w:val="0"/>
      <w:marRight w:val="0"/>
      <w:marTop w:val="0"/>
      <w:marBottom w:val="0"/>
      <w:divBdr>
        <w:top w:val="none" w:sz="0" w:space="0" w:color="auto"/>
        <w:left w:val="none" w:sz="0" w:space="0" w:color="auto"/>
        <w:bottom w:val="none" w:sz="0" w:space="0" w:color="auto"/>
        <w:right w:val="none" w:sz="0" w:space="0" w:color="auto"/>
      </w:divBdr>
    </w:div>
    <w:div w:id="18871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library/cop12_res15_management_effectiveness_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pdf/res/key_res_ix_22_s.pdf" TargetMode="External"/><Relationship Id="rId17" Type="http://schemas.openxmlformats.org/officeDocument/2006/relationships/hyperlink" Target="https://www.ramsar.org/sites/default/files/documents/library/xiv.6_synergies_s.pdf" TargetMode="External"/><Relationship Id="rId2" Type="http://schemas.openxmlformats.org/officeDocument/2006/relationships/customXml" Target="../customXml/item2.xml"/><Relationship Id="rId16" Type="http://schemas.openxmlformats.org/officeDocument/2006/relationships/hyperlink" Target="https://www.ramsar.org/sites/default/files/documents/library/key_res_vii.12s_0.pdf"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amsar.org/sites/default/files/documents/library/key_res_ix_06_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key_res_viii_14_s.pdf" TargetMode="External"/></Relationships>
</file>

<file path=word/documenttasks/documenttasks1.xml><?xml version="1.0" encoding="utf-8"?>
<t:Tasks xmlns:t="http://schemas.microsoft.com/office/tasks/2019/documenttasks" xmlns:oel="http://schemas.microsoft.com/office/2019/extlst">
  <t:Task id="{56364667-1DE4-491F-97C4-CDBB25B1F093}">
    <t:Anchor>
      <t:Comment id="1408788797"/>
    </t:Anchor>
    <t:History>
      <t:Event id="{E8AD4182-83ED-4AB0-97B3-15045CCC3A68}" time="2024-10-30T15:28:23.344Z">
        <t:Attribution userId="S::daniel.barwick@defra.gov.uk::4a57554c-e609-40eb-8bce-f8647aae5569" userProvider="AD" userName="Barwick, Daniel"/>
        <t:Anchor>
          <t:Comment id="542418379"/>
        </t:Anchor>
        <t:Create/>
      </t:Event>
      <t:Event id="{D17F3C27-F903-46BE-AE75-AE1FD8A1DF08}" time="2024-10-30T15:28:23.344Z">
        <t:Attribution userId="S::daniel.barwick@defra.gov.uk::4a57554c-e609-40eb-8bce-f8647aae5569" userProvider="AD" userName="Barwick, Daniel"/>
        <t:Anchor>
          <t:Comment id="542418379"/>
        </t:Anchor>
        <t:Assign userId="S::Neha.Dutt@defra.gov.uk::58b2fac2-9caa-4521-b302-1651888be956" userProvider="AD" userName="Dutt, Neha"/>
      </t:Event>
      <t:Event id="{078DB516-647C-4C2F-B9B8-39B44F56A9D5}" time="2024-10-30T15:28:23.344Z">
        <t:Attribution userId="S::daniel.barwick@defra.gov.uk::4a57554c-e609-40eb-8bce-f8647aae5569" userProvider="AD" userName="Barwick, Daniel"/>
        <t:Anchor>
          <t:Comment id="542418379"/>
        </t:Anchor>
        <t:SetTitle title="@Dutt, Neha - let's discuss when you're back from COP wrt the TNFD announcement on their global nature data facility"/>
      </t:Event>
    </t:History>
  </t:Task>
  <t:Task id="{25CAFA4D-D117-492E-8ECF-663A7644B022}">
    <t:Anchor>
      <t:Comment id="1248471890"/>
    </t:Anchor>
    <t:History>
      <t:Event id="{D310FC4D-8A8C-40B9-B9B8-9F995283B8CD}" time="2024-11-13T11:27:58.083Z">
        <t:Attribution userId="S::neha.dutt@defra.gov.uk::58b2fac2-9caa-4521-b302-1651888be956" userProvider="AD" userName="Dutt, Neha"/>
        <t:Anchor>
          <t:Comment id="2026463501"/>
        </t:Anchor>
        <t:Create/>
      </t:Event>
      <t:Event id="{4BB1A4E9-9471-4C98-BEFC-F7896D95A867}" time="2024-11-13T11:27:58.083Z">
        <t:Attribution userId="S::neha.dutt@defra.gov.uk::58b2fac2-9caa-4521-b302-1651888be956" userProvider="AD" userName="Dutt, Neha"/>
        <t:Anchor>
          <t:Comment id="2026463501"/>
        </t:Anchor>
        <t:Assign userId="S::Jack.Greenhalgh@defra.gov.uk::1b3fad50-3588-42d8-a043-11aa9ef08863" userProvider="AD" userName="Greenhalgh, Jack"/>
      </t:Event>
      <t:Event id="{9D14B5E6-FE93-4EBB-8408-15B2ADA99B51}" time="2024-11-13T11:27:58.083Z">
        <t:Attribution userId="S::neha.dutt@defra.gov.uk::58b2fac2-9caa-4521-b302-1651888be956" userProvider="AD" userName="Dutt, Neha"/>
        <t:Anchor>
          <t:Comment id="2026463501"/>
        </t:Anchor>
        <t:SetTitle title="@Greenhalgh, Jack Yes there are others, but the TNFD has been designed by the markets for the markets and has the greatest industry uptake in the voluntary adoption stage, covering 62 of the 77 SASB sectors with 502 global adopters covering over $17tr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aa2b1f-0678-4421-92e9-1090174541bd">
      <Value>6</Value>
      <Value>10</Value>
      <Value>9</Value>
      <Value>8</Value>
      <Value>7</Value>
    </TaxCatchAll>
    <lcf76f155ced4ddcb4097134ff3c332f xmlns="a3a2dff7-4331-4a95-9af9-6b2cd4e65a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1A871C-23B2-4592-81F2-CC4A9DF19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A4AD2-FAC5-4BBB-A34F-38BD4774695F}">
  <ds:schemaRefs>
    <ds:schemaRef ds:uri="http://schemas.microsoft.com/sharepoint/v3/contenttype/forms"/>
  </ds:schemaRefs>
</ds:datastoreItem>
</file>

<file path=customXml/itemProps3.xml><?xml version="1.0" encoding="utf-8"?>
<ds:datastoreItem xmlns:ds="http://schemas.openxmlformats.org/officeDocument/2006/customXml" ds:itemID="{6ABFF993-7ED1-4265-8F85-0A7A0FF0D326}">
  <ds:schemaRefs>
    <ds:schemaRef ds:uri="http://schemas.openxmlformats.org/officeDocument/2006/bibliography"/>
  </ds:schemaRefs>
</ds:datastoreItem>
</file>

<file path=customXml/itemProps4.xml><?xml version="1.0" encoding="utf-8"?>
<ds:datastoreItem xmlns:ds="http://schemas.openxmlformats.org/officeDocument/2006/customXml" ds:itemID="{36F3E659-3F73-47A4-861A-20C9DEB089E9}">
  <ds:schemaRefs>
    <ds:schemaRef ds:uri="http://schemas.microsoft.com/office/2006/metadata/properties"/>
    <ds:schemaRef ds:uri="http://schemas.microsoft.com/office/infopath/2007/PartnerControls"/>
    <ds:schemaRef ds:uri="ecaa2b1f-0678-4421-92e9-1090174541bd"/>
    <ds:schemaRef ds:uri="a3a2dff7-4331-4a95-9af9-6b2cd4e65a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2781</Words>
  <Characters>15855</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18599</CharactersWithSpaces>
  <SharedDoc>false</SharedDoc>
  <HLinks>
    <vt:vector size="36" baseType="variant">
      <vt:variant>
        <vt:i4>7405691</vt:i4>
      </vt:variant>
      <vt:variant>
        <vt:i4>15</vt:i4>
      </vt:variant>
      <vt:variant>
        <vt:i4>0</vt:i4>
      </vt:variant>
      <vt:variant>
        <vt:i4>5</vt:i4>
      </vt:variant>
      <vt:variant>
        <vt:lpwstr>https://www.ramsar.org/sites/default/files/documents/library/xiv.6_synergies_e.pdf</vt:lpwstr>
      </vt:variant>
      <vt:variant>
        <vt:lpwstr/>
      </vt:variant>
      <vt:variant>
        <vt:i4>3211272</vt:i4>
      </vt:variant>
      <vt:variant>
        <vt:i4>12</vt:i4>
      </vt:variant>
      <vt:variant>
        <vt:i4>0</vt:i4>
      </vt:variant>
      <vt:variant>
        <vt:i4>5</vt:i4>
      </vt:variant>
      <vt:variant>
        <vt:lpwstr>https://www.ramsar.org/sites/default/files/documents/library/key_res_vii.12e_0.pdf</vt:lpwstr>
      </vt:variant>
      <vt:variant>
        <vt:lpwstr/>
      </vt:variant>
      <vt:variant>
        <vt:i4>3014770</vt:i4>
      </vt:variant>
      <vt:variant>
        <vt:i4>9</vt:i4>
      </vt:variant>
      <vt:variant>
        <vt:i4>0</vt:i4>
      </vt:variant>
      <vt:variant>
        <vt:i4>5</vt:i4>
      </vt:variant>
      <vt:variant>
        <vt:lpwstr>https://www.ramsar.org/sites/default/files/documents/pdf/res/key_res_ix_06_e.pdf</vt:lpwstr>
      </vt:variant>
      <vt:variant>
        <vt:lpwstr/>
      </vt:variant>
      <vt:variant>
        <vt:i4>5898251</vt:i4>
      </vt:variant>
      <vt:variant>
        <vt:i4>6</vt:i4>
      </vt:variant>
      <vt:variant>
        <vt:i4>0</vt:i4>
      </vt:variant>
      <vt:variant>
        <vt:i4>5</vt:i4>
      </vt:variant>
      <vt:variant>
        <vt:lpwstr>https://www.ramsar.org/sites/default/files/documents/pdf/res/key_res_viii_14_e.pdf</vt:lpwstr>
      </vt:variant>
      <vt:variant>
        <vt:lpwstr/>
      </vt:variant>
      <vt:variant>
        <vt:i4>7012473</vt:i4>
      </vt:variant>
      <vt:variant>
        <vt:i4>3</vt:i4>
      </vt:variant>
      <vt:variant>
        <vt:i4>0</vt:i4>
      </vt:variant>
      <vt:variant>
        <vt:i4>5</vt:i4>
      </vt:variant>
      <vt:variant>
        <vt:lpwstr>https://www.ramsar.org/sites/default/files/documents/library/cop12_res15_management_effectiveness_e.pdf</vt:lpwstr>
      </vt:variant>
      <vt:variant>
        <vt:lpwstr/>
      </vt:variant>
      <vt:variant>
        <vt:i4>2752624</vt:i4>
      </vt:variant>
      <vt:variant>
        <vt:i4>0</vt:i4>
      </vt:variant>
      <vt:variant>
        <vt:i4>0</vt:i4>
      </vt:variant>
      <vt:variant>
        <vt:i4>5</vt:i4>
      </vt:variant>
      <vt:variant>
        <vt:lpwstr>https://www.ramsar.org/sites/default/files/documents/pdf/res/key_res_ix_22_e.pdf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Kingdom of Great Britain and Northern Ireland</dc:creator>
  <cp:keywords/>
  <dc:description/>
  <cp:lastModifiedBy>JENNINGS Edmund</cp:lastModifiedBy>
  <cp:revision>4</cp:revision>
  <dcterms:created xsi:type="dcterms:W3CDTF">2024-12-02T14:21:00Z</dcterms:created>
  <dcterms:modified xsi:type="dcterms:W3CDTF">2024-12-02T18:06:00Z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8;#Core Defra|026223dd-2e56-4615-868d-7c5bfd566810</vt:lpwstr>
  </property>
</Properties>
</file>