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CF4D7" w14:textId="6073FC4C" w:rsidR="003F5A03" w:rsidRPr="00C919D2" w:rsidRDefault="003F5A03" w:rsidP="003F5A03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spacing w:after="0" w:line="240" w:lineRule="auto"/>
        <w:ind w:right="2790"/>
        <w:rPr>
          <w:bCs/>
          <w:lang w:val="fr-FR"/>
        </w:rPr>
      </w:pPr>
      <w:r w:rsidRPr="00C919D2">
        <w:rPr>
          <w:bCs/>
          <w:lang w:val="fr-FR"/>
        </w:rPr>
        <w:t>CONVENTION SUR LES ZONES HUMIDES</w:t>
      </w:r>
    </w:p>
    <w:p w14:paraId="2C29CAB3" w14:textId="47639041" w:rsidR="003F5A03" w:rsidRPr="00C919D2" w:rsidRDefault="00095221" w:rsidP="003F5A03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spacing w:after="0" w:line="240" w:lineRule="auto"/>
        <w:ind w:right="2790"/>
        <w:rPr>
          <w:bCs/>
          <w:lang w:val="fr-FR"/>
        </w:rPr>
      </w:pPr>
      <w:r w:rsidRPr="00C919D2">
        <w:rPr>
          <w:bCs/>
          <w:lang w:val="fr-FR"/>
        </w:rPr>
        <w:t>6</w:t>
      </w:r>
      <w:r w:rsidR="0055645B">
        <w:rPr>
          <w:bCs/>
          <w:lang w:val="fr-FR"/>
        </w:rPr>
        <w:t>4</w:t>
      </w:r>
      <w:r w:rsidR="003F5A03" w:rsidRPr="00C919D2">
        <w:rPr>
          <w:bCs/>
          <w:vertAlign w:val="superscript"/>
          <w:lang w:val="fr-FR"/>
        </w:rPr>
        <w:t>e</w:t>
      </w:r>
      <w:r w:rsidR="003F5A03" w:rsidRPr="00C919D2">
        <w:rPr>
          <w:bCs/>
          <w:lang w:val="fr-FR"/>
        </w:rPr>
        <w:t xml:space="preserve"> </w:t>
      </w:r>
      <w:r w:rsidR="00E824D2" w:rsidRPr="00C919D2">
        <w:rPr>
          <w:bCs/>
          <w:lang w:val="fr-FR"/>
        </w:rPr>
        <w:t>r</w:t>
      </w:r>
      <w:r w:rsidR="003F5A03" w:rsidRPr="00C919D2">
        <w:rPr>
          <w:bCs/>
          <w:lang w:val="fr-FR"/>
        </w:rPr>
        <w:t>éunion du Comité permanent</w:t>
      </w:r>
    </w:p>
    <w:p w14:paraId="194F2D26" w14:textId="27E64D23" w:rsidR="002212E7" w:rsidRPr="00C919D2" w:rsidRDefault="002212E7" w:rsidP="003F5A03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spacing w:after="0" w:line="240" w:lineRule="auto"/>
        <w:ind w:right="2790"/>
        <w:rPr>
          <w:bCs/>
          <w:lang w:val="fr-FR"/>
        </w:rPr>
      </w:pPr>
      <w:r w:rsidRPr="00C919D2">
        <w:rPr>
          <w:bCs/>
          <w:lang w:val="fr-FR"/>
        </w:rPr>
        <w:t xml:space="preserve">Gland, Suisse, </w:t>
      </w:r>
      <w:r w:rsidR="00721EAD">
        <w:rPr>
          <w:bCs/>
          <w:lang w:val="fr-FR"/>
        </w:rPr>
        <w:t>20</w:t>
      </w:r>
      <w:r w:rsidR="001618EC" w:rsidRPr="00C919D2">
        <w:rPr>
          <w:bCs/>
          <w:lang w:val="fr-FR"/>
        </w:rPr>
        <w:t xml:space="preserve"> </w:t>
      </w:r>
      <w:r w:rsidRPr="00C919D2">
        <w:rPr>
          <w:bCs/>
          <w:lang w:val="fr-FR"/>
        </w:rPr>
        <w:t xml:space="preserve">au </w:t>
      </w:r>
      <w:r w:rsidR="00721EAD">
        <w:rPr>
          <w:bCs/>
          <w:lang w:val="fr-FR"/>
        </w:rPr>
        <w:t>24</w:t>
      </w:r>
      <w:r w:rsidR="00095221" w:rsidRPr="00C919D2">
        <w:rPr>
          <w:bCs/>
          <w:lang w:val="fr-FR"/>
        </w:rPr>
        <w:t xml:space="preserve"> </w:t>
      </w:r>
      <w:r w:rsidR="00721EAD">
        <w:rPr>
          <w:bCs/>
          <w:lang w:val="fr-FR"/>
        </w:rPr>
        <w:t>janvier</w:t>
      </w:r>
      <w:r w:rsidR="00721EAD" w:rsidRPr="00C919D2">
        <w:rPr>
          <w:bCs/>
          <w:lang w:val="fr-FR"/>
        </w:rPr>
        <w:t xml:space="preserve"> </w:t>
      </w:r>
      <w:r w:rsidRPr="00C919D2">
        <w:rPr>
          <w:bCs/>
          <w:lang w:val="fr-FR"/>
        </w:rPr>
        <w:t>202</w:t>
      </w:r>
      <w:r w:rsidR="00721EAD">
        <w:rPr>
          <w:bCs/>
          <w:lang w:val="fr-FR"/>
        </w:rPr>
        <w:t>5</w:t>
      </w:r>
    </w:p>
    <w:p w14:paraId="2AD16320" w14:textId="4F744AF3" w:rsidR="002212E7" w:rsidRPr="00C919D2" w:rsidRDefault="002212E7" w:rsidP="002212E7">
      <w:pPr>
        <w:tabs>
          <w:tab w:val="left" w:pos="10650"/>
          <w:tab w:val="right" w:pos="13958"/>
        </w:tabs>
        <w:spacing w:after="0" w:line="240" w:lineRule="auto"/>
        <w:jc w:val="right"/>
        <w:rPr>
          <w:bCs/>
          <w:lang w:val="fr-FR"/>
        </w:rPr>
      </w:pPr>
    </w:p>
    <w:p w14:paraId="292BA17F" w14:textId="492A11B4" w:rsidR="003F5A03" w:rsidRPr="00C919D2" w:rsidRDefault="003F5A03" w:rsidP="008D7493">
      <w:pPr>
        <w:tabs>
          <w:tab w:val="left" w:pos="10650"/>
          <w:tab w:val="right" w:pos="13958"/>
        </w:tabs>
        <w:spacing w:after="0" w:line="240" w:lineRule="auto"/>
        <w:jc w:val="right"/>
        <w:rPr>
          <w:rFonts w:cs="Arial"/>
          <w:sz w:val="28"/>
          <w:szCs w:val="28"/>
          <w:lang w:val="fr-FR"/>
        </w:rPr>
      </w:pPr>
      <w:r w:rsidRPr="00C919D2">
        <w:rPr>
          <w:rFonts w:cs="Arial"/>
          <w:b/>
          <w:sz w:val="28"/>
          <w:szCs w:val="28"/>
          <w:lang w:val="fr-FR"/>
        </w:rPr>
        <w:t>SC</w:t>
      </w:r>
      <w:r w:rsidR="000E41C4" w:rsidRPr="00C919D2">
        <w:rPr>
          <w:rFonts w:cs="Arial"/>
          <w:b/>
          <w:sz w:val="28"/>
          <w:szCs w:val="28"/>
          <w:lang w:val="fr-FR"/>
        </w:rPr>
        <w:t>6</w:t>
      </w:r>
      <w:r w:rsidR="00721EAD">
        <w:rPr>
          <w:rFonts w:cs="Arial"/>
          <w:b/>
          <w:sz w:val="28"/>
          <w:szCs w:val="28"/>
          <w:lang w:val="fr-FR"/>
        </w:rPr>
        <w:t>4</w:t>
      </w:r>
      <w:r w:rsidRPr="00C919D2">
        <w:rPr>
          <w:rFonts w:cs="Arial"/>
          <w:b/>
          <w:sz w:val="28"/>
          <w:szCs w:val="28"/>
          <w:lang w:val="fr-FR"/>
        </w:rPr>
        <w:t xml:space="preserve"> Doc.4</w:t>
      </w:r>
    </w:p>
    <w:p w14:paraId="1B56C4C1" w14:textId="77777777" w:rsidR="00B853B0" w:rsidRPr="00C919D2" w:rsidRDefault="00B853B0" w:rsidP="008D7493">
      <w:pPr>
        <w:autoSpaceDE w:val="0"/>
        <w:autoSpaceDN w:val="0"/>
        <w:adjustRightInd w:val="0"/>
        <w:spacing w:after="0" w:line="240" w:lineRule="auto"/>
        <w:jc w:val="center"/>
        <w:rPr>
          <w:rFonts w:cs="Garamond"/>
          <w:b/>
          <w:bCs/>
          <w:sz w:val="28"/>
          <w:szCs w:val="28"/>
          <w:lang w:val="fr-FR"/>
        </w:rPr>
      </w:pPr>
    </w:p>
    <w:p w14:paraId="6AC6DB3B" w14:textId="24DD8620" w:rsidR="00B853B0" w:rsidRPr="00C919D2" w:rsidRDefault="008E5056" w:rsidP="008D7493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  <w:lang w:val="fr-FR"/>
        </w:rPr>
      </w:pPr>
      <w:r w:rsidRPr="00C919D2">
        <w:rPr>
          <w:b/>
          <w:sz w:val="28"/>
          <w:szCs w:val="28"/>
          <w:lang w:val="fr-FR"/>
        </w:rPr>
        <w:t xml:space="preserve">Admission </w:t>
      </w:r>
      <w:r w:rsidR="008E6BEB" w:rsidRPr="00C919D2">
        <w:rPr>
          <w:b/>
          <w:sz w:val="28"/>
          <w:szCs w:val="28"/>
          <w:lang w:val="fr-FR"/>
        </w:rPr>
        <w:t>des observateurs</w:t>
      </w:r>
    </w:p>
    <w:p w14:paraId="5D330406" w14:textId="77777777" w:rsidR="003F5A03" w:rsidRPr="00C919D2" w:rsidRDefault="003F5A03" w:rsidP="008D7493">
      <w:pPr>
        <w:spacing w:after="0" w:line="240" w:lineRule="auto"/>
        <w:rPr>
          <w:rFonts w:cs="Arial"/>
          <w:b/>
          <w:sz w:val="28"/>
          <w:szCs w:val="28"/>
          <w:lang w:val="fr-FR"/>
        </w:rPr>
      </w:pPr>
    </w:p>
    <w:p w14:paraId="092E5092" w14:textId="77777777" w:rsidR="003F5A03" w:rsidRPr="00C919D2" w:rsidRDefault="003F5A03" w:rsidP="008D7493">
      <w:pPr>
        <w:spacing w:after="0" w:line="240" w:lineRule="auto"/>
        <w:rPr>
          <w:rFonts w:cs="Arial"/>
          <w:b/>
          <w:lang w:val="fr-FR"/>
        </w:rPr>
      </w:pPr>
      <w:r w:rsidRPr="00C919D2"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50D5A437" wp14:editId="1D53A04C">
                <wp:extent cx="5580185" cy="1025718"/>
                <wp:effectExtent l="0" t="0" r="20955" b="2222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0185" cy="10257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B2573" w14:textId="5102B468" w:rsidR="003F5A03" w:rsidRPr="00056A1D" w:rsidRDefault="002F09A9" w:rsidP="003F5A03">
                            <w:pPr>
                              <w:rPr>
                                <w:lang w:val="fr-CH"/>
                              </w:rPr>
                            </w:pPr>
                            <w:r>
                              <w:rPr>
                                <w:b/>
                                <w:bCs/>
                                <w:lang w:val="fr-CH"/>
                              </w:rPr>
                              <w:t>Action</w:t>
                            </w:r>
                            <w:r w:rsidR="003F5A03">
                              <w:rPr>
                                <w:b/>
                                <w:bCs/>
                                <w:lang w:val="fr-CH"/>
                              </w:rPr>
                              <w:t xml:space="preserve"> requise </w:t>
                            </w:r>
                            <w:r w:rsidR="003F5A03" w:rsidRPr="00056A1D">
                              <w:rPr>
                                <w:b/>
                                <w:bCs/>
                                <w:lang w:val="fr-CH"/>
                              </w:rPr>
                              <w:t xml:space="preserve">: </w:t>
                            </w:r>
                          </w:p>
                          <w:p w14:paraId="21FDAA54" w14:textId="1609E900" w:rsidR="00F64B95" w:rsidRPr="000E41C4" w:rsidRDefault="00F64B95" w:rsidP="000E41C4">
                            <w:pPr>
                              <w:spacing w:after="0" w:line="240" w:lineRule="auto"/>
                              <w:rPr>
                                <w:rFonts w:cs="Calibri"/>
                                <w:lang w:val="fr-CH"/>
                              </w:rPr>
                            </w:pPr>
                            <w:r w:rsidRPr="000E41C4">
                              <w:rPr>
                                <w:rFonts w:cs="Calibri"/>
                                <w:lang w:val="fr-CH"/>
                              </w:rPr>
                              <w:t>L</w:t>
                            </w:r>
                            <w:r w:rsidR="000E41C4" w:rsidRPr="000E41C4">
                              <w:rPr>
                                <w:rFonts w:cs="Calibri"/>
                                <w:lang w:val="fr-CH"/>
                              </w:rPr>
                              <w:t>a présidence du</w:t>
                            </w:r>
                            <w:r w:rsidRPr="000E41C4">
                              <w:rPr>
                                <w:rFonts w:cs="Calibri"/>
                                <w:lang w:val="fr-CH"/>
                              </w:rPr>
                              <w:t xml:space="preserve"> Comité permanent </w:t>
                            </w:r>
                            <w:r w:rsidR="000E41C4" w:rsidRPr="000E41C4">
                              <w:rPr>
                                <w:rFonts w:cs="Calibri"/>
                                <w:lang w:val="fr-CH"/>
                              </w:rPr>
                              <w:t xml:space="preserve">peut inviter </w:t>
                            </w:r>
                            <w:r w:rsidR="00311A05" w:rsidRPr="000E41C4">
                              <w:rPr>
                                <w:rFonts w:cs="Calibri"/>
                                <w:lang w:val="fr-CH"/>
                              </w:rPr>
                              <w:t xml:space="preserve">les organisations </w:t>
                            </w:r>
                            <w:r w:rsidR="00311A05" w:rsidRPr="00C919D2">
                              <w:rPr>
                                <w:rFonts w:cs="Calibri"/>
                                <w:lang w:val="fr-CH"/>
                              </w:rPr>
                              <w:t>énumérées</w:t>
                            </w:r>
                            <w:r w:rsidR="000E41C4" w:rsidRPr="00C919D2">
                              <w:rPr>
                                <w:rFonts w:cs="Calibri"/>
                                <w:lang w:val="fr-CH"/>
                              </w:rPr>
                              <w:t xml:space="preserve"> au paragraphe 6 du présent document à se faire représenter par des observateurs à la réunion</w:t>
                            </w:r>
                            <w:r w:rsidR="000E41C4" w:rsidRPr="000E41C4">
                              <w:rPr>
                                <w:rFonts w:cs="Calibri"/>
                                <w:lang w:val="fr-CH"/>
                              </w:rPr>
                              <w:t>, à moins qu</w:t>
                            </w:r>
                            <w:r w:rsidR="007B0AE2">
                              <w:rPr>
                                <w:rFonts w:cs="Calibri"/>
                                <w:lang w:val="fr-CH"/>
                              </w:rPr>
                              <w:t>’</w:t>
                            </w:r>
                            <w:r w:rsidR="000E41C4" w:rsidRPr="000E41C4">
                              <w:rPr>
                                <w:rFonts w:cs="Calibri"/>
                                <w:lang w:val="fr-CH"/>
                              </w:rPr>
                              <w:t xml:space="preserve">un tiers des </w:t>
                            </w:r>
                            <w:r w:rsidR="000E41C4">
                              <w:rPr>
                                <w:rFonts w:cs="Calibri"/>
                                <w:lang w:val="fr-CH"/>
                              </w:rPr>
                              <w:t>P</w:t>
                            </w:r>
                            <w:r w:rsidR="000E41C4" w:rsidRPr="000E41C4">
                              <w:rPr>
                                <w:rFonts w:cs="Calibri"/>
                                <w:lang w:val="fr-CH"/>
                              </w:rPr>
                              <w:t xml:space="preserve">arties </w:t>
                            </w:r>
                            <w:r w:rsidR="0007443C">
                              <w:rPr>
                                <w:rFonts w:cs="Calibri"/>
                                <w:lang w:val="fr-CH"/>
                              </w:rPr>
                              <w:t xml:space="preserve">contractantes </w:t>
                            </w:r>
                            <w:r w:rsidR="000E41C4" w:rsidRPr="000E41C4">
                              <w:rPr>
                                <w:rFonts w:cs="Calibri"/>
                                <w:lang w:val="fr-CH"/>
                              </w:rPr>
                              <w:t>présentes ne s</w:t>
                            </w:r>
                            <w:r w:rsidR="007B0AE2">
                              <w:rPr>
                                <w:rFonts w:cs="Calibri"/>
                                <w:lang w:val="fr-CH"/>
                              </w:rPr>
                              <w:t>’</w:t>
                            </w:r>
                            <w:r w:rsidR="000E41C4" w:rsidRPr="000E41C4">
                              <w:rPr>
                                <w:rFonts w:cs="Calibri"/>
                                <w:lang w:val="fr-CH"/>
                              </w:rPr>
                              <w:t>y opposent.</w:t>
                            </w:r>
                          </w:p>
                          <w:p w14:paraId="1B64176C" w14:textId="77777777" w:rsidR="003F5A03" w:rsidRPr="00056A1D" w:rsidRDefault="003F5A03" w:rsidP="003F5A03">
                            <w:pPr>
                              <w:pStyle w:val="ColorfulList-Accent11"/>
                              <w:ind w:left="0"/>
                              <w:rPr>
                                <w:rFonts w:cs="Calibri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0D5A43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39.4pt;height:8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">
                <v:textbox>
                  <w:txbxContent>
                    <w:p w14:paraId="754B2573" w14:textId="5102B468" w:rsidR="003F5A03" w:rsidRPr="00056A1D" w:rsidRDefault="002F09A9" w:rsidP="003F5A03">
                      <w:pPr>
                        <w:rPr>
                          <w:lang w:val="fr-CH"/>
                        </w:rPr>
                      </w:pPr>
                      <w:r>
                        <w:rPr>
                          <w:b/>
                          <w:bCs/>
                          <w:lang w:val="fr-CH"/>
                        </w:rPr>
                        <w:t>Action</w:t>
                      </w:r>
                      <w:r w:rsidR="003F5A03">
                        <w:rPr>
                          <w:b/>
                          <w:bCs/>
                          <w:lang w:val="fr-CH"/>
                        </w:rPr>
                        <w:t xml:space="preserve"> requise </w:t>
                      </w:r>
                      <w:r w:rsidR="003F5A03" w:rsidRPr="00056A1D">
                        <w:rPr>
                          <w:b/>
                          <w:bCs/>
                          <w:lang w:val="fr-CH"/>
                        </w:rPr>
                        <w:t xml:space="preserve">: </w:t>
                      </w:r>
                    </w:p>
                    <w:p w14:paraId="21FDAA54" w14:textId="1609E900" w:rsidR="00F64B95" w:rsidRPr="000E41C4" w:rsidRDefault="00F64B95" w:rsidP="000E41C4">
                      <w:pPr>
                        <w:spacing w:after="0" w:line="240" w:lineRule="auto"/>
                        <w:rPr>
                          <w:rFonts w:cs="Calibri"/>
                          <w:lang w:val="fr-CH"/>
                        </w:rPr>
                      </w:pPr>
                      <w:r w:rsidRPr="000E41C4">
                        <w:rPr>
                          <w:rFonts w:cs="Calibri"/>
                          <w:lang w:val="fr-CH"/>
                        </w:rPr>
                        <w:t>L</w:t>
                      </w:r>
                      <w:r w:rsidR="000E41C4" w:rsidRPr="000E41C4">
                        <w:rPr>
                          <w:rFonts w:cs="Calibri"/>
                          <w:lang w:val="fr-CH"/>
                        </w:rPr>
                        <w:t>a présidence du</w:t>
                      </w:r>
                      <w:r w:rsidRPr="000E41C4">
                        <w:rPr>
                          <w:rFonts w:cs="Calibri"/>
                          <w:lang w:val="fr-CH"/>
                        </w:rPr>
                        <w:t xml:space="preserve"> Comité permanent </w:t>
                      </w:r>
                      <w:r w:rsidR="000E41C4" w:rsidRPr="000E41C4">
                        <w:rPr>
                          <w:rFonts w:cs="Calibri"/>
                          <w:lang w:val="fr-CH"/>
                        </w:rPr>
                        <w:t xml:space="preserve">peut inviter </w:t>
                      </w:r>
                      <w:r w:rsidR="00311A05" w:rsidRPr="000E41C4">
                        <w:rPr>
                          <w:rFonts w:cs="Calibri"/>
                          <w:lang w:val="fr-CH"/>
                        </w:rPr>
                        <w:t xml:space="preserve">les organisations </w:t>
                      </w:r>
                      <w:r w:rsidR="00311A05" w:rsidRPr="00C919D2">
                        <w:rPr>
                          <w:rFonts w:cs="Calibri"/>
                          <w:lang w:val="fr-CH"/>
                        </w:rPr>
                        <w:t>énumérées</w:t>
                      </w:r>
                      <w:r w:rsidR="000E41C4" w:rsidRPr="00C919D2">
                        <w:rPr>
                          <w:rFonts w:cs="Calibri"/>
                          <w:lang w:val="fr-CH"/>
                        </w:rPr>
                        <w:t xml:space="preserve"> au paragraphe 6 du présent document à se faire représenter par des observateurs à la réunion</w:t>
                      </w:r>
                      <w:r w:rsidR="000E41C4" w:rsidRPr="000E41C4">
                        <w:rPr>
                          <w:rFonts w:cs="Calibri"/>
                          <w:lang w:val="fr-CH"/>
                        </w:rPr>
                        <w:t>, à moins qu</w:t>
                      </w:r>
                      <w:r w:rsidR="007B0AE2">
                        <w:rPr>
                          <w:rFonts w:cs="Calibri"/>
                          <w:lang w:val="fr-CH"/>
                        </w:rPr>
                        <w:t>’</w:t>
                      </w:r>
                      <w:r w:rsidR="000E41C4" w:rsidRPr="000E41C4">
                        <w:rPr>
                          <w:rFonts w:cs="Calibri"/>
                          <w:lang w:val="fr-CH"/>
                        </w:rPr>
                        <w:t xml:space="preserve">un tiers des </w:t>
                      </w:r>
                      <w:r w:rsidR="000E41C4">
                        <w:rPr>
                          <w:rFonts w:cs="Calibri"/>
                          <w:lang w:val="fr-CH"/>
                        </w:rPr>
                        <w:t>P</w:t>
                      </w:r>
                      <w:r w:rsidR="000E41C4" w:rsidRPr="000E41C4">
                        <w:rPr>
                          <w:rFonts w:cs="Calibri"/>
                          <w:lang w:val="fr-CH"/>
                        </w:rPr>
                        <w:t xml:space="preserve">arties </w:t>
                      </w:r>
                      <w:r w:rsidR="0007443C">
                        <w:rPr>
                          <w:rFonts w:cs="Calibri"/>
                          <w:lang w:val="fr-CH"/>
                        </w:rPr>
                        <w:t xml:space="preserve">contractantes </w:t>
                      </w:r>
                      <w:r w:rsidR="000E41C4" w:rsidRPr="000E41C4">
                        <w:rPr>
                          <w:rFonts w:cs="Calibri"/>
                          <w:lang w:val="fr-CH"/>
                        </w:rPr>
                        <w:t>présentes ne s</w:t>
                      </w:r>
                      <w:r w:rsidR="007B0AE2">
                        <w:rPr>
                          <w:rFonts w:cs="Calibri"/>
                          <w:lang w:val="fr-CH"/>
                        </w:rPr>
                        <w:t>’</w:t>
                      </w:r>
                      <w:r w:rsidR="000E41C4" w:rsidRPr="000E41C4">
                        <w:rPr>
                          <w:rFonts w:cs="Calibri"/>
                          <w:lang w:val="fr-CH"/>
                        </w:rPr>
                        <w:t>y opposent.</w:t>
                      </w:r>
                    </w:p>
                    <w:p w14:paraId="1B64176C" w14:textId="77777777" w:rsidR="003F5A03" w:rsidRPr="00056A1D" w:rsidRDefault="003F5A03" w:rsidP="003F5A03">
                      <w:pPr>
                        <w:pStyle w:val="ColorfulList-Accent11"/>
                        <w:ind w:left="0"/>
                        <w:rPr>
                          <w:rFonts w:cs="Calibri"/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37A474D" w14:textId="73EB789C" w:rsidR="008D7493" w:rsidRPr="00C919D2" w:rsidRDefault="008D7493" w:rsidP="008D7493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fr-FR"/>
        </w:rPr>
      </w:pPr>
    </w:p>
    <w:p w14:paraId="2B7EF19C" w14:textId="77777777" w:rsidR="00E32E56" w:rsidRPr="00C919D2" w:rsidRDefault="00E32E56" w:rsidP="008D7493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fr-FR"/>
        </w:rPr>
      </w:pPr>
    </w:p>
    <w:p w14:paraId="0FD1B777" w14:textId="52AFEF46" w:rsidR="00617C4D" w:rsidRPr="00C919D2" w:rsidRDefault="00617C4D" w:rsidP="00713169">
      <w:pPr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/>
          <w:lang w:val="fr-FR"/>
        </w:rPr>
      </w:pPr>
      <w:r w:rsidRPr="00C919D2">
        <w:rPr>
          <w:rFonts w:asciiTheme="minorHAnsi" w:hAnsiTheme="minorHAnsi"/>
          <w:lang w:val="fr-FR"/>
        </w:rPr>
        <w:t>1.</w:t>
      </w:r>
      <w:r w:rsidRPr="00C919D2">
        <w:rPr>
          <w:rFonts w:asciiTheme="minorHAnsi" w:hAnsiTheme="minorHAnsi"/>
          <w:lang w:val="fr-FR"/>
        </w:rPr>
        <w:tab/>
      </w:r>
      <w:r w:rsidR="003F76B5" w:rsidRPr="00C919D2">
        <w:rPr>
          <w:rFonts w:asciiTheme="minorHAnsi" w:hAnsiTheme="minorHAnsi"/>
          <w:lang w:val="fr-FR"/>
        </w:rPr>
        <w:t xml:space="preserve">Le </w:t>
      </w:r>
      <w:r w:rsidR="00DF63E9" w:rsidRPr="00C919D2">
        <w:rPr>
          <w:rFonts w:asciiTheme="minorHAnsi" w:hAnsiTheme="minorHAnsi"/>
          <w:lang w:val="fr-FR"/>
        </w:rPr>
        <w:t>R</w:t>
      </w:r>
      <w:r w:rsidR="003F76B5" w:rsidRPr="00C919D2">
        <w:rPr>
          <w:rFonts w:asciiTheme="minorHAnsi" w:hAnsiTheme="minorHAnsi"/>
          <w:lang w:val="fr-FR"/>
        </w:rPr>
        <w:t>èglement intérieur des sessions de la Conférence des Parties</w:t>
      </w:r>
      <w:r w:rsidR="00C86B75" w:rsidRPr="00C919D2">
        <w:rPr>
          <w:rStyle w:val="FootnoteReference"/>
          <w:rFonts w:asciiTheme="minorHAnsi" w:hAnsiTheme="minorHAnsi"/>
          <w:lang w:val="fr-FR"/>
        </w:rPr>
        <w:footnoteReference w:id="1"/>
      </w:r>
      <w:r w:rsidR="003F76B5" w:rsidRPr="00C919D2">
        <w:rPr>
          <w:rFonts w:asciiTheme="minorHAnsi" w:hAnsiTheme="minorHAnsi"/>
          <w:lang w:val="fr-FR"/>
        </w:rPr>
        <w:t xml:space="preserve"> prévoit la participation </w:t>
      </w:r>
      <w:r w:rsidR="00DF63E9" w:rsidRPr="00C919D2">
        <w:rPr>
          <w:rFonts w:asciiTheme="minorHAnsi" w:hAnsiTheme="minorHAnsi"/>
          <w:lang w:val="fr-FR"/>
        </w:rPr>
        <w:t>d</w:t>
      </w:r>
      <w:r w:rsidR="007B0AE2" w:rsidRPr="00C919D2">
        <w:rPr>
          <w:rFonts w:asciiTheme="minorHAnsi" w:hAnsiTheme="minorHAnsi"/>
          <w:lang w:val="fr-FR"/>
        </w:rPr>
        <w:t>’</w:t>
      </w:r>
      <w:r w:rsidR="003F76B5" w:rsidRPr="00C919D2">
        <w:rPr>
          <w:rFonts w:asciiTheme="minorHAnsi" w:hAnsiTheme="minorHAnsi"/>
          <w:lang w:val="fr-FR"/>
        </w:rPr>
        <w:t xml:space="preserve">observateurs </w:t>
      </w:r>
      <w:r w:rsidR="00DF63E9" w:rsidRPr="00C919D2">
        <w:rPr>
          <w:rFonts w:asciiTheme="minorHAnsi" w:hAnsiTheme="minorHAnsi"/>
          <w:lang w:val="fr-FR"/>
        </w:rPr>
        <w:t>de</w:t>
      </w:r>
      <w:r w:rsidR="003F76B5" w:rsidRPr="00C919D2">
        <w:rPr>
          <w:rFonts w:asciiTheme="minorHAnsi" w:hAnsiTheme="minorHAnsi"/>
          <w:lang w:val="fr-FR"/>
        </w:rPr>
        <w:t xml:space="preserve"> deux catégories :</w:t>
      </w:r>
    </w:p>
    <w:p w14:paraId="2C12B3F5" w14:textId="0AB26380" w:rsidR="00F7595E" w:rsidRPr="00C919D2" w:rsidRDefault="003F76B5" w:rsidP="00713169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/>
          <w:lang w:val="fr-FR"/>
        </w:rPr>
      </w:pPr>
      <w:r w:rsidRPr="00C919D2">
        <w:rPr>
          <w:rFonts w:asciiTheme="minorHAnsi" w:hAnsiTheme="minorHAnsi"/>
          <w:lang w:val="fr-FR"/>
        </w:rPr>
        <w:t>l</w:t>
      </w:r>
      <w:r w:rsidR="007B0AE2" w:rsidRPr="00C919D2">
        <w:rPr>
          <w:rFonts w:asciiTheme="minorHAnsi" w:hAnsiTheme="minorHAnsi"/>
          <w:lang w:val="fr-FR"/>
        </w:rPr>
        <w:t>’</w:t>
      </w:r>
      <w:r w:rsidRPr="00C919D2">
        <w:rPr>
          <w:rFonts w:asciiTheme="minorHAnsi" w:hAnsiTheme="minorHAnsi"/>
          <w:lang w:val="fr-FR"/>
        </w:rPr>
        <w:t xml:space="preserve">Organisation des Nations Unies, ses institutions spécialisées et les États </w:t>
      </w:r>
      <w:r w:rsidR="00971AC5" w:rsidRPr="00C919D2">
        <w:rPr>
          <w:rFonts w:asciiTheme="minorHAnsi" w:hAnsiTheme="minorHAnsi"/>
          <w:lang w:val="fr-FR"/>
        </w:rPr>
        <w:t xml:space="preserve">qui ne sont pas </w:t>
      </w:r>
      <w:r w:rsidR="001F5554" w:rsidRPr="00C919D2">
        <w:rPr>
          <w:rFonts w:asciiTheme="minorHAnsi" w:hAnsiTheme="minorHAnsi"/>
          <w:lang w:val="fr-FR"/>
        </w:rPr>
        <w:t>P</w:t>
      </w:r>
      <w:r w:rsidRPr="00C919D2">
        <w:rPr>
          <w:rFonts w:asciiTheme="minorHAnsi" w:hAnsiTheme="minorHAnsi"/>
          <w:lang w:val="fr-FR"/>
        </w:rPr>
        <w:t>arties à la Convention</w:t>
      </w:r>
      <w:r w:rsidR="000E41C4" w:rsidRPr="00C919D2">
        <w:rPr>
          <w:rFonts w:asciiTheme="minorHAnsi" w:hAnsiTheme="minorHAnsi"/>
          <w:lang w:val="fr-FR"/>
        </w:rPr>
        <w:t> </w:t>
      </w:r>
      <w:r w:rsidRPr="00C919D2">
        <w:rPr>
          <w:rFonts w:asciiTheme="minorHAnsi" w:hAnsiTheme="minorHAnsi"/>
          <w:lang w:val="fr-FR"/>
        </w:rPr>
        <w:t xml:space="preserve">; et </w:t>
      </w:r>
    </w:p>
    <w:p w14:paraId="174C56C2" w14:textId="272B824E" w:rsidR="005B1BB9" w:rsidRPr="00C919D2" w:rsidRDefault="003F76B5" w:rsidP="00713169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/>
          <w:lang w:val="fr-FR"/>
        </w:rPr>
      </w:pPr>
      <w:r w:rsidRPr="00C919D2">
        <w:rPr>
          <w:rFonts w:asciiTheme="minorHAnsi" w:hAnsiTheme="minorHAnsi"/>
          <w:lang w:val="fr-FR"/>
        </w:rPr>
        <w:t xml:space="preserve">tout organe ou </w:t>
      </w:r>
      <w:r w:rsidR="00C623FA" w:rsidRPr="00C919D2">
        <w:rPr>
          <w:rFonts w:asciiTheme="minorHAnsi" w:hAnsiTheme="minorHAnsi"/>
          <w:lang w:val="fr-FR"/>
        </w:rPr>
        <w:t>agence</w:t>
      </w:r>
      <w:r w:rsidRPr="00C919D2">
        <w:rPr>
          <w:rFonts w:asciiTheme="minorHAnsi" w:hAnsiTheme="minorHAnsi"/>
          <w:lang w:val="fr-FR"/>
        </w:rPr>
        <w:t xml:space="preserve"> qualifié dans les domaines relatifs à la conservation et à l</w:t>
      </w:r>
      <w:r w:rsidR="007B0AE2" w:rsidRPr="00C919D2">
        <w:rPr>
          <w:rFonts w:asciiTheme="minorHAnsi" w:hAnsiTheme="minorHAnsi"/>
          <w:lang w:val="fr-FR"/>
        </w:rPr>
        <w:t>’</w:t>
      </w:r>
      <w:r w:rsidRPr="00C919D2">
        <w:rPr>
          <w:rFonts w:asciiTheme="minorHAnsi" w:hAnsiTheme="minorHAnsi"/>
          <w:lang w:val="fr-FR"/>
        </w:rPr>
        <w:t xml:space="preserve">utilisation </w:t>
      </w:r>
      <w:r w:rsidR="00DF63E9" w:rsidRPr="00C919D2">
        <w:rPr>
          <w:rFonts w:asciiTheme="minorHAnsi" w:hAnsiTheme="minorHAnsi"/>
          <w:lang w:val="fr-FR"/>
        </w:rPr>
        <w:t>durable</w:t>
      </w:r>
      <w:r w:rsidRPr="00C919D2">
        <w:rPr>
          <w:rFonts w:asciiTheme="minorHAnsi" w:hAnsiTheme="minorHAnsi"/>
          <w:lang w:val="fr-FR"/>
        </w:rPr>
        <w:t xml:space="preserve"> des zones humides.</w:t>
      </w:r>
    </w:p>
    <w:p w14:paraId="7B780B1F" w14:textId="6130FB7A" w:rsidR="00617C4D" w:rsidRPr="00C919D2" w:rsidRDefault="00617C4D" w:rsidP="00713169">
      <w:pPr>
        <w:tabs>
          <w:tab w:val="num" w:pos="720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/>
          <w:lang w:val="fr-FR"/>
        </w:rPr>
      </w:pPr>
    </w:p>
    <w:p w14:paraId="5071C960" w14:textId="72B165A4" w:rsidR="005B1BB9" w:rsidRPr="00C919D2" w:rsidRDefault="003F76B5" w:rsidP="00713169">
      <w:pPr>
        <w:tabs>
          <w:tab w:val="num" w:pos="720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lang w:val="fr-FR"/>
        </w:rPr>
      </w:pPr>
      <w:r w:rsidRPr="00C919D2">
        <w:rPr>
          <w:rFonts w:asciiTheme="minorHAnsi" w:hAnsiTheme="minorHAnsi"/>
          <w:b/>
          <w:bCs/>
          <w:lang w:val="fr-FR"/>
        </w:rPr>
        <w:t>L</w:t>
      </w:r>
      <w:r w:rsidR="007B0AE2" w:rsidRPr="00C919D2">
        <w:rPr>
          <w:rFonts w:asciiTheme="minorHAnsi" w:hAnsiTheme="minorHAnsi"/>
          <w:b/>
          <w:bCs/>
          <w:lang w:val="fr-FR"/>
        </w:rPr>
        <w:t>’</w:t>
      </w:r>
      <w:r w:rsidRPr="00C919D2">
        <w:rPr>
          <w:rFonts w:asciiTheme="minorHAnsi" w:hAnsiTheme="minorHAnsi"/>
          <w:b/>
          <w:bCs/>
          <w:lang w:val="fr-FR"/>
        </w:rPr>
        <w:t xml:space="preserve">Organisation des Nations Unies, ses institutions spécialisées et les États </w:t>
      </w:r>
      <w:r w:rsidR="00971AC5" w:rsidRPr="00C919D2">
        <w:rPr>
          <w:rFonts w:asciiTheme="minorHAnsi" w:hAnsiTheme="minorHAnsi"/>
          <w:b/>
          <w:bCs/>
          <w:lang w:val="fr-FR"/>
        </w:rPr>
        <w:t xml:space="preserve">qui ne sont pas </w:t>
      </w:r>
      <w:r w:rsidR="001F5554" w:rsidRPr="00C919D2">
        <w:rPr>
          <w:rFonts w:asciiTheme="minorHAnsi" w:hAnsiTheme="minorHAnsi"/>
          <w:b/>
          <w:bCs/>
          <w:lang w:val="fr-FR"/>
        </w:rPr>
        <w:t>P</w:t>
      </w:r>
      <w:r w:rsidRPr="00C919D2">
        <w:rPr>
          <w:rFonts w:asciiTheme="minorHAnsi" w:hAnsiTheme="minorHAnsi"/>
          <w:b/>
          <w:bCs/>
          <w:lang w:val="fr-FR"/>
        </w:rPr>
        <w:t>arties</w:t>
      </w:r>
      <w:r w:rsidR="00971AC5" w:rsidRPr="00C919D2">
        <w:rPr>
          <w:rFonts w:asciiTheme="minorHAnsi" w:hAnsiTheme="minorHAnsi"/>
          <w:b/>
          <w:bCs/>
          <w:lang w:val="fr-FR"/>
        </w:rPr>
        <w:t xml:space="preserve"> à la Convention</w:t>
      </w:r>
      <w:r w:rsidRPr="00C919D2">
        <w:rPr>
          <w:rFonts w:asciiTheme="minorHAnsi" w:hAnsiTheme="minorHAnsi"/>
          <w:b/>
          <w:bCs/>
          <w:lang w:val="fr-FR"/>
        </w:rPr>
        <w:t xml:space="preserve"> </w:t>
      </w:r>
    </w:p>
    <w:p w14:paraId="38473C18" w14:textId="77777777" w:rsidR="005B1BB9" w:rsidRPr="00C919D2" w:rsidRDefault="005B1BB9" w:rsidP="00713169">
      <w:pPr>
        <w:tabs>
          <w:tab w:val="num" w:pos="720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/>
          <w:lang w:val="fr-FR"/>
        </w:rPr>
      </w:pPr>
    </w:p>
    <w:p w14:paraId="6C1A9569" w14:textId="20F82F9D" w:rsidR="00617C4D" w:rsidRPr="00C919D2" w:rsidRDefault="00CB69E7" w:rsidP="00713169">
      <w:pPr>
        <w:tabs>
          <w:tab w:val="num" w:pos="720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/>
          <w:lang w:val="fr-FR"/>
        </w:rPr>
      </w:pPr>
      <w:r w:rsidRPr="00C919D2">
        <w:rPr>
          <w:rFonts w:asciiTheme="minorHAnsi" w:hAnsiTheme="minorHAnsi"/>
          <w:lang w:val="fr-FR"/>
        </w:rPr>
        <w:t>2</w:t>
      </w:r>
      <w:r w:rsidR="00AC1DD6" w:rsidRPr="00C919D2">
        <w:rPr>
          <w:rFonts w:asciiTheme="minorHAnsi" w:hAnsiTheme="minorHAnsi"/>
          <w:lang w:val="fr-FR"/>
        </w:rPr>
        <w:t>.</w:t>
      </w:r>
      <w:r w:rsidR="00AC1DD6" w:rsidRPr="00C919D2">
        <w:rPr>
          <w:rFonts w:asciiTheme="minorHAnsi" w:hAnsiTheme="minorHAnsi"/>
          <w:lang w:val="fr-FR"/>
        </w:rPr>
        <w:tab/>
      </w:r>
      <w:r w:rsidR="003F76B5" w:rsidRPr="00C919D2">
        <w:rPr>
          <w:rFonts w:asciiTheme="minorHAnsi" w:hAnsiTheme="minorHAnsi"/>
          <w:lang w:val="fr-FR"/>
        </w:rPr>
        <w:t>L</w:t>
      </w:r>
      <w:r w:rsidR="007B0AE2" w:rsidRPr="00C919D2">
        <w:rPr>
          <w:rFonts w:asciiTheme="minorHAnsi" w:hAnsiTheme="minorHAnsi"/>
          <w:lang w:val="fr-FR"/>
        </w:rPr>
        <w:t>’</w:t>
      </w:r>
      <w:r w:rsidR="003F76B5" w:rsidRPr="00C919D2">
        <w:rPr>
          <w:rFonts w:asciiTheme="minorHAnsi" w:hAnsiTheme="minorHAnsi"/>
          <w:lang w:val="fr-FR"/>
        </w:rPr>
        <w:t xml:space="preserve">article 6 du </w:t>
      </w:r>
      <w:r w:rsidR="00A0379D" w:rsidRPr="00C919D2">
        <w:rPr>
          <w:rFonts w:asciiTheme="minorHAnsi" w:hAnsiTheme="minorHAnsi"/>
          <w:lang w:val="fr-FR"/>
        </w:rPr>
        <w:t>R</w:t>
      </w:r>
      <w:r w:rsidR="003F76B5" w:rsidRPr="00C919D2">
        <w:rPr>
          <w:rFonts w:asciiTheme="minorHAnsi" w:hAnsiTheme="minorHAnsi"/>
          <w:lang w:val="fr-FR"/>
        </w:rPr>
        <w:t>èglement intérieur précise que les observateurs représentant l</w:t>
      </w:r>
      <w:r w:rsidR="007B0AE2" w:rsidRPr="00C919D2">
        <w:rPr>
          <w:rFonts w:asciiTheme="minorHAnsi" w:hAnsiTheme="minorHAnsi"/>
          <w:lang w:val="fr-FR"/>
        </w:rPr>
        <w:t>’</w:t>
      </w:r>
      <w:r w:rsidR="003F76B5" w:rsidRPr="00C919D2">
        <w:rPr>
          <w:rFonts w:asciiTheme="minorHAnsi" w:hAnsiTheme="minorHAnsi"/>
          <w:lang w:val="fr-FR"/>
        </w:rPr>
        <w:t xml:space="preserve">Organisation des Nations Unies, ses institutions spécialisées et les États </w:t>
      </w:r>
      <w:r w:rsidR="002C513A" w:rsidRPr="00C919D2">
        <w:rPr>
          <w:rFonts w:asciiTheme="minorHAnsi" w:hAnsiTheme="minorHAnsi"/>
          <w:lang w:val="fr-FR"/>
        </w:rPr>
        <w:t>qui ne sont pas P</w:t>
      </w:r>
      <w:r w:rsidR="003F76B5" w:rsidRPr="00C919D2">
        <w:rPr>
          <w:rFonts w:asciiTheme="minorHAnsi" w:hAnsiTheme="minorHAnsi"/>
          <w:lang w:val="fr-FR"/>
        </w:rPr>
        <w:t xml:space="preserve">arties à la Convention peuvent participer sur invitation du </w:t>
      </w:r>
      <w:r w:rsidR="007A0FE7" w:rsidRPr="00C919D2">
        <w:rPr>
          <w:rFonts w:asciiTheme="minorHAnsi" w:hAnsiTheme="minorHAnsi"/>
          <w:lang w:val="fr-FR"/>
        </w:rPr>
        <w:t>P</w:t>
      </w:r>
      <w:r w:rsidR="003F76B5" w:rsidRPr="00C919D2">
        <w:rPr>
          <w:rFonts w:asciiTheme="minorHAnsi" w:hAnsiTheme="minorHAnsi"/>
          <w:lang w:val="fr-FR"/>
        </w:rPr>
        <w:t>résident, « </w:t>
      </w:r>
      <w:r w:rsidR="00971AC5" w:rsidRPr="00C919D2">
        <w:rPr>
          <w:rFonts w:asciiTheme="minorHAnsi" w:hAnsiTheme="minorHAnsi"/>
          <w:lang w:val="fr-FR"/>
        </w:rPr>
        <w:t>à moins qu</w:t>
      </w:r>
      <w:r w:rsidR="007B0AE2" w:rsidRPr="00C919D2">
        <w:rPr>
          <w:rFonts w:asciiTheme="minorHAnsi" w:hAnsiTheme="minorHAnsi"/>
          <w:lang w:val="fr-FR"/>
        </w:rPr>
        <w:t>’</w:t>
      </w:r>
      <w:r w:rsidR="003F76B5" w:rsidRPr="00C919D2">
        <w:rPr>
          <w:rFonts w:asciiTheme="minorHAnsi" w:hAnsiTheme="minorHAnsi"/>
          <w:lang w:val="fr-FR"/>
        </w:rPr>
        <w:t>un tiers au moins des Parties</w:t>
      </w:r>
      <w:r w:rsidR="00AE4DEE" w:rsidRPr="00C919D2">
        <w:rPr>
          <w:rFonts w:asciiTheme="minorHAnsi" w:hAnsiTheme="minorHAnsi"/>
          <w:lang w:val="fr-FR"/>
        </w:rPr>
        <w:t xml:space="preserve"> </w:t>
      </w:r>
      <w:r w:rsidR="003F76B5" w:rsidRPr="00C919D2">
        <w:rPr>
          <w:rFonts w:asciiTheme="minorHAnsi" w:hAnsiTheme="minorHAnsi"/>
          <w:lang w:val="fr-FR"/>
        </w:rPr>
        <w:t xml:space="preserve">contractantes présentes </w:t>
      </w:r>
      <w:r w:rsidR="00971AC5" w:rsidRPr="00C919D2">
        <w:rPr>
          <w:rFonts w:asciiTheme="minorHAnsi" w:hAnsiTheme="minorHAnsi"/>
          <w:lang w:val="fr-FR"/>
        </w:rPr>
        <w:t>ne</w:t>
      </w:r>
      <w:r w:rsidR="003F76B5" w:rsidRPr="00C919D2">
        <w:rPr>
          <w:rFonts w:asciiTheme="minorHAnsi" w:hAnsiTheme="minorHAnsi"/>
          <w:lang w:val="fr-FR"/>
        </w:rPr>
        <w:t xml:space="preserve"> s</w:t>
      </w:r>
      <w:r w:rsidR="007B0AE2" w:rsidRPr="00C919D2">
        <w:rPr>
          <w:rFonts w:asciiTheme="minorHAnsi" w:hAnsiTheme="minorHAnsi"/>
          <w:lang w:val="fr-FR"/>
        </w:rPr>
        <w:t>’</w:t>
      </w:r>
      <w:r w:rsidR="003F76B5" w:rsidRPr="00C919D2">
        <w:rPr>
          <w:rFonts w:asciiTheme="minorHAnsi" w:hAnsiTheme="minorHAnsi"/>
          <w:lang w:val="fr-FR"/>
        </w:rPr>
        <w:t xml:space="preserve">y oppose ». </w:t>
      </w:r>
    </w:p>
    <w:p w14:paraId="153B04C8" w14:textId="77777777" w:rsidR="000A273E" w:rsidRPr="00C919D2" w:rsidRDefault="000A273E" w:rsidP="00713169">
      <w:pPr>
        <w:tabs>
          <w:tab w:val="num" w:pos="720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/>
          <w:lang w:val="fr-FR"/>
        </w:rPr>
      </w:pPr>
    </w:p>
    <w:p w14:paraId="3891B100" w14:textId="2A0DE5C0" w:rsidR="00CB69E7" w:rsidRPr="00C919D2" w:rsidRDefault="00CB69E7" w:rsidP="00713169">
      <w:pPr>
        <w:tabs>
          <w:tab w:val="num" w:pos="720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/>
          <w:lang w:val="fr-FR"/>
        </w:rPr>
      </w:pPr>
      <w:r w:rsidRPr="00C919D2">
        <w:rPr>
          <w:rFonts w:asciiTheme="minorHAnsi" w:hAnsiTheme="minorHAnsi"/>
          <w:lang w:val="fr-FR"/>
        </w:rPr>
        <w:t>3.</w:t>
      </w:r>
      <w:r w:rsidRPr="00C919D2">
        <w:rPr>
          <w:rFonts w:asciiTheme="minorHAnsi" w:hAnsiTheme="minorHAnsi"/>
          <w:lang w:val="fr-FR"/>
        </w:rPr>
        <w:tab/>
      </w:r>
      <w:r w:rsidR="000E41C4" w:rsidRPr="00C919D2">
        <w:rPr>
          <w:rFonts w:asciiTheme="minorHAnsi" w:hAnsiTheme="minorHAnsi"/>
          <w:lang w:val="fr-FR"/>
        </w:rPr>
        <w:t>S</w:t>
      </w:r>
      <w:r w:rsidR="007B0AE2" w:rsidRPr="00C919D2">
        <w:rPr>
          <w:rFonts w:asciiTheme="minorHAnsi" w:hAnsiTheme="minorHAnsi"/>
          <w:lang w:val="fr-FR"/>
        </w:rPr>
        <w:t>’</w:t>
      </w:r>
      <w:r w:rsidR="000E41C4" w:rsidRPr="00C919D2">
        <w:rPr>
          <w:rFonts w:asciiTheme="minorHAnsi" w:hAnsiTheme="minorHAnsi"/>
          <w:lang w:val="fr-FR"/>
        </w:rPr>
        <w:t>agissant des</w:t>
      </w:r>
      <w:r w:rsidR="003F76B5" w:rsidRPr="00C919D2">
        <w:rPr>
          <w:rFonts w:asciiTheme="minorHAnsi" w:hAnsiTheme="minorHAnsi"/>
          <w:lang w:val="fr-FR"/>
        </w:rPr>
        <w:t xml:space="preserve"> observateurs de cette catégorie,</w:t>
      </w:r>
      <w:r w:rsidR="00D04A58" w:rsidRPr="00C919D2">
        <w:rPr>
          <w:rFonts w:asciiTheme="minorHAnsi" w:hAnsiTheme="minorHAnsi"/>
          <w:lang w:val="fr-FR"/>
        </w:rPr>
        <w:t xml:space="preserve"> au </w:t>
      </w:r>
      <w:r w:rsidR="00311A05">
        <w:rPr>
          <w:rFonts w:asciiTheme="minorHAnsi" w:hAnsiTheme="minorHAnsi"/>
          <w:lang w:val="fr-FR"/>
        </w:rPr>
        <w:t>6</w:t>
      </w:r>
      <w:r w:rsidR="00D04A58" w:rsidRPr="00C919D2">
        <w:rPr>
          <w:rFonts w:asciiTheme="minorHAnsi" w:hAnsiTheme="minorHAnsi"/>
          <w:lang w:val="fr-FR"/>
        </w:rPr>
        <w:t> </w:t>
      </w:r>
      <w:r w:rsidR="00BD6B2E">
        <w:rPr>
          <w:rFonts w:asciiTheme="minorHAnsi" w:hAnsiTheme="minorHAnsi"/>
          <w:lang w:val="fr-FR"/>
        </w:rPr>
        <w:t xml:space="preserve">janvier </w:t>
      </w:r>
      <w:r w:rsidR="00D04A58" w:rsidRPr="00C919D2">
        <w:rPr>
          <w:rFonts w:asciiTheme="minorHAnsi" w:hAnsiTheme="minorHAnsi"/>
          <w:lang w:val="fr-FR"/>
        </w:rPr>
        <w:t>202</w:t>
      </w:r>
      <w:r w:rsidR="00BD6B2E">
        <w:rPr>
          <w:rFonts w:asciiTheme="minorHAnsi" w:hAnsiTheme="minorHAnsi"/>
          <w:lang w:val="fr-FR"/>
        </w:rPr>
        <w:t>5</w:t>
      </w:r>
      <w:r w:rsidR="00D04A58" w:rsidRPr="00C919D2">
        <w:rPr>
          <w:rFonts w:asciiTheme="minorHAnsi" w:hAnsiTheme="minorHAnsi"/>
          <w:lang w:val="fr-FR"/>
        </w:rPr>
        <w:t>, le Secrétariat avait reçu l</w:t>
      </w:r>
      <w:r w:rsidR="001618EC" w:rsidRPr="00C919D2">
        <w:rPr>
          <w:rFonts w:asciiTheme="minorHAnsi" w:hAnsiTheme="minorHAnsi"/>
          <w:lang w:val="fr-FR"/>
        </w:rPr>
        <w:t>’</w:t>
      </w:r>
      <w:r w:rsidR="00D04A58" w:rsidRPr="00C919D2">
        <w:rPr>
          <w:rFonts w:asciiTheme="minorHAnsi" w:hAnsiTheme="minorHAnsi"/>
          <w:lang w:val="fr-FR"/>
        </w:rPr>
        <w:t>inscription suivante à la 6</w:t>
      </w:r>
      <w:r w:rsidR="00BD6B2E">
        <w:rPr>
          <w:rFonts w:asciiTheme="minorHAnsi" w:hAnsiTheme="minorHAnsi"/>
          <w:lang w:val="fr-FR"/>
        </w:rPr>
        <w:t>4</w:t>
      </w:r>
      <w:r w:rsidR="00D04A58" w:rsidRPr="00C919D2">
        <w:rPr>
          <w:rFonts w:asciiTheme="minorHAnsi" w:hAnsiTheme="minorHAnsi"/>
          <w:vertAlign w:val="superscript"/>
          <w:lang w:val="fr-FR"/>
        </w:rPr>
        <w:t>e</w:t>
      </w:r>
      <w:r w:rsidR="00D04A58" w:rsidRPr="00C919D2">
        <w:rPr>
          <w:rFonts w:asciiTheme="minorHAnsi" w:hAnsiTheme="minorHAnsi"/>
          <w:lang w:val="fr-FR"/>
        </w:rPr>
        <w:t xml:space="preserve"> </w:t>
      </w:r>
      <w:r w:rsidR="00CD53AD">
        <w:rPr>
          <w:rFonts w:asciiTheme="minorHAnsi" w:hAnsiTheme="minorHAnsi"/>
          <w:lang w:val="fr-FR"/>
        </w:rPr>
        <w:t>r</w:t>
      </w:r>
      <w:r w:rsidR="00D04A58" w:rsidRPr="00C919D2">
        <w:rPr>
          <w:rFonts w:asciiTheme="minorHAnsi" w:hAnsiTheme="minorHAnsi"/>
          <w:lang w:val="fr-FR"/>
        </w:rPr>
        <w:t>éunion du Comité permanent (SC6</w:t>
      </w:r>
      <w:r w:rsidR="002F7551">
        <w:rPr>
          <w:rFonts w:asciiTheme="minorHAnsi" w:hAnsiTheme="minorHAnsi"/>
          <w:lang w:val="fr-FR"/>
        </w:rPr>
        <w:t>4</w:t>
      </w:r>
      <w:r w:rsidR="00D04A58" w:rsidRPr="00C919D2">
        <w:rPr>
          <w:rFonts w:asciiTheme="minorHAnsi" w:hAnsiTheme="minorHAnsi"/>
          <w:lang w:val="fr-FR"/>
        </w:rPr>
        <w:t>).</w:t>
      </w:r>
    </w:p>
    <w:p w14:paraId="44A3583B" w14:textId="77777777" w:rsidR="00D04A58" w:rsidRPr="00C919D2" w:rsidRDefault="00D04A58" w:rsidP="00713169">
      <w:pPr>
        <w:tabs>
          <w:tab w:val="num" w:pos="720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/>
          <w:lang w:val="fr-FR"/>
        </w:rPr>
      </w:pPr>
    </w:p>
    <w:p w14:paraId="6ED3D7BC" w14:textId="77777777" w:rsidR="00B21866" w:rsidRPr="00CA4B51" w:rsidRDefault="00B21866" w:rsidP="00CA4B51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50"/>
        <w:rPr>
          <w:rFonts w:asciiTheme="minorHAnsi" w:hAnsiTheme="minorHAnsi"/>
          <w:u w:val="single"/>
          <w:lang w:val="fr-FR"/>
        </w:rPr>
      </w:pPr>
      <w:r w:rsidRPr="00CA4B51">
        <w:rPr>
          <w:rFonts w:asciiTheme="minorHAnsi" w:hAnsiTheme="minorHAnsi"/>
          <w:u w:val="single"/>
          <w:lang w:val="fr-FR"/>
        </w:rPr>
        <w:t>États qui ne sont pas Parties à la Convention :</w:t>
      </w:r>
    </w:p>
    <w:p w14:paraId="3535CB9E" w14:textId="77777777" w:rsidR="00B21866" w:rsidRDefault="00B21866" w:rsidP="00B21866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31"/>
        <w:rPr>
          <w:rFonts w:asciiTheme="minorHAnsi" w:hAnsiTheme="minorHAnsi"/>
          <w:lang w:val="fr-FR"/>
        </w:rPr>
      </w:pPr>
    </w:p>
    <w:p w14:paraId="64AE9D5F" w14:textId="7E8B1867" w:rsidR="00B21866" w:rsidRPr="00CA4B51" w:rsidRDefault="00B21866" w:rsidP="009F1318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Guyane – Ambassade de Guyane, Bruxelles</w:t>
      </w:r>
    </w:p>
    <w:p w14:paraId="29A70811" w14:textId="77777777" w:rsidR="001618EC" w:rsidRPr="00C919D2" w:rsidRDefault="001618EC" w:rsidP="001618EC">
      <w:pPr>
        <w:pStyle w:val="ListParagraph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/>
          <w:lang w:val="fr-FR"/>
        </w:rPr>
      </w:pPr>
    </w:p>
    <w:p w14:paraId="1D0444AC" w14:textId="106A60F5" w:rsidR="000A273E" w:rsidRPr="00C919D2" w:rsidRDefault="00AE4DEE" w:rsidP="00713169">
      <w:pPr>
        <w:tabs>
          <w:tab w:val="num" w:pos="720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lang w:val="fr-FR"/>
        </w:rPr>
      </w:pPr>
      <w:r w:rsidRPr="00C919D2">
        <w:rPr>
          <w:rFonts w:asciiTheme="minorHAnsi" w:hAnsiTheme="minorHAnsi"/>
          <w:b/>
          <w:bCs/>
          <w:lang w:val="fr-FR"/>
        </w:rPr>
        <w:t>A</w:t>
      </w:r>
      <w:r w:rsidR="00971AC5" w:rsidRPr="00C919D2">
        <w:rPr>
          <w:rFonts w:asciiTheme="minorHAnsi" w:hAnsiTheme="minorHAnsi"/>
          <w:b/>
          <w:bCs/>
          <w:lang w:val="fr-FR"/>
        </w:rPr>
        <w:t xml:space="preserve">utres organes </w:t>
      </w:r>
      <w:r w:rsidR="001F5554" w:rsidRPr="00C919D2">
        <w:rPr>
          <w:rFonts w:asciiTheme="minorHAnsi" w:hAnsiTheme="minorHAnsi"/>
          <w:b/>
          <w:bCs/>
          <w:lang w:val="fr-FR"/>
        </w:rPr>
        <w:t>et</w:t>
      </w:r>
      <w:r w:rsidR="00971AC5" w:rsidRPr="00C919D2">
        <w:rPr>
          <w:rFonts w:asciiTheme="minorHAnsi" w:hAnsiTheme="minorHAnsi"/>
          <w:b/>
          <w:bCs/>
          <w:lang w:val="fr-FR"/>
        </w:rPr>
        <w:t xml:space="preserve"> agences qualifiés en matière de conservation et d</w:t>
      </w:r>
      <w:r w:rsidR="007B0AE2" w:rsidRPr="00C919D2">
        <w:rPr>
          <w:rFonts w:asciiTheme="minorHAnsi" w:hAnsiTheme="minorHAnsi"/>
          <w:b/>
          <w:bCs/>
          <w:lang w:val="fr-FR"/>
        </w:rPr>
        <w:t>’</w:t>
      </w:r>
      <w:r w:rsidR="00971AC5" w:rsidRPr="00C919D2">
        <w:rPr>
          <w:rFonts w:asciiTheme="minorHAnsi" w:hAnsiTheme="minorHAnsi"/>
          <w:b/>
          <w:bCs/>
          <w:lang w:val="fr-FR"/>
        </w:rPr>
        <w:t xml:space="preserve">utilisation </w:t>
      </w:r>
      <w:r w:rsidR="00271D0E" w:rsidRPr="00C919D2">
        <w:rPr>
          <w:rFonts w:asciiTheme="minorHAnsi" w:hAnsiTheme="minorHAnsi"/>
          <w:b/>
          <w:bCs/>
          <w:lang w:val="fr-FR"/>
        </w:rPr>
        <w:t>durable</w:t>
      </w:r>
      <w:r w:rsidR="00971AC5" w:rsidRPr="00C919D2">
        <w:rPr>
          <w:rFonts w:asciiTheme="minorHAnsi" w:hAnsiTheme="minorHAnsi"/>
          <w:b/>
          <w:bCs/>
          <w:lang w:val="fr-FR"/>
        </w:rPr>
        <w:t xml:space="preserve"> des</w:t>
      </w:r>
      <w:r w:rsidR="007A0FE7" w:rsidRPr="00C919D2">
        <w:rPr>
          <w:rFonts w:asciiTheme="minorHAnsi" w:hAnsiTheme="minorHAnsi"/>
          <w:b/>
          <w:bCs/>
          <w:lang w:val="fr-FR"/>
        </w:rPr>
        <w:t xml:space="preserve"> </w:t>
      </w:r>
      <w:r w:rsidR="00971AC5" w:rsidRPr="00C919D2">
        <w:rPr>
          <w:rFonts w:asciiTheme="minorHAnsi" w:hAnsiTheme="minorHAnsi"/>
          <w:b/>
          <w:bCs/>
          <w:lang w:val="fr-FR"/>
        </w:rPr>
        <w:t xml:space="preserve">zones humides </w:t>
      </w:r>
    </w:p>
    <w:p w14:paraId="485E7CFD" w14:textId="77777777" w:rsidR="00617C4D" w:rsidRPr="00C919D2" w:rsidRDefault="00617C4D" w:rsidP="00713169">
      <w:pPr>
        <w:tabs>
          <w:tab w:val="num" w:pos="720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lang w:val="fr-FR"/>
        </w:rPr>
      </w:pPr>
    </w:p>
    <w:p w14:paraId="0B3A4A3C" w14:textId="70284250" w:rsidR="009F56D8" w:rsidRPr="00C919D2" w:rsidRDefault="00811DAC" w:rsidP="00713169">
      <w:pPr>
        <w:tabs>
          <w:tab w:val="num" w:pos="720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lang w:val="fr-FR"/>
        </w:rPr>
      </w:pPr>
      <w:r w:rsidRPr="00C919D2">
        <w:rPr>
          <w:lang w:val="fr-FR"/>
        </w:rPr>
        <w:t xml:space="preserve">4. </w:t>
      </w:r>
      <w:r w:rsidRPr="00C919D2">
        <w:rPr>
          <w:lang w:val="fr-FR"/>
        </w:rPr>
        <w:tab/>
      </w:r>
      <w:r w:rsidR="002C513A" w:rsidRPr="00C919D2">
        <w:rPr>
          <w:lang w:val="fr-FR"/>
        </w:rPr>
        <w:t xml:space="preserve">Les articles </w:t>
      </w:r>
      <w:r w:rsidR="00C95279" w:rsidRPr="00C919D2">
        <w:rPr>
          <w:lang w:val="fr-FR"/>
        </w:rPr>
        <w:t>7.1</w:t>
      </w:r>
      <w:r w:rsidR="00DA1A85" w:rsidRPr="00C919D2">
        <w:rPr>
          <w:lang w:val="fr-FR"/>
        </w:rPr>
        <w:t xml:space="preserve"> </w:t>
      </w:r>
      <w:r w:rsidR="002C513A" w:rsidRPr="00C919D2">
        <w:rPr>
          <w:lang w:val="fr-FR"/>
        </w:rPr>
        <w:t>et</w:t>
      </w:r>
      <w:r w:rsidR="00DA1A85" w:rsidRPr="00C919D2">
        <w:rPr>
          <w:lang w:val="fr-FR"/>
        </w:rPr>
        <w:t xml:space="preserve"> 7.2</w:t>
      </w:r>
      <w:r w:rsidR="00C95279" w:rsidRPr="00C919D2">
        <w:rPr>
          <w:rFonts w:asciiTheme="minorHAnsi" w:hAnsiTheme="minorHAnsi"/>
          <w:lang w:val="fr-FR"/>
        </w:rPr>
        <w:t xml:space="preserve"> </w:t>
      </w:r>
      <w:r w:rsidR="002C513A" w:rsidRPr="00C919D2">
        <w:rPr>
          <w:rFonts w:asciiTheme="minorHAnsi" w:hAnsiTheme="minorHAnsi"/>
          <w:lang w:val="fr-FR"/>
        </w:rPr>
        <w:t>portent sur la « </w:t>
      </w:r>
      <w:r w:rsidR="00C95279" w:rsidRPr="00C919D2">
        <w:rPr>
          <w:lang w:val="fr-FR"/>
        </w:rPr>
        <w:t xml:space="preserve">Participation </w:t>
      </w:r>
      <w:r w:rsidR="002C513A" w:rsidRPr="00C919D2">
        <w:rPr>
          <w:lang w:val="fr-FR"/>
        </w:rPr>
        <w:t>d</w:t>
      </w:r>
      <w:r w:rsidR="007B0AE2" w:rsidRPr="00C919D2">
        <w:rPr>
          <w:lang w:val="fr-FR"/>
        </w:rPr>
        <w:t>’</w:t>
      </w:r>
      <w:r w:rsidR="002C513A" w:rsidRPr="00C919D2">
        <w:rPr>
          <w:lang w:val="fr-FR"/>
        </w:rPr>
        <w:t>autres organes ou agences » comme suit :</w:t>
      </w:r>
      <w:r w:rsidR="00C95279" w:rsidRPr="00C919D2">
        <w:rPr>
          <w:lang w:val="fr-FR"/>
        </w:rPr>
        <w:t xml:space="preserve"> </w:t>
      </w:r>
    </w:p>
    <w:p w14:paraId="563E9D9D" w14:textId="77777777" w:rsidR="00DA1A85" w:rsidRPr="00C919D2" w:rsidRDefault="00DA1A85" w:rsidP="00713169">
      <w:pPr>
        <w:pStyle w:val="ListParagraph"/>
        <w:tabs>
          <w:tab w:val="num" w:pos="720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780"/>
        <w:rPr>
          <w:lang w:val="fr-FR"/>
        </w:rPr>
      </w:pPr>
    </w:p>
    <w:p w14:paraId="3B316441" w14:textId="45263AC1" w:rsidR="00DA1A85" w:rsidRPr="00C919D2" w:rsidRDefault="00AC1DD6" w:rsidP="00713169">
      <w:pPr>
        <w:overflowPunct w:val="0"/>
        <w:autoSpaceDE w:val="0"/>
        <w:autoSpaceDN w:val="0"/>
        <w:adjustRightInd w:val="0"/>
        <w:spacing w:after="0" w:line="240" w:lineRule="auto"/>
        <w:ind w:left="850" w:hanging="425"/>
        <w:rPr>
          <w:i/>
          <w:lang w:val="fr-FR"/>
        </w:rPr>
      </w:pPr>
      <w:r w:rsidRPr="00C919D2">
        <w:rPr>
          <w:i/>
          <w:lang w:val="fr-FR"/>
        </w:rPr>
        <w:t>7.</w:t>
      </w:r>
      <w:r w:rsidR="00DA1A85" w:rsidRPr="00C919D2">
        <w:rPr>
          <w:i/>
          <w:lang w:val="fr-FR"/>
        </w:rPr>
        <w:t>1.</w:t>
      </w:r>
      <w:r w:rsidR="00DA1A85" w:rsidRPr="00C919D2">
        <w:rPr>
          <w:i/>
          <w:lang w:val="fr-FR"/>
        </w:rPr>
        <w:tab/>
      </w:r>
      <w:r w:rsidR="00983949" w:rsidRPr="00C919D2">
        <w:rPr>
          <w:i/>
          <w:lang w:val="fr-FR"/>
        </w:rPr>
        <w:t>Tout organe ou agence, national ou international, gouvernemental ou non gouvernemental, qualifié en matière de conservation et d</w:t>
      </w:r>
      <w:r w:rsidR="007B0AE2" w:rsidRPr="00C919D2">
        <w:rPr>
          <w:i/>
          <w:lang w:val="fr-FR"/>
        </w:rPr>
        <w:t>’</w:t>
      </w:r>
      <w:r w:rsidR="00983949" w:rsidRPr="00C919D2">
        <w:rPr>
          <w:i/>
          <w:lang w:val="fr-FR"/>
        </w:rPr>
        <w:t>utilisation durable des zones humides, qui a fait part au Secrétariat de son désir d</w:t>
      </w:r>
      <w:r w:rsidR="007B0AE2" w:rsidRPr="00C919D2">
        <w:rPr>
          <w:i/>
          <w:lang w:val="fr-FR"/>
        </w:rPr>
        <w:t>’</w:t>
      </w:r>
      <w:r w:rsidR="00983949" w:rsidRPr="00C919D2">
        <w:rPr>
          <w:i/>
          <w:lang w:val="fr-FR"/>
        </w:rPr>
        <w:t xml:space="preserve">être représenté aux sessions de la </w:t>
      </w:r>
      <w:r w:rsidR="00983949" w:rsidRPr="00C919D2">
        <w:rPr>
          <w:i/>
          <w:lang w:val="fr-FR"/>
        </w:rPr>
        <w:lastRenderedPageBreak/>
        <w:t>Conférence des Parties, peut être représenté à toute session par des observateurs, à moins qu</w:t>
      </w:r>
      <w:r w:rsidR="007B0AE2" w:rsidRPr="00C919D2">
        <w:rPr>
          <w:i/>
          <w:lang w:val="fr-FR"/>
        </w:rPr>
        <w:t>’</w:t>
      </w:r>
      <w:r w:rsidR="00983949" w:rsidRPr="00C919D2">
        <w:rPr>
          <w:i/>
          <w:lang w:val="fr-FR"/>
        </w:rPr>
        <w:t>un tiers au moins des Parties présentes ne s</w:t>
      </w:r>
      <w:r w:rsidR="007B0AE2" w:rsidRPr="00C919D2">
        <w:rPr>
          <w:i/>
          <w:lang w:val="fr-FR"/>
        </w:rPr>
        <w:t>’</w:t>
      </w:r>
      <w:r w:rsidR="00983949" w:rsidRPr="00C919D2">
        <w:rPr>
          <w:i/>
          <w:lang w:val="fr-FR"/>
        </w:rPr>
        <w:t>y oppose.</w:t>
      </w:r>
      <w:r w:rsidR="00DA1A85" w:rsidRPr="00C919D2">
        <w:rPr>
          <w:i/>
          <w:lang w:val="fr-FR"/>
        </w:rPr>
        <w:t xml:space="preserve"> </w:t>
      </w:r>
    </w:p>
    <w:p w14:paraId="70DFF1BE" w14:textId="77777777" w:rsidR="00DA1A85" w:rsidRPr="00C919D2" w:rsidRDefault="00DA1A85" w:rsidP="00713169">
      <w:pPr>
        <w:overflowPunct w:val="0"/>
        <w:autoSpaceDE w:val="0"/>
        <w:autoSpaceDN w:val="0"/>
        <w:adjustRightInd w:val="0"/>
        <w:spacing w:after="0" w:line="240" w:lineRule="auto"/>
        <w:ind w:left="850" w:hanging="425"/>
        <w:rPr>
          <w:i/>
          <w:lang w:val="fr-FR"/>
        </w:rPr>
      </w:pPr>
    </w:p>
    <w:p w14:paraId="5A4A07F3" w14:textId="6790D620" w:rsidR="00DA1A85" w:rsidRPr="00C919D2" w:rsidRDefault="00AC1DD6" w:rsidP="00713169">
      <w:pPr>
        <w:overflowPunct w:val="0"/>
        <w:autoSpaceDE w:val="0"/>
        <w:autoSpaceDN w:val="0"/>
        <w:adjustRightInd w:val="0"/>
        <w:spacing w:after="0" w:line="240" w:lineRule="auto"/>
        <w:ind w:left="850" w:hanging="425"/>
        <w:rPr>
          <w:i/>
          <w:lang w:val="fr-FR"/>
        </w:rPr>
      </w:pPr>
      <w:r w:rsidRPr="00C919D2">
        <w:rPr>
          <w:i/>
          <w:lang w:val="fr-FR"/>
        </w:rPr>
        <w:t>7.2</w:t>
      </w:r>
      <w:r w:rsidRPr="00C919D2">
        <w:rPr>
          <w:i/>
          <w:lang w:val="fr-FR"/>
        </w:rPr>
        <w:tab/>
      </w:r>
      <w:r w:rsidR="00983949" w:rsidRPr="00C919D2">
        <w:rPr>
          <w:i/>
          <w:lang w:val="fr-FR"/>
        </w:rPr>
        <w:t>Les organes ou agences qui désirent obtenir le statut d</w:t>
      </w:r>
      <w:r w:rsidR="007B0AE2" w:rsidRPr="00C919D2">
        <w:rPr>
          <w:i/>
          <w:lang w:val="fr-FR"/>
        </w:rPr>
        <w:t>’</w:t>
      </w:r>
      <w:r w:rsidR="00983949" w:rsidRPr="00C919D2">
        <w:rPr>
          <w:i/>
          <w:lang w:val="fr-FR"/>
        </w:rPr>
        <w:t>observateur aux fins d</w:t>
      </w:r>
      <w:r w:rsidR="007B0AE2" w:rsidRPr="00C919D2">
        <w:rPr>
          <w:i/>
          <w:lang w:val="fr-FR"/>
        </w:rPr>
        <w:t>’</w:t>
      </w:r>
      <w:r w:rsidR="00983949" w:rsidRPr="00C919D2">
        <w:rPr>
          <w:i/>
          <w:lang w:val="fr-FR"/>
        </w:rPr>
        <w:t>assister aux sessions de la Conférence des Parties soumettent la documentation appropriée au Secrétariat pour examen, trois mois avant une session ordinaire et un mois avant une session extraordinaire</w:t>
      </w:r>
      <w:r w:rsidR="00DA1A85" w:rsidRPr="00C919D2">
        <w:rPr>
          <w:i/>
          <w:lang w:val="fr-FR"/>
        </w:rPr>
        <w:t>.</w:t>
      </w:r>
    </w:p>
    <w:p w14:paraId="173DAF0E" w14:textId="6DF93530" w:rsidR="00811DAC" w:rsidRPr="00C919D2" w:rsidRDefault="00811DAC" w:rsidP="00713169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="Garamond"/>
          <w:lang w:val="fr-FR"/>
        </w:rPr>
      </w:pPr>
    </w:p>
    <w:p w14:paraId="3F5A7003" w14:textId="0533A0B3" w:rsidR="005B4CA5" w:rsidRPr="00C919D2" w:rsidRDefault="00061857" w:rsidP="00713169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 w:cs="Garamond"/>
          <w:u w:val="single"/>
          <w:lang w:val="fr-FR"/>
        </w:rPr>
      </w:pPr>
      <w:r w:rsidRPr="00C919D2">
        <w:rPr>
          <w:rFonts w:asciiTheme="minorHAnsi" w:hAnsiTheme="minorHAnsi" w:cs="Garamond"/>
          <w:u w:val="single"/>
          <w:lang w:val="fr-FR"/>
        </w:rPr>
        <w:t>Organes ou agences précédemment approuvés</w:t>
      </w:r>
    </w:p>
    <w:p w14:paraId="65E7E218" w14:textId="77777777" w:rsidR="005B4CA5" w:rsidRPr="00C919D2" w:rsidRDefault="005B4CA5" w:rsidP="00713169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 w:cs="Garamond"/>
          <w:lang w:val="fr-FR"/>
        </w:rPr>
      </w:pPr>
    </w:p>
    <w:p w14:paraId="0BD99E18" w14:textId="2D6A1DDC" w:rsidR="005B4CA5" w:rsidRPr="00C919D2" w:rsidRDefault="00C94030" w:rsidP="00713169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 w:cs="Garamond"/>
          <w:lang w:val="fr-FR"/>
        </w:rPr>
      </w:pPr>
      <w:r w:rsidRPr="00C919D2">
        <w:rPr>
          <w:rFonts w:asciiTheme="minorHAnsi" w:hAnsiTheme="minorHAnsi" w:cs="Garamond"/>
          <w:lang w:val="fr-FR"/>
        </w:rPr>
        <w:t>5</w:t>
      </w:r>
      <w:r w:rsidR="005B4CA5" w:rsidRPr="00C919D2">
        <w:rPr>
          <w:rFonts w:asciiTheme="minorHAnsi" w:hAnsiTheme="minorHAnsi" w:cs="Garamond"/>
          <w:lang w:val="fr-FR"/>
        </w:rPr>
        <w:t>.</w:t>
      </w:r>
      <w:r w:rsidR="005B4CA5" w:rsidRPr="00C919D2">
        <w:rPr>
          <w:rFonts w:asciiTheme="minorHAnsi" w:hAnsiTheme="minorHAnsi" w:cs="Garamond"/>
          <w:lang w:val="fr-FR"/>
        </w:rPr>
        <w:tab/>
      </w:r>
      <w:r w:rsidR="00061857" w:rsidRPr="00C919D2">
        <w:rPr>
          <w:rFonts w:asciiTheme="minorHAnsi" w:hAnsiTheme="minorHAnsi" w:cs="Garamond"/>
          <w:lang w:val="fr-FR"/>
        </w:rPr>
        <w:t xml:space="preserve">Les organes ou agences suivants ayant </w:t>
      </w:r>
      <w:r w:rsidR="001618EC" w:rsidRPr="00C919D2">
        <w:rPr>
          <w:rFonts w:asciiTheme="minorHAnsi" w:hAnsiTheme="minorHAnsi" w:cs="Garamond"/>
          <w:lang w:val="fr-FR"/>
        </w:rPr>
        <w:t xml:space="preserve">déjà </w:t>
      </w:r>
      <w:r w:rsidR="00061857" w:rsidRPr="00C919D2">
        <w:rPr>
          <w:rFonts w:asciiTheme="minorHAnsi" w:hAnsiTheme="minorHAnsi" w:cs="Garamond"/>
          <w:lang w:val="fr-FR"/>
        </w:rPr>
        <w:t>été approuvés pour être représentés par des observateurs à de</w:t>
      </w:r>
      <w:r w:rsidR="00153621" w:rsidRPr="00C919D2">
        <w:rPr>
          <w:rFonts w:asciiTheme="minorHAnsi" w:hAnsiTheme="minorHAnsi" w:cs="Garamond"/>
          <w:lang w:val="fr-FR"/>
        </w:rPr>
        <w:t xml:space="preserve"> précédente</w:t>
      </w:r>
      <w:r w:rsidR="00061857" w:rsidRPr="00C919D2">
        <w:rPr>
          <w:rFonts w:asciiTheme="minorHAnsi" w:hAnsiTheme="minorHAnsi" w:cs="Garamond"/>
          <w:lang w:val="fr-FR"/>
        </w:rPr>
        <w:t xml:space="preserve">s sessions de la Conférence des Parties contractantes se sont inscrits pour participer à </w:t>
      </w:r>
      <w:r w:rsidR="003D4285">
        <w:rPr>
          <w:rFonts w:asciiTheme="minorHAnsi" w:hAnsiTheme="minorHAnsi" w:cs="Garamond"/>
          <w:lang w:val="fr-FR"/>
        </w:rPr>
        <w:t>la SC64</w:t>
      </w:r>
      <w:r w:rsidR="00E32E56" w:rsidRPr="00C919D2">
        <w:rPr>
          <w:rFonts w:asciiTheme="minorHAnsi" w:hAnsiTheme="minorHAnsi" w:cs="Garamond"/>
          <w:lang w:val="fr-FR"/>
        </w:rPr>
        <w:t xml:space="preserve"> </w:t>
      </w:r>
      <w:r w:rsidR="005B4CA5" w:rsidRPr="00C919D2">
        <w:rPr>
          <w:rFonts w:asciiTheme="minorHAnsi" w:hAnsiTheme="minorHAnsi" w:cs="Garamond"/>
          <w:lang w:val="fr-FR"/>
        </w:rPr>
        <w:t>:</w:t>
      </w:r>
    </w:p>
    <w:p w14:paraId="58728E53" w14:textId="77777777" w:rsidR="00B15B43" w:rsidRPr="00C919D2" w:rsidRDefault="00B15B43" w:rsidP="00713169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 w:cs="Garamond"/>
          <w:lang w:val="fr-FR"/>
        </w:rPr>
      </w:pPr>
    </w:p>
    <w:p w14:paraId="3DCAF772" w14:textId="5B084734" w:rsidR="00B15B43" w:rsidRPr="00C919D2" w:rsidRDefault="00C94030" w:rsidP="009F1318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6" w:firstLine="24"/>
        <w:rPr>
          <w:rFonts w:asciiTheme="minorHAnsi" w:hAnsiTheme="minorHAnsi" w:cs="Garamond"/>
          <w:u w:val="single"/>
          <w:lang w:val="fr-FR"/>
        </w:rPr>
      </w:pPr>
      <w:r w:rsidRPr="00C919D2">
        <w:rPr>
          <w:rFonts w:asciiTheme="minorHAnsi" w:hAnsiTheme="minorHAnsi" w:cs="Garamond"/>
          <w:u w:val="single"/>
          <w:lang w:val="fr-FR"/>
        </w:rPr>
        <w:t>Au niveau i</w:t>
      </w:r>
      <w:r w:rsidR="00061857" w:rsidRPr="00C919D2">
        <w:rPr>
          <w:rFonts w:asciiTheme="minorHAnsi" w:hAnsiTheme="minorHAnsi" w:cs="Garamond"/>
          <w:u w:val="single"/>
          <w:lang w:val="fr-FR"/>
        </w:rPr>
        <w:t>ntergouvernementa</w:t>
      </w:r>
      <w:r w:rsidRPr="00C919D2">
        <w:rPr>
          <w:rFonts w:asciiTheme="minorHAnsi" w:hAnsiTheme="minorHAnsi" w:cs="Garamond"/>
          <w:u w:val="single"/>
          <w:lang w:val="fr-FR"/>
        </w:rPr>
        <w:t>l</w:t>
      </w:r>
    </w:p>
    <w:p w14:paraId="22D2A4DA" w14:textId="77777777" w:rsidR="00B15B43" w:rsidRPr="00C919D2" w:rsidRDefault="00B15B43" w:rsidP="00713169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851" w:hanging="851"/>
        <w:rPr>
          <w:rFonts w:asciiTheme="minorHAnsi" w:hAnsiTheme="minorHAnsi" w:cs="Garamond"/>
          <w:u w:val="single"/>
          <w:lang w:val="fr-FR"/>
        </w:rPr>
      </w:pPr>
    </w:p>
    <w:p w14:paraId="19980F0C" w14:textId="4CCA5A22" w:rsidR="00B15B43" w:rsidRPr="00C919D2" w:rsidRDefault="00482AB8" w:rsidP="00713169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fr-FR" w:eastAsia="en-GB"/>
        </w:rPr>
      </w:pPr>
      <w:r w:rsidRPr="009F1318">
        <w:rPr>
          <w:rFonts w:asciiTheme="minorHAnsi" w:hAnsiTheme="minorHAnsi"/>
          <w:lang w:val="fr-FR"/>
        </w:rPr>
        <w:t>Union internationale pour la conservation de la nature</w:t>
      </w:r>
      <w:r w:rsidR="00B15B43" w:rsidRPr="009F1318">
        <w:rPr>
          <w:rFonts w:asciiTheme="minorHAnsi" w:hAnsiTheme="minorHAnsi"/>
          <w:lang w:val="fr-FR"/>
        </w:rPr>
        <w:t xml:space="preserve"> </w:t>
      </w:r>
      <w:r w:rsidR="00C15FD2" w:rsidRPr="009F1318">
        <w:rPr>
          <w:rFonts w:asciiTheme="minorHAnsi" w:hAnsiTheme="minorHAnsi"/>
          <w:lang w:val="fr-FR"/>
        </w:rPr>
        <w:t>(</w:t>
      </w:r>
      <w:r w:rsidRPr="009F1318">
        <w:rPr>
          <w:rFonts w:asciiTheme="minorHAnsi" w:hAnsiTheme="minorHAnsi"/>
          <w:lang w:val="fr-FR"/>
        </w:rPr>
        <w:t>UICN</w:t>
      </w:r>
      <w:r w:rsidR="00C15FD2" w:rsidRPr="009F1318">
        <w:rPr>
          <w:rFonts w:asciiTheme="minorHAnsi" w:hAnsiTheme="minorHAnsi"/>
          <w:lang w:val="fr-FR"/>
        </w:rPr>
        <w:t>)</w:t>
      </w:r>
    </w:p>
    <w:p w14:paraId="4B49D393" w14:textId="77777777" w:rsidR="00B15B43" w:rsidRPr="00C919D2" w:rsidRDefault="00B15B43" w:rsidP="00713169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851" w:hanging="851"/>
        <w:rPr>
          <w:rFonts w:asciiTheme="minorHAnsi" w:hAnsiTheme="minorHAnsi" w:cs="Garamond"/>
          <w:lang w:val="fr-FR"/>
        </w:rPr>
      </w:pPr>
    </w:p>
    <w:p w14:paraId="6A46853E" w14:textId="58BC9F25" w:rsidR="00B15B43" w:rsidRPr="00C919D2" w:rsidRDefault="00C94030" w:rsidP="00713169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firstLine="426"/>
        <w:rPr>
          <w:rFonts w:asciiTheme="minorHAnsi" w:hAnsiTheme="minorHAnsi" w:cs="Garamond"/>
          <w:u w:val="single"/>
          <w:lang w:val="fr-FR"/>
        </w:rPr>
      </w:pPr>
      <w:r w:rsidRPr="00C919D2">
        <w:rPr>
          <w:rFonts w:asciiTheme="minorHAnsi" w:hAnsiTheme="minorHAnsi" w:cs="Garamond"/>
          <w:u w:val="single"/>
          <w:lang w:val="fr-FR"/>
        </w:rPr>
        <w:t xml:space="preserve">Au niveau </w:t>
      </w:r>
      <w:r w:rsidR="00482AB8" w:rsidRPr="00C919D2">
        <w:rPr>
          <w:rFonts w:asciiTheme="minorHAnsi" w:hAnsiTheme="minorHAnsi" w:cs="Garamond"/>
          <w:u w:val="single"/>
          <w:lang w:val="fr-FR"/>
        </w:rPr>
        <w:t>non gouvernementa</w:t>
      </w:r>
      <w:r w:rsidRPr="00C919D2">
        <w:rPr>
          <w:rFonts w:asciiTheme="minorHAnsi" w:hAnsiTheme="minorHAnsi" w:cs="Garamond"/>
          <w:u w:val="single"/>
          <w:lang w:val="fr-FR"/>
        </w:rPr>
        <w:t>l</w:t>
      </w:r>
    </w:p>
    <w:p w14:paraId="68C236CF" w14:textId="77777777" w:rsidR="00153621" w:rsidRPr="00C919D2" w:rsidRDefault="00153621" w:rsidP="00713169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="Garamond"/>
          <w:u w:val="single"/>
          <w:lang w:val="fr-FR"/>
        </w:rPr>
      </w:pPr>
    </w:p>
    <w:p w14:paraId="050B2F3B" w14:textId="77777777" w:rsidR="00A21F33" w:rsidRPr="00CB7C64" w:rsidRDefault="00A21F33" w:rsidP="009F1318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/>
          <w:lang w:val="fr-FR"/>
        </w:rPr>
      </w:pPr>
      <w:r w:rsidRPr="00CB7C64">
        <w:rPr>
          <w:rFonts w:asciiTheme="minorHAnsi" w:hAnsiTheme="minorHAnsi"/>
          <w:lang w:val="fr-FR"/>
        </w:rPr>
        <w:t>BirdLife International</w:t>
      </w:r>
    </w:p>
    <w:p w14:paraId="191F8E2D" w14:textId="77777777" w:rsidR="00A21F33" w:rsidRPr="00CB7C64" w:rsidRDefault="00A21F33" w:rsidP="009F1318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/>
          <w:lang w:val="fr-FR"/>
        </w:rPr>
      </w:pPr>
      <w:r w:rsidRPr="00CB7C64">
        <w:rPr>
          <w:rFonts w:asciiTheme="minorHAnsi" w:hAnsiTheme="minorHAnsi"/>
          <w:lang w:val="fr-FR"/>
        </w:rPr>
        <w:t>ONG APES</w:t>
      </w:r>
    </w:p>
    <w:p w14:paraId="6A9E2079" w14:textId="77777777" w:rsidR="00A21F33" w:rsidRPr="00CB7C64" w:rsidRDefault="00A21F33" w:rsidP="009F1318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/>
          <w:lang w:val="fr-FR"/>
        </w:rPr>
      </w:pPr>
      <w:r w:rsidRPr="00CB7C64">
        <w:rPr>
          <w:rFonts w:asciiTheme="minorHAnsi" w:hAnsiTheme="minorHAnsi"/>
          <w:lang w:val="fr-FR"/>
        </w:rPr>
        <w:t>Ramsar Regional Center - East Asia</w:t>
      </w:r>
    </w:p>
    <w:p w14:paraId="4F50B0C6" w14:textId="77777777" w:rsidR="00A21F33" w:rsidRPr="00CB7C64" w:rsidRDefault="00A21F33" w:rsidP="009F1318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/>
          <w:lang w:val="fr-FR"/>
        </w:rPr>
      </w:pPr>
      <w:r w:rsidRPr="00CB7C64">
        <w:rPr>
          <w:rFonts w:asciiTheme="minorHAnsi" w:hAnsiTheme="minorHAnsi"/>
          <w:lang w:val="fr-FR"/>
        </w:rPr>
        <w:t>Wetlands International</w:t>
      </w:r>
    </w:p>
    <w:p w14:paraId="659A8E91" w14:textId="77777777" w:rsidR="00A21F33" w:rsidRPr="009F1318" w:rsidRDefault="00A21F33" w:rsidP="00A21F33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/>
          <w:lang w:val="fr-FR"/>
        </w:rPr>
      </w:pPr>
      <w:r w:rsidRPr="009F1318">
        <w:rPr>
          <w:rFonts w:asciiTheme="minorHAnsi" w:hAnsiTheme="minorHAnsi"/>
          <w:lang w:val="fr-FR"/>
        </w:rPr>
        <w:t>Wetlands International Japan</w:t>
      </w:r>
    </w:p>
    <w:p w14:paraId="755C4D6E" w14:textId="77777777" w:rsidR="00A21F33" w:rsidRPr="009F1318" w:rsidRDefault="00A21F33" w:rsidP="00A21F33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/>
          <w:lang w:val="fr-FR"/>
        </w:rPr>
      </w:pPr>
      <w:r w:rsidRPr="009F1318">
        <w:rPr>
          <w:rFonts w:asciiTheme="minorHAnsi" w:hAnsiTheme="minorHAnsi"/>
          <w:lang w:val="fr-FR"/>
        </w:rPr>
        <w:t>Wildfowl &amp; Wetlands Trust (WWT)</w:t>
      </w:r>
    </w:p>
    <w:p w14:paraId="1C17144E" w14:textId="77777777" w:rsidR="00850D50" w:rsidRPr="00C919D2" w:rsidRDefault="00850D50" w:rsidP="00713169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 w:cs="Garamond"/>
          <w:lang w:val="en-GB"/>
        </w:rPr>
      </w:pPr>
    </w:p>
    <w:p w14:paraId="135DA98A" w14:textId="603F2EA5" w:rsidR="000F6A4A" w:rsidRPr="00C919D2" w:rsidRDefault="000F6A4A" w:rsidP="00713169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 w:cs="Garamond"/>
          <w:u w:val="single"/>
          <w:lang w:val="fr-FR"/>
        </w:rPr>
      </w:pPr>
      <w:r w:rsidRPr="00C919D2">
        <w:rPr>
          <w:rFonts w:asciiTheme="minorHAnsi" w:hAnsiTheme="minorHAnsi" w:cs="Garamond"/>
          <w:u w:val="single"/>
          <w:lang w:val="fr-FR"/>
        </w:rPr>
        <w:t>Organes ou agences aspirant à devenir observateurs et ayant rempli les critères</w:t>
      </w:r>
    </w:p>
    <w:p w14:paraId="4E8ECE25" w14:textId="77777777" w:rsidR="000F6A4A" w:rsidRPr="00C919D2" w:rsidRDefault="000F6A4A" w:rsidP="00713169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 w:cs="Garamond"/>
          <w:lang w:val="fr-FR"/>
        </w:rPr>
      </w:pPr>
    </w:p>
    <w:p w14:paraId="013F7BFB" w14:textId="701F3EC9" w:rsidR="000F6A4A" w:rsidRPr="00C919D2" w:rsidRDefault="000F6A4A" w:rsidP="00DA2D7F">
      <w:pPr>
        <w:overflowPunct w:val="0"/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hAnsiTheme="minorHAnsi"/>
          <w:lang w:val="fr-FR"/>
        </w:rPr>
      </w:pPr>
      <w:r w:rsidRPr="00C919D2">
        <w:rPr>
          <w:rFonts w:asciiTheme="minorHAnsi" w:hAnsiTheme="minorHAnsi"/>
          <w:lang w:val="fr-FR"/>
        </w:rPr>
        <w:t>6.</w:t>
      </w:r>
      <w:r w:rsidRPr="00C919D2">
        <w:rPr>
          <w:rFonts w:asciiTheme="minorHAnsi" w:hAnsiTheme="minorHAnsi"/>
          <w:lang w:val="fr-FR"/>
        </w:rPr>
        <w:tab/>
        <w:t>Les organes ou agences suivants ont informé le Secrétariat de leur souhait d</w:t>
      </w:r>
      <w:r w:rsidR="007B0AE2" w:rsidRPr="00C919D2">
        <w:rPr>
          <w:rFonts w:asciiTheme="minorHAnsi" w:hAnsiTheme="minorHAnsi"/>
          <w:lang w:val="fr-FR"/>
        </w:rPr>
        <w:t>’</w:t>
      </w:r>
      <w:r w:rsidRPr="00C919D2">
        <w:rPr>
          <w:rFonts w:asciiTheme="minorHAnsi" w:hAnsiTheme="minorHAnsi"/>
          <w:lang w:val="fr-FR"/>
        </w:rPr>
        <w:t>être admis comme observateurs conformément à l</w:t>
      </w:r>
      <w:r w:rsidR="007B0AE2" w:rsidRPr="00C919D2">
        <w:rPr>
          <w:rFonts w:asciiTheme="minorHAnsi" w:hAnsiTheme="minorHAnsi"/>
          <w:lang w:val="fr-FR"/>
        </w:rPr>
        <w:t>’</w:t>
      </w:r>
      <w:r w:rsidRPr="00C919D2">
        <w:rPr>
          <w:rFonts w:asciiTheme="minorHAnsi" w:hAnsiTheme="minorHAnsi"/>
          <w:lang w:val="fr-FR"/>
        </w:rPr>
        <w:t>article 7.</w:t>
      </w:r>
      <w:r w:rsidR="003D4285">
        <w:rPr>
          <w:rFonts w:asciiTheme="minorHAnsi" w:hAnsiTheme="minorHAnsi"/>
          <w:lang w:val="fr-FR"/>
        </w:rPr>
        <w:t>1</w:t>
      </w:r>
      <w:r w:rsidRPr="00C919D2">
        <w:rPr>
          <w:rFonts w:asciiTheme="minorHAnsi" w:hAnsiTheme="minorHAnsi"/>
          <w:lang w:val="fr-FR"/>
        </w:rPr>
        <w:t> :</w:t>
      </w:r>
    </w:p>
    <w:p w14:paraId="1937D4A4" w14:textId="77777777" w:rsidR="00C15FD2" w:rsidRPr="00C919D2" w:rsidRDefault="00C15FD2" w:rsidP="00713169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fr-FR"/>
        </w:rPr>
      </w:pPr>
    </w:p>
    <w:p w14:paraId="0BE38E39" w14:textId="77777777" w:rsidR="008243DA" w:rsidRPr="009F1318" w:rsidRDefault="008243DA" w:rsidP="009F1318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/>
          <w:lang w:val="fr-FR"/>
        </w:rPr>
      </w:pPr>
      <w:r w:rsidRPr="00CB7C64">
        <w:rPr>
          <w:rFonts w:asciiTheme="minorHAnsi" w:hAnsiTheme="minorHAnsi"/>
          <w:lang w:val="fr-FR"/>
        </w:rPr>
        <w:t>Arcus reflexus</w:t>
      </w:r>
    </w:p>
    <w:p w14:paraId="33D3C5B9" w14:textId="77777777" w:rsidR="008243DA" w:rsidRPr="009F1318" w:rsidRDefault="008243DA" w:rsidP="009F1318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/>
          <w:lang w:val="en-GB"/>
        </w:rPr>
      </w:pPr>
      <w:r w:rsidRPr="009F1318">
        <w:rPr>
          <w:rFonts w:asciiTheme="minorHAnsi" w:hAnsiTheme="minorHAnsi"/>
          <w:lang w:val="en-GB"/>
        </w:rPr>
        <w:t>Environment and Food Foundation (E2F)</w:t>
      </w:r>
    </w:p>
    <w:p w14:paraId="5CBBA353" w14:textId="77777777" w:rsidR="000F6A4A" w:rsidRPr="00CA4B51" w:rsidRDefault="000F6A4A" w:rsidP="00713169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 w:cs="Garamond"/>
          <w:lang w:val="en-GB"/>
        </w:rPr>
      </w:pPr>
    </w:p>
    <w:p w14:paraId="5E209E69" w14:textId="089D2F78" w:rsidR="005B4CA5" w:rsidRPr="00C919D2" w:rsidRDefault="00A300B9" w:rsidP="00713169">
      <w:pPr>
        <w:keepNext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 w:cs="Garamond"/>
          <w:b/>
          <w:lang w:val="fr-FR"/>
        </w:rPr>
      </w:pPr>
      <w:r w:rsidRPr="00C919D2">
        <w:rPr>
          <w:rFonts w:asciiTheme="minorHAnsi" w:hAnsiTheme="minorHAnsi" w:cs="Garamond"/>
          <w:b/>
          <w:lang w:val="fr-FR"/>
        </w:rPr>
        <w:t>Recommandation</w:t>
      </w:r>
    </w:p>
    <w:p w14:paraId="254FB9A5" w14:textId="77777777" w:rsidR="00F27AA0" w:rsidRPr="00C919D2" w:rsidRDefault="00F27AA0" w:rsidP="00713169">
      <w:pPr>
        <w:keepNext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 w:cs="Garamond"/>
          <w:lang w:val="fr-FR"/>
        </w:rPr>
      </w:pPr>
    </w:p>
    <w:p w14:paraId="15AAEBC7" w14:textId="478EACA8" w:rsidR="00EB6303" w:rsidRPr="00153621" w:rsidRDefault="00A21F33" w:rsidP="00713169">
      <w:pPr>
        <w:keepNext/>
        <w:tabs>
          <w:tab w:val="left" w:pos="425"/>
          <w:tab w:val="left" w:pos="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 w:cs="Garamond"/>
          <w:lang w:val="fr-FR"/>
        </w:rPr>
      </w:pPr>
      <w:r>
        <w:rPr>
          <w:rFonts w:asciiTheme="minorHAnsi" w:hAnsiTheme="minorHAnsi" w:cs="Garamond"/>
          <w:lang w:val="fr-FR"/>
        </w:rPr>
        <w:t>7</w:t>
      </w:r>
      <w:r w:rsidR="00636699" w:rsidRPr="00C919D2">
        <w:rPr>
          <w:rFonts w:asciiTheme="minorHAnsi" w:hAnsiTheme="minorHAnsi" w:cs="Garamond"/>
          <w:lang w:val="fr-FR"/>
        </w:rPr>
        <w:t>.</w:t>
      </w:r>
      <w:r w:rsidR="00A300B9" w:rsidRPr="00C919D2">
        <w:rPr>
          <w:rFonts w:asciiTheme="minorHAnsi" w:hAnsiTheme="minorHAnsi" w:cs="Garamond"/>
          <w:lang w:val="fr-FR"/>
        </w:rPr>
        <w:t xml:space="preserve"> </w:t>
      </w:r>
      <w:r w:rsidR="00866C97" w:rsidRPr="00C919D2">
        <w:rPr>
          <w:rFonts w:asciiTheme="minorHAnsi" w:hAnsiTheme="minorHAnsi" w:cs="Garamond"/>
          <w:lang w:val="fr-FR"/>
        </w:rPr>
        <w:tab/>
      </w:r>
      <w:r w:rsidR="00121336" w:rsidRPr="00C919D2">
        <w:rPr>
          <w:rFonts w:asciiTheme="minorHAnsi" w:hAnsiTheme="minorHAnsi" w:cs="Garamond"/>
          <w:lang w:val="fr-FR"/>
        </w:rPr>
        <w:t>L</w:t>
      </w:r>
      <w:r w:rsidR="007B0AE2" w:rsidRPr="00C919D2">
        <w:rPr>
          <w:rFonts w:asciiTheme="minorHAnsi" w:hAnsiTheme="minorHAnsi" w:cs="Garamond"/>
          <w:lang w:val="fr-FR"/>
        </w:rPr>
        <w:t>a Présidenc</w:t>
      </w:r>
      <w:r w:rsidR="00121336" w:rsidRPr="00C919D2">
        <w:rPr>
          <w:rFonts w:asciiTheme="minorHAnsi" w:hAnsiTheme="minorHAnsi" w:cs="Garamond"/>
          <w:lang w:val="fr-FR"/>
        </w:rPr>
        <w:t>e</w:t>
      </w:r>
      <w:r w:rsidR="007B0AE2" w:rsidRPr="00C919D2">
        <w:rPr>
          <w:rFonts w:asciiTheme="minorHAnsi" w:hAnsiTheme="minorHAnsi" w:cs="Garamond"/>
          <w:lang w:val="fr-FR"/>
        </w:rPr>
        <w:t xml:space="preserve"> du</w:t>
      </w:r>
      <w:r w:rsidR="00121336" w:rsidRPr="00C919D2">
        <w:rPr>
          <w:rFonts w:asciiTheme="minorHAnsi" w:hAnsiTheme="minorHAnsi" w:cs="Garamond"/>
          <w:lang w:val="fr-FR"/>
        </w:rPr>
        <w:t xml:space="preserve"> Comité permanent </w:t>
      </w:r>
      <w:r w:rsidR="007B0AE2" w:rsidRPr="00C919D2">
        <w:rPr>
          <w:rFonts w:asciiTheme="minorHAnsi" w:hAnsiTheme="minorHAnsi" w:cs="Garamond"/>
          <w:lang w:val="fr-FR"/>
        </w:rPr>
        <w:t xml:space="preserve">peut inviter </w:t>
      </w:r>
      <w:r w:rsidR="00FC4208" w:rsidRPr="00C919D2">
        <w:rPr>
          <w:rFonts w:asciiTheme="minorHAnsi" w:hAnsiTheme="minorHAnsi" w:cs="Garamond"/>
          <w:lang w:val="fr-FR"/>
        </w:rPr>
        <w:t>les organisations énumérées</w:t>
      </w:r>
      <w:r w:rsidR="007B0AE2" w:rsidRPr="00C919D2">
        <w:rPr>
          <w:rFonts w:asciiTheme="minorHAnsi" w:hAnsiTheme="minorHAnsi" w:cs="Garamond"/>
          <w:lang w:val="fr-FR"/>
        </w:rPr>
        <w:t xml:space="preserve"> au paragraphe 6 à se faire représenter par des observateurs à la réunion, à moins qu’un tiers des Parties présentes ne s’y oppose.</w:t>
      </w:r>
    </w:p>
    <w:sectPr w:rsidR="00EB6303" w:rsidRPr="00153621" w:rsidSect="00C5173B">
      <w:footerReference w:type="defaul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64664" w14:textId="77777777" w:rsidR="00041721" w:rsidRDefault="00041721" w:rsidP="00C5173B">
      <w:pPr>
        <w:spacing w:after="0" w:line="240" w:lineRule="auto"/>
      </w:pPr>
      <w:r>
        <w:separator/>
      </w:r>
    </w:p>
  </w:endnote>
  <w:endnote w:type="continuationSeparator" w:id="0">
    <w:p w14:paraId="49445BC3" w14:textId="77777777" w:rsidR="00041721" w:rsidRDefault="00041721" w:rsidP="00C5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0ED92" w14:textId="478290F5" w:rsidR="00F31ECF" w:rsidRPr="00C5173B" w:rsidRDefault="007B0AE2" w:rsidP="00C5173B">
    <w:pPr>
      <w:pStyle w:val="Footer"/>
    </w:pPr>
    <w:r w:rsidRPr="00C919D2">
      <w:rPr>
        <w:rFonts w:asciiTheme="minorHAnsi" w:hAnsiTheme="minorHAnsi"/>
        <w:sz w:val="20"/>
        <w:szCs w:val="20"/>
      </w:rPr>
      <w:t>SC6</w:t>
    </w:r>
    <w:r w:rsidR="00CA4B51">
      <w:rPr>
        <w:rFonts w:asciiTheme="minorHAnsi" w:hAnsiTheme="minorHAnsi"/>
        <w:sz w:val="20"/>
        <w:szCs w:val="20"/>
      </w:rPr>
      <w:t>4</w:t>
    </w:r>
    <w:r w:rsidR="00F31ECF" w:rsidRPr="00C919D2">
      <w:rPr>
        <w:rFonts w:asciiTheme="minorHAnsi" w:hAnsiTheme="minorHAnsi"/>
        <w:sz w:val="20"/>
        <w:szCs w:val="20"/>
      </w:rPr>
      <w:t xml:space="preserve"> Doc.</w:t>
    </w:r>
    <w:r w:rsidR="0095058D" w:rsidRPr="00C919D2">
      <w:rPr>
        <w:rFonts w:asciiTheme="minorHAnsi" w:hAnsiTheme="minorHAnsi"/>
        <w:sz w:val="20"/>
        <w:szCs w:val="20"/>
      </w:rPr>
      <w:t>4</w:t>
    </w:r>
    <w:r w:rsidR="00F31ECF" w:rsidRPr="00C919D2">
      <w:rPr>
        <w:rFonts w:asciiTheme="minorHAnsi" w:hAnsiTheme="minorHAnsi"/>
        <w:sz w:val="20"/>
        <w:szCs w:val="20"/>
      </w:rPr>
      <w:tab/>
    </w:r>
    <w:r w:rsidR="00F31ECF" w:rsidRPr="00C919D2">
      <w:rPr>
        <w:rFonts w:asciiTheme="minorHAnsi" w:hAnsiTheme="minorHAnsi"/>
        <w:sz w:val="20"/>
        <w:szCs w:val="20"/>
      </w:rPr>
      <w:tab/>
    </w:r>
    <w:r w:rsidR="00F31ECF" w:rsidRPr="00C919D2">
      <w:rPr>
        <w:rFonts w:asciiTheme="minorHAnsi" w:hAnsiTheme="minorHAnsi"/>
        <w:sz w:val="20"/>
        <w:szCs w:val="20"/>
      </w:rPr>
      <w:fldChar w:fldCharType="begin"/>
    </w:r>
    <w:r w:rsidR="00F31ECF" w:rsidRPr="00C919D2">
      <w:rPr>
        <w:rFonts w:asciiTheme="minorHAnsi" w:hAnsiTheme="minorHAnsi"/>
        <w:sz w:val="20"/>
        <w:szCs w:val="20"/>
      </w:rPr>
      <w:instrText xml:space="preserve"> PAGE   \* MERGEFORMAT </w:instrText>
    </w:r>
    <w:r w:rsidR="00F31ECF" w:rsidRPr="00C919D2">
      <w:rPr>
        <w:rFonts w:asciiTheme="minorHAnsi" w:hAnsiTheme="minorHAnsi"/>
        <w:sz w:val="20"/>
        <w:szCs w:val="20"/>
      </w:rPr>
      <w:fldChar w:fldCharType="separate"/>
    </w:r>
    <w:r w:rsidR="00683CBE" w:rsidRPr="00C919D2">
      <w:rPr>
        <w:rFonts w:asciiTheme="minorHAnsi" w:hAnsiTheme="minorHAnsi"/>
        <w:noProof/>
        <w:sz w:val="20"/>
        <w:szCs w:val="20"/>
      </w:rPr>
      <w:t>2</w:t>
    </w:r>
    <w:r w:rsidR="00F31ECF" w:rsidRPr="00C919D2">
      <w:rPr>
        <w:rFonts w:asciiTheme="minorHAnsi" w:hAnsiTheme="minorHAns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0C756" w14:textId="77777777" w:rsidR="00041721" w:rsidRDefault="00041721" w:rsidP="00C5173B">
      <w:pPr>
        <w:spacing w:after="0" w:line="240" w:lineRule="auto"/>
      </w:pPr>
      <w:r>
        <w:separator/>
      </w:r>
    </w:p>
  </w:footnote>
  <w:footnote w:type="continuationSeparator" w:id="0">
    <w:p w14:paraId="5A07A445" w14:textId="77777777" w:rsidR="00041721" w:rsidRDefault="00041721" w:rsidP="00C5173B">
      <w:pPr>
        <w:spacing w:after="0" w:line="240" w:lineRule="auto"/>
      </w:pPr>
      <w:r>
        <w:continuationSeparator/>
      </w:r>
    </w:p>
  </w:footnote>
  <w:footnote w:id="1">
    <w:p w14:paraId="2D44CA51" w14:textId="0A1613EF" w:rsidR="00C86B75" w:rsidRPr="008D7493" w:rsidRDefault="00C86B75">
      <w:pPr>
        <w:pStyle w:val="FootnoteText"/>
        <w:rPr>
          <w:rFonts w:asciiTheme="minorHAnsi" w:hAnsiTheme="minorHAnsi" w:cstheme="minorHAnsi"/>
          <w:lang w:val="fr-FR"/>
        </w:rPr>
      </w:pPr>
      <w:r w:rsidRPr="008D7493">
        <w:rPr>
          <w:rStyle w:val="FootnoteReference"/>
          <w:rFonts w:asciiTheme="minorHAnsi" w:hAnsiTheme="minorHAnsi" w:cstheme="minorHAnsi"/>
        </w:rPr>
        <w:footnoteRef/>
      </w:r>
      <w:r w:rsidRPr="008D7493">
        <w:rPr>
          <w:rFonts w:asciiTheme="minorHAnsi" w:hAnsiTheme="minorHAnsi" w:cstheme="minorHAnsi"/>
          <w:lang w:val="fr-FR"/>
        </w:rPr>
        <w:t xml:space="preserve"> </w:t>
      </w:r>
      <w:r w:rsidR="00775304" w:rsidRPr="00713169">
        <w:rPr>
          <w:rFonts w:asciiTheme="minorHAnsi" w:hAnsiTheme="minorHAnsi" w:cstheme="minorHAnsi"/>
          <w:lang w:val="fr-FR"/>
        </w:rPr>
        <w:t xml:space="preserve">Voir </w:t>
      </w:r>
      <w:hyperlink r:id="rId1" w:history="1">
        <w:r w:rsidR="00775304" w:rsidRPr="00713169">
          <w:rPr>
            <w:rStyle w:val="Hyperlink"/>
            <w:rFonts w:asciiTheme="minorHAnsi" w:hAnsiTheme="minorHAnsi" w:cstheme="minorHAnsi"/>
            <w:lang w:val="fr-FR"/>
          </w:rPr>
          <w:t>https://www.ramsar.org/fr/document/reglement-interieur-ramsar-cop14</w:t>
        </w:r>
      </w:hyperlink>
      <w:r w:rsidR="00775304" w:rsidRPr="00713169">
        <w:rPr>
          <w:rFonts w:asciiTheme="minorHAnsi" w:hAnsiTheme="minorHAnsi" w:cstheme="minorHAnsi"/>
          <w:lang w:val="fr-FR"/>
        </w:rPr>
        <w:t xml:space="preserve">. Article 25.5 : « Sauf décision contraire de la Conférence des Parties, le présent Règlement intérieur régit </w:t>
      </w:r>
      <w:r w:rsidR="00775304" w:rsidRPr="00713169">
        <w:rPr>
          <w:rFonts w:asciiTheme="minorHAnsi" w:hAnsiTheme="minorHAnsi" w:cstheme="minorHAnsi"/>
          <w:i/>
          <w:iCs/>
          <w:lang w:val="fr-FR"/>
        </w:rPr>
        <w:t>mutatis mutandis</w:t>
      </w:r>
      <w:r w:rsidR="00775304" w:rsidRPr="00713169">
        <w:rPr>
          <w:rFonts w:asciiTheme="minorHAnsi" w:hAnsiTheme="minorHAnsi" w:cstheme="minorHAnsi"/>
          <w:lang w:val="fr-FR"/>
        </w:rPr>
        <w:t xml:space="preserve"> les travaux des organes</w:t>
      </w:r>
      <w:r w:rsidR="00775304" w:rsidRPr="007B0AE2">
        <w:rPr>
          <w:rFonts w:asciiTheme="minorHAnsi" w:hAnsiTheme="minorHAnsi" w:cstheme="minorHAnsi"/>
          <w:lang w:val="fr-FR"/>
        </w:rPr>
        <w:t xml:space="preserve"> subsidiaires »</w:t>
      </w:r>
      <w:r w:rsidR="00B449CB" w:rsidRPr="007B0AE2">
        <w:rPr>
          <w:rFonts w:asciiTheme="minorHAnsi" w:hAnsiTheme="minorHAnsi" w:cstheme="minorHAnsi"/>
          <w:lang w:val="fr-FR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41BB"/>
    <w:multiLevelType w:val="hybridMultilevel"/>
    <w:tmpl w:val="000026E9"/>
    <w:lvl w:ilvl="0" w:tplc="000001EB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6784"/>
    <w:multiLevelType w:val="hybridMultilevel"/>
    <w:tmpl w:val="5094CA86"/>
    <w:lvl w:ilvl="0" w:tplc="1C94DB4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CE7C35"/>
    <w:multiLevelType w:val="hybridMultilevel"/>
    <w:tmpl w:val="8F984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A10D0"/>
    <w:multiLevelType w:val="hybridMultilevel"/>
    <w:tmpl w:val="5BF4F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364D7"/>
    <w:multiLevelType w:val="hybridMultilevel"/>
    <w:tmpl w:val="2B581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D1A23"/>
    <w:multiLevelType w:val="hybridMultilevel"/>
    <w:tmpl w:val="B76676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568AA"/>
    <w:multiLevelType w:val="hybridMultilevel"/>
    <w:tmpl w:val="2960B35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3F01EF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CC7B59"/>
    <w:multiLevelType w:val="hybridMultilevel"/>
    <w:tmpl w:val="C61E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07BEB"/>
    <w:multiLevelType w:val="hybridMultilevel"/>
    <w:tmpl w:val="0AEC5C86"/>
    <w:lvl w:ilvl="0" w:tplc="5468A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F0EA0618">
      <w:numFmt w:val="bullet"/>
      <w:lvlText w:val="–"/>
      <w:lvlJc w:val="left"/>
      <w:pPr>
        <w:ind w:left="1440" w:hanging="360"/>
      </w:pPr>
      <w:rPr>
        <w:rFonts w:ascii="Calibri" w:eastAsia="Times New Roman" w:hAnsi="Calibri" w:cs="Times New Roman" w:hint="default"/>
        <w:b/>
      </w:rPr>
    </w:lvl>
    <w:lvl w:ilvl="2" w:tplc="F5C2ABEE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63C00"/>
    <w:multiLevelType w:val="hybridMultilevel"/>
    <w:tmpl w:val="1D522FB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536020"/>
    <w:multiLevelType w:val="hybridMultilevel"/>
    <w:tmpl w:val="E6EC7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3389E"/>
    <w:multiLevelType w:val="hybridMultilevel"/>
    <w:tmpl w:val="89667E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653F6"/>
    <w:multiLevelType w:val="multilevel"/>
    <w:tmpl w:val="75328AA6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bullet"/>
      <w:lvlText w:val=""/>
      <w:lvlJc w:val="left"/>
      <w:rPr>
        <w:rFonts w:ascii="Symbol" w:hAnsi="Symbol" w:hint="default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5FE05691"/>
    <w:multiLevelType w:val="hybridMultilevel"/>
    <w:tmpl w:val="79D2E7A8"/>
    <w:lvl w:ilvl="0" w:tplc="55BA420E">
      <w:start w:val="1"/>
      <w:numFmt w:val="decimal"/>
      <w:lvlText w:val="%1."/>
      <w:lvlJc w:val="left"/>
      <w:pPr>
        <w:ind w:left="780" w:hanging="420"/>
      </w:pPr>
      <w:rPr>
        <w:rFonts w:asciiTheme="minorHAnsi" w:hAnsiTheme="minorHAnsi" w:cs="Garamond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E3C66"/>
    <w:multiLevelType w:val="multilevel"/>
    <w:tmpl w:val="98F6A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637A12E3"/>
    <w:multiLevelType w:val="hybridMultilevel"/>
    <w:tmpl w:val="7436C1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B165B"/>
    <w:multiLevelType w:val="hybridMultilevel"/>
    <w:tmpl w:val="CCEE4DCA"/>
    <w:lvl w:ilvl="0" w:tplc="040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9" w15:restartNumberingAfterBreak="0">
    <w:nsid w:val="680F4811"/>
    <w:multiLevelType w:val="hybridMultilevel"/>
    <w:tmpl w:val="D8746950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6A091EB0"/>
    <w:multiLevelType w:val="hybridMultilevel"/>
    <w:tmpl w:val="6AE2FBA8"/>
    <w:lvl w:ilvl="0" w:tplc="4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492121"/>
    <w:multiLevelType w:val="hybridMultilevel"/>
    <w:tmpl w:val="4300E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34573D"/>
    <w:multiLevelType w:val="hybridMultilevel"/>
    <w:tmpl w:val="B12C6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CD4811"/>
    <w:multiLevelType w:val="hybridMultilevel"/>
    <w:tmpl w:val="8CB8FFB6"/>
    <w:lvl w:ilvl="0" w:tplc="66B00E86">
      <w:numFmt w:val="bullet"/>
      <w:lvlText w:val="•"/>
      <w:lvlJc w:val="left"/>
      <w:pPr>
        <w:ind w:left="780" w:hanging="4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330137">
    <w:abstractNumId w:val="0"/>
  </w:num>
  <w:num w:numId="2" w16cid:durableId="786704842">
    <w:abstractNumId w:val="2"/>
  </w:num>
  <w:num w:numId="3" w16cid:durableId="625893047">
    <w:abstractNumId w:val="1"/>
  </w:num>
  <w:num w:numId="4" w16cid:durableId="1801414808">
    <w:abstractNumId w:val="10"/>
  </w:num>
  <w:num w:numId="5" w16cid:durableId="14355544">
    <w:abstractNumId w:val="6"/>
  </w:num>
  <w:num w:numId="6" w16cid:durableId="322781843">
    <w:abstractNumId w:val="7"/>
  </w:num>
  <w:num w:numId="7" w16cid:durableId="1356879349">
    <w:abstractNumId w:val="11"/>
  </w:num>
  <w:num w:numId="8" w16cid:durableId="551036359">
    <w:abstractNumId w:val="14"/>
  </w:num>
  <w:num w:numId="9" w16cid:durableId="1182014781">
    <w:abstractNumId w:val="3"/>
  </w:num>
  <w:num w:numId="10" w16cid:durableId="1404642404">
    <w:abstractNumId w:val="9"/>
  </w:num>
  <w:num w:numId="11" w16cid:durableId="240483145">
    <w:abstractNumId w:val="15"/>
  </w:num>
  <w:num w:numId="12" w16cid:durableId="888229565">
    <w:abstractNumId w:val="19"/>
  </w:num>
  <w:num w:numId="13" w16cid:durableId="806583694">
    <w:abstractNumId w:val="8"/>
  </w:num>
  <w:num w:numId="14" w16cid:durableId="1061711531">
    <w:abstractNumId w:val="17"/>
  </w:num>
  <w:num w:numId="15" w16cid:durableId="744454373">
    <w:abstractNumId w:val="13"/>
  </w:num>
  <w:num w:numId="16" w16cid:durableId="2040083403">
    <w:abstractNumId w:val="22"/>
  </w:num>
  <w:num w:numId="17" w16cid:durableId="57828260">
    <w:abstractNumId w:val="20"/>
  </w:num>
  <w:num w:numId="18" w16cid:durableId="1101414013">
    <w:abstractNumId w:val="5"/>
  </w:num>
  <w:num w:numId="19" w16cid:durableId="1638607233">
    <w:abstractNumId w:val="12"/>
  </w:num>
  <w:num w:numId="20" w16cid:durableId="603925553">
    <w:abstractNumId w:val="4"/>
  </w:num>
  <w:num w:numId="21" w16cid:durableId="2066447306">
    <w:abstractNumId w:val="23"/>
  </w:num>
  <w:num w:numId="22" w16cid:durableId="368458983">
    <w:abstractNumId w:val="16"/>
  </w:num>
  <w:num w:numId="23" w16cid:durableId="970327212">
    <w:abstractNumId w:val="18"/>
  </w:num>
  <w:num w:numId="24" w16cid:durableId="20703360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6D8"/>
    <w:rsid w:val="000008D6"/>
    <w:rsid w:val="00005958"/>
    <w:rsid w:val="00006B39"/>
    <w:rsid w:val="0001285C"/>
    <w:rsid w:val="00015E04"/>
    <w:rsid w:val="00021C94"/>
    <w:rsid w:val="00041721"/>
    <w:rsid w:val="00060666"/>
    <w:rsid w:val="00061857"/>
    <w:rsid w:val="0007443C"/>
    <w:rsid w:val="000929BA"/>
    <w:rsid w:val="00092A94"/>
    <w:rsid w:val="0009493A"/>
    <w:rsid w:val="00095221"/>
    <w:rsid w:val="000A273E"/>
    <w:rsid w:val="000A34DE"/>
    <w:rsid w:val="000B0404"/>
    <w:rsid w:val="000B14DE"/>
    <w:rsid w:val="000C2357"/>
    <w:rsid w:val="000D3C12"/>
    <w:rsid w:val="000D62F0"/>
    <w:rsid w:val="000D7873"/>
    <w:rsid w:val="000E41C4"/>
    <w:rsid w:val="000F4938"/>
    <w:rsid w:val="000F6A4A"/>
    <w:rsid w:val="00104A41"/>
    <w:rsid w:val="00105845"/>
    <w:rsid w:val="00110F37"/>
    <w:rsid w:val="00114452"/>
    <w:rsid w:val="00121253"/>
    <w:rsid w:val="00121336"/>
    <w:rsid w:val="00134026"/>
    <w:rsid w:val="00136DE8"/>
    <w:rsid w:val="00141775"/>
    <w:rsid w:val="00153621"/>
    <w:rsid w:val="001537AE"/>
    <w:rsid w:val="001555A8"/>
    <w:rsid w:val="001618EC"/>
    <w:rsid w:val="001640D5"/>
    <w:rsid w:val="00167ADA"/>
    <w:rsid w:val="00183156"/>
    <w:rsid w:val="00187C95"/>
    <w:rsid w:val="00190836"/>
    <w:rsid w:val="001924EA"/>
    <w:rsid w:val="001A4962"/>
    <w:rsid w:val="001A63A0"/>
    <w:rsid w:val="001B6568"/>
    <w:rsid w:val="001C3EC3"/>
    <w:rsid w:val="001F1377"/>
    <w:rsid w:val="001F5554"/>
    <w:rsid w:val="002117CD"/>
    <w:rsid w:val="00212724"/>
    <w:rsid w:val="002212E7"/>
    <w:rsid w:val="00227C19"/>
    <w:rsid w:val="0023074D"/>
    <w:rsid w:val="002320F7"/>
    <w:rsid w:val="002321E9"/>
    <w:rsid w:val="002410F9"/>
    <w:rsid w:val="00254142"/>
    <w:rsid w:val="00257E47"/>
    <w:rsid w:val="00263CE9"/>
    <w:rsid w:val="002648D6"/>
    <w:rsid w:val="0026492C"/>
    <w:rsid w:val="00271D0E"/>
    <w:rsid w:val="00271D16"/>
    <w:rsid w:val="00272FD1"/>
    <w:rsid w:val="00273F3B"/>
    <w:rsid w:val="002749DD"/>
    <w:rsid w:val="002947CC"/>
    <w:rsid w:val="00294824"/>
    <w:rsid w:val="00294D49"/>
    <w:rsid w:val="002956DC"/>
    <w:rsid w:val="002A47CD"/>
    <w:rsid w:val="002B751E"/>
    <w:rsid w:val="002C513A"/>
    <w:rsid w:val="002E5690"/>
    <w:rsid w:val="002F09A9"/>
    <w:rsid w:val="002F571D"/>
    <w:rsid w:val="002F7551"/>
    <w:rsid w:val="00301793"/>
    <w:rsid w:val="00302301"/>
    <w:rsid w:val="00305838"/>
    <w:rsid w:val="00311A05"/>
    <w:rsid w:val="003173E7"/>
    <w:rsid w:val="0032557B"/>
    <w:rsid w:val="003265A2"/>
    <w:rsid w:val="0033067A"/>
    <w:rsid w:val="003317B9"/>
    <w:rsid w:val="0033487D"/>
    <w:rsid w:val="00337961"/>
    <w:rsid w:val="00341666"/>
    <w:rsid w:val="00353BF5"/>
    <w:rsid w:val="00373F47"/>
    <w:rsid w:val="00380A66"/>
    <w:rsid w:val="00382308"/>
    <w:rsid w:val="00383D65"/>
    <w:rsid w:val="00393045"/>
    <w:rsid w:val="00395877"/>
    <w:rsid w:val="003A3A07"/>
    <w:rsid w:val="003B44A8"/>
    <w:rsid w:val="003D4285"/>
    <w:rsid w:val="003D715D"/>
    <w:rsid w:val="003F2387"/>
    <w:rsid w:val="003F40E1"/>
    <w:rsid w:val="003F5A03"/>
    <w:rsid w:val="003F76B5"/>
    <w:rsid w:val="00420737"/>
    <w:rsid w:val="004210F6"/>
    <w:rsid w:val="00426276"/>
    <w:rsid w:val="00427878"/>
    <w:rsid w:val="004279F4"/>
    <w:rsid w:val="00435D15"/>
    <w:rsid w:val="00442389"/>
    <w:rsid w:val="00444B34"/>
    <w:rsid w:val="00452FBE"/>
    <w:rsid w:val="0045367C"/>
    <w:rsid w:val="00456081"/>
    <w:rsid w:val="0045699D"/>
    <w:rsid w:val="004630FB"/>
    <w:rsid w:val="0048211C"/>
    <w:rsid w:val="00482AB8"/>
    <w:rsid w:val="00490946"/>
    <w:rsid w:val="00490D1C"/>
    <w:rsid w:val="004A0367"/>
    <w:rsid w:val="004A1E22"/>
    <w:rsid w:val="004A38AC"/>
    <w:rsid w:val="004A400A"/>
    <w:rsid w:val="004A5875"/>
    <w:rsid w:val="004A686A"/>
    <w:rsid w:val="004A68B9"/>
    <w:rsid w:val="004A7331"/>
    <w:rsid w:val="004A76CC"/>
    <w:rsid w:val="004B055A"/>
    <w:rsid w:val="004C13E5"/>
    <w:rsid w:val="004C19D4"/>
    <w:rsid w:val="004C2103"/>
    <w:rsid w:val="004D5B9A"/>
    <w:rsid w:val="004E0A78"/>
    <w:rsid w:val="004E658E"/>
    <w:rsid w:val="004E70C5"/>
    <w:rsid w:val="004F2C85"/>
    <w:rsid w:val="0050243A"/>
    <w:rsid w:val="00505076"/>
    <w:rsid w:val="00517C72"/>
    <w:rsid w:val="00532A55"/>
    <w:rsid w:val="00532CED"/>
    <w:rsid w:val="00537705"/>
    <w:rsid w:val="00552B89"/>
    <w:rsid w:val="005542D0"/>
    <w:rsid w:val="00555684"/>
    <w:rsid w:val="0055645B"/>
    <w:rsid w:val="00560716"/>
    <w:rsid w:val="00571101"/>
    <w:rsid w:val="00583BC5"/>
    <w:rsid w:val="00585B67"/>
    <w:rsid w:val="005871AC"/>
    <w:rsid w:val="00596F6A"/>
    <w:rsid w:val="005A0532"/>
    <w:rsid w:val="005A0D1B"/>
    <w:rsid w:val="005A5841"/>
    <w:rsid w:val="005A60A9"/>
    <w:rsid w:val="005B1BB9"/>
    <w:rsid w:val="005B4CA5"/>
    <w:rsid w:val="005C1530"/>
    <w:rsid w:val="005C57B3"/>
    <w:rsid w:val="005D2CEE"/>
    <w:rsid w:val="005E44AE"/>
    <w:rsid w:val="005F5AFD"/>
    <w:rsid w:val="00600DD3"/>
    <w:rsid w:val="00617C4D"/>
    <w:rsid w:val="00625012"/>
    <w:rsid w:val="00632537"/>
    <w:rsid w:val="00636699"/>
    <w:rsid w:val="00637250"/>
    <w:rsid w:val="0063764B"/>
    <w:rsid w:val="006378B9"/>
    <w:rsid w:val="006415BC"/>
    <w:rsid w:val="0066048A"/>
    <w:rsid w:val="0066583C"/>
    <w:rsid w:val="00666DBC"/>
    <w:rsid w:val="00673648"/>
    <w:rsid w:val="0068128F"/>
    <w:rsid w:val="00683CBE"/>
    <w:rsid w:val="006947A5"/>
    <w:rsid w:val="00696D53"/>
    <w:rsid w:val="006A1C8D"/>
    <w:rsid w:val="006A73BE"/>
    <w:rsid w:val="006B051D"/>
    <w:rsid w:val="006B44CE"/>
    <w:rsid w:val="006B65E7"/>
    <w:rsid w:val="006D318C"/>
    <w:rsid w:val="006F4CAE"/>
    <w:rsid w:val="006F5F80"/>
    <w:rsid w:val="00713169"/>
    <w:rsid w:val="00713BD1"/>
    <w:rsid w:val="00720460"/>
    <w:rsid w:val="00721EAD"/>
    <w:rsid w:val="007347CB"/>
    <w:rsid w:val="0075101C"/>
    <w:rsid w:val="00756887"/>
    <w:rsid w:val="00762915"/>
    <w:rsid w:val="00764409"/>
    <w:rsid w:val="00772528"/>
    <w:rsid w:val="00774CA8"/>
    <w:rsid w:val="00775304"/>
    <w:rsid w:val="00777B4C"/>
    <w:rsid w:val="00782A64"/>
    <w:rsid w:val="00792AB0"/>
    <w:rsid w:val="007A0FE7"/>
    <w:rsid w:val="007A3252"/>
    <w:rsid w:val="007A372F"/>
    <w:rsid w:val="007A5B7D"/>
    <w:rsid w:val="007B0AE2"/>
    <w:rsid w:val="007B1503"/>
    <w:rsid w:val="007C0277"/>
    <w:rsid w:val="007D5E07"/>
    <w:rsid w:val="007E769E"/>
    <w:rsid w:val="007F3389"/>
    <w:rsid w:val="00811DAC"/>
    <w:rsid w:val="00814C79"/>
    <w:rsid w:val="00820A2D"/>
    <w:rsid w:val="008243DA"/>
    <w:rsid w:val="00824997"/>
    <w:rsid w:val="008255AD"/>
    <w:rsid w:val="008400BE"/>
    <w:rsid w:val="00843F5B"/>
    <w:rsid w:val="0084501E"/>
    <w:rsid w:val="00847BA8"/>
    <w:rsid w:val="00850D50"/>
    <w:rsid w:val="00851B72"/>
    <w:rsid w:val="00853F59"/>
    <w:rsid w:val="00856F4D"/>
    <w:rsid w:val="00866C97"/>
    <w:rsid w:val="00870638"/>
    <w:rsid w:val="00883D09"/>
    <w:rsid w:val="008A69D0"/>
    <w:rsid w:val="008D7493"/>
    <w:rsid w:val="008E5056"/>
    <w:rsid w:val="008E6BEB"/>
    <w:rsid w:val="008F7026"/>
    <w:rsid w:val="009033A3"/>
    <w:rsid w:val="00910F79"/>
    <w:rsid w:val="009214FD"/>
    <w:rsid w:val="0092300D"/>
    <w:rsid w:val="00924B65"/>
    <w:rsid w:val="00924E02"/>
    <w:rsid w:val="00934629"/>
    <w:rsid w:val="009358FF"/>
    <w:rsid w:val="00945247"/>
    <w:rsid w:val="0095058D"/>
    <w:rsid w:val="009573B9"/>
    <w:rsid w:val="00971AC5"/>
    <w:rsid w:val="00983949"/>
    <w:rsid w:val="00990468"/>
    <w:rsid w:val="00990965"/>
    <w:rsid w:val="00993A65"/>
    <w:rsid w:val="009A1AE7"/>
    <w:rsid w:val="009A6681"/>
    <w:rsid w:val="009B0327"/>
    <w:rsid w:val="009B7088"/>
    <w:rsid w:val="009C113D"/>
    <w:rsid w:val="009D2210"/>
    <w:rsid w:val="009D3A95"/>
    <w:rsid w:val="009E00B9"/>
    <w:rsid w:val="009F1318"/>
    <w:rsid w:val="009F56D8"/>
    <w:rsid w:val="009F7F86"/>
    <w:rsid w:val="00A02865"/>
    <w:rsid w:val="00A0379D"/>
    <w:rsid w:val="00A138B1"/>
    <w:rsid w:val="00A21F33"/>
    <w:rsid w:val="00A25933"/>
    <w:rsid w:val="00A300B9"/>
    <w:rsid w:val="00A3112D"/>
    <w:rsid w:val="00A42809"/>
    <w:rsid w:val="00A45DFE"/>
    <w:rsid w:val="00A542F0"/>
    <w:rsid w:val="00A571A9"/>
    <w:rsid w:val="00A60EB4"/>
    <w:rsid w:val="00A60F55"/>
    <w:rsid w:val="00A6168F"/>
    <w:rsid w:val="00A6466E"/>
    <w:rsid w:val="00A70045"/>
    <w:rsid w:val="00A775A7"/>
    <w:rsid w:val="00A81510"/>
    <w:rsid w:val="00A93888"/>
    <w:rsid w:val="00AA1589"/>
    <w:rsid w:val="00AB0BF1"/>
    <w:rsid w:val="00AB24DA"/>
    <w:rsid w:val="00AC1DD6"/>
    <w:rsid w:val="00AE4DEE"/>
    <w:rsid w:val="00AF710E"/>
    <w:rsid w:val="00B1143B"/>
    <w:rsid w:val="00B15B43"/>
    <w:rsid w:val="00B21866"/>
    <w:rsid w:val="00B35521"/>
    <w:rsid w:val="00B3591B"/>
    <w:rsid w:val="00B4132D"/>
    <w:rsid w:val="00B449CB"/>
    <w:rsid w:val="00B469B4"/>
    <w:rsid w:val="00B4767F"/>
    <w:rsid w:val="00B50BB9"/>
    <w:rsid w:val="00B5183F"/>
    <w:rsid w:val="00B71240"/>
    <w:rsid w:val="00B73842"/>
    <w:rsid w:val="00B853B0"/>
    <w:rsid w:val="00BA1797"/>
    <w:rsid w:val="00BA3A91"/>
    <w:rsid w:val="00BB5859"/>
    <w:rsid w:val="00BD13BE"/>
    <w:rsid w:val="00BD4B1D"/>
    <w:rsid w:val="00BD6B2E"/>
    <w:rsid w:val="00BD7645"/>
    <w:rsid w:val="00BE13CE"/>
    <w:rsid w:val="00BF1615"/>
    <w:rsid w:val="00BF6894"/>
    <w:rsid w:val="00C043A1"/>
    <w:rsid w:val="00C05EEC"/>
    <w:rsid w:val="00C076F4"/>
    <w:rsid w:val="00C1405A"/>
    <w:rsid w:val="00C15FD2"/>
    <w:rsid w:val="00C16F24"/>
    <w:rsid w:val="00C34925"/>
    <w:rsid w:val="00C4026F"/>
    <w:rsid w:val="00C47465"/>
    <w:rsid w:val="00C50DCA"/>
    <w:rsid w:val="00C5173B"/>
    <w:rsid w:val="00C55D5B"/>
    <w:rsid w:val="00C56D7A"/>
    <w:rsid w:val="00C623FA"/>
    <w:rsid w:val="00C74CD5"/>
    <w:rsid w:val="00C760C9"/>
    <w:rsid w:val="00C82F2C"/>
    <w:rsid w:val="00C86B75"/>
    <w:rsid w:val="00C919D2"/>
    <w:rsid w:val="00C94030"/>
    <w:rsid w:val="00C95279"/>
    <w:rsid w:val="00CA42E1"/>
    <w:rsid w:val="00CA4B51"/>
    <w:rsid w:val="00CB184C"/>
    <w:rsid w:val="00CB37FF"/>
    <w:rsid w:val="00CB69E7"/>
    <w:rsid w:val="00CB7C64"/>
    <w:rsid w:val="00CB7E61"/>
    <w:rsid w:val="00CC0308"/>
    <w:rsid w:val="00CC1064"/>
    <w:rsid w:val="00CC2DC8"/>
    <w:rsid w:val="00CD2738"/>
    <w:rsid w:val="00CD53AD"/>
    <w:rsid w:val="00CE051C"/>
    <w:rsid w:val="00CE08BC"/>
    <w:rsid w:val="00CE2410"/>
    <w:rsid w:val="00CE2DAF"/>
    <w:rsid w:val="00CE51F2"/>
    <w:rsid w:val="00CE5D52"/>
    <w:rsid w:val="00CE5D9C"/>
    <w:rsid w:val="00CF12BB"/>
    <w:rsid w:val="00D0498F"/>
    <w:rsid w:val="00D04A58"/>
    <w:rsid w:val="00D06578"/>
    <w:rsid w:val="00D13697"/>
    <w:rsid w:val="00D14950"/>
    <w:rsid w:val="00D14BAE"/>
    <w:rsid w:val="00D233E9"/>
    <w:rsid w:val="00D2688E"/>
    <w:rsid w:val="00D268BC"/>
    <w:rsid w:val="00D271F4"/>
    <w:rsid w:val="00D349DF"/>
    <w:rsid w:val="00D464E6"/>
    <w:rsid w:val="00D527AC"/>
    <w:rsid w:val="00D539A3"/>
    <w:rsid w:val="00D669C9"/>
    <w:rsid w:val="00D70817"/>
    <w:rsid w:val="00D72954"/>
    <w:rsid w:val="00D8098E"/>
    <w:rsid w:val="00D851C7"/>
    <w:rsid w:val="00D854E2"/>
    <w:rsid w:val="00D87B21"/>
    <w:rsid w:val="00DA1989"/>
    <w:rsid w:val="00DA1A85"/>
    <w:rsid w:val="00DA2D7F"/>
    <w:rsid w:val="00DA5629"/>
    <w:rsid w:val="00DA6DFE"/>
    <w:rsid w:val="00DA78FF"/>
    <w:rsid w:val="00DD41F7"/>
    <w:rsid w:val="00DE18DA"/>
    <w:rsid w:val="00DF043D"/>
    <w:rsid w:val="00DF63E9"/>
    <w:rsid w:val="00E02D77"/>
    <w:rsid w:val="00E042B5"/>
    <w:rsid w:val="00E11526"/>
    <w:rsid w:val="00E156DA"/>
    <w:rsid w:val="00E32E56"/>
    <w:rsid w:val="00E351FE"/>
    <w:rsid w:val="00E35A2F"/>
    <w:rsid w:val="00E5761B"/>
    <w:rsid w:val="00E60ED3"/>
    <w:rsid w:val="00E62AE4"/>
    <w:rsid w:val="00E824D2"/>
    <w:rsid w:val="00E972AE"/>
    <w:rsid w:val="00EA7882"/>
    <w:rsid w:val="00EB6303"/>
    <w:rsid w:val="00EC2C69"/>
    <w:rsid w:val="00EC3B37"/>
    <w:rsid w:val="00EC5C99"/>
    <w:rsid w:val="00ED0F4C"/>
    <w:rsid w:val="00ED3C3D"/>
    <w:rsid w:val="00ED4B42"/>
    <w:rsid w:val="00EE1330"/>
    <w:rsid w:val="00EE1818"/>
    <w:rsid w:val="00EE45B8"/>
    <w:rsid w:val="00F04B0A"/>
    <w:rsid w:val="00F20AB4"/>
    <w:rsid w:val="00F268D6"/>
    <w:rsid w:val="00F26E81"/>
    <w:rsid w:val="00F27448"/>
    <w:rsid w:val="00F27AA0"/>
    <w:rsid w:val="00F31ECF"/>
    <w:rsid w:val="00F32014"/>
    <w:rsid w:val="00F4220C"/>
    <w:rsid w:val="00F51A12"/>
    <w:rsid w:val="00F55106"/>
    <w:rsid w:val="00F64B95"/>
    <w:rsid w:val="00F738AE"/>
    <w:rsid w:val="00F740B8"/>
    <w:rsid w:val="00F7595E"/>
    <w:rsid w:val="00FA17BF"/>
    <w:rsid w:val="00FA1DC9"/>
    <w:rsid w:val="00FA257F"/>
    <w:rsid w:val="00FB2D3E"/>
    <w:rsid w:val="00FB4A99"/>
    <w:rsid w:val="00FC30B4"/>
    <w:rsid w:val="00FC4208"/>
    <w:rsid w:val="00FD49FD"/>
    <w:rsid w:val="00FD6A78"/>
    <w:rsid w:val="00FF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A7189"/>
  <w15:docId w15:val="{A03508B6-592F-4B3A-8E78-BA6887F4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A4A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F56D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F56D8"/>
    <w:pPr>
      <w:ind w:left="720"/>
      <w:contextualSpacing/>
    </w:pPr>
    <w:rPr>
      <w:rFonts w:eastAsia="Times New Roman"/>
      <w:lang w:val="en-US"/>
    </w:rPr>
  </w:style>
  <w:style w:type="character" w:styleId="CommentReference">
    <w:name w:val="annotation reference"/>
    <w:uiPriority w:val="99"/>
    <w:semiHidden/>
    <w:unhideWhenUsed/>
    <w:rsid w:val="00532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2A5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32A5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A5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32A55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2A5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5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73B"/>
    <w:rPr>
      <w:sz w:val="22"/>
      <w:szCs w:val="22"/>
      <w:lang w:val="es-ES" w:eastAsia="en-US"/>
    </w:rPr>
  </w:style>
  <w:style w:type="paragraph" w:styleId="Footer">
    <w:name w:val="footer"/>
    <w:basedOn w:val="Normal"/>
    <w:link w:val="FooterChar"/>
    <w:uiPriority w:val="99"/>
    <w:unhideWhenUsed/>
    <w:rsid w:val="00C5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73B"/>
    <w:rPr>
      <w:sz w:val="22"/>
      <w:szCs w:val="22"/>
      <w:lang w:val="es-E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36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0"/>
      <w:szCs w:val="18"/>
      <w:lang w:val="en-GB" w:eastAsia="zh-CN" w:bidi="hi-I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3697"/>
    <w:rPr>
      <w:rFonts w:ascii="Times New Roman" w:eastAsia="Arial Unicode MS" w:hAnsi="Times New Roman" w:cs="Mangal"/>
      <w:kern w:val="3"/>
      <w:szCs w:val="18"/>
      <w:lang w:eastAsia="zh-C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D13697"/>
    <w:rPr>
      <w:vertAlign w:val="superscript"/>
    </w:rPr>
  </w:style>
  <w:style w:type="character" w:styleId="Strong">
    <w:name w:val="Strong"/>
    <w:uiPriority w:val="22"/>
    <w:qFormat/>
    <w:rsid w:val="00A8151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37961"/>
    <w:rPr>
      <w:color w:val="800080" w:themeColor="followed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3F5A03"/>
    <w:pPr>
      <w:spacing w:after="0" w:line="240" w:lineRule="auto"/>
      <w:ind w:left="720" w:hanging="425"/>
      <w:contextualSpacing/>
    </w:pPr>
    <w:rPr>
      <w:lang w:val="en-GB"/>
    </w:rPr>
  </w:style>
  <w:style w:type="paragraph" w:styleId="Revision">
    <w:name w:val="Revision"/>
    <w:hidden/>
    <w:uiPriority w:val="99"/>
    <w:semiHidden/>
    <w:rsid w:val="00C82F2C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843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28632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33360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1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3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5671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938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64042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5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323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3493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22796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80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3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01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8041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210942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30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459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86727">
                  <w:marLeft w:val="0"/>
                  <w:marRight w:val="0"/>
                  <w:marTop w:val="0"/>
                  <w:marBottom w:val="120"/>
                  <w:divBdr>
                    <w:top w:val="single" w:sz="6" w:space="0" w:color="A0A0A0"/>
                    <w:left w:val="single" w:sz="6" w:space="0" w:color="B9B9B9"/>
                    <w:bottom w:val="single" w:sz="6" w:space="0" w:color="B9B9B9"/>
                    <w:right w:val="single" w:sz="6" w:space="0" w:color="B9B9B9"/>
                  </w:divBdr>
                  <w:divsChild>
                    <w:div w:id="579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13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7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11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38178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31826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2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652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5211">
                  <w:marLeft w:val="0"/>
                  <w:marRight w:val="0"/>
                  <w:marTop w:val="0"/>
                  <w:marBottom w:val="120"/>
                  <w:divBdr>
                    <w:top w:val="single" w:sz="6" w:space="0" w:color="A0A0A0"/>
                    <w:left w:val="single" w:sz="6" w:space="0" w:color="B9B9B9"/>
                    <w:bottom w:val="single" w:sz="6" w:space="0" w:color="B9B9B9"/>
                    <w:right w:val="single" w:sz="6" w:space="0" w:color="B9B9B9"/>
                  </w:divBdr>
                  <w:divsChild>
                    <w:div w:id="176864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2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46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19784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5073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47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9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680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08636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2709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1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67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1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455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55655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84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amsar.org/fr/document/reglement-interieur-ramsar-cop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E0E1D656D104D9982CB97F943D824" ma:contentTypeVersion="15" ma:contentTypeDescription="Create a new document." ma:contentTypeScope="" ma:versionID="8456ff96afa6b4ad4973873891214925">
  <xsd:schema xmlns:xsd="http://www.w3.org/2001/XMLSchema" xmlns:xs="http://www.w3.org/2001/XMLSchema" xmlns:p="http://schemas.microsoft.com/office/2006/metadata/properties" xmlns:ns2="a3a2dff7-4331-4a95-9af9-6b2cd4e65ac3" xmlns:ns3="ecaa2b1f-0678-4421-92e9-1090174541bd" targetNamespace="http://schemas.microsoft.com/office/2006/metadata/properties" ma:root="true" ma:fieldsID="b2a4fbd3c925dd17abe58bf570dfe939" ns2:_="" ns3:_="">
    <xsd:import namespace="a3a2dff7-4331-4a95-9af9-6b2cd4e65ac3"/>
    <xsd:import namespace="ecaa2b1f-0678-4421-92e9-109017454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2dff7-4331-4a95-9af9-6b2cd4e6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e8566c-cd23-4427-80f6-db2d3da7b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a2b1f-0678-4421-92e9-1090174541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9765f46-9ff9-428c-9541-663e9a6be89c}" ma:internalName="TaxCatchAll" ma:showField="CatchAllData" ma:web="ecaa2b1f-0678-4421-92e9-109017454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a2dff7-4331-4a95-9af9-6b2cd4e65ac3">
      <Terms xmlns="http://schemas.microsoft.com/office/infopath/2007/PartnerControls"/>
    </lcf76f155ced4ddcb4097134ff3c332f>
    <TaxCatchAll xmlns="ecaa2b1f-0678-4421-92e9-1090174541bd" xsi:nil="true"/>
  </documentManagement>
</p:properties>
</file>

<file path=customXml/itemProps1.xml><?xml version="1.0" encoding="utf-8"?>
<ds:datastoreItem xmlns:ds="http://schemas.openxmlformats.org/officeDocument/2006/customXml" ds:itemID="{4B3C91C7-5DBD-471F-942E-B07F79E56D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3B6D06-619C-4987-957A-F7C14B885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2dff7-4331-4a95-9af9-6b2cd4e65ac3"/>
    <ds:schemaRef ds:uri="ecaa2b1f-0678-4421-92e9-109017454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E21542-0890-456A-BBA9-D0873E529A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EB4B81-60E7-42FD-A3CE-64219B5D032B}">
  <ds:schemaRefs>
    <ds:schemaRef ds:uri="http://schemas.microsoft.com/office/2006/metadata/properties"/>
    <ds:schemaRef ds:uri="http://schemas.microsoft.com/office/infopath/2007/PartnerControls"/>
    <ds:schemaRef ds:uri="a3a2dff7-4331-4a95-9af9-6b2cd4e65ac3"/>
    <ds:schemaRef ds:uri="ecaa2b1f-0678-4421-92e9-1090174541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2698</Characters>
  <Application>Microsoft Office Word</Application>
  <DocSecurity>4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IUCN</Company>
  <LinksUpToDate>false</LinksUpToDate>
  <CharactersWithSpaces>3165</CharactersWithSpaces>
  <SharedDoc>false</SharedDoc>
  <HLinks>
    <vt:vector size="36" baseType="variant">
      <vt:variant>
        <vt:i4>15794427</vt:i4>
      </vt:variant>
      <vt:variant>
        <vt:i4>15</vt:i4>
      </vt:variant>
      <vt:variant>
        <vt:i4>0</vt:i4>
      </vt:variant>
      <vt:variant>
        <vt:i4>5</vt:i4>
      </vt:variant>
      <vt:variant>
        <vt:lpwstr>http://www.ramsar.org/es/acerca-de/próxima-reunión</vt:lpwstr>
      </vt:variant>
      <vt:variant>
        <vt:lpwstr/>
      </vt:variant>
      <vt:variant>
        <vt:i4>1441869</vt:i4>
      </vt:variant>
      <vt:variant>
        <vt:i4>12</vt:i4>
      </vt:variant>
      <vt:variant>
        <vt:i4>0</vt:i4>
      </vt:variant>
      <vt:variant>
        <vt:i4>5</vt:i4>
      </vt:variant>
      <vt:variant>
        <vt:lpwstr>http://www.ramsar.org/sites/default/files/documents/pdf/rules-cop-2012-s.pdf</vt:lpwstr>
      </vt:variant>
      <vt:variant>
        <vt:lpwstr/>
      </vt:variant>
      <vt:variant>
        <vt:i4>3539062</vt:i4>
      </vt:variant>
      <vt:variant>
        <vt:i4>9</vt:i4>
      </vt:variant>
      <vt:variant>
        <vt:i4>0</vt:i4>
      </vt:variant>
      <vt:variant>
        <vt:i4>5</vt:i4>
      </vt:variant>
      <vt:variant>
        <vt:lpwstr>http://ramsar.rgis.ch/cda/ramsar/display/main/main.jsp?zn=ramsar&amp;cp=1-31-41_4000_0__</vt:lpwstr>
      </vt:variant>
      <vt:variant>
        <vt:lpwstr>SC</vt:lpwstr>
      </vt:variant>
      <vt:variant>
        <vt:i4>7667821</vt:i4>
      </vt:variant>
      <vt:variant>
        <vt:i4>6</vt:i4>
      </vt:variant>
      <vt:variant>
        <vt:i4>0</vt:i4>
      </vt:variant>
      <vt:variant>
        <vt:i4>5</vt:i4>
      </vt:variant>
      <vt:variant>
        <vt:lpwstr>http://www.ramsar.org/sites/default/files/documents/pdf/cop11/res/cop11-res19-s.pdf</vt:lpwstr>
      </vt:variant>
      <vt:variant>
        <vt:lpwstr/>
      </vt:variant>
      <vt:variant>
        <vt:i4>4128872</vt:i4>
      </vt:variant>
      <vt:variant>
        <vt:i4>3</vt:i4>
      </vt:variant>
      <vt:variant>
        <vt:i4>0</vt:i4>
      </vt:variant>
      <vt:variant>
        <vt:i4>5</vt:i4>
      </vt:variant>
      <vt:variant>
        <vt:lpwstr>http://www.ramsar.org/sites/default/files/documents/library/key_res_vii.01s.pdf</vt:lpwstr>
      </vt:variant>
      <vt:variant>
        <vt:lpwstr/>
      </vt:variant>
      <vt:variant>
        <vt:i4>5505092</vt:i4>
      </vt:variant>
      <vt:variant>
        <vt:i4>0</vt:i4>
      </vt:variant>
      <vt:variant>
        <vt:i4>0</vt:i4>
      </vt:variant>
      <vt:variant>
        <vt:i4>5</vt:i4>
      </vt:variant>
      <vt:variant>
        <vt:lpwstr>http://www.ramsar.org/sites/default/files/documents/library/key_res_3.03s.pdf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Convention on Wetlands</dc:creator>
  <cp:lastModifiedBy>JENNINGS Edmund</cp:lastModifiedBy>
  <cp:revision>2</cp:revision>
  <cp:lastPrinted>2018-10-09T14:34:00Z</cp:lastPrinted>
  <dcterms:created xsi:type="dcterms:W3CDTF">2025-01-06T10:52:00Z</dcterms:created>
  <dcterms:modified xsi:type="dcterms:W3CDTF">2025-01-06T10:52:00Z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0x01010084EE0E1D656D104D9982CB97F943D824</vt:lpwstr>
  </property>
  <property fmtid="{D5CDD505-2E9C-101B-9397-08002B2CF9AE}" pid="3" name="MediaServiceImageTags">
    <vt:lpwstr/>
  </property>
</Properties>
</file>