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FC9BF" w14:textId="77777777"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rPr>
      </w:pPr>
      <w:r w:rsidRPr="006D1D82">
        <w:t>LA CONVENCIÓN SOBRE LOS HUMEDALES</w:t>
      </w:r>
    </w:p>
    <w:p w14:paraId="241B9395" w14:textId="3BACA1CF"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rPr>
      </w:pPr>
      <w:r w:rsidRPr="006D1D82">
        <w:t>6</w:t>
      </w:r>
      <w:r w:rsidR="00971EBA">
        <w:t>4</w:t>
      </w:r>
      <w:r w:rsidRPr="006D1D82">
        <w:t>ª reunión del Comité Permanente</w:t>
      </w:r>
    </w:p>
    <w:p w14:paraId="50F983E2" w14:textId="2359B92F"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rPr>
      </w:pPr>
      <w:r w:rsidRPr="006D1D82">
        <w:t xml:space="preserve">Gland, Suiza, </w:t>
      </w:r>
      <w:r w:rsidR="00971EBA">
        <w:t>20</w:t>
      </w:r>
      <w:r w:rsidRPr="006D1D82">
        <w:t xml:space="preserve"> a </w:t>
      </w:r>
      <w:r w:rsidR="00971EBA">
        <w:t>24</w:t>
      </w:r>
      <w:r w:rsidRPr="006D1D82">
        <w:t xml:space="preserve"> de </w:t>
      </w:r>
      <w:r w:rsidR="00971EBA">
        <w:t>enero</w:t>
      </w:r>
      <w:r w:rsidR="00971EBA" w:rsidRPr="006D1D82">
        <w:t xml:space="preserve"> </w:t>
      </w:r>
      <w:r w:rsidRPr="006D1D82">
        <w:t xml:space="preserve">de </w:t>
      </w:r>
      <w:r w:rsidR="004872F2" w:rsidRPr="006D1D82">
        <w:t>202</w:t>
      </w:r>
      <w:r w:rsidR="00971EBA">
        <w:t>5</w:t>
      </w:r>
    </w:p>
    <w:p w14:paraId="46429A0F" w14:textId="77777777" w:rsidR="00DF2386" w:rsidRPr="00AF2893" w:rsidRDefault="00DF2386" w:rsidP="00014168">
      <w:pPr>
        <w:outlineLvl w:val="0"/>
        <w:rPr>
          <w:b/>
          <w:sz w:val="28"/>
          <w:szCs w:val="28"/>
        </w:rPr>
      </w:pPr>
    </w:p>
    <w:p w14:paraId="041D1063" w14:textId="4421FCFE" w:rsidR="00DF2386" w:rsidRPr="00AF2893" w:rsidRDefault="00DF2386" w:rsidP="00014168">
      <w:pPr>
        <w:jc w:val="right"/>
        <w:rPr>
          <w:rFonts w:cs="Arial"/>
          <w:sz w:val="28"/>
          <w:szCs w:val="28"/>
        </w:rPr>
      </w:pPr>
      <w:r w:rsidRPr="00AF2893">
        <w:rPr>
          <w:b/>
          <w:sz w:val="28"/>
          <w:szCs w:val="28"/>
        </w:rPr>
        <w:t>SC6</w:t>
      </w:r>
      <w:r w:rsidR="00971EBA" w:rsidRPr="00AF2893">
        <w:rPr>
          <w:b/>
          <w:sz w:val="28"/>
          <w:szCs w:val="28"/>
        </w:rPr>
        <w:t>4</w:t>
      </w:r>
      <w:r w:rsidRPr="00AF2893">
        <w:rPr>
          <w:b/>
          <w:sz w:val="28"/>
          <w:szCs w:val="28"/>
        </w:rPr>
        <w:t xml:space="preserve"> Doc.4</w:t>
      </w:r>
    </w:p>
    <w:p w14:paraId="6A0A5EC2" w14:textId="77777777" w:rsidR="00DF2386" w:rsidRPr="00AF2893" w:rsidRDefault="00DF2386" w:rsidP="00014168">
      <w:pPr>
        <w:rPr>
          <w:rFonts w:cs="Arial"/>
          <w:b/>
          <w:sz w:val="28"/>
          <w:szCs w:val="28"/>
        </w:rPr>
      </w:pPr>
    </w:p>
    <w:p w14:paraId="2AE22C8B" w14:textId="22FC8920" w:rsidR="001F232D" w:rsidRPr="00AF2893" w:rsidRDefault="001F232D" w:rsidP="001F232D">
      <w:pPr>
        <w:autoSpaceDE w:val="0"/>
        <w:autoSpaceDN w:val="0"/>
        <w:adjustRightInd w:val="0"/>
        <w:jc w:val="center"/>
        <w:rPr>
          <w:b/>
          <w:sz w:val="28"/>
          <w:szCs w:val="28"/>
        </w:rPr>
      </w:pPr>
      <w:r w:rsidRPr="00AF2893">
        <w:rPr>
          <w:b/>
          <w:sz w:val="28"/>
          <w:szCs w:val="28"/>
        </w:rPr>
        <w:t>Admisión de observadores</w:t>
      </w:r>
    </w:p>
    <w:p w14:paraId="4D256538" w14:textId="77777777" w:rsidR="00B60BC6" w:rsidRPr="00AF2893" w:rsidRDefault="00B60BC6" w:rsidP="00B60BC6">
      <w:pPr>
        <w:autoSpaceDE w:val="0"/>
        <w:autoSpaceDN w:val="0"/>
        <w:adjustRightInd w:val="0"/>
        <w:rPr>
          <w:b/>
          <w:sz w:val="28"/>
          <w:szCs w:val="28"/>
        </w:rPr>
      </w:pPr>
    </w:p>
    <w:p w14:paraId="6C8E8134" w14:textId="77777777" w:rsidR="000C2489" w:rsidRPr="006D1D82" w:rsidRDefault="000C2489" w:rsidP="00014168">
      <w:pPr>
        <w:autoSpaceDE w:val="0"/>
        <w:autoSpaceDN w:val="0"/>
        <w:adjustRightInd w:val="0"/>
        <w:rPr>
          <w:rFonts w:asciiTheme="minorHAnsi" w:eastAsiaTheme="minorHAnsi" w:hAnsiTheme="minorHAnsi" w:cs="Calibri-Bold"/>
          <w:b/>
          <w:bCs/>
        </w:rPr>
      </w:pPr>
      <w:r w:rsidRPr="006D1D82">
        <w:rPr>
          <w:noProof/>
          <w:lang w:val="en-GB" w:eastAsia="en-GB"/>
        </w:rPr>
        <mc:AlternateContent>
          <mc:Choice Requires="wps">
            <w:drawing>
              <wp:inline distT="0" distB="0" distL="0" distR="0" wp14:anchorId="7588A67D" wp14:editId="7BC91A1B">
                <wp:extent cx="5731510" cy="1062111"/>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2111"/>
                        </a:xfrm>
                        <a:prstGeom prst="rect">
                          <a:avLst/>
                        </a:prstGeom>
                        <a:solidFill>
                          <a:srgbClr val="FFFFFF"/>
                        </a:solidFill>
                        <a:ln w="9525">
                          <a:solidFill>
                            <a:srgbClr val="000000"/>
                          </a:solidFill>
                          <a:miter lim="800000"/>
                          <a:headEnd/>
                          <a:tailEnd/>
                        </a:ln>
                      </wps:spPr>
                      <wps:txbx>
                        <w:txbxContent>
                          <w:p w14:paraId="6E616FAF" w14:textId="3F297AC6" w:rsidR="000C2489" w:rsidRDefault="000C2489" w:rsidP="00B265A4">
                            <w:pPr>
                              <w:rPr>
                                <w:b/>
                                <w:bCs/>
                              </w:rPr>
                            </w:pPr>
                            <w:r>
                              <w:rPr>
                                <w:b/>
                              </w:rPr>
                              <w:t>Acci</w:t>
                            </w:r>
                            <w:r w:rsidR="00384190">
                              <w:rPr>
                                <w:b/>
                              </w:rPr>
                              <w:t>ón</w:t>
                            </w:r>
                            <w:r>
                              <w:rPr>
                                <w:b/>
                              </w:rPr>
                              <w:t xml:space="preserve"> solicitada:</w:t>
                            </w:r>
                          </w:p>
                          <w:p w14:paraId="2B068596" w14:textId="77777777" w:rsidR="000C2489" w:rsidRDefault="000C2489" w:rsidP="00B265A4">
                            <w:pPr>
                              <w:pStyle w:val="ColorfulList-Accent11"/>
                              <w:ind w:left="425"/>
                            </w:pPr>
                          </w:p>
                          <w:p w14:paraId="7E9F0A43" w14:textId="2036A1F8" w:rsidR="000C2489" w:rsidRDefault="001836CF" w:rsidP="001D0214">
                            <w:pPr>
                              <w:pStyle w:val="ColorfulList-Accent11"/>
                              <w:ind w:left="0" w:firstLine="0"/>
                            </w:pPr>
                            <w:r>
                              <w:t xml:space="preserve">La Presidencia del Comité </w:t>
                            </w:r>
                            <w:r w:rsidRPr="006D1D82">
                              <w:t>Permanente podrá invitar a l</w:t>
                            </w:r>
                            <w:r w:rsidR="004872F2" w:rsidRPr="006D1D82">
                              <w:t>a</w:t>
                            </w:r>
                            <w:r w:rsidRPr="006D1D82">
                              <w:t xml:space="preserve">s organizaciones enumeradas en </w:t>
                            </w:r>
                            <w:r w:rsidR="004872F2" w:rsidRPr="006D1D82">
                              <w:t>el</w:t>
                            </w:r>
                            <w:r w:rsidRPr="006D1D82">
                              <w:t xml:space="preserve"> párrafo</w:t>
                            </w:r>
                            <w:r w:rsidR="004872F2" w:rsidRPr="006D1D82">
                              <w:t> </w:t>
                            </w:r>
                            <w:r w:rsidRPr="006D1D82">
                              <w:t xml:space="preserve">6 del presente documento a estar representadas por observadores en la reunión salvo que un tercio de las Partes </w:t>
                            </w:r>
                            <w:r w:rsidR="000126C2">
                              <w:t xml:space="preserve">Contratantes </w:t>
                            </w:r>
                            <w:r w:rsidRPr="006D1D82">
                              <w:t>pr</w:t>
                            </w:r>
                            <w:r>
                              <w:t>esentes se opongan.</w:t>
                            </w:r>
                          </w:p>
                        </w:txbxContent>
                      </wps:txbx>
                      <wps:bodyPr rot="0" vert="horz" wrap="square" lIns="91440" tIns="45720" rIns="91440" bIns="45720" anchor="t" anchorCtr="0" upright="1">
                        <a:noAutofit/>
                      </wps:bodyPr>
                    </wps:wsp>
                  </a:graphicData>
                </a:graphic>
              </wp:inline>
            </w:drawing>
          </mc:Choice>
          <mc:Fallback>
            <w:pict>
              <v:shapetype w14:anchorId="7588A67D" id="_x0000_t202" coordsize="21600,21600" o:spt="202" path="m,l,21600r21600,l21600,xe">
                <v:stroke joinstyle="miter"/>
                <v:path gradientshapeok="t" o:connecttype="rect"/>
              </v:shapetype>
              <v:shape id="Text Box 1" o:spid="_x0000_s1026" type="#_x0000_t202" style="width:451.3pt;height: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">
                <v:textbox>
                  <w:txbxContent>
                    <w:p w14:paraId="6E616FAF" w14:textId="3F297AC6" w:rsidR="000C2489" w:rsidRDefault="000C2489" w:rsidP="00B265A4">
                      <w:pPr>
                        <w:rPr>
                          <w:b/>
                          <w:bCs/>
                        </w:rPr>
                      </w:pPr>
                      <w:r>
                        <w:rPr>
                          <w:b/>
                        </w:rPr>
                        <w:t>Acci</w:t>
                      </w:r>
                      <w:r w:rsidR="00384190">
                        <w:rPr>
                          <w:b/>
                        </w:rPr>
                        <w:t>ón</w:t>
                      </w:r>
                      <w:r>
                        <w:rPr>
                          <w:b/>
                        </w:rPr>
                        <w:t xml:space="preserve"> solicitada:</w:t>
                      </w:r>
                    </w:p>
                    <w:p w14:paraId="2B068596" w14:textId="77777777" w:rsidR="000C2489" w:rsidRDefault="000C2489" w:rsidP="00B265A4">
                      <w:pPr>
                        <w:pStyle w:val="ColorfulList-Accent11"/>
                        <w:ind w:left="425"/>
                      </w:pPr>
                    </w:p>
                    <w:p w14:paraId="7E9F0A43" w14:textId="2036A1F8" w:rsidR="000C2489" w:rsidRDefault="001836CF" w:rsidP="001D0214">
                      <w:pPr>
                        <w:pStyle w:val="ColorfulList-Accent11"/>
                        <w:ind w:left="0" w:firstLine="0"/>
                      </w:pPr>
                      <w:r>
                        <w:t xml:space="preserve">La Presidencia del Comité </w:t>
                      </w:r>
                      <w:r w:rsidRPr="006D1D82">
                        <w:t>Permanente podrá invitar a l</w:t>
                      </w:r>
                      <w:r w:rsidR="004872F2" w:rsidRPr="006D1D82">
                        <w:t>a</w:t>
                      </w:r>
                      <w:r w:rsidRPr="006D1D82">
                        <w:t xml:space="preserve">s organizaciones enumeradas en </w:t>
                      </w:r>
                      <w:r w:rsidR="004872F2" w:rsidRPr="006D1D82">
                        <w:t>el</w:t>
                      </w:r>
                      <w:r w:rsidRPr="006D1D82">
                        <w:t xml:space="preserve"> párrafo</w:t>
                      </w:r>
                      <w:r w:rsidR="004872F2" w:rsidRPr="006D1D82">
                        <w:t> </w:t>
                      </w:r>
                      <w:r w:rsidRPr="006D1D82">
                        <w:t xml:space="preserve">6 del presente documento a estar representadas por observadores en la reunión salvo que un tercio de las Partes </w:t>
                      </w:r>
                      <w:r w:rsidR="000126C2">
                        <w:t xml:space="preserve">Contratantes </w:t>
                      </w:r>
                      <w:r w:rsidRPr="006D1D82">
                        <w:t>pr</w:t>
                      </w:r>
                      <w:r>
                        <w:t>esentes se opongan.</w:t>
                      </w:r>
                    </w:p>
                  </w:txbxContent>
                </v:textbox>
                <w10:anchorlock/>
              </v:shape>
            </w:pict>
          </mc:Fallback>
        </mc:AlternateContent>
      </w:r>
    </w:p>
    <w:p w14:paraId="31FF8627" w14:textId="77777777" w:rsidR="009E0AE8" w:rsidRPr="006D1D82" w:rsidRDefault="009E0AE8" w:rsidP="00014168">
      <w:pPr>
        <w:rPr>
          <w:rFonts w:cs="Arial"/>
          <w:b/>
        </w:rPr>
      </w:pPr>
    </w:p>
    <w:p w14:paraId="1F66FE98" w14:textId="77777777" w:rsidR="00CF1839" w:rsidRPr="006D1D82" w:rsidRDefault="00CF1839" w:rsidP="00003EC5">
      <w:pPr>
        <w:tabs>
          <w:tab w:val="num" w:pos="720"/>
          <w:tab w:val="left" w:pos="4253"/>
        </w:tabs>
        <w:overflowPunct w:val="0"/>
        <w:autoSpaceDE w:val="0"/>
        <w:autoSpaceDN w:val="0"/>
        <w:adjustRightInd w:val="0"/>
        <w:rPr>
          <w:rFonts w:asciiTheme="minorHAnsi" w:hAnsiTheme="minorHAnsi"/>
        </w:rPr>
      </w:pPr>
    </w:p>
    <w:p w14:paraId="15FD9EFE" w14:textId="3269C994" w:rsidR="00003EC5" w:rsidRPr="006D1D82" w:rsidRDefault="00003EC5" w:rsidP="00CF1839">
      <w:pPr>
        <w:tabs>
          <w:tab w:val="left" w:pos="4253"/>
        </w:tabs>
        <w:overflowPunct w:val="0"/>
        <w:autoSpaceDE w:val="0"/>
        <w:autoSpaceDN w:val="0"/>
        <w:adjustRightInd w:val="0"/>
        <w:rPr>
          <w:rFonts w:asciiTheme="minorHAnsi" w:hAnsiTheme="minorHAnsi"/>
        </w:rPr>
      </w:pPr>
      <w:r w:rsidRPr="006D1D82">
        <w:rPr>
          <w:rFonts w:asciiTheme="minorHAnsi" w:hAnsiTheme="minorHAnsi"/>
        </w:rPr>
        <w:t>1.</w:t>
      </w:r>
      <w:r w:rsidRPr="006D1D82">
        <w:rPr>
          <w:rFonts w:asciiTheme="minorHAnsi" w:hAnsiTheme="minorHAnsi"/>
        </w:rPr>
        <w:tab/>
        <w:t>El reglamento de las reuniones de la Conferencia de las Partes Contratantes</w:t>
      </w:r>
      <w:r w:rsidR="001D0214" w:rsidRPr="006D1D82">
        <w:rPr>
          <w:rStyle w:val="FootnoteReference"/>
          <w:rFonts w:asciiTheme="minorHAnsi" w:hAnsiTheme="minorHAnsi"/>
        </w:rPr>
        <w:footnoteReference w:id="2"/>
      </w:r>
      <w:r w:rsidRPr="006D1D82">
        <w:rPr>
          <w:rFonts w:asciiTheme="minorHAnsi" w:hAnsiTheme="minorHAnsi"/>
        </w:rPr>
        <w:t xml:space="preserve">  prevé la participación de observadores en dos categorías:</w:t>
      </w:r>
    </w:p>
    <w:p w14:paraId="3DC92BFF" w14:textId="77777777" w:rsidR="00003EC5" w:rsidRPr="006D1D82" w:rsidRDefault="00003EC5" w:rsidP="00003EC5">
      <w:pPr>
        <w:pStyle w:val="ListParagraph"/>
        <w:numPr>
          <w:ilvl w:val="0"/>
          <w:numId w:val="30"/>
        </w:numPr>
        <w:ind w:left="850" w:hanging="425"/>
        <w:rPr>
          <w:rFonts w:asciiTheme="minorHAnsi" w:hAnsiTheme="minorHAnsi"/>
        </w:rPr>
      </w:pPr>
      <w:r w:rsidRPr="006D1D82">
        <w:rPr>
          <w:rFonts w:asciiTheme="minorHAnsi" w:hAnsiTheme="minorHAnsi"/>
        </w:rPr>
        <w:t>las Naciones Unidas, sus organismos especializados y los Estados que no son Parte en la Convención; y</w:t>
      </w:r>
    </w:p>
    <w:p w14:paraId="69A9B88A" w14:textId="77777777" w:rsidR="00003EC5" w:rsidRPr="006D1D82" w:rsidRDefault="00003EC5" w:rsidP="00003EC5">
      <w:pPr>
        <w:pStyle w:val="ListParagraph"/>
        <w:numPr>
          <w:ilvl w:val="0"/>
          <w:numId w:val="30"/>
        </w:numPr>
        <w:ind w:left="850" w:hanging="425"/>
        <w:rPr>
          <w:rFonts w:asciiTheme="minorHAnsi" w:hAnsiTheme="minorHAnsi"/>
        </w:rPr>
      </w:pPr>
      <w:r w:rsidRPr="006D1D82">
        <w:rPr>
          <w:rFonts w:asciiTheme="minorHAnsi" w:hAnsiTheme="minorHAnsi"/>
        </w:rPr>
        <w:t>cualquier entidad o agencia calificada en el ámbito de la conservación y el uso sostenible de los humedales.</w:t>
      </w:r>
    </w:p>
    <w:p w14:paraId="2F197D58" w14:textId="77777777" w:rsidR="00003EC5" w:rsidRPr="006D1D82" w:rsidRDefault="00003EC5" w:rsidP="007A026A">
      <w:pPr>
        <w:tabs>
          <w:tab w:val="left" w:pos="4253"/>
        </w:tabs>
        <w:overflowPunct w:val="0"/>
        <w:autoSpaceDE w:val="0"/>
        <w:autoSpaceDN w:val="0"/>
        <w:adjustRightInd w:val="0"/>
        <w:rPr>
          <w:rFonts w:asciiTheme="minorHAnsi" w:hAnsiTheme="minorHAnsi"/>
        </w:rPr>
      </w:pPr>
    </w:p>
    <w:p w14:paraId="6034E184" w14:textId="77777777" w:rsidR="00003EC5" w:rsidRPr="006D1D82" w:rsidRDefault="00003EC5" w:rsidP="007A026A">
      <w:pPr>
        <w:tabs>
          <w:tab w:val="left" w:pos="4253"/>
        </w:tabs>
        <w:overflowPunct w:val="0"/>
        <w:autoSpaceDE w:val="0"/>
        <w:autoSpaceDN w:val="0"/>
        <w:adjustRightInd w:val="0"/>
        <w:rPr>
          <w:rFonts w:asciiTheme="minorHAnsi" w:hAnsiTheme="minorHAnsi"/>
          <w:b/>
        </w:rPr>
      </w:pPr>
      <w:r w:rsidRPr="006D1D82">
        <w:rPr>
          <w:rFonts w:asciiTheme="minorHAnsi" w:hAnsiTheme="minorHAnsi"/>
          <w:b/>
        </w:rPr>
        <w:t>Las Naciones Unidas, sus organismos especializados y los Estados que no son Parte</w:t>
      </w:r>
    </w:p>
    <w:p w14:paraId="67BC7305" w14:textId="77777777" w:rsidR="00003EC5" w:rsidRPr="006D1D82" w:rsidRDefault="00003EC5" w:rsidP="00003EC5">
      <w:pPr>
        <w:tabs>
          <w:tab w:val="num" w:pos="720"/>
          <w:tab w:val="left" w:pos="4253"/>
        </w:tabs>
        <w:overflowPunct w:val="0"/>
        <w:autoSpaceDE w:val="0"/>
        <w:autoSpaceDN w:val="0"/>
        <w:adjustRightInd w:val="0"/>
        <w:rPr>
          <w:rFonts w:asciiTheme="minorHAnsi" w:hAnsiTheme="minorHAnsi"/>
        </w:rPr>
      </w:pPr>
    </w:p>
    <w:p w14:paraId="43958080" w14:textId="77777777" w:rsidR="00003EC5" w:rsidRPr="006D1D82" w:rsidRDefault="00003EC5" w:rsidP="007A026A">
      <w:pPr>
        <w:tabs>
          <w:tab w:val="left" w:pos="4253"/>
        </w:tabs>
        <w:overflowPunct w:val="0"/>
        <w:autoSpaceDE w:val="0"/>
        <w:autoSpaceDN w:val="0"/>
        <w:adjustRightInd w:val="0"/>
        <w:rPr>
          <w:rFonts w:asciiTheme="minorHAnsi" w:hAnsiTheme="minorHAnsi"/>
        </w:rPr>
      </w:pPr>
      <w:r w:rsidRPr="006D1D82">
        <w:rPr>
          <w:rFonts w:asciiTheme="minorHAnsi" w:hAnsiTheme="minorHAnsi"/>
        </w:rPr>
        <w:t>2.</w:t>
      </w:r>
      <w:r w:rsidRPr="006D1D82">
        <w:rPr>
          <w:rFonts w:asciiTheme="minorHAnsi" w:hAnsiTheme="minorHAnsi"/>
        </w:rPr>
        <w:tab/>
        <w:t>El artículo 6 del reglamento establece que los observadores que representan a las Naciones Unidas, a sus organismos especializados y los Estados que no son Parte en la Convención pueden participar previa invitación de la Presidencia, “salvo que por lo menos un tercio de las Partes Contratantes presentes en la reunión se opongan”.</w:t>
      </w:r>
    </w:p>
    <w:p w14:paraId="596F87BD" w14:textId="77777777" w:rsidR="00003EC5" w:rsidRPr="006D1D82" w:rsidRDefault="00003EC5" w:rsidP="007A026A">
      <w:pPr>
        <w:tabs>
          <w:tab w:val="left" w:pos="4253"/>
        </w:tabs>
        <w:overflowPunct w:val="0"/>
        <w:autoSpaceDE w:val="0"/>
        <w:autoSpaceDN w:val="0"/>
        <w:adjustRightInd w:val="0"/>
        <w:rPr>
          <w:rFonts w:asciiTheme="minorHAnsi" w:hAnsiTheme="minorHAnsi"/>
        </w:rPr>
      </w:pPr>
    </w:p>
    <w:p w14:paraId="26B74450" w14:textId="7C1FB2B8" w:rsidR="00003EC5" w:rsidRPr="006D1D82" w:rsidRDefault="00003EC5" w:rsidP="007A026A">
      <w:pPr>
        <w:tabs>
          <w:tab w:val="left" w:pos="4253"/>
        </w:tabs>
        <w:overflowPunct w:val="0"/>
        <w:autoSpaceDE w:val="0"/>
        <w:autoSpaceDN w:val="0"/>
        <w:adjustRightInd w:val="0"/>
        <w:rPr>
          <w:rFonts w:asciiTheme="minorHAnsi" w:hAnsiTheme="minorHAnsi"/>
        </w:rPr>
      </w:pPr>
      <w:r w:rsidRPr="006D1D82">
        <w:rPr>
          <w:rFonts w:asciiTheme="minorHAnsi" w:hAnsiTheme="minorHAnsi"/>
        </w:rPr>
        <w:t>3.</w:t>
      </w:r>
      <w:r w:rsidRPr="006D1D82">
        <w:rPr>
          <w:rFonts w:asciiTheme="minorHAnsi" w:hAnsiTheme="minorHAnsi"/>
        </w:rPr>
        <w:tab/>
        <w:t xml:space="preserve">Para los observadores de esta categoría, la Secretaría había recibido </w:t>
      </w:r>
      <w:r w:rsidR="00F809E8" w:rsidRPr="006D1D82">
        <w:rPr>
          <w:rFonts w:asciiTheme="minorHAnsi" w:hAnsiTheme="minorHAnsi"/>
        </w:rPr>
        <w:t>la</w:t>
      </w:r>
      <w:r w:rsidR="00CF7879" w:rsidRPr="006D1D82">
        <w:rPr>
          <w:rFonts w:asciiTheme="minorHAnsi" w:hAnsiTheme="minorHAnsi"/>
        </w:rPr>
        <w:t>s</w:t>
      </w:r>
      <w:r w:rsidR="00F809E8" w:rsidRPr="006D1D82">
        <w:rPr>
          <w:rFonts w:asciiTheme="minorHAnsi" w:hAnsiTheme="minorHAnsi"/>
        </w:rPr>
        <w:t xml:space="preserve"> </w:t>
      </w:r>
      <w:r w:rsidR="00CF7879" w:rsidRPr="006D1D82">
        <w:rPr>
          <w:rFonts w:asciiTheme="minorHAnsi" w:hAnsiTheme="minorHAnsi"/>
        </w:rPr>
        <w:t>siguientes inscripciones</w:t>
      </w:r>
      <w:r w:rsidR="00F809E8" w:rsidRPr="006D1D82">
        <w:rPr>
          <w:rFonts w:asciiTheme="minorHAnsi" w:hAnsiTheme="minorHAnsi"/>
        </w:rPr>
        <w:t xml:space="preserve"> </w:t>
      </w:r>
      <w:r w:rsidRPr="006D1D82">
        <w:rPr>
          <w:rFonts w:asciiTheme="minorHAnsi" w:hAnsiTheme="minorHAnsi"/>
        </w:rPr>
        <w:t>para la 6</w:t>
      </w:r>
      <w:r w:rsidR="00971EBA">
        <w:rPr>
          <w:rFonts w:asciiTheme="minorHAnsi" w:hAnsiTheme="minorHAnsi"/>
        </w:rPr>
        <w:t>4</w:t>
      </w:r>
      <w:r w:rsidRPr="006D1D82">
        <w:rPr>
          <w:rFonts w:asciiTheme="minorHAnsi" w:hAnsiTheme="minorHAnsi"/>
        </w:rPr>
        <w:t>ª reunión del Comité Permanente (SC6</w:t>
      </w:r>
      <w:r w:rsidR="00971EBA">
        <w:rPr>
          <w:rFonts w:asciiTheme="minorHAnsi" w:hAnsiTheme="minorHAnsi"/>
        </w:rPr>
        <w:t>4</w:t>
      </w:r>
      <w:r w:rsidRPr="006D1D82">
        <w:rPr>
          <w:rFonts w:asciiTheme="minorHAnsi" w:hAnsiTheme="minorHAnsi"/>
        </w:rPr>
        <w:t xml:space="preserve">) al </w:t>
      </w:r>
      <w:r w:rsidR="00971EBA">
        <w:rPr>
          <w:rFonts w:asciiTheme="minorHAnsi" w:hAnsiTheme="minorHAnsi"/>
        </w:rPr>
        <w:t>6</w:t>
      </w:r>
      <w:r w:rsidRPr="006D1D82">
        <w:rPr>
          <w:rFonts w:asciiTheme="minorHAnsi" w:hAnsiTheme="minorHAnsi"/>
        </w:rPr>
        <w:t xml:space="preserve"> de </w:t>
      </w:r>
      <w:r w:rsidR="00971EBA">
        <w:rPr>
          <w:rFonts w:asciiTheme="minorHAnsi" w:hAnsiTheme="minorHAnsi"/>
        </w:rPr>
        <w:t>enero</w:t>
      </w:r>
      <w:r w:rsidR="00971EBA" w:rsidRPr="006D1D82">
        <w:rPr>
          <w:rFonts w:asciiTheme="minorHAnsi" w:hAnsiTheme="minorHAnsi"/>
        </w:rPr>
        <w:t xml:space="preserve"> </w:t>
      </w:r>
      <w:r w:rsidRPr="006D1D82">
        <w:rPr>
          <w:rFonts w:asciiTheme="minorHAnsi" w:hAnsiTheme="minorHAnsi"/>
        </w:rPr>
        <w:t>de 202</w:t>
      </w:r>
      <w:r w:rsidR="00971EBA">
        <w:rPr>
          <w:rFonts w:asciiTheme="minorHAnsi" w:hAnsiTheme="minorHAnsi"/>
        </w:rPr>
        <w:t>5</w:t>
      </w:r>
      <w:r w:rsidRPr="006D1D82">
        <w:rPr>
          <w:rFonts w:asciiTheme="minorHAnsi" w:hAnsiTheme="minorHAnsi"/>
        </w:rPr>
        <w:t>.</w:t>
      </w:r>
    </w:p>
    <w:p w14:paraId="0694AFAA" w14:textId="3D694926" w:rsidR="00971EBA" w:rsidRDefault="00971EBA" w:rsidP="00971EBA">
      <w:pPr>
        <w:pStyle w:val="Default"/>
        <w:ind w:left="426"/>
        <w:rPr>
          <w:sz w:val="22"/>
          <w:szCs w:val="22"/>
        </w:rPr>
      </w:pPr>
    </w:p>
    <w:p w14:paraId="4F5B533F" w14:textId="6C59B719" w:rsidR="00971EBA" w:rsidRPr="00EC5B39" w:rsidRDefault="00971EBA" w:rsidP="00971EBA">
      <w:pPr>
        <w:pStyle w:val="Default"/>
        <w:ind w:left="426"/>
        <w:rPr>
          <w:sz w:val="22"/>
          <w:szCs w:val="22"/>
        </w:rPr>
      </w:pPr>
      <w:r w:rsidRPr="00EC5B39">
        <w:rPr>
          <w:sz w:val="22"/>
          <w:szCs w:val="22"/>
          <w:u w:val="single"/>
        </w:rPr>
        <w:t>Estados que no son Parte en la Convención</w:t>
      </w:r>
      <w:r w:rsidRPr="00EC5B39">
        <w:rPr>
          <w:sz w:val="22"/>
          <w:szCs w:val="22"/>
        </w:rPr>
        <w:t>:</w:t>
      </w:r>
    </w:p>
    <w:p w14:paraId="36EF5B59" w14:textId="77777777" w:rsidR="007D63AD" w:rsidRPr="003E647E" w:rsidRDefault="007D63AD" w:rsidP="00971EBA">
      <w:pPr>
        <w:pStyle w:val="Default"/>
        <w:ind w:left="426"/>
        <w:rPr>
          <w:sz w:val="22"/>
          <w:szCs w:val="22"/>
        </w:rPr>
      </w:pPr>
    </w:p>
    <w:p w14:paraId="7CA16628" w14:textId="5025949A" w:rsidR="007D63AD" w:rsidRPr="00D9388D" w:rsidRDefault="007D63AD" w:rsidP="00D9388D">
      <w:pPr>
        <w:pStyle w:val="ListParagraph"/>
        <w:numPr>
          <w:ilvl w:val="0"/>
          <w:numId w:val="30"/>
        </w:numPr>
        <w:ind w:left="850" w:hanging="425"/>
        <w:rPr>
          <w:rFonts w:asciiTheme="minorHAnsi" w:hAnsiTheme="minorHAnsi"/>
        </w:rPr>
      </w:pPr>
      <w:r w:rsidRPr="00D9388D">
        <w:rPr>
          <w:rFonts w:asciiTheme="minorHAnsi" w:hAnsiTheme="minorHAnsi"/>
        </w:rPr>
        <w:t>Guyana - Embajada de Guyana en Bruselas</w:t>
      </w:r>
    </w:p>
    <w:p w14:paraId="570B0781" w14:textId="77777777" w:rsidR="00003EC5" w:rsidRPr="006D1D82" w:rsidRDefault="00003EC5" w:rsidP="007A026A">
      <w:pPr>
        <w:tabs>
          <w:tab w:val="left" w:pos="4253"/>
        </w:tabs>
        <w:overflowPunct w:val="0"/>
        <w:autoSpaceDE w:val="0"/>
        <w:autoSpaceDN w:val="0"/>
        <w:adjustRightInd w:val="0"/>
        <w:ind w:firstLine="1"/>
      </w:pPr>
    </w:p>
    <w:p w14:paraId="392C1DC2" w14:textId="77777777" w:rsidR="00003EC5" w:rsidRPr="006D1D82" w:rsidRDefault="00003EC5" w:rsidP="0019140D">
      <w:pPr>
        <w:keepNext/>
        <w:tabs>
          <w:tab w:val="left" w:pos="4253"/>
        </w:tabs>
        <w:overflowPunct w:val="0"/>
        <w:autoSpaceDE w:val="0"/>
        <w:autoSpaceDN w:val="0"/>
        <w:adjustRightInd w:val="0"/>
        <w:ind w:left="0" w:firstLine="0"/>
        <w:rPr>
          <w:b/>
        </w:rPr>
      </w:pPr>
      <w:r w:rsidRPr="006D1D82">
        <w:rPr>
          <w:rFonts w:asciiTheme="minorHAnsi" w:hAnsiTheme="minorHAnsi"/>
          <w:b/>
        </w:rPr>
        <w:t>Entidades o agencias calificadas en el ámbito de la conservación y el uso sostenible de los humedales</w:t>
      </w:r>
    </w:p>
    <w:p w14:paraId="6C7E5F49" w14:textId="77777777" w:rsidR="00003EC5" w:rsidRPr="006D1D82" w:rsidRDefault="00003EC5" w:rsidP="0019140D">
      <w:pPr>
        <w:keepNext/>
        <w:tabs>
          <w:tab w:val="left" w:pos="4253"/>
        </w:tabs>
        <w:overflowPunct w:val="0"/>
        <w:autoSpaceDE w:val="0"/>
        <w:autoSpaceDN w:val="0"/>
        <w:adjustRightInd w:val="0"/>
      </w:pPr>
    </w:p>
    <w:p w14:paraId="471A5C1F" w14:textId="77777777" w:rsidR="00003EC5" w:rsidRPr="006D1D82" w:rsidRDefault="00003EC5" w:rsidP="0019140D">
      <w:pPr>
        <w:tabs>
          <w:tab w:val="left" w:pos="4253"/>
        </w:tabs>
        <w:overflowPunct w:val="0"/>
        <w:autoSpaceDE w:val="0"/>
        <w:autoSpaceDN w:val="0"/>
        <w:adjustRightInd w:val="0"/>
      </w:pPr>
      <w:r w:rsidRPr="006D1D82">
        <w:t xml:space="preserve">4. </w:t>
      </w:r>
      <w:r w:rsidRPr="006D1D82">
        <w:tab/>
        <w:t xml:space="preserve">Los artículos 7.1 y 7.2 tratan sobre la “Participación de otras entidades o agencias” y establecen lo siguiente: </w:t>
      </w:r>
    </w:p>
    <w:p w14:paraId="594CDA9E" w14:textId="77777777" w:rsidR="00003EC5" w:rsidRPr="006D1D82" w:rsidRDefault="00003EC5" w:rsidP="00003EC5">
      <w:pPr>
        <w:pStyle w:val="ListParagraph"/>
        <w:tabs>
          <w:tab w:val="num" w:pos="720"/>
          <w:tab w:val="left" w:pos="4253"/>
        </w:tabs>
        <w:overflowPunct w:val="0"/>
        <w:autoSpaceDE w:val="0"/>
        <w:autoSpaceDN w:val="0"/>
        <w:adjustRightInd w:val="0"/>
        <w:ind w:left="780"/>
      </w:pPr>
    </w:p>
    <w:p w14:paraId="746BB291" w14:textId="77777777" w:rsidR="00003EC5" w:rsidRPr="006D1D82" w:rsidRDefault="00003EC5" w:rsidP="00003EC5">
      <w:pPr>
        <w:tabs>
          <w:tab w:val="num" w:pos="720"/>
          <w:tab w:val="left" w:pos="4253"/>
        </w:tabs>
        <w:overflowPunct w:val="0"/>
        <w:autoSpaceDE w:val="0"/>
        <w:autoSpaceDN w:val="0"/>
        <w:adjustRightInd w:val="0"/>
        <w:ind w:left="850"/>
        <w:rPr>
          <w:i/>
        </w:rPr>
      </w:pPr>
      <w:r w:rsidRPr="006D1D82">
        <w:rPr>
          <w:i/>
        </w:rPr>
        <w:lastRenderedPageBreak/>
        <w:t>7.1.</w:t>
      </w:r>
      <w:r w:rsidRPr="006D1D82">
        <w:rPr>
          <w:i/>
        </w:rPr>
        <w:tab/>
        <w:t xml:space="preserve">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presentes en la reunión se opongan. </w:t>
      </w:r>
    </w:p>
    <w:p w14:paraId="62AE5657" w14:textId="77777777" w:rsidR="00003EC5" w:rsidRPr="006D1D82" w:rsidRDefault="00003EC5" w:rsidP="00003EC5">
      <w:pPr>
        <w:tabs>
          <w:tab w:val="num" w:pos="720"/>
          <w:tab w:val="left" w:pos="4253"/>
        </w:tabs>
        <w:overflowPunct w:val="0"/>
        <w:autoSpaceDE w:val="0"/>
        <w:autoSpaceDN w:val="0"/>
        <w:adjustRightInd w:val="0"/>
        <w:ind w:left="850"/>
        <w:rPr>
          <w:i/>
        </w:rPr>
      </w:pPr>
    </w:p>
    <w:p w14:paraId="55333693" w14:textId="77777777" w:rsidR="00003EC5" w:rsidRPr="006D1D82" w:rsidRDefault="00003EC5" w:rsidP="00003EC5">
      <w:pPr>
        <w:tabs>
          <w:tab w:val="num" w:pos="720"/>
          <w:tab w:val="left" w:pos="4253"/>
        </w:tabs>
        <w:overflowPunct w:val="0"/>
        <w:autoSpaceDE w:val="0"/>
        <w:autoSpaceDN w:val="0"/>
        <w:adjustRightInd w:val="0"/>
        <w:ind w:left="850"/>
        <w:rPr>
          <w:i/>
        </w:rPr>
      </w:pPr>
      <w:r w:rsidRPr="006D1D82">
        <w:rPr>
          <w:i/>
        </w:rPr>
        <w:t>7.2</w:t>
      </w:r>
      <w:r w:rsidRPr="006D1D82">
        <w:rPr>
          <w:i/>
        </w:rPr>
        <w:tab/>
      </w:r>
      <w:r w:rsidRPr="006D1D82">
        <w:rPr>
          <w:i/>
        </w:rPr>
        <w:tab/>
        <w:t>Las entidades o agencias que deseen ser reconocidas como observadores para asistir a reuniones de la Conferencia de las Partes deberán presentar documentación apropiada a la Secretaría tres meses antes de una reunión ordinaria y un mes antes de una reunión extraordinaria para que la estudie.</w:t>
      </w:r>
    </w:p>
    <w:p w14:paraId="7D544C01" w14:textId="31000E7C" w:rsidR="00003EC5" w:rsidRPr="006D1D82" w:rsidRDefault="00003EC5" w:rsidP="00003EC5">
      <w:pPr>
        <w:tabs>
          <w:tab w:val="left" w:pos="4253"/>
        </w:tabs>
        <w:overflowPunct w:val="0"/>
        <w:autoSpaceDE w:val="0"/>
        <w:autoSpaceDN w:val="0"/>
        <w:adjustRightInd w:val="0"/>
        <w:rPr>
          <w:rFonts w:asciiTheme="minorHAnsi" w:hAnsiTheme="minorHAnsi" w:cs="Garamond"/>
        </w:rPr>
      </w:pPr>
    </w:p>
    <w:p w14:paraId="25F4B8D4" w14:textId="3CC2295B"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r w:rsidRPr="006D1D82">
        <w:rPr>
          <w:rFonts w:asciiTheme="minorHAnsi" w:hAnsiTheme="minorHAnsi"/>
          <w:u w:val="single"/>
        </w:rPr>
        <w:t>Entidades o agencias previamente admitidas</w:t>
      </w:r>
    </w:p>
    <w:p w14:paraId="3863573C" w14:textId="77777777"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p>
    <w:p w14:paraId="561677CE" w14:textId="70401CA4" w:rsidR="00003EC5" w:rsidRPr="006D1D82" w:rsidRDefault="0019140D" w:rsidP="00003EC5">
      <w:pPr>
        <w:tabs>
          <w:tab w:val="left" w:pos="4253"/>
        </w:tabs>
        <w:overflowPunct w:val="0"/>
        <w:autoSpaceDE w:val="0"/>
        <w:autoSpaceDN w:val="0"/>
        <w:adjustRightInd w:val="0"/>
        <w:rPr>
          <w:rFonts w:asciiTheme="minorHAnsi" w:hAnsiTheme="minorHAnsi" w:cs="Garamond"/>
        </w:rPr>
      </w:pPr>
      <w:r w:rsidRPr="006D1D82">
        <w:rPr>
          <w:rFonts w:asciiTheme="minorHAnsi" w:hAnsiTheme="minorHAnsi"/>
        </w:rPr>
        <w:t>5.</w:t>
      </w:r>
      <w:r w:rsidRPr="006D1D82">
        <w:rPr>
          <w:rFonts w:asciiTheme="minorHAnsi" w:hAnsiTheme="minorHAnsi"/>
        </w:rPr>
        <w:tab/>
        <w:t xml:space="preserve">Las siguientes entidades o agencias </w:t>
      </w:r>
      <w:r w:rsidR="00F809E8" w:rsidRPr="006D1D82">
        <w:rPr>
          <w:rFonts w:asciiTheme="minorHAnsi" w:hAnsiTheme="minorHAnsi"/>
        </w:rPr>
        <w:t xml:space="preserve">previamente </w:t>
      </w:r>
      <w:r w:rsidRPr="006D1D82">
        <w:rPr>
          <w:rFonts w:asciiTheme="minorHAnsi" w:hAnsiTheme="minorHAnsi"/>
        </w:rPr>
        <w:t xml:space="preserve">admitidas para ser representadas por observadores en reuniones anteriores de la Conferencia de las Partes Contratantes se han inscrito para participar en </w:t>
      </w:r>
      <w:r w:rsidR="000A50BB">
        <w:rPr>
          <w:rFonts w:asciiTheme="minorHAnsi" w:hAnsiTheme="minorHAnsi"/>
        </w:rPr>
        <w:t xml:space="preserve">la </w:t>
      </w:r>
      <w:r w:rsidR="000A50BB" w:rsidRPr="000A50BB">
        <w:rPr>
          <w:rFonts w:asciiTheme="minorHAnsi" w:hAnsiTheme="minorHAnsi"/>
        </w:rPr>
        <w:t>SC64</w:t>
      </w:r>
      <w:r w:rsidRPr="006D1D82">
        <w:rPr>
          <w:rFonts w:asciiTheme="minorHAnsi" w:hAnsiTheme="minorHAnsi"/>
        </w:rPr>
        <w:t>:</w:t>
      </w:r>
    </w:p>
    <w:p w14:paraId="36FEFFF7" w14:textId="77777777" w:rsidR="00003EC5" w:rsidRPr="006D1D82" w:rsidRDefault="00003EC5" w:rsidP="00003EC5">
      <w:pPr>
        <w:tabs>
          <w:tab w:val="left" w:pos="4253"/>
        </w:tabs>
        <w:overflowPunct w:val="0"/>
        <w:autoSpaceDE w:val="0"/>
        <w:autoSpaceDN w:val="0"/>
        <w:adjustRightInd w:val="0"/>
        <w:rPr>
          <w:rFonts w:asciiTheme="minorHAnsi" w:hAnsiTheme="minorHAnsi" w:cs="Garamond"/>
        </w:rPr>
      </w:pPr>
    </w:p>
    <w:p w14:paraId="6FAE704F" w14:textId="501C6D90" w:rsidR="00003EC5" w:rsidRPr="006D1D82" w:rsidRDefault="00003EC5" w:rsidP="00CF1839">
      <w:pPr>
        <w:tabs>
          <w:tab w:val="left" w:pos="4253"/>
        </w:tabs>
        <w:overflowPunct w:val="0"/>
        <w:autoSpaceDE w:val="0"/>
        <w:autoSpaceDN w:val="0"/>
        <w:adjustRightInd w:val="0"/>
        <w:ind w:left="0" w:firstLine="425"/>
        <w:rPr>
          <w:u w:val="single"/>
        </w:rPr>
      </w:pPr>
      <w:r w:rsidRPr="006D1D82">
        <w:rPr>
          <w:u w:val="single"/>
        </w:rPr>
        <w:t>Intergubernamentales</w:t>
      </w:r>
    </w:p>
    <w:p w14:paraId="12176EC7" w14:textId="77777777" w:rsidR="00003EC5" w:rsidRPr="006D1D82" w:rsidRDefault="00003EC5" w:rsidP="00003EC5">
      <w:pPr>
        <w:tabs>
          <w:tab w:val="left" w:pos="4253"/>
        </w:tabs>
        <w:overflowPunct w:val="0"/>
        <w:autoSpaceDE w:val="0"/>
        <w:autoSpaceDN w:val="0"/>
        <w:adjustRightInd w:val="0"/>
        <w:ind w:left="851" w:hanging="851"/>
        <w:rPr>
          <w:rFonts w:asciiTheme="minorHAnsi" w:hAnsiTheme="minorHAnsi" w:cstheme="minorHAnsi"/>
          <w:u w:val="single"/>
        </w:rPr>
      </w:pPr>
    </w:p>
    <w:p w14:paraId="31A19E06" w14:textId="396042C6" w:rsidR="00003EC5" w:rsidRPr="00D9388D" w:rsidRDefault="004E2ADC" w:rsidP="00003EC5">
      <w:pPr>
        <w:pStyle w:val="ListParagraph"/>
        <w:numPr>
          <w:ilvl w:val="0"/>
          <w:numId w:val="30"/>
        </w:numPr>
        <w:ind w:left="850" w:hanging="425"/>
        <w:rPr>
          <w:rFonts w:asciiTheme="minorHAnsi" w:hAnsiTheme="minorHAnsi"/>
        </w:rPr>
      </w:pPr>
      <w:r w:rsidRPr="00D9388D">
        <w:rPr>
          <w:rFonts w:asciiTheme="minorHAnsi" w:hAnsiTheme="minorHAnsi"/>
        </w:rPr>
        <w:t xml:space="preserve">Unión Internacional para la Conservación de la Naturaleza </w:t>
      </w:r>
      <w:r w:rsidR="001D77EA" w:rsidRPr="00D9388D">
        <w:rPr>
          <w:rFonts w:asciiTheme="minorHAnsi" w:hAnsiTheme="minorHAnsi"/>
        </w:rPr>
        <w:t>(</w:t>
      </w:r>
      <w:r w:rsidRPr="00D9388D">
        <w:rPr>
          <w:rFonts w:asciiTheme="minorHAnsi" w:hAnsiTheme="minorHAnsi"/>
        </w:rPr>
        <w:t>UICN</w:t>
      </w:r>
      <w:r w:rsidR="001D77EA" w:rsidRPr="00D9388D">
        <w:rPr>
          <w:rFonts w:asciiTheme="minorHAnsi" w:hAnsiTheme="minorHAnsi"/>
        </w:rPr>
        <w:t>)</w:t>
      </w:r>
    </w:p>
    <w:p w14:paraId="20380C9F" w14:textId="77777777" w:rsidR="00003EC5" w:rsidRPr="006D1D82" w:rsidRDefault="00003EC5" w:rsidP="00003EC5">
      <w:pPr>
        <w:tabs>
          <w:tab w:val="left" w:pos="4253"/>
        </w:tabs>
        <w:overflowPunct w:val="0"/>
        <w:autoSpaceDE w:val="0"/>
        <w:autoSpaceDN w:val="0"/>
        <w:adjustRightInd w:val="0"/>
        <w:ind w:left="851" w:hanging="851"/>
        <w:rPr>
          <w:rFonts w:asciiTheme="minorHAnsi" w:hAnsiTheme="minorHAnsi" w:cstheme="minorHAnsi"/>
        </w:rPr>
      </w:pPr>
    </w:p>
    <w:p w14:paraId="2148EB55" w14:textId="7B889C28" w:rsidR="00003EC5" w:rsidRPr="006D1D82" w:rsidRDefault="00003EC5" w:rsidP="00CF1839">
      <w:pPr>
        <w:tabs>
          <w:tab w:val="left" w:pos="4253"/>
        </w:tabs>
        <w:overflowPunct w:val="0"/>
        <w:autoSpaceDE w:val="0"/>
        <w:autoSpaceDN w:val="0"/>
        <w:adjustRightInd w:val="0"/>
        <w:ind w:left="0" w:firstLine="425"/>
        <w:rPr>
          <w:u w:val="single"/>
        </w:rPr>
      </w:pPr>
      <w:r w:rsidRPr="006D1D82">
        <w:rPr>
          <w:u w:val="single"/>
        </w:rPr>
        <w:t>No gubernamentales</w:t>
      </w:r>
    </w:p>
    <w:p w14:paraId="5AE3A541" w14:textId="77777777" w:rsidR="000506B3" w:rsidRPr="006D1D82" w:rsidRDefault="000506B3" w:rsidP="00003EC5">
      <w:pPr>
        <w:tabs>
          <w:tab w:val="left" w:pos="4253"/>
        </w:tabs>
        <w:overflowPunct w:val="0"/>
        <w:autoSpaceDE w:val="0"/>
        <w:autoSpaceDN w:val="0"/>
        <w:adjustRightInd w:val="0"/>
        <w:ind w:left="851" w:hanging="851"/>
        <w:rPr>
          <w:rFonts w:asciiTheme="minorHAnsi" w:hAnsiTheme="minorHAnsi" w:cstheme="minorHAnsi"/>
          <w:u w:val="single"/>
        </w:rPr>
      </w:pPr>
    </w:p>
    <w:p w14:paraId="004BA2E3" w14:textId="77777777" w:rsidR="0081590D" w:rsidRPr="00D9388D" w:rsidRDefault="0081590D" w:rsidP="00D9388D">
      <w:pPr>
        <w:pStyle w:val="ListParagraph"/>
        <w:numPr>
          <w:ilvl w:val="0"/>
          <w:numId w:val="30"/>
        </w:numPr>
        <w:ind w:left="850" w:hanging="425"/>
        <w:rPr>
          <w:rFonts w:asciiTheme="minorHAnsi" w:hAnsiTheme="minorHAnsi"/>
        </w:rPr>
      </w:pPr>
      <w:r w:rsidRPr="00D9388D">
        <w:rPr>
          <w:rFonts w:asciiTheme="minorHAnsi" w:hAnsiTheme="minorHAnsi"/>
        </w:rPr>
        <w:t>BirdLife International</w:t>
      </w:r>
    </w:p>
    <w:p w14:paraId="70B48127" w14:textId="77777777" w:rsidR="0081590D" w:rsidRPr="00D9388D" w:rsidRDefault="0081590D" w:rsidP="00D9388D">
      <w:pPr>
        <w:pStyle w:val="ListParagraph"/>
        <w:numPr>
          <w:ilvl w:val="0"/>
          <w:numId w:val="30"/>
        </w:numPr>
        <w:ind w:left="850" w:hanging="425"/>
        <w:rPr>
          <w:rFonts w:asciiTheme="minorHAnsi" w:hAnsiTheme="minorHAnsi"/>
        </w:rPr>
      </w:pPr>
      <w:r w:rsidRPr="00D9388D">
        <w:rPr>
          <w:rFonts w:asciiTheme="minorHAnsi" w:hAnsiTheme="minorHAnsi"/>
        </w:rPr>
        <w:t>ONG APES</w:t>
      </w:r>
    </w:p>
    <w:p w14:paraId="57CBB931" w14:textId="77777777" w:rsidR="0081590D" w:rsidRPr="00D9388D" w:rsidRDefault="0081590D" w:rsidP="00D9388D">
      <w:pPr>
        <w:pStyle w:val="ListParagraph"/>
        <w:numPr>
          <w:ilvl w:val="0"/>
          <w:numId w:val="30"/>
        </w:numPr>
        <w:ind w:left="850" w:hanging="425"/>
        <w:rPr>
          <w:rFonts w:asciiTheme="minorHAnsi" w:hAnsiTheme="minorHAnsi"/>
        </w:rPr>
      </w:pPr>
      <w:r w:rsidRPr="00D9388D">
        <w:rPr>
          <w:rFonts w:asciiTheme="minorHAnsi" w:hAnsiTheme="minorHAnsi"/>
        </w:rPr>
        <w:t>Ramsar Regional Center - East Asia</w:t>
      </w:r>
    </w:p>
    <w:p w14:paraId="3D8C76FA" w14:textId="77777777" w:rsidR="0081590D" w:rsidRPr="00D9388D" w:rsidRDefault="0081590D" w:rsidP="00D9388D">
      <w:pPr>
        <w:pStyle w:val="ListParagraph"/>
        <w:numPr>
          <w:ilvl w:val="0"/>
          <w:numId w:val="30"/>
        </w:numPr>
        <w:ind w:left="850" w:hanging="425"/>
        <w:rPr>
          <w:rFonts w:asciiTheme="minorHAnsi" w:hAnsiTheme="minorHAnsi"/>
        </w:rPr>
      </w:pPr>
      <w:r w:rsidRPr="00D9388D">
        <w:rPr>
          <w:rFonts w:asciiTheme="minorHAnsi" w:hAnsiTheme="minorHAnsi"/>
        </w:rPr>
        <w:t>Wetlands International</w:t>
      </w:r>
    </w:p>
    <w:p w14:paraId="50BD170E" w14:textId="77777777" w:rsidR="0081590D" w:rsidRPr="00D9388D" w:rsidRDefault="0081590D" w:rsidP="0081590D">
      <w:pPr>
        <w:pStyle w:val="ListParagraph"/>
        <w:numPr>
          <w:ilvl w:val="0"/>
          <w:numId w:val="30"/>
        </w:numPr>
        <w:ind w:left="850" w:hanging="425"/>
        <w:rPr>
          <w:rFonts w:asciiTheme="minorHAnsi" w:hAnsiTheme="minorHAnsi"/>
        </w:rPr>
      </w:pPr>
      <w:r w:rsidRPr="00D9388D">
        <w:rPr>
          <w:rFonts w:asciiTheme="minorHAnsi" w:hAnsiTheme="minorHAnsi"/>
        </w:rPr>
        <w:t>Wetlands International Japan</w:t>
      </w:r>
    </w:p>
    <w:p w14:paraId="012A63CF" w14:textId="77777777" w:rsidR="0081590D" w:rsidRPr="00D9388D" w:rsidRDefault="0081590D" w:rsidP="0081590D">
      <w:pPr>
        <w:pStyle w:val="ListParagraph"/>
        <w:numPr>
          <w:ilvl w:val="0"/>
          <w:numId w:val="30"/>
        </w:numPr>
        <w:ind w:left="850" w:hanging="425"/>
        <w:rPr>
          <w:rFonts w:asciiTheme="minorHAnsi" w:hAnsiTheme="minorHAnsi"/>
        </w:rPr>
      </w:pPr>
      <w:r w:rsidRPr="00D9388D">
        <w:rPr>
          <w:rFonts w:asciiTheme="minorHAnsi" w:hAnsiTheme="minorHAnsi"/>
        </w:rPr>
        <w:t>Wildfowl &amp; Wetlands Trust (WWT)</w:t>
      </w:r>
    </w:p>
    <w:p w14:paraId="2AD03A45" w14:textId="77777777" w:rsidR="00DF756C" w:rsidRPr="006D1D82" w:rsidRDefault="00DF756C" w:rsidP="00DF756C">
      <w:pPr>
        <w:keepNext/>
        <w:tabs>
          <w:tab w:val="left" w:pos="4253"/>
        </w:tabs>
        <w:overflowPunct w:val="0"/>
        <w:autoSpaceDE w:val="0"/>
        <w:autoSpaceDN w:val="0"/>
        <w:adjustRightInd w:val="0"/>
        <w:rPr>
          <w:rFonts w:asciiTheme="minorHAnsi" w:hAnsiTheme="minorHAnsi" w:cs="Garamond"/>
          <w:b/>
          <w:bCs/>
          <w:u w:val="single"/>
        </w:rPr>
      </w:pPr>
    </w:p>
    <w:p w14:paraId="1B8A9C28" w14:textId="155D297E"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r w:rsidRPr="006D1D82">
        <w:rPr>
          <w:rFonts w:asciiTheme="minorHAnsi" w:hAnsiTheme="minorHAnsi"/>
          <w:u w:val="single"/>
        </w:rPr>
        <w:t>Entidades o agencias que han solicitado su aprobación para participar y cumplen los criterios</w:t>
      </w:r>
    </w:p>
    <w:p w14:paraId="2F956101" w14:textId="7D0E85DC"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p>
    <w:p w14:paraId="10B73F3B" w14:textId="7E40DAA1" w:rsidR="00003EC5" w:rsidRPr="006D1D82" w:rsidRDefault="0019140D" w:rsidP="00003EC5">
      <w:pPr>
        <w:tabs>
          <w:tab w:val="left" w:pos="4253"/>
        </w:tabs>
        <w:overflowPunct w:val="0"/>
        <w:autoSpaceDE w:val="0"/>
        <w:autoSpaceDN w:val="0"/>
        <w:adjustRightInd w:val="0"/>
        <w:rPr>
          <w:rFonts w:asciiTheme="minorHAnsi" w:hAnsiTheme="minorHAnsi" w:cs="Garamond"/>
        </w:rPr>
      </w:pPr>
      <w:r w:rsidRPr="006D1D82">
        <w:rPr>
          <w:rFonts w:asciiTheme="minorHAnsi" w:hAnsiTheme="minorHAnsi"/>
        </w:rPr>
        <w:t>6.</w:t>
      </w:r>
      <w:r w:rsidRPr="006D1D82">
        <w:rPr>
          <w:rFonts w:asciiTheme="minorHAnsi" w:hAnsiTheme="minorHAnsi"/>
        </w:rPr>
        <w:tab/>
        <w:t>Las siguientes entidades o agencias han informado a la Secretaría de su deseo de ser reconocidas como observadores con arreglo al artículo 7.</w:t>
      </w:r>
      <w:r w:rsidR="007E4AC1">
        <w:rPr>
          <w:rFonts w:asciiTheme="minorHAnsi" w:hAnsiTheme="minorHAnsi"/>
        </w:rPr>
        <w:t>1</w:t>
      </w:r>
      <w:r w:rsidRPr="006D1D82">
        <w:rPr>
          <w:rFonts w:asciiTheme="minorHAnsi" w:hAnsiTheme="minorHAnsi"/>
        </w:rPr>
        <w:t>:</w:t>
      </w:r>
    </w:p>
    <w:p w14:paraId="2F63F040" w14:textId="77777777" w:rsidR="007C1269" w:rsidRPr="006D1D82" w:rsidRDefault="007C1269" w:rsidP="00003EC5">
      <w:pPr>
        <w:tabs>
          <w:tab w:val="left" w:pos="4253"/>
        </w:tabs>
        <w:overflowPunct w:val="0"/>
        <w:autoSpaceDE w:val="0"/>
        <w:autoSpaceDN w:val="0"/>
        <w:adjustRightInd w:val="0"/>
        <w:rPr>
          <w:rFonts w:asciiTheme="minorHAnsi" w:hAnsiTheme="minorHAnsi" w:cs="Garamond"/>
        </w:rPr>
      </w:pPr>
    </w:p>
    <w:p w14:paraId="367D9E1C" w14:textId="77777777" w:rsidR="00FC53DB" w:rsidRPr="00D9388D" w:rsidRDefault="00FC53DB" w:rsidP="00D9388D">
      <w:pPr>
        <w:pStyle w:val="ListParagraph"/>
        <w:numPr>
          <w:ilvl w:val="0"/>
          <w:numId w:val="30"/>
        </w:numPr>
        <w:ind w:left="850" w:hanging="425"/>
        <w:rPr>
          <w:rFonts w:asciiTheme="minorHAnsi" w:hAnsiTheme="minorHAnsi"/>
        </w:rPr>
      </w:pPr>
      <w:r w:rsidRPr="00D9388D">
        <w:rPr>
          <w:rFonts w:asciiTheme="minorHAnsi" w:hAnsiTheme="minorHAnsi"/>
        </w:rPr>
        <w:t>Arcus reflexus</w:t>
      </w:r>
    </w:p>
    <w:p w14:paraId="0C2774DD" w14:textId="77777777" w:rsidR="00FC53DB" w:rsidRPr="00384190" w:rsidRDefault="00FC53DB" w:rsidP="00D9388D">
      <w:pPr>
        <w:pStyle w:val="ListParagraph"/>
        <w:numPr>
          <w:ilvl w:val="0"/>
          <w:numId w:val="30"/>
        </w:numPr>
        <w:ind w:left="850" w:hanging="425"/>
        <w:rPr>
          <w:rFonts w:asciiTheme="minorHAnsi" w:hAnsiTheme="minorHAnsi"/>
          <w:lang w:val="en-GB"/>
        </w:rPr>
      </w:pPr>
      <w:r w:rsidRPr="00384190">
        <w:rPr>
          <w:rFonts w:asciiTheme="minorHAnsi" w:hAnsiTheme="minorHAnsi"/>
          <w:lang w:val="en-GB"/>
        </w:rPr>
        <w:t>Environment and Food Foundation (E2F)</w:t>
      </w:r>
    </w:p>
    <w:p w14:paraId="61016212" w14:textId="21778CCB" w:rsidR="00003EC5" w:rsidRPr="00FC53DB" w:rsidRDefault="00003EC5" w:rsidP="00003EC5">
      <w:pPr>
        <w:tabs>
          <w:tab w:val="left" w:pos="4253"/>
        </w:tabs>
        <w:overflowPunct w:val="0"/>
        <w:autoSpaceDE w:val="0"/>
        <w:autoSpaceDN w:val="0"/>
        <w:adjustRightInd w:val="0"/>
        <w:rPr>
          <w:rFonts w:asciiTheme="minorHAnsi" w:hAnsiTheme="minorHAnsi" w:cs="Garamond"/>
          <w:lang w:val="en-GB"/>
        </w:rPr>
      </w:pPr>
    </w:p>
    <w:p w14:paraId="654138B0" w14:textId="77777777" w:rsidR="00003EC5" w:rsidRPr="006D1D82" w:rsidRDefault="00003EC5" w:rsidP="00003EC5">
      <w:pPr>
        <w:keepNext/>
        <w:tabs>
          <w:tab w:val="left" w:pos="4253"/>
        </w:tabs>
        <w:overflowPunct w:val="0"/>
        <w:autoSpaceDE w:val="0"/>
        <w:autoSpaceDN w:val="0"/>
        <w:adjustRightInd w:val="0"/>
        <w:rPr>
          <w:rFonts w:asciiTheme="minorHAnsi" w:hAnsiTheme="minorHAnsi" w:cs="Garamond"/>
          <w:b/>
        </w:rPr>
      </w:pPr>
      <w:r w:rsidRPr="006D1D82">
        <w:rPr>
          <w:rFonts w:asciiTheme="minorHAnsi" w:hAnsiTheme="minorHAnsi"/>
          <w:b/>
        </w:rPr>
        <w:t>Recomendación</w:t>
      </w:r>
    </w:p>
    <w:p w14:paraId="1228ACD4" w14:textId="77777777" w:rsidR="00003EC5" w:rsidRPr="006D1D82" w:rsidRDefault="00003EC5" w:rsidP="00003EC5">
      <w:pPr>
        <w:keepNext/>
        <w:tabs>
          <w:tab w:val="left" w:pos="4253"/>
        </w:tabs>
        <w:overflowPunct w:val="0"/>
        <w:autoSpaceDE w:val="0"/>
        <w:autoSpaceDN w:val="0"/>
        <w:adjustRightInd w:val="0"/>
        <w:rPr>
          <w:rFonts w:asciiTheme="minorHAnsi" w:hAnsiTheme="minorHAnsi" w:cs="Garamond"/>
        </w:rPr>
      </w:pPr>
    </w:p>
    <w:p w14:paraId="3D7B0DBE" w14:textId="7FD4C26F" w:rsidR="00003EC5" w:rsidRPr="001653B2" w:rsidRDefault="0081590D" w:rsidP="0019140D">
      <w:pPr>
        <w:keepNext/>
        <w:tabs>
          <w:tab w:val="left" w:pos="1276"/>
        </w:tabs>
        <w:overflowPunct w:val="0"/>
        <w:autoSpaceDE w:val="0"/>
        <w:autoSpaceDN w:val="0"/>
        <w:adjustRightInd w:val="0"/>
        <w:rPr>
          <w:rFonts w:asciiTheme="minorHAnsi" w:hAnsiTheme="minorHAnsi" w:cs="Garamond"/>
        </w:rPr>
      </w:pPr>
      <w:r>
        <w:rPr>
          <w:rFonts w:asciiTheme="minorHAnsi" w:hAnsiTheme="minorHAnsi"/>
        </w:rPr>
        <w:t>7</w:t>
      </w:r>
      <w:r w:rsidR="0019140D" w:rsidRPr="006D1D82">
        <w:rPr>
          <w:rFonts w:asciiTheme="minorHAnsi" w:hAnsiTheme="minorHAnsi"/>
        </w:rPr>
        <w:t>.</w:t>
      </w:r>
      <w:r w:rsidR="0019140D" w:rsidRPr="006D1D82">
        <w:rPr>
          <w:rFonts w:asciiTheme="minorHAnsi" w:hAnsiTheme="minorHAnsi"/>
        </w:rPr>
        <w:tab/>
        <w:t xml:space="preserve">La Presidencia del Comité Permanente invita a los Estados y organizaciones enumeradas en </w:t>
      </w:r>
      <w:r w:rsidR="005574B6" w:rsidRPr="006D1D82">
        <w:rPr>
          <w:rFonts w:asciiTheme="minorHAnsi" w:hAnsiTheme="minorHAnsi"/>
        </w:rPr>
        <w:t>el</w:t>
      </w:r>
      <w:r w:rsidR="0019140D" w:rsidRPr="006D1D82">
        <w:rPr>
          <w:rFonts w:asciiTheme="minorHAnsi" w:hAnsiTheme="minorHAnsi"/>
        </w:rPr>
        <w:t xml:space="preserve"> párrafo</w:t>
      </w:r>
      <w:r w:rsidR="005574B6" w:rsidRPr="006D1D82">
        <w:rPr>
          <w:rFonts w:asciiTheme="minorHAnsi" w:hAnsiTheme="minorHAnsi"/>
        </w:rPr>
        <w:t> </w:t>
      </w:r>
      <w:r w:rsidR="0019140D" w:rsidRPr="006D1D82">
        <w:rPr>
          <w:rFonts w:asciiTheme="minorHAnsi" w:hAnsiTheme="minorHAnsi"/>
        </w:rPr>
        <w:t>6 a estar representadas por observadores en la reunión salvo que un tercio de las Partes presentes se opongan.</w:t>
      </w:r>
    </w:p>
    <w:sectPr w:rsidR="00003EC5" w:rsidRPr="001653B2"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3470" w14:textId="77777777" w:rsidR="00F0599E" w:rsidRDefault="00F0599E" w:rsidP="00DF2386">
      <w:r>
        <w:separator/>
      </w:r>
    </w:p>
  </w:endnote>
  <w:endnote w:type="continuationSeparator" w:id="0">
    <w:p w14:paraId="5004775A" w14:textId="77777777" w:rsidR="00F0599E" w:rsidRDefault="00F0599E" w:rsidP="00DF2386">
      <w:r>
        <w:continuationSeparator/>
      </w:r>
    </w:p>
  </w:endnote>
  <w:endnote w:type="continuationNotice" w:id="1">
    <w:p w14:paraId="45F27982" w14:textId="77777777" w:rsidR="00F0599E" w:rsidRDefault="00F05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3E18" w14:textId="2034072D" w:rsidR="00F73E71" w:rsidRDefault="004872F2" w:rsidP="002137E0">
    <w:pPr>
      <w:pStyle w:val="Header"/>
      <w:rPr>
        <w:noProof/>
      </w:rPr>
    </w:pPr>
    <w:r w:rsidRPr="006D1D82">
      <w:rPr>
        <w:sz w:val="20"/>
      </w:rPr>
      <w:t>SC6</w:t>
    </w:r>
    <w:r w:rsidR="00956635">
      <w:rPr>
        <w:sz w:val="20"/>
      </w:rPr>
      <w:t>4</w:t>
    </w:r>
    <w:r w:rsidR="00003EC5" w:rsidRPr="006D1D82">
      <w:rPr>
        <w:sz w:val="20"/>
      </w:rPr>
      <w:t xml:space="preserve"> Doc.4</w:t>
    </w:r>
    <w:r w:rsidR="00003EC5" w:rsidRPr="006D1D82">
      <w:tab/>
    </w:r>
    <w:r w:rsidR="00003EC5" w:rsidRPr="006D1D82">
      <w:tab/>
    </w:r>
    <w:sdt>
      <w:sdtPr>
        <w:id w:val="-1790969534"/>
        <w:docPartObj>
          <w:docPartGallery w:val="Page Numbers (Top of Page)"/>
          <w:docPartUnique/>
        </w:docPartObj>
      </w:sdtPr>
      <w:sdtEndPr>
        <w:rPr>
          <w:noProof/>
        </w:rPr>
      </w:sdtEndPr>
      <w:sdtContent>
        <w:r w:rsidR="00F73E71" w:rsidRPr="006D1D82">
          <w:rPr>
            <w:sz w:val="20"/>
          </w:rPr>
          <w:fldChar w:fldCharType="begin"/>
        </w:r>
        <w:r w:rsidR="00F73E71" w:rsidRPr="006D1D82">
          <w:rPr>
            <w:sz w:val="20"/>
          </w:rPr>
          <w:instrText xml:space="preserve"> PAGE   \* MERGEFORMAT </w:instrText>
        </w:r>
        <w:r w:rsidR="00F73E71" w:rsidRPr="006D1D82">
          <w:rPr>
            <w:sz w:val="20"/>
          </w:rPr>
          <w:fldChar w:fldCharType="separate"/>
        </w:r>
        <w:r w:rsidR="008E65D6" w:rsidRPr="006D1D82">
          <w:rPr>
            <w:noProof/>
            <w:sz w:val="20"/>
          </w:rPr>
          <w:t>3</w:t>
        </w:r>
        <w:r w:rsidR="00F73E71" w:rsidRPr="006D1D82">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96C66" w14:textId="77777777" w:rsidR="00F0599E" w:rsidRDefault="00F0599E" w:rsidP="00DF2386">
      <w:r>
        <w:separator/>
      </w:r>
    </w:p>
  </w:footnote>
  <w:footnote w:type="continuationSeparator" w:id="0">
    <w:p w14:paraId="3B55A423" w14:textId="77777777" w:rsidR="00F0599E" w:rsidRDefault="00F0599E" w:rsidP="00DF2386">
      <w:r>
        <w:continuationSeparator/>
      </w:r>
    </w:p>
  </w:footnote>
  <w:footnote w:type="continuationNotice" w:id="1">
    <w:p w14:paraId="4999F7A8" w14:textId="77777777" w:rsidR="00F0599E" w:rsidRDefault="00F0599E"/>
  </w:footnote>
  <w:footnote w:id="2">
    <w:p w14:paraId="02966C66" w14:textId="2EC91896" w:rsidR="001D0214" w:rsidRDefault="001D0214" w:rsidP="001D0214">
      <w:pPr>
        <w:pStyle w:val="CommentText"/>
        <w:ind w:left="0" w:firstLine="0"/>
      </w:pPr>
      <w:r>
        <w:rPr>
          <w:rStyle w:val="FootnoteReference"/>
        </w:rPr>
        <w:footnoteRef/>
      </w:r>
      <w:r w:rsidRPr="00717C0C">
        <w:rPr>
          <w:lang w:val="fr-FR"/>
        </w:rPr>
        <w:t xml:space="preserve"> Véase </w:t>
      </w:r>
      <w:hyperlink r:id="rId1" w:history="1">
        <w:r w:rsidR="008E65D6" w:rsidRPr="004872F2">
          <w:rPr>
            <w:rStyle w:val="Hyperlink"/>
            <w:lang w:val="fr-FR"/>
          </w:rPr>
          <w:t>https://www.ramsar.org/es/document/reglamento-de-ramsar-cop14</w:t>
        </w:r>
      </w:hyperlink>
      <w:r w:rsidRPr="00717C0C">
        <w:rPr>
          <w:lang w:val="fr-FR"/>
        </w:rPr>
        <w:t xml:space="preserve">. </w:t>
      </w:r>
      <w:r>
        <w:t xml:space="preserve">Artículo 25.5: “A menos que la Conferencia de las Partes decida otra cosa, el presente reglamento se aplicará </w:t>
      </w:r>
      <w:r>
        <w:rPr>
          <w:i/>
        </w:rPr>
        <w:t xml:space="preserve">mutatis mutandis </w:t>
      </w:r>
      <w:r>
        <w:t>a las actuaciones de los órganos subsidiarios”.</w:t>
      </w:r>
    </w:p>
    <w:p w14:paraId="70F8D305" w14:textId="4AB45EF7" w:rsidR="001D0214" w:rsidRDefault="001D02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510B" w14:textId="77777777" w:rsidR="00F73E71" w:rsidRDefault="00F73E71">
    <w:pPr>
      <w:pStyle w:val="Header"/>
    </w:pPr>
  </w:p>
  <w:p w14:paraId="52EC08B5"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A22D5"/>
    <w:multiLevelType w:val="hybridMultilevel"/>
    <w:tmpl w:val="1772E49A"/>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851185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679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64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701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494647">
    <w:abstractNumId w:val="16"/>
  </w:num>
  <w:num w:numId="6" w16cid:durableId="1490898294">
    <w:abstractNumId w:val="26"/>
  </w:num>
  <w:num w:numId="7" w16cid:durableId="778764704">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683481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78546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782149">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496042">
    <w:abstractNumId w:val="26"/>
  </w:num>
  <w:num w:numId="12" w16cid:durableId="1724017228">
    <w:abstractNumId w:val="5"/>
  </w:num>
  <w:num w:numId="13" w16cid:durableId="454754532">
    <w:abstractNumId w:val="17"/>
  </w:num>
  <w:num w:numId="14" w16cid:durableId="351763408">
    <w:abstractNumId w:val="12"/>
  </w:num>
  <w:num w:numId="15" w16cid:durableId="1619988168">
    <w:abstractNumId w:val="2"/>
  </w:num>
  <w:num w:numId="16" w16cid:durableId="1833910555">
    <w:abstractNumId w:val="14"/>
  </w:num>
  <w:num w:numId="17" w16cid:durableId="1923055512">
    <w:abstractNumId w:val="19"/>
  </w:num>
  <w:num w:numId="18" w16cid:durableId="178585721">
    <w:abstractNumId w:val="30"/>
  </w:num>
  <w:num w:numId="19" w16cid:durableId="965702120">
    <w:abstractNumId w:val="28"/>
  </w:num>
  <w:num w:numId="20" w16cid:durableId="837617238">
    <w:abstractNumId w:val="21"/>
  </w:num>
  <w:num w:numId="21" w16cid:durableId="1727218987">
    <w:abstractNumId w:val="23"/>
  </w:num>
  <w:num w:numId="22" w16cid:durableId="1140146327">
    <w:abstractNumId w:val="15"/>
  </w:num>
  <w:num w:numId="23" w16cid:durableId="801534241">
    <w:abstractNumId w:val="20"/>
  </w:num>
  <w:num w:numId="24" w16cid:durableId="1917010963">
    <w:abstractNumId w:val="18"/>
  </w:num>
  <w:num w:numId="25" w16cid:durableId="1578633441">
    <w:abstractNumId w:val="27"/>
  </w:num>
  <w:num w:numId="26" w16cid:durableId="137917521">
    <w:abstractNumId w:val="9"/>
  </w:num>
  <w:num w:numId="27" w16cid:durableId="609047051">
    <w:abstractNumId w:val="0"/>
  </w:num>
  <w:num w:numId="28" w16cid:durableId="1540168370">
    <w:abstractNumId w:val="11"/>
  </w:num>
  <w:num w:numId="29" w16cid:durableId="405807979">
    <w:abstractNumId w:val="3"/>
  </w:num>
  <w:num w:numId="30" w16cid:durableId="340739312">
    <w:abstractNumId w:val="25"/>
  </w:num>
  <w:num w:numId="31" w16cid:durableId="1348868739">
    <w:abstractNumId w:val="24"/>
  </w:num>
  <w:num w:numId="32" w16cid:durableId="1814325477">
    <w:abstractNumId w:val="1"/>
  </w:num>
  <w:num w:numId="33" w16cid:durableId="1113596818">
    <w:abstractNumId w:val="4"/>
  </w:num>
  <w:num w:numId="34" w16cid:durableId="12315012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925"/>
    <w:rsid w:val="00001FD6"/>
    <w:rsid w:val="00003EC5"/>
    <w:rsid w:val="000126C2"/>
    <w:rsid w:val="00014168"/>
    <w:rsid w:val="00017A16"/>
    <w:rsid w:val="00026E09"/>
    <w:rsid w:val="00037CE0"/>
    <w:rsid w:val="000506B3"/>
    <w:rsid w:val="00053929"/>
    <w:rsid w:val="00055EDE"/>
    <w:rsid w:val="00074DE8"/>
    <w:rsid w:val="000A3E3E"/>
    <w:rsid w:val="000A50BB"/>
    <w:rsid w:val="000C2489"/>
    <w:rsid w:val="000D5C76"/>
    <w:rsid w:val="000E2FA0"/>
    <w:rsid w:val="000E47E9"/>
    <w:rsid w:val="0012096C"/>
    <w:rsid w:val="00127828"/>
    <w:rsid w:val="00161BDA"/>
    <w:rsid w:val="001653B2"/>
    <w:rsid w:val="00171618"/>
    <w:rsid w:val="001819B1"/>
    <w:rsid w:val="001836CF"/>
    <w:rsid w:val="0019140D"/>
    <w:rsid w:val="00196626"/>
    <w:rsid w:val="001A15C1"/>
    <w:rsid w:val="001A2D10"/>
    <w:rsid w:val="001C5E41"/>
    <w:rsid w:val="001C6507"/>
    <w:rsid w:val="001C6B7A"/>
    <w:rsid w:val="001C77BC"/>
    <w:rsid w:val="001D0214"/>
    <w:rsid w:val="001D11D6"/>
    <w:rsid w:val="001D32F7"/>
    <w:rsid w:val="001D48BB"/>
    <w:rsid w:val="001D7384"/>
    <w:rsid w:val="001D77EA"/>
    <w:rsid w:val="001E00E3"/>
    <w:rsid w:val="001F232D"/>
    <w:rsid w:val="001F2349"/>
    <w:rsid w:val="001F34F3"/>
    <w:rsid w:val="001F7960"/>
    <w:rsid w:val="002005D2"/>
    <w:rsid w:val="0020298B"/>
    <w:rsid w:val="00202CF0"/>
    <w:rsid w:val="00206111"/>
    <w:rsid w:val="0020785B"/>
    <w:rsid w:val="002137E0"/>
    <w:rsid w:val="00215CE5"/>
    <w:rsid w:val="002220B8"/>
    <w:rsid w:val="00235550"/>
    <w:rsid w:val="002524AC"/>
    <w:rsid w:val="002532E1"/>
    <w:rsid w:val="002542CC"/>
    <w:rsid w:val="00264A76"/>
    <w:rsid w:val="002741AC"/>
    <w:rsid w:val="00275F13"/>
    <w:rsid w:val="002819C0"/>
    <w:rsid w:val="00295556"/>
    <w:rsid w:val="00295BB5"/>
    <w:rsid w:val="002A5A4D"/>
    <w:rsid w:val="002A7D18"/>
    <w:rsid w:val="002B4262"/>
    <w:rsid w:val="002B61E4"/>
    <w:rsid w:val="002C1C57"/>
    <w:rsid w:val="002D5A4D"/>
    <w:rsid w:val="002E22AF"/>
    <w:rsid w:val="002E661D"/>
    <w:rsid w:val="002F6155"/>
    <w:rsid w:val="00305134"/>
    <w:rsid w:val="003212D3"/>
    <w:rsid w:val="00324398"/>
    <w:rsid w:val="00346DB9"/>
    <w:rsid w:val="00347968"/>
    <w:rsid w:val="00354F81"/>
    <w:rsid w:val="003603B3"/>
    <w:rsid w:val="00362AAF"/>
    <w:rsid w:val="003834AF"/>
    <w:rsid w:val="00384190"/>
    <w:rsid w:val="00384FC3"/>
    <w:rsid w:val="003A3804"/>
    <w:rsid w:val="003A483C"/>
    <w:rsid w:val="003A52BE"/>
    <w:rsid w:val="003A5866"/>
    <w:rsid w:val="003A6E9F"/>
    <w:rsid w:val="003C1C62"/>
    <w:rsid w:val="003C3363"/>
    <w:rsid w:val="003D4CD6"/>
    <w:rsid w:val="003E3E0B"/>
    <w:rsid w:val="003E647E"/>
    <w:rsid w:val="004228C7"/>
    <w:rsid w:val="0042798B"/>
    <w:rsid w:val="00434913"/>
    <w:rsid w:val="004474F8"/>
    <w:rsid w:val="00460A79"/>
    <w:rsid w:val="00477550"/>
    <w:rsid w:val="004844A8"/>
    <w:rsid w:val="00485E51"/>
    <w:rsid w:val="004872F2"/>
    <w:rsid w:val="00496803"/>
    <w:rsid w:val="004A3109"/>
    <w:rsid w:val="004B6688"/>
    <w:rsid w:val="004C4986"/>
    <w:rsid w:val="004C74CC"/>
    <w:rsid w:val="004D10A0"/>
    <w:rsid w:val="004E2ADC"/>
    <w:rsid w:val="00511010"/>
    <w:rsid w:val="00511E87"/>
    <w:rsid w:val="00522A56"/>
    <w:rsid w:val="005244A4"/>
    <w:rsid w:val="00527080"/>
    <w:rsid w:val="00527783"/>
    <w:rsid w:val="0053382A"/>
    <w:rsid w:val="00543F37"/>
    <w:rsid w:val="00551815"/>
    <w:rsid w:val="005574B6"/>
    <w:rsid w:val="0056506F"/>
    <w:rsid w:val="005814B5"/>
    <w:rsid w:val="005A09F9"/>
    <w:rsid w:val="005D3E9D"/>
    <w:rsid w:val="005D654B"/>
    <w:rsid w:val="00614665"/>
    <w:rsid w:val="006256D3"/>
    <w:rsid w:val="00627BB7"/>
    <w:rsid w:val="00644A13"/>
    <w:rsid w:val="0065136E"/>
    <w:rsid w:val="00670D71"/>
    <w:rsid w:val="0067137C"/>
    <w:rsid w:val="00695B7D"/>
    <w:rsid w:val="006B13C3"/>
    <w:rsid w:val="006D1D82"/>
    <w:rsid w:val="006E7DCE"/>
    <w:rsid w:val="007050FF"/>
    <w:rsid w:val="00717C0C"/>
    <w:rsid w:val="007459E6"/>
    <w:rsid w:val="00752764"/>
    <w:rsid w:val="00766962"/>
    <w:rsid w:val="00775287"/>
    <w:rsid w:val="00776AC5"/>
    <w:rsid w:val="00790285"/>
    <w:rsid w:val="00793E3C"/>
    <w:rsid w:val="0079657A"/>
    <w:rsid w:val="007A026A"/>
    <w:rsid w:val="007A06E6"/>
    <w:rsid w:val="007A6C65"/>
    <w:rsid w:val="007C1269"/>
    <w:rsid w:val="007D33F4"/>
    <w:rsid w:val="007D63AD"/>
    <w:rsid w:val="007E4AC1"/>
    <w:rsid w:val="007F2FB3"/>
    <w:rsid w:val="007F3ABE"/>
    <w:rsid w:val="00806F5B"/>
    <w:rsid w:val="0081590D"/>
    <w:rsid w:val="008328E9"/>
    <w:rsid w:val="00835BCB"/>
    <w:rsid w:val="00835CDC"/>
    <w:rsid w:val="00841B3B"/>
    <w:rsid w:val="00844BA6"/>
    <w:rsid w:val="008462D4"/>
    <w:rsid w:val="00850B09"/>
    <w:rsid w:val="00855517"/>
    <w:rsid w:val="00863B9D"/>
    <w:rsid w:val="00863BE6"/>
    <w:rsid w:val="008775BC"/>
    <w:rsid w:val="00882F1B"/>
    <w:rsid w:val="008A29A0"/>
    <w:rsid w:val="008A70CE"/>
    <w:rsid w:val="008B2C40"/>
    <w:rsid w:val="008C25E4"/>
    <w:rsid w:val="008C2DAE"/>
    <w:rsid w:val="008E65D6"/>
    <w:rsid w:val="008F7026"/>
    <w:rsid w:val="009059A9"/>
    <w:rsid w:val="0092515E"/>
    <w:rsid w:val="00941271"/>
    <w:rsid w:val="00942FBD"/>
    <w:rsid w:val="009476DD"/>
    <w:rsid w:val="0094770B"/>
    <w:rsid w:val="0095515C"/>
    <w:rsid w:val="00956635"/>
    <w:rsid w:val="0096527E"/>
    <w:rsid w:val="009666C7"/>
    <w:rsid w:val="00971EBA"/>
    <w:rsid w:val="009727D2"/>
    <w:rsid w:val="00985DED"/>
    <w:rsid w:val="00986253"/>
    <w:rsid w:val="009B2267"/>
    <w:rsid w:val="009B4F95"/>
    <w:rsid w:val="009C5918"/>
    <w:rsid w:val="009D1FE4"/>
    <w:rsid w:val="009D5BAF"/>
    <w:rsid w:val="009E0AE8"/>
    <w:rsid w:val="009E5374"/>
    <w:rsid w:val="009F345D"/>
    <w:rsid w:val="009F7C70"/>
    <w:rsid w:val="00A00A85"/>
    <w:rsid w:val="00A13218"/>
    <w:rsid w:val="00A16807"/>
    <w:rsid w:val="00A227A3"/>
    <w:rsid w:val="00A27799"/>
    <w:rsid w:val="00A543AC"/>
    <w:rsid w:val="00A60B73"/>
    <w:rsid w:val="00A75F3C"/>
    <w:rsid w:val="00A80080"/>
    <w:rsid w:val="00A83356"/>
    <w:rsid w:val="00A91938"/>
    <w:rsid w:val="00AB4951"/>
    <w:rsid w:val="00AC6DF1"/>
    <w:rsid w:val="00AF2893"/>
    <w:rsid w:val="00B07DE1"/>
    <w:rsid w:val="00B265A4"/>
    <w:rsid w:val="00B27F83"/>
    <w:rsid w:val="00B315A0"/>
    <w:rsid w:val="00B34A18"/>
    <w:rsid w:val="00B36705"/>
    <w:rsid w:val="00B42F61"/>
    <w:rsid w:val="00B468CE"/>
    <w:rsid w:val="00B576DC"/>
    <w:rsid w:val="00B579CB"/>
    <w:rsid w:val="00B60BC6"/>
    <w:rsid w:val="00B61CD1"/>
    <w:rsid w:val="00B626CD"/>
    <w:rsid w:val="00B70083"/>
    <w:rsid w:val="00B942F5"/>
    <w:rsid w:val="00BB28F6"/>
    <w:rsid w:val="00BC2609"/>
    <w:rsid w:val="00BF1A8D"/>
    <w:rsid w:val="00C0528F"/>
    <w:rsid w:val="00C05929"/>
    <w:rsid w:val="00C1165E"/>
    <w:rsid w:val="00C13145"/>
    <w:rsid w:val="00C169EC"/>
    <w:rsid w:val="00C1745B"/>
    <w:rsid w:val="00C27DDA"/>
    <w:rsid w:val="00C475AF"/>
    <w:rsid w:val="00C661B2"/>
    <w:rsid w:val="00CC2E53"/>
    <w:rsid w:val="00CE750F"/>
    <w:rsid w:val="00CF1839"/>
    <w:rsid w:val="00CF7879"/>
    <w:rsid w:val="00D160CB"/>
    <w:rsid w:val="00D245A1"/>
    <w:rsid w:val="00D415E2"/>
    <w:rsid w:val="00D42055"/>
    <w:rsid w:val="00D46180"/>
    <w:rsid w:val="00D544C0"/>
    <w:rsid w:val="00D647C3"/>
    <w:rsid w:val="00D72954"/>
    <w:rsid w:val="00D9388D"/>
    <w:rsid w:val="00D9633A"/>
    <w:rsid w:val="00DA1989"/>
    <w:rsid w:val="00DA640A"/>
    <w:rsid w:val="00DA7AA1"/>
    <w:rsid w:val="00DC5BD5"/>
    <w:rsid w:val="00DD47C9"/>
    <w:rsid w:val="00DF03C4"/>
    <w:rsid w:val="00DF2386"/>
    <w:rsid w:val="00DF756C"/>
    <w:rsid w:val="00DF7FE7"/>
    <w:rsid w:val="00E1433B"/>
    <w:rsid w:val="00E21557"/>
    <w:rsid w:val="00E45315"/>
    <w:rsid w:val="00E45B9D"/>
    <w:rsid w:val="00E46367"/>
    <w:rsid w:val="00E536E0"/>
    <w:rsid w:val="00E63F0B"/>
    <w:rsid w:val="00E96E2F"/>
    <w:rsid w:val="00EA3A7F"/>
    <w:rsid w:val="00EA407A"/>
    <w:rsid w:val="00EC13DE"/>
    <w:rsid w:val="00EC4976"/>
    <w:rsid w:val="00EC5B39"/>
    <w:rsid w:val="00EF547E"/>
    <w:rsid w:val="00F0599E"/>
    <w:rsid w:val="00F078F1"/>
    <w:rsid w:val="00F32014"/>
    <w:rsid w:val="00F32D03"/>
    <w:rsid w:val="00F344DE"/>
    <w:rsid w:val="00F402CB"/>
    <w:rsid w:val="00F50D8B"/>
    <w:rsid w:val="00F73E71"/>
    <w:rsid w:val="00F809E8"/>
    <w:rsid w:val="00FC2D48"/>
    <w:rsid w:val="00FC53DB"/>
    <w:rsid w:val="00FF1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424E"/>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460A79"/>
    <w:pPr>
      <w:autoSpaceDE w:val="0"/>
      <w:autoSpaceDN w:val="0"/>
      <w:adjustRightInd w:val="0"/>
      <w:ind w:left="0" w:firstLine="0"/>
    </w:pPr>
    <w:rPr>
      <w:rFonts w:ascii="Calibri" w:hAnsi="Calibri" w:cs="Calibri"/>
      <w:color w:val="000000"/>
      <w:sz w:val="24"/>
      <w:szCs w:val="24"/>
    </w:rPr>
  </w:style>
  <w:style w:type="character" w:customStyle="1" w:styleId="Mention1">
    <w:name w:val="Mention1"/>
    <w:basedOn w:val="DefaultParagraphFont"/>
    <w:uiPriority w:val="99"/>
    <w:unhideWhenUsed/>
    <w:rsid w:val="00EF547E"/>
    <w:rPr>
      <w:color w:val="2B579A"/>
      <w:shd w:val="clear" w:color="auto" w:fill="E1DFDD"/>
    </w:rPr>
  </w:style>
  <w:style w:type="character" w:styleId="FollowedHyperlink">
    <w:name w:val="FollowedHyperlink"/>
    <w:basedOn w:val="DefaultParagraphFont"/>
    <w:uiPriority w:val="99"/>
    <w:semiHidden/>
    <w:unhideWhenUsed/>
    <w:rsid w:val="008E6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reglamento-de-ramsar-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0D72-991D-4B9D-B32E-0113686CCA0A}">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860D2D61-1832-4511-83DA-B5E5BC9C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C6B36-5EA8-4154-BC34-BDFCCEBEAB1E}">
  <ds:schemaRefs>
    <ds:schemaRef ds:uri="http://schemas.openxmlformats.org/officeDocument/2006/bibliography"/>
  </ds:schemaRefs>
</ds:datastoreItem>
</file>

<file path=customXml/itemProps4.xml><?xml version="1.0" encoding="utf-8"?>
<ds:datastoreItem xmlns:ds="http://schemas.openxmlformats.org/officeDocument/2006/customXml" ds:itemID="{F48FC333-7033-4D1D-8181-E569F702D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3180</CharactersWithSpaces>
  <SharedDoc>false</SharedDoc>
  <HLinks>
    <vt:vector size="6" baseType="variant">
      <vt:variant>
        <vt:i4>5898357</vt:i4>
      </vt:variant>
      <vt:variant>
        <vt:i4>0</vt:i4>
      </vt:variant>
      <vt:variant>
        <vt:i4>0</vt:i4>
      </vt:variant>
      <vt:variant>
        <vt:i4>5</vt:i4>
      </vt:variant>
      <vt:variant>
        <vt:lpwstr>mailto:AldousJ@ramsar.org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2024-05-21T08:28:00Z</cp:lastPrinted>
  <dcterms:created xsi:type="dcterms:W3CDTF">2025-01-06T10:50:00Z</dcterms:created>
  <dcterms:modified xsi:type="dcterms:W3CDTF">2025-01-06T10:50:00Z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