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3D51" w14:textId="681ADC31" w:rsidR="00462ECE" w:rsidRPr="004179B8" w:rsidRDefault="00462ECE"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noProof/>
          <w:lang w:val="fr-FR"/>
        </w:rPr>
      </w:pPr>
      <w:r w:rsidRPr="004179B8">
        <w:rPr>
          <w:bCs/>
          <w:noProof/>
          <w:lang w:val="fr-FR"/>
        </w:rPr>
        <w:t xml:space="preserve">CONVENTION </w:t>
      </w:r>
      <w:r w:rsidR="002B0608" w:rsidRPr="004179B8">
        <w:rPr>
          <w:bCs/>
          <w:noProof/>
          <w:lang w:val="fr-FR"/>
        </w:rPr>
        <w:t>SUR LES ZONES HUMIDES</w:t>
      </w:r>
    </w:p>
    <w:p w14:paraId="0FD02CDD" w14:textId="5F4BFBDC" w:rsidR="00462ECE" w:rsidRPr="004179B8" w:rsidRDefault="00462ECE"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noProof/>
          <w:lang w:val="fr-FR"/>
        </w:rPr>
      </w:pPr>
      <w:r w:rsidRPr="004179B8">
        <w:rPr>
          <w:bCs/>
          <w:noProof/>
          <w:lang w:val="fr-FR"/>
        </w:rPr>
        <w:t>64</w:t>
      </w:r>
      <w:r w:rsidR="002B0608" w:rsidRPr="004179B8">
        <w:rPr>
          <w:bCs/>
          <w:noProof/>
          <w:vertAlign w:val="superscript"/>
          <w:lang w:val="fr-FR"/>
        </w:rPr>
        <w:t>e</w:t>
      </w:r>
      <w:r w:rsidR="002B0608" w:rsidRPr="004179B8">
        <w:rPr>
          <w:bCs/>
          <w:noProof/>
          <w:lang w:val="fr-FR"/>
        </w:rPr>
        <w:t xml:space="preserve"> réunion du Comité permanent</w:t>
      </w:r>
    </w:p>
    <w:p w14:paraId="4055C4FF" w14:textId="4AA3872E" w:rsidR="00462ECE" w:rsidRPr="004179B8" w:rsidRDefault="00462ECE" w:rsidP="00462ECE">
      <w:pPr>
        <w:pBdr>
          <w:top w:val="single" w:sz="12" w:space="0" w:color="auto" w:shadow="1"/>
          <w:left w:val="single" w:sz="12" w:space="4" w:color="auto" w:shadow="1"/>
          <w:bottom w:val="single" w:sz="12" w:space="1" w:color="auto" w:shadow="1"/>
          <w:right w:val="single" w:sz="4" w:space="1" w:color="auto"/>
        </w:pBdr>
        <w:spacing w:after="0" w:line="240" w:lineRule="auto"/>
        <w:ind w:right="4490"/>
        <w:rPr>
          <w:bCs/>
          <w:noProof/>
          <w:lang w:val="fr-FR"/>
        </w:rPr>
      </w:pPr>
      <w:r w:rsidRPr="004179B8">
        <w:rPr>
          <w:bCs/>
          <w:noProof/>
          <w:lang w:val="fr-FR"/>
        </w:rPr>
        <w:t>Gland, S</w:t>
      </w:r>
      <w:r w:rsidR="002B0608" w:rsidRPr="004179B8">
        <w:rPr>
          <w:bCs/>
          <w:noProof/>
          <w:lang w:val="fr-FR"/>
        </w:rPr>
        <w:t>uisse, 20 au 25 janvier </w:t>
      </w:r>
      <w:r w:rsidRPr="004179B8">
        <w:rPr>
          <w:bCs/>
          <w:noProof/>
          <w:lang w:val="fr-FR"/>
        </w:rPr>
        <w:t>2025</w:t>
      </w:r>
    </w:p>
    <w:p w14:paraId="357332A5" w14:textId="77777777" w:rsidR="00462ECE" w:rsidRPr="004179B8" w:rsidRDefault="00462ECE" w:rsidP="00462ECE">
      <w:pPr>
        <w:spacing w:after="0" w:line="240" w:lineRule="auto"/>
        <w:outlineLvl w:val="0"/>
        <w:rPr>
          <w:b/>
          <w:noProof/>
          <w:lang w:val="fr-FR"/>
        </w:rPr>
      </w:pPr>
    </w:p>
    <w:p w14:paraId="1F6AACC6" w14:textId="0EF8B1AE" w:rsidR="00462ECE" w:rsidRPr="004179B8" w:rsidRDefault="00462ECE" w:rsidP="00462ECE">
      <w:pPr>
        <w:spacing w:after="0" w:line="240" w:lineRule="auto"/>
        <w:jc w:val="right"/>
        <w:rPr>
          <w:rFonts w:cs="Arial"/>
          <w:noProof/>
          <w:sz w:val="28"/>
          <w:szCs w:val="28"/>
          <w:lang w:val="fr-FR"/>
        </w:rPr>
      </w:pPr>
      <w:r w:rsidRPr="004179B8">
        <w:rPr>
          <w:rFonts w:cs="Arial"/>
          <w:b/>
          <w:noProof/>
          <w:sz w:val="28"/>
          <w:szCs w:val="28"/>
          <w:lang w:val="fr-FR"/>
        </w:rPr>
        <w:t>SC64 Com.1</w:t>
      </w:r>
    </w:p>
    <w:p w14:paraId="5A72F0AF" w14:textId="77777777" w:rsidR="00462ECE" w:rsidRPr="004179B8" w:rsidRDefault="00462ECE" w:rsidP="00462ECE">
      <w:pPr>
        <w:spacing w:after="0" w:line="240" w:lineRule="auto"/>
        <w:rPr>
          <w:rFonts w:cs="Arial"/>
          <w:b/>
          <w:noProof/>
          <w:sz w:val="28"/>
          <w:szCs w:val="28"/>
          <w:lang w:val="fr-FR"/>
        </w:rPr>
      </w:pPr>
    </w:p>
    <w:p w14:paraId="068851BA" w14:textId="5AADE239" w:rsidR="00462ECE" w:rsidRPr="004179B8" w:rsidRDefault="002B0608" w:rsidP="00462ECE">
      <w:pPr>
        <w:spacing w:after="0" w:line="240" w:lineRule="auto"/>
        <w:jc w:val="center"/>
        <w:rPr>
          <w:rFonts w:cs="Arial"/>
          <w:b/>
          <w:noProof/>
          <w:sz w:val="28"/>
          <w:szCs w:val="28"/>
          <w:lang w:val="fr-FR"/>
        </w:rPr>
      </w:pPr>
      <w:r w:rsidRPr="004179B8">
        <w:rPr>
          <w:rFonts w:cs="Arial"/>
          <w:b/>
          <w:noProof/>
          <w:sz w:val="28"/>
          <w:szCs w:val="28"/>
          <w:lang w:val="fr-FR"/>
        </w:rPr>
        <w:t>Questions financières et budgétaires :</w:t>
      </w:r>
    </w:p>
    <w:p w14:paraId="2190D5EE" w14:textId="0DCD7D8F" w:rsidR="00462ECE" w:rsidRPr="004179B8" w:rsidRDefault="00462ECE" w:rsidP="00462ECE">
      <w:pPr>
        <w:spacing w:after="0" w:line="240" w:lineRule="auto"/>
        <w:jc w:val="center"/>
        <w:rPr>
          <w:rFonts w:cstheme="minorHAnsi"/>
          <w:b/>
          <w:noProof/>
          <w:sz w:val="28"/>
          <w:szCs w:val="28"/>
          <w:lang w:val="fr-FR"/>
        </w:rPr>
      </w:pPr>
      <w:r w:rsidRPr="004179B8">
        <w:rPr>
          <w:rFonts w:cstheme="minorHAnsi"/>
          <w:b/>
          <w:noProof/>
          <w:sz w:val="28"/>
          <w:szCs w:val="28"/>
          <w:lang w:val="fr-FR"/>
        </w:rPr>
        <w:t>R</w:t>
      </w:r>
      <w:r w:rsidR="002B0608" w:rsidRPr="004179B8">
        <w:rPr>
          <w:rFonts w:cstheme="minorHAnsi"/>
          <w:b/>
          <w:noProof/>
          <w:sz w:val="28"/>
          <w:szCs w:val="28"/>
          <w:lang w:val="fr-FR"/>
        </w:rPr>
        <w:t xml:space="preserve">apport de la réunion du Sous-groupe sur les finances du </w:t>
      </w:r>
      <w:r w:rsidRPr="004179B8">
        <w:rPr>
          <w:rFonts w:cstheme="minorHAnsi"/>
          <w:b/>
          <w:noProof/>
          <w:sz w:val="28"/>
          <w:szCs w:val="28"/>
          <w:lang w:val="fr-FR"/>
        </w:rPr>
        <w:t>20</w:t>
      </w:r>
      <w:r w:rsidR="002B0608" w:rsidRPr="004179B8">
        <w:rPr>
          <w:rFonts w:cstheme="minorHAnsi"/>
          <w:b/>
          <w:noProof/>
          <w:sz w:val="28"/>
          <w:szCs w:val="28"/>
          <w:lang w:val="fr-FR"/>
        </w:rPr>
        <w:t> janvier </w:t>
      </w:r>
      <w:r w:rsidRPr="004179B8">
        <w:rPr>
          <w:rFonts w:cstheme="minorHAnsi"/>
          <w:b/>
          <w:noProof/>
          <w:sz w:val="28"/>
          <w:szCs w:val="28"/>
          <w:lang w:val="fr-FR"/>
        </w:rPr>
        <w:t>2025</w:t>
      </w:r>
    </w:p>
    <w:p w14:paraId="4C6BC3BB" w14:textId="77777777" w:rsidR="00462ECE" w:rsidRPr="004179B8" w:rsidRDefault="00462ECE" w:rsidP="00462ECE">
      <w:pPr>
        <w:pStyle w:val="BodyText"/>
        <w:widowControl/>
        <w:rPr>
          <w:rFonts w:asciiTheme="minorHAnsi" w:hAnsiTheme="minorHAnsi" w:cstheme="minorHAnsi"/>
          <w:b/>
          <w:noProof/>
          <w:lang w:val="fr-FR"/>
        </w:rPr>
      </w:pPr>
    </w:p>
    <w:p w14:paraId="37C52350" w14:textId="368671C1" w:rsidR="002B0608" w:rsidRPr="004179B8" w:rsidRDefault="002B0608" w:rsidP="00462ECE">
      <w:pPr>
        <w:spacing w:after="0" w:line="240" w:lineRule="auto"/>
        <w:rPr>
          <w:i/>
          <w:noProof/>
          <w:lang w:val="fr-FR"/>
        </w:rPr>
      </w:pPr>
      <w:r w:rsidRPr="004179B8">
        <w:rPr>
          <w:i/>
          <w:noProof/>
          <w:lang w:val="fr-FR"/>
        </w:rPr>
        <w:t xml:space="preserve">Le présent rapport contient les recommandations formulées durant la réunion du Sous-groupe sur les finances du 20 janvier 2025 soumises </w:t>
      </w:r>
      <w:r w:rsidR="00B90C4C" w:rsidRPr="004179B8">
        <w:rPr>
          <w:i/>
          <w:noProof/>
          <w:lang w:val="fr-FR"/>
        </w:rPr>
        <w:t xml:space="preserve">pour examen </w:t>
      </w:r>
      <w:r w:rsidRPr="004179B8">
        <w:rPr>
          <w:i/>
          <w:noProof/>
          <w:lang w:val="fr-FR"/>
        </w:rPr>
        <w:t>au Comité permanent.</w:t>
      </w:r>
    </w:p>
    <w:p w14:paraId="190F2051" w14:textId="77777777" w:rsidR="00462ECE" w:rsidRPr="004179B8" w:rsidRDefault="00462ECE" w:rsidP="00462ECE">
      <w:pPr>
        <w:tabs>
          <w:tab w:val="left" w:pos="960"/>
        </w:tabs>
        <w:spacing w:after="0" w:line="240" w:lineRule="auto"/>
        <w:rPr>
          <w:rFonts w:cstheme="minorHAnsi"/>
          <w:noProof/>
          <w:lang w:val="fr-FR"/>
        </w:rPr>
      </w:pPr>
    </w:p>
    <w:p w14:paraId="433B247F" w14:textId="7EAC7AAA" w:rsidR="002B0608" w:rsidRPr="004179B8" w:rsidRDefault="002B0608" w:rsidP="00462ECE">
      <w:pPr>
        <w:spacing w:after="0" w:line="240" w:lineRule="auto"/>
        <w:rPr>
          <w:iCs/>
          <w:noProof/>
          <w:lang w:val="fr-FR"/>
        </w:rPr>
      </w:pPr>
      <w:r w:rsidRPr="004179B8">
        <w:rPr>
          <w:iCs/>
          <w:noProof/>
          <w:lang w:val="fr-FR"/>
        </w:rPr>
        <w:t>Le Président ouvre la séance et demande au sous-groupe de se référer aux mesures requises dans les documents sur les questions financières et budgétaires dans l</w:t>
      </w:r>
      <w:r w:rsidR="00EE0531">
        <w:rPr>
          <w:iCs/>
          <w:noProof/>
          <w:lang w:val="fr-FR"/>
        </w:rPr>
        <w:t>’</w:t>
      </w:r>
      <w:r w:rsidRPr="004179B8">
        <w:rPr>
          <w:iCs/>
          <w:noProof/>
          <w:lang w:val="fr-FR"/>
        </w:rPr>
        <w:t>ordre suivant :</w:t>
      </w:r>
    </w:p>
    <w:p w14:paraId="6D02B459" w14:textId="4E090FC8" w:rsidR="00462ECE" w:rsidRPr="004179B8" w:rsidRDefault="006E37BD" w:rsidP="006E37BD">
      <w:pPr>
        <w:spacing w:after="0" w:line="240" w:lineRule="auto"/>
        <w:ind w:left="426" w:hanging="426"/>
        <w:rPr>
          <w:iCs/>
          <w:noProof/>
          <w:lang w:val="fr-FR"/>
        </w:rPr>
      </w:pPr>
      <w:r w:rsidRPr="004179B8">
        <w:rPr>
          <w:iCs/>
          <w:noProof/>
          <w:lang w:val="fr-FR"/>
        </w:rPr>
        <w:t>1)</w:t>
      </w:r>
      <w:r w:rsidRPr="004179B8">
        <w:rPr>
          <w:iCs/>
          <w:noProof/>
          <w:lang w:val="fr-FR"/>
        </w:rPr>
        <w:tab/>
      </w:r>
      <w:r w:rsidR="002B0608" w:rsidRPr="004179B8">
        <w:rPr>
          <w:iCs/>
          <w:noProof/>
          <w:lang w:val="fr-FR"/>
        </w:rPr>
        <w:t xml:space="preserve">État des contributions annuelles </w:t>
      </w:r>
      <w:r w:rsidR="00B07229" w:rsidRPr="004179B8">
        <w:rPr>
          <w:iCs/>
          <w:noProof/>
          <w:lang w:val="fr-FR"/>
        </w:rPr>
        <w:t>(</w:t>
      </w:r>
      <w:r w:rsidR="00EC6B4B" w:rsidRPr="004179B8">
        <w:rPr>
          <w:iCs/>
          <w:noProof/>
          <w:lang w:val="fr-FR"/>
        </w:rPr>
        <w:t xml:space="preserve">document </w:t>
      </w:r>
      <w:r w:rsidR="00B07229" w:rsidRPr="004179B8">
        <w:rPr>
          <w:iCs/>
          <w:noProof/>
          <w:lang w:val="fr-FR"/>
        </w:rPr>
        <w:t>SC6</w:t>
      </w:r>
      <w:r w:rsidR="00702BB1" w:rsidRPr="004179B8">
        <w:rPr>
          <w:iCs/>
          <w:noProof/>
          <w:lang w:val="fr-FR"/>
        </w:rPr>
        <w:t>4</w:t>
      </w:r>
      <w:r w:rsidR="00B07229" w:rsidRPr="004179B8">
        <w:rPr>
          <w:iCs/>
          <w:noProof/>
          <w:lang w:val="fr-FR"/>
        </w:rPr>
        <w:t xml:space="preserve"> Doc 9.</w:t>
      </w:r>
      <w:r w:rsidR="003F5A2C" w:rsidRPr="004179B8">
        <w:rPr>
          <w:iCs/>
          <w:noProof/>
          <w:lang w:val="fr-FR"/>
        </w:rPr>
        <w:t>2</w:t>
      </w:r>
      <w:r w:rsidR="00702BB1" w:rsidRPr="004179B8">
        <w:rPr>
          <w:iCs/>
          <w:noProof/>
          <w:lang w:val="fr-FR"/>
        </w:rPr>
        <w:t xml:space="preserve"> Rev.1</w:t>
      </w:r>
      <w:r w:rsidR="00B07229" w:rsidRPr="004179B8">
        <w:rPr>
          <w:iCs/>
          <w:noProof/>
          <w:lang w:val="fr-FR"/>
        </w:rPr>
        <w:t>)</w:t>
      </w:r>
      <w:r w:rsidR="006573C3" w:rsidRPr="004179B8">
        <w:rPr>
          <w:iCs/>
          <w:noProof/>
          <w:lang w:val="fr-FR"/>
        </w:rPr>
        <w:t> </w:t>
      </w:r>
      <w:r w:rsidR="00462ECE" w:rsidRPr="004179B8">
        <w:rPr>
          <w:iCs/>
          <w:noProof/>
          <w:lang w:val="fr-FR"/>
        </w:rPr>
        <w:t>;</w:t>
      </w:r>
    </w:p>
    <w:p w14:paraId="56B4C00E" w14:textId="6869ABD6" w:rsidR="00462ECE" w:rsidRPr="004179B8" w:rsidRDefault="006E37BD" w:rsidP="006E37BD">
      <w:pPr>
        <w:spacing w:after="0" w:line="240" w:lineRule="auto"/>
        <w:ind w:left="426" w:hanging="426"/>
        <w:rPr>
          <w:iCs/>
          <w:noProof/>
          <w:lang w:val="fr-FR"/>
        </w:rPr>
      </w:pPr>
      <w:r w:rsidRPr="004179B8">
        <w:rPr>
          <w:iCs/>
          <w:noProof/>
          <w:lang w:val="fr-FR"/>
        </w:rPr>
        <w:t>2)</w:t>
      </w:r>
      <w:r w:rsidRPr="004179B8">
        <w:rPr>
          <w:iCs/>
          <w:noProof/>
          <w:lang w:val="fr-FR"/>
        </w:rPr>
        <w:tab/>
      </w:r>
      <w:r w:rsidR="002B0608" w:rsidRPr="004179B8">
        <w:rPr>
          <w:iCs/>
          <w:noProof/>
          <w:lang w:val="fr-FR"/>
        </w:rPr>
        <w:t>Rapport sur les questions financières pour 202</w:t>
      </w:r>
      <w:r w:rsidR="009E4737" w:rsidRPr="004179B8">
        <w:rPr>
          <w:iCs/>
          <w:noProof/>
          <w:lang w:val="fr-FR"/>
        </w:rPr>
        <w:t>4</w:t>
      </w:r>
      <w:r w:rsidR="002B0608" w:rsidRPr="004179B8">
        <w:rPr>
          <w:iCs/>
          <w:noProof/>
          <w:lang w:val="fr-FR"/>
        </w:rPr>
        <w:t xml:space="preserve"> et 202</w:t>
      </w:r>
      <w:r w:rsidR="009E4737" w:rsidRPr="004179B8">
        <w:rPr>
          <w:iCs/>
          <w:noProof/>
          <w:lang w:val="fr-FR"/>
        </w:rPr>
        <w:t>5</w:t>
      </w:r>
      <w:r w:rsidR="002B0608" w:rsidRPr="004179B8">
        <w:rPr>
          <w:iCs/>
          <w:noProof/>
          <w:lang w:val="fr-FR"/>
        </w:rPr>
        <w:t xml:space="preserve"> </w:t>
      </w:r>
      <w:r w:rsidR="00462ECE" w:rsidRPr="004179B8">
        <w:rPr>
          <w:iCs/>
          <w:noProof/>
          <w:lang w:val="fr-FR"/>
        </w:rPr>
        <w:t>(</w:t>
      </w:r>
      <w:r w:rsidR="00EC6B4B" w:rsidRPr="004179B8">
        <w:rPr>
          <w:iCs/>
          <w:noProof/>
          <w:lang w:val="fr-FR"/>
        </w:rPr>
        <w:t xml:space="preserve">document </w:t>
      </w:r>
      <w:r w:rsidR="00462ECE" w:rsidRPr="004179B8">
        <w:rPr>
          <w:iCs/>
          <w:noProof/>
          <w:lang w:val="fr-FR"/>
        </w:rPr>
        <w:t>SC64 Doc 9.1)</w:t>
      </w:r>
      <w:r w:rsidR="006573C3" w:rsidRPr="004179B8">
        <w:rPr>
          <w:iCs/>
          <w:noProof/>
          <w:lang w:val="fr-FR"/>
        </w:rPr>
        <w:t> </w:t>
      </w:r>
      <w:r w:rsidR="00462ECE" w:rsidRPr="004179B8">
        <w:rPr>
          <w:iCs/>
          <w:noProof/>
          <w:lang w:val="fr-FR"/>
        </w:rPr>
        <w:t>;</w:t>
      </w:r>
    </w:p>
    <w:p w14:paraId="52613FAE" w14:textId="7C90D938" w:rsidR="00462ECE" w:rsidRPr="004179B8" w:rsidRDefault="006E37BD" w:rsidP="006573C3">
      <w:pPr>
        <w:spacing w:after="0" w:line="240" w:lineRule="auto"/>
        <w:ind w:left="426" w:hanging="426"/>
        <w:rPr>
          <w:iCs/>
          <w:noProof/>
          <w:lang w:val="fr-FR"/>
        </w:rPr>
      </w:pPr>
      <w:r w:rsidRPr="004179B8">
        <w:rPr>
          <w:iCs/>
          <w:noProof/>
          <w:lang w:val="fr-FR"/>
        </w:rPr>
        <w:t>3)</w:t>
      </w:r>
      <w:r w:rsidRPr="004179B8">
        <w:rPr>
          <w:iCs/>
          <w:noProof/>
          <w:lang w:val="fr-FR"/>
        </w:rPr>
        <w:tab/>
      </w:r>
      <w:r w:rsidR="006573C3" w:rsidRPr="004179B8">
        <w:rPr>
          <w:iCs/>
          <w:noProof/>
          <w:lang w:val="fr-FR"/>
        </w:rPr>
        <w:t xml:space="preserve">Incidences financières possibles des projets de résolutions </w:t>
      </w:r>
      <w:r w:rsidR="003F5A2C" w:rsidRPr="004179B8">
        <w:rPr>
          <w:iCs/>
          <w:noProof/>
          <w:lang w:val="fr-FR"/>
        </w:rPr>
        <w:t>(</w:t>
      </w:r>
      <w:r w:rsidR="00EC6B4B" w:rsidRPr="004179B8">
        <w:rPr>
          <w:iCs/>
          <w:noProof/>
          <w:lang w:val="fr-FR"/>
        </w:rPr>
        <w:t xml:space="preserve">document </w:t>
      </w:r>
      <w:r w:rsidR="003F5A2C" w:rsidRPr="004179B8">
        <w:rPr>
          <w:iCs/>
          <w:noProof/>
          <w:lang w:val="fr-FR"/>
        </w:rPr>
        <w:t>SC64 Doc 9.4 Rev</w:t>
      </w:r>
      <w:r w:rsidR="00462ECE" w:rsidRPr="004179B8">
        <w:rPr>
          <w:iCs/>
          <w:noProof/>
          <w:lang w:val="fr-FR"/>
        </w:rPr>
        <w:t>.</w:t>
      </w:r>
      <w:r w:rsidR="003F5A2C" w:rsidRPr="004179B8">
        <w:rPr>
          <w:iCs/>
          <w:noProof/>
          <w:lang w:val="fr-FR"/>
        </w:rPr>
        <w:t>1)</w:t>
      </w:r>
      <w:r w:rsidR="006573C3" w:rsidRPr="004179B8">
        <w:rPr>
          <w:iCs/>
          <w:noProof/>
          <w:lang w:val="fr-FR"/>
        </w:rPr>
        <w:t> </w:t>
      </w:r>
      <w:r w:rsidR="00462ECE" w:rsidRPr="004179B8">
        <w:rPr>
          <w:iCs/>
          <w:noProof/>
          <w:lang w:val="fr-FR"/>
        </w:rPr>
        <w:t xml:space="preserve">; </w:t>
      </w:r>
    </w:p>
    <w:p w14:paraId="7E64951E" w14:textId="0079E44A" w:rsidR="00462ECE" w:rsidRPr="004179B8" w:rsidRDefault="006E37BD" w:rsidP="006573C3">
      <w:pPr>
        <w:spacing w:after="0" w:line="240" w:lineRule="auto"/>
        <w:ind w:left="426" w:hanging="426"/>
        <w:rPr>
          <w:iCs/>
          <w:noProof/>
          <w:lang w:val="fr-FR"/>
        </w:rPr>
      </w:pPr>
      <w:r w:rsidRPr="004179B8">
        <w:rPr>
          <w:iCs/>
          <w:noProof/>
          <w:lang w:val="fr-FR"/>
        </w:rPr>
        <w:t>4)</w:t>
      </w:r>
      <w:r w:rsidRPr="004179B8">
        <w:rPr>
          <w:iCs/>
          <w:noProof/>
          <w:lang w:val="fr-FR"/>
        </w:rPr>
        <w:tab/>
      </w:r>
      <w:r w:rsidR="006573C3" w:rsidRPr="004179B8">
        <w:rPr>
          <w:iCs/>
          <w:noProof/>
          <w:lang w:val="fr-FR"/>
        </w:rPr>
        <w:t xml:space="preserve">Scénarios budgétaires pour 2026-2028 et projet de résolution sur les questions financières et budgétaires </w:t>
      </w:r>
      <w:r w:rsidR="00911328" w:rsidRPr="004179B8">
        <w:rPr>
          <w:iCs/>
          <w:noProof/>
          <w:lang w:val="fr-FR"/>
        </w:rPr>
        <w:t>(</w:t>
      </w:r>
      <w:r w:rsidR="00EC6B4B" w:rsidRPr="004179B8">
        <w:rPr>
          <w:iCs/>
          <w:noProof/>
          <w:lang w:val="fr-FR"/>
        </w:rPr>
        <w:t xml:space="preserve">document </w:t>
      </w:r>
      <w:r w:rsidR="00911328" w:rsidRPr="004179B8">
        <w:rPr>
          <w:iCs/>
          <w:noProof/>
          <w:lang w:val="fr-FR"/>
        </w:rPr>
        <w:t>SC64 Doc 9.3 Rev.1</w:t>
      </w:r>
      <w:r w:rsidR="00811E3D" w:rsidRPr="004179B8">
        <w:rPr>
          <w:iCs/>
          <w:noProof/>
          <w:lang w:val="fr-FR"/>
        </w:rPr>
        <w:t xml:space="preserve"> </w:t>
      </w:r>
      <w:r w:rsidR="006573C3" w:rsidRPr="004179B8">
        <w:rPr>
          <w:iCs/>
          <w:noProof/>
          <w:lang w:val="fr-FR"/>
        </w:rPr>
        <w:t>et document d</w:t>
      </w:r>
      <w:r w:rsidR="00EE0531">
        <w:rPr>
          <w:iCs/>
          <w:noProof/>
          <w:lang w:val="fr-FR"/>
        </w:rPr>
        <w:t>’</w:t>
      </w:r>
      <w:r w:rsidR="006573C3" w:rsidRPr="004179B8">
        <w:rPr>
          <w:iCs/>
          <w:noProof/>
          <w:lang w:val="fr-FR"/>
        </w:rPr>
        <w:t>information</w:t>
      </w:r>
      <w:r w:rsidR="00811E3D" w:rsidRPr="004179B8">
        <w:rPr>
          <w:noProof/>
          <w:lang w:val="fr-FR"/>
        </w:rPr>
        <w:t xml:space="preserve"> </w:t>
      </w:r>
      <w:r w:rsidR="00811E3D" w:rsidRPr="004179B8">
        <w:rPr>
          <w:iCs/>
          <w:noProof/>
          <w:lang w:val="fr-FR"/>
        </w:rPr>
        <w:t>SC64 Inf.1</w:t>
      </w:r>
      <w:r w:rsidR="006573C3" w:rsidRPr="004179B8">
        <w:rPr>
          <w:iCs/>
          <w:noProof/>
          <w:lang w:val="fr-FR"/>
        </w:rPr>
        <w:t>) </w:t>
      </w:r>
      <w:r w:rsidR="00462ECE" w:rsidRPr="004179B8">
        <w:rPr>
          <w:iCs/>
          <w:noProof/>
          <w:lang w:val="fr-FR"/>
        </w:rPr>
        <w:t xml:space="preserve">; </w:t>
      </w:r>
      <w:r w:rsidR="006573C3" w:rsidRPr="004179B8">
        <w:rPr>
          <w:iCs/>
          <w:noProof/>
          <w:lang w:val="fr-FR"/>
        </w:rPr>
        <w:t>et</w:t>
      </w:r>
      <w:r w:rsidR="003F5A2C" w:rsidRPr="004179B8">
        <w:rPr>
          <w:iCs/>
          <w:noProof/>
          <w:lang w:val="fr-FR"/>
        </w:rPr>
        <w:t xml:space="preserve"> </w:t>
      </w:r>
    </w:p>
    <w:p w14:paraId="4B0D2099" w14:textId="07A8F0B8" w:rsidR="005C7300" w:rsidRPr="004179B8" w:rsidRDefault="006E37BD" w:rsidP="006E37BD">
      <w:pPr>
        <w:spacing w:after="0" w:line="240" w:lineRule="auto"/>
        <w:ind w:left="426" w:hanging="426"/>
        <w:rPr>
          <w:iCs/>
          <w:noProof/>
          <w:lang w:val="fr-FR"/>
        </w:rPr>
      </w:pPr>
      <w:r w:rsidRPr="004179B8">
        <w:rPr>
          <w:iCs/>
          <w:noProof/>
          <w:lang w:val="fr-FR"/>
        </w:rPr>
        <w:t>5)</w:t>
      </w:r>
      <w:r w:rsidRPr="004179B8">
        <w:rPr>
          <w:iCs/>
          <w:noProof/>
          <w:lang w:val="fr-FR"/>
        </w:rPr>
        <w:tab/>
        <w:t>A</w:t>
      </w:r>
      <w:r w:rsidR="00702BB1" w:rsidRPr="004179B8">
        <w:rPr>
          <w:iCs/>
          <w:noProof/>
          <w:lang w:val="fr-FR"/>
        </w:rPr>
        <w:t>llocation</w:t>
      </w:r>
      <w:r w:rsidR="00190050" w:rsidRPr="004179B8">
        <w:rPr>
          <w:iCs/>
          <w:noProof/>
          <w:lang w:val="fr-FR"/>
        </w:rPr>
        <w:t xml:space="preserve"> </w:t>
      </w:r>
      <w:r w:rsidR="00880D3F" w:rsidRPr="004179B8">
        <w:rPr>
          <w:iCs/>
          <w:noProof/>
          <w:lang w:val="fr-FR"/>
        </w:rPr>
        <w:t>des</w:t>
      </w:r>
      <w:r w:rsidRPr="004179B8">
        <w:rPr>
          <w:noProof/>
          <w:lang w:val="fr-FR"/>
        </w:rPr>
        <w:t xml:space="preserve"> </w:t>
      </w:r>
      <w:r w:rsidRPr="004179B8">
        <w:rPr>
          <w:iCs/>
          <w:noProof/>
          <w:lang w:val="fr-FR"/>
        </w:rPr>
        <w:t>f</w:t>
      </w:r>
      <w:r w:rsidR="00880D3F" w:rsidRPr="004179B8">
        <w:rPr>
          <w:iCs/>
          <w:noProof/>
          <w:lang w:val="fr-FR"/>
        </w:rPr>
        <w:t>o</w:t>
      </w:r>
      <w:r w:rsidRPr="004179B8">
        <w:rPr>
          <w:iCs/>
          <w:noProof/>
          <w:lang w:val="fr-FR"/>
        </w:rPr>
        <w:t>nds</w:t>
      </w:r>
      <w:r w:rsidR="00880D3F" w:rsidRPr="004179B8">
        <w:rPr>
          <w:iCs/>
          <w:noProof/>
          <w:lang w:val="fr-FR"/>
        </w:rPr>
        <w:t xml:space="preserve"> excédentaires</w:t>
      </w:r>
      <w:r w:rsidRPr="004179B8">
        <w:rPr>
          <w:iCs/>
          <w:noProof/>
          <w:lang w:val="fr-FR"/>
        </w:rPr>
        <w:t xml:space="preserve"> </w:t>
      </w:r>
      <w:r w:rsidR="00911328" w:rsidRPr="004179B8">
        <w:rPr>
          <w:iCs/>
          <w:noProof/>
          <w:lang w:val="fr-FR"/>
        </w:rPr>
        <w:t>(</w:t>
      </w:r>
      <w:r w:rsidR="00880D3F" w:rsidRPr="004179B8">
        <w:rPr>
          <w:iCs/>
          <w:noProof/>
          <w:lang w:val="fr-FR"/>
        </w:rPr>
        <w:t>poursuite des discussions engagées lors de de la réunion intersessions en décembre </w:t>
      </w:r>
      <w:r w:rsidR="00190050" w:rsidRPr="004179B8">
        <w:rPr>
          <w:iCs/>
          <w:noProof/>
          <w:lang w:val="fr-FR"/>
        </w:rPr>
        <w:t>2024</w:t>
      </w:r>
      <w:r w:rsidR="00911328" w:rsidRPr="004179B8">
        <w:rPr>
          <w:iCs/>
          <w:noProof/>
          <w:lang w:val="fr-FR"/>
        </w:rPr>
        <w:t>)</w:t>
      </w:r>
      <w:r w:rsidR="00702BB1" w:rsidRPr="004179B8">
        <w:rPr>
          <w:iCs/>
          <w:noProof/>
          <w:lang w:val="fr-FR"/>
        </w:rPr>
        <w:t>.</w:t>
      </w:r>
    </w:p>
    <w:p w14:paraId="6EB6799B" w14:textId="77777777" w:rsidR="00CC38F6" w:rsidRPr="004179B8" w:rsidRDefault="00CC38F6" w:rsidP="006E37BD">
      <w:pPr>
        <w:spacing w:after="0" w:line="240" w:lineRule="auto"/>
        <w:ind w:left="426" w:hanging="426"/>
        <w:rPr>
          <w:iCs/>
          <w:noProof/>
          <w:lang w:val="fr-FR"/>
        </w:rPr>
      </w:pPr>
    </w:p>
    <w:p w14:paraId="406BE9C6" w14:textId="37060EBD" w:rsidR="00CC38F6" w:rsidRPr="004179B8" w:rsidRDefault="00880D3F" w:rsidP="006E37BD">
      <w:pPr>
        <w:spacing w:after="0" w:line="240" w:lineRule="auto"/>
        <w:ind w:left="426" w:hanging="426"/>
        <w:rPr>
          <w:iCs/>
          <w:noProof/>
          <w:lang w:val="fr-FR"/>
        </w:rPr>
      </w:pPr>
      <w:r w:rsidRPr="004179B8">
        <w:rPr>
          <w:iCs/>
          <w:noProof/>
          <w:lang w:val="fr-FR"/>
        </w:rPr>
        <w:t>Le</w:t>
      </w:r>
      <w:r w:rsidR="00CC38F6" w:rsidRPr="004179B8">
        <w:rPr>
          <w:iCs/>
          <w:noProof/>
          <w:lang w:val="fr-FR"/>
        </w:rPr>
        <w:t xml:space="preserve"> Secr</w:t>
      </w:r>
      <w:r w:rsidRPr="004179B8">
        <w:rPr>
          <w:iCs/>
          <w:noProof/>
          <w:lang w:val="fr-FR"/>
        </w:rPr>
        <w:t>é</w:t>
      </w:r>
      <w:r w:rsidR="00CC38F6" w:rsidRPr="004179B8">
        <w:rPr>
          <w:iCs/>
          <w:noProof/>
          <w:lang w:val="fr-FR"/>
        </w:rPr>
        <w:t>tariat</w:t>
      </w:r>
      <w:r w:rsidRPr="004179B8">
        <w:rPr>
          <w:iCs/>
          <w:noProof/>
          <w:lang w:val="fr-FR"/>
        </w:rPr>
        <w:t xml:space="preserve"> donne des précisions sur les termes suivants employés dans les </w:t>
      </w:r>
      <w:r w:rsidR="00CC38F6" w:rsidRPr="004179B8">
        <w:rPr>
          <w:iCs/>
          <w:noProof/>
          <w:lang w:val="fr-FR"/>
        </w:rPr>
        <w:t>documents</w:t>
      </w:r>
      <w:r w:rsidRPr="004179B8">
        <w:rPr>
          <w:iCs/>
          <w:noProof/>
          <w:lang w:val="fr-FR"/>
        </w:rPr>
        <w:t> :</w:t>
      </w:r>
    </w:p>
    <w:p w14:paraId="4FC0EF8A" w14:textId="68D37F93" w:rsidR="00CC38F6" w:rsidRPr="004179B8" w:rsidRDefault="00CC38F6" w:rsidP="00CC38F6">
      <w:pPr>
        <w:pStyle w:val="ListParagraph"/>
        <w:numPr>
          <w:ilvl w:val="0"/>
          <w:numId w:val="5"/>
        </w:numPr>
        <w:spacing w:after="0" w:line="240" w:lineRule="auto"/>
        <w:ind w:left="426" w:hanging="426"/>
        <w:rPr>
          <w:rFonts w:ascii="Calibri" w:hAnsi="Calibri" w:cs="Calibri"/>
          <w:noProof/>
          <w:lang w:val="fr-FR"/>
        </w:rPr>
      </w:pPr>
      <w:r w:rsidRPr="004179B8">
        <w:rPr>
          <w:rFonts w:ascii="Calibri" w:hAnsi="Calibri" w:cs="Calibri"/>
          <w:i/>
          <w:iCs/>
          <w:noProof/>
          <w:lang w:val="fr-FR"/>
        </w:rPr>
        <w:t>R</w:t>
      </w:r>
      <w:r w:rsidR="002B1256" w:rsidRPr="004179B8">
        <w:rPr>
          <w:rFonts w:ascii="Calibri" w:hAnsi="Calibri" w:cs="Calibri"/>
          <w:i/>
          <w:iCs/>
          <w:noProof/>
          <w:lang w:val="fr-FR"/>
        </w:rPr>
        <w:t>é</w:t>
      </w:r>
      <w:r w:rsidRPr="004179B8">
        <w:rPr>
          <w:rFonts w:ascii="Calibri" w:hAnsi="Calibri" w:cs="Calibri"/>
          <w:i/>
          <w:iCs/>
          <w:noProof/>
          <w:lang w:val="fr-FR"/>
        </w:rPr>
        <w:t>serve</w:t>
      </w:r>
      <w:r w:rsidR="002B1256" w:rsidRPr="004179B8">
        <w:rPr>
          <w:rFonts w:ascii="Calibri" w:hAnsi="Calibri" w:cs="Calibri"/>
          <w:i/>
          <w:iCs/>
          <w:noProof/>
          <w:lang w:val="fr-FR"/>
        </w:rPr>
        <w:t xml:space="preserve">s </w:t>
      </w:r>
      <w:r w:rsidRPr="004179B8">
        <w:rPr>
          <w:rFonts w:ascii="Calibri" w:hAnsi="Calibri" w:cs="Calibri"/>
          <w:noProof/>
          <w:lang w:val="fr-FR"/>
        </w:rPr>
        <w:t>:</w:t>
      </w:r>
    </w:p>
    <w:p w14:paraId="5CB41DA6" w14:textId="675EF838" w:rsidR="00880D3F" w:rsidRPr="004179B8" w:rsidRDefault="00880D3F" w:rsidP="002B1256">
      <w:pPr>
        <w:spacing w:after="0" w:line="240" w:lineRule="auto"/>
        <w:ind w:left="426"/>
        <w:rPr>
          <w:rFonts w:ascii="Calibri" w:hAnsi="Calibri" w:cs="Calibri"/>
          <w:noProof/>
          <w:lang w:val="fr-FR"/>
        </w:rPr>
      </w:pPr>
      <w:r w:rsidRPr="004179B8">
        <w:rPr>
          <w:rFonts w:ascii="Calibri" w:hAnsi="Calibri" w:cs="Calibri"/>
          <w:noProof/>
          <w:lang w:val="fr-FR"/>
        </w:rPr>
        <w:t xml:space="preserve">Le fonds de réserve </w:t>
      </w:r>
      <w:r w:rsidR="002B1256" w:rsidRPr="004179B8">
        <w:rPr>
          <w:rFonts w:ascii="Calibri" w:hAnsi="Calibri" w:cs="Calibri"/>
          <w:noProof/>
          <w:lang w:val="fr-FR"/>
        </w:rPr>
        <w:t>du budget administratif correspond au cumul des</w:t>
      </w:r>
      <w:r w:rsidRPr="004179B8">
        <w:rPr>
          <w:rFonts w:ascii="Calibri" w:hAnsi="Calibri" w:cs="Calibri"/>
          <w:noProof/>
          <w:lang w:val="fr-FR"/>
        </w:rPr>
        <w:t xml:space="preserve"> excédents </w:t>
      </w:r>
      <w:r w:rsidR="002B1256" w:rsidRPr="004179B8">
        <w:rPr>
          <w:rFonts w:ascii="Calibri" w:hAnsi="Calibri" w:cs="Calibri"/>
          <w:noProof/>
          <w:lang w:val="fr-FR"/>
        </w:rPr>
        <w:t>provenant</w:t>
      </w:r>
      <w:r w:rsidRPr="004179B8">
        <w:rPr>
          <w:rFonts w:ascii="Calibri" w:hAnsi="Calibri" w:cs="Calibri"/>
          <w:noProof/>
          <w:lang w:val="fr-FR"/>
        </w:rPr>
        <w:t xml:space="preserve"> </w:t>
      </w:r>
      <w:r w:rsidR="002B1256" w:rsidRPr="004179B8">
        <w:rPr>
          <w:rFonts w:ascii="Calibri" w:hAnsi="Calibri" w:cs="Calibri"/>
          <w:noProof/>
          <w:lang w:val="fr-FR"/>
        </w:rPr>
        <w:t>d</w:t>
      </w:r>
      <w:r w:rsidR="00EE0531">
        <w:rPr>
          <w:rFonts w:ascii="Calibri" w:hAnsi="Calibri" w:cs="Calibri"/>
          <w:noProof/>
          <w:lang w:val="fr-FR"/>
        </w:rPr>
        <w:t>’</w:t>
      </w:r>
      <w:r w:rsidRPr="004179B8">
        <w:rPr>
          <w:rFonts w:ascii="Calibri" w:hAnsi="Calibri" w:cs="Calibri"/>
          <w:noProof/>
          <w:lang w:val="fr-FR"/>
        </w:rPr>
        <w:t>opérations</w:t>
      </w:r>
      <w:r w:rsidR="002B1256" w:rsidRPr="004179B8">
        <w:rPr>
          <w:rFonts w:ascii="Calibri" w:hAnsi="Calibri" w:cs="Calibri"/>
          <w:noProof/>
          <w:lang w:val="fr-FR"/>
        </w:rPr>
        <w:t xml:space="preserve"> relevant du budget administratif qui ont été </w:t>
      </w:r>
      <w:r w:rsidRPr="004179B8">
        <w:rPr>
          <w:rFonts w:ascii="Calibri" w:hAnsi="Calibri" w:cs="Calibri"/>
          <w:noProof/>
          <w:lang w:val="fr-FR"/>
        </w:rPr>
        <w:t xml:space="preserve">conservés pour faire face </w:t>
      </w:r>
      <w:r w:rsidR="002B1256" w:rsidRPr="004179B8">
        <w:rPr>
          <w:rFonts w:ascii="Calibri" w:hAnsi="Calibri" w:cs="Calibri"/>
          <w:noProof/>
          <w:lang w:val="fr-FR"/>
        </w:rPr>
        <w:t>à des</w:t>
      </w:r>
      <w:r w:rsidRPr="004179B8">
        <w:rPr>
          <w:rFonts w:ascii="Calibri" w:hAnsi="Calibri" w:cs="Calibri"/>
          <w:noProof/>
          <w:lang w:val="fr-FR"/>
        </w:rPr>
        <w:t xml:space="preserve"> dépenses imprévues et inévitables. </w:t>
      </w:r>
      <w:r w:rsidR="002B1256" w:rsidRPr="004179B8">
        <w:rPr>
          <w:rFonts w:ascii="Calibri" w:hAnsi="Calibri" w:cs="Calibri"/>
          <w:noProof/>
          <w:lang w:val="fr-FR"/>
        </w:rPr>
        <w:t>La</w:t>
      </w:r>
      <w:r w:rsidRPr="004179B8">
        <w:rPr>
          <w:rFonts w:ascii="Calibri" w:hAnsi="Calibri" w:cs="Calibri"/>
          <w:noProof/>
          <w:lang w:val="fr-FR"/>
        </w:rPr>
        <w:t xml:space="preserve"> Résolution</w:t>
      </w:r>
      <w:r w:rsidR="00962434" w:rsidRPr="004179B8">
        <w:rPr>
          <w:rFonts w:ascii="Calibri" w:hAnsi="Calibri" w:cs="Calibri"/>
          <w:noProof/>
          <w:lang w:val="fr-FR"/>
        </w:rPr>
        <w:t> </w:t>
      </w:r>
      <w:r w:rsidRPr="004179B8">
        <w:rPr>
          <w:rFonts w:ascii="Calibri" w:hAnsi="Calibri" w:cs="Calibri"/>
          <w:noProof/>
          <w:lang w:val="fr-FR"/>
        </w:rPr>
        <w:t xml:space="preserve">XI.2 de la COP11 </w:t>
      </w:r>
      <w:r w:rsidR="002B1256" w:rsidRPr="004179B8">
        <w:rPr>
          <w:rFonts w:ascii="Calibri" w:hAnsi="Calibri" w:cs="Calibri"/>
          <w:noProof/>
          <w:lang w:val="fr-FR"/>
        </w:rPr>
        <w:t>prévoit</w:t>
      </w:r>
      <w:r w:rsidRPr="004179B8">
        <w:rPr>
          <w:rFonts w:ascii="Calibri" w:hAnsi="Calibri" w:cs="Calibri"/>
          <w:noProof/>
          <w:lang w:val="fr-FR"/>
        </w:rPr>
        <w:t xml:space="preserve"> que le fonds de réserve ne doit pas être inférieur à 6</w:t>
      </w:r>
      <w:r w:rsidR="002B1256" w:rsidRPr="004179B8">
        <w:rPr>
          <w:rFonts w:ascii="Calibri" w:hAnsi="Calibri" w:cs="Calibri"/>
          <w:noProof/>
          <w:lang w:val="fr-FR"/>
        </w:rPr>
        <w:t> </w:t>
      </w:r>
      <w:r w:rsidRPr="004179B8">
        <w:rPr>
          <w:rFonts w:ascii="Calibri" w:hAnsi="Calibri" w:cs="Calibri"/>
          <w:noProof/>
          <w:lang w:val="fr-FR"/>
        </w:rPr>
        <w:t xml:space="preserve">% </w:t>
      </w:r>
      <w:r w:rsidR="002B1256" w:rsidRPr="004179B8">
        <w:rPr>
          <w:rFonts w:ascii="Calibri" w:hAnsi="Calibri" w:cs="Calibri"/>
          <w:noProof/>
          <w:lang w:val="fr-FR"/>
        </w:rPr>
        <w:t xml:space="preserve">ni supérieur à 15 % </w:t>
      </w:r>
      <w:r w:rsidRPr="004179B8">
        <w:rPr>
          <w:rFonts w:ascii="Calibri" w:hAnsi="Calibri" w:cs="Calibri"/>
          <w:noProof/>
          <w:lang w:val="fr-FR"/>
        </w:rPr>
        <w:t xml:space="preserve">du budget </w:t>
      </w:r>
      <w:r w:rsidR="002B1256" w:rsidRPr="004179B8">
        <w:rPr>
          <w:rFonts w:ascii="Calibri" w:hAnsi="Calibri" w:cs="Calibri"/>
          <w:noProof/>
          <w:lang w:val="fr-FR"/>
        </w:rPr>
        <w:t xml:space="preserve">administratif </w:t>
      </w:r>
      <w:r w:rsidRPr="004179B8">
        <w:rPr>
          <w:rFonts w:ascii="Calibri" w:hAnsi="Calibri" w:cs="Calibri"/>
          <w:noProof/>
          <w:lang w:val="fr-FR"/>
        </w:rPr>
        <w:t>annuel de la Conventio</w:t>
      </w:r>
      <w:r w:rsidR="002B1256" w:rsidRPr="004179B8">
        <w:rPr>
          <w:rFonts w:ascii="Calibri" w:hAnsi="Calibri" w:cs="Calibri"/>
          <w:noProof/>
          <w:lang w:val="fr-FR"/>
        </w:rPr>
        <w:t>n</w:t>
      </w:r>
      <w:r w:rsidR="00E01970" w:rsidRPr="004179B8">
        <w:rPr>
          <w:rFonts w:ascii="Calibri" w:hAnsi="Calibri" w:cs="Calibri"/>
          <w:noProof/>
          <w:lang w:val="fr-FR"/>
        </w:rPr>
        <w:t xml:space="preserve">. Cette décision est réaffirmée dans le </w:t>
      </w:r>
      <w:r w:rsidRPr="004179B8">
        <w:rPr>
          <w:rFonts w:ascii="Calibri" w:hAnsi="Calibri" w:cs="Calibri"/>
          <w:noProof/>
          <w:lang w:val="fr-FR"/>
        </w:rPr>
        <w:t xml:space="preserve">projet de résolution sur les questions financières et budgétaires </w:t>
      </w:r>
      <w:r w:rsidR="00B14A96">
        <w:rPr>
          <w:rFonts w:ascii="Calibri" w:hAnsi="Calibri" w:cs="Calibri"/>
          <w:noProof/>
          <w:lang w:val="fr-FR"/>
        </w:rPr>
        <w:t xml:space="preserve">qui </w:t>
      </w:r>
      <w:r w:rsidR="002B1256" w:rsidRPr="004179B8">
        <w:rPr>
          <w:rFonts w:ascii="Calibri" w:hAnsi="Calibri" w:cs="Calibri"/>
          <w:noProof/>
          <w:lang w:val="fr-FR"/>
        </w:rPr>
        <w:t>figur</w:t>
      </w:r>
      <w:r w:rsidR="00B14A96">
        <w:rPr>
          <w:rFonts w:ascii="Calibri" w:hAnsi="Calibri" w:cs="Calibri"/>
          <w:noProof/>
          <w:lang w:val="fr-FR"/>
        </w:rPr>
        <w:t>e</w:t>
      </w:r>
      <w:r w:rsidR="002B1256" w:rsidRPr="004179B8">
        <w:rPr>
          <w:rFonts w:ascii="Calibri" w:hAnsi="Calibri" w:cs="Calibri"/>
          <w:noProof/>
          <w:lang w:val="fr-FR"/>
        </w:rPr>
        <w:t xml:space="preserve"> </w:t>
      </w:r>
      <w:r w:rsidRPr="004179B8">
        <w:rPr>
          <w:rFonts w:ascii="Calibri" w:hAnsi="Calibri" w:cs="Calibri"/>
          <w:noProof/>
          <w:lang w:val="fr-FR"/>
        </w:rPr>
        <w:t>dans le document SC64 Doc.9.3 Rev.1</w:t>
      </w:r>
      <w:r w:rsidR="002B1256" w:rsidRPr="004179B8">
        <w:rPr>
          <w:rFonts w:ascii="Calibri" w:hAnsi="Calibri" w:cs="Calibri"/>
          <w:noProof/>
          <w:lang w:val="fr-FR"/>
        </w:rPr>
        <w:t xml:space="preserve"> </w:t>
      </w:r>
      <w:r w:rsidRPr="004179B8">
        <w:rPr>
          <w:rFonts w:ascii="Calibri" w:hAnsi="Calibri" w:cs="Calibri"/>
          <w:noProof/>
          <w:lang w:val="fr-FR"/>
        </w:rPr>
        <w:t>au paragraphe 19</w:t>
      </w:r>
      <w:r w:rsidR="002B1256" w:rsidRPr="004179B8">
        <w:rPr>
          <w:rFonts w:ascii="Calibri" w:hAnsi="Calibri" w:cs="Calibri"/>
          <w:noProof/>
          <w:lang w:val="fr-FR"/>
        </w:rPr>
        <w:t>.</w:t>
      </w:r>
    </w:p>
    <w:p w14:paraId="33B15E06" w14:textId="0737F7DF" w:rsidR="00CC38F6" w:rsidRPr="004179B8" w:rsidRDefault="00962434" w:rsidP="00CC38F6">
      <w:pPr>
        <w:pStyle w:val="ListParagraph"/>
        <w:numPr>
          <w:ilvl w:val="0"/>
          <w:numId w:val="5"/>
        </w:numPr>
        <w:spacing w:after="0" w:line="240" w:lineRule="auto"/>
        <w:ind w:left="426" w:hanging="426"/>
        <w:rPr>
          <w:rFonts w:ascii="Calibri" w:hAnsi="Calibri" w:cs="Calibri"/>
          <w:noProof/>
          <w:lang w:val="fr-FR"/>
        </w:rPr>
      </w:pPr>
      <w:r w:rsidRPr="004179B8">
        <w:rPr>
          <w:rFonts w:ascii="Calibri" w:hAnsi="Calibri" w:cs="Calibri"/>
          <w:i/>
          <w:iCs/>
          <w:noProof/>
          <w:lang w:val="fr-FR"/>
        </w:rPr>
        <w:t>Report </w:t>
      </w:r>
      <w:r w:rsidR="00EC6B4B" w:rsidRPr="004179B8">
        <w:rPr>
          <w:rFonts w:ascii="Calibri" w:hAnsi="Calibri" w:cs="Calibri"/>
          <w:noProof/>
          <w:lang w:val="fr-FR"/>
        </w:rPr>
        <w:t>:</w:t>
      </w:r>
    </w:p>
    <w:p w14:paraId="22F3B43F" w14:textId="41FD007E" w:rsidR="00962434" w:rsidRPr="004179B8" w:rsidRDefault="00962434" w:rsidP="00E01970">
      <w:pPr>
        <w:spacing w:after="0" w:line="240" w:lineRule="auto"/>
        <w:ind w:left="426"/>
        <w:rPr>
          <w:rFonts w:ascii="Calibri" w:hAnsi="Calibri" w:cs="Calibri"/>
          <w:noProof/>
          <w:lang w:val="fr-FR"/>
        </w:rPr>
      </w:pPr>
      <w:r w:rsidRPr="004179B8">
        <w:rPr>
          <w:rFonts w:ascii="Calibri" w:hAnsi="Calibri" w:cs="Calibri"/>
          <w:noProof/>
          <w:lang w:val="fr-FR"/>
        </w:rPr>
        <w:t>On entend par « report » les fonds du budget annuel qui n</w:t>
      </w:r>
      <w:r w:rsidR="00EE0531">
        <w:rPr>
          <w:rFonts w:ascii="Calibri" w:hAnsi="Calibri" w:cs="Calibri"/>
          <w:noProof/>
          <w:lang w:val="fr-FR"/>
        </w:rPr>
        <w:t>’</w:t>
      </w:r>
      <w:r w:rsidRPr="004179B8">
        <w:rPr>
          <w:rFonts w:ascii="Calibri" w:hAnsi="Calibri" w:cs="Calibri"/>
          <w:noProof/>
          <w:lang w:val="fr-FR"/>
        </w:rPr>
        <w:t>ont pas été utilisés pendant l</w:t>
      </w:r>
      <w:r w:rsidR="00EE0531">
        <w:rPr>
          <w:rFonts w:ascii="Calibri" w:hAnsi="Calibri" w:cs="Calibri"/>
          <w:noProof/>
          <w:lang w:val="fr-FR"/>
        </w:rPr>
        <w:t>’</w:t>
      </w:r>
      <w:r w:rsidRPr="004179B8">
        <w:rPr>
          <w:rFonts w:ascii="Calibri" w:hAnsi="Calibri" w:cs="Calibri"/>
          <w:noProof/>
          <w:lang w:val="fr-FR"/>
        </w:rPr>
        <w:t>année en cours et qui font l</w:t>
      </w:r>
      <w:r w:rsidR="00EE0531">
        <w:rPr>
          <w:rFonts w:ascii="Calibri" w:hAnsi="Calibri" w:cs="Calibri"/>
          <w:noProof/>
          <w:lang w:val="fr-FR"/>
        </w:rPr>
        <w:t>’</w:t>
      </w:r>
      <w:r w:rsidRPr="004179B8">
        <w:rPr>
          <w:rFonts w:ascii="Calibri" w:hAnsi="Calibri" w:cs="Calibri"/>
          <w:noProof/>
          <w:lang w:val="fr-FR"/>
        </w:rPr>
        <w:t>objet d</w:t>
      </w:r>
      <w:r w:rsidR="00EE0531">
        <w:rPr>
          <w:rFonts w:ascii="Calibri" w:hAnsi="Calibri" w:cs="Calibri"/>
          <w:noProof/>
          <w:lang w:val="fr-FR"/>
        </w:rPr>
        <w:t>’</w:t>
      </w:r>
      <w:r w:rsidRPr="004179B8">
        <w:rPr>
          <w:rFonts w:ascii="Calibri" w:hAnsi="Calibri" w:cs="Calibri"/>
          <w:noProof/>
          <w:lang w:val="fr-FR"/>
        </w:rPr>
        <w:t>un report sur l</w:t>
      </w:r>
      <w:r w:rsidR="00EE0531">
        <w:rPr>
          <w:rFonts w:ascii="Calibri" w:hAnsi="Calibri" w:cs="Calibri"/>
          <w:noProof/>
          <w:lang w:val="fr-FR"/>
        </w:rPr>
        <w:t>’</w:t>
      </w:r>
      <w:r w:rsidRPr="004179B8">
        <w:rPr>
          <w:rFonts w:ascii="Calibri" w:hAnsi="Calibri" w:cs="Calibri"/>
          <w:noProof/>
          <w:lang w:val="fr-FR"/>
        </w:rPr>
        <w:t>année suivante en vue d</w:t>
      </w:r>
      <w:r w:rsidR="00EE0531">
        <w:rPr>
          <w:rFonts w:ascii="Calibri" w:hAnsi="Calibri" w:cs="Calibri"/>
          <w:noProof/>
          <w:lang w:val="fr-FR"/>
        </w:rPr>
        <w:t>’</w:t>
      </w:r>
      <w:r w:rsidRPr="004179B8">
        <w:rPr>
          <w:rFonts w:ascii="Calibri" w:hAnsi="Calibri" w:cs="Calibri"/>
          <w:noProof/>
          <w:lang w:val="fr-FR"/>
        </w:rPr>
        <w:t>une utilisation dans le cadre de projets en cours</w:t>
      </w:r>
      <w:r w:rsidR="00B14A96">
        <w:rPr>
          <w:rFonts w:ascii="Calibri" w:hAnsi="Calibri" w:cs="Calibri"/>
          <w:noProof/>
          <w:lang w:val="fr-FR"/>
        </w:rPr>
        <w:t xml:space="preserve"> d’exécution</w:t>
      </w:r>
      <w:r w:rsidRPr="004179B8">
        <w:rPr>
          <w:rFonts w:ascii="Calibri" w:hAnsi="Calibri" w:cs="Calibri"/>
          <w:noProof/>
          <w:lang w:val="fr-FR"/>
        </w:rPr>
        <w:t>. Les fonds non utilisés après l</w:t>
      </w:r>
      <w:r w:rsidR="00EE0531">
        <w:rPr>
          <w:rFonts w:ascii="Calibri" w:hAnsi="Calibri" w:cs="Calibri"/>
          <w:noProof/>
          <w:lang w:val="fr-FR"/>
        </w:rPr>
        <w:t>’</w:t>
      </w:r>
      <w:r w:rsidRPr="004179B8">
        <w:rPr>
          <w:rFonts w:ascii="Calibri" w:hAnsi="Calibri" w:cs="Calibri"/>
          <w:noProof/>
          <w:lang w:val="fr-FR"/>
        </w:rPr>
        <w:t xml:space="preserve">achèvement des activités prennent la forme de fonds excédentaires qui seront affectés ultérieurement. Le Comité permanent, au titre de la Décision SC57-50, a décidé que les soldes non </w:t>
      </w:r>
      <w:r w:rsidR="00B14A96">
        <w:rPr>
          <w:rFonts w:ascii="Calibri" w:hAnsi="Calibri" w:cs="Calibri"/>
          <w:noProof/>
          <w:lang w:val="fr-FR"/>
        </w:rPr>
        <w:t>engagés</w:t>
      </w:r>
      <w:r w:rsidRPr="004179B8">
        <w:rPr>
          <w:rFonts w:ascii="Calibri" w:hAnsi="Calibri" w:cs="Calibri"/>
          <w:noProof/>
          <w:lang w:val="fr-FR"/>
        </w:rPr>
        <w:t>/non dépensés</w:t>
      </w:r>
      <w:r w:rsidR="00E01970" w:rsidRPr="004179B8">
        <w:rPr>
          <w:rFonts w:ascii="Calibri" w:hAnsi="Calibri" w:cs="Calibri"/>
          <w:noProof/>
          <w:lang w:val="fr-FR"/>
        </w:rPr>
        <w:t xml:space="preserve"> </w:t>
      </w:r>
      <w:r w:rsidR="00B14A96">
        <w:rPr>
          <w:rFonts w:ascii="Calibri" w:hAnsi="Calibri" w:cs="Calibri"/>
          <w:noProof/>
          <w:lang w:val="fr-FR"/>
        </w:rPr>
        <w:t>sous l</w:t>
      </w:r>
      <w:r w:rsidR="00E01970" w:rsidRPr="004179B8">
        <w:rPr>
          <w:rFonts w:ascii="Calibri" w:hAnsi="Calibri" w:cs="Calibri"/>
          <w:noProof/>
          <w:lang w:val="fr-FR"/>
        </w:rPr>
        <w:t>es différents postes budgétaires</w:t>
      </w:r>
      <w:r w:rsidRPr="004179B8">
        <w:rPr>
          <w:rFonts w:ascii="Calibri" w:hAnsi="Calibri" w:cs="Calibri"/>
          <w:noProof/>
          <w:lang w:val="fr-FR"/>
        </w:rPr>
        <w:t xml:space="preserve"> </w:t>
      </w:r>
      <w:r w:rsidR="00E01970" w:rsidRPr="004179B8">
        <w:rPr>
          <w:rFonts w:ascii="Calibri" w:hAnsi="Calibri" w:cs="Calibri"/>
          <w:noProof/>
          <w:lang w:val="fr-FR"/>
        </w:rPr>
        <w:t>pouvaient être reportés à l</w:t>
      </w:r>
      <w:r w:rsidR="00EE0531">
        <w:rPr>
          <w:rFonts w:ascii="Calibri" w:hAnsi="Calibri" w:cs="Calibri"/>
          <w:noProof/>
          <w:lang w:val="fr-FR"/>
        </w:rPr>
        <w:t>’</w:t>
      </w:r>
      <w:r w:rsidR="00E01970" w:rsidRPr="004179B8">
        <w:rPr>
          <w:rFonts w:ascii="Calibri" w:hAnsi="Calibri" w:cs="Calibri"/>
          <w:noProof/>
          <w:lang w:val="fr-FR"/>
        </w:rPr>
        <w:t>année suivante de la période triennale et présentés à la réunion suivante du Sous-groupe sur les finances</w:t>
      </w:r>
      <w:r w:rsidRPr="004179B8">
        <w:rPr>
          <w:rFonts w:ascii="Calibri" w:hAnsi="Calibri" w:cs="Calibri"/>
          <w:noProof/>
          <w:lang w:val="fr-FR"/>
        </w:rPr>
        <w:t xml:space="preserve">. </w:t>
      </w:r>
      <w:r w:rsidR="00E01970" w:rsidRPr="004179B8">
        <w:rPr>
          <w:rFonts w:ascii="Calibri" w:hAnsi="Calibri" w:cs="Calibri"/>
          <w:noProof/>
          <w:lang w:val="fr-FR"/>
        </w:rPr>
        <w:t>Cette décision est réaffirmée dans l</w:t>
      </w:r>
      <w:r w:rsidRPr="004179B8">
        <w:rPr>
          <w:rFonts w:ascii="Calibri" w:hAnsi="Calibri" w:cs="Calibri"/>
          <w:noProof/>
          <w:lang w:val="fr-FR"/>
        </w:rPr>
        <w:t>e projet de résolution sur les questions financières et budgétaires au paragraphe 25.</w:t>
      </w:r>
    </w:p>
    <w:p w14:paraId="4C7AD9EE" w14:textId="1049697C" w:rsidR="00CC38F6" w:rsidRPr="004179B8" w:rsidRDefault="00E01970" w:rsidP="00CC38F6">
      <w:pPr>
        <w:pStyle w:val="ListParagraph"/>
        <w:numPr>
          <w:ilvl w:val="0"/>
          <w:numId w:val="5"/>
        </w:numPr>
        <w:spacing w:after="0" w:line="240" w:lineRule="auto"/>
        <w:ind w:left="426" w:hanging="426"/>
        <w:rPr>
          <w:rFonts w:ascii="Calibri" w:hAnsi="Calibri" w:cs="Calibri"/>
          <w:i/>
          <w:iCs/>
          <w:noProof/>
          <w:lang w:val="fr-FR"/>
        </w:rPr>
      </w:pPr>
      <w:r w:rsidRPr="004179B8">
        <w:rPr>
          <w:rFonts w:ascii="Calibri" w:hAnsi="Calibri" w:cs="Calibri"/>
          <w:i/>
          <w:iCs/>
          <w:noProof/>
          <w:lang w:val="fr-FR"/>
        </w:rPr>
        <w:t>Excédent </w:t>
      </w:r>
      <w:r w:rsidR="00EC6B4B" w:rsidRPr="004179B8">
        <w:rPr>
          <w:rFonts w:ascii="Calibri" w:hAnsi="Calibri" w:cs="Calibri"/>
          <w:noProof/>
          <w:lang w:val="fr-FR"/>
        </w:rPr>
        <w:t>:</w:t>
      </w:r>
    </w:p>
    <w:p w14:paraId="0E729C7E" w14:textId="42DE2C27" w:rsidR="00E01970" w:rsidRPr="004179B8" w:rsidRDefault="0015784F" w:rsidP="00EC6B4B">
      <w:pPr>
        <w:spacing w:after="0" w:line="240" w:lineRule="auto"/>
        <w:ind w:left="426"/>
        <w:rPr>
          <w:rFonts w:ascii="Calibri" w:hAnsi="Calibri" w:cs="Calibri"/>
          <w:noProof/>
          <w:lang w:val="fr-FR"/>
        </w:rPr>
      </w:pPr>
      <w:r w:rsidRPr="004179B8">
        <w:rPr>
          <w:rFonts w:ascii="Calibri" w:hAnsi="Calibri" w:cs="Calibri"/>
          <w:noProof/>
          <w:lang w:val="fr-FR"/>
        </w:rPr>
        <w:t>Les</w:t>
      </w:r>
      <w:r w:rsidR="00E01970" w:rsidRPr="004179B8">
        <w:rPr>
          <w:rFonts w:ascii="Calibri" w:hAnsi="Calibri" w:cs="Calibri"/>
          <w:noProof/>
          <w:lang w:val="fr-FR"/>
        </w:rPr>
        <w:t xml:space="preserve"> « fonds excédentaires » </w:t>
      </w:r>
      <w:r w:rsidR="00B14A96">
        <w:rPr>
          <w:rFonts w:ascii="Calibri" w:hAnsi="Calibri" w:cs="Calibri"/>
          <w:noProof/>
          <w:lang w:val="fr-FR"/>
        </w:rPr>
        <w:t>résultent de</w:t>
      </w:r>
      <w:r w:rsidR="00E01970" w:rsidRPr="004179B8">
        <w:rPr>
          <w:rFonts w:ascii="Calibri" w:hAnsi="Calibri" w:cs="Calibri"/>
          <w:noProof/>
          <w:lang w:val="fr-FR"/>
        </w:rPr>
        <w:t xml:space="preserve"> </w:t>
      </w:r>
      <w:r w:rsidRPr="004179B8">
        <w:rPr>
          <w:rFonts w:ascii="Calibri" w:hAnsi="Calibri" w:cs="Calibri"/>
          <w:noProof/>
          <w:lang w:val="fr-FR"/>
        </w:rPr>
        <w:t xml:space="preserve">sommes perçues </w:t>
      </w:r>
      <w:r w:rsidR="00B14A96">
        <w:rPr>
          <w:rFonts w:ascii="Calibri" w:hAnsi="Calibri" w:cs="Calibri"/>
          <w:noProof/>
          <w:lang w:val="fr-FR"/>
        </w:rPr>
        <w:t>supréirures aux</w:t>
      </w:r>
      <w:r w:rsidRPr="004179B8">
        <w:rPr>
          <w:rFonts w:ascii="Calibri" w:hAnsi="Calibri" w:cs="Calibri"/>
          <w:noProof/>
          <w:lang w:val="fr-FR"/>
        </w:rPr>
        <w:t xml:space="preserve"> </w:t>
      </w:r>
      <w:r w:rsidR="00E01970" w:rsidRPr="004179B8">
        <w:rPr>
          <w:rFonts w:ascii="Calibri" w:hAnsi="Calibri" w:cs="Calibri"/>
          <w:noProof/>
          <w:lang w:val="fr-FR"/>
        </w:rPr>
        <w:t xml:space="preserve">dépenses prévues ou </w:t>
      </w:r>
      <w:r w:rsidRPr="004179B8">
        <w:rPr>
          <w:rFonts w:ascii="Calibri" w:hAnsi="Calibri" w:cs="Calibri"/>
          <w:noProof/>
          <w:lang w:val="fr-FR"/>
        </w:rPr>
        <w:t>effectives</w:t>
      </w:r>
      <w:r w:rsidR="00E01970" w:rsidRPr="004179B8">
        <w:rPr>
          <w:rFonts w:ascii="Calibri" w:hAnsi="Calibri" w:cs="Calibri"/>
          <w:noProof/>
          <w:lang w:val="fr-FR"/>
        </w:rPr>
        <w:t xml:space="preserve"> </w:t>
      </w:r>
      <w:r w:rsidRPr="004179B8">
        <w:rPr>
          <w:rFonts w:ascii="Calibri" w:hAnsi="Calibri" w:cs="Calibri"/>
          <w:noProof/>
          <w:lang w:val="fr-FR"/>
        </w:rPr>
        <w:t xml:space="preserve">au cours </w:t>
      </w:r>
      <w:r w:rsidR="00E01970" w:rsidRPr="004179B8">
        <w:rPr>
          <w:rFonts w:ascii="Calibri" w:hAnsi="Calibri" w:cs="Calibri"/>
          <w:noProof/>
          <w:lang w:val="fr-FR"/>
        </w:rPr>
        <w:t>de l</w:t>
      </w:r>
      <w:r w:rsidR="00EE0531">
        <w:rPr>
          <w:rFonts w:ascii="Calibri" w:hAnsi="Calibri" w:cs="Calibri"/>
          <w:noProof/>
          <w:lang w:val="fr-FR"/>
        </w:rPr>
        <w:t>’</w:t>
      </w:r>
      <w:r w:rsidR="00E01970" w:rsidRPr="004179B8">
        <w:rPr>
          <w:rFonts w:ascii="Calibri" w:hAnsi="Calibri" w:cs="Calibri"/>
          <w:noProof/>
          <w:lang w:val="fr-FR"/>
        </w:rPr>
        <w:t xml:space="preserve">année. Ces fonds peuvent être </w:t>
      </w:r>
      <w:r w:rsidR="00B14A96">
        <w:rPr>
          <w:rFonts w:ascii="Calibri" w:hAnsi="Calibri" w:cs="Calibri"/>
          <w:noProof/>
          <w:lang w:val="fr-FR"/>
        </w:rPr>
        <w:t>mis à profit</w:t>
      </w:r>
      <w:r w:rsidR="00E01970" w:rsidRPr="004179B8">
        <w:rPr>
          <w:rFonts w:ascii="Calibri" w:hAnsi="Calibri" w:cs="Calibri"/>
          <w:noProof/>
          <w:lang w:val="fr-FR"/>
        </w:rPr>
        <w:t xml:space="preserve"> pour financer de</w:t>
      </w:r>
      <w:r w:rsidRPr="004179B8">
        <w:rPr>
          <w:rFonts w:ascii="Calibri" w:hAnsi="Calibri" w:cs="Calibri"/>
          <w:noProof/>
          <w:lang w:val="fr-FR"/>
        </w:rPr>
        <w:t xml:space="preserve"> nouvelle</w:t>
      </w:r>
      <w:r w:rsidR="00E01970" w:rsidRPr="004179B8">
        <w:rPr>
          <w:rFonts w:ascii="Calibri" w:hAnsi="Calibri" w:cs="Calibri"/>
          <w:noProof/>
          <w:lang w:val="fr-FR"/>
        </w:rPr>
        <w:t xml:space="preserve">s initiatives, </w:t>
      </w:r>
      <w:r w:rsidRPr="004179B8">
        <w:rPr>
          <w:rFonts w:ascii="Calibri" w:hAnsi="Calibri" w:cs="Calibri"/>
          <w:noProof/>
          <w:lang w:val="fr-FR"/>
        </w:rPr>
        <w:t>sur</w:t>
      </w:r>
      <w:r w:rsidR="00E01970" w:rsidRPr="004179B8">
        <w:rPr>
          <w:rFonts w:ascii="Calibri" w:hAnsi="Calibri" w:cs="Calibri"/>
          <w:noProof/>
          <w:lang w:val="fr-FR"/>
        </w:rPr>
        <w:t xml:space="preserve"> demande des </w:t>
      </w:r>
      <w:r w:rsidRPr="004179B8">
        <w:rPr>
          <w:rFonts w:ascii="Calibri" w:hAnsi="Calibri" w:cs="Calibri"/>
          <w:noProof/>
          <w:lang w:val="fr-FR"/>
        </w:rPr>
        <w:t>P</w:t>
      </w:r>
      <w:r w:rsidR="00E01970" w:rsidRPr="004179B8">
        <w:rPr>
          <w:rFonts w:ascii="Calibri" w:hAnsi="Calibri" w:cs="Calibri"/>
          <w:noProof/>
          <w:lang w:val="fr-FR"/>
        </w:rPr>
        <w:t xml:space="preserve">arties contractantes </w:t>
      </w:r>
      <w:r w:rsidRPr="004179B8">
        <w:rPr>
          <w:rFonts w:ascii="Calibri" w:hAnsi="Calibri" w:cs="Calibri"/>
          <w:noProof/>
          <w:lang w:val="fr-FR"/>
        </w:rPr>
        <w:t xml:space="preserve">soumise </w:t>
      </w:r>
      <w:r w:rsidR="00E01970" w:rsidRPr="004179B8">
        <w:rPr>
          <w:rFonts w:ascii="Calibri" w:hAnsi="Calibri" w:cs="Calibri"/>
          <w:noProof/>
          <w:lang w:val="fr-FR"/>
        </w:rPr>
        <w:t xml:space="preserve">au </w:t>
      </w:r>
      <w:r w:rsidRPr="004179B8">
        <w:rPr>
          <w:rFonts w:ascii="Calibri" w:hAnsi="Calibri" w:cs="Calibri"/>
          <w:noProof/>
          <w:lang w:val="fr-FR"/>
        </w:rPr>
        <w:t>S</w:t>
      </w:r>
      <w:r w:rsidR="00E01970" w:rsidRPr="004179B8">
        <w:rPr>
          <w:rFonts w:ascii="Calibri" w:hAnsi="Calibri" w:cs="Calibri"/>
          <w:noProof/>
          <w:lang w:val="fr-FR"/>
        </w:rPr>
        <w:t xml:space="preserve">ecrétariat, selon les recommandations du </w:t>
      </w:r>
      <w:r w:rsidRPr="004179B8">
        <w:rPr>
          <w:rFonts w:ascii="Calibri" w:hAnsi="Calibri" w:cs="Calibri"/>
          <w:noProof/>
          <w:lang w:val="fr-FR"/>
        </w:rPr>
        <w:t>S</w:t>
      </w:r>
      <w:r w:rsidR="00E01970" w:rsidRPr="004179B8">
        <w:rPr>
          <w:rFonts w:ascii="Calibri" w:hAnsi="Calibri" w:cs="Calibri"/>
          <w:noProof/>
          <w:lang w:val="fr-FR"/>
        </w:rPr>
        <w:t xml:space="preserve">ous-groupe sur les finances et </w:t>
      </w:r>
      <w:r w:rsidRPr="004179B8">
        <w:rPr>
          <w:rFonts w:ascii="Calibri" w:hAnsi="Calibri" w:cs="Calibri"/>
          <w:noProof/>
          <w:lang w:val="fr-FR"/>
        </w:rPr>
        <w:t xml:space="preserve">sur </w:t>
      </w:r>
      <w:r w:rsidR="00E01970" w:rsidRPr="004179B8">
        <w:rPr>
          <w:rFonts w:ascii="Calibri" w:hAnsi="Calibri" w:cs="Calibri"/>
          <w:noProof/>
          <w:lang w:val="fr-FR"/>
        </w:rPr>
        <w:t xml:space="preserve">décision du </w:t>
      </w:r>
      <w:r w:rsidRPr="004179B8">
        <w:rPr>
          <w:rFonts w:ascii="Calibri" w:hAnsi="Calibri" w:cs="Calibri"/>
          <w:noProof/>
          <w:lang w:val="fr-FR"/>
        </w:rPr>
        <w:t>C</w:t>
      </w:r>
      <w:r w:rsidR="00E01970" w:rsidRPr="004179B8">
        <w:rPr>
          <w:rFonts w:ascii="Calibri" w:hAnsi="Calibri" w:cs="Calibri"/>
          <w:noProof/>
          <w:lang w:val="fr-FR"/>
        </w:rPr>
        <w:t>omité permanent.</w:t>
      </w:r>
    </w:p>
    <w:p w14:paraId="00CE73ED" w14:textId="77777777" w:rsidR="00CC38F6" w:rsidRPr="004179B8" w:rsidRDefault="00CC38F6" w:rsidP="0015784F">
      <w:pPr>
        <w:spacing w:after="0" w:line="240" w:lineRule="auto"/>
        <w:rPr>
          <w:iCs/>
          <w:noProof/>
          <w:lang w:val="fr-FR"/>
        </w:rPr>
      </w:pPr>
    </w:p>
    <w:p w14:paraId="3B6EF729" w14:textId="6CC55A67" w:rsidR="00462ECE" w:rsidRPr="004179B8" w:rsidRDefault="00462ECE" w:rsidP="00462ECE">
      <w:pPr>
        <w:spacing w:after="0" w:line="240" w:lineRule="auto"/>
        <w:ind w:left="426" w:hanging="426"/>
        <w:rPr>
          <w:b/>
          <w:noProof/>
          <w:highlight w:val="lightGray"/>
          <w:lang w:val="fr-FR"/>
        </w:rPr>
      </w:pPr>
      <w:r w:rsidRPr="004179B8">
        <w:rPr>
          <w:b/>
          <w:noProof/>
          <w:lang w:val="fr-FR"/>
        </w:rPr>
        <w:t>1.</w:t>
      </w:r>
      <w:r w:rsidRPr="004179B8">
        <w:rPr>
          <w:b/>
          <w:noProof/>
          <w:lang w:val="fr-FR"/>
        </w:rPr>
        <w:tab/>
      </w:r>
      <w:r w:rsidR="0015784F" w:rsidRPr="004179B8">
        <w:rPr>
          <w:b/>
          <w:noProof/>
          <w:lang w:val="fr-FR"/>
        </w:rPr>
        <w:t>État des</w:t>
      </w:r>
      <w:r w:rsidR="006E37BD" w:rsidRPr="004179B8">
        <w:rPr>
          <w:b/>
          <w:noProof/>
          <w:lang w:val="fr-FR"/>
        </w:rPr>
        <w:t xml:space="preserve"> contributions</w:t>
      </w:r>
      <w:r w:rsidR="0015784F" w:rsidRPr="004179B8">
        <w:rPr>
          <w:b/>
          <w:noProof/>
          <w:lang w:val="fr-FR"/>
        </w:rPr>
        <w:t xml:space="preserve"> annuelles</w:t>
      </w:r>
    </w:p>
    <w:p w14:paraId="34F67B4D" w14:textId="77777777" w:rsidR="00462ECE" w:rsidRPr="004179B8" w:rsidRDefault="00462ECE" w:rsidP="00462ECE">
      <w:pPr>
        <w:spacing w:after="0" w:line="240" w:lineRule="auto"/>
        <w:ind w:left="426" w:hanging="426"/>
        <w:rPr>
          <w:b/>
          <w:noProof/>
          <w:highlight w:val="lightGray"/>
          <w:lang w:val="fr-FR"/>
        </w:rPr>
      </w:pPr>
    </w:p>
    <w:p w14:paraId="6DC8B2FC" w14:textId="1BCF2CAF" w:rsidR="00DA0ADD" w:rsidRPr="004179B8" w:rsidRDefault="00DA0ADD" w:rsidP="00DA0ADD">
      <w:pPr>
        <w:spacing w:after="0" w:line="240" w:lineRule="auto"/>
        <w:contextualSpacing/>
        <w:rPr>
          <w:iCs/>
          <w:noProof/>
          <w:lang w:val="fr-FR"/>
        </w:rPr>
      </w:pPr>
      <w:r w:rsidRPr="004179B8">
        <w:rPr>
          <w:rFonts w:cs="Calibri"/>
          <w:noProof/>
          <w:color w:val="000000" w:themeColor="text1"/>
          <w:lang w:val="fr-FR"/>
        </w:rPr>
        <w:t>Le Secrétariat présente une synthèse de l</w:t>
      </w:r>
      <w:r w:rsidR="00EE0531">
        <w:rPr>
          <w:rFonts w:cs="Calibri"/>
          <w:noProof/>
          <w:color w:val="000000" w:themeColor="text1"/>
          <w:lang w:val="fr-FR"/>
        </w:rPr>
        <w:t>’</w:t>
      </w:r>
      <w:r w:rsidRPr="004179B8">
        <w:rPr>
          <w:rFonts w:cs="Calibri"/>
          <w:noProof/>
          <w:color w:val="000000" w:themeColor="text1"/>
          <w:lang w:val="fr-FR"/>
        </w:rPr>
        <w:t xml:space="preserve">état des contributions annuelles au 31 décembre 2024, tel que décrit dans le document SC64 Doc 9.2 Rev.1 et dans son annexe 1. En ce qui concerne les </w:t>
      </w:r>
      <w:r w:rsidRPr="004179B8">
        <w:rPr>
          <w:rFonts w:cs="Calibri"/>
          <w:noProof/>
          <w:color w:val="000000" w:themeColor="text1"/>
          <w:lang w:val="fr-FR"/>
        </w:rPr>
        <w:lastRenderedPageBreak/>
        <w:t xml:space="preserve">provisions </w:t>
      </w:r>
      <w:r w:rsidR="00B14A96">
        <w:rPr>
          <w:rFonts w:cs="Calibri"/>
          <w:noProof/>
          <w:color w:val="000000" w:themeColor="text1"/>
          <w:lang w:val="fr-FR"/>
        </w:rPr>
        <w:t xml:space="preserve">pour </w:t>
      </w:r>
      <w:r w:rsidRPr="004179B8">
        <w:rPr>
          <w:rFonts w:cs="Calibri"/>
          <w:noProof/>
          <w:color w:val="000000" w:themeColor="text1"/>
          <w:lang w:val="fr-FR"/>
        </w:rPr>
        <w:t>contributions</w:t>
      </w:r>
      <w:r w:rsidR="00B14A96">
        <w:rPr>
          <w:rFonts w:cs="Calibri"/>
          <w:noProof/>
          <w:color w:val="000000" w:themeColor="text1"/>
          <w:lang w:val="fr-FR"/>
        </w:rPr>
        <w:t xml:space="preserve"> impayées</w:t>
      </w:r>
      <w:r w:rsidRPr="004179B8">
        <w:rPr>
          <w:rFonts w:cs="Calibri"/>
          <w:noProof/>
          <w:color w:val="000000" w:themeColor="text1"/>
          <w:lang w:val="fr-FR"/>
        </w:rPr>
        <w:t xml:space="preserve">, selon les dernières estimations, la somme de 133 000 CHF serait nécessaire pour 2025. La somme de 150 000 CHF ayant été allouée, la différence </w:t>
      </w:r>
      <w:r w:rsidR="00896A7A" w:rsidRPr="004179B8">
        <w:rPr>
          <w:rFonts w:cs="Calibri"/>
          <w:noProof/>
          <w:color w:val="000000" w:themeColor="text1"/>
          <w:lang w:val="fr-FR"/>
        </w:rPr>
        <w:t>serait disponible en vue</w:t>
      </w:r>
      <w:r w:rsidRPr="004179B8">
        <w:rPr>
          <w:rFonts w:cs="Calibri"/>
          <w:noProof/>
          <w:color w:val="000000" w:themeColor="text1"/>
          <w:lang w:val="fr-FR"/>
        </w:rPr>
        <w:t xml:space="preserve"> d</w:t>
      </w:r>
      <w:r w:rsidR="00EE0531">
        <w:rPr>
          <w:rFonts w:cs="Calibri"/>
          <w:noProof/>
          <w:color w:val="000000" w:themeColor="text1"/>
          <w:lang w:val="fr-FR"/>
        </w:rPr>
        <w:t>’</w:t>
      </w:r>
      <w:r w:rsidRPr="004179B8">
        <w:rPr>
          <w:rFonts w:cs="Calibri"/>
          <w:noProof/>
          <w:color w:val="000000" w:themeColor="text1"/>
          <w:lang w:val="fr-FR"/>
        </w:rPr>
        <w:t>une affectation ultérieure, lors de la 65</w:t>
      </w:r>
      <w:r w:rsidRPr="004179B8">
        <w:rPr>
          <w:rFonts w:cs="Calibri"/>
          <w:noProof/>
          <w:color w:val="000000" w:themeColor="text1"/>
          <w:vertAlign w:val="superscript"/>
          <w:lang w:val="fr-FR"/>
        </w:rPr>
        <w:t>e</w:t>
      </w:r>
      <w:r w:rsidRPr="004179B8">
        <w:rPr>
          <w:rFonts w:cs="Calibri"/>
          <w:noProof/>
          <w:color w:val="000000" w:themeColor="text1"/>
          <w:lang w:val="fr-FR"/>
        </w:rPr>
        <w:t xml:space="preserve"> réunion du Comité permanent.</w:t>
      </w:r>
    </w:p>
    <w:p w14:paraId="17C0920E" w14:textId="77777777" w:rsidR="00DB51AE" w:rsidRPr="004179B8" w:rsidRDefault="00DB51AE" w:rsidP="00462ECE">
      <w:pPr>
        <w:spacing w:after="0" w:line="240" w:lineRule="auto"/>
        <w:contextualSpacing/>
        <w:rPr>
          <w:iCs/>
          <w:noProof/>
          <w:lang w:val="fr-FR"/>
        </w:rPr>
      </w:pPr>
    </w:p>
    <w:p w14:paraId="64426767" w14:textId="10D92E88" w:rsidR="00DB51AE" w:rsidRPr="004179B8" w:rsidRDefault="00896A7A" w:rsidP="00462ECE">
      <w:pPr>
        <w:spacing w:after="0" w:line="240" w:lineRule="auto"/>
        <w:contextualSpacing/>
        <w:rPr>
          <w:rFonts w:cs="Calibri"/>
          <w:noProof/>
          <w:color w:val="000000" w:themeColor="text1"/>
          <w:lang w:val="fr-FR"/>
        </w:rPr>
      </w:pPr>
      <w:r w:rsidRPr="004179B8">
        <w:rPr>
          <w:iCs/>
          <w:noProof/>
          <w:lang w:val="fr-FR"/>
        </w:rPr>
        <w:t xml:space="preserve">Le </w:t>
      </w:r>
      <w:r w:rsidR="00811E3D" w:rsidRPr="004179B8">
        <w:rPr>
          <w:iCs/>
          <w:noProof/>
          <w:lang w:val="fr-FR"/>
        </w:rPr>
        <w:t>Zimbabwe</w:t>
      </w:r>
      <w:r w:rsidR="00DB51AE" w:rsidRPr="004179B8">
        <w:rPr>
          <w:iCs/>
          <w:noProof/>
          <w:lang w:val="fr-FR"/>
        </w:rPr>
        <w:t xml:space="preserve"> </w:t>
      </w:r>
      <w:r w:rsidRPr="004179B8">
        <w:rPr>
          <w:iCs/>
          <w:noProof/>
          <w:lang w:val="fr-FR"/>
        </w:rPr>
        <w:t>indique qu</w:t>
      </w:r>
      <w:r w:rsidR="00EE0531">
        <w:rPr>
          <w:iCs/>
          <w:noProof/>
          <w:lang w:val="fr-FR"/>
        </w:rPr>
        <w:t>’</w:t>
      </w:r>
      <w:r w:rsidRPr="004179B8">
        <w:rPr>
          <w:iCs/>
          <w:noProof/>
          <w:lang w:val="fr-FR"/>
        </w:rPr>
        <w:t>il vient de régler son arriéré de contribution ainsi que sa</w:t>
      </w:r>
      <w:r w:rsidR="000349F3" w:rsidRPr="004179B8">
        <w:rPr>
          <w:iCs/>
          <w:noProof/>
          <w:lang w:val="fr-FR"/>
        </w:rPr>
        <w:t xml:space="preserve"> </w:t>
      </w:r>
      <w:r w:rsidR="00811E3D" w:rsidRPr="004179B8">
        <w:rPr>
          <w:iCs/>
          <w:noProof/>
          <w:lang w:val="fr-FR"/>
        </w:rPr>
        <w:t xml:space="preserve">contribution </w:t>
      </w:r>
      <w:r w:rsidRPr="004179B8">
        <w:rPr>
          <w:iCs/>
          <w:noProof/>
          <w:lang w:val="fr-FR"/>
        </w:rPr>
        <w:t>pou</w:t>
      </w:r>
      <w:r w:rsidR="00811E3D" w:rsidRPr="004179B8">
        <w:rPr>
          <w:iCs/>
          <w:noProof/>
          <w:lang w:val="fr-FR"/>
        </w:rPr>
        <w:t>r 2025</w:t>
      </w:r>
      <w:r w:rsidR="00DB51AE" w:rsidRPr="004179B8">
        <w:rPr>
          <w:iCs/>
          <w:noProof/>
          <w:lang w:val="fr-FR"/>
        </w:rPr>
        <w:t>.</w:t>
      </w:r>
    </w:p>
    <w:p w14:paraId="0B7C2102" w14:textId="77777777" w:rsidR="009E4737" w:rsidRPr="004179B8" w:rsidRDefault="009E4737" w:rsidP="009E4737">
      <w:pPr>
        <w:spacing w:after="0" w:line="240" w:lineRule="auto"/>
        <w:contextualSpacing/>
        <w:rPr>
          <w:rFonts w:cs="Calibri"/>
          <w:noProof/>
          <w:color w:val="000000" w:themeColor="text1"/>
          <w:lang w:val="fr-FR"/>
        </w:rPr>
      </w:pPr>
    </w:p>
    <w:p w14:paraId="5EC1BCD1" w14:textId="58F4CD51" w:rsidR="009E4737" w:rsidRPr="009E4737" w:rsidRDefault="009E4737" w:rsidP="009E4737">
      <w:pPr>
        <w:spacing w:after="0" w:line="240" w:lineRule="auto"/>
        <w:contextualSpacing/>
        <w:rPr>
          <w:rFonts w:cs="Calibri"/>
          <w:b/>
          <w:bCs/>
          <w:i/>
          <w:iCs/>
          <w:noProof/>
          <w:color w:val="000000" w:themeColor="text1"/>
          <w:lang w:val="fr-FR"/>
        </w:rPr>
      </w:pPr>
      <w:r w:rsidRPr="009E4737">
        <w:rPr>
          <w:rFonts w:cs="Calibri"/>
          <w:b/>
          <w:bCs/>
          <w:i/>
          <w:iCs/>
          <w:noProof/>
          <w:color w:val="000000" w:themeColor="text1"/>
          <w:lang w:val="fr-FR"/>
        </w:rPr>
        <w:t xml:space="preserve">Le </w:t>
      </w:r>
      <w:r w:rsidRPr="004179B8">
        <w:rPr>
          <w:rFonts w:cs="Calibri"/>
          <w:b/>
          <w:bCs/>
          <w:i/>
          <w:iCs/>
          <w:noProof/>
          <w:color w:val="000000" w:themeColor="text1"/>
          <w:lang w:val="fr-FR"/>
        </w:rPr>
        <w:t xml:space="preserve">Sous-groupe sur les finances recommande au </w:t>
      </w:r>
      <w:r w:rsidRPr="009E4737">
        <w:rPr>
          <w:rFonts w:cs="Calibri"/>
          <w:b/>
          <w:bCs/>
          <w:i/>
          <w:iCs/>
          <w:noProof/>
          <w:color w:val="000000" w:themeColor="text1"/>
          <w:lang w:val="fr-FR"/>
        </w:rPr>
        <w:t xml:space="preserve">Comité permanent </w:t>
      </w:r>
      <w:r w:rsidRPr="004179B8">
        <w:rPr>
          <w:rFonts w:cs="Calibri"/>
          <w:b/>
          <w:bCs/>
          <w:i/>
          <w:iCs/>
          <w:noProof/>
          <w:color w:val="000000" w:themeColor="text1"/>
          <w:lang w:val="fr-FR"/>
        </w:rPr>
        <w:t>de</w:t>
      </w:r>
      <w:r w:rsidRPr="009E4737">
        <w:rPr>
          <w:rFonts w:cs="Calibri"/>
          <w:b/>
          <w:bCs/>
          <w:i/>
          <w:iCs/>
          <w:noProof/>
          <w:color w:val="000000" w:themeColor="text1"/>
          <w:lang w:val="fr-FR"/>
        </w:rPr>
        <w:t> :</w:t>
      </w:r>
    </w:p>
    <w:p w14:paraId="4975888C" w14:textId="41B49CA3" w:rsidR="009E4737" w:rsidRPr="009E4737" w:rsidRDefault="009E4737" w:rsidP="009E4737">
      <w:pPr>
        <w:spacing w:after="0" w:line="240" w:lineRule="auto"/>
        <w:contextualSpacing/>
        <w:rPr>
          <w:rFonts w:cs="Calibri"/>
          <w:b/>
          <w:bCs/>
          <w:i/>
          <w:iCs/>
          <w:noProof/>
          <w:color w:val="000000" w:themeColor="text1"/>
          <w:lang w:val="fr-FR"/>
        </w:rPr>
      </w:pPr>
      <w:r w:rsidRPr="009E4737">
        <w:rPr>
          <w:rFonts w:cs="Calibri"/>
          <w:b/>
          <w:bCs/>
          <w:i/>
          <w:iCs/>
          <w:noProof/>
          <w:color w:val="000000" w:themeColor="text1"/>
          <w:lang w:val="fr-FR"/>
        </w:rPr>
        <w:t>i)</w:t>
      </w:r>
      <w:bookmarkStart w:id="0" w:name="_Hlk178843305"/>
      <w:r w:rsidRPr="004179B8">
        <w:rPr>
          <w:rFonts w:cs="Calibri"/>
          <w:b/>
          <w:bCs/>
          <w:i/>
          <w:iCs/>
          <w:noProof/>
          <w:color w:val="000000" w:themeColor="text1"/>
          <w:lang w:val="fr-FR"/>
        </w:rPr>
        <w:tab/>
      </w:r>
      <w:r w:rsidRPr="009E4737">
        <w:rPr>
          <w:rFonts w:cs="Calibri"/>
          <w:b/>
          <w:bCs/>
          <w:i/>
          <w:iCs/>
          <w:noProof/>
          <w:color w:val="000000" w:themeColor="text1"/>
          <w:lang w:val="fr-FR"/>
        </w:rPr>
        <w:t xml:space="preserve">prendre note </w:t>
      </w:r>
      <w:bookmarkEnd w:id="0"/>
      <w:r w:rsidRPr="009E4737">
        <w:rPr>
          <w:rFonts w:cs="Calibri"/>
          <w:b/>
          <w:bCs/>
          <w:i/>
          <w:iCs/>
          <w:noProof/>
          <w:color w:val="000000" w:themeColor="text1"/>
          <w:lang w:val="fr-FR"/>
        </w:rPr>
        <w:t>de l</w:t>
      </w:r>
      <w:r w:rsidR="00EE0531">
        <w:rPr>
          <w:rFonts w:cs="Calibri"/>
          <w:b/>
          <w:bCs/>
          <w:i/>
          <w:iCs/>
          <w:noProof/>
          <w:color w:val="000000" w:themeColor="text1"/>
          <w:lang w:val="fr-FR"/>
        </w:rPr>
        <w:t>’</w:t>
      </w:r>
      <w:r w:rsidRPr="009E4737">
        <w:rPr>
          <w:rFonts w:cs="Calibri"/>
          <w:b/>
          <w:bCs/>
          <w:i/>
          <w:iCs/>
          <w:noProof/>
          <w:color w:val="000000" w:themeColor="text1"/>
          <w:lang w:val="fr-FR"/>
        </w:rPr>
        <w:t xml:space="preserve">état des contributions annuelles au 31 décembre 2024 ; </w:t>
      </w:r>
    </w:p>
    <w:p w14:paraId="545BDFD9" w14:textId="3A0259E5" w:rsidR="009E4737" w:rsidRPr="009E4737" w:rsidRDefault="009E4737" w:rsidP="00D75F2C">
      <w:pPr>
        <w:spacing w:after="0" w:line="240" w:lineRule="auto"/>
        <w:ind w:left="709" w:hanging="709"/>
        <w:contextualSpacing/>
        <w:rPr>
          <w:rFonts w:cs="Calibri"/>
          <w:b/>
          <w:bCs/>
          <w:i/>
          <w:iCs/>
          <w:noProof/>
          <w:color w:val="000000" w:themeColor="text1"/>
          <w:lang w:val="fr-FR"/>
        </w:rPr>
      </w:pPr>
      <w:r w:rsidRPr="009E4737">
        <w:rPr>
          <w:rFonts w:cs="Calibri"/>
          <w:b/>
          <w:bCs/>
          <w:i/>
          <w:iCs/>
          <w:noProof/>
          <w:color w:val="000000" w:themeColor="text1"/>
          <w:lang w:val="fr-FR"/>
        </w:rPr>
        <w:t>ii)</w:t>
      </w:r>
      <w:r w:rsidRPr="009E4737">
        <w:rPr>
          <w:rFonts w:cs="Calibri"/>
          <w:b/>
          <w:bCs/>
          <w:i/>
          <w:iCs/>
          <w:noProof/>
          <w:color w:val="000000" w:themeColor="text1"/>
          <w:lang w:val="fr-FR"/>
        </w:rPr>
        <w:tab/>
        <w:t>prendre acte de l</w:t>
      </w:r>
      <w:r w:rsidR="00EE0531">
        <w:rPr>
          <w:rFonts w:cs="Calibri"/>
          <w:b/>
          <w:bCs/>
          <w:i/>
          <w:iCs/>
          <w:noProof/>
          <w:color w:val="000000" w:themeColor="text1"/>
          <w:lang w:val="fr-FR"/>
        </w:rPr>
        <w:t>’</w:t>
      </w:r>
      <w:r w:rsidRPr="009E4737">
        <w:rPr>
          <w:rFonts w:cs="Calibri"/>
          <w:b/>
          <w:bCs/>
          <w:i/>
          <w:iCs/>
          <w:noProof/>
          <w:color w:val="000000" w:themeColor="text1"/>
          <w:lang w:val="fr-FR"/>
        </w:rPr>
        <w:t xml:space="preserve">état des contributions annuelles </w:t>
      </w:r>
      <w:r w:rsidR="00D75F2C">
        <w:rPr>
          <w:rFonts w:cs="Calibri"/>
          <w:b/>
          <w:bCs/>
          <w:i/>
          <w:iCs/>
          <w:noProof/>
          <w:color w:val="000000" w:themeColor="text1"/>
          <w:lang w:val="fr-FR"/>
        </w:rPr>
        <w:t>mises en recouvrement</w:t>
      </w:r>
      <w:r w:rsidRPr="009E4737">
        <w:rPr>
          <w:rFonts w:cs="Calibri"/>
          <w:b/>
          <w:bCs/>
          <w:i/>
          <w:iCs/>
          <w:noProof/>
          <w:color w:val="000000" w:themeColor="text1"/>
          <w:lang w:val="fr-FR"/>
        </w:rPr>
        <w:t xml:space="preserve"> au 31 décembre 202</w:t>
      </w:r>
      <w:r w:rsidRPr="004179B8">
        <w:rPr>
          <w:rFonts w:cs="Calibri"/>
          <w:b/>
          <w:bCs/>
          <w:i/>
          <w:iCs/>
          <w:noProof/>
          <w:color w:val="000000" w:themeColor="text1"/>
          <w:lang w:val="fr-FR"/>
        </w:rPr>
        <w:t>4 </w:t>
      </w:r>
      <w:r w:rsidR="00D75F2C">
        <w:rPr>
          <w:rFonts w:cs="Calibri"/>
          <w:b/>
          <w:bCs/>
          <w:i/>
          <w:iCs/>
          <w:noProof/>
          <w:color w:val="000000" w:themeColor="text1"/>
          <w:lang w:val="fr-FR"/>
        </w:rPr>
        <w:t>dans le cadre du processus d’audit </w:t>
      </w:r>
      <w:r w:rsidRPr="004179B8">
        <w:rPr>
          <w:rFonts w:cs="Calibri"/>
          <w:b/>
          <w:bCs/>
          <w:i/>
          <w:iCs/>
          <w:noProof/>
          <w:color w:val="000000" w:themeColor="text1"/>
          <w:lang w:val="fr-FR"/>
        </w:rPr>
        <w:t>;</w:t>
      </w:r>
    </w:p>
    <w:p w14:paraId="27C25081" w14:textId="1E26E2BC" w:rsidR="009E4737" w:rsidRPr="009E4737" w:rsidRDefault="009E4737" w:rsidP="009E4737">
      <w:pPr>
        <w:spacing w:after="0" w:line="240" w:lineRule="auto"/>
        <w:ind w:left="720" w:hanging="720"/>
        <w:contextualSpacing/>
        <w:rPr>
          <w:rFonts w:cs="Calibri"/>
          <w:b/>
          <w:bCs/>
          <w:i/>
          <w:iCs/>
          <w:noProof/>
          <w:color w:val="000000" w:themeColor="text1"/>
          <w:lang w:val="fr-FR"/>
        </w:rPr>
      </w:pPr>
      <w:r w:rsidRPr="009E4737">
        <w:rPr>
          <w:rFonts w:cs="Calibri"/>
          <w:b/>
          <w:bCs/>
          <w:i/>
          <w:iCs/>
          <w:noProof/>
          <w:color w:val="000000" w:themeColor="text1"/>
          <w:lang w:val="fr-FR"/>
        </w:rPr>
        <w:t>iii)</w:t>
      </w:r>
      <w:r w:rsidRPr="009E4737">
        <w:rPr>
          <w:rFonts w:cs="Calibri"/>
          <w:b/>
          <w:bCs/>
          <w:i/>
          <w:iCs/>
          <w:noProof/>
          <w:color w:val="000000" w:themeColor="text1"/>
          <w:lang w:val="fr-FR"/>
        </w:rPr>
        <w:tab/>
        <w:t>prendre note des mesures énumérées aux paragraphes 14,16,17 et 18</w:t>
      </w:r>
      <w:r w:rsidRPr="004179B8">
        <w:rPr>
          <w:rFonts w:cs="Calibri"/>
          <w:b/>
          <w:bCs/>
          <w:i/>
          <w:iCs/>
          <w:noProof/>
          <w:color w:val="000000" w:themeColor="text1"/>
          <w:lang w:val="fr-FR"/>
        </w:rPr>
        <w:t xml:space="preserve"> du document SC64 Doc.9.2 Rev.1</w:t>
      </w:r>
      <w:r w:rsidRPr="009E4737">
        <w:rPr>
          <w:rFonts w:cs="Calibri"/>
          <w:b/>
          <w:bCs/>
          <w:i/>
          <w:iCs/>
          <w:noProof/>
          <w:color w:val="000000" w:themeColor="text1"/>
          <w:lang w:val="fr-FR"/>
        </w:rPr>
        <w:t xml:space="preserve"> en vue de continuer d</w:t>
      </w:r>
      <w:r w:rsidR="00EE0531">
        <w:rPr>
          <w:rFonts w:cs="Calibri"/>
          <w:b/>
          <w:bCs/>
          <w:i/>
          <w:iCs/>
          <w:noProof/>
          <w:color w:val="000000" w:themeColor="text1"/>
          <w:lang w:val="fr-FR"/>
        </w:rPr>
        <w:t>’</w:t>
      </w:r>
      <w:r w:rsidRPr="009E4737">
        <w:rPr>
          <w:rFonts w:cs="Calibri"/>
          <w:b/>
          <w:bCs/>
          <w:i/>
          <w:iCs/>
          <w:noProof/>
          <w:color w:val="000000" w:themeColor="text1"/>
          <w:lang w:val="fr-FR"/>
        </w:rPr>
        <w:t>encourager le versement des contributions annuelles</w:t>
      </w:r>
      <w:r w:rsidRPr="004179B8">
        <w:rPr>
          <w:rFonts w:cs="Calibri"/>
          <w:b/>
          <w:bCs/>
          <w:i/>
          <w:iCs/>
          <w:noProof/>
          <w:color w:val="000000" w:themeColor="text1"/>
          <w:lang w:val="fr-FR"/>
        </w:rPr>
        <w:t xml:space="preserve"> par les Parties contractantes</w:t>
      </w:r>
      <w:r w:rsidRPr="009E4737">
        <w:rPr>
          <w:rFonts w:cs="Calibri"/>
          <w:b/>
          <w:bCs/>
          <w:i/>
          <w:iCs/>
          <w:noProof/>
          <w:color w:val="000000" w:themeColor="text1"/>
          <w:lang w:val="fr-FR"/>
        </w:rPr>
        <w:t> ;</w:t>
      </w:r>
      <w:r w:rsidR="00D75F2C">
        <w:rPr>
          <w:rFonts w:cs="Calibri"/>
          <w:b/>
          <w:bCs/>
          <w:i/>
          <w:iCs/>
          <w:noProof/>
          <w:color w:val="000000" w:themeColor="text1"/>
          <w:lang w:val="fr-FR"/>
        </w:rPr>
        <w:t xml:space="preserve"> et</w:t>
      </w:r>
    </w:p>
    <w:p w14:paraId="5EB7846D" w14:textId="31265838" w:rsidR="00462ECE" w:rsidRPr="004179B8" w:rsidRDefault="009E4737" w:rsidP="009E4737">
      <w:pPr>
        <w:spacing w:after="0" w:line="240" w:lineRule="auto"/>
        <w:ind w:left="720" w:hanging="720"/>
        <w:contextualSpacing/>
        <w:rPr>
          <w:rFonts w:cs="Calibri"/>
          <w:b/>
          <w:bCs/>
          <w:i/>
          <w:iCs/>
          <w:noProof/>
          <w:color w:val="000000" w:themeColor="text1"/>
          <w:lang w:val="fr-FR"/>
        </w:rPr>
      </w:pPr>
      <w:r w:rsidRPr="009E4737">
        <w:rPr>
          <w:rFonts w:cs="Calibri"/>
          <w:b/>
          <w:bCs/>
          <w:i/>
          <w:iCs/>
          <w:noProof/>
          <w:color w:val="000000" w:themeColor="text1"/>
          <w:lang w:val="fr-FR"/>
        </w:rPr>
        <w:t>iv)</w:t>
      </w:r>
      <w:r w:rsidRPr="009E4737">
        <w:rPr>
          <w:rFonts w:cs="Calibri"/>
          <w:b/>
          <w:bCs/>
          <w:i/>
          <w:iCs/>
          <w:noProof/>
          <w:color w:val="000000" w:themeColor="text1"/>
          <w:lang w:val="fr-FR"/>
        </w:rPr>
        <w:tab/>
        <w:t>prendre note de l</w:t>
      </w:r>
      <w:r w:rsidR="00EE0531">
        <w:rPr>
          <w:rFonts w:cs="Calibri"/>
          <w:b/>
          <w:bCs/>
          <w:i/>
          <w:iCs/>
          <w:noProof/>
          <w:color w:val="000000" w:themeColor="text1"/>
          <w:lang w:val="fr-FR"/>
        </w:rPr>
        <w:t>’</w:t>
      </w:r>
      <w:r w:rsidRPr="009E4737">
        <w:rPr>
          <w:rFonts w:cs="Calibri"/>
          <w:b/>
          <w:bCs/>
          <w:i/>
          <w:iCs/>
          <w:noProof/>
          <w:color w:val="000000" w:themeColor="text1"/>
          <w:lang w:val="fr-FR"/>
        </w:rPr>
        <w:t xml:space="preserve">état actuel des contributions </w:t>
      </w:r>
      <w:r w:rsidRPr="004179B8">
        <w:rPr>
          <w:rFonts w:cs="Calibri"/>
          <w:b/>
          <w:bCs/>
          <w:i/>
          <w:iCs/>
          <w:noProof/>
          <w:color w:val="000000" w:themeColor="text1"/>
          <w:lang w:val="fr-FR"/>
        </w:rPr>
        <w:t>versées par les Parties contractantes de la région Afrique décrites au paragraphe 19 du document SC64 Doc.9.2. Rev.1</w:t>
      </w:r>
    </w:p>
    <w:p w14:paraId="27DA8BC4" w14:textId="77777777" w:rsidR="009E4737" w:rsidRPr="004179B8" w:rsidRDefault="009E4737" w:rsidP="00462ECE">
      <w:pPr>
        <w:spacing w:after="0" w:line="240" w:lineRule="auto"/>
        <w:contextualSpacing/>
        <w:rPr>
          <w:rFonts w:cs="Calibri"/>
          <w:noProof/>
          <w:color w:val="000000" w:themeColor="text1"/>
          <w:lang w:val="fr-FR"/>
        </w:rPr>
      </w:pPr>
    </w:p>
    <w:p w14:paraId="3B3D419F" w14:textId="5C05F060" w:rsidR="00B07229" w:rsidRPr="004179B8" w:rsidRDefault="00462ECE" w:rsidP="00462ECE">
      <w:pPr>
        <w:spacing w:after="0" w:line="240" w:lineRule="auto"/>
        <w:ind w:left="426" w:hanging="426"/>
        <w:rPr>
          <w:b/>
          <w:noProof/>
          <w:lang w:val="fr-FR"/>
        </w:rPr>
      </w:pPr>
      <w:r w:rsidRPr="004179B8">
        <w:rPr>
          <w:b/>
          <w:noProof/>
          <w:lang w:val="fr-FR"/>
        </w:rPr>
        <w:t>2.</w:t>
      </w:r>
      <w:r w:rsidRPr="004179B8">
        <w:rPr>
          <w:b/>
          <w:noProof/>
          <w:lang w:val="fr-FR"/>
        </w:rPr>
        <w:tab/>
      </w:r>
      <w:r w:rsidR="009E4737" w:rsidRPr="004179B8">
        <w:rPr>
          <w:b/>
          <w:noProof/>
          <w:lang w:val="fr-FR"/>
        </w:rPr>
        <w:t>Rapport sur les questions financières pour 2024 et 2025</w:t>
      </w:r>
    </w:p>
    <w:p w14:paraId="6ED77650" w14:textId="77777777" w:rsidR="00462ECE" w:rsidRPr="004179B8" w:rsidRDefault="00462ECE" w:rsidP="00462ECE">
      <w:pPr>
        <w:pStyle w:val="ColorfulList-Accent11"/>
        <w:ind w:left="785"/>
        <w:rPr>
          <w:rFonts w:cs="Calibri"/>
          <w:noProof/>
          <w:lang w:val="fr-FR"/>
        </w:rPr>
      </w:pPr>
    </w:p>
    <w:p w14:paraId="36437D21" w14:textId="563C082E" w:rsidR="009E4737" w:rsidRPr="004179B8" w:rsidRDefault="009E4737" w:rsidP="00462ECE">
      <w:pPr>
        <w:pStyle w:val="ColorfulList-Accent11"/>
        <w:ind w:left="0" w:firstLine="0"/>
        <w:rPr>
          <w:rFonts w:cs="Calibri"/>
          <w:noProof/>
          <w:lang w:val="fr-FR"/>
        </w:rPr>
      </w:pPr>
      <w:r w:rsidRPr="004179B8">
        <w:rPr>
          <w:rFonts w:cs="Calibri"/>
          <w:noProof/>
          <w:lang w:val="fr-FR"/>
        </w:rPr>
        <w:t xml:space="preserve">Le Secrétariat présente le document SC64 Doc.9.1, </w:t>
      </w:r>
      <w:r w:rsidRPr="004179B8">
        <w:rPr>
          <w:rFonts w:cs="Calibri"/>
          <w:i/>
          <w:iCs/>
          <w:noProof/>
          <w:lang w:val="fr-FR"/>
        </w:rPr>
        <w:t>Questions financières et budgétaires : Rapport sur les questions financières pour 2024 et 2025 (au 30 septembre 2024)</w:t>
      </w:r>
      <w:r w:rsidRPr="004179B8">
        <w:rPr>
          <w:rFonts w:cs="Calibri"/>
          <w:noProof/>
          <w:lang w:val="fr-FR"/>
        </w:rPr>
        <w:t>. Les recettes et les dépenses définitives pour 2024 seront confirmées lors de l</w:t>
      </w:r>
      <w:r w:rsidR="00EE0531">
        <w:rPr>
          <w:rFonts w:cs="Calibri"/>
          <w:noProof/>
          <w:lang w:val="fr-FR"/>
        </w:rPr>
        <w:t>’</w:t>
      </w:r>
      <w:r w:rsidRPr="004179B8">
        <w:rPr>
          <w:rFonts w:cs="Calibri"/>
          <w:noProof/>
          <w:lang w:val="fr-FR"/>
        </w:rPr>
        <w:t>audit à venir, l</w:t>
      </w:r>
      <w:r w:rsidR="00715306" w:rsidRPr="004179B8">
        <w:rPr>
          <w:rFonts w:cs="Calibri"/>
          <w:noProof/>
          <w:lang w:val="fr-FR"/>
        </w:rPr>
        <w:t>a publication du</w:t>
      </w:r>
      <w:r w:rsidRPr="004179B8">
        <w:rPr>
          <w:rFonts w:cs="Calibri"/>
          <w:noProof/>
          <w:lang w:val="fr-FR"/>
        </w:rPr>
        <w:t xml:space="preserve"> rapport de l</w:t>
      </w:r>
      <w:r w:rsidR="00EE0531">
        <w:rPr>
          <w:rFonts w:cs="Calibri"/>
          <w:noProof/>
          <w:lang w:val="fr-FR"/>
        </w:rPr>
        <w:t>’</w:t>
      </w:r>
      <w:r w:rsidRPr="004179B8">
        <w:rPr>
          <w:rFonts w:cs="Calibri"/>
          <w:noProof/>
          <w:lang w:val="fr-FR"/>
        </w:rPr>
        <w:t xml:space="preserve">auditeur </w:t>
      </w:r>
      <w:r w:rsidR="00715306" w:rsidRPr="004179B8">
        <w:rPr>
          <w:rFonts w:cs="Calibri"/>
          <w:noProof/>
          <w:lang w:val="fr-FR"/>
        </w:rPr>
        <w:t>étant prévue pour</w:t>
      </w:r>
      <w:r w:rsidRPr="004179B8">
        <w:rPr>
          <w:rFonts w:cs="Calibri"/>
          <w:noProof/>
          <w:lang w:val="fr-FR"/>
        </w:rPr>
        <w:t xml:space="preserve"> avril 2025. Les états financiers vérifiés seront inclus dans le document mis à jour pour examen par le Comité permanent lors </w:t>
      </w:r>
      <w:r w:rsidR="00417097" w:rsidRPr="004179B8">
        <w:rPr>
          <w:rFonts w:cs="Calibri"/>
          <w:noProof/>
          <w:lang w:val="fr-FR"/>
        </w:rPr>
        <w:t>de sa 65</w:t>
      </w:r>
      <w:r w:rsidR="00417097" w:rsidRPr="004179B8">
        <w:rPr>
          <w:rFonts w:cs="Calibri"/>
          <w:noProof/>
          <w:vertAlign w:val="superscript"/>
          <w:lang w:val="fr-FR"/>
        </w:rPr>
        <w:t>e</w:t>
      </w:r>
      <w:r w:rsidR="00417097" w:rsidRPr="004179B8">
        <w:rPr>
          <w:rFonts w:cs="Calibri"/>
          <w:noProof/>
          <w:lang w:val="fr-FR"/>
        </w:rPr>
        <w:t xml:space="preserve"> réunion prévue</w:t>
      </w:r>
      <w:r w:rsidRPr="004179B8">
        <w:rPr>
          <w:rFonts w:cs="Calibri"/>
          <w:noProof/>
          <w:lang w:val="fr-FR"/>
        </w:rPr>
        <w:t xml:space="preserve"> en juillet.</w:t>
      </w:r>
    </w:p>
    <w:p w14:paraId="1045A10C" w14:textId="77777777" w:rsidR="00E04AE0" w:rsidRPr="004179B8" w:rsidRDefault="00E04AE0" w:rsidP="00462ECE">
      <w:pPr>
        <w:pStyle w:val="ColorfulList-Accent11"/>
        <w:ind w:left="0" w:firstLine="0"/>
        <w:rPr>
          <w:rFonts w:cs="Calibri"/>
          <w:noProof/>
          <w:lang w:val="fr-FR"/>
        </w:rPr>
      </w:pPr>
    </w:p>
    <w:p w14:paraId="654BFE78" w14:textId="38B760A3" w:rsidR="00E04AE0" w:rsidRPr="004179B8" w:rsidRDefault="00417097" w:rsidP="00417097">
      <w:pPr>
        <w:pStyle w:val="ColorfulList-Accent11"/>
        <w:ind w:left="0" w:firstLine="0"/>
        <w:rPr>
          <w:rFonts w:cs="Calibri"/>
          <w:noProof/>
          <w:lang w:val="fr-FR"/>
        </w:rPr>
      </w:pPr>
      <w:r w:rsidRPr="004179B8">
        <w:rPr>
          <w:rFonts w:cs="Calibri"/>
          <w:noProof/>
          <w:lang w:val="fr-FR"/>
        </w:rPr>
        <w:t>Le tableau 1 ci-dessous présente u</w:t>
      </w:r>
      <w:r w:rsidR="00D75F2C">
        <w:rPr>
          <w:rFonts w:cs="Calibri"/>
          <w:noProof/>
          <w:lang w:val="fr-FR"/>
        </w:rPr>
        <w:t>ne synthèse</w:t>
      </w:r>
      <w:r w:rsidRPr="004179B8">
        <w:rPr>
          <w:rFonts w:cs="Calibri"/>
          <w:noProof/>
          <w:lang w:val="fr-FR"/>
        </w:rPr>
        <w:t xml:space="preserve"> des dernières estimations de l</w:t>
      </w:r>
      <w:r w:rsidR="00EE0531">
        <w:rPr>
          <w:rFonts w:cs="Calibri"/>
          <w:noProof/>
          <w:lang w:val="fr-FR"/>
        </w:rPr>
        <w:t>’</w:t>
      </w:r>
      <w:r w:rsidRPr="004179B8">
        <w:rPr>
          <w:rFonts w:cs="Calibri"/>
          <w:noProof/>
          <w:lang w:val="fr-FR"/>
        </w:rPr>
        <w:t>excédent du budget administratif 2024 à allouer (il s</w:t>
      </w:r>
      <w:r w:rsidR="00EE0531">
        <w:rPr>
          <w:rFonts w:cs="Calibri"/>
          <w:noProof/>
          <w:lang w:val="fr-FR"/>
        </w:rPr>
        <w:t>’</w:t>
      </w:r>
      <w:r w:rsidRPr="004179B8">
        <w:rPr>
          <w:rFonts w:cs="Calibri"/>
          <w:noProof/>
          <w:lang w:val="fr-FR"/>
        </w:rPr>
        <w:t>agit d</w:t>
      </w:r>
      <w:r w:rsidR="00EE0531">
        <w:rPr>
          <w:rFonts w:cs="Calibri"/>
          <w:noProof/>
          <w:lang w:val="fr-FR"/>
        </w:rPr>
        <w:t>’</w:t>
      </w:r>
      <w:r w:rsidRPr="004179B8">
        <w:rPr>
          <w:rFonts w:cs="Calibri"/>
          <w:noProof/>
          <w:lang w:val="fr-FR"/>
        </w:rPr>
        <w:t xml:space="preserve">une </w:t>
      </w:r>
      <w:r w:rsidR="006B3D8B" w:rsidRPr="004179B8">
        <w:rPr>
          <w:rFonts w:cs="Calibri"/>
          <w:noProof/>
          <w:lang w:val="fr-FR"/>
        </w:rPr>
        <w:t>mise à jour</w:t>
      </w:r>
      <w:r w:rsidRPr="004179B8">
        <w:rPr>
          <w:rFonts w:cs="Calibri"/>
          <w:noProof/>
          <w:lang w:val="fr-FR"/>
        </w:rPr>
        <w:t xml:space="preserve"> du tableau 2 figurant dans le </w:t>
      </w:r>
      <w:r w:rsidR="00E04AE0" w:rsidRPr="004179B8">
        <w:rPr>
          <w:rFonts w:cs="Calibri"/>
          <w:noProof/>
          <w:lang w:val="fr-FR"/>
        </w:rPr>
        <w:t>document SC64</w:t>
      </w:r>
      <w:r w:rsidRPr="004179B8">
        <w:rPr>
          <w:rFonts w:cs="Calibri"/>
          <w:noProof/>
          <w:lang w:val="fr-FR"/>
        </w:rPr>
        <w:t> </w:t>
      </w:r>
      <w:r w:rsidR="00E04AE0" w:rsidRPr="004179B8">
        <w:rPr>
          <w:rFonts w:cs="Calibri"/>
          <w:noProof/>
          <w:lang w:val="fr-FR"/>
        </w:rPr>
        <w:t>Doc.9.1).</w:t>
      </w:r>
    </w:p>
    <w:p w14:paraId="421BAD32" w14:textId="77777777" w:rsidR="00E04AE0" w:rsidRPr="004179B8" w:rsidRDefault="00E04AE0" w:rsidP="00462ECE">
      <w:pPr>
        <w:pStyle w:val="ColorfulList-Accent11"/>
        <w:ind w:left="0" w:firstLine="0"/>
        <w:rPr>
          <w:rFonts w:cs="Calibri"/>
          <w:noProof/>
          <w:lang w:val="fr-FR"/>
        </w:rPr>
      </w:pPr>
    </w:p>
    <w:p w14:paraId="7CE7E717" w14:textId="30493ADE" w:rsidR="00E04AE0" w:rsidRPr="004179B8" w:rsidRDefault="00E04AE0" w:rsidP="00592253">
      <w:pPr>
        <w:spacing w:after="0" w:line="240" w:lineRule="auto"/>
        <w:rPr>
          <w:rFonts w:ascii="Calibri" w:hAnsi="Calibri"/>
          <w:i/>
          <w:noProof/>
          <w:lang w:val="fr-FR"/>
        </w:rPr>
      </w:pPr>
      <w:r w:rsidRPr="004179B8">
        <w:rPr>
          <w:rFonts w:ascii="Calibri" w:eastAsia="Times New Roman" w:hAnsi="Calibri" w:cs="Calibri"/>
          <w:i/>
          <w:iCs/>
          <w:noProof/>
          <w:color w:val="000000"/>
          <w:lang w:val="fr-FR" w:eastAsia="en-GB"/>
        </w:rPr>
        <w:t>Table</w:t>
      </w:r>
      <w:r w:rsidR="00417097" w:rsidRPr="004179B8">
        <w:rPr>
          <w:rFonts w:ascii="Calibri" w:eastAsia="Times New Roman" w:hAnsi="Calibri" w:cs="Calibri"/>
          <w:i/>
          <w:iCs/>
          <w:noProof/>
          <w:color w:val="000000"/>
          <w:lang w:val="fr-FR" w:eastAsia="en-GB"/>
        </w:rPr>
        <w:t>au</w:t>
      </w:r>
      <w:r w:rsidRPr="004179B8">
        <w:rPr>
          <w:rFonts w:ascii="Calibri" w:eastAsia="Times New Roman" w:hAnsi="Calibri" w:cs="Calibri"/>
          <w:i/>
          <w:iCs/>
          <w:noProof/>
          <w:color w:val="000000"/>
          <w:lang w:val="fr-FR" w:eastAsia="en-GB"/>
        </w:rPr>
        <w:t xml:space="preserve"> 1</w:t>
      </w:r>
      <w:r w:rsidR="00417097" w:rsidRPr="004179B8">
        <w:rPr>
          <w:rFonts w:ascii="Calibri" w:eastAsia="Times New Roman" w:hAnsi="Calibri" w:cs="Calibri"/>
          <w:i/>
          <w:iCs/>
          <w:noProof/>
          <w:color w:val="000000"/>
          <w:lang w:val="fr-FR" w:eastAsia="en-GB"/>
        </w:rPr>
        <w:t> </w:t>
      </w:r>
      <w:r w:rsidRPr="004179B8">
        <w:rPr>
          <w:rFonts w:ascii="Calibri" w:eastAsia="Times New Roman" w:hAnsi="Calibri" w:cs="Calibri"/>
          <w:i/>
          <w:iCs/>
          <w:noProof/>
          <w:color w:val="000000"/>
          <w:lang w:val="fr-FR" w:eastAsia="en-GB"/>
        </w:rPr>
        <w:t xml:space="preserve">: </w:t>
      </w:r>
      <w:r w:rsidR="00417097" w:rsidRPr="004179B8">
        <w:rPr>
          <w:rFonts w:ascii="Calibri" w:eastAsia="Times New Roman" w:hAnsi="Calibri" w:cs="Calibri"/>
          <w:i/>
          <w:iCs/>
          <w:noProof/>
          <w:color w:val="000000"/>
          <w:lang w:val="fr-FR" w:eastAsia="en-GB"/>
        </w:rPr>
        <w:t xml:space="preserve">Excédent du budget administratif </w:t>
      </w:r>
      <w:r w:rsidRPr="004179B8">
        <w:rPr>
          <w:rFonts w:ascii="Calibri" w:eastAsia="Times New Roman" w:hAnsi="Calibri" w:cs="Calibri"/>
          <w:i/>
          <w:iCs/>
          <w:noProof/>
          <w:color w:val="000000"/>
          <w:lang w:val="fr-FR" w:eastAsia="en-GB"/>
        </w:rPr>
        <w:t xml:space="preserve">2024 </w:t>
      </w:r>
      <w:r w:rsidR="00417097" w:rsidRPr="004179B8">
        <w:rPr>
          <w:rFonts w:ascii="Calibri" w:eastAsia="Times New Roman" w:hAnsi="Calibri" w:cs="Calibri"/>
          <w:i/>
          <w:iCs/>
          <w:noProof/>
          <w:color w:val="000000"/>
          <w:lang w:val="fr-FR" w:eastAsia="en-GB"/>
        </w:rPr>
        <w:t>à allouer</w:t>
      </w:r>
      <w:r w:rsidRPr="004179B8">
        <w:rPr>
          <w:rFonts w:ascii="Calibri" w:eastAsia="Times New Roman" w:hAnsi="Calibri" w:cs="Calibri"/>
          <w:i/>
          <w:iCs/>
          <w:noProof/>
          <w:color w:val="000000"/>
          <w:lang w:val="fr-FR" w:eastAsia="en-GB"/>
        </w:rPr>
        <w:t xml:space="preserve"> (</w:t>
      </w:r>
      <w:r w:rsidR="00417097" w:rsidRPr="004179B8">
        <w:rPr>
          <w:rFonts w:ascii="Calibri" w:eastAsia="Times New Roman" w:hAnsi="Calibri" w:cs="Calibri"/>
          <w:i/>
          <w:iCs/>
          <w:noProof/>
          <w:color w:val="000000"/>
          <w:lang w:val="fr-FR" w:eastAsia="en-GB"/>
        </w:rPr>
        <w:t>en milliers de CHF</w:t>
      </w:r>
      <w:r w:rsidRPr="004179B8">
        <w:rPr>
          <w:rFonts w:ascii="Calibri" w:hAnsi="Calibri"/>
          <w:i/>
          <w:noProof/>
          <w:color w:val="000000"/>
          <w:lang w:val="fr-FR"/>
        </w:rPr>
        <w:t>)</w:t>
      </w:r>
      <w:r w:rsidR="00811E3D" w:rsidRPr="004179B8">
        <w:rPr>
          <w:rFonts w:ascii="Calibri" w:hAnsi="Calibri"/>
          <w:i/>
          <w:noProof/>
          <w:color w:val="000000"/>
          <w:lang w:val="fr-FR"/>
        </w:rPr>
        <w:t xml:space="preserve"> – estimat</w:t>
      </w:r>
      <w:r w:rsidR="00417097" w:rsidRPr="004179B8">
        <w:rPr>
          <w:rFonts w:ascii="Calibri" w:hAnsi="Calibri"/>
          <w:i/>
          <w:noProof/>
          <w:color w:val="000000"/>
          <w:lang w:val="fr-FR"/>
        </w:rPr>
        <w:t>ion au 20 janvier 2025</w:t>
      </w:r>
    </w:p>
    <w:tbl>
      <w:tblPr>
        <w:tblW w:w="9072" w:type="dxa"/>
        <w:tblInd w:w="-5" w:type="dxa"/>
        <w:tblLook w:val="04A0" w:firstRow="1" w:lastRow="0" w:firstColumn="1" w:lastColumn="0" w:noHBand="0" w:noVBand="1"/>
      </w:tblPr>
      <w:tblGrid>
        <w:gridCol w:w="7512"/>
        <w:gridCol w:w="1560"/>
      </w:tblGrid>
      <w:tr w:rsidR="00592253" w:rsidRPr="004179B8" w14:paraId="083F76B0" w14:textId="77777777" w:rsidTr="00417097">
        <w:trPr>
          <w:cantSplit/>
        </w:trPr>
        <w:tc>
          <w:tcPr>
            <w:tcW w:w="7512" w:type="dxa"/>
            <w:tcBorders>
              <w:top w:val="single" w:sz="4" w:space="0" w:color="auto"/>
              <w:left w:val="single" w:sz="4" w:space="0" w:color="auto"/>
              <w:bottom w:val="single" w:sz="4" w:space="0" w:color="auto"/>
              <w:right w:val="single" w:sz="4" w:space="0" w:color="auto"/>
            </w:tcBorders>
            <w:shd w:val="clear" w:color="000000" w:fill="DBE5F1"/>
            <w:hideMark/>
          </w:tcPr>
          <w:p w14:paraId="67994FFE" w14:textId="6C90B1EB" w:rsidR="00E04AE0" w:rsidRPr="004179B8" w:rsidRDefault="00417097" w:rsidP="00592253">
            <w:pPr>
              <w:spacing w:after="0" w:line="240" w:lineRule="auto"/>
              <w:rPr>
                <w:rFonts w:ascii="Calibri" w:hAnsi="Calibri"/>
                <w:b/>
                <w:noProof/>
                <w:color w:val="000000"/>
                <w:lang w:val="fr-FR"/>
              </w:rPr>
            </w:pPr>
            <w:r w:rsidRPr="004179B8">
              <w:rPr>
                <w:rFonts w:ascii="Calibri" w:hAnsi="Calibri"/>
                <w:b/>
                <w:noProof/>
                <w:color w:val="000000"/>
                <w:lang w:val="fr-FR"/>
              </w:rPr>
              <w:t>I) Solde du fonds au 31 décembre 2024 selon les états vérifiés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7F9EC02D" w14:textId="580FEE8F" w:rsidR="00E04AE0" w:rsidRPr="004179B8" w:rsidRDefault="00E04AE0" w:rsidP="00592253">
            <w:pPr>
              <w:spacing w:after="0" w:line="240" w:lineRule="auto"/>
              <w:ind w:firstLineChars="100" w:firstLine="221"/>
              <w:jc w:val="right"/>
              <w:rPr>
                <w:rFonts w:ascii="Calibri" w:hAnsi="Calibri"/>
                <w:b/>
                <w:noProof/>
                <w:color w:val="000000"/>
                <w:lang w:val="fr-FR"/>
              </w:rPr>
            </w:pPr>
            <w:r w:rsidRPr="004179B8">
              <w:rPr>
                <w:rFonts w:ascii="Calibri" w:hAnsi="Calibri"/>
                <w:b/>
                <w:noProof/>
                <w:color w:val="000000"/>
                <w:lang w:val="fr-FR"/>
              </w:rPr>
              <w:t>3</w:t>
            </w:r>
            <w:r w:rsidRPr="004179B8">
              <w:rPr>
                <w:rFonts w:ascii="Calibri" w:eastAsia="Times New Roman" w:hAnsi="Calibri" w:cs="Calibri"/>
                <w:b/>
                <w:bCs/>
                <w:noProof/>
                <w:color w:val="000000"/>
                <w:lang w:val="fr-FR" w:eastAsia="en-GB"/>
              </w:rPr>
              <w:t xml:space="preserve">701 </w:t>
            </w:r>
          </w:p>
        </w:tc>
      </w:tr>
      <w:tr w:rsidR="00592253" w:rsidRPr="004179B8" w14:paraId="06BFCAD9" w14:textId="77777777" w:rsidTr="00417097">
        <w:trPr>
          <w:cantSplit/>
        </w:trPr>
        <w:tc>
          <w:tcPr>
            <w:tcW w:w="7512" w:type="dxa"/>
            <w:tcBorders>
              <w:top w:val="nil"/>
              <w:left w:val="single" w:sz="4" w:space="0" w:color="auto"/>
              <w:bottom w:val="single" w:sz="4" w:space="0" w:color="auto"/>
              <w:right w:val="single" w:sz="4" w:space="0" w:color="auto"/>
            </w:tcBorders>
            <w:shd w:val="clear" w:color="000000" w:fill="DBE5F1"/>
            <w:hideMark/>
          </w:tcPr>
          <w:p w14:paraId="05B8E6A1" w14:textId="5E101D4F" w:rsidR="00E04AE0" w:rsidRPr="004179B8" w:rsidRDefault="00E04AE0" w:rsidP="00592253">
            <w:pPr>
              <w:spacing w:after="0" w:line="240" w:lineRule="auto"/>
              <w:rPr>
                <w:rFonts w:ascii="Calibri" w:hAnsi="Calibri"/>
                <w:b/>
                <w:noProof/>
                <w:color w:val="000000"/>
                <w:lang w:val="fr-FR"/>
              </w:rPr>
            </w:pPr>
            <w:r w:rsidRPr="004179B8">
              <w:rPr>
                <w:rFonts w:ascii="Calibri" w:hAnsi="Calibri"/>
                <w:b/>
                <w:noProof/>
                <w:color w:val="000000"/>
                <w:lang w:val="fr-FR"/>
              </w:rPr>
              <w:t>II</w:t>
            </w:r>
            <w:r w:rsidR="00417097" w:rsidRPr="004179B8">
              <w:rPr>
                <w:rFonts w:ascii="Calibri" w:hAnsi="Calibri"/>
                <w:b/>
                <w:noProof/>
                <w:color w:val="000000"/>
                <w:lang w:val="fr-FR"/>
              </w:rPr>
              <w:t>) Estimation des dépenses nettes par rapport aux recettes en 2024</w:t>
            </w:r>
          </w:p>
        </w:tc>
        <w:tc>
          <w:tcPr>
            <w:tcW w:w="1560" w:type="dxa"/>
            <w:tcBorders>
              <w:top w:val="nil"/>
              <w:left w:val="nil"/>
              <w:bottom w:val="single" w:sz="4" w:space="0" w:color="auto"/>
              <w:right w:val="single" w:sz="4" w:space="0" w:color="auto"/>
            </w:tcBorders>
            <w:shd w:val="clear" w:color="000000" w:fill="DBE5F1"/>
            <w:noWrap/>
            <w:hideMark/>
          </w:tcPr>
          <w:p w14:paraId="217453CE" w14:textId="763FBC70" w:rsidR="00E04AE0" w:rsidRPr="004179B8" w:rsidRDefault="00E04AE0" w:rsidP="00592253">
            <w:pPr>
              <w:spacing w:after="0" w:line="240" w:lineRule="auto"/>
              <w:ind w:firstLineChars="100" w:firstLine="221"/>
              <w:jc w:val="right"/>
              <w:rPr>
                <w:rFonts w:ascii="Calibri" w:hAnsi="Calibri"/>
                <w:b/>
                <w:noProof/>
                <w:color w:val="000000"/>
                <w:lang w:val="fr-FR"/>
              </w:rPr>
            </w:pPr>
            <w:r w:rsidRPr="004179B8">
              <w:rPr>
                <w:rFonts w:ascii="Calibri" w:eastAsia="Times New Roman" w:hAnsi="Calibri" w:cs="Calibri"/>
                <w:b/>
                <w:bCs/>
                <w:noProof/>
                <w:color w:val="000000"/>
                <w:lang w:val="fr-FR" w:eastAsia="en-GB"/>
              </w:rPr>
              <w:t xml:space="preserve">146 </w:t>
            </w:r>
          </w:p>
        </w:tc>
      </w:tr>
      <w:tr w:rsidR="00592253" w:rsidRPr="004E239A" w14:paraId="4163A99C" w14:textId="77777777" w:rsidTr="00417097">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06D5A57A" w14:textId="576F8BBC" w:rsidR="00E04AE0" w:rsidRPr="004179B8" w:rsidRDefault="00417097" w:rsidP="00592253">
            <w:pPr>
              <w:spacing w:after="0" w:line="240" w:lineRule="auto"/>
              <w:rPr>
                <w:rFonts w:ascii="Calibri" w:hAnsi="Calibri"/>
                <w:b/>
                <w:noProof/>
                <w:color w:val="000000"/>
                <w:lang w:val="fr-FR"/>
              </w:rPr>
            </w:pPr>
            <w:r w:rsidRPr="004179B8">
              <w:rPr>
                <w:rFonts w:ascii="Calibri" w:hAnsi="Calibri"/>
                <w:b/>
                <w:noProof/>
                <w:color w:val="000000"/>
                <w:lang w:val="fr-FR"/>
              </w:rPr>
              <w:t>Réserves, approuvées et pré-engagées </w:t>
            </w:r>
            <w:r w:rsidR="00E04AE0" w:rsidRPr="004179B8">
              <w:rPr>
                <w:rFonts w:ascii="Calibri" w:hAnsi="Calibri"/>
                <w:b/>
                <w:noProof/>
                <w:color w:val="000000"/>
                <w:lang w:val="fr-FR"/>
              </w:rPr>
              <w:t>:</w:t>
            </w:r>
          </w:p>
        </w:tc>
        <w:tc>
          <w:tcPr>
            <w:tcW w:w="1560" w:type="dxa"/>
            <w:tcBorders>
              <w:top w:val="nil"/>
              <w:left w:val="nil"/>
              <w:bottom w:val="single" w:sz="4" w:space="0" w:color="auto"/>
              <w:right w:val="single" w:sz="4" w:space="0" w:color="auto"/>
            </w:tcBorders>
            <w:shd w:val="clear" w:color="auto" w:fill="auto"/>
            <w:noWrap/>
            <w:hideMark/>
          </w:tcPr>
          <w:p w14:paraId="4D39E71A" w14:textId="77777777" w:rsidR="00E04AE0" w:rsidRPr="004179B8" w:rsidRDefault="00E04AE0" w:rsidP="00592253">
            <w:pPr>
              <w:spacing w:after="0" w:line="240" w:lineRule="auto"/>
              <w:jc w:val="right"/>
              <w:rPr>
                <w:rFonts w:ascii="Calibri" w:hAnsi="Calibri"/>
                <w:noProof/>
                <w:color w:val="000000"/>
                <w:lang w:val="fr-FR"/>
              </w:rPr>
            </w:pPr>
            <w:r w:rsidRPr="004179B8">
              <w:rPr>
                <w:rFonts w:ascii="Calibri" w:hAnsi="Calibri"/>
                <w:noProof/>
                <w:color w:val="000000"/>
                <w:lang w:val="fr-FR"/>
              </w:rPr>
              <w:t> </w:t>
            </w:r>
          </w:p>
        </w:tc>
      </w:tr>
      <w:tr w:rsidR="00E04AE0" w:rsidRPr="004179B8" w14:paraId="22A4C534" w14:textId="77777777" w:rsidTr="00417097">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276EA55B" w14:textId="357AAF52" w:rsidR="00E04AE0" w:rsidRPr="004179B8" w:rsidRDefault="00417097" w:rsidP="00592253">
            <w:pPr>
              <w:spacing w:after="0" w:line="240" w:lineRule="auto"/>
              <w:rPr>
                <w:rFonts w:ascii="Calibri" w:hAnsi="Calibri"/>
                <w:noProof/>
                <w:color w:val="000000"/>
                <w:lang w:val="fr-FR"/>
              </w:rPr>
            </w:pPr>
            <w:r w:rsidRPr="004179B8">
              <w:rPr>
                <w:rFonts w:ascii="Calibri" w:hAnsi="Calibri"/>
                <w:noProof/>
                <w:color w:val="000000"/>
                <w:lang w:val="fr-FR"/>
              </w:rPr>
              <w:t xml:space="preserve">Fonds de réserve à 15 % </w:t>
            </w:r>
            <w:r w:rsidR="00E04AE0" w:rsidRPr="004179B8">
              <w:rPr>
                <w:rFonts w:ascii="Calibri" w:hAnsi="Calibri"/>
                <w:noProof/>
                <w:color w:val="000000"/>
                <w:lang w:val="fr-FR"/>
              </w:rPr>
              <w:t>(</w:t>
            </w:r>
            <w:r w:rsidR="004F5A99" w:rsidRPr="004179B8">
              <w:rPr>
                <w:rFonts w:ascii="Calibri" w:hAnsi="Calibri"/>
                <w:noProof/>
                <w:color w:val="000000"/>
                <w:lang w:val="fr-FR"/>
              </w:rPr>
              <w:t>paragraphe 33</w:t>
            </w:r>
            <w:r w:rsidR="004F5A99">
              <w:rPr>
                <w:rFonts w:ascii="Calibri" w:hAnsi="Calibri"/>
                <w:noProof/>
                <w:color w:val="000000"/>
                <w:lang w:val="fr-FR"/>
              </w:rPr>
              <w:t xml:space="preserve"> de la </w:t>
            </w:r>
            <w:r w:rsidR="00E04AE0" w:rsidRPr="004179B8">
              <w:rPr>
                <w:rFonts w:ascii="Calibri" w:hAnsi="Calibri"/>
                <w:noProof/>
                <w:color w:val="000000"/>
                <w:lang w:val="fr-FR"/>
              </w:rPr>
              <w:t>R</w:t>
            </w:r>
            <w:r w:rsidRPr="004179B8">
              <w:rPr>
                <w:rFonts w:ascii="Calibri" w:hAnsi="Calibri"/>
                <w:noProof/>
                <w:color w:val="000000"/>
                <w:lang w:val="fr-FR"/>
              </w:rPr>
              <w:t>é</w:t>
            </w:r>
            <w:r w:rsidR="00E04AE0" w:rsidRPr="004179B8">
              <w:rPr>
                <w:rFonts w:ascii="Calibri" w:hAnsi="Calibri"/>
                <w:noProof/>
                <w:color w:val="000000"/>
                <w:lang w:val="fr-FR"/>
              </w:rPr>
              <w:t xml:space="preserve">solution </w:t>
            </w:r>
            <w:r w:rsidR="00E04AE0" w:rsidRPr="004179B8">
              <w:rPr>
                <w:rFonts w:ascii="Calibri" w:eastAsia="Times New Roman" w:hAnsi="Calibri" w:cs="Calibri"/>
                <w:noProof/>
                <w:color w:val="000000"/>
                <w:lang w:val="fr-FR" w:eastAsia="en-GB"/>
              </w:rPr>
              <w:t>XIV.1</w:t>
            </w:r>
            <w:r w:rsidR="00E04AE0" w:rsidRPr="004179B8">
              <w:rPr>
                <w:rFonts w:ascii="Calibri" w:hAnsi="Calibri"/>
                <w:noProof/>
                <w:color w:val="000000"/>
                <w:lang w:val="fr-FR"/>
              </w:rPr>
              <w:t>,)</w:t>
            </w:r>
          </w:p>
        </w:tc>
        <w:tc>
          <w:tcPr>
            <w:tcW w:w="1560" w:type="dxa"/>
            <w:tcBorders>
              <w:top w:val="nil"/>
              <w:left w:val="nil"/>
              <w:bottom w:val="single" w:sz="4" w:space="0" w:color="auto"/>
              <w:right w:val="single" w:sz="4" w:space="0" w:color="auto"/>
            </w:tcBorders>
            <w:shd w:val="clear" w:color="auto" w:fill="auto"/>
            <w:noWrap/>
            <w:hideMark/>
          </w:tcPr>
          <w:p w14:paraId="5ACA6C2C" w14:textId="5E30C273" w:rsidR="00E04AE0" w:rsidRPr="004179B8" w:rsidRDefault="00E04AE0" w:rsidP="00592253">
            <w:pPr>
              <w:spacing w:after="0" w:line="240" w:lineRule="auto"/>
              <w:jc w:val="right"/>
              <w:rPr>
                <w:rFonts w:ascii="Calibri" w:hAnsi="Calibri"/>
                <w:noProof/>
                <w:color w:val="000000"/>
                <w:lang w:val="fr-FR"/>
              </w:rPr>
            </w:pPr>
            <w:r w:rsidRPr="004179B8">
              <w:rPr>
                <w:rFonts w:ascii="Calibri" w:hAnsi="Calibri"/>
                <w:noProof/>
                <w:color w:val="000000"/>
                <w:lang w:val="fr-FR"/>
              </w:rPr>
              <w:t>762</w:t>
            </w:r>
            <w:r w:rsidRPr="004179B8">
              <w:rPr>
                <w:rFonts w:ascii="Calibri" w:eastAsia="Times New Roman" w:hAnsi="Calibri" w:cs="Calibri"/>
                <w:noProof/>
                <w:color w:val="000000"/>
                <w:lang w:val="fr-FR" w:eastAsia="en-GB"/>
              </w:rPr>
              <w:t xml:space="preserve"> </w:t>
            </w:r>
          </w:p>
        </w:tc>
      </w:tr>
      <w:tr w:rsidR="00E04AE0" w:rsidRPr="004179B8" w14:paraId="591C37FC" w14:textId="77777777" w:rsidTr="00417097">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0D7B2F49" w14:textId="77777777" w:rsidR="00417097" w:rsidRPr="00417097" w:rsidRDefault="00417097" w:rsidP="00417097">
            <w:pPr>
              <w:spacing w:after="0" w:line="240" w:lineRule="auto"/>
              <w:rPr>
                <w:rFonts w:ascii="Calibri" w:hAnsi="Calibri"/>
                <w:noProof/>
                <w:lang w:val="fr-FR"/>
              </w:rPr>
            </w:pPr>
            <w:r w:rsidRPr="00417097">
              <w:rPr>
                <w:rFonts w:ascii="Calibri" w:hAnsi="Calibri"/>
                <w:noProof/>
                <w:lang w:val="fr-FR"/>
              </w:rPr>
              <w:t>Utilisation des économies pour 2025, approuvée par la COP14</w:t>
            </w:r>
          </w:p>
          <w:p w14:paraId="262E20FA" w14:textId="215BCD95" w:rsidR="00E04AE0" w:rsidRPr="004179B8" w:rsidRDefault="00E04AE0" w:rsidP="00592253">
            <w:pPr>
              <w:spacing w:after="0" w:line="240" w:lineRule="auto"/>
              <w:rPr>
                <w:rFonts w:ascii="Calibri" w:hAnsi="Calibri"/>
                <w:noProof/>
                <w:lang w:val="fr-FR"/>
              </w:rPr>
            </w:pPr>
            <w:r w:rsidRPr="004179B8">
              <w:rPr>
                <w:rFonts w:ascii="Calibri" w:hAnsi="Calibri"/>
                <w:noProof/>
                <w:lang w:val="fr-FR"/>
              </w:rPr>
              <w:t>(</w:t>
            </w:r>
            <w:r w:rsidR="004F5A99" w:rsidRPr="004179B8">
              <w:rPr>
                <w:rFonts w:ascii="Calibri" w:hAnsi="Calibri"/>
                <w:noProof/>
                <w:lang w:val="fr-FR"/>
              </w:rPr>
              <w:t>paragraphe 15</w:t>
            </w:r>
            <w:r w:rsidR="004F5A99">
              <w:rPr>
                <w:rFonts w:ascii="Calibri" w:hAnsi="Calibri"/>
                <w:noProof/>
                <w:lang w:val="fr-FR"/>
              </w:rPr>
              <w:t xml:space="preserve"> de la </w:t>
            </w:r>
            <w:r w:rsidRPr="004179B8">
              <w:rPr>
                <w:rFonts w:ascii="Calibri" w:hAnsi="Calibri"/>
                <w:noProof/>
                <w:lang w:val="fr-FR"/>
              </w:rPr>
              <w:t>R</w:t>
            </w:r>
            <w:r w:rsidR="00417097" w:rsidRPr="004179B8">
              <w:rPr>
                <w:rFonts w:ascii="Calibri" w:hAnsi="Calibri"/>
                <w:noProof/>
                <w:lang w:val="fr-FR"/>
              </w:rPr>
              <w:t>é</w:t>
            </w:r>
            <w:r w:rsidRPr="004179B8">
              <w:rPr>
                <w:rFonts w:ascii="Calibri" w:hAnsi="Calibri"/>
                <w:noProof/>
                <w:lang w:val="fr-FR"/>
              </w:rPr>
              <w:t>solution XIV.1)</w:t>
            </w:r>
          </w:p>
        </w:tc>
        <w:tc>
          <w:tcPr>
            <w:tcW w:w="1560" w:type="dxa"/>
            <w:tcBorders>
              <w:top w:val="nil"/>
              <w:left w:val="nil"/>
              <w:bottom w:val="single" w:sz="4" w:space="0" w:color="auto"/>
              <w:right w:val="single" w:sz="4" w:space="0" w:color="auto"/>
            </w:tcBorders>
            <w:shd w:val="clear" w:color="auto" w:fill="auto"/>
            <w:noWrap/>
            <w:hideMark/>
          </w:tcPr>
          <w:p w14:paraId="52B3DC6E" w14:textId="0FA0A3DA" w:rsidR="00E04AE0" w:rsidRPr="004179B8" w:rsidRDefault="00E04AE0" w:rsidP="00592253">
            <w:pPr>
              <w:spacing w:after="0" w:line="240" w:lineRule="auto"/>
              <w:jc w:val="right"/>
              <w:rPr>
                <w:rFonts w:ascii="Calibri" w:hAnsi="Calibri"/>
                <w:noProof/>
                <w:lang w:val="fr-FR"/>
              </w:rPr>
            </w:pPr>
            <w:r w:rsidRPr="004179B8">
              <w:rPr>
                <w:rFonts w:ascii="Calibri" w:hAnsi="Calibri"/>
                <w:noProof/>
                <w:lang w:val="fr-FR"/>
              </w:rPr>
              <w:t>76</w:t>
            </w:r>
            <w:r w:rsidRPr="004179B8">
              <w:rPr>
                <w:rFonts w:ascii="Calibri" w:eastAsia="Times New Roman" w:hAnsi="Calibri" w:cs="Calibri"/>
                <w:noProof/>
                <w:lang w:val="fr-FR" w:eastAsia="en-GB"/>
              </w:rPr>
              <w:t xml:space="preserve"> </w:t>
            </w:r>
          </w:p>
        </w:tc>
      </w:tr>
      <w:tr w:rsidR="00592253" w:rsidRPr="004179B8" w14:paraId="4F0CA20B" w14:textId="77777777" w:rsidTr="00417097">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2D0904C8" w14:textId="77777777" w:rsidR="00417097" w:rsidRPr="00417097" w:rsidRDefault="00417097" w:rsidP="00417097">
            <w:pPr>
              <w:spacing w:after="0" w:line="240" w:lineRule="auto"/>
              <w:rPr>
                <w:rFonts w:ascii="Calibri" w:hAnsi="Calibri"/>
                <w:noProof/>
                <w:lang w:val="fr-FR"/>
              </w:rPr>
            </w:pPr>
            <w:r w:rsidRPr="00417097">
              <w:rPr>
                <w:rFonts w:ascii="Calibri" w:hAnsi="Calibri"/>
                <w:noProof/>
                <w:lang w:val="fr-FR"/>
              </w:rPr>
              <w:t>Utilisation des économies pour 2025, approuvée par la COP14</w:t>
            </w:r>
          </w:p>
          <w:p w14:paraId="2A9C9816" w14:textId="12125196" w:rsidR="00E04AE0" w:rsidRPr="004179B8" w:rsidRDefault="00E04AE0" w:rsidP="00592253">
            <w:pPr>
              <w:spacing w:after="0" w:line="240" w:lineRule="auto"/>
              <w:rPr>
                <w:rFonts w:ascii="Calibri" w:hAnsi="Calibri"/>
                <w:noProof/>
                <w:lang w:val="fr-FR"/>
              </w:rPr>
            </w:pPr>
            <w:r w:rsidRPr="004179B8">
              <w:rPr>
                <w:rFonts w:ascii="Calibri" w:hAnsi="Calibri"/>
                <w:noProof/>
                <w:lang w:val="fr-FR"/>
              </w:rPr>
              <w:t>(</w:t>
            </w:r>
            <w:r w:rsidR="004F5A99" w:rsidRPr="004179B8">
              <w:rPr>
                <w:rFonts w:ascii="Calibri" w:hAnsi="Calibri"/>
                <w:noProof/>
                <w:lang w:val="fr-FR"/>
              </w:rPr>
              <w:t>paragraphe 16</w:t>
            </w:r>
            <w:r w:rsidR="004F5A99">
              <w:rPr>
                <w:rFonts w:ascii="Calibri" w:hAnsi="Calibri"/>
                <w:noProof/>
                <w:lang w:val="fr-FR"/>
              </w:rPr>
              <w:t xml:space="preserve"> de la </w:t>
            </w:r>
            <w:r w:rsidRPr="004179B8">
              <w:rPr>
                <w:rFonts w:ascii="Calibri" w:hAnsi="Calibri"/>
                <w:noProof/>
                <w:lang w:val="fr-FR"/>
              </w:rPr>
              <w:t>R</w:t>
            </w:r>
            <w:r w:rsidR="00417097" w:rsidRPr="004179B8">
              <w:rPr>
                <w:rFonts w:ascii="Calibri" w:hAnsi="Calibri"/>
                <w:noProof/>
                <w:lang w:val="fr-FR"/>
              </w:rPr>
              <w:t>é</w:t>
            </w:r>
            <w:r w:rsidRPr="004179B8">
              <w:rPr>
                <w:rFonts w:ascii="Calibri" w:hAnsi="Calibri"/>
                <w:noProof/>
                <w:lang w:val="fr-FR"/>
              </w:rPr>
              <w:t>solution XIV.1)</w:t>
            </w:r>
          </w:p>
        </w:tc>
        <w:tc>
          <w:tcPr>
            <w:tcW w:w="1560" w:type="dxa"/>
            <w:tcBorders>
              <w:top w:val="nil"/>
              <w:left w:val="nil"/>
              <w:bottom w:val="single" w:sz="4" w:space="0" w:color="auto"/>
              <w:right w:val="single" w:sz="4" w:space="0" w:color="auto"/>
            </w:tcBorders>
            <w:shd w:val="clear" w:color="auto" w:fill="auto"/>
            <w:noWrap/>
            <w:hideMark/>
          </w:tcPr>
          <w:p w14:paraId="54836027" w14:textId="563A106F" w:rsidR="00E04AE0" w:rsidRPr="004179B8" w:rsidRDefault="00E04AE0" w:rsidP="00592253">
            <w:pPr>
              <w:spacing w:after="0" w:line="240" w:lineRule="auto"/>
              <w:jc w:val="right"/>
              <w:rPr>
                <w:rFonts w:ascii="Calibri" w:hAnsi="Calibri"/>
                <w:noProof/>
                <w:lang w:val="fr-FR"/>
              </w:rPr>
            </w:pPr>
            <w:r w:rsidRPr="004179B8">
              <w:rPr>
                <w:rFonts w:ascii="Calibri" w:hAnsi="Calibri"/>
                <w:noProof/>
                <w:lang w:val="fr-FR"/>
              </w:rPr>
              <w:t>120</w:t>
            </w:r>
            <w:r w:rsidRPr="004179B8">
              <w:rPr>
                <w:rFonts w:ascii="Calibri" w:eastAsia="Times New Roman" w:hAnsi="Calibri" w:cs="Calibri"/>
                <w:noProof/>
                <w:lang w:val="fr-FR" w:eastAsia="en-GB"/>
              </w:rPr>
              <w:t xml:space="preserve"> </w:t>
            </w:r>
          </w:p>
        </w:tc>
      </w:tr>
      <w:tr w:rsidR="00E04AE0" w:rsidRPr="004179B8" w14:paraId="64EEB107" w14:textId="77777777" w:rsidTr="00417097">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32B14CB9" w14:textId="585C8528" w:rsidR="00E04AE0" w:rsidRPr="004179B8" w:rsidRDefault="00417097" w:rsidP="00592253">
            <w:pPr>
              <w:spacing w:after="0" w:line="240" w:lineRule="auto"/>
              <w:rPr>
                <w:rFonts w:ascii="Calibri" w:hAnsi="Calibri"/>
                <w:noProof/>
                <w:color w:val="000000"/>
                <w:lang w:val="fr-FR"/>
              </w:rPr>
            </w:pPr>
            <w:r w:rsidRPr="004179B8">
              <w:rPr>
                <w:rFonts w:eastAsia="Times New Roman" w:cs="Calibri"/>
                <w:noProof/>
                <w:color w:val="000000"/>
                <w:lang w:val="fr-FR" w:eastAsia="en-GB"/>
              </w:rPr>
              <w:t>Solde des reports</w:t>
            </w:r>
            <w:r w:rsidR="00E04AE0" w:rsidRPr="004179B8">
              <w:rPr>
                <w:rFonts w:ascii="Calibri" w:hAnsi="Calibri"/>
                <w:noProof/>
                <w:color w:val="000000"/>
                <w:lang w:val="fr-FR"/>
              </w:rPr>
              <w:t xml:space="preserve"> (</w:t>
            </w:r>
            <w:r w:rsidRPr="004179B8">
              <w:rPr>
                <w:rFonts w:ascii="Calibri" w:eastAsia="Times New Roman" w:hAnsi="Calibri" w:cs="Calibri"/>
                <w:noProof/>
                <w:color w:val="000000"/>
                <w:lang w:val="fr-FR" w:eastAsia="en-GB"/>
              </w:rPr>
              <w:t>mise à jour du t</w:t>
            </w:r>
            <w:r w:rsidR="00E04AE0" w:rsidRPr="004179B8">
              <w:rPr>
                <w:rFonts w:ascii="Calibri" w:hAnsi="Calibri"/>
                <w:noProof/>
                <w:color w:val="000000"/>
                <w:lang w:val="fr-FR"/>
              </w:rPr>
              <w:t>able</w:t>
            </w:r>
            <w:r w:rsidRPr="004179B8">
              <w:rPr>
                <w:rFonts w:ascii="Calibri" w:hAnsi="Calibri"/>
                <w:noProof/>
                <w:color w:val="000000"/>
                <w:lang w:val="fr-FR"/>
              </w:rPr>
              <w:t>au </w:t>
            </w:r>
            <w:r w:rsidR="00E04AE0" w:rsidRPr="004179B8">
              <w:rPr>
                <w:rFonts w:ascii="Calibri" w:hAnsi="Calibri"/>
                <w:noProof/>
                <w:color w:val="000000"/>
                <w:lang w:val="fr-FR"/>
              </w:rPr>
              <w:t>1</w:t>
            </w:r>
            <w:r w:rsidRPr="004179B8">
              <w:rPr>
                <w:rFonts w:ascii="Calibri" w:hAnsi="Calibri"/>
                <w:noProof/>
                <w:color w:val="000000"/>
                <w:lang w:val="fr-FR"/>
              </w:rPr>
              <w:t xml:space="preserve"> figurant dans le</w:t>
            </w:r>
            <w:r w:rsidR="00E04AE0" w:rsidRPr="004179B8">
              <w:rPr>
                <w:rFonts w:ascii="Calibri" w:eastAsia="Times New Roman" w:hAnsi="Calibri" w:cs="Calibri"/>
                <w:noProof/>
                <w:color w:val="000000"/>
                <w:lang w:val="fr-FR" w:eastAsia="en-GB"/>
              </w:rPr>
              <w:t xml:space="preserve"> </w:t>
            </w:r>
            <w:r w:rsidR="00E04AE0" w:rsidRPr="004179B8">
              <w:rPr>
                <w:rFonts w:cs="Calibri"/>
                <w:noProof/>
                <w:lang w:val="fr-FR"/>
              </w:rPr>
              <w:t>document SC64</w:t>
            </w:r>
            <w:r w:rsidR="004F5A99">
              <w:rPr>
                <w:rFonts w:cs="Calibri"/>
                <w:noProof/>
                <w:lang w:val="fr-FR"/>
              </w:rPr>
              <w:t> </w:t>
            </w:r>
            <w:r w:rsidR="00E04AE0" w:rsidRPr="004179B8">
              <w:rPr>
                <w:rFonts w:cs="Calibri"/>
                <w:noProof/>
                <w:lang w:val="fr-FR"/>
              </w:rPr>
              <w:t>Doc.9.1</w:t>
            </w:r>
            <w:r w:rsidR="00E04AE0" w:rsidRPr="004179B8">
              <w:rPr>
                <w:rFonts w:ascii="Calibri" w:hAnsi="Calibri"/>
                <w:noProof/>
                <w:color w:val="000000"/>
                <w:lang w:val="fr-FR"/>
              </w:rPr>
              <w:t>)</w:t>
            </w:r>
          </w:p>
        </w:tc>
        <w:tc>
          <w:tcPr>
            <w:tcW w:w="1560" w:type="dxa"/>
            <w:tcBorders>
              <w:top w:val="nil"/>
              <w:left w:val="nil"/>
              <w:bottom w:val="single" w:sz="4" w:space="0" w:color="auto"/>
              <w:right w:val="single" w:sz="4" w:space="0" w:color="auto"/>
            </w:tcBorders>
            <w:shd w:val="clear" w:color="auto" w:fill="auto"/>
            <w:noWrap/>
            <w:hideMark/>
          </w:tcPr>
          <w:p w14:paraId="56D92F0C" w14:textId="07C14072" w:rsidR="00E04AE0" w:rsidRPr="004179B8" w:rsidRDefault="00E04AE0" w:rsidP="00592253">
            <w:pPr>
              <w:spacing w:after="0" w:line="240" w:lineRule="auto"/>
              <w:jc w:val="right"/>
              <w:rPr>
                <w:rFonts w:ascii="Calibri" w:hAnsi="Calibri"/>
                <w:noProof/>
                <w:lang w:val="fr-FR"/>
              </w:rPr>
            </w:pPr>
            <w:r w:rsidRPr="004179B8">
              <w:rPr>
                <w:rFonts w:ascii="Calibri" w:eastAsia="Times New Roman" w:hAnsi="Calibri" w:cs="Calibri"/>
                <w:noProof/>
                <w:lang w:val="fr-FR" w:eastAsia="en-GB"/>
              </w:rPr>
              <w:t>1120</w:t>
            </w:r>
            <w:r w:rsidRPr="004179B8">
              <w:rPr>
                <w:rFonts w:ascii="Calibri" w:hAnsi="Calibri"/>
                <w:noProof/>
                <w:lang w:val="fr-FR"/>
              </w:rPr>
              <w:t xml:space="preserve"> </w:t>
            </w:r>
          </w:p>
        </w:tc>
      </w:tr>
      <w:tr w:rsidR="00592253" w:rsidRPr="004179B8" w14:paraId="71118B7E" w14:textId="77777777" w:rsidTr="00417097">
        <w:trPr>
          <w:cantSplit/>
        </w:trPr>
        <w:tc>
          <w:tcPr>
            <w:tcW w:w="7512" w:type="dxa"/>
            <w:tcBorders>
              <w:top w:val="nil"/>
              <w:left w:val="single" w:sz="4" w:space="0" w:color="auto"/>
              <w:bottom w:val="single" w:sz="4" w:space="0" w:color="auto"/>
              <w:right w:val="single" w:sz="4" w:space="0" w:color="auto"/>
            </w:tcBorders>
            <w:shd w:val="clear" w:color="auto" w:fill="auto"/>
            <w:hideMark/>
          </w:tcPr>
          <w:p w14:paraId="340A594C" w14:textId="6E0A92DC" w:rsidR="00E04AE0" w:rsidRPr="004179B8" w:rsidRDefault="00417097" w:rsidP="00592253">
            <w:pPr>
              <w:spacing w:after="0" w:line="240" w:lineRule="auto"/>
              <w:rPr>
                <w:rFonts w:ascii="Calibri" w:hAnsi="Calibri"/>
                <w:noProof/>
                <w:color w:val="000000"/>
                <w:lang w:val="fr-FR"/>
              </w:rPr>
            </w:pPr>
            <w:r w:rsidRPr="004179B8">
              <w:rPr>
                <w:rFonts w:ascii="Calibri" w:hAnsi="Calibri"/>
                <w:noProof/>
                <w:color w:val="000000"/>
                <w:lang w:val="fr-FR"/>
              </w:rPr>
              <w:t>Estimation du montant engagé pour l</w:t>
            </w:r>
            <w:r w:rsidR="00EE0531">
              <w:rPr>
                <w:rFonts w:ascii="Calibri" w:hAnsi="Calibri"/>
                <w:noProof/>
                <w:color w:val="000000"/>
                <w:lang w:val="fr-FR"/>
              </w:rPr>
              <w:t>’</w:t>
            </w:r>
            <w:r w:rsidRPr="004179B8">
              <w:rPr>
                <w:rFonts w:ascii="Calibri" w:hAnsi="Calibri"/>
                <w:noProof/>
                <w:color w:val="000000"/>
                <w:lang w:val="fr-FR"/>
              </w:rPr>
              <w:t xml:space="preserve">utilisation temporaire des fonds de réserve sous forme de prêt </w:t>
            </w:r>
            <w:r w:rsidR="004F5A99">
              <w:rPr>
                <w:rFonts w:ascii="Calibri" w:hAnsi="Calibri"/>
                <w:noProof/>
                <w:color w:val="000000"/>
                <w:lang w:val="fr-FR"/>
              </w:rPr>
              <w:t>afin de</w:t>
            </w:r>
            <w:r w:rsidRPr="004179B8">
              <w:rPr>
                <w:rFonts w:ascii="Calibri" w:hAnsi="Calibri"/>
                <w:noProof/>
                <w:color w:val="000000"/>
                <w:lang w:val="fr-FR"/>
              </w:rPr>
              <w:t xml:space="preserve"> compléter le financement volontaire de l</w:t>
            </w:r>
            <w:r w:rsidR="00EE0531">
              <w:rPr>
                <w:rFonts w:ascii="Calibri" w:hAnsi="Calibri"/>
                <w:noProof/>
                <w:color w:val="000000"/>
                <w:lang w:val="fr-FR"/>
              </w:rPr>
              <w:t>’</w:t>
            </w:r>
            <w:r w:rsidRPr="004179B8">
              <w:rPr>
                <w:rFonts w:ascii="Calibri" w:hAnsi="Calibri"/>
                <w:noProof/>
                <w:color w:val="000000"/>
                <w:lang w:val="fr-FR"/>
              </w:rPr>
              <w:t>appui aux délégués à la COP15</w:t>
            </w:r>
          </w:p>
        </w:tc>
        <w:tc>
          <w:tcPr>
            <w:tcW w:w="1560" w:type="dxa"/>
            <w:tcBorders>
              <w:top w:val="nil"/>
              <w:left w:val="nil"/>
              <w:bottom w:val="single" w:sz="4" w:space="0" w:color="auto"/>
              <w:right w:val="single" w:sz="4" w:space="0" w:color="auto"/>
            </w:tcBorders>
            <w:shd w:val="clear" w:color="auto" w:fill="auto"/>
            <w:noWrap/>
            <w:hideMark/>
          </w:tcPr>
          <w:p w14:paraId="0C1086D7" w14:textId="1BD21CE6" w:rsidR="00E04AE0" w:rsidRPr="004179B8" w:rsidRDefault="00E04AE0" w:rsidP="00592253">
            <w:pPr>
              <w:spacing w:after="0" w:line="240" w:lineRule="auto"/>
              <w:jc w:val="right"/>
              <w:rPr>
                <w:rFonts w:ascii="Calibri" w:hAnsi="Calibri"/>
                <w:noProof/>
                <w:lang w:val="fr-FR"/>
              </w:rPr>
            </w:pPr>
            <w:r w:rsidRPr="004179B8">
              <w:rPr>
                <w:rFonts w:ascii="Calibri" w:eastAsia="Times New Roman" w:hAnsi="Calibri" w:cs="Calibri"/>
                <w:noProof/>
                <w:lang w:val="fr-FR" w:eastAsia="en-GB"/>
              </w:rPr>
              <w:t>486</w:t>
            </w:r>
            <w:r w:rsidR="00417097" w:rsidRPr="004179B8">
              <w:rPr>
                <w:rFonts w:ascii="Calibri" w:eastAsia="Times New Roman" w:hAnsi="Calibri" w:cs="Calibri"/>
                <w:noProof/>
                <w:lang w:val="fr-FR" w:eastAsia="en-GB"/>
              </w:rPr>
              <w:t xml:space="preserve"> (au maximum)</w:t>
            </w:r>
            <w:r w:rsidRPr="004179B8">
              <w:rPr>
                <w:rFonts w:ascii="Calibri" w:eastAsia="Times New Roman" w:hAnsi="Calibri" w:cs="Calibri"/>
                <w:noProof/>
                <w:lang w:val="fr-FR" w:eastAsia="en-GB"/>
              </w:rPr>
              <w:t xml:space="preserve"> </w:t>
            </w:r>
          </w:p>
        </w:tc>
      </w:tr>
      <w:tr w:rsidR="00592253" w:rsidRPr="004179B8" w14:paraId="714B7D21" w14:textId="77777777" w:rsidTr="00417097">
        <w:trPr>
          <w:cantSplit/>
        </w:trPr>
        <w:tc>
          <w:tcPr>
            <w:tcW w:w="7512" w:type="dxa"/>
            <w:tcBorders>
              <w:top w:val="nil"/>
              <w:left w:val="single" w:sz="4" w:space="0" w:color="auto"/>
              <w:bottom w:val="single" w:sz="4" w:space="0" w:color="auto"/>
              <w:right w:val="single" w:sz="4" w:space="0" w:color="auto"/>
            </w:tcBorders>
            <w:shd w:val="clear" w:color="000000" w:fill="DAE9F8"/>
            <w:hideMark/>
          </w:tcPr>
          <w:p w14:paraId="4921531D" w14:textId="57DA4CB2" w:rsidR="00E04AE0" w:rsidRPr="004179B8" w:rsidRDefault="00E04AE0" w:rsidP="00592253">
            <w:pPr>
              <w:spacing w:after="0" w:line="240" w:lineRule="auto"/>
              <w:rPr>
                <w:rFonts w:ascii="Calibri" w:hAnsi="Calibri"/>
                <w:b/>
                <w:noProof/>
                <w:color w:val="000000"/>
                <w:lang w:val="fr-FR"/>
              </w:rPr>
            </w:pPr>
            <w:r w:rsidRPr="004179B8">
              <w:rPr>
                <w:rFonts w:ascii="Calibri" w:eastAsia="Times New Roman" w:hAnsi="Calibri" w:cs="Calibri"/>
                <w:b/>
                <w:bCs/>
                <w:noProof/>
                <w:color w:val="000000"/>
                <w:lang w:val="fr-FR" w:eastAsia="en-GB"/>
              </w:rPr>
              <w:t>III</w:t>
            </w:r>
            <w:r w:rsidRPr="004179B8">
              <w:rPr>
                <w:rFonts w:ascii="Calibri" w:hAnsi="Calibri"/>
                <w:b/>
                <w:noProof/>
                <w:color w:val="000000"/>
                <w:lang w:val="fr-FR"/>
              </w:rPr>
              <w:t xml:space="preserve">) </w:t>
            </w:r>
            <w:r w:rsidR="00417097" w:rsidRPr="004179B8">
              <w:rPr>
                <w:rFonts w:ascii="Calibri" w:hAnsi="Calibri"/>
                <w:b/>
                <w:noProof/>
                <w:color w:val="000000"/>
                <w:lang w:val="fr-FR"/>
              </w:rPr>
              <w:t>Estimation du montant total des réserves</w:t>
            </w:r>
            <w:r w:rsidRPr="004179B8">
              <w:rPr>
                <w:rFonts w:ascii="Calibri" w:hAnsi="Calibri"/>
                <w:b/>
                <w:noProof/>
                <w:color w:val="000000"/>
                <w:lang w:val="fr-FR"/>
              </w:rPr>
              <w:t>, appro</w:t>
            </w:r>
            <w:r w:rsidR="00417097" w:rsidRPr="004179B8">
              <w:rPr>
                <w:rFonts w:ascii="Calibri" w:hAnsi="Calibri"/>
                <w:b/>
                <w:noProof/>
                <w:color w:val="000000"/>
                <w:lang w:val="fr-FR"/>
              </w:rPr>
              <w:t>uvées et pré-engagées</w:t>
            </w:r>
          </w:p>
        </w:tc>
        <w:tc>
          <w:tcPr>
            <w:tcW w:w="1560" w:type="dxa"/>
            <w:tcBorders>
              <w:top w:val="nil"/>
              <w:left w:val="nil"/>
              <w:bottom w:val="single" w:sz="4" w:space="0" w:color="auto"/>
              <w:right w:val="single" w:sz="4" w:space="0" w:color="auto"/>
            </w:tcBorders>
            <w:shd w:val="clear" w:color="000000" w:fill="DBE5F1"/>
            <w:noWrap/>
            <w:hideMark/>
          </w:tcPr>
          <w:p w14:paraId="1E7E6092" w14:textId="6CBD2E31" w:rsidR="00E04AE0" w:rsidRPr="004179B8" w:rsidRDefault="00E04AE0" w:rsidP="00592253">
            <w:pPr>
              <w:spacing w:after="0" w:line="240" w:lineRule="auto"/>
              <w:ind w:firstLineChars="100" w:firstLine="221"/>
              <w:jc w:val="right"/>
              <w:rPr>
                <w:rFonts w:ascii="Calibri" w:hAnsi="Calibri"/>
                <w:b/>
                <w:noProof/>
                <w:color w:val="000000"/>
                <w:lang w:val="fr-FR"/>
              </w:rPr>
            </w:pPr>
            <w:r w:rsidRPr="004179B8">
              <w:rPr>
                <w:rFonts w:ascii="Calibri" w:hAnsi="Calibri"/>
                <w:b/>
                <w:noProof/>
                <w:color w:val="000000"/>
                <w:lang w:val="fr-FR"/>
              </w:rPr>
              <w:t>2</w:t>
            </w:r>
            <w:r w:rsidRPr="004179B8">
              <w:rPr>
                <w:rFonts w:ascii="Calibri" w:eastAsia="Times New Roman" w:hAnsi="Calibri" w:cs="Calibri"/>
                <w:b/>
                <w:bCs/>
                <w:noProof/>
                <w:color w:val="000000"/>
                <w:lang w:val="fr-FR" w:eastAsia="en-GB"/>
              </w:rPr>
              <w:t xml:space="preserve">564 </w:t>
            </w:r>
          </w:p>
        </w:tc>
      </w:tr>
      <w:tr w:rsidR="00592253" w:rsidRPr="004179B8" w14:paraId="33C48971" w14:textId="77777777" w:rsidTr="00417097">
        <w:trPr>
          <w:cantSplit/>
        </w:trPr>
        <w:tc>
          <w:tcPr>
            <w:tcW w:w="7512" w:type="dxa"/>
            <w:tcBorders>
              <w:top w:val="nil"/>
              <w:left w:val="single" w:sz="4" w:space="0" w:color="auto"/>
              <w:bottom w:val="single" w:sz="4" w:space="0" w:color="auto"/>
              <w:right w:val="single" w:sz="4" w:space="0" w:color="auto"/>
            </w:tcBorders>
            <w:shd w:val="clear" w:color="auto" w:fill="CBD3DE" w:themeFill="text2" w:themeFillTint="40"/>
            <w:hideMark/>
          </w:tcPr>
          <w:p w14:paraId="780C4EC0" w14:textId="17E52DE7" w:rsidR="00E04AE0" w:rsidRPr="004179B8" w:rsidRDefault="00E04AE0" w:rsidP="00592253">
            <w:pPr>
              <w:spacing w:after="0" w:line="240" w:lineRule="auto"/>
              <w:rPr>
                <w:rFonts w:ascii="Calibri" w:hAnsi="Calibri"/>
                <w:b/>
                <w:noProof/>
                <w:color w:val="000000"/>
                <w:lang w:val="fr-FR"/>
              </w:rPr>
            </w:pPr>
            <w:r w:rsidRPr="004179B8">
              <w:rPr>
                <w:rFonts w:ascii="Calibri" w:eastAsia="Times New Roman" w:hAnsi="Calibri" w:cs="Calibri"/>
                <w:b/>
                <w:bCs/>
                <w:noProof/>
                <w:color w:val="000000"/>
                <w:lang w:val="fr-FR" w:eastAsia="en-GB"/>
              </w:rPr>
              <w:t>IV</w:t>
            </w:r>
            <w:r w:rsidR="004F5A99">
              <w:rPr>
                <w:rFonts w:ascii="Calibri" w:eastAsia="Times New Roman" w:hAnsi="Calibri" w:cs="Calibri"/>
                <w:b/>
                <w:bCs/>
                <w:noProof/>
                <w:color w:val="000000"/>
                <w:lang w:val="fr-FR" w:eastAsia="en-GB"/>
              </w:rPr>
              <w:t>)</w:t>
            </w:r>
            <w:r w:rsidRPr="004179B8">
              <w:rPr>
                <w:rFonts w:ascii="Calibri" w:eastAsia="Times New Roman" w:hAnsi="Calibri" w:cs="Calibri"/>
                <w:b/>
                <w:bCs/>
                <w:noProof/>
                <w:color w:val="000000"/>
                <w:lang w:val="fr-FR" w:eastAsia="en-GB"/>
              </w:rPr>
              <w:t>=I-(II+</w:t>
            </w:r>
            <w:r w:rsidRPr="004179B8">
              <w:rPr>
                <w:rFonts w:ascii="Calibri" w:hAnsi="Calibri"/>
                <w:b/>
                <w:noProof/>
                <w:color w:val="000000"/>
                <w:lang w:val="fr-FR"/>
              </w:rPr>
              <w:t>III</w:t>
            </w:r>
            <w:r w:rsidRPr="004179B8">
              <w:rPr>
                <w:rFonts w:ascii="Calibri" w:eastAsia="Times New Roman" w:hAnsi="Calibri" w:cs="Calibri"/>
                <w:b/>
                <w:bCs/>
                <w:noProof/>
                <w:color w:val="000000"/>
                <w:lang w:val="fr-FR" w:eastAsia="en-GB"/>
              </w:rPr>
              <w:t xml:space="preserve">) </w:t>
            </w:r>
            <w:r w:rsidR="00417097" w:rsidRPr="004179B8">
              <w:rPr>
                <w:rFonts w:ascii="Calibri" w:eastAsia="Times New Roman" w:hAnsi="Calibri" w:cs="Calibri"/>
                <w:b/>
                <w:bCs/>
                <w:noProof/>
                <w:color w:val="000000"/>
                <w:lang w:val="fr-FR" w:eastAsia="en-GB"/>
              </w:rPr>
              <w:t>Estimation de l</w:t>
            </w:r>
            <w:r w:rsidR="00EE0531">
              <w:rPr>
                <w:rFonts w:ascii="Calibri" w:eastAsia="Times New Roman" w:hAnsi="Calibri" w:cs="Calibri"/>
                <w:b/>
                <w:bCs/>
                <w:noProof/>
                <w:color w:val="000000"/>
                <w:lang w:val="fr-FR" w:eastAsia="en-GB"/>
              </w:rPr>
              <w:t>’</w:t>
            </w:r>
            <w:r w:rsidR="00417097" w:rsidRPr="004179B8">
              <w:rPr>
                <w:rFonts w:ascii="Calibri" w:eastAsia="Times New Roman" w:hAnsi="Calibri" w:cs="Calibri"/>
                <w:b/>
                <w:bCs/>
                <w:noProof/>
                <w:color w:val="000000"/>
                <w:lang w:val="fr-FR" w:eastAsia="en-GB"/>
              </w:rPr>
              <w:t>excédent du budget administratif 2024</w:t>
            </w:r>
            <w:r w:rsidR="00417097" w:rsidRPr="004179B8">
              <w:rPr>
                <w:rFonts w:ascii="Calibri" w:eastAsia="Times New Roman" w:hAnsi="Calibri" w:cs="Calibri"/>
                <w:b/>
                <w:bCs/>
                <w:i/>
                <w:iCs/>
                <w:noProof/>
                <w:color w:val="000000"/>
                <w:lang w:val="fr-FR" w:eastAsia="en-GB"/>
              </w:rPr>
              <w:t xml:space="preserve"> </w:t>
            </w:r>
            <w:r w:rsidR="00417097" w:rsidRPr="004179B8">
              <w:rPr>
                <w:rFonts w:ascii="Calibri" w:eastAsia="Times New Roman" w:hAnsi="Calibri" w:cs="Calibri"/>
                <w:b/>
                <w:bCs/>
                <w:noProof/>
                <w:color w:val="000000"/>
                <w:lang w:val="fr-FR" w:eastAsia="en-GB"/>
              </w:rPr>
              <w:t>approuvé et pré-engagé</w:t>
            </w:r>
          </w:p>
        </w:tc>
        <w:tc>
          <w:tcPr>
            <w:tcW w:w="1560" w:type="dxa"/>
            <w:tcBorders>
              <w:top w:val="nil"/>
              <w:left w:val="nil"/>
              <w:bottom w:val="single" w:sz="4" w:space="0" w:color="auto"/>
              <w:right w:val="single" w:sz="4" w:space="0" w:color="auto"/>
            </w:tcBorders>
            <w:shd w:val="clear" w:color="auto" w:fill="CBD3DE" w:themeFill="text2" w:themeFillTint="40"/>
            <w:noWrap/>
            <w:hideMark/>
          </w:tcPr>
          <w:p w14:paraId="0B360E05" w14:textId="5AF3B6CE" w:rsidR="00E04AE0" w:rsidRPr="004179B8" w:rsidRDefault="00E04AE0" w:rsidP="00592253">
            <w:pPr>
              <w:spacing w:after="0" w:line="240" w:lineRule="auto"/>
              <w:ind w:firstLineChars="100" w:firstLine="221"/>
              <w:jc w:val="right"/>
              <w:rPr>
                <w:rFonts w:ascii="Calibri" w:hAnsi="Calibri"/>
                <w:b/>
                <w:noProof/>
                <w:color w:val="000000"/>
                <w:lang w:val="fr-FR"/>
              </w:rPr>
            </w:pPr>
            <w:r w:rsidRPr="004179B8">
              <w:rPr>
                <w:rFonts w:ascii="Calibri" w:eastAsia="Times New Roman" w:hAnsi="Calibri" w:cs="Calibri"/>
                <w:b/>
                <w:bCs/>
                <w:noProof/>
                <w:color w:val="000000"/>
                <w:lang w:val="fr-FR" w:eastAsia="en-GB"/>
              </w:rPr>
              <w:t>991</w:t>
            </w:r>
            <w:r w:rsidRPr="004179B8">
              <w:rPr>
                <w:rFonts w:ascii="Calibri" w:hAnsi="Calibri"/>
                <w:b/>
                <w:noProof/>
                <w:color w:val="000000"/>
                <w:lang w:val="fr-FR"/>
              </w:rPr>
              <w:t xml:space="preserve"> </w:t>
            </w:r>
          </w:p>
        </w:tc>
      </w:tr>
    </w:tbl>
    <w:p w14:paraId="6948D91C" w14:textId="77777777" w:rsidR="00B07229" w:rsidRPr="004179B8" w:rsidRDefault="00B07229" w:rsidP="00462ECE">
      <w:pPr>
        <w:pStyle w:val="ColorfulList-Accent11"/>
        <w:ind w:left="0" w:firstLine="0"/>
        <w:rPr>
          <w:rFonts w:cs="Calibri"/>
          <w:noProof/>
          <w:lang w:val="fr-FR"/>
        </w:rPr>
      </w:pPr>
    </w:p>
    <w:p w14:paraId="43FF5AB2" w14:textId="38883281" w:rsidR="00D24615" w:rsidRPr="004179B8" w:rsidRDefault="00D24615" w:rsidP="00462ECE">
      <w:pPr>
        <w:pStyle w:val="ColorfulList-Accent11"/>
        <w:ind w:left="0" w:firstLine="0"/>
        <w:rPr>
          <w:rFonts w:cs="Calibri"/>
          <w:noProof/>
          <w:lang w:val="fr-FR"/>
        </w:rPr>
      </w:pPr>
      <w:r w:rsidRPr="004179B8">
        <w:rPr>
          <w:rFonts w:cs="Calibri"/>
          <w:noProof/>
          <w:lang w:val="fr-FR"/>
        </w:rPr>
        <w:t>Le Secrétariat précise que l</w:t>
      </w:r>
      <w:r w:rsidR="00EE0531">
        <w:rPr>
          <w:rFonts w:cs="Calibri"/>
          <w:noProof/>
          <w:lang w:val="fr-FR"/>
        </w:rPr>
        <w:t>’</w:t>
      </w:r>
      <w:r w:rsidRPr="004179B8">
        <w:rPr>
          <w:rFonts w:cs="Calibri"/>
          <w:noProof/>
          <w:lang w:val="fr-FR"/>
        </w:rPr>
        <w:t>estimation du montant du prêt destiné à compléter le financement volontaire de l</w:t>
      </w:r>
      <w:r w:rsidR="00EE0531">
        <w:rPr>
          <w:rFonts w:cs="Calibri"/>
          <w:noProof/>
          <w:lang w:val="fr-FR"/>
        </w:rPr>
        <w:t>’</w:t>
      </w:r>
      <w:r w:rsidRPr="004179B8">
        <w:rPr>
          <w:rFonts w:cs="Calibri"/>
          <w:noProof/>
          <w:lang w:val="fr-FR"/>
        </w:rPr>
        <w:t>appui aux délégués à la COP15 a été modifiée suite à la réception d</w:t>
      </w:r>
      <w:r w:rsidR="00EE0531">
        <w:rPr>
          <w:rFonts w:cs="Calibri"/>
          <w:noProof/>
          <w:lang w:val="fr-FR"/>
        </w:rPr>
        <w:t>’</w:t>
      </w:r>
      <w:r w:rsidRPr="004179B8">
        <w:rPr>
          <w:rFonts w:cs="Calibri"/>
          <w:noProof/>
          <w:lang w:val="fr-FR"/>
        </w:rPr>
        <w:t xml:space="preserve">un financement volontaire depuis la publication du document SC64 Doc.9.1. À titre de comparaison, un montant de </w:t>
      </w:r>
      <w:r w:rsidRPr="004179B8">
        <w:rPr>
          <w:rFonts w:cs="Calibri"/>
          <w:noProof/>
          <w:lang w:val="fr-FR"/>
        </w:rPr>
        <w:lastRenderedPageBreak/>
        <w:t>480 000 CHF a</w:t>
      </w:r>
      <w:r w:rsidR="006716E5">
        <w:rPr>
          <w:rFonts w:cs="Calibri"/>
          <w:noProof/>
          <w:lang w:val="fr-FR"/>
        </w:rPr>
        <w:t>vait</w:t>
      </w:r>
      <w:r w:rsidRPr="004179B8">
        <w:rPr>
          <w:rFonts w:cs="Calibri"/>
          <w:noProof/>
          <w:lang w:val="fr-FR"/>
        </w:rPr>
        <w:t xml:space="preserve"> été alloué à cette fin avant la COP14 ; au lendemain de la COP14, après calcul des recettes et des coûts réel</w:t>
      </w:r>
      <w:r w:rsidR="006716E5">
        <w:rPr>
          <w:rFonts w:cs="Calibri"/>
          <w:noProof/>
          <w:lang w:val="fr-FR"/>
        </w:rPr>
        <w:t>s</w:t>
      </w:r>
      <w:r w:rsidRPr="004179B8">
        <w:rPr>
          <w:rFonts w:cs="Calibri"/>
          <w:noProof/>
          <w:lang w:val="fr-FR"/>
        </w:rPr>
        <w:t>, il restait 140 000 CHF à rembourser</w:t>
      </w:r>
      <w:r w:rsidR="006716E5">
        <w:rPr>
          <w:rFonts w:cs="Calibri"/>
          <w:noProof/>
          <w:lang w:val="fr-FR"/>
        </w:rPr>
        <w:t xml:space="preserve"> sur le montant total</w:t>
      </w:r>
      <w:r w:rsidRPr="004179B8">
        <w:rPr>
          <w:rFonts w:cs="Calibri"/>
          <w:noProof/>
          <w:lang w:val="fr-FR"/>
        </w:rPr>
        <w:t xml:space="preserve"> (contre 75 000 CHF au lendemain de la COP13).</w:t>
      </w:r>
    </w:p>
    <w:p w14:paraId="61527C8A" w14:textId="77777777" w:rsidR="00CF5F03" w:rsidRPr="004179B8" w:rsidRDefault="00CF5F03" w:rsidP="00462ECE">
      <w:pPr>
        <w:pStyle w:val="ColorfulList-Accent11"/>
        <w:ind w:left="0" w:firstLine="0"/>
        <w:rPr>
          <w:rFonts w:cs="Calibri"/>
          <w:noProof/>
          <w:lang w:val="fr-FR"/>
        </w:rPr>
      </w:pPr>
    </w:p>
    <w:p w14:paraId="2B3F711E" w14:textId="77777777" w:rsidR="00D24615" w:rsidRPr="00D24615" w:rsidRDefault="00D24615" w:rsidP="00D24615">
      <w:pPr>
        <w:spacing w:after="0" w:line="240" w:lineRule="auto"/>
        <w:ind w:left="425" w:hanging="425"/>
        <w:contextualSpacing/>
        <w:rPr>
          <w:b/>
          <w:bCs/>
          <w:i/>
          <w:iCs/>
          <w:noProof/>
          <w:lang w:val="fr-FR"/>
        </w:rPr>
      </w:pPr>
      <w:r w:rsidRPr="00D24615">
        <w:rPr>
          <w:b/>
          <w:bCs/>
          <w:i/>
          <w:iCs/>
          <w:noProof/>
          <w:lang w:val="fr-FR"/>
        </w:rPr>
        <w:t>Le Sous-groupe sur les finances recommande au Comité permanent de :</w:t>
      </w:r>
    </w:p>
    <w:p w14:paraId="428CE37A" w14:textId="77777777" w:rsidR="00D24615" w:rsidRPr="00D24615" w:rsidRDefault="00B07229" w:rsidP="00D24615">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t xml:space="preserve">i. </w:t>
      </w:r>
      <w:r w:rsidRPr="004179B8">
        <w:rPr>
          <w:rFonts w:cs="Calibri"/>
          <w:b/>
          <w:bCs/>
          <w:i/>
          <w:noProof/>
          <w:color w:val="000000" w:themeColor="text1"/>
          <w:lang w:val="fr-FR"/>
        </w:rPr>
        <w:tab/>
      </w:r>
      <w:r w:rsidR="00D24615" w:rsidRPr="00D24615">
        <w:rPr>
          <w:rFonts w:cs="Calibri"/>
          <w:b/>
          <w:bCs/>
          <w:i/>
          <w:noProof/>
          <w:color w:val="000000" w:themeColor="text1"/>
          <w:lang w:val="fr-FR"/>
        </w:rPr>
        <w:t>prendre note des estimations provisoires des résultats du budget administratif pour 2024 ;</w:t>
      </w:r>
    </w:p>
    <w:p w14:paraId="20010BCB" w14:textId="188CD02E" w:rsidR="00B07229" w:rsidRPr="004179B8" w:rsidRDefault="00B07229" w:rsidP="00462ECE">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t>ii.</w:t>
      </w:r>
      <w:r w:rsidRPr="004179B8">
        <w:rPr>
          <w:rFonts w:cs="Calibri"/>
          <w:b/>
          <w:bCs/>
          <w:i/>
          <w:noProof/>
          <w:color w:val="000000" w:themeColor="text1"/>
          <w:lang w:val="fr-FR"/>
        </w:rPr>
        <w:tab/>
      </w:r>
      <w:r w:rsidR="00D24615" w:rsidRPr="00D24615">
        <w:rPr>
          <w:rFonts w:cs="Calibri"/>
          <w:b/>
          <w:bCs/>
          <w:i/>
          <w:noProof/>
          <w:color w:val="000000" w:themeColor="text1"/>
          <w:lang w:val="fr-FR"/>
        </w:rPr>
        <w:t>prendre note des estimations provisoires de l</w:t>
      </w:r>
      <w:r w:rsidR="00EE0531">
        <w:rPr>
          <w:rFonts w:cs="Calibri"/>
          <w:b/>
          <w:bCs/>
          <w:i/>
          <w:noProof/>
          <w:color w:val="000000" w:themeColor="text1"/>
          <w:lang w:val="fr-FR"/>
        </w:rPr>
        <w:t>’</w:t>
      </w:r>
      <w:r w:rsidR="00D24615" w:rsidRPr="00D24615">
        <w:rPr>
          <w:rFonts w:cs="Calibri"/>
          <w:b/>
          <w:bCs/>
          <w:i/>
          <w:noProof/>
          <w:color w:val="000000" w:themeColor="text1"/>
          <w:lang w:val="fr-FR"/>
        </w:rPr>
        <w:t xml:space="preserve">état des </w:t>
      </w:r>
      <w:r w:rsidR="00D24615" w:rsidRPr="004179B8">
        <w:rPr>
          <w:rFonts w:cs="Calibri"/>
          <w:b/>
          <w:bCs/>
          <w:i/>
          <w:noProof/>
          <w:color w:val="000000" w:themeColor="text1"/>
          <w:lang w:val="fr-FR"/>
        </w:rPr>
        <w:t xml:space="preserve">soldes du budget </w:t>
      </w:r>
      <w:r w:rsidR="00D24615" w:rsidRPr="00D24615">
        <w:rPr>
          <w:rFonts w:cs="Calibri"/>
          <w:b/>
          <w:bCs/>
          <w:i/>
          <w:noProof/>
          <w:color w:val="000000" w:themeColor="text1"/>
          <w:lang w:val="fr-FR"/>
        </w:rPr>
        <w:t>non administratif</w:t>
      </w:r>
      <w:r w:rsidR="00D24615" w:rsidRPr="004179B8">
        <w:rPr>
          <w:rFonts w:cs="Calibri"/>
          <w:b/>
          <w:bCs/>
          <w:i/>
          <w:noProof/>
          <w:color w:val="000000" w:themeColor="text1"/>
          <w:lang w:val="fr-FR"/>
        </w:rPr>
        <w:t xml:space="preserve"> </w:t>
      </w:r>
      <w:r w:rsidR="00D24615" w:rsidRPr="00D24615">
        <w:rPr>
          <w:rFonts w:cs="Calibri"/>
          <w:b/>
          <w:bCs/>
          <w:i/>
          <w:noProof/>
          <w:color w:val="000000" w:themeColor="text1"/>
          <w:lang w:val="fr-FR"/>
        </w:rPr>
        <w:t>et des contributions volontaires pour 2024 ;</w:t>
      </w:r>
    </w:p>
    <w:p w14:paraId="632E1C92" w14:textId="7A7184FE" w:rsidR="00B07229" w:rsidRPr="004179B8" w:rsidRDefault="00B07229" w:rsidP="00462ECE">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t>i</w:t>
      </w:r>
      <w:r w:rsidR="00911328" w:rsidRPr="004179B8">
        <w:rPr>
          <w:rFonts w:cs="Calibri"/>
          <w:b/>
          <w:bCs/>
          <w:i/>
          <w:noProof/>
          <w:color w:val="000000" w:themeColor="text1"/>
          <w:lang w:val="fr-FR"/>
        </w:rPr>
        <w:t>ii</w:t>
      </w:r>
      <w:r w:rsidRPr="004179B8">
        <w:rPr>
          <w:rFonts w:cs="Calibri"/>
          <w:b/>
          <w:bCs/>
          <w:i/>
          <w:noProof/>
          <w:color w:val="000000" w:themeColor="text1"/>
          <w:lang w:val="fr-FR"/>
        </w:rPr>
        <w:t xml:space="preserve">. </w:t>
      </w:r>
      <w:r w:rsidRPr="004179B8">
        <w:rPr>
          <w:rFonts w:cs="Calibri"/>
          <w:b/>
          <w:bCs/>
          <w:i/>
          <w:noProof/>
          <w:color w:val="000000" w:themeColor="text1"/>
          <w:lang w:val="fr-FR"/>
        </w:rPr>
        <w:tab/>
      </w:r>
      <w:r w:rsidR="00D24615" w:rsidRPr="00D24615">
        <w:rPr>
          <w:rFonts w:cs="Calibri"/>
          <w:b/>
          <w:bCs/>
          <w:i/>
          <w:noProof/>
          <w:color w:val="000000" w:themeColor="text1"/>
          <w:lang w:val="fr-FR"/>
        </w:rPr>
        <w:t>prendre note de</w:t>
      </w:r>
      <w:r w:rsidR="00D24615" w:rsidRPr="004179B8">
        <w:rPr>
          <w:rFonts w:cs="Calibri"/>
          <w:b/>
          <w:bCs/>
          <w:i/>
          <w:noProof/>
          <w:color w:val="000000" w:themeColor="text1"/>
          <w:lang w:val="fr-FR"/>
        </w:rPr>
        <w:t xml:space="preserve"> l</w:t>
      </w:r>
      <w:r w:rsidR="00EE0531">
        <w:rPr>
          <w:rFonts w:cs="Calibri"/>
          <w:b/>
          <w:bCs/>
          <w:i/>
          <w:noProof/>
          <w:color w:val="000000" w:themeColor="text1"/>
          <w:lang w:val="fr-FR"/>
        </w:rPr>
        <w:t>’</w:t>
      </w:r>
      <w:r w:rsidR="00D24615" w:rsidRPr="004179B8">
        <w:rPr>
          <w:rFonts w:cs="Calibri"/>
          <w:b/>
          <w:bCs/>
          <w:i/>
          <w:noProof/>
          <w:color w:val="000000" w:themeColor="text1"/>
          <w:lang w:val="fr-FR"/>
        </w:rPr>
        <w:t>estimation de</w:t>
      </w:r>
      <w:r w:rsidR="00D24615" w:rsidRPr="00D24615">
        <w:rPr>
          <w:rFonts w:cs="Calibri"/>
          <w:b/>
          <w:bCs/>
          <w:i/>
          <w:noProof/>
          <w:color w:val="000000" w:themeColor="text1"/>
          <w:lang w:val="fr-FR"/>
        </w:rPr>
        <w:t xml:space="preserve">s fonds reportés pour 2024 et 2025, </w:t>
      </w:r>
      <w:r w:rsidR="00D24615" w:rsidRPr="004179B8">
        <w:rPr>
          <w:rFonts w:cs="Calibri"/>
          <w:b/>
          <w:bCs/>
          <w:i/>
          <w:noProof/>
          <w:color w:val="000000" w:themeColor="text1"/>
          <w:lang w:val="fr-FR"/>
        </w:rPr>
        <w:t>telle que présentée</w:t>
      </w:r>
      <w:r w:rsidR="00D24615" w:rsidRPr="00D24615">
        <w:rPr>
          <w:rFonts w:cs="Calibri"/>
          <w:b/>
          <w:bCs/>
          <w:i/>
          <w:noProof/>
          <w:color w:val="000000" w:themeColor="text1"/>
          <w:lang w:val="fr-FR"/>
        </w:rPr>
        <w:t xml:space="preserve"> </w:t>
      </w:r>
      <w:r w:rsidR="00D24615" w:rsidRPr="004179B8">
        <w:rPr>
          <w:rFonts w:cs="Calibri"/>
          <w:b/>
          <w:bCs/>
          <w:i/>
          <w:noProof/>
          <w:color w:val="000000" w:themeColor="text1"/>
          <w:lang w:val="fr-FR"/>
        </w:rPr>
        <w:t>sous</w:t>
      </w:r>
      <w:r w:rsidR="00D24615" w:rsidRPr="00D24615">
        <w:rPr>
          <w:rFonts w:cs="Calibri"/>
          <w:b/>
          <w:bCs/>
          <w:i/>
          <w:noProof/>
          <w:color w:val="000000" w:themeColor="text1"/>
          <w:lang w:val="fr-FR"/>
        </w:rPr>
        <w:t xml:space="preserve"> la colonne C du tableau </w:t>
      </w:r>
      <w:r w:rsidR="00D24615" w:rsidRPr="004179B8">
        <w:rPr>
          <w:rFonts w:cs="Calibri"/>
          <w:b/>
          <w:bCs/>
          <w:i/>
          <w:noProof/>
          <w:color w:val="000000" w:themeColor="text1"/>
          <w:lang w:val="fr-FR"/>
        </w:rPr>
        <w:t xml:space="preserve">figurant à </w:t>
      </w:r>
      <w:r w:rsidR="00D24615" w:rsidRPr="00D24615">
        <w:rPr>
          <w:rFonts w:cs="Calibri"/>
          <w:b/>
          <w:bCs/>
          <w:i/>
          <w:noProof/>
          <w:color w:val="000000" w:themeColor="text1"/>
          <w:lang w:val="fr-FR"/>
        </w:rPr>
        <w:t>l</w:t>
      </w:r>
      <w:r w:rsidR="00EE0531">
        <w:rPr>
          <w:rFonts w:cs="Calibri"/>
          <w:b/>
          <w:bCs/>
          <w:i/>
          <w:noProof/>
          <w:color w:val="000000" w:themeColor="text1"/>
          <w:lang w:val="fr-FR"/>
        </w:rPr>
        <w:t>’</w:t>
      </w:r>
      <w:r w:rsidR="00D24615" w:rsidRPr="00D24615">
        <w:rPr>
          <w:rFonts w:cs="Calibri"/>
          <w:b/>
          <w:bCs/>
          <w:i/>
          <w:noProof/>
          <w:color w:val="000000" w:themeColor="text1"/>
          <w:lang w:val="fr-FR"/>
        </w:rPr>
        <w:t>annexe </w:t>
      </w:r>
      <w:r w:rsidR="004E239A">
        <w:rPr>
          <w:rFonts w:cs="Calibri"/>
          <w:b/>
          <w:bCs/>
          <w:i/>
          <w:noProof/>
          <w:color w:val="000000" w:themeColor="text1"/>
          <w:lang w:val="fr-FR"/>
        </w:rPr>
        <w:t>[x]</w:t>
      </w:r>
      <w:r w:rsidR="00D24615" w:rsidRPr="00D24615">
        <w:rPr>
          <w:rFonts w:cs="Calibri"/>
          <w:b/>
          <w:bCs/>
          <w:i/>
          <w:noProof/>
          <w:color w:val="000000" w:themeColor="text1"/>
          <w:lang w:val="fr-FR"/>
        </w:rPr>
        <w:t> </w:t>
      </w:r>
      <w:bookmarkStart w:id="1" w:name="_Hlk188301992"/>
      <w:r w:rsidR="00D24615" w:rsidRPr="004179B8">
        <w:rPr>
          <w:rFonts w:cs="Calibri"/>
          <w:b/>
          <w:bCs/>
          <w:i/>
          <w:noProof/>
          <w:color w:val="000000" w:themeColor="text1"/>
          <w:lang w:val="fr-FR"/>
        </w:rPr>
        <w:t>du</w:t>
      </w:r>
      <w:r w:rsidRPr="004179B8">
        <w:rPr>
          <w:rFonts w:cs="Calibri"/>
          <w:b/>
          <w:bCs/>
          <w:i/>
          <w:noProof/>
          <w:color w:val="000000" w:themeColor="text1"/>
          <w:lang w:val="fr-FR"/>
        </w:rPr>
        <w:t xml:space="preserve"> pr</w:t>
      </w:r>
      <w:r w:rsidR="00D24615" w:rsidRPr="004179B8">
        <w:rPr>
          <w:rFonts w:cs="Calibri"/>
          <w:b/>
          <w:bCs/>
          <w:i/>
          <w:noProof/>
          <w:color w:val="000000" w:themeColor="text1"/>
          <w:lang w:val="fr-FR"/>
        </w:rPr>
        <w:t>é</w:t>
      </w:r>
      <w:r w:rsidRPr="004179B8">
        <w:rPr>
          <w:rFonts w:cs="Calibri"/>
          <w:b/>
          <w:bCs/>
          <w:i/>
          <w:noProof/>
          <w:color w:val="000000" w:themeColor="text1"/>
          <w:lang w:val="fr-FR"/>
        </w:rPr>
        <w:t>sent r</w:t>
      </w:r>
      <w:r w:rsidR="00D24615" w:rsidRPr="004179B8">
        <w:rPr>
          <w:rFonts w:cs="Calibri"/>
          <w:b/>
          <w:bCs/>
          <w:i/>
          <w:noProof/>
          <w:color w:val="000000" w:themeColor="text1"/>
          <w:lang w:val="fr-FR"/>
        </w:rPr>
        <w:t>a</w:t>
      </w:r>
      <w:r w:rsidRPr="004179B8">
        <w:rPr>
          <w:rFonts w:cs="Calibri"/>
          <w:b/>
          <w:bCs/>
          <w:i/>
          <w:noProof/>
          <w:color w:val="000000" w:themeColor="text1"/>
          <w:lang w:val="fr-FR"/>
        </w:rPr>
        <w:t>p</w:t>
      </w:r>
      <w:r w:rsidR="00D24615" w:rsidRPr="004179B8">
        <w:rPr>
          <w:rFonts w:cs="Calibri"/>
          <w:b/>
          <w:bCs/>
          <w:i/>
          <w:noProof/>
          <w:color w:val="000000" w:themeColor="text1"/>
          <w:lang w:val="fr-FR"/>
        </w:rPr>
        <w:t>p</w:t>
      </w:r>
      <w:r w:rsidRPr="004179B8">
        <w:rPr>
          <w:rFonts w:cs="Calibri"/>
          <w:b/>
          <w:bCs/>
          <w:i/>
          <w:noProof/>
          <w:color w:val="000000" w:themeColor="text1"/>
          <w:lang w:val="fr-FR"/>
        </w:rPr>
        <w:t>ort</w:t>
      </w:r>
      <w:bookmarkEnd w:id="1"/>
      <w:r w:rsidR="00D24615" w:rsidRPr="004179B8">
        <w:rPr>
          <w:rFonts w:cs="Calibri"/>
          <w:b/>
          <w:bCs/>
          <w:i/>
          <w:noProof/>
          <w:color w:val="000000" w:themeColor="text1"/>
          <w:lang w:val="fr-FR"/>
        </w:rPr>
        <w:t> </w:t>
      </w:r>
      <w:r w:rsidR="004E239A">
        <w:rPr>
          <w:rFonts w:cs="Calibri"/>
          <w:b/>
          <w:bCs/>
          <w:i/>
          <w:noProof/>
          <w:color w:val="000000" w:themeColor="text1"/>
          <w:lang w:val="fr-FR"/>
        </w:rPr>
        <w:t>sur le Budget administratif 2025 </w:t>
      </w:r>
      <w:r w:rsidRPr="004179B8">
        <w:rPr>
          <w:rFonts w:cs="Calibri"/>
          <w:b/>
          <w:bCs/>
          <w:i/>
          <w:noProof/>
          <w:color w:val="000000" w:themeColor="text1"/>
          <w:lang w:val="fr-FR"/>
        </w:rPr>
        <w:t>;</w:t>
      </w:r>
      <w:r w:rsidR="000349F3" w:rsidRPr="004179B8">
        <w:rPr>
          <w:rStyle w:val="FootnoteReference"/>
          <w:rFonts w:cs="Calibri"/>
          <w:b/>
          <w:bCs/>
          <w:iCs/>
          <w:noProof/>
          <w:color w:val="000000" w:themeColor="text1"/>
          <w:lang w:val="fr-FR"/>
        </w:rPr>
        <w:footnoteReference w:id="2"/>
      </w:r>
    </w:p>
    <w:p w14:paraId="7648DE33" w14:textId="6BEB534B" w:rsidR="00D24615" w:rsidRPr="004E239A" w:rsidRDefault="00911328" w:rsidP="00D24615">
      <w:pPr>
        <w:spacing w:after="0" w:line="240" w:lineRule="auto"/>
        <w:ind w:left="425" w:hanging="425"/>
        <w:contextualSpacing/>
        <w:rPr>
          <w:rFonts w:cs="Calibri"/>
          <w:iCs/>
          <w:noProof/>
          <w:color w:val="000000" w:themeColor="text1"/>
          <w:lang w:val="fr-FR"/>
        </w:rPr>
      </w:pPr>
      <w:r w:rsidRPr="004179B8">
        <w:rPr>
          <w:rFonts w:cs="Calibri"/>
          <w:b/>
          <w:bCs/>
          <w:i/>
          <w:noProof/>
          <w:color w:val="000000" w:themeColor="text1"/>
          <w:lang w:val="fr-FR"/>
        </w:rPr>
        <w:t>i</w:t>
      </w:r>
      <w:r w:rsidR="00B07229" w:rsidRPr="004179B8">
        <w:rPr>
          <w:rFonts w:cs="Calibri"/>
          <w:b/>
          <w:bCs/>
          <w:i/>
          <w:noProof/>
          <w:color w:val="000000" w:themeColor="text1"/>
          <w:lang w:val="fr-FR"/>
        </w:rPr>
        <w:t>v.</w:t>
      </w:r>
      <w:r w:rsidR="00B07229" w:rsidRPr="004179B8">
        <w:rPr>
          <w:rFonts w:cs="Calibri"/>
          <w:b/>
          <w:bCs/>
          <w:i/>
          <w:noProof/>
          <w:color w:val="000000" w:themeColor="text1"/>
          <w:lang w:val="fr-FR"/>
        </w:rPr>
        <w:tab/>
      </w:r>
      <w:r w:rsidR="00D24615" w:rsidRPr="004179B8">
        <w:rPr>
          <w:rFonts w:cs="Calibri"/>
          <w:b/>
          <w:bCs/>
          <w:i/>
          <w:noProof/>
          <w:color w:val="000000" w:themeColor="text1"/>
          <w:lang w:val="fr-FR"/>
        </w:rPr>
        <w:t xml:space="preserve">prendre note du budget prévisionnel pour 2025, tel que présenté sous la colonne </w:t>
      </w:r>
      <w:r w:rsidR="004E239A">
        <w:rPr>
          <w:rFonts w:cs="Calibri"/>
          <w:b/>
          <w:bCs/>
          <w:i/>
          <w:noProof/>
          <w:color w:val="000000" w:themeColor="text1"/>
          <w:lang w:val="fr-FR"/>
        </w:rPr>
        <w:t>D</w:t>
      </w:r>
      <w:r w:rsidR="00D24615" w:rsidRPr="004179B8">
        <w:rPr>
          <w:rFonts w:cs="Calibri"/>
          <w:b/>
          <w:bCs/>
          <w:i/>
          <w:noProof/>
          <w:color w:val="000000" w:themeColor="text1"/>
          <w:lang w:val="fr-FR"/>
        </w:rPr>
        <w:t xml:space="preserve"> du tableau figurant à l</w:t>
      </w:r>
      <w:r w:rsidR="00EE0531">
        <w:rPr>
          <w:rFonts w:cs="Calibri"/>
          <w:b/>
          <w:bCs/>
          <w:i/>
          <w:noProof/>
          <w:color w:val="000000" w:themeColor="text1"/>
          <w:lang w:val="fr-FR"/>
        </w:rPr>
        <w:t>’</w:t>
      </w:r>
      <w:r w:rsidR="00D24615" w:rsidRPr="004179B8">
        <w:rPr>
          <w:rFonts w:cs="Calibri"/>
          <w:b/>
          <w:bCs/>
          <w:i/>
          <w:noProof/>
          <w:color w:val="000000" w:themeColor="text1"/>
          <w:lang w:val="fr-FR"/>
        </w:rPr>
        <w:t xml:space="preserve">annexe </w:t>
      </w:r>
      <w:r w:rsidR="004E239A">
        <w:rPr>
          <w:rFonts w:cs="Calibri"/>
          <w:b/>
          <w:bCs/>
          <w:i/>
          <w:noProof/>
          <w:color w:val="000000" w:themeColor="text1"/>
          <w:lang w:val="fr-FR"/>
        </w:rPr>
        <w:t>[x]</w:t>
      </w:r>
      <w:r w:rsidR="00D24615" w:rsidRPr="004179B8">
        <w:rPr>
          <w:rFonts w:cs="Calibri"/>
          <w:b/>
          <w:bCs/>
          <w:i/>
          <w:noProof/>
          <w:color w:val="000000" w:themeColor="text1"/>
          <w:lang w:val="fr-FR"/>
        </w:rPr>
        <w:t xml:space="preserve"> du présent rapport </w:t>
      </w:r>
      <w:r w:rsidR="006716E5">
        <w:rPr>
          <w:rFonts w:cs="Calibri"/>
          <w:b/>
          <w:bCs/>
          <w:i/>
          <w:noProof/>
          <w:color w:val="000000" w:themeColor="text1"/>
          <w:lang w:val="fr-FR"/>
        </w:rPr>
        <w:t>sur le Budget administratif 2025 </w:t>
      </w:r>
      <w:r w:rsidR="00D24615" w:rsidRPr="004179B8">
        <w:rPr>
          <w:rFonts w:cs="Calibri"/>
          <w:b/>
          <w:bCs/>
          <w:i/>
          <w:noProof/>
          <w:color w:val="000000" w:themeColor="text1"/>
          <w:lang w:val="fr-FR"/>
        </w:rPr>
        <w:t>;</w:t>
      </w:r>
      <w:r w:rsidR="004E239A" w:rsidRPr="004E239A">
        <w:rPr>
          <w:rFonts w:cs="Calibri"/>
          <w:iCs/>
          <w:noProof/>
          <w:color w:val="000000" w:themeColor="text1"/>
          <w:vertAlign w:val="superscript"/>
          <w:lang w:val="fr-FR"/>
        </w:rPr>
        <w:t>1</w:t>
      </w:r>
    </w:p>
    <w:p w14:paraId="5F8EE297" w14:textId="2D5382F7" w:rsidR="00D24615" w:rsidRPr="00D24615" w:rsidRDefault="00D24615" w:rsidP="00D24615">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t>v.</w:t>
      </w:r>
      <w:r w:rsidRPr="004179B8">
        <w:rPr>
          <w:rFonts w:cs="Calibri"/>
          <w:b/>
          <w:bCs/>
          <w:i/>
          <w:noProof/>
          <w:color w:val="000000" w:themeColor="text1"/>
          <w:lang w:val="fr-FR"/>
        </w:rPr>
        <w:tab/>
      </w:r>
      <w:r w:rsidRPr="00D24615">
        <w:rPr>
          <w:rFonts w:cs="Calibri"/>
          <w:b/>
          <w:bCs/>
          <w:i/>
          <w:noProof/>
          <w:color w:val="000000" w:themeColor="text1"/>
          <w:lang w:val="fr-FR"/>
        </w:rPr>
        <w:t>approuver l</w:t>
      </w:r>
      <w:r w:rsidR="00EE0531">
        <w:rPr>
          <w:rFonts w:cs="Calibri"/>
          <w:b/>
          <w:bCs/>
          <w:i/>
          <w:noProof/>
          <w:color w:val="000000" w:themeColor="text1"/>
          <w:lang w:val="fr-FR"/>
        </w:rPr>
        <w:t>’</w:t>
      </w:r>
      <w:r w:rsidRPr="00D24615">
        <w:rPr>
          <w:rFonts w:cs="Calibri"/>
          <w:b/>
          <w:bCs/>
          <w:i/>
          <w:noProof/>
          <w:color w:val="000000" w:themeColor="text1"/>
          <w:lang w:val="fr-FR"/>
        </w:rPr>
        <w:t>utilisation temporaire de fonds de réserve comme prêt pour augmenter le financement volontaire de l</w:t>
      </w:r>
      <w:r w:rsidR="00EE0531">
        <w:rPr>
          <w:rFonts w:cs="Calibri"/>
          <w:b/>
          <w:bCs/>
          <w:i/>
          <w:noProof/>
          <w:color w:val="000000" w:themeColor="text1"/>
          <w:lang w:val="fr-FR"/>
        </w:rPr>
        <w:t>’</w:t>
      </w:r>
      <w:r w:rsidRPr="00D24615">
        <w:rPr>
          <w:rFonts w:cs="Calibri"/>
          <w:b/>
          <w:bCs/>
          <w:i/>
          <w:noProof/>
          <w:color w:val="000000" w:themeColor="text1"/>
          <w:lang w:val="fr-FR"/>
        </w:rPr>
        <w:t xml:space="preserve">appui aux délégués parrainés pour la COP15, comme décrit </w:t>
      </w:r>
      <w:r w:rsidR="00792A37">
        <w:rPr>
          <w:rFonts w:cs="Calibri"/>
          <w:b/>
          <w:bCs/>
          <w:i/>
          <w:noProof/>
          <w:color w:val="000000" w:themeColor="text1"/>
          <w:lang w:val="fr-FR"/>
        </w:rPr>
        <w:t>aaux</w:t>
      </w:r>
      <w:r w:rsidRPr="00D24615">
        <w:rPr>
          <w:rFonts w:cs="Calibri"/>
          <w:b/>
          <w:bCs/>
          <w:i/>
          <w:noProof/>
          <w:color w:val="000000" w:themeColor="text1"/>
          <w:lang w:val="fr-FR"/>
        </w:rPr>
        <w:t xml:space="preserve"> paragraphes 13, 14 et 20</w:t>
      </w:r>
      <w:r w:rsidRPr="004179B8">
        <w:rPr>
          <w:rFonts w:cs="Calibri"/>
          <w:b/>
          <w:bCs/>
          <w:i/>
          <w:noProof/>
          <w:color w:val="000000" w:themeColor="text1"/>
          <w:lang w:val="fr-FR"/>
        </w:rPr>
        <w:t>, pour un montant maximum de 486 000 CHF</w:t>
      </w:r>
      <w:r w:rsidRPr="00D24615">
        <w:rPr>
          <w:rFonts w:cs="Calibri"/>
          <w:b/>
          <w:bCs/>
          <w:i/>
          <w:noProof/>
          <w:color w:val="000000" w:themeColor="text1"/>
          <w:lang w:val="fr-FR"/>
        </w:rPr>
        <w:t> ;</w:t>
      </w:r>
      <w:r w:rsidR="00792A37">
        <w:rPr>
          <w:rFonts w:cs="Calibri"/>
          <w:b/>
          <w:bCs/>
          <w:i/>
          <w:noProof/>
          <w:color w:val="000000" w:themeColor="text1"/>
          <w:lang w:val="fr-FR"/>
        </w:rPr>
        <w:t xml:space="preserve"> et</w:t>
      </w:r>
    </w:p>
    <w:p w14:paraId="00A3302E" w14:textId="0A8DF27A" w:rsidR="00D24615" w:rsidRPr="004179B8" w:rsidRDefault="00D24615" w:rsidP="00D24615">
      <w:pPr>
        <w:spacing w:after="0" w:line="240" w:lineRule="auto"/>
        <w:ind w:left="426" w:hanging="426"/>
        <w:contextualSpacing/>
        <w:rPr>
          <w:rFonts w:cs="Calibri"/>
          <w:b/>
          <w:bCs/>
          <w:i/>
          <w:noProof/>
          <w:color w:val="000000" w:themeColor="text1"/>
          <w:lang w:val="fr-FR"/>
        </w:rPr>
      </w:pPr>
      <w:r w:rsidRPr="004179B8">
        <w:rPr>
          <w:rFonts w:cs="Calibri"/>
          <w:b/>
          <w:bCs/>
          <w:i/>
          <w:noProof/>
          <w:color w:val="000000" w:themeColor="text1"/>
          <w:lang w:val="fr-FR"/>
        </w:rPr>
        <w:t>vi.</w:t>
      </w:r>
      <w:r w:rsidRPr="004179B8">
        <w:rPr>
          <w:rFonts w:cs="Calibri"/>
          <w:b/>
          <w:bCs/>
          <w:i/>
          <w:noProof/>
          <w:color w:val="000000" w:themeColor="text1"/>
          <w:lang w:val="fr-FR"/>
        </w:rPr>
        <w:tab/>
      </w:r>
      <w:r w:rsidRPr="00D24615">
        <w:rPr>
          <w:rFonts w:cs="Calibri"/>
          <w:b/>
          <w:bCs/>
          <w:i/>
          <w:noProof/>
          <w:color w:val="000000" w:themeColor="text1"/>
          <w:lang w:val="fr-FR"/>
        </w:rPr>
        <w:t>prendre note de</w:t>
      </w:r>
      <w:r w:rsidRPr="004179B8">
        <w:rPr>
          <w:rFonts w:cs="Calibri"/>
          <w:b/>
          <w:bCs/>
          <w:i/>
          <w:noProof/>
          <w:color w:val="000000" w:themeColor="text1"/>
          <w:lang w:val="fr-FR"/>
        </w:rPr>
        <w:t xml:space="preserve"> l</w:t>
      </w:r>
      <w:r w:rsidR="00EE0531">
        <w:rPr>
          <w:rFonts w:cs="Calibri"/>
          <w:b/>
          <w:bCs/>
          <w:i/>
          <w:noProof/>
          <w:color w:val="000000" w:themeColor="text1"/>
          <w:lang w:val="fr-FR"/>
        </w:rPr>
        <w:t>’</w:t>
      </w:r>
      <w:r w:rsidRPr="004179B8">
        <w:rPr>
          <w:rFonts w:cs="Calibri"/>
          <w:b/>
          <w:bCs/>
          <w:i/>
          <w:noProof/>
          <w:color w:val="000000" w:themeColor="text1"/>
          <w:lang w:val="fr-FR"/>
        </w:rPr>
        <w:t>estimation de</w:t>
      </w:r>
      <w:r w:rsidRPr="00D24615">
        <w:rPr>
          <w:rFonts w:cs="Calibri"/>
          <w:b/>
          <w:bCs/>
          <w:i/>
          <w:noProof/>
          <w:color w:val="000000" w:themeColor="text1"/>
          <w:lang w:val="fr-FR"/>
        </w:rPr>
        <w:t>s soldes excédentaires</w:t>
      </w:r>
      <w:bookmarkStart w:id="2" w:name="_Hlk167885757"/>
      <w:r w:rsidRPr="004179B8">
        <w:rPr>
          <w:rFonts w:cs="Calibri"/>
          <w:b/>
          <w:bCs/>
          <w:i/>
          <w:noProof/>
          <w:color w:val="000000" w:themeColor="text1"/>
          <w:lang w:val="fr-FR"/>
        </w:rPr>
        <w:t xml:space="preserve"> dont une synthèse figure dans le tableau 1 du présent rapport.</w:t>
      </w:r>
    </w:p>
    <w:p w14:paraId="1501D8A2" w14:textId="77777777" w:rsidR="00D24615" w:rsidRPr="004179B8" w:rsidRDefault="00D24615" w:rsidP="00D24615">
      <w:pPr>
        <w:spacing w:after="0" w:line="240" w:lineRule="auto"/>
        <w:contextualSpacing/>
        <w:rPr>
          <w:rFonts w:cs="Calibri"/>
          <w:b/>
          <w:bCs/>
          <w:i/>
          <w:noProof/>
          <w:color w:val="000000" w:themeColor="text1"/>
          <w:lang w:val="fr-FR"/>
        </w:rPr>
      </w:pPr>
    </w:p>
    <w:p w14:paraId="1AAA9373" w14:textId="6E0D34AB" w:rsidR="00462ECE" w:rsidRPr="004179B8" w:rsidRDefault="00462ECE" w:rsidP="00462ECE">
      <w:pPr>
        <w:spacing w:after="0" w:line="240" w:lineRule="auto"/>
        <w:ind w:left="426" w:hanging="426"/>
        <w:rPr>
          <w:b/>
          <w:noProof/>
          <w:lang w:val="fr-FR"/>
        </w:rPr>
      </w:pPr>
      <w:r w:rsidRPr="004179B8">
        <w:rPr>
          <w:b/>
          <w:noProof/>
          <w:lang w:val="fr-FR"/>
        </w:rPr>
        <w:t>3.</w:t>
      </w:r>
      <w:r w:rsidRPr="004179B8">
        <w:rPr>
          <w:b/>
          <w:noProof/>
          <w:lang w:val="fr-FR"/>
        </w:rPr>
        <w:tab/>
      </w:r>
      <w:r w:rsidR="00D24615" w:rsidRPr="004179B8">
        <w:rPr>
          <w:b/>
          <w:iCs/>
          <w:noProof/>
          <w:lang w:val="fr-FR"/>
        </w:rPr>
        <w:t>Incidences financières possibles des projets de résolutions</w:t>
      </w:r>
    </w:p>
    <w:p w14:paraId="70F35825" w14:textId="77777777" w:rsidR="00462ECE" w:rsidRPr="004179B8" w:rsidRDefault="00462ECE" w:rsidP="00462ECE">
      <w:pPr>
        <w:spacing w:after="0" w:line="240" w:lineRule="auto"/>
        <w:ind w:left="426" w:hanging="426"/>
        <w:rPr>
          <w:b/>
          <w:noProof/>
          <w:lang w:val="fr-FR"/>
        </w:rPr>
      </w:pPr>
    </w:p>
    <w:p w14:paraId="3990AFC4" w14:textId="4FAF7E29" w:rsidR="00911328" w:rsidRPr="004179B8" w:rsidRDefault="00B56947" w:rsidP="006E37BD">
      <w:pPr>
        <w:spacing w:after="0" w:line="240" w:lineRule="auto"/>
        <w:contextualSpacing/>
        <w:rPr>
          <w:rFonts w:ascii="Calibri" w:eastAsia="Calibri" w:hAnsi="Calibri" w:cs="Calibri"/>
          <w:noProof/>
          <w:lang w:val="fr-FR"/>
        </w:rPr>
      </w:pPr>
      <w:r w:rsidRPr="004179B8">
        <w:rPr>
          <w:rFonts w:ascii="Calibri" w:eastAsia="Calibri" w:hAnsi="Calibri" w:cs="Calibri"/>
          <w:noProof/>
          <w:lang w:val="fr-FR"/>
        </w:rPr>
        <w:t xml:space="preserve">Le Secrétariat présente le </w:t>
      </w:r>
      <w:r w:rsidR="00CF5F03" w:rsidRPr="004179B8">
        <w:rPr>
          <w:rFonts w:ascii="Calibri" w:eastAsia="Calibri" w:hAnsi="Calibri" w:cs="Calibri"/>
          <w:noProof/>
          <w:lang w:val="fr-FR"/>
        </w:rPr>
        <w:t xml:space="preserve">document SC64 Doc.9.4 Rev.1 </w:t>
      </w:r>
      <w:r w:rsidRPr="004179B8">
        <w:rPr>
          <w:rFonts w:ascii="Calibri" w:eastAsia="Calibri" w:hAnsi="Calibri" w:cs="Calibri"/>
          <w:noProof/>
          <w:lang w:val="fr-FR"/>
        </w:rPr>
        <w:t>et précise que </w:t>
      </w:r>
      <w:r w:rsidR="00CF5F03" w:rsidRPr="004179B8">
        <w:rPr>
          <w:rFonts w:ascii="Calibri" w:eastAsia="Calibri" w:hAnsi="Calibri" w:cs="Calibri"/>
          <w:noProof/>
          <w:lang w:val="fr-FR"/>
        </w:rPr>
        <w:t>:</w:t>
      </w:r>
    </w:p>
    <w:p w14:paraId="5629E8E7" w14:textId="61B6D27B" w:rsidR="00CF5F03" w:rsidRPr="004179B8" w:rsidRDefault="006F428D" w:rsidP="00CF5F03">
      <w:pPr>
        <w:pStyle w:val="ListParagraph"/>
        <w:numPr>
          <w:ilvl w:val="0"/>
          <w:numId w:val="5"/>
        </w:numPr>
        <w:spacing w:after="0" w:line="240" w:lineRule="auto"/>
        <w:ind w:left="426" w:hanging="426"/>
        <w:rPr>
          <w:rFonts w:ascii="Calibri" w:eastAsia="Calibri" w:hAnsi="Calibri" w:cs="Calibri"/>
          <w:noProof/>
          <w:lang w:val="fr-FR"/>
        </w:rPr>
      </w:pPr>
      <w:r w:rsidRPr="004179B8">
        <w:rPr>
          <w:rFonts w:ascii="Calibri" w:eastAsia="Calibri" w:hAnsi="Calibri" w:cs="Calibri"/>
          <w:noProof/>
          <w:lang w:val="fr-FR"/>
        </w:rPr>
        <w:t>seules de nouvelles activités spécifiques ont été prises en compte dans le calcul des « jours de travail supplémentaires » nécessaires à la mise en œuvre d</w:t>
      </w:r>
      <w:r w:rsidR="00EE0531">
        <w:rPr>
          <w:rFonts w:ascii="Calibri" w:eastAsia="Calibri" w:hAnsi="Calibri" w:cs="Calibri"/>
          <w:noProof/>
          <w:lang w:val="fr-FR"/>
        </w:rPr>
        <w:t>’</w:t>
      </w:r>
      <w:r w:rsidRPr="004179B8">
        <w:rPr>
          <w:rFonts w:ascii="Calibri" w:eastAsia="Calibri" w:hAnsi="Calibri" w:cs="Calibri"/>
          <w:noProof/>
          <w:lang w:val="fr-FR"/>
        </w:rPr>
        <w:t>un projet de résolution, les tâches correspondant à l</w:t>
      </w:r>
      <w:r w:rsidR="00EE0531">
        <w:rPr>
          <w:rFonts w:ascii="Calibri" w:eastAsia="Calibri" w:hAnsi="Calibri" w:cs="Calibri"/>
          <w:noProof/>
          <w:lang w:val="fr-FR"/>
        </w:rPr>
        <w:t>’</w:t>
      </w:r>
      <w:r w:rsidRPr="004179B8">
        <w:rPr>
          <w:rFonts w:ascii="Calibri" w:eastAsia="Calibri" w:hAnsi="Calibri" w:cs="Calibri"/>
          <w:noProof/>
          <w:lang w:val="fr-FR"/>
        </w:rPr>
        <w:t>activité courante du Secrétariat étant comptabilisées comme nulles ; et</w:t>
      </w:r>
    </w:p>
    <w:p w14:paraId="4F014CCB" w14:textId="68D84E1F" w:rsidR="00B56947" w:rsidRPr="004179B8" w:rsidRDefault="0072144D" w:rsidP="0072144D">
      <w:pPr>
        <w:pStyle w:val="ListParagraph"/>
        <w:numPr>
          <w:ilvl w:val="0"/>
          <w:numId w:val="5"/>
        </w:numPr>
        <w:spacing w:after="0" w:line="240" w:lineRule="auto"/>
        <w:ind w:left="426" w:hanging="426"/>
        <w:rPr>
          <w:rFonts w:ascii="Calibri" w:eastAsia="Calibri" w:hAnsi="Calibri" w:cs="Calibri"/>
          <w:noProof/>
          <w:lang w:val="fr-FR"/>
        </w:rPr>
      </w:pPr>
      <w:r w:rsidRPr="004179B8">
        <w:rPr>
          <w:rFonts w:ascii="Calibri" w:eastAsia="Calibri" w:hAnsi="Calibri" w:cs="Calibri"/>
          <w:noProof/>
          <w:lang w:val="fr-FR"/>
        </w:rPr>
        <w:t xml:space="preserve">les </w:t>
      </w:r>
      <w:r w:rsidR="00B56947" w:rsidRPr="004179B8">
        <w:rPr>
          <w:rFonts w:ascii="Calibri" w:eastAsia="Calibri" w:hAnsi="Calibri" w:cs="Calibri"/>
          <w:noProof/>
          <w:lang w:val="fr-FR"/>
        </w:rPr>
        <w:t>coûts</w:t>
      </w:r>
      <w:r w:rsidRPr="004179B8">
        <w:rPr>
          <w:rFonts w:ascii="Calibri" w:eastAsia="Calibri" w:hAnsi="Calibri" w:cs="Calibri"/>
          <w:noProof/>
          <w:lang w:val="fr-FR"/>
        </w:rPr>
        <w:t xml:space="preserve"> estimatifs</w:t>
      </w:r>
      <w:r w:rsidR="00B56947" w:rsidRPr="004179B8">
        <w:rPr>
          <w:rFonts w:ascii="Calibri" w:eastAsia="Calibri" w:hAnsi="Calibri" w:cs="Calibri"/>
          <w:noProof/>
          <w:lang w:val="fr-FR"/>
        </w:rPr>
        <w:t xml:space="preserve"> </w:t>
      </w:r>
      <w:r w:rsidRPr="004179B8">
        <w:rPr>
          <w:rFonts w:ascii="Calibri" w:eastAsia="Calibri" w:hAnsi="Calibri" w:cs="Calibri"/>
          <w:noProof/>
          <w:lang w:val="fr-FR"/>
        </w:rPr>
        <w:t>rattachés à</w:t>
      </w:r>
      <w:r w:rsidR="00B56947" w:rsidRPr="004179B8">
        <w:rPr>
          <w:rFonts w:ascii="Calibri" w:eastAsia="Calibri" w:hAnsi="Calibri" w:cs="Calibri"/>
          <w:noProof/>
          <w:lang w:val="fr-FR"/>
        </w:rPr>
        <w:t xml:space="preserve"> un financement volontaire pourraient être financés </w:t>
      </w:r>
      <w:r w:rsidRPr="004179B8">
        <w:rPr>
          <w:rFonts w:ascii="Calibri" w:eastAsia="Calibri" w:hAnsi="Calibri" w:cs="Calibri"/>
          <w:noProof/>
          <w:lang w:val="fr-FR"/>
        </w:rPr>
        <w:t>à partir des fonds</w:t>
      </w:r>
      <w:r w:rsidR="00B56947" w:rsidRPr="004179B8">
        <w:rPr>
          <w:rFonts w:ascii="Calibri" w:eastAsia="Calibri" w:hAnsi="Calibri" w:cs="Calibri"/>
          <w:noProof/>
          <w:lang w:val="fr-FR"/>
        </w:rPr>
        <w:t xml:space="preserve"> excédentaires du budget </w:t>
      </w:r>
      <w:r w:rsidRPr="004179B8">
        <w:rPr>
          <w:rFonts w:ascii="Calibri" w:eastAsia="Calibri" w:hAnsi="Calibri" w:cs="Calibri"/>
          <w:noProof/>
          <w:lang w:val="fr-FR"/>
        </w:rPr>
        <w:t>administratif</w:t>
      </w:r>
      <w:r w:rsidR="00B56947" w:rsidRPr="004179B8">
        <w:rPr>
          <w:rFonts w:ascii="Calibri" w:eastAsia="Calibri" w:hAnsi="Calibri" w:cs="Calibri"/>
          <w:noProof/>
          <w:lang w:val="fr-FR"/>
        </w:rPr>
        <w:t>, s</w:t>
      </w:r>
      <w:r w:rsidRPr="004179B8">
        <w:rPr>
          <w:rFonts w:ascii="Calibri" w:eastAsia="Calibri" w:hAnsi="Calibri" w:cs="Calibri"/>
          <w:noProof/>
          <w:lang w:val="fr-FR"/>
        </w:rPr>
        <w:t>ur approbation du</w:t>
      </w:r>
      <w:r w:rsidR="00B56947" w:rsidRPr="004179B8">
        <w:rPr>
          <w:rFonts w:ascii="Calibri" w:eastAsia="Calibri" w:hAnsi="Calibri" w:cs="Calibri"/>
          <w:noProof/>
          <w:lang w:val="fr-FR"/>
        </w:rPr>
        <w:t xml:space="preserve"> Comité permanen</w:t>
      </w:r>
      <w:r w:rsidRPr="004179B8">
        <w:rPr>
          <w:rFonts w:ascii="Calibri" w:eastAsia="Calibri" w:hAnsi="Calibri" w:cs="Calibri"/>
          <w:noProof/>
          <w:lang w:val="fr-FR"/>
        </w:rPr>
        <w:t>t</w:t>
      </w:r>
      <w:r w:rsidR="00B56947" w:rsidRPr="004179B8">
        <w:rPr>
          <w:rFonts w:ascii="Calibri" w:eastAsia="Calibri" w:hAnsi="Calibri" w:cs="Calibri"/>
          <w:noProof/>
          <w:lang w:val="fr-FR"/>
        </w:rPr>
        <w:t>.</w:t>
      </w:r>
    </w:p>
    <w:p w14:paraId="6FFA69A0" w14:textId="77777777" w:rsidR="006E37BD" w:rsidRPr="004179B8" w:rsidRDefault="006E37BD" w:rsidP="006E37BD">
      <w:pPr>
        <w:spacing w:after="0" w:line="240" w:lineRule="auto"/>
        <w:contextualSpacing/>
        <w:rPr>
          <w:rFonts w:ascii="Calibri" w:eastAsia="Calibri" w:hAnsi="Calibri" w:cs="Calibri"/>
          <w:noProof/>
          <w:lang w:val="fr-FR"/>
        </w:rPr>
      </w:pPr>
    </w:p>
    <w:p w14:paraId="7E16FC4C" w14:textId="77777777" w:rsidR="00D24615" w:rsidRPr="00D24615" w:rsidRDefault="00D24615" w:rsidP="00D24615">
      <w:pPr>
        <w:spacing w:after="0" w:line="240" w:lineRule="auto"/>
        <w:ind w:left="426" w:hanging="426"/>
        <w:contextualSpacing/>
        <w:rPr>
          <w:b/>
          <w:bCs/>
          <w:i/>
          <w:iCs/>
          <w:noProof/>
          <w:lang w:val="fr-FR"/>
        </w:rPr>
      </w:pPr>
      <w:r w:rsidRPr="00D24615">
        <w:rPr>
          <w:b/>
          <w:bCs/>
          <w:i/>
          <w:iCs/>
          <w:noProof/>
          <w:lang w:val="fr-FR"/>
        </w:rPr>
        <w:t>Le Sous-groupe sur les finances recommande au Comité permanent de :</w:t>
      </w:r>
    </w:p>
    <w:p w14:paraId="7BA7C00A" w14:textId="6310CBE1" w:rsidR="00911328" w:rsidRPr="004179B8" w:rsidRDefault="006E37BD" w:rsidP="0072144D">
      <w:pPr>
        <w:spacing w:after="0" w:line="240" w:lineRule="auto"/>
        <w:ind w:left="426" w:hanging="426"/>
        <w:contextualSpacing/>
        <w:rPr>
          <w:rFonts w:cs="Calibri"/>
          <w:b/>
          <w:bCs/>
          <w:i/>
          <w:noProof/>
          <w:color w:val="000000" w:themeColor="text1"/>
          <w:lang w:val="fr-FR"/>
        </w:rPr>
      </w:pPr>
      <w:r w:rsidRPr="004179B8">
        <w:rPr>
          <w:rFonts w:cs="Calibri"/>
          <w:b/>
          <w:bCs/>
          <w:i/>
          <w:noProof/>
          <w:color w:val="000000" w:themeColor="text1"/>
          <w:lang w:val="fr-FR"/>
        </w:rPr>
        <w:t>i.</w:t>
      </w:r>
      <w:r w:rsidRPr="004179B8">
        <w:rPr>
          <w:rFonts w:cs="Calibri"/>
          <w:b/>
          <w:bCs/>
          <w:i/>
          <w:noProof/>
          <w:color w:val="000000" w:themeColor="text1"/>
          <w:lang w:val="fr-FR"/>
        </w:rPr>
        <w:tab/>
      </w:r>
      <w:r w:rsidR="0072144D" w:rsidRPr="004179B8">
        <w:rPr>
          <w:rFonts w:cs="Calibri"/>
          <w:b/>
          <w:bCs/>
          <w:i/>
          <w:noProof/>
          <w:color w:val="000000" w:themeColor="text1"/>
          <w:lang w:val="fr-FR"/>
        </w:rPr>
        <w:t>prendre note des incidences administratives et financières prévues des projets de résolutions soumis au Comité permanent, lesquelles seront révisées sur la base des projets de résolutions transmis pour examen à la COP15</w:t>
      </w:r>
      <w:r w:rsidR="00462ECE" w:rsidRPr="004179B8">
        <w:rPr>
          <w:rFonts w:cs="Calibri"/>
          <w:b/>
          <w:bCs/>
          <w:i/>
          <w:noProof/>
          <w:color w:val="000000" w:themeColor="text1"/>
          <w:lang w:val="fr-FR"/>
        </w:rPr>
        <w:t>.</w:t>
      </w:r>
    </w:p>
    <w:p w14:paraId="432304B2" w14:textId="77777777" w:rsidR="00911328" w:rsidRPr="004179B8" w:rsidRDefault="00911328" w:rsidP="00462ECE">
      <w:pPr>
        <w:spacing w:after="0" w:line="240" w:lineRule="auto"/>
        <w:ind w:left="425"/>
        <w:contextualSpacing/>
        <w:rPr>
          <w:rFonts w:cs="Calibri"/>
          <w:b/>
          <w:bCs/>
          <w:i/>
          <w:noProof/>
          <w:color w:val="000000" w:themeColor="text1"/>
          <w:lang w:val="fr-FR"/>
        </w:rPr>
      </w:pPr>
    </w:p>
    <w:p w14:paraId="46A53C50" w14:textId="5961C12A" w:rsidR="00593BF8" w:rsidRPr="004179B8" w:rsidRDefault="006E37BD" w:rsidP="006E37BD">
      <w:pPr>
        <w:spacing w:after="0" w:line="240" w:lineRule="auto"/>
        <w:ind w:left="426" w:hanging="426"/>
        <w:rPr>
          <w:noProof/>
          <w:lang w:val="fr-FR"/>
        </w:rPr>
      </w:pPr>
      <w:r w:rsidRPr="004179B8">
        <w:rPr>
          <w:b/>
          <w:noProof/>
          <w:lang w:val="fr-FR"/>
        </w:rPr>
        <w:t>4.</w:t>
      </w:r>
      <w:r w:rsidRPr="004179B8">
        <w:rPr>
          <w:b/>
          <w:noProof/>
          <w:lang w:val="fr-FR"/>
        </w:rPr>
        <w:tab/>
      </w:r>
      <w:r w:rsidR="0072144D" w:rsidRPr="004179B8">
        <w:rPr>
          <w:b/>
          <w:iCs/>
          <w:noProof/>
          <w:lang w:val="fr-FR"/>
        </w:rPr>
        <w:t>Scénarios budgétaires pour 2026-2028 et projet de résolution sur les questions financières et budgétaires</w:t>
      </w:r>
    </w:p>
    <w:p w14:paraId="37173F16" w14:textId="77777777" w:rsidR="006E37BD" w:rsidRPr="004179B8" w:rsidRDefault="006E37BD" w:rsidP="006E37BD">
      <w:pPr>
        <w:spacing w:after="0" w:line="240" w:lineRule="auto"/>
        <w:ind w:left="426" w:hanging="426"/>
        <w:rPr>
          <w:rFonts w:cs="Calibri"/>
          <w:noProof/>
          <w:lang w:val="fr-FR"/>
        </w:rPr>
      </w:pPr>
    </w:p>
    <w:p w14:paraId="7B9210AE" w14:textId="7BCE18D0" w:rsidR="0072144D" w:rsidRPr="004179B8" w:rsidRDefault="0072144D" w:rsidP="00CF6274">
      <w:pPr>
        <w:spacing w:after="0" w:line="240" w:lineRule="auto"/>
        <w:contextualSpacing/>
        <w:rPr>
          <w:rFonts w:cs="Calibri"/>
          <w:iCs/>
          <w:noProof/>
          <w:color w:val="000000" w:themeColor="text1"/>
          <w:lang w:val="fr-FR"/>
        </w:rPr>
      </w:pPr>
      <w:r w:rsidRPr="004179B8">
        <w:rPr>
          <w:rFonts w:cs="Calibri"/>
          <w:iCs/>
          <w:noProof/>
          <w:color w:val="000000" w:themeColor="text1"/>
          <w:lang w:val="fr-FR"/>
        </w:rPr>
        <w:t>L</w:t>
      </w:r>
      <w:r w:rsidR="00CF6274" w:rsidRPr="004179B8">
        <w:rPr>
          <w:rFonts w:cs="Calibri"/>
          <w:iCs/>
          <w:noProof/>
          <w:color w:val="000000" w:themeColor="text1"/>
          <w:lang w:val="fr-FR"/>
        </w:rPr>
        <w:t>e Secr</w:t>
      </w:r>
      <w:r w:rsidRPr="004179B8">
        <w:rPr>
          <w:rFonts w:cs="Calibri"/>
          <w:iCs/>
          <w:noProof/>
          <w:color w:val="000000" w:themeColor="text1"/>
          <w:lang w:val="fr-FR"/>
        </w:rPr>
        <w:t>é</w:t>
      </w:r>
      <w:r w:rsidR="00CF6274" w:rsidRPr="004179B8">
        <w:rPr>
          <w:rFonts w:cs="Calibri"/>
          <w:iCs/>
          <w:noProof/>
          <w:color w:val="000000" w:themeColor="text1"/>
          <w:lang w:val="fr-FR"/>
        </w:rPr>
        <w:t xml:space="preserve">tariat </w:t>
      </w:r>
      <w:r w:rsidRPr="004179B8">
        <w:rPr>
          <w:rFonts w:cs="Calibri"/>
          <w:iCs/>
          <w:noProof/>
          <w:color w:val="000000" w:themeColor="text1"/>
          <w:lang w:val="fr-FR"/>
        </w:rPr>
        <w:t>présente les deux scénarios budgétaires (A et B) figurant dans les annexes 2 et 3 du document SC64 Doc.9.3 Rev.1 et expliqués plus en détail dans le document d</w:t>
      </w:r>
      <w:r w:rsidR="00EE0531">
        <w:rPr>
          <w:rFonts w:cs="Calibri"/>
          <w:iCs/>
          <w:noProof/>
          <w:color w:val="000000" w:themeColor="text1"/>
          <w:lang w:val="fr-FR"/>
        </w:rPr>
        <w:t>’</w:t>
      </w:r>
      <w:r w:rsidRPr="004179B8">
        <w:rPr>
          <w:rFonts w:cs="Calibri"/>
          <w:iCs/>
          <w:noProof/>
          <w:color w:val="000000" w:themeColor="text1"/>
          <w:lang w:val="fr-FR"/>
        </w:rPr>
        <w:t>information SC64 Inf.1.</w:t>
      </w:r>
    </w:p>
    <w:p w14:paraId="201C9CE7" w14:textId="77777777" w:rsidR="00400CE7" w:rsidRPr="004179B8" w:rsidRDefault="00400CE7" w:rsidP="00CF6274">
      <w:pPr>
        <w:spacing w:after="0" w:line="240" w:lineRule="auto"/>
        <w:contextualSpacing/>
        <w:rPr>
          <w:rFonts w:cs="Calibri"/>
          <w:iCs/>
          <w:noProof/>
          <w:color w:val="000000" w:themeColor="text1"/>
          <w:lang w:val="fr-FR"/>
        </w:rPr>
      </w:pPr>
    </w:p>
    <w:p w14:paraId="04176BE1" w14:textId="3161C757" w:rsidR="00A91632" w:rsidRPr="004179B8" w:rsidRDefault="0072144D" w:rsidP="00CF6274">
      <w:pPr>
        <w:spacing w:after="0" w:line="240" w:lineRule="auto"/>
        <w:contextualSpacing/>
        <w:rPr>
          <w:rFonts w:cs="Calibri"/>
          <w:iCs/>
          <w:noProof/>
          <w:color w:val="000000" w:themeColor="text1"/>
          <w:lang w:val="fr-FR"/>
        </w:rPr>
      </w:pPr>
      <w:r w:rsidRPr="004179B8">
        <w:rPr>
          <w:rFonts w:cs="Calibri"/>
          <w:iCs/>
          <w:noProof/>
          <w:color w:val="000000" w:themeColor="text1"/>
          <w:lang w:val="fr-FR"/>
        </w:rPr>
        <w:t>Les deux scénarios prévoient le financement de deux nouveaux postes et des augmentations de salaires conformes aux politiques de l</w:t>
      </w:r>
      <w:r w:rsidR="00EE0531">
        <w:rPr>
          <w:rFonts w:cs="Calibri"/>
          <w:iCs/>
          <w:noProof/>
          <w:color w:val="000000" w:themeColor="text1"/>
          <w:lang w:val="fr-FR"/>
        </w:rPr>
        <w:t>’</w:t>
      </w:r>
      <w:r w:rsidRPr="004179B8">
        <w:rPr>
          <w:rFonts w:cs="Calibri"/>
          <w:iCs/>
          <w:noProof/>
          <w:color w:val="000000" w:themeColor="text1"/>
          <w:lang w:val="fr-FR"/>
        </w:rPr>
        <w:t xml:space="preserve">UICN en matière de ressources humaines, tandis que le scénario B comprend également des coûts supplémentaires liés à la COP. Ces augmentations sont décrites dans le document SC64 Doc.9.3 Rev.1, </w:t>
      </w:r>
      <w:r w:rsidR="0018494A" w:rsidRPr="004179B8">
        <w:rPr>
          <w:rFonts w:cs="Calibri"/>
          <w:iCs/>
          <w:noProof/>
          <w:color w:val="000000" w:themeColor="text1"/>
          <w:lang w:val="fr-FR"/>
        </w:rPr>
        <w:t xml:space="preserve">aux </w:t>
      </w:r>
      <w:r w:rsidRPr="004179B8">
        <w:rPr>
          <w:rFonts w:cs="Calibri"/>
          <w:iCs/>
          <w:noProof/>
          <w:color w:val="000000" w:themeColor="text1"/>
          <w:lang w:val="fr-FR"/>
        </w:rPr>
        <w:t xml:space="preserve">paragraphes 4 à 6. Les </w:t>
      </w:r>
      <w:r w:rsidR="0018494A" w:rsidRPr="004179B8">
        <w:rPr>
          <w:rFonts w:cs="Calibri"/>
          <w:iCs/>
          <w:noProof/>
          <w:color w:val="000000" w:themeColor="text1"/>
          <w:lang w:val="fr-FR"/>
        </w:rPr>
        <w:t>fonctions</w:t>
      </w:r>
      <w:r w:rsidRPr="004179B8">
        <w:rPr>
          <w:rFonts w:cs="Calibri"/>
          <w:iCs/>
          <w:noProof/>
          <w:color w:val="000000" w:themeColor="text1"/>
          <w:lang w:val="fr-FR"/>
        </w:rPr>
        <w:t xml:space="preserve"> des nouveaux membres du personnel proposés sont </w:t>
      </w:r>
      <w:r w:rsidR="0018494A" w:rsidRPr="004179B8">
        <w:rPr>
          <w:rFonts w:cs="Calibri"/>
          <w:iCs/>
          <w:noProof/>
          <w:color w:val="000000" w:themeColor="text1"/>
          <w:lang w:val="fr-FR"/>
        </w:rPr>
        <w:t>décrites plus en détail</w:t>
      </w:r>
      <w:r w:rsidRPr="004179B8">
        <w:rPr>
          <w:rFonts w:cs="Calibri"/>
          <w:iCs/>
          <w:noProof/>
          <w:color w:val="000000" w:themeColor="text1"/>
          <w:lang w:val="fr-FR"/>
        </w:rPr>
        <w:t xml:space="preserve"> dans le document SC64 </w:t>
      </w:r>
      <w:r w:rsidR="00A91632" w:rsidRPr="004179B8">
        <w:rPr>
          <w:rFonts w:cs="Calibri"/>
          <w:iCs/>
          <w:noProof/>
          <w:color w:val="000000" w:themeColor="text1"/>
          <w:lang w:val="fr-FR"/>
        </w:rPr>
        <w:t>Inf.1.</w:t>
      </w:r>
    </w:p>
    <w:p w14:paraId="3F084E6B" w14:textId="77777777" w:rsidR="00400CE7" w:rsidRPr="004179B8" w:rsidRDefault="00400CE7" w:rsidP="00CF6274">
      <w:pPr>
        <w:spacing w:after="0" w:line="240" w:lineRule="auto"/>
        <w:contextualSpacing/>
        <w:rPr>
          <w:rFonts w:cs="Calibri"/>
          <w:iCs/>
          <w:noProof/>
          <w:color w:val="000000" w:themeColor="text1"/>
          <w:lang w:val="fr-FR"/>
        </w:rPr>
      </w:pPr>
    </w:p>
    <w:p w14:paraId="47A50081" w14:textId="7358B289" w:rsidR="0018494A" w:rsidRPr="004179B8" w:rsidRDefault="0018494A" w:rsidP="00CF6274">
      <w:pPr>
        <w:spacing w:after="0" w:line="240" w:lineRule="auto"/>
        <w:contextualSpacing/>
        <w:rPr>
          <w:rFonts w:cs="Calibri"/>
          <w:iCs/>
          <w:noProof/>
          <w:color w:val="000000" w:themeColor="text1"/>
          <w:lang w:val="fr-FR"/>
        </w:rPr>
      </w:pPr>
      <w:r w:rsidRPr="004179B8">
        <w:rPr>
          <w:rFonts w:cs="Calibri"/>
          <w:iCs/>
          <w:noProof/>
          <w:color w:val="000000" w:themeColor="text1"/>
          <w:lang w:val="fr-FR"/>
        </w:rPr>
        <w:t>Le Secrétariat rappelle que le Groupe de travail sur le renforcement institutionnel a admis que la rémunération actuelle du personnel posait des problèmes de recrutement et de maintien des effectifs , et fait observer que :</w:t>
      </w:r>
    </w:p>
    <w:p w14:paraId="50BA8439" w14:textId="77777777" w:rsidR="0018494A" w:rsidRPr="004179B8" w:rsidRDefault="0018494A" w:rsidP="00CF6274">
      <w:pPr>
        <w:spacing w:after="0" w:line="240" w:lineRule="auto"/>
        <w:contextualSpacing/>
        <w:rPr>
          <w:rFonts w:cs="Calibri"/>
          <w:iCs/>
          <w:noProof/>
          <w:color w:val="000000" w:themeColor="text1"/>
          <w:lang w:val="fr-FR"/>
        </w:rPr>
      </w:pPr>
    </w:p>
    <w:p w14:paraId="0F44D02E" w14:textId="56C0B288" w:rsidR="00400CE7" w:rsidRPr="004179B8" w:rsidRDefault="0018494A" w:rsidP="00B63D89">
      <w:pPr>
        <w:pStyle w:val="ListParagraph"/>
        <w:numPr>
          <w:ilvl w:val="0"/>
          <w:numId w:val="5"/>
        </w:numPr>
        <w:spacing w:after="0" w:line="240" w:lineRule="auto"/>
        <w:ind w:left="426" w:hanging="426"/>
        <w:rPr>
          <w:rFonts w:ascii="Calibri" w:eastAsia="Calibri" w:hAnsi="Calibri" w:cs="Calibri"/>
          <w:noProof/>
          <w:lang w:val="fr-FR"/>
        </w:rPr>
      </w:pPr>
      <w:r w:rsidRPr="004179B8">
        <w:rPr>
          <w:rFonts w:ascii="Calibri" w:eastAsia="Calibri" w:hAnsi="Calibri" w:cs="Calibri"/>
          <w:noProof/>
          <w:lang w:val="fr-FR"/>
        </w:rPr>
        <w:lastRenderedPageBreak/>
        <w:t>dans les deux scénarios, le</w:t>
      </w:r>
      <w:r w:rsidR="004179B8" w:rsidRPr="004179B8">
        <w:rPr>
          <w:rFonts w:ascii="Calibri" w:eastAsia="Calibri" w:hAnsi="Calibri" w:cs="Calibri"/>
          <w:noProof/>
          <w:lang w:val="fr-FR"/>
        </w:rPr>
        <w:t xml:space="preserve"> </w:t>
      </w:r>
      <w:r w:rsidRPr="004179B8">
        <w:rPr>
          <w:rFonts w:ascii="Calibri" w:eastAsia="Calibri" w:hAnsi="Calibri" w:cs="Calibri"/>
          <w:noProof/>
          <w:lang w:val="fr-FR"/>
        </w:rPr>
        <w:t xml:space="preserve">montant des provisions actuelles est maintenu, et il se pourrait que les provisions pour contributions </w:t>
      </w:r>
      <w:r w:rsidR="00792A37">
        <w:rPr>
          <w:rFonts w:ascii="Calibri" w:eastAsia="Calibri" w:hAnsi="Calibri" w:cs="Calibri"/>
          <w:noProof/>
          <w:lang w:val="fr-FR"/>
        </w:rPr>
        <w:t xml:space="preserve">impayées </w:t>
      </w:r>
      <w:r w:rsidRPr="004179B8">
        <w:rPr>
          <w:rFonts w:ascii="Calibri" w:eastAsia="Calibri" w:hAnsi="Calibri" w:cs="Calibri"/>
          <w:noProof/>
          <w:lang w:val="fr-FR"/>
        </w:rPr>
        <w:t xml:space="preserve">doivent </w:t>
      </w:r>
      <w:r w:rsidR="004179B8" w:rsidRPr="004179B8">
        <w:rPr>
          <w:rFonts w:ascii="Calibri" w:eastAsia="Calibri" w:hAnsi="Calibri" w:cs="Calibri"/>
          <w:noProof/>
          <w:lang w:val="fr-FR"/>
        </w:rPr>
        <w:t xml:space="preserve">être portées </w:t>
      </w:r>
      <w:r w:rsidRPr="004179B8">
        <w:rPr>
          <w:rFonts w:ascii="Calibri" w:eastAsia="Calibri" w:hAnsi="Calibri" w:cs="Calibri"/>
          <w:noProof/>
          <w:lang w:val="fr-FR"/>
        </w:rPr>
        <w:t>à 450 000 CHF au cours de la prochaine période triennale, ce qui nécessiterait</w:t>
      </w:r>
      <w:r w:rsidR="004179B8" w:rsidRPr="004179B8">
        <w:rPr>
          <w:rFonts w:ascii="Calibri" w:eastAsia="Calibri" w:hAnsi="Calibri" w:cs="Calibri"/>
          <w:noProof/>
          <w:lang w:val="fr-FR"/>
        </w:rPr>
        <w:t xml:space="preserve"> d</w:t>
      </w:r>
      <w:r w:rsidR="00EE0531">
        <w:rPr>
          <w:rFonts w:ascii="Calibri" w:eastAsia="Calibri" w:hAnsi="Calibri" w:cs="Calibri"/>
          <w:noProof/>
          <w:lang w:val="fr-FR"/>
        </w:rPr>
        <w:t>’</w:t>
      </w:r>
      <w:r w:rsidR="004179B8" w:rsidRPr="004179B8">
        <w:rPr>
          <w:rFonts w:ascii="Calibri" w:eastAsia="Calibri" w:hAnsi="Calibri" w:cs="Calibri"/>
          <w:noProof/>
          <w:lang w:val="fr-FR"/>
        </w:rPr>
        <w:t>accr</w:t>
      </w:r>
      <w:r w:rsidR="00792A37">
        <w:rPr>
          <w:rFonts w:ascii="Calibri" w:eastAsia="Calibri" w:hAnsi="Calibri" w:cs="Calibri"/>
          <w:noProof/>
          <w:lang w:val="fr-FR"/>
        </w:rPr>
        <w:t>oî</w:t>
      </w:r>
      <w:r w:rsidR="004179B8" w:rsidRPr="004179B8">
        <w:rPr>
          <w:rFonts w:ascii="Calibri" w:eastAsia="Calibri" w:hAnsi="Calibri" w:cs="Calibri"/>
          <w:noProof/>
          <w:lang w:val="fr-FR"/>
        </w:rPr>
        <w:t>tre les</w:t>
      </w:r>
      <w:r w:rsidRPr="004179B8">
        <w:rPr>
          <w:rFonts w:ascii="Calibri" w:eastAsia="Calibri" w:hAnsi="Calibri" w:cs="Calibri"/>
          <w:noProof/>
          <w:lang w:val="fr-FR"/>
        </w:rPr>
        <w:t xml:space="preserve"> budgets de 360</w:t>
      </w:r>
      <w:r w:rsidR="004179B8" w:rsidRPr="004179B8">
        <w:rPr>
          <w:rFonts w:ascii="Calibri" w:eastAsia="Calibri" w:hAnsi="Calibri" w:cs="Calibri"/>
          <w:noProof/>
          <w:lang w:val="fr-FR"/>
        </w:rPr>
        <w:t> </w:t>
      </w:r>
      <w:r w:rsidRPr="004179B8">
        <w:rPr>
          <w:rFonts w:ascii="Calibri" w:eastAsia="Calibri" w:hAnsi="Calibri" w:cs="Calibri"/>
          <w:noProof/>
          <w:lang w:val="fr-FR"/>
        </w:rPr>
        <w:t>000</w:t>
      </w:r>
      <w:r w:rsidR="004179B8" w:rsidRPr="004179B8">
        <w:rPr>
          <w:rFonts w:ascii="Calibri" w:eastAsia="Calibri" w:hAnsi="Calibri" w:cs="Calibri"/>
          <w:noProof/>
          <w:lang w:val="fr-FR"/>
        </w:rPr>
        <w:t> </w:t>
      </w:r>
      <w:r w:rsidRPr="004179B8">
        <w:rPr>
          <w:rFonts w:ascii="Calibri" w:eastAsia="Calibri" w:hAnsi="Calibri" w:cs="Calibri"/>
          <w:noProof/>
          <w:lang w:val="fr-FR"/>
        </w:rPr>
        <w:t xml:space="preserve">CHF </w:t>
      </w:r>
      <w:r w:rsidR="00B63D89" w:rsidRPr="004179B8">
        <w:rPr>
          <w:rFonts w:ascii="Calibri" w:eastAsia="Calibri" w:hAnsi="Calibri" w:cs="Calibri"/>
          <w:noProof/>
          <w:lang w:val="fr-FR"/>
        </w:rPr>
        <w:t>;</w:t>
      </w:r>
    </w:p>
    <w:p w14:paraId="251BBFAE" w14:textId="384F70F2" w:rsidR="0018494A" w:rsidRPr="004179B8" w:rsidRDefault="004179B8" w:rsidP="0018494A">
      <w:pPr>
        <w:pStyle w:val="ListParagraph"/>
        <w:numPr>
          <w:ilvl w:val="0"/>
          <w:numId w:val="5"/>
        </w:numPr>
        <w:spacing w:after="0" w:line="240" w:lineRule="auto"/>
        <w:ind w:left="426" w:hanging="426"/>
        <w:rPr>
          <w:rFonts w:ascii="Calibri" w:eastAsia="Calibri" w:hAnsi="Calibri" w:cs="Calibri"/>
          <w:noProof/>
          <w:lang w:val="fr-FR"/>
        </w:rPr>
      </w:pPr>
      <w:r>
        <w:rPr>
          <w:rFonts w:ascii="Calibri" w:eastAsia="Calibri" w:hAnsi="Calibri" w:cs="Calibri"/>
          <w:noProof/>
          <w:lang w:val="fr-FR"/>
        </w:rPr>
        <w:t>le montant prévu sous le poste A « </w:t>
      </w:r>
      <w:r w:rsidRPr="004179B8">
        <w:rPr>
          <w:rFonts w:ascii="Calibri" w:eastAsia="Calibri" w:hAnsi="Calibri" w:cs="Calibri"/>
          <w:noProof/>
          <w:lang w:val="fr-FR"/>
        </w:rPr>
        <w:t>Cadres supérieurs du Secrétariat et Gouvernance</w:t>
      </w:r>
      <w:r>
        <w:rPr>
          <w:rFonts w:ascii="Calibri" w:eastAsia="Calibri" w:hAnsi="Calibri" w:cs="Calibri"/>
          <w:noProof/>
          <w:lang w:val="fr-FR"/>
        </w:rPr>
        <w:t> » a augmenté compte tenu de</w:t>
      </w:r>
      <w:r w:rsidR="00792A37">
        <w:rPr>
          <w:rFonts w:ascii="Calibri" w:eastAsia="Calibri" w:hAnsi="Calibri" w:cs="Calibri"/>
          <w:noProof/>
          <w:lang w:val="fr-FR"/>
        </w:rPr>
        <w:t xml:space="preserve"> la composante « </w:t>
      </w:r>
      <w:r>
        <w:rPr>
          <w:rFonts w:ascii="Calibri" w:eastAsia="Calibri" w:hAnsi="Calibri" w:cs="Calibri"/>
          <w:noProof/>
          <w:lang w:val="fr-FR"/>
        </w:rPr>
        <w:t>coûts salariaux</w:t>
      </w:r>
      <w:r w:rsidR="00792A37">
        <w:rPr>
          <w:rFonts w:ascii="Calibri" w:eastAsia="Calibri" w:hAnsi="Calibri" w:cs="Calibri"/>
          <w:noProof/>
          <w:lang w:val="fr-FR"/>
        </w:rPr>
        <w:t> »</w:t>
      </w:r>
      <w:r>
        <w:rPr>
          <w:rFonts w:ascii="Calibri" w:eastAsia="Calibri" w:hAnsi="Calibri" w:cs="Calibri"/>
          <w:noProof/>
          <w:lang w:val="fr-FR"/>
        </w:rPr>
        <w:t> ; néanmoins, la</w:t>
      </w:r>
      <w:r w:rsidR="0018494A" w:rsidRPr="004179B8">
        <w:rPr>
          <w:rFonts w:ascii="Calibri" w:eastAsia="Calibri" w:hAnsi="Calibri" w:cs="Calibri"/>
          <w:noProof/>
          <w:lang w:val="fr-FR"/>
        </w:rPr>
        <w:t xml:space="preserve"> proposition d</w:t>
      </w:r>
      <w:r w:rsidR="00EE0531">
        <w:rPr>
          <w:rFonts w:ascii="Calibri" w:eastAsia="Calibri" w:hAnsi="Calibri" w:cs="Calibri"/>
          <w:noProof/>
          <w:lang w:val="fr-FR"/>
        </w:rPr>
        <w:t>’</w:t>
      </w:r>
      <w:r w:rsidR="0018494A" w:rsidRPr="004179B8">
        <w:rPr>
          <w:rFonts w:ascii="Calibri" w:eastAsia="Calibri" w:hAnsi="Calibri" w:cs="Calibri"/>
          <w:noProof/>
          <w:lang w:val="fr-FR"/>
        </w:rPr>
        <w:t>augmentation pour les voyages des cadres supérieurs es</w:t>
      </w:r>
      <w:r>
        <w:rPr>
          <w:rFonts w:ascii="Calibri" w:eastAsia="Calibri" w:hAnsi="Calibri" w:cs="Calibri"/>
          <w:noProof/>
          <w:lang w:val="fr-FR"/>
        </w:rPr>
        <w:t>t largement</w:t>
      </w:r>
      <w:r w:rsidR="0018494A" w:rsidRPr="004179B8">
        <w:rPr>
          <w:rFonts w:ascii="Calibri" w:eastAsia="Calibri" w:hAnsi="Calibri" w:cs="Calibri"/>
          <w:noProof/>
          <w:lang w:val="fr-FR"/>
        </w:rPr>
        <w:t xml:space="preserve"> compensée par une diminution des frais de voyage s</w:t>
      </w:r>
      <w:r w:rsidR="009C6DB8">
        <w:rPr>
          <w:rFonts w:ascii="Calibri" w:eastAsia="Calibri" w:hAnsi="Calibri" w:cs="Calibri"/>
          <w:noProof/>
          <w:lang w:val="fr-FR"/>
        </w:rPr>
        <w:t xml:space="preserve">ous </w:t>
      </w:r>
      <w:r w:rsidR="0018494A" w:rsidRPr="004179B8">
        <w:rPr>
          <w:rFonts w:ascii="Calibri" w:eastAsia="Calibri" w:hAnsi="Calibri" w:cs="Calibri"/>
          <w:noProof/>
          <w:lang w:val="fr-FR"/>
        </w:rPr>
        <w:t>d</w:t>
      </w:r>
      <w:r w:rsidR="00EE0531">
        <w:rPr>
          <w:rFonts w:ascii="Calibri" w:eastAsia="Calibri" w:hAnsi="Calibri" w:cs="Calibri"/>
          <w:noProof/>
          <w:lang w:val="fr-FR"/>
        </w:rPr>
        <w:t>’</w:t>
      </w:r>
      <w:r w:rsidR="0018494A" w:rsidRPr="004179B8">
        <w:rPr>
          <w:rFonts w:ascii="Calibri" w:eastAsia="Calibri" w:hAnsi="Calibri" w:cs="Calibri"/>
          <w:noProof/>
          <w:lang w:val="fr-FR"/>
        </w:rPr>
        <w:t>autres postes budgétaires ;</w:t>
      </w:r>
    </w:p>
    <w:p w14:paraId="5266A562" w14:textId="247733FB" w:rsidR="0018494A" w:rsidRPr="004179B8" w:rsidRDefault="0018494A" w:rsidP="0018494A">
      <w:pPr>
        <w:pStyle w:val="ListParagraph"/>
        <w:numPr>
          <w:ilvl w:val="0"/>
          <w:numId w:val="5"/>
        </w:numPr>
        <w:spacing w:after="0" w:line="240" w:lineRule="auto"/>
        <w:ind w:left="426" w:hanging="426"/>
        <w:rPr>
          <w:rFonts w:ascii="Calibri" w:eastAsia="Calibri" w:hAnsi="Calibri" w:cs="Calibri"/>
          <w:noProof/>
          <w:lang w:val="fr-FR"/>
        </w:rPr>
      </w:pPr>
      <w:r w:rsidRPr="004179B8">
        <w:rPr>
          <w:rFonts w:ascii="Calibri" w:eastAsia="Calibri" w:hAnsi="Calibri" w:cs="Calibri"/>
          <w:noProof/>
          <w:lang w:val="fr-FR"/>
        </w:rPr>
        <w:t xml:space="preserve">le Secrétariat compte actuellement 24,5 équivalents temps plein, contre 26 ou 26,5 </w:t>
      </w:r>
      <w:r w:rsidR="009C6DB8">
        <w:rPr>
          <w:rFonts w:ascii="Calibri" w:eastAsia="Calibri" w:hAnsi="Calibri" w:cs="Calibri"/>
          <w:noProof/>
          <w:lang w:val="fr-FR"/>
        </w:rPr>
        <w:t>au cours</w:t>
      </w:r>
      <w:r w:rsidRPr="004179B8">
        <w:rPr>
          <w:rFonts w:ascii="Calibri" w:eastAsia="Calibri" w:hAnsi="Calibri" w:cs="Calibri"/>
          <w:noProof/>
          <w:lang w:val="fr-FR"/>
        </w:rPr>
        <w:t xml:space="preserve"> des périodes triennales précédentes. Les postes administratifs ont été remplacés par un seul poste de spécialiste.</w:t>
      </w:r>
    </w:p>
    <w:p w14:paraId="502E814D" w14:textId="77777777" w:rsidR="00B63D89" w:rsidRPr="004179B8" w:rsidRDefault="00B63D89" w:rsidP="00B63D89">
      <w:pPr>
        <w:spacing w:after="0" w:line="240" w:lineRule="auto"/>
        <w:rPr>
          <w:rFonts w:ascii="Calibri" w:eastAsia="Calibri" w:hAnsi="Calibri" w:cs="Calibri"/>
          <w:noProof/>
          <w:lang w:val="fr-FR"/>
        </w:rPr>
      </w:pPr>
    </w:p>
    <w:p w14:paraId="72232706" w14:textId="3A625B01" w:rsidR="0018494A" w:rsidRPr="004179B8" w:rsidRDefault="0018494A" w:rsidP="00BC1A6C">
      <w:pPr>
        <w:spacing w:after="0" w:line="240" w:lineRule="auto"/>
        <w:contextualSpacing/>
        <w:rPr>
          <w:rFonts w:cs="Calibri"/>
          <w:iCs/>
          <w:noProof/>
          <w:color w:val="000000" w:themeColor="text1"/>
          <w:lang w:val="fr-FR"/>
        </w:rPr>
      </w:pPr>
      <w:r w:rsidRPr="004179B8">
        <w:rPr>
          <w:rFonts w:cs="Calibri"/>
          <w:iCs/>
          <w:noProof/>
          <w:color w:val="000000" w:themeColor="text1"/>
          <w:lang w:val="fr-FR"/>
        </w:rPr>
        <w:t>À la demande d</w:t>
      </w:r>
      <w:r w:rsidR="00EE0531">
        <w:rPr>
          <w:rFonts w:cs="Calibri"/>
          <w:iCs/>
          <w:noProof/>
          <w:color w:val="000000" w:themeColor="text1"/>
          <w:lang w:val="fr-FR"/>
        </w:rPr>
        <w:t>’</w:t>
      </w:r>
      <w:r w:rsidRPr="004179B8">
        <w:rPr>
          <w:rFonts w:cs="Calibri"/>
          <w:iCs/>
          <w:noProof/>
          <w:color w:val="000000" w:themeColor="text1"/>
          <w:lang w:val="fr-FR"/>
        </w:rPr>
        <w:t>un certain nombre de membres du Sous-groupe, le Secrétariat a préparé un troisième scénario de croissance nominale zéro. Ce « Scénario C », qui figure à l</w:t>
      </w:r>
      <w:r w:rsidR="00EE0531">
        <w:rPr>
          <w:rFonts w:cs="Calibri"/>
          <w:iCs/>
          <w:noProof/>
          <w:color w:val="000000" w:themeColor="text1"/>
          <w:lang w:val="fr-FR"/>
        </w:rPr>
        <w:t>’</w:t>
      </w:r>
      <w:r w:rsidRPr="004179B8">
        <w:rPr>
          <w:rFonts w:cs="Calibri"/>
          <w:iCs/>
          <w:noProof/>
          <w:color w:val="000000" w:themeColor="text1"/>
          <w:lang w:val="fr-FR"/>
        </w:rPr>
        <w:t xml:space="preserve">annexe 1 du présent rapport, </w:t>
      </w:r>
      <w:r w:rsidR="009C6DB8">
        <w:rPr>
          <w:rFonts w:cs="Calibri"/>
          <w:iCs/>
          <w:noProof/>
          <w:color w:val="000000" w:themeColor="text1"/>
          <w:lang w:val="fr-FR"/>
        </w:rPr>
        <w:t>part des</w:t>
      </w:r>
      <w:r w:rsidRPr="004179B8">
        <w:rPr>
          <w:rFonts w:cs="Calibri"/>
          <w:iCs/>
          <w:noProof/>
          <w:color w:val="000000" w:themeColor="text1"/>
          <w:lang w:val="fr-FR"/>
        </w:rPr>
        <w:t xml:space="preserve"> hypothèses suivantes :</w:t>
      </w:r>
    </w:p>
    <w:p w14:paraId="25DC7A86" w14:textId="77777777" w:rsidR="0018494A" w:rsidRPr="004179B8" w:rsidRDefault="0018494A" w:rsidP="00BC1A6C">
      <w:pPr>
        <w:spacing w:after="0" w:line="240" w:lineRule="auto"/>
        <w:contextualSpacing/>
        <w:rPr>
          <w:rFonts w:cs="Calibri"/>
          <w:iCs/>
          <w:noProof/>
          <w:color w:val="000000" w:themeColor="text1"/>
          <w:lang w:val="fr-FR"/>
        </w:rPr>
      </w:pPr>
    </w:p>
    <w:p w14:paraId="222CA29E" w14:textId="440AFE0A" w:rsidR="0018494A" w:rsidRPr="004179B8" w:rsidRDefault="00BC1A6C" w:rsidP="00BC1A6C">
      <w:pPr>
        <w:pStyle w:val="MGfulltext"/>
        <w:spacing w:after="0"/>
        <w:ind w:left="426" w:hanging="426"/>
        <w:rPr>
          <w:rFonts w:asciiTheme="minorHAnsi" w:eastAsia="Batang" w:hAnsiTheme="minorHAnsi" w:cstheme="minorHAnsi"/>
          <w:bCs/>
          <w:noProof/>
          <w:sz w:val="22"/>
          <w:szCs w:val="22"/>
          <w:lang w:val="fr-FR"/>
        </w:rPr>
      </w:pPr>
      <w:r w:rsidRPr="004179B8">
        <w:rPr>
          <w:rFonts w:asciiTheme="minorHAnsi" w:eastAsia="Batang" w:hAnsiTheme="minorHAnsi" w:cstheme="minorHAnsi"/>
          <w:bCs/>
          <w:noProof/>
          <w:sz w:val="22"/>
          <w:szCs w:val="22"/>
          <w:lang w:val="fr-FR"/>
        </w:rPr>
        <w:t>a.</w:t>
      </w:r>
      <w:r w:rsidRPr="004179B8">
        <w:rPr>
          <w:rFonts w:asciiTheme="minorHAnsi" w:eastAsia="Batang" w:hAnsiTheme="minorHAnsi" w:cstheme="minorHAnsi"/>
          <w:bCs/>
          <w:noProof/>
          <w:sz w:val="22"/>
          <w:szCs w:val="22"/>
          <w:lang w:val="fr-FR"/>
        </w:rPr>
        <w:tab/>
      </w:r>
      <w:r w:rsidR="0018494A" w:rsidRPr="004179B8">
        <w:rPr>
          <w:rFonts w:asciiTheme="minorHAnsi" w:eastAsia="Batang" w:hAnsiTheme="minorHAnsi" w:cstheme="minorHAnsi"/>
          <w:bCs/>
          <w:noProof/>
          <w:sz w:val="22"/>
          <w:szCs w:val="22"/>
          <w:lang w:val="fr-FR"/>
        </w:rPr>
        <w:t>Le</w:t>
      </w:r>
      <w:r w:rsidR="00C6544D" w:rsidRPr="004179B8">
        <w:rPr>
          <w:rFonts w:asciiTheme="minorHAnsi" w:eastAsia="Batang" w:hAnsiTheme="minorHAnsi" w:cstheme="minorHAnsi"/>
          <w:bCs/>
          <w:noProof/>
          <w:sz w:val="22"/>
          <w:szCs w:val="22"/>
          <w:lang w:val="fr-FR"/>
        </w:rPr>
        <w:t xml:space="preserve"> montant de</w:t>
      </w:r>
      <w:r w:rsidR="0018494A" w:rsidRPr="004179B8">
        <w:rPr>
          <w:rFonts w:asciiTheme="minorHAnsi" w:eastAsia="Batang" w:hAnsiTheme="minorHAnsi" w:cstheme="minorHAnsi"/>
          <w:bCs/>
          <w:noProof/>
          <w:sz w:val="22"/>
          <w:szCs w:val="22"/>
          <w:lang w:val="fr-FR"/>
        </w:rPr>
        <w:t xml:space="preserve">s </w:t>
      </w:r>
      <w:r w:rsidR="00C6544D" w:rsidRPr="004179B8">
        <w:rPr>
          <w:rFonts w:asciiTheme="minorHAnsi" w:eastAsia="Batang" w:hAnsiTheme="minorHAnsi" w:cstheme="minorHAnsi"/>
          <w:bCs/>
          <w:noProof/>
          <w:sz w:val="22"/>
          <w:szCs w:val="22"/>
          <w:lang w:val="fr-FR"/>
        </w:rPr>
        <w:t>dépenses liées au</w:t>
      </w:r>
      <w:r w:rsidR="0018494A" w:rsidRPr="004179B8">
        <w:rPr>
          <w:rFonts w:asciiTheme="minorHAnsi" w:eastAsia="Batang" w:hAnsiTheme="minorHAnsi" w:cstheme="minorHAnsi"/>
          <w:bCs/>
          <w:noProof/>
          <w:sz w:val="22"/>
          <w:szCs w:val="22"/>
          <w:lang w:val="fr-FR"/>
        </w:rPr>
        <w:t xml:space="preserve"> personnel e</w:t>
      </w:r>
      <w:r w:rsidR="00C6544D" w:rsidRPr="004179B8">
        <w:rPr>
          <w:rFonts w:asciiTheme="minorHAnsi" w:eastAsia="Batang" w:hAnsiTheme="minorHAnsi" w:cstheme="minorHAnsi"/>
          <w:bCs/>
          <w:noProof/>
          <w:sz w:val="22"/>
          <w:szCs w:val="22"/>
          <w:lang w:val="fr-FR"/>
        </w:rPr>
        <w:t>n poste</w:t>
      </w:r>
      <w:r w:rsidR="0018494A" w:rsidRPr="004179B8">
        <w:rPr>
          <w:rFonts w:asciiTheme="minorHAnsi" w:eastAsia="Batang" w:hAnsiTheme="minorHAnsi" w:cstheme="minorHAnsi"/>
          <w:bCs/>
          <w:noProof/>
          <w:sz w:val="22"/>
          <w:szCs w:val="22"/>
          <w:lang w:val="fr-FR"/>
        </w:rPr>
        <w:t xml:space="preserve"> </w:t>
      </w:r>
      <w:r w:rsidR="00C6544D" w:rsidRPr="004179B8">
        <w:rPr>
          <w:rFonts w:asciiTheme="minorHAnsi" w:eastAsia="Batang" w:hAnsiTheme="minorHAnsi" w:cstheme="minorHAnsi"/>
          <w:bCs/>
          <w:noProof/>
          <w:sz w:val="22"/>
          <w:szCs w:val="22"/>
          <w:lang w:val="fr-FR"/>
        </w:rPr>
        <w:t>a</w:t>
      </w:r>
      <w:r w:rsidR="0018494A" w:rsidRPr="004179B8">
        <w:rPr>
          <w:rFonts w:asciiTheme="minorHAnsi" w:eastAsia="Batang" w:hAnsiTheme="minorHAnsi" w:cstheme="minorHAnsi"/>
          <w:bCs/>
          <w:noProof/>
          <w:sz w:val="22"/>
          <w:szCs w:val="22"/>
          <w:lang w:val="fr-FR"/>
        </w:rPr>
        <w:t xml:space="preserve"> été augmenté</w:t>
      </w:r>
      <w:r w:rsidR="00C6544D" w:rsidRPr="004179B8">
        <w:rPr>
          <w:rFonts w:asciiTheme="minorHAnsi" w:eastAsia="Batang" w:hAnsiTheme="minorHAnsi" w:cstheme="minorHAnsi"/>
          <w:bCs/>
          <w:noProof/>
          <w:sz w:val="22"/>
          <w:szCs w:val="22"/>
          <w:lang w:val="fr-FR"/>
        </w:rPr>
        <w:t>,</w:t>
      </w:r>
      <w:r w:rsidR="0018494A" w:rsidRPr="004179B8">
        <w:rPr>
          <w:rFonts w:asciiTheme="minorHAnsi" w:eastAsia="Batang" w:hAnsiTheme="minorHAnsi" w:cstheme="minorHAnsi"/>
          <w:bCs/>
          <w:noProof/>
          <w:sz w:val="22"/>
          <w:szCs w:val="22"/>
          <w:lang w:val="fr-FR"/>
        </w:rPr>
        <w:t xml:space="preserve"> comme proposé </w:t>
      </w:r>
      <w:r w:rsidR="00C6544D" w:rsidRPr="004179B8">
        <w:rPr>
          <w:rFonts w:asciiTheme="minorHAnsi" w:eastAsia="Batang" w:hAnsiTheme="minorHAnsi" w:cstheme="minorHAnsi"/>
          <w:bCs/>
          <w:noProof/>
          <w:sz w:val="22"/>
          <w:szCs w:val="22"/>
          <w:lang w:val="fr-FR"/>
        </w:rPr>
        <w:t>dans le cadre d</w:t>
      </w:r>
      <w:r w:rsidR="0018494A" w:rsidRPr="004179B8">
        <w:rPr>
          <w:rFonts w:asciiTheme="minorHAnsi" w:eastAsia="Batang" w:hAnsiTheme="minorHAnsi" w:cstheme="minorHAnsi"/>
          <w:bCs/>
          <w:noProof/>
          <w:sz w:val="22"/>
          <w:szCs w:val="22"/>
          <w:lang w:val="fr-FR"/>
        </w:rPr>
        <w:t>es scénarios A et B (voir les paragraphes 4a, 4c et 4d du document SC64 Doc.9.3 Rev.1), mais les deux nouveaux postes décrits au paragraphe 4b n</w:t>
      </w:r>
      <w:r w:rsidR="00EE0531">
        <w:rPr>
          <w:rFonts w:asciiTheme="minorHAnsi" w:eastAsia="Batang" w:hAnsiTheme="minorHAnsi" w:cstheme="minorHAnsi"/>
          <w:bCs/>
          <w:noProof/>
          <w:sz w:val="22"/>
          <w:szCs w:val="22"/>
          <w:lang w:val="fr-FR"/>
        </w:rPr>
        <w:t>’</w:t>
      </w:r>
      <w:r w:rsidR="0018494A" w:rsidRPr="004179B8">
        <w:rPr>
          <w:rFonts w:asciiTheme="minorHAnsi" w:eastAsia="Batang" w:hAnsiTheme="minorHAnsi" w:cstheme="minorHAnsi"/>
          <w:bCs/>
          <w:noProof/>
          <w:sz w:val="22"/>
          <w:szCs w:val="22"/>
          <w:lang w:val="fr-FR"/>
        </w:rPr>
        <w:t xml:space="preserve">ont pas été </w:t>
      </w:r>
      <w:r w:rsidR="00C6544D" w:rsidRPr="004179B8">
        <w:rPr>
          <w:rFonts w:asciiTheme="minorHAnsi" w:eastAsia="Batang" w:hAnsiTheme="minorHAnsi" w:cstheme="minorHAnsi"/>
          <w:bCs/>
          <w:noProof/>
          <w:sz w:val="22"/>
          <w:szCs w:val="22"/>
          <w:lang w:val="fr-FR"/>
        </w:rPr>
        <w:t>pris en compte</w:t>
      </w:r>
      <w:r w:rsidR="0018494A" w:rsidRPr="004179B8">
        <w:rPr>
          <w:rFonts w:asciiTheme="minorHAnsi" w:eastAsia="Batang" w:hAnsiTheme="minorHAnsi" w:cstheme="minorHAnsi"/>
          <w:bCs/>
          <w:noProof/>
          <w:sz w:val="22"/>
          <w:szCs w:val="22"/>
          <w:lang w:val="fr-FR"/>
        </w:rPr>
        <w:t>.</w:t>
      </w:r>
    </w:p>
    <w:p w14:paraId="095F521A" w14:textId="77777777" w:rsidR="00B63D89" w:rsidRPr="004179B8" w:rsidRDefault="00B63D89" w:rsidP="00BC1A6C">
      <w:pPr>
        <w:pStyle w:val="MGfulltext"/>
        <w:spacing w:after="0"/>
        <w:ind w:left="426" w:hanging="426"/>
        <w:rPr>
          <w:rFonts w:asciiTheme="minorHAnsi" w:eastAsia="Batang" w:hAnsiTheme="minorHAnsi" w:cstheme="minorHAnsi"/>
          <w:bCs/>
          <w:noProof/>
          <w:sz w:val="22"/>
          <w:szCs w:val="22"/>
          <w:lang w:val="fr-FR"/>
        </w:rPr>
      </w:pPr>
    </w:p>
    <w:p w14:paraId="63144879" w14:textId="4A48CDEB" w:rsidR="00C6544D" w:rsidRPr="004179B8" w:rsidRDefault="00BC1A6C" w:rsidP="00BC1A6C">
      <w:pPr>
        <w:pStyle w:val="MGfulltext"/>
        <w:spacing w:after="0"/>
        <w:ind w:left="426" w:hanging="426"/>
        <w:rPr>
          <w:rFonts w:asciiTheme="minorHAnsi" w:eastAsia="Batang" w:hAnsiTheme="minorHAnsi" w:cstheme="minorHAnsi"/>
          <w:noProof/>
          <w:sz w:val="22"/>
          <w:szCs w:val="22"/>
          <w:lang w:val="fr-FR"/>
        </w:rPr>
      </w:pPr>
      <w:r w:rsidRPr="004179B8">
        <w:rPr>
          <w:rFonts w:asciiTheme="minorHAnsi" w:eastAsia="Batang" w:hAnsiTheme="minorHAnsi" w:cstheme="minorHAnsi"/>
          <w:noProof/>
          <w:sz w:val="22"/>
          <w:szCs w:val="22"/>
          <w:lang w:val="fr-FR"/>
        </w:rPr>
        <w:t>b.</w:t>
      </w:r>
      <w:r w:rsidRPr="004179B8">
        <w:rPr>
          <w:rFonts w:asciiTheme="minorHAnsi" w:eastAsia="Batang" w:hAnsiTheme="minorHAnsi" w:cstheme="minorHAnsi"/>
          <w:noProof/>
          <w:sz w:val="22"/>
          <w:szCs w:val="22"/>
          <w:lang w:val="fr-FR"/>
        </w:rPr>
        <w:tab/>
      </w:r>
      <w:r w:rsidR="00C6544D" w:rsidRPr="004179B8">
        <w:rPr>
          <w:rFonts w:asciiTheme="minorHAnsi" w:eastAsia="Batang" w:hAnsiTheme="minorHAnsi" w:cstheme="minorHAnsi"/>
          <w:noProof/>
          <w:sz w:val="22"/>
          <w:szCs w:val="22"/>
          <w:lang w:val="fr-FR"/>
        </w:rPr>
        <w:t>Le total des coûts salariaux et des frais connexes représente 76% du budget administratif total, soit une augmentation de 796 000 CHF par rapport aux dépenses de personnel de la période triennale 2023-2025, où ce montant représentait 71% du budget administratif total.</w:t>
      </w:r>
    </w:p>
    <w:p w14:paraId="531427C8" w14:textId="77777777" w:rsidR="00B63D89" w:rsidRPr="004179B8" w:rsidRDefault="00B63D89" w:rsidP="00C6544D">
      <w:pPr>
        <w:pStyle w:val="MGfulltext"/>
        <w:spacing w:after="0"/>
        <w:rPr>
          <w:rFonts w:asciiTheme="minorHAnsi" w:eastAsia="Batang" w:hAnsiTheme="minorHAnsi" w:cstheme="minorHAnsi"/>
          <w:noProof/>
          <w:sz w:val="22"/>
          <w:szCs w:val="22"/>
          <w:lang w:val="fr-FR"/>
        </w:rPr>
      </w:pPr>
    </w:p>
    <w:p w14:paraId="4746FFBE" w14:textId="1BBB81C1" w:rsidR="00B63D89" w:rsidRPr="004179B8" w:rsidRDefault="00BC1A6C" w:rsidP="00BC1A6C">
      <w:pPr>
        <w:pStyle w:val="MGfulltext"/>
        <w:spacing w:after="0"/>
        <w:ind w:left="426" w:hanging="426"/>
        <w:rPr>
          <w:rFonts w:asciiTheme="minorHAnsi" w:eastAsia="Batang" w:hAnsiTheme="minorHAnsi" w:cstheme="minorHAnsi"/>
          <w:noProof/>
          <w:sz w:val="22"/>
          <w:szCs w:val="22"/>
          <w:lang w:val="fr-FR"/>
        </w:rPr>
      </w:pPr>
      <w:r w:rsidRPr="004179B8">
        <w:rPr>
          <w:rFonts w:asciiTheme="minorHAnsi" w:eastAsia="Batang" w:hAnsiTheme="minorHAnsi" w:cstheme="minorHAnsi"/>
          <w:noProof/>
          <w:sz w:val="22"/>
          <w:szCs w:val="22"/>
          <w:lang w:val="fr-FR"/>
        </w:rPr>
        <w:t>c.</w:t>
      </w:r>
      <w:r w:rsidRPr="004179B8">
        <w:rPr>
          <w:rFonts w:asciiTheme="minorHAnsi" w:eastAsia="Batang" w:hAnsiTheme="minorHAnsi" w:cstheme="minorHAnsi"/>
          <w:noProof/>
          <w:sz w:val="22"/>
          <w:szCs w:val="22"/>
          <w:lang w:val="fr-FR"/>
        </w:rPr>
        <w:tab/>
      </w:r>
      <w:r w:rsidR="00C6544D" w:rsidRPr="004179B8">
        <w:rPr>
          <w:rFonts w:asciiTheme="minorHAnsi" w:eastAsia="Batang" w:hAnsiTheme="minorHAnsi" w:cstheme="minorHAnsi"/>
          <w:noProof/>
          <w:sz w:val="22"/>
          <w:szCs w:val="22"/>
          <w:lang w:val="fr-FR"/>
        </w:rPr>
        <w:t>Dans le cadre du scénario C comme dans le cadre des scénarios A et B, d</w:t>
      </w:r>
      <w:r w:rsidR="00EE0531">
        <w:rPr>
          <w:rFonts w:asciiTheme="minorHAnsi" w:eastAsia="Batang" w:hAnsiTheme="minorHAnsi" w:cstheme="minorHAnsi"/>
          <w:noProof/>
          <w:sz w:val="22"/>
          <w:szCs w:val="22"/>
          <w:lang w:val="fr-FR"/>
        </w:rPr>
        <w:t>’</w:t>
      </w:r>
      <w:r w:rsidR="00C6544D" w:rsidRPr="004179B8">
        <w:rPr>
          <w:rFonts w:asciiTheme="minorHAnsi" w:eastAsia="Batang" w:hAnsiTheme="minorHAnsi" w:cstheme="minorHAnsi"/>
          <w:noProof/>
          <w:sz w:val="22"/>
          <w:szCs w:val="22"/>
          <w:lang w:val="fr-FR"/>
        </w:rPr>
        <w:t>autres postes budgétaires ont été ajustés (à la hausse comme à la baisse) pour tenir compt</w:t>
      </w:r>
      <w:r w:rsidR="00231E95" w:rsidRPr="004179B8">
        <w:rPr>
          <w:rFonts w:asciiTheme="minorHAnsi" w:eastAsia="Batang" w:hAnsiTheme="minorHAnsi" w:cstheme="minorHAnsi"/>
          <w:noProof/>
          <w:sz w:val="22"/>
          <w:szCs w:val="22"/>
          <w:lang w:val="fr-FR"/>
        </w:rPr>
        <w:t>e</w:t>
      </w:r>
      <w:r w:rsidR="00C6544D" w:rsidRPr="004179B8">
        <w:rPr>
          <w:rFonts w:asciiTheme="minorHAnsi" w:eastAsia="Batang" w:hAnsiTheme="minorHAnsi" w:cstheme="minorHAnsi"/>
          <w:noProof/>
          <w:sz w:val="22"/>
          <w:szCs w:val="22"/>
          <w:lang w:val="fr-FR"/>
        </w:rPr>
        <w:t xml:space="preserve"> de la variation nominale </w:t>
      </w:r>
      <w:r w:rsidR="00231E95" w:rsidRPr="004179B8">
        <w:rPr>
          <w:rFonts w:asciiTheme="minorHAnsi" w:eastAsia="Batang" w:hAnsiTheme="minorHAnsi" w:cstheme="minorHAnsi"/>
          <w:noProof/>
          <w:sz w:val="22"/>
          <w:szCs w:val="22"/>
          <w:lang w:val="fr-FR"/>
        </w:rPr>
        <w:t>nulle,</w:t>
      </w:r>
      <w:r w:rsidR="00C6544D" w:rsidRPr="004179B8">
        <w:rPr>
          <w:rFonts w:asciiTheme="minorHAnsi" w:eastAsia="Batang" w:hAnsiTheme="minorHAnsi" w:cstheme="minorHAnsi"/>
          <w:noProof/>
          <w:sz w:val="22"/>
          <w:szCs w:val="22"/>
          <w:lang w:val="fr-FR"/>
        </w:rPr>
        <w:t xml:space="preserve"> globale</w:t>
      </w:r>
      <w:r w:rsidR="00231E95" w:rsidRPr="004179B8">
        <w:rPr>
          <w:rFonts w:asciiTheme="minorHAnsi" w:eastAsia="Batang" w:hAnsiTheme="minorHAnsi" w:cstheme="minorHAnsi"/>
          <w:noProof/>
          <w:sz w:val="22"/>
          <w:szCs w:val="22"/>
          <w:lang w:val="fr-FR"/>
        </w:rPr>
        <w:t>ment,</w:t>
      </w:r>
      <w:r w:rsidR="00C6544D" w:rsidRPr="004179B8">
        <w:rPr>
          <w:rFonts w:asciiTheme="minorHAnsi" w:eastAsia="Batang" w:hAnsiTheme="minorHAnsi" w:cstheme="minorHAnsi"/>
          <w:noProof/>
          <w:sz w:val="22"/>
          <w:szCs w:val="22"/>
          <w:lang w:val="fr-FR"/>
        </w:rPr>
        <w:t xml:space="preserve"> qui est décrite en détail </w:t>
      </w:r>
      <w:r w:rsidR="00231E95" w:rsidRPr="004179B8">
        <w:rPr>
          <w:rFonts w:asciiTheme="minorHAnsi" w:eastAsia="Batang" w:hAnsiTheme="minorHAnsi" w:cstheme="minorHAnsi"/>
          <w:noProof/>
          <w:sz w:val="22"/>
          <w:szCs w:val="22"/>
          <w:lang w:val="fr-FR"/>
        </w:rPr>
        <w:t>au paragraphe 4.f du</w:t>
      </w:r>
      <w:r w:rsidR="00C6544D" w:rsidRPr="004179B8">
        <w:rPr>
          <w:rFonts w:asciiTheme="minorHAnsi" w:eastAsia="Batang" w:hAnsiTheme="minorHAnsi" w:cstheme="minorHAnsi"/>
          <w:noProof/>
          <w:sz w:val="22"/>
          <w:szCs w:val="22"/>
          <w:lang w:val="fr-FR"/>
        </w:rPr>
        <w:t xml:space="preserve"> document 9.3 Rev1.</w:t>
      </w:r>
    </w:p>
    <w:p w14:paraId="09CDFEEF" w14:textId="77777777" w:rsidR="00B63D89" w:rsidRPr="004179B8" w:rsidRDefault="00B63D89" w:rsidP="00BC1A6C">
      <w:pPr>
        <w:pStyle w:val="MGfulltext"/>
        <w:spacing w:after="0"/>
        <w:ind w:left="426" w:hanging="426"/>
        <w:rPr>
          <w:rFonts w:asciiTheme="minorHAnsi" w:eastAsia="Batang" w:hAnsiTheme="minorHAnsi" w:cstheme="minorHAnsi"/>
          <w:noProof/>
          <w:sz w:val="22"/>
          <w:szCs w:val="22"/>
          <w:lang w:val="fr-FR"/>
        </w:rPr>
      </w:pPr>
    </w:p>
    <w:p w14:paraId="387AA467" w14:textId="1B9EEF87" w:rsidR="00231E95" w:rsidRPr="004179B8" w:rsidRDefault="00BC1A6C" w:rsidP="00BC1A6C">
      <w:pPr>
        <w:pStyle w:val="MGfulltext"/>
        <w:spacing w:after="0"/>
        <w:ind w:left="426" w:hanging="426"/>
        <w:rPr>
          <w:rFonts w:asciiTheme="minorHAnsi" w:eastAsia="Batang" w:hAnsiTheme="minorHAnsi" w:cstheme="minorHAnsi"/>
          <w:noProof/>
          <w:sz w:val="22"/>
          <w:szCs w:val="22"/>
          <w:lang w:val="fr-FR"/>
        </w:rPr>
      </w:pPr>
      <w:r w:rsidRPr="004179B8">
        <w:rPr>
          <w:rFonts w:asciiTheme="minorHAnsi" w:eastAsia="Batang" w:hAnsiTheme="minorHAnsi" w:cstheme="minorHAnsi"/>
          <w:noProof/>
          <w:sz w:val="22"/>
          <w:szCs w:val="22"/>
          <w:lang w:val="fr-FR"/>
        </w:rPr>
        <w:t>d.</w:t>
      </w:r>
      <w:r w:rsidRPr="004179B8">
        <w:rPr>
          <w:rFonts w:asciiTheme="minorHAnsi" w:eastAsia="Batang" w:hAnsiTheme="minorHAnsi" w:cstheme="minorHAnsi"/>
          <w:noProof/>
          <w:sz w:val="22"/>
          <w:szCs w:val="22"/>
          <w:lang w:val="fr-FR"/>
        </w:rPr>
        <w:tab/>
      </w:r>
      <w:r w:rsidR="00231E95" w:rsidRPr="004179B8">
        <w:rPr>
          <w:rFonts w:asciiTheme="minorHAnsi" w:eastAsia="Batang" w:hAnsiTheme="minorHAnsi" w:cstheme="minorHAnsi"/>
          <w:noProof/>
          <w:sz w:val="22"/>
          <w:szCs w:val="22"/>
          <w:lang w:val="fr-FR"/>
        </w:rPr>
        <w:t>Les montants des autres ajustements de postes budgétaires sont indiqués à l</w:t>
      </w:r>
      <w:r w:rsidR="00EE0531">
        <w:rPr>
          <w:rFonts w:asciiTheme="minorHAnsi" w:eastAsia="Batang" w:hAnsiTheme="minorHAnsi" w:cstheme="minorHAnsi"/>
          <w:noProof/>
          <w:sz w:val="22"/>
          <w:szCs w:val="22"/>
          <w:lang w:val="fr-FR"/>
        </w:rPr>
        <w:t>’</w:t>
      </w:r>
      <w:r w:rsidR="00231E95" w:rsidRPr="004179B8">
        <w:rPr>
          <w:rFonts w:asciiTheme="minorHAnsi" w:eastAsia="Batang" w:hAnsiTheme="minorHAnsi" w:cstheme="minorHAnsi"/>
          <w:noProof/>
          <w:sz w:val="22"/>
          <w:szCs w:val="22"/>
          <w:lang w:val="fr-FR"/>
        </w:rPr>
        <w:t>annexe 1.</w:t>
      </w:r>
    </w:p>
    <w:p w14:paraId="1B49DADA" w14:textId="77777777" w:rsidR="00BC1A6C" w:rsidRPr="004179B8" w:rsidRDefault="00BC1A6C" w:rsidP="00231E95">
      <w:pPr>
        <w:pStyle w:val="MGfulltext"/>
        <w:spacing w:after="0"/>
        <w:rPr>
          <w:rFonts w:asciiTheme="minorHAnsi" w:eastAsia="Batang" w:hAnsiTheme="minorHAnsi" w:cstheme="minorHAnsi"/>
          <w:noProof/>
          <w:sz w:val="22"/>
          <w:szCs w:val="22"/>
          <w:lang w:val="fr-FR"/>
        </w:rPr>
      </w:pPr>
    </w:p>
    <w:p w14:paraId="204D66E0" w14:textId="201E8140" w:rsidR="00231E95" w:rsidRPr="004179B8" w:rsidRDefault="00BC1A6C" w:rsidP="00BC1A6C">
      <w:pPr>
        <w:pStyle w:val="MGfulltext"/>
        <w:spacing w:after="0"/>
        <w:ind w:left="426" w:hanging="426"/>
        <w:rPr>
          <w:rFonts w:asciiTheme="minorHAnsi" w:eastAsia="Batang" w:hAnsiTheme="minorHAnsi" w:cstheme="minorHAnsi"/>
          <w:noProof/>
          <w:sz w:val="22"/>
          <w:szCs w:val="22"/>
          <w:lang w:val="fr-FR"/>
        </w:rPr>
      </w:pPr>
      <w:r w:rsidRPr="004179B8">
        <w:rPr>
          <w:rFonts w:asciiTheme="minorHAnsi" w:eastAsia="Batang" w:hAnsiTheme="minorHAnsi" w:cstheme="minorHAnsi"/>
          <w:noProof/>
          <w:sz w:val="22"/>
          <w:szCs w:val="22"/>
          <w:lang w:val="fr-FR"/>
        </w:rPr>
        <w:t>e.</w:t>
      </w:r>
      <w:r w:rsidRPr="004179B8">
        <w:rPr>
          <w:rFonts w:asciiTheme="minorHAnsi" w:eastAsia="Batang" w:hAnsiTheme="minorHAnsi" w:cstheme="minorHAnsi"/>
          <w:noProof/>
          <w:sz w:val="22"/>
          <w:szCs w:val="22"/>
          <w:lang w:val="fr-FR"/>
        </w:rPr>
        <w:tab/>
      </w:r>
      <w:r w:rsidR="00231E95" w:rsidRPr="004179B8">
        <w:rPr>
          <w:rFonts w:asciiTheme="minorHAnsi" w:eastAsia="Batang" w:hAnsiTheme="minorHAnsi" w:cstheme="minorHAnsi"/>
          <w:noProof/>
          <w:sz w:val="22"/>
          <w:szCs w:val="22"/>
          <w:lang w:val="fr-FR"/>
        </w:rPr>
        <w:t>Tout comme les scénarios A et B, le scénario C part de l</w:t>
      </w:r>
      <w:r w:rsidR="00EE0531">
        <w:rPr>
          <w:rFonts w:asciiTheme="minorHAnsi" w:eastAsia="Batang" w:hAnsiTheme="minorHAnsi" w:cstheme="minorHAnsi"/>
          <w:noProof/>
          <w:sz w:val="22"/>
          <w:szCs w:val="22"/>
          <w:lang w:val="fr-FR"/>
        </w:rPr>
        <w:t>’</w:t>
      </w:r>
      <w:r w:rsidR="00231E95" w:rsidRPr="004179B8">
        <w:rPr>
          <w:rFonts w:asciiTheme="minorHAnsi" w:eastAsia="Batang" w:hAnsiTheme="minorHAnsi" w:cstheme="minorHAnsi"/>
          <w:noProof/>
          <w:sz w:val="22"/>
          <w:szCs w:val="22"/>
          <w:lang w:val="fr-FR"/>
        </w:rPr>
        <w:t>hypothèse que la proposition d</w:t>
      </w:r>
      <w:r w:rsidR="00EE0531">
        <w:rPr>
          <w:rFonts w:asciiTheme="minorHAnsi" w:eastAsia="Batang" w:hAnsiTheme="minorHAnsi" w:cstheme="minorHAnsi"/>
          <w:noProof/>
          <w:sz w:val="22"/>
          <w:szCs w:val="22"/>
          <w:lang w:val="fr-FR"/>
        </w:rPr>
        <w:t>’</w:t>
      </w:r>
      <w:r w:rsidR="00231E95" w:rsidRPr="004179B8">
        <w:rPr>
          <w:rFonts w:asciiTheme="minorHAnsi" w:eastAsia="Batang" w:hAnsiTheme="minorHAnsi" w:cstheme="minorHAnsi"/>
          <w:noProof/>
          <w:sz w:val="22"/>
          <w:szCs w:val="22"/>
          <w:lang w:val="fr-FR"/>
        </w:rPr>
        <w:t>utilisation de l</w:t>
      </w:r>
      <w:r w:rsidR="00EE0531">
        <w:rPr>
          <w:rFonts w:asciiTheme="minorHAnsi" w:eastAsia="Batang" w:hAnsiTheme="minorHAnsi" w:cstheme="minorHAnsi"/>
          <w:noProof/>
          <w:sz w:val="22"/>
          <w:szCs w:val="22"/>
          <w:lang w:val="fr-FR"/>
        </w:rPr>
        <w:t>’</w:t>
      </w:r>
      <w:r w:rsidR="00231E95" w:rsidRPr="004179B8">
        <w:rPr>
          <w:rFonts w:asciiTheme="minorHAnsi" w:eastAsia="Batang" w:hAnsiTheme="minorHAnsi" w:cstheme="minorHAnsi"/>
          <w:noProof/>
          <w:sz w:val="22"/>
          <w:szCs w:val="22"/>
          <w:lang w:val="fr-FR"/>
        </w:rPr>
        <w:t>excédent de 2024 pour constituer des provisions pour</w:t>
      </w:r>
      <w:r w:rsidR="009C6DB8">
        <w:rPr>
          <w:rFonts w:asciiTheme="minorHAnsi" w:eastAsia="Batang" w:hAnsiTheme="minorHAnsi" w:cstheme="minorHAnsi"/>
          <w:noProof/>
          <w:sz w:val="22"/>
          <w:szCs w:val="22"/>
          <w:lang w:val="fr-FR"/>
        </w:rPr>
        <w:t xml:space="preserve"> </w:t>
      </w:r>
      <w:r w:rsidR="00231E95" w:rsidRPr="004179B8">
        <w:rPr>
          <w:rFonts w:asciiTheme="minorHAnsi" w:eastAsia="Batang" w:hAnsiTheme="minorHAnsi" w:cstheme="minorHAnsi"/>
          <w:noProof/>
          <w:sz w:val="22"/>
          <w:szCs w:val="22"/>
          <w:lang w:val="fr-FR"/>
        </w:rPr>
        <w:t>contributions</w:t>
      </w:r>
      <w:r w:rsidR="009C6DB8">
        <w:rPr>
          <w:rFonts w:asciiTheme="minorHAnsi" w:eastAsia="Batang" w:hAnsiTheme="minorHAnsi" w:cstheme="minorHAnsi"/>
          <w:noProof/>
          <w:sz w:val="22"/>
          <w:szCs w:val="22"/>
          <w:lang w:val="fr-FR"/>
        </w:rPr>
        <w:t xml:space="preserve"> impayées</w:t>
      </w:r>
      <w:r w:rsidR="00231E95" w:rsidRPr="004179B8">
        <w:rPr>
          <w:rFonts w:asciiTheme="minorHAnsi" w:eastAsia="Batang" w:hAnsiTheme="minorHAnsi" w:cstheme="minorHAnsi"/>
          <w:noProof/>
          <w:sz w:val="22"/>
          <w:szCs w:val="22"/>
          <w:lang w:val="fr-FR"/>
        </w:rPr>
        <w:t xml:space="preserve"> sera approuvée, comme indiqué au paragraphe 5 du document SC64 Doc 9.3 Rev 1.</w:t>
      </w:r>
    </w:p>
    <w:p w14:paraId="038BBEDA" w14:textId="77777777" w:rsidR="00B63D89" w:rsidRPr="004179B8" w:rsidRDefault="00B63D89" w:rsidP="00231E95">
      <w:pPr>
        <w:spacing w:after="0" w:line="240" w:lineRule="auto"/>
        <w:rPr>
          <w:rFonts w:eastAsia="Batang" w:cstheme="minorHAnsi"/>
          <w:noProof/>
          <w:lang w:val="fr-FR"/>
        </w:rPr>
      </w:pPr>
    </w:p>
    <w:p w14:paraId="027C76CA" w14:textId="1C482A96" w:rsidR="00231E95" w:rsidRPr="004179B8" w:rsidRDefault="00BC1A6C" w:rsidP="00BC1A6C">
      <w:pPr>
        <w:pStyle w:val="MGfulltext"/>
        <w:spacing w:after="0"/>
        <w:ind w:left="426" w:hanging="426"/>
        <w:rPr>
          <w:rFonts w:asciiTheme="minorHAnsi" w:eastAsia="Batang" w:hAnsiTheme="minorHAnsi" w:cstheme="minorHAnsi"/>
          <w:noProof/>
          <w:sz w:val="22"/>
          <w:szCs w:val="22"/>
          <w:lang w:val="fr-FR"/>
        </w:rPr>
      </w:pPr>
      <w:r w:rsidRPr="004179B8">
        <w:rPr>
          <w:rFonts w:asciiTheme="minorHAnsi" w:eastAsia="Batang" w:hAnsiTheme="minorHAnsi" w:cstheme="minorHAnsi"/>
          <w:noProof/>
          <w:sz w:val="22"/>
          <w:szCs w:val="22"/>
          <w:lang w:val="fr-FR"/>
        </w:rPr>
        <w:t>f.</w:t>
      </w:r>
      <w:r w:rsidRPr="004179B8">
        <w:rPr>
          <w:rFonts w:asciiTheme="minorHAnsi" w:eastAsia="Batang" w:hAnsiTheme="minorHAnsi" w:cstheme="minorHAnsi"/>
          <w:noProof/>
          <w:sz w:val="22"/>
          <w:szCs w:val="22"/>
          <w:lang w:val="fr-FR"/>
        </w:rPr>
        <w:tab/>
      </w:r>
      <w:r w:rsidR="00231E95" w:rsidRPr="004179B8">
        <w:rPr>
          <w:rFonts w:asciiTheme="minorHAnsi" w:eastAsia="Batang" w:hAnsiTheme="minorHAnsi" w:cstheme="minorHAnsi"/>
          <w:noProof/>
          <w:sz w:val="22"/>
          <w:szCs w:val="22"/>
          <w:lang w:val="fr-FR"/>
        </w:rPr>
        <w:t xml:space="preserve">En outre, dans le cas où le scénario </w:t>
      </w:r>
      <w:r w:rsidR="004179B8">
        <w:rPr>
          <w:rFonts w:asciiTheme="minorHAnsi" w:eastAsia="Batang" w:hAnsiTheme="minorHAnsi" w:cstheme="minorHAnsi"/>
          <w:noProof/>
          <w:sz w:val="22"/>
          <w:szCs w:val="22"/>
          <w:lang w:val="fr-FR"/>
        </w:rPr>
        <w:t>C</w:t>
      </w:r>
      <w:r w:rsidR="00231E95" w:rsidRPr="004179B8">
        <w:rPr>
          <w:rFonts w:asciiTheme="minorHAnsi" w:eastAsia="Batang" w:hAnsiTheme="minorHAnsi" w:cstheme="minorHAnsi"/>
          <w:noProof/>
          <w:sz w:val="22"/>
          <w:szCs w:val="22"/>
          <w:lang w:val="fr-FR"/>
        </w:rPr>
        <w:t xml:space="preserve"> serait proposé, l</w:t>
      </w:r>
      <w:r w:rsidR="00EE0531">
        <w:rPr>
          <w:rFonts w:asciiTheme="minorHAnsi" w:eastAsia="Batang" w:hAnsiTheme="minorHAnsi" w:cstheme="minorHAnsi"/>
          <w:noProof/>
          <w:sz w:val="22"/>
          <w:szCs w:val="22"/>
          <w:lang w:val="fr-FR"/>
        </w:rPr>
        <w:t>’</w:t>
      </w:r>
      <w:r w:rsidR="00231E95" w:rsidRPr="004179B8">
        <w:rPr>
          <w:rFonts w:asciiTheme="minorHAnsi" w:eastAsia="Batang" w:hAnsiTheme="minorHAnsi" w:cstheme="minorHAnsi"/>
          <w:noProof/>
          <w:sz w:val="22"/>
          <w:szCs w:val="22"/>
          <w:lang w:val="fr-FR"/>
        </w:rPr>
        <w:t>excédent pourra servir à compléter l</w:t>
      </w:r>
      <w:r w:rsidR="00853D66" w:rsidRPr="004179B8">
        <w:rPr>
          <w:rFonts w:asciiTheme="minorHAnsi" w:eastAsia="Batang" w:hAnsiTheme="minorHAnsi" w:cstheme="minorHAnsi"/>
          <w:noProof/>
          <w:sz w:val="22"/>
          <w:szCs w:val="22"/>
          <w:lang w:val="fr-FR"/>
        </w:rPr>
        <w:t xml:space="preserve">es diminutions sous </w:t>
      </w:r>
      <w:r w:rsidR="00231E95" w:rsidRPr="004179B8">
        <w:rPr>
          <w:rFonts w:asciiTheme="minorHAnsi" w:eastAsia="Batang" w:hAnsiTheme="minorHAnsi" w:cstheme="minorHAnsi"/>
          <w:noProof/>
          <w:sz w:val="22"/>
          <w:szCs w:val="22"/>
          <w:lang w:val="fr-FR"/>
        </w:rPr>
        <w:t xml:space="preserve">certains </w:t>
      </w:r>
      <w:r w:rsidR="00853D66" w:rsidRPr="004179B8">
        <w:rPr>
          <w:rFonts w:asciiTheme="minorHAnsi" w:eastAsia="Batang" w:hAnsiTheme="minorHAnsi" w:cstheme="minorHAnsi"/>
          <w:noProof/>
          <w:sz w:val="22"/>
          <w:szCs w:val="22"/>
          <w:lang w:val="fr-FR"/>
        </w:rPr>
        <w:t>post</w:t>
      </w:r>
      <w:r w:rsidR="00231E95" w:rsidRPr="004179B8">
        <w:rPr>
          <w:rFonts w:asciiTheme="minorHAnsi" w:eastAsia="Batang" w:hAnsiTheme="minorHAnsi" w:cstheme="minorHAnsi"/>
          <w:noProof/>
          <w:sz w:val="22"/>
          <w:szCs w:val="22"/>
          <w:lang w:val="fr-FR"/>
        </w:rPr>
        <w:t xml:space="preserve">es budgétaires, </w:t>
      </w:r>
      <w:r w:rsidR="00853D66" w:rsidRPr="004179B8">
        <w:rPr>
          <w:rFonts w:asciiTheme="minorHAnsi" w:eastAsia="Batang" w:hAnsiTheme="minorHAnsi" w:cstheme="minorHAnsi"/>
          <w:noProof/>
          <w:sz w:val="22"/>
          <w:szCs w:val="22"/>
          <w:lang w:val="fr-FR"/>
        </w:rPr>
        <w:t>par exemple</w:t>
      </w:r>
      <w:r w:rsidR="00231E95" w:rsidRPr="004179B8">
        <w:rPr>
          <w:rFonts w:asciiTheme="minorHAnsi" w:eastAsia="Batang" w:hAnsiTheme="minorHAnsi" w:cstheme="minorHAnsi"/>
          <w:noProof/>
          <w:sz w:val="22"/>
          <w:szCs w:val="22"/>
          <w:lang w:val="fr-FR"/>
        </w:rPr>
        <w:t xml:space="preserve"> </w:t>
      </w:r>
      <w:r w:rsidR="00853D66" w:rsidRPr="004179B8">
        <w:rPr>
          <w:rFonts w:asciiTheme="minorHAnsi" w:eastAsia="Batang" w:hAnsiTheme="minorHAnsi" w:cstheme="minorHAnsi"/>
          <w:noProof/>
          <w:sz w:val="22"/>
          <w:szCs w:val="22"/>
          <w:lang w:val="fr-FR"/>
        </w:rPr>
        <w:t>l</w:t>
      </w:r>
      <w:r w:rsidR="00EE0531">
        <w:rPr>
          <w:rFonts w:asciiTheme="minorHAnsi" w:eastAsia="Batang" w:hAnsiTheme="minorHAnsi" w:cstheme="minorHAnsi"/>
          <w:noProof/>
          <w:sz w:val="22"/>
          <w:szCs w:val="22"/>
          <w:lang w:val="fr-FR"/>
        </w:rPr>
        <w:t>’</w:t>
      </w:r>
      <w:r w:rsidR="00853D66" w:rsidRPr="004179B8">
        <w:rPr>
          <w:rFonts w:asciiTheme="minorHAnsi" w:eastAsia="Batang" w:hAnsiTheme="minorHAnsi" w:cstheme="minorHAnsi"/>
          <w:noProof/>
          <w:sz w:val="22"/>
          <w:szCs w:val="22"/>
          <w:lang w:val="fr-FR"/>
        </w:rPr>
        <w:t>appui</w:t>
      </w:r>
      <w:r w:rsidR="00231E95" w:rsidRPr="004179B8">
        <w:rPr>
          <w:rFonts w:asciiTheme="minorHAnsi" w:eastAsia="Batang" w:hAnsiTheme="minorHAnsi" w:cstheme="minorHAnsi"/>
          <w:noProof/>
          <w:sz w:val="22"/>
          <w:szCs w:val="22"/>
          <w:lang w:val="fr-FR"/>
        </w:rPr>
        <w:t xml:space="preserve"> aux initiatives régionales.</w:t>
      </w:r>
    </w:p>
    <w:p w14:paraId="597105BC" w14:textId="77777777" w:rsidR="00853D66" w:rsidRPr="004179B8" w:rsidRDefault="00853D66" w:rsidP="002B138D">
      <w:pPr>
        <w:spacing w:after="0" w:line="240" w:lineRule="auto"/>
        <w:contextualSpacing/>
        <w:rPr>
          <w:rFonts w:cs="Calibri"/>
          <w:iCs/>
          <w:noProof/>
          <w:color w:val="000000" w:themeColor="text1"/>
          <w:lang w:val="fr-FR"/>
        </w:rPr>
      </w:pPr>
    </w:p>
    <w:p w14:paraId="69059C2C" w14:textId="1A2AE4B9" w:rsidR="00B5607F" w:rsidRPr="004179B8" w:rsidRDefault="00853D66" w:rsidP="00B5607F">
      <w:pPr>
        <w:rPr>
          <w:rFonts w:cs="Calibri"/>
          <w:iCs/>
          <w:noProof/>
          <w:color w:val="000000" w:themeColor="text1"/>
          <w:lang w:val="fr-FR"/>
        </w:rPr>
      </w:pPr>
      <w:r w:rsidRPr="004179B8">
        <w:rPr>
          <w:rFonts w:cs="Calibri"/>
          <w:iCs/>
          <w:noProof/>
          <w:color w:val="000000" w:themeColor="text1"/>
          <w:lang w:val="fr-FR"/>
        </w:rPr>
        <w:t>Les membres du Sous-groupe indiquent par ailleurs qu</w:t>
      </w:r>
      <w:r w:rsidR="00EE0531">
        <w:rPr>
          <w:rFonts w:cs="Calibri"/>
          <w:iCs/>
          <w:noProof/>
          <w:color w:val="000000" w:themeColor="text1"/>
          <w:lang w:val="fr-FR"/>
        </w:rPr>
        <w:t>’</w:t>
      </w:r>
      <w:r w:rsidRPr="004179B8">
        <w:rPr>
          <w:rFonts w:cs="Calibri"/>
          <w:iCs/>
          <w:noProof/>
          <w:color w:val="000000" w:themeColor="text1"/>
          <w:lang w:val="fr-FR"/>
        </w:rPr>
        <w:t>un scénario prévoyant une augmentation d</w:t>
      </w:r>
      <w:r w:rsidR="00EE0531">
        <w:rPr>
          <w:rFonts w:cs="Calibri"/>
          <w:iCs/>
          <w:noProof/>
          <w:color w:val="000000" w:themeColor="text1"/>
          <w:lang w:val="fr-FR"/>
        </w:rPr>
        <w:t>’</w:t>
      </w:r>
      <w:r w:rsidRPr="004179B8">
        <w:rPr>
          <w:rFonts w:cs="Calibri"/>
          <w:iCs/>
          <w:noProof/>
          <w:color w:val="000000" w:themeColor="text1"/>
          <w:lang w:val="fr-FR"/>
        </w:rPr>
        <w:t xml:space="preserve">un montant compris entre celui du scénario A et celui du scénario C pourrait être intéressant, </w:t>
      </w:r>
      <w:r w:rsidR="00333D2F" w:rsidRPr="004179B8">
        <w:rPr>
          <w:rFonts w:cs="Calibri"/>
          <w:iCs/>
          <w:noProof/>
          <w:color w:val="000000" w:themeColor="text1"/>
          <w:lang w:val="fr-FR"/>
        </w:rPr>
        <w:t>et qu</w:t>
      </w:r>
      <w:r w:rsidR="00EE0531">
        <w:rPr>
          <w:rFonts w:cs="Calibri"/>
          <w:iCs/>
          <w:noProof/>
          <w:color w:val="000000" w:themeColor="text1"/>
          <w:lang w:val="fr-FR"/>
        </w:rPr>
        <w:t>’</w:t>
      </w:r>
      <w:r w:rsidR="00333D2F" w:rsidRPr="004179B8">
        <w:rPr>
          <w:rFonts w:cs="Calibri"/>
          <w:iCs/>
          <w:noProof/>
          <w:color w:val="000000" w:themeColor="text1"/>
          <w:lang w:val="fr-FR"/>
        </w:rPr>
        <w:t xml:space="preserve">ils souhaiteraient avoir </w:t>
      </w:r>
      <w:r w:rsidRPr="004179B8">
        <w:rPr>
          <w:rFonts w:cs="Calibri"/>
          <w:iCs/>
          <w:noProof/>
          <w:color w:val="000000" w:themeColor="text1"/>
          <w:lang w:val="fr-FR"/>
        </w:rPr>
        <w:t xml:space="preserve">pour plus de détails sur les </w:t>
      </w:r>
      <w:r w:rsidR="00333D2F" w:rsidRPr="004179B8">
        <w:rPr>
          <w:rFonts w:cs="Calibri"/>
          <w:iCs/>
          <w:noProof/>
          <w:color w:val="000000" w:themeColor="text1"/>
          <w:lang w:val="fr-FR"/>
        </w:rPr>
        <w:t>missions qui seraient confiées aux</w:t>
      </w:r>
      <w:r w:rsidRPr="004179B8">
        <w:rPr>
          <w:rFonts w:cs="Calibri"/>
          <w:iCs/>
          <w:noProof/>
          <w:color w:val="000000" w:themeColor="text1"/>
          <w:lang w:val="fr-FR"/>
        </w:rPr>
        <w:t xml:space="preserve"> nouveaux membres du personnel proposés dans le</w:t>
      </w:r>
      <w:r w:rsidR="00333D2F" w:rsidRPr="004179B8">
        <w:rPr>
          <w:rFonts w:cs="Calibri"/>
          <w:iCs/>
          <w:noProof/>
          <w:color w:val="000000" w:themeColor="text1"/>
          <w:lang w:val="fr-FR"/>
        </w:rPr>
        <w:t xml:space="preserve"> cadre de</w:t>
      </w:r>
      <w:r w:rsidRPr="004179B8">
        <w:rPr>
          <w:rFonts w:cs="Calibri"/>
          <w:iCs/>
          <w:noProof/>
          <w:color w:val="000000" w:themeColor="text1"/>
          <w:lang w:val="fr-FR"/>
        </w:rPr>
        <w:t>s scénarios A et B</w:t>
      </w:r>
      <w:r w:rsidR="00333D2F" w:rsidRPr="004179B8">
        <w:rPr>
          <w:rFonts w:cs="Calibri"/>
          <w:iCs/>
          <w:noProof/>
          <w:color w:val="000000" w:themeColor="text1"/>
          <w:lang w:val="fr-FR"/>
        </w:rPr>
        <w:t xml:space="preserve"> </w:t>
      </w:r>
      <w:r w:rsidRPr="004179B8">
        <w:rPr>
          <w:rFonts w:cs="Calibri"/>
          <w:iCs/>
          <w:noProof/>
          <w:color w:val="000000" w:themeColor="text1"/>
          <w:lang w:val="fr-FR"/>
        </w:rPr>
        <w:t>et sur le calcul de l</w:t>
      </w:r>
      <w:r w:rsidR="00EE0531">
        <w:rPr>
          <w:rFonts w:cs="Calibri"/>
          <w:iCs/>
          <w:noProof/>
          <w:color w:val="000000" w:themeColor="text1"/>
          <w:lang w:val="fr-FR"/>
        </w:rPr>
        <w:t>’</w:t>
      </w:r>
      <w:r w:rsidRPr="004179B8">
        <w:rPr>
          <w:rFonts w:cs="Calibri"/>
          <w:iCs/>
          <w:noProof/>
          <w:color w:val="000000" w:themeColor="text1"/>
          <w:lang w:val="fr-FR"/>
        </w:rPr>
        <w:t xml:space="preserve">échelle des salaires utilisé. </w:t>
      </w:r>
      <w:r w:rsidR="00333D2F" w:rsidRPr="004179B8">
        <w:rPr>
          <w:rFonts w:cs="Calibri"/>
          <w:iCs/>
          <w:noProof/>
          <w:color w:val="000000" w:themeColor="text1"/>
          <w:lang w:val="fr-FR"/>
        </w:rPr>
        <w:t>Enfin, l</w:t>
      </w:r>
      <w:r w:rsidRPr="004179B8">
        <w:rPr>
          <w:rFonts w:cs="Calibri"/>
          <w:iCs/>
          <w:noProof/>
          <w:color w:val="000000" w:themeColor="text1"/>
          <w:lang w:val="fr-FR"/>
        </w:rPr>
        <w:t xml:space="preserve">es membres du </w:t>
      </w:r>
      <w:r w:rsidR="00333D2F" w:rsidRPr="004179B8">
        <w:rPr>
          <w:rFonts w:cs="Calibri"/>
          <w:iCs/>
          <w:noProof/>
          <w:color w:val="000000" w:themeColor="text1"/>
          <w:lang w:val="fr-FR"/>
        </w:rPr>
        <w:t>S</w:t>
      </w:r>
      <w:r w:rsidRPr="004179B8">
        <w:rPr>
          <w:rFonts w:cs="Calibri"/>
          <w:iCs/>
          <w:noProof/>
          <w:color w:val="000000" w:themeColor="text1"/>
          <w:lang w:val="fr-FR"/>
        </w:rPr>
        <w:t xml:space="preserve">ous-groupe </w:t>
      </w:r>
      <w:r w:rsidR="00333D2F" w:rsidRPr="004179B8">
        <w:rPr>
          <w:rFonts w:cs="Calibri"/>
          <w:iCs/>
          <w:noProof/>
          <w:color w:val="000000" w:themeColor="text1"/>
          <w:lang w:val="fr-FR"/>
        </w:rPr>
        <w:t>demandent</w:t>
      </w:r>
      <w:r w:rsidRPr="004179B8">
        <w:rPr>
          <w:rFonts w:cs="Calibri"/>
          <w:iCs/>
          <w:noProof/>
          <w:color w:val="000000" w:themeColor="text1"/>
          <w:lang w:val="fr-FR"/>
        </w:rPr>
        <w:t xml:space="preserve"> </w:t>
      </w:r>
      <w:r w:rsidR="00333D2F" w:rsidRPr="004179B8">
        <w:rPr>
          <w:rFonts w:cs="Calibri"/>
          <w:iCs/>
          <w:noProof/>
          <w:color w:val="000000" w:themeColor="text1"/>
          <w:lang w:val="fr-FR"/>
        </w:rPr>
        <w:t xml:space="preserve">que les </w:t>
      </w:r>
      <w:r w:rsidR="003945A7" w:rsidRPr="004179B8">
        <w:rPr>
          <w:rFonts w:cs="Calibri"/>
          <w:iCs/>
          <w:noProof/>
          <w:color w:val="000000" w:themeColor="text1"/>
          <w:lang w:val="fr-FR"/>
        </w:rPr>
        <w:t xml:space="preserve">provisions </w:t>
      </w:r>
      <w:r w:rsidR="009C6DB8">
        <w:rPr>
          <w:rFonts w:cs="Calibri"/>
          <w:iCs/>
          <w:noProof/>
          <w:color w:val="000000" w:themeColor="text1"/>
          <w:lang w:val="fr-FR"/>
        </w:rPr>
        <w:t>effectives</w:t>
      </w:r>
      <w:r w:rsidR="00333D2F" w:rsidRPr="004179B8">
        <w:rPr>
          <w:rFonts w:cs="Calibri"/>
          <w:iCs/>
          <w:noProof/>
          <w:color w:val="000000" w:themeColor="text1"/>
          <w:lang w:val="fr-FR"/>
        </w:rPr>
        <w:t xml:space="preserve"> d</w:t>
      </w:r>
      <w:r w:rsidR="009C6DB8">
        <w:rPr>
          <w:rFonts w:cs="Calibri"/>
          <w:iCs/>
          <w:noProof/>
          <w:color w:val="000000" w:themeColor="text1"/>
          <w:lang w:val="fr-FR"/>
        </w:rPr>
        <w:t>ans le cadre du</w:t>
      </w:r>
      <w:r w:rsidR="00333D2F" w:rsidRPr="004179B8">
        <w:rPr>
          <w:rFonts w:cs="Calibri"/>
          <w:iCs/>
          <w:noProof/>
          <w:color w:val="000000" w:themeColor="text1"/>
          <w:lang w:val="fr-FR"/>
        </w:rPr>
        <w:t xml:space="preserve"> scénario de croissance nominale zéro (scénario C) présenté par le Secrétariat fassent l</w:t>
      </w:r>
      <w:r w:rsidR="00EE0531">
        <w:rPr>
          <w:rFonts w:cs="Calibri"/>
          <w:iCs/>
          <w:noProof/>
          <w:color w:val="000000" w:themeColor="text1"/>
          <w:lang w:val="fr-FR"/>
        </w:rPr>
        <w:t>’</w:t>
      </w:r>
      <w:r w:rsidR="00333D2F" w:rsidRPr="004179B8">
        <w:rPr>
          <w:rFonts w:cs="Calibri"/>
          <w:iCs/>
          <w:noProof/>
          <w:color w:val="000000" w:themeColor="text1"/>
          <w:lang w:val="fr-FR"/>
        </w:rPr>
        <w:t>objet d</w:t>
      </w:r>
      <w:r w:rsidR="00EE0531">
        <w:rPr>
          <w:rFonts w:cs="Calibri"/>
          <w:iCs/>
          <w:noProof/>
          <w:color w:val="000000" w:themeColor="text1"/>
          <w:lang w:val="fr-FR"/>
        </w:rPr>
        <w:t>’</w:t>
      </w:r>
      <w:r w:rsidR="00333D2F" w:rsidRPr="004179B8">
        <w:rPr>
          <w:rFonts w:cs="Calibri"/>
          <w:iCs/>
          <w:noProof/>
          <w:color w:val="000000" w:themeColor="text1"/>
          <w:lang w:val="fr-FR"/>
        </w:rPr>
        <w:t xml:space="preserve">une </w:t>
      </w:r>
      <w:r w:rsidRPr="004179B8">
        <w:rPr>
          <w:rFonts w:cs="Calibri"/>
          <w:iCs/>
          <w:noProof/>
          <w:color w:val="000000" w:themeColor="text1"/>
          <w:lang w:val="fr-FR"/>
        </w:rPr>
        <w:t>discussion plus approfondie</w:t>
      </w:r>
      <w:r w:rsidR="00333D2F" w:rsidRPr="004179B8">
        <w:rPr>
          <w:rFonts w:cs="Calibri"/>
          <w:iCs/>
          <w:noProof/>
          <w:color w:val="000000" w:themeColor="text1"/>
          <w:lang w:val="fr-FR"/>
        </w:rPr>
        <w:t>.</w:t>
      </w:r>
    </w:p>
    <w:bookmarkEnd w:id="2"/>
    <w:p w14:paraId="5C5A62FE" w14:textId="77777777" w:rsidR="003945A7" w:rsidRPr="003945A7" w:rsidRDefault="003945A7" w:rsidP="003945A7">
      <w:pPr>
        <w:spacing w:after="0" w:line="240" w:lineRule="auto"/>
        <w:ind w:left="425" w:hanging="425"/>
        <w:contextualSpacing/>
        <w:rPr>
          <w:b/>
          <w:bCs/>
          <w:i/>
          <w:iCs/>
          <w:noProof/>
          <w:lang w:val="fr-FR"/>
        </w:rPr>
      </w:pPr>
      <w:r w:rsidRPr="003945A7">
        <w:rPr>
          <w:b/>
          <w:bCs/>
          <w:i/>
          <w:iCs/>
          <w:noProof/>
          <w:lang w:val="fr-FR"/>
        </w:rPr>
        <w:t>Le Sous-groupe sur les finances recommande au Comité permanent de :</w:t>
      </w:r>
    </w:p>
    <w:p w14:paraId="6F832417" w14:textId="071BD6BA" w:rsidR="003945A7" w:rsidRPr="004179B8" w:rsidRDefault="00741E7F" w:rsidP="003945A7">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t xml:space="preserve">i. </w:t>
      </w:r>
      <w:r w:rsidRPr="004179B8">
        <w:rPr>
          <w:rFonts w:cs="Calibri"/>
          <w:b/>
          <w:bCs/>
          <w:i/>
          <w:noProof/>
          <w:color w:val="000000" w:themeColor="text1"/>
          <w:lang w:val="fr-FR"/>
        </w:rPr>
        <w:tab/>
      </w:r>
      <w:r w:rsidR="003945A7" w:rsidRPr="004179B8">
        <w:rPr>
          <w:rFonts w:cs="Calibri"/>
          <w:b/>
          <w:bCs/>
          <w:i/>
          <w:noProof/>
          <w:color w:val="000000" w:themeColor="text1"/>
          <w:lang w:val="fr-FR"/>
        </w:rPr>
        <w:t>prendre note du contenu du</w:t>
      </w:r>
      <w:r w:rsidR="00496A3B" w:rsidRPr="004179B8">
        <w:rPr>
          <w:rFonts w:cs="Calibri"/>
          <w:b/>
          <w:bCs/>
          <w:i/>
          <w:noProof/>
          <w:color w:val="000000" w:themeColor="text1"/>
          <w:lang w:val="fr-FR"/>
        </w:rPr>
        <w:t xml:space="preserve"> document SC64 Doc 9.3 Rev.1</w:t>
      </w:r>
      <w:r w:rsidR="003945A7" w:rsidRPr="004179B8">
        <w:rPr>
          <w:rFonts w:cs="Calibri"/>
          <w:b/>
          <w:bCs/>
          <w:i/>
          <w:noProof/>
          <w:color w:val="000000" w:themeColor="text1"/>
          <w:lang w:val="fr-FR"/>
        </w:rPr>
        <w:t> </w:t>
      </w:r>
      <w:r w:rsidRPr="004179B8">
        <w:rPr>
          <w:rFonts w:cs="Calibri"/>
          <w:b/>
          <w:bCs/>
          <w:i/>
          <w:noProof/>
          <w:color w:val="000000" w:themeColor="text1"/>
          <w:lang w:val="fr-FR"/>
        </w:rPr>
        <w:t>;</w:t>
      </w:r>
    </w:p>
    <w:p w14:paraId="267D5000" w14:textId="736AE3A6" w:rsidR="003945A7" w:rsidRPr="004179B8" w:rsidRDefault="003945A7" w:rsidP="003945A7">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t xml:space="preserve">ii. </w:t>
      </w:r>
      <w:r w:rsidRPr="004179B8">
        <w:rPr>
          <w:rFonts w:cs="Calibri"/>
          <w:b/>
          <w:bCs/>
          <w:i/>
          <w:noProof/>
          <w:color w:val="000000" w:themeColor="text1"/>
          <w:lang w:val="fr-FR"/>
        </w:rPr>
        <w:tab/>
        <w:t>[charger le Secrétariat de présenter les scénarios __ et __ à la 15</w:t>
      </w:r>
      <w:r w:rsidRPr="004179B8">
        <w:rPr>
          <w:rFonts w:cs="Calibri"/>
          <w:b/>
          <w:bCs/>
          <w:i/>
          <w:noProof/>
          <w:color w:val="000000" w:themeColor="text1"/>
          <w:vertAlign w:val="superscript"/>
          <w:lang w:val="fr-FR"/>
        </w:rPr>
        <w:t>e</w:t>
      </w:r>
      <w:r w:rsidRPr="004179B8">
        <w:rPr>
          <w:rFonts w:cs="Calibri"/>
          <w:b/>
          <w:bCs/>
          <w:i/>
          <w:noProof/>
          <w:color w:val="000000" w:themeColor="text1"/>
          <w:lang w:val="fr-FR"/>
        </w:rPr>
        <w:t xml:space="preserve"> session de la Conférence des Parties contractantes ;]</w:t>
      </w:r>
    </w:p>
    <w:p w14:paraId="310DEC7A" w14:textId="15847A12" w:rsidR="00496A3B" w:rsidRPr="004179B8" w:rsidRDefault="00496A3B" w:rsidP="003945A7">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lastRenderedPageBreak/>
        <w:t>iii.</w:t>
      </w:r>
      <w:r w:rsidRPr="004179B8">
        <w:rPr>
          <w:rFonts w:cs="Calibri"/>
          <w:b/>
          <w:bCs/>
          <w:i/>
          <w:noProof/>
          <w:color w:val="000000" w:themeColor="text1"/>
          <w:lang w:val="fr-FR"/>
        </w:rPr>
        <w:tab/>
      </w:r>
      <w:r w:rsidR="003945A7" w:rsidRPr="004179B8">
        <w:rPr>
          <w:rFonts w:cs="Calibri"/>
          <w:b/>
          <w:bCs/>
          <w:i/>
          <w:noProof/>
          <w:color w:val="000000" w:themeColor="text1"/>
          <w:lang w:val="fr-FR"/>
        </w:rPr>
        <w:t>approuver le projet de résolution sur les questions financières et budgétaires qui sera soumis pour examen à la COP15, tel qu</w:t>
      </w:r>
      <w:r w:rsidR="00EE0531">
        <w:rPr>
          <w:rFonts w:cs="Calibri"/>
          <w:b/>
          <w:bCs/>
          <w:i/>
          <w:noProof/>
          <w:color w:val="000000" w:themeColor="text1"/>
          <w:lang w:val="fr-FR"/>
        </w:rPr>
        <w:t>’</w:t>
      </w:r>
      <w:r w:rsidR="003945A7" w:rsidRPr="004179B8">
        <w:rPr>
          <w:rFonts w:cs="Calibri"/>
          <w:b/>
          <w:bCs/>
          <w:i/>
          <w:noProof/>
          <w:color w:val="000000" w:themeColor="text1"/>
          <w:lang w:val="fr-FR"/>
        </w:rPr>
        <w:t>il figure à l</w:t>
      </w:r>
      <w:r w:rsidR="00EE0531">
        <w:rPr>
          <w:rFonts w:cs="Calibri"/>
          <w:b/>
          <w:bCs/>
          <w:i/>
          <w:noProof/>
          <w:color w:val="000000" w:themeColor="text1"/>
          <w:lang w:val="fr-FR"/>
        </w:rPr>
        <w:t>’</w:t>
      </w:r>
      <w:r w:rsidR="003945A7" w:rsidRPr="004179B8">
        <w:rPr>
          <w:rFonts w:cs="Calibri"/>
          <w:b/>
          <w:bCs/>
          <w:i/>
          <w:noProof/>
          <w:color w:val="000000" w:themeColor="text1"/>
          <w:lang w:val="fr-FR"/>
        </w:rPr>
        <w:t>annexe 2 du présent document</w:t>
      </w:r>
      <w:r w:rsidRPr="004179B8">
        <w:rPr>
          <w:rFonts w:cs="Calibri"/>
          <w:b/>
          <w:bCs/>
          <w:i/>
          <w:noProof/>
          <w:color w:val="000000" w:themeColor="text1"/>
          <w:lang w:val="fr-FR"/>
        </w:rPr>
        <w:t>.</w:t>
      </w:r>
      <w:r w:rsidR="000D3245" w:rsidRPr="004179B8">
        <w:rPr>
          <w:rStyle w:val="FootnoteReference"/>
          <w:rFonts w:cs="Calibri"/>
          <w:b/>
          <w:bCs/>
          <w:iCs/>
          <w:noProof/>
          <w:color w:val="000000" w:themeColor="text1"/>
          <w:lang w:val="fr-FR"/>
        </w:rPr>
        <w:footnoteReference w:id="3"/>
      </w:r>
    </w:p>
    <w:p w14:paraId="368DCC9F" w14:textId="77777777" w:rsidR="00496A3B" w:rsidRPr="004179B8" w:rsidRDefault="00496A3B" w:rsidP="00462ECE">
      <w:pPr>
        <w:spacing w:after="0" w:line="240" w:lineRule="auto"/>
        <w:ind w:left="425" w:hanging="425"/>
        <w:contextualSpacing/>
        <w:rPr>
          <w:rFonts w:cs="Calibri"/>
          <w:b/>
          <w:bCs/>
          <w:i/>
          <w:noProof/>
          <w:color w:val="000000" w:themeColor="text1"/>
          <w:lang w:val="fr-FR"/>
        </w:rPr>
      </w:pPr>
    </w:p>
    <w:p w14:paraId="0B99A8E2" w14:textId="68422EC0" w:rsidR="00CD1C73" w:rsidRPr="004179B8" w:rsidRDefault="00CD1C73" w:rsidP="00CD1C73">
      <w:pPr>
        <w:spacing w:after="0" w:line="240" w:lineRule="auto"/>
        <w:ind w:left="426" w:hanging="426"/>
        <w:rPr>
          <w:b/>
          <w:noProof/>
          <w:lang w:val="fr-FR"/>
        </w:rPr>
      </w:pPr>
      <w:r w:rsidRPr="004179B8">
        <w:rPr>
          <w:b/>
          <w:noProof/>
          <w:lang w:val="fr-FR"/>
        </w:rPr>
        <w:t>5)</w:t>
      </w:r>
      <w:r w:rsidRPr="004179B8">
        <w:rPr>
          <w:b/>
          <w:noProof/>
          <w:lang w:val="fr-FR"/>
        </w:rPr>
        <w:tab/>
      </w:r>
      <w:r w:rsidR="00B229AF" w:rsidRPr="004179B8">
        <w:rPr>
          <w:b/>
          <w:iCs/>
          <w:noProof/>
          <w:lang w:val="fr-FR"/>
        </w:rPr>
        <w:t>Allocation des</w:t>
      </w:r>
      <w:r w:rsidR="00B229AF" w:rsidRPr="004179B8">
        <w:rPr>
          <w:b/>
          <w:noProof/>
          <w:lang w:val="fr-FR"/>
        </w:rPr>
        <w:t xml:space="preserve"> </w:t>
      </w:r>
      <w:r w:rsidR="00B229AF" w:rsidRPr="004179B8">
        <w:rPr>
          <w:b/>
          <w:iCs/>
          <w:noProof/>
          <w:lang w:val="fr-FR"/>
        </w:rPr>
        <w:t>fonds excédentaires</w:t>
      </w:r>
    </w:p>
    <w:p w14:paraId="20C28305" w14:textId="77777777" w:rsidR="00CD1C73" w:rsidRPr="004179B8" w:rsidRDefault="00CD1C73" w:rsidP="00CD1C73">
      <w:pPr>
        <w:spacing w:after="0" w:line="240" w:lineRule="auto"/>
        <w:ind w:left="426" w:hanging="426"/>
        <w:rPr>
          <w:b/>
          <w:noProof/>
          <w:lang w:val="fr-FR"/>
        </w:rPr>
      </w:pPr>
    </w:p>
    <w:p w14:paraId="78E2BCB2" w14:textId="7A953DFB" w:rsidR="00B229AF" w:rsidRPr="004179B8" w:rsidRDefault="00B229AF" w:rsidP="00B229AF">
      <w:pPr>
        <w:rPr>
          <w:rFonts w:cs="Calibri"/>
          <w:iCs/>
          <w:noProof/>
          <w:color w:val="000000" w:themeColor="text1"/>
          <w:lang w:val="fr-FR"/>
        </w:rPr>
      </w:pPr>
      <w:r w:rsidRPr="004179B8">
        <w:rPr>
          <w:rFonts w:cs="Calibri"/>
          <w:iCs/>
          <w:noProof/>
          <w:color w:val="000000" w:themeColor="text1"/>
          <w:lang w:val="fr-FR"/>
        </w:rPr>
        <w:t>Le Sous-groupe convient de discuter de l</w:t>
      </w:r>
      <w:r w:rsidR="00EE0531">
        <w:rPr>
          <w:rFonts w:cs="Calibri"/>
          <w:iCs/>
          <w:noProof/>
          <w:color w:val="000000" w:themeColor="text1"/>
          <w:lang w:val="fr-FR"/>
        </w:rPr>
        <w:t>’</w:t>
      </w:r>
      <w:r w:rsidRPr="004179B8">
        <w:rPr>
          <w:rFonts w:cs="Calibri"/>
          <w:iCs/>
          <w:noProof/>
          <w:color w:val="000000" w:themeColor="text1"/>
          <w:lang w:val="fr-FR"/>
        </w:rPr>
        <w:t>allocation des fonds excédentaires lors de sa réunion prévue plus tard dans la semaine, après discussion en séance plénière des points connexes. Le Président du GEST propose de partager des informations sur deux demandes d</w:t>
      </w:r>
      <w:r w:rsidR="00EE0531">
        <w:rPr>
          <w:rFonts w:cs="Calibri"/>
          <w:iCs/>
          <w:noProof/>
          <w:color w:val="000000" w:themeColor="text1"/>
          <w:lang w:val="fr-FR"/>
        </w:rPr>
        <w:t>’</w:t>
      </w:r>
      <w:r w:rsidRPr="004179B8">
        <w:rPr>
          <w:rFonts w:cs="Calibri"/>
          <w:iCs/>
          <w:noProof/>
          <w:color w:val="000000" w:themeColor="text1"/>
          <w:lang w:val="fr-FR"/>
        </w:rPr>
        <w:t>attribution de fonds excédentaires, à savoir :</w:t>
      </w:r>
    </w:p>
    <w:p w14:paraId="720ED996" w14:textId="052EF0AC" w:rsidR="00B229AF" w:rsidRPr="004179B8" w:rsidRDefault="00246AB9" w:rsidP="00246AB9">
      <w:pPr>
        <w:pStyle w:val="MGfulltext"/>
        <w:spacing w:after="0"/>
        <w:ind w:left="426" w:hanging="426"/>
        <w:rPr>
          <w:rFonts w:asciiTheme="minorHAnsi" w:eastAsia="Batang" w:hAnsiTheme="minorHAnsi" w:cstheme="minorHAnsi"/>
          <w:noProof/>
          <w:sz w:val="22"/>
          <w:szCs w:val="22"/>
          <w:lang w:val="fr-FR"/>
        </w:rPr>
      </w:pPr>
      <w:r w:rsidRPr="004179B8">
        <w:rPr>
          <w:rFonts w:asciiTheme="minorHAnsi" w:eastAsia="Batang" w:hAnsiTheme="minorHAnsi" w:cstheme="minorHAnsi"/>
          <w:noProof/>
          <w:sz w:val="22"/>
          <w:szCs w:val="22"/>
          <w:lang w:val="fr-FR"/>
        </w:rPr>
        <w:t>a.</w:t>
      </w:r>
      <w:r w:rsidRPr="004179B8">
        <w:rPr>
          <w:rFonts w:asciiTheme="minorHAnsi" w:eastAsia="Batang" w:hAnsiTheme="minorHAnsi" w:cstheme="minorHAnsi"/>
          <w:noProof/>
          <w:sz w:val="22"/>
          <w:szCs w:val="22"/>
          <w:lang w:val="fr-FR"/>
        </w:rPr>
        <w:tab/>
      </w:r>
      <w:r w:rsidR="00B229AF" w:rsidRPr="004179B8">
        <w:rPr>
          <w:rFonts w:asciiTheme="minorHAnsi" w:eastAsia="Batang" w:hAnsiTheme="minorHAnsi" w:cstheme="minorHAnsi"/>
          <w:noProof/>
          <w:sz w:val="22"/>
          <w:szCs w:val="22"/>
          <w:lang w:val="fr-FR"/>
        </w:rPr>
        <w:t>40 000 CHF pour des activités liées à l</w:t>
      </w:r>
      <w:r w:rsidR="00EE0531">
        <w:rPr>
          <w:rFonts w:asciiTheme="minorHAnsi" w:eastAsia="Batang" w:hAnsiTheme="minorHAnsi" w:cstheme="minorHAnsi"/>
          <w:noProof/>
          <w:sz w:val="22"/>
          <w:szCs w:val="22"/>
          <w:lang w:val="fr-FR"/>
        </w:rPr>
        <w:t>’</w:t>
      </w:r>
      <w:r w:rsidR="00C25ED4">
        <w:rPr>
          <w:rFonts w:asciiTheme="minorHAnsi" w:eastAsia="Batang" w:hAnsiTheme="minorHAnsi" w:cstheme="minorHAnsi"/>
          <w:noProof/>
          <w:sz w:val="22"/>
          <w:szCs w:val="22"/>
          <w:lang w:val="fr-FR"/>
        </w:rPr>
        <w:t>o</w:t>
      </w:r>
      <w:r w:rsidR="00B229AF" w:rsidRPr="004179B8">
        <w:rPr>
          <w:rFonts w:asciiTheme="minorHAnsi" w:eastAsia="Batang" w:hAnsiTheme="minorHAnsi" w:cstheme="minorHAnsi"/>
          <w:noProof/>
          <w:sz w:val="22"/>
          <w:szCs w:val="22"/>
          <w:lang w:val="fr-FR"/>
        </w:rPr>
        <w:t>bservation de la Terre - voir l</w:t>
      </w:r>
      <w:r w:rsidR="00EE0531">
        <w:rPr>
          <w:rFonts w:asciiTheme="minorHAnsi" w:eastAsia="Batang" w:hAnsiTheme="minorHAnsi" w:cstheme="minorHAnsi"/>
          <w:noProof/>
          <w:sz w:val="22"/>
          <w:szCs w:val="22"/>
          <w:lang w:val="fr-FR"/>
        </w:rPr>
        <w:t>’</w:t>
      </w:r>
      <w:r w:rsidR="00B229AF" w:rsidRPr="004179B8">
        <w:rPr>
          <w:rFonts w:asciiTheme="minorHAnsi" w:eastAsia="Batang" w:hAnsiTheme="minorHAnsi" w:cstheme="minorHAnsi"/>
          <w:noProof/>
          <w:sz w:val="22"/>
          <w:szCs w:val="22"/>
          <w:lang w:val="fr-FR"/>
        </w:rPr>
        <w:t xml:space="preserve">annexe 2 du présent rapport pour plus de détails. </w:t>
      </w:r>
    </w:p>
    <w:p w14:paraId="701AB51B" w14:textId="003E2AD7" w:rsidR="00246AB9" w:rsidRPr="004179B8" w:rsidRDefault="00246AB9" w:rsidP="00246AB9">
      <w:pPr>
        <w:pStyle w:val="MGfulltext"/>
        <w:spacing w:after="0"/>
        <w:ind w:left="426" w:hanging="426"/>
        <w:rPr>
          <w:rFonts w:asciiTheme="minorHAnsi" w:eastAsia="Batang" w:hAnsiTheme="minorHAnsi" w:cstheme="minorHAnsi"/>
          <w:noProof/>
          <w:sz w:val="22"/>
          <w:szCs w:val="22"/>
          <w:lang w:val="fr-FR"/>
        </w:rPr>
      </w:pPr>
    </w:p>
    <w:p w14:paraId="194E531F" w14:textId="23B9EE71" w:rsidR="00246AB9" w:rsidRPr="004179B8" w:rsidRDefault="00246AB9" w:rsidP="007C7C33">
      <w:pPr>
        <w:pStyle w:val="MGfulltext"/>
        <w:ind w:left="426" w:hanging="426"/>
        <w:rPr>
          <w:rFonts w:asciiTheme="minorHAnsi" w:eastAsia="Batang" w:hAnsiTheme="minorHAnsi" w:cstheme="minorHAnsi"/>
          <w:noProof/>
          <w:sz w:val="22"/>
          <w:szCs w:val="22"/>
          <w:lang w:val="fr-FR"/>
        </w:rPr>
      </w:pPr>
      <w:r w:rsidRPr="004179B8">
        <w:rPr>
          <w:rFonts w:asciiTheme="minorHAnsi" w:eastAsia="Batang" w:hAnsiTheme="minorHAnsi" w:cstheme="minorHAnsi"/>
          <w:noProof/>
          <w:sz w:val="22"/>
          <w:szCs w:val="22"/>
          <w:lang w:val="fr-FR"/>
        </w:rPr>
        <w:t>b.</w:t>
      </w:r>
      <w:r w:rsidRPr="004179B8">
        <w:rPr>
          <w:rFonts w:asciiTheme="minorHAnsi" w:eastAsia="Batang" w:hAnsiTheme="minorHAnsi" w:cstheme="minorHAnsi"/>
          <w:noProof/>
          <w:sz w:val="22"/>
          <w:szCs w:val="22"/>
          <w:lang w:val="fr-FR"/>
        </w:rPr>
        <w:tab/>
      </w:r>
      <w:r w:rsidR="007C7C33" w:rsidRPr="004179B8">
        <w:rPr>
          <w:rFonts w:asciiTheme="minorHAnsi" w:eastAsia="Batang" w:hAnsiTheme="minorHAnsi" w:cstheme="minorHAnsi"/>
          <w:noProof/>
          <w:sz w:val="22"/>
          <w:szCs w:val="22"/>
          <w:lang w:val="fr-FR"/>
        </w:rPr>
        <w:t xml:space="preserve">Un financement </w:t>
      </w:r>
      <w:r w:rsidR="00C25ED4">
        <w:rPr>
          <w:rFonts w:asciiTheme="minorHAnsi" w:eastAsia="Batang" w:hAnsiTheme="minorHAnsi" w:cstheme="minorHAnsi"/>
          <w:noProof/>
          <w:sz w:val="22"/>
          <w:szCs w:val="22"/>
          <w:lang w:val="fr-FR"/>
        </w:rPr>
        <w:t>de</w:t>
      </w:r>
      <w:r w:rsidR="007C7C33" w:rsidRPr="004179B8">
        <w:rPr>
          <w:rFonts w:asciiTheme="minorHAnsi" w:eastAsia="Batang" w:hAnsiTheme="minorHAnsi" w:cstheme="minorHAnsi"/>
          <w:noProof/>
          <w:sz w:val="22"/>
          <w:szCs w:val="22"/>
          <w:lang w:val="fr-FR"/>
        </w:rPr>
        <w:t xml:space="preserve"> </w:t>
      </w:r>
      <w:r w:rsidR="004A0651" w:rsidRPr="004179B8">
        <w:rPr>
          <w:rFonts w:asciiTheme="minorHAnsi" w:eastAsia="Batang" w:hAnsiTheme="minorHAnsi" w:cstheme="minorHAnsi"/>
          <w:noProof/>
          <w:sz w:val="22"/>
          <w:szCs w:val="22"/>
          <w:lang w:val="fr-FR"/>
        </w:rPr>
        <w:t>465</w:t>
      </w:r>
      <w:r w:rsidR="007C7C33" w:rsidRPr="004179B8">
        <w:rPr>
          <w:rFonts w:asciiTheme="minorHAnsi" w:eastAsia="Batang" w:hAnsiTheme="minorHAnsi" w:cstheme="minorHAnsi"/>
          <w:noProof/>
          <w:sz w:val="22"/>
          <w:szCs w:val="22"/>
          <w:lang w:val="fr-FR"/>
        </w:rPr>
        <w:t> 000 CHF</w:t>
      </w:r>
      <w:r w:rsidR="00C25ED4">
        <w:rPr>
          <w:rFonts w:asciiTheme="minorHAnsi" w:eastAsia="Batang" w:hAnsiTheme="minorHAnsi" w:cstheme="minorHAnsi"/>
          <w:noProof/>
          <w:sz w:val="22"/>
          <w:szCs w:val="22"/>
          <w:lang w:val="fr-FR"/>
        </w:rPr>
        <w:t xml:space="preserve"> au maximum</w:t>
      </w:r>
      <w:r w:rsidR="007C7C33" w:rsidRPr="004179B8">
        <w:rPr>
          <w:rFonts w:asciiTheme="minorHAnsi" w:eastAsia="Batang" w:hAnsiTheme="minorHAnsi" w:cstheme="minorHAnsi"/>
          <w:noProof/>
          <w:sz w:val="22"/>
          <w:szCs w:val="22"/>
          <w:lang w:val="fr-FR"/>
        </w:rPr>
        <w:t xml:space="preserve"> en faveur des activités proposées dans le document SC64 Doc.20,</w:t>
      </w:r>
      <w:r w:rsidR="007C7C33" w:rsidRPr="004179B8">
        <w:rPr>
          <w:noProof/>
          <w:lang w:val="fr-FR"/>
        </w:rPr>
        <w:t xml:space="preserve"> </w:t>
      </w:r>
      <w:r w:rsidR="007C7C33" w:rsidRPr="004179B8">
        <w:rPr>
          <w:rFonts w:asciiTheme="minorHAnsi" w:eastAsia="Batang" w:hAnsiTheme="minorHAnsi" w:cstheme="minorHAnsi"/>
          <w:i/>
          <w:iCs/>
          <w:noProof/>
          <w:sz w:val="22"/>
          <w:szCs w:val="22"/>
          <w:lang w:val="fr-FR"/>
        </w:rPr>
        <w:t>Projet de résolution sur la création du Partenariat pour les estimations des populations d</w:t>
      </w:r>
      <w:r w:rsidR="00EE0531">
        <w:rPr>
          <w:rFonts w:asciiTheme="minorHAnsi" w:eastAsia="Batang" w:hAnsiTheme="minorHAnsi" w:cstheme="minorHAnsi"/>
          <w:i/>
          <w:iCs/>
          <w:noProof/>
          <w:sz w:val="22"/>
          <w:szCs w:val="22"/>
          <w:lang w:val="fr-FR"/>
        </w:rPr>
        <w:t>’</w:t>
      </w:r>
      <w:r w:rsidR="007C7C33" w:rsidRPr="004179B8">
        <w:rPr>
          <w:rFonts w:asciiTheme="minorHAnsi" w:eastAsia="Batang" w:hAnsiTheme="minorHAnsi" w:cstheme="minorHAnsi"/>
          <w:i/>
          <w:iCs/>
          <w:noProof/>
          <w:sz w:val="22"/>
          <w:szCs w:val="22"/>
          <w:lang w:val="fr-FR"/>
        </w:rPr>
        <w:t>oiseaux d</w:t>
      </w:r>
      <w:r w:rsidR="00EE0531">
        <w:rPr>
          <w:rFonts w:asciiTheme="minorHAnsi" w:eastAsia="Batang" w:hAnsiTheme="minorHAnsi" w:cstheme="minorHAnsi"/>
          <w:i/>
          <w:iCs/>
          <w:noProof/>
          <w:sz w:val="22"/>
          <w:szCs w:val="22"/>
          <w:lang w:val="fr-FR"/>
        </w:rPr>
        <w:t>’</w:t>
      </w:r>
      <w:r w:rsidR="007C7C33" w:rsidRPr="004179B8">
        <w:rPr>
          <w:rFonts w:asciiTheme="minorHAnsi" w:eastAsia="Batang" w:hAnsiTheme="minorHAnsi" w:cstheme="minorHAnsi"/>
          <w:i/>
          <w:iCs/>
          <w:noProof/>
          <w:sz w:val="22"/>
          <w:szCs w:val="22"/>
          <w:lang w:val="fr-FR"/>
        </w:rPr>
        <w:t>eau et la publication de l</w:t>
      </w:r>
      <w:r w:rsidR="00EE0531">
        <w:rPr>
          <w:rFonts w:asciiTheme="minorHAnsi" w:eastAsia="Batang" w:hAnsiTheme="minorHAnsi" w:cstheme="minorHAnsi"/>
          <w:i/>
          <w:iCs/>
          <w:noProof/>
          <w:sz w:val="22"/>
          <w:szCs w:val="22"/>
          <w:lang w:val="fr-FR"/>
        </w:rPr>
        <w:t>’</w:t>
      </w:r>
      <w:r w:rsidR="007C7C33" w:rsidRPr="004179B8">
        <w:rPr>
          <w:rFonts w:asciiTheme="minorHAnsi" w:eastAsia="Batang" w:hAnsiTheme="minorHAnsi" w:cstheme="minorHAnsi"/>
          <w:i/>
          <w:iCs/>
          <w:noProof/>
          <w:sz w:val="22"/>
          <w:szCs w:val="22"/>
          <w:lang w:val="fr-FR"/>
        </w:rPr>
        <w:t>édition 2027 du rapport</w:t>
      </w:r>
      <w:r w:rsidR="007C7C33" w:rsidRPr="004179B8">
        <w:rPr>
          <w:rFonts w:asciiTheme="minorHAnsi" w:eastAsia="Batang" w:hAnsiTheme="minorHAnsi" w:cstheme="minorHAnsi"/>
          <w:noProof/>
          <w:sz w:val="22"/>
          <w:szCs w:val="22"/>
          <w:lang w:val="fr-FR"/>
        </w:rPr>
        <w:t xml:space="preserve"> Waterbird Population Estimates, d</w:t>
      </w:r>
      <w:r w:rsidR="00EE0531">
        <w:rPr>
          <w:rFonts w:asciiTheme="minorHAnsi" w:eastAsia="Batang" w:hAnsiTheme="minorHAnsi" w:cstheme="minorHAnsi"/>
          <w:noProof/>
          <w:sz w:val="22"/>
          <w:szCs w:val="22"/>
          <w:lang w:val="fr-FR"/>
        </w:rPr>
        <w:t>’</w:t>
      </w:r>
      <w:r w:rsidR="007C7C33" w:rsidRPr="004179B8">
        <w:rPr>
          <w:rFonts w:asciiTheme="minorHAnsi" w:eastAsia="Batang" w:hAnsiTheme="minorHAnsi" w:cstheme="minorHAnsi"/>
          <w:noProof/>
          <w:sz w:val="22"/>
          <w:szCs w:val="22"/>
          <w:lang w:val="fr-FR"/>
        </w:rPr>
        <w:t xml:space="preserve">un montant présenté </w:t>
      </w:r>
      <w:r w:rsidR="00C25ED4">
        <w:rPr>
          <w:rFonts w:asciiTheme="minorHAnsi" w:eastAsia="Batang" w:hAnsiTheme="minorHAnsi" w:cstheme="minorHAnsi"/>
          <w:noProof/>
          <w:sz w:val="22"/>
          <w:szCs w:val="22"/>
          <w:lang w:val="fr-FR"/>
        </w:rPr>
        <w:t xml:space="preserve">succinctement </w:t>
      </w:r>
      <w:r w:rsidR="007C7C33" w:rsidRPr="004179B8">
        <w:rPr>
          <w:rFonts w:asciiTheme="minorHAnsi" w:eastAsia="Batang" w:hAnsiTheme="minorHAnsi" w:cstheme="minorHAnsi"/>
          <w:noProof/>
          <w:sz w:val="22"/>
          <w:szCs w:val="22"/>
          <w:lang w:val="fr-FR"/>
        </w:rPr>
        <w:t>dans le tableau 2 ci-dessous, et en fonction de la décision du Comité permanent - voir l</w:t>
      </w:r>
      <w:r w:rsidR="00EE0531">
        <w:rPr>
          <w:rFonts w:asciiTheme="minorHAnsi" w:eastAsia="Batang" w:hAnsiTheme="minorHAnsi" w:cstheme="minorHAnsi"/>
          <w:noProof/>
          <w:sz w:val="22"/>
          <w:szCs w:val="22"/>
          <w:lang w:val="fr-FR"/>
        </w:rPr>
        <w:t>’</w:t>
      </w:r>
      <w:r w:rsidR="007C7C33" w:rsidRPr="004179B8">
        <w:rPr>
          <w:rFonts w:asciiTheme="minorHAnsi" w:eastAsia="Batang" w:hAnsiTheme="minorHAnsi" w:cstheme="minorHAnsi"/>
          <w:noProof/>
          <w:sz w:val="22"/>
          <w:szCs w:val="22"/>
          <w:lang w:val="fr-FR"/>
        </w:rPr>
        <w:t>annexe 3 pour de plus amples détails.</w:t>
      </w:r>
    </w:p>
    <w:p w14:paraId="567DDEB0" w14:textId="77777777" w:rsidR="007C7C33" w:rsidRPr="004179B8" w:rsidRDefault="007C7C33" w:rsidP="007C7C33">
      <w:pPr>
        <w:pStyle w:val="MGfulltext"/>
        <w:ind w:left="426" w:hanging="426"/>
        <w:rPr>
          <w:rFonts w:asciiTheme="minorHAnsi" w:eastAsia="Batang" w:hAnsiTheme="minorHAnsi" w:cstheme="minorHAnsi"/>
          <w:noProof/>
          <w:sz w:val="22"/>
          <w:szCs w:val="22"/>
          <w:lang w:val="fr-FR"/>
        </w:rPr>
      </w:pPr>
    </w:p>
    <w:p w14:paraId="15A95D65" w14:textId="6230CD01" w:rsidR="001C7745" w:rsidRPr="004179B8" w:rsidRDefault="00E13597" w:rsidP="00E13597">
      <w:pPr>
        <w:keepNext/>
        <w:spacing w:after="0" w:line="240" w:lineRule="auto"/>
        <w:rPr>
          <w:rFonts w:eastAsia="Batang" w:cstheme="minorHAnsi"/>
          <w:noProof/>
          <w:lang w:val="fr-FR"/>
        </w:rPr>
      </w:pPr>
      <w:r w:rsidRPr="004179B8">
        <w:rPr>
          <w:rFonts w:ascii="Calibri" w:eastAsia="Times New Roman" w:hAnsi="Calibri" w:cs="Calibri"/>
          <w:i/>
          <w:iCs/>
          <w:noProof/>
          <w:color w:val="000000"/>
          <w:lang w:val="fr-FR" w:eastAsia="en-GB"/>
        </w:rPr>
        <w:lastRenderedPageBreak/>
        <w:t>Table</w:t>
      </w:r>
      <w:r w:rsidR="007C7C33" w:rsidRPr="004179B8">
        <w:rPr>
          <w:rFonts w:ascii="Calibri" w:eastAsia="Times New Roman" w:hAnsi="Calibri" w:cs="Calibri"/>
          <w:i/>
          <w:iCs/>
          <w:noProof/>
          <w:color w:val="000000"/>
          <w:lang w:val="fr-FR" w:eastAsia="en-GB"/>
        </w:rPr>
        <w:t>au</w:t>
      </w:r>
      <w:r w:rsidRPr="004179B8">
        <w:rPr>
          <w:rFonts w:ascii="Calibri" w:eastAsia="Times New Roman" w:hAnsi="Calibri" w:cs="Calibri"/>
          <w:i/>
          <w:iCs/>
          <w:noProof/>
          <w:color w:val="000000"/>
          <w:lang w:val="fr-FR" w:eastAsia="en-GB"/>
        </w:rPr>
        <w:t xml:space="preserve"> 2</w:t>
      </w:r>
      <w:r w:rsidR="007C7C33" w:rsidRPr="004179B8">
        <w:rPr>
          <w:rFonts w:ascii="Calibri" w:eastAsia="Times New Roman" w:hAnsi="Calibri" w:cs="Calibri"/>
          <w:i/>
          <w:iCs/>
          <w:noProof/>
          <w:color w:val="000000"/>
          <w:lang w:val="fr-FR" w:eastAsia="en-GB"/>
        </w:rPr>
        <w:t xml:space="preserve"> </w:t>
      </w:r>
      <w:r w:rsidRPr="004179B8">
        <w:rPr>
          <w:rFonts w:ascii="Calibri" w:eastAsia="Times New Roman" w:hAnsi="Calibri" w:cs="Calibri"/>
          <w:i/>
          <w:iCs/>
          <w:noProof/>
          <w:color w:val="000000"/>
          <w:lang w:val="fr-FR" w:eastAsia="en-GB"/>
        </w:rPr>
        <w:t xml:space="preserve">: </w:t>
      </w:r>
      <w:r w:rsidR="006D4DBF" w:rsidRPr="004179B8">
        <w:rPr>
          <w:rFonts w:ascii="Calibri" w:eastAsia="Times New Roman" w:hAnsi="Calibri" w:cs="Calibri"/>
          <w:i/>
          <w:iCs/>
          <w:noProof/>
          <w:color w:val="000000"/>
          <w:lang w:val="fr-FR" w:eastAsia="en-GB"/>
        </w:rPr>
        <w:t>Montants à envisager</w:t>
      </w:r>
      <w:r w:rsidRPr="004179B8">
        <w:rPr>
          <w:rFonts w:ascii="Calibri" w:eastAsia="Times New Roman" w:hAnsi="Calibri" w:cs="Calibri"/>
          <w:i/>
          <w:iCs/>
          <w:noProof/>
          <w:color w:val="000000"/>
          <w:lang w:val="fr-FR" w:eastAsia="en-GB"/>
        </w:rPr>
        <w:t xml:space="preserve"> (</w:t>
      </w:r>
      <w:r w:rsidR="006D4DBF" w:rsidRPr="004179B8">
        <w:rPr>
          <w:rFonts w:ascii="Calibri" w:eastAsia="Times New Roman" w:hAnsi="Calibri" w:cs="Calibri"/>
          <w:i/>
          <w:iCs/>
          <w:noProof/>
          <w:color w:val="000000"/>
          <w:lang w:val="fr-FR" w:eastAsia="en-GB"/>
        </w:rPr>
        <w:t>e</w:t>
      </w:r>
      <w:r w:rsidRPr="004179B8">
        <w:rPr>
          <w:rFonts w:ascii="Calibri" w:eastAsia="Times New Roman" w:hAnsi="Calibri" w:cs="Calibri"/>
          <w:i/>
          <w:iCs/>
          <w:noProof/>
          <w:color w:val="000000"/>
          <w:lang w:val="fr-FR" w:eastAsia="en-GB"/>
        </w:rPr>
        <w:t xml:space="preserve">n CHF) </w:t>
      </w:r>
      <w:r w:rsidR="006D4DBF" w:rsidRPr="004179B8">
        <w:rPr>
          <w:rFonts w:ascii="Calibri" w:eastAsia="Times New Roman" w:hAnsi="Calibri" w:cs="Calibri"/>
          <w:i/>
          <w:iCs/>
          <w:noProof/>
          <w:color w:val="000000"/>
          <w:lang w:val="fr-FR" w:eastAsia="en-GB"/>
        </w:rPr>
        <w:t xml:space="preserve">pour créer le </w:t>
      </w:r>
      <w:r w:rsidR="00B5607F" w:rsidRPr="004179B8">
        <w:rPr>
          <w:rFonts w:ascii="Calibri" w:eastAsia="Times New Roman" w:hAnsi="Calibri" w:cs="Calibri"/>
          <w:i/>
          <w:iCs/>
          <w:noProof/>
          <w:color w:val="000000"/>
          <w:lang w:val="fr-FR" w:eastAsia="en-GB"/>
        </w:rPr>
        <w:t>P</w:t>
      </w:r>
      <w:r w:rsidR="006D4DBF" w:rsidRPr="004179B8">
        <w:rPr>
          <w:rFonts w:ascii="Calibri" w:eastAsia="Times New Roman" w:hAnsi="Calibri" w:cs="Calibri"/>
          <w:i/>
          <w:iCs/>
          <w:noProof/>
          <w:color w:val="000000"/>
          <w:lang w:val="fr-FR" w:eastAsia="en-GB"/>
        </w:rPr>
        <w:t>artenariat pour l</w:t>
      </w:r>
      <w:r w:rsidR="00EE0531">
        <w:rPr>
          <w:rFonts w:ascii="Calibri" w:eastAsia="Times New Roman" w:hAnsi="Calibri" w:cs="Calibri"/>
          <w:i/>
          <w:iCs/>
          <w:noProof/>
          <w:color w:val="000000"/>
          <w:lang w:val="fr-FR" w:eastAsia="en-GB"/>
        </w:rPr>
        <w:t>’</w:t>
      </w:r>
      <w:r w:rsidR="006D4DBF" w:rsidRPr="004179B8">
        <w:rPr>
          <w:rFonts w:ascii="Calibri" w:eastAsia="Times New Roman" w:hAnsi="Calibri" w:cs="Calibri"/>
          <w:i/>
          <w:iCs/>
          <w:noProof/>
          <w:color w:val="000000"/>
          <w:lang w:val="fr-FR" w:eastAsia="en-GB"/>
        </w:rPr>
        <w:t>estimation des populations d</w:t>
      </w:r>
      <w:r w:rsidR="00EE0531">
        <w:rPr>
          <w:rFonts w:ascii="Calibri" w:eastAsia="Times New Roman" w:hAnsi="Calibri" w:cs="Calibri"/>
          <w:i/>
          <w:iCs/>
          <w:noProof/>
          <w:color w:val="000000"/>
          <w:lang w:val="fr-FR" w:eastAsia="en-GB"/>
        </w:rPr>
        <w:t>’</w:t>
      </w:r>
      <w:r w:rsidR="006D4DBF" w:rsidRPr="004179B8">
        <w:rPr>
          <w:rFonts w:ascii="Calibri" w:eastAsia="Times New Roman" w:hAnsi="Calibri" w:cs="Calibri"/>
          <w:i/>
          <w:iCs/>
          <w:noProof/>
          <w:color w:val="000000"/>
          <w:lang w:val="fr-FR" w:eastAsia="en-GB"/>
        </w:rPr>
        <w:t>oiseaux d</w:t>
      </w:r>
      <w:r w:rsidR="00EE0531">
        <w:rPr>
          <w:rFonts w:ascii="Calibri" w:eastAsia="Times New Roman" w:hAnsi="Calibri" w:cs="Calibri"/>
          <w:i/>
          <w:iCs/>
          <w:noProof/>
          <w:color w:val="000000"/>
          <w:lang w:val="fr-FR" w:eastAsia="en-GB"/>
        </w:rPr>
        <w:t>’</w:t>
      </w:r>
      <w:r w:rsidR="006D4DBF" w:rsidRPr="004179B8">
        <w:rPr>
          <w:rFonts w:ascii="Calibri" w:eastAsia="Times New Roman" w:hAnsi="Calibri" w:cs="Calibri"/>
          <w:i/>
          <w:iCs/>
          <w:noProof/>
          <w:color w:val="000000"/>
          <w:lang w:val="fr-FR" w:eastAsia="en-GB"/>
        </w:rPr>
        <w:t xml:space="preserve">eau et élaborer le </w:t>
      </w:r>
      <w:r w:rsidRPr="004179B8">
        <w:rPr>
          <w:rFonts w:eastAsia="Batang" w:cstheme="minorHAnsi"/>
          <w:i/>
          <w:iCs/>
          <w:noProof/>
          <w:lang w:val="fr-FR"/>
        </w:rPr>
        <w:t>WPE2027</w:t>
      </w:r>
    </w:p>
    <w:tbl>
      <w:tblPr>
        <w:tblStyle w:val="TableGrid"/>
        <w:tblW w:w="0" w:type="auto"/>
        <w:tblLook w:val="04A0" w:firstRow="1" w:lastRow="0" w:firstColumn="1" w:lastColumn="0" w:noHBand="0" w:noVBand="1"/>
      </w:tblPr>
      <w:tblGrid>
        <w:gridCol w:w="2689"/>
        <w:gridCol w:w="1842"/>
        <w:gridCol w:w="2231"/>
        <w:gridCol w:w="2254"/>
      </w:tblGrid>
      <w:tr w:rsidR="001C7745" w:rsidRPr="004179B8" w14:paraId="7635CEDA" w14:textId="77777777" w:rsidTr="001C7745">
        <w:tc>
          <w:tcPr>
            <w:tcW w:w="2689" w:type="dxa"/>
            <w:shd w:val="clear" w:color="auto" w:fill="EDEDED" w:themeFill="accent3" w:themeFillTint="33"/>
          </w:tcPr>
          <w:p w14:paraId="1EEF859D" w14:textId="64E9B645" w:rsidR="001C7745" w:rsidRPr="004179B8" w:rsidRDefault="006D4DBF" w:rsidP="00E13597">
            <w:pPr>
              <w:keepNext/>
              <w:rPr>
                <w:rFonts w:eastAsia="Batang" w:cstheme="minorHAnsi"/>
                <w:b/>
                <w:bCs/>
                <w:noProof/>
                <w:lang w:val="fr-FR"/>
              </w:rPr>
            </w:pPr>
            <w:r w:rsidRPr="004179B8">
              <w:rPr>
                <w:rFonts w:eastAsia="Batang" w:cstheme="minorHAnsi"/>
                <w:b/>
                <w:bCs/>
                <w:noProof/>
                <w:lang w:val="fr-FR"/>
              </w:rPr>
              <w:t>Actions prioritaires</w:t>
            </w:r>
          </w:p>
        </w:tc>
        <w:tc>
          <w:tcPr>
            <w:tcW w:w="1842" w:type="dxa"/>
            <w:shd w:val="clear" w:color="auto" w:fill="EDEDED" w:themeFill="accent3" w:themeFillTint="33"/>
          </w:tcPr>
          <w:p w14:paraId="65E5A3C9" w14:textId="53F07BCB" w:rsidR="001C7745" w:rsidRPr="004179B8" w:rsidRDefault="00C25ED4" w:rsidP="00E13597">
            <w:pPr>
              <w:keepNext/>
              <w:rPr>
                <w:rFonts w:eastAsia="Batang" w:cstheme="minorHAnsi"/>
                <w:b/>
                <w:bCs/>
                <w:noProof/>
                <w:lang w:val="fr-FR"/>
              </w:rPr>
            </w:pPr>
            <w:r>
              <w:rPr>
                <w:rFonts w:eastAsia="Batang" w:cstheme="minorHAnsi"/>
                <w:b/>
                <w:bCs/>
                <w:noProof/>
                <w:lang w:val="fr-FR"/>
              </w:rPr>
              <w:t>Financement</w:t>
            </w:r>
            <w:r w:rsidR="006D4DBF" w:rsidRPr="004179B8">
              <w:rPr>
                <w:rFonts w:eastAsia="Batang" w:cstheme="minorHAnsi"/>
                <w:b/>
                <w:bCs/>
                <w:noProof/>
                <w:lang w:val="fr-FR"/>
              </w:rPr>
              <w:t xml:space="preserve"> global (toutes actions confondues)</w:t>
            </w:r>
          </w:p>
        </w:tc>
        <w:tc>
          <w:tcPr>
            <w:tcW w:w="2231" w:type="dxa"/>
            <w:shd w:val="clear" w:color="auto" w:fill="EDEDED" w:themeFill="accent3" w:themeFillTint="33"/>
          </w:tcPr>
          <w:p w14:paraId="35C9485C" w14:textId="42483126" w:rsidR="001C7745" w:rsidRPr="004179B8" w:rsidRDefault="00C25ED4" w:rsidP="00E13597">
            <w:pPr>
              <w:keepNext/>
              <w:rPr>
                <w:rFonts w:eastAsia="Batang" w:cstheme="minorHAnsi"/>
                <w:b/>
                <w:bCs/>
                <w:noProof/>
                <w:lang w:val="fr-FR"/>
              </w:rPr>
            </w:pPr>
            <w:r w:rsidRPr="00C25ED4">
              <w:rPr>
                <w:rFonts w:eastAsia="Batang" w:cstheme="minorHAnsi"/>
                <w:b/>
                <w:bCs/>
                <w:noProof/>
                <w:lang w:val="fr-FR"/>
              </w:rPr>
              <w:t xml:space="preserve">Financement </w:t>
            </w:r>
            <w:r w:rsidR="00BE4363" w:rsidRPr="004179B8">
              <w:rPr>
                <w:rFonts w:eastAsia="Batang" w:cstheme="minorHAnsi"/>
                <w:b/>
                <w:bCs/>
                <w:noProof/>
                <w:lang w:val="fr-FR"/>
              </w:rPr>
              <w:t>intermédiaire</w:t>
            </w:r>
          </w:p>
        </w:tc>
        <w:tc>
          <w:tcPr>
            <w:tcW w:w="2254" w:type="dxa"/>
            <w:shd w:val="clear" w:color="auto" w:fill="EDEDED" w:themeFill="accent3" w:themeFillTint="33"/>
          </w:tcPr>
          <w:p w14:paraId="05E9D24F" w14:textId="4A9F8A8A" w:rsidR="001C7745" w:rsidRPr="004179B8" w:rsidRDefault="00C25ED4" w:rsidP="00E13597">
            <w:pPr>
              <w:keepNext/>
              <w:rPr>
                <w:rFonts w:eastAsia="Batang" w:cstheme="minorHAnsi"/>
                <w:b/>
                <w:bCs/>
                <w:noProof/>
                <w:lang w:val="fr-FR"/>
              </w:rPr>
            </w:pPr>
            <w:r w:rsidRPr="00C25ED4">
              <w:rPr>
                <w:rFonts w:eastAsia="Batang" w:cstheme="minorHAnsi"/>
                <w:b/>
                <w:bCs/>
                <w:noProof/>
                <w:lang w:val="fr-FR"/>
              </w:rPr>
              <w:t xml:space="preserve">Financement </w:t>
            </w:r>
            <w:r w:rsidR="006D4DBF" w:rsidRPr="004179B8">
              <w:rPr>
                <w:rFonts w:eastAsia="Batang" w:cstheme="minorHAnsi"/>
                <w:b/>
                <w:bCs/>
                <w:noProof/>
                <w:lang w:val="fr-FR"/>
              </w:rPr>
              <w:t>minimum (50%)</w:t>
            </w:r>
          </w:p>
        </w:tc>
      </w:tr>
      <w:tr w:rsidR="001C7745" w:rsidRPr="004179B8" w14:paraId="678DF040" w14:textId="77777777" w:rsidTr="001C7745">
        <w:tc>
          <w:tcPr>
            <w:tcW w:w="2689" w:type="dxa"/>
          </w:tcPr>
          <w:p w14:paraId="094D7D35" w14:textId="4F4B6E59" w:rsidR="001C7745" w:rsidRPr="004179B8" w:rsidRDefault="00BE4363" w:rsidP="009279AD">
            <w:pPr>
              <w:keepNext/>
              <w:rPr>
                <w:rFonts w:eastAsia="Batang" w:cstheme="minorHAnsi"/>
                <w:noProof/>
                <w:lang w:val="fr-FR"/>
              </w:rPr>
            </w:pPr>
            <w:r w:rsidRPr="004179B8">
              <w:rPr>
                <w:rFonts w:eastAsia="Batang" w:cstheme="minorHAnsi"/>
                <w:noProof/>
                <w:lang w:val="fr-FR"/>
              </w:rPr>
              <w:t>1. Création d</w:t>
            </w:r>
            <w:r w:rsidR="00EE0531">
              <w:rPr>
                <w:rFonts w:eastAsia="Batang" w:cstheme="minorHAnsi"/>
                <w:noProof/>
                <w:lang w:val="fr-FR"/>
              </w:rPr>
              <w:t>’</w:t>
            </w:r>
            <w:r w:rsidRPr="004179B8">
              <w:rPr>
                <w:rFonts w:eastAsia="Batang" w:cstheme="minorHAnsi"/>
                <w:noProof/>
                <w:lang w:val="fr-FR"/>
              </w:rPr>
              <w:t xml:space="preserve">un </w:t>
            </w:r>
            <w:r w:rsidR="00B5607F" w:rsidRPr="004179B8">
              <w:rPr>
                <w:rFonts w:eastAsia="Batang" w:cstheme="minorHAnsi"/>
                <w:noProof/>
                <w:lang w:val="fr-FR"/>
              </w:rPr>
              <w:t>P</w:t>
            </w:r>
            <w:r w:rsidRPr="004179B8">
              <w:rPr>
                <w:rFonts w:eastAsia="Batang" w:cstheme="minorHAnsi"/>
                <w:noProof/>
                <w:lang w:val="fr-FR"/>
              </w:rPr>
              <w:t>artenariat mondial pour</w:t>
            </w:r>
            <w:r w:rsidR="009279AD" w:rsidRPr="004179B8">
              <w:rPr>
                <w:rFonts w:eastAsia="Batang" w:cstheme="minorHAnsi"/>
                <w:noProof/>
                <w:lang w:val="fr-FR"/>
              </w:rPr>
              <w:t xml:space="preserve"> </w:t>
            </w:r>
            <w:r w:rsidRPr="004179B8">
              <w:rPr>
                <w:rFonts w:eastAsia="Batang" w:cstheme="minorHAnsi"/>
                <w:noProof/>
                <w:lang w:val="fr-FR"/>
              </w:rPr>
              <w:t>l</w:t>
            </w:r>
            <w:r w:rsidR="00EE0531">
              <w:rPr>
                <w:rFonts w:eastAsia="Batang" w:cstheme="minorHAnsi"/>
                <w:noProof/>
                <w:lang w:val="fr-FR"/>
              </w:rPr>
              <w:t>’</w:t>
            </w:r>
            <w:r w:rsidRPr="004179B8">
              <w:rPr>
                <w:rFonts w:eastAsia="Batang" w:cstheme="minorHAnsi"/>
                <w:noProof/>
                <w:lang w:val="fr-FR"/>
              </w:rPr>
              <w:t>estimation des populations d</w:t>
            </w:r>
            <w:r w:rsidR="00EE0531">
              <w:rPr>
                <w:rFonts w:eastAsia="Batang" w:cstheme="minorHAnsi"/>
                <w:noProof/>
                <w:lang w:val="fr-FR"/>
              </w:rPr>
              <w:t>’</w:t>
            </w:r>
            <w:r w:rsidRPr="004179B8">
              <w:rPr>
                <w:rFonts w:eastAsia="Batang" w:cstheme="minorHAnsi"/>
                <w:noProof/>
                <w:lang w:val="fr-FR"/>
              </w:rPr>
              <w:t>oiseaux d</w:t>
            </w:r>
            <w:r w:rsidR="00EE0531">
              <w:rPr>
                <w:rFonts w:eastAsia="Batang" w:cstheme="minorHAnsi"/>
                <w:noProof/>
                <w:lang w:val="fr-FR"/>
              </w:rPr>
              <w:t>’</w:t>
            </w:r>
            <w:r w:rsidRPr="004179B8">
              <w:rPr>
                <w:rFonts w:eastAsia="Batang" w:cstheme="minorHAnsi"/>
                <w:noProof/>
                <w:lang w:val="fr-FR"/>
              </w:rPr>
              <w:t>eau</w:t>
            </w:r>
          </w:p>
        </w:tc>
        <w:tc>
          <w:tcPr>
            <w:tcW w:w="1842" w:type="dxa"/>
          </w:tcPr>
          <w:p w14:paraId="7CC8FF0A" w14:textId="0D369E9D" w:rsidR="001C7745" w:rsidRPr="004179B8" w:rsidRDefault="00BE4363" w:rsidP="00E13597">
            <w:pPr>
              <w:keepNext/>
              <w:rPr>
                <w:rFonts w:eastAsia="Batang" w:cstheme="minorHAnsi"/>
                <w:noProof/>
                <w:lang w:val="fr-FR"/>
              </w:rPr>
            </w:pPr>
            <w:r w:rsidRPr="004179B8">
              <w:rPr>
                <w:rFonts w:eastAsia="Batang" w:cstheme="minorHAnsi"/>
                <w:noProof/>
                <w:lang w:val="fr-FR"/>
              </w:rPr>
              <w:t>38 000</w:t>
            </w:r>
          </w:p>
        </w:tc>
        <w:tc>
          <w:tcPr>
            <w:tcW w:w="2231" w:type="dxa"/>
          </w:tcPr>
          <w:p w14:paraId="45ED29F4" w14:textId="12A63AA2" w:rsidR="001C7745" w:rsidRPr="004179B8" w:rsidRDefault="00BE4363" w:rsidP="00E13597">
            <w:pPr>
              <w:keepNext/>
              <w:rPr>
                <w:rFonts w:eastAsia="Batang" w:cstheme="minorHAnsi"/>
                <w:noProof/>
                <w:lang w:val="fr-FR"/>
              </w:rPr>
            </w:pPr>
            <w:r w:rsidRPr="004179B8">
              <w:rPr>
                <w:rFonts w:eastAsia="Batang" w:cstheme="minorHAnsi"/>
                <w:noProof/>
                <w:lang w:val="fr-FR"/>
              </w:rPr>
              <w:t>38 000</w:t>
            </w:r>
          </w:p>
        </w:tc>
        <w:tc>
          <w:tcPr>
            <w:tcW w:w="2254" w:type="dxa"/>
          </w:tcPr>
          <w:p w14:paraId="366F5147" w14:textId="3E608E16" w:rsidR="001C7745" w:rsidRPr="004179B8" w:rsidRDefault="00BE4363" w:rsidP="00E13597">
            <w:pPr>
              <w:keepNext/>
              <w:rPr>
                <w:rFonts w:eastAsia="Batang" w:cstheme="minorHAnsi"/>
                <w:noProof/>
                <w:lang w:val="fr-FR"/>
              </w:rPr>
            </w:pPr>
            <w:r w:rsidRPr="004179B8">
              <w:rPr>
                <w:rFonts w:eastAsia="Batang" w:cstheme="minorHAnsi"/>
                <w:noProof/>
                <w:lang w:val="fr-FR"/>
              </w:rPr>
              <w:t>38 000</w:t>
            </w:r>
          </w:p>
        </w:tc>
      </w:tr>
      <w:tr w:rsidR="001C7745" w:rsidRPr="004179B8" w14:paraId="46219ED6" w14:textId="77777777" w:rsidTr="001C7745">
        <w:tc>
          <w:tcPr>
            <w:tcW w:w="2689" w:type="dxa"/>
          </w:tcPr>
          <w:p w14:paraId="4B46B0D3" w14:textId="5DB87A0A" w:rsidR="001C7745" w:rsidRPr="004179B8" w:rsidRDefault="00BE4363" w:rsidP="009279AD">
            <w:pPr>
              <w:keepNext/>
              <w:rPr>
                <w:rFonts w:eastAsia="Batang" w:cstheme="minorHAnsi"/>
                <w:noProof/>
                <w:lang w:val="fr-FR"/>
              </w:rPr>
            </w:pPr>
            <w:r w:rsidRPr="004179B8">
              <w:rPr>
                <w:rFonts w:eastAsia="Batang" w:cstheme="minorHAnsi"/>
                <w:noProof/>
                <w:lang w:val="fr-FR"/>
              </w:rPr>
              <w:t>2. Élaboration du WPE27 au moyen de l</w:t>
            </w:r>
            <w:r w:rsidR="00EE0531">
              <w:rPr>
                <w:rFonts w:eastAsia="Batang" w:cstheme="minorHAnsi"/>
                <w:noProof/>
                <w:lang w:val="fr-FR"/>
              </w:rPr>
              <w:t>’</w:t>
            </w:r>
            <w:r w:rsidRPr="004179B8">
              <w:rPr>
                <w:rFonts w:eastAsia="Batang" w:cstheme="minorHAnsi"/>
                <w:noProof/>
                <w:lang w:val="fr-FR"/>
              </w:rPr>
              <w:t>examen et de la</w:t>
            </w:r>
            <w:r w:rsidR="009279AD" w:rsidRPr="004179B8">
              <w:rPr>
                <w:rFonts w:eastAsia="Batang" w:cstheme="minorHAnsi"/>
                <w:noProof/>
                <w:lang w:val="fr-FR"/>
              </w:rPr>
              <w:t xml:space="preserve"> </w:t>
            </w:r>
            <w:r w:rsidRPr="004179B8">
              <w:rPr>
                <w:rFonts w:eastAsia="Batang" w:cstheme="minorHAnsi"/>
                <w:noProof/>
                <w:lang w:val="fr-FR"/>
              </w:rPr>
              <w:t>mise à jour des estimations de populations classées</w:t>
            </w:r>
            <w:r w:rsidR="009279AD" w:rsidRPr="004179B8">
              <w:rPr>
                <w:rFonts w:eastAsia="Batang" w:cstheme="minorHAnsi"/>
                <w:noProof/>
                <w:lang w:val="fr-FR"/>
              </w:rPr>
              <w:t xml:space="preserve"> </w:t>
            </w:r>
            <w:r w:rsidRPr="004179B8">
              <w:rPr>
                <w:rFonts w:eastAsia="Batang" w:cstheme="minorHAnsi"/>
                <w:noProof/>
                <w:lang w:val="fr-FR"/>
              </w:rPr>
              <w:t>prioritaires</w:t>
            </w:r>
          </w:p>
        </w:tc>
        <w:tc>
          <w:tcPr>
            <w:tcW w:w="1842" w:type="dxa"/>
          </w:tcPr>
          <w:p w14:paraId="3E231F2A" w14:textId="1F418C8B" w:rsidR="00BE4363" w:rsidRPr="004179B8" w:rsidRDefault="00BE4363" w:rsidP="00E13597">
            <w:pPr>
              <w:keepNext/>
              <w:rPr>
                <w:rFonts w:eastAsia="Batang" w:cstheme="minorHAnsi"/>
                <w:noProof/>
                <w:lang w:val="fr-FR"/>
              </w:rPr>
            </w:pPr>
            <w:r w:rsidRPr="004179B8">
              <w:rPr>
                <w:rFonts w:eastAsia="Batang" w:cstheme="minorHAnsi"/>
                <w:noProof/>
                <w:lang w:val="fr-FR"/>
              </w:rPr>
              <w:t>366 000</w:t>
            </w:r>
          </w:p>
          <w:p w14:paraId="71FA65DE" w14:textId="19E6965D" w:rsidR="001C7745" w:rsidRPr="004179B8" w:rsidRDefault="00BE4363" w:rsidP="00E13597">
            <w:pPr>
              <w:keepNext/>
              <w:rPr>
                <w:rFonts w:eastAsia="Batang" w:cstheme="minorHAnsi"/>
                <w:noProof/>
                <w:lang w:val="fr-FR"/>
              </w:rPr>
            </w:pPr>
            <w:r w:rsidRPr="004179B8">
              <w:rPr>
                <w:rFonts w:eastAsia="Batang" w:cstheme="minorHAnsi"/>
                <w:noProof/>
                <w:lang w:val="fr-FR"/>
              </w:rPr>
              <w:t>(1600 populations)</w:t>
            </w:r>
          </w:p>
        </w:tc>
        <w:tc>
          <w:tcPr>
            <w:tcW w:w="2231" w:type="dxa"/>
          </w:tcPr>
          <w:p w14:paraId="7C92F00A" w14:textId="6E91F0AA" w:rsidR="001C7745" w:rsidRPr="004179B8" w:rsidRDefault="00BE4363" w:rsidP="00E13597">
            <w:pPr>
              <w:keepNext/>
              <w:rPr>
                <w:rFonts w:eastAsia="Batang" w:cstheme="minorHAnsi"/>
                <w:noProof/>
                <w:lang w:val="fr-FR"/>
              </w:rPr>
            </w:pPr>
            <w:r w:rsidRPr="004179B8">
              <w:rPr>
                <w:rFonts w:eastAsia="Batang" w:cstheme="minorHAnsi"/>
                <w:noProof/>
                <w:lang w:val="fr-FR"/>
              </w:rPr>
              <w:t>287 000</w:t>
            </w:r>
          </w:p>
          <w:p w14:paraId="2E22DFF9" w14:textId="417B470F" w:rsidR="00BE4363" w:rsidRPr="004179B8" w:rsidRDefault="00BE4363" w:rsidP="00E13597">
            <w:pPr>
              <w:keepNext/>
              <w:rPr>
                <w:rFonts w:eastAsia="Batang" w:cstheme="minorHAnsi"/>
                <w:noProof/>
                <w:lang w:val="fr-FR"/>
              </w:rPr>
            </w:pPr>
            <w:r w:rsidRPr="004179B8">
              <w:rPr>
                <w:rFonts w:eastAsia="Batang" w:cstheme="minorHAnsi"/>
                <w:noProof/>
                <w:lang w:val="fr-FR"/>
              </w:rPr>
              <w:t>(1255 populations)</w:t>
            </w:r>
          </w:p>
        </w:tc>
        <w:tc>
          <w:tcPr>
            <w:tcW w:w="2254" w:type="dxa"/>
          </w:tcPr>
          <w:p w14:paraId="662E9C29" w14:textId="4E84320F" w:rsidR="001C7745" w:rsidRPr="004179B8" w:rsidRDefault="00BE4363" w:rsidP="00E13597">
            <w:pPr>
              <w:keepNext/>
              <w:rPr>
                <w:rFonts w:eastAsia="Batang" w:cstheme="minorHAnsi"/>
                <w:noProof/>
                <w:lang w:val="fr-FR"/>
              </w:rPr>
            </w:pPr>
            <w:r w:rsidRPr="004179B8">
              <w:rPr>
                <w:rFonts w:eastAsia="Batang" w:cstheme="minorHAnsi"/>
                <w:noProof/>
                <w:lang w:val="fr-FR"/>
              </w:rPr>
              <w:t>170 000</w:t>
            </w:r>
          </w:p>
          <w:p w14:paraId="0AF723B5" w14:textId="25A6EC2C" w:rsidR="00BE4363" w:rsidRPr="004179B8" w:rsidRDefault="00BE4363" w:rsidP="00E13597">
            <w:pPr>
              <w:keepNext/>
              <w:rPr>
                <w:rFonts w:eastAsia="Batang" w:cstheme="minorHAnsi"/>
                <w:noProof/>
                <w:lang w:val="fr-FR"/>
              </w:rPr>
            </w:pPr>
            <w:r w:rsidRPr="004179B8">
              <w:rPr>
                <w:rFonts w:eastAsia="Batang" w:cstheme="minorHAnsi"/>
                <w:noProof/>
                <w:lang w:val="fr-FR"/>
              </w:rPr>
              <w:t>(743 populations)</w:t>
            </w:r>
          </w:p>
        </w:tc>
      </w:tr>
      <w:tr w:rsidR="001C7745" w:rsidRPr="004179B8" w14:paraId="20E020E6" w14:textId="77777777" w:rsidTr="001C7745">
        <w:tc>
          <w:tcPr>
            <w:tcW w:w="2689" w:type="dxa"/>
          </w:tcPr>
          <w:p w14:paraId="12D7478B" w14:textId="760CDC65" w:rsidR="001C7745" w:rsidRPr="004179B8" w:rsidRDefault="00BE4363" w:rsidP="00BE4363">
            <w:pPr>
              <w:keepNext/>
              <w:rPr>
                <w:rFonts w:eastAsia="Batang" w:cstheme="minorHAnsi"/>
                <w:noProof/>
                <w:lang w:val="fr-FR"/>
              </w:rPr>
            </w:pPr>
            <w:r w:rsidRPr="004179B8">
              <w:rPr>
                <w:rFonts w:eastAsia="Batang" w:cstheme="minorHAnsi"/>
                <w:noProof/>
                <w:lang w:val="fr-FR"/>
              </w:rPr>
              <w:t>3. Enrichissement du Waterbird Populations</w:t>
            </w:r>
            <w:r w:rsidR="009279AD" w:rsidRPr="004179B8">
              <w:rPr>
                <w:rFonts w:eastAsia="Batang" w:cstheme="minorHAnsi"/>
                <w:noProof/>
                <w:lang w:val="fr-FR"/>
              </w:rPr>
              <w:t xml:space="preserve"> </w:t>
            </w:r>
            <w:r w:rsidRPr="004179B8">
              <w:rPr>
                <w:rFonts w:eastAsia="Batang" w:cstheme="minorHAnsi"/>
                <w:noProof/>
                <w:lang w:val="fr-FR"/>
              </w:rPr>
              <w:t xml:space="preserve">Portal (WPP) afin de </w:t>
            </w:r>
            <w:r w:rsidR="009279AD" w:rsidRPr="004179B8">
              <w:rPr>
                <w:rFonts w:eastAsia="Batang" w:cstheme="minorHAnsi"/>
                <w:noProof/>
                <w:lang w:val="fr-FR"/>
              </w:rPr>
              <w:t>communiquer</w:t>
            </w:r>
            <w:r w:rsidRPr="004179B8">
              <w:rPr>
                <w:rFonts w:eastAsia="Batang" w:cstheme="minorHAnsi"/>
                <w:noProof/>
                <w:lang w:val="fr-FR"/>
              </w:rPr>
              <w:t xml:space="preserve"> des informations sur les estimations</w:t>
            </w:r>
          </w:p>
        </w:tc>
        <w:tc>
          <w:tcPr>
            <w:tcW w:w="1842" w:type="dxa"/>
          </w:tcPr>
          <w:p w14:paraId="67E06421" w14:textId="744F95AA" w:rsidR="001C7745" w:rsidRPr="004179B8" w:rsidRDefault="00C25ED4" w:rsidP="00E13597">
            <w:pPr>
              <w:keepNext/>
              <w:rPr>
                <w:rFonts w:eastAsia="Batang" w:cstheme="minorHAnsi"/>
                <w:noProof/>
                <w:lang w:val="fr-FR"/>
              </w:rPr>
            </w:pPr>
            <w:r>
              <w:rPr>
                <w:rFonts w:eastAsia="Batang" w:cstheme="minorHAnsi"/>
                <w:noProof/>
                <w:lang w:val="fr-FR"/>
              </w:rPr>
              <w:t>61 000</w:t>
            </w:r>
          </w:p>
        </w:tc>
        <w:tc>
          <w:tcPr>
            <w:tcW w:w="2231" w:type="dxa"/>
          </w:tcPr>
          <w:p w14:paraId="266E2E84" w14:textId="7222D54A" w:rsidR="001C7745" w:rsidRPr="004179B8" w:rsidRDefault="00C25ED4" w:rsidP="00E13597">
            <w:pPr>
              <w:keepNext/>
              <w:rPr>
                <w:rFonts w:eastAsia="Batang" w:cstheme="minorHAnsi"/>
                <w:noProof/>
                <w:lang w:val="fr-FR"/>
              </w:rPr>
            </w:pPr>
            <w:r>
              <w:rPr>
                <w:rFonts w:eastAsia="Batang" w:cstheme="minorHAnsi"/>
                <w:noProof/>
                <w:lang w:val="fr-FR"/>
              </w:rPr>
              <w:t>25 000 </w:t>
            </w:r>
          </w:p>
        </w:tc>
        <w:tc>
          <w:tcPr>
            <w:tcW w:w="2254" w:type="dxa"/>
          </w:tcPr>
          <w:p w14:paraId="6BFB4056" w14:textId="23514269" w:rsidR="001C7745" w:rsidRPr="004179B8" w:rsidRDefault="00C25ED4" w:rsidP="00E13597">
            <w:pPr>
              <w:keepNext/>
              <w:rPr>
                <w:rFonts w:eastAsia="Batang" w:cstheme="minorHAnsi"/>
                <w:noProof/>
                <w:lang w:val="fr-FR"/>
              </w:rPr>
            </w:pPr>
            <w:r>
              <w:rPr>
                <w:rFonts w:eastAsia="Batang" w:cstheme="minorHAnsi"/>
                <w:noProof/>
                <w:lang w:val="fr-FR"/>
              </w:rPr>
              <w:t>25 000</w:t>
            </w:r>
          </w:p>
        </w:tc>
      </w:tr>
      <w:tr w:rsidR="001C7745" w:rsidRPr="004179B8" w14:paraId="596C7218" w14:textId="77777777" w:rsidTr="001C7745">
        <w:tc>
          <w:tcPr>
            <w:tcW w:w="2689" w:type="dxa"/>
            <w:shd w:val="clear" w:color="auto" w:fill="EDEDED" w:themeFill="accent3" w:themeFillTint="33"/>
          </w:tcPr>
          <w:p w14:paraId="676AF775" w14:textId="77777777" w:rsidR="001C7745" w:rsidRPr="004179B8" w:rsidRDefault="009279AD" w:rsidP="00E13597">
            <w:pPr>
              <w:keepNext/>
              <w:rPr>
                <w:rFonts w:eastAsia="Batang" w:cstheme="minorHAnsi"/>
                <w:b/>
                <w:bCs/>
                <w:noProof/>
                <w:lang w:val="fr-FR"/>
              </w:rPr>
            </w:pPr>
            <w:r w:rsidRPr="004179B8">
              <w:rPr>
                <w:rFonts w:eastAsia="Batang" w:cstheme="minorHAnsi"/>
                <w:b/>
                <w:bCs/>
                <w:noProof/>
                <w:lang w:val="fr-FR"/>
              </w:rPr>
              <w:t>Budget estimatif total (première estimation)</w:t>
            </w:r>
          </w:p>
          <w:p w14:paraId="130BAF3C" w14:textId="77777777" w:rsidR="009279AD" w:rsidRPr="004179B8" w:rsidRDefault="009279AD" w:rsidP="00E13597">
            <w:pPr>
              <w:keepNext/>
              <w:rPr>
                <w:rFonts w:eastAsia="Batang" w:cstheme="minorHAnsi"/>
                <w:b/>
                <w:bCs/>
                <w:noProof/>
                <w:lang w:val="fr-FR"/>
              </w:rPr>
            </w:pPr>
            <w:r w:rsidRPr="004179B8">
              <w:rPr>
                <w:rFonts w:eastAsia="Batang" w:cstheme="minorHAnsi"/>
                <w:b/>
                <w:bCs/>
                <w:noProof/>
                <w:lang w:val="fr-FR"/>
              </w:rPr>
              <w:t>Convention sur les zones humides – Allocation des fonds excédentaires du budget administratif</w:t>
            </w:r>
          </w:p>
          <w:p w14:paraId="50FCB353" w14:textId="77777777" w:rsidR="009279AD" w:rsidRPr="004179B8" w:rsidRDefault="009279AD" w:rsidP="00E13597">
            <w:pPr>
              <w:keepNext/>
              <w:rPr>
                <w:rFonts w:eastAsia="Batang" w:cstheme="minorHAnsi"/>
                <w:b/>
                <w:bCs/>
                <w:noProof/>
                <w:lang w:val="fr-FR"/>
              </w:rPr>
            </w:pPr>
          </w:p>
          <w:p w14:paraId="515AE28F" w14:textId="7D869D30" w:rsidR="009279AD" w:rsidRPr="004179B8" w:rsidRDefault="009279AD" w:rsidP="00E13597">
            <w:pPr>
              <w:keepNext/>
              <w:rPr>
                <w:rFonts w:eastAsia="Batang" w:cstheme="minorHAnsi"/>
                <w:b/>
                <w:bCs/>
                <w:noProof/>
                <w:lang w:val="fr-FR"/>
              </w:rPr>
            </w:pPr>
            <w:r w:rsidRPr="004179B8">
              <w:rPr>
                <w:rFonts w:eastAsia="Batang" w:cstheme="minorHAnsi"/>
                <w:b/>
                <w:bCs/>
                <w:noProof/>
                <w:lang w:val="fr-FR"/>
              </w:rPr>
              <w:t>Contributions volontaires ou autres nécessaires pour élaborer le WPE2027 dans son intégralité</w:t>
            </w:r>
          </w:p>
        </w:tc>
        <w:tc>
          <w:tcPr>
            <w:tcW w:w="1842" w:type="dxa"/>
            <w:shd w:val="clear" w:color="auto" w:fill="EDEDED" w:themeFill="accent3" w:themeFillTint="33"/>
          </w:tcPr>
          <w:p w14:paraId="63B83ECA" w14:textId="0C9C3261" w:rsidR="001C7745" w:rsidRPr="004179B8" w:rsidRDefault="00BE4363" w:rsidP="00E13597">
            <w:pPr>
              <w:keepNext/>
              <w:rPr>
                <w:rFonts w:eastAsia="Batang" w:cstheme="minorHAnsi"/>
                <w:b/>
                <w:bCs/>
                <w:noProof/>
                <w:lang w:val="fr-FR"/>
              </w:rPr>
            </w:pPr>
            <w:r w:rsidRPr="004179B8">
              <w:rPr>
                <w:rFonts w:eastAsia="Batang" w:cstheme="minorHAnsi"/>
                <w:b/>
                <w:bCs/>
                <w:noProof/>
                <w:lang w:val="fr-FR"/>
              </w:rPr>
              <w:t>465</w:t>
            </w:r>
            <w:r w:rsidR="009279AD" w:rsidRPr="004179B8">
              <w:rPr>
                <w:rFonts w:eastAsia="Batang" w:cstheme="minorHAnsi"/>
                <w:b/>
                <w:bCs/>
                <w:noProof/>
                <w:lang w:val="fr-FR"/>
              </w:rPr>
              <w:t> </w:t>
            </w:r>
            <w:r w:rsidRPr="004179B8">
              <w:rPr>
                <w:rFonts w:eastAsia="Batang" w:cstheme="minorHAnsi"/>
                <w:b/>
                <w:bCs/>
                <w:noProof/>
                <w:lang w:val="fr-FR"/>
              </w:rPr>
              <w:t>000</w:t>
            </w:r>
          </w:p>
          <w:p w14:paraId="0781C9A0" w14:textId="77777777" w:rsidR="009279AD" w:rsidRPr="004179B8" w:rsidRDefault="009279AD" w:rsidP="00E13597">
            <w:pPr>
              <w:keepNext/>
              <w:rPr>
                <w:rFonts w:eastAsia="Batang" w:cstheme="minorHAnsi"/>
                <w:b/>
                <w:bCs/>
                <w:noProof/>
                <w:lang w:val="fr-FR"/>
              </w:rPr>
            </w:pPr>
          </w:p>
          <w:p w14:paraId="1833DB51" w14:textId="77777777" w:rsidR="009279AD" w:rsidRPr="004179B8" w:rsidRDefault="009279AD" w:rsidP="00E13597">
            <w:pPr>
              <w:keepNext/>
              <w:rPr>
                <w:rFonts w:eastAsia="Batang" w:cstheme="minorHAnsi"/>
                <w:b/>
                <w:bCs/>
                <w:noProof/>
                <w:lang w:val="fr-FR"/>
              </w:rPr>
            </w:pPr>
          </w:p>
          <w:p w14:paraId="52143871" w14:textId="77777777" w:rsidR="009279AD" w:rsidRPr="004179B8" w:rsidRDefault="009279AD" w:rsidP="00E13597">
            <w:pPr>
              <w:keepNext/>
              <w:rPr>
                <w:rFonts w:eastAsia="Batang" w:cstheme="minorHAnsi"/>
                <w:b/>
                <w:bCs/>
                <w:noProof/>
                <w:lang w:val="fr-FR"/>
              </w:rPr>
            </w:pPr>
          </w:p>
          <w:p w14:paraId="092D6DE4" w14:textId="77777777" w:rsidR="009279AD" w:rsidRPr="004179B8" w:rsidRDefault="009279AD" w:rsidP="00E13597">
            <w:pPr>
              <w:keepNext/>
              <w:rPr>
                <w:rFonts w:eastAsia="Batang" w:cstheme="minorHAnsi"/>
                <w:b/>
                <w:bCs/>
                <w:noProof/>
                <w:lang w:val="fr-FR"/>
              </w:rPr>
            </w:pPr>
          </w:p>
          <w:p w14:paraId="005C46D7" w14:textId="77777777" w:rsidR="009279AD" w:rsidRPr="004179B8" w:rsidRDefault="009279AD" w:rsidP="00E13597">
            <w:pPr>
              <w:keepNext/>
              <w:rPr>
                <w:rFonts w:eastAsia="Batang" w:cstheme="minorHAnsi"/>
                <w:b/>
                <w:bCs/>
                <w:noProof/>
                <w:lang w:val="fr-FR"/>
              </w:rPr>
            </w:pPr>
          </w:p>
          <w:p w14:paraId="4857B0B7" w14:textId="77777777" w:rsidR="009279AD" w:rsidRPr="004179B8" w:rsidRDefault="009279AD" w:rsidP="00E13597">
            <w:pPr>
              <w:keepNext/>
              <w:rPr>
                <w:rFonts w:eastAsia="Batang" w:cstheme="minorHAnsi"/>
                <w:b/>
                <w:bCs/>
                <w:noProof/>
                <w:lang w:val="fr-FR"/>
              </w:rPr>
            </w:pPr>
          </w:p>
          <w:p w14:paraId="4CD0BA7F" w14:textId="77777777" w:rsidR="009279AD" w:rsidRPr="004179B8" w:rsidRDefault="009279AD" w:rsidP="00E13597">
            <w:pPr>
              <w:keepNext/>
              <w:rPr>
                <w:rFonts w:eastAsia="Batang" w:cstheme="minorHAnsi"/>
                <w:b/>
                <w:bCs/>
                <w:noProof/>
                <w:lang w:val="fr-FR"/>
              </w:rPr>
            </w:pPr>
          </w:p>
          <w:p w14:paraId="26B25AF9" w14:textId="7E8F6E21" w:rsidR="009279AD" w:rsidRPr="004179B8" w:rsidRDefault="009279AD" w:rsidP="00E13597">
            <w:pPr>
              <w:keepNext/>
              <w:rPr>
                <w:rFonts w:eastAsia="Batang" w:cstheme="minorHAnsi"/>
                <w:b/>
                <w:bCs/>
                <w:noProof/>
                <w:lang w:val="fr-FR"/>
              </w:rPr>
            </w:pPr>
            <w:r w:rsidRPr="004179B8">
              <w:rPr>
                <w:rFonts w:eastAsia="Batang" w:cstheme="minorHAnsi"/>
                <w:b/>
                <w:bCs/>
                <w:noProof/>
                <w:lang w:val="fr-FR"/>
              </w:rPr>
              <w:t>0</w:t>
            </w:r>
          </w:p>
        </w:tc>
        <w:tc>
          <w:tcPr>
            <w:tcW w:w="2231" w:type="dxa"/>
            <w:shd w:val="clear" w:color="auto" w:fill="EDEDED" w:themeFill="accent3" w:themeFillTint="33"/>
          </w:tcPr>
          <w:p w14:paraId="6D27EAB0" w14:textId="6B2CC364" w:rsidR="001C7745" w:rsidRPr="004179B8" w:rsidRDefault="00BE4363" w:rsidP="00E13597">
            <w:pPr>
              <w:keepNext/>
              <w:rPr>
                <w:rFonts w:eastAsia="Batang" w:cstheme="minorHAnsi"/>
                <w:b/>
                <w:bCs/>
                <w:noProof/>
                <w:lang w:val="fr-FR"/>
              </w:rPr>
            </w:pPr>
            <w:r w:rsidRPr="004179B8">
              <w:rPr>
                <w:rFonts w:eastAsia="Batang" w:cstheme="minorHAnsi"/>
                <w:b/>
                <w:bCs/>
                <w:noProof/>
                <w:lang w:val="fr-FR"/>
              </w:rPr>
              <w:t>350</w:t>
            </w:r>
            <w:r w:rsidR="009279AD" w:rsidRPr="004179B8">
              <w:rPr>
                <w:rFonts w:eastAsia="Batang" w:cstheme="minorHAnsi"/>
                <w:b/>
                <w:bCs/>
                <w:noProof/>
                <w:lang w:val="fr-FR"/>
              </w:rPr>
              <w:t> </w:t>
            </w:r>
            <w:r w:rsidRPr="004179B8">
              <w:rPr>
                <w:rFonts w:eastAsia="Batang" w:cstheme="minorHAnsi"/>
                <w:b/>
                <w:bCs/>
                <w:noProof/>
                <w:lang w:val="fr-FR"/>
              </w:rPr>
              <w:t>000</w:t>
            </w:r>
          </w:p>
          <w:p w14:paraId="48FB4F28" w14:textId="77777777" w:rsidR="009279AD" w:rsidRPr="004179B8" w:rsidRDefault="009279AD" w:rsidP="00E13597">
            <w:pPr>
              <w:keepNext/>
              <w:rPr>
                <w:rFonts w:eastAsia="Batang" w:cstheme="minorHAnsi"/>
                <w:b/>
                <w:bCs/>
                <w:noProof/>
                <w:lang w:val="fr-FR"/>
              </w:rPr>
            </w:pPr>
          </w:p>
          <w:p w14:paraId="07848C36" w14:textId="77777777" w:rsidR="009279AD" w:rsidRPr="004179B8" w:rsidRDefault="009279AD" w:rsidP="00E13597">
            <w:pPr>
              <w:keepNext/>
              <w:rPr>
                <w:rFonts w:eastAsia="Batang" w:cstheme="minorHAnsi"/>
                <w:b/>
                <w:bCs/>
                <w:noProof/>
                <w:lang w:val="fr-FR"/>
              </w:rPr>
            </w:pPr>
          </w:p>
          <w:p w14:paraId="3BDDF008" w14:textId="77777777" w:rsidR="009279AD" w:rsidRPr="004179B8" w:rsidRDefault="009279AD" w:rsidP="00E13597">
            <w:pPr>
              <w:keepNext/>
              <w:rPr>
                <w:rFonts w:eastAsia="Batang" w:cstheme="minorHAnsi"/>
                <w:b/>
                <w:bCs/>
                <w:noProof/>
                <w:lang w:val="fr-FR"/>
              </w:rPr>
            </w:pPr>
          </w:p>
          <w:p w14:paraId="7129CC4D" w14:textId="77777777" w:rsidR="009279AD" w:rsidRPr="004179B8" w:rsidRDefault="009279AD" w:rsidP="00E13597">
            <w:pPr>
              <w:keepNext/>
              <w:rPr>
                <w:rFonts w:eastAsia="Batang" w:cstheme="minorHAnsi"/>
                <w:b/>
                <w:bCs/>
                <w:noProof/>
                <w:lang w:val="fr-FR"/>
              </w:rPr>
            </w:pPr>
          </w:p>
          <w:p w14:paraId="7CEA6BED" w14:textId="77777777" w:rsidR="009279AD" w:rsidRPr="004179B8" w:rsidRDefault="009279AD" w:rsidP="00E13597">
            <w:pPr>
              <w:keepNext/>
              <w:rPr>
                <w:rFonts w:eastAsia="Batang" w:cstheme="minorHAnsi"/>
                <w:b/>
                <w:bCs/>
                <w:noProof/>
                <w:lang w:val="fr-FR"/>
              </w:rPr>
            </w:pPr>
          </w:p>
          <w:p w14:paraId="2A154A72" w14:textId="77777777" w:rsidR="009279AD" w:rsidRPr="004179B8" w:rsidRDefault="009279AD" w:rsidP="00E13597">
            <w:pPr>
              <w:keepNext/>
              <w:rPr>
                <w:rFonts w:eastAsia="Batang" w:cstheme="minorHAnsi"/>
                <w:b/>
                <w:bCs/>
                <w:noProof/>
                <w:lang w:val="fr-FR"/>
              </w:rPr>
            </w:pPr>
          </w:p>
          <w:p w14:paraId="5ABBCAF8" w14:textId="77777777" w:rsidR="009279AD" w:rsidRPr="004179B8" w:rsidRDefault="009279AD" w:rsidP="00E13597">
            <w:pPr>
              <w:keepNext/>
              <w:rPr>
                <w:rFonts w:eastAsia="Batang" w:cstheme="minorHAnsi"/>
                <w:b/>
                <w:bCs/>
                <w:noProof/>
                <w:lang w:val="fr-FR"/>
              </w:rPr>
            </w:pPr>
          </w:p>
          <w:p w14:paraId="2358BFD3" w14:textId="30D8D470" w:rsidR="009279AD" w:rsidRPr="004179B8" w:rsidRDefault="009279AD" w:rsidP="00E13597">
            <w:pPr>
              <w:keepNext/>
              <w:rPr>
                <w:rFonts w:eastAsia="Batang" w:cstheme="minorHAnsi"/>
                <w:b/>
                <w:bCs/>
                <w:noProof/>
                <w:lang w:val="fr-FR"/>
              </w:rPr>
            </w:pPr>
            <w:r w:rsidRPr="004179B8">
              <w:rPr>
                <w:rFonts w:eastAsia="Batang" w:cstheme="minorHAnsi"/>
                <w:b/>
                <w:bCs/>
                <w:noProof/>
                <w:lang w:val="fr-FR"/>
              </w:rPr>
              <w:t>115 000</w:t>
            </w:r>
          </w:p>
        </w:tc>
        <w:tc>
          <w:tcPr>
            <w:tcW w:w="2254" w:type="dxa"/>
            <w:shd w:val="clear" w:color="auto" w:fill="EDEDED" w:themeFill="accent3" w:themeFillTint="33"/>
          </w:tcPr>
          <w:p w14:paraId="757CBD2B" w14:textId="0C4B208C" w:rsidR="001C7745" w:rsidRPr="004179B8" w:rsidRDefault="00BE4363" w:rsidP="00E13597">
            <w:pPr>
              <w:keepNext/>
              <w:rPr>
                <w:rFonts w:eastAsia="Batang" w:cstheme="minorHAnsi"/>
                <w:b/>
                <w:bCs/>
                <w:noProof/>
                <w:lang w:val="fr-FR"/>
              </w:rPr>
            </w:pPr>
            <w:r w:rsidRPr="004179B8">
              <w:rPr>
                <w:rFonts w:eastAsia="Batang" w:cstheme="minorHAnsi"/>
                <w:b/>
                <w:bCs/>
                <w:noProof/>
                <w:lang w:val="fr-FR"/>
              </w:rPr>
              <w:t>233</w:t>
            </w:r>
            <w:r w:rsidR="009279AD" w:rsidRPr="004179B8">
              <w:rPr>
                <w:rFonts w:eastAsia="Batang" w:cstheme="minorHAnsi"/>
                <w:b/>
                <w:bCs/>
                <w:noProof/>
                <w:lang w:val="fr-FR"/>
              </w:rPr>
              <w:t> </w:t>
            </w:r>
            <w:r w:rsidRPr="004179B8">
              <w:rPr>
                <w:rFonts w:eastAsia="Batang" w:cstheme="minorHAnsi"/>
                <w:b/>
                <w:bCs/>
                <w:noProof/>
                <w:lang w:val="fr-FR"/>
              </w:rPr>
              <w:t>000</w:t>
            </w:r>
          </w:p>
          <w:p w14:paraId="755E388C" w14:textId="77777777" w:rsidR="009279AD" w:rsidRPr="004179B8" w:rsidRDefault="009279AD" w:rsidP="00E13597">
            <w:pPr>
              <w:keepNext/>
              <w:rPr>
                <w:rFonts w:eastAsia="Batang" w:cstheme="minorHAnsi"/>
                <w:b/>
                <w:bCs/>
                <w:noProof/>
                <w:lang w:val="fr-FR"/>
              </w:rPr>
            </w:pPr>
          </w:p>
          <w:p w14:paraId="7E747025" w14:textId="77777777" w:rsidR="009279AD" w:rsidRPr="004179B8" w:rsidRDefault="009279AD" w:rsidP="00E13597">
            <w:pPr>
              <w:keepNext/>
              <w:rPr>
                <w:rFonts w:eastAsia="Batang" w:cstheme="minorHAnsi"/>
                <w:b/>
                <w:bCs/>
                <w:noProof/>
                <w:lang w:val="fr-FR"/>
              </w:rPr>
            </w:pPr>
          </w:p>
          <w:p w14:paraId="005B2962" w14:textId="77777777" w:rsidR="009279AD" w:rsidRPr="004179B8" w:rsidRDefault="009279AD" w:rsidP="00E13597">
            <w:pPr>
              <w:keepNext/>
              <w:rPr>
                <w:rFonts w:eastAsia="Batang" w:cstheme="minorHAnsi"/>
                <w:b/>
                <w:bCs/>
                <w:noProof/>
                <w:lang w:val="fr-FR"/>
              </w:rPr>
            </w:pPr>
          </w:p>
          <w:p w14:paraId="2D9EBAB2" w14:textId="77777777" w:rsidR="009279AD" w:rsidRPr="004179B8" w:rsidRDefault="009279AD" w:rsidP="00E13597">
            <w:pPr>
              <w:keepNext/>
              <w:rPr>
                <w:rFonts w:eastAsia="Batang" w:cstheme="minorHAnsi"/>
                <w:b/>
                <w:bCs/>
                <w:noProof/>
                <w:lang w:val="fr-FR"/>
              </w:rPr>
            </w:pPr>
          </w:p>
          <w:p w14:paraId="19DF663E" w14:textId="77777777" w:rsidR="009279AD" w:rsidRPr="004179B8" w:rsidRDefault="009279AD" w:rsidP="00E13597">
            <w:pPr>
              <w:keepNext/>
              <w:rPr>
                <w:rFonts w:eastAsia="Batang" w:cstheme="minorHAnsi"/>
                <w:b/>
                <w:bCs/>
                <w:noProof/>
                <w:lang w:val="fr-FR"/>
              </w:rPr>
            </w:pPr>
          </w:p>
          <w:p w14:paraId="0E424FE0" w14:textId="77777777" w:rsidR="009279AD" w:rsidRPr="004179B8" w:rsidRDefault="009279AD" w:rsidP="00E13597">
            <w:pPr>
              <w:keepNext/>
              <w:rPr>
                <w:rFonts w:eastAsia="Batang" w:cstheme="minorHAnsi"/>
                <w:b/>
                <w:bCs/>
                <w:noProof/>
                <w:lang w:val="fr-FR"/>
              </w:rPr>
            </w:pPr>
          </w:p>
          <w:p w14:paraId="6F662427" w14:textId="77777777" w:rsidR="009279AD" w:rsidRPr="004179B8" w:rsidRDefault="009279AD" w:rsidP="00E13597">
            <w:pPr>
              <w:keepNext/>
              <w:rPr>
                <w:rFonts w:eastAsia="Batang" w:cstheme="minorHAnsi"/>
                <w:b/>
                <w:bCs/>
                <w:noProof/>
                <w:lang w:val="fr-FR"/>
              </w:rPr>
            </w:pPr>
          </w:p>
          <w:p w14:paraId="1EC3D26D" w14:textId="6D4033B0" w:rsidR="009279AD" w:rsidRPr="004179B8" w:rsidRDefault="009279AD" w:rsidP="00E13597">
            <w:pPr>
              <w:keepNext/>
              <w:rPr>
                <w:rFonts w:eastAsia="Batang" w:cstheme="minorHAnsi"/>
                <w:b/>
                <w:bCs/>
                <w:noProof/>
                <w:lang w:val="fr-FR"/>
              </w:rPr>
            </w:pPr>
            <w:r w:rsidRPr="004179B8">
              <w:rPr>
                <w:rFonts w:eastAsia="Batang" w:cstheme="minorHAnsi"/>
                <w:b/>
                <w:bCs/>
                <w:noProof/>
                <w:lang w:val="fr-FR"/>
              </w:rPr>
              <w:t>232 000</w:t>
            </w:r>
          </w:p>
        </w:tc>
      </w:tr>
    </w:tbl>
    <w:p w14:paraId="62EF7C84" w14:textId="77777777" w:rsidR="00531EBB" w:rsidRPr="004179B8" w:rsidRDefault="00531EBB" w:rsidP="009279AD">
      <w:pPr>
        <w:pStyle w:val="MGfulltext"/>
        <w:spacing w:after="0"/>
        <w:rPr>
          <w:rFonts w:asciiTheme="minorHAnsi" w:eastAsia="Batang" w:hAnsiTheme="minorHAnsi" w:cstheme="minorHAnsi"/>
          <w:noProof/>
          <w:sz w:val="22"/>
          <w:szCs w:val="22"/>
          <w:lang w:val="fr-FR"/>
        </w:rPr>
      </w:pPr>
    </w:p>
    <w:p w14:paraId="530C420A" w14:textId="0544D7D6" w:rsidR="00531EBB" w:rsidRPr="004179B8" w:rsidRDefault="00531EBB" w:rsidP="00531EBB">
      <w:pPr>
        <w:spacing w:after="0" w:line="240" w:lineRule="auto"/>
        <w:ind w:left="426" w:hanging="426"/>
        <w:rPr>
          <w:b/>
          <w:noProof/>
          <w:lang w:val="fr-FR"/>
        </w:rPr>
      </w:pPr>
      <w:r w:rsidRPr="004179B8">
        <w:rPr>
          <w:b/>
          <w:noProof/>
          <w:lang w:val="fr-FR"/>
        </w:rPr>
        <w:t xml:space="preserve">6) </w:t>
      </w:r>
      <w:r w:rsidRPr="004179B8">
        <w:rPr>
          <w:b/>
          <w:noProof/>
          <w:lang w:val="fr-FR"/>
        </w:rPr>
        <w:tab/>
      </w:r>
      <w:r w:rsidR="003945A7" w:rsidRPr="004179B8">
        <w:rPr>
          <w:b/>
          <w:noProof/>
          <w:lang w:val="fr-FR"/>
        </w:rPr>
        <w:t>Divers</w:t>
      </w:r>
    </w:p>
    <w:p w14:paraId="61585349" w14:textId="0619D040" w:rsidR="00531EBB" w:rsidRPr="004179B8" w:rsidRDefault="00531EBB" w:rsidP="00531EBB">
      <w:pPr>
        <w:spacing w:after="0" w:line="240" w:lineRule="auto"/>
        <w:ind w:left="426" w:hanging="426"/>
        <w:rPr>
          <w:bCs/>
          <w:noProof/>
          <w:lang w:val="fr-FR"/>
        </w:rPr>
      </w:pPr>
    </w:p>
    <w:p w14:paraId="0B722710" w14:textId="420EE131" w:rsidR="00531EBB" w:rsidRPr="004179B8" w:rsidRDefault="009279AD" w:rsidP="0067160D">
      <w:pPr>
        <w:spacing w:after="0" w:line="240" w:lineRule="auto"/>
        <w:contextualSpacing/>
        <w:rPr>
          <w:rFonts w:cs="Calibri"/>
          <w:iCs/>
          <w:noProof/>
          <w:color w:val="000000" w:themeColor="text1"/>
          <w:lang w:val="fr-FR"/>
        </w:rPr>
      </w:pPr>
      <w:r w:rsidRPr="004179B8">
        <w:rPr>
          <w:rFonts w:cs="Calibri"/>
          <w:iCs/>
          <w:noProof/>
          <w:color w:val="000000" w:themeColor="text1"/>
          <w:lang w:val="fr-FR"/>
        </w:rPr>
        <w:t>Une Partie indique qu</w:t>
      </w:r>
      <w:r w:rsidR="00EE0531">
        <w:rPr>
          <w:rFonts w:cs="Calibri"/>
          <w:iCs/>
          <w:noProof/>
          <w:color w:val="000000" w:themeColor="text1"/>
          <w:lang w:val="fr-FR"/>
        </w:rPr>
        <w:t>’</w:t>
      </w:r>
      <w:r w:rsidRPr="004179B8">
        <w:rPr>
          <w:rFonts w:cs="Calibri"/>
          <w:iCs/>
          <w:noProof/>
          <w:color w:val="000000" w:themeColor="text1"/>
          <w:lang w:val="fr-FR"/>
        </w:rPr>
        <w:t xml:space="preserve">elle communiquera au Président du Sous-groupe </w:t>
      </w:r>
      <w:r w:rsidR="00C25ED4">
        <w:rPr>
          <w:rFonts w:cs="Calibri"/>
          <w:iCs/>
          <w:noProof/>
          <w:color w:val="000000" w:themeColor="text1"/>
          <w:lang w:val="fr-FR"/>
        </w:rPr>
        <w:t>l</w:t>
      </w:r>
      <w:r w:rsidRPr="004179B8">
        <w:rPr>
          <w:rFonts w:cs="Calibri"/>
          <w:iCs/>
          <w:noProof/>
          <w:color w:val="000000" w:themeColor="text1"/>
          <w:lang w:val="fr-FR"/>
        </w:rPr>
        <w:t>es propositions d</w:t>
      </w:r>
      <w:r w:rsidR="00EE0531">
        <w:rPr>
          <w:rFonts w:cs="Calibri"/>
          <w:iCs/>
          <w:noProof/>
          <w:color w:val="000000" w:themeColor="text1"/>
          <w:lang w:val="fr-FR"/>
        </w:rPr>
        <w:t>’</w:t>
      </w:r>
      <w:r w:rsidRPr="004179B8">
        <w:rPr>
          <w:rFonts w:cs="Calibri"/>
          <w:iCs/>
          <w:noProof/>
          <w:color w:val="000000" w:themeColor="text1"/>
          <w:lang w:val="fr-FR"/>
        </w:rPr>
        <w:t>amendements à apporter au texte du projet de résolution figurant dans le document SC64 Doc.9.3 Rev.1</w:t>
      </w:r>
      <w:r w:rsidR="0067160D" w:rsidRPr="004179B8">
        <w:rPr>
          <w:rFonts w:cs="Calibri"/>
          <w:iCs/>
          <w:noProof/>
          <w:color w:val="000000" w:themeColor="text1"/>
          <w:lang w:val="fr-FR"/>
        </w:rPr>
        <w:t>.</w:t>
      </w:r>
      <w:r w:rsidR="00027C4A" w:rsidRPr="004179B8">
        <w:rPr>
          <w:rStyle w:val="FootnoteReference"/>
          <w:rFonts w:cs="Calibri"/>
          <w:iCs/>
          <w:noProof/>
          <w:color w:val="000000" w:themeColor="text1"/>
          <w:lang w:val="fr-FR"/>
        </w:rPr>
        <w:footnoteReference w:id="4"/>
      </w:r>
    </w:p>
    <w:p w14:paraId="539576C5" w14:textId="02F65389" w:rsidR="0067160D" w:rsidRPr="004179B8" w:rsidRDefault="0067160D" w:rsidP="0067160D">
      <w:pPr>
        <w:spacing w:after="0" w:line="240" w:lineRule="auto"/>
        <w:contextualSpacing/>
        <w:rPr>
          <w:rFonts w:cs="Calibri"/>
          <w:iCs/>
          <w:noProof/>
          <w:color w:val="000000" w:themeColor="text1"/>
          <w:lang w:val="fr-FR"/>
        </w:rPr>
      </w:pPr>
    </w:p>
    <w:p w14:paraId="495CCA8F" w14:textId="26B0C5BD" w:rsidR="0067160D" w:rsidRPr="004179B8" w:rsidRDefault="009279AD" w:rsidP="0067160D">
      <w:pPr>
        <w:spacing w:after="0" w:line="240" w:lineRule="auto"/>
        <w:contextualSpacing/>
        <w:rPr>
          <w:rFonts w:cs="Calibri"/>
          <w:iCs/>
          <w:noProof/>
          <w:color w:val="000000" w:themeColor="text1"/>
          <w:lang w:val="fr-FR"/>
        </w:rPr>
      </w:pPr>
      <w:r w:rsidRPr="004179B8">
        <w:rPr>
          <w:rFonts w:cs="Calibri"/>
          <w:iCs/>
          <w:noProof/>
          <w:color w:val="000000" w:themeColor="text1"/>
          <w:lang w:val="fr-FR"/>
        </w:rPr>
        <w:t>Le Sous-groupe convient de se réunir à nouveau le mercredi 22 janvier à 13h15.</w:t>
      </w:r>
    </w:p>
    <w:p w14:paraId="3744CC96" w14:textId="6CD79145" w:rsidR="00246AB9" w:rsidRPr="004179B8" w:rsidRDefault="00246AB9" w:rsidP="00246AB9">
      <w:pPr>
        <w:pStyle w:val="MGfulltext"/>
        <w:spacing w:after="0"/>
        <w:ind w:left="426" w:hanging="426"/>
        <w:rPr>
          <w:rFonts w:cs="Calibri"/>
          <w:iCs/>
          <w:noProof/>
          <w:color w:val="000000" w:themeColor="text1"/>
          <w:lang w:val="fr-FR"/>
        </w:rPr>
      </w:pPr>
    </w:p>
    <w:p w14:paraId="026503EB" w14:textId="6536A47D" w:rsidR="00CD1C73" w:rsidRPr="004179B8" w:rsidRDefault="00CD1C73">
      <w:pPr>
        <w:rPr>
          <w:iCs/>
          <w:noProof/>
          <w:lang w:val="fr-FR"/>
        </w:rPr>
      </w:pPr>
    </w:p>
    <w:p w14:paraId="49A72A15" w14:textId="77777777" w:rsidR="006E3C3E" w:rsidRPr="004179B8" w:rsidRDefault="006E3C3E">
      <w:pPr>
        <w:rPr>
          <w:rFonts w:cs="Arial"/>
          <w:b/>
          <w:noProof/>
          <w:sz w:val="24"/>
          <w:szCs w:val="24"/>
          <w:lang w:val="fr-FR"/>
        </w:rPr>
      </w:pPr>
      <w:r w:rsidRPr="004179B8">
        <w:rPr>
          <w:rFonts w:cs="Arial"/>
          <w:b/>
          <w:noProof/>
          <w:sz w:val="24"/>
          <w:szCs w:val="24"/>
          <w:lang w:val="fr-FR"/>
        </w:rPr>
        <w:br w:type="page"/>
      </w:r>
    </w:p>
    <w:p w14:paraId="1928E0C8" w14:textId="0B36C443" w:rsidR="00CD1C73" w:rsidRPr="004179B8" w:rsidRDefault="00CD1C73" w:rsidP="00CD1C73">
      <w:pPr>
        <w:pStyle w:val="ListParagraph"/>
        <w:spacing w:after="0" w:line="240" w:lineRule="auto"/>
        <w:ind w:left="0"/>
        <w:contextualSpacing w:val="0"/>
        <w:rPr>
          <w:rFonts w:cs="Arial"/>
          <w:b/>
          <w:noProof/>
          <w:sz w:val="24"/>
          <w:szCs w:val="24"/>
          <w:lang w:val="fr-FR"/>
        </w:rPr>
      </w:pPr>
      <w:r w:rsidRPr="004179B8">
        <w:rPr>
          <w:rFonts w:cs="Arial"/>
          <w:b/>
          <w:noProof/>
          <w:sz w:val="24"/>
          <w:szCs w:val="24"/>
          <w:lang w:val="fr-FR"/>
        </w:rPr>
        <w:lastRenderedPageBreak/>
        <w:t>Annex</w:t>
      </w:r>
      <w:r w:rsidR="0018494A" w:rsidRPr="004179B8">
        <w:rPr>
          <w:rFonts w:cs="Arial"/>
          <w:b/>
          <w:noProof/>
          <w:sz w:val="24"/>
          <w:szCs w:val="24"/>
          <w:lang w:val="fr-FR"/>
        </w:rPr>
        <w:t>e</w:t>
      </w:r>
      <w:r w:rsidRPr="004179B8">
        <w:rPr>
          <w:rFonts w:cs="Arial"/>
          <w:b/>
          <w:noProof/>
          <w:sz w:val="24"/>
          <w:szCs w:val="24"/>
          <w:lang w:val="fr-FR"/>
        </w:rPr>
        <w:t xml:space="preserve"> 1</w:t>
      </w:r>
    </w:p>
    <w:p w14:paraId="35ED3056" w14:textId="05097C66" w:rsidR="00CD1C73" w:rsidRPr="004179B8" w:rsidRDefault="00CD1C73" w:rsidP="00CD1C73">
      <w:pPr>
        <w:pStyle w:val="ListParagraph"/>
        <w:spacing w:after="0" w:line="240" w:lineRule="auto"/>
        <w:ind w:left="0"/>
        <w:contextualSpacing w:val="0"/>
        <w:rPr>
          <w:rFonts w:cs="Arial"/>
          <w:b/>
          <w:noProof/>
          <w:sz w:val="24"/>
          <w:szCs w:val="24"/>
          <w:lang w:val="fr-FR"/>
        </w:rPr>
      </w:pPr>
      <w:r w:rsidRPr="004179B8">
        <w:rPr>
          <w:rFonts w:cs="Arial"/>
          <w:b/>
          <w:noProof/>
          <w:sz w:val="24"/>
          <w:szCs w:val="24"/>
          <w:lang w:val="fr-FR"/>
        </w:rPr>
        <w:t>Sc</w:t>
      </w:r>
      <w:r w:rsidR="009279AD" w:rsidRPr="004179B8">
        <w:rPr>
          <w:rFonts w:cs="Arial"/>
          <w:b/>
          <w:noProof/>
          <w:sz w:val="24"/>
          <w:szCs w:val="24"/>
          <w:lang w:val="fr-FR"/>
        </w:rPr>
        <w:t>é</w:t>
      </w:r>
      <w:r w:rsidRPr="004179B8">
        <w:rPr>
          <w:rFonts w:cs="Arial"/>
          <w:b/>
          <w:noProof/>
          <w:sz w:val="24"/>
          <w:szCs w:val="24"/>
          <w:lang w:val="fr-FR"/>
        </w:rPr>
        <w:t xml:space="preserve">nario C, </w:t>
      </w:r>
      <w:r w:rsidR="009279AD" w:rsidRPr="004179B8">
        <w:rPr>
          <w:rFonts w:cs="Arial"/>
          <w:b/>
          <w:noProof/>
          <w:sz w:val="24"/>
          <w:szCs w:val="24"/>
          <w:lang w:val="fr-FR"/>
        </w:rPr>
        <w:t xml:space="preserve">augmentation de </w:t>
      </w:r>
      <w:r w:rsidRPr="004179B8">
        <w:rPr>
          <w:rFonts w:cs="Arial"/>
          <w:b/>
          <w:noProof/>
          <w:sz w:val="24"/>
          <w:szCs w:val="24"/>
          <w:lang w:val="fr-FR"/>
        </w:rPr>
        <w:t xml:space="preserve">0% </w:t>
      </w:r>
      <w:r w:rsidR="009279AD" w:rsidRPr="004179B8">
        <w:rPr>
          <w:rFonts w:cs="Arial"/>
          <w:b/>
          <w:noProof/>
          <w:sz w:val="24"/>
          <w:szCs w:val="24"/>
          <w:lang w:val="fr-FR"/>
        </w:rPr>
        <w:t>par rapport à la période triennale 2023-2025</w:t>
      </w:r>
    </w:p>
    <w:tbl>
      <w:tblPr>
        <w:tblW w:w="9782" w:type="dxa"/>
        <w:tblInd w:w="-289" w:type="dxa"/>
        <w:tblLayout w:type="fixed"/>
        <w:tblLook w:val="04A0" w:firstRow="1" w:lastRow="0" w:firstColumn="1" w:lastColumn="0" w:noHBand="0" w:noVBand="1"/>
      </w:tblPr>
      <w:tblGrid>
        <w:gridCol w:w="4820"/>
        <w:gridCol w:w="850"/>
        <w:gridCol w:w="851"/>
        <w:gridCol w:w="850"/>
        <w:gridCol w:w="1135"/>
        <w:gridCol w:w="1276"/>
      </w:tblGrid>
      <w:tr w:rsidR="00CD1C73" w:rsidRPr="004E239A" w14:paraId="498BCBB5" w14:textId="77777777" w:rsidTr="00CD1C73">
        <w:trPr>
          <w:tblHeader/>
        </w:trPr>
        <w:tc>
          <w:tcPr>
            <w:tcW w:w="4820" w:type="dxa"/>
            <w:tcBorders>
              <w:top w:val="single" w:sz="4" w:space="0" w:color="auto"/>
              <w:left w:val="single" w:sz="4" w:space="0" w:color="auto"/>
              <w:bottom w:val="single" w:sz="4" w:space="0" w:color="auto"/>
              <w:right w:val="single" w:sz="4" w:space="0" w:color="auto"/>
            </w:tcBorders>
            <w:shd w:val="clear" w:color="000000" w:fill="EBF1DE"/>
            <w:vAlign w:val="center"/>
          </w:tcPr>
          <w:p w14:paraId="7C6BB0FF" w14:textId="1CBF5CD4" w:rsidR="00CD1C73" w:rsidRPr="004179B8" w:rsidRDefault="009279AD" w:rsidP="00CD1C73">
            <w:pPr>
              <w:spacing w:after="0" w:line="240" w:lineRule="auto"/>
              <w:rPr>
                <w:rFonts w:eastAsia="Times New Roman" w:cstheme="minorHAnsi"/>
                <w:b/>
                <w:bCs/>
                <w:noProof/>
                <w:color w:val="1F497D"/>
                <w:sz w:val="20"/>
                <w:szCs w:val="20"/>
                <w:lang w:val="fr-FR" w:eastAsia="en-GB"/>
              </w:rPr>
            </w:pPr>
            <w:r w:rsidRPr="004179B8">
              <w:rPr>
                <w:rFonts w:eastAsia="Times New Roman" w:cstheme="minorHAnsi"/>
                <w:b/>
                <w:bCs/>
                <w:noProof/>
                <w:color w:val="1F497D"/>
                <w:sz w:val="20"/>
                <w:szCs w:val="20"/>
                <w:lang w:val="fr-FR" w:eastAsia="en-GB"/>
              </w:rPr>
              <w:t xml:space="preserve">Augmentation de </w:t>
            </w:r>
            <w:r w:rsidR="00CD1C73" w:rsidRPr="004179B8">
              <w:rPr>
                <w:rFonts w:eastAsia="Times New Roman" w:cstheme="minorHAnsi"/>
                <w:b/>
                <w:bCs/>
                <w:noProof/>
                <w:color w:val="1F497D"/>
                <w:sz w:val="20"/>
                <w:szCs w:val="20"/>
                <w:lang w:val="fr-FR" w:eastAsia="en-GB"/>
              </w:rPr>
              <w:t xml:space="preserve">0%, </w:t>
            </w:r>
            <w:r w:rsidRPr="004179B8">
              <w:rPr>
                <w:rFonts w:eastAsia="Times New Roman" w:cstheme="minorHAnsi"/>
                <w:b/>
                <w:bCs/>
                <w:noProof/>
                <w:color w:val="1F497D"/>
                <w:sz w:val="20"/>
                <w:szCs w:val="20"/>
                <w:lang w:val="fr-FR" w:eastAsia="en-GB"/>
              </w:rPr>
              <w:t xml:space="preserve">Proposition de budget 2026-2028 pour la </w:t>
            </w:r>
            <w:r w:rsidR="00CD1C73" w:rsidRPr="004179B8">
              <w:rPr>
                <w:rFonts w:eastAsia="Times New Roman" w:cstheme="minorHAnsi"/>
                <w:b/>
                <w:bCs/>
                <w:noProof/>
                <w:color w:val="1F497D"/>
                <w:sz w:val="20"/>
                <w:szCs w:val="20"/>
                <w:lang w:val="fr-FR" w:eastAsia="en-GB"/>
              </w:rPr>
              <w:t xml:space="preserve">Convention </w:t>
            </w:r>
            <w:r w:rsidRPr="004179B8">
              <w:rPr>
                <w:rFonts w:eastAsia="Times New Roman" w:cstheme="minorHAnsi"/>
                <w:b/>
                <w:bCs/>
                <w:noProof/>
                <w:color w:val="1F497D"/>
                <w:sz w:val="20"/>
                <w:szCs w:val="20"/>
                <w:lang w:val="fr-FR" w:eastAsia="en-GB"/>
              </w:rPr>
              <w:t>sur les zones humides</w:t>
            </w:r>
            <w:r w:rsidR="00CD1C73" w:rsidRPr="004179B8">
              <w:rPr>
                <w:rFonts w:eastAsia="Times New Roman" w:cstheme="minorHAnsi"/>
                <w:b/>
                <w:bCs/>
                <w:noProof/>
                <w:color w:val="1F497D"/>
                <w:sz w:val="20"/>
                <w:szCs w:val="20"/>
                <w:lang w:val="fr-FR" w:eastAsia="en-GB"/>
              </w:rPr>
              <w:t xml:space="preserve"> </w:t>
            </w:r>
          </w:p>
          <w:p w14:paraId="4A722989" w14:textId="15533EA4" w:rsidR="00CD1C73" w:rsidRPr="004179B8" w:rsidRDefault="009279AD" w:rsidP="00CD1C73">
            <w:pPr>
              <w:spacing w:after="0" w:line="240" w:lineRule="auto"/>
              <w:rPr>
                <w:rFonts w:eastAsia="Times New Roman" w:cstheme="minorHAnsi"/>
                <w:b/>
                <w:bCs/>
                <w:noProof/>
                <w:color w:val="1F497D"/>
                <w:sz w:val="24"/>
                <w:szCs w:val="24"/>
                <w:lang w:val="fr-FR" w:eastAsia="en-GB"/>
              </w:rPr>
            </w:pPr>
            <w:r w:rsidRPr="004179B8">
              <w:rPr>
                <w:rFonts w:eastAsia="Times New Roman" w:cstheme="minorHAnsi"/>
                <w:b/>
                <w:bCs/>
                <w:noProof/>
                <w:color w:val="1F497D"/>
                <w:sz w:val="20"/>
                <w:szCs w:val="20"/>
                <w:lang w:val="fr-FR" w:eastAsia="en-GB"/>
              </w:rPr>
              <w:t>(en milliers de CHF)</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18B05333" w14:textId="77777777" w:rsidR="00CD1C73" w:rsidRPr="004179B8" w:rsidRDefault="00CD1C73" w:rsidP="00CD1C73">
            <w:pPr>
              <w:spacing w:after="0" w:line="240" w:lineRule="auto"/>
              <w:jc w:val="center"/>
              <w:rPr>
                <w:rFonts w:eastAsia="Times New Roman" w:cstheme="minorHAnsi"/>
                <w:b/>
                <w:bCs/>
                <w:noProof/>
                <w:color w:val="1F497D"/>
                <w:sz w:val="20"/>
                <w:szCs w:val="20"/>
                <w:lang w:val="fr-FR" w:eastAsia="en-GB"/>
              </w:rPr>
            </w:pPr>
            <w:r w:rsidRPr="004179B8">
              <w:rPr>
                <w:rFonts w:eastAsia="Times New Roman" w:cstheme="minorHAnsi"/>
                <w:b/>
                <w:bCs/>
                <w:noProof/>
                <w:color w:val="1F497D"/>
                <w:sz w:val="20"/>
                <w:szCs w:val="20"/>
                <w:lang w:val="fr-FR" w:eastAsia="en-GB"/>
              </w:rPr>
              <w:t>Budget 2026</w:t>
            </w:r>
          </w:p>
        </w:tc>
        <w:tc>
          <w:tcPr>
            <w:tcW w:w="851" w:type="dxa"/>
            <w:tcBorders>
              <w:top w:val="single" w:sz="4" w:space="0" w:color="auto"/>
              <w:left w:val="nil"/>
              <w:bottom w:val="single" w:sz="4" w:space="0" w:color="auto"/>
              <w:right w:val="single" w:sz="4" w:space="0" w:color="auto"/>
            </w:tcBorders>
            <w:shd w:val="clear" w:color="000000" w:fill="EBF1DE"/>
            <w:vAlign w:val="center"/>
          </w:tcPr>
          <w:p w14:paraId="3F748A9E" w14:textId="77777777" w:rsidR="00CD1C73" w:rsidRPr="004179B8" w:rsidRDefault="00CD1C73" w:rsidP="00CD1C73">
            <w:pPr>
              <w:spacing w:after="0" w:line="240" w:lineRule="auto"/>
              <w:jc w:val="center"/>
              <w:rPr>
                <w:rFonts w:eastAsia="Times New Roman" w:cstheme="minorHAnsi"/>
                <w:b/>
                <w:bCs/>
                <w:noProof/>
                <w:color w:val="1F497D"/>
                <w:sz w:val="20"/>
                <w:szCs w:val="20"/>
                <w:lang w:val="fr-FR" w:eastAsia="en-GB"/>
              </w:rPr>
            </w:pPr>
            <w:r w:rsidRPr="004179B8">
              <w:rPr>
                <w:rFonts w:eastAsia="Times New Roman" w:cstheme="minorHAnsi"/>
                <w:b/>
                <w:bCs/>
                <w:noProof/>
                <w:color w:val="1F497D"/>
                <w:sz w:val="20"/>
                <w:szCs w:val="20"/>
                <w:lang w:val="fr-FR" w:eastAsia="en-GB"/>
              </w:rPr>
              <w:t>Budget 2027</w:t>
            </w:r>
          </w:p>
        </w:tc>
        <w:tc>
          <w:tcPr>
            <w:tcW w:w="850" w:type="dxa"/>
            <w:tcBorders>
              <w:top w:val="single" w:sz="4" w:space="0" w:color="auto"/>
              <w:left w:val="nil"/>
              <w:bottom w:val="single" w:sz="4" w:space="0" w:color="auto"/>
              <w:right w:val="single" w:sz="4" w:space="0" w:color="auto"/>
            </w:tcBorders>
            <w:shd w:val="clear" w:color="000000" w:fill="EBF1DE"/>
            <w:vAlign w:val="center"/>
          </w:tcPr>
          <w:p w14:paraId="74F6A6FD" w14:textId="77777777" w:rsidR="00CD1C73" w:rsidRPr="004179B8" w:rsidRDefault="00CD1C73" w:rsidP="00CD1C73">
            <w:pPr>
              <w:spacing w:after="0" w:line="240" w:lineRule="auto"/>
              <w:jc w:val="center"/>
              <w:rPr>
                <w:rFonts w:eastAsia="Times New Roman" w:cstheme="minorHAnsi"/>
                <w:b/>
                <w:bCs/>
                <w:noProof/>
                <w:color w:val="1F497D"/>
                <w:sz w:val="20"/>
                <w:szCs w:val="20"/>
                <w:lang w:val="fr-FR" w:eastAsia="en-GB"/>
              </w:rPr>
            </w:pPr>
            <w:r w:rsidRPr="004179B8">
              <w:rPr>
                <w:rFonts w:eastAsia="Times New Roman" w:cstheme="minorHAnsi"/>
                <w:b/>
                <w:bCs/>
                <w:noProof/>
                <w:color w:val="1F497D"/>
                <w:sz w:val="20"/>
                <w:szCs w:val="20"/>
                <w:lang w:val="fr-FR" w:eastAsia="en-GB"/>
              </w:rPr>
              <w:t>Budget 2028</w:t>
            </w:r>
          </w:p>
        </w:tc>
        <w:tc>
          <w:tcPr>
            <w:tcW w:w="1135" w:type="dxa"/>
            <w:tcBorders>
              <w:top w:val="single" w:sz="4" w:space="0" w:color="auto"/>
              <w:left w:val="nil"/>
              <w:bottom w:val="single" w:sz="4" w:space="0" w:color="auto"/>
              <w:right w:val="single" w:sz="4" w:space="0" w:color="auto"/>
            </w:tcBorders>
            <w:shd w:val="clear" w:color="000000" w:fill="EBF1DE"/>
            <w:vAlign w:val="center"/>
          </w:tcPr>
          <w:p w14:paraId="35711EB6" w14:textId="17AB03B1" w:rsidR="00CD1C73" w:rsidRPr="004179B8" w:rsidRDefault="00CD1C73" w:rsidP="00CD1C73">
            <w:pPr>
              <w:spacing w:after="0" w:line="240" w:lineRule="auto"/>
              <w:jc w:val="center"/>
              <w:rPr>
                <w:rFonts w:eastAsia="Times New Roman" w:cstheme="minorHAnsi"/>
                <w:b/>
                <w:bCs/>
                <w:noProof/>
                <w:color w:val="1F497D"/>
                <w:sz w:val="20"/>
                <w:szCs w:val="20"/>
                <w:lang w:val="fr-FR" w:eastAsia="en-GB"/>
              </w:rPr>
            </w:pPr>
            <w:r w:rsidRPr="004179B8">
              <w:rPr>
                <w:rFonts w:eastAsia="Times New Roman" w:cstheme="minorHAnsi"/>
                <w:b/>
                <w:bCs/>
                <w:noProof/>
                <w:color w:val="1F497D"/>
                <w:sz w:val="20"/>
                <w:szCs w:val="20"/>
                <w:lang w:val="fr-FR" w:eastAsia="en-GB"/>
              </w:rPr>
              <w:t xml:space="preserve">Budget </w:t>
            </w:r>
            <w:r w:rsidR="009279AD" w:rsidRPr="004179B8">
              <w:rPr>
                <w:rFonts w:eastAsia="Times New Roman" w:cstheme="minorHAnsi"/>
                <w:b/>
                <w:bCs/>
                <w:noProof/>
                <w:color w:val="1F497D"/>
                <w:sz w:val="20"/>
                <w:szCs w:val="20"/>
                <w:lang w:val="fr-FR" w:eastAsia="en-GB"/>
              </w:rPr>
              <w:t xml:space="preserve">total </w:t>
            </w:r>
            <w:r w:rsidRPr="004179B8">
              <w:rPr>
                <w:rFonts w:eastAsia="Times New Roman" w:cstheme="minorHAnsi"/>
                <w:b/>
                <w:bCs/>
                <w:noProof/>
                <w:color w:val="1F497D"/>
                <w:sz w:val="20"/>
                <w:szCs w:val="20"/>
                <w:lang w:val="fr-FR" w:eastAsia="en-GB"/>
              </w:rPr>
              <w:t>2026-2028</w:t>
            </w:r>
          </w:p>
        </w:tc>
        <w:tc>
          <w:tcPr>
            <w:tcW w:w="1276" w:type="dxa"/>
            <w:tcBorders>
              <w:top w:val="single" w:sz="4" w:space="0" w:color="auto"/>
              <w:left w:val="nil"/>
              <w:bottom w:val="single" w:sz="4" w:space="0" w:color="auto"/>
              <w:right w:val="single" w:sz="4" w:space="0" w:color="auto"/>
            </w:tcBorders>
            <w:shd w:val="clear" w:color="000000" w:fill="EBF1DE"/>
          </w:tcPr>
          <w:p w14:paraId="4FB40E0C" w14:textId="5315705E" w:rsidR="00CD1C73" w:rsidRPr="004179B8" w:rsidRDefault="009279AD" w:rsidP="00CD1C73">
            <w:pPr>
              <w:spacing w:after="0" w:line="240" w:lineRule="auto"/>
              <w:jc w:val="center"/>
              <w:rPr>
                <w:rFonts w:eastAsia="Times New Roman" w:cstheme="minorHAnsi"/>
                <w:b/>
                <w:bCs/>
                <w:noProof/>
                <w:color w:val="1F497D"/>
                <w:sz w:val="20"/>
                <w:szCs w:val="20"/>
                <w:lang w:val="fr-FR" w:eastAsia="en-GB"/>
              </w:rPr>
            </w:pPr>
            <w:r w:rsidRPr="004179B8">
              <w:rPr>
                <w:rFonts w:eastAsia="Times New Roman" w:cstheme="minorHAnsi"/>
                <w:b/>
                <w:bCs/>
                <w:noProof/>
                <w:color w:val="1F497D"/>
                <w:sz w:val="20"/>
                <w:szCs w:val="20"/>
                <w:lang w:val="fr-FR" w:eastAsia="en-GB"/>
              </w:rPr>
              <w:t>Écart par rapport</w:t>
            </w:r>
            <w:r w:rsidR="00CD1C73" w:rsidRPr="004179B8">
              <w:rPr>
                <w:rFonts w:eastAsia="Times New Roman" w:cstheme="minorHAnsi"/>
                <w:b/>
                <w:bCs/>
                <w:noProof/>
                <w:color w:val="1F497D"/>
                <w:sz w:val="20"/>
                <w:szCs w:val="20"/>
                <w:lang w:val="fr-FR" w:eastAsia="en-GB"/>
              </w:rPr>
              <w:t xml:space="preserve"> </w:t>
            </w:r>
            <w:r w:rsidRPr="004179B8">
              <w:rPr>
                <w:rFonts w:eastAsia="Times New Roman" w:cstheme="minorHAnsi"/>
                <w:b/>
                <w:bCs/>
                <w:noProof/>
                <w:color w:val="1F497D"/>
                <w:sz w:val="20"/>
                <w:szCs w:val="20"/>
                <w:lang w:val="fr-FR" w:eastAsia="en-GB"/>
              </w:rPr>
              <w:t>au budget</w:t>
            </w:r>
            <w:r w:rsidR="00B450BC">
              <w:rPr>
                <w:rFonts w:eastAsia="Times New Roman" w:cstheme="minorHAnsi"/>
                <w:b/>
                <w:bCs/>
                <w:noProof/>
                <w:color w:val="1F497D"/>
                <w:sz w:val="20"/>
                <w:szCs w:val="20"/>
                <w:lang w:val="fr-FR" w:eastAsia="en-GB"/>
              </w:rPr>
              <w:t xml:space="preserve"> </w:t>
            </w:r>
            <w:r w:rsidR="00CD1C73" w:rsidRPr="004179B8">
              <w:rPr>
                <w:rFonts w:eastAsia="Times New Roman" w:cstheme="minorHAnsi"/>
                <w:b/>
                <w:bCs/>
                <w:noProof/>
                <w:color w:val="1F497D"/>
                <w:sz w:val="20"/>
                <w:szCs w:val="20"/>
                <w:lang w:val="fr-FR" w:eastAsia="en-GB"/>
              </w:rPr>
              <w:t>2023-2025</w:t>
            </w:r>
          </w:p>
        </w:tc>
      </w:tr>
      <w:tr w:rsidR="009279AD" w:rsidRPr="004179B8" w14:paraId="77A72DAB" w14:textId="77777777" w:rsidTr="00C906B1">
        <w:tc>
          <w:tcPr>
            <w:tcW w:w="4820" w:type="dxa"/>
            <w:tcBorders>
              <w:top w:val="single" w:sz="4" w:space="0" w:color="auto"/>
              <w:left w:val="single" w:sz="4" w:space="0" w:color="auto"/>
              <w:bottom w:val="single" w:sz="4" w:space="0" w:color="auto"/>
              <w:right w:val="single" w:sz="4" w:space="0" w:color="auto"/>
            </w:tcBorders>
            <w:shd w:val="clear" w:color="auto" w:fill="auto"/>
            <w:noWrap/>
          </w:tcPr>
          <w:p w14:paraId="1312C76F" w14:textId="09A22BBE" w:rsidR="009279AD" w:rsidRPr="004179B8" w:rsidRDefault="009279AD" w:rsidP="009279AD">
            <w:pPr>
              <w:spacing w:after="0" w:line="240" w:lineRule="auto"/>
              <w:rPr>
                <w:rFonts w:eastAsia="Times New Roman" w:cstheme="minorHAnsi"/>
                <w:b/>
                <w:bCs/>
                <w:noProof/>
                <w:color w:val="1F497D"/>
                <w:sz w:val="20"/>
                <w:szCs w:val="20"/>
                <w:highlight w:val="yellow"/>
                <w:lang w:val="fr-FR" w:eastAsia="en-GB"/>
              </w:rPr>
            </w:pPr>
            <w:r w:rsidRPr="004179B8">
              <w:rPr>
                <w:b/>
                <w:bCs/>
                <w:noProof/>
                <w:color w:val="2F5496" w:themeColor="accent1" w:themeShade="BF"/>
                <w:lang w:val="fr-FR"/>
              </w:rPr>
              <w:t>REVENUS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799749"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AD9A92"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80F9EB8"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 </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48BDD9"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 </w:t>
            </w:r>
          </w:p>
        </w:tc>
        <w:tc>
          <w:tcPr>
            <w:tcW w:w="1276" w:type="dxa"/>
            <w:tcBorders>
              <w:top w:val="single" w:sz="4" w:space="0" w:color="auto"/>
              <w:left w:val="nil"/>
              <w:bottom w:val="single" w:sz="4" w:space="0" w:color="auto"/>
              <w:right w:val="single" w:sz="4" w:space="0" w:color="auto"/>
            </w:tcBorders>
          </w:tcPr>
          <w:p w14:paraId="53A83933" w14:textId="77777777" w:rsidR="009279AD" w:rsidRPr="004179B8" w:rsidRDefault="009279AD" w:rsidP="009279AD">
            <w:pPr>
              <w:spacing w:after="0" w:line="240" w:lineRule="auto"/>
              <w:jc w:val="right"/>
              <w:rPr>
                <w:rFonts w:eastAsia="Times New Roman" w:cstheme="minorHAnsi"/>
                <w:noProof/>
                <w:sz w:val="20"/>
                <w:szCs w:val="20"/>
                <w:lang w:val="fr-FR" w:eastAsia="en-GB"/>
              </w:rPr>
            </w:pPr>
          </w:p>
        </w:tc>
      </w:tr>
      <w:tr w:rsidR="009279AD" w:rsidRPr="004179B8" w14:paraId="48A695C6"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638FF8A6" w14:textId="765EEBC5" w:rsidR="009279AD" w:rsidRPr="004179B8" w:rsidRDefault="009279AD" w:rsidP="009279AD">
            <w:pPr>
              <w:spacing w:after="0" w:line="240" w:lineRule="auto"/>
              <w:rPr>
                <w:rFonts w:eastAsia="Times New Roman" w:cstheme="minorHAnsi"/>
                <w:noProof/>
                <w:color w:val="000000"/>
                <w:sz w:val="20"/>
                <w:szCs w:val="20"/>
                <w:highlight w:val="yellow"/>
                <w:lang w:val="fr-FR" w:eastAsia="en-GB"/>
              </w:rPr>
            </w:pPr>
            <w:r w:rsidRPr="004179B8">
              <w:rPr>
                <w:noProof/>
                <w:lang w:val="fr-FR"/>
              </w:rPr>
              <w:t>Contributions des Parties contractantes</w:t>
            </w:r>
          </w:p>
        </w:tc>
        <w:tc>
          <w:tcPr>
            <w:tcW w:w="850" w:type="dxa"/>
            <w:tcBorders>
              <w:top w:val="nil"/>
              <w:left w:val="nil"/>
              <w:bottom w:val="single" w:sz="4" w:space="0" w:color="auto"/>
              <w:right w:val="single" w:sz="4" w:space="0" w:color="auto"/>
            </w:tcBorders>
            <w:shd w:val="clear" w:color="auto" w:fill="auto"/>
            <w:noWrap/>
            <w:vAlign w:val="center"/>
          </w:tcPr>
          <w:p w14:paraId="2542D824" w14:textId="6C86D05C"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3779</w:t>
            </w:r>
          </w:p>
        </w:tc>
        <w:tc>
          <w:tcPr>
            <w:tcW w:w="851" w:type="dxa"/>
            <w:tcBorders>
              <w:top w:val="nil"/>
              <w:left w:val="nil"/>
              <w:bottom w:val="single" w:sz="4" w:space="0" w:color="auto"/>
              <w:right w:val="single" w:sz="4" w:space="0" w:color="auto"/>
            </w:tcBorders>
            <w:shd w:val="clear" w:color="auto" w:fill="auto"/>
            <w:noWrap/>
            <w:vAlign w:val="center"/>
          </w:tcPr>
          <w:p w14:paraId="106A9CC5" w14:textId="0AF44685"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3779</w:t>
            </w:r>
          </w:p>
        </w:tc>
        <w:tc>
          <w:tcPr>
            <w:tcW w:w="850" w:type="dxa"/>
            <w:tcBorders>
              <w:top w:val="nil"/>
              <w:left w:val="nil"/>
              <w:bottom w:val="single" w:sz="4" w:space="0" w:color="auto"/>
              <w:right w:val="single" w:sz="4" w:space="0" w:color="auto"/>
            </w:tcBorders>
            <w:shd w:val="clear" w:color="auto" w:fill="auto"/>
            <w:noWrap/>
            <w:vAlign w:val="center"/>
          </w:tcPr>
          <w:p w14:paraId="650CF42D" w14:textId="584221C6"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3779</w:t>
            </w:r>
          </w:p>
        </w:tc>
        <w:tc>
          <w:tcPr>
            <w:tcW w:w="1135" w:type="dxa"/>
            <w:tcBorders>
              <w:top w:val="nil"/>
              <w:left w:val="nil"/>
              <w:bottom w:val="single" w:sz="4" w:space="0" w:color="auto"/>
              <w:right w:val="single" w:sz="4" w:space="0" w:color="auto"/>
            </w:tcBorders>
            <w:shd w:val="clear" w:color="auto" w:fill="auto"/>
            <w:noWrap/>
            <w:vAlign w:val="center"/>
          </w:tcPr>
          <w:p w14:paraId="3D004E8B" w14:textId="59831983"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11 337</w:t>
            </w:r>
          </w:p>
        </w:tc>
        <w:tc>
          <w:tcPr>
            <w:tcW w:w="1276" w:type="dxa"/>
            <w:tcBorders>
              <w:top w:val="nil"/>
              <w:left w:val="nil"/>
              <w:bottom w:val="single" w:sz="4" w:space="0" w:color="auto"/>
              <w:right w:val="single" w:sz="4" w:space="0" w:color="auto"/>
            </w:tcBorders>
          </w:tcPr>
          <w:p w14:paraId="4FD20F6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59AF38CA"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39CCAA37" w14:textId="21A83398" w:rsidR="009279AD" w:rsidRPr="004179B8" w:rsidRDefault="009279AD" w:rsidP="009279AD">
            <w:pPr>
              <w:spacing w:after="0" w:line="240" w:lineRule="auto"/>
              <w:rPr>
                <w:rFonts w:eastAsia="Times New Roman" w:cstheme="minorHAnsi"/>
                <w:noProof/>
                <w:color w:val="000000"/>
                <w:sz w:val="20"/>
                <w:szCs w:val="20"/>
                <w:highlight w:val="yellow"/>
                <w:lang w:val="fr-FR" w:eastAsia="en-GB"/>
              </w:rPr>
            </w:pPr>
            <w:r w:rsidRPr="004179B8">
              <w:rPr>
                <w:noProof/>
                <w:lang w:val="fr-FR"/>
              </w:rPr>
              <w:t>Contributions volontaires</w:t>
            </w:r>
          </w:p>
        </w:tc>
        <w:tc>
          <w:tcPr>
            <w:tcW w:w="850" w:type="dxa"/>
            <w:tcBorders>
              <w:top w:val="nil"/>
              <w:left w:val="nil"/>
              <w:bottom w:val="single" w:sz="4" w:space="0" w:color="auto"/>
              <w:right w:val="single" w:sz="4" w:space="0" w:color="auto"/>
            </w:tcBorders>
            <w:shd w:val="clear" w:color="auto" w:fill="auto"/>
            <w:noWrap/>
            <w:vAlign w:val="center"/>
          </w:tcPr>
          <w:p w14:paraId="7BAADF49" w14:textId="7C169160"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1065</w:t>
            </w:r>
          </w:p>
        </w:tc>
        <w:tc>
          <w:tcPr>
            <w:tcW w:w="851" w:type="dxa"/>
            <w:tcBorders>
              <w:top w:val="nil"/>
              <w:left w:val="nil"/>
              <w:bottom w:val="single" w:sz="4" w:space="0" w:color="auto"/>
              <w:right w:val="single" w:sz="4" w:space="0" w:color="auto"/>
            </w:tcBorders>
            <w:shd w:val="clear" w:color="auto" w:fill="auto"/>
            <w:noWrap/>
            <w:vAlign w:val="center"/>
          </w:tcPr>
          <w:p w14:paraId="6544F585" w14:textId="08D41806"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1065</w:t>
            </w:r>
          </w:p>
        </w:tc>
        <w:tc>
          <w:tcPr>
            <w:tcW w:w="850" w:type="dxa"/>
            <w:tcBorders>
              <w:top w:val="nil"/>
              <w:left w:val="nil"/>
              <w:bottom w:val="single" w:sz="4" w:space="0" w:color="auto"/>
              <w:right w:val="single" w:sz="4" w:space="0" w:color="auto"/>
            </w:tcBorders>
            <w:shd w:val="clear" w:color="auto" w:fill="auto"/>
            <w:noWrap/>
            <w:vAlign w:val="center"/>
          </w:tcPr>
          <w:p w14:paraId="218BCEDA" w14:textId="4BAA534E"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1065</w:t>
            </w:r>
          </w:p>
        </w:tc>
        <w:tc>
          <w:tcPr>
            <w:tcW w:w="1135" w:type="dxa"/>
            <w:tcBorders>
              <w:top w:val="nil"/>
              <w:left w:val="nil"/>
              <w:bottom w:val="single" w:sz="4" w:space="0" w:color="auto"/>
              <w:right w:val="single" w:sz="4" w:space="0" w:color="auto"/>
            </w:tcBorders>
            <w:shd w:val="clear" w:color="auto" w:fill="auto"/>
            <w:noWrap/>
            <w:vAlign w:val="center"/>
          </w:tcPr>
          <w:p w14:paraId="0B8B4B61"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3,195</w:t>
            </w:r>
          </w:p>
        </w:tc>
        <w:tc>
          <w:tcPr>
            <w:tcW w:w="1276" w:type="dxa"/>
            <w:tcBorders>
              <w:top w:val="nil"/>
              <w:left w:val="nil"/>
              <w:bottom w:val="single" w:sz="4" w:space="0" w:color="auto"/>
              <w:right w:val="single" w:sz="4" w:space="0" w:color="auto"/>
            </w:tcBorders>
          </w:tcPr>
          <w:p w14:paraId="79D774F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6B7B01E1"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32229066" w14:textId="631FF85C" w:rsidR="009279AD" w:rsidRPr="004179B8" w:rsidRDefault="009279AD" w:rsidP="009279AD">
            <w:pPr>
              <w:spacing w:after="0" w:line="240" w:lineRule="auto"/>
              <w:rPr>
                <w:rFonts w:eastAsia="Times New Roman" w:cstheme="minorHAnsi"/>
                <w:noProof/>
                <w:color w:val="000000"/>
                <w:sz w:val="20"/>
                <w:szCs w:val="20"/>
                <w:highlight w:val="yellow"/>
                <w:lang w:val="fr-FR" w:eastAsia="en-GB"/>
              </w:rPr>
            </w:pPr>
            <w:r w:rsidRPr="004179B8">
              <w:rPr>
                <w:noProof/>
                <w:lang w:val="fr-FR"/>
              </w:rPr>
              <w:t>Impôts</w:t>
            </w:r>
          </w:p>
        </w:tc>
        <w:tc>
          <w:tcPr>
            <w:tcW w:w="850" w:type="dxa"/>
            <w:tcBorders>
              <w:top w:val="nil"/>
              <w:left w:val="nil"/>
              <w:bottom w:val="single" w:sz="4" w:space="0" w:color="auto"/>
              <w:right w:val="single" w:sz="4" w:space="0" w:color="auto"/>
            </w:tcBorders>
            <w:shd w:val="clear" w:color="auto" w:fill="auto"/>
            <w:noWrap/>
            <w:vAlign w:val="center"/>
          </w:tcPr>
          <w:p w14:paraId="730A6BE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225</w:t>
            </w:r>
          </w:p>
        </w:tc>
        <w:tc>
          <w:tcPr>
            <w:tcW w:w="851" w:type="dxa"/>
            <w:tcBorders>
              <w:top w:val="nil"/>
              <w:left w:val="nil"/>
              <w:bottom w:val="single" w:sz="4" w:space="0" w:color="auto"/>
              <w:right w:val="single" w:sz="4" w:space="0" w:color="auto"/>
            </w:tcBorders>
            <w:shd w:val="clear" w:color="auto" w:fill="auto"/>
            <w:noWrap/>
            <w:vAlign w:val="center"/>
          </w:tcPr>
          <w:p w14:paraId="71DB38E3"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225</w:t>
            </w:r>
          </w:p>
        </w:tc>
        <w:tc>
          <w:tcPr>
            <w:tcW w:w="850" w:type="dxa"/>
            <w:tcBorders>
              <w:top w:val="nil"/>
              <w:left w:val="nil"/>
              <w:bottom w:val="single" w:sz="4" w:space="0" w:color="auto"/>
              <w:right w:val="single" w:sz="4" w:space="0" w:color="auto"/>
            </w:tcBorders>
            <w:shd w:val="clear" w:color="auto" w:fill="auto"/>
            <w:noWrap/>
            <w:vAlign w:val="center"/>
          </w:tcPr>
          <w:p w14:paraId="02225BEC"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225</w:t>
            </w:r>
          </w:p>
        </w:tc>
        <w:tc>
          <w:tcPr>
            <w:tcW w:w="1135" w:type="dxa"/>
            <w:tcBorders>
              <w:top w:val="nil"/>
              <w:left w:val="nil"/>
              <w:bottom w:val="single" w:sz="4" w:space="0" w:color="auto"/>
              <w:right w:val="single" w:sz="4" w:space="0" w:color="auto"/>
            </w:tcBorders>
            <w:shd w:val="clear" w:color="auto" w:fill="auto"/>
            <w:noWrap/>
            <w:vAlign w:val="center"/>
          </w:tcPr>
          <w:p w14:paraId="7B2D1F2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675</w:t>
            </w:r>
          </w:p>
        </w:tc>
        <w:tc>
          <w:tcPr>
            <w:tcW w:w="1276" w:type="dxa"/>
            <w:tcBorders>
              <w:top w:val="nil"/>
              <w:left w:val="nil"/>
              <w:bottom w:val="single" w:sz="4" w:space="0" w:color="auto"/>
              <w:right w:val="single" w:sz="4" w:space="0" w:color="auto"/>
            </w:tcBorders>
          </w:tcPr>
          <w:p w14:paraId="0D114B1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18BC8285" w14:textId="77777777" w:rsidTr="00C906B1">
        <w:tc>
          <w:tcPr>
            <w:tcW w:w="4820" w:type="dxa"/>
            <w:tcBorders>
              <w:top w:val="nil"/>
              <w:left w:val="single" w:sz="4" w:space="0" w:color="auto"/>
              <w:bottom w:val="nil"/>
              <w:right w:val="single" w:sz="4" w:space="0" w:color="auto"/>
            </w:tcBorders>
            <w:shd w:val="clear" w:color="auto" w:fill="auto"/>
            <w:noWrap/>
          </w:tcPr>
          <w:p w14:paraId="690401FB" w14:textId="30399268" w:rsidR="009279AD" w:rsidRPr="004179B8" w:rsidRDefault="009279AD" w:rsidP="009279AD">
            <w:pPr>
              <w:spacing w:after="0" w:line="240" w:lineRule="auto"/>
              <w:rPr>
                <w:rFonts w:eastAsia="Times New Roman" w:cstheme="minorHAnsi"/>
                <w:noProof/>
                <w:color w:val="000000"/>
                <w:sz w:val="20"/>
                <w:szCs w:val="20"/>
                <w:highlight w:val="yellow"/>
                <w:lang w:val="fr-FR" w:eastAsia="en-GB"/>
              </w:rPr>
            </w:pPr>
            <w:r w:rsidRPr="004179B8">
              <w:rPr>
                <w:noProof/>
                <w:lang w:val="fr-FR"/>
              </w:rPr>
              <w:t>Revenus d</w:t>
            </w:r>
            <w:r w:rsidR="00EE0531">
              <w:rPr>
                <w:noProof/>
                <w:lang w:val="fr-FR"/>
              </w:rPr>
              <w:t>’</w:t>
            </w:r>
            <w:r w:rsidRPr="004179B8">
              <w:rPr>
                <w:noProof/>
                <w:lang w:val="fr-FR"/>
              </w:rPr>
              <w:t>intérêts</w:t>
            </w:r>
          </w:p>
        </w:tc>
        <w:tc>
          <w:tcPr>
            <w:tcW w:w="850" w:type="dxa"/>
            <w:tcBorders>
              <w:top w:val="nil"/>
              <w:left w:val="nil"/>
              <w:bottom w:val="single" w:sz="4" w:space="0" w:color="auto"/>
              <w:right w:val="single" w:sz="4" w:space="0" w:color="auto"/>
            </w:tcBorders>
            <w:shd w:val="clear" w:color="auto" w:fill="auto"/>
            <w:noWrap/>
            <w:vAlign w:val="center"/>
          </w:tcPr>
          <w:p w14:paraId="59CCF41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12</w:t>
            </w:r>
          </w:p>
        </w:tc>
        <w:tc>
          <w:tcPr>
            <w:tcW w:w="851" w:type="dxa"/>
            <w:tcBorders>
              <w:top w:val="nil"/>
              <w:left w:val="nil"/>
              <w:bottom w:val="single" w:sz="4" w:space="0" w:color="auto"/>
              <w:right w:val="single" w:sz="4" w:space="0" w:color="auto"/>
            </w:tcBorders>
            <w:shd w:val="clear" w:color="auto" w:fill="auto"/>
            <w:noWrap/>
            <w:vAlign w:val="center"/>
          </w:tcPr>
          <w:p w14:paraId="26BD0480"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12</w:t>
            </w:r>
          </w:p>
        </w:tc>
        <w:tc>
          <w:tcPr>
            <w:tcW w:w="850" w:type="dxa"/>
            <w:tcBorders>
              <w:top w:val="nil"/>
              <w:left w:val="nil"/>
              <w:bottom w:val="single" w:sz="4" w:space="0" w:color="auto"/>
              <w:right w:val="single" w:sz="4" w:space="0" w:color="auto"/>
            </w:tcBorders>
            <w:shd w:val="clear" w:color="auto" w:fill="auto"/>
            <w:noWrap/>
            <w:vAlign w:val="center"/>
          </w:tcPr>
          <w:p w14:paraId="3C627CCA"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12</w:t>
            </w:r>
          </w:p>
        </w:tc>
        <w:tc>
          <w:tcPr>
            <w:tcW w:w="1135" w:type="dxa"/>
            <w:tcBorders>
              <w:top w:val="nil"/>
              <w:left w:val="nil"/>
              <w:bottom w:val="single" w:sz="4" w:space="0" w:color="auto"/>
              <w:right w:val="single" w:sz="4" w:space="0" w:color="auto"/>
            </w:tcBorders>
            <w:shd w:val="clear" w:color="auto" w:fill="auto"/>
            <w:noWrap/>
            <w:vAlign w:val="center"/>
          </w:tcPr>
          <w:p w14:paraId="295A2681"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36</w:t>
            </w:r>
          </w:p>
        </w:tc>
        <w:tc>
          <w:tcPr>
            <w:tcW w:w="1276" w:type="dxa"/>
            <w:tcBorders>
              <w:top w:val="nil"/>
              <w:left w:val="nil"/>
              <w:bottom w:val="single" w:sz="4" w:space="0" w:color="auto"/>
              <w:right w:val="single" w:sz="4" w:space="0" w:color="auto"/>
            </w:tcBorders>
          </w:tcPr>
          <w:p w14:paraId="0283E38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5F8D31D5" w14:textId="77777777" w:rsidTr="00C906B1">
        <w:tc>
          <w:tcPr>
            <w:tcW w:w="4820" w:type="dxa"/>
            <w:tcBorders>
              <w:top w:val="single" w:sz="4" w:space="0" w:color="auto"/>
              <w:left w:val="single" w:sz="4" w:space="0" w:color="auto"/>
              <w:bottom w:val="single" w:sz="4" w:space="0" w:color="auto"/>
              <w:right w:val="single" w:sz="4" w:space="0" w:color="auto"/>
            </w:tcBorders>
            <w:shd w:val="clear" w:color="000000" w:fill="C4D79B"/>
            <w:noWrap/>
          </w:tcPr>
          <w:p w14:paraId="12E7DEF2" w14:textId="155841A5" w:rsidR="009279AD" w:rsidRPr="004179B8" w:rsidRDefault="009279AD" w:rsidP="009279AD">
            <w:pPr>
              <w:spacing w:after="0" w:line="240" w:lineRule="auto"/>
              <w:rPr>
                <w:rFonts w:eastAsia="Times New Roman" w:cstheme="minorHAnsi"/>
                <w:b/>
                <w:bCs/>
                <w:noProof/>
                <w:color w:val="2F5496" w:themeColor="accent1" w:themeShade="BF"/>
                <w:sz w:val="20"/>
                <w:szCs w:val="20"/>
                <w:highlight w:val="yellow"/>
                <w:lang w:val="fr-FR" w:eastAsia="en-GB"/>
              </w:rPr>
            </w:pPr>
            <w:r w:rsidRPr="004179B8">
              <w:rPr>
                <w:b/>
                <w:bCs/>
                <w:noProof/>
                <w:color w:val="2F5496" w:themeColor="accent1" w:themeShade="BF"/>
                <w:lang w:val="fr-FR"/>
              </w:rPr>
              <w:t>MONTANT TOTAL DES REVENUS</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64609DFD" w14:textId="604AA8DB"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5081</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6999D5F7" w14:textId="2B3CCB60"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5081</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4DB24384" w14:textId="5652F857"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5081</w:t>
            </w:r>
          </w:p>
        </w:tc>
        <w:tc>
          <w:tcPr>
            <w:tcW w:w="1135" w:type="dxa"/>
            <w:tcBorders>
              <w:top w:val="single" w:sz="4" w:space="0" w:color="auto"/>
              <w:left w:val="nil"/>
              <w:bottom w:val="single" w:sz="4" w:space="0" w:color="auto"/>
              <w:right w:val="single" w:sz="4" w:space="0" w:color="auto"/>
            </w:tcBorders>
            <w:shd w:val="clear" w:color="000000" w:fill="C4D79B"/>
            <w:noWrap/>
            <w:vAlign w:val="center"/>
          </w:tcPr>
          <w:p w14:paraId="4AD4F02D" w14:textId="1FE815B0"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15 243</w:t>
            </w:r>
          </w:p>
        </w:tc>
        <w:tc>
          <w:tcPr>
            <w:tcW w:w="1276" w:type="dxa"/>
            <w:tcBorders>
              <w:top w:val="single" w:sz="4" w:space="0" w:color="auto"/>
              <w:left w:val="nil"/>
              <w:bottom w:val="single" w:sz="4" w:space="0" w:color="auto"/>
              <w:right w:val="single" w:sz="4" w:space="0" w:color="auto"/>
            </w:tcBorders>
            <w:shd w:val="clear" w:color="000000" w:fill="C4D79B"/>
          </w:tcPr>
          <w:p w14:paraId="660EC44A" w14:textId="77777777"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0</w:t>
            </w:r>
          </w:p>
        </w:tc>
      </w:tr>
      <w:tr w:rsidR="009279AD" w:rsidRPr="004179B8" w14:paraId="0F5CCD55"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46BDA83F" w14:textId="70EEC83C" w:rsidR="009279AD" w:rsidRPr="004179B8" w:rsidRDefault="009279AD" w:rsidP="009279AD">
            <w:pPr>
              <w:spacing w:after="0" w:line="240" w:lineRule="auto"/>
              <w:rPr>
                <w:rFonts w:eastAsia="Times New Roman" w:cstheme="minorHAnsi"/>
                <w:b/>
                <w:bCs/>
                <w:noProof/>
                <w:color w:val="1F497D"/>
                <w:sz w:val="20"/>
                <w:szCs w:val="20"/>
                <w:highlight w:val="yellow"/>
                <w:lang w:val="fr-FR" w:eastAsia="en-GB"/>
              </w:rPr>
            </w:pPr>
            <w:r w:rsidRPr="004179B8">
              <w:rPr>
                <w:b/>
                <w:bCs/>
                <w:noProof/>
                <w:color w:val="2F5496" w:themeColor="accent1" w:themeShade="BF"/>
                <w:lang w:val="fr-FR"/>
              </w:rPr>
              <w:t>DÉPENSES</w:t>
            </w:r>
          </w:p>
        </w:tc>
        <w:tc>
          <w:tcPr>
            <w:tcW w:w="850" w:type="dxa"/>
            <w:tcBorders>
              <w:top w:val="nil"/>
              <w:left w:val="nil"/>
              <w:bottom w:val="single" w:sz="4" w:space="0" w:color="auto"/>
              <w:right w:val="single" w:sz="4" w:space="0" w:color="auto"/>
            </w:tcBorders>
            <w:shd w:val="clear" w:color="auto" w:fill="auto"/>
            <w:noWrap/>
            <w:vAlign w:val="bottom"/>
          </w:tcPr>
          <w:p w14:paraId="74EC59FE" w14:textId="77777777" w:rsidR="009279AD" w:rsidRPr="004179B8" w:rsidRDefault="009279AD" w:rsidP="009279AD">
            <w:pPr>
              <w:spacing w:after="0" w:line="240" w:lineRule="auto"/>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 </w:t>
            </w:r>
          </w:p>
        </w:tc>
        <w:tc>
          <w:tcPr>
            <w:tcW w:w="851" w:type="dxa"/>
            <w:tcBorders>
              <w:top w:val="nil"/>
              <w:left w:val="nil"/>
              <w:bottom w:val="single" w:sz="4" w:space="0" w:color="auto"/>
              <w:right w:val="single" w:sz="4" w:space="0" w:color="auto"/>
            </w:tcBorders>
            <w:shd w:val="clear" w:color="auto" w:fill="auto"/>
            <w:noWrap/>
            <w:vAlign w:val="bottom"/>
          </w:tcPr>
          <w:p w14:paraId="2A454EB3" w14:textId="77777777" w:rsidR="009279AD" w:rsidRPr="004179B8" w:rsidRDefault="009279AD" w:rsidP="009279AD">
            <w:pPr>
              <w:spacing w:after="0" w:line="240" w:lineRule="auto"/>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 </w:t>
            </w:r>
          </w:p>
        </w:tc>
        <w:tc>
          <w:tcPr>
            <w:tcW w:w="850" w:type="dxa"/>
            <w:tcBorders>
              <w:top w:val="nil"/>
              <w:left w:val="nil"/>
              <w:bottom w:val="single" w:sz="4" w:space="0" w:color="auto"/>
              <w:right w:val="single" w:sz="4" w:space="0" w:color="auto"/>
            </w:tcBorders>
            <w:shd w:val="clear" w:color="auto" w:fill="auto"/>
            <w:noWrap/>
            <w:vAlign w:val="bottom"/>
          </w:tcPr>
          <w:p w14:paraId="3FE8F262" w14:textId="77777777" w:rsidR="009279AD" w:rsidRPr="004179B8" w:rsidRDefault="009279AD" w:rsidP="009279AD">
            <w:pPr>
              <w:spacing w:after="0" w:line="240" w:lineRule="auto"/>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 </w:t>
            </w:r>
          </w:p>
        </w:tc>
        <w:tc>
          <w:tcPr>
            <w:tcW w:w="1135" w:type="dxa"/>
            <w:tcBorders>
              <w:top w:val="nil"/>
              <w:left w:val="nil"/>
              <w:bottom w:val="single" w:sz="4" w:space="0" w:color="auto"/>
              <w:right w:val="single" w:sz="4" w:space="0" w:color="auto"/>
            </w:tcBorders>
            <w:shd w:val="clear" w:color="auto" w:fill="auto"/>
            <w:noWrap/>
            <w:vAlign w:val="bottom"/>
          </w:tcPr>
          <w:p w14:paraId="66A76CC5" w14:textId="77777777" w:rsidR="009279AD" w:rsidRPr="004179B8" w:rsidRDefault="009279AD" w:rsidP="009279AD">
            <w:pPr>
              <w:spacing w:after="0" w:line="240" w:lineRule="auto"/>
              <w:rPr>
                <w:rFonts w:eastAsia="Times New Roman" w:cstheme="minorHAnsi"/>
                <w:b/>
                <w:bCs/>
                <w:noProof/>
                <w:sz w:val="20"/>
                <w:szCs w:val="20"/>
                <w:lang w:val="fr-FR" w:eastAsia="en-GB"/>
              </w:rPr>
            </w:pPr>
            <w:r w:rsidRPr="004179B8">
              <w:rPr>
                <w:rFonts w:eastAsia="Times New Roman" w:cstheme="minorHAnsi"/>
                <w:b/>
                <w:bCs/>
                <w:noProof/>
                <w:sz w:val="20"/>
                <w:szCs w:val="20"/>
                <w:lang w:val="fr-FR" w:eastAsia="en-GB"/>
              </w:rPr>
              <w:t> </w:t>
            </w:r>
          </w:p>
        </w:tc>
        <w:tc>
          <w:tcPr>
            <w:tcW w:w="1276" w:type="dxa"/>
            <w:tcBorders>
              <w:top w:val="nil"/>
              <w:left w:val="nil"/>
              <w:bottom w:val="single" w:sz="4" w:space="0" w:color="auto"/>
              <w:right w:val="single" w:sz="4" w:space="0" w:color="auto"/>
            </w:tcBorders>
          </w:tcPr>
          <w:p w14:paraId="4004B33C" w14:textId="77777777" w:rsidR="009279AD" w:rsidRPr="004179B8" w:rsidRDefault="009279AD" w:rsidP="009279AD">
            <w:pPr>
              <w:spacing w:after="0" w:line="240" w:lineRule="auto"/>
              <w:rPr>
                <w:rFonts w:eastAsia="Times New Roman" w:cstheme="minorHAnsi"/>
                <w:b/>
                <w:bCs/>
                <w:noProof/>
                <w:sz w:val="20"/>
                <w:szCs w:val="20"/>
                <w:lang w:val="fr-FR" w:eastAsia="en-GB"/>
              </w:rPr>
            </w:pPr>
          </w:p>
        </w:tc>
      </w:tr>
      <w:tr w:rsidR="009279AD" w:rsidRPr="004179B8" w14:paraId="03E24327" w14:textId="77777777" w:rsidTr="00C906B1">
        <w:tc>
          <w:tcPr>
            <w:tcW w:w="4820" w:type="dxa"/>
            <w:tcBorders>
              <w:top w:val="nil"/>
              <w:left w:val="single" w:sz="4" w:space="0" w:color="auto"/>
              <w:bottom w:val="single" w:sz="4" w:space="0" w:color="auto"/>
              <w:right w:val="single" w:sz="4" w:space="0" w:color="auto"/>
            </w:tcBorders>
            <w:shd w:val="clear" w:color="000000" w:fill="C4D79B"/>
            <w:noWrap/>
          </w:tcPr>
          <w:p w14:paraId="763DE2C2" w14:textId="63991778" w:rsidR="009279AD" w:rsidRPr="004179B8" w:rsidRDefault="009279AD" w:rsidP="009279AD">
            <w:pPr>
              <w:spacing w:after="0" w:line="240" w:lineRule="auto"/>
              <w:rPr>
                <w:rFonts w:eastAsia="Times New Roman" w:cstheme="minorHAnsi"/>
                <w:b/>
                <w:bCs/>
                <w:noProof/>
                <w:color w:val="000000"/>
                <w:sz w:val="20"/>
                <w:szCs w:val="20"/>
                <w:highlight w:val="yellow"/>
                <w:lang w:val="fr-FR" w:eastAsia="en-GB"/>
              </w:rPr>
            </w:pPr>
            <w:r w:rsidRPr="004179B8">
              <w:rPr>
                <w:noProof/>
                <w:lang w:val="fr-FR"/>
              </w:rPr>
              <w:t>A. Cadres supérieurs du Secrétariat et Gouvernance</w:t>
            </w:r>
          </w:p>
        </w:tc>
        <w:tc>
          <w:tcPr>
            <w:tcW w:w="850" w:type="dxa"/>
            <w:tcBorders>
              <w:top w:val="nil"/>
              <w:left w:val="nil"/>
              <w:bottom w:val="single" w:sz="4" w:space="0" w:color="auto"/>
              <w:right w:val="single" w:sz="4" w:space="0" w:color="auto"/>
            </w:tcBorders>
            <w:shd w:val="clear" w:color="000000" w:fill="C4D79B"/>
            <w:noWrap/>
            <w:vAlign w:val="center"/>
          </w:tcPr>
          <w:p w14:paraId="3F31251D" w14:textId="480E12F9"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1227</w:t>
            </w:r>
          </w:p>
        </w:tc>
        <w:tc>
          <w:tcPr>
            <w:tcW w:w="851" w:type="dxa"/>
            <w:tcBorders>
              <w:top w:val="nil"/>
              <w:left w:val="nil"/>
              <w:bottom w:val="single" w:sz="4" w:space="0" w:color="auto"/>
              <w:right w:val="single" w:sz="4" w:space="0" w:color="auto"/>
            </w:tcBorders>
            <w:shd w:val="clear" w:color="000000" w:fill="C4D79B"/>
            <w:noWrap/>
            <w:vAlign w:val="center"/>
          </w:tcPr>
          <w:p w14:paraId="5B698E18" w14:textId="5EFAAD7A"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1229</w:t>
            </w:r>
          </w:p>
        </w:tc>
        <w:tc>
          <w:tcPr>
            <w:tcW w:w="850" w:type="dxa"/>
            <w:tcBorders>
              <w:top w:val="nil"/>
              <w:left w:val="nil"/>
              <w:bottom w:val="single" w:sz="4" w:space="0" w:color="auto"/>
              <w:right w:val="single" w:sz="4" w:space="0" w:color="auto"/>
            </w:tcBorders>
            <w:shd w:val="clear" w:color="000000" w:fill="C4D79B"/>
            <w:noWrap/>
            <w:vAlign w:val="center"/>
          </w:tcPr>
          <w:p w14:paraId="7B7D1046" w14:textId="51DE050D"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1249</w:t>
            </w:r>
          </w:p>
        </w:tc>
        <w:tc>
          <w:tcPr>
            <w:tcW w:w="1135" w:type="dxa"/>
            <w:tcBorders>
              <w:top w:val="nil"/>
              <w:left w:val="nil"/>
              <w:bottom w:val="single" w:sz="4" w:space="0" w:color="auto"/>
              <w:right w:val="single" w:sz="4" w:space="0" w:color="auto"/>
            </w:tcBorders>
            <w:shd w:val="clear" w:color="000000" w:fill="C4D79B"/>
            <w:noWrap/>
            <w:vAlign w:val="center"/>
          </w:tcPr>
          <w:p w14:paraId="07E63A4E" w14:textId="1576970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3705</w:t>
            </w:r>
          </w:p>
        </w:tc>
        <w:tc>
          <w:tcPr>
            <w:tcW w:w="1276" w:type="dxa"/>
            <w:tcBorders>
              <w:top w:val="nil"/>
              <w:left w:val="nil"/>
              <w:bottom w:val="single" w:sz="4" w:space="0" w:color="auto"/>
              <w:right w:val="single" w:sz="4" w:space="0" w:color="auto"/>
            </w:tcBorders>
            <w:shd w:val="clear" w:color="000000" w:fill="C4D79B"/>
          </w:tcPr>
          <w:p w14:paraId="265772F7"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536</w:t>
            </w:r>
          </w:p>
        </w:tc>
      </w:tr>
      <w:tr w:rsidR="009279AD" w:rsidRPr="004179B8" w14:paraId="5DF93FEB"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1A36E558" w14:textId="6CCEF077"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Salaires, charges sociales et autres prestations</w:t>
            </w:r>
          </w:p>
        </w:tc>
        <w:tc>
          <w:tcPr>
            <w:tcW w:w="850" w:type="dxa"/>
            <w:tcBorders>
              <w:top w:val="nil"/>
              <w:left w:val="nil"/>
              <w:bottom w:val="single" w:sz="4" w:space="0" w:color="auto"/>
              <w:right w:val="single" w:sz="4" w:space="0" w:color="auto"/>
            </w:tcBorders>
            <w:shd w:val="clear" w:color="auto" w:fill="auto"/>
            <w:noWrap/>
            <w:vAlign w:val="center"/>
          </w:tcPr>
          <w:p w14:paraId="470920F5" w14:textId="4D74947F"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1170</w:t>
            </w:r>
          </w:p>
        </w:tc>
        <w:tc>
          <w:tcPr>
            <w:tcW w:w="851" w:type="dxa"/>
            <w:tcBorders>
              <w:top w:val="nil"/>
              <w:left w:val="nil"/>
              <w:bottom w:val="single" w:sz="4" w:space="0" w:color="auto"/>
              <w:right w:val="single" w:sz="4" w:space="0" w:color="auto"/>
            </w:tcBorders>
            <w:shd w:val="clear" w:color="auto" w:fill="auto"/>
            <w:noWrap/>
            <w:vAlign w:val="center"/>
          </w:tcPr>
          <w:p w14:paraId="4442357D" w14:textId="0C719EA3"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1172</w:t>
            </w:r>
          </w:p>
        </w:tc>
        <w:tc>
          <w:tcPr>
            <w:tcW w:w="850" w:type="dxa"/>
            <w:tcBorders>
              <w:top w:val="nil"/>
              <w:left w:val="nil"/>
              <w:bottom w:val="single" w:sz="4" w:space="0" w:color="auto"/>
              <w:right w:val="single" w:sz="4" w:space="0" w:color="auto"/>
            </w:tcBorders>
            <w:shd w:val="clear" w:color="auto" w:fill="auto"/>
            <w:noWrap/>
            <w:vAlign w:val="center"/>
          </w:tcPr>
          <w:p w14:paraId="3B0AD81F" w14:textId="7DDF862A"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1192</w:t>
            </w:r>
          </w:p>
        </w:tc>
        <w:tc>
          <w:tcPr>
            <w:tcW w:w="1135" w:type="dxa"/>
            <w:tcBorders>
              <w:top w:val="nil"/>
              <w:left w:val="nil"/>
              <w:bottom w:val="single" w:sz="4" w:space="0" w:color="auto"/>
              <w:right w:val="single" w:sz="4" w:space="0" w:color="auto"/>
            </w:tcBorders>
            <w:shd w:val="clear" w:color="auto" w:fill="auto"/>
            <w:noWrap/>
            <w:vAlign w:val="center"/>
          </w:tcPr>
          <w:p w14:paraId="2A1203B1" w14:textId="018C9242"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3534</w:t>
            </w:r>
          </w:p>
        </w:tc>
        <w:tc>
          <w:tcPr>
            <w:tcW w:w="1276" w:type="dxa"/>
            <w:tcBorders>
              <w:top w:val="nil"/>
              <w:left w:val="nil"/>
              <w:bottom w:val="single" w:sz="4" w:space="0" w:color="auto"/>
              <w:right w:val="single" w:sz="4" w:space="0" w:color="auto"/>
            </w:tcBorders>
          </w:tcPr>
          <w:p w14:paraId="10245C65"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485</w:t>
            </w:r>
          </w:p>
        </w:tc>
      </w:tr>
      <w:tr w:rsidR="009279AD" w:rsidRPr="004179B8" w14:paraId="2E103CA6"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3E16012C" w14:textId="4D434B77"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Déplacements</w:t>
            </w:r>
          </w:p>
        </w:tc>
        <w:tc>
          <w:tcPr>
            <w:tcW w:w="850" w:type="dxa"/>
            <w:tcBorders>
              <w:top w:val="nil"/>
              <w:left w:val="nil"/>
              <w:bottom w:val="single" w:sz="4" w:space="0" w:color="auto"/>
              <w:right w:val="single" w:sz="4" w:space="0" w:color="auto"/>
            </w:tcBorders>
            <w:shd w:val="clear" w:color="auto" w:fill="auto"/>
            <w:noWrap/>
            <w:vAlign w:val="center"/>
          </w:tcPr>
          <w:p w14:paraId="6D37D6EA"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57</w:t>
            </w:r>
          </w:p>
        </w:tc>
        <w:tc>
          <w:tcPr>
            <w:tcW w:w="851" w:type="dxa"/>
            <w:tcBorders>
              <w:top w:val="nil"/>
              <w:left w:val="nil"/>
              <w:bottom w:val="single" w:sz="4" w:space="0" w:color="auto"/>
              <w:right w:val="single" w:sz="4" w:space="0" w:color="auto"/>
            </w:tcBorders>
            <w:shd w:val="clear" w:color="auto" w:fill="auto"/>
            <w:noWrap/>
            <w:vAlign w:val="center"/>
          </w:tcPr>
          <w:p w14:paraId="123CB85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57</w:t>
            </w:r>
          </w:p>
        </w:tc>
        <w:tc>
          <w:tcPr>
            <w:tcW w:w="850" w:type="dxa"/>
            <w:tcBorders>
              <w:top w:val="nil"/>
              <w:left w:val="nil"/>
              <w:bottom w:val="single" w:sz="4" w:space="0" w:color="auto"/>
              <w:right w:val="single" w:sz="4" w:space="0" w:color="auto"/>
            </w:tcBorders>
            <w:shd w:val="clear" w:color="auto" w:fill="auto"/>
            <w:noWrap/>
            <w:vAlign w:val="center"/>
          </w:tcPr>
          <w:p w14:paraId="3E7963E2"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57</w:t>
            </w:r>
          </w:p>
        </w:tc>
        <w:tc>
          <w:tcPr>
            <w:tcW w:w="1135" w:type="dxa"/>
            <w:tcBorders>
              <w:top w:val="nil"/>
              <w:left w:val="nil"/>
              <w:bottom w:val="single" w:sz="4" w:space="0" w:color="auto"/>
              <w:right w:val="single" w:sz="4" w:space="0" w:color="auto"/>
            </w:tcBorders>
            <w:shd w:val="clear" w:color="auto" w:fill="auto"/>
            <w:noWrap/>
            <w:vAlign w:val="center"/>
          </w:tcPr>
          <w:p w14:paraId="51F9B35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171</w:t>
            </w:r>
          </w:p>
        </w:tc>
        <w:tc>
          <w:tcPr>
            <w:tcW w:w="1276" w:type="dxa"/>
            <w:tcBorders>
              <w:top w:val="nil"/>
              <w:left w:val="nil"/>
              <w:bottom w:val="single" w:sz="4" w:space="0" w:color="auto"/>
              <w:right w:val="single" w:sz="4" w:space="0" w:color="auto"/>
            </w:tcBorders>
          </w:tcPr>
          <w:p w14:paraId="7362BD9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51</w:t>
            </w:r>
          </w:p>
        </w:tc>
      </w:tr>
      <w:tr w:rsidR="009279AD" w:rsidRPr="004179B8" w14:paraId="1DF748AE" w14:textId="77777777" w:rsidTr="00C906B1">
        <w:tc>
          <w:tcPr>
            <w:tcW w:w="4820" w:type="dxa"/>
            <w:tcBorders>
              <w:top w:val="nil"/>
              <w:left w:val="single" w:sz="4" w:space="0" w:color="auto"/>
              <w:bottom w:val="single" w:sz="4" w:space="0" w:color="auto"/>
              <w:right w:val="single" w:sz="4" w:space="0" w:color="auto"/>
            </w:tcBorders>
            <w:shd w:val="clear" w:color="000000" w:fill="C4D79B"/>
            <w:noWrap/>
          </w:tcPr>
          <w:p w14:paraId="3FF36A45" w14:textId="4EC32CF6" w:rsidR="009279AD" w:rsidRPr="004179B8" w:rsidRDefault="009279AD" w:rsidP="009279AD">
            <w:pPr>
              <w:spacing w:after="0" w:line="240" w:lineRule="auto"/>
              <w:rPr>
                <w:rFonts w:eastAsia="Times New Roman" w:cstheme="minorHAnsi"/>
                <w:b/>
                <w:bCs/>
                <w:noProof/>
                <w:color w:val="2F5496" w:themeColor="accent1" w:themeShade="BF"/>
                <w:sz w:val="20"/>
                <w:szCs w:val="20"/>
                <w:highlight w:val="yellow"/>
                <w:lang w:val="fr-FR" w:eastAsia="en-GB"/>
              </w:rPr>
            </w:pPr>
            <w:r w:rsidRPr="004179B8">
              <w:rPr>
                <w:b/>
                <w:bCs/>
                <w:noProof/>
                <w:color w:val="2F5496" w:themeColor="accent1" w:themeShade="BF"/>
                <w:lang w:val="fr-FR"/>
              </w:rPr>
              <w:t>B. Mobilisation des ressources et sensibilisation</w:t>
            </w:r>
          </w:p>
        </w:tc>
        <w:tc>
          <w:tcPr>
            <w:tcW w:w="850" w:type="dxa"/>
            <w:tcBorders>
              <w:top w:val="nil"/>
              <w:left w:val="nil"/>
              <w:bottom w:val="single" w:sz="4" w:space="0" w:color="auto"/>
              <w:right w:val="single" w:sz="4" w:space="0" w:color="auto"/>
            </w:tcBorders>
            <w:shd w:val="clear" w:color="000000" w:fill="C4D79B"/>
            <w:noWrap/>
            <w:vAlign w:val="center"/>
          </w:tcPr>
          <w:p w14:paraId="7840BB38"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489</w:t>
            </w:r>
          </w:p>
        </w:tc>
        <w:tc>
          <w:tcPr>
            <w:tcW w:w="851" w:type="dxa"/>
            <w:tcBorders>
              <w:top w:val="nil"/>
              <w:left w:val="nil"/>
              <w:bottom w:val="single" w:sz="4" w:space="0" w:color="auto"/>
              <w:right w:val="single" w:sz="4" w:space="0" w:color="auto"/>
            </w:tcBorders>
            <w:shd w:val="clear" w:color="000000" w:fill="C4D79B"/>
            <w:noWrap/>
            <w:vAlign w:val="center"/>
          </w:tcPr>
          <w:p w14:paraId="665B5199"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491</w:t>
            </w:r>
          </w:p>
        </w:tc>
        <w:tc>
          <w:tcPr>
            <w:tcW w:w="850" w:type="dxa"/>
            <w:tcBorders>
              <w:top w:val="nil"/>
              <w:left w:val="nil"/>
              <w:bottom w:val="single" w:sz="4" w:space="0" w:color="auto"/>
              <w:right w:val="single" w:sz="4" w:space="0" w:color="auto"/>
            </w:tcBorders>
            <w:shd w:val="clear" w:color="000000" w:fill="C4D79B"/>
            <w:noWrap/>
            <w:vAlign w:val="center"/>
          </w:tcPr>
          <w:p w14:paraId="585636F8"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487</w:t>
            </w:r>
          </w:p>
        </w:tc>
        <w:tc>
          <w:tcPr>
            <w:tcW w:w="1135" w:type="dxa"/>
            <w:tcBorders>
              <w:top w:val="nil"/>
              <w:left w:val="nil"/>
              <w:bottom w:val="single" w:sz="4" w:space="0" w:color="auto"/>
              <w:right w:val="single" w:sz="4" w:space="0" w:color="auto"/>
            </w:tcBorders>
            <w:shd w:val="clear" w:color="000000" w:fill="C4D79B"/>
            <w:noWrap/>
            <w:vAlign w:val="center"/>
          </w:tcPr>
          <w:p w14:paraId="7E87A081" w14:textId="08D38FA0"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1467</w:t>
            </w:r>
          </w:p>
        </w:tc>
        <w:tc>
          <w:tcPr>
            <w:tcW w:w="1276" w:type="dxa"/>
            <w:tcBorders>
              <w:top w:val="nil"/>
              <w:left w:val="nil"/>
              <w:bottom w:val="single" w:sz="4" w:space="0" w:color="auto"/>
              <w:right w:val="single" w:sz="4" w:space="0" w:color="auto"/>
            </w:tcBorders>
            <w:shd w:val="clear" w:color="000000" w:fill="C4D79B"/>
          </w:tcPr>
          <w:p w14:paraId="342581F4"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(57)</w:t>
            </w:r>
          </w:p>
        </w:tc>
      </w:tr>
      <w:tr w:rsidR="009279AD" w:rsidRPr="004179B8" w14:paraId="2E093828"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32AC094A" w14:textId="2346848D"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Salaires, charges sociales et autres prestations</w:t>
            </w:r>
          </w:p>
        </w:tc>
        <w:tc>
          <w:tcPr>
            <w:tcW w:w="850" w:type="dxa"/>
            <w:tcBorders>
              <w:top w:val="nil"/>
              <w:left w:val="nil"/>
              <w:bottom w:val="single" w:sz="4" w:space="0" w:color="auto"/>
              <w:right w:val="single" w:sz="4" w:space="0" w:color="auto"/>
            </w:tcBorders>
            <w:shd w:val="clear" w:color="auto" w:fill="auto"/>
            <w:noWrap/>
            <w:vAlign w:val="center"/>
          </w:tcPr>
          <w:p w14:paraId="0CED19B4"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394</w:t>
            </w:r>
          </w:p>
        </w:tc>
        <w:tc>
          <w:tcPr>
            <w:tcW w:w="851" w:type="dxa"/>
            <w:tcBorders>
              <w:top w:val="nil"/>
              <w:left w:val="nil"/>
              <w:bottom w:val="single" w:sz="4" w:space="0" w:color="auto"/>
              <w:right w:val="single" w:sz="4" w:space="0" w:color="auto"/>
            </w:tcBorders>
            <w:shd w:val="clear" w:color="auto" w:fill="auto"/>
            <w:noWrap/>
            <w:vAlign w:val="center"/>
          </w:tcPr>
          <w:p w14:paraId="7EFFBC3E"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396</w:t>
            </w:r>
          </w:p>
        </w:tc>
        <w:tc>
          <w:tcPr>
            <w:tcW w:w="850" w:type="dxa"/>
            <w:tcBorders>
              <w:top w:val="nil"/>
              <w:left w:val="nil"/>
              <w:bottom w:val="single" w:sz="4" w:space="0" w:color="auto"/>
              <w:right w:val="single" w:sz="4" w:space="0" w:color="auto"/>
            </w:tcBorders>
            <w:shd w:val="clear" w:color="auto" w:fill="auto"/>
            <w:noWrap/>
            <w:vAlign w:val="center"/>
          </w:tcPr>
          <w:p w14:paraId="33E59D05"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402</w:t>
            </w:r>
          </w:p>
        </w:tc>
        <w:tc>
          <w:tcPr>
            <w:tcW w:w="1135" w:type="dxa"/>
            <w:tcBorders>
              <w:top w:val="nil"/>
              <w:left w:val="nil"/>
              <w:bottom w:val="single" w:sz="4" w:space="0" w:color="auto"/>
              <w:right w:val="single" w:sz="4" w:space="0" w:color="auto"/>
            </w:tcBorders>
            <w:shd w:val="clear" w:color="auto" w:fill="auto"/>
            <w:noWrap/>
            <w:vAlign w:val="center"/>
          </w:tcPr>
          <w:p w14:paraId="0AC5A475" w14:textId="37398F98"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1192</w:t>
            </w:r>
          </w:p>
        </w:tc>
        <w:tc>
          <w:tcPr>
            <w:tcW w:w="1276" w:type="dxa"/>
            <w:tcBorders>
              <w:top w:val="nil"/>
              <w:left w:val="nil"/>
              <w:bottom w:val="single" w:sz="4" w:space="0" w:color="auto"/>
              <w:right w:val="single" w:sz="4" w:space="0" w:color="auto"/>
            </w:tcBorders>
          </w:tcPr>
          <w:p w14:paraId="5B42D599"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136</w:t>
            </w:r>
          </w:p>
        </w:tc>
      </w:tr>
      <w:tr w:rsidR="009279AD" w:rsidRPr="004179B8" w14:paraId="7DE4B68F"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32BC2DC0" w14:textId="3F27AE3C"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Programme de CESP</w:t>
            </w:r>
          </w:p>
        </w:tc>
        <w:tc>
          <w:tcPr>
            <w:tcW w:w="850" w:type="dxa"/>
            <w:tcBorders>
              <w:top w:val="nil"/>
              <w:left w:val="nil"/>
              <w:bottom w:val="single" w:sz="4" w:space="0" w:color="auto"/>
              <w:right w:val="single" w:sz="4" w:space="0" w:color="auto"/>
            </w:tcBorders>
            <w:shd w:val="clear" w:color="auto" w:fill="auto"/>
            <w:noWrap/>
            <w:vAlign w:val="center"/>
          </w:tcPr>
          <w:p w14:paraId="7833E2B5"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w:t>
            </w:r>
          </w:p>
        </w:tc>
        <w:tc>
          <w:tcPr>
            <w:tcW w:w="851" w:type="dxa"/>
            <w:tcBorders>
              <w:top w:val="nil"/>
              <w:left w:val="nil"/>
              <w:bottom w:val="single" w:sz="4" w:space="0" w:color="auto"/>
              <w:right w:val="single" w:sz="4" w:space="0" w:color="auto"/>
            </w:tcBorders>
            <w:shd w:val="clear" w:color="auto" w:fill="auto"/>
            <w:noWrap/>
            <w:vAlign w:val="center"/>
          </w:tcPr>
          <w:p w14:paraId="798D304A"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w:t>
            </w:r>
          </w:p>
        </w:tc>
        <w:tc>
          <w:tcPr>
            <w:tcW w:w="850" w:type="dxa"/>
            <w:tcBorders>
              <w:top w:val="nil"/>
              <w:left w:val="nil"/>
              <w:bottom w:val="single" w:sz="4" w:space="0" w:color="auto"/>
              <w:right w:val="single" w:sz="4" w:space="0" w:color="auto"/>
            </w:tcBorders>
            <w:shd w:val="clear" w:color="auto" w:fill="auto"/>
            <w:noWrap/>
            <w:vAlign w:val="center"/>
          </w:tcPr>
          <w:p w14:paraId="38826E82"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10</w:t>
            </w:r>
          </w:p>
        </w:tc>
        <w:tc>
          <w:tcPr>
            <w:tcW w:w="1135" w:type="dxa"/>
            <w:tcBorders>
              <w:top w:val="nil"/>
              <w:left w:val="nil"/>
              <w:bottom w:val="single" w:sz="4" w:space="0" w:color="auto"/>
              <w:right w:val="single" w:sz="4" w:space="0" w:color="auto"/>
            </w:tcBorders>
            <w:shd w:val="clear" w:color="auto" w:fill="auto"/>
            <w:noWrap/>
            <w:vAlign w:val="center"/>
          </w:tcPr>
          <w:p w14:paraId="7ED6532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30</w:t>
            </w:r>
          </w:p>
        </w:tc>
        <w:tc>
          <w:tcPr>
            <w:tcW w:w="1276" w:type="dxa"/>
            <w:tcBorders>
              <w:top w:val="nil"/>
              <w:left w:val="nil"/>
              <w:bottom w:val="single" w:sz="4" w:space="0" w:color="auto"/>
              <w:right w:val="single" w:sz="4" w:space="0" w:color="auto"/>
            </w:tcBorders>
          </w:tcPr>
          <w:p w14:paraId="7F410EE0"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(60)</w:t>
            </w:r>
          </w:p>
        </w:tc>
      </w:tr>
      <w:tr w:rsidR="009279AD" w:rsidRPr="004179B8" w14:paraId="11691E1F"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4A3C90A6" w14:textId="64345108"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Communications, traductions, publications et rapports</w:t>
            </w:r>
          </w:p>
        </w:tc>
        <w:tc>
          <w:tcPr>
            <w:tcW w:w="850" w:type="dxa"/>
            <w:tcBorders>
              <w:top w:val="nil"/>
              <w:left w:val="nil"/>
              <w:bottom w:val="single" w:sz="4" w:space="0" w:color="auto"/>
              <w:right w:val="single" w:sz="4" w:space="0" w:color="auto"/>
            </w:tcBorders>
            <w:shd w:val="clear" w:color="auto" w:fill="auto"/>
            <w:noWrap/>
            <w:vAlign w:val="center"/>
          </w:tcPr>
          <w:p w14:paraId="1085FE29"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7F7413C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2328A66C"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40</w:t>
            </w:r>
          </w:p>
        </w:tc>
        <w:tc>
          <w:tcPr>
            <w:tcW w:w="1135" w:type="dxa"/>
            <w:tcBorders>
              <w:top w:val="nil"/>
              <w:left w:val="nil"/>
              <w:bottom w:val="single" w:sz="4" w:space="0" w:color="auto"/>
              <w:right w:val="single" w:sz="4" w:space="0" w:color="auto"/>
            </w:tcBorders>
            <w:shd w:val="clear" w:color="auto" w:fill="auto"/>
            <w:noWrap/>
            <w:vAlign w:val="center"/>
          </w:tcPr>
          <w:p w14:paraId="698535F4"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120</w:t>
            </w:r>
          </w:p>
        </w:tc>
        <w:tc>
          <w:tcPr>
            <w:tcW w:w="1276" w:type="dxa"/>
            <w:tcBorders>
              <w:top w:val="nil"/>
              <w:left w:val="nil"/>
              <w:bottom w:val="single" w:sz="4" w:space="0" w:color="auto"/>
              <w:right w:val="single" w:sz="4" w:space="0" w:color="auto"/>
            </w:tcBorders>
          </w:tcPr>
          <w:p w14:paraId="3673BEB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(60)</w:t>
            </w:r>
          </w:p>
        </w:tc>
      </w:tr>
      <w:tr w:rsidR="009279AD" w:rsidRPr="004179B8" w14:paraId="2BC580B7"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08B54D5A" w14:textId="42A15267"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Appui et développement du Web/TI</w:t>
            </w:r>
          </w:p>
        </w:tc>
        <w:tc>
          <w:tcPr>
            <w:tcW w:w="850" w:type="dxa"/>
            <w:tcBorders>
              <w:top w:val="nil"/>
              <w:left w:val="nil"/>
              <w:bottom w:val="single" w:sz="4" w:space="0" w:color="auto"/>
              <w:right w:val="single" w:sz="4" w:space="0" w:color="auto"/>
            </w:tcBorders>
            <w:shd w:val="clear" w:color="auto" w:fill="auto"/>
            <w:noWrap/>
            <w:vAlign w:val="center"/>
          </w:tcPr>
          <w:p w14:paraId="2E65311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7B1A00F2"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2FA334D5"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232E9F0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110</w:t>
            </w:r>
          </w:p>
        </w:tc>
        <w:tc>
          <w:tcPr>
            <w:tcW w:w="1276" w:type="dxa"/>
            <w:tcBorders>
              <w:top w:val="nil"/>
              <w:left w:val="nil"/>
              <w:bottom w:val="single" w:sz="4" w:space="0" w:color="auto"/>
              <w:right w:val="single" w:sz="4" w:space="0" w:color="auto"/>
            </w:tcBorders>
          </w:tcPr>
          <w:p w14:paraId="4E97AC9A"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(58)</w:t>
            </w:r>
          </w:p>
        </w:tc>
      </w:tr>
      <w:tr w:rsidR="009279AD" w:rsidRPr="004179B8" w14:paraId="1949FE42"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52E7AE1E" w14:textId="3D727327"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Déplacements</w:t>
            </w:r>
          </w:p>
        </w:tc>
        <w:tc>
          <w:tcPr>
            <w:tcW w:w="850" w:type="dxa"/>
            <w:tcBorders>
              <w:top w:val="nil"/>
              <w:left w:val="nil"/>
              <w:bottom w:val="single" w:sz="4" w:space="0" w:color="auto"/>
              <w:right w:val="single" w:sz="4" w:space="0" w:color="auto"/>
            </w:tcBorders>
            <w:shd w:val="clear" w:color="auto" w:fill="auto"/>
            <w:noWrap/>
            <w:vAlign w:val="center"/>
          </w:tcPr>
          <w:p w14:paraId="1D0F933C"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79903292"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w:t>
            </w:r>
          </w:p>
        </w:tc>
        <w:tc>
          <w:tcPr>
            <w:tcW w:w="850" w:type="dxa"/>
            <w:tcBorders>
              <w:top w:val="nil"/>
              <w:left w:val="nil"/>
              <w:bottom w:val="single" w:sz="4" w:space="0" w:color="auto"/>
              <w:right w:val="single" w:sz="4" w:space="0" w:color="auto"/>
            </w:tcBorders>
            <w:shd w:val="clear" w:color="auto" w:fill="auto"/>
            <w:noWrap/>
            <w:vAlign w:val="center"/>
          </w:tcPr>
          <w:p w14:paraId="2BF0F9B6" w14:textId="77777777" w:rsidR="009279AD" w:rsidRPr="004179B8" w:rsidDel="00A6664E"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5</w:t>
            </w:r>
          </w:p>
        </w:tc>
        <w:tc>
          <w:tcPr>
            <w:tcW w:w="1135" w:type="dxa"/>
            <w:tcBorders>
              <w:top w:val="nil"/>
              <w:left w:val="nil"/>
              <w:bottom w:val="single" w:sz="4" w:space="0" w:color="auto"/>
              <w:right w:val="single" w:sz="4" w:space="0" w:color="auto"/>
            </w:tcBorders>
            <w:shd w:val="clear" w:color="auto" w:fill="auto"/>
            <w:noWrap/>
            <w:vAlign w:val="center"/>
          </w:tcPr>
          <w:p w14:paraId="56A87988"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15</w:t>
            </w:r>
          </w:p>
        </w:tc>
        <w:tc>
          <w:tcPr>
            <w:tcW w:w="1276" w:type="dxa"/>
            <w:tcBorders>
              <w:top w:val="nil"/>
              <w:left w:val="nil"/>
              <w:bottom w:val="single" w:sz="4" w:space="0" w:color="auto"/>
              <w:right w:val="single" w:sz="4" w:space="0" w:color="auto"/>
            </w:tcBorders>
          </w:tcPr>
          <w:p w14:paraId="184B3C03"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(15)</w:t>
            </w:r>
          </w:p>
        </w:tc>
      </w:tr>
      <w:tr w:rsidR="009279AD" w:rsidRPr="004179B8" w14:paraId="7DE9324D" w14:textId="77777777" w:rsidTr="00C906B1">
        <w:tc>
          <w:tcPr>
            <w:tcW w:w="4820" w:type="dxa"/>
            <w:tcBorders>
              <w:top w:val="nil"/>
              <w:left w:val="single" w:sz="4" w:space="0" w:color="auto"/>
              <w:bottom w:val="single" w:sz="4" w:space="0" w:color="auto"/>
              <w:right w:val="single" w:sz="4" w:space="0" w:color="auto"/>
            </w:tcBorders>
            <w:shd w:val="clear" w:color="000000" w:fill="C4D79B"/>
            <w:noWrap/>
          </w:tcPr>
          <w:p w14:paraId="46ABE22C" w14:textId="402FA89C" w:rsidR="009279AD" w:rsidRPr="004179B8" w:rsidRDefault="009279AD" w:rsidP="009279AD">
            <w:pPr>
              <w:spacing w:after="0" w:line="240" w:lineRule="auto"/>
              <w:rPr>
                <w:rFonts w:eastAsia="Times New Roman" w:cstheme="minorHAnsi"/>
                <w:b/>
                <w:bCs/>
                <w:noProof/>
                <w:sz w:val="20"/>
                <w:szCs w:val="20"/>
                <w:highlight w:val="yellow"/>
                <w:lang w:val="fr-FR" w:eastAsia="en-GB"/>
              </w:rPr>
            </w:pPr>
            <w:r w:rsidRPr="004179B8">
              <w:rPr>
                <w:b/>
                <w:bCs/>
                <w:noProof/>
                <w:color w:val="2F5496" w:themeColor="accent1" w:themeShade="BF"/>
                <w:lang w:val="fr-FR"/>
              </w:rPr>
              <w:t>C. Appui et conseils aux régions</w:t>
            </w:r>
          </w:p>
        </w:tc>
        <w:tc>
          <w:tcPr>
            <w:tcW w:w="850" w:type="dxa"/>
            <w:tcBorders>
              <w:top w:val="nil"/>
              <w:left w:val="nil"/>
              <w:bottom w:val="single" w:sz="4" w:space="0" w:color="auto"/>
              <w:right w:val="single" w:sz="4" w:space="0" w:color="auto"/>
            </w:tcBorders>
            <w:shd w:val="clear" w:color="000000" w:fill="C4D79B"/>
            <w:noWrap/>
            <w:vAlign w:val="center"/>
          </w:tcPr>
          <w:p w14:paraId="4B1094AA" w14:textId="3219F97B"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1243</w:t>
            </w:r>
          </w:p>
        </w:tc>
        <w:tc>
          <w:tcPr>
            <w:tcW w:w="851" w:type="dxa"/>
            <w:tcBorders>
              <w:top w:val="nil"/>
              <w:left w:val="nil"/>
              <w:bottom w:val="single" w:sz="4" w:space="0" w:color="auto"/>
              <w:right w:val="single" w:sz="4" w:space="0" w:color="auto"/>
            </w:tcBorders>
            <w:shd w:val="clear" w:color="000000" w:fill="C4D79B"/>
            <w:noWrap/>
            <w:vAlign w:val="center"/>
          </w:tcPr>
          <w:p w14:paraId="56242010" w14:textId="0377E3A9"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1264</w:t>
            </w:r>
          </w:p>
        </w:tc>
        <w:tc>
          <w:tcPr>
            <w:tcW w:w="850" w:type="dxa"/>
            <w:tcBorders>
              <w:top w:val="nil"/>
              <w:left w:val="nil"/>
              <w:bottom w:val="single" w:sz="4" w:space="0" w:color="auto"/>
              <w:right w:val="single" w:sz="4" w:space="0" w:color="auto"/>
            </w:tcBorders>
            <w:shd w:val="clear" w:color="000000" w:fill="C4D79B"/>
            <w:noWrap/>
            <w:vAlign w:val="center"/>
          </w:tcPr>
          <w:p w14:paraId="42EEEBA4" w14:textId="542DFE0C"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1266</w:t>
            </w:r>
          </w:p>
        </w:tc>
        <w:tc>
          <w:tcPr>
            <w:tcW w:w="1135" w:type="dxa"/>
            <w:tcBorders>
              <w:top w:val="nil"/>
              <w:left w:val="nil"/>
              <w:bottom w:val="single" w:sz="4" w:space="0" w:color="auto"/>
              <w:right w:val="single" w:sz="4" w:space="0" w:color="auto"/>
            </w:tcBorders>
            <w:shd w:val="clear" w:color="000000" w:fill="C4D79B"/>
            <w:noWrap/>
            <w:vAlign w:val="center"/>
          </w:tcPr>
          <w:p w14:paraId="62D2C6A5" w14:textId="36468E7A"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3773</w:t>
            </w:r>
          </w:p>
        </w:tc>
        <w:tc>
          <w:tcPr>
            <w:tcW w:w="1276" w:type="dxa"/>
            <w:tcBorders>
              <w:top w:val="nil"/>
              <w:left w:val="nil"/>
              <w:bottom w:val="single" w:sz="4" w:space="0" w:color="auto"/>
              <w:right w:val="single" w:sz="4" w:space="0" w:color="auto"/>
            </w:tcBorders>
            <w:shd w:val="clear" w:color="000000" w:fill="C4D79B"/>
          </w:tcPr>
          <w:p w14:paraId="4B1BA080"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(170)</w:t>
            </w:r>
          </w:p>
        </w:tc>
      </w:tr>
      <w:tr w:rsidR="009279AD" w:rsidRPr="004179B8" w14:paraId="7BC4E08D"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763BB213" w14:textId="4213C763"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Salaires, charges sociales et autres prestations</w:t>
            </w:r>
          </w:p>
        </w:tc>
        <w:tc>
          <w:tcPr>
            <w:tcW w:w="850" w:type="dxa"/>
            <w:tcBorders>
              <w:top w:val="nil"/>
              <w:left w:val="nil"/>
              <w:bottom w:val="single" w:sz="4" w:space="0" w:color="auto"/>
              <w:right w:val="single" w:sz="4" w:space="0" w:color="auto"/>
            </w:tcBorders>
            <w:shd w:val="clear" w:color="auto" w:fill="auto"/>
            <w:noWrap/>
            <w:vAlign w:val="center"/>
          </w:tcPr>
          <w:p w14:paraId="6B2B77B7" w14:textId="36108062"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1188</w:t>
            </w:r>
          </w:p>
        </w:tc>
        <w:tc>
          <w:tcPr>
            <w:tcW w:w="851" w:type="dxa"/>
            <w:tcBorders>
              <w:top w:val="nil"/>
              <w:left w:val="nil"/>
              <w:bottom w:val="single" w:sz="4" w:space="0" w:color="auto"/>
              <w:right w:val="single" w:sz="4" w:space="0" w:color="auto"/>
            </w:tcBorders>
            <w:shd w:val="clear" w:color="auto" w:fill="auto"/>
            <w:noWrap/>
            <w:vAlign w:val="center"/>
          </w:tcPr>
          <w:p w14:paraId="7D9C8836" w14:textId="296580F2"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1209</w:t>
            </w:r>
          </w:p>
        </w:tc>
        <w:tc>
          <w:tcPr>
            <w:tcW w:w="850" w:type="dxa"/>
            <w:tcBorders>
              <w:top w:val="nil"/>
              <w:left w:val="nil"/>
              <w:bottom w:val="single" w:sz="4" w:space="0" w:color="auto"/>
              <w:right w:val="single" w:sz="4" w:space="0" w:color="auto"/>
            </w:tcBorders>
            <w:shd w:val="clear" w:color="auto" w:fill="auto"/>
            <w:noWrap/>
            <w:vAlign w:val="center"/>
          </w:tcPr>
          <w:p w14:paraId="79226CA2" w14:textId="1ABCB30F"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1211</w:t>
            </w:r>
          </w:p>
        </w:tc>
        <w:tc>
          <w:tcPr>
            <w:tcW w:w="1135" w:type="dxa"/>
            <w:tcBorders>
              <w:top w:val="nil"/>
              <w:left w:val="nil"/>
              <w:bottom w:val="single" w:sz="4" w:space="0" w:color="auto"/>
              <w:right w:val="single" w:sz="4" w:space="0" w:color="auto"/>
            </w:tcBorders>
            <w:shd w:val="clear" w:color="auto" w:fill="auto"/>
            <w:noWrap/>
            <w:vAlign w:val="center"/>
          </w:tcPr>
          <w:p w14:paraId="38AE8E25" w14:textId="4BD4AECB"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3608</w:t>
            </w:r>
          </w:p>
        </w:tc>
        <w:tc>
          <w:tcPr>
            <w:tcW w:w="1276" w:type="dxa"/>
            <w:tcBorders>
              <w:top w:val="nil"/>
              <w:left w:val="nil"/>
              <w:bottom w:val="single" w:sz="4" w:space="0" w:color="auto"/>
              <w:right w:val="single" w:sz="4" w:space="0" w:color="auto"/>
            </w:tcBorders>
          </w:tcPr>
          <w:p w14:paraId="1B8FEEB2"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(134)</w:t>
            </w:r>
          </w:p>
        </w:tc>
      </w:tr>
      <w:tr w:rsidR="009279AD" w:rsidRPr="004179B8" w14:paraId="228679E1"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4AE782C6" w14:textId="02DA9734"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Déplacements</w:t>
            </w:r>
          </w:p>
        </w:tc>
        <w:tc>
          <w:tcPr>
            <w:tcW w:w="850" w:type="dxa"/>
            <w:tcBorders>
              <w:top w:val="nil"/>
              <w:left w:val="nil"/>
              <w:bottom w:val="single" w:sz="4" w:space="0" w:color="auto"/>
              <w:right w:val="single" w:sz="4" w:space="0" w:color="auto"/>
            </w:tcBorders>
            <w:shd w:val="clear" w:color="auto" w:fill="auto"/>
            <w:noWrap/>
            <w:vAlign w:val="center"/>
          </w:tcPr>
          <w:p w14:paraId="2E90C205"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55</w:t>
            </w:r>
          </w:p>
        </w:tc>
        <w:tc>
          <w:tcPr>
            <w:tcW w:w="851" w:type="dxa"/>
            <w:tcBorders>
              <w:top w:val="nil"/>
              <w:left w:val="nil"/>
              <w:bottom w:val="single" w:sz="4" w:space="0" w:color="auto"/>
              <w:right w:val="single" w:sz="4" w:space="0" w:color="auto"/>
            </w:tcBorders>
            <w:shd w:val="clear" w:color="auto" w:fill="auto"/>
            <w:noWrap/>
            <w:vAlign w:val="center"/>
          </w:tcPr>
          <w:p w14:paraId="026FF65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55</w:t>
            </w:r>
          </w:p>
        </w:tc>
        <w:tc>
          <w:tcPr>
            <w:tcW w:w="850" w:type="dxa"/>
            <w:tcBorders>
              <w:top w:val="nil"/>
              <w:left w:val="nil"/>
              <w:bottom w:val="single" w:sz="4" w:space="0" w:color="auto"/>
              <w:right w:val="single" w:sz="4" w:space="0" w:color="auto"/>
            </w:tcBorders>
            <w:shd w:val="clear" w:color="auto" w:fill="auto"/>
            <w:noWrap/>
            <w:vAlign w:val="center"/>
          </w:tcPr>
          <w:p w14:paraId="1C4AF846"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55</w:t>
            </w:r>
          </w:p>
        </w:tc>
        <w:tc>
          <w:tcPr>
            <w:tcW w:w="1135" w:type="dxa"/>
            <w:tcBorders>
              <w:top w:val="nil"/>
              <w:left w:val="nil"/>
              <w:bottom w:val="single" w:sz="4" w:space="0" w:color="auto"/>
              <w:right w:val="single" w:sz="4" w:space="0" w:color="auto"/>
            </w:tcBorders>
            <w:shd w:val="clear" w:color="auto" w:fill="auto"/>
            <w:noWrap/>
            <w:vAlign w:val="center"/>
          </w:tcPr>
          <w:p w14:paraId="0323488A"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165</w:t>
            </w:r>
          </w:p>
        </w:tc>
        <w:tc>
          <w:tcPr>
            <w:tcW w:w="1276" w:type="dxa"/>
            <w:tcBorders>
              <w:top w:val="nil"/>
              <w:left w:val="nil"/>
              <w:bottom w:val="single" w:sz="4" w:space="0" w:color="auto"/>
              <w:right w:val="single" w:sz="4" w:space="0" w:color="auto"/>
            </w:tcBorders>
          </w:tcPr>
          <w:p w14:paraId="7BA27599"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(36)</w:t>
            </w:r>
          </w:p>
        </w:tc>
      </w:tr>
      <w:tr w:rsidR="009279AD" w:rsidRPr="004179B8" w14:paraId="1C2686B7" w14:textId="77777777" w:rsidTr="00C906B1">
        <w:tc>
          <w:tcPr>
            <w:tcW w:w="4820" w:type="dxa"/>
            <w:tcBorders>
              <w:top w:val="nil"/>
              <w:left w:val="single" w:sz="4" w:space="0" w:color="auto"/>
              <w:bottom w:val="single" w:sz="4" w:space="0" w:color="auto"/>
              <w:right w:val="single" w:sz="4" w:space="0" w:color="auto"/>
            </w:tcBorders>
            <w:shd w:val="clear" w:color="000000" w:fill="C4D79B"/>
            <w:noWrap/>
          </w:tcPr>
          <w:p w14:paraId="1BFE6A8F" w14:textId="455EF12F" w:rsidR="009279AD" w:rsidRPr="004179B8" w:rsidRDefault="009279AD" w:rsidP="009279AD">
            <w:pPr>
              <w:spacing w:after="0" w:line="240" w:lineRule="auto"/>
              <w:rPr>
                <w:rFonts w:eastAsia="Times New Roman" w:cstheme="minorHAnsi"/>
                <w:b/>
                <w:bCs/>
                <w:noProof/>
                <w:sz w:val="20"/>
                <w:szCs w:val="20"/>
                <w:highlight w:val="yellow"/>
                <w:lang w:val="fr-FR" w:eastAsia="en-GB"/>
              </w:rPr>
            </w:pPr>
            <w:r w:rsidRPr="004179B8">
              <w:rPr>
                <w:b/>
                <w:bCs/>
                <w:noProof/>
                <w:color w:val="2F5496" w:themeColor="accent1" w:themeShade="BF"/>
                <w:lang w:val="fr-FR"/>
              </w:rPr>
              <w:t>D. Appui aux Initiatives régionales</w:t>
            </w:r>
          </w:p>
        </w:tc>
        <w:tc>
          <w:tcPr>
            <w:tcW w:w="850" w:type="dxa"/>
            <w:tcBorders>
              <w:top w:val="nil"/>
              <w:left w:val="nil"/>
              <w:bottom w:val="single" w:sz="4" w:space="0" w:color="auto"/>
              <w:right w:val="single" w:sz="4" w:space="0" w:color="auto"/>
            </w:tcBorders>
            <w:shd w:val="clear" w:color="000000" w:fill="C4D79B"/>
            <w:noWrap/>
            <w:vAlign w:val="center"/>
          </w:tcPr>
          <w:p w14:paraId="0A4A9DCF"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0</w:t>
            </w:r>
          </w:p>
        </w:tc>
        <w:tc>
          <w:tcPr>
            <w:tcW w:w="851" w:type="dxa"/>
            <w:tcBorders>
              <w:top w:val="nil"/>
              <w:left w:val="nil"/>
              <w:bottom w:val="single" w:sz="4" w:space="0" w:color="auto"/>
              <w:right w:val="single" w:sz="4" w:space="0" w:color="auto"/>
            </w:tcBorders>
            <w:shd w:val="clear" w:color="000000" w:fill="C4D79B"/>
            <w:noWrap/>
            <w:vAlign w:val="center"/>
          </w:tcPr>
          <w:p w14:paraId="6B94C7F7"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0</w:t>
            </w:r>
          </w:p>
        </w:tc>
        <w:tc>
          <w:tcPr>
            <w:tcW w:w="850" w:type="dxa"/>
            <w:tcBorders>
              <w:top w:val="nil"/>
              <w:left w:val="nil"/>
              <w:bottom w:val="single" w:sz="4" w:space="0" w:color="auto"/>
              <w:right w:val="single" w:sz="4" w:space="0" w:color="auto"/>
            </w:tcBorders>
            <w:shd w:val="clear" w:color="000000" w:fill="C4D79B"/>
            <w:noWrap/>
            <w:vAlign w:val="center"/>
          </w:tcPr>
          <w:p w14:paraId="45C850A8"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0</w:t>
            </w:r>
          </w:p>
        </w:tc>
        <w:tc>
          <w:tcPr>
            <w:tcW w:w="1135" w:type="dxa"/>
            <w:tcBorders>
              <w:top w:val="nil"/>
              <w:left w:val="nil"/>
              <w:bottom w:val="single" w:sz="4" w:space="0" w:color="auto"/>
              <w:right w:val="single" w:sz="4" w:space="0" w:color="auto"/>
            </w:tcBorders>
            <w:shd w:val="clear" w:color="000000" w:fill="C4D79B"/>
            <w:noWrap/>
            <w:vAlign w:val="center"/>
          </w:tcPr>
          <w:p w14:paraId="30CB15AC"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0</w:t>
            </w:r>
          </w:p>
        </w:tc>
        <w:tc>
          <w:tcPr>
            <w:tcW w:w="1276" w:type="dxa"/>
            <w:tcBorders>
              <w:top w:val="nil"/>
              <w:left w:val="nil"/>
              <w:bottom w:val="single" w:sz="4" w:space="0" w:color="auto"/>
              <w:right w:val="single" w:sz="4" w:space="0" w:color="auto"/>
            </w:tcBorders>
            <w:shd w:val="clear" w:color="000000" w:fill="C4D79B"/>
          </w:tcPr>
          <w:p w14:paraId="7A0B3CC0"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(300)</w:t>
            </w:r>
          </w:p>
        </w:tc>
      </w:tr>
      <w:tr w:rsidR="009279AD" w:rsidRPr="004179B8" w14:paraId="21563051"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0D0AE2CA" w14:textId="434414FB"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Réseaux et centres régionaux</w:t>
            </w:r>
          </w:p>
        </w:tc>
        <w:tc>
          <w:tcPr>
            <w:tcW w:w="850" w:type="dxa"/>
            <w:tcBorders>
              <w:top w:val="nil"/>
              <w:left w:val="nil"/>
              <w:bottom w:val="single" w:sz="4" w:space="0" w:color="auto"/>
              <w:right w:val="single" w:sz="4" w:space="0" w:color="auto"/>
            </w:tcBorders>
            <w:shd w:val="clear" w:color="auto" w:fill="auto"/>
            <w:noWrap/>
            <w:vAlign w:val="center"/>
          </w:tcPr>
          <w:p w14:paraId="75AB1DB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c>
          <w:tcPr>
            <w:tcW w:w="851" w:type="dxa"/>
            <w:tcBorders>
              <w:top w:val="nil"/>
              <w:left w:val="nil"/>
              <w:bottom w:val="single" w:sz="4" w:space="0" w:color="auto"/>
              <w:right w:val="single" w:sz="4" w:space="0" w:color="auto"/>
            </w:tcBorders>
            <w:shd w:val="clear" w:color="auto" w:fill="auto"/>
            <w:noWrap/>
            <w:vAlign w:val="center"/>
          </w:tcPr>
          <w:p w14:paraId="40A020D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c>
          <w:tcPr>
            <w:tcW w:w="850" w:type="dxa"/>
            <w:tcBorders>
              <w:top w:val="nil"/>
              <w:left w:val="nil"/>
              <w:bottom w:val="single" w:sz="4" w:space="0" w:color="auto"/>
              <w:right w:val="single" w:sz="4" w:space="0" w:color="auto"/>
            </w:tcBorders>
            <w:shd w:val="clear" w:color="auto" w:fill="auto"/>
            <w:noWrap/>
            <w:vAlign w:val="center"/>
          </w:tcPr>
          <w:p w14:paraId="5A18C1D4"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0</w:t>
            </w:r>
          </w:p>
        </w:tc>
        <w:tc>
          <w:tcPr>
            <w:tcW w:w="1135" w:type="dxa"/>
            <w:tcBorders>
              <w:top w:val="nil"/>
              <w:left w:val="nil"/>
              <w:bottom w:val="single" w:sz="4" w:space="0" w:color="auto"/>
              <w:right w:val="single" w:sz="4" w:space="0" w:color="auto"/>
            </w:tcBorders>
            <w:shd w:val="clear" w:color="auto" w:fill="auto"/>
            <w:noWrap/>
            <w:vAlign w:val="center"/>
          </w:tcPr>
          <w:p w14:paraId="02D0C72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c>
          <w:tcPr>
            <w:tcW w:w="1276" w:type="dxa"/>
            <w:tcBorders>
              <w:top w:val="nil"/>
              <w:left w:val="nil"/>
              <w:bottom w:val="single" w:sz="4" w:space="0" w:color="auto"/>
              <w:right w:val="single" w:sz="4" w:space="0" w:color="auto"/>
            </w:tcBorders>
          </w:tcPr>
          <w:p w14:paraId="1E759EB4"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(300)</w:t>
            </w:r>
          </w:p>
        </w:tc>
      </w:tr>
      <w:tr w:rsidR="009279AD" w:rsidRPr="004179B8" w14:paraId="48D623D8" w14:textId="77777777" w:rsidTr="00C906B1">
        <w:tc>
          <w:tcPr>
            <w:tcW w:w="4820" w:type="dxa"/>
            <w:tcBorders>
              <w:top w:val="nil"/>
              <w:left w:val="single" w:sz="4" w:space="0" w:color="auto"/>
              <w:bottom w:val="single" w:sz="4" w:space="0" w:color="auto"/>
              <w:right w:val="single" w:sz="4" w:space="0" w:color="auto"/>
            </w:tcBorders>
            <w:shd w:val="clear" w:color="000000" w:fill="C4D79B"/>
            <w:noWrap/>
          </w:tcPr>
          <w:p w14:paraId="02886481" w14:textId="7B866CDB" w:rsidR="009279AD" w:rsidRPr="004179B8" w:rsidRDefault="009279AD" w:rsidP="009279AD">
            <w:pPr>
              <w:spacing w:after="0" w:line="240" w:lineRule="auto"/>
              <w:rPr>
                <w:rFonts w:eastAsia="Times New Roman" w:cstheme="minorHAnsi"/>
                <w:b/>
                <w:bCs/>
                <w:noProof/>
                <w:sz w:val="20"/>
                <w:szCs w:val="20"/>
                <w:highlight w:val="yellow"/>
                <w:lang w:val="fr-FR" w:eastAsia="en-GB"/>
              </w:rPr>
            </w:pPr>
            <w:r w:rsidRPr="004179B8">
              <w:rPr>
                <w:b/>
                <w:bCs/>
                <w:noProof/>
                <w:color w:val="2F5496" w:themeColor="accent1" w:themeShade="BF"/>
                <w:lang w:val="fr-FR"/>
              </w:rPr>
              <w:t>E. Sciences et Politiques</w:t>
            </w:r>
          </w:p>
        </w:tc>
        <w:tc>
          <w:tcPr>
            <w:tcW w:w="850" w:type="dxa"/>
            <w:tcBorders>
              <w:top w:val="nil"/>
              <w:left w:val="nil"/>
              <w:bottom w:val="single" w:sz="4" w:space="0" w:color="auto"/>
              <w:right w:val="single" w:sz="4" w:space="0" w:color="auto"/>
            </w:tcBorders>
            <w:shd w:val="clear" w:color="000000" w:fill="C4D79B"/>
            <w:noWrap/>
            <w:vAlign w:val="center"/>
          </w:tcPr>
          <w:p w14:paraId="45844A82"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851</w:t>
            </w:r>
          </w:p>
        </w:tc>
        <w:tc>
          <w:tcPr>
            <w:tcW w:w="851" w:type="dxa"/>
            <w:tcBorders>
              <w:top w:val="nil"/>
              <w:left w:val="nil"/>
              <w:bottom w:val="single" w:sz="4" w:space="0" w:color="auto"/>
              <w:right w:val="single" w:sz="4" w:space="0" w:color="auto"/>
            </w:tcBorders>
            <w:shd w:val="clear" w:color="000000" w:fill="C4D79B"/>
            <w:noWrap/>
            <w:vAlign w:val="center"/>
          </w:tcPr>
          <w:p w14:paraId="7F2B260E"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848</w:t>
            </w:r>
          </w:p>
        </w:tc>
        <w:tc>
          <w:tcPr>
            <w:tcW w:w="850" w:type="dxa"/>
            <w:tcBorders>
              <w:top w:val="nil"/>
              <w:left w:val="nil"/>
              <w:bottom w:val="single" w:sz="4" w:space="0" w:color="auto"/>
              <w:right w:val="single" w:sz="4" w:space="0" w:color="auto"/>
            </w:tcBorders>
            <w:shd w:val="clear" w:color="000000" w:fill="C4D79B"/>
            <w:noWrap/>
            <w:vAlign w:val="center"/>
          </w:tcPr>
          <w:p w14:paraId="355FED35"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854</w:t>
            </w:r>
          </w:p>
        </w:tc>
        <w:tc>
          <w:tcPr>
            <w:tcW w:w="1135" w:type="dxa"/>
            <w:tcBorders>
              <w:top w:val="nil"/>
              <w:left w:val="nil"/>
              <w:bottom w:val="single" w:sz="4" w:space="0" w:color="auto"/>
              <w:right w:val="single" w:sz="4" w:space="0" w:color="auto"/>
            </w:tcBorders>
            <w:shd w:val="clear" w:color="000000" w:fill="C4D79B"/>
            <w:noWrap/>
            <w:vAlign w:val="center"/>
          </w:tcPr>
          <w:p w14:paraId="3C1BE97D" w14:textId="39427EBC"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2553</w:t>
            </w:r>
          </w:p>
        </w:tc>
        <w:tc>
          <w:tcPr>
            <w:tcW w:w="1276" w:type="dxa"/>
            <w:tcBorders>
              <w:top w:val="nil"/>
              <w:left w:val="nil"/>
              <w:bottom w:val="single" w:sz="4" w:space="0" w:color="auto"/>
              <w:right w:val="single" w:sz="4" w:space="0" w:color="auto"/>
            </w:tcBorders>
            <w:shd w:val="clear" w:color="000000" w:fill="C4D79B"/>
          </w:tcPr>
          <w:p w14:paraId="15D93515"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76</w:t>
            </w:r>
          </w:p>
        </w:tc>
      </w:tr>
      <w:tr w:rsidR="009279AD" w:rsidRPr="004179B8" w14:paraId="524DC062"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5A29FEAB" w14:textId="12A38BA0"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Salaires, charges sociales et autres prestations</w:t>
            </w:r>
          </w:p>
        </w:tc>
        <w:tc>
          <w:tcPr>
            <w:tcW w:w="850" w:type="dxa"/>
            <w:tcBorders>
              <w:top w:val="nil"/>
              <w:left w:val="nil"/>
              <w:bottom w:val="single" w:sz="4" w:space="0" w:color="auto"/>
              <w:right w:val="single" w:sz="4" w:space="0" w:color="auto"/>
            </w:tcBorders>
            <w:shd w:val="clear" w:color="auto" w:fill="auto"/>
            <w:noWrap/>
            <w:vAlign w:val="center"/>
          </w:tcPr>
          <w:p w14:paraId="181BC0D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703</w:t>
            </w:r>
          </w:p>
        </w:tc>
        <w:tc>
          <w:tcPr>
            <w:tcW w:w="851" w:type="dxa"/>
            <w:tcBorders>
              <w:top w:val="nil"/>
              <w:left w:val="nil"/>
              <w:bottom w:val="single" w:sz="4" w:space="0" w:color="auto"/>
              <w:right w:val="single" w:sz="4" w:space="0" w:color="auto"/>
            </w:tcBorders>
            <w:shd w:val="clear" w:color="auto" w:fill="auto"/>
            <w:noWrap/>
            <w:vAlign w:val="center"/>
          </w:tcPr>
          <w:p w14:paraId="7BC2907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710</w:t>
            </w:r>
          </w:p>
        </w:tc>
        <w:tc>
          <w:tcPr>
            <w:tcW w:w="850" w:type="dxa"/>
            <w:tcBorders>
              <w:top w:val="nil"/>
              <w:left w:val="nil"/>
              <w:bottom w:val="single" w:sz="4" w:space="0" w:color="auto"/>
              <w:right w:val="single" w:sz="4" w:space="0" w:color="auto"/>
            </w:tcBorders>
            <w:shd w:val="clear" w:color="auto" w:fill="auto"/>
            <w:noWrap/>
            <w:vAlign w:val="center"/>
          </w:tcPr>
          <w:p w14:paraId="722DD9B5"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716</w:t>
            </w:r>
          </w:p>
        </w:tc>
        <w:tc>
          <w:tcPr>
            <w:tcW w:w="1135" w:type="dxa"/>
            <w:tcBorders>
              <w:top w:val="nil"/>
              <w:left w:val="nil"/>
              <w:bottom w:val="single" w:sz="4" w:space="0" w:color="auto"/>
              <w:right w:val="single" w:sz="4" w:space="0" w:color="auto"/>
            </w:tcBorders>
            <w:shd w:val="clear" w:color="auto" w:fill="auto"/>
            <w:noWrap/>
            <w:vAlign w:val="center"/>
          </w:tcPr>
          <w:p w14:paraId="6405EDE9" w14:textId="4704B5BB"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2129</w:t>
            </w:r>
          </w:p>
        </w:tc>
        <w:tc>
          <w:tcPr>
            <w:tcW w:w="1276" w:type="dxa"/>
            <w:tcBorders>
              <w:top w:val="nil"/>
              <w:left w:val="nil"/>
              <w:bottom w:val="single" w:sz="4" w:space="0" w:color="auto"/>
              <w:right w:val="single" w:sz="4" w:space="0" w:color="auto"/>
            </w:tcBorders>
          </w:tcPr>
          <w:p w14:paraId="5284F8E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176</w:t>
            </w:r>
          </w:p>
        </w:tc>
      </w:tr>
      <w:tr w:rsidR="009279AD" w:rsidRPr="004179B8" w14:paraId="4767396A"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0BDA6338" w14:textId="0150BD69"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Mise en œuvre du programme du GEST</w:t>
            </w:r>
          </w:p>
        </w:tc>
        <w:tc>
          <w:tcPr>
            <w:tcW w:w="850" w:type="dxa"/>
            <w:tcBorders>
              <w:top w:val="nil"/>
              <w:left w:val="nil"/>
              <w:bottom w:val="single" w:sz="4" w:space="0" w:color="auto"/>
              <w:right w:val="single" w:sz="4" w:space="0" w:color="auto"/>
            </w:tcBorders>
            <w:shd w:val="clear" w:color="auto" w:fill="auto"/>
            <w:noWrap/>
            <w:vAlign w:val="center"/>
          </w:tcPr>
          <w:p w14:paraId="541D193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7B5DEDF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5D7FB88F"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07D821E4"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105</w:t>
            </w:r>
          </w:p>
        </w:tc>
        <w:tc>
          <w:tcPr>
            <w:tcW w:w="1276" w:type="dxa"/>
            <w:tcBorders>
              <w:top w:val="nil"/>
              <w:left w:val="nil"/>
              <w:bottom w:val="single" w:sz="4" w:space="0" w:color="auto"/>
              <w:right w:val="single" w:sz="4" w:space="0" w:color="auto"/>
            </w:tcBorders>
          </w:tcPr>
          <w:p w14:paraId="0998D670"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70BE279E"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5E127039" w14:textId="535C2362"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Déplacements de la présidence du GEST</w:t>
            </w:r>
          </w:p>
        </w:tc>
        <w:tc>
          <w:tcPr>
            <w:tcW w:w="850" w:type="dxa"/>
            <w:tcBorders>
              <w:top w:val="nil"/>
              <w:left w:val="nil"/>
              <w:bottom w:val="single" w:sz="4" w:space="0" w:color="auto"/>
              <w:right w:val="single" w:sz="4" w:space="0" w:color="auto"/>
            </w:tcBorders>
            <w:shd w:val="clear" w:color="auto" w:fill="auto"/>
            <w:noWrap/>
            <w:vAlign w:val="center"/>
          </w:tcPr>
          <w:p w14:paraId="046816F3"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w:t>
            </w:r>
          </w:p>
        </w:tc>
        <w:tc>
          <w:tcPr>
            <w:tcW w:w="851" w:type="dxa"/>
            <w:tcBorders>
              <w:top w:val="nil"/>
              <w:left w:val="nil"/>
              <w:bottom w:val="single" w:sz="4" w:space="0" w:color="auto"/>
              <w:right w:val="single" w:sz="4" w:space="0" w:color="auto"/>
            </w:tcBorders>
            <w:shd w:val="clear" w:color="auto" w:fill="auto"/>
            <w:noWrap/>
            <w:vAlign w:val="center"/>
          </w:tcPr>
          <w:p w14:paraId="28450C65"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w:t>
            </w:r>
          </w:p>
        </w:tc>
        <w:tc>
          <w:tcPr>
            <w:tcW w:w="850" w:type="dxa"/>
            <w:tcBorders>
              <w:top w:val="nil"/>
              <w:left w:val="nil"/>
              <w:bottom w:val="single" w:sz="4" w:space="0" w:color="auto"/>
              <w:right w:val="single" w:sz="4" w:space="0" w:color="auto"/>
            </w:tcBorders>
            <w:shd w:val="clear" w:color="auto" w:fill="auto"/>
            <w:noWrap/>
            <w:vAlign w:val="center"/>
          </w:tcPr>
          <w:p w14:paraId="7BF9474B" w14:textId="77777777" w:rsidR="009279AD" w:rsidRPr="004179B8" w:rsidDel="00A6664E"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5</w:t>
            </w:r>
          </w:p>
        </w:tc>
        <w:tc>
          <w:tcPr>
            <w:tcW w:w="1135" w:type="dxa"/>
            <w:tcBorders>
              <w:top w:val="nil"/>
              <w:left w:val="nil"/>
              <w:bottom w:val="single" w:sz="4" w:space="0" w:color="auto"/>
              <w:right w:val="single" w:sz="4" w:space="0" w:color="auto"/>
            </w:tcBorders>
            <w:shd w:val="clear" w:color="auto" w:fill="auto"/>
            <w:noWrap/>
            <w:vAlign w:val="center"/>
          </w:tcPr>
          <w:p w14:paraId="253108D3"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15</w:t>
            </w:r>
          </w:p>
        </w:tc>
        <w:tc>
          <w:tcPr>
            <w:tcW w:w="1276" w:type="dxa"/>
            <w:tcBorders>
              <w:top w:val="nil"/>
              <w:left w:val="nil"/>
              <w:bottom w:val="single" w:sz="4" w:space="0" w:color="auto"/>
              <w:right w:val="single" w:sz="4" w:space="0" w:color="auto"/>
            </w:tcBorders>
          </w:tcPr>
          <w:p w14:paraId="652C54C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3DF6151D"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4A02CEDC" w14:textId="21F4C191"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Réunions du GEST</w:t>
            </w:r>
          </w:p>
        </w:tc>
        <w:tc>
          <w:tcPr>
            <w:tcW w:w="850" w:type="dxa"/>
            <w:tcBorders>
              <w:top w:val="nil"/>
              <w:left w:val="nil"/>
              <w:bottom w:val="single" w:sz="4" w:space="0" w:color="auto"/>
              <w:right w:val="single" w:sz="4" w:space="0" w:color="auto"/>
            </w:tcBorders>
            <w:shd w:val="clear" w:color="auto" w:fill="auto"/>
            <w:noWrap/>
            <w:vAlign w:val="center"/>
          </w:tcPr>
          <w:p w14:paraId="68C6AE81"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50</w:t>
            </w:r>
          </w:p>
        </w:tc>
        <w:tc>
          <w:tcPr>
            <w:tcW w:w="851" w:type="dxa"/>
            <w:tcBorders>
              <w:top w:val="nil"/>
              <w:left w:val="nil"/>
              <w:bottom w:val="single" w:sz="4" w:space="0" w:color="auto"/>
              <w:right w:val="single" w:sz="4" w:space="0" w:color="auto"/>
            </w:tcBorders>
            <w:shd w:val="clear" w:color="auto" w:fill="auto"/>
            <w:noWrap/>
            <w:vAlign w:val="center"/>
          </w:tcPr>
          <w:p w14:paraId="292169E0"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50</w:t>
            </w:r>
          </w:p>
        </w:tc>
        <w:tc>
          <w:tcPr>
            <w:tcW w:w="850" w:type="dxa"/>
            <w:tcBorders>
              <w:top w:val="nil"/>
              <w:left w:val="nil"/>
              <w:bottom w:val="single" w:sz="4" w:space="0" w:color="auto"/>
              <w:right w:val="single" w:sz="4" w:space="0" w:color="auto"/>
            </w:tcBorders>
            <w:shd w:val="clear" w:color="auto" w:fill="auto"/>
            <w:noWrap/>
            <w:vAlign w:val="center"/>
          </w:tcPr>
          <w:p w14:paraId="01E77625"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50</w:t>
            </w:r>
          </w:p>
        </w:tc>
        <w:tc>
          <w:tcPr>
            <w:tcW w:w="1135" w:type="dxa"/>
            <w:tcBorders>
              <w:top w:val="nil"/>
              <w:left w:val="nil"/>
              <w:bottom w:val="single" w:sz="4" w:space="0" w:color="auto"/>
              <w:right w:val="single" w:sz="4" w:space="0" w:color="auto"/>
            </w:tcBorders>
            <w:shd w:val="clear" w:color="auto" w:fill="auto"/>
            <w:noWrap/>
            <w:vAlign w:val="center"/>
          </w:tcPr>
          <w:p w14:paraId="27AC0CA9"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150</w:t>
            </w:r>
          </w:p>
        </w:tc>
        <w:tc>
          <w:tcPr>
            <w:tcW w:w="1276" w:type="dxa"/>
            <w:tcBorders>
              <w:top w:val="nil"/>
              <w:left w:val="nil"/>
              <w:bottom w:val="single" w:sz="4" w:space="0" w:color="auto"/>
              <w:right w:val="single" w:sz="4" w:space="0" w:color="auto"/>
            </w:tcBorders>
          </w:tcPr>
          <w:p w14:paraId="0E6E711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1E2907A8"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2494E07D" w14:textId="785E0107"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Service d</w:t>
            </w:r>
            <w:r w:rsidR="00EE0531">
              <w:rPr>
                <w:noProof/>
                <w:lang w:val="fr-FR"/>
              </w:rPr>
              <w:t>’</w:t>
            </w:r>
            <w:r w:rsidRPr="004179B8">
              <w:rPr>
                <w:noProof/>
                <w:lang w:val="fr-FR"/>
              </w:rPr>
              <w:t>information sur les Sites Ramsar et Système de données pour les rapports nationaux (entretien et développement)</w:t>
            </w:r>
          </w:p>
        </w:tc>
        <w:tc>
          <w:tcPr>
            <w:tcW w:w="850" w:type="dxa"/>
            <w:tcBorders>
              <w:top w:val="nil"/>
              <w:left w:val="nil"/>
              <w:bottom w:val="single" w:sz="4" w:space="0" w:color="auto"/>
              <w:right w:val="single" w:sz="4" w:space="0" w:color="auto"/>
            </w:tcBorders>
            <w:shd w:val="clear" w:color="auto" w:fill="auto"/>
            <w:noWrap/>
            <w:vAlign w:val="center"/>
          </w:tcPr>
          <w:p w14:paraId="7E74E4E9"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657EC61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4B832FF5"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02D3B9A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100</w:t>
            </w:r>
          </w:p>
        </w:tc>
        <w:tc>
          <w:tcPr>
            <w:tcW w:w="1276" w:type="dxa"/>
            <w:tcBorders>
              <w:top w:val="nil"/>
              <w:left w:val="nil"/>
              <w:bottom w:val="single" w:sz="4" w:space="0" w:color="auto"/>
              <w:right w:val="single" w:sz="4" w:space="0" w:color="auto"/>
            </w:tcBorders>
          </w:tcPr>
          <w:p w14:paraId="0F85E183"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(100)</w:t>
            </w:r>
          </w:p>
        </w:tc>
      </w:tr>
      <w:tr w:rsidR="009279AD" w:rsidRPr="004179B8" w14:paraId="19C172E9"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271770D4" w14:textId="3846BAE3"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Déplacements</w:t>
            </w:r>
          </w:p>
        </w:tc>
        <w:tc>
          <w:tcPr>
            <w:tcW w:w="850" w:type="dxa"/>
            <w:tcBorders>
              <w:top w:val="nil"/>
              <w:left w:val="nil"/>
              <w:bottom w:val="single" w:sz="4" w:space="0" w:color="auto"/>
              <w:right w:val="single" w:sz="4" w:space="0" w:color="auto"/>
            </w:tcBorders>
            <w:shd w:val="clear" w:color="auto" w:fill="auto"/>
            <w:noWrap/>
            <w:vAlign w:val="center"/>
          </w:tcPr>
          <w:p w14:paraId="495042B7"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18</w:t>
            </w:r>
          </w:p>
        </w:tc>
        <w:tc>
          <w:tcPr>
            <w:tcW w:w="851" w:type="dxa"/>
            <w:tcBorders>
              <w:top w:val="nil"/>
              <w:left w:val="nil"/>
              <w:bottom w:val="single" w:sz="4" w:space="0" w:color="auto"/>
              <w:right w:val="single" w:sz="4" w:space="0" w:color="auto"/>
            </w:tcBorders>
            <w:shd w:val="clear" w:color="auto" w:fill="auto"/>
            <w:noWrap/>
            <w:vAlign w:val="center"/>
          </w:tcPr>
          <w:p w14:paraId="271C4E2F"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18</w:t>
            </w:r>
          </w:p>
        </w:tc>
        <w:tc>
          <w:tcPr>
            <w:tcW w:w="850" w:type="dxa"/>
            <w:tcBorders>
              <w:top w:val="nil"/>
              <w:left w:val="nil"/>
              <w:bottom w:val="single" w:sz="4" w:space="0" w:color="auto"/>
              <w:right w:val="single" w:sz="4" w:space="0" w:color="auto"/>
            </w:tcBorders>
            <w:shd w:val="clear" w:color="auto" w:fill="auto"/>
            <w:noWrap/>
            <w:vAlign w:val="center"/>
          </w:tcPr>
          <w:p w14:paraId="03F0238A" w14:textId="77777777" w:rsidR="009279AD" w:rsidRPr="004179B8" w:rsidDel="00A6664E"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18</w:t>
            </w:r>
          </w:p>
        </w:tc>
        <w:tc>
          <w:tcPr>
            <w:tcW w:w="1135" w:type="dxa"/>
            <w:tcBorders>
              <w:top w:val="nil"/>
              <w:left w:val="nil"/>
              <w:bottom w:val="single" w:sz="4" w:space="0" w:color="auto"/>
              <w:right w:val="single" w:sz="4" w:space="0" w:color="auto"/>
            </w:tcBorders>
            <w:shd w:val="clear" w:color="auto" w:fill="auto"/>
            <w:noWrap/>
            <w:vAlign w:val="center"/>
          </w:tcPr>
          <w:p w14:paraId="2E901D08" w14:textId="77777777" w:rsidR="009279AD" w:rsidRPr="004179B8" w:rsidDel="00A6664E"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54</w:t>
            </w:r>
          </w:p>
        </w:tc>
        <w:tc>
          <w:tcPr>
            <w:tcW w:w="1276" w:type="dxa"/>
            <w:tcBorders>
              <w:top w:val="nil"/>
              <w:left w:val="nil"/>
              <w:bottom w:val="single" w:sz="4" w:space="0" w:color="auto"/>
              <w:right w:val="single" w:sz="4" w:space="0" w:color="auto"/>
            </w:tcBorders>
          </w:tcPr>
          <w:p w14:paraId="69B682B6"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7C7318E5" w14:textId="77777777" w:rsidTr="00C906B1">
        <w:tc>
          <w:tcPr>
            <w:tcW w:w="4820" w:type="dxa"/>
            <w:tcBorders>
              <w:top w:val="nil"/>
              <w:left w:val="single" w:sz="4" w:space="0" w:color="auto"/>
              <w:bottom w:val="single" w:sz="4" w:space="0" w:color="auto"/>
              <w:right w:val="single" w:sz="4" w:space="0" w:color="auto"/>
            </w:tcBorders>
            <w:shd w:val="clear" w:color="000000" w:fill="C4D79B"/>
            <w:noWrap/>
          </w:tcPr>
          <w:p w14:paraId="2D62129D" w14:textId="1918FE1C" w:rsidR="009279AD" w:rsidRPr="004179B8" w:rsidRDefault="009279AD" w:rsidP="009279AD">
            <w:pPr>
              <w:spacing w:after="0" w:line="240" w:lineRule="auto"/>
              <w:rPr>
                <w:rFonts w:eastAsia="Times New Roman" w:cstheme="minorHAnsi"/>
                <w:b/>
                <w:bCs/>
                <w:noProof/>
                <w:color w:val="2F5496" w:themeColor="accent1" w:themeShade="BF"/>
                <w:sz w:val="20"/>
                <w:szCs w:val="20"/>
                <w:highlight w:val="yellow"/>
                <w:lang w:val="fr-FR" w:eastAsia="en-GB"/>
              </w:rPr>
            </w:pPr>
            <w:r w:rsidRPr="004179B8">
              <w:rPr>
                <w:b/>
                <w:bCs/>
                <w:noProof/>
                <w:color w:val="2F5496" w:themeColor="accent1" w:themeShade="BF"/>
                <w:lang w:val="fr-FR"/>
              </w:rPr>
              <w:t>F. Administration</w:t>
            </w:r>
          </w:p>
        </w:tc>
        <w:tc>
          <w:tcPr>
            <w:tcW w:w="850" w:type="dxa"/>
            <w:tcBorders>
              <w:top w:val="nil"/>
              <w:left w:val="nil"/>
              <w:bottom w:val="single" w:sz="4" w:space="0" w:color="auto"/>
              <w:right w:val="single" w:sz="4" w:space="0" w:color="auto"/>
            </w:tcBorders>
            <w:shd w:val="clear" w:color="000000" w:fill="C4D79B"/>
            <w:noWrap/>
            <w:vAlign w:val="center"/>
          </w:tcPr>
          <w:p w14:paraId="2670CCD4"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467</w:t>
            </w:r>
          </w:p>
        </w:tc>
        <w:tc>
          <w:tcPr>
            <w:tcW w:w="851" w:type="dxa"/>
            <w:tcBorders>
              <w:top w:val="nil"/>
              <w:left w:val="nil"/>
              <w:bottom w:val="single" w:sz="4" w:space="0" w:color="auto"/>
              <w:right w:val="single" w:sz="4" w:space="0" w:color="auto"/>
            </w:tcBorders>
            <w:shd w:val="clear" w:color="000000" w:fill="C4D79B"/>
            <w:noWrap/>
            <w:vAlign w:val="center"/>
          </w:tcPr>
          <w:p w14:paraId="506EB8E8"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445</w:t>
            </w:r>
          </w:p>
        </w:tc>
        <w:tc>
          <w:tcPr>
            <w:tcW w:w="850" w:type="dxa"/>
            <w:tcBorders>
              <w:top w:val="nil"/>
              <w:left w:val="nil"/>
              <w:bottom w:val="single" w:sz="4" w:space="0" w:color="auto"/>
              <w:right w:val="single" w:sz="4" w:space="0" w:color="auto"/>
            </w:tcBorders>
            <w:shd w:val="clear" w:color="000000" w:fill="C4D79B"/>
            <w:noWrap/>
            <w:vAlign w:val="center"/>
          </w:tcPr>
          <w:p w14:paraId="42B87898"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421</w:t>
            </w:r>
          </w:p>
        </w:tc>
        <w:tc>
          <w:tcPr>
            <w:tcW w:w="1135" w:type="dxa"/>
            <w:tcBorders>
              <w:top w:val="nil"/>
              <w:left w:val="nil"/>
              <w:bottom w:val="single" w:sz="4" w:space="0" w:color="auto"/>
              <w:right w:val="single" w:sz="4" w:space="0" w:color="auto"/>
            </w:tcBorders>
            <w:shd w:val="clear" w:color="000000" w:fill="C4D79B"/>
            <w:noWrap/>
            <w:vAlign w:val="center"/>
          </w:tcPr>
          <w:p w14:paraId="39F730AB" w14:textId="2984C145"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1333</w:t>
            </w:r>
          </w:p>
        </w:tc>
        <w:tc>
          <w:tcPr>
            <w:tcW w:w="1276" w:type="dxa"/>
            <w:tcBorders>
              <w:top w:val="nil"/>
              <w:left w:val="nil"/>
              <w:bottom w:val="single" w:sz="4" w:space="0" w:color="auto"/>
              <w:right w:val="single" w:sz="4" w:space="0" w:color="auto"/>
            </w:tcBorders>
            <w:shd w:val="clear" w:color="000000" w:fill="C4D79B"/>
          </w:tcPr>
          <w:p w14:paraId="5B12D49B"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(97)</w:t>
            </w:r>
          </w:p>
        </w:tc>
      </w:tr>
      <w:tr w:rsidR="009279AD" w:rsidRPr="004179B8" w14:paraId="19BAED98"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668EFA2E" w14:textId="1FFB87FC"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Salaires, charges sociales et autres prestations</w:t>
            </w:r>
          </w:p>
        </w:tc>
        <w:tc>
          <w:tcPr>
            <w:tcW w:w="850" w:type="dxa"/>
            <w:tcBorders>
              <w:top w:val="nil"/>
              <w:left w:val="nil"/>
              <w:bottom w:val="single" w:sz="4" w:space="0" w:color="auto"/>
              <w:right w:val="single" w:sz="4" w:space="0" w:color="auto"/>
            </w:tcBorders>
            <w:shd w:val="clear" w:color="auto" w:fill="auto"/>
            <w:noWrap/>
            <w:vAlign w:val="center"/>
          </w:tcPr>
          <w:p w14:paraId="1620B39F"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372</w:t>
            </w:r>
          </w:p>
        </w:tc>
        <w:tc>
          <w:tcPr>
            <w:tcW w:w="851" w:type="dxa"/>
            <w:tcBorders>
              <w:top w:val="nil"/>
              <w:left w:val="nil"/>
              <w:bottom w:val="single" w:sz="4" w:space="0" w:color="auto"/>
              <w:right w:val="single" w:sz="4" w:space="0" w:color="auto"/>
            </w:tcBorders>
            <w:shd w:val="clear" w:color="auto" w:fill="auto"/>
            <w:noWrap/>
            <w:vAlign w:val="center"/>
          </w:tcPr>
          <w:p w14:paraId="7F97865E"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375</w:t>
            </w:r>
          </w:p>
        </w:tc>
        <w:tc>
          <w:tcPr>
            <w:tcW w:w="850" w:type="dxa"/>
            <w:tcBorders>
              <w:top w:val="nil"/>
              <w:left w:val="nil"/>
              <w:bottom w:val="single" w:sz="4" w:space="0" w:color="auto"/>
              <w:right w:val="single" w:sz="4" w:space="0" w:color="auto"/>
            </w:tcBorders>
            <w:shd w:val="clear" w:color="auto" w:fill="auto"/>
            <w:noWrap/>
            <w:vAlign w:val="center"/>
          </w:tcPr>
          <w:p w14:paraId="730AB969"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379</w:t>
            </w:r>
          </w:p>
        </w:tc>
        <w:tc>
          <w:tcPr>
            <w:tcW w:w="1135" w:type="dxa"/>
            <w:tcBorders>
              <w:top w:val="nil"/>
              <w:left w:val="nil"/>
              <w:bottom w:val="single" w:sz="4" w:space="0" w:color="auto"/>
              <w:right w:val="single" w:sz="4" w:space="0" w:color="auto"/>
            </w:tcBorders>
            <w:shd w:val="clear" w:color="auto" w:fill="auto"/>
            <w:noWrap/>
            <w:vAlign w:val="center"/>
          </w:tcPr>
          <w:p w14:paraId="7D77D552" w14:textId="64F748E2"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1126</w:t>
            </w:r>
          </w:p>
        </w:tc>
        <w:tc>
          <w:tcPr>
            <w:tcW w:w="1276" w:type="dxa"/>
            <w:tcBorders>
              <w:top w:val="nil"/>
              <w:left w:val="nil"/>
              <w:bottom w:val="single" w:sz="4" w:space="0" w:color="auto"/>
              <w:right w:val="single" w:sz="4" w:space="0" w:color="auto"/>
            </w:tcBorders>
          </w:tcPr>
          <w:p w14:paraId="793FA572"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133</w:t>
            </w:r>
          </w:p>
        </w:tc>
      </w:tr>
      <w:tr w:rsidR="009279AD" w:rsidRPr="004179B8" w14:paraId="338071FD"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33399857" w14:textId="01D8F5FE"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Recrutement et indemnités de départ</w:t>
            </w:r>
          </w:p>
        </w:tc>
        <w:tc>
          <w:tcPr>
            <w:tcW w:w="850" w:type="dxa"/>
            <w:tcBorders>
              <w:top w:val="nil"/>
              <w:left w:val="nil"/>
              <w:bottom w:val="single" w:sz="4" w:space="0" w:color="auto"/>
              <w:right w:val="single" w:sz="4" w:space="0" w:color="auto"/>
            </w:tcBorders>
            <w:shd w:val="clear" w:color="auto" w:fill="auto"/>
            <w:noWrap/>
            <w:vAlign w:val="center"/>
          </w:tcPr>
          <w:p w14:paraId="43961D51"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55</w:t>
            </w:r>
          </w:p>
        </w:tc>
        <w:tc>
          <w:tcPr>
            <w:tcW w:w="851" w:type="dxa"/>
            <w:tcBorders>
              <w:top w:val="nil"/>
              <w:left w:val="nil"/>
              <w:bottom w:val="single" w:sz="4" w:space="0" w:color="auto"/>
              <w:right w:val="single" w:sz="4" w:space="0" w:color="auto"/>
            </w:tcBorders>
            <w:shd w:val="clear" w:color="auto" w:fill="auto"/>
            <w:noWrap/>
            <w:vAlign w:val="center"/>
          </w:tcPr>
          <w:p w14:paraId="70EF92DA"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31E19AA6"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16</w:t>
            </w:r>
          </w:p>
        </w:tc>
        <w:tc>
          <w:tcPr>
            <w:tcW w:w="1135" w:type="dxa"/>
            <w:tcBorders>
              <w:top w:val="nil"/>
              <w:left w:val="nil"/>
              <w:bottom w:val="single" w:sz="4" w:space="0" w:color="auto"/>
              <w:right w:val="single" w:sz="4" w:space="0" w:color="auto"/>
            </w:tcBorders>
            <w:shd w:val="clear" w:color="auto" w:fill="auto"/>
            <w:noWrap/>
            <w:vAlign w:val="center"/>
          </w:tcPr>
          <w:p w14:paraId="36F6AA0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101</w:t>
            </w:r>
          </w:p>
        </w:tc>
        <w:tc>
          <w:tcPr>
            <w:tcW w:w="1276" w:type="dxa"/>
            <w:tcBorders>
              <w:top w:val="nil"/>
              <w:left w:val="nil"/>
              <w:bottom w:val="single" w:sz="4" w:space="0" w:color="auto"/>
              <w:right w:val="single" w:sz="4" w:space="0" w:color="auto"/>
            </w:tcBorders>
          </w:tcPr>
          <w:p w14:paraId="2FE65CB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(51)</w:t>
            </w:r>
          </w:p>
        </w:tc>
      </w:tr>
      <w:tr w:rsidR="009279AD" w:rsidRPr="004179B8" w14:paraId="4D12FD6E"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61A1BAA5" w14:textId="73386F3A"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Équipements/Fournitures de bureau</w:t>
            </w:r>
          </w:p>
        </w:tc>
        <w:tc>
          <w:tcPr>
            <w:tcW w:w="850" w:type="dxa"/>
            <w:tcBorders>
              <w:top w:val="nil"/>
              <w:left w:val="nil"/>
              <w:bottom w:val="single" w:sz="4" w:space="0" w:color="auto"/>
              <w:right w:val="single" w:sz="4" w:space="0" w:color="auto"/>
            </w:tcBorders>
            <w:shd w:val="clear" w:color="auto" w:fill="auto"/>
            <w:noWrap/>
            <w:vAlign w:val="center"/>
          </w:tcPr>
          <w:p w14:paraId="14822D93"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40</w:t>
            </w:r>
          </w:p>
        </w:tc>
        <w:tc>
          <w:tcPr>
            <w:tcW w:w="851" w:type="dxa"/>
            <w:tcBorders>
              <w:top w:val="nil"/>
              <w:left w:val="nil"/>
              <w:bottom w:val="single" w:sz="4" w:space="0" w:color="auto"/>
              <w:right w:val="single" w:sz="4" w:space="0" w:color="auto"/>
            </w:tcBorders>
            <w:shd w:val="clear" w:color="auto" w:fill="auto"/>
            <w:noWrap/>
            <w:vAlign w:val="center"/>
          </w:tcPr>
          <w:p w14:paraId="611B2DE0"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40</w:t>
            </w:r>
          </w:p>
        </w:tc>
        <w:tc>
          <w:tcPr>
            <w:tcW w:w="850" w:type="dxa"/>
            <w:tcBorders>
              <w:top w:val="nil"/>
              <w:left w:val="nil"/>
              <w:bottom w:val="single" w:sz="4" w:space="0" w:color="auto"/>
              <w:right w:val="single" w:sz="4" w:space="0" w:color="auto"/>
            </w:tcBorders>
            <w:shd w:val="clear" w:color="auto" w:fill="auto"/>
            <w:noWrap/>
            <w:vAlign w:val="center"/>
          </w:tcPr>
          <w:p w14:paraId="6ABBE388"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26</w:t>
            </w:r>
          </w:p>
        </w:tc>
        <w:tc>
          <w:tcPr>
            <w:tcW w:w="1135" w:type="dxa"/>
            <w:tcBorders>
              <w:top w:val="nil"/>
              <w:left w:val="nil"/>
              <w:bottom w:val="single" w:sz="4" w:space="0" w:color="auto"/>
              <w:right w:val="single" w:sz="4" w:space="0" w:color="auto"/>
            </w:tcBorders>
            <w:shd w:val="clear" w:color="auto" w:fill="auto"/>
            <w:noWrap/>
            <w:vAlign w:val="center"/>
          </w:tcPr>
          <w:p w14:paraId="4514CD9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106</w:t>
            </w:r>
          </w:p>
        </w:tc>
        <w:tc>
          <w:tcPr>
            <w:tcW w:w="1276" w:type="dxa"/>
            <w:tcBorders>
              <w:top w:val="nil"/>
              <w:left w:val="nil"/>
              <w:bottom w:val="single" w:sz="4" w:space="0" w:color="auto"/>
              <w:right w:val="single" w:sz="4" w:space="0" w:color="auto"/>
            </w:tcBorders>
          </w:tcPr>
          <w:p w14:paraId="4A201D5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(179)</w:t>
            </w:r>
          </w:p>
        </w:tc>
      </w:tr>
      <w:tr w:rsidR="009279AD" w:rsidRPr="004179B8" w14:paraId="32664EF7"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6C9148D7" w14:textId="1D7DB7CC"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Planification et renforcement des capacités</w:t>
            </w:r>
          </w:p>
        </w:tc>
        <w:tc>
          <w:tcPr>
            <w:tcW w:w="850" w:type="dxa"/>
            <w:tcBorders>
              <w:top w:val="nil"/>
              <w:left w:val="nil"/>
              <w:bottom w:val="single" w:sz="4" w:space="0" w:color="auto"/>
              <w:right w:val="single" w:sz="4" w:space="0" w:color="auto"/>
            </w:tcBorders>
            <w:shd w:val="clear" w:color="auto" w:fill="auto"/>
            <w:noWrap/>
            <w:vAlign w:val="center"/>
          </w:tcPr>
          <w:p w14:paraId="1CA43ED1"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c>
          <w:tcPr>
            <w:tcW w:w="851" w:type="dxa"/>
            <w:tcBorders>
              <w:top w:val="nil"/>
              <w:left w:val="nil"/>
              <w:bottom w:val="single" w:sz="4" w:space="0" w:color="auto"/>
              <w:right w:val="single" w:sz="4" w:space="0" w:color="auto"/>
            </w:tcBorders>
            <w:shd w:val="clear" w:color="auto" w:fill="auto"/>
            <w:noWrap/>
            <w:vAlign w:val="center"/>
          </w:tcPr>
          <w:p w14:paraId="640AA22E"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 0</w:t>
            </w:r>
          </w:p>
        </w:tc>
        <w:tc>
          <w:tcPr>
            <w:tcW w:w="850" w:type="dxa"/>
            <w:tcBorders>
              <w:top w:val="nil"/>
              <w:left w:val="nil"/>
              <w:bottom w:val="single" w:sz="4" w:space="0" w:color="auto"/>
              <w:right w:val="single" w:sz="4" w:space="0" w:color="auto"/>
            </w:tcBorders>
            <w:shd w:val="clear" w:color="auto" w:fill="auto"/>
            <w:noWrap/>
            <w:vAlign w:val="center"/>
          </w:tcPr>
          <w:p w14:paraId="06FC98C7"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0</w:t>
            </w:r>
          </w:p>
        </w:tc>
        <w:tc>
          <w:tcPr>
            <w:tcW w:w="1135" w:type="dxa"/>
            <w:tcBorders>
              <w:top w:val="nil"/>
              <w:left w:val="nil"/>
              <w:bottom w:val="single" w:sz="4" w:space="0" w:color="auto"/>
              <w:right w:val="single" w:sz="4" w:space="0" w:color="auto"/>
            </w:tcBorders>
            <w:shd w:val="clear" w:color="auto" w:fill="auto"/>
            <w:noWrap/>
            <w:vAlign w:val="center"/>
          </w:tcPr>
          <w:p w14:paraId="237DCA82"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c>
          <w:tcPr>
            <w:tcW w:w="1276" w:type="dxa"/>
            <w:tcBorders>
              <w:top w:val="nil"/>
              <w:left w:val="nil"/>
              <w:bottom w:val="single" w:sz="4" w:space="0" w:color="auto"/>
              <w:right w:val="single" w:sz="4" w:space="0" w:color="auto"/>
            </w:tcBorders>
          </w:tcPr>
          <w:p w14:paraId="2BCEAA41"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535DBEB0" w14:textId="77777777" w:rsidTr="00C906B1">
        <w:tc>
          <w:tcPr>
            <w:tcW w:w="4820" w:type="dxa"/>
            <w:tcBorders>
              <w:top w:val="nil"/>
              <w:left w:val="single" w:sz="4" w:space="0" w:color="auto"/>
              <w:bottom w:val="single" w:sz="4" w:space="0" w:color="auto"/>
              <w:right w:val="single" w:sz="4" w:space="0" w:color="auto"/>
            </w:tcBorders>
            <w:shd w:val="clear" w:color="000000" w:fill="C4D79B"/>
            <w:noWrap/>
          </w:tcPr>
          <w:p w14:paraId="19F01AEC" w14:textId="6B07FCB3" w:rsidR="009279AD" w:rsidRPr="004179B8" w:rsidRDefault="009279AD" w:rsidP="009279AD">
            <w:pPr>
              <w:spacing w:after="0" w:line="240" w:lineRule="auto"/>
              <w:rPr>
                <w:rFonts w:eastAsia="Times New Roman" w:cstheme="minorHAnsi"/>
                <w:b/>
                <w:bCs/>
                <w:noProof/>
                <w:sz w:val="20"/>
                <w:szCs w:val="20"/>
                <w:highlight w:val="yellow"/>
                <w:lang w:val="fr-FR" w:eastAsia="en-GB"/>
              </w:rPr>
            </w:pPr>
            <w:r w:rsidRPr="004179B8">
              <w:rPr>
                <w:b/>
                <w:bCs/>
                <w:noProof/>
                <w:color w:val="2F5496" w:themeColor="accent1" w:themeShade="BF"/>
                <w:lang w:val="fr-FR"/>
              </w:rPr>
              <w:t>G. Services au Comité permanent</w:t>
            </w:r>
          </w:p>
        </w:tc>
        <w:tc>
          <w:tcPr>
            <w:tcW w:w="850" w:type="dxa"/>
            <w:tcBorders>
              <w:top w:val="nil"/>
              <w:left w:val="nil"/>
              <w:bottom w:val="single" w:sz="4" w:space="0" w:color="auto"/>
              <w:right w:val="single" w:sz="4" w:space="0" w:color="auto"/>
            </w:tcBorders>
            <w:shd w:val="clear" w:color="000000" w:fill="C4D79B"/>
            <w:noWrap/>
            <w:vAlign w:val="center"/>
          </w:tcPr>
          <w:p w14:paraId="2B458443"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175</w:t>
            </w:r>
          </w:p>
        </w:tc>
        <w:tc>
          <w:tcPr>
            <w:tcW w:w="851" w:type="dxa"/>
            <w:tcBorders>
              <w:top w:val="nil"/>
              <w:left w:val="nil"/>
              <w:bottom w:val="single" w:sz="4" w:space="0" w:color="auto"/>
              <w:right w:val="single" w:sz="4" w:space="0" w:color="auto"/>
            </w:tcBorders>
            <w:shd w:val="clear" w:color="000000" w:fill="C4D79B"/>
            <w:noWrap/>
            <w:vAlign w:val="center"/>
          </w:tcPr>
          <w:p w14:paraId="24EFBE7B"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175</w:t>
            </w:r>
          </w:p>
        </w:tc>
        <w:tc>
          <w:tcPr>
            <w:tcW w:w="850" w:type="dxa"/>
            <w:tcBorders>
              <w:top w:val="nil"/>
              <w:left w:val="nil"/>
              <w:bottom w:val="single" w:sz="4" w:space="0" w:color="auto"/>
              <w:right w:val="single" w:sz="4" w:space="0" w:color="auto"/>
            </w:tcBorders>
            <w:shd w:val="clear" w:color="000000" w:fill="C4D79B"/>
            <w:noWrap/>
            <w:vAlign w:val="center"/>
          </w:tcPr>
          <w:p w14:paraId="1C6B3ABE"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175</w:t>
            </w:r>
          </w:p>
        </w:tc>
        <w:tc>
          <w:tcPr>
            <w:tcW w:w="1135" w:type="dxa"/>
            <w:tcBorders>
              <w:top w:val="nil"/>
              <w:left w:val="nil"/>
              <w:bottom w:val="single" w:sz="4" w:space="0" w:color="auto"/>
              <w:right w:val="single" w:sz="4" w:space="0" w:color="auto"/>
            </w:tcBorders>
            <w:shd w:val="clear" w:color="000000" w:fill="C4D79B"/>
            <w:noWrap/>
            <w:vAlign w:val="center"/>
          </w:tcPr>
          <w:p w14:paraId="58B95E7E"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525</w:t>
            </w:r>
          </w:p>
        </w:tc>
        <w:tc>
          <w:tcPr>
            <w:tcW w:w="1276" w:type="dxa"/>
            <w:tcBorders>
              <w:top w:val="nil"/>
              <w:left w:val="nil"/>
              <w:bottom w:val="single" w:sz="4" w:space="0" w:color="auto"/>
              <w:right w:val="single" w:sz="4" w:space="0" w:color="auto"/>
            </w:tcBorders>
            <w:shd w:val="clear" w:color="000000" w:fill="C4D79B"/>
          </w:tcPr>
          <w:p w14:paraId="5A6AEEF3"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75</w:t>
            </w:r>
          </w:p>
        </w:tc>
      </w:tr>
      <w:tr w:rsidR="009279AD" w:rsidRPr="004179B8" w14:paraId="5CCBE82D"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4E693AAE" w14:textId="51B208E4"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Appui aux délégués du Comité permanent</w:t>
            </w:r>
          </w:p>
        </w:tc>
        <w:tc>
          <w:tcPr>
            <w:tcW w:w="850" w:type="dxa"/>
            <w:tcBorders>
              <w:top w:val="nil"/>
              <w:left w:val="nil"/>
              <w:bottom w:val="single" w:sz="4" w:space="0" w:color="auto"/>
              <w:right w:val="single" w:sz="4" w:space="0" w:color="auto"/>
            </w:tcBorders>
            <w:shd w:val="clear" w:color="auto" w:fill="auto"/>
            <w:noWrap/>
            <w:vAlign w:val="center"/>
          </w:tcPr>
          <w:p w14:paraId="35FD0FC3"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45</w:t>
            </w:r>
          </w:p>
        </w:tc>
        <w:tc>
          <w:tcPr>
            <w:tcW w:w="851" w:type="dxa"/>
            <w:tcBorders>
              <w:top w:val="nil"/>
              <w:left w:val="nil"/>
              <w:bottom w:val="single" w:sz="4" w:space="0" w:color="auto"/>
              <w:right w:val="single" w:sz="4" w:space="0" w:color="auto"/>
            </w:tcBorders>
            <w:shd w:val="clear" w:color="auto" w:fill="auto"/>
            <w:noWrap/>
            <w:vAlign w:val="center"/>
          </w:tcPr>
          <w:p w14:paraId="48526A8E"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45</w:t>
            </w:r>
          </w:p>
        </w:tc>
        <w:tc>
          <w:tcPr>
            <w:tcW w:w="850" w:type="dxa"/>
            <w:tcBorders>
              <w:top w:val="nil"/>
              <w:left w:val="nil"/>
              <w:bottom w:val="single" w:sz="4" w:space="0" w:color="auto"/>
              <w:right w:val="single" w:sz="4" w:space="0" w:color="auto"/>
            </w:tcBorders>
            <w:shd w:val="clear" w:color="auto" w:fill="auto"/>
            <w:noWrap/>
            <w:vAlign w:val="center"/>
          </w:tcPr>
          <w:p w14:paraId="1CCEA4B4"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45</w:t>
            </w:r>
          </w:p>
        </w:tc>
        <w:tc>
          <w:tcPr>
            <w:tcW w:w="1135" w:type="dxa"/>
            <w:tcBorders>
              <w:top w:val="nil"/>
              <w:left w:val="nil"/>
              <w:bottom w:val="single" w:sz="4" w:space="0" w:color="auto"/>
              <w:right w:val="single" w:sz="4" w:space="0" w:color="auto"/>
            </w:tcBorders>
            <w:shd w:val="clear" w:color="auto" w:fill="auto"/>
            <w:noWrap/>
            <w:vAlign w:val="center"/>
          </w:tcPr>
          <w:p w14:paraId="3E913C12"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135</w:t>
            </w:r>
          </w:p>
        </w:tc>
        <w:tc>
          <w:tcPr>
            <w:tcW w:w="1276" w:type="dxa"/>
            <w:tcBorders>
              <w:top w:val="nil"/>
              <w:left w:val="nil"/>
              <w:bottom w:val="single" w:sz="4" w:space="0" w:color="auto"/>
              <w:right w:val="single" w:sz="4" w:space="0" w:color="auto"/>
            </w:tcBorders>
          </w:tcPr>
          <w:p w14:paraId="64BA5E9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60A5B2A5"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1596E2F6" w14:textId="029D0CA2"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Réunions du Comité permanent</w:t>
            </w:r>
          </w:p>
        </w:tc>
        <w:tc>
          <w:tcPr>
            <w:tcW w:w="850" w:type="dxa"/>
            <w:tcBorders>
              <w:top w:val="nil"/>
              <w:left w:val="nil"/>
              <w:bottom w:val="single" w:sz="4" w:space="0" w:color="auto"/>
              <w:right w:val="single" w:sz="4" w:space="0" w:color="auto"/>
            </w:tcBorders>
            <w:shd w:val="clear" w:color="auto" w:fill="auto"/>
            <w:noWrap/>
            <w:vAlign w:val="center"/>
          </w:tcPr>
          <w:p w14:paraId="588DBE53"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50CB5084"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22DCB40B"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07F3C68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105</w:t>
            </w:r>
          </w:p>
        </w:tc>
        <w:tc>
          <w:tcPr>
            <w:tcW w:w="1276" w:type="dxa"/>
            <w:tcBorders>
              <w:top w:val="nil"/>
              <w:left w:val="nil"/>
              <w:bottom w:val="single" w:sz="4" w:space="0" w:color="auto"/>
              <w:right w:val="single" w:sz="4" w:space="0" w:color="auto"/>
            </w:tcBorders>
          </w:tcPr>
          <w:p w14:paraId="2E146CF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75</w:t>
            </w:r>
          </w:p>
        </w:tc>
      </w:tr>
      <w:tr w:rsidR="009279AD" w:rsidRPr="004179B8" w14:paraId="48052A10"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4FC35F7F" w14:textId="67EE44C4"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Services de traduction pour le Comité permanent</w:t>
            </w:r>
          </w:p>
        </w:tc>
        <w:tc>
          <w:tcPr>
            <w:tcW w:w="850" w:type="dxa"/>
            <w:tcBorders>
              <w:top w:val="nil"/>
              <w:left w:val="nil"/>
              <w:bottom w:val="single" w:sz="4" w:space="0" w:color="auto"/>
              <w:right w:val="single" w:sz="4" w:space="0" w:color="auto"/>
            </w:tcBorders>
            <w:shd w:val="clear" w:color="auto" w:fill="auto"/>
            <w:noWrap/>
            <w:vAlign w:val="center"/>
          </w:tcPr>
          <w:p w14:paraId="15337922"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60</w:t>
            </w:r>
          </w:p>
        </w:tc>
        <w:tc>
          <w:tcPr>
            <w:tcW w:w="851" w:type="dxa"/>
            <w:tcBorders>
              <w:top w:val="nil"/>
              <w:left w:val="nil"/>
              <w:bottom w:val="single" w:sz="4" w:space="0" w:color="auto"/>
              <w:right w:val="single" w:sz="4" w:space="0" w:color="auto"/>
            </w:tcBorders>
            <w:shd w:val="clear" w:color="auto" w:fill="auto"/>
            <w:noWrap/>
            <w:vAlign w:val="center"/>
          </w:tcPr>
          <w:p w14:paraId="72BAD9B3"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60</w:t>
            </w:r>
          </w:p>
        </w:tc>
        <w:tc>
          <w:tcPr>
            <w:tcW w:w="850" w:type="dxa"/>
            <w:tcBorders>
              <w:top w:val="nil"/>
              <w:left w:val="nil"/>
              <w:bottom w:val="single" w:sz="4" w:space="0" w:color="auto"/>
              <w:right w:val="single" w:sz="4" w:space="0" w:color="auto"/>
            </w:tcBorders>
            <w:shd w:val="clear" w:color="auto" w:fill="auto"/>
            <w:noWrap/>
            <w:vAlign w:val="center"/>
          </w:tcPr>
          <w:p w14:paraId="053EABC1"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60</w:t>
            </w:r>
          </w:p>
        </w:tc>
        <w:tc>
          <w:tcPr>
            <w:tcW w:w="1135" w:type="dxa"/>
            <w:tcBorders>
              <w:top w:val="nil"/>
              <w:left w:val="nil"/>
              <w:bottom w:val="single" w:sz="4" w:space="0" w:color="auto"/>
              <w:right w:val="single" w:sz="4" w:space="0" w:color="auto"/>
            </w:tcBorders>
            <w:shd w:val="clear" w:color="auto" w:fill="auto"/>
            <w:noWrap/>
            <w:vAlign w:val="center"/>
          </w:tcPr>
          <w:p w14:paraId="504FCB2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180</w:t>
            </w:r>
          </w:p>
        </w:tc>
        <w:tc>
          <w:tcPr>
            <w:tcW w:w="1276" w:type="dxa"/>
            <w:tcBorders>
              <w:top w:val="nil"/>
              <w:left w:val="nil"/>
              <w:bottom w:val="single" w:sz="4" w:space="0" w:color="auto"/>
              <w:right w:val="single" w:sz="4" w:space="0" w:color="auto"/>
            </w:tcBorders>
          </w:tcPr>
          <w:p w14:paraId="203262CE"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07333C47" w14:textId="77777777" w:rsidTr="00C906B1">
        <w:tc>
          <w:tcPr>
            <w:tcW w:w="4820" w:type="dxa"/>
            <w:tcBorders>
              <w:top w:val="nil"/>
              <w:left w:val="single" w:sz="4" w:space="0" w:color="auto"/>
              <w:bottom w:val="single" w:sz="4" w:space="0" w:color="auto"/>
              <w:right w:val="single" w:sz="4" w:space="0" w:color="auto"/>
            </w:tcBorders>
            <w:shd w:val="clear" w:color="auto" w:fill="auto"/>
            <w:noWrap/>
          </w:tcPr>
          <w:p w14:paraId="092B8E9E" w14:textId="7E7875C4"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noProof/>
                <w:lang w:val="fr-FR"/>
              </w:rPr>
              <w:t>Rapporteur et interprétation lors des réunions du Comité permanent</w:t>
            </w:r>
          </w:p>
        </w:tc>
        <w:tc>
          <w:tcPr>
            <w:tcW w:w="850" w:type="dxa"/>
            <w:tcBorders>
              <w:top w:val="nil"/>
              <w:left w:val="nil"/>
              <w:bottom w:val="single" w:sz="4" w:space="0" w:color="auto"/>
              <w:right w:val="single" w:sz="4" w:space="0" w:color="auto"/>
            </w:tcBorders>
            <w:shd w:val="clear" w:color="auto" w:fill="auto"/>
            <w:noWrap/>
            <w:vAlign w:val="center"/>
          </w:tcPr>
          <w:p w14:paraId="670AFEF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35</w:t>
            </w:r>
          </w:p>
        </w:tc>
        <w:tc>
          <w:tcPr>
            <w:tcW w:w="851" w:type="dxa"/>
            <w:tcBorders>
              <w:top w:val="nil"/>
              <w:left w:val="nil"/>
              <w:bottom w:val="single" w:sz="4" w:space="0" w:color="auto"/>
              <w:right w:val="single" w:sz="4" w:space="0" w:color="auto"/>
            </w:tcBorders>
            <w:shd w:val="clear" w:color="auto" w:fill="auto"/>
            <w:noWrap/>
            <w:vAlign w:val="center"/>
          </w:tcPr>
          <w:p w14:paraId="2BE43315"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35</w:t>
            </w:r>
          </w:p>
        </w:tc>
        <w:tc>
          <w:tcPr>
            <w:tcW w:w="850" w:type="dxa"/>
            <w:tcBorders>
              <w:top w:val="nil"/>
              <w:left w:val="nil"/>
              <w:bottom w:val="single" w:sz="4" w:space="0" w:color="auto"/>
              <w:right w:val="single" w:sz="4" w:space="0" w:color="auto"/>
            </w:tcBorders>
            <w:shd w:val="clear" w:color="auto" w:fill="auto"/>
            <w:noWrap/>
            <w:vAlign w:val="center"/>
          </w:tcPr>
          <w:p w14:paraId="6C886EF0"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35</w:t>
            </w:r>
          </w:p>
        </w:tc>
        <w:tc>
          <w:tcPr>
            <w:tcW w:w="1135" w:type="dxa"/>
            <w:tcBorders>
              <w:top w:val="nil"/>
              <w:left w:val="nil"/>
              <w:bottom w:val="single" w:sz="4" w:space="0" w:color="auto"/>
              <w:right w:val="single" w:sz="4" w:space="0" w:color="auto"/>
            </w:tcBorders>
            <w:shd w:val="clear" w:color="auto" w:fill="auto"/>
            <w:noWrap/>
            <w:vAlign w:val="center"/>
          </w:tcPr>
          <w:p w14:paraId="4914E3E0"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105</w:t>
            </w:r>
          </w:p>
        </w:tc>
        <w:tc>
          <w:tcPr>
            <w:tcW w:w="1276" w:type="dxa"/>
            <w:tcBorders>
              <w:top w:val="nil"/>
              <w:left w:val="nil"/>
              <w:bottom w:val="single" w:sz="4" w:space="0" w:color="auto"/>
              <w:right w:val="single" w:sz="4" w:space="0" w:color="auto"/>
            </w:tcBorders>
          </w:tcPr>
          <w:p w14:paraId="4176D76D"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7D96CA43"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vAlign w:val="center"/>
          </w:tcPr>
          <w:p w14:paraId="23E63784" w14:textId="2986D984" w:rsidR="009279AD" w:rsidRPr="004179B8" w:rsidRDefault="009279AD" w:rsidP="009279AD">
            <w:pPr>
              <w:spacing w:after="0" w:line="240" w:lineRule="auto"/>
              <w:rPr>
                <w:rFonts w:eastAsia="Times New Roman" w:cstheme="minorHAnsi"/>
                <w:b/>
                <w:bCs/>
                <w:noProof/>
                <w:color w:val="2F5496" w:themeColor="accent1" w:themeShade="BF"/>
                <w:sz w:val="20"/>
                <w:szCs w:val="20"/>
                <w:highlight w:val="yellow"/>
                <w:lang w:val="fr-FR" w:eastAsia="en-GB"/>
              </w:rPr>
            </w:pPr>
            <w:r w:rsidRPr="004179B8">
              <w:rPr>
                <w:rFonts w:eastAsia="Times New Roman" w:cs="Arial"/>
                <w:b/>
                <w:bCs/>
                <w:noProof/>
                <w:color w:val="2F5496" w:themeColor="accent1" w:themeShade="BF"/>
                <w:sz w:val="20"/>
                <w:szCs w:val="20"/>
                <w:lang w:val="fr-FR" w:eastAsia="en-GB"/>
              </w:rPr>
              <w:lastRenderedPageBreak/>
              <w:t>H. Coûts des services administratifs de l</w:t>
            </w:r>
            <w:r w:rsidR="00EE0531">
              <w:rPr>
                <w:rFonts w:eastAsia="Times New Roman" w:cs="Arial"/>
                <w:b/>
                <w:bCs/>
                <w:noProof/>
                <w:color w:val="2F5496" w:themeColor="accent1" w:themeShade="BF"/>
                <w:sz w:val="20"/>
                <w:szCs w:val="20"/>
                <w:lang w:val="fr-FR" w:eastAsia="en-GB"/>
              </w:rPr>
              <w:t>’</w:t>
            </w:r>
            <w:r w:rsidRPr="004179B8">
              <w:rPr>
                <w:rFonts w:eastAsia="Times New Roman" w:cs="Arial"/>
                <w:b/>
                <w:bCs/>
                <w:noProof/>
                <w:color w:val="2F5496" w:themeColor="accent1" w:themeShade="BF"/>
                <w:sz w:val="20"/>
                <w:szCs w:val="20"/>
                <w:lang w:val="fr-FR" w:eastAsia="en-GB"/>
              </w:rPr>
              <w:t>UICN (maximum)</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1EC839E"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550</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798214DE"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550</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0E678C00"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550</w:t>
            </w:r>
          </w:p>
        </w:tc>
        <w:tc>
          <w:tcPr>
            <w:tcW w:w="1135" w:type="dxa"/>
            <w:tcBorders>
              <w:top w:val="single" w:sz="4" w:space="0" w:color="auto"/>
              <w:left w:val="nil"/>
              <w:bottom w:val="single" w:sz="4" w:space="0" w:color="auto"/>
              <w:right w:val="single" w:sz="4" w:space="0" w:color="auto"/>
            </w:tcBorders>
            <w:shd w:val="clear" w:color="000000" w:fill="C4D79B"/>
            <w:noWrap/>
            <w:vAlign w:val="center"/>
          </w:tcPr>
          <w:p w14:paraId="35729F83" w14:textId="7DB3F79D"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1650</w:t>
            </w:r>
          </w:p>
        </w:tc>
        <w:tc>
          <w:tcPr>
            <w:tcW w:w="1276" w:type="dxa"/>
            <w:tcBorders>
              <w:top w:val="single" w:sz="4" w:space="0" w:color="auto"/>
              <w:left w:val="nil"/>
              <w:bottom w:val="single" w:sz="4" w:space="0" w:color="auto"/>
              <w:right w:val="single" w:sz="4" w:space="0" w:color="auto"/>
            </w:tcBorders>
            <w:shd w:val="clear" w:color="000000" w:fill="C4D79B"/>
          </w:tcPr>
          <w:p w14:paraId="095E3152" w14:textId="09606BD5" w:rsidR="009279AD" w:rsidRPr="004179B8" w:rsidRDefault="00B450BC" w:rsidP="009279AD">
            <w:pPr>
              <w:spacing w:after="0" w:line="240" w:lineRule="auto"/>
              <w:jc w:val="right"/>
              <w:rPr>
                <w:rFonts w:eastAsia="Times New Roman" w:cstheme="minorHAnsi"/>
                <w:b/>
                <w:bCs/>
                <w:noProof/>
                <w:color w:val="000000"/>
                <w:sz w:val="20"/>
                <w:szCs w:val="20"/>
                <w:lang w:val="fr-FR" w:eastAsia="en-GB"/>
              </w:rPr>
            </w:pPr>
            <w:r>
              <w:rPr>
                <w:rFonts w:eastAsia="Times New Roman" w:cstheme="minorHAnsi"/>
                <w:b/>
                <w:bCs/>
                <w:noProof/>
                <w:color w:val="000000"/>
                <w:sz w:val="20"/>
                <w:szCs w:val="20"/>
                <w:lang w:val="fr-FR" w:eastAsia="en-GB"/>
              </w:rPr>
              <w:t xml:space="preserve"> </w:t>
            </w:r>
            <w:r w:rsidR="009279AD" w:rsidRPr="004179B8">
              <w:rPr>
                <w:rFonts w:eastAsia="Times New Roman" w:cstheme="minorHAnsi"/>
                <w:b/>
                <w:bCs/>
                <w:noProof/>
                <w:color w:val="000000"/>
                <w:sz w:val="20"/>
                <w:szCs w:val="20"/>
                <w:lang w:val="fr-FR" w:eastAsia="en-GB"/>
              </w:rPr>
              <w:t>27</w:t>
            </w:r>
          </w:p>
        </w:tc>
      </w:tr>
      <w:tr w:rsidR="009279AD" w:rsidRPr="004179B8" w14:paraId="0B2B43B9"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1CDA6461" w14:textId="69512D26"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rFonts w:eastAsia="Times New Roman" w:cs="Arial"/>
                <w:noProof/>
                <w:sz w:val="20"/>
                <w:szCs w:val="20"/>
                <w:lang w:val="fr-FR" w:eastAsia="en-GB"/>
              </w:rPr>
              <w:t>Administration, ressources humaines, services financiers &amp; informatiques</w:t>
            </w:r>
          </w:p>
        </w:tc>
        <w:tc>
          <w:tcPr>
            <w:tcW w:w="850" w:type="dxa"/>
            <w:tcBorders>
              <w:top w:val="nil"/>
              <w:left w:val="nil"/>
              <w:bottom w:val="single" w:sz="4" w:space="0" w:color="auto"/>
              <w:right w:val="single" w:sz="4" w:space="0" w:color="auto"/>
            </w:tcBorders>
            <w:shd w:val="clear" w:color="auto" w:fill="auto"/>
            <w:noWrap/>
            <w:vAlign w:val="center"/>
          </w:tcPr>
          <w:p w14:paraId="0149906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550</w:t>
            </w:r>
          </w:p>
        </w:tc>
        <w:tc>
          <w:tcPr>
            <w:tcW w:w="851" w:type="dxa"/>
            <w:tcBorders>
              <w:top w:val="nil"/>
              <w:left w:val="nil"/>
              <w:bottom w:val="single" w:sz="4" w:space="0" w:color="auto"/>
              <w:right w:val="single" w:sz="4" w:space="0" w:color="auto"/>
            </w:tcBorders>
            <w:shd w:val="clear" w:color="auto" w:fill="auto"/>
            <w:noWrap/>
            <w:vAlign w:val="center"/>
          </w:tcPr>
          <w:p w14:paraId="7E360EA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550</w:t>
            </w:r>
          </w:p>
        </w:tc>
        <w:tc>
          <w:tcPr>
            <w:tcW w:w="850" w:type="dxa"/>
            <w:tcBorders>
              <w:top w:val="nil"/>
              <w:left w:val="nil"/>
              <w:bottom w:val="single" w:sz="4" w:space="0" w:color="auto"/>
              <w:right w:val="single" w:sz="4" w:space="0" w:color="auto"/>
            </w:tcBorders>
            <w:shd w:val="clear" w:color="auto" w:fill="auto"/>
            <w:noWrap/>
            <w:vAlign w:val="center"/>
          </w:tcPr>
          <w:p w14:paraId="7ADD9FFE"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550</w:t>
            </w:r>
          </w:p>
        </w:tc>
        <w:tc>
          <w:tcPr>
            <w:tcW w:w="1135" w:type="dxa"/>
            <w:tcBorders>
              <w:top w:val="nil"/>
              <w:left w:val="nil"/>
              <w:bottom w:val="single" w:sz="4" w:space="0" w:color="auto"/>
              <w:right w:val="single" w:sz="4" w:space="0" w:color="auto"/>
            </w:tcBorders>
            <w:shd w:val="clear" w:color="auto" w:fill="auto"/>
            <w:noWrap/>
            <w:vAlign w:val="center"/>
          </w:tcPr>
          <w:p w14:paraId="234FD1FB" w14:textId="41D03B7C"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1650</w:t>
            </w:r>
          </w:p>
        </w:tc>
        <w:tc>
          <w:tcPr>
            <w:tcW w:w="1276" w:type="dxa"/>
            <w:tcBorders>
              <w:top w:val="nil"/>
              <w:left w:val="nil"/>
              <w:bottom w:val="single" w:sz="4" w:space="0" w:color="auto"/>
              <w:right w:val="single" w:sz="4" w:space="0" w:color="auto"/>
            </w:tcBorders>
          </w:tcPr>
          <w:p w14:paraId="483743A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27</w:t>
            </w:r>
          </w:p>
        </w:tc>
      </w:tr>
      <w:tr w:rsidR="009279AD" w:rsidRPr="004179B8" w14:paraId="7897F388" w14:textId="77777777" w:rsidTr="00CD1C73">
        <w:tc>
          <w:tcPr>
            <w:tcW w:w="4820" w:type="dxa"/>
            <w:tcBorders>
              <w:top w:val="nil"/>
              <w:left w:val="single" w:sz="4" w:space="0" w:color="auto"/>
              <w:bottom w:val="single" w:sz="4" w:space="0" w:color="auto"/>
              <w:right w:val="single" w:sz="4" w:space="0" w:color="auto"/>
            </w:tcBorders>
            <w:shd w:val="clear" w:color="000000" w:fill="C4D79B"/>
            <w:noWrap/>
            <w:vAlign w:val="center"/>
          </w:tcPr>
          <w:p w14:paraId="15D1D2D2" w14:textId="66BDD9FA" w:rsidR="009279AD" w:rsidRPr="004179B8" w:rsidRDefault="009279AD" w:rsidP="009279AD">
            <w:pPr>
              <w:spacing w:after="0" w:line="240" w:lineRule="auto"/>
              <w:rPr>
                <w:rFonts w:eastAsia="Times New Roman" w:cstheme="minorHAnsi"/>
                <w:b/>
                <w:bCs/>
                <w:noProof/>
                <w:color w:val="2F5496" w:themeColor="accent1" w:themeShade="BF"/>
                <w:sz w:val="20"/>
                <w:szCs w:val="20"/>
                <w:highlight w:val="yellow"/>
                <w:lang w:val="fr-FR" w:eastAsia="en-GB"/>
              </w:rPr>
            </w:pPr>
            <w:r w:rsidRPr="004179B8">
              <w:rPr>
                <w:rFonts w:eastAsia="Times New Roman" w:cs="Arial"/>
                <w:b/>
                <w:bCs/>
                <w:noProof/>
                <w:color w:val="2F5496" w:themeColor="accent1" w:themeShade="BF"/>
                <w:sz w:val="20"/>
                <w:szCs w:val="20"/>
                <w:lang w:val="fr-FR" w:eastAsia="en-GB"/>
              </w:rPr>
              <w:t>I. Divers – Fonds de réserve</w:t>
            </w:r>
          </w:p>
        </w:tc>
        <w:tc>
          <w:tcPr>
            <w:tcW w:w="850" w:type="dxa"/>
            <w:tcBorders>
              <w:top w:val="nil"/>
              <w:left w:val="nil"/>
              <w:bottom w:val="single" w:sz="4" w:space="0" w:color="auto"/>
              <w:right w:val="single" w:sz="4" w:space="0" w:color="auto"/>
            </w:tcBorders>
            <w:shd w:val="clear" w:color="000000" w:fill="C4D79B"/>
            <w:noWrap/>
            <w:vAlign w:val="center"/>
          </w:tcPr>
          <w:p w14:paraId="2D918820"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79</w:t>
            </w:r>
          </w:p>
        </w:tc>
        <w:tc>
          <w:tcPr>
            <w:tcW w:w="851" w:type="dxa"/>
            <w:tcBorders>
              <w:top w:val="nil"/>
              <w:left w:val="nil"/>
              <w:bottom w:val="single" w:sz="4" w:space="0" w:color="auto"/>
              <w:right w:val="single" w:sz="4" w:space="0" w:color="auto"/>
            </w:tcBorders>
            <w:shd w:val="clear" w:color="000000" w:fill="C4D79B"/>
            <w:noWrap/>
            <w:vAlign w:val="center"/>
          </w:tcPr>
          <w:p w14:paraId="431FF231"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79</w:t>
            </w:r>
          </w:p>
        </w:tc>
        <w:tc>
          <w:tcPr>
            <w:tcW w:w="850" w:type="dxa"/>
            <w:tcBorders>
              <w:top w:val="nil"/>
              <w:left w:val="nil"/>
              <w:bottom w:val="single" w:sz="4" w:space="0" w:color="auto"/>
              <w:right w:val="single" w:sz="4" w:space="0" w:color="auto"/>
            </w:tcBorders>
            <w:shd w:val="clear" w:color="000000" w:fill="C4D79B"/>
            <w:noWrap/>
            <w:vAlign w:val="center"/>
          </w:tcPr>
          <w:p w14:paraId="3B9B0EFA"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79</w:t>
            </w:r>
          </w:p>
        </w:tc>
        <w:tc>
          <w:tcPr>
            <w:tcW w:w="1135" w:type="dxa"/>
            <w:tcBorders>
              <w:top w:val="nil"/>
              <w:left w:val="nil"/>
              <w:bottom w:val="single" w:sz="4" w:space="0" w:color="auto"/>
              <w:right w:val="single" w:sz="4" w:space="0" w:color="auto"/>
            </w:tcBorders>
            <w:shd w:val="clear" w:color="000000" w:fill="C4D79B"/>
            <w:noWrap/>
            <w:vAlign w:val="center"/>
          </w:tcPr>
          <w:p w14:paraId="469A6A1B"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237</w:t>
            </w:r>
          </w:p>
        </w:tc>
        <w:tc>
          <w:tcPr>
            <w:tcW w:w="1276" w:type="dxa"/>
            <w:tcBorders>
              <w:top w:val="nil"/>
              <w:left w:val="nil"/>
              <w:bottom w:val="single" w:sz="4" w:space="0" w:color="auto"/>
              <w:right w:val="single" w:sz="4" w:space="0" w:color="auto"/>
            </w:tcBorders>
            <w:shd w:val="clear" w:color="000000" w:fill="C4D79B"/>
          </w:tcPr>
          <w:p w14:paraId="2CE56D1E" w14:textId="77777777" w:rsidR="009279AD" w:rsidRPr="004179B8" w:rsidRDefault="009279AD" w:rsidP="009279AD">
            <w:pPr>
              <w:spacing w:after="0" w:line="240" w:lineRule="auto"/>
              <w:jc w:val="right"/>
              <w:rPr>
                <w:rFonts w:eastAsia="Times New Roman" w:cstheme="minorHAnsi"/>
                <w:b/>
                <w:bCs/>
                <w:noProof/>
                <w:color w:val="000000"/>
                <w:sz w:val="20"/>
                <w:szCs w:val="20"/>
                <w:lang w:val="fr-FR" w:eastAsia="en-GB"/>
              </w:rPr>
            </w:pPr>
            <w:r w:rsidRPr="004179B8">
              <w:rPr>
                <w:rFonts w:eastAsia="Times New Roman" w:cstheme="minorHAnsi"/>
                <w:b/>
                <w:bCs/>
                <w:noProof/>
                <w:color w:val="000000"/>
                <w:sz w:val="20"/>
                <w:szCs w:val="20"/>
                <w:lang w:val="fr-FR" w:eastAsia="en-GB"/>
              </w:rPr>
              <w:t>(90)</w:t>
            </w:r>
          </w:p>
        </w:tc>
      </w:tr>
      <w:tr w:rsidR="009279AD" w:rsidRPr="004179B8" w14:paraId="6665F6A1"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866AE3A" w14:textId="33C1C5D4"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rFonts w:eastAsia="Times New Roman" w:cs="Arial"/>
                <w:noProof/>
                <w:sz w:val="20"/>
                <w:szCs w:val="20"/>
                <w:lang w:val="fr-FR" w:eastAsia="en-GB"/>
              </w:rPr>
              <w:t>Provisions pour le personnel</w:t>
            </w:r>
          </w:p>
        </w:tc>
        <w:tc>
          <w:tcPr>
            <w:tcW w:w="850" w:type="dxa"/>
            <w:tcBorders>
              <w:top w:val="nil"/>
              <w:left w:val="nil"/>
              <w:bottom w:val="single" w:sz="4" w:space="0" w:color="auto"/>
              <w:right w:val="single" w:sz="4" w:space="0" w:color="auto"/>
            </w:tcBorders>
            <w:shd w:val="clear" w:color="auto" w:fill="auto"/>
            <w:noWrap/>
            <w:vAlign w:val="center"/>
          </w:tcPr>
          <w:p w14:paraId="1636D0CC"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20</w:t>
            </w:r>
          </w:p>
        </w:tc>
        <w:tc>
          <w:tcPr>
            <w:tcW w:w="851" w:type="dxa"/>
            <w:tcBorders>
              <w:top w:val="nil"/>
              <w:left w:val="nil"/>
              <w:bottom w:val="single" w:sz="4" w:space="0" w:color="auto"/>
              <w:right w:val="single" w:sz="4" w:space="0" w:color="auto"/>
            </w:tcBorders>
            <w:shd w:val="clear" w:color="auto" w:fill="auto"/>
            <w:noWrap/>
            <w:vAlign w:val="center"/>
          </w:tcPr>
          <w:p w14:paraId="4FF4E0F9"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20</w:t>
            </w:r>
          </w:p>
        </w:tc>
        <w:tc>
          <w:tcPr>
            <w:tcW w:w="850" w:type="dxa"/>
            <w:tcBorders>
              <w:top w:val="nil"/>
              <w:left w:val="nil"/>
              <w:bottom w:val="single" w:sz="4" w:space="0" w:color="auto"/>
              <w:right w:val="single" w:sz="4" w:space="0" w:color="auto"/>
            </w:tcBorders>
            <w:shd w:val="clear" w:color="auto" w:fill="auto"/>
            <w:noWrap/>
            <w:vAlign w:val="center"/>
          </w:tcPr>
          <w:p w14:paraId="00679983"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20</w:t>
            </w:r>
          </w:p>
        </w:tc>
        <w:tc>
          <w:tcPr>
            <w:tcW w:w="1135" w:type="dxa"/>
            <w:tcBorders>
              <w:top w:val="nil"/>
              <w:left w:val="nil"/>
              <w:bottom w:val="single" w:sz="4" w:space="0" w:color="auto"/>
              <w:right w:val="single" w:sz="4" w:space="0" w:color="auto"/>
            </w:tcBorders>
            <w:shd w:val="clear" w:color="auto" w:fill="auto"/>
            <w:noWrap/>
            <w:vAlign w:val="center"/>
          </w:tcPr>
          <w:p w14:paraId="2178DD08"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60</w:t>
            </w:r>
          </w:p>
        </w:tc>
        <w:tc>
          <w:tcPr>
            <w:tcW w:w="1276" w:type="dxa"/>
            <w:tcBorders>
              <w:top w:val="nil"/>
              <w:left w:val="nil"/>
              <w:bottom w:val="single" w:sz="4" w:space="0" w:color="auto"/>
              <w:right w:val="single" w:sz="4" w:space="0" w:color="auto"/>
            </w:tcBorders>
          </w:tcPr>
          <w:p w14:paraId="34C4365A"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289B44DD" w14:textId="77777777" w:rsidTr="00CD1C73">
        <w:tc>
          <w:tcPr>
            <w:tcW w:w="4820" w:type="dxa"/>
            <w:tcBorders>
              <w:top w:val="nil"/>
              <w:left w:val="single" w:sz="4" w:space="0" w:color="auto"/>
              <w:bottom w:val="single" w:sz="4" w:space="0" w:color="auto"/>
              <w:right w:val="single" w:sz="4" w:space="0" w:color="auto"/>
            </w:tcBorders>
            <w:shd w:val="clear" w:color="auto" w:fill="auto"/>
            <w:noWrap/>
            <w:vAlign w:val="center"/>
          </w:tcPr>
          <w:p w14:paraId="70B379D1" w14:textId="45F5DB88"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rFonts w:eastAsia="Times New Roman" w:cs="Arial"/>
                <w:noProof/>
                <w:sz w:val="20"/>
                <w:szCs w:val="20"/>
                <w:lang w:val="fr-FR" w:eastAsia="en-GB"/>
              </w:rPr>
              <w:t>Provisions pour contributions impayées</w:t>
            </w:r>
          </w:p>
        </w:tc>
        <w:tc>
          <w:tcPr>
            <w:tcW w:w="850" w:type="dxa"/>
            <w:tcBorders>
              <w:top w:val="nil"/>
              <w:left w:val="nil"/>
              <w:bottom w:val="single" w:sz="4" w:space="0" w:color="auto"/>
              <w:right w:val="single" w:sz="4" w:space="0" w:color="auto"/>
            </w:tcBorders>
            <w:shd w:val="clear" w:color="auto" w:fill="auto"/>
            <w:noWrap/>
            <w:vAlign w:val="center"/>
          </w:tcPr>
          <w:p w14:paraId="30554661"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30</w:t>
            </w:r>
          </w:p>
        </w:tc>
        <w:tc>
          <w:tcPr>
            <w:tcW w:w="851" w:type="dxa"/>
            <w:tcBorders>
              <w:top w:val="nil"/>
              <w:left w:val="nil"/>
              <w:bottom w:val="single" w:sz="4" w:space="0" w:color="auto"/>
              <w:right w:val="single" w:sz="4" w:space="0" w:color="auto"/>
            </w:tcBorders>
            <w:shd w:val="clear" w:color="auto" w:fill="auto"/>
            <w:noWrap/>
            <w:vAlign w:val="center"/>
          </w:tcPr>
          <w:p w14:paraId="5279D00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30</w:t>
            </w:r>
          </w:p>
        </w:tc>
        <w:tc>
          <w:tcPr>
            <w:tcW w:w="850" w:type="dxa"/>
            <w:tcBorders>
              <w:top w:val="nil"/>
              <w:left w:val="nil"/>
              <w:bottom w:val="single" w:sz="4" w:space="0" w:color="auto"/>
              <w:right w:val="single" w:sz="4" w:space="0" w:color="auto"/>
            </w:tcBorders>
            <w:shd w:val="clear" w:color="auto" w:fill="auto"/>
            <w:noWrap/>
            <w:vAlign w:val="center"/>
          </w:tcPr>
          <w:p w14:paraId="262E7FC0"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30</w:t>
            </w:r>
          </w:p>
        </w:tc>
        <w:tc>
          <w:tcPr>
            <w:tcW w:w="1135" w:type="dxa"/>
            <w:tcBorders>
              <w:top w:val="nil"/>
              <w:left w:val="nil"/>
              <w:bottom w:val="single" w:sz="4" w:space="0" w:color="auto"/>
              <w:right w:val="single" w:sz="4" w:space="0" w:color="auto"/>
            </w:tcBorders>
            <w:shd w:val="clear" w:color="auto" w:fill="auto"/>
            <w:noWrap/>
            <w:vAlign w:val="center"/>
          </w:tcPr>
          <w:p w14:paraId="60E7AF1B"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90</w:t>
            </w:r>
          </w:p>
        </w:tc>
        <w:tc>
          <w:tcPr>
            <w:tcW w:w="1276" w:type="dxa"/>
            <w:tcBorders>
              <w:top w:val="nil"/>
              <w:left w:val="nil"/>
              <w:bottom w:val="single" w:sz="4" w:space="0" w:color="auto"/>
              <w:right w:val="single" w:sz="4" w:space="0" w:color="auto"/>
            </w:tcBorders>
          </w:tcPr>
          <w:p w14:paraId="33358E27"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0</w:t>
            </w:r>
          </w:p>
        </w:tc>
      </w:tr>
      <w:tr w:rsidR="009279AD" w:rsidRPr="004179B8" w14:paraId="1C5354CD" w14:textId="77777777" w:rsidTr="00CD1C73">
        <w:tc>
          <w:tcPr>
            <w:tcW w:w="4820" w:type="dxa"/>
            <w:tcBorders>
              <w:top w:val="single" w:sz="4" w:space="0" w:color="auto"/>
              <w:left w:val="single" w:sz="4" w:space="0" w:color="auto"/>
              <w:bottom w:val="nil"/>
              <w:right w:val="single" w:sz="4" w:space="0" w:color="auto"/>
            </w:tcBorders>
            <w:shd w:val="clear" w:color="auto" w:fill="auto"/>
            <w:noWrap/>
            <w:vAlign w:val="center"/>
          </w:tcPr>
          <w:p w14:paraId="67AD8BD4" w14:textId="4380A333" w:rsidR="009279AD" w:rsidRPr="004179B8" w:rsidRDefault="009279AD" w:rsidP="009279AD">
            <w:pPr>
              <w:spacing w:after="0" w:line="240" w:lineRule="auto"/>
              <w:rPr>
                <w:rFonts w:eastAsia="Times New Roman" w:cstheme="minorHAnsi"/>
                <w:noProof/>
                <w:sz w:val="20"/>
                <w:szCs w:val="20"/>
                <w:highlight w:val="yellow"/>
                <w:lang w:val="fr-FR" w:eastAsia="en-GB"/>
              </w:rPr>
            </w:pPr>
            <w:r w:rsidRPr="004179B8">
              <w:rPr>
                <w:rFonts w:eastAsia="Times New Roman" w:cs="Arial"/>
                <w:noProof/>
                <w:sz w:val="20"/>
                <w:szCs w:val="20"/>
                <w:lang w:val="fr-FR" w:eastAsia="en-GB"/>
              </w:rPr>
              <w:t>Services juridiques</w:t>
            </w:r>
          </w:p>
        </w:tc>
        <w:tc>
          <w:tcPr>
            <w:tcW w:w="850" w:type="dxa"/>
            <w:tcBorders>
              <w:top w:val="nil"/>
              <w:left w:val="nil"/>
              <w:bottom w:val="single" w:sz="4" w:space="0" w:color="auto"/>
              <w:right w:val="single" w:sz="4" w:space="0" w:color="auto"/>
            </w:tcBorders>
            <w:shd w:val="clear" w:color="auto" w:fill="auto"/>
            <w:noWrap/>
            <w:vAlign w:val="center"/>
          </w:tcPr>
          <w:p w14:paraId="07DA310A"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29</w:t>
            </w:r>
          </w:p>
        </w:tc>
        <w:tc>
          <w:tcPr>
            <w:tcW w:w="851" w:type="dxa"/>
            <w:tcBorders>
              <w:top w:val="nil"/>
              <w:left w:val="nil"/>
              <w:bottom w:val="single" w:sz="4" w:space="0" w:color="auto"/>
              <w:right w:val="single" w:sz="4" w:space="0" w:color="auto"/>
            </w:tcBorders>
            <w:shd w:val="clear" w:color="auto" w:fill="auto"/>
            <w:noWrap/>
            <w:vAlign w:val="center"/>
          </w:tcPr>
          <w:p w14:paraId="58980B1F"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29</w:t>
            </w:r>
          </w:p>
        </w:tc>
        <w:tc>
          <w:tcPr>
            <w:tcW w:w="850" w:type="dxa"/>
            <w:tcBorders>
              <w:top w:val="single" w:sz="4" w:space="0" w:color="auto"/>
              <w:left w:val="nil"/>
              <w:bottom w:val="nil"/>
              <w:right w:val="single" w:sz="4" w:space="0" w:color="auto"/>
            </w:tcBorders>
            <w:shd w:val="clear" w:color="auto" w:fill="auto"/>
            <w:noWrap/>
            <w:vAlign w:val="center"/>
          </w:tcPr>
          <w:p w14:paraId="5BEF90D5" w14:textId="77777777" w:rsidR="009279AD" w:rsidRPr="004179B8" w:rsidRDefault="009279AD" w:rsidP="009279AD">
            <w:pPr>
              <w:spacing w:after="0" w:line="240" w:lineRule="auto"/>
              <w:jc w:val="right"/>
              <w:rPr>
                <w:rFonts w:eastAsia="Times New Roman" w:cstheme="minorHAnsi"/>
                <w:noProof/>
                <w:color w:val="000000"/>
                <w:sz w:val="20"/>
                <w:szCs w:val="20"/>
                <w:lang w:val="fr-FR" w:eastAsia="en-GB"/>
              </w:rPr>
            </w:pPr>
            <w:r w:rsidRPr="004179B8">
              <w:rPr>
                <w:rFonts w:eastAsia="Times New Roman" w:cstheme="minorHAnsi"/>
                <w:noProof/>
                <w:color w:val="000000"/>
                <w:sz w:val="20"/>
                <w:szCs w:val="20"/>
                <w:lang w:val="fr-FR" w:eastAsia="en-GB"/>
              </w:rPr>
              <w:t>29</w:t>
            </w:r>
          </w:p>
        </w:tc>
        <w:tc>
          <w:tcPr>
            <w:tcW w:w="1135" w:type="dxa"/>
            <w:tcBorders>
              <w:top w:val="nil"/>
              <w:left w:val="nil"/>
              <w:bottom w:val="single" w:sz="4" w:space="0" w:color="auto"/>
              <w:right w:val="single" w:sz="4" w:space="0" w:color="auto"/>
            </w:tcBorders>
            <w:shd w:val="clear" w:color="auto" w:fill="auto"/>
            <w:noWrap/>
            <w:vAlign w:val="center"/>
          </w:tcPr>
          <w:p w14:paraId="3D1E03B2" w14:textId="77777777" w:rsidR="009279AD" w:rsidRPr="004179B8" w:rsidRDefault="009279AD" w:rsidP="009279AD">
            <w:pPr>
              <w:spacing w:after="0" w:line="240" w:lineRule="auto"/>
              <w:jc w:val="right"/>
              <w:rPr>
                <w:rFonts w:eastAsia="Times New Roman" w:cstheme="minorHAnsi"/>
                <w:noProof/>
                <w:sz w:val="20"/>
                <w:szCs w:val="20"/>
                <w:lang w:val="fr-FR" w:eastAsia="en-GB"/>
              </w:rPr>
            </w:pPr>
          </w:p>
          <w:p w14:paraId="10941CCA" w14:textId="7C2F495A"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87</w:t>
            </w:r>
          </w:p>
        </w:tc>
        <w:tc>
          <w:tcPr>
            <w:tcW w:w="1276" w:type="dxa"/>
            <w:tcBorders>
              <w:top w:val="nil"/>
              <w:left w:val="nil"/>
              <w:bottom w:val="single" w:sz="4" w:space="0" w:color="auto"/>
              <w:right w:val="single" w:sz="4" w:space="0" w:color="auto"/>
            </w:tcBorders>
          </w:tcPr>
          <w:p w14:paraId="1D2129F5" w14:textId="77777777" w:rsidR="009279AD" w:rsidRPr="004179B8" w:rsidRDefault="009279AD" w:rsidP="009279AD">
            <w:pPr>
              <w:spacing w:after="0" w:line="240" w:lineRule="auto"/>
              <w:jc w:val="right"/>
              <w:rPr>
                <w:rFonts w:eastAsia="Times New Roman" w:cstheme="minorHAnsi"/>
                <w:noProof/>
                <w:sz w:val="20"/>
                <w:szCs w:val="20"/>
                <w:lang w:val="fr-FR" w:eastAsia="en-GB"/>
              </w:rPr>
            </w:pPr>
            <w:r w:rsidRPr="004179B8">
              <w:rPr>
                <w:rFonts w:eastAsia="Times New Roman" w:cstheme="minorHAnsi"/>
                <w:noProof/>
                <w:sz w:val="20"/>
                <w:szCs w:val="20"/>
                <w:lang w:val="fr-FR" w:eastAsia="en-GB"/>
              </w:rPr>
              <w:t>(90)</w:t>
            </w:r>
          </w:p>
        </w:tc>
      </w:tr>
      <w:tr w:rsidR="009279AD" w:rsidRPr="004179B8" w14:paraId="24259D0A" w14:textId="77777777" w:rsidTr="00CD1C73">
        <w:tc>
          <w:tcPr>
            <w:tcW w:w="4820"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43E90A2C" w14:textId="1CC95F97" w:rsidR="009279AD" w:rsidRPr="004179B8" w:rsidRDefault="009279AD" w:rsidP="009279AD">
            <w:pPr>
              <w:spacing w:after="0" w:line="240" w:lineRule="auto"/>
              <w:rPr>
                <w:rFonts w:eastAsia="Times New Roman" w:cstheme="minorHAnsi"/>
                <w:b/>
                <w:bCs/>
                <w:noProof/>
                <w:color w:val="1F497D"/>
                <w:sz w:val="20"/>
                <w:szCs w:val="20"/>
                <w:highlight w:val="yellow"/>
                <w:lang w:val="fr-FR" w:eastAsia="en-GB"/>
              </w:rPr>
            </w:pPr>
            <w:r w:rsidRPr="004179B8">
              <w:rPr>
                <w:rFonts w:eastAsia="Times New Roman" w:cs="Arial"/>
                <w:b/>
                <w:bCs/>
                <w:noProof/>
                <w:color w:val="1F497D"/>
                <w:sz w:val="20"/>
                <w:szCs w:val="20"/>
                <w:lang w:val="fr-FR" w:eastAsia="en-GB"/>
              </w:rPr>
              <w:t>MONTANT TOTAL DES DÉPENSES</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E3821AF" w14:textId="57DAFD47"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5081</w:t>
            </w:r>
          </w:p>
        </w:tc>
        <w:tc>
          <w:tcPr>
            <w:tcW w:w="851" w:type="dxa"/>
            <w:tcBorders>
              <w:top w:val="single" w:sz="4" w:space="0" w:color="auto"/>
              <w:left w:val="nil"/>
              <w:bottom w:val="single" w:sz="4" w:space="0" w:color="auto"/>
              <w:right w:val="single" w:sz="4" w:space="0" w:color="auto"/>
            </w:tcBorders>
            <w:shd w:val="clear" w:color="000000" w:fill="C4D79B"/>
            <w:noWrap/>
            <w:vAlign w:val="center"/>
          </w:tcPr>
          <w:p w14:paraId="2A711F67" w14:textId="07337459"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5081</w:t>
            </w:r>
          </w:p>
        </w:tc>
        <w:tc>
          <w:tcPr>
            <w:tcW w:w="850" w:type="dxa"/>
            <w:tcBorders>
              <w:top w:val="single" w:sz="4" w:space="0" w:color="auto"/>
              <w:left w:val="nil"/>
              <w:bottom w:val="single" w:sz="4" w:space="0" w:color="auto"/>
              <w:right w:val="single" w:sz="4" w:space="0" w:color="auto"/>
            </w:tcBorders>
            <w:shd w:val="clear" w:color="000000" w:fill="C4D79B"/>
            <w:noWrap/>
            <w:vAlign w:val="center"/>
          </w:tcPr>
          <w:p w14:paraId="50CE6A50" w14:textId="5C032EDB"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5081</w:t>
            </w:r>
          </w:p>
        </w:tc>
        <w:tc>
          <w:tcPr>
            <w:tcW w:w="1135" w:type="dxa"/>
            <w:tcBorders>
              <w:top w:val="nil"/>
              <w:left w:val="nil"/>
              <w:bottom w:val="single" w:sz="4" w:space="0" w:color="auto"/>
              <w:right w:val="single" w:sz="4" w:space="0" w:color="auto"/>
            </w:tcBorders>
            <w:shd w:val="clear" w:color="000000" w:fill="C4D79B"/>
            <w:noWrap/>
            <w:vAlign w:val="center"/>
          </w:tcPr>
          <w:p w14:paraId="19D16C3C" w14:textId="2D7021DF"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15 243</w:t>
            </w:r>
          </w:p>
        </w:tc>
        <w:tc>
          <w:tcPr>
            <w:tcW w:w="1276" w:type="dxa"/>
            <w:tcBorders>
              <w:top w:val="nil"/>
              <w:left w:val="nil"/>
              <w:bottom w:val="single" w:sz="4" w:space="0" w:color="auto"/>
              <w:right w:val="single" w:sz="4" w:space="0" w:color="auto"/>
            </w:tcBorders>
            <w:shd w:val="clear" w:color="000000" w:fill="C4D79B"/>
          </w:tcPr>
          <w:p w14:paraId="1232063A" w14:textId="77777777" w:rsidR="009279AD" w:rsidRPr="004179B8" w:rsidRDefault="009279AD" w:rsidP="009279AD">
            <w:pPr>
              <w:spacing w:after="0" w:line="240" w:lineRule="auto"/>
              <w:jc w:val="right"/>
              <w:rPr>
                <w:rFonts w:eastAsia="Times New Roman" w:cstheme="minorHAnsi"/>
                <w:b/>
                <w:bCs/>
                <w:noProof/>
                <w:color w:val="000000"/>
                <w:lang w:val="fr-FR" w:eastAsia="en-GB"/>
              </w:rPr>
            </w:pPr>
            <w:r w:rsidRPr="004179B8">
              <w:rPr>
                <w:rFonts w:eastAsia="Times New Roman" w:cstheme="minorHAnsi"/>
                <w:b/>
                <w:bCs/>
                <w:noProof/>
                <w:color w:val="000000"/>
                <w:lang w:val="fr-FR" w:eastAsia="en-GB"/>
              </w:rPr>
              <w:t>0</w:t>
            </w:r>
          </w:p>
        </w:tc>
      </w:tr>
    </w:tbl>
    <w:p w14:paraId="4D2E155F" w14:textId="77777777" w:rsidR="00DB10F0" w:rsidRPr="004179B8" w:rsidRDefault="00DB10F0" w:rsidP="00246AB9">
      <w:pPr>
        <w:spacing w:after="0" w:line="240" w:lineRule="auto"/>
        <w:rPr>
          <w:b/>
          <w:bCs/>
          <w:noProof/>
          <w:sz w:val="24"/>
          <w:szCs w:val="24"/>
          <w:lang w:val="fr-FR"/>
        </w:rPr>
      </w:pPr>
    </w:p>
    <w:p w14:paraId="46432292" w14:textId="77777777" w:rsidR="00DB10F0" w:rsidRPr="004179B8" w:rsidRDefault="00DB10F0">
      <w:pPr>
        <w:rPr>
          <w:b/>
          <w:bCs/>
          <w:noProof/>
          <w:sz w:val="24"/>
          <w:szCs w:val="24"/>
          <w:lang w:val="fr-FR"/>
        </w:rPr>
      </w:pPr>
      <w:r w:rsidRPr="004179B8">
        <w:rPr>
          <w:b/>
          <w:bCs/>
          <w:noProof/>
          <w:sz w:val="24"/>
          <w:szCs w:val="24"/>
          <w:lang w:val="fr-FR"/>
        </w:rPr>
        <w:br w:type="page"/>
      </w:r>
    </w:p>
    <w:p w14:paraId="4168F76F" w14:textId="7BF6CDD3" w:rsidR="00246AB9" w:rsidRPr="004179B8" w:rsidRDefault="00246AB9" w:rsidP="00246AB9">
      <w:pPr>
        <w:spacing w:after="0" w:line="240" w:lineRule="auto"/>
        <w:rPr>
          <w:b/>
          <w:bCs/>
          <w:noProof/>
          <w:sz w:val="24"/>
          <w:szCs w:val="24"/>
          <w:lang w:val="fr-FR"/>
        </w:rPr>
      </w:pPr>
      <w:r w:rsidRPr="004179B8">
        <w:rPr>
          <w:b/>
          <w:bCs/>
          <w:noProof/>
          <w:sz w:val="24"/>
          <w:szCs w:val="24"/>
          <w:lang w:val="fr-FR"/>
        </w:rPr>
        <w:lastRenderedPageBreak/>
        <w:t>Annex</w:t>
      </w:r>
      <w:r w:rsidR="0018494A" w:rsidRPr="004179B8">
        <w:rPr>
          <w:b/>
          <w:bCs/>
          <w:noProof/>
          <w:sz w:val="24"/>
          <w:szCs w:val="24"/>
          <w:lang w:val="fr-FR"/>
        </w:rPr>
        <w:t>e</w:t>
      </w:r>
      <w:r w:rsidRPr="004179B8">
        <w:rPr>
          <w:b/>
          <w:bCs/>
          <w:noProof/>
          <w:sz w:val="24"/>
          <w:szCs w:val="24"/>
          <w:lang w:val="fr-FR"/>
        </w:rPr>
        <w:t xml:space="preserve"> 2</w:t>
      </w:r>
    </w:p>
    <w:p w14:paraId="0CC4A11C" w14:textId="5C26D0C1" w:rsidR="00246AB9" w:rsidRPr="004179B8" w:rsidRDefault="00DB10F0" w:rsidP="00246AB9">
      <w:pPr>
        <w:spacing w:after="0" w:line="240" w:lineRule="auto"/>
        <w:rPr>
          <w:b/>
          <w:bCs/>
          <w:noProof/>
          <w:sz w:val="24"/>
          <w:szCs w:val="24"/>
          <w:lang w:val="fr-FR"/>
        </w:rPr>
      </w:pPr>
      <w:r w:rsidRPr="004179B8">
        <w:rPr>
          <w:b/>
          <w:bCs/>
          <w:noProof/>
          <w:sz w:val="24"/>
          <w:szCs w:val="24"/>
          <w:lang w:val="fr-FR"/>
        </w:rPr>
        <w:t>Demande de fonds excédentaires liés à l</w:t>
      </w:r>
      <w:r w:rsidR="00EE0531">
        <w:rPr>
          <w:b/>
          <w:bCs/>
          <w:noProof/>
          <w:sz w:val="24"/>
          <w:szCs w:val="24"/>
          <w:lang w:val="fr-FR"/>
        </w:rPr>
        <w:t>’</w:t>
      </w:r>
      <w:r w:rsidRPr="004179B8">
        <w:rPr>
          <w:b/>
          <w:bCs/>
          <w:noProof/>
          <w:sz w:val="24"/>
          <w:szCs w:val="24"/>
          <w:lang w:val="fr-FR"/>
        </w:rPr>
        <w:t>observation de la Terre (en anglais uniquement)</w:t>
      </w:r>
    </w:p>
    <w:p w14:paraId="13FD4787" w14:textId="77777777" w:rsidR="00246AB9" w:rsidRPr="004179B8" w:rsidRDefault="00246AB9" w:rsidP="00246AB9">
      <w:pPr>
        <w:rPr>
          <w:noProof/>
          <w:lang w:val="fr-FR"/>
        </w:rPr>
      </w:pPr>
    </w:p>
    <w:p w14:paraId="6E656DA9" w14:textId="0972CBB3" w:rsidR="00246AB9" w:rsidRPr="004E239A" w:rsidRDefault="00246AB9" w:rsidP="00246AB9">
      <w:pPr>
        <w:rPr>
          <w:noProof/>
        </w:rPr>
      </w:pPr>
      <w:r w:rsidRPr="004E239A">
        <w:rPr>
          <w:noProof/>
        </w:rPr>
        <w:t>Made by the Chair of the Scientific and Technical Review Panel (STRP) and the Secretariat</w:t>
      </w:r>
    </w:p>
    <w:p w14:paraId="442CD8F7" w14:textId="77777777" w:rsidR="00246AB9" w:rsidRPr="004E239A" w:rsidRDefault="00246AB9" w:rsidP="00246AB9">
      <w:pPr>
        <w:rPr>
          <w:b/>
          <w:bCs/>
          <w:noProof/>
        </w:rPr>
      </w:pPr>
    </w:p>
    <w:p w14:paraId="078C5D37" w14:textId="77777777" w:rsidR="00246AB9" w:rsidRPr="004E239A" w:rsidRDefault="00246AB9" w:rsidP="00246AB9">
      <w:pPr>
        <w:rPr>
          <w:noProof/>
        </w:rPr>
      </w:pPr>
      <w:r w:rsidRPr="004E239A">
        <w:rPr>
          <w:noProof/>
        </w:rPr>
        <w:t xml:space="preserve">Resolution XIII.10, in paragraph 23, requests the Secretariat, subject to the availability of resources, to investigate the options and associated costs for working with earth observation organizations, including the Group on Earth Observations (GEO), to put earth observation (EO) data and monitoring tools at the disposal of Contracting Parties for national wetland inventories (NWI) or monitoring of changes to Wetlands of International Importance. SC57 identified the development of national wetland inventories as an urgent challenge. </w:t>
      </w:r>
    </w:p>
    <w:p w14:paraId="2EE0C685" w14:textId="77777777" w:rsidR="00246AB9" w:rsidRPr="004E239A" w:rsidRDefault="00246AB9" w:rsidP="00246AB9">
      <w:pPr>
        <w:rPr>
          <w:noProof/>
        </w:rPr>
      </w:pPr>
      <w:r w:rsidRPr="004E239A">
        <w:rPr>
          <w:noProof/>
        </w:rPr>
        <w:t xml:space="preserve">Subsequently, the Secretariat has provided reports to the Standing Committee on progress made in development of national wetland inventories, best practices, and efforts made by Secretariat in supporting Contracting Parties in development and use of national wetland inventories, including the use of Earth Observation in this context. This is presented in SC57.8, SC58 Doc.9, SC59.9, SC62 Doc.9, SC63 Doc.10 and SC64 Doc. 10. </w:t>
      </w:r>
    </w:p>
    <w:p w14:paraId="002CB75C" w14:textId="77777777" w:rsidR="00246AB9" w:rsidRPr="004E239A" w:rsidRDefault="00246AB9" w:rsidP="00246AB9">
      <w:pPr>
        <w:rPr>
          <w:noProof/>
        </w:rPr>
      </w:pPr>
      <w:r w:rsidRPr="004E239A">
        <w:rPr>
          <w:noProof/>
        </w:rPr>
        <w:t xml:space="preserve">A support mechanism for Contracting Parties on development of national wetland inventories was initially presented by the Secretariat in SC62 Doc.9 and further elaborated in SC63 Doc.10. The five areas of focus of this support mechanism encompass, inter alia, implementation support including institutional partnerships, and resource mobilization. It identifies the possibility to develop an initiative for implementation support drawing on models provided by existing GEO Flagships (e.g. the GEO Land Degradation Neutrality Flagship). </w:t>
      </w:r>
    </w:p>
    <w:p w14:paraId="4E82EC22" w14:textId="77777777" w:rsidR="00246AB9" w:rsidRPr="004E239A" w:rsidRDefault="00246AB9" w:rsidP="00246AB9">
      <w:pPr>
        <w:rPr>
          <w:noProof/>
        </w:rPr>
      </w:pPr>
      <w:r w:rsidRPr="004E239A">
        <w:rPr>
          <w:noProof/>
        </w:rPr>
        <w:t>Pursuant to Standing Committee Decision SC63-30, the STRP and the Secretariat organised a consultation on development of an initiative for earth observation in support of wetland inventory, assessment, monitoring and conservation. The consultation built on needs identified through in-depth interviews with Contracting Parties (presented in SC63 Inf.2) and implementation of activities under the NWI support mechanism, as well as semi-structured interviews conducted with Earth Observation experts. The consultation included organization of an Earth Observation Day held on 6 December 2024 in association with STRP27, bringing together Earth Observation experts, STRP members, observers and National Focal Points. The findings and recommendations of the consultation are made available to SC64 as an information document (</w:t>
      </w:r>
      <w:hyperlink r:id="rId8" w:history="1">
        <w:r w:rsidRPr="004E239A">
          <w:rPr>
            <w:rStyle w:val="Hyperlink"/>
            <w:noProof/>
          </w:rPr>
          <w:t>SC64 Inf.2</w:t>
        </w:r>
      </w:hyperlink>
      <w:r w:rsidRPr="004E239A">
        <w:rPr>
          <w:noProof/>
        </w:rPr>
        <w:t xml:space="preserve">). </w:t>
      </w:r>
    </w:p>
    <w:p w14:paraId="0FA9B889" w14:textId="02D71CC0" w:rsidR="00246AB9" w:rsidRPr="004E239A" w:rsidRDefault="00246AB9" w:rsidP="00246AB9">
      <w:pPr>
        <w:rPr>
          <w:noProof/>
        </w:rPr>
      </w:pPr>
      <w:r w:rsidRPr="004E239A">
        <w:rPr>
          <w:noProof/>
        </w:rPr>
        <w:t xml:space="preserve">The consultation, inter alia, recommended establishing a </w:t>
      </w:r>
      <w:r w:rsidR="00EE0531" w:rsidRPr="004E239A">
        <w:rPr>
          <w:noProof/>
        </w:rPr>
        <w:t>‘</w:t>
      </w:r>
      <w:r w:rsidRPr="004E239A">
        <w:rPr>
          <w:noProof/>
        </w:rPr>
        <w:t>GEO Wetlands</w:t>
      </w:r>
      <w:r w:rsidR="00EE0531" w:rsidRPr="004E239A">
        <w:rPr>
          <w:noProof/>
        </w:rPr>
        <w:t>’</w:t>
      </w:r>
      <w:r w:rsidRPr="004E239A">
        <w:rPr>
          <w:noProof/>
        </w:rPr>
        <w:t xml:space="preserve"> initiative, complementing and supporting the Convention</w:t>
      </w:r>
      <w:r w:rsidR="00EE0531" w:rsidRPr="004E239A">
        <w:rPr>
          <w:noProof/>
        </w:rPr>
        <w:t>’</w:t>
      </w:r>
      <w:r w:rsidRPr="004E239A">
        <w:rPr>
          <w:noProof/>
        </w:rPr>
        <w:t xml:space="preserve">s ongoing national wetland inventory support mechanism. This initiative would be developed and implemented in partnership with space agencies, earth observation organizations, International Organization Partners of the Convention, and the Group on Earth Observations (GEO). The report of the consultation identifies priority areas of work under the proposed initiative. The consultation further identified a need for start-up financial resources for development of the initiative, including to identify requirements and modalities for its longer-term operation. </w:t>
      </w:r>
    </w:p>
    <w:p w14:paraId="7D191C02" w14:textId="77777777" w:rsidR="00246AB9" w:rsidRPr="004E239A" w:rsidRDefault="00246AB9" w:rsidP="00246AB9">
      <w:pPr>
        <w:rPr>
          <w:noProof/>
        </w:rPr>
      </w:pPr>
      <w:r w:rsidRPr="004E239A">
        <w:rPr>
          <w:noProof/>
        </w:rPr>
        <w:t xml:space="preserve">To this end, allocation of CHF 40,000 of surplus funds is requested (in line with the funding requirement identified in SC63 Doc.10 and SC64 Doc.10, Table 1), in order to: </w:t>
      </w:r>
    </w:p>
    <w:p w14:paraId="47547A6D" w14:textId="77777777" w:rsidR="00246AB9" w:rsidRPr="004E239A" w:rsidRDefault="00246AB9" w:rsidP="00246AB9">
      <w:pPr>
        <w:pStyle w:val="ListParagraph"/>
        <w:numPr>
          <w:ilvl w:val="0"/>
          <w:numId w:val="8"/>
        </w:numPr>
        <w:rPr>
          <w:noProof/>
        </w:rPr>
      </w:pPr>
      <w:r w:rsidRPr="004E239A">
        <w:rPr>
          <w:noProof/>
        </w:rPr>
        <w:t xml:space="preserve">develop a funding proposal including detailed descriptions of products and services of the initiative, institutional and governance arrangements and envisaged operating costs; and a </w:t>
      </w:r>
      <w:r w:rsidRPr="004E239A">
        <w:rPr>
          <w:noProof/>
        </w:rPr>
        <w:lastRenderedPageBreak/>
        <w:t>resource mobilization strategy including identification of and engagement with potential donors (bilateral, multilateral as well as philanthropies and other donors);</w:t>
      </w:r>
    </w:p>
    <w:p w14:paraId="0EE991A0" w14:textId="77777777" w:rsidR="00246AB9" w:rsidRPr="004E239A" w:rsidRDefault="00246AB9" w:rsidP="00246AB9">
      <w:pPr>
        <w:pStyle w:val="ListParagraph"/>
        <w:numPr>
          <w:ilvl w:val="0"/>
          <w:numId w:val="8"/>
        </w:numPr>
        <w:rPr>
          <w:noProof/>
        </w:rPr>
      </w:pPr>
      <w:r w:rsidRPr="004E239A">
        <w:rPr>
          <w:noProof/>
        </w:rPr>
        <w:t>consult with and seek endorsement of and confirmation of participation in the initiative by space agencies, Earth Observation organizations and other relevant entities (note: ESA, JAXA and Wetlands International have already expressed interest based on their long-standing work in the Convention).</w:t>
      </w:r>
    </w:p>
    <w:p w14:paraId="31845B6D" w14:textId="77777777" w:rsidR="00246AB9" w:rsidRPr="004E239A" w:rsidRDefault="00246AB9" w:rsidP="00246AB9">
      <w:pPr>
        <w:rPr>
          <w:noProof/>
        </w:rPr>
      </w:pPr>
      <w:r w:rsidRPr="004E239A">
        <w:rPr>
          <w:noProof/>
        </w:rPr>
        <w:t>The requested funds would be used towards:</w:t>
      </w:r>
    </w:p>
    <w:p w14:paraId="3DB43632" w14:textId="77777777" w:rsidR="00246AB9" w:rsidRPr="004179B8" w:rsidRDefault="00246AB9" w:rsidP="00246AB9">
      <w:pPr>
        <w:pStyle w:val="ListParagraph"/>
        <w:numPr>
          <w:ilvl w:val="0"/>
          <w:numId w:val="8"/>
        </w:numPr>
        <w:rPr>
          <w:noProof/>
          <w:lang w:val="fr-FR"/>
        </w:rPr>
      </w:pPr>
      <w:r w:rsidRPr="004179B8">
        <w:rPr>
          <w:noProof/>
          <w:lang w:val="fr-FR"/>
        </w:rPr>
        <w:t xml:space="preserve">expert consultant(s); </w:t>
      </w:r>
    </w:p>
    <w:p w14:paraId="458FEE96" w14:textId="77777777" w:rsidR="00246AB9" w:rsidRPr="004E239A" w:rsidRDefault="00246AB9" w:rsidP="00246AB9">
      <w:pPr>
        <w:pStyle w:val="ListParagraph"/>
        <w:numPr>
          <w:ilvl w:val="0"/>
          <w:numId w:val="8"/>
        </w:numPr>
        <w:rPr>
          <w:noProof/>
        </w:rPr>
      </w:pPr>
      <w:r w:rsidRPr="004E239A">
        <w:rPr>
          <w:noProof/>
        </w:rPr>
        <w:t xml:space="preserve">organisation of workshops/meetings for consultation with donors and partners; and </w:t>
      </w:r>
    </w:p>
    <w:p w14:paraId="3DC0C2D7" w14:textId="77777777" w:rsidR="00246AB9" w:rsidRPr="004179B8" w:rsidRDefault="00246AB9" w:rsidP="00246AB9">
      <w:pPr>
        <w:pStyle w:val="ListParagraph"/>
        <w:numPr>
          <w:ilvl w:val="0"/>
          <w:numId w:val="8"/>
        </w:numPr>
        <w:rPr>
          <w:noProof/>
          <w:lang w:val="fr-FR"/>
        </w:rPr>
      </w:pPr>
      <w:r w:rsidRPr="004179B8">
        <w:rPr>
          <w:noProof/>
          <w:lang w:val="fr-FR"/>
        </w:rPr>
        <w:t>associated travel expenses.</w:t>
      </w:r>
    </w:p>
    <w:p w14:paraId="26FF7D7C" w14:textId="77777777" w:rsidR="00246AB9" w:rsidRPr="004E239A" w:rsidRDefault="00246AB9" w:rsidP="00246AB9">
      <w:pPr>
        <w:rPr>
          <w:noProof/>
        </w:rPr>
      </w:pPr>
      <w:r w:rsidRPr="004E239A">
        <w:rPr>
          <w:noProof/>
        </w:rPr>
        <w:t xml:space="preserve">Implementation would be led by the Secretariat, working closely with the STRP. The requested funds would be administered by the Secretariat, subcontracted as relevant. </w:t>
      </w:r>
    </w:p>
    <w:p w14:paraId="327DCD8C" w14:textId="52B92EA3" w:rsidR="00246AB9" w:rsidRPr="004E239A" w:rsidRDefault="00246AB9" w:rsidP="00246AB9">
      <w:pPr>
        <w:rPr>
          <w:noProof/>
        </w:rPr>
      </w:pPr>
      <w:r w:rsidRPr="004E239A">
        <w:rPr>
          <w:noProof/>
        </w:rPr>
        <w:t xml:space="preserve">The Secretariat will report on progress through reports on </w:t>
      </w:r>
      <w:r w:rsidR="00EE0531" w:rsidRPr="004E239A">
        <w:rPr>
          <w:noProof/>
        </w:rPr>
        <w:t>‘</w:t>
      </w:r>
      <w:r w:rsidRPr="004E239A">
        <w:rPr>
          <w:noProof/>
        </w:rPr>
        <w:t>Urgent challenges to the wise use of wetlands to receive enhanced attention: Update on wetland inventories</w:t>
      </w:r>
      <w:r w:rsidR="00EE0531" w:rsidRPr="004E239A">
        <w:rPr>
          <w:noProof/>
        </w:rPr>
        <w:t>’</w:t>
      </w:r>
      <w:r w:rsidRPr="004E239A">
        <w:rPr>
          <w:noProof/>
        </w:rPr>
        <w:t xml:space="preserve"> provided to the Standing Committee, with expenditure reporting provided to the Subgroup on Finance. </w:t>
      </w:r>
    </w:p>
    <w:p w14:paraId="1F4342FC" w14:textId="77777777" w:rsidR="00246AB9" w:rsidRPr="004E239A" w:rsidRDefault="00246AB9" w:rsidP="00246AB9">
      <w:pPr>
        <w:rPr>
          <w:noProof/>
        </w:rPr>
      </w:pPr>
    </w:p>
    <w:p w14:paraId="726D9031" w14:textId="77777777" w:rsidR="00246AB9" w:rsidRPr="004E239A" w:rsidRDefault="00246AB9" w:rsidP="00246AB9">
      <w:pPr>
        <w:rPr>
          <w:noProof/>
        </w:rPr>
      </w:pPr>
    </w:p>
    <w:p w14:paraId="5206446D" w14:textId="7D4B1E9C" w:rsidR="00CD1C73" w:rsidRPr="004E239A" w:rsidRDefault="00CD1C73" w:rsidP="00CD1C73">
      <w:pPr>
        <w:rPr>
          <w:rFonts w:cs="Arial"/>
          <w:b/>
          <w:noProof/>
        </w:rPr>
      </w:pPr>
    </w:p>
    <w:p w14:paraId="053CDD2E" w14:textId="77777777" w:rsidR="00CD1C73" w:rsidRPr="004E239A" w:rsidRDefault="00CD1C73" w:rsidP="00CD1C73">
      <w:pPr>
        <w:rPr>
          <w:rFonts w:cs="Arial"/>
          <w:b/>
          <w:noProof/>
        </w:rPr>
      </w:pPr>
    </w:p>
    <w:p w14:paraId="45E2399D" w14:textId="77777777" w:rsidR="00CD1C73" w:rsidRPr="004E239A" w:rsidRDefault="00CD1C73">
      <w:pPr>
        <w:rPr>
          <w:rFonts w:cs="Arial"/>
          <w:b/>
          <w:noProof/>
        </w:rPr>
      </w:pPr>
      <w:r w:rsidRPr="004E239A">
        <w:rPr>
          <w:rFonts w:cs="Arial"/>
          <w:b/>
          <w:noProof/>
        </w:rPr>
        <w:br w:type="page"/>
      </w:r>
    </w:p>
    <w:p w14:paraId="75EF0BA9" w14:textId="18920BE4" w:rsidR="006E3C3E" w:rsidRPr="004179B8" w:rsidRDefault="006E3C3E" w:rsidP="006E3C3E">
      <w:pPr>
        <w:spacing w:after="0" w:line="240" w:lineRule="auto"/>
        <w:rPr>
          <w:b/>
          <w:bCs/>
          <w:noProof/>
          <w:sz w:val="24"/>
          <w:szCs w:val="24"/>
          <w:lang w:val="fr-FR"/>
        </w:rPr>
      </w:pPr>
      <w:r w:rsidRPr="004179B8">
        <w:rPr>
          <w:b/>
          <w:bCs/>
          <w:noProof/>
          <w:sz w:val="24"/>
          <w:szCs w:val="24"/>
          <w:lang w:val="fr-FR"/>
        </w:rPr>
        <w:lastRenderedPageBreak/>
        <w:t>Annex</w:t>
      </w:r>
      <w:r w:rsidR="00DB10F0" w:rsidRPr="004179B8">
        <w:rPr>
          <w:b/>
          <w:bCs/>
          <w:noProof/>
          <w:sz w:val="24"/>
          <w:szCs w:val="24"/>
          <w:lang w:val="fr-FR"/>
        </w:rPr>
        <w:t>e</w:t>
      </w:r>
      <w:r w:rsidRPr="004179B8">
        <w:rPr>
          <w:b/>
          <w:bCs/>
          <w:noProof/>
          <w:sz w:val="24"/>
          <w:szCs w:val="24"/>
          <w:lang w:val="fr-FR"/>
        </w:rPr>
        <w:t xml:space="preserve"> 2</w:t>
      </w:r>
    </w:p>
    <w:p w14:paraId="6BD2E9AA" w14:textId="64110735" w:rsidR="00496A3B" w:rsidRPr="004179B8" w:rsidRDefault="00DB10F0" w:rsidP="00DB10F0">
      <w:pPr>
        <w:spacing w:after="0" w:line="240" w:lineRule="auto"/>
        <w:contextualSpacing/>
        <w:rPr>
          <w:rFonts w:cs="Calibri"/>
          <w:b/>
          <w:bCs/>
          <w:i/>
          <w:noProof/>
          <w:color w:val="000000" w:themeColor="text1"/>
          <w:lang w:val="fr-FR"/>
        </w:rPr>
      </w:pPr>
      <w:r w:rsidRPr="004179B8">
        <w:rPr>
          <w:b/>
          <w:bCs/>
          <w:noProof/>
          <w:sz w:val="24"/>
          <w:szCs w:val="24"/>
          <w:lang w:val="fr-FR"/>
        </w:rPr>
        <w:t>Demande de fonds excédentaires concernant le document SC64 Doc.20 (en anglais uniquement)</w:t>
      </w:r>
    </w:p>
    <w:p w14:paraId="46299324" w14:textId="77777777" w:rsidR="006E3C3E" w:rsidRPr="004179B8" w:rsidRDefault="006E3C3E" w:rsidP="00462ECE">
      <w:pPr>
        <w:spacing w:after="0" w:line="240" w:lineRule="auto"/>
        <w:ind w:left="425" w:hanging="425"/>
        <w:contextualSpacing/>
        <w:rPr>
          <w:rFonts w:cs="Calibri"/>
          <w:b/>
          <w:bCs/>
          <w:i/>
          <w:noProof/>
          <w:color w:val="000000" w:themeColor="text1"/>
          <w:lang w:val="fr-FR"/>
        </w:rPr>
      </w:pPr>
    </w:p>
    <w:p w14:paraId="1B8BF5E8" w14:textId="0854F53B" w:rsidR="006E3C3E" w:rsidRPr="004179B8" w:rsidRDefault="006E3C3E" w:rsidP="00462ECE">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drawing>
          <wp:inline distT="0" distB="0" distL="0" distR="0" wp14:anchorId="3E509E7E" wp14:editId="64AF81EB">
            <wp:extent cx="5603132" cy="8030295"/>
            <wp:effectExtent l="0" t="0" r="0" b="0"/>
            <wp:docPr id="1837475966" name="Picture 1" descr="A lett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75966" name="Picture 1" descr="A letter with text on it&#10;&#10;Description automatically generated"/>
                    <pic:cNvPicPr/>
                  </pic:nvPicPr>
                  <pic:blipFill>
                    <a:blip r:embed="rId9"/>
                    <a:stretch>
                      <a:fillRect/>
                    </a:stretch>
                  </pic:blipFill>
                  <pic:spPr>
                    <a:xfrm>
                      <a:off x="0" y="0"/>
                      <a:ext cx="5615604" cy="8048170"/>
                    </a:xfrm>
                    <a:prstGeom prst="rect">
                      <a:avLst/>
                    </a:prstGeom>
                  </pic:spPr>
                </pic:pic>
              </a:graphicData>
            </a:graphic>
          </wp:inline>
        </w:drawing>
      </w:r>
    </w:p>
    <w:p w14:paraId="4B85284E" w14:textId="1F32C3E3" w:rsidR="006E3C3E" w:rsidRPr="004179B8" w:rsidRDefault="006E3C3E" w:rsidP="00462ECE">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lastRenderedPageBreak/>
        <w:drawing>
          <wp:inline distT="0" distB="0" distL="0" distR="0" wp14:anchorId="799194DB" wp14:editId="66C4899A">
            <wp:extent cx="5933525" cy="8501974"/>
            <wp:effectExtent l="0" t="0" r="0" b="0"/>
            <wp:docPr id="1274572007"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2007" name="Picture 1" descr="A document with text on it&#10;&#10;Description automatically generated"/>
                    <pic:cNvPicPr/>
                  </pic:nvPicPr>
                  <pic:blipFill>
                    <a:blip r:embed="rId10"/>
                    <a:stretch>
                      <a:fillRect/>
                    </a:stretch>
                  </pic:blipFill>
                  <pic:spPr>
                    <a:xfrm>
                      <a:off x="0" y="0"/>
                      <a:ext cx="5940753" cy="8512331"/>
                    </a:xfrm>
                    <a:prstGeom prst="rect">
                      <a:avLst/>
                    </a:prstGeom>
                  </pic:spPr>
                </pic:pic>
              </a:graphicData>
            </a:graphic>
          </wp:inline>
        </w:drawing>
      </w:r>
    </w:p>
    <w:p w14:paraId="0EE3EE33" w14:textId="01BF3BEF" w:rsidR="006E3C3E" w:rsidRPr="004179B8" w:rsidRDefault="006E3C3E">
      <w:pPr>
        <w:rPr>
          <w:rFonts w:cs="Calibri"/>
          <w:b/>
          <w:bCs/>
          <w:i/>
          <w:noProof/>
          <w:color w:val="000000" w:themeColor="text1"/>
          <w:lang w:val="fr-FR"/>
        </w:rPr>
      </w:pPr>
      <w:r w:rsidRPr="004179B8">
        <w:rPr>
          <w:rFonts w:cs="Calibri"/>
          <w:b/>
          <w:bCs/>
          <w:i/>
          <w:noProof/>
          <w:color w:val="000000" w:themeColor="text1"/>
          <w:lang w:val="fr-FR"/>
        </w:rPr>
        <w:br w:type="page"/>
      </w:r>
    </w:p>
    <w:p w14:paraId="206AF15B" w14:textId="0618225D" w:rsidR="006E3C3E" w:rsidRPr="004179B8" w:rsidRDefault="006E3C3E" w:rsidP="00462ECE">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lastRenderedPageBreak/>
        <w:drawing>
          <wp:inline distT="0" distB="0" distL="0" distR="0" wp14:anchorId="66EB0E44" wp14:editId="73EC5949">
            <wp:extent cx="6032782" cy="8638162"/>
            <wp:effectExtent l="0" t="0" r="6350" b="0"/>
            <wp:docPr id="416219162"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19162" name="Picture 1" descr="A document with text and images&#10;&#10;Description automatically generated"/>
                    <pic:cNvPicPr/>
                  </pic:nvPicPr>
                  <pic:blipFill>
                    <a:blip r:embed="rId11"/>
                    <a:stretch>
                      <a:fillRect/>
                    </a:stretch>
                  </pic:blipFill>
                  <pic:spPr>
                    <a:xfrm>
                      <a:off x="0" y="0"/>
                      <a:ext cx="6042415" cy="8651956"/>
                    </a:xfrm>
                    <a:prstGeom prst="rect">
                      <a:avLst/>
                    </a:prstGeom>
                  </pic:spPr>
                </pic:pic>
              </a:graphicData>
            </a:graphic>
          </wp:inline>
        </w:drawing>
      </w:r>
    </w:p>
    <w:p w14:paraId="24920029" w14:textId="101CF3CC" w:rsidR="006E3C3E" w:rsidRPr="004179B8" w:rsidRDefault="006E3C3E">
      <w:pPr>
        <w:rPr>
          <w:rFonts w:cs="Calibri"/>
          <w:b/>
          <w:bCs/>
          <w:i/>
          <w:noProof/>
          <w:color w:val="000000" w:themeColor="text1"/>
          <w:lang w:val="fr-FR"/>
        </w:rPr>
      </w:pPr>
      <w:r w:rsidRPr="004179B8">
        <w:rPr>
          <w:rFonts w:cs="Calibri"/>
          <w:b/>
          <w:bCs/>
          <w:i/>
          <w:noProof/>
          <w:color w:val="000000" w:themeColor="text1"/>
          <w:lang w:val="fr-FR"/>
        </w:rPr>
        <w:br w:type="page"/>
      </w:r>
    </w:p>
    <w:p w14:paraId="41C196DA" w14:textId="77BE7158" w:rsidR="006E3C3E" w:rsidRPr="004179B8" w:rsidRDefault="006E3C3E" w:rsidP="00462ECE">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lastRenderedPageBreak/>
        <w:drawing>
          <wp:inline distT="0" distB="0" distL="0" distR="0" wp14:anchorId="600F2412" wp14:editId="0EEC9C5A">
            <wp:extent cx="5798885" cy="8385243"/>
            <wp:effectExtent l="0" t="0" r="0" b="0"/>
            <wp:docPr id="103309803"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9803" name="Picture 1" descr="A document with text and images&#10;&#10;Description automatically generated"/>
                    <pic:cNvPicPr/>
                  </pic:nvPicPr>
                  <pic:blipFill>
                    <a:blip r:embed="rId12"/>
                    <a:stretch>
                      <a:fillRect/>
                    </a:stretch>
                  </pic:blipFill>
                  <pic:spPr>
                    <a:xfrm>
                      <a:off x="0" y="0"/>
                      <a:ext cx="5805076" cy="8394195"/>
                    </a:xfrm>
                    <a:prstGeom prst="rect">
                      <a:avLst/>
                    </a:prstGeom>
                  </pic:spPr>
                </pic:pic>
              </a:graphicData>
            </a:graphic>
          </wp:inline>
        </w:drawing>
      </w:r>
    </w:p>
    <w:p w14:paraId="5D681F01" w14:textId="7E7A5914" w:rsidR="006E3C3E" w:rsidRPr="004179B8" w:rsidRDefault="006E3C3E">
      <w:pPr>
        <w:rPr>
          <w:rFonts w:cs="Calibri"/>
          <w:b/>
          <w:bCs/>
          <w:i/>
          <w:noProof/>
          <w:color w:val="000000" w:themeColor="text1"/>
          <w:lang w:val="fr-FR"/>
        </w:rPr>
      </w:pPr>
      <w:r w:rsidRPr="004179B8">
        <w:rPr>
          <w:rFonts w:cs="Calibri"/>
          <w:b/>
          <w:bCs/>
          <w:i/>
          <w:noProof/>
          <w:color w:val="000000" w:themeColor="text1"/>
          <w:lang w:val="fr-FR"/>
        </w:rPr>
        <w:br w:type="page"/>
      </w:r>
    </w:p>
    <w:p w14:paraId="36B84DCD" w14:textId="0AD68568" w:rsidR="006E3C3E" w:rsidRPr="004179B8" w:rsidRDefault="006E3C3E" w:rsidP="00462ECE">
      <w:pPr>
        <w:spacing w:after="0" w:line="240" w:lineRule="auto"/>
        <w:ind w:left="425" w:hanging="425"/>
        <w:contextualSpacing/>
        <w:rPr>
          <w:rFonts w:cs="Calibri"/>
          <w:b/>
          <w:bCs/>
          <w:i/>
          <w:noProof/>
          <w:color w:val="000000" w:themeColor="text1"/>
          <w:lang w:val="fr-FR"/>
        </w:rPr>
      </w:pPr>
      <w:r w:rsidRPr="004179B8">
        <w:rPr>
          <w:rFonts w:cs="Calibri"/>
          <w:b/>
          <w:bCs/>
          <w:i/>
          <w:noProof/>
          <w:color w:val="000000" w:themeColor="text1"/>
          <w:lang w:val="fr-FR"/>
        </w:rPr>
        <w:lastRenderedPageBreak/>
        <w:drawing>
          <wp:inline distT="0" distB="0" distL="0" distR="0" wp14:anchorId="62C899BB" wp14:editId="7EDB17CC">
            <wp:extent cx="5935456" cy="8677072"/>
            <wp:effectExtent l="0" t="0" r="8255" b="0"/>
            <wp:docPr id="82903019"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3019" name="Picture 1" descr="A document with text and numbers&#10;&#10;Description automatically generated"/>
                    <pic:cNvPicPr/>
                  </pic:nvPicPr>
                  <pic:blipFill>
                    <a:blip r:embed="rId13"/>
                    <a:stretch>
                      <a:fillRect/>
                    </a:stretch>
                  </pic:blipFill>
                  <pic:spPr>
                    <a:xfrm>
                      <a:off x="0" y="0"/>
                      <a:ext cx="5941240" cy="8685527"/>
                    </a:xfrm>
                    <a:prstGeom prst="rect">
                      <a:avLst/>
                    </a:prstGeom>
                  </pic:spPr>
                </pic:pic>
              </a:graphicData>
            </a:graphic>
          </wp:inline>
        </w:drawing>
      </w:r>
    </w:p>
    <w:p w14:paraId="6704E8FF" w14:textId="426B67C3" w:rsidR="006E3C3E" w:rsidRPr="004179B8" w:rsidRDefault="006E3C3E">
      <w:pPr>
        <w:rPr>
          <w:rFonts w:cs="Calibri"/>
          <w:b/>
          <w:bCs/>
          <w:i/>
          <w:noProof/>
          <w:color w:val="000000" w:themeColor="text1"/>
          <w:lang w:val="fr-FR"/>
        </w:rPr>
      </w:pPr>
      <w:r w:rsidRPr="004179B8">
        <w:rPr>
          <w:rFonts w:cs="Calibri"/>
          <w:b/>
          <w:bCs/>
          <w:i/>
          <w:noProof/>
          <w:color w:val="000000" w:themeColor="text1"/>
          <w:lang w:val="fr-FR"/>
        </w:rPr>
        <w:br w:type="page"/>
      </w:r>
    </w:p>
    <w:p w14:paraId="2D78779C" w14:textId="11A3749F" w:rsidR="006E3C3E" w:rsidRPr="004179B8" w:rsidRDefault="006E3C3E" w:rsidP="00592253">
      <w:pPr>
        <w:spacing w:after="0" w:line="240" w:lineRule="auto"/>
        <w:ind w:left="425" w:hanging="425"/>
        <w:contextualSpacing/>
        <w:rPr>
          <w:b/>
          <w:i/>
          <w:noProof/>
          <w:color w:val="000000" w:themeColor="text1"/>
          <w:lang w:val="fr-FR"/>
        </w:rPr>
      </w:pPr>
      <w:r w:rsidRPr="004179B8">
        <w:rPr>
          <w:rFonts w:cs="Calibri"/>
          <w:b/>
          <w:bCs/>
          <w:i/>
          <w:noProof/>
          <w:color w:val="000000" w:themeColor="text1"/>
          <w:lang w:val="fr-FR"/>
        </w:rPr>
        <w:lastRenderedPageBreak/>
        <w:drawing>
          <wp:inline distT="0" distB="0" distL="0" distR="0" wp14:anchorId="46BDACF6" wp14:editId="69E70C5A">
            <wp:extent cx="6017736" cy="8832715"/>
            <wp:effectExtent l="0" t="0" r="2540" b="6985"/>
            <wp:docPr id="1887654614"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54614" name="Picture 1" descr="A screenshot of a document&#10;&#10;Description automatically generated"/>
                    <pic:cNvPicPr/>
                  </pic:nvPicPr>
                  <pic:blipFill>
                    <a:blip r:embed="rId14"/>
                    <a:stretch>
                      <a:fillRect/>
                    </a:stretch>
                  </pic:blipFill>
                  <pic:spPr>
                    <a:xfrm>
                      <a:off x="0" y="0"/>
                      <a:ext cx="6026061" cy="8844934"/>
                    </a:xfrm>
                    <a:prstGeom prst="rect">
                      <a:avLst/>
                    </a:prstGeom>
                  </pic:spPr>
                </pic:pic>
              </a:graphicData>
            </a:graphic>
          </wp:inline>
        </w:drawing>
      </w:r>
    </w:p>
    <w:sectPr w:rsidR="006E3C3E" w:rsidRPr="004179B8" w:rsidSect="00592253">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AC67" w14:textId="77777777" w:rsidR="00F35424" w:rsidRDefault="00F35424" w:rsidP="00592253">
      <w:pPr>
        <w:spacing w:after="0" w:line="240" w:lineRule="auto"/>
      </w:pPr>
      <w:r>
        <w:separator/>
      </w:r>
    </w:p>
  </w:endnote>
  <w:endnote w:type="continuationSeparator" w:id="0">
    <w:p w14:paraId="701D64A6" w14:textId="77777777" w:rsidR="00F35424" w:rsidRDefault="00F35424" w:rsidP="00592253">
      <w:pPr>
        <w:spacing w:after="0" w:line="240" w:lineRule="auto"/>
      </w:pPr>
      <w:r>
        <w:continuationSeparator/>
      </w:r>
    </w:p>
  </w:endnote>
  <w:endnote w:type="continuationNotice" w:id="1">
    <w:p w14:paraId="6C85F6EC" w14:textId="77777777" w:rsidR="00F35424" w:rsidRDefault="00F35424" w:rsidP="00592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F812" w14:textId="33D08C59" w:rsidR="00CF5E47" w:rsidRPr="00592253" w:rsidRDefault="00A91632" w:rsidP="00592253">
    <w:pPr>
      <w:pStyle w:val="Footer"/>
      <w:rPr>
        <w:sz w:val="20"/>
      </w:rPr>
    </w:pPr>
    <w:r w:rsidRPr="00A91632">
      <w:rPr>
        <w:sz w:val="20"/>
        <w:szCs w:val="20"/>
      </w:rPr>
      <w:t>SC64 Com.1</w:t>
    </w:r>
    <w:r w:rsidRPr="00A91632">
      <w:rPr>
        <w:sz w:val="20"/>
        <w:szCs w:val="20"/>
      </w:rPr>
      <w:tab/>
    </w:r>
    <w:r w:rsidRPr="00A91632">
      <w:rPr>
        <w:sz w:val="20"/>
        <w:szCs w:val="20"/>
      </w:rPr>
      <w:tab/>
    </w:r>
    <w:r w:rsidRPr="00A91632">
      <w:rPr>
        <w:sz w:val="20"/>
        <w:szCs w:val="20"/>
      </w:rPr>
      <w:fldChar w:fldCharType="begin"/>
    </w:r>
    <w:r w:rsidRPr="00A91632">
      <w:rPr>
        <w:sz w:val="20"/>
        <w:szCs w:val="20"/>
      </w:rPr>
      <w:instrText xml:space="preserve"> PAGE   \* MERGEFORMAT </w:instrText>
    </w:r>
    <w:r w:rsidRPr="00A91632">
      <w:rPr>
        <w:sz w:val="20"/>
        <w:szCs w:val="20"/>
      </w:rPr>
      <w:fldChar w:fldCharType="separate"/>
    </w:r>
    <w:r w:rsidRPr="00A91632">
      <w:rPr>
        <w:noProof/>
        <w:sz w:val="20"/>
        <w:szCs w:val="20"/>
      </w:rPr>
      <w:t>1</w:t>
    </w:r>
    <w:r w:rsidRPr="00A9163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392D" w14:textId="77777777" w:rsidR="00F35424" w:rsidRDefault="00F35424" w:rsidP="00592253">
      <w:pPr>
        <w:spacing w:after="0" w:line="240" w:lineRule="auto"/>
      </w:pPr>
      <w:r>
        <w:separator/>
      </w:r>
    </w:p>
  </w:footnote>
  <w:footnote w:type="continuationSeparator" w:id="0">
    <w:p w14:paraId="7BCFA2E7" w14:textId="77777777" w:rsidR="00F35424" w:rsidRDefault="00F35424" w:rsidP="00592253">
      <w:pPr>
        <w:spacing w:after="0" w:line="240" w:lineRule="auto"/>
      </w:pPr>
      <w:r>
        <w:continuationSeparator/>
      </w:r>
    </w:p>
  </w:footnote>
  <w:footnote w:type="continuationNotice" w:id="1">
    <w:p w14:paraId="6CAE40C8" w14:textId="77777777" w:rsidR="00F35424" w:rsidRDefault="00F35424" w:rsidP="00592253">
      <w:pPr>
        <w:spacing w:after="0" w:line="240" w:lineRule="auto"/>
      </w:pPr>
    </w:p>
  </w:footnote>
  <w:footnote w:id="2">
    <w:p w14:paraId="03DA7129" w14:textId="50D9BD5B" w:rsidR="000349F3" w:rsidRPr="0018494A" w:rsidRDefault="000349F3">
      <w:pPr>
        <w:pStyle w:val="FootnoteText"/>
        <w:rPr>
          <w:lang w:val="fr-FR"/>
        </w:rPr>
      </w:pPr>
      <w:r>
        <w:rPr>
          <w:rStyle w:val="FootnoteReference"/>
        </w:rPr>
        <w:footnoteRef/>
      </w:r>
      <w:r w:rsidRPr="004E239A">
        <w:rPr>
          <w:lang w:val="fr-FR"/>
        </w:rPr>
        <w:t xml:space="preserve"> </w:t>
      </w:r>
      <w:r w:rsidR="0018494A" w:rsidRPr="0018494A">
        <w:rPr>
          <w:lang w:val="fr-FR"/>
        </w:rPr>
        <w:t>Une version actualisée du budget administratif</w:t>
      </w:r>
      <w:r w:rsidR="0018494A">
        <w:rPr>
          <w:lang w:val="fr-FR"/>
        </w:rPr>
        <w:t xml:space="preserve"> prévisionnel </w:t>
      </w:r>
      <w:r w:rsidR="0018494A" w:rsidRPr="0018494A">
        <w:rPr>
          <w:lang w:val="fr-FR"/>
        </w:rPr>
        <w:t xml:space="preserve">proposé pour 2025 </w:t>
      </w:r>
      <w:r w:rsidR="0018494A">
        <w:rPr>
          <w:lang w:val="fr-FR"/>
        </w:rPr>
        <w:t>tel qu</w:t>
      </w:r>
      <w:r w:rsidR="00EE0531">
        <w:rPr>
          <w:lang w:val="fr-FR"/>
        </w:rPr>
        <w:t>’</w:t>
      </w:r>
      <w:r w:rsidR="0018494A">
        <w:rPr>
          <w:lang w:val="fr-FR"/>
        </w:rPr>
        <w:t xml:space="preserve">il figure </w:t>
      </w:r>
      <w:r w:rsidR="0018494A" w:rsidRPr="0018494A">
        <w:rPr>
          <w:lang w:val="fr-FR"/>
        </w:rPr>
        <w:t>à l</w:t>
      </w:r>
      <w:r w:rsidR="00EE0531">
        <w:rPr>
          <w:lang w:val="fr-FR"/>
        </w:rPr>
        <w:t>’</w:t>
      </w:r>
      <w:r w:rsidR="0018494A" w:rsidRPr="0018494A">
        <w:rPr>
          <w:lang w:val="fr-FR"/>
        </w:rPr>
        <w:t xml:space="preserve">annexe 3 du document SC64 Doc.9.1 sera </w:t>
      </w:r>
      <w:r w:rsidR="0018494A">
        <w:rPr>
          <w:lang w:val="fr-FR"/>
        </w:rPr>
        <w:t xml:space="preserve">jointe en </w:t>
      </w:r>
      <w:r w:rsidR="0018494A" w:rsidRPr="0018494A">
        <w:rPr>
          <w:lang w:val="fr-FR"/>
        </w:rPr>
        <w:t xml:space="preserve">annexe au deuxième rapport du </w:t>
      </w:r>
      <w:r w:rsidR="0018494A">
        <w:rPr>
          <w:lang w:val="fr-FR"/>
        </w:rPr>
        <w:t>S</w:t>
      </w:r>
      <w:r w:rsidR="0018494A" w:rsidRPr="0018494A">
        <w:rPr>
          <w:lang w:val="fr-FR"/>
        </w:rPr>
        <w:t>ous-groupe sur les finances.</w:t>
      </w:r>
    </w:p>
  </w:footnote>
  <w:footnote w:id="3">
    <w:p w14:paraId="6722E201" w14:textId="23413CDF" w:rsidR="000D3245" w:rsidRPr="003945A7" w:rsidRDefault="000D3245" w:rsidP="003945A7">
      <w:pPr>
        <w:pStyle w:val="FootnoteText"/>
        <w:rPr>
          <w:lang w:val="fr-FR"/>
        </w:rPr>
      </w:pPr>
      <w:r w:rsidRPr="003945A7">
        <w:rPr>
          <w:rStyle w:val="FootnoteReference"/>
          <w:lang w:val="fr-FR"/>
        </w:rPr>
        <w:footnoteRef/>
      </w:r>
      <w:r w:rsidRPr="003945A7">
        <w:rPr>
          <w:lang w:val="fr-FR"/>
        </w:rPr>
        <w:t xml:space="preserve"> </w:t>
      </w:r>
      <w:r w:rsidR="003945A7" w:rsidRPr="003945A7">
        <w:rPr>
          <w:lang w:val="fr-FR"/>
        </w:rPr>
        <w:t>Une version actualisée du texte de l</w:t>
      </w:r>
      <w:r w:rsidR="00EE0531">
        <w:rPr>
          <w:lang w:val="fr-FR"/>
        </w:rPr>
        <w:t>’</w:t>
      </w:r>
      <w:r w:rsidR="003945A7" w:rsidRPr="003945A7">
        <w:rPr>
          <w:lang w:val="fr-FR"/>
        </w:rPr>
        <w:t>avant-projet de résolution sera joint</w:t>
      </w:r>
      <w:r w:rsidR="009279AD">
        <w:rPr>
          <w:lang w:val="fr-FR"/>
        </w:rPr>
        <w:t>e</w:t>
      </w:r>
      <w:r w:rsidR="003945A7" w:rsidRPr="003945A7">
        <w:rPr>
          <w:lang w:val="fr-FR"/>
        </w:rPr>
        <w:t xml:space="preserve"> en annexe au deuxième rapport du Sous-groupe sur les finances.</w:t>
      </w:r>
    </w:p>
  </w:footnote>
  <w:footnote w:id="4">
    <w:p w14:paraId="1A951958" w14:textId="7250C71E" w:rsidR="00027C4A" w:rsidRPr="009279AD" w:rsidRDefault="00027C4A">
      <w:pPr>
        <w:pStyle w:val="FootnoteText"/>
        <w:rPr>
          <w:lang w:val="fr-FR"/>
        </w:rPr>
      </w:pPr>
      <w:r w:rsidRPr="009279AD">
        <w:rPr>
          <w:rStyle w:val="FootnoteReference"/>
          <w:lang w:val="fr-FR"/>
        </w:rPr>
        <w:footnoteRef/>
      </w:r>
      <w:r w:rsidRPr="009279AD">
        <w:rPr>
          <w:lang w:val="fr-FR"/>
        </w:rPr>
        <w:t xml:space="preserve"> </w:t>
      </w:r>
      <w:r w:rsidR="009279AD" w:rsidRPr="009279AD">
        <w:rPr>
          <w:lang w:val="fr-FR"/>
        </w:rPr>
        <w:t>Une version actualisée du texte de l</w:t>
      </w:r>
      <w:r w:rsidR="00EE0531">
        <w:rPr>
          <w:lang w:val="fr-FR"/>
        </w:rPr>
        <w:t>’</w:t>
      </w:r>
      <w:r w:rsidR="009279AD" w:rsidRPr="009279AD">
        <w:rPr>
          <w:lang w:val="fr-FR"/>
        </w:rPr>
        <w:t>avant-projet de résolution sera joint</w:t>
      </w:r>
      <w:r w:rsidR="009279AD">
        <w:rPr>
          <w:lang w:val="fr-FR"/>
        </w:rPr>
        <w:t>e</w:t>
      </w:r>
      <w:r w:rsidR="009279AD" w:rsidRPr="009279AD">
        <w:rPr>
          <w:lang w:val="fr-FR"/>
        </w:rPr>
        <w:t xml:space="preserve"> en annexe au deuxième rapport du Sous-groupe sur les finances.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94BC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B32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53B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F52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94F42"/>
    <w:multiLevelType w:val="multilevel"/>
    <w:tmpl w:val="4784F4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35D4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AB4D55"/>
    <w:multiLevelType w:val="hybridMultilevel"/>
    <w:tmpl w:val="1BA61AD0"/>
    <w:lvl w:ilvl="0" w:tplc="322C101A">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4FD4"/>
    <w:multiLevelType w:val="hybridMultilevel"/>
    <w:tmpl w:val="7D6A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EB0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D9FA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F33DAE"/>
    <w:multiLevelType w:val="hybridMultilevel"/>
    <w:tmpl w:val="EB9A0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3498B"/>
    <w:multiLevelType w:val="hybridMultilevel"/>
    <w:tmpl w:val="25F44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7521F"/>
    <w:multiLevelType w:val="hybridMultilevel"/>
    <w:tmpl w:val="45AA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4A0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3D7660"/>
    <w:multiLevelType w:val="hybridMultilevel"/>
    <w:tmpl w:val="B0C02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817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18CE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38A1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346B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F6B30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7336446">
    <w:abstractNumId w:val="14"/>
  </w:num>
  <w:num w:numId="2" w16cid:durableId="48918740">
    <w:abstractNumId w:val="15"/>
  </w:num>
  <w:num w:numId="3" w16cid:durableId="1435513302">
    <w:abstractNumId w:val="7"/>
  </w:num>
  <w:num w:numId="4" w16cid:durableId="702705245">
    <w:abstractNumId w:val="10"/>
  </w:num>
  <w:num w:numId="5" w16cid:durableId="147333203">
    <w:abstractNumId w:val="12"/>
  </w:num>
  <w:num w:numId="6" w16cid:durableId="1323972638">
    <w:abstractNumId w:val="11"/>
  </w:num>
  <w:num w:numId="7" w16cid:durableId="609166601">
    <w:abstractNumId w:val="4"/>
  </w:num>
  <w:num w:numId="8" w16cid:durableId="516114720">
    <w:abstractNumId w:val="6"/>
  </w:num>
  <w:num w:numId="9" w16cid:durableId="1162429070">
    <w:abstractNumId w:val="19"/>
  </w:num>
  <w:num w:numId="10" w16cid:durableId="1968702104">
    <w:abstractNumId w:val="17"/>
  </w:num>
  <w:num w:numId="11" w16cid:durableId="707334057">
    <w:abstractNumId w:val="13"/>
  </w:num>
  <w:num w:numId="12" w16cid:durableId="199435811">
    <w:abstractNumId w:val="18"/>
  </w:num>
  <w:num w:numId="13" w16cid:durableId="1194077484">
    <w:abstractNumId w:val="2"/>
  </w:num>
  <w:num w:numId="14" w16cid:durableId="797605850">
    <w:abstractNumId w:val="0"/>
  </w:num>
  <w:num w:numId="15" w16cid:durableId="623198685">
    <w:abstractNumId w:val="8"/>
  </w:num>
  <w:num w:numId="16" w16cid:durableId="53509951">
    <w:abstractNumId w:val="16"/>
  </w:num>
  <w:num w:numId="17" w16cid:durableId="1100490796">
    <w:abstractNumId w:val="3"/>
  </w:num>
  <w:num w:numId="18" w16cid:durableId="1432045230">
    <w:abstractNumId w:val="5"/>
  </w:num>
  <w:num w:numId="19" w16cid:durableId="1247038330">
    <w:abstractNumId w:val="1"/>
  </w:num>
  <w:num w:numId="20" w16cid:durableId="1419403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00"/>
    <w:rsid w:val="00010A7A"/>
    <w:rsid w:val="00027C4A"/>
    <w:rsid w:val="000349F3"/>
    <w:rsid w:val="00034E1C"/>
    <w:rsid w:val="000A20EB"/>
    <w:rsid w:val="000C05D9"/>
    <w:rsid w:val="000D3245"/>
    <w:rsid w:val="000D438E"/>
    <w:rsid w:val="000F5145"/>
    <w:rsid w:val="00106832"/>
    <w:rsid w:val="00135BA4"/>
    <w:rsid w:val="0014300A"/>
    <w:rsid w:val="001549EC"/>
    <w:rsid w:val="0015784F"/>
    <w:rsid w:val="0018494A"/>
    <w:rsid w:val="00190050"/>
    <w:rsid w:val="0019061B"/>
    <w:rsid w:val="001C7745"/>
    <w:rsid w:val="001E07DF"/>
    <w:rsid w:val="001F03FD"/>
    <w:rsid w:val="00210600"/>
    <w:rsid w:val="002135B1"/>
    <w:rsid w:val="0021712C"/>
    <w:rsid w:val="002225C9"/>
    <w:rsid w:val="00231E95"/>
    <w:rsid w:val="00246AB9"/>
    <w:rsid w:val="0024716F"/>
    <w:rsid w:val="00284AA5"/>
    <w:rsid w:val="002B0608"/>
    <w:rsid w:val="002B1256"/>
    <w:rsid w:val="002B138D"/>
    <w:rsid w:val="002B796C"/>
    <w:rsid w:val="00333D2F"/>
    <w:rsid w:val="00380F03"/>
    <w:rsid w:val="003945A7"/>
    <w:rsid w:val="003A506B"/>
    <w:rsid w:val="003C0F4C"/>
    <w:rsid w:val="003C5F47"/>
    <w:rsid w:val="003D1F73"/>
    <w:rsid w:val="003D5BDB"/>
    <w:rsid w:val="003F5A2C"/>
    <w:rsid w:val="00400CE7"/>
    <w:rsid w:val="00400E4D"/>
    <w:rsid w:val="004021E5"/>
    <w:rsid w:val="004028F4"/>
    <w:rsid w:val="00417097"/>
    <w:rsid w:val="004179B8"/>
    <w:rsid w:val="00462ECE"/>
    <w:rsid w:val="00496A3B"/>
    <w:rsid w:val="004A0651"/>
    <w:rsid w:val="004E239A"/>
    <w:rsid w:val="004F5A99"/>
    <w:rsid w:val="00501D55"/>
    <w:rsid w:val="005041CD"/>
    <w:rsid w:val="00531EBB"/>
    <w:rsid w:val="00592253"/>
    <w:rsid w:val="00593BF8"/>
    <w:rsid w:val="005A4A52"/>
    <w:rsid w:val="005C7300"/>
    <w:rsid w:val="005E0EF6"/>
    <w:rsid w:val="005E48A6"/>
    <w:rsid w:val="005E6043"/>
    <w:rsid w:val="005F7BE3"/>
    <w:rsid w:val="00601A6B"/>
    <w:rsid w:val="00633038"/>
    <w:rsid w:val="00652251"/>
    <w:rsid w:val="006573C3"/>
    <w:rsid w:val="0067160D"/>
    <w:rsid w:val="006716E5"/>
    <w:rsid w:val="006B13D8"/>
    <w:rsid w:val="006B3D8B"/>
    <w:rsid w:val="006C7B43"/>
    <w:rsid w:val="006D47D2"/>
    <w:rsid w:val="006D4DBF"/>
    <w:rsid w:val="006E37BD"/>
    <w:rsid w:val="006E3C3E"/>
    <w:rsid w:val="006F09FA"/>
    <w:rsid w:val="006F1BAB"/>
    <w:rsid w:val="006F4029"/>
    <w:rsid w:val="006F428D"/>
    <w:rsid w:val="006F7B19"/>
    <w:rsid w:val="00702BB1"/>
    <w:rsid w:val="00713CFE"/>
    <w:rsid w:val="00715306"/>
    <w:rsid w:val="0072144D"/>
    <w:rsid w:val="007219BD"/>
    <w:rsid w:val="00733C6C"/>
    <w:rsid w:val="00741E7F"/>
    <w:rsid w:val="00745316"/>
    <w:rsid w:val="00782759"/>
    <w:rsid w:val="00785DBD"/>
    <w:rsid w:val="00792A37"/>
    <w:rsid w:val="007938AE"/>
    <w:rsid w:val="007C674C"/>
    <w:rsid w:val="007C7C33"/>
    <w:rsid w:val="007E5D16"/>
    <w:rsid w:val="007F102E"/>
    <w:rsid w:val="00811E3D"/>
    <w:rsid w:val="00844B10"/>
    <w:rsid w:val="00853D66"/>
    <w:rsid w:val="00880D3F"/>
    <w:rsid w:val="00896A7A"/>
    <w:rsid w:val="008F361F"/>
    <w:rsid w:val="00911328"/>
    <w:rsid w:val="0091269E"/>
    <w:rsid w:val="009279AD"/>
    <w:rsid w:val="00962434"/>
    <w:rsid w:val="0099187E"/>
    <w:rsid w:val="009A24A6"/>
    <w:rsid w:val="009B3C67"/>
    <w:rsid w:val="009C6DB8"/>
    <w:rsid w:val="009E4737"/>
    <w:rsid w:val="00A35B8C"/>
    <w:rsid w:val="00A5662D"/>
    <w:rsid w:val="00A75BC1"/>
    <w:rsid w:val="00A86D98"/>
    <w:rsid w:val="00A91632"/>
    <w:rsid w:val="00A93BB6"/>
    <w:rsid w:val="00AB06A3"/>
    <w:rsid w:val="00AE6443"/>
    <w:rsid w:val="00B07229"/>
    <w:rsid w:val="00B14A96"/>
    <w:rsid w:val="00B229AF"/>
    <w:rsid w:val="00B32E01"/>
    <w:rsid w:val="00B40B41"/>
    <w:rsid w:val="00B450BC"/>
    <w:rsid w:val="00B532D0"/>
    <w:rsid w:val="00B5607F"/>
    <w:rsid w:val="00B56947"/>
    <w:rsid w:val="00B63D89"/>
    <w:rsid w:val="00B673D8"/>
    <w:rsid w:val="00B90C4C"/>
    <w:rsid w:val="00B96958"/>
    <w:rsid w:val="00BB5186"/>
    <w:rsid w:val="00BC1A6C"/>
    <w:rsid w:val="00BD1750"/>
    <w:rsid w:val="00BD72ED"/>
    <w:rsid w:val="00BE2327"/>
    <w:rsid w:val="00BE4363"/>
    <w:rsid w:val="00C143D8"/>
    <w:rsid w:val="00C25ED4"/>
    <w:rsid w:val="00C27E30"/>
    <w:rsid w:val="00C630BD"/>
    <w:rsid w:val="00C6544D"/>
    <w:rsid w:val="00C8468D"/>
    <w:rsid w:val="00CC38F6"/>
    <w:rsid w:val="00CD1C73"/>
    <w:rsid w:val="00CD5E13"/>
    <w:rsid w:val="00CE03BE"/>
    <w:rsid w:val="00CF5E47"/>
    <w:rsid w:val="00CF5F03"/>
    <w:rsid w:val="00CF6274"/>
    <w:rsid w:val="00CF653F"/>
    <w:rsid w:val="00D24615"/>
    <w:rsid w:val="00D34C2C"/>
    <w:rsid w:val="00D75F2C"/>
    <w:rsid w:val="00D81A04"/>
    <w:rsid w:val="00D84404"/>
    <w:rsid w:val="00DA0ADD"/>
    <w:rsid w:val="00DB10F0"/>
    <w:rsid w:val="00DB13AE"/>
    <w:rsid w:val="00DB51AE"/>
    <w:rsid w:val="00DE11CB"/>
    <w:rsid w:val="00E01970"/>
    <w:rsid w:val="00E04AE0"/>
    <w:rsid w:val="00E13597"/>
    <w:rsid w:val="00E25BBD"/>
    <w:rsid w:val="00E25EEF"/>
    <w:rsid w:val="00E54D9C"/>
    <w:rsid w:val="00E92232"/>
    <w:rsid w:val="00EA1E95"/>
    <w:rsid w:val="00EC0776"/>
    <w:rsid w:val="00EC6B4B"/>
    <w:rsid w:val="00ED4B60"/>
    <w:rsid w:val="00EE0531"/>
    <w:rsid w:val="00F35424"/>
    <w:rsid w:val="00F35843"/>
    <w:rsid w:val="00F466ED"/>
    <w:rsid w:val="00F546CB"/>
    <w:rsid w:val="00F64180"/>
    <w:rsid w:val="00F930E5"/>
    <w:rsid w:val="00FA1051"/>
    <w:rsid w:val="00FB31AC"/>
    <w:rsid w:val="00FD645C"/>
    <w:rsid w:val="00FF5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D33B"/>
  <w15:chartTrackingRefBased/>
  <w15:docId w15:val="{6ED21793-2790-4E8C-BFB3-4794C5EB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A7"/>
  </w:style>
  <w:style w:type="paragraph" w:styleId="Heading1">
    <w:name w:val="heading 1"/>
    <w:basedOn w:val="Normal"/>
    <w:next w:val="Normal"/>
    <w:link w:val="Heading1Char"/>
    <w:uiPriority w:val="9"/>
    <w:qFormat/>
    <w:rsid w:val="0059225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225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25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25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25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25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25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25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7300"/>
    <w:rPr>
      <w:sz w:val="16"/>
      <w:szCs w:val="16"/>
    </w:rPr>
  </w:style>
  <w:style w:type="paragraph" w:styleId="CommentText">
    <w:name w:val="annotation text"/>
    <w:basedOn w:val="Normal"/>
    <w:link w:val="CommentTextChar"/>
    <w:uiPriority w:val="99"/>
    <w:unhideWhenUsed/>
    <w:rsid w:val="005C7300"/>
    <w:pPr>
      <w:spacing w:line="240" w:lineRule="auto"/>
    </w:pPr>
    <w:rPr>
      <w:sz w:val="20"/>
      <w:szCs w:val="20"/>
    </w:rPr>
  </w:style>
  <w:style w:type="character" w:customStyle="1" w:styleId="CommentTextChar">
    <w:name w:val="Comment Text Char"/>
    <w:basedOn w:val="DefaultParagraphFont"/>
    <w:link w:val="CommentText"/>
    <w:uiPriority w:val="99"/>
    <w:rsid w:val="005C7300"/>
    <w:rPr>
      <w:sz w:val="20"/>
      <w:szCs w:val="20"/>
    </w:rPr>
  </w:style>
  <w:style w:type="paragraph" w:styleId="CommentSubject">
    <w:name w:val="annotation subject"/>
    <w:basedOn w:val="CommentText"/>
    <w:next w:val="CommentText"/>
    <w:link w:val="CommentSubjectChar"/>
    <w:uiPriority w:val="99"/>
    <w:semiHidden/>
    <w:unhideWhenUsed/>
    <w:rsid w:val="005C7300"/>
    <w:rPr>
      <w:b/>
      <w:bCs/>
    </w:rPr>
  </w:style>
  <w:style w:type="character" w:customStyle="1" w:styleId="CommentSubjectChar">
    <w:name w:val="Comment Subject Char"/>
    <w:basedOn w:val="CommentTextChar"/>
    <w:link w:val="CommentSubject"/>
    <w:uiPriority w:val="99"/>
    <w:semiHidden/>
    <w:rsid w:val="005C7300"/>
    <w:rPr>
      <w:b/>
      <w:bCs/>
      <w:sz w:val="20"/>
      <w:szCs w:val="20"/>
    </w:rPr>
  </w:style>
  <w:style w:type="paragraph" w:styleId="BalloonText">
    <w:name w:val="Balloon Text"/>
    <w:basedOn w:val="Normal"/>
    <w:link w:val="BalloonTextChar"/>
    <w:uiPriority w:val="99"/>
    <w:semiHidden/>
    <w:unhideWhenUsed/>
    <w:rsid w:val="005C7300"/>
    <w:pPr>
      <w:spacing w:after="0" w:line="240" w:lineRule="auto"/>
    </w:pPr>
    <w:rPr>
      <w:rFonts w:ascii="MS Shell Dlg" w:hAnsi="MS Shell Dlg"/>
      <w:sz w:val="18"/>
      <w:szCs w:val="18"/>
    </w:rPr>
  </w:style>
  <w:style w:type="character" w:customStyle="1" w:styleId="BalloonTextChar">
    <w:name w:val="Balloon Text Char"/>
    <w:basedOn w:val="DefaultParagraphFont"/>
    <w:link w:val="BalloonText"/>
    <w:uiPriority w:val="99"/>
    <w:semiHidden/>
    <w:rsid w:val="005C7300"/>
    <w:rPr>
      <w:rFonts w:ascii="MS Shell Dlg" w:hAnsi="MS Shell Dlg"/>
      <w:sz w:val="18"/>
      <w:szCs w:val="18"/>
    </w:rPr>
  </w:style>
  <w:style w:type="paragraph" w:styleId="ListParagraph">
    <w:name w:val="List Paragraph"/>
    <w:basedOn w:val="Normal"/>
    <w:uiPriority w:val="34"/>
    <w:qFormat/>
    <w:rsid w:val="00210600"/>
    <w:pPr>
      <w:ind w:left="720"/>
      <w:contextualSpacing/>
    </w:pPr>
  </w:style>
  <w:style w:type="paragraph" w:customStyle="1" w:styleId="ColorfulList-Accent11">
    <w:name w:val="Colorful List - Accent 11"/>
    <w:basedOn w:val="Normal"/>
    <w:uiPriority w:val="34"/>
    <w:qFormat/>
    <w:rsid w:val="004028F4"/>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CF5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47"/>
  </w:style>
  <w:style w:type="paragraph" w:styleId="Footer">
    <w:name w:val="footer"/>
    <w:basedOn w:val="Normal"/>
    <w:link w:val="FooterChar"/>
    <w:uiPriority w:val="99"/>
    <w:unhideWhenUsed/>
    <w:rsid w:val="00CF5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47"/>
  </w:style>
  <w:style w:type="paragraph" w:styleId="BodyText">
    <w:name w:val="Body Text"/>
    <w:basedOn w:val="Normal"/>
    <w:link w:val="BodyTextChar"/>
    <w:uiPriority w:val="1"/>
    <w:unhideWhenUsed/>
    <w:qFormat/>
    <w:rsid w:val="00462ECE"/>
    <w:pPr>
      <w:widowControl w:val="0"/>
      <w:autoSpaceDE w:val="0"/>
      <w:autoSpaceDN w:val="0"/>
      <w:spacing w:after="0" w:line="240" w:lineRule="auto"/>
    </w:pPr>
    <w:rPr>
      <w:rFonts w:ascii="Calibri" w:eastAsia="Times New Roman" w:hAnsi="Calibri" w:cs="Calibri"/>
      <w:lang w:val="en-US"/>
    </w:rPr>
  </w:style>
  <w:style w:type="character" w:customStyle="1" w:styleId="BodyTextChar">
    <w:name w:val="Body Text Char"/>
    <w:basedOn w:val="DefaultParagraphFont"/>
    <w:link w:val="BodyText"/>
    <w:uiPriority w:val="1"/>
    <w:rsid w:val="00462ECE"/>
    <w:rPr>
      <w:rFonts w:ascii="Calibri" w:eastAsia="Times New Roman" w:hAnsi="Calibri" w:cs="Calibri"/>
      <w:lang w:val="en-US"/>
    </w:rPr>
  </w:style>
  <w:style w:type="character" w:customStyle="1" w:styleId="Heading2Char">
    <w:name w:val="Heading 2 Char"/>
    <w:basedOn w:val="DefaultParagraphFont"/>
    <w:link w:val="Heading2"/>
    <w:uiPriority w:val="9"/>
    <w:semiHidden/>
    <w:rsid w:val="00CC38F6"/>
    <w:rPr>
      <w:rFonts w:asciiTheme="majorHAnsi" w:eastAsiaTheme="majorEastAsia" w:hAnsiTheme="majorHAnsi" w:cstheme="majorBidi"/>
      <w:color w:val="2F5496" w:themeColor="accent1" w:themeShade="BF"/>
      <w:sz w:val="26"/>
      <w:szCs w:val="26"/>
    </w:rPr>
  </w:style>
  <w:style w:type="paragraph" w:customStyle="1" w:styleId="MGfulltext">
    <w:name w:val="MG_fulltext"/>
    <w:basedOn w:val="Normal"/>
    <w:link w:val="MGfulltextChar"/>
    <w:qFormat/>
    <w:rsid w:val="00B63D89"/>
    <w:pPr>
      <w:spacing w:after="120" w:line="240" w:lineRule="auto"/>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63D89"/>
    <w:rPr>
      <w:rFonts w:ascii="Arial" w:eastAsia="Times New Roman" w:hAnsi="Arial" w:cs="Arial"/>
      <w:sz w:val="24"/>
      <w:szCs w:val="24"/>
      <w:lang w:val="en-US"/>
    </w:rPr>
  </w:style>
  <w:style w:type="character" w:styleId="Hyperlink">
    <w:name w:val="Hyperlink"/>
    <w:basedOn w:val="DefaultParagraphFont"/>
    <w:uiPriority w:val="99"/>
    <w:unhideWhenUsed/>
    <w:qFormat/>
    <w:rsid w:val="00592253"/>
    <w:rPr>
      <w:color w:val="0563C1" w:themeColor="hyperlink"/>
      <w:u w:val="single"/>
    </w:rPr>
  </w:style>
  <w:style w:type="paragraph" w:styleId="Revision">
    <w:name w:val="Revision"/>
    <w:hidden/>
    <w:uiPriority w:val="99"/>
    <w:semiHidden/>
    <w:rsid w:val="00811E3D"/>
    <w:pPr>
      <w:spacing w:after="0" w:line="240" w:lineRule="auto"/>
    </w:pPr>
  </w:style>
  <w:style w:type="paragraph" w:styleId="FootnoteText">
    <w:name w:val="footnote text"/>
    <w:basedOn w:val="Normal"/>
    <w:link w:val="FootnoteTextChar"/>
    <w:uiPriority w:val="99"/>
    <w:unhideWhenUsed/>
    <w:rsid w:val="000349F3"/>
    <w:pPr>
      <w:spacing w:after="0" w:line="240" w:lineRule="auto"/>
    </w:pPr>
    <w:rPr>
      <w:sz w:val="20"/>
      <w:szCs w:val="20"/>
    </w:rPr>
  </w:style>
  <w:style w:type="character" w:customStyle="1" w:styleId="FootnoteTextChar">
    <w:name w:val="Footnote Text Char"/>
    <w:basedOn w:val="DefaultParagraphFont"/>
    <w:link w:val="FootnoteText"/>
    <w:uiPriority w:val="99"/>
    <w:rsid w:val="000349F3"/>
    <w:rPr>
      <w:sz w:val="20"/>
      <w:szCs w:val="20"/>
    </w:rPr>
  </w:style>
  <w:style w:type="character" w:styleId="FootnoteReference">
    <w:name w:val="footnote reference"/>
    <w:basedOn w:val="DefaultParagraphFont"/>
    <w:uiPriority w:val="99"/>
    <w:semiHidden/>
    <w:unhideWhenUsed/>
    <w:rsid w:val="000349F3"/>
    <w:rPr>
      <w:vertAlign w:val="superscript"/>
    </w:rPr>
  </w:style>
  <w:style w:type="character" w:customStyle="1" w:styleId="Heading1Char">
    <w:name w:val="Heading 1 Char"/>
    <w:basedOn w:val="DefaultParagraphFont"/>
    <w:link w:val="Heading1"/>
    <w:uiPriority w:val="9"/>
    <w:rsid w:val="00592253"/>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592253"/>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92253"/>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92253"/>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92253"/>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92253"/>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92253"/>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92253"/>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922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25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9225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225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9225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92253"/>
    <w:rPr>
      <w:i/>
      <w:iCs/>
      <w:color w:val="404040" w:themeColor="text1" w:themeTint="BF"/>
      <w:kern w:val="2"/>
      <w14:ligatures w14:val="standardContextual"/>
    </w:rPr>
  </w:style>
  <w:style w:type="character" w:styleId="IntenseEmphasis">
    <w:name w:val="Intense Emphasis"/>
    <w:basedOn w:val="DefaultParagraphFont"/>
    <w:uiPriority w:val="21"/>
    <w:qFormat/>
    <w:rsid w:val="00592253"/>
    <w:rPr>
      <w:i/>
      <w:iCs/>
      <w:color w:val="2F5496" w:themeColor="accent1" w:themeShade="BF"/>
    </w:rPr>
  </w:style>
  <w:style w:type="paragraph" w:styleId="IntenseQuote">
    <w:name w:val="Intense Quote"/>
    <w:basedOn w:val="Normal"/>
    <w:next w:val="Normal"/>
    <w:link w:val="IntenseQuoteChar"/>
    <w:uiPriority w:val="30"/>
    <w:qFormat/>
    <w:rsid w:val="00592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92253"/>
    <w:rPr>
      <w:i/>
      <w:iCs/>
      <w:color w:val="2F5496" w:themeColor="accent1" w:themeShade="BF"/>
      <w:kern w:val="2"/>
      <w14:ligatures w14:val="standardContextual"/>
    </w:rPr>
  </w:style>
  <w:style w:type="character" w:styleId="IntenseReference">
    <w:name w:val="Intense Reference"/>
    <w:basedOn w:val="DefaultParagraphFont"/>
    <w:uiPriority w:val="32"/>
    <w:qFormat/>
    <w:rsid w:val="00592253"/>
    <w:rPr>
      <w:b/>
      <w:bCs/>
      <w:smallCaps/>
      <w:color w:val="2F5496" w:themeColor="accent1" w:themeShade="BF"/>
      <w:spacing w:val="5"/>
    </w:rPr>
  </w:style>
  <w:style w:type="character" w:styleId="UnresolvedMention">
    <w:name w:val="Unresolved Mention"/>
    <w:basedOn w:val="DefaultParagraphFont"/>
    <w:uiPriority w:val="99"/>
    <w:semiHidden/>
    <w:unhideWhenUsed/>
    <w:rsid w:val="00592253"/>
    <w:rPr>
      <w:color w:val="605E5C"/>
      <w:shd w:val="clear" w:color="auto" w:fill="E1DFDD"/>
    </w:rPr>
  </w:style>
  <w:style w:type="table" w:styleId="TableGrid">
    <w:name w:val="Table Grid"/>
    <w:basedOn w:val="TableNormal"/>
    <w:uiPriority w:val="39"/>
    <w:rsid w:val="001C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07650">
      <w:bodyDiv w:val="1"/>
      <w:marLeft w:val="0"/>
      <w:marRight w:val="0"/>
      <w:marTop w:val="0"/>
      <w:marBottom w:val="0"/>
      <w:divBdr>
        <w:top w:val="none" w:sz="0" w:space="0" w:color="auto"/>
        <w:left w:val="none" w:sz="0" w:space="0" w:color="auto"/>
        <w:bottom w:val="none" w:sz="0" w:space="0" w:color="auto"/>
        <w:right w:val="none" w:sz="0" w:space="0" w:color="auto"/>
      </w:divBdr>
      <w:divsChild>
        <w:div w:id="1784495101">
          <w:marLeft w:val="0"/>
          <w:marRight w:val="0"/>
          <w:marTop w:val="0"/>
          <w:marBottom w:val="0"/>
          <w:divBdr>
            <w:top w:val="none" w:sz="0" w:space="0" w:color="auto"/>
            <w:left w:val="none" w:sz="0" w:space="0" w:color="auto"/>
            <w:bottom w:val="none" w:sz="0" w:space="0" w:color="auto"/>
            <w:right w:val="none" w:sz="0" w:space="0" w:color="auto"/>
          </w:divBdr>
        </w:div>
      </w:divsChild>
    </w:div>
    <w:div w:id="642926210">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268539781">
      <w:bodyDiv w:val="1"/>
      <w:marLeft w:val="0"/>
      <w:marRight w:val="0"/>
      <w:marTop w:val="0"/>
      <w:marBottom w:val="0"/>
      <w:divBdr>
        <w:top w:val="none" w:sz="0" w:space="0" w:color="auto"/>
        <w:left w:val="none" w:sz="0" w:space="0" w:color="auto"/>
        <w:bottom w:val="none" w:sz="0" w:space="0" w:color="auto"/>
        <w:right w:val="none" w:sz="0" w:space="0" w:color="auto"/>
      </w:divBdr>
      <w:divsChild>
        <w:div w:id="450319226">
          <w:marLeft w:val="0"/>
          <w:marRight w:val="0"/>
          <w:marTop w:val="0"/>
          <w:marBottom w:val="0"/>
          <w:divBdr>
            <w:top w:val="none" w:sz="0" w:space="0" w:color="auto"/>
            <w:left w:val="none" w:sz="0" w:space="0" w:color="auto"/>
            <w:bottom w:val="none" w:sz="0" w:space="0" w:color="auto"/>
            <w:right w:val="none" w:sz="0" w:space="0" w:color="auto"/>
          </w:divBdr>
        </w:div>
      </w:divsChild>
    </w:div>
    <w:div w:id="1280843512">
      <w:bodyDiv w:val="1"/>
      <w:marLeft w:val="0"/>
      <w:marRight w:val="0"/>
      <w:marTop w:val="0"/>
      <w:marBottom w:val="0"/>
      <w:divBdr>
        <w:top w:val="none" w:sz="0" w:space="0" w:color="auto"/>
        <w:left w:val="none" w:sz="0" w:space="0" w:color="auto"/>
        <w:bottom w:val="none" w:sz="0" w:space="0" w:color="auto"/>
        <w:right w:val="none" w:sz="0" w:space="0" w:color="auto"/>
      </w:divBdr>
    </w:div>
    <w:div w:id="1401176261">
      <w:bodyDiv w:val="1"/>
      <w:marLeft w:val="0"/>
      <w:marRight w:val="0"/>
      <w:marTop w:val="0"/>
      <w:marBottom w:val="0"/>
      <w:divBdr>
        <w:top w:val="none" w:sz="0" w:space="0" w:color="auto"/>
        <w:left w:val="none" w:sz="0" w:space="0" w:color="auto"/>
        <w:bottom w:val="none" w:sz="0" w:space="0" w:color="auto"/>
        <w:right w:val="none" w:sz="0" w:space="0" w:color="auto"/>
      </w:divBdr>
    </w:div>
    <w:div w:id="1810122089">
      <w:bodyDiv w:val="1"/>
      <w:marLeft w:val="0"/>
      <w:marRight w:val="0"/>
      <w:marTop w:val="0"/>
      <w:marBottom w:val="0"/>
      <w:divBdr>
        <w:top w:val="none" w:sz="0" w:space="0" w:color="auto"/>
        <w:left w:val="none" w:sz="0" w:space="0" w:color="auto"/>
        <w:bottom w:val="none" w:sz="0" w:space="0" w:color="auto"/>
        <w:right w:val="none" w:sz="0" w:space="0" w:color="auto"/>
      </w:divBdr>
    </w:div>
    <w:div w:id="1861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2025-01/SC64_inf2_earth_observation_consultation_e.pdf"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31E5-66C4-4F60-B075-B7B21AB8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3405</Words>
  <Characters>19412</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Subgroup on Finance</dc:creator>
  <cp:keywords/>
  <dc:description/>
  <cp:lastModifiedBy>JENNINGS Edmund</cp:lastModifiedBy>
  <cp:revision>3</cp:revision>
  <cp:lastPrinted>2025-01-20T20:10:00Z</cp:lastPrinted>
  <dcterms:created xsi:type="dcterms:W3CDTF">2025-01-22T08:29:00Z</dcterms:created>
  <dcterms:modified xsi:type="dcterms:W3CDTF">2025-01-22T08:40:00Z</dcterms:modified>
</cp:coreProperties>
</file>