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12CB" w14:textId="77777777" w:rsidR="00611646" w:rsidRPr="0086671E" w:rsidRDefault="00611646"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lang w:val="es-ES"/>
        </w:rPr>
      </w:pPr>
      <w:r w:rsidRPr="0086671E">
        <w:rPr>
          <w:bCs/>
          <w:lang w:val="es-ES"/>
        </w:rPr>
        <w:t>LA CONVENCIÓN SOBRE LOS HUMEDALES</w:t>
      </w:r>
    </w:p>
    <w:p w14:paraId="68A17172" w14:textId="77777777" w:rsidR="00611646" w:rsidRPr="0086671E" w:rsidRDefault="00611646"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lang w:val="es-ES"/>
        </w:rPr>
      </w:pPr>
      <w:r w:rsidRPr="0086671E">
        <w:rPr>
          <w:bCs/>
          <w:lang w:val="es-ES"/>
        </w:rPr>
        <w:t>64ª reunión del Comité Permanente</w:t>
      </w:r>
    </w:p>
    <w:p w14:paraId="4391FBE4" w14:textId="0F540ADB" w:rsidR="00611646" w:rsidRPr="0086671E" w:rsidRDefault="00611646"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lang w:val="es-ES"/>
        </w:rPr>
      </w:pPr>
      <w:r w:rsidRPr="0086671E">
        <w:rPr>
          <w:bCs/>
          <w:lang w:val="es-ES"/>
        </w:rPr>
        <w:t>Gland, Suiza, 20 a 25 de enero de 2025</w:t>
      </w:r>
    </w:p>
    <w:p w14:paraId="357332A5" w14:textId="77777777" w:rsidR="00462ECE" w:rsidRPr="0086671E" w:rsidRDefault="00462ECE" w:rsidP="00462ECE">
      <w:pPr>
        <w:spacing w:after="0" w:line="240" w:lineRule="auto"/>
        <w:outlineLvl w:val="0"/>
        <w:rPr>
          <w:b/>
          <w:lang w:val="es-ES"/>
        </w:rPr>
      </w:pPr>
    </w:p>
    <w:p w14:paraId="1F6AACC6" w14:textId="0EF8B1AE" w:rsidR="00462ECE" w:rsidRPr="0086671E" w:rsidRDefault="00462ECE" w:rsidP="00462ECE">
      <w:pPr>
        <w:spacing w:after="0" w:line="240" w:lineRule="auto"/>
        <w:jc w:val="right"/>
        <w:rPr>
          <w:rFonts w:cs="Arial"/>
          <w:sz w:val="28"/>
          <w:szCs w:val="28"/>
          <w:lang w:val="es-ES"/>
        </w:rPr>
      </w:pPr>
      <w:r w:rsidRPr="0086671E">
        <w:rPr>
          <w:rFonts w:cs="Arial"/>
          <w:b/>
          <w:sz w:val="28"/>
          <w:szCs w:val="28"/>
          <w:lang w:val="es-ES"/>
        </w:rPr>
        <w:t>SC64 Com.1</w:t>
      </w:r>
    </w:p>
    <w:p w14:paraId="5A72F0AF" w14:textId="77777777" w:rsidR="00462ECE" w:rsidRPr="0086671E" w:rsidRDefault="00462ECE" w:rsidP="00462ECE">
      <w:pPr>
        <w:spacing w:after="0" w:line="240" w:lineRule="auto"/>
        <w:rPr>
          <w:rFonts w:cs="Arial"/>
          <w:b/>
          <w:sz w:val="28"/>
          <w:szCs w:val="28"/>
          <w:lang w:val="es-ES"/>
        </w:rPr>
      </w:pPr>
    </w:p>
    <w:p w14:paraId="544369ED" w14:textId="6DC2EF3D" w:rsidR="00611646" w:rsidRPr="0086671E" w:rsidRDefault="00D941A4" w:rsidP="00611646">
      <w:pPr>
        <w:spacing w:after="0" w:line="240" w:lineRule="auto"/>
        <w:jc w:val="center"/>
        <w:rPr>
          <w:rFonts w:cs="Arial"/>
          <w:b/>
          <w:sz w:val="28"/>
          <w:szCs w:val="28"/>
          <w:lang w:val="es-ES"/>
        </w:rPr>
      </w:pPr>
      <w:r w:rsidRPr="0086671E">
        <w:rPr>
          <w:rFonts w:cs="Arial"/>
          <w:b/>
          <w:sz w:val="28"/>
          <w:szCs w:val="28"/>
          <w:lang w:val="es-ES"/>
        </w:rPr>
        <w:t xml:space="preserve">Cuestiones </w:t>
      </w:r>
      <w:r w:rsidR="00611646" w:rsidRPr="0086671E">
        <w:rPr>
          <w:rFonts w:cs="Arial"/>
          <w:b/>
          <w:sz w:val="28"/>
          <w:szCs w:val="28"/>
          <w:lang w:val="es-ES"/>
        </w:rPr>
        <w:t>financier</w:t>
      </w:r>
      <w:r w:rsidRPr="0086671E">
        <w:rPr>
          <w:rFonts w:cs="Arial"/>
          <w:b/>
          <w:sz w:val="28"/>
          <w:szCs w:val="28"/>
          <w:lang w:val="es-ES"/>
        </w:rPr>
        <w:t>a</w:t>
      </w:r>
      <w:r w:rsidR="00611646" w:rsidRPr="0086671E">
        <w:rPr>
          <w:rFonts w:cs="Arial"/>
          <w:b/>
          <w:sz w:val="28"/>
          <w:szCs w:val="28"/>
          <w:lang w:val="es-ES"/>
        </w:rPr>
        <w:t>s y presupuestari</w:t>
      </w:r>
      <w:r w:rsidRPr="0086671E">
        <w:rPr>
          <w:rFonts w:cs="Arial"/>
          <w:b/>
          <w:sz w:val="28"/>
          <w:szCs w:val="28"/>
          <w:lang w:val="es-ES"/>
        </w:rPr>
        <w:t>a</w:t>
      </w:r>
      <w:r w:rsidR="00611646" w:rsidRPr="0086671E">
        <w:rPr>
          <w:rFonts w:cs="Arial"/>
          <w:b/>
          <w:sz w:val="28"/>
          <w:szCs w:val="28"/>
          <w:lang w:val="es-ES"/>
        </w:rPr>
        <w:t>s:</w:t>
      </w:r>
    </w:p>
    <w:p w14:paraId="21955CB3" w14:textId="77777777" w:rsidR="00611646" w:rsidRPr="0086671E" w:rsidRDefault="00611646" w:rsidP="00611646">
      <w:pPr>
        <w:spacing w:after="0" w:line="240" w:lineRule="auto"/>
        <w:jc w:val="center"/>
        <w:rPr>
          <w:rFonts w:cs="Arial"/>
          <w:b/>
          <w:sz w:val="28"/>
          <w:szCs w:val="28"/>
          <w:lang w:val="es-ES"/>
        </w:rPr>
      </w:pPr>
      <w:r w:rsidRPr="0086671E">
        <w:rPr>
          <w:rFonts w:cs="Arial"/>
          <w:b/>
          <w:sz w:val="28"/>
          <w:szCs w:val="28"/>
          <w:lang w:val="es-ES"/>
        </w:rPr>
        <w:t>Informe de la reunión del Subgrupo de Finanzas, 20 de enero de 2025</w:t>
      </w:r>
    </w:p>
    <w:p w14:paraId="4C6BC3BB" w14:textId="77777777" w:rsidR="00462ECE" w:rsidRPr="0086671E" w:rsidRDefault="00462ECE" w:rsidP="00462ECE">
      <w:pPr>
        <w:pStyle w:val="BodyText"/>
        <w:widowControl/>
        <w:rPr>
          <w:rFonts w:asciiTheme="minorHAnsi" w:hAnsiTheme="minorHAnsi" w:cstheme="minorHAnsi"/>
          <w:b/>
          <w:lang w:val="es-ES"/>
        </w:rPr>
      </w:pPr>
    </w:p>
    <w:p w14:paraId="26E55D98" w14:textId="77777777" w:rsidR="00611646" w:rsidRPr="0086671E" w:rsidRDefault="00611646" w:rsidP="00462ECE">
      <w:pPr>
        <w:spacing w:after="0" w:line="240" w:lineRule="auto"/>
        <w:rPr>
          <w:i/>
          <w:lang w:val="es-ES"/>
        </w:rPr>
      </w:pPr>
      <w:r w:rsidRPr="0086671E">
        <w:rPr>
          <w:i/>
          <w:lang w:val="es-ES"/>
        </w:rPr>
        <w:t xml:space="preserve">El presente informe incluye las recomendaciones sometidas a la consideración del Comité Permanente durante la reunión del Subgrupo de Finanzas del 20 de enero de 2025. </w:t>
      </w:r>
    </w:p>
    <w:p w14:paraId="190F2051" w14:textId="77777777" w:rsidR="00462ECE" w:rsidRPr="0086671E" w:rsidRDefault="00462ECE" w:rsidP="00462ECE">
      <w:pPr>
        <w:tabs>
          <w:tab w:val="left" w:pos="960"/>
        </w:tabs>
        <w:spacing w:after="0" w:line="240" w:lineRule="auto"/>
        <w:rPr>
          <w:rFonts w:cstheme="minorHAnsi"/>
          <w:lang w:val="es-ES"/>
        </w:rPr>
      </w:pPr>
    </w:p>
    <w:p w14:paraId="25705324" w14:textId="19D74D45" w:rsidR="00611646" w:rsidRPr="0086671E" w:rsidRDefault="00611646" w:rsidP="00462ECE">
      <w:pPr>
        <w:spacing w:after="0" w:line="240" w:lineRule="auto"/>
        <w:rPr>
          <w:iCs/>
          <w:lang w:val="es-ES"/>
        </w:rPr>
      </w:pPr>
      <w:r w:rsidRPr="0086671E">
        <w:rPr>
          <w:iCs/>
          <w:lang w:val="es-ES"/>
        </w:rPr>
        <w:t xml:space="preserve">La Presidencia declaró abierta la reunión y pidió al Subgrupo que se refiriera a las acciones solicitadas en los documentos sobre </w:t>
      </w:r>
      <w:r w:rsidR="00D941A4" w:rsidRPr="0086671E">
        <w:rPr>
          <w:iCs/>
          <w:lang w:val="es-ES"/>
        </w:rPr>
        <w:t>cuestiones</w:t>
      </w:r>
      <w:r w:rsidRPr="0086671E">
        <w:rPr>
          <w:iCs/>
          <w:lang w:val="es-ES"/>
        </w:rPr>
        <w:t xml:space="preserve"> financier</w:t>
      </w:r>
      <w:r w:rsidR="00D941A4" w:rsidRPr="0086671E">
        <w:rPr>
          <w:iCs/>
          <w:lang w:val="es-ES"/>
        </w:rPr>
        <w:t>a</w:t>
      </w:r>
      <w:r w:rsidRPr="0086671E">
        <w:rPr>
          <w:iCs/>
          <w:lang w:val="es-ES"/>
        </w:rPr>
        <w:t>s y presupuestari</w:t>
      </w:r>
      <w:r w:rsidR="00D941A4" w:rsidRPr="0086671E">
        <w:rPr>
          <w:iCs/>
          <w:lang w:val="es-ES"/>
        </w:rPr>
        <w:t>a</w:t>
      </w:r>
      <w:r w:rsidRPr="0086671E">
        <w:rPr>
          <w:iCs/>
          <w:lang w:val="es-ES"/>
        </w:rPr>
        <w:t>s en el siguiente orden:</w:t>
      </w:r>
    </w:p>
    <w:p w14:paraId="6D02B459" w14:textId="223C194C" w:rsidR="00462ECE" w:rsidRPr="0086671E" w:rsidRDefault="006E37BD" w:rsidP="006E37BD">
      <w:pPr>
        <w:spacing w:after="0" w:line="240" w:lineRule="auto"/>
        <w:ind w:left="426" w:hanging="426"/>
        <w:rPr>
          <w:iCs/>
          <w:lang w:val="es-ES"/>
        </w:rPr>
      </w:pPr>
      <w:r w:rsidRPr="0086671E">
        <w:rPr>
          <w:iCs/>
          <w:lang w:val="es-ES"/>
        </w:rPr>
        <w:t>1)</w:t>
      </w:r>
      <w:r w:rsidRPr="0086671E">
        <w:rPr>
          <w:iCs/>
          <w:lang w:val="es-ES"/>
        </w:rPr>
        <w:tab/>
      </w:r>
      <w:r w:rsidR="0018296A" w:rsidRPr="0086671E">
        <w:rPr>
          <w:iCs/>
          <w:lang w:val="es-ES"/>
        </w:rPr>
        <w:t>Estado</w:t>
      </w:r>
      <w:r w:rsidR="00611646" w:rsidRPr="0086671E">
        <w:rPr>
          <w:iCs/>
          <w:lang w:val="es-ES"/>
        </w:rPr>
        <w:t xml:space="preserve"> de las contribuciones anuales (documento SC64 Doc 9.2 Rev.1);</w:t>
      </w:r>
    </w:p>
    <w:p w14:paraId="56B4C00E" w14:textId="62E28ED4" w:rsidR="00462ECE" w:rsidRPr="0086671E" w:rsidRDefault="006E37BD" w:rsidP="006E37BD">
      <w:pPr>
        <w:spacing w:after="0" w:line="240" w:lineRule="auto"/>
        <w:ind w:left="426" w:hanging="426"/>
        <w:rPr>
          <w:iCs/>
          <w:lang w:val="es-ES"/>
        </w:rPr>
      </w:pPr>
      <w:r w:rsidRPr="0086671E">
        <w:rPr>
          <w:iCs/>
          <w:lang w:val="es-ES"/>
        </w:rPr>
        <w:t>2)</w:t>
      </w:r>
      <w:r w:rsidRPr="0086671E">
        <w:rPr>
          <w:iCs/>
          <w:lang w:val="es-ES"/>
        </w:rPr>
        <w:tab/>
      </w:r>
      <w:r w:rsidR="00611646" w:rsidRPr="0086671E">
        <w:rPr>
          <w:iCs/>
          <w:lang w:val="es-ES"/>
        </w:rPr>
        <w:t>Informe sobre cuestiones financieras para 2024 y 2025 (documento SC64 Doc 9.1);</w:t>
      </w:r>
    </w:p>
    <w:p w14:paraId="52613FAE" w14:textId="7A607E84" w:rsidR="00462ECE" w:rsidRPr="0086671E" w:rsidRDefault="006E37BD" w:rsidP="006E37BD">
      <w:pPr>
        <w:spacing w:after="0" w:line="240" w:lineRule="auto"/>
        <w:ind w:left="426" w:hanging="426"/>
        <w:rPr>
          <w:iCs/>
          <w:lang w:val="es-ES"/>
        </w:rPr>
      </w:pPr>
      <w:r w:rsidRPr="0086671E">
        <w:rPr>
          <w:iCs/>
          <w:lang w:val="es-ES"/>
        </w:rPr>
        <w:t>3)</w:t>
      </w:r>
      <w:r w:rsidRPr="0086671E">
        <w:rPr>
          <w:iCs/>
          <w:lang w:val="es-ES"/>
        </w:rPr>
        <w:tab/>
      </w:r>
      <w:bookmarkStart w:id="0" w:name="_Hlk188377132"/>
      <w:r w:rsidR="00611646" w:rsidRPr="0086671E">
        <w:rPr>
          <w:iCs/>
          <w:lang w:val="es-ES"/>
        </w:rPr>
        <w:t xml:space="preserve">Posibles repercusiones financieras de los proyectos de resolución (documento SC64 Doc 9.4 Rev.1); </w:t>
      </w:r>
      <w:bookmarkEnd w:id="0"/>
    </w:p>
    <w:p w14:paraId="7E64951E" w14:textId="4C79DEAD" w:rsidR="00462ECE" w:rsidRPr="0086671E" w:rsidRDefault="006E37BD" w:rsidP="006E37BD">
      <w:pPr>
        <w:spacing w:after="0" w:line="240" w:lineRule="auto"/>
        <w:ind w:left="426" w:hanging="426"/>
        <w:rPr>
          <w:iCs/>
          <w:lang w:val="es-ES"/>
        </w:rPr>
      </w:pPr>
      <w:r w:rsidRPr="0086671E">
        <w:rPr>
          <w:iCs/>
          <w:lang w:val="es-ES"/>
        </w:rPr>
        <w:t>4)</w:t>
      </w:r>
      <w:r w:rsidRPr="0086671E">
        <w:rPr>
          <w:iCs/>
          <w:lang w:val="es-ES"/>
        </w:rPr>
        <w:tab/>
      </w:r>
      <w:bookmarkStart w:id="1" w:name="_Hlk188377874"/>
      <w:r w:rsidR="00D941A4" w:rsidRPr="0086671E">
        <w:rPr>
          <w:iCs/>
          <w:lang w:val="es-ES"/>
        </w:rPr>
        <w:t>Escenarios</w:t>
      </w:r>
      <w:r w:rsidR="00611646" w:rsidRPr="0086671E">
        <w:rPr>
          <w:iCs/>
          <w:lang w:val="es-ES"/>
        </w:rPr>
        <w:t xml:space="preserve"> presupuestari</w:t>
      </w:r>
      <w:r w:rsidR="00D941A4" w:rsidRPr="0086671E">
        <w:rPr>
          <w:iCs/>
          <w:lang w:val="es-ES"/>
        </w:rPr>
        <w:t>o</w:t>
      </w:r>
      <w:r w:rsidR="00611646" w:rsidRPr="0086671E">
        <w:rPr>
          <w:iCs/>
          <w:lang w:val="es-ES"/>
        </w:rPr>
        <w:t xml:space="preserve">s para 2026-2028 y proyecto de resolución sobre </w:t>
      </w:r>
      <w:r w:rsidR="00D941A4" w:rsidRPr="0086671E">
        <w:rPr>
          <w:iCs/>
          <w:lang w:val="es-ES"/>
        </w:rPr>
        <w:t>cuestiones</w:t>
      </w:r>
      <w:r w:rsidR="00611646" w:rsidRPr="0086671E">
        <w:rPr>
          <w:iCs/>
          <w:lang w:val="es-ES"/>
        </w:rPr>
        <w:t xml:space="preserve"> financier</w:t>
      </w:r>
      <w:r w:rsidR="00D941A4" w:rsidRPr="0086671E">
        <w:rPr>
          <w:iCs/>
          <w:lang w:val="es-ES"/>
        </w:rPr>
        <w:t>a</w:t>
      </w:r>
      <w:r w:rsidR="00611646" w:rsidRPr="0086671E">
        <w:rPr>
          <w:iCs/>
          <w:lang w:val="es-ES"/>
        </w:rPr>
        <w:t>s y presupuestari</w:t>
      </w:r>
      <w:r w:rsidR="00D941A4" w:rsidRPr="0086671E">
        <w:rPr>
          <w:iCs/>
          <w:lang w:val="es-ES"/>
        </w:rPr>
        <w:t>a</w:t>
      </w:r>
      <w:r w:rsidR="00611646" w:rsidRPr="0086671E">
        <w:rPr>
          <w:iCs/>
          <w:lang w:val="es-ES"/>
        </w:rPr>
        <w:t xml:space="preserve">s (documento SC64 Doc 9.3 Rev.1 y SC64 Inf.1 Documento informativo); </w:t>
      </w:r>
      <w:bookmarkEnd w:id="1"/>
      <w:r w:rsidR="00611646" w:rsidRPr="0086671E">
        <w:rPr>
          <w:iCs/>
          <w:lang w:val="es-ES"/>
        </w:rPr>
        <w:t xml:space="preserve">y </w:t>
      </w:r>
    </w:p>
    <w:p w14:paraId="4B0D2099" w14:textId="0E3EC0AE" w:rsidR="005C7300" w:rsidRPr="0086671E" w:rsidRDefault="006E37BD" w:rsidP="006E37BD">
      <w:pPr>
        <w:spacing w:after="0" w:line="240" w:lineRule="auto"/>
        <w:ind w:left="426" w:hanging="426"/>
        <w:rPr>
          <w:iCs/>
          <w:lang w:val="es-ES"/>
        </w:rPr>
      </w:pPr>
      <w:r w:rsidRPr="0086671E">
        <w:rPr>
          <w:iCs/>
          <w:lang w:val="es-ES"/>
        </w:rPr>
        <w:t>5)</w:t>
      </w:r>
      <w:r w:rsidRPr="0086671E">
        <w:rPr>
          <w:iCs/>
          <w:lang w:val="es-ES"/>
        </w:rPr>
        <w:tab/>
      </w:r>
      <w:r w:rsidR="00611646" w:rsidRPr="0086671E">
        <w:rPr>
          <w:iCs/>
          <w:lang w:val="es-ES"/>
        </w:rPr>
        <w:t xml:space="preserve">Asignación de fondos excedentes (continuación de los debates de la reunión entre </w:t>
      </w:r>
      <w:r w:rsidR="0018296A" w:rsidRPr="0086671E">
        <w:rPr>
          <w:iCs/>
          <w:lang w:val="es-ES"/>
        </w:rPr>
        <w:t xml:space="preserve">períodos de </w:t>
      </w:r>
      <w:r w:rsidR="00611646" w:rsidRPr="0086671E">
        <w:rPr>
          <w:iCs/>
          <w:lang w:val="es-ES"/>
        </w:rPr>
        <w:t>sesiones de diciembre de 2024).</w:t>
      </w:r>
    </w:p>
    <w:p w14:paraId="6EB6799B" w14:textId="77777777" w:rsidR="00CC38F6" w:rsidRPr="0086671E" w:rsidRDefault="00CC38F6" w:rsidP="006E37BD">
      <w:pPr>
        <w:spacing w:after="0" w:line="240" w:lineRule="auto"/>
        <w:ind w:left="426" w:hanging="426"/>
        <w:rPr>
          <w:iCs/>
          <w:lang w:val="es-ES"/>
        </w:rPr>
      </w:pPr>
    </w:p>
    <w:p w14:paraId="406BE9C6" w14:textId="1632D068" w:rsidR="00CC38F6" w:rsidRPr="0086671E" w:rsidRDefault="00887DD4" w:rsidP="006E37BD">
      <w:pPr>
        <w:spacing w:after="0" w:line="240" w:lineRule="auto"/>
        <w:ind w:left="426" w:hanging="426"/>
        <w:rPr>
          <w:iCs/>
          <w:lang w:val="es-ES"/>
        </w:rPr>
      </w:pPr>
      <w:r w:rsidRPr="0086671E">
        <w:rPr>
          <w:iCs/>
          <w:lang w:val="es-ES"/>
        </w:rPr>
        <w:t>La Secretaría aclaró los términos utilizados en los documentos:</w:t>
      </w:r>
    </w:p>
    <w:p w14:paraId="4FC0EF8A" w14:textId="5E8BB5CD" w:rsidR="00CC38F6" w:rsidRPr="0086671E" w:rsidRDefault="00CC38F6" w:rsidP="00CC38F6">
      <w:pPr>
        <w:pStyle w:val="ListParagraph"/>
        <w:numPr>
          <w:ilvl w:val="0"/>
          <w:numId w:val="5"/>
        </w:numPr>
        <w:spacing w:after="0" w:line="240" w:lineRule="auto"/>
        <w:ind w:left="426" w:hanging="426"/>
        <w:rPr>
          <w:rFonts w:ascii="Calibri" w:hAnsi="Calibri" w:cs="Calibri"/>
          <w:lang w:val="es-ES"/>
        </w:rPr>
      </w:pPr>
      <w:r w:rsidRPr="0086671E">
        <w:rPr>
          <w:rFonts w:ascii="Calibri" w:hAnsi="Calibri" w:cs="Calibri"/>
          <w:i/>
          <w:iCs/>
          <w:lang w:val="es-ES"/>
        </w:rPr>
        <w:t>Reser</w:t>
      </w:r>
      <w:r w:rsidR="00887DD4" w:rsidRPr="0086671E">
        <w:rPr>
          <w:rFonts w:ascii="Calibri" w:hAnsi="Calibri" w:cs="Calibri"/>
          <w:i/>
          <w:iCs/>
          <w:lang w:val="es-ES"/>
        </w:rPr>
        <w:t>va</w:t>
      </w:r>
      <w:r w:rsidRPr="0086671E">
        <w:rPr>
          <w:rFonts w:ascii="Calibri" w:hAnsi="Calibri" w:cs="Calibri"/>
          <w:lang w:val="es-ES"/>
        </w:rPr>
        <w:t>:</w:t>
      </w:r>
    </w:p>
    <w:p w14:paraId="28091F19" w14:textId="5F16336C" w:rsidR="00887DD4" w:rsidRPr="0086671E" w:rsidRDefault="00887DD4" w:rsidP="00EC6B4B">
      <w:pPr>
        <w:spacing w:after="0" w:line="240" w:lineRule="auto"/>
        <w:ind w:left="426"/>
        <w:rPr>
          <w:rFonts w:ascii="Calibri" w:hAnsi="Calibri" w:cs="Calibri"/>
          <w:lang w:val="es-ES"/>
        </w:rPr>
      </w:pPr>
      <w:r w:rsidRPr="0086671E">
        <w:rPr>
          <w:rFonts w:ascii="Calibri" w:hAnsi="Calibri" w:cs="Calibri"/>
          <w:lang w:val="es-ES"/>
        </w:rPr>
        <w:t>El fondo de reserva básico representa los excedentes recibidos de las operaciones básicas, los cuales se acumulan y se mantienen para hacer frente a gastos imprevistos e inevitables. La Resolución XI.2 de la COP11 estipula que el fondo de reserva no debe ser inferior al 6</w:t>
      </w:r>
      <w:r w:rsidR="0018296A" w:rsidRPr="0086671E">
        <w:rPr>
          <w:rFonts w:ascii="Calibri" w:hAnsi="Calibri" w:cs="Calibri"/>
          <w:lang w:val="es-ES"/>
        </w:rPr>
        <w:t xml:space="preserve"> </w:t>
      </w:r>
      <w:r w:rsidRPr="0086671E">
        <w:rPr>
          <w:rFonts w:ascii="Calibri" w:hAnsi="Calibri" w:cs="Calibri"/>
          <w:lang w:val="es-ES"/>
        </w:rPr>
        <w:t>% ni superior al 15</w:t>
      </w:r>
      <w:r w:rsidR="0018296A" w:rsidRPr="0086671E">
        <w:rPr>
          <w:rFonts w:ascii="Calibri" w:hAnsi="Calibri" w:cs="Calibri"/>
          <w:lang w:val="es-ES"/>
        </w:rPr>
        <w:t xml:space="preserve"> </w:t>
      </w:r>
      <w:r w:rsidRPr="0086671E">
        <w:rPr>
          <w:rFonts w:ascii="Calibri" w:hAnsi="Calibri" w:cs="Calibri"/>
          <w:lang w:val="es-ES"/>
        </w:rPr>
        <w:t xml:space="preserve">% del presupuesto básico </w:t>
      </w:r>
      <w:r w:rsidR="00EA38DC" w:rsidRPr="0086671E">
        <w:rPr>
          <w:rFonts w:ascii="Calibri" w:hAnsi="Calibri" w:cs="Calibri"/>
          <w:lang w:val="es-ES"/>
        </w:rPr>
        <w:t xml:space="preserve">anual </w:t>
      </w:r>
      <w:r w:rsidRPr="0086671E">
        <w:rPr>
          <w:rFonts w:ascii="Calibri" w:hAnsi="Calibri" w:cs="Calibri"/>
          <w:lang w:val="es-ES"/>
        </w:rPr>
        <w:t>de la Convención, y el proyecto de resolución sobre</w:t>
      </w:r>
      <w:r w:rsidR="00D941A4" w:rsidRPr="0086671E">
        <w:rPr>
          <w:rFonts w:ascii="Calibri" w:hAnsi="Calibri" w:cs="Calibri"/>
          <w:lang w:val="es-ES"/>
        </w:rPr>
        <w:t xml:space="preserve"> cuestiones</w:t>
      </w:r>
      <w:r w:rsidRPr="0086671E">
        <w:rPr>
          <w:rFonts w:ascii="Calibri" w:hAnsi="Calibri" w:cs="Calibri"/>
          <w:lang w:val="es-ES"/>
        </w:rPr>
        <w:t xml:space="preserve"> financier</w:t>
      </w:r>
      <w:r w:rsidR="00D941A4" w:rsidRPr="0086671E">
        <w:rPr>
          <w:rFonts w:ascii="Calibri" w:hAnsi="Calibri" w:cs="Calibri"/>
          <w:lang w:val="es-ES"/>
        </w:rPr>
        <w:t>a</w:t>
      </w:r>
      <w:r w:rsidRPr="0086671E">
        <w:rPr>
          <w:rFonts w:ascii="Calibri" w:hAnsi="Calibri" w:cs="Calibri"/>
          <w:lang w:val="es-ES"/>
        </w:rPr>
        <w:t>s y presupuestari</w:t>
      </w:r>
      <w:r w:rsidR="00D941A4" w:rsidRPr="0086671E">
        <w:rPr>
          <w:rFonts w:ascii="Calibri" w:hAnsi="Calibri" w:cs="Calibri"/>
          <w:lang w:val="es-ES"/>
        </w:rPr>
        <w:t>a</w:t>
      </w:r>
      <w:r w:rsidRPr="0086671E">
        <w:rPr>
          <w:rFonts w:ascii="Calibri" w:hAnsi="Calibri" w:cs="Calibri"/>
          <w:lang w:val="es-ES"/>
        </w:rPr>
        <w:t>s que figura en el documento SC64 Doc.9.3 Rev.1 reafirma en el párrafo 19 lo estipulado en la Resolución XI.2.</w:t>
      </w:r>
    </w:p>
    <w:p w14:paraId="33B15E06" w14:textId="324EDAF6" w:rsidR="00CC38F6" w:rsidRPr="0086671E" w:rsidRDefault="002E68F5" w:rsidP="00887DD4">
      <w:pPr>
        <w:pStyle w:val="ListParagraph"/>
        <w:numPr>
          <w:ilvl w:val="0"/>
          <w:numId w:val="5"/>
        </w:numPr>
        <w:spacing w:after="0" w:line="240" w:lineRule="auto"/>
        <w:ind w:left="426" w:hanging="426"/>
        <w:rPr>
          <w:rFonts w:ascii="Calibri" w:hAnsi="Calibri" w:cs="Calibri"/>
          <w:lang w:val="es-ES"/>
        </w:rPr>
      </w:pPr>
      <w:r w:rsidRPr="0086671E">
        <w:rPr>
          <w:rFonts w:ascii="Calibri" w:hAnsi="Calibri" w:cs="Calibri"/>
          <w:i/>
          <w:iCs/>
          <w:lang w:val="es-ES"/>
        </w:rPr>
        <w:t>Traspaso</w:t>
      </w:r>
      <w:r w:rsidR="00887DD4" w:rsidRPr="0086671E">
        <w:rPr>
          <w:rFonts w:ascii="Calibri" w:hAnsi="Calibri" w:cs="Calibri"/>
          <w:i/>
          <w:iCs/>
          <w:lang w:val="es-ES"/>
        </w:rPr>
        <w:t xml:space="preserve">: </w:t>
      </w:r>
    </w:p>
    <w:p w14:paraId="76E502E0" w14:textId="0BC0ABF7" w:rsidR="00CC38F6" w:rsidRPr="0086671E" w:rsidRDefault="00887DD4" w:rsidP="00EC6B4B">
      <w:pPr>
        <w:spacing w:after="0" w:line="240" w:lineRule="auto"/>
        <w:ind w:left="426"/>
        <w:rPr>
          <w:rFonts w:ascii="Calibri" w:hAnsi="Calibri" w:cs="Calibri"/>
          <w:lang w:val="es-ES"/>
        </w:rPr>
      </w:pPr>
      <w:r w:rsidRPr="0086671E">
        <w:rPr>
          <w:rFonts w:ascii="Calibri" w:hAnsi="Calibri" w:cs="Calibri"/>
          <w:lang w:val="es-ES"/>
        </w:rPr>
        <w:t xml:space="preserve">El </w:t>
      </w:r>
      <w:r w:rsidR="002E68F5" w:rsidRPr="0086671E">
        <w:rPr>
          <w:rFonts w:ascii="Calibri" w:hAnsi="Calibri" w:cs="Calibri"/>
          <w:lang w:val="es-ES"/>
        </w:rPr>
        <w:t>traspaso</w:t>
      </w:r>
      <w:r w:rsidRPr="0086671E">
        <w:rPr>
          <w:rFonts w:ascii="Calibri" w:hAnsi="Calibri" w:cs="Calibri"/>
          <w:lang w:val="es-ES"/>
        </w:rPr>
        <w:t xml:space="preserve"> representa los fondos del presupuesto anual que no se utilizaron durante el año en curso y se </w:t>
      </w:r>
      <w:r w:rsidR="0086671E">
        <w:rPr>
          <w:rFonts w:ascii="Calibri" w:hAnsi="Calibri" w:cs="Calibri"/>
          <w:lang w:val="es-ES"/>
        </w:rPr>
        <w:t>traspasan</w:t>
      </w:r>
      <w:r w:rsidRPr="0086671E">
        <w:rPr>
          <w:rFonts w:ascii="Calibri" w:hAnsi="Calibri" w:cs="Calibri"/>
          <w:lang w:val="es-ES"/>
        </w:rPr>
        <w:t xml:space="preserve"> al año siguiente para ser utilizados en proyectos continuados. Los fondos no utilizados una vez finalizadas las actividades vuelven a formar parte de los fondos excedentes para futuras asignaciones. El Comité Permanente, mediante la Decisión SC57-50, decidió que los saldos no comprometidos</w:t>
      </w:r>
      <w:r w:rsidR="00EA38DC" w:rsidRPr="0086671E">
        <w:rPr>
          <w:rFonts w:ascii="Calibri" w:hAnsi="Calibri" w:cs="Calibri"/>
          <w:lang w:val="es-ES"/>
        </w:rPr>
        <w:t xml:space="preserve"> o </w:t>
      </w:r>
      <w:r w:rsidRPr="0086671E">
        <w:rPr>
          <w:rFonts w:ascii="Calibri" w:hAnsi="Calibri" w:cs="Calibri"/>
          <w:lang w:val="es-ES"/>
        </w:rPr>
        <w:t xml:space="preserve">no </w:t>
      </w:r>
      <w:r w:rsidR="00EA38DC" w:rsidRPr="0086671E">
        <w:rPr>
          <w:rFonts w:ascii="Calibri" w:hAnsi="Calibri" w:cs="Calibri"/>
          <w:lang w:val="es-ES"/>
        </w:rPr>
        <w:t>gastados</w:t>
      </w:r>
      <w:r w:rsidRPr="0086671E">
        <w:rPr>
          <w:rFonts w:ascii="Calibri" w:hAnsi="Calibri" w:cs="Calibri"/>
          <w:lang w:val="es-ES"/>
        </w:rPr>
        <w:t xml:space="preserve"> de las </w:t>
      </w:r>
      <w:r w:rsidR="00EA38DC" w:rsidRPr="0086671E">
        <w:rPr>
          <w:rFonts w:ascii="Calibri" w:hAnsi="Calibri" w:cs="Calibri"/>
          <w:lang w:val="es-ES"/>
        </w:rPr>
        <w:t>partidas</w:t>
      </w:r>
      <w:r w:rsidRPr="0086671E">
        <w:rPr>
          <w:rFonts w:ascii="Calibri" w:hAnsi="Calibri" w:cs="Calibri"/>
          <w:lang w:val="es-ES"/>
        </w:rPr>
        <w:t xml:space="preserve"> presupuestarias </w:t>
      </w:r>
      <w:r w:rsidR="00EA38DC" w:rsidRPr="0086671E">
        <w:rPr>
          <w:rFonts w:ascii="Calibri" w:hAnsi="Calibri" w:cs="Calibri"/>
          <w:lang w:val="es-ES"/>
        </w:rPr>
        <w:t>se podrían</w:t>
      </w:r>
      <w:r w:rsidRPr="0086671E">
        <w:rPr>
          <w:rFonts w:ascii="Calibri" w:hAnsi="Calibri" w:cs="Calibri"/>
          <w:lang w:val="es-ES"/>
        </w:rPr>
        <w:t xml:space="preserve"> </w:t>
      </w:r>
      <w:r w:rsidR="00EA38DC" w:rsidRPr="0086671E">
        <w:rPr>
          <w:rFonts w:ascii="Calibri" w:hAnsi="Calibri" w:cs="Calibri"/>
          <w:lang w:val="es-ES"/>
        </w:rPr>
        <w:t>transferir</w:t>
      </w:r>
      <w:r w:rsidRPr="0086671E">
        <w:rPr>
          <w:rFonts w:ascii="Calibri" w:hAnsi="Calibri" w:cs="Calibri"/>
          <w:lang w:val="es-ES"/>
        </w:rPr>
        <w:t xml:space="preserve"> al año siguiente dentro del trienio y presenta</w:t>
      </w:r>
      <w:r w:rsidR="00EA38DC" w:rsidRPr="0086671E">
        <w:rPr>
          <w:rFonts w:ascii="Calibri" w:hAnsi="Calibri" w:cs="Calibri"/>
          <w:lang w:val="es-ES"/>
        </w:rPr>
        <w:t>r</w:t>
      </w:r>
      <w:r w:rsidRPr="0086671E">
        <w:rPr>
          <w:rFonts w:ascii="Calibri" w:hAnsi="Calibri" w:cs="Calibri"/>
          <w:lang w:val="es-ES"/>
        </w:rPr>
        <w:t xml:space="preserve"> </w:t>
      </w:r>
      <w:r w:rsidR="00EA38DC" w:rsidRPr="0086671E">
        <w:rPr>
          <w:rFonts w:ascii="Calibri" w:hAnsi="Calibri" w:cs="Calibri"/>
          <w:lang w:val="es-ES"/>
        </w:rPr>
        <w:t>a</w:t>
      </w:r>
      <w:r w:rsidRPr="0086671E">
        <w:rPr>
          <w:rFonts w:ascii="Calibri" w:hAnsi="Calibri" w:cs="Calibri"/>
          <w:lang w:val="es-ES"/>
        </w:rPr>
        <w:t xml:space="preserve"> la siguiente reunión del Subgrupo de Finanzas. El proyecto de resolución sobre </w:t>
      </w:r>
      <w:r w:rsidR="00D941A4" w:rsidRPr="0086671E">
        <w:rPr>
          <w:rFonts w:ascii="Calibri" w:hAnsi="Calibri" w:cs="Calibri"/>
          <w:lang w:val="es-ES"/>
        </w:rPr>
        <w:t>cuestiones</w:t>
      </w:r>
      <w:r w:rsidRPr="0086671E">
        <w:rPr>
          <w:rFonts w:ascii="Calibri" w:hAnsi="Calibri" w:cs="Calibri"/>
          <w:lang w:val="es-ES"/>
        </w:rPr>
        <w:t xml:space="preserve"> financier</w:t>
      </w:r>
      <w:r w:rsidR="00D941A4" w:rsidRPr="0086671E">
        <w:rPr>
          <w:rFonts w:ascii="Calibri" w:hAnsi="Calibri" w:cs="Calibri"/>
          <w:lang w:val="es-ES"/>
        </w:rPr>
        <w:t>a</w:t>
      </w:r>
      <w:r w:rsidRPr="0086671E">
        <w:rPr>
          <w:rFonts w:ascii="Calibri" w:hAnsi="Calibri" w:cs="Calibri"/>
          <w:lang w:val="es-ES"/>
        </w:rPr>
        <w:t>s y presupuestari</w:t>
      </w:r>
      <w:r w:rsidR="00D941A4" w:rsidRPr="0086671E">
        <w:rPr>
          <w:rFonts w:ascii="Calibri" w:hAnsi="Calibri" w:cs="Calibri"/>
          <w:lang w:val="es-ES"/>
        </w:rPr>
        <w:t>a</w:t>
      </w:r>
      <w:r w:rsidRPr="0086671E">
        <w:rPr>
          <w:rFonts w:ascii="Calibri" w:hAnsi="Calibri" w:cs="Calibri"/>
          <w:lang w:val="es-ES"/>
        </w:rPr>
        <w:t xml:space="preserve">s reafirma esta </w:t>
      </w:r>
      <w:r w:rsidR="00EA38DC" w:rsidRPr="0086671E">
        <w:rPr>
          <w:rFonts w:ascii="Calibri" w:hAnsi="Calibri" w:cs="Calibri"/>
          <w:lang w:val="es-ES"/>
        </w:rPr>
        <w:t>d</w:t>
      </w:r>
      <w:r w:rsidRPr="0086671E">
        <w:rPr>
          <w:rFonts w:ascii="Calibri" w:hAnsi="Calibri" w:cs="Calibri"/>
          <w:lang w:val="es-ES"/>
        </w:rPr>
        <w:t xml:space="preserve">ecisión en el párrafo 25. </w:t>
      </w:r>
    </w:p>
    <w:p w14:paraId="4C7AD9EE" w14:textId="3995EF1C" w:rsidR="00CC38F6" w:rsidRPr="0086671E" w:rsidRDefault="00887DD4" w:rsidP="00CC38F6">
      <w:pPr>
        <w:pStyle w:val="ListParagraph"/>
        <w:numPr>
          <w:ilvl w:val="0"/>
          <w:numId w:val="5"/>
        </w:numPr>
        <w:spacing w:after="0" w:line="240" w:lineRule="auto"/>
        <w:ind w:left="426" w:hanging="426"/>
        <w:rPr>
          <w:rFonts w:ascii="Calibri" w:hAnsi="Calibri" w:cs="Calibri"/>
          <w:i/>
          <w:iCs/>
          <w:lang w:val="es-ES"/>
        </w:rPr>
      </w:pPr>
      <w:r w:rsidRPr="0086671E">
        <w:rPr>
          <w:rFonts w:ascii="Calibri" w:hAnsi="Calibri" w:cs="Calibri"/>
          <w:i/>
          <w:iCs/>
          <w:lang w:val="es-ES"/>
        </w:rPr>
        <w:t>Excedente</w:t>
      </w:r>
      <w:r w:rsidR="004A7628" w:rsidRPr="0086671E">
        <w:rPr>
          <w:rFonts w:ascii="Calibri" w:hAnsi="Calibri" w:cs="Calibri"/>
          <w:i/>
          <w:iCs/>
          <w:lang w:val="es-ES"/>
        </w:rPr>
        <w:t>s</w:t>
      </w:r>
      <w:r w:rsidRPr="0086671E">
        <w:rPr>
          <w:rFonts w:ascii="Calibri" w:hAnsi="Calibri" w:cs="Calibri"/>
          <w:i/>
          <w:iCs/>
          <w:lang w:val="es-ES"/>
        </w:rPr>
        <w:t xml:space="preserve">: </w:t>
      </w:r>
    </w:p>
    <w:p w14:paraId="20075721" w14:textId="0E143E9B" w:rsidR="00222E6A" w:rsidRDefault="00887DD4" w:rsidP="00EC6B4B">
      <w:pPr>
        <w:spacing w:after="0" w:line="240" w:lineRule="auto"/>
        <w:ind w:left="426"/>
        <w:rPr>
          <w:rFonts w:ascii="Calibri" w:hAnsi="Calibri" w:cs="Calibri"/>
          <w:lang w:val="es-ES"/>
        </w:rPr>
      </w:pPr>
      <w:r w:rsidRPr="0086671E">
        <w:rPr>
          <w:rFonts w:ascii="Calibri" w:hAnsi="Calibri" w:cs="Calibri"/>
          <w:lang w:val="es-ES"/>
        </w:rPr>
        <w:t xml:space="preserve">Los </w:t>
      </w:r>
      <w:r w:rsidR="00EA38DC" w:rsidRPr="0086671E">
        <w:rPr>
          <w:rFonts w:ascii="Calibri" w:hAnsi="Calibri" w:cs="Calibri"/>
          <w:lang w:val="es-ES"/>
        </w:rPr>
        <w:t xml:space="preserve">fondos </w:t>
      </w:r>
      <w:r w:rsidRPr="0086671E">
        <w:rPr>
          <w:rFonts w:ascii="Calibri" w:hAnsi="Calibri" w:cs="Calibri"/>
          <w:lang w:val="es-ES"/>
        </w:rPr>
        <w:t xml:space="preserve">excedentes son el resultado de los ingresos que superan los gastos previstos o reales del año. Estos fondos pueden utilizarse para financiar iniciativas adicionales, previa solicitud de las Partes Contratantes a la Secretaría, según recomiende el Subgrupo de Finanzas y decida el Comité Permanente. </w:t>
      </w:r>
    </w:p>
    <w:p w14:paraId="39B279E2" w14:textId="77777777" w:rsidR="00222E6A" w:rsidRDefault="00222E6A">
      <w:pPr>
        <w:rPr>
          <w:rFonts w:ascii="Calibri" w:hAnsi="Calibri" w:cs="Calibri"/>
          <w:lang w:val="es-ES"/>
        </w:rPr>
      </w:pPr>
      <w:r>
        <w:rPr>
          <w:rFonts w:ascii="Calibri" w:hAnsi="Calibri" w:cs="Calibri"/>
          <w:lang w:val="es-ES"/>
        </w:rPr>
        <w:br w:type="page"/>
      </w:r>
    </w:p>
    <w:p w14:paraId="3B6EF729" w14:textId="7653C98D" w:rsidR="00462ECE" w:rsidRPr="0086671E" w:rsidRDefault="00462ECE" w:rsidP="00462ECE">
      <w:pPr>
        <w:spacing w:after="0" w:line="240" w:lineRule="auto"/>
        <w:ind w:left="426" w:hanging="426"/>
        <w:rPr>
          <w:b/>
          <w:highlight w:val="lightGray"/>
          <w:lang w:val="es-ES"/>
        </w:rPr>
      </w:pPr>
      <w:r w:rsidRPr="0086671E">
        <w:rPr>
          <w:b/>
          <w:lang w:val="es-ES"/>
        </w:rPr>
        <w:lastRenderedPageBreak/>
        <w:t>1.</w:t>
      </w:r>
      <w:r w:rsidRPr="0086671E">
        <w:rPr>
          <w:b/>
          <w:lang w:val="es-ES"/>
        </w:rPr>
        <w:tab/>
      </w:r>
      <w:r w:rsidR="0018296A" w:rsidRPr="0086671E">
        <w:rPr>
          <w:b/>
          <w:lang w:val="es-ES"/>
        </w:rPr>
        <w:t>Estado</w:t>
      </w:r>
      <w:r w:rsidR="00887DD4" w:rsidRPr="0086671E">
        <w:rPr>
          <w:b/>
          <w:lang w:val="es-ES"/>
        </w:rPr>
        <w:t xml:space="preserve"> de las contribuciones anuales: </w:t>
      </w:r>
    </w:p>
    <w:p w14:paraId="34F67B4D" w14:textId="77777777" w:rsidR="00462ECE" w:rsidRPr="0086671E" w:rsidRDefault="00462ECE" w:rsidP="00462ECE">
      <w:pPr>
        <w:spacing w:after="0" w:line="240" w:lineRule="auto"/>
        <w:ind w:left="426" w:hanging="426"/>
        <w:rPr>
          <w:b/>
          <w:highlight w:val="lightGray"/>
          <w:lang w:val="es-ES"/>
        </w:rPr>
      </w:pPr>
    </w:p>
    <w:p w14:paraId="2832C7D3" w14:textId="3BCA7839" w:rsidR="002B796C" w:rsidRPr="0086671E" w:rsidRDefault="00113433" w:rsidP="00462ECE">
      <w:pPr>
        <w:spacing w:after="0" w:line="240" w:lineRule="auto"/>
        <w:contextualSpacing/>
        <w:rPr>
          <w:iCs/>
          <w:lang w:val="es-ES"/>
        </w:rPr>
      </w:pPr>
      <w:r w:rsidRPr="0086671E">
        <w:rPr>
          <w:rFonts w:cs="Calibri"/>
          <w:color w:val="000000" w:themeColor="text1"/>
          <w:lang w:val="es-ES"/>
        </w:rPr>
        <w:t xml:space="preserve">La Secretaría resumió </w:t>
      </w:r>
      <w:r w:rsidR="009822A1" w:rsidRPr="0086671E">
        <w:rPr>
          <w:rFonts w:cs="Calibri"/>
          <w:color w:val="000000" w:themeColor="text1"/>
          <w:lang w:val="es-ES"/>
        </w:rPr>
        <w:t>el estado</w:t>
      </w:r>
      <w:r w:rsidRPr="0086671E">
        <w:rPr>
          <w:rFonts w:cs="Calibri"/>
          <w:color w:val="000000" w:themeColor="text1"/>
          <w:lang w:val="es-ES"/>
        </w:rPr>
        <w:t xml:space="preserve"> de las contribuciones anuales a 31 de diciembre de 2024, tal como se presenta en el documento SC64 Doc 9.2 Rev.1 y su Anexo 1. En cuanto a la provisión de 2025 para contribuciones pendientes</w:t>
      </w:r>
      <w:r w:rsidR="009822A1" w:rsidRPr="0086671E">
        <w:rPr>
          <w:rFonts w:cs="Calibri"/>
          <w:color w:val="000000" w:themeColor="text1"/>
          <w:lang w:val="es-ES"/>
        </w:rPr>
        <w:t xml:space="preserve"> de pago</w:t>
      </w:r>
      <w:r w:rsidRPr="0086671E">
        <w:rPr>
          <w:rFonts w:cs="Calibri"/>
          <w:color w:val="000000" w:themeColor="text1"/>
          <w:lang w:val="es-ES"/>
        </w:rPr>
        <w:t>, la última estimación era que se necesitarían 133</w:t>
      </w:r>
      <w:r w:rsidR="009822A1" w:rsidRPr="0086671E">
        <w:rPr>
          <w:rFonts w:cs="Calibri"/>
          <w:color w:val="000000" w:themeColor="text1"/>
          <w:lang w:val="es-ES"/>
        </w:rPr>
        <w:t xml:space="preserve"> </w:t>
      </w:r>
      <w:r w:rsidRPr="0086671E">
        <w:rPr>
          <w:rFonts w:cs="Calibri"/>
          <w:color w:val="000000" w:themeColor="text1"/>
          <w:lang w:val="es-ES"/>
        </w:rPr>
        <w:t>000 francos suizos. Se han asignado 150</w:t>
      </w:r>
      <w:r w:rsidR="009822A1" w:rsidRPr="0086671E">
        <w:rPr>
          <w:rFonts w:cs="Calibri"/>
          <w:color w:val="000000" w:themeColor="text1"/>
          <w:lang w:val="es-ES"/>
        </w:rPr>
        <w:t xml:space="preserve"> </w:t>
      </w:r>
      <w:r w:rsidRPr="0086671E">
        <w:rPr>
          <w:rFonts w:cs="Calibri"/>
          <w:color w:val="000000" w:themeColor="text1"/>
          <w:lang w:val="es-ES"/>
        </w:rPr>
        <w:t xml:space="preserve">000 francos suizos, por lo que la </w:t>
      </w:r>
      <w:r w:rsidR="009822A1" w:rsidRPr="0086671E">
        <w:rPr>
          <w:rFonts w:cs="Calibri"/>
          <w:color w:val="000000" w:themeColor="text1"/>
          <w:lang w:val="es-ES"/>
        </w:rPr>
        <w:t>posible</w:t>
      </w:r>
      <w:r w:rsidRPr="0086671E">
        <w:rPr>
          <w:rFonts w:cs="Calibri"/>
          <w:color w:val="000000" w:themeColor="text1"/>
          <w:lang w:val="es-ES"/>
        </w:rPr>
        <w:t xml:space="preserve"> diferencia estaría disponible para una futura reasignación en </w:t>
      </w:r>
      <w:r w:rsidR="009822A1" w:rsidRPr="0086671E">
        <w:rPr>
          <w:rFonts w:cs="Calibri"/>
          <w:color w:val="000000" w:themeColor="text1"/>
          <w:lang w:val="es-ES"/>
        </w:rPr>
        <w:t>la reunión</w:t>
      </w:r>
      <w:r w:rsidRPr="0086671E">
        <w:rPr>
          <w:rFonts w:cs="Calibri"/>
          <w:color w:val="000000" w:themeColor="text1"/>
          <w:lang w:val="es-ES"/>
        </w:rPr>
        <w:t xml:space="preserve"> SC65. </w:t>
      </w:r>
    </w:p>
    <w:p w14:paraId="17C0920E" w14:textId="77777777" w:rsidR="00DB51AE" w:rsidRPr="0086671E" w:rsidRDefault="00DB51AE" w:rsidP="00462ECE">
      <w:pPr>
        <w:spacing w:after="0" w:line="240" w:lineRule="auto"/>
        <w:contextualSpacing/>
        <w:rPr>
          <w:iCs/>
          <w:lang w:val="es-ES"/>
        </w:rPr>
      </w:pPr>
    </w:p>
    <w:p w14:paraId="64426767" w14:textId="7991D2FB" w:rsidR="00DB51AE" w:rsidRPr="0086671E" w:rsidRDefault="00113433" w:rsidP="00462ECE">
      <w:pPr>
        <w:spacing w:after="0" w:line="240" w:lineRule="auto"/>
        <w:contextualSpacing/>
        <w:rPr>
          <w:iCs/>
          <w:lang w:val="es-ES"/>
        </w:rPr>
      </w:pPr>
      <w:r w:rsidRPr="0086671E">
        <w:rPr>
          <w:iCs/>
          <w:lang w:val="es-ES"/>
        </w:rPr>
        <w:t>Zimbab</w:t>
      </w:r>
      <w:r w:rsidR="009822A1" w:rsidRPr="0086671E">
        <w:rPr>
          <w:iCs/>
          <w:lang w:val="es-ES"/>
        </w:rPr>
        <w:t>w</w:t>
      </w:r>
      <w:r w:rsidRPr="0086671E">
        <w:rPr>
          <w:iCs/>
          <w:lang w:val="es-ES"/>
        </w:rPr>
        <w:t>e señaló que acababa de pagar su saldo pendiente así como su contribución para 2025.</w:t>
      </w:r>
      <w:r w:rsidR="004A7628" w:rsidRPr="0086671E">
        <w:rPr>
          <w:iCs/>
          <w:lang w:val="es-ES"/>
        </w:rPr>
        <w:t xml:space="preserve"> </w:t>
      </w:r>
    </w:p>
    <w:p w14:paraId="5EB7846D" w14:textId="77777777" w:rsidR="00462ECE" w:rsidRPr="0086671E" w:rsidRDefault="00462ECE" w:rsidP="00462ECE">
      <w:pPr>
        <w:spacing w:after="0" w:line="240" w:lineRule="auto"/>
        <w:contextualSpacing/>
        <w:rPr>
          <w:rFonts w:cs="Calibri"/>
          <w:color w:val="000000" w:themeColor="text1"/>
          <w:lang w:val="es-ES"/>
        </w:rPr>
      </w:pPr>
    </w:p>
    <w:p w14:paraId="5072B6D3" w14:textId="4C02C6A1" w:rsidR="002B796C" w:rsidRPr="0086671E" w:rsidRDefault="00113433" w:rsidP="00462ECE">
      <w:pPr>
        <w:keepNext/>
        <w:spacing w:after="0" w:line="240" w:lineRule="auto"/>
        <w:contextualSpacing/>
        <w:rPr>
          <w:b/>
          <w:bCs/>
          <w:lang w:val="es-ES"/>
        </w:rPr>
      </w:pPr>
      <w:r w:rsidRPr="0086671E">
        <w:rPr>
          <w:b/>
          <w:bCs/>
          <w:lang w:val="es-ES"/>
        </w:rPr>
        <w:t xml:space="preserve">El Subgrupo de Finanzas recomienda </w:t>
      </w:r>
      <w:r w:rsidR="007A1483" w:rsidRPr="0086671E">
        <w:rPr>
          <w:b/>
          <w:bCs/>
          <w:lang w:val="es-ES"/>
        </w:rPr>
        <w:t>que e</w:t>
      </w:r>
      <w:r w:rsidRPr="0086671E">
        <w:rPr>
          <w:b/>
          <w:bCs/>
          <w:lang w:val="es-ES"/>
        </w:rPr>
        <w:t>l Comité Permanente:</w:t>
      </w:r>
    </w:p>
    <w:p w14:paraId="41A8F4B6" w14:textId="193690A0" w:rsidR="001F03FD" w:rsidRPr="0086671E" w:rsidRDefault="003D1F73" w:rsidP="00462ECE">
      <w:pPr>
        <w:spacing w:after="0" w:line="240" w:lineRule="auto"/>
        <w:ind w:left="425" w:hanging="425"/>
        <w:contextualSpacing/>
        <w:rPr>
          <w:rFonts w:cs="Calibri"/>
          <w:b/>
          <w:bCs/>
          <w:i/>
          <w:color w:val="000000" w:themeColor="text1"/>
          <w:lang w:val="es-ES"/>
        </w:rPr>
      </w:pPr>
      <w:r w:rsidRPr="0086671E">
        <w:rPr>
          <w:rFonts w:cs="Calibri"/>
          <w:b/>
          <w:bCs/>
          <w:i/>
          <w:iCs/>
          <w:color w:val="000000" w:themeColor="text1"/>
          <w:lang w:val="es-ES"/>
        </w:rPr>
        <w:t>i.</w:t>
      </w:r>
      <w:r w:rsidRPr="0086671E">
        <w:rPr>
          <w:i/>
          <w:iCs/>
          <w:lang w:val="es-ES"/>
        </w:rPr>
        <w:tab/>
      </w:r>
      <w:r w:rsidR="00DC0F3D" w:rsidRPr="0086671E">
        <w:rPr>
          <w:rFonts w:cs="Calibri"/>
          <w:b/>
          <w:bCs/>
          <w:i/>
          <w:color w:val="000000" w:themeColor="text1"/>
          <w:lang w:val="es-ES"/>
        </w:rPr>
        <w:t>tome nota de</w:t>
      </w:r>
      <w:r w:rsidR="009822A1" w:rsidRPr="0086671E">
        <w:rPr>
          <w:rFonts w:cs="Calibri"/>
          <w:b/>
          <w:bCs/>
          <w:i/>
          <w:color w:val="000000" w:themeColor="text1"/>
          <w:lang w:val="es-ES"/>
        </w:rPr>
        <w:t xml:space="preserve">l estado </w:t>
      </w:r>
      <w:r w:rsidR="00DC0F3D" w:rsidRPr="0086671E">
        <w:rPr>
          <w:rFonts w:cs="Calibri"/>
          <w:b/>
          <w:bCs/>
          <w:i/>
          <w:color w:val="000000" w:themeColor="text1"/>
          <w:lang w:val="es-ES"/>
        </w:rPr>
        <w:t>de las contribuciones</w:t>
      </w:r>
      <w:r w:rsidR="00593CCD" w:rsidRPr="0086671E">
        <w:rPr>
          <w:rFonts w:cs="Calibri"/>
          <w:b/>
          <w:bCs/>
          <w:i/>
          <w:color w:val="000000" w:themeColor="text1"/>
          <w:lang w:val="es-ES"/>
        </w:rPr>
        <w:t xml:space="preserve"> anuales</w:t>
      </w:r>
      <w:r w:rsidR="00DC0F3D" w:rsidRPr="0086671E">
        <w:rPr>
          <w:rFonts w:cs="Calibri"/>
          <w:b/>
          <w:bCs/>
          <w:i/>
          <w:color w:val="000000" w:themeColor="text1"/>
          <w:lang w:val="es-ES"/>
        </w:rPr>
        <w:t xml:space="preserve"> a 31 de diciembre de 2024;</w:t>
      </w:r>
      <w:r w:rsidR="00DC0F3D" w:rsidRPr="0086671E">
        <w:rPr>
          <w:i/>
          <w:iCs/>
          <w:lang w:val="es-ES"/>
        </w:rPr>
        <w:t xml:space="preserve"> </w:t>
      </w:r>
    </w:p>
    <w:p w14:paraId="09C0CD40" w14:textId="28C00295" w:rsidR="001F03FD" w:rsidRPr="0086671E" w:rsidRDefault="001F03FD"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ii.</w:t>
      </w:r>
      <w:r w:rsidRPr="0086671E">
        <w:rPr>
          <w:rFonts w:cs="Calibri"/>
          <w:b/>
          <w:bCs/>
          <w:i/>
          <w:color w:val="000000" w:themeColor="text1"/>
          <w:lang w:val="es-ES"/>
        </w:rPr>
        <w:tab/>
      </w:r>
      <w:r w:rsidR="00DC0F3D" w:rsidRPr="0086671E">
        <w:rPr>
          <w:rFonts w:cs="Calibri"/>
          <w:b/>
          <w:bCs/>
          <w:i/>
          <w:color w:val="000000" w:themeColor="text1"/>
          <w:lang w:val="es-ES"/>
        </w:rPr>
        <w:t>tome nota de</w:t>
      </w:r>
      <w:r w:rsidR="009822A1" w:rsidRPr="0086671E">
        <w:rPr>
          <w:rFonts w:cs="Calibri"/>
          <w:b/>
          <w:bCs/>
          <w:i/>
          <w:color w:val="000000" w:themeColor="text1"/>
          <w:lang w:val="es-ES"/>
        </w:rPr>
        <w:t xml:space="preserve">l estado </w:t>
      </w:r>
      <w:r w:rsidR="00DC0F3D" w:rsidRPr="0086671E">
        <w:rPr>
          <w:rFonts w:cs="Calibri"/>
          <w:b/>
          <w:bCs/>
          <w:i/>
          <w:color w:val="000000" w:themeColor="text1"/>
          <w:lang w:val="es-ES"/>
        </w:rPr>
        <w:t xml:space="preserve">de las contribuciones </w:t>
      </w:r>
      <w:r w:rsidR="00593CCD" w:rsidRPr="0086671E">
        <w:rPr>
          <w:rFonts w:cs="Calibri"/>
          <w:b/>
          <w:bCs/>
          <w:i/>
          <w:color w:val="000000" w:themeColor="text1"/>
          <w:lang w:val="es-ES"/>
        </w:rPr>
        <w:t xml:space="preserve">asignadas </w:t>
      </w:r>
      <w:r w:rsidR="00DC0F3D" w:rsidRPr="0086671E">
        <w:rPr>
          <w:rFonts w:cs="Calibri"/>
          <w:b/>
          <w:bCs/>
          <w:i/>
          <w:color w:val="000000" w:themeColor="text1"/>
          <w:lang w:val="es-ES"/>
        </w:rPr>
        <w:t xml:space="preserve">a 31 de diciembre de 2024 como parte del proceso de auditoría; </w:t>
      </w:r>
    </w:p>
    <w:p w14:paraId="448ECFA4" w14:textId="162E84FB" w:rsidR="001F03FD" w:rsidRPr="0086671E" w:rsidRDefault="001F03FD"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iii.</w:t>
      </w:r>
      <w:r w:rsidRPr="0086671E">
        <w:rPr>
          <w:rFonts w:cs="Calibri"/>
          <w:b/>
          <w:bCs/>
          <w:i/>
          <w:color w:val="000000" w:themeColor="text1"/>
          <w:lang w:val="es-ES"/>
        </w:rPr>
        <w:tab/>
      </w:r>
      <w:r w:rsidR="00DC0F3D" w:rsidRPr="0086671E">
        <w:rPr>
          <w:rFonts w:cs="Calibri"/>
          <w:b/>
          <w:bCs/>
          <w:i/>
          <w:color w:val="000000" w:themeColor="text1"/>
          <w:lang w:val="es-ES"/>
        </w:rPr>
        <w:t xml:space="preserve">tome nota de las </w:t>
      </w:r>
      <w:r w:rsidR="00593CCD" w:rsidRPr="0086671E">
        <w:rPr>
          <w:rFonts w:cs="Calibri"/>
          <w:b/>
          <w:bCs/>
          <w:i/>
          <w:color w:val="000000" w:themeColor="text1"/>
          <w:lang w:val="es-ES"/>
        </w:rPr>
        <w:t>acciones</w:t>
      </w:r>
      <w:r w:rsidR="00DC0F3D" w:rsidRPr="0086671E">
        <w:rPr>
          <w:rFonts w:cs="Calibri"/>
          <w:b/>
          <w:bCs/>
          <w:i/>
          <w:color w:val="000000" w:themeColor="text1"/>
          <w:lang w:val="es-ES"/>
        </w:rPr>
        <w:t xml:space="preserve"> enumeradas en los párrafos 14, 16, 17 y 18 del documento SC64 Doc.9.2 Rev.1 para seguir</w:t>
      </w:r>
      <w:r w:rsidR="00593CCD" w:rsidRPr="0086671E">
        <w:rPr>
          <w:rFonts w:cs="Calibri"/>
          <w:b/>
          <w:bCs/>
          <w:i/>
          <w:color w:val="000000" w:themeColor="text1"/>
          <w:lang w:val="es-ES"/>
        </w:rPr>
        <w:t xml:space="preserve"> fomentando</w:t>
      </w:r>
      <w:r w:rsidR="00DC0F3D" w:rsidRPr="0086671E">
        <w:rPr>
          <w:rFonts w:cs="Calibri"/>
          <w:b/>
          <w:bCs/>
          <w:i/>
          <w:color w:val="000000" w:themeColor="text1"/>
          <w:lang w:val="es-ES"/>
        </w:rPr>
        <w:t xml:space="preserve"> el pago de las contribuciones anuales por las Partes Contratantes; y </w:t>
      </w:r>
    </w:p>
    <w:p w14:paraId="37EE5087" w14:textId="4695F1B0" w:rsidR="001F03FD" w:rsidRPr="0086671E" w:rsidRDefault="00911328" w:rsidP="00462ECE">
      <w:pPr>
        <w:spacing w:after="0" w:line="240" w:lineRule="auto"/>
        <w:ind w:left="425" w:hanging="425"/>
        <w:contextualSpacing/>
        <w:rPr>
          <w:rFonts w:cs="Calibri"/>
          <w:i/>
          <w:color w:val="000000" w:themeColor="text1"/>
          <w:lang w:val="es-ES"/>
        </w:rPr>
      </w:pPr>
      <w:r w:rsidRPr="0086671E">
        <w:rPr>
          <w:rFonts w:cs="Calibri"/>
          <w:b/>
          <w:bCs/>
          <w:i/>
          <w:color w:val="000000" w:themeColor="text1"/>
          <w:lang w:val="es-ES"/>
        </w:rPr>
        <w:t>i</w:t>
      </w:r>
      <w:r w:rsidR="001F03FD" w:rsidRPr="0086671E">
        <w:rPr>
          <w:rFonts w:cs="Calibri"/>
          <w:b/>
          <w:bCs/>
          <w:i/>
          <w:color w:val="000000" w:themeColor="text1"/>
          <w:lang w:val="es-ES"/>
        </w:rPr>
        <w:t>v.</w:t>
      </w:r>
      <w:r w:rsidR="001F03FD" w:rsidRPr="0086671E">
        <w:rPr>
          <w:rFonts w:cs="Calibri"/>
          <w:b/>
          <w:bCs/>
          <w:i/>
          <w:color w:val="000000" w:themeColor="text1"/>
          <w:lang w:val="es-ES"/>
        </w:rPr>
        <w:tab/>
      </w:r>
      <w:r w:rsidR="00DC0F3D" w:rsidRPr="0086671E">
        <w:rPr>
          <w:rFonts w:cs="Calibri"/>
          <w:b/>
          <w:bCs/>
          <w:i/>
          <w:color w:val="000000" w:themeColor="text1"/>
          <w:lang w:val="es-ES"/>
        </w:rPr>
        <w:t>tome nota de</w:t>
      </w:r>
      <w:r w:rsidR="00593CCD" w:rsidRPr="0086671E">
        <w:rPr>
          <w:rFonts w:cs="Calibri"/>
          <w:b/>
          <w:bCs/>
          <w:i/>
          <w:color w:val="000000" w:themeColor="text1"/>
          <w:lang w:val="es-ES"/>
        </w:rPr>
        <w:t xml:space="preserve">l estado </w:t>
      </w:r>
      <w:r w:rsidR="00DC0F3D" w:rsidRPr="0086671E">
        <w:rPr>
          <w:rFonts w:cs="Calibri"/>
          <w:b/>
          <w:bCs/>
          <w:i/>
          <w:color w:val="000000" w:themeColor="text1"/>
          <w:lang w:val="es-ES"/>
        </w:rPr>
        <w:t xml:space="preserve">de las contribuciones voluntarias recibidas de las Partes Contratantes </w:t>
      </w:r>
      <w:r w:rsidR="00593CCD" w:rsidRPr="0086671E">
        <w:rPr>
          <w:rFonts w:cs="Calibri"/>
          <w:b/>
          <w:bCs/>
          <w:i/>
          <w:color w:val="000000" w:themeColor="text1"/>
          <w:lang w:val="es-ES"/>
        </w:rPr>
        <w:t>de</w:t>
      </w:r>
      <w:r w:rsidR="00DC0F3D" w:rsidRPr="0086671E">
        <w:rPr>
          <w:rFonts w:cs="Calibri"/>
          <w:b/>
          <w:bCs/>
          <w:i/>
          <w:color w:val="000000" w:themeColor="text1"/>
          <w:lang w:val="es-ES"/>
        </w:rPr>
        <w:t xml:space="preserve"> la región de África que se indica en el párrafo 19 del documento SC64 Doc.9.2. Rev.1</w:t>
      </w:r>
      <w:r w:rsidR="004A7628" w:rsidRPr="0086671E">
        <w:rPr>
          <w:rFonts w:cs="Calibri"/>
          <w:b/>
          <w:bCs/>
          <w:i/>
          <w:color w:val="000000" w:themeColor="text1"/>
          <w:lang w:val="es-ES"/>
        </w:rPr>
        <w:t>.</w:t>
      </w:r>
      <w:r w:rsidR="00DC0F3D" w:rsidRPr="0086671E">
        <w:rPr>
          <w:rFonts w:cs="Calibri"/>
          <w:b/>
          <w:bCs/>
          <w:i/>
          <w:color w:val="000000" w:themeColor="text1"/>
          <w:lang w:val="es-ES"/>
        </w:rPr>
        <w:t xml:space="preserve"> </w:t>
      </w:r>
    </w:p>
    <w:p w14:paraId="023F3341" w14:textId="22C383EE" w:rsidR="003D1F73" w:rsidRPr="0086671E" w:rsidRDefault="003D1F73" w:rsidP="00462ECE">
      <w:pPr>
        <w:spacing w:after="0" w:line="240" w:lineRule="auto"/>
        <w:ind w:left="425" w:hanging="425"/>
        <w:contextualSpacing/>
        <w:rPr>
          <w:rFonts w:cs="Calibri"/>
          <w:color w:val="000000" w:themeColor="text1"/>
          <w:lang w:val="es-ES"/>
        </w:rPr>
      </w:pPr>
    </w:p>
    <w:p w14:paraId="20A23268" w14:textId="7015550E" w:rsidR="00DC0F3D" w:rsidRPr="0086671E" w:rsidRDefault="00462ECE" w:rsidP="00462ECE">
      <w:pPr>
        <w:spacing w:after="0" w:line="240" w:lineRule="auto"/>
        <w:ind w:left="426" w:hanging="426"/>
        <w:rPr>
          <w:b/>
          <w:lang w:val="es-ES"/>
        </w:rPr>
      </w:pPr>
      <w:r w:rsidRPr="0086671E">
        <w:rPr>
          <w:b/>
          <w:lang w:val="es-ES"/>
        </w:rPr>
        <w:t>2.</w:t>
      </w:r>
      <w:r w:rsidRPr="0086671E">
        <w:rPr>
          <w:b/>
          <w:lang w:val="es-ES"/>
        </w:rPr>
        <w:tab/>
      </w:r>
      <w:r w:rsidR="00DC0F3D" w:rsidRPr="0086671E">
        <w:rPr>
          <w:b/>
          <w:lang w:val="es-ES"/>
        </w:rPr>
        <w:t xml:space="preserve">Informe sobre </w:t>
      </w:r>
      <w:r w:rsidR="002E68F5" w:rsidRPr="0086671E">
        <w:rPr>
          <w:b/>
          <w:lang w:val="es-ES"/>
        </w:rPr>
        <w:t>cuestiones</w:t>
      </w:r>
      <w:r w:rsidR="00DC0F3D" w:rsidRPr="0086671E">
        <w:rPr>
          <w:b/>
          <w:lang w:val="es-ES"/>
        </w:rPr>
        <w:t xml:space="preserve"> financier</w:t>
      </w:r>
      <w:r w:rsidR="002E68F5" w:rsidRPr="0086671E">
        <w:rPr>
          <w:b/>
          <w:lang w:val="es-ES"/>
        </w:rPr>
        <w:t>a</w:t>
      </w:r>
      <w:r w:rsidR="00DC0F3D" w:rsidRPr="0086671E">
        <w:rPr>
          <w:b/>
          <w:lang w:val="es-ES"/>
        </w:rPr>
        <w:t xml:space="preserve">s para 2024 y 2025 </w:t>
      </w:r>
    </w:p>
    <w:p w14:paraId="6ED77650" w14:textId="77777777" w:rsidR="00462ECE" w:rsidRPr="0086671E" w:rsidRDefault="00462ECE" w:rsidP="00462ECE">
      <w:pPr>
        <w:pStyle w:val="ColorfulList-Accent11"/>
        <w:ind w:left="785"/>
        <w:rPr>
          <w:rFonts w:cs="Calibri"/>
          <w:lang w:val="es-ES"/>
        </w:rPr>
      </w:pPr>
    </w:p>
    <w:p w14:paraId="35727B94" w14:textId="4B71E6ED" w:rsidR="00B07229" w:rsidRPr="0086671E" w:rsidRDefault="00DC0F3D" w:rsidP="00462ECE">
      <w:pPr>
        <w:pStyle w:val="ColorfulList-Accent11"/>
        <w:ind w:left="0" w:firstLine="0"/>
        <w:rPr>
          <w:rFonts w:cs="Calibri"/>
          <w:lang w:val="es-ES"/>
        </w:rPr>
      </w:pPr>
      <w:r w:rsidRPr="0086671E">
        <w:rPr>
          <w:rFonts w:cs="Calibri"/>
          <w:lang w:val="es-ES"/>
        </w:rPr>
        <w:t>La Secretaría presentó el documento SC64 Doc.9.1</w:t>
      </w:r>
      <w:r w:rsidR="00593CCD" w:rsidRPr="0086671E">
        <w:rPr>
          <w:rFonts w:cs="Calibri"/>
          <w:lang w:val="es-ES"/>
        </w:rPr>
        <w:t>,</w:t>
      </w:r>
      <w:r w:rsidRPr="0086671E">
        <w:rPr>
          <w:rFonts w:cs="Calibri"/>
          <w:lang w:val="es-ES"/>
        </w:rPr>
        <w:t xml:space="preserve"> </w:t>
      </w:r>
      <w:r w:rsidRPr="0086671E">
        <w:rPr>
          <w:rFonts w:cs="Calibri"/>
          <w:i/>
          <w:iCs/>
          <w:lang w:val="es-ES"/>
        </w:rPr>
        <w:t>Cuestiones financieras y presupuestarias: Informe sobre</w:t>
      </w:r>
      <w:r w:rsidR="002E68F5" w:rsidRPr="0086671E">
        <w:rPr>
          <w:rFonts w:cs="Calibri"/>
          <w:i/>
          <w:iCs/>
          <w:lang w:val="es-ES"/>
        </w:rPr>
        <w:t xml:space="preserve"> cuestione</w:t>
      </w:r>
      <w:r w:rsidRPr="0086671E">
        <w:rPr>
          <w:rFonts w:cs="Calibri"/>
          <w:i/>
          <w:iCs/>
          <w:lang w:val="es-ES"/>
        </w:rPr>
        <w:t>s financier</w:t>
      </w:r>
      <w:r w:rsidR="002E68F5" w:rsidRPr="0086671E">
        <w:rPr>
          <w:rFonts w:cs="Calibri"/>
          <w:i/>
          <w:iCs/>
          <w:lang w:val="es-ES"/>
        </w:rPr>
        <w:t>a</w:t>
      </w:r>
      <w:r w:rsidRPr="0086671E">
        <w:rPr>
          <w:rFonts w:cs="Calibri"/>
          <w:i/>
          <w:iCs/>
          <w:lang w:val="es-ES"/>
        </w:rPr>
        <w:t>s para 2024 y 2025 (a 30 de septiembre de 2024).</w:t>
      </w:r>
      <w:r w:rsidRPr="0086671E">
        <w:rPr>
          <w:rFonts w:cs="Calibri"/>
          <w:lang w:val="es-ES"/>
        </w:rPr>
        <w:t xml:space="preserve"> </w:t>
      </w:r>
      <w:r w:rsidR="0086671E">
        <w:rPr>
          <w:rFonts w:cs="Calibri"/>
          <w:lang w:val="es-ES"/>
        </w:rPr>
        <w:t>Indicó que l</w:t>
      </w:r>
      <w:r w:rsidRPr="0086671E">
        <w:rPr>
          <w:rFonts w:cs="Calibri"/>
          <w:lang w:val="es-ES"/>
        </w:rPr>
        <w:t xml:space="preserve">os ingresos y gastos definitivos para 2024 se confirmarían en la próxima auditoría, estando prevista la publicación del informe del auditor en abril de 2025. Los estados financieros auditados se incluirán en el documento actualizado que se someterá a la consideración del Comité Permanente en la </w:t>
      </w:r>
      <w:r w:rsidR="00593CCD" w:rsidRPr="0086671E">
        <w:rPr>
          <w:rFonts w:cs="Calibri"/>
          <w:lang w:val="es-ES"/>
        </w:rPr>
        <w:t xml:space="preserve">reunión </w:t>
      </w:r>
      <w:r w:rsidRPr="0086671E">
        <w:rPr>
          <w:rFonts w:cs="Calibri"/>
          <w:lang w:val="es-ES"/>
        </w:rPr>
        <w:t>SC65</w:t>
      </w:r>
      <w:r w:rsidR="00593CCD" w:rsidRPr="0086671E">
        <w:rPr>
          <w:rFonts w:cs="Calibri"/>
          <w:lang w:val="es-ES"/>
        </w:rPr>
        <w:t xml:space="preserve">, en </w:t>
      </w:r>
      <w:r w:rsidRPr="0086671E">
        <w:rPr>
          <w:rFonts w:cs="Calibri"/>
          <w:lang w:val="es-ES"/>
        </w:rPr>
        <w:t xml:space="preserve">julio. </w:t>
      </w:r>
    </w:p>
    <w:p w14:paraId="1045A10C" w14:textId="77777777" w:rsidR="00E04AE0" w:rsidRPr="0086671E" w:rsidRDefault="00E04AE0" w:rsidP="00462ECE">
      <w:pPr>
        <w:pStyle w:val="ColorfulList-Accent11"/>
        <w:ind w:left="0" w:firstLine="0"/>
        <w:rPr>
          <w:rFonts w:cs="Calibri"/>
          <w:lang w:val="es-ES"/>
        </w:rPr>
      </w:pPr>
    </w:p>
    <w:p w14:paraId="654BFE78" w14:textId="63E682C0" w:rsidR="00E04AE0" w:rsidRPr="0086671E" w:rsidRDefault="002E68F5" w:rsidP="00462ECE">
      <w:pPr>
        <w:pStyle w:val="ColorfulList-Accent11"/>
        <w:ind w:left="0" w:firstLine="0"/>
        <w:rPr>
          <w:rFonts w:cs="Calibri"/>
          <w:lang w:val="es-ES"/>
        </w:rPr>
      </w:pPr>
      <w:r w:rsidRPr="0086671E">
        <w:rPr>
          <w:rFonts w:cs="Calibri"/>
          <w:lang w:val="es-ES"/>
        </w:rPr>
        <w:t xml:space="preserve">La última estimación de los fondos excedentes del presupuesto básico de 2024 </w:t>
      </w:r>
      <w:r w:rsidR="0086671E">
        <w:rPr>
          <w:rFonts w:cs="Calibri"/>
          <w:lang w:val="es-ES"/>
        </w:rPr>
        <w:t>por asignar</w:t>
      </w:r>
      <w:r w:rsidRPr="0086671E">
        <w:rPr>
          <w:rFonts w:cs="Calibri"/>
          <w:lang w:val="es-ES"/>
        </w:rPr>
        <w:t xml:space="preserve"> (actualización del Cuadro 2 del documento SC64 Doc.9.1) se resume en el Cuadro 1 que figura a continuación. </w:t>
      </w:r>
    </w:p>
    <w:p w14:paraId="421BAD32" w14:textId="77777777" w:rsidR="00E04AE0" w:rsidRPr="0086671E" w:rsidRDefault="00E04AE0" w:rsidP="00462ECE">
      <w:pPr>
        <w:pStyle w:val="ColorfulList-Accent11"/>
        <w:ind w:left="0" w:firstLine="0"/>
        <w:rPr>
          <w:rFonts w:cs="Calibri"/>
          <w:lang w:val="es-ES"/>
        </w:rPr>
      </w:pPr>
    </w:p>
    <w:p w14:paraId="7CE7E717" w14:textId="17AE5827" w:rsidR="00E04AE0" w:rsidRPr="0086671E" w:rsidRDefault="002E68F5" w:rsidP="00592253">
      <w:pPr>
        <w:spacing w:after="0" w:line="240" w:lineRule="auto"/>
        <w:rPr>
          <w:rFonts w:ascii="Calibri" w:hAnsi="Calibri"/>
          <w:i/>
          <w:lang w:val="es-ES"/>
        </w:rPr>
      </w:pPr>
      <w:r w:rsidRPr="0086671E">
        <w:rPr>
          <w:rFonts w:ascii="Calibri" w:eastAsia="Times New Roman" w:hAnsi="Calibri" w:cs="Calibri"/>
          <w:i/>
          <w:iCs/>
          <w:color w:val="000000"/>
          <w:lang w:val="es-ES" w:eastAsia="en-GB"/>
        </w:rPr>
        <w:t xml:space="preserve">Cuadro 1: Excedente del presupuesto básico de 2024 por asignar (en miles de francos suizos) </w:t>
      </w:r>
      <w:r w:rsidR="009D13D9" w:rsidRPr="0086671E">
        <w:rPr>
          <w:rFonts w:ascii="Calibri" w:eastAsia="Times New Roman" w:hAnsi="Calibri" w:cs="Calibri"/>
          <w:i/>
          <w:iCs/>
          <w:color w:val="000000"/>
          <w:lang w:val="es-ES" w:eastAsia="en-GB"/>
        </w:rPr>
        <w:t xml:space="preserve">– </w:t>
      </w:r>
      <w:r w:rsidRPr="0086671E">
        <w:rPr>
          <w:rFonts w:ascii="Calibri" w:eastAsia="Times New Roman" w:hAnsi="Calibri" w:cs="Calibri"/>
          <w:i/>
          <w:iCs/>
          <w:color w:val="000000"/>
          <w:lang w:val="es-ES" w:eastAsia="en-GB"/>
        </w:rPr>
        <w:t>estimado a 20 de enero de 2025</w:t>
      </w:r>
    </w:p>
    <w:tbl>
      <w:tblPr>
        <w:tblW w:w="9072" w:type="dxa"/>
        <w:tblInd w:w="-5" w:type="dxa"/>
        <w:tblLook w:val="04A0" w:firstRow="1" w:lastRow="0" w:firstColumn="1" w:lastColumn="0" w:noHBand="0" w:noVBand="1"/>
      </w:tblPr>
      <w:tblGrid>
        <w:gridCol w:w="7512"/>
        <w:gridCol w:w="1560"/>
      </w:tblGrid>
      <w:tr w:rsidR="00592253" w:rsidRPr="0086671E" w14:paraId="083F76B0" w14:textId="77777777" w:rsidTr="00855318">
        <w:trPr>
          <w:cantSplit/>
        </w:trPr>
        <w:tc>
          <w:tcPr>
            <w:tcW w:w="7512" w:type="dxa"/>
            <w:tcBorders>
              <w:top w:val="single" w:sz="4" w:space="0" w:color="auto"/>
              <w:left w:val="single" w:sz="4" w:space="0" w:color="auto"/>
              <w:bottom w:val="single" w:sz="4" w:space="0" w:color="auto"/>
              <w:right w:val="single" w:sz="4" w:space="0" w:color="auto"/>
            </w:tcBorders>
            <w:shd w:val="clear" w:color="000000" w:fill="DBE5F1"/>
            <w:hideMark/>
          </w:tcPr>
          <w:p w14:paraId="67994FFE" w14:textId="736E4C46" w:rsidR="00E04AE0" w:rsidRPr="0086671E" w:rsidRDefault="00E04AE0" w:rsidP="00592253">
            <w:pPr>
              <w:spacing w:after="0" w:line="240" w:lineRule="auto"/>
              <w:rPr>
                <w:rFonts w:ascii="Calibri" w:hAnsi="Calibri"/>
                <w:b/>
                <w:color w:val="000000"/>
                <w:lang w:val="es-ES"/>
              </w:rPr>
            </w:pPr>
            <w:r w:rsidRPr="0086671E">
              <w:rPr>
                <w:rFonts w:ascii="Calibri" w:hAnsi="Calibri"/>
                <w:b/>
                <w:color w:val="000000"/>
                <w:lang w:val="es-ES"/>
              </w:rPr>
              <w:t xml:space="preserve">(I) </w:t>
            </w:r>
            <w:r w:rsidR="002E68F5" w:rsidRPr="0086671E">
              <w:rPr>
                <w:rFonts w:ascii="Calibri" w:hAnsi="Calibri"/>
                <w:b/>
                <w:color w:val="000000"/>
                <w:lang w:val="es-ES"/>
              </w:rPr>
              <w:t>Saldo del presupuesto básico a 31 de diciembre de 2024 según los estados financieros auditados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7F9EC02D" w14:textId="73322210" w:rsidR="00E04AE0" w:rsidRPr="0086671E" w:rsidRDefault="00E04AE0" w:rsidP="00592253">
            <w:pPr>
              <w:spacing w:after="0" w:line="240" w:lineRule="auto"/>
              <w:ind w:firstLineChars="100" w:firstLine="221"/>
              <w:jc w:val="right"/>
              <w:rPr>
                <w:rFonts w:ascii="Calibri" w:hAnsi="Calibri"/>
                <w:b/>
                <w:color w:val="000000"/>
                <w:lang w:val="es-ES"/>
              </w:rPr>
            </w:pPr>
            <w:r w:rsidRPr="0086671E">
              <w:rPr>
                <w:rFonts w:ascii="Calibri" w:hAnsi="Calibri"/>
                <w:b/>
                <w:color w:val="000000"/>
                <w:lang w:val="es-ES"/>
              </w:rPr>
              <w:t>3</w:t>
            </w:r>
            <w:r w:rsidR="00425B54" w:rsidRPr="0086671E">
              <w:rPr>
                <w:rFonts w:ascii="Calibri" w:hAnsi="Calibri"/>
                <w:b/>
                <w:color w:val="000000"/>
                <w:lang w:val="es-ES"/>
              </w:rPr>
              <w:t xml:space="preserve"> </w:t>
            </w:r>
            <w:r w:rsidR="002E68F5" w:rsidRPr="0086671E">
              <w:rPr>
                <w:rFonts w:ascii="Calibri" w:hAnsi="Calibri"/>
                <w:b/>
                <w:color w:val="000000"/>
                <w:lang w:val="es-ES"/>
              </w:rPr>
              <w:t>701</w:t>
            </w:r>
            <w:r w:rsidRPr="0086671E">
              <w:rPr>
                <w:rFonts w:ascii="Calibri" w:eastAsia="Times New Roman" w:hAnsi="Calibri" w:cs="Calibri"/>
                <w:b/>
                <w:bCs/>
                <w:color w:val="000000"/>
                <w:lang w:val="es-ES" w:eastAsia="en-GB"/>
              </w:rPr>
              <w:t xml:space="preserve"> </w:t>
            </w:r>
          </w:p>
        </w:tc>
      </w:tr>
      <w:tr w:rsidR="00592253" w:rsidRPr="0086671E" w14:paraId="06BFCAD9" w14:textId="77777777" w:rsidTr="00855318">
        <w:trPr>
          <w:cantSplit/>
        </w:trPr>
        <w:tc>
          <w:tcPr>
            <w:tcW w:w="7512" w:type="dxa"/>
            <w:tcBorders>
              <w:top w:val="nil"/>
              <w:left w:val="single" w:sz="4" w:space="0" w:color="auto"/>
              <w:bottom w:val="single" w:sz="4" w:space="0" w:color="auto"/>
              <w:right w:val="single" w:sz="4" w:space="0" w:color="auto"/>
            </w:tcBorders>
            <w:shd w:val="clear" w:color="000000" w:fill="DBE5F1"/>
            <w:hideMark/>
          </w:tcPr>
          <w:p w14:paraId="05B8E6A1" w14:textId="501042A9" w:rsidR="00E04AE0" w:rsidRPr="0086671E" w:rsidRDefault="00E04AE0" w:rsidP="00592253">
            <w:pPr>
              <w:spacing w:after="0" w:line="240" w:lineRule="auto"/>
              <w:rPr>
                <w:rFonts w:ascii="Calibri" w:hAnsi="Calibri"/>
                <w:b/>
                <w:color w:val="000000"/>
                <w:lang w:val="es-ES"/>
              </w:rPr>
            </w:pPr>
            <w:r w:rsidRPr="0086671E">
              <w:rPr>
                <w:rFonts w:ascii="Calibri" w:hAnsi="Calibri"/>
                <w:b/>
                <w:color w:val="000000"/>
                <w:lang w:val="es-ES"/>
              </w:rPr>
              <w:t xml:space="preserve">(II) </w:t>
            </w:r>
            <w:r w:rsidR="002E68F5" w:rsidRPr="0086671E">
              <w:rPr>
                <w:rFonts w:ascii="Calibri" w:hAnsi="Calibri"/>
                <w:b/>
                <w:color w:val="000000"/>
                <w:lang w:val="es-ES"/>
              </w:rPr>
              <w:t xml:space="preserve">Gastos netos estimados sobre ingresos de </w:t>
            </w:r>
            <w:r w:rsidRPr="0086671E">
              <w:rPr>
                <w:rFonts w:ascii="Calibri" w:hAnsi="Calibri"/>
                <w:b/>
                <w:color w:val="000000"/>
                <w:lang w:val="es-ES"/>
              </w:rPr>
              <w:t>2024</w:t>
            </w:r>
          </w:p>
        </w:tc>
        <w:tc>
          <w:tcPr>
            <w:tcW w:w="1560" w:type="dxa"/>
            <w:tcBorders>
              <w:top w:val="nil"/>
              <w:left w:val="nil"/>
              <w:bottom w:val="single" w:sz="4" w:space="0" w:color="auto"/>
              <w:right w:val="single" w:sz="4" w:space="0" w:color="auto"/>
            </w:tcBorders>
            <w:shd w:val="clear" w:color="000000" w:fill="DBE5F1"/>
            <w:noWrap/>
            <w:hideMark/>
          </w:tcPr>
          <w:p w14:paraId="217453CE" w14:textId="7C100849" w:rsidR="00E04AE0" w:rsidRPr="0086671E" w:rsidRDefault="00855318" w:rsidP="00592253">
            <w:pPr>
              <w:spacing w:after="0" w:line="240" w:lineRule="auto"/>
              <w:ind w:firstLineChars="100" w:firstLine="221"/>
              <w:jc w:val="right"/>
              <w:rPr>
                <w:rFonts w:ascii="Calibri" w:hAnsi="Calibri"/>
                <w:b/>
                <w:color w:val="000000"/>
                <w:lang w:val="es-ES"/>
              </w:rPr>
            </w:pPr>
            <w:r w:rsidRPr="0086671E">
              <w:rPr>
                <w:rFonts w:eastAsia="Times New Roman" w:cs="Calibri"/>
                <w:b/>
                <w:bCs/>
                <w:color w:val="000000"/>
                <w:lang w:val="es-ES" w:eastAsia="en-GB"/>
              </w:rPr>
              <w:t>146</w:t>
            </w:r>
            <w:r w:rsidR="00E04AE0" w:rsidRPr="0086671E">
              <w:rPr>
                <w:rFonts w:ascii="Calibri" w:eastAsia="Times New Roman" w:hAnsi="Calibri" w:cs="Calibri"/>
                <w:b/>
                <w:bCs/>
                <w:color w:val="000000"/>
                <w:lang w:val="es-ES" w:eastAsia="en-GB"/>
              </w:rPr>
              <w:t xml:space="preserve"> </w:t>
            </w:r>
          </w:p>
        </w:tc>
      </w:tr>
      <w:tr w:rsidR="00592253" w:rsidRPr="00821B09" w14:paraId="4163A99C"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06D5A57A" w14:textId="099ADD4A" w:rsidR="00E04AE0" w:rsidRPr="0086671E" w:rsidRDefault="00E04AE0" w:rsidP="00592253">
            <w:pPr>
              <w:spacing w:after="0" w:line="240" w:lineRule="auto"/>
              <w:rPr>
                <w:rFonts w:ascii="Calibri" w:hAnsi="Calibri"/>
                <w:b/>
                <w:color w:val="000000"/>
                <w:lang w:val="es-ES"/>
              </w:rPr>
            </w:pPr>
            <w:r w:rsidRPr="0086671E">
              <w:rPr>
                <w:rFonts w:ascii="Calibri" w:hAnsi="Calibri"/>
                <w:b/>
                <w:color w:val="000000"/>
                <w:lang w:val="es-ES"/>
              </w:rPr>
              <w:t>Reserv</w:t>
            </w:r>
            <w:r w:rsidR="00855318" w:rsidRPr="0086671E">
              <w:rPr>
                <w:rFonts w:ascii="Calibri" w:hAnsi="Calibri"/>
                <w:b/>
                <w:color w:val="000000"/>
                <w:lang w:val="es-ES"/>
              </w:rPr>
              <w:t>a</w:t>
            </w:r>
            <w:r w:rsidRPr="0086671E">
              <w:rPr>
                <w:rFonts w:ascii="Calibri" w:hAnsi="Calibri"/>
                <w:b/>
                <w:color w:val="000000"/>
                <w:lang w:val="es-ES"/>
              </w:rPr>
              <w:t>, apro</w:t>
            </w:r>
            <w:r w:rsidR="00855318" w:rsidRPr="0086671E">
              <w:rPr>
                <w:rFonts w:ascii="Calibri" w:hAnsi="Calibri"/>
                <w:b/>
                <w:color w:val="000000"/>
                <w:lang w:val="es-ES"/>
              </w:rPr>
              <w:t>bada y previamente comprometida</w:t>
            </w:r>
            <w:r w:rsidRPr="0086671E">
              <w:rPr>
                <w:rFonts w:ascii="Calibri" w:hAnsi="Calibri"/>
                <w:b/>
                <w:color w:val="000000"/>
                <w:lang w:val="es-ES"/>
              </w:rPr>
              <w:t>:</w:t>
            </w:r>
          </w:p>
        </w:tc>
        <w:tc>
          <w:tcPr>
            <w:tcW w:w="1560" w:type="dxa"/>
            <w:tcBorders>
              <w:top w:val="nil"/>
              <w:left w:val="nil"/>
              <w:bottom w:val="single" w:sz="4" w:space="0" w:color="auto"/>
              <w:right w:val="single" w:sz="4" w:space="0" w:color="auto"/>
            </w:tcBorders>
            <w:shd w:val="clear" w:color="auto" w:fill="auto"/>
            <w:noWrap/>
            <w:hideMark/>
          </w:tcPr>
          <w:p w14:paraId="4D39E71A" w14:textId="77777777" w:rsidR="00E04AE0" w:rsidRPr="0086671E" w:rsidRDefault="00E04AE0" w:rsidP="00592253">
            <w:pPr>
              <w:spacing w:after="0" w:line="240" w:lineRule="auto"/>
              <w:jc w:val="right"/>
              <w:rPr>
                <w:rFonts w:ascii="Calibri" w:hAnsi="Calibri"/>
                <w:color w:val="000000"/>
                <w:lang w:val="es-ES"/>
              </w:rPr>
            </w:pPr>
            <w:r w:rsidRPr="0086671E">
              <w:rPr>
                <w:rFonts w:ascii="Calibri" w:hAnsi="Calibri"/>
                <w:color w:val="000000"/>
                <w:lang w:val="es-ES"/>
              </w:rPr>
              <w:t> </w:t>
            </w:r>
          </w:p>
        </w:tc>
      </w:tr>
      <w:tr w:rsidR="00E04AE0" w:rsidRPr="0086671E" w14:paraId="22A4C534"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276EA55B" w14:textId="4024CB2C" w:rsidR="00E04AE0" w:rsidRPr="0086671E" w:rsidRDefault="00855318" w:rsidP="00592253">
            <w:pPr>
              <w:spacing w:after="0" w:line="240" w:lineRule="auto"/>
              <w:rPr>
                <w:rFonts w:ascii="Calibri" w:hAnsi="Calibri"/>
                <w:color w:val="000000"/>
                <w:lang w:val="es-ES"/>
              </w:rPr>
            </w:pPr>
            <w:r w:rsidRPr="0086671E">
              <w:rPr>
                <w:rFonts w:ascii="Calibri" w:hAnsi="Calibri"/>
                <w:color w:val="000000"/>
                <w:lang w:val="es-ES"/>
              </w:rPr>
              <w:t xml:space="preserve">Fondo de reserva del </w:t>
            </w:r>
            <w:r w:rsidR="00E04AE0" w:rsidRPr="0086671E">
              <w:rPr>
                <w:rFonts w:ascii="Calibri" w:hAnsi="Calibri"/>
                <w:color w:val="000000"/>
                <w:lang w:val="es-ES"/>
              </w:rPr>
              <w:t>15</w:t>
            </w:r>
            <w:r w:rsidR="009D13D9" w:rsidRPr="0086671E">
              <w:rPr>
                <w:rFonts w:ascii="Calibri" w:hAnsi="Calibri"/>
                <w:color w:val="000000"/>
                <w:lang w:val="es-ES"/>
              </w:rPr>
              <w:t xml:space="preserve"> </w:t>
            </w:r>
            <w:r w:rsidR="00E04AE0" w:rsidRPr="0086671E">
              <w:rPr>
                <w:rFonts w:ascii="Calibri" w:hAnsi="Calibri"/>
                <w:color w:val="000000"/>
                <w:lang w:val="es-ES"/>
              </w:rPr>
              <w:t>% (</w:t>
            </w:r>
            <w:r w:rsidRPr="0086671E">
              <w:rPr>
                <w:rFonts w:ascii="Calibri" w:hAnsi="Calibri"/>
                <w:color w:val="000000"/>
                <w:lang w:val="es-ES"/>
              </w:rPr>
              <w:t xml:space="preserve">párrafo 33 de la </w:t>
            </w:r>
            <w:r w:rsidR="00E04AE0" w:rsidRPr="0086671E">
              <w:rPr>
                <w:rFonts w:ascii="Calibri" w:hAnsi="Calibri"/>
                <w:color w:val="000000"/>
                <w:lang w:val="es-ES"/>
              </w:rPr>
              <w:t>Resolu</w:t>
            </w:r>
            <w:r w:rsidRPr="0086671E">
              <w:rPr>
                <w:rFonts w:ascii="Calibri" w:hAnsi="Calibri"/>
                <w:color w:val="000000"/>
                <w:lang w:val="es-ES"/>
              </w:rPr>
              <w:t>c</w:t>
            </w:r>
            <w:r w:rsidR="00E04AE0" w:rsidRPr="0086671E">
              <w:rPr>
                <w:rFonts w:ascii="Calibri" w:hAnsi="Calibri"/>
                <w:color w:val="000000"/>
                <w:lang w:val="es-ES"/>
              </w:rPr>
              <w:t>i</w:t>
            </w:r>
            <w:r w:rsidR="009D13D9" w:rsidRPr="0086671E">
              <w:rPr>
                <w:rFonts w:ascii="Calibri" w:hAnsi="Calibri"/>
                <w:color w:val="000000"/>
                <w:lang w:val="es-ES"/>
              </w:rPr>
              <w:t>ó</w:t>
            </w:r>
            <w:r w:rsidR="00E04AE0" w:rsidRPr="0086671E">
              <w:rPr>
                <w:rFonts w:ascii="Calibri" w:hAnsi="Calibri"/>
                <w:color w:val="000000"/>
                <w:lang w:val="es-ES"/>
              </w:rPr>
              <w:t xml:space="preserve">n </w:t>
            </w:r>
            <w:r w:rsidR="007A1483" w:rsidRPr="0086671E">
              <w:rPr>
                <w:rFonts w:ascii="Calibri" w:hAnsi="Calibri"/>
                <w:color w:val="000000"/>
                <w:lang w:val="es-ES"/>
              </w:rPr>
              <w:t>XIV.1</w:t>
            </w:r>
            <w:r w:rsidR="00E04AE0" w:rsidRPr="0086671E">
              <w:rPr>
                <w:rFonts w:ascii="Calibri" w:hAnsi="Calibri"/>
                <w:color w:val="000000"/>
                <w:lang w:val="es-ES"/>
              </w:rPr>
              <w:t>)</w:t>
            </w:r>
          </w:p>
        </w:tc>
        <w:tc>
          <w:tcPr>
            <w:tcW w:w="1560" w:type="dxa"/>
            <w:tcBorders>
              <w:top w:val="nil"/>
              <w:left w:val="nil"/>
              <w:bottom w:val="single" w:sz="4" w:space="0" w:color="auto"/>
              <w:right w:val="single" w:sz="4" w:space="0" w:color="auto"/>
            </w:tcBorders>
            <w:shd w:val="clear" w:color="auto" w:fill="auto"/>
            <w:noWrap/>
            <w:hideMark/>
          </w:tcPr>
          <w:p w14:paraId="5ACA6C2C" w14:textId="5E30C273" w:rsidR="00E04AE0" w:rsidRPr="0086671E" w:rsidRDefault="00E04AE0" w:rsidP="00592253">
            <w:pPr>
              <w:spacing w:after="0" w:line="240" w:lineRule="auto"/>
              <w:jc w:val="right"/>
              <w:rPr>
                <w:rFonts w:ascii="Calibri" w:hAnsi="Calibri"/>
                <w:color w:val="000000"/>
                <w:lang w:val="es-ES"/>
              </w:rPr>
            </w:pPr>
            <w:r w:rsidRPr="0086671E">
              <w:rPr>
                <w:rFonts w:ascii="Calibri" w:hAnsi="Calibri"/>
                <w:color w:val="000000"/>
                <w:lang w:val="es-ES"/>
              </w:rPr>
              <w:t>762</w:t>
            </w:r>
            <w:r w:rsidRPr="0086671E">
              <w:rPr>
                <w:rFonts w:ascii="Calibri" w:eastAsia="Times New Roman" w:hAnsi="Calibri" w:cs="Calibri"/>
                <w:color w:val="000000"/>
                <w:lang w:val="es-ES" w:eastAsia="en-GB"/>
              </w:rPr>
              <w:t xml:space="preserve"> </w:t>
            </w:r>
          </w:p>
        </w:tc>
      </w:tr>
      <w:tr w:rsidR="00E04AE0" w:rsidRPr="0086671E" w14:paraId="591C37FC"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50211BB3" w14:textId="77777777" w:rsidR="00855318" w:rsidRPr="0086671E" w:rsidRDefault="00855318" w:rsidP="00855318">
            <w:pPr>
              <w:spacing w:after="0" w:line="240" w:lineRule="auto"/>
              <w:rPr>
                <w:rFonts w:ascii="Calibri" w:hAnsi="Calibri"/>
                <w:lang w:val="es-ES"/>
              </w:rPr>
            </w:pPr>
            <w:r w:rsidRPr="0086671E">
              <w:rPr>
                <w:rFonts w:ascii="Calibri" w:hAnsi="Calibri"/>
                <w:lang w:val="es-ES"/>
              </w:rPr>
              <w:t>Uso aprobado por la COP14 de los ahorros para 2025 (párrafo 15 de la</w:t>
            </w:r>
          </w:p>
          <w:p w14:paraId="262E20FA" w14:textId="5FD299DD" w:rsidR="00E04AE0" w:rsidRPr="0086671E" w:rsidRDefault="00855318" w:rsidP="00855318">
            <w:pPr>
              <w:spacing w:after="0" w:line="240" w:lineRule="auto"/>
              <w:rPr>
                <w:rFonts w:ascii="Calibri" w:hAnsi="Calibri"/>
                <w:lang w:val="es-ES"/>
              </w:rPr>
            </w:pPr>
            <w:r w:rsidRPr="0086671E">
              <w:rPr>
                <w:rFonts w:ascii="Calibri" w:hAnsi="Calibri"/>
                <w:lang w:val="es-ES"/>
              </w:rPr>
              <w:t>Resolución XIV.1)</w:t>
            </w:r>
          </w:p>
        </w:tc>
        <w:tc>
          <w:tcPr>
            <w:tcW w:w="1560" w:type="dxa"/>
            <w:tcBorders>
              <w:top w:val="nil"/>
              <w:left w:val="nil"/>
              <w:bottom w:val="single" w:sz="4" w:space="0" w:color="auto"/>
              <w:right w:val="single" w:sz="4" w:space="0" w:color="auto"/>
            </w:tcBorders>
            <w:shd w:val="clear" w:color="auto" w:fill="auto"/>
            <w:noWrap/>
            <w:hideMark/>
          </w:tcPr>
          <w:p w14:paraId="52B3DC6E" w14:textId="0FA0A3DA" w:rsidR="00E04AE0" w:rsidRPr="0086671E" w:rsidRDefault="00E04AE0" w:rsidP="00592253">
            <w:pPr>
              <w:spacing w:after="0" w:line="240" w:lineRule="auto"/>
              <w:jc w:val="right"/>
              <w:rPr>
                <w:rFonts w:ascii="Calibri" w:hAnsi="Calibri"/>
                <w:lang w:val="es-ES"/>
              </w:rPr>
            </w:pPr>
            <w:r w:rsidRPr="0086671E">
              <w:rPr>
                <w:rFonts w:ascii="Calibri" w:hAnsi="Calibri"/>
                <w:lang w:val="es-ES"/>
              </w:rPr>
              <w:t>76</w:t>
            </w:r>
            <w:r w:rsidRPr="0086671E">
              <w:rPr>
                <w:rFonts w:ascii="Calibri" w:eastAsia="Times New Roman" w:hAnsi="Calibri" w:cs="Calibri"/>
                <w:lang w:val="es-ES" w:eastAsia="en-GB"/>
              </w:rPr>
              <w:t xml:space="preserve"> </w:t>
            </w:r>
          </w:p>
        </w:tc>
      </w:tr>
      <w:tr w:rsidR="00592253" w:rsidRPr="0086671E" w14:paraId="4F0CA20B"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0342BA28" w14:textId="2707363D" w:rsidR="00855318" w:rsidRPr="0086671E" w:rsidRDefault="00855318" w:rsidP="00855318">
            <w:pPr>
              <w:spacing w:after="0" w:line="240" w:lineRule="auto"/>
              <w:rPr>
                <w:rFonts w:ascii="Calibri" w:hAnsi="Calibri"/>
                <w:lang w:val="es-ES"/>
              </w:rPr>
            </w:pPr>
            <w:r w:rsidRPr="0086671E">
              <w:rPr>
                <w:rFonts w:ascii="Calibri" w:hAnsi="Calibri"/>
                <w:lang w:val="es-ES"/>
              </w:rPr>
              <w:t>Uso aprobado por la COP14 de los ahorros para 2025 (párrafo 16</w:t>
            </w:r>
          </w:p>
          <w:p w14:paraId="2A9C9816" w14:textId="50FF66A2" w:rsidR="00E04AE0" w:rsidRPr="0086671E" w:rsidRDefault="00855318" w:rsidP="00855318">
            <w:pPr>
              <w:spacing w:after="0" w:line="240" w:lineRule="auto"/>
              <w:rPr>
                <w:rFonts w:ascii="Calibri" w:hAnsi="Calibri"/>
                <w:lang w:val="es-ES"/>
              </w:rPr>
            </w:pPr>
            <w:r w:rsidRPr="0086671E">
              <w:rPr>
                <w:rFonts w:ascii="Calibri" w:hAnsi="Calibri"/>
                <w:lang w:val="es-ES"/>
              </w:rPr>
              <w:t>de la Resolución XIV.1)</w:t>
            </w:r>
          </w:p>
        </w:tc>
        <w:tc>
          <w:tcPr>
            <w:tcW w:w="1560" w:type="dxa"/>
            <w:tcBorders>
              <w:top w:val="nil"/>
              <w:left w:val="nil"/>
              <w:bottom w:val="single" w:sz="4" w:space="0" w:color="auto"/>
              <w:right w:val="single" w:sz="4" w:space="0" w:color="auto"/>
            </w:tcBorders>
            <w:shd w:val="clear" w:color="auto" w:fill="auto"/>
            <w:noWrap/>
            <w:hideMark/>
          </w:tcPr>
          <w:p w14:paraId="54836027" w14:textId="563A106F" w:rsidR="00E04AE0" w:rsidRPr="0086671E" w:rsidRDefault="00E04AE0" w:rsidP="00592253">
            <w:pPr>
              <w:spacing w:after="0" w:line="240" w:lineRule="auto"/>
              <w:jc w:val="right"/>
              <w:rPr>
                <w:rFonts w:ascii="Calibri" w:hAnsi="Calibri"/>
                <w:lang w:val="es-ES"/>
              </w:rPr>
            </w:pPr>
            <w:r w:rsidRPr="0086671E">
              <w:rPr>
                <w:rFonts w:ascii="Calibri" w:hAnsi="Calibri"/>
                <w:lang w:val="es-ES"/>
              </w:rPr>
              <w:t>120</w:t>
            </w:r>
            <w:r w:rsidRPr="0086671E">
              <w:rPr>
                <w:rFonts w:ascii="Calibri" w:eastAsia="Times New Roman" w:hAnsi="Calibri" w:cs="Calibri"/>
                <w:lang w:val="es-ES" w:eastAsia="en-GB"/>
              </w:rPr>
              <w:t xml:space="preserve"> </w:t>
            </w:r>
          </w:p>
        </w:tc>
      </w:tr>
      <w:tr w:rsidR="00E04AE0" w:rsidRPr="0086671E" w14:paraId="64EEB107"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32B14CB9" w14:textId="72043A32" w:rsidR="00E04AE0" w:rsidRPr="0086671E" w:rsidRDefault="00855318" w:rsidP="00592253">
            <w:pPr>
              <w:spacing w:after="0" w:line="240" w:lineRule="auto"/>
              <w:rPr>
                <w:rFonts w:ascii="Calibri" w:hAnsi="Calibri"/>
                <w:color w:val="000000"/>
                <w:lang w:val="es-ES"/>
              </w:rPr>
            </w:pPr>
            <w:r w:rsidRPr="0086671E">
              <w:rPr>
                <w:rFonts w:eastAsia="Times New Roman" w:cs="Calibri"/>
                <w:color w:val="000000"/>
                <w:lang w:val="es-ES" w:eastAsia="en-GB"/>
              </w:rPr>
              <w:t>Saldos traspasados</w:t>
            </w:r>
            <w:r w:rsidR="00E04AE0" w:rsidRPr="0086671E">
              <w:rPr>
                <w:rFonts w:ascii="Calibri" w:hAnsi="Calibri"/>
                <w:color w:val="000000"/>
                <w:lang w:val="es-ES"/>
              </w:rPr>
              <w:t xml:space="preserve"> (</w:t>
            </w:r>
            <w:r w:rsidRPr="0086671E">
              <w:rPr>
                <w:rFonts w:ascii="Calibri" w:hAnsi="Calibri"/>
                <w:color w:val="000000"/>
                <w:lang w:val="es-ES"/>
              </w:rPr>
              <w:t xml:space="preserve">actualización del Cuadro </w:t>
            </w:r>
            <w:r w:rsidR="00E04AE0" w:rsidRPr="0086671E">
              <w:rPr>
                <w:rFonts w:ascii="Calibri" w:hAnsi="Calibri"/>
                <w:color w:val="000000"/>
                <w:lang w:val="es-ES"/>
              </w:rPr>
              <w:t>1</w:t>
            </w:r>
            <w:r w:rsidR="009D13D9" w:rsidRPr="0086671E">
              <w:rPr>
                <w:rFonts w:ascii="Calibri" w:hAnsi="Calibri"/>
                <w:color w:val="000000"/>
                <w:lang w:val="es-ES"/>
              </w:rPr>
              <w:t xml:space="preserve"> </w:t>
            </w:r>
            <w:r w:rsidRPr="0086671E">
              <w:rPr>
                <w:rFonts w:ascii="Calibri" w:eastAsia="Times New Roman" w:hAnsi="Calibri" w:cs="Calibri"/>
                <w:color w:val="000000"/>
                <w:lang w:val="es-ES" w:eastAsia="en-GB"/>
              </w:rPr>
              <w:t>del documento SC64 Doc.9.1</w:t>
            </w:r>
            <w:r w:rsidR="00E04AE0" w:rsidRPr="0086671E">
              <w:rPr>
                <w:rFonts w:ascii="Calibri" w:hAnsi="Calibri"/>
                <w:color w:val="000000"/>
                <w:lang w:val="es-ES"/>
              </w:rPr>
              <w:t>)</w:t>
            </w:r>
          </w:p>
        </w:tc>
        <w:tc>
          <w:tcPr>
            <w:tcW w:w="1560" w:type="dxa"/>
            <w:tcBorders>
              <w:top w:val="nil"/>
              <w:left w:val="nil"/>
              <w:bottom w:val="single" w:sz="4" w:space="0" w:color="auto"/>
              <w:right w:val="single" w:sz="4" w:space="0" w:color="auto"/>
            </w:tcBorders>
            <w:shd w:val="clear" w:color="auto" w:fill="auto"/>
            <w:noWrap/>
            <w:hideMark/>
          </w:tcPr>
          <w:p w14:paraId="56D92F0C" w14:textId="0A68C06A" w:rsidR="00E04AE0" w:rsidRPr="0086671E" w:rsidRDefault="00855318" w:rsidP="00592253">
            <w:pPr>
              <w:spacing w:after="0" w:line="240" w:lineRule="auto"/>
              <w:jc w:val="right"/>
              <w:rPr>
                <w:rFonts w:ascii="Calibri" w:hAnsi="Calibri"/>
                <w:lang w:val="es-ES"/>
              </w:rPr>
            </w:pPr>
            <w:r w:rsidRPr="0086671E">
              <w:rPr>
                <w:rFonts w:eastAsia="Times New Roman" w:cs="Calibri"/>
                <w:color w:val="000000"/>
                <w:lang w:val="es-ES" w:eastAsia="en-GB"/>
              </w:rPr>
              <w:t>1</w:t>
            </w:r>
            <w:r w:rsidR="00425B54" w:rsidRPr="0086671E">
              <w:rPr>
                <w:rFonts w:eastAsia="Times New Roman" w:cs="Calibri"/>
                <w:color w:val="000000"/>
                <w:lang w:val="es-ES" w:eastAsia="en-GB"/>
              </w:rPr>
              <w:t xml:space="preserve"> </w:t>
            </w:r>
            <w:r w:rsidRPr="0086671E">
              <w:rPr>
                <w:rFonts w:eastAsia="Times New Roman" w:cs="Calibri"/>
                <w:color w:val="000000"/>
                <w:lang w:val="es-ES" w:eastAsia="en-GB"/>
              </w:rPr>
              <w:t>120</w:t>
            </w:r>
            <w:r w:rsidR="00E04AE0" w:rsidRPr="0086671E">
              <w:rPr>
                <w:rFonts w:ascii="Calibri" w:hAnsi="Calibri"/>
                <w:lang w:val="es-ES"/>
              </w:rPr>
              <w:t xml:space="preserve"> </w:t>
            </w:r>
          </w:p>
        </w:tc>
      </w:tr>
      <w:tr w:rsidR="00592253" w:rsidRPr="0086671E" w14:paraId="71118B7E"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340A594C" w14:textId="2B5EBEF3" w:rsidR="00E04AE0" w:rsidRPr="0086671E" w:rsidRDefault="00425B54" w:rsidP="00425B54">
            <w:pPr>
              <w:spacing w:after="0" w:line="240" w:lineRule="auto"/>
              <w:rPr>
                <w:rFonts w:ascii="Calibri" w:hAnsi="Calibri"/>
                <w:color w:val="000000"/>
                <w:lang w:val="es-ES"/>
              </w:rPr>
            </w:pPr>
            <w:r w:rsidRPr="0086671E">
              <w:rPr>
                <w:rFonts w:ascii="Calibri" w:hAnsi="Calibri"/>
                <w:color w:val="000000"/>
                <w:lang w:val="es-ES"/>
              </w:rPr>
              <w:t xml:space="preserve">Estimación </w:t>
            </w:r>
            <w:r w:rsidR="00855318" w:rsidRPr="0086671E">
              <w:rPr>
                <w:rFonts w:ascii="Calibri" w:hAnsi="Calibri"/>
                <w:color w:val="000000"/>
                <w:lang w:val="es-ES"/>
              </w:rPr>
              <w:t>comprometid</w:t>
            </w:r>
            <w:r w:rsidRPr="0086671E">
              <w:rPr>
                <w:rFonts w:ascii="Calibri" w:hAnsi="Calibri"/>
                <w:color w:val="000000"/>
                <w:lang w:val="es-ES"/>
              </w:rPr>
              <w:t>a</w:t>
            </w:r>
            <w:r w:rsidR="00855318" w:rsidRPr="0086671E">
              <w:rPr>
                <w:rFonts w:ascii="Calibri" w:hAnsi="Calibri"/>
                <w:color w:val="000000"/>
                <w:lang w:val="es-ES"/>
              </w:rPr>
              <w:t xml:space="preserve"> </w:t>
            </w:r>
            <w:r w:rsidRPr="0086671E">
              <w:rPr>
                <w:rFonts w:ascii="Calibri" w:hAnsi="Calibri"/>
                <w:color w:val="000000"/>
                <w:lang w:val="es-ES"/>
              </w:rPr>
              <w:t xml:space="preserve">para el uso </w:t>
            </w:r>
            <w:r w:rsidR="00855318" w:rsidRPr="0086671E">
              <w:rPr>
                <w:rFonts w:ascii="Calibri" w:hAnsi="Calibri"/>
                <w:color w:val="000000"/>
                <w:lang w:val="es-ES"/>
              </w:rPr>
              <w:t>temporal de los fondos de reserva como préstamo para complementar la financiación voluntaria del apoyo a los delegados de la</w:t>
            </w:r>
            <w:r w:rsidRPr="0086671E">
              <w:rPr>
                <w:rFonts w:ascii="Calibri" w:hAnsi="Calibri"/>
                <w:color w:val="000000"/>
                <w:lang w:val="es-ES"/>
              </w:rPr>
              <w:t xml:space="preserve"> </w:t>
            </w:r>
            <w:r w:rsidR="00855318" w:rsidRPr="0086671E">
              <w:rPr>
                <w:rFonts w:ascii="Calibri" w:hAnsi="Calibri"/>
                <w:color w:val="000000"/>
                <w:lang w:val="es-ES"/>
              </w:rPr>
              <w:t>COP15</w:t>
            </w:r>
            <w:r w:rsidR="00E04AE0" w:rsidRPr="0086671E">
              <w:rPr>
                <w:rFonts w:ascii="Calibri" w:eastAsia="Times New Roman" w:hAnsi="Calibri" w:cs="Calibri"/>
                <w:color w:val="000000"/>
                <w:lang w:val="es-ES" w:eastAsia="en-GB"/>
              </w:rPr>
              <w:t xml:space="preserve"> </w:t>
            </w:r>
          </w:p>
        </w:tc>
        <w:tc>
          <w:tcPr>
            <w:tcW w:w="1560" w:type="dxa"/>
            <w:tcBorders>
              <w:top w:val="nil"/>
              <w:left w:val="nil"/>
              <w:bottom w:val="single" w:sz="4" w:space="0" w:color="auto"/>
              <w:right w:val="single" w:sz="4" w:space="0" w:color="auto"/>
            </w:tcBorders>
            <w:shd w:val="clear" w:color="auto" w:fill="auto"/>
            <w:noWrap/>
            <w:hideMark/>
          </w:tcPr>
          <w:p w14:paraId="0C1086D7" w14:textId="41B326F8" w:rsidR="00E04AE0" w:rsidRPr="0086671E" w:rsidRDefault="00425B54" w:rsidP="00592253">
            <w:pPr>
              <w:spacing w:after="0" w:line="240" w:lineRule="auto"/>
              <w:jc w:val="right"/>
              <w:rPr>
                <w:rFonts w:ascii="Calibri" w:hAnsi="Calibri"/>
                <w:lang w:val="es-ES"/>
              </w:rPr>
            </w:pPr>
            <w:r w:rsidRPr="0086671E">
              <w:rPr>
                <w:rFonts w:eastAsia="Times New Roman" w:cs="Calibri"/>
                <w:color w:val="000000"/>
                <w:lang w:val="es-ES" w:eastAsia="en-GB"/>
              </w:rPr>
              <w:t>(hasta) 486</w:t>
            </w:r>
            <w:r w:rsidR="00E04AE0" w:rsidRPr="0086671E">
              <w:rPr>
                <w:rFonts w:ascii="Calibri" w:eastAsia="Times New Roman" w:hAnsi="Calibri" w:cs="Calibri"/>
                <w:lang w:val="es-ES" w:eastAsia="en-GB"/>
              </w:rPr>
              <w:t xml:space="preserve"> </w:t>
            </w:r>
          </w:p>
        </w:tc>
      </w:tr>
      <w:tr w:rsidR="00592253" w:rsidRPr="0086671E" w14:paraId="714B7D21" w14:textId="77777777" w:rsidTr="00855318">
        <w:trPr>
          <w:cantSplit/>
        </w:trPr>
        <w:tc>
          <w:tcPr>
            <w:tcW w:w="7512" w:type="dxa"/>
            <w:tcBorders>
              <w:top w:val="nil"/>
              <w:left w:val="single" w:sz="4" w:space="0" w:color="auto"/>
              <w:bottom w:val="single" w:sz="4" w:space="0" w:color="auto"/>
              <w:right w:val="single" w:sz="4" w:space="0" w:color="auto"/>
            </w:tcBorders>
            <w:shd w:val="clear" w:color="000000" w:fill="DAE9F8"/>
            <w:hideMark/>
          </w:tcPr>
          <w:p w14:paraId="4921531D" w14:textId="503CC70D" w:rsidR="00E04AE0" w:rsidRPr="0086671E" w:rsidRDefault="00E04AE0" w:rsidP="00592253">
            <w:pPr>
              <w:spacing w:after="0" w:line="240" w:lineRule="auto"/>
              <w:rPr>
                <w:rFonts w:ascii="Calibri" w:hAnsi="Calibri"/>
                <w:b/>
                <w:color w:val="000000"/>
                <w:lang w:val="es-ES"/>
              </w:rPr>
            </w:pPr>
            <w:r w:rsidRPr="0086671E">
              <w:rPr>
                <w:rFonts w:ascii="Calibri" w:hAnsi="Calibri"/>
                <w:b/>
                <w:color w:val="000000"/>
                <w:lang w:val="es-ES"/>
              </w:rPr>
              <w:t>(</w:t>
            </w:r>
            <w:r w:rsidR="00425B54" w:rsidRPr="0086671E">
              <w:rPr>
                <w:rFonts w:ascii="Calibri" w:eastAsia="Times New Roman" w:hAnsi="Calibri" w:cs="Calibri"/>
                <w:b/>
                <w:bCs/>
                <w:color w:val="000000"/>
                <w:lang w:val="es-ES" w:eastAsia="en-GB"/>
              </w:rPr>
              <w:t>III</w:t>
            </w:r>
            <w:r w:rsidRPr="0086671E">
              <w:rPr>
                <w:rFonts w:ascii="Calibri" w:hAnsi="Calibri"/>
                <w:b/>
                <w:color w:val="000000"/>
                <w:lang w:val="es-ES"/>
              </w:rPr>
              <w:t xml:space="preserve">) </w:t>
            </w:r>
            <w:r w:rsidR="00425B54" w:rsidRPr="0086671E">
              <w:rPr>
                <w:rFonts w:ascii="Calibri" w:hAnsi="Calibri"/>
                <w:b/>
                <w:color w:val="000000"/>
                <w:lang w:val="es-ES"/>
              </w:rPr>
              <w:t>Reserva t</w:t>
            </w:r>
            <w:r w:rsidRPr="0086671E">
              <w:rPr>
                <w:rFonts w:ascii="Calibri" w:hAnsi="Calibri"/>
                <w:b/>
                <w:color w:val="000000"/>
                <w:lang w:val="es-ES"/>
              </w:rPr>
              <w:t>otal, apro</w:t>
            </w:r>
            <w:r w:rsidR="00425B54" w:rsidRPr="0086671E">
              <w:rPr>
                <w:rFonts w:ascii="Calibri" w:hAnsi="Calibri"/>
                <w:b/>
                <w:color w:val="000000"/>
                <w:lang w:val="es-ES"/>
              </w:rPr>
              <w:t xml:space="preserve">bada </w:t>
            </w:r>
            <w:r w:rsidR="007A1483" w:rsidRPr="0086671E">
              <w:rPr>
                <w:rFonts w:ascii="Calibri" w:hAnsi="Calibri"/>
                <w:b/>
                <w:color w:val="000000"/>
                <w:lang w:val="es-ES"/>
              </w:rPr>
              <w:t>y previamente</w:t>
            </w:r>
            <w:r w:rsidR="00425B54" w:rsidRPr="0086671E">
              <w:rPr>
                <w:rFonts w:ascii="Calibri" w:hAnsi="Calibri"/>
                <w:b/>
                <w:color w:val="000000"/>
                <w:lang w:val="es-ES"/>
              </w:rPr>
              <w:t xml:space="preserve"> comprometida</w:t>
            </w:r>
          </w:p>
        </w:tc>
        <w:tc>
          <w:tcPr>
            <w:tcW w:w="1560" w:type="dxa"/>
            <w:tcBorders>
              <w:top w:val="nil"/>
              <w:left w:val="nil"/>
              <w:bottom w:val="single" w:sz="4" w:space="0" w:color="auto"/>
              <w:right w:val="single" w:sz="4" w:space="0" w:color="auto"/>
            </w:tcBorders>
            <w:shd w:val="clear" w:color="000000" w:fill="DBE5F1"/>
            <w:noWrap/>
            <w:hideMark/>
          </w:tcPr>
          <w:p w14:paraId="1E7E6092" w14:textId="73782450" w:rsidR="00E04AE0" w:rsidRPr="0086671E" w:rsidRDefault="00E04AE0" w:rsidP="00592253">
            <w:pPr>
              <w:spacing w:after="0" w:line="240" w:lineRule="auto"/>
              <w:ind w:firstLineChars="100" w:firstLine="221"/>
              <w:jc w:val="right"/>
              <w:rPr>
                <w:rFonts w:ascii="Calibri" w:hAnsi="Calibri"/>
                <w:b/>
                <w:color w:val="000000"/>
                <w:lang w:val="es-ES"/>
              </w:rPr>
            </w:pPr>
            <w:r w:rsidRPr="0086671E">
              <w:rPr>
                <w:rFonts w:ascii="Calibri" w:hAnsi="Calibri"/>
                <w:b/>
                <w:color w:val="000000"/>
                <w:lang w:val="es-ES"/>
              </w:rPr>
              <w:t>2</w:t>
            </w:r>
            <w:r w:rsidR="00425B54" w:rsidRPr="0086671E">
              <w:rPr>
                <w:rFonts w:ascii="Calibri" w:hAnsi="Calibri"/>
                <w:b/>
                <w:color w:val="000000"/>
                <w:lang w:val="es-ES"/>
              </w:rPr>
              <w:t xml:space="preserve"> 564</w:t>
            </w:r>
            <w:r w:rsidRPr="0086671E">
              <w:rPr>
                <w:rFonts w:ascii="Calibri" w:eastAsia="Times New Roman" w:hAnsi="Calibri" w:cs="Calibri"/>
                <w:b/>
                <w:bCs/>
                <w:color w:val="000000"/>
                <w:lang w:val="es-ES" w:eastAsia="en-GB"/>
              </w:rPr>
              <w:t xml:space="preserve"> </w:t>
            </w:r>
          </w:p>
        </w:tc>
      </w:tr>
      <w:tr w:rsidR="00592253" w:rsidRPr="0086671E" w14:paraId="33C48971"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CBD3DE" w:themeFill="text2" w:themeFillTint="40"/>
            <w:hideMark/>
          </w:tcPr>
          <w:p w14:paraId="780C4EC0" w14:textId="159E719B" w:rsidR="00E04AE0" w:rsidRPr="0086671E" w:rsidRDefault="00E04AE0" w:rsidP="00592253">
            <w:pPr>
              <w:spacing w:after="0" w:line="240" w:lineRule="auto"/>
              <w:rPr>
                <w:rFonts w:ascii="Calibri" w:hAnsi="Calibri"/>
                <w:b/>
                <w:color w:val="000000"/>
                <w:lang w:val="es-ES"/>
              </w:rPr>
            </w:pPr>
            <w:r w:rsidRPr="0086671E">
              <w:rPr>
                <w:rFonts w:ascii="Calibri" w:hAnsi="Calibri"/>
                <w:b/>
                <w:color w:val="000000"/>
                <w:lang w:val="es-ES"/>
              </w:rPr>
              <w:t>(</w:t>
            </w:r>
            <w:r w:rsidR="00425B54" w:rsidRPr="0086671E">
              <w:rPr>
                <w:rFonts w:eastAsia="Times New Roman" w:cs="Calibri"/>
                <w:b/>
                <w:bCs/>
                <w:color w:val="000000"/>
                <w:lang w:val="es-ES" w:eastAsia="en-GB"/>
              </w:rPr>
              <w:t>IV=I-(II+</w:t>
            </w:r>
            <w:r w:rsidRPr="0086671E">
              <w:rPr>
                <w:rFonts w:ascii="Calibri" w:hAnsi="Calibri"/>
                <w:b/>
                <w:color w:val="000000"/>
                <w:lang w:val="es-ES"/>
              </w:rPr>
              <w:t>III</w:t>
            </w:r>
            <w:r w:rsidR="00425B54" w:rsidRPr="0086671E">
              <w:rPr>
                <w:rFonts w:ascii="Calibri" w:hAnsi="Calibri"/>
                <w:b/>
                <w:color w:val="000000"/>
                <w:lang w:val="es-ES"/>
              </w:rPr>
              <w:t>)</w:t>
            </w:r>
            <w:r w:rsidR="009D13D9" w:rsidRPr="0086671E">
              <w:rPr>
                <w:rFonts w:ascii="Calibri" w:hAnsi="Calibri"/>
                <w:b/>
                <w:color w:val="000000"/>
                <w:lang w:val="es-ES"/>
              </w:rPr>
              <w:t xml:space="preserve">) </w:t>
            </w:r>
            <w:r w:rsidR="00425B54" w:rsidRPr="0086671E">
              <w:rPr>
                <w:rFonts w:ascii="Calibri" w:eastAsia="Times New Roman" w:hAnsi="Calibri" w:cs="Calibri"/>
                <w:b/>
                <w:bCs/>
                <w:color w:val="000000"/>
                <w:lang w:val="es-ES" w:eastAsia="en-GB"/>
              </w:rPr>
              <w:t xml:space="preserve">Excedente del presupuesto </w:t>
            </w:r>
            <w:r w:rsidR="007A1483" w:rsidRPr="0086671E">
              <w:rPr>
                <w:rFonts w:ascii="Calibri" w:eastAsia="Times New Roman" w:hAnsi="Calibri" w:cs="Calibri"/>
                <w:b/>
                <w:bCs/>
                <w:color w:val="000000"/>
                <w:lang w:val="es-ES" w:eastAsia="en-GB"/>
              </w:rPr>
              <w:t>básico</w:t>
            </w:r>
            <w:r w:rsidR="00425B54" w:rsidRPr="0086671E">
              <w:rPr>
                <w:rFonts w:ascii="Calibri" w:eastAsia="Times New Roman" w:hAnsi="Calibri" w:cs="Calibri"/>
                <w:b/>
                <w:bCs/>
                <w:color w:val="000000"/>
                <w:lang w:val="es-ES" w:eastAsia="en-GB"/>
              </w:rPr>
              <w:t xml:space="preserve"> para </w:t>
            </w:r>
            <w:r w:rsidRPr="0086671E">
              <w:rPr>
                <w:rFonts w:ascii="Calibri" w:hAnsi="Calibri"/>
                <w:b/>
                <w:color w:val="000000"/>
                <w:lang w:val="es-ES"/>
              </w:rPr>
              <w:t>2024</w:t>
            </w:r>
            <w:r w:rsidR="00425B54" w:rsidRPr="0086671E">
              <w:rPr>
                <w:rFonts w:ascii="Calibri" w:hAnsi="Calibri"/>
                <w:b/>
                <w:color w:val="000000"/>
                <w:lang w:val="es-ES"/>
              </w:rPr>
              <w:t>,</w:t>
            </w:r>
            <w:r w:rsidR="009D13D9" w:rsidRPr="0086671E">
              <w:rPr>
                <w:rFonts w:ascii="Calibri" w:hAnsi="Calibri"/>
                <w:b/>
                <w:color w:val="000000"/>
                <w:lang w:val="es-ES"/>
              </w:rPr>
              <w:t xml:space="preserve"> </w:t>
            </w:r>
            <w:r w:rsidRPr="0086671E">
              <w:rPr>
                <w:rFonts w:ascii="Calibri" w:hAnsi="Calibri"/>
                <w:b/>
                <w:color w:val="000000"/>
                <w:lang w:val="es-ES"/>
              </w:rPr>
              <w:t>apro</w:t>
            </w:r>
            <w:r w:rsidR="00425B54" w:rsidRPr="0086671E">
              <w:rPr>
                <w:rFonts w:ascii="Calibri" w:hAnsi="Calibri"/>
                <w:b/>
                <w:color w:val="000000"/>
                <w:lang w:val="es-ES"/>
              </w:rPr>
              <w:t xml:space="preserve">bado y </w:t>
            </w:r>
            <w:r w:rsidRPr="0086671E">
              <w:rPr>
                <w:rFonts w:ascii="Calibri" w:hAnsi="Calibri"/>
                <w:b/>
                <w:color w:val="000000"/>
                <w:lang w:val="es-ES"/>
              </w:rPr>
              <w:t>pre</w:t>
            </w:r>
            <w:r w:rsidR="00425B54" w:rsidRPr="0086671E">
              <w:rPr>
                <w:rFonts w:ascii="Calibri" w:hAnsi="Calibri"/>
                <w:b/>
                <w:color w:val="000000"/>
                <w:lang w:val="es-ES"/>
              </w:rPr>
              <w:t xml:space="preserve">viamente </w:t>
            </w:r>
            <w:r w:rsidRPr="0086671E">
              <w:rPr>
                <w:rFonts w:ascii="Calibri" w:hAnsi="Calibri"/>
                <w:b/>
                <w:color w:val="000000"/>
                <w:lang w:val="es-ES"/>
              </w:rPr>
              <w:t>com</w:t>
            </w:r>
            <w:r w:rsidR="00425B54" w:rsidRPr="0086671E">
              <w:rPr>
                <w:rFonts w:ascii="Calibri" w:hAnsi="Calibri"/>
                <w:b/>
                <w:color w:val="000000"/>
                <w:lang w:val="es-ES"/>
              </w:rPr>
              <w:t>prometido</w:t>
            </w:r>
          </w:p>
        </w:tc>
        <w:tc>
          <w:tcPr>
            <w:tcW w:w="1560" w:type="dxa"/>
            <w:tcBorders>
              <w:top w:val="nil"/>
              <w:left w:val="nil"/>
              <w:bottom w:val="single" w:sz="4" w:space="0" w:color="auto"/>
              <w:right w:val="single" w:sz="4" w:space="0" w:color="auto"/>
            </w:tcBorders>
            <w:shd w:val="clear" w:color="auto" w:fill="CBD3DE" w:themeFill="text2" w:themeFillTint="40"/>
            <w:noWrap/>
            <w:hideMark/>
          </w:tcPr>
          <w:p w14:paraId="0B360E05" w14:textId="4880C0B8" w:rsidR="00E04AE0" w:rsidRPr="0086671E" w:rsidRDefault="00425B54" w:rsidP="00592253">
            <w:pPr>
              <w:spacing w:after="0" w:line="240" w:lineRule="auto"/>
              <w:ind w:firstLineChars="100" w:firstLine="221"/>
              <w:jc w:val="right"/>
              <w:rPr>
                <w:rFonts w:ascii="Calibri" w:hAnsi="Calibri"/>
                <w:b/>
                <w:color w:val="000000"/>
                <w:lang w:val="es-ES"/>
              </w:rPr>
            </w:pPr>
            <w:r w:rsidRPr="0086671E">
              <w:rPr>
                <w:rFonts w:eastAsia="Times New Roman" w:cs="Calibri"/>
                <w:b/>
                <w:bCs/>
                <w:color w:val="000000"/>
                <w:lang w:val="es-ES" w:eastAsia="en-GB"/>
              </w:rPr>
              <w:t>991</w:t>
            </w:r>
            <w:r w:rsidR="00E04AE0" w:rsidRPr="0086671E">
              <w:rPr>
                <w:rFonts w:ascii="Calibri" w:hAnsi="Calibri"/>
                <w:b/>
                <w:color w:val="000000"/>
                <w:lang w:val="es-ES"/>
              </w:rPr>
              <w:t xml:space="preserve"> </w:t>
            </w:r>
          </w:p>
        </w:tc>
      </w:tr>
    </w:tbl>
    <w:p w14:paraId="15D993AA" w14:textId="77777777" w:rsidR="00E04AE0" w:rsidRPr="0086671E" w:rsidRDefault="00E04AE0" w:rsidP="00E04AE0">
      <w:pPr>
        <w:spacing w:after="0" w:line="240" w:lineRule="auto"/>
        <w:rPr>
          <w:rFonts w:ascii="Calibri" w:hAnsi="Calibri" w:cs="Calibri"/>
          <w:lang w:val="es-ES"/>
        </w:rPr>
      </w:pPr>
    </w:p>
    <w:p w14:paraId="6948D91C" w14:textId="77777777" w:rsidR="00B07229" w:rsidRPr="0086671E" w:rsidRDefault="00B07229" w:rsidP="00462ECE">
      <w:pPr>
        <w:pStyle w:val="ColorfulList-Accent11"/>
        <w:ind w:left="0" w:firstLine="0"/>
        <w:rPr>
          <w:rFonts w:cs="Calibri"/>
          <w:lang w:val="es-ES"/>
        </w:rPr>
      </w:pPr>
    </w:p>
    <w:p w14:paraId="265644CA" w14:textId="71DCBD4D" w:rsidR="00CF5F03" w:rsidRPr="0086671E" w:rsidRDefault="004023BA" w:rsidP="00462ECE">
      <w:pPr>
        <w:pStyle w:val="ColorfulList-Accent11"/>
        <w:ind w:left="0" w:firstLine="0"/>
        <w:rPr>
          <w:rFonts w:cs="Calibri"/>
          <w:lang w:val="es-ES"/>
        </w:rPr>
      </w:pPr>
      <w:r w:rsidRPr="0086671E">
        <w:rPr>
          <w:rFonts w:cs="Calibri"/>
          <w:lang w:val="es-ES"/>
        </w:rPr>
        <w:t xml:space="preserve">La Secretaría aclaró que la estimación del préstamo para complementar la financiación voluntaria </w:t>
      </w:r>
      <w:r w:rsidR="009D13D9" w:rsidRPr="0086671E">
        <w:rPr>
          <w:rFonts w:cs="Calibri"/>
          <w:lang w:val="es-ES"/>
        </w:rPr>
        <w:t>de</w:t>
      </w:r>
      <w:r w:rsidRPr="0086671E">
        <w:rPr>
          <w:rFonts w:cs="Calibri"/>
          <w:lang w:val="es-ES"/>
        </w:rPr>
        <w:t>l apoyo a los delegados de la COP15 se había modificado tras la recepción de financiación voluntaria desde la publicación del documento SC64 Doc.9.1. A título comparativo, se habían asignado 480</w:t>
      </w:r>
      <w:r w:rsidR="009D13D9" w:rsidRPr="0086671E">
        <w:rPr>
          <w:rFonts w:cs="Calibri"/>
          <w:lang w:val="es-ES"/>
        </w:rPr>
        <w:t xml:space="preserve"> </w:t>
      </w:r>
      <w:r w:rsidRPr="0086671E">
        <w:rPr>
          <w:rFonts w:cs="Calibri"/>
          <w:lang w:val="es-ES"/>
        </w:rPr>
        <w:t xml:space="preserve">000 CHF a este fin antes de la COP14; cuando se calcularon los ingresos y </w:t>
      </w:r>
      <w:r w:rsidR="0086671E" w:rsidRPr="0086671E">
        <w:rPr>
          <w:rFonts w:cs="Calibri"/>
          <w:lang w:val="es-ES"/>
        </w:rPr>
        <w:t>costo</w:t>
      </w:r>
      <w:r w:rsidRPr="0086671E">
        <w:rPr>
          <w:rFonts w:cs="Calibri"/>
          <w:lang w:val="es-ES"/>
        </w:rPr>
        <w:t>s reales tras la COP14, se había reembolsado todo menos 140</w:t>
      </w:r>
      <w:r w:rsidR="009D13D9" w:rsidRPr="0086671E">
        <w:rPr>
          <w:rFonts w:cs="Calibri"/>
          <w:lang w:val="es-ES"/>
        </w:rPr>
        <w:t xml:space="preserve"> </w:t>
      </w:r>
      <w:r w:rsidRPr="0086671E">
        <w:rPr>
          <w:rFonts w:cs="Calibri"/>
          <w:lang w:val="es-ES"/>
        </w:rPr>
        <w:t>000 CHF (y todo menos 75</w:t>
      </w:r>
      <w:r w:rsidR="009D13D9" w:rsidRPr="0086671E">
        <w:rPr>
          <w:rFonts w:cs="Calibri"/>
          <w:lang w:val="es-ES"/>
        </w:rPr>
        <w:t xml:space="preserve"> </w:t>
      </w:r>
      <w:r w:rsidRPr="0086671E">
        <w:rPr>
          <w:rFonts w:cs="Calibri"/>
          <w:lang w:val="es-ES"/>
        </w:rPr>
        <w:t xml:space="preserve">000 CHF después de la COP13). </w:t>
      </w:r>
    </w:p>
    <w:p w14:paraId="61527C8A" w14:textId="77777777" w:rsidR="00CF5F03" w:rsidRPr="0086671E" w:rsidRDefault="00CF5F03" w:rsidP="00462ECE">
      <w:pPr>
        <w:pStyle w:val="ColorfulList-Accent11"/>
        <w:ind w:left="0" w:firstLine="0"/>
        <w:rPr>
          <w:rFonts w:cs="Calibri"/>
          <w:lang w:val="es-ES"/>
        </w:rPr>
      </w:pPr>
    </w:p>
    <w:p w14:paraId="6336F183" w14:textId="45CC3318" w:rsidR="00462ECE" w:rsidRPr="0086671E" w:rsidRDefault="00086A03" w:rsidP="00462ECE">
      <w:pPr>
        <w:keepNext/>
        <w:spacing w:after="0" w:line="240" w:lineRule="auto"/>
        <w:contextualSpacing/>
        <w:rPr>
          <w:b/>
          <w:bCs/>
          <w:lang w:val="es-ES"/>
        </w:rPr>
      </w:pPr>
      <w:r w:rsidRPr="0086671E">
        <w:rPr>
          <w:b/>
          <w:bCs/>
          <w:lang w:val="es-ES"/>
        </w:rPr>
        <w:t xml:space="preserve">El Subgrupo de Finanzas recomienda </w:t>
      </w:r>
      <w:r w:rsidR="007A1483" w:rsidRPr="0086671E">
        <w:rPr>
          <w:b/>
          <w:bCs/>
          <w:lang w:val="es-ES"/>
        </w:rPr>
        <w:t>que e</w:t>
      </w:r>
      <w:r w:rsidRPr="0086671E">
        <w:rPr>
          <w:b/>
          <w:bCs/>
          <w:lang w:val="es-ES"/>
        </w:rPr>
        <w:t>l Comité Permanente:</w:t>
      </w:r>
      <w:r w:rsidR="004A7628" w:rsidRPr="0086671E">
        <w:rPr>
          <w:b/>
          <w:bCs/>
          <w:lang w:val="es-ES"/>
        </w:rPr>
        <w:t xml:space="preserve"> </w:t>
      </w:r>
    </w:p>
    <w:p w14:paraId="2FA675C6" w14:textId="629D7CB6" w:rsidR="00B07229" w:rsidRPr="0086671E" w:rsidRDefault="00B07229"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 xml:space="preserve">i. </w:t>
      </w:r>
      <w:r w:rsidRPr="0086671E">
        <w:rPr>
          <w:rFonts w:cs="Calibri"/>
          <w:b/>
          <w:bCs/>
          <w:i/>
          <w:color w:val="000000" w:themeColor="text1"/>
          <w:lang w:val="es-ES"/>
        </w:rPr>
        <w:tab/>
      </w:r>
      <w:r w:rsidR="00086A03" w:rsidRPr="0086671E">
        <w:rPr>
          <w:rFonts w:cs="Calibri"/>
          <w:b/>
          <w:bCs/>
          <w:i/>
          <w:color w:val="000000" w:themeColor="text1"/>
          <w:lang w:val="es-ES"/>
        </w:rPr>
        <w:t xml:space="preserve">tome nota de las estimaciones provisionales de los resultados del presupuesto básico para 2024; </w:t>
      </w:r>
    </w:p>
    <w:p w14:paraId="20010BCB" w14:textId="183B408C" w:rsidR="00B07229" w:rsidRPr="0086671E" w:rsidRDefault="00B07229"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ii.</w:t>
      </w:r>
      <w:r w:rsidRPr="0086671E">
        <w:rPr>
          <w:rFonts w:cs="Calibri"/>
          <w:b/>
          <w:bCs/>
          <w:i/>
          <w:color w:val="000000" w:themeColor="text1"/>
          <w:lang w:val="es-ES"/>
        </w:rPr>
        <w:tab/>
      </w:r>
      <w:r w:rsidR="00086A03" w:rsidRPr="0086671E">
        <w:rPr>
          <w:rFonts w:cs="Calibri"/>
          <w:b/>
          <w:bCs/>
          <w:i/>
          <w:color w:val="000000" w:themeColor="text1"/>
          <w:lang w:val="es-ES"/>
        </w:rPr>
        <w:t xml:space="preserve">tome nota de las estimaciones provisionales </w:t>
      </w:r>
      <w:r w:rsidR="009D13D9" w:rsidRPr="0086671E">
        <w:rPr>
          <w:rFonts w:cs="Calibri"/>
          <w:b/>
          <w:bCs/>
          <w:i/>
          <w:color w:val="000000" w:themeColor="text1"/>
          <w:lang w:val="es-ES"/>
        </w:rPr>
        <w:t xml:space="preserve">sobre la situación de los fondos complementarios </w:t>
      </w:r>
      <w:r w:rsidR="00086A03" w:rsidRPr="0086671E">
        <w:rPr>
          <w:rFonts w:cs="Calibri"/>
          <w:b/>
          <w:bCs/>
          <w:i/>
          <w:color w:val="000000" w:themeColor="text1"/>
          <w:lang w:val="es-ES"/>
        </w:rPr>
        <w:t xml:space="preserve">y las contribuciones voluntarias para 2024; </w:t>
      </w:r>
    </w:p>
    <w:p w14:paraId="632E1C92" w14:textId="27130539" w:rsidR="00B07229" w:rsidRPr="0086671E" w:rsidRDefault="00B07229"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i</w:t>
      </w:r>
      <w:r w:rsidR="00911328" w:rsidRPr="0086671E">
        <w:rPr>
          <w:rFonts w:cs="Calibri"/>
          <w:b/>
          <w:bCs/>
          <w:i/>
          <w:color w:val="000000" w:themeColor="text1"/>
          <w:lang w:val="es-ES"/>
        </w:rPr>
        <w:t>ii</w:t>
      </w:r>
      <w:r w:rsidRPr="0086671E">
        <w:rPr>
          <w:rFonts w:cs="Calibri"/>
          <w:b/>
          <w:bCs/>
          <w:i/>
          <w:color w:val="000000" w:themeColor="text1"/>
          <w:lang w:val="es-ES"/>
        </w:rPr>
        <w:t xml:space="preserve">. </w:t>
      </w:r>
      <w:r w:rsidRPr="0086671E">
        <w:rPr>
          <w:rFonts w:cs="Calibri"/>
          <w:b/>
          <w:bCs/>
          <w:i/>
          <w:color w:val="000000" w:themeColor="text1"/>
          <w:lang w:val="es-ES"/>
        </w:rPr>
        <w:tab/>
      </w:r>
      <w:r w:rsidR="00086A03" w:rsidRPr="0086671E">
        <w:rPr>
          <w:rFonts w:cs="Calibri"/>
          <w:b/>
          <w:bCs/>
          <w:i/>
          <w:color w:val="000000" w:themeColor="text1"/>
          <w:lang w:val="es-ES"/>
        </w:rPr>
        <w:t xml:space="preserve">tome nota del traspaso estimado de fondos de 2024 a 2025, tal como se </w:t>
      </w:r>
      <w:r w:rsidR="009D13D9" w:rsidRPr="0086671E">
        <w:rPr>
          <w:rFonts w:cs="Calibri"/>
          <w:b/>
          <w:bCs/>
          <w:i/>
          <w:color w:val="000000" w:themeColor="text1"/>
          <w:lang w:val="es-ES"/>
        </w:rPr>
        <w:t>describe</w:t>
      </w:r>
      <w:r w:rsidR="00086A03" w:rsidRPr="0086671E">
        <w:rPr>
          <w:rFonts w:cs="Calibri"/>
          <w:b/>
          <w:bCs/>
          <w:i/>
          <w:color w:val="000000" w:themeColor="text1"/>
          <w:lang w:val="es-ES"/>
        </w:rPr>
        <w:t xml:space="preserve"> en la columna C de</w:t>
      </w:r>
      <w:r w:rsidR="007A1483" w:rsidRPr="0086671E">
        <w:rPr>
          <w:rFonts w:cs="Calibri"/>
          <w:b/>
          <w:bCs/>
          <w:i/>
          <w:color w:val="000000" w:themeColor="text1"/>
          <w:lang w:val="es-ES"/>
        </w:rPr>
        <w:t>l cuadro</w:t>
      </w:r>
      <w:r w:rsidR="00086A03" w:rsidRPr="0086671E">
        <w:rPr>
          <w:rFonts w:cs="Calibri"/>
          <w:b/>
          <w:bCs/>
          <w:i/>
          <w:color w:val="000000" w:themeColor="text1"/>
          <w:lang w:val="es-ES"/>
        </w:rPr>
        <w:t xml:space="preserve"> del Anexo </w:t>
      </w:r>
      <w:r w:rsidR="00821B09">
        <w:rPr>
          <w:rFonts w:cs="Calibri"/>
          <w:b/>
          <w:bCs/>
          <w:i/>
          <w:color w:val="000000" w:themeColor="text1"/>
          <w:lang w:val="es-ES"/>
        </w:rPr>
        <w:t>[x]</w:t>
      </w:r>
      <w:r w:rsidR="00086A03" w:rsidRPr="0086671E">
        <w:rPr>
          <w:rFonts w:cs="Calibri"/>
          <w:b/>
          <w:bCs/>
          <w:i/>
          <w:color w:val="000000" w:themeColor="text1"/>
          <w:lang w:val="es-ES"/>
        </w:rPr>
        <w:t xml:space="preserve"> </w:t>
      </w:r>
      <w:r w:rsidR="00EA7627" w:rsidRPr="000747B7">
        <w:rPr>
          <w:rFonts w:cs="Calibri"/>
          <w:b/>
          <w:bCs/>
          <w:i/>
          <w:color w:val="000000" w:themeColor="text1"/>
          <w:lang w:val="es-ES"/>
        </w:rPr>
        <w:t>– Presupuesto básico para 2025 –</w:t>
      </w:r>
      <w:r w:rsidR="00EA7627" w:rsidRPr="0086671E">
        <w:rPr>
          <w:rFonts w:cs="Calibri"/>
          <w:b/>
          <w:bCs/>
          <w:i/>
          <w:color w:val="000000" w:themeColor="text1"/>
          <w:lang w:val="es-ES"/>
        </w:rPr>
        <w:t xml:space="preserve"> </w:t>
      </w:r>
      <w:r w:rsidR="00086A03" w:rsidRPr="0086671E">
        <w:rPr>
          <w:rFonts w:cs="Calibri"/>
          <w:b/>
          <w:bCs/>
          <w:i/>
          <w:color w:val="000000" w:themeColor="text1"/>
          <w:lang w:val="es-ES"/>
        </w:rPr>
        <w:t>del presente informe</w:t>
      </w:r>
      <w:r w:rsidR="007A1483" w:rsidRPr="0086671E">
        <w:rPr>
          <w:rFonts w:cs="Calibri"/>
          <w:b/>
          <w:bCs/>
          <w:i/>
          <w:color w:val="000000" w:themeColor="text1"/>
          <w:lang w:val="es-ES"/>
        </w:rPr>
        <w:t>;</w:t>
      </w:r>
      <w:r w:rsidR="007A1483" w:rsidRPr="0086671E">
        <w:rPr>
          <w:rFonts w:cs="Calibri"/>
          <w:b/>
          <w:bCs/>
          <w:i/>
          <w:iCs/>
          <w:color w:val="000000" w:themeColor="text1"/>
          <w:vertAlign w:val="superscript"/>
          <w:lang w:val="es-ES"/>
        </w:rPr>
        <w:footnoteReference w:id="2"/>
      </w:r>
      <w:r w:rsidR="004A7628" w:rsidRPr="0086671E">
        <w:rPr>
          <w:rFonts w:cs="Calibri"/>
          <w:b/>
          <w:bCs/>
          <w:i/>
          <w:color w:val="000000" w:themeColor="text1"/>
          <w:lang w:val="es-ES"/>
        </w:rPr>
        <w:t xml:space="preserve"> </w:t>
      </w:r>
    </w:p>
    <w:p w14:paraId="2A68258B" w14:textId="16D5F55C" w:rsidR="00593BF8" w:rsidRPr="00821B09" w:rsidRDefault="00911328" w:rsidP="00462ECE">
      <w:pPr>
        <w:spacing w:after="0" w:line="240" w:lineRule="auto"/>
        <w:ind w:left="425" w:hanging="425"/>
        <w:contextualSpacing/>
        <w:rPr>
          <w:rFonts w:cs="Calibri"/>
          <w:iCs/>
          <w:color w:val="000000" w:themeColor="text1"/>
          <w:lang w:val="es-ES"/>
        </w:rPr>
      </w:pPr>
      <w:r w:rsidRPr="0086671E">
        <w:rPr>
          <w:rFonts w:cs="Calibri"/>
          <w:b/>
          <w:bCs/>
          <w:i/>
          <w:color w:val="000000" w:themeColor="text1"/>
          <w:lang w:val="es-ES"/>
        </w:rPr>
        <w:t>i</w:t>
      </w:r>
      <w:r w:rsidR="00B07229" w:rsidRPr="0086671E">
        <w:rPr>
          <w:rFonts w:cs="Calibri"/>
          <w:b/>
          <w:bCs/>
          <w:i/>
          <w:color w:val="000000" w:themeColor="text1"/>
          <w:lang w:val="es-ES"/>
        </w:rPr>
        <w:t>v.</w:t>
      </w:r>
      <w:r w:rsidR="00B07229" w:rsidRPr="0086671E">
        <w:rPr>
          <w:rFonts w:cs="Calibri"/>
          <w:b/>
          <w:bCs/>
          <w:i/>
          <w:color w:val="000000" w:themeColor="text1"/>
          <w:lang w:val="es-ES"/>
        </w:rPr>
        <w:tab/>
      </w:r>
      <w:r w:rsidR="007A1483" w:rsidRPr="0086671E">
        <w:rPr>
          <w:rFonts w:cs="Calibri"/>
          <w:b/>
          <w:bCs/>
          <w:i/>
          <w:color w:val="000000" w:themeColor="text1"/>
          <w:lang w:val="es-ES"/>
        </w:rPr>
        <w:t xml:space="preserve">tome nota del presupuesto estimado para 2025, incluido en la columna </w:t>
      </w:r>
      <w:r w:rsidR="00821B09">
        <w:rPr>
          <w:rFonts w:cs="Calibri"/>
          <w:b/>
          <w:bCs/>
          <w:i/>
          <w:color w:val="000000" w:themeColor="text1"/>
          <w:lang w:val="es-ES"/>
        </w:rPr>
        <w:t>D</w:t>
      </w:r>
      <w:r w:rsidR="007A1483" w:rsidRPr="0086671E">
        <w:rPr>
          <w:rFonts w:cs="Calibri"/>
          <w:b/>
          <w:bCs/>
          <w:i/>
          <w:color w:val="000000" w:themeColor="text1"/>
          <w:lang w:val="es-ES"/>
        </w:rPr>
        <w:t xml:space="preserve"> de</w:t>
      </w:r>
      <w:r w:rsidR="009D13D9" w:rsidRPr="0086671E">
        <w:rPr>
          <w:rFonts w:cs="Calibri"/>
          <w:b/>
          <w:bCs/>
          <w:i/>
          <w:color w:val="000000" w:themeColor="text1"/>
          <w:lang w:val="es-ES"/>
        </w:rPr>
        <w:t xml:space="preserve">l cuadro </w:t>
      </w:r>
      <w:r w:rsidR="007A1483" w:rsidRPr="0086671E">
        <w:rPr>
          <w:rFonts w:cs="Calibri"/>
          <w:b/>
          <w:bCs/>
          <w:i/>
          <w:color w:val="000000" w:themeColor="text1"/>
          <w:lang w:val="es-ES"/>
        </w:rPr>
        <w:t xml:space="preserve">del </w:t>
      </w:r>
      <w:r w:rsidR="007A1483" w:rsidRPr="000747B7">
        <w:rPr>
          <w:rFonts w:cs="Calibri"/>
          <w:b/>
          <w:bCs/>
          <w:i/>
          <w:color w:val="000000" w:themeColor="text1"/>
          <w:lang w:val="es-ES"/>
        </w:rPr>
        <w:t xml:space="preserve">Anexo </w:t>
      </w:r>
      <w:r w:rsidR="00821B09">
        <w:rPr>
          <w:rFonts w:cs="Calibri"/>
          <w:b/>
          <w:bCs/>
          <w:i/>
          <w:color w:val="000000" w:themeColor="text1"/>
          <w:lang w:val="es-ES"/>
        </w:rPr>
        <w:t>[x]</w:t>
      </w:r>
      <w:r w:rsidR="009D13D9" w:rsidRPr="000747B7">
        <w:rPr>
          <w:rFonts w:cs="Calibri"/>
          <w:b/>
          <w:bCs/>
          <w:i/>
          <w:color w:val="000000" w:themeColor="text1"/>
          <w:lang w:val="es-ES"/>
        </w:rPr>
        <w:t xml:space="preserve"> –</w:t>
      </w:r>
      <w:r w:rsidR="007A1483" w:rsidRPr="000747B7">
        <w:rPr>
          <w:rFonts w:cs="Calibri"/>
          <w:b/>
          <w:bCs/>
          <w:i/>
          <w:color w:val="000000" w:themeColor="text1"/>
          <w:lang w:val="es-ES"/>
        </w:rPr>
        <w:t xml:space="preserve"> Presupuesto básico para 2025</w:t>
      </w:r>
      <w:r w:rsidR="009D13D9" w:rsidRPr="000747B7">
        <w:rPr>
          <w:rFonts w:cs="Calibri"/>
          <w:b/>
          <w:bCs/>
          <w:i/>
          <w:color w:val="000000" w:themeColor="text1"/>
          <w:lang w:val="es-ES"/>
        </w:rPr>
        <w:t xml:space="preserve"> –</w:t>
      </w:r>
      <w:r w:rsidR="007A1483" w:rsidRPr="0086671E">
        <w:rPr>
          <w:rFonts w:cs="Calibri"/>
          <w:b/>
          <w:bCs/>
          <w:i/>
          <w:color w:val="000000" w:themeColor="text1"/>
          <w:lang w:val="es-ES"/>
        </w:rPr>
        <w:t xml:space="preserve"> del presente informe;</w:t>
      </w:r>
      <w:r w:rsidR="00821B09" w:rsidRPr="00821B09">
        <w:rPr>
          <w:rFonts w:cs="Calibri"/>
          <w:iCs/>
          <w:color w:val="000000" w:themeColor="text1"/>
          <w:vertAlign w:val="superscript"/>
          <w:lang w:val="es-ES"/>
        </w:rPr>
        <w:t>1</w:t>
      </w:r>
    </w:p>
    <w:p w14:paraId="7B0B0539" w14:textId="592E4F82" w:rsidR="00B07229" w:rsidRPr="0086671E" w:rsidRDefault="00593BF8"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v.</w:t>
      </w:r>
      <w:r w:rsidRPr="0086671E">
        <w:rPr>
          <w:rFonts w:cs="Calibri"/>
          <w:b/>
          <w:bCs/>
          <w:i/>
          <w:color w:val="000000" w:themeColor="text1"/>
          <w:lang w:val="es-ES"/>
        </w:rPr>
        <w:tab/>
      </w:r>
      <w:r w:rsidR="007A1483" w:rsidRPr="0086671E">
        <w:rPr>
          <w:rFonts w:cs="Calibri"/>
          <w:b/>
          <w:bCs/>
          <w:i/>
          <w:color w:val="000000" w:themeColor="text1"/>
          <w:lang w:val="es-ES"/>
        </w:rPr>
        <w:t xml:space="preserve">apruebe el uso temporal de los fondos de reserva como préstamo para complementar la financiación voluntaria para el apoyo a los delegados patrocinados </w:t>
      </w:r>
      <w:r w:rsidR="009D13D9" w:rsidRPr="0086671E">
        <w:rPr>
          <w:rFonts w:cs="Calibri"/>
          <w:b/>
          <w:bCs/>
          <w:i/>
          <w:color w:val="000000" w:themeColor="text1"/>
          <w:lang w:val="es-ES"/>
        </w:rPr>
        <w:t>para</w:t>
      </w:r>
      <w:r w:rsidR="007A1483" w:rsidRPr="0086671E">
        <w:rPr>
          <w:rFonts w:cs="Calibri"/>
          <w:b/>
          <w:bCs/>
          <w:i/>
          <w:color w:val="000000" w:themeColor="text1"/>
          <w:lang w:val="es-ES"/>
        </w:rPr>
        <w:t xml:space="preserve"> la COP15, tal como se describe en los párrafos 13, 14 y 20, por un importe máximo de 486 000 francos suizos; </w:t>
      </w:r>
      <w:r w:rsidR="004A7628" w:rsidRPr="0086671E">
        <w:rPr>
          <w:rFonts w:cs="Calibri"/>
          <w:b/>
          <w:bCs/>
          <w:i/>
          <w:color w:val="000000" w:themeColor="text1"/>
          <w:lang w:val="es-ES"/>
        </w:rPr>
        <w:t>y</w:t>
      </w:r>
    </w:p>
    <w:p w14:paraId="1E28F90C" w14:textId="41D55D44" w:rsidR="00911328" w:rsidRPr="0086671E" w:rsidRDefault="00593BF8"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vi.</w:t>
      </w:r>
      <w:r w:rsidR="00B07229" w:rsidRPr="0086671E">
        <w:rPr>
          <w:rFonts w:cs="Calibri"/>
          <w:b/>
          <w:bCs/>
          <w:i/>
          <w:color w:val="000000" w:themeColor="text1"/>
          <w:lang w:val="es-ES"/>
        </w:rPr>
        <w:tab/>
      </w:r>
      <w:bookmarkStart w:id="2" w:name="_Hlk167885757"/>
      <w:r w:rsidR="007A1483" w:rsidRPr="0086671E">
        <w:rPr>
          <w:rFonts w:cs="Calibri"/>
          <w:b/>
          <w:bCs/>
          <w:i/>
          <w:color w:val="000000" w:themeColor="text1"/>
          <w:lang w:val="es-ES"/>
        </w:rPr>
        <w:t xml:space="preserve">tome nota de los saldos </w:t>
      </w:r>
      <w:r w:rsidR="009D13D9" w:rsidRPr="0086671E">
        <w:rPr>
          <w:rFonts w:cs="Calibri"/>
          <w:b/>
          <w:bCs/>
          <w:i/>
          <w:color w:val="000000" w:themeColor="text1"/>
          <w:lang w:val="es-ES"/>
        </w:rPr>
        <w:t>excedentes</w:t>
      </w:r>
      <w:r w:rsidR="007A1483" w:rsidRPr="0086671E">
        <w:rPr>
          <w:rFonts w:cs="Calibri"/>
          <w:b/>
          <w:bCs/>
          <w:i/>
          <w:color w:val="000000" w:themeColor="text1"/>
          <w:lang w:val="es-ES"/>
        </w:rPr>
        <w:t xml:space="preserve"> estimados</w:t>
      </w:r>
      <w:r w:rsidR="009D13D9" w:rsidRPr="0086671E">
        <w:rPr>
          <w:rFonts w:cs="Calibri"/>
          <w:b/>
          <w:bCs/>
          <w:i/>
          <w:color w:val="000000" w:themeColor="text1"/>
          <w:lang w:val="es-ES"/>
        </w:rPr>
        <w:t>, resumidos e</w:t>
      </w:r>
      <w:r w:rsidR="007A1483" w:rsidRPr="0086671E">
        <w:rPr>
          <w:rFonts w:cs="Calibri"/>
          <w:b/>
          <w:bCs/>
          <w:i/>
          <w:color w:val="000000" w:themeColor="text1"/>
          <w:lang w:val="es-ES"/>
        </w:rPr>
        <w:t>n el Cuadro 1 del presente informe</w:t>
      </w:r>
      <w:r w:rsidR="00246ACE" w:rsidRPr="0086671E">
        <w:rPr>
          <w:rFonts w:cs="Calibri"/>
          <w:b/>
          <w:bCs/>
          <w:i/>
          <w:color w:val="000000" w:themeColor="text1"/>
          <w:lang w:val="es-ES"/>
        </w:rPr>
        <w:t>.</w:t>
      </w:r>
    </w:p>
    <w:p w14:paraId="283282E3" w14:textId="34DC55B6" w:rsidR="00911328" w:rsidRPr="0086671E" w:rsidRDefault="00911328" w:rsidP="00462ECE">
      <w:pPr>
        <w:spacing w:after="0" w:line="240" w:lineRule="auto"/>
        <w:ind w:left="425" w:hanging="425"/>
        <w:contextualSpacing/>
        <w:rPr>
          <w:rFonts w:cs="Calibri"/>
          <w:b/>
          <w:bCs/>
          <w:i/>
          <w:color w:val="000000" w:themeColor="text1"/>
          <w:lang w:val="es-ES"/>
        </w:rPr>
      </w:pPr>
    </w:p>
    <w:p w14:paraId="1AAA9373" w14:textId="6ECDF069" w:rsidR="00462ECE" w:rsidRPr="0086671E" w:rsidRDefault="00462ECE" w:rsidP="00462ECE">
      <w:pPr>
        <w:spacing w:after="0" w:line="240" w:lineRule="auto"/>
        <w:ind w:left="426" w:hanging="426"/>
        <w:rPr>
          <w:b/>
          <w:lang w:val="es-ES"/>
        </w:rPr>
      </w:pPr>
      <w:r w:rsidRPr="0086671E">
        <w:rPr>
          <w:b/>
          <w:lang w:val="es-ES"/>
        </w:rPr>
        <w:t>3.</w:t>
      </w:r>
      <w:r w:rsidRPr="0086671E">
        <w:rPr>
          <w:b/>
          <w:lang w:val="es-ES"/>
        </w:rPr>
        <w:tab/>
      </w:r>
      <w:r w:rsidR="007A1483" w:rsidRPr="0086671E">
        <w:rPr>
          <w:b/>
          <w:iCs/>
          <w:lang w:val="es-ES"/>
        </w:rPr>
        <w:t xml:space="preserve">Posibles repercusiones financieras de los proyectos de resolución </w:t>
      </w:r>
    </w:p>
    <w:p w14:paraId="70F35825" w14:textId="77777777" w:rsidR="00462ECE" w:rsidRPr="0086671E" w:rsidRDefault="00462ECE" w:rsidP="00462ECE">
      <w:pPr>
        <w:spacing w:after="0" w:line="240" w:lineRule="auto"/>
        <w:ind w:left="426" w:hanging="426"/>
        <w:rPr>
          <w:b/>
          <w:lang w:val="es-ES"/>
        </w:rPr>
      </w:pPr>
    </w:p>
    <w:p w14:paraId="3990AFC4" w14:textId="3B315671" w:rsidR="00911328" w:rsidRPr="0086671E" w:rsidRDefault="007A1483" w:rsidP="006E37BD">
      <w:pPr>
        <w:spacing w:after="0" w:line="240" w:lineRule="auto"/>
        <w:contextualSpacing/>
        <w:rPr>
          <w:rFonts w:ascii="Calibri" w:eastAsia="Calibri" w:hAnsi="Calibri" w:cs="Calibri"/>
          <w:lang w:val="es-ES"/>
        </w:rPr>
      </w:pPr>
      <w:r w:rsidRPr="0086671E">
        <w:rPr>
          <w:rFonts w:ascii="Calibri" w:eastAsia="Calibri" w:hAnsi="Calibri" w:cs="Calibri"/>
          <w:lang w:val="es-ES"/>
        </w:rPr>
        <w:t xml:space="preserve">La Secretaría presentó el documento SC64 Doc.9.4 Rev.1 y aclaró que: </w:t>
      </w:r>
    </w:p>
    <w:p w14:paraId="75798100" w14:textId="1095675B" w:rsidR="009F2B33" w:rsidRPr="0086671E" w:rsidRDefault="009F2B33" w:rsidP="009F2B33">
      <w:pPr>
        <w:pStyle w:val="ListParagraph"/>
        <w:numPr>
          <w:ilvl w:val="0"/>
          <w:numId w:val="5"/>
        </w:numPr>
        <w:spacing w:after="0" w:line="240" w:lineRule="auto"/>
        <w:ind w:left="426" w:hanging="426"/>
        <w:rPr>
          <w:rFonts w:ascii="Calibri" w:eastAsia="Calibri" w:hAnsi="Calibri" w:cs="Calibri"/>
          <w:lang w:val="es-ES"/>
        </w:rPr>
      </w:pPr>
      <w:r w:rsidRPr="0086671E">
        <w:rPr>
          <w:rFonts w:ascii="Calibri" w:eastAsia="Calibri" w:hAnsi="Calibri" w:cs="Calibri"/>
          <w:lang w:val="es-ES"/>
        </w:rPr>
        <w:t xml:space="preserve">únicamente </w:t>
      </w:r>
      <w:r w:rsidR="007A1483" w:rsidRPr="0086671E">
        <w:rPr>
          <w:rFonts w:ascii="Calibri" w:eastAsia="Calibri" w:hAnsi="Calibri" w:cs="Calibri"/>
          <w:lang w:val="es-ES"/>
        </w:rPr>
        <w:t xml:space="preserve">las actividades adicionales específicas se incluían en el cálculo de los </w:t>
      </w:r>
      <w:r w:rsidRPr="0086671E">
        <w:rPr>
          <w:rFonts w:ascii="Calibri" w:eastAsia="Calibri" w:hAnsi="Calibri" w:cs="Calibri"/>
          <w:lang w:val="es-ES"/>
        </w:rPr>
        <w:t>“</w:t>
      </w:r>
      <w:r w:rsidR="007A1483" w:rsidRPr="0086671E">
        <w:rPr>
          <w:rFonts w:ascii="Calibri" w:eastAsia="Calibri" w:hAnsi="Calibri" w:cs="Calibri"/>
          <w:lang w:val="es-ES"/>
        </w:rPr>
        <w:t xml:space="preserve">días de </w:t>
      </w:r>
      <w:r w:rsidRPr="0086671E">
        <w:rPr>
          <w:rFonts w:ascii="Calibri" w:eastAsia="Calibri" w:hAnsi="Calibri" w:cs="Calibri"/>
          <w:lang w:val="es-ES"/>
        </w:rPr>
        <w:t xml:space="preserve">trabajo adicionales del </w:t>
      </w:r>
      <w:r w:rsidR="007A1483" w:rsidRPr="0086671E">
        <w:rPr>
          <w:rFonts w:ascii="Calibri" w:eastAsia="Calibri" w:hAnsi="Calibri" w:cs="Calibri"/>
          <w:lang w:val="es-ES"/>
        </w:rPr>
        <w:t>personal</w:t>
      </w:r>
      <w:r w:rsidRPr="0086671E">
        <w:rPr>
          <w:rFonts w:ascii="Calibri" w:eastAsia="Calibri" w:hAnsi="Calibri" w:cs="Calibri"/>
          <w:lang w:val="es-ES"/>
        </w:rPr>
        <w:t xml:space="preserve">” </w:t>
      </w:r>
      <w:r w:rsidR="007A1483" w:rsidRPr="0086671E">
        <w:rPr>
          <w:rFonts w:ascii="Calibri" w:eastAsia="Calibri" w:hAnsi="Calibri" w:cs="Calibri"/>
          <w:lang w:val="es-ES"/>
        </w:rPr>
        <w:t xml:space="preserve">necesarios para aplicar un proyecto de resolución, registrándose como cero las tareas acordes con la actividad </w:t>
      </w:r>
      <w:r w:rsidRPr="000747B7">
        <w:rPr>
          <w:rFonts w:ascii="Calibri" w:eastAsia="Calibri" w:hAnsi="Calibri" w:cs="Calibri"/>
          <w:lang w:val="es-ES"/>
        </w:rPr>
        <w:t>ordinaria</w:t>
      </w:r>
      <w:r w:rsidR="007A1483" w:rsidRPr="0086671E">
        <w:rPr>
          <w:rFonts w:ascii="Calibri" w:eastAsia="Calibri" w:hAnsi="Calibri" w:cs="Calibri"/>
          <w:lang w:val="es-ES"/>
        </w:rPr>
        <w:t xml:space="preserve"> de la Secretaría; y</w:t>
      </w:r>
    </w:p>
    <w:p w14:paraId="79AF5E7E" w14:textId="78F9CF97" w:rsidR="00CF5F03" w:rsidRPr="0086671E" w:rsidRDefault="007A1483" w:rsidP="009F2B33">
      <w:pPr>
        <w:pStyle w:val="ListParagraph"/>
        <w:numPr>
          <w:ilvl w:val="0"/>
          <w:numId w:val="5"/>
        </w:numPr>
        <w:spacing w:after="0" w:line="240" w:lineRule="auto"/>
        <w:ind w:left="426" w:hanging="426"/>
        <w:rPr>
          <w:rFonts w:ascii="Calibri" w:eastAsia="Calibri" w:hAnsi="Calibri" w:cs="Calibri"/>
          <w:lang w:val="es-ES"/>
        </w:rPr>
      </w:pPr>
      <w:r w:rsidRPr="0086671E">
        <w:rPr>
          <w:rFonts w:ascii="Calibri" w:eastAsia="Calibri" w:hAnsi="Calibri" w:cs="Calibri"/>
          <w:lang w:val="es-ES"/>
        </w:rPr>
        <w:t xml:space="preserve">los </w:t>
      </w:r>
      <w:r w:rsidR="0086671E">
        <w:rPr>
          <w:rFonts w:ascii="Calibri" w:eastAsia="Calibri" w:hAnsi="Calibri" w:cs="Calibri"/>
          <w:lang w:val="es-ES"/>
        </w:rPr>
        <w:t>costo</w:t>
      </w:r>
      <w:r w:rsidRPr="0086671E">
        <w:rPr>
          <w:rFonts w:ascii="Calibri" w:eastAsia="Calibri" w:hAnsi="Calibri" w:cs="Calibri"/>
          <w:lang w:val="es-ES"/>
        </w:rPr>
        <w:t xml:space="preserve">s estimados marcados para financiación voluntaria podrían financiarse mediante la asignación de fondos excedentes del presupuesto básico, siempre que el Comité Permanente lo </w:t>
      </w:r>
      <w:r w:rsidR="009F2B33" w:rsidRPr="0086671E">
        <w:rPr>
          <w:rFonts w:ascii="Calibri" w:eastAsia="Calibri" w:hAnsi="Calibri" w:cs="Calibri"/>
          <w:lang w:val="es-ES"/>
        </w:rPr>
        <w:t>apruebe</w:t>
      </w:r>
      <w:r w:rsidRPr="0086671E">
        <w:rPr>
          <w:rFonts w:ascii="Calibri" w:eastAsia="Calibri" w:hAnsi="Calibri" w:cs="Calibri"/>
          <w:lang w:val="es-ES"/>
        </w:rPr>
        <w:t xml:space="preserve">. </w:t>
      </w:r>
    </w:p>
    <w:p w14:paraId="6FFA69A0" w14:textId="77777777" w:rsidR="006E37BD" w:rsidRPr="0086671E" w:rsidRDefault="006E37BD" w:rsidP="006E37BD">
      <w:pPr>
        <w:spacing w:after="0" w:line="240" w:lineRule="auto"/>
        <w:contextualSpacing/>
        <w:rPr>
          <w:rFonts w:ascii="Calibri" w:eastAsia="Calibri" w:hAnsi="Calibri" w:cs="Calibri"/>
          <w:lang w:val="es-ES"/>
        </w:rPr>
      </w:pPr>
    </w:p>
    <w:p w14:paraId="2B415AA2" w14:textId="77777777" w:rsidR="00246ACE" w:rsidRPr="0086671E" w:rsidRDefault="00D941A4" w:rsidP="00462ECE">
      <w:pPr>
        <w:keepNext/>
        <w:spacing w:after="0" w:line="240" w:lineRule="auto"/>
        <w:contextualSpacing/>
        <w:rPr>
          <w:b/>
          <w:bCs/>
          <w:lang w:val="es-ES"/>
        </w:rPr>
      </w:pPr>
      <w:r w:rsidRPr="0086671E">
        <w:rPr>
          <w:b/>
          <w:bCs/>
          <w:lang w:val="es-ES"/>
        </w:rPr>
        <w:t>El Subgrupo de Finanzas recomienda que el Comité Permanente:</w:t>
      </w:r>
    </w:p>
    <w:p w14:paraId="7BA7C00A" w14:textId="48B46234" w:rsidR="00911328" w:rsidRPr="0086671E" w:rsidRDefault="006E37BD" w:rsidP="00D941A4">
      <w:pPr>
        <w:spacing w:after="0" w:line="240" w:lineRule="auto"/>
        <w:ind w:left="426" w:hanging="426"/>
        <w:contextualSpacing/>
        <w:rPr>
          <w:rFonts w:cs="Calibri"/>
          <w:b/>
          <w:bCs/>
          <w:i/>
          <w:color w:val="000000" w:themeColor="text1"/>
          <w:lang w:val="es-ES"/>
        </w:rPr>
      </w:pPr>
      <w:r w:rsidRPr="0086671E">
        <w:rPr>
          <w:rFonts w:cs="Calibri"/>
          <w:b/>
          <w:bCs/>
          <w:i/>
          <w:color w:val="000000" w:themeColor="text1"/>
          <w:lang w:val="es-ES"/>
        </w:rPr>
        <w:t>i.</w:t>
      </w:r>
      <w:r w:rsidRPr="0086671E">
        <w:rPr>
          <w:rFonts w:cs="Calibri"/>
          <w:b/>
          <w:bCs/>
          <w:i/>
          <w:color w:val="000000" w:themeColor="text1"/>
          <w:lang w:val="es-ES"/>
        </w:rPr>
        <w:tab/>
      </w:r>
      <w:r w:rsidR="00D941A4" w:rsidRPr="0086671E">
        <w:rPr>
          <w:rFonts w:cs="Calibri"/>
          <w:b/>
          <w:bCs/>
          <w:i/>
          <w:color w:val="000000" w:themeColor="text1"/>
          <w:lang w:val="es-ES"/>
        </w:rPr>
        <w:t xml:space="preserve">tome nota de las repercusiones administrativas y financieras previstas de los proyectos de resolución presentados al Comité Permanente, que se revisarán sobre la base de los proyectos de resolución remitidos para su examen a la COP15. </w:t>
      </w:r>
    </w:p>
    <w:p w14:paraId="432304B2" w14:textId="77777777" w:rsidR="00911328" w:rsidRPr="0086671E" w:rsidRDefault="00911328" w:rsidP="00462ECE">
      <w:pPr>
        <w:spacing w:after="0" w:line="240" w:lineRule="auto"/>
        <w:ind w:left="425"/>
        <w:contextualSpacing/>
        <w:rPr>
          <w:rFonts w:cs="Calibri"/>
          <w:b/>
          <w:bCs/>
          <w:i/>
          <w:color w:val="000000" w:themeColor="text1"/>
          <w:lang w:val="es-ES"/>
        </w:rPr>
      </w:pPr>
    </w:p>
    <w:p w14:paraId="46A53C50" w14:textId="2DF7EA37" w:rsidR="00593BF8" w:rsidRPr="0086671E" w:rsidRDefault="006E37BD" w:rsidP="006E37BD">
      <w:pPr>
        <w:spacing w:after="0" w:line="240" w:lineRule="auto"/>
        <w:ind w:left="426" w:hanging="426"/>
        <w:rPr>
          <w:lang w:val="es-ES"/>
        </w:rPr>
      </w:pPr>
      <w:r w:rsidRPr="0086671E">
        <w:rPr>
          <w:b/>
          <w:lang w:val="es-ES"/>
        </w:rPr>
        <w:t>4.</w:t>
      </w:r>
      <w:r w:rsidRPr="0086671E">
        <w:rPr>
          <w:b/>
          <w:lang w:val="es-ES"/>
        </w:rPr>
        <w:tab/>
      </w:r>
      <w:bookmarkStart w:id="3" w:name="_Hlk188287052"/>
      <w:r w:rsidR="009F2B33" w:rsidRPr="0086671E">
        <w:rPr>
          <w:b/>
          <w:iCs/>
          <w:lang w:val="es-ES"/>
        </w:rPr>
        <w:t>Escenarios</w:t>
      </w:r>
      <w:r w:rsidR="00D941A4" w:rsidRPr="0086671E">
        <w:rPr>
          <w:b/>
          <w:iCs/>
          <w:lang w:val="es-ES"/>
        </w:rPr>
        <w:t xml:space="preserve"> presupuestari</w:t>
      </w:r>
      <w:r w:rsidR="009F2B33" w:rsidRPr="0086671E">
        <w:rPr>
          <w:b/>
          <w:iCs/>
          <w:lang w:val="es-ES"/>
        </w:rPr>
        <w:t>os</w:t>
      </w:r>
      <w:r w:rsidR="00D941A4" w:rsidRPr="0086671E">
        <w:rPr>
          <w:b/>
          <w:iCs/>
          <w:lang w:val="es-ES"/>
        </w:rPr>
        <w:t xml:space="preserve"> para 2026-2028 y proyecto de resolución sobre cuestiones financieras y presupuestarias </w:t>
      </w:r>
      <w:bookmarkEnd w:id="3"/>
    </w:p>
    <w:p w14:paraId="37173F16" w14:textId="77777777" w:rsidR="006E37BD" w:rsidRPr="0086671E" w:rsidRDefault="006E37BD" w:rsidP="006E37BD">
      <w:pPr>
        <w:spacing w:after="0" w:line="240" w:lineRule="auto"/>
        <w:ind w:left="426" w:hanging="426"/>
        <w:rPr>
          <w:rFonts w:cs="Calibri"/>
          <w:lang w:val="es-ES"/>
        </w:rPr>
      </w:pPr>
    </w:p>
    <w:p w14:paraId="2EE15815" w14:textId="115AFF9A" w:rsidR="00400CE7" w:rsidRPr="0086671E" w:rsidRDefault="00D941A4" w:rsidP="00CF6274">
      <w:pPr>
        <w:spacing w:after="0" w:line="240" w:lineRule="auto"/>
        <w:contextualSpacing/>
        <w:rPr>
          <w:rFonts w:cs="Calibri"/>
          <w:iCs/>
          <w:color w:val="000000" w:themeColor="text1"/>
          <w:lang w:val="es-ES"/>
        </w:rPr>
      </w:pPr>
      <w:r w:rsidRPr="0086671E">
        <w:rPr>
          <w:rFonts w:cs="Calibri"/>
          <w:iCs/>
          <w:color w:val="000000" w:themeColor="text1"/>
          <w:lang w:val="es-ES"/>
        </w:rPr>
        <w:t xml:space="preserve">La Secretaría presentó los dos escenarios presupuestarios (A y B) incluidos en los Anexos 2 y 3 del documento SC64 Doc.9.3 Rev.1 y explicados con más detalle en el documento informativo SC64 Inf.1. </w:t>
      </w:r>
    </w:p>
    <w:p w14:paraId="201C9CE7" w14:textId="77777777" w:rsidR="00400CE7" w:rsidRPr="0086671E" w:rsidRDefault="00400CE7" w:rsidP="00CF6274">
      <w:pPr>
        <w:spacing w:after="0" w:line="240" w:lineRule="auto"/>
        <w:contextualSpacing/>
        <w:rPr>
          <w:rFonts w:cs="Calibri"/>
          <w:iCs/>
          <w:color w:val="000000" w:themeColor="text1"/>
          <w:lang w:val="es-ES"/>
        </w:rPr>
      </w:pPr>
    </w:p>
    <w:p w14:paraId="04176BE1" w14:textId="29EEC82C" w:rsidR="00A91632" w:rsidRPr="0086671E" w:rsidRDefault="0083417A" w:rsidP="00CF6274">
      <w:pPr>
        <w:spacing w:after="0" w:line="240" w:lineRule="auto"/>
        <w:contextualSpacing/>
        <w:rPr>
          <w:rFonts w:cs="Calibri"/>
          <w:iCs/>
          <w:color w:val="000000" w:themeColor="text1"/>
          <w:lang w:val="es-ES"/>
        </w:rPr>
      </w:pPr>
      <w:r w:rsidRPr="0086671E">
        <w:rPr>
          <w:rFonts w:cs="Calibri"/>
          <w:iCs/>
          <w:color w:val="000000" w:themeColor="text1"/>
          <w:lang w:val="es-ES"/>
        </w:rPr>
        <w:t xml:space="preserve">Ambos escenarios incluyen fondos para dos nuevos puestos de personal y aumentos salariales de acuerdo con las políticas de </w:t>
      </w:r>
      <w:r w:rsidR="009F2B33" w:rsidRPr="0086671E">
        <w:rPr>
          <w:rFonts w:cs="Calibri"/>
          <w:iCs/>
          <w:color w:val="000000" w:themeColor="text1"/>
          <w:lang w:val="es-ES"/>
        </w:rPr>
        <w:t>r</w:t>
      </w:r>
      <w:r w:rsidRPr="0086671E">
        <w:rPr>
          <w:rFonts w:cs="Calibri"/>
          <w:iCs/>
          <w:color w:val="000000" w:themeColor="text1"/>
          <w:lang w:val="es-ES"/>
        </w:rPr>
        <w:t xml:space="preserve">ecursos </w:t>
      </w:r>
      <w:r w:rsidR="009F2B33" w:rsidRPr="0086671E">
        <w:rPr>
          <w:rFonts w:cs="Calibri"/>
          <w:iCs/>
          <w:color w:val="000000" w:themeColor="text1"/>
          <w:lang w:val="es-ES"/>
        </w:rPr>
        <w:t>h</w:t>
      </w:r>
      <w:r w:rsidRPr="0086671E">
        <w:rPr>
          <w:rFonts w:cs="Calibri"/>
          <w:iCs/>
          <w:color w:val="000000" w:themeColor="text1"/>
          <w:lang w:val="es-ES"/>
        </w:rPr>
        <w:t xml:space="preserve">umanos de la UICN, mientras que el escenario B también incluye costos adicionales relacionados con la COP. Estos aumentos se describen en los párrafos 4 a </w:t>
      </w:r>
      <w:r w:rsidRPr="0086671E">
        <w:rPr>
          <w:rFonts w:cs="Calibri"/>
          <w:iCs/>
          <w:color w:val="000000" w:themeColor="text1"/>
          <w:lang w:val="es-ES"/>
        </w:rPr>
        <w:lastRenderedPageBreak/>
        <w:t xml:space="preserve">6 del documento SC64 Doc.9.3 Rev.1. Las funciones de los nuevos miembros del personal propuestos </w:t>
      </w:r>
      <w:r w:rsidR="00735FDC" w:rsidRPr="0086671E">
        <w:rPr>
          <w:rFonts w:cs="Calibri"/>
          <w:iCs/>
          <w:color w:val="000000" w:themeColor="text1"/>
          <w:lang w:val="es-ES"/>
        </w:rPr>
        <w:t xml:space="preserve">se explican en el documento </w:t>
      </w:r>
      <w:r w:rsidRPr="0086671E">
        <w:rPr>
          <w:rFonts w:cs="Calibri"/>
          <w:iCs/>
          <w:color w:val="000000" w:themeColor="text1"/>
          <w:lang w:val="es-ES"/>
        </w:rPr>
        <w:t>SC64 Inf.1.</w:t>
      </w:r>
    </w:p>
    <w:p w14:paraId="3F084E6B" w14:textId="77777777" w:rsidR="00400CE7" w:rsidRPr="0086671E" w:rsidRDefault="00400CE7" w:rsidP="00CF6274">
      <w:pPr>
        <w:spacing w:after="0" w:line="240" w:lineRule="auto"/>
        <w:contextualSpacing/>
        <w:rPr>
          <w:rFonts w:cs="Calibri"/>
          <w:iCs/>
          <w:color w:val="000000" w:themeColor="text1"/>
          <w:lang w:val="es-ES"/>
        </w:rPr>
      </w:pPr>
    </w:p>
    <w:p w14:paraId="745B2BAB" w14:textId="3B5A294E" w:rsidR="00B63D89" w:rsidRPr="0086671E" w:rsidRDefault="0083417A" w:rsidP="00CF6274">
      <w:pPr>
        <w:spacing w:after="0" w:line="240" w:lineRule="auto"/>
        <w:contextualSpacing/>
        <w:rPr>
          <w:rFonts w:cs="Calibri"/>
          <w:iCs/>
          <w:color w:val="000000" w:themeColor="text1"/>
          <w:lang w:val="es-ES"/>
        </w:rPr>
      </w:pPr>
      <w:r w:rsidRPr="0086671E">
        <w:rPr>
          <w:rFonts w:cs="Calibri"/>
          <w:iCs/>
          <w:color w:val="000000" w:themeColor="text1"/>
          <w:lang w:val="es-ES"/>
        </w:rPr>
        <w:t xml:space="preserve">La Secretaría recordó que el Grupo de </w:t>
      </w:r>
      <w:r w:rsidR="00735FDC" w:rsidRPr="0086671E">
        <w:rPr>
          <w:rFonts w:cs="Calibri"/>
          <w:iCs/>
          <w:color w:val="000000" w:themeColor="text1"/>
          <w:lang w:val="es-ES"/>
        </w:rPr>
        <w:t>t</w:t>
      </w:r>
      <w:r w:rsidRPr="0086671E">
        <w:rPr>
          <w:rFonts w:cs="Calibri"/>
          <w:iCs/>
          <w:color w:val="000000" w:themeColor="text1"/>
          <w:lang w:val="es-ES"/>
        </w:rPr>
        <w:t xml:space="preserve">rabajo sobre </w:t>
      </w:r>
      <w:r w:rsidR="00735FDC" w:rsidRPr="0086671E">
        <w:rPr>
          <w:rFonts w:cs="Calibri"/>
          <w:iCs/>
          <w:color w:val="000000" w:themeColor="text1"/>
          <w:lang w:val="es-ES"/>
        </w:rPr>
        <w:t>f</w:t>
      </w:r>
      <w:r w:rsidRPr="0086671E">
        <w:rPr>
          <w:rFonts w:cs="Calibri"/>
          <w:iCs/>
          <w:color w:val="000000" w:themeColor="text1"/>
          <w:lang w:val="es-ES"/>
        </w:rPr>
        <w:t xml:space="preserve">ortalecimiento </w:t>
      </w:r>
      <w:r w:rsidR="00735FDC" w:rsidRPr="0086671E">
        <w:rPr>
          <w:rFonts w:cs="Calibri"/>
          <w:iCs/>
          <w:color w:val="000000" w:themeColor="text1"/>
          <w:lang w:val="es-ES"/>
        </w:rPr>
        <w:t>i</w:t>
      </w:r>
      <w:r w:rsidRPr="0086671E">
        <w:rPr>
          <w:rFonts w:cs="Calibri"/>
          <w:iCs/>
          <w:color w:val="000000" w:themeColor="text1"/>
          <w:lang w:val="es-ES"/>
        </w:rPr>
        <w:t xml:space="preserve">nstitucional había reconocido que la actual remuneración del personal </w:t>
      </w:r>
      <w:r w:rsidR="000747B7">
        <w:rPr>
          <w:rFonts w:cs="Calibri"/>
          <w:iCs/>
          <w:color w:val="000000" w:themeColor="text1"/>
          <w:lang w:val="es-ES"/>
        </w:rPr>
        <w:t>plantea</w:t>
      </w:r>
      <w:r w:rsidRPr="0086671E">
        <w:rPr>
          <w:rFonts w:cs="Calibri"/>
          <w:iCs/>
          <w:color w:val="000000" w:themeColor="text1"/>
          <w:lang w:val="es-ES"/>
        </w:rPr>
        <w:t xml:space="preserve"> problemas de retención y contratación, y señaló que: </w:t>
      </w:r>
    </w:p>
    <w:p w14:paraId="0F44D02E" w14:textId="02208DB2" w:rsidR="00400CE7" w:rsidRPr="0086671E" w:rsidRDefault="0083417A" w:rsidP="00B63D89">
      <w:pPr>
        <w:pStyle w:val="ListParagraph"/>
        <w:numPr>
          <w:ilvl w:val="0"/>
          <w:numId w:val="5"/>
        </w:numPr>
        <w:spacing w:after="0" w:line="240" w:lineRule="auto"/>
        <w:ind w:left="426" w:hanging="426"/>
        <w:rPr>
          <w:rFonts w:ascii="Calibri" w:eastAsia="Calibri" w:hAnsi="Calibri" w:cs="Calibri"/>
          <w:lang w:val="es-ES"/>
        </w:rPr>
      </w:pPr>
      <w:r w:rsidRPr="0086671E">
        <w:rPr>
          <w:rFonts w:ascii="Calibri" w:eastAsia="Calibri" w:hAnsi="Calibri" w:cs="Calibri"/>
          <w:lang w:val="es-ES"/>
        </w:rPr>
        <w:t xml:space="preserve">los escenarios mantienen las provisiones actuales, y que la provisión para contribuciones pendientes podría tener que incrementarse hasta 450 000 francos suizos en el próximo trienio, lo que requeriría una adición de 360 000 francos suizos a los presupuestos; </w:t>
      </w:r>
    </w:p>
    <w:p w14:paraId="54D62440" w14:textId="47F835A2" w:rsidR="00B63D89" w:rsidRPr="0086671E" w:rsidRDefault="00735FDC" w:rsidP="00B63D89">
      <w:pPr>
        <w:pStyle w:val="ListParagraph"/>
        <w:numPr>
          <w:ilvl w:val="0"/>
          <w:numId w:val="5"/>
        </w:numPr>
        <w:spacing w:after="0" w:line="240" w:lineRule="auto"/>
        <w:ind w:left="426" w:hanging="426"/>
        <w:rPr>
          <w:rFonts w:ascii="Calibri" w:eastAsia="Calibri" w:hAnsi="Calibri" w:cs="Calibri"/>
          <w:lang w:val="es-ES"/>
        </w:rPr>
      </w:pPr>
      <w:r w:rsidRPr="0086671E">
        <w:rPr>
          <w:rFonts w:ascii="Calibri" w:eastAsia="Calibri" w:hAnsi="Calibri" w:cs="Calibri"/>
          <w:lang w:val="es-ES"/>
        </w:rPr>
        <w:t xml:space="preserve">la sección A del presupuesto, “Personal directivo de la Secretaría y Gobernanza” había incrementado debido al componente relativo al </w:t>
      </w:r>
      <w:r w:rsidRPr="000747B7">
        <w:rPr>
          <w:rFonts w:ascii="Calibri" w:eastAsia="Calibri" w:hAnsi="Calibri" w:cs="Calibri"/>
          <w:lang w:val="es-ES"/>
        </w:rPr>
        <w:t>salario</w:t>
      </w:r>
      <w:r w:rsidRPr="0086671E">
        <w:rPr>
          <w:rFonts w:ascii="Calibri" w:eastAsia="Calibri" w:hAnsi="Calibri" w:cs="Calibri"/>
          <w:lang w:val="es-ES"/>
        </w:rPr>
        <w:t xml:space="preserve"> del personal; no obstante, un </w:t>
      </w:r>
      <w:r w:rsidR="0083417A" w:rsidRPr="0086671E">
        <w:rPr>
          <w:rFonts w:ascii="Calibri" w:eastAsia="Calibri" w:hAnsi="Calibri" w:cs="Calibri"/>
          <w:lang w:val="es-ES"/>
        </w:rPr>
        <w:t>aumento propuesto en los viajes de</w:t>
      </w:r>
      <w:r w:rsidRPr="0086671E">
        <w:rPr>
          <w:rFonts w:ascii="Calibri" w:eastAsia="Calibri" w:hAnsi="Calibri" w:cs="Calibri"/>
          <w:lang w:val="es-ES"/>
        </w:rPr>
        <w:t xml:space="preserve">l personal directivo </w:t>
      </w:r>
      <w:r w:rsidR="0083417A" w:rsidRPr="0086671E">
        <w:rPr>
          <w:rFonts w:ascii="Calibri" w:eastAsia="Calibri" w:hAnsi="Calibri" w:cs="Calibri"/>
          <w:lang w:val="es-ES"/>
        </w:rPr>
        <w:t>se vio compensado</w:t>
      </w:r>
      <w:r w:rsidR="00936E95" w:rsidRPr="0086671E">
        <w:rPr>
          <w:rFonts w:ascii="Calibri" w:eastAsia="Calibri" w:hAnsi="Calibri" w:cs="Calibri"/>
          <w:lang w:val="es-ES"/>
        </w:rPr>
        <w:t xml:space="preserve"> significativamente</w:t>
      </w:r>
      <w:r w:rsidR="0083417A" w:rsidRPr="0086671E">
        <w:rPr>
          <w:rFonts w:ascii="Calibri" w:eastAsia="Calibri" w:hAnsi="Calibri" w:cs="Calibri"/>
          <w:lang w:val="es-ES"/>
        </w:rPr>
        <w:t xml:space="preserve"> por una disminución de los gastos de viaje en otras </w:t>
      </w:r>
      <w:r w:rsidRPr="0086671E">
        <w:rPr>
          <w:rFonts w:ascii="Calibri" w:eastAsia="Calibri" w:hAnsi="Calibri" w:cs="Calibri"/>
          <w:lang w:val="es-ES"/>
        </w:rPr>
        <w:t>partidas</w:t>
      </w:r>
      <w:r w:rsidR="0083417A" w:rsidRPr="0086671E">
        <w:rPr>
          <w:rFonts w:ascii="Calibri" w:eastAsia="Calibri" w:hAnsi="Calibri" w:cs="Calibri"/>
          <w:lang w:val="es-ES"/>
        </w:rPr>
        <w:t xml:space="preserve"> presupuestarias; </w:t>
      </w:r>
    </w:p>
    <w:p w14:paraId="4DC0FFF5" w14:textId="1E7D7EFB" w:rsidR="00B63D89" w:rsidRPr="0086671E" w:rsidRDefault="0083417A" w:rsidP="00B63D89">
      <w:pPr>
        <w:pStyle w:val="ListParagraph"/>
        <w:numPr>
          <w:ilvl w:val="0"/>
          <w:numId w:val="5"/>
        </w:numPr>
        <w:spacing w:after="0" w:line="240" w:lineRule="auto"/>
        <w:ind w:left="426" w:hanging="426"/>
        <w:rPr>
          <w:rFonts w:ascii="Calibri" w:eastAsia="Calibri" w:hAnsi="Calibri" w:cs="Calibri"/>
          <w:lang w:val="es-ES"/>
        </w:rPr>
      </w:pPr>
      <w:r w:rsidRPr="0086671E">
        <w:rPr>
          <w:rFonts w:ascii="Calibri" w:eastAsia="Calibri" w:hAnsi="Calibri" w:cs="Calibri"/>
          <w:lang w:val="es-ES"/>
        </w:rPr>
        <w:t xml:space="preserve">la Secretaría cuenta actualmente con 24,5 </w:t>
      </w:r>
      <w:r w:rsidR="00936E95" w:rsidRPr="0086671E">
        <w:rPr>
          <w:rFonts w:ascii="Calibri" w:eastAsia="Calibri" w:hAnsi="Calibri" w:cs="Calibri"/>
          <w:lang w:val="es-ES"/>
        </w:rPr>
        <w:t>miembros del personal</w:t>
      </w:r>
      <w:r w:rsidRPr="0086671E">
        <w:rPr>
          <w:rFonts w:ascii="Calibri" w:eastAsia="Calibri" w:hAnsi="Calibri" w:cs="Calibri"/>
          <w:lang w:val="es-ES"/>
        </w:rPr>
        <w:t xml:space="preserve"> equivalentes a tiempo completo, frente a los 26 o 26,5 de trienios anteriores. Los puestos administrativos han sido sustituidos por un único puesto profesional. </w:t>
      </w:r>
    </w:p>
    <w:p w14:paraId="502E814D" w14:textId="77777777" w:rsidR="00B63D89" w:rsidRPr="0086671E" w:rsidRDefault="00B63D89" w:rsidP="00B63D89">
      <w:pPr>
        <w:spacing w:after="0" w:line="240" w:lineRule="auto"/>
        <w:rPr>
          <w:rFonts w:ascii="Calibri" w:eastAsia="Calibri" w:hAnsi="Calibri" w:cs="Calibri"/>
          <w:lang w:val="es-ES"/>
        </w:rPr>
      </w:pPr>
    </w:p>
    <w:p w14:paraId="7023DAF7" w14:textId="37E39AB6" w:rsidR="00B63D89" w:rsidRPr="0086671E" w:rsidRDefault="0083417A" w:rsidP="00BC1A6C">
      <w:pPr>
        <w:spacing w:after="0" w:line="240" w:lineRule="auto"/>
        <w:contextualSpacing/>
        <w:rPr>
          <w:rFonts w:cs="Calibri"/>
          <w:iCs/>
          <w:color w:val="000000" w:themeColor="text1"/>
          <w:lang w:val="es-ES"/>
        </w:rPr>
      </w:pPr>
      <w:r w:rsidRPr="0086671E">
        <w:rPr>
          <w:rFonts w:cs="Calibri"/>
          <w:iCs/>
          <w:color w:val="000000" w:themeColor="text1"/>
          <w:lang w:val="es-ES"/>
        </w:rPr>
        <w:t>A petición de varios miembros del Subgrupo, la Secretaría ha preparado un tercer escenario</w:t>
      </w:r>
      <w:r w:rsidR="000747B7">
        <w:rPr>
          <w:rFonts w:cs="Calibri"/>
          <w:iCs/>
          <w:color w:val="000000" w:themeColor="text1"/>
          <w:lang w:val="es-ES"/>
        </w:rPr>
        <w:t>,</w:t>
      </w:r>
      <w:r w:rsidRPr="0086671E">
        <w:rPr>
          <w:rFonts w:cs="Calibri"/>
          <w:iCs/>
          <w:color w:val="000000" w:themeColor="text1"/>
          <w:lang w:val="es-ES"/>
        </w:rPr>
        <w:t xml:space="preserve"> de crecimiento nominal cero. El escenario C, que se incluye como Anexo 1 al presente informe, incluye los siguientes supuestos:</w:t>
      </w:r>
    </w:p>
    <w:p w14:paraId="2A94169D" w14:textId="77777777" w:rsidR="00B63D89" w:rsidRPr="0086671E" w:rsidRDefault="00B63D89" w:rsidP="00BC1A6C">
      <w:pPr>
        <w:pStyle w:val="MGfulltext"/>
        <w:spacing w:after="0"/>
        <w:ind w:left="850" w:hanging="425"/>
        <w:rPr>
          <w:rFonts w:asciiTheme="minorHAnsi" w:eastAsia="Batang" w:hAnsiTheme="minorHAnsi" w:cstheme="minorHAnsi"/>
          <w:b/>
          <w:sz w:val="22"/>
          <w:szCs w:val="22"/>
          <w:lang w:val="es-ES"/>
        </w:rPr>
      </w:pPr>
    </w:p>
    <w:p w14:paraId="0E3459A2" w14:textId="1B83F922" w:rsidR="00B63D89" w:rsidRPr="0086671E" w:rsidRDefault="00BC1A6C" w:rsidP="00BC1A6C">
      <w:pPr>
        <w:pStyle w:val="MGfulltext"/>
        <w:spacing w:after="0"/>
        <w:ind w:left="426" w:hanging="426"/>
        <w:rPr>
          <w:rFonts w:asciiTheme="minorHAnsi" w:eastAsia="Batang" w:hAnsiTheme="minorHAnsi" w:cstheme="minorHAnsi"/>
          <w:bCs/>
          <w:sz w:val="22"/>
          <w:szCs w:val="22"/>
          <w:lang w:val="es-ES"/>
        </w:rPr>
      </w:pPr>
      <w:r w:rsidRPr="0086671E">
        <w:rPr>
          <w:rFonts w:asciiTheme="minorHAnsi" w:eastAsia="Batang" w:hAnsiTheme="minorHAnsi" w:cstheme="minorHAnsi"/>
          <w:bCs/>
          <w:sz w:val="22"/>
          <w:szCs w:val="22"/>
          <w:lang w:val="es-ES"/>
        </w:rPr>
        <w:t>a.</w:t>
      </w:r>
      <w:r w:rsidRPr="0086671E">
        <w:rPr>
          <w:rFonts w:asciiTheme="minorHAnsi" w:eastAsia="Batang" w:hAnsiTheme="minorHAnsi" w:cstheme="minorHAnsi"/>
          <w:bCs/>
          <w:sz w:val="22"/>
          <w:szCs w:val="22"/>
          <w:lang w:val="es-ES"/>
        </w:rPr>
        <w:tab/>
      </w:r>
      <w:r w:rsidR="00EE4E03" w:rsidRPr="0086671E">
        <w:rPr>
          <w:rFonts w:asciiTheme="minorHAnsi" w:eastAsia="Batang" w:hAnsiTheme="minorHAnsi" w:cstheme="minorHAnsi"/>
          <w:bCs/>
          <w:sz w:val="22"/>
          <w:szCs w:val="22"/>
          <w:lang w:val="es-ES"/>
        </w:rPr>
        <w:t xml:space="preserve">Los </w:t>
      </w:r>
      <w:r w:rsidR="0086671E">
        <w:rPr>
          <w:rFonts w:asciiTheme="minorHAnsi" w:eastAsia="Batang" w:hAnsiTheme="minorHAnsi" w:cstheme="minorHAnsi"/>
          <w:bCs/>
          <w:sz w:val="22"/>
          <w:szCs w:val="22"/>
          <w:lang w:val="es-ES"/>
        </w:rPr>
        <w:t>costo</w:t>
      </w:r>
      <w:r w:rsidR="00EE4E03" w:rsidRPr="0086671E">
        <w:rPr>
          <w:rFonts w:asciiTheme="minorHAnsi" w:eastAsia="Batang" w:hAnsiTheme="minorHAnsi" w:cstheme="minorHAnsi"/>
          <w:bCs/>
          <w:sz w:val="22"/>
          <w:szCs w:val="22"/>
          <w:lang w:val="es-ES"/>
        </w:rPr>
        <w:t xml:space="preserve">s de personal existentes se han incrementado según lo propuesto para los escenarios A y B (véanse los párrafos 4a, 4c y 4d del documento SC64 Doc.9.3 Rev.1), pero no se han incluido los dos nuevos puestos descritos en el párrafo 4b. </w:t>
      </w:r>
    </w:p>
    <w:p w14:paraId="095F521A" w14:textId="77777777" w:rsidR="00B63D89" w:rsidRPr="0086671E" w:rsidRDefault="00B63D89" w:rsidP="00BC1A6C">
      <w:pPr>
        <w:pStyle w:val="MGfulltext"/>
        <w:spacing w:after="0"/>
        <w:ind w:left="426" w:hanging="426"/>
        <w:rPr>
          <w:rFonts w:asciiTheme="minorHAnsi" w:eastAsia="Batang" w:hAnsiTheme="minorHAnsi" w:cstheme="minorHAnsi"/>
          <w:bCs/>
          <w:sz w:val="22"/>
          <w:szCs w:val="22"/>
          <w:lang w:val="es-ES"/>
        </w:rPr>
      </w:pPr>
    </w:p>
    <w:p w14:paraId="28DD7667" w14:textId="33B8D26B" w:rsidR="00B63D89" w:rsidRPr="0086671E" w:rsidRDefault="00BC1A6C" w:rsidP="00BC1A6C">
      <w:pPr>
        <w:pStyle w:val="MGfulltext"/>
        <w:spacing w:after="0"/>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b.</w:t>
      </w:r>
      <w:r w:rsidRPr="0086671E">
        <w:rPr>
          <w:rFonts w:asciiTheme="minorHAnsi" w:eastAsia="Batang" w:hAnsiTheme="minorHAnsi" w:cstheme="minorHAnsi"/>
          <w:sz w:val="22"/>
          <w:szCs w:val="22"/>
          <w:lang w:val="es-ES"/>
        </w:rPr>
        <w:tab/>
      </w:r>
      <w:r w:rsidR="00EE4E03" w:rsidRPr="0086671E">
        <w:rPr>
          <w:rFonts w:asciiTheme="minorHAnsi" w:eastAsia="Batang" w:hAnsiTheme="minorHAnsi" w:cstheme="minorHAnsi"/>
          <w:sz w:val="22"/>
          <w:szCs w:val="22"/>
          <w:lang w:val="es-ES"/>
        </w:rPr>
        <w:t xml:space="preserve">Los </w:t>
      </w:r>
      <w:r w:rsidR="0086671E">
        <w:rPr>
          <w:rFonts w:asciiTheme="minorHAnsi" w:eastAsia="Batang" w:hAnsiTheme="minorHAnsi" w:cstheme="minorHAnsi"/>
          <w:sz w:val="22"/>
          <w:szCs w:val="22"/>
          <w:lang w:val="es-ES"/>
        </w:rPr>
        <w:t>costo</w:t>
      </w:r>
      <w:r w:rsidR="00EE4E03" w:rsidRPr="0086671E">
        <w:rPr>
          <w:rFonts w:asciiTheme="minorHAnsi" w:eastAsia="Batang" w:hAnsiTheme="minorHAnsi" w:cstheme="minorHAnsi"/>
          <w:sz w:val="22"/>
          <w:szCs w:val="22"/>
          <w:lang w:val="es-ES"/>
        </w:rPr>
        <w:t xml:space="preserve">s salariales y </w:t>
      </w:r>
      <w:r w:rsidR="000747B7">
        <w:rPr>
          <w:rFonts w:asciiTheme="minorHAnsi" w:eastAsia="Batang" w:hAnsiTheme="minorHAnsi" w:cstheme="minorHAnsi"/>
          <w:sz w:val="22"/>
          <w:szCs w:val="22"/>
          <w:lang w:val="es-ES"/>
        </w:rPr>
        <w:t>conexos</w:t>
      </w:r>
      <w:r w:rsidR="00EE4E03" w:rsidRPr="0086671E">
        <w:rPr>
          <w:rFonts w:asciiTheme="minorHAnsi" w:eastAsia="Batang" w:hAnsiTheme="minorHAnsi" w:cstheme="minorHAnsi"/>
          <w:sz w:val="22"/>
          <w:szCs w:val="22"/>
          <w:lang w:val="es-ES"/>
        </w:rPr>
        <w:t xml:space="preserve"> totales representan el 76</w:t>
      </w:r>
      <w:r w:rsidR="005361E4" w:rsidRPr="0086671E">
        <w:rPr>
          <w:rFonts w:asciiTheme="minorHAnsi" w:eastAsia="Batang" w:hAnsiTheme="minorHAnsi" w:cstheme="minorHAnsi"/>
          <w:sz w:val="22"/>
          <w:szCs w:val="22"/>
          <w:lang w:val="es-ES"/>
        </w:rPr>
        <w:t xml:space="preserve"> </w:t>
      </w:r>
      <w:r w:rsidR="00EE4E03" w:rsidRPr="0086671E">
        <w:rPr>
          <w:rFonts w:asciiTheme="minorHAnsi" w:eastAsia="Batang" w:hAnsiTheme="minorHAnsi" w:cstheme="minorHAnsi"/>
          <w:sz w:val="22"/>
          <w:szCs w:val="22"/>
          <w:lang w:val="es-ES"/>
        </w:rPr>
        <w:t>% del presupuesto básico total, un aumento de 796</w:t>
      </w:r>
      <w:r w:rsidR="005361E4" w:rsidRPr="0086671E">
        <w:rPr>
          <w:rFonts w:asciiTheme="minorHAnsi" w:eastAsia="Batang" w:hAnsiTheme="minorHAnsi" w:cstheme="minorHAnsi"/>
          <w:sz w:val="22"/>
          <w:szCs w:val="22"/>
          <w:lang w:val="es-ES"/>
        </w:rPr>
        <w:t xml:space="preserve"> </w:t>
      </w:r>
      <w:r w:rsidR="00EE4E03" w:rsidRPr="0086671E">
        <w:rPr>
          <w:rFonts w:asciiTheme="minorHAnsi" w:eastAsia="Batang" w:hAnsiTheme="minorHAnsi" w:cstheme="minorHAnsi"/>
          <w:sz w:val="22"/>
          <w:szCs w:val="22"/>
          <w:lang w:val="es-ES"/>
        </w:rPr>
        <w:t xml:space="preserve">000 CHF en comparación con los </w:t>
      </w:r>
      <w:r w:rsidR="0086671E">
        <w:rPr>
          <w:rFonts w:asciiTheme="minorHAnsi" w:eastAsia="Batang" w:hAnsiTheme="minorHAnsi" w:cstheme="minorHAnsi"/>
          <w:sz w:val="22"/>
          <w:szCs w:val="22"/>
          <w:lang w:val="es-ES"/>
        </w:rPr>
        <w:t>costo</w:t>
      </w:r>
      <w:r w:rsidR="00EE4E03" w:rsidRPr="0086671E">
        <w:rPr>
          <w:rFonts w:asciiTheme="minorHAnsi" w:eastAsia="Batang" w:hAnsiTheme="minorHAnsi" w:cstheme="minorHAnsi"/>
          <w:sz w:val="22"/>
          <w:szCs w:val="22"/>
          <w:lang w:val="es-ES"/>
        </w:rPr>
        <w:t xml:space="preserve">s de personal en el trienio 2023-2025, cuando los </w:t>
      </w:r>
      <w:r w:rsidR="0086671E">
        <w:rPr>
          <w:rFonts w:asciiTheme="minorHAnsi" w:eastAsia="Batang" w:hAnsiTheme="minorHAnsi" w:cstheme="minorHAnsi"/>
          <w:sz w:val="22"/>
          <w:szCs w:val="22"/>
          <w:lang w:val="es-ES"/>
        </w:rPr>
        <w:t>costo</w:t>
      </w:r>
      <w:r w:rsidR="00EE4E03" w:rsidRPr="0086671E">
        <w:rPr>
          <w:rFonts w:asciiTheme="minorHAnsi" w:eastAsia="Batang" w:hAnsiTheme="minorHAnsi" w:cstheme="minorHAnsi"/>
          <w:sz w:val="22"/>
          <w:szCs w:val="22"/>
          <w:lang w:val="es-ES"/>
        </w:rPr>
        <w:t xml:space="preserve">s salariales y </w:t>
      </w:r>
      <w:r w:rsidR="000747B7">
        <w:rPr>
          <w:rFonts w:asciiTheme="minorHAnsi" w:eastAsia="Batang" w:hAnsiTheme="minorHAnsi" w:cstheme="minorHAnsi"/>
          <w:sz w:val="22"/>
          <w:szCs w:val="22"/>
          <w:lang w:val="es-ES"/>
        </w:rPr>
        <w:t>conexos</w:t>
      </w:r>
      <w:r w:rsidR="00EE4E03" w:rsidRPr="0086671E">
        <w:rPr>
          <w:rFonts w:asciiTheme="minorHAnsi" w:eastAsia="Batang" w:hAnsiTheme="minorHAnsi" w:cstheme="minorHAnsi"/>
          <w:sz w:val="22"/>
          <w:szCs w:val="22"/>
          <w:lang w:val="es-ES"/>
        </w:rPr>
        <w:t xml:space="preserve"> totales representaban el 71</w:t>
      </w:r>
      <w:r w:rsidR="005361E4" w:rsidRPr="0086671E">
        <w:rPr>
          <w:rFonts w:asciiTheme="minorHAnsi" w:eastAsia="Batang" w:hAnsiTheme="minorHAnsi" w:cstheme="minorHAnsi"/>
          <w:sz w:val="22"/>
          <w:szCs w:val="22"/>
          <w:lang w:val="es-ES"/>
        </w:rPr>
        <w:t xml:space="preserve"> </w:t>
      </w:r>
      <w:r w:rsidR="00EE4E03" w:rsidRPr="0086671E">
        <w:rPr>
          <w:rFonts w:asciiTheme="minorHAnsi" w:eastAsia="Batang" w:hAnsiTheme="minorHAnsi" w:cstheme="minorHAnsi"/>
          <w:sz w:val="22"/>
          <w:szCs w:val="22"/>
          <w:lang w:val="es-ES"/>
        </w:rPr>
        <w:t xml:space="preserve">% del presupuesto básico total. </w:t>
      </w:r>
    </w:p>
    <w:p w14:paraId="531427C8" w14:textId="77777777" w:rsidR="00B63D89" w:rsidRPr="0086671E" w:rsidRDefault="00B63D89" w:rsidP="00BC1A6C">
      <w:pPr>
        <w:pStyle w:val="MGfulltext"/>
        <w:spacing w:after="0"/>
        <w:ind w:left="426" w:hanging="426"/>
        <w:rPr>
          <w:rFonts w:asciiTheme="minorHAnsi" w:eastAsia="Batang" w:hAnsiTheme="minorHAnsi" w:cstheme="minorHAnsi"/>
          <w:sz w:val="22"/>
          <w:szCs w:val="22"/>
          <w:lang w:val="es-ES"/>
        </w:rPr>
      </w:pPr>
    </w:p>
    <w:p w14:paraId="4746FFBE" w14:textId="08AC2C00" w:rsidR="00B63D89" w:rsidRPr="0086671E" w:rsidRDefault="00BC1A6C" w:rsidP="00BC1A6C">
      <w:pPr>
        <w:pStyle w:val="MGfulltext"/>
        <w:spacing w:after="0"/>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c.</w:t>
      </w:r>
      <w:r w:rsidRPr="0086671E">
        <w:rPr>
          <w:rFonts w:asciiTheme="minorHAnsi" w:eastAsia="Batang" w:hAnsiTheme="minorHAnsi" w:cstheme="minorHAnsi"/>
          <w:sz w:val="22"/>
          <w:szCs w:val="22"/>
          <w:lang w:val="es-ES"/>
        </w:rPr>
        <w:tab/>
      </w:r>
      <w:r w:rsidR="00EE4E03" w:rsidRPr="0086671E">
        <w:rPr>
          <w:rFonts w:asciiTheme="minorHAnsi" w:eastAsia="Batang" w:hAnsiTheme="minorHAnsi" w:cstheme="minorHAnsi"/>
          <w:sz w:val="22"/>
          <w:szCs w:val="22"/>
          <w:lang w:val="es-ES"/>
        </w:rPr>
        <w:t xml:space="preserve">En el escenario C, al igual que en los escenarios A y B, se han ajustado </w:t>
      </w:r>
      <w:r w:rsidR="000747B7" w:rsidRPr="0086671E">
        <w:rPr>
          <w:rFonts w:asciiTheme="minorHAnsi" w:eastAsia="Batang" w:hAnsiTheme="minorHAnsi" w:cstheme="minorHAnsi"/>
          <w:sz w:val="22"/>
          <w:szCs w:val="22"/>
          <w:lang w:val="es-ES"/>
        </w:rPr>
        <w:t>(reducid</w:t>
      </w:r>
      <w:r w:rsidR="000747B7">
        <w:rPr>
          <w:rFonts w:asciiTheme="minorHAnsi" w:eastAsia="Batang" w:hAnsiTheme="minorHAnsi" w:cstheme="minorHAnsi"/>
          <w:sz w:val="22"/>
          <w:szCs w:val="22"/>
          <w:lang w:val="es-ES"/>
        </w:rPr>
        <w:t>o</w:t>
      </w:r>
      <w:r w:rsidR="000747B7" w:rsidRPr="0086671E">
        <w:rPr>
          <w:rFonts w:asciiTheme="minorHAnsi" w:eastAsia="Batang" w:hAnsiTheme="minorHAnsi" w:cstheme="minorHAnsi"/>
          <w:sz w:val="22"/>
          <w:szCs w:val="22"/>
          <w:lang w:val="es-ES"/>
        </w:rPr>
        <w:t xml:space="preserve"> </w:t>
      </w:r>
      <w:r w:rsidR="000747B7">
        <w:rPr>
          <w:rFonts w:asciiTheme="minorHAnsi" w:eastAsia="Batang" w:hAnsiTheme="minorHAnsi" w:cstheme="minorHAnsi"/>
          <w:sz w:val="22"/>
          <w:szCs w:val="22"/>
          <w:lang w:val="es-ES"/>
        </w:rPr>
        <w:t>o</w:t>
      </w:r>
      <w:r w:rsidR="000747B7" w:rsidRPr="0086671E">
        <w:rPr>
          <w:rFonts w:asciiTheme="minorHAnsi" w:eastAsia="Batang" w:hAnsiTheme="minorHAnsi" w:cstheme="minorHAnsi"/>
          <w:sz w:val="22"/>
          <w:szCs w:val="22"/>
          <w:lang w:val="es-ES"/>
        </w:rPr>
        <w:t xml:space="preserve"> aumentad</w:t>
      </w:r>
      <w:r w:rsidR="000747B7">
        <w:rPr>
          <w:rFonts w:asciiTheme="minorHAnsi" w:eastAsia="Batang" w:hAnsiTheme="minorHAnsi" w:cstheme="minorHAnsi"/>
          <w:sz w:val="22"/>
          <w:szCs w:val="22"/>
          <w:lang w:val="es-ES"/>
        </w:rPr>
        <w:t>o</w:t>
      </w:r>
      <w:r w:rsidR="000747B7" w:rsidRPr="0086671E">
        <w:rPr>
          <w:rFonts w:asciiTheme="minorHAnsi" w:eastAsia="Batang" w:hAnsiTheme="minorHAnsi" w:cstheme="minorHAnsi"/>
          <w:sz w:val="22"/>
          <w:szCs w:val="22"/>
          <w:lang w:val="es-ES"/>
        </w:rPr>
        <w:t xml:space="preserve">) </w:t>
      </w:r>
      <w:r w:rsidR="00EE4E03" w:rsidRPr="0086671E">
        <w:rPr>
          <w:rFonts w:asciiTheme="minorHAnsi" w:eastAsia="Batang" w:hAnsiTheme="minorHAnsi" w:cstheme="minorHAnsi"/>
          <w:sz w:val="22"/>
          <w:szCs w:val="22"/>
          <w:lang w:val="es-ES"/>
        </w:rPr>
        <w:t xml:space="preserve">otras </w:t>
      </w:r>
      <w:r w:rsidR="005361E4" w:rsidRPr="0086671E">
        <w:rPr>
          <w:rFonts w:asciiTheme="minorHAnsi" w:eastAsia="Batang" w:hAnsiTheme="minorHAnsi" w:cstheme="minorHAnsi"/>
          <w:sz w:val="22"/>
          <w:szCs w:val="22"/>
          <w:lang w:val="es-ES"/>
        </w:rPr>
        <w:t>partidas</w:t>
      </w:r>
      <w:r w:rsidR="00EE4E03" w:rsidRPr="0086671E">
        <w:rPr>
          <w:rFonts w:asciiTheme="minorHAnsi" w:eastAsia="Batang" w:hAnsiTheme="minorHAnsi" w:cstheme="minorHAnsi"/>
          <w:sz w:val="22"/>
          <w:szCs w:val="22"/>
          <w:lang w:val="es-ES"/>
        </w:rPr>
        <w:t xml:space="preserve"> presupuestarias para reflejar el cambio nominal cero global que se describe detalladamente en el doc. 9.3 </w:t>
      </w:r>
      <w:r w:rsidR="00EE4E03" w:rsidRPr="000747B7">
        <w:rPr>
          <w:rFonts w:asciiTheme="minorHAnsi" w:eastAsia="Batang" w:hAnsiTheme="minorHAnsi" w:cstheme="minorHAnsi"/>
          <w:sz w:val="22"/>
          <w:szCs w:val="22"/>
          <w:lang w:val="es-ES"/>
        </w:rPr>
        <w:t>Rev</w:t>
      </w:r>
      <w:r w:rsidR="000747B7" w:rsidRPr="000747B7">
        <w:rPr>
          <w:rFonts w:asciiTheme="minorHAnsi" w:eastAsia="Batang" w:hAnsiTheme="minorHAnsi" w:cstheme="minorHAnsi"/>
          <w:sz w:val="22"/>
          <w:szCs w:val="22"/>
          <w:lang w:val="es-ES"/>
        </w:rPr>
        <w:t>.</w:t>
      </w:r>
      <w:r w:rsidR="00EE4E03" w:rsidRPr="000747B7">
        <w:rPr>
          <w:rFonts w:asciiTheme="minorHAnsi" w:eastAsia="Batang" w:hAnsiTheme="minorHAnsi" w:cstheme="minorHAnsi"/>
          <w:sz w:val="22"/>
          <w:szCs w:val="22"/>
          <w:lang w:val="es-ES"/>
        </w:rPr>
        <w:t>1</w:t>
      </w:r>
      <w:r w:rsidR="00EE4E03" w:rsidRPr="0086671E">
        <w:rPr>
          <w:rFonts w:asciiTheme="minorHAnsi" w:eastAsia="Batang" w:hAnsiTheme="minorHAnsi" w:cstheme="minorHAnsi"/>
          <w:sz w:val="22"/>
          <w:szCs w:val="22"/>
          <w:lang w:val="es-ES"/>
        </w:rPr>
        <w:t>, párrafo 4.f.</w:t>
      </w:r>
      <w:r w:rsidR="004A7628" w:rsidRPr="0086671E">
        <w:rPr>
          <w:rFonts w:asciiTheme="minorHAnsi" w:eastAsia="Batang" w:hAnsiTheme="minorHAnsi" w:cstheme="minorHAnsi"/>
          <w:sz w:val="22"/>
          <w:szCs w:val="22"/>
          <w:lang w:val="es-ES"/>
        </w:rPr>
        <w:t xml:space="preserve"> </w:t>
      </w:r>
    </w:p>
    <w:p w14:paraId="09CDFEEF" w14:textId="77777777" w:rsidR="00B63D89" w:rsidRPr="0086671E" w:rsidRDefault="00B63D89" w:rsidP="00BC1A6C">
      <w:pPr>
        <w:pStyle w:val="MGfulltext"/>
        <w:spacing w:after="0"/>
        <w:ind w:left="426" w:hanging="426"/>
        <w:rPr>
          <w:rFonts w:asciiTheme="minorHAnsi" w:eastAsia="Batang" w:hAnsiTheme="minorHAnsi" w:cstheme="minorHAnsi"/>
          <w:sz w:val="22"/>
          <w:szCs w:val="22"/>
          <w:lang w:val="es-ES"/>
        </w:rPr>
      </w:pPr>
    </w:p>
    <w:p w14:paraId="3EB9C14F" w14:textId="129C3D4F" w:rsidR="00B63D89" w:rsidRPr="0086671E" w:rsidRDefault="00BC1A6C" w:rsidP="00BC1A6C">
      <w:pPr>
        <w:pStyle w:val="MGfulltext"/>
        <w:spacing w:after="0"/>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d.</w:t>
      </w:r>
      <w:r w:rsidRPr="0086671E">
        <w:rPr>
          <w:rFonts w:asciiTheme="minorHAnsi" w:eastAsia="Batang" w:hAnsiTheme="minorHAnsi" w:cstheme="minorHAnsi"/>
          <w:sz w:val="22"/>
          <w:szCs w:val="22"/>
          <w:lang w:val="es-ES"/>
        </w:rPr>
        <w:tab/>
      </w:r>
      <w:r w:rsidR="00EE4E03" w:rsidRPr="0086671E">
        <w:rPr>
          <w:rFonts w:asciiTheme="minorHAnsi" w:eastAsia="Batang" w:hAnsiTheme="minorHAnsi" w:cstheme="minorHAnsi"/>
          <w:sz w:val="22"/>
          <w:szCs w:val="22"/>
          <w:lang w:val="es-ES"/>
        </w:rPr>
        <w:t xml:space="preserve">Los importes de otros ajustes de las </w:t>
      </w:r>
      <w:r w:rsidR="005361E4" w:rsidRPr="0086671E">
        <w:rPr>
          <w:rFonts w:asciiTheme="minorHAnsi" w:eastAsia="Batang" w:hAnsiTheme="minorHAnsi" w:cstheme="minorHAnsi"/>
          <w:sz w:val="22"/>
          <w:szCs w:val="22"/>
          <w:lang w:val="es-ES"/>
        </w:rPr>
        <w:t>partidas</w:t>
      </w:r>
      <w:r w:rsidR="00EE4E03" w:rsidRPr="0086671E">
        <w:rPr>
          <w:rFonts w:asciiTheme="minorHAnsi" w:eastAsia="Batang" w:hAnsiTheme="minorHAnsi" w:cstheme="minorHAnsi"/>
          <w:sz w:val="22"/>
          <w:szCs w:val="22"/>
          <w:lang w:val="es-ES"/>
        </w:rPr>
        <w:t xml:space="preserve"> presupuestarias figuran en el Anexo 1.</w:t>
      </w:r>
      <w:r w:rsidR="004A7628" w:rsidRPr="0086671E">
        <w:rPr>
          <w:rFonts w:asciiTheme="minorHAnsi" w:eastAsia="Batang" w:hAnsiTheme="minorHAnsi" w:cstheme="minorHAnsi"/>
          <w:sz w:val="22"/>
          <w:szCs w:val="22"/>
          <w:lang w:val="es-ES"/>
        </w:rPr>
        <w:t xml:space="preserve"> </w:t>
      </w:r>
    </w:p>
    <w:p w14:paraId="1B49DADA" w14:textId="77777777" w:rsidR="00BC1A6C" w:rsidRPr="0086671E" w:rsidRDefault="00BC1A6C" w:rsidP="00BC1A6C">
      <w:pPr>
        <w:pStyle w:val="MGfulltext"/>
        <w:spacing w:after="0"/>
        <w:ind w:left="426" w:hanging="426"/>
        <w:rPr>
          <w:rFonts w:asciiTheme="minorHAnsi" w:eastAsia="Batang" w:hAnsiTheme="minorHAnsi" w:cstheme="minorHAnsi"/>
          <w:sz w:val="22"/>
          <w:szCs w:val="22"/>
          <w:lang w:val="es-ES"/>
        </w:rPr>
      </w:pPr>
    </w:p>
    <w:p w14:paraId="7F809973" w14:textId="0CFD65CD" w:rsidR="00B63D89" w:rsidRPr="0086671E" w:rsidRDefault="00BC1A6C" w:rsidP="00BC1A6C">
      <w:pPr>
        <w:pStyle w:val="MGfulltext"/>
        <w:spacing w:after="0"/>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e.</w:t>
      </w:r>
      <w:r w:rsidRPr="0086671E">
        <w:rPr>
          <w:rFonts w:asciiTheme="minorHAnsi" w:eastAsia="Batang" w:hAnsiTheme="minorHAnsi" w:cstheme="minorHAnsi"/>
          <w:sz w:val="22"/>
          <w:szCs w:val="22"/>
          <w:lang w:val="es-ES"/>
        </w:rPr>
        <w:tab/>
      </w:r>
      <w:r w:rsidR="005361E4" w:rsidRPr="0086671E">
        <w:rPr>
          <w:rFonts w:asciiTheme="minorHAnsi" w:eastAsia="Batang" w:hAnsiTheme="minorHAnsi" w:cstheme="minorHAnsi"/>
          <w:sz w:val="22"/>
          <w:szCs w:val="22"/>
          <w:lang w:val="es-ES"/>
        </w:rPr>
        <w:t xml:space="preserve">El </w:t>
      </w:r>
      <w:r w:rsidR="00EE4E03" w:rsidRPr="0086671E">
        <w:rPr>
          <w:rFonts w:asciiTheme="minorHAnsi" w:eastAsia="Batang" w:hAnsiTheme="minorHAnsi" w:cstheme="minorHAnsi"/>
          <w:sz w:val="22"/>
          <w:szCs w:val="22"/>
          <w:lang w:val="es-ES"/>
        </w:rPr>
        <w:t xml:space="preserve">escenario C, al igual que los escenarios A y B, </w:t>
      </w:r>
      <w:r w:rsidR="005361E4" w:rsidRPr="0086671E">
        <w:rPr>
          <w:rFonts w:asciiTheme="minorHAnsi" w:eastAsia="Batang" w:hAnsiTheme="minorHAnsi" w:cstheme="minorHAnsi"/>
          <w:sz w:val="22"/>
          <w:szCs w:val="22"/>
          <w:lang w:val="es-ES"/>
        </w:rPr>
        <w:t xml:space="preserve">se han calculado suponiendo que se aprobará </w:t>
      </w:r>
      <w:r w:rsidR="00EE4E03" w:rsidRPr="0086671E">
        <w:rPr>
          <w:rFonts w:asciiTheme="minorHAnsi" w:eastAsia="Batang" w:hAnsiTheme="minorHAnsi" w:cstheme="minorHAnsi"/>
          <w:sz w:val="22"/>
          <w:szCs w:val="22"/>
          <w:lang w:val="es-ES"/>
        </w:rPr>
        <w:t xml:space="preserve">el uso del excedente de 2024 para provisiones </w:t>
      </w:r>
      <w:r w:rsidR="005361E4" w:rsidRPr="0086671E">
        <w:rPr>
          <w:rFonts w:asciiTheme="minorHAnsi" w:eastAsia="Batang" w:hAnsiTheme="minorHAnsi" w:cstheme="minorHAnsi"/>
          <w:sz w:val="22"/>
          <w:szCs w:val="22"/>
          <w:lang w:val="es-ES"/>
        </w:rPr>
        <w:t>correspondientes a las</w:t>
      </w:r>
      <w:r w:rsidR="00EE4E03" w:rsidRPr="0086671E">
        <w:rPr>
          <w:rFonts w:asciiTheme="minorHAnsi" w:eastAsia="Batang" w:hAnsiTheme="minorHAnsi" w:cstheme="minorHAnsi"/>
          <w:sz w:val="22"/>
          <w:szCs w:val="22"/>
          <w:lang w:val="es-ES"/>
        </w:rPr>
        <w:t xml:space="preserve"> contribuciones pendientes, como se indica en el párrafo 5 del documento SC64 Doc 9.3 Rev</w:t>
      </w:r>
      <w:r w:rsidR="005361E4" w:rsidRPr="0086671E">
        <w:rPr>
          <w:rFonts w:asciiTheme="minorHAnsi" w:eastAsia="Batang" w:hAnsiTheme="minorHAnsi" w:cstheme="minorHAnsi"/>
          <w:sz w:val="22"/>
          <w:szCs w:val="22"/>
          <w:lang w:val="es-ES"/>
        </w:rPr>
        <w:t>.</w:t>
      </w:r>
      <w:r w:rsidR="00EE4E03" w:rsidRPr="0086671E">
        <w:rPr>
          <w:rFonts w:asciiTheme="minorHAnsi" w:eastAsia="Batang" w:hAnsiTheme="minorHAnsi" w:cstheme="minorHAnsi"/>
          <w:sz w:val="22"/>
          <w:szCs w:val="22"/>
          <w:lang w:val="es-ES"/>
        </w:rPr>
        <w:t xml:space="preserve"> 1. </w:t>
      </w:r>
    </w:p>
    <w:p w14:paraId="038BBEDA" w14:textId="77777777" w:rsidR="00B63D89" w:rsidRPr="0086671E" w:rsidRDefault="00B63D89" w:rsidP="00BC1A6C">
      <w:pPr>
        <w:pStyle w:val="ListParagraph"/>
        <w:spacing w:after="0" w:line="240" w:lineRule="auto"/>
        <w:ind w:left="426" w:hanging="426"/>
        <w:rPr>
          <w:rFonts w:eastAsia="Batang" w:cstheme="minorHAnsi"/>
          <w:lang w:val="es-ES"/>
        </w:rPr>
      </w:pPr>
    </w:p>
    <w:p w14:paraId="23255E3B" w14:textId="06958497" w:rsidR="00B63D89" w:rsidRPr="0086671E" w:rsidRDefault="00BC1A6C" w:rsidP="00BC1A6C">
      <w:pPr>
        <w:pStyle w:val="MGfulltext"/>
        <w:spacing w:after="0"/>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f.</w:t>
      </w:r>
      <w:r w:rsidRPr="0086671E">
        <w:rPr>
          <w:rFonts w:asciiTheme="minorHAnsi" w:eastAsia="Batang" w:hAnsiTheme="minorHAnsi" w:cstheme="minorHAnsi"/>
          <w:sz w:val="22"/>
          <w:szCs w:val="22"/>
          <w:lang w:val="es-ES"/>
        </w:rPr>
        <w:tab/>
      </w:r>
      <w:r w:rsidR="00EE4E03" w:rsidRPr="0086671E">
        <w:rPr>
          <w:rFonts w:asciiTheme="minorHAnsi" w:eastAsia="Batang" w:hAnsiTheme="minorHAnsi" w:cstheme="minorHAnsi"/>
          <w:sz w:val="22"/>
          <w:szCs w:val="22"/>
          <w:lang w:val="es-ES"/>
        </w:rPr>
        <w:t xml:space="preserve">Además, en caso de que se proponga el escenario </w:t>
      </w:r>
      <w:r w:rsidR="005361E4" w:rsidRPr="0086671E">
        <w:rPr>
          <w:rFonts w:asciiTheme="minorHAnsi" w:eastAsia="Batang" w:hAnsiTheme="minorHAnsi" w:cstheme="minorHAnsi"/>
          <w:sz w:val="22"/>
          <w:szCs w:val="22"/>
          <w:lang w:val="es-ES"/>
        </w:rPr>
        <w:t>C</w:t>
      </w:r>
      <w:r w:rsidR="00EE4E03" w:rsidRPr="0086671E">
        <w:rPr>
          <w:rFonts w:asciiTheme="minorHAnsi" w:eastAsia="Batang" w:hAnsiTheme="minorHAnsi" w:cstheme="minorHAnsi"/>
          <w:sz w:val="22"/>
          <w:szCs w:val="22"/>
          <w:lang w:val="es-ES"/>
        </w:rPr>
        <w:t xml:space="preserve">, el excedente podrá utilizarse para complementar la reducción de algunas partidas presupuestarias, como la de Apoyo a </w:t>
      </w:r>
      <w:r w:rsidR="005361E4" w:rsidRPr="0086671E">
        <w:rPr>
          <w:rFonts w:asciiTheme="minorHAnsi" w:eastAsia="Batang" w:hAnsiTheme="minorHAnsi" w:cstheme="minorHAnsi"/>
          <w:sz w:val="22"/>
          <w:szCs w:val="22"/>
          <w:lang w:val="es-ES"/>
        </w:rPr>
        <w:t>las i</w:t>
      </w:r>
      <w:r w:rsidR="00EE4E03" w:rsidRPr="0086671E">
        <w:rPr>
          <w:rFonts w:asciiTheme="minorHAnsi" w:eastAsia="Batang" w:hAnsiTheme="minorHAnsi" w:cstheme="minorHAnsi"/>
          <w:sz w:val="22"/>
          <w:szCs w:val="22"/>
          <w:lang w:val="es-ES"/>
        </w:rPr>
        <w:t xml:space="preserve">niciativas </w:t>
      </w:r>
      <w:r w:rsidR="005361E4" w:rsidRPr="0086671E">
        <w:rPr>
          <w:rFonts w:asciiTheme="minorHAnsi" w:eastAsia="Batang" w:hAnsiTheme="minorHAnsi" w:cstheme="minorHAnsi"/>
          <w:sz w:val="22"/>
          <w:szCs w:val="22"/>
          <w:lang w:val="es-ES"/>
        </w:rPr>
        <w:t>r</w:t>
      </w:r>
      <w:r w:rsidR="00EE4E03" w:rsidRPr="0086671E">
        <w:rPr>
          <w:rFonts w:asciiTheme="minorHAnsi" w:eastAsia="Batang" w:hAnsiTheme="minorHAnsi" w:cstheme="minorHAnsi"/>
          <w:sz w:val="22"/>
          <w:szCs w:val="22"/>
          <w:lang w:val="es-ES"/>
        </w:rPr>
        <w:t xml:space="preserve">egionales. </w:t>
      </w:r>
    </w:p>
    <w:p w14:paraId="36B07A87" w14:textId="77777777" w:rsidR="002B138D" w:rsidRPr="0086671E" w:rsidRDefault="002B138D" w:rsidP="00BC1A6C">
      <w:pPr>
        <w:pStyle w:val="MGfulltext"/>
        <w:spacing w:after="0"/>
        <w:ind w:left="426" w:hanging="426"/>
        <w:rPr>
          <w:rFonts w:asciiTheme="minorHAnsi" w:eastAsia="Batang" w:hAnsiTheme="minorHAnsi" w:cstheme="minorHAnsi"/>
          <w:sz w:val="22"/>
          <w:szCs w:val="22"/>
          <w:lang w:val="es-ES"/>
        </w:rPr>
      </w:pPr>
    </w:p>
    <w:p w14:paraId="6FF2FDA4" w14:textId="5773136B" w:rsidR="002B138D" w:rsidRPr="0086671E" w:rsidRDefault="00EE4E03" w:rsidP="002B138D">
      <w:pPr>
        <w:spacing w:after="0" w:line="240" w:lineRule="auto"/>
        <w:contextualSpacing/>
        <w:rPr>
          <w:rFonts w:cs="Calibri"/>
          <w:iCs/>
          <w:color w:val="000000" w:themeColor="text1"/>
          <w:lang w:val="es-ES"/>
        </w:rPr>
      </w:pPr>
      <w:r w:rsidRPr="0086671E">
        <w:rPr>
          <w:rFonts w:cs="Calibri"/>
          <w:iCs/>
          <w:color w:val="000000" w:themeColor="text1"/>
          <w:lang w:val="es-ES"/>
        </w:rPr>
        <w:t xml:space="preserve">Los miembros del Subgrupo también manifestaron su interés por un escenario con un aumento intermedio entre los de A y C, por más detalles sobre las tareas que deberán realizar los nuevos miembros del personal propuestos en los escenarios A y B, y sobre los cálculos utilizados en la escala salarial. Los miembros del Subgrupo también pidieron que se siguiera debatiendo sobre las </w:t>
      </w:r>
      <w:r w:rsidR="005361E4" w:rsidRPr="0086671E">
        <w:rPr>
          <w:rFonts w:cs="Calibri"/>
          <w:iCs/>
          <w:color w:val="000000" w:themeColor="text1"/>
          <w:lang w:val="es-ES"/>
        </w:rPr>
        <w:t>provisiones</w:t>
      </w:r>
      <w:r w:rsidRPr="0086671E">
        <w:rPr>
          <w:rFonts w:cs="Calibri"/>
          <w:iCs/>
          <w:color w:val="000000" w:themeColor="text1"/>
          <w:lang w:val="es-ES"/>
        </w:rPr>
        <w:t xml:space="preserve"> reales en el escenario de crecimiento nominal cero (escenario C) presentado por la Secretaría. </w:t>
      </w:r>
    </w:p>
    <w:p w14:paraId="1AD7623E" w14:textId="77777777" w:rsidR="00CF6274" w:rsidRPr="0086671E" w:rsidRDefault="00CF6274" w:rsidP="00462ECE">
      <w:pPr>
        <w:spacing w:after="0" w:line="240" w:lineRule="auto"/>
        <w:ind w:left="425" w:hanging="425"/>
        <w:contextualSpacing/>
        <w:rPr>
          <w:rFonts w:cs="Calibri"/>
          <w:b/>
          <w:bCs/>
          <w:iCs/>
          <w:color w:val="000000" w:themeColor="text1"/>
          <w:lang w:val="es-ES"/>
        </w:rPr>
      </w:pPr>
    </w:p>
    <w:bookmarkEnd w:id="2"/>
    <w:p w14:paraId="3F435C76" w14:textId="74BCC2D0" w:rsidR="006E37BD" w:rsidRPr="0086671E" w:rsidRDefault="002F3506" w:rsidP="006E37BD">
      <w:pPr>
        <w:keepNext/>
        <w:spacing w:after="0" w:line="240" w:lineRule="auto"/>
        <w:contextualSpacing/>
        <w:rPr>
          <w:b/>
          <w:bCs/>
          <w:lang w:val="es-ES"/>
        </w:rPr>
      </w:pPr>
      <w:r w:rsidRPr="0086671E">
        <w:rPr>
          <w:b/>
          <w:bCs/>
          <w:lang w:val="es-ES"/>
        </w:rPr>
        <w:lastRenderedPageBreak/>
        <w:t>El Subgrupo de Finanzas recomienda que el Comité Permanente:</w:t>
      </w:r>
    </w:p>
    <w:p w14:paraId="13D39592" w14:textId="4E3318AE" w:rsidR="00741E7F" w:rsidRPr="0086671E" w:rsidRDefault="00741E7F"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 xml:space="preserve">i. </w:t>
      </w:r>
      <w:r w:rsidRPr="0086671E">
        <w:rPr>
          <w:rFonts w:cs="Calibri"/>
          <w:b/>
          <w:bCs/>
          <w:i/>
          <w:color w:val="000000" w:themeColor="text1"/>
          <w:lang w:val="es-ES"/>
        </w:rPr>
        <w:tab/>
      </w:r>
      <w:r w:rsidR="002F3506" w:rsidRPr="0086671E">
        <w:rPr>
          <w:rFonts w:cs="Calibri"/>
          <w:b/>
          <w:bCs/>
          <w:i/>
          <w:color w:val="000000" w:themeColor="text1"/>
          <w:lang w:val="es-ES"/>
        </w:rPr>
        <w:t>tome nota del contenido del documento SC64 Doc 9.3 Rev.1;</w:t>
      </w:r>
    </w:p>
    <w:p w14:paraId="4D9E0367" w14:textId="088AA8B1" w:rsidR="003D1F73" w:rsidRPr="0086671E" w:rsidRDefault="00741E7F" w:rsidP="00462ECE">
      <w:pPr>
        <w:spacing w:after="0" w:line="240" w:lineRule="auto"/>
        <w:ind w:left="425" w:hanging="425"/>
        <w:contextualSpacing/>
        <w:rPr>
          <w:rFonts w:cs="Calibri"/>
          <w:b/>
          <w:bCs/>
          <w:i/>
          <w:color w:val="000000" w:themeColor="text1"/>
          <w:lang w:val="es-ES"/>
        </w:rPr>
      </w:pPr>
      <w:r w:rsidRPr="0086671E">
        <w:rPr>
          <w:rFonts w:cs="Calibri"/>
          <w:b/>
          <w:bCs/>
          <w:i/>
          <w:color w:val="000000" w:themeColor="text1"/>
          <w:lang w:val="es-ES"/>
        </w:rPr>
        <w:t>ii.</w:t>
      </w:r>
      <w:r w:rsidR="00496A3B" w:rsidRPr="0086671E">
        <w:rPr>
          <w:rFonts w:cs="Calibri"/>
          <w:b/>
          <w:bCs/>
          <w:i/>
          <w:color w:val="000000" w:themeColor="text1"/>
          <w:lang w:val="es-ES"/>
        </w:rPr>
        <w:t xml:space="preserve"> </w:t>
      </w:r>
      <w:r w:rsidR="00496A3B" w:rsidRPr="0086671E">
        <w:rPr>
          <w:rFonts w:cs="Calibri"/>
          <w:b/>
          <w:bCs/>
          <w:i/>
          <w:color w:val="000000" w:themeColor="text1"/>
          <w:lang w:val="es-ES"/>
        </w:rPr>
        <w:tab/>
      </w:r>
      <w:r w:rsidR="002F3506" w:rsidRPr="0086671E">
        <w:rPr>
          <w:rFonts w:cs="Calibri"/>
          <w:b/>
          <w:bCs/>
          <w:i/>
          <w:color w:val="000000" w:themeColor="text1"/>
          <w:lang w:val="es-ES"/>
        </w:rPr>
        <w:t xml:space="preserve">[encargue a la Secretaría que presente escenarios a la 15ª reunión de la Conferencia de las Partes Contratantes;] </w:t>
      </w:r>
    </w:p>
    <w:p w14:paraId="310DEC7A" w14:textId="6AE1EF29" w:rsidR="00496A3B" w:rsidRPr="0086671E" w:rsidRDefault="00496A3B" w:rsidP="00462ECE">
      <w:pPr>
        <w:spacing w:after="0" w:line="240" w:lineRule="auto"/>
        <w:ind w:left="425" w:hanging="425"/>
        <w:contextualSpacing/>
        <w:rPr>
          <w:rFonts w:cs="Calibri"/>
          <w:b/>
          <w:bCs/>
          <w:iCs/>
          <w:color w:val="000000" w:themeColor="text1"/>
          <w:lang w:val="es-ES"/>
        </w:rPr>
      </w:pPr>
      <w:r w:rsidRPr="0086671E">
        <w:rPr>
          <w:rFonts w:cs="Calibri"/>
          <w:b/>
          <w:bCs/>
          <w:i/>
          <w:color w:val="000000" w:themeColor="text1"/>
          <w:lang w:val="es-ES"/>
        </w:rPr>
        <w:t>iii.</w:t>
      </w:r>
      <w:r w:rsidRPr="0086671E">
        <w:rPr>
          <w:rFonts w:cs="Calibri"/>
          <w:b/>
          <w:bCs/>
          <w:i/>
          <w:color w:val="000000" w:themeColor="text1"/>
          <w:lang w:val="es-ES"/>
        </w:rPr>
        <w:tab/>
      </w:r>
      <w:r w:rsidR="002F3506" w:rsidRPr="0086671E">
        <w:rPr>
          <w:rFonts w:cs="Calibri"/>
          <w:b/>
          <w:bCs/>
          <w:i/>
          <w:color w:val="000000" w:themeColor="text1"/>
          <w:lang w:val="es-ES"/>
        </w:rPr>
        <w:t>apruebe el proyecto de resolución sobre cuestiones financieras y presupuestarias para su examen en la COP15, tal como se presenta en el Anexo 2 del presente documento</w:t>
      </w:r>
      <w:r w:rsidR="002F3506" w:rsidRPr="0086671E">
        <w:rPr>
          <w:rFonts w:cs="Calibri"/>
          <w:b/>
          <w:bCs/>
          <w:i/>
          <w:iCs/>
          <w:color w:val="000000" w:themeColor="text1"/>
          <w:vertAlign w:val="superscript"/>
          <w:lang w:val="es-ES"/>
        </w:rPr>
        <w:footnoteReference w:id="3"/>
      </w:r>
      <w:r w:rsidR="002F3506" w:rsidRPr="0086671E">
        <w:rPr>
          <w:rFonts w:cs="Calibri"/>
          <w:b/>
          <w:bCs/>
          <w:i/>
          <w:color w:val="000000" w:themeColor="text1"/>
          <w:lang w:val="es-ES"/>
        </w:rPr>
        <w:t xml:space="preserve">. </w:t>
      </w:r>
    </w:p>
    <w:p w14:paraId="368DCC9F" w14:textId="77777777" w:rsidR="00496A3B" w:rsidRPr="0086671E" w:rsidRDefault="00496A3B" w:rsidP="00462ECE">
      <w:pPr>
        <w:spacing w:after="0" w:line="240" w:lineRule="auto"/>
        <w:ind w:left="425" w:hanging="425"/>
        <w:contextualSpacing/>
        <w:rPr>
          <w:rFonts w:cs="Calibri"/>
          <w:b/>
          <w:bCs/>
          <w:i/>
          <w:color w:val="000000" w:themeColor="text1"/>
          <w:lang w:val="es-ES"/>
        </w:rPr>
      </w:pPr>
    </w:p>
    <w:p w14:paraId="0B99A8E2" w14:textId="0BDA9A7D" w:rsidR="00CD1C73" w:rsidRPr="0086671E" w:rsidRDefault="00CD1C73" w:rsidP="00CD1C73">
      <w:pPr>
        <w:spacing w:after="0" w:line="240" w:lineRule="auto"/>
        <w:ind w:left="426" w:hanging="426"/>
        <w:rPr>
          <w:b/>
          <w:lang w:val="es-ES"/>
        </w:rPr>
      </w:pPr>
      <w:r w:rsidRPr="0086671E">
        <w:rPr>
          <w:b/>
          <w:lang w:val="es-ES"/>
        </w:rPr>
        <w:t>5)</w:t>
      </w:r>
      <w:r w:rsidRPr="0086671E">
        <w:rPr>
          <w:b/>
          <w:lang w:val="es-ES"/>
        </w:rPr>
        <w:tab/>
      </w:r>
      <w:r w:rsidR="00E75568" w:rsidRPr="0086671E">
        <w:rPr>
          <w:b/>
          <w:lang w:val="es-ES"/>
        </w:rPr>
        <w:t xml:space="preserve">Asignación de </w:t>
      </w:r>
      <w:r w:rsidR="005361E4" w:rsidRPr="0086671E">
        <w:rPr>
          <w:b/>
          <w:lang w:val="es-ES"/>
        </w:rPr>
        <w:t xml:space="preserve">fondos </w:t>
      </w:r>
      <w:r w:rsidR="00E75568" w:rsidRPr="0086671E">
        <w:rPr>
          <w:b/>
          <w:lang w:val="es-ES"/>
        </w:rPr>
        <w:t xml:space="preserve">excedentes </w:t>
      </w:r>
    </w:p>
    <w:p w14:paraId="20C28305" w14:textId="77777777" w:rsidR="00CD1C73" w:rsidRPr="0086671E" w:rsidRDefault="00CD1C73" w:rsidP="00CD1C73">
      <w:pPr>
        <w:spacing w:after="0" w:line="240" w:lineRule="auto"/>
        <w:ind w:left="426" w:hanging="426"/>
        <w:rPr>
          <w:b/>
          <w:lang w:val="es-ES"/>
        </w:rPr>
      </w:pPr>
    </w:p>
    <w:p w14:paraId="311086A8" w14:textId="2AE847BA" w:rsidR="00246AB9" w:rsidRPr="0086671E" w:rsidRDefault="00E75568" w:rsidP="00CD1C73">
      <w:pPr>
        <w:spacing w:after="0" w:line="240" w:lineRule="auto"/>
        <w:contextualSpacing/>
        <w:rPr>
          <w:rFonts w:cs="Calibri"/>
          <w:iCs/>
          <w:color w:val="000000" w:themeColor="text1"/>
          <w:lang w:val="es-ES"/>
        </w:rPr>
      </w:pPr>
      <w:r w:rsidRPr="0086671E">
        <w:rPr>
          <w:rFonts w:cs="Calibri"/>
          <w:iCs/>
          <w:color w:val="000000" w:themeColor="text1"/>
          <w:lang w:val="es-ES"/>
        </w:rPr>
        <w:t xml:space="preserve">El Subgrupo acordó debatir la asignación de fondos excedentes en su reunión </w:t>
      </w:r>
      <w:r w:rsidR="003F2753">
        <w:rPr>
          <w:rFonts w:cs="Calibri"/>
          <w:iCs/>
          <w:color w:val="000000" w:themeColor="text1"/>
          <w:lang w:val="es-ES"/>
        </w:rPr>
        <w:t xml:space="preserve">más adelante durante la </w:t>
      </w:r>
      <w:r w:rsidRPr="0086671E">
        <w:rPr>
          <w:rFonts w:cs="Calibri"/>
          <w:iCs/>
          <w:color w:val="000000" w:themeColor="text1"/>
          <w:lang w:val="es-ES"/>
        </w:rPr>
        <w:t xml:space="preserve">semana, tras el debate </w:t>
      </w:r>
      <w:r w:rsidR="00BA5F37" w:rsidRPr="0086671E">
        <w:rPr>
          <w:rFonts w:cs="Calibri"/>
          <w:iCs/>
          <w:color w:val="000000" w:themeColor="text1"/>
          <w:lang w:val="es-ES"/>
        </w:rPr>
        <w:t>en plenaria</w:t>
      </w:r>
      <w:r w:rsidRPr="0086671E">
        <w:rPr>
          <w:rFonts w:cs="Calibri"/>
          <w:iCs/>
          <w:color w:val="000000" w:themeColor="text1"/>
          <w:lang w:val="es-ES"/>
        </w:rPr>
        <w:t xml:space="preserve"> de los </w:t>
      </w:r>
      <w:r w:rsidR="00BA5F37" w:rsidRPr="0086671E">
        <w:rPr>
          <w:rFonts w:cs="Calibri"/>
          <w:iCs/>
          <w:color w:val="000000" w:themeColor="text1"/>
          <w:lang w:val="es-ES"/>
        </w:rPr>
        <w:t>puntos</w:t>
      </w:r>
      <w:r w:rsidRPr="0086671E">
        <w:rPr>
          <w:rFonts w:cs="Calibri"/>
          <w:iCs/>
          <w:color w:val="000000" w:themeColor="text1"/>
          <w:lang w:val="es-ES"/>
        </w:rPr>
        <w:t xml:space="preserve"> relacionados. El Presidente del GECT se ofreció a compartir información sobre dos solicitudes de asignación de fondos excedentes: </w:t>
      </w:r>
    </w:p>
    <w:p w14:paraId="4CBBCF5C" w14:textId="77777777" w:rsidR="00246AB9" w:rsidRPr="0086671E" w:rsidRDefault="00246AB9" w:rsidP="00CD1C73">
      <w:pPr>
        <w:spacing w:after="0" w:line="240" w:lineRule="auto"/>
        <w:contextualSpacing/>
        <w:rPr>
          <w:rFonts w:cs="Calibri"/>
          <w:iCs/>
          <w:color w:val="000000" w:themeColor="text1"/>
          <w:lang w:val="es-ES"/>
        </w:rPr>
      </w:pPr>
    </w:p>
    <w:p w14:paraId="4A38CEA6" w14:textId="781EC77C" w:rsidR="00CD1C73" w:rsidRPr="0086671E" w:rsidRDefault="00246AB9" w:rsidP="00246AB9">
      <w:pPr>
        <w:pStyle w:val="MGfulltext"/>
        <w:spacing w:after="0"/>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a.</w:t>
      </w:r>
      <w:r w:rsidRPr="0086671E">
        <w:rPr>
          <w:rFonts w:asciiTheme="minorHAnsi" w:eastAsia="Batang" w:hAnsiTheme="minorHAnsi" w:cstheme="minorHAnsi"/>
          <w:sz w:val="22"/>
          <w:szCs w:val="22"/>
          <w:lang w:val="es-ES"/>
        </w:rPr>
        <w:tab/>
      </w:r>
      <w:r w:rsidR="00E75568" w:rsidRPr="0086671E">
        <w:rPr>
          <w:rFonts w:asciiTheme="minorHAnsi" w:eastAsia="Batang" w:hAnsiTheme="minorHAnsi" w:cstheme="minorHAnsi"/>
          <w:sz w:val="22"/>
          <w:szCs w:val="22"/>
          <w:lang w:val="es-ES"/>
        </w:rPr>
        <w:t xml:space="preserve">40 000 francos suizos para actividades relacionadas con la observación de la Tierra - véase el Anexo 2 del presente informe para más detalles. </w:t>
      </w:r>
    </w:p>
    <w:p w14:paraId="701AB51B" w14:textId="003E2AD7" w:rsidR="00246AB9" w:rsidRPr="0086671E" w:rsidRDefault="00246AB9" w:rsidP="00246AB9">
      <w:pPr>
        <w:pStyle w:val="MGfulltext"/>
        <w:spacing w:after="0"/>
        <w:ind w:left="426" w:hanging="426"/>
        <w:rPr>
          <w:rFonts w:asciiTheme="minorHAnsi" w:eastAsia="Batang" w:hAnsiTheme="minorHAnsi" w:cstheme="minorHAnsi"/>
          <w:sz w:val="22"/>
          <w:szCs w:val="22"/>
          <w:lang w:val="es-ES"/>
        </w:rPr>
      </w:pPr>
    </w:p>
    <w:p w14:paraId="194E531F" w14:textId="087AB1FE" w:rsidR="00246AB9" w:rsidRPr="0086671E" w:rsidRDefault="00246AB9" w:rsidP="00E75568">
      <w:pPr>
        <w:pStyle w:val="MGfulltext"/>
        <w:ind w:left="426" w:hanging="426"/>
        <w:rPr>
          <w:rFonts w:asciiTheme="minorHAnsi" w:eastAsia="Batang" w:hAnsiTheme="minorHAnsi" w:cstheme="minorHAnsi"/>
          <w:sz w:val="22"/>
          <w:szCs w:val="22"/>
          <w:lang w:val="es-ES"/>
        </w:rPr>
      </w:pPr>
      <w:r w:rsidRPr="0086671E">
        <w:rPr>
          <w:rFonts w:asciiTheme="minorHAnsi" w:eastAsia="Batang" w:hAnsiTheme="minorHAnsi" w:cstheme="minorHAnsi"/>
          <w:sz w:val="22"/>
          <w:szCs w:val="22"/>
          <w:lang w:val="es-ES"/>
        </w:rPr>
        <w:t>b.</w:t>
      </w:r>
      <w:r w:rsidRPr="0086671E">
        <w:rPr>
          <w:rFonts w:asciiTheme="minorHAnsi" w:eastAsia="Batang" w:hAnsiTheme="minorHAnsi" w:cstheme="minorHAnsi"/>
          <w:sz w:val="22"/>
          <w:szCs w:val="22"/>
          <w:lang w:val="es-ES"/>
        </w:rPr>
        <w:tab/>
      </w:r>
      <w:r w:rsidR="00E75568" w:rsidRPr="0086671E">
        <w:rPr>
          <w:rFonts w:asciiTheme="minorHAnsi" w:eastAsia="Batang" w:hAnsiTheme="minorHAnsi" w:cstheme="minorHAnsi"/>
          <w:sz w:val="22"/>
          <w:szCs w:val="22"/>
          <w:lang w:val="es-ES"/>
        </w:rPr>
        <w:t>Fondos de hasta 465 000 francos suizos para las actividades propuestas en el documento SC64 Doc.20</w:t>
      </w:r>
      <w:r w:rsidR="00BA5F37" w:rsidRPr="0086671E">
        <w:rPr>
          <w:rFonts w:asciiTheme="minorHAnsi" w:eastAsia="Batang" w:hAnsiTheme="minorHAnsi" w:cstheme="minorHAnsi"/>
          <w:sz w:val="22"/>
          <w:szCs w:val="22"/>
          <w:lang w:val="es-ES"/>
        </w:rPr>
        <w:t xml:space="preserve">, </w:t>
      </w:r>
      <w:r w:rsidR="00E75568" w:rsidRPr="0086671E">
        <w:rPr>
          <w:rFonts w:asciiTheme="minorHAnsi" w:eastAsia="Batang" w:hAnsiTheme="minorHAnsi" w:cstheme="minorHAnsi"/>
          <w:i/>
          <w:iCs/>
          <w:sz w:val="22"/>
          <w:szCs w:val="22"/>
          <w:lang w:val="es-ES"/>
        </w:rPr>
        <w:t xml:space="preserve">Proyecto de resolución sobre el establecimiento de la Alianza para las Estimaciones de Aves Acuáticas y la publicación de la edición de 2027 de </w:t>
      </w:r>
      <w:r w:rsidR="00E75568" w:rsidRPr="0086671E">
        <w:rPr>
          <w:rFonts w:asciiTheme="minorHAnsi" w:eastAsia="Batang" w:hAnsiTheme="minorHAnsi" w:cstheme="minorHAnsi"/>
          <w:sz w:val="22"/>
          <w:szCs w:val="22"/>
          <w:lang w:val="es-ES"/>
        </w:rPr>
        <w:t>Waterbird Population Estimates</w:t>
      </w:r>
      <w:r w:rsidR="00BA5F37" w:rsidRPr="0086671E">
        <w:rPr>
          <w:rFonts w:asciiTheme="minorHAnsi" w:eastAsia="Batang" w:hAnsiTheme="minorHAnsi" w:cstheme="minorHAnsi"/>
          <w:sz w:val="22"/>
          <w:szCs w:val="22"/>
          <w:lang w:val="es-ES"/>
        </w:rPr>
        <w:t>, p</w:t>
      </w:r>
      <w:r w:rsidR="00E75568" w:rsidRPr="0086671E">
        <w:rPr>
          <w:rFonts w:asciiTheme="minorHAnsi" w:eastAsia="Batang" w:hAnsiTheme="minorHAnsi" w:cstheme="minorHAnsi"/>
          <w:sz w:val="22"/>
          <w:szCs w:val="22"/>
          <w:lang w:val="es-ES"/>
        </w:rPr>
        <w:t xml:space="preserve">or un importe que se resume en el Cuadro 2 a continuación, y en función de la decisión del Comité Permanente </w:t>
      </w:r>
      <w:r w:rsidR="00BA5F37" w:rsidRPr="0086671E">
        <w:rPr>
          <w:rFonts w:asciiTheme="minorHAnsi" w:eastAsia="Batang" w:hAnsiTheme="minorHAnsi" w:cstheme="minorHAnsi"/>
          <w:sz w:val="22"/>
          <w:szCs w:val="22"/>
          <w:lang w:val="es-ES"/>
        </w:rPr>
        <w:t>–</w:t>
      </w:r>
      <w:r w:rsidR="00E75568" w:rsidRPr="0086671E">
        <w:rPr>
          <w:rFonts w:asciiTheme="minorHAnsi" w:eastAsia="Batang" w:hAnsiTheme="minorHAnsi" w:cstheme="minorHAnsi"/>
          <w:sz w:val="22"/>
          <w:szCs w:val="22"/>
          <w:lang w:val="es-ES"/>
        </w:rPr>
        <w:t xml:space="preserve"> véase el Anexo 3 para más detalles. </w:t>
      </w:r>
    </w:p>
    <w:p w14:paraId="65A0D090" w14:textId="20E528F3" w:rsidR="00E13597" w:rsidRPr="0086671E" w:rsidRDefault="00CE6F69" w:rsidP="00E13597">
      <w:pPr>
        <w:keepNext/>
        <w:spacing w:after="0" w:line="240" w:lineRule="auto"/>
        <w:rPr>
          <w:rFonts w:eastAsia="Batang" w:cstheme="minorHAnsi"/>
          <w:lang w:val="es-ES"/>
        </w:rPr>
      </w:pPr>
      <w:r w:rsidRPr="0086671E">
        <w:rPr>
          <w:rFonts w:ascii="Calibri" w:eastAsia="Times New Roman" w:hAnsi="Calibri" w:cs="Calibri"/>
          <w:i/>
          <w:iCs/>
          <w:color w:val="000000"/>
          <w:lang w:val="es-ES" w:eastAsia="en-GB"/>
        </w:rPr>
        <w:lastRenderedPageBreak/>
        <w:t xml:space="preserve">Cuadro 2: Opciones de </w:t>
      </w:r>
      <w:r w:rsidR="0086671E">
        <w:rPr>
          <w:rFonts w:ascii="Calibri" w:eastAsia="Times New Roman" w:hAnsi="Calibri" w:cs="Calibri"/>
          <w:i/>
          <w:iCs/>
          <w:color w:val="000000"/>
          <w:lang w:val="es-ES" w:eastAsia="en-GB"/>
        </w:rPr>
        <w:t>costo</w:t>
      </w:r>
      <w:r w:rsidRPr="0086671E">
        <w:rPr>
          <w:rFonts w:ascii="Calibri" w:eastAsia="Times New Roman" w:hAnsi="Calibri" w:cs="Calibri"/>
          <w:i/>
          <w:iCs/>
          <w:color w:val="000000"/>
          <w:lang w:val="es-ES" w:eastAsia="en-GB"/>
        </w:rPr>
        <w:t xml:space="preserve">s (en francos suizos) para el establecimiento de la Alianza para las Estimaciones de Aves Acuáticas y la </w:t>
      </w:r>
      <w:r w:rsidR="00BA5F37" w:rsidRPr="0086671E">
        <w:rPr>
          <w:rFonts w:ascii="Calibri" w:eastAsia="Times New Roman" w:hAnsi="Calibri" w:cs="Calibri"/>
          <w:i/>
          <w:iCs/>
          <w:color w:val="000000"/>
          <w:lang w:val="es-ES" w:eastAsia="en-GB"/>
        </w:rPr>
        <w:t xml:space="preserve">publicación de la edición de </w:t>
      </w:r>
      <w:r w:rsidRPr="0086671E">
        <w:rPr>
          <w:rFonts w:ascii="Calibri" w:eastAsia="Times New Roman" w:hAnsi="Calibri" w:cs="Calibri"/>
          <w:i/>
          <w:iCs/>
          <w:color w:val="000000"/>
          <w:lang w:val="es-ES" w:eastAsia="en-GB"/>
        </w:rPr>
        <w:t>2027</w:t>
      </w:r>
      <w:r w:rsidR="00BA5F37" w:rsidRPr="0086671E">
        <w:rPr>
          <w:rFonts w:ascii="Calibri" w:eastAsia="Times New Roman" w:hAnsi="Calibri" w:cs="Calibri"/>
          <w:i/>
          <w:iCs/>
          <w:color w:val="000000"/>
          <w:lang w:val="es-ES" w:eastAsia="en-GB"/>
        </w:rPr>
        <w:t xml:space="preserve"> de </w:t>
      </w:r>
      <w:r w:rsidR="00BA5F37" w:rsidRPr="0086671E">
        <w:rPr>
          <w:rFonts w:ascii="Calibri" w:eastAsia="Times New Roman" w:hAnsi="Calibri" w:cs="Calibri"/>
          <w:color w:val="000000"/>
          <w:lang w:val="es-ES" w:eastAsia="en-GB"/>
        </w:rPr>
        <w:t>Waterbird Population Estimates</w:t>
      </w:r>
      <w:r w:rsidRPr="0086671E">
        <w:rPr>
          <w:rFonts w:ascii="Calibri" w:eastAsia="Times New Roman" w:hAnsi="Calibri" w:cs="Calibri"/>
          <w:color w:val="000000"/>
          <w:lang w:val="es-ES" w:eastAsia="en-GB"/>
        </w:rPr>
        <w:t xml:space="preserve"> </w:t>
      </w:r>
      <w:r w:rsidR="003F2753" w:rsidRPr="003F2753">
        <w:rPr>
          <w:rFonts w:ascii="Calibri" w:eastAsia="Times New Roman" w:hAnsi="Calibri" w:cs="Calibri"/>
          <w:i/>
          <w:iCs/>
          <w:color w:val="000000"/>
          <w:lang w:val="es-ES" w:eastAsia="en-GB"/>
        </w:rPr>
        <w:t>(WPE 2027)</w:t>
      </w:r>
    </w:p>
    <w:p w14:paraId="15A95D65" w14:textId="77777777" w:rsidR="001C7745" w:rsidRPr="0086671E" w:rsidRDefault="001C7745" w:rsidP="00E13597">
      <w:pPr>
        <w:keepNext/>
        <w:spacing w:after="0" w:line="240" w:lineRule="auto"/>
        <w:rPr>
          <w:rFonts w:eastAsia="Batang" w:cstheme="minorHAnsi"/>
          <w:lang w:val="es-ES"/>
        </w:rPr>
      </w:pPr>
    </w:p>
    <w:tbl>
      <w:tblPr>
        <w:tblStyle w:val="TableGrid"/>
        <w:tblW w:w="0" w:type="auto"/>
        <w:tblLook w:val="04A0" w:firstRow="1" w:lastRow="0" w:firstColumn="1" w:lastColumn="0" w:noHBand="0" w:noVBand="1"/>
      </w:tblPr>
      <w:tblGrid>
        <w:gridCol w:w="2689"/>
        <w:gridCol w:w="1842"/>
        <w:gridCol w:w="2231"/>
        <w:gridCol w:w="2254"/>
      </w:tblGrid>
      <w:tr w:rsidR="001C7745" w:rsidRPr="0086671E" w14:paraId="7635CEDA" w14:textId="77777777" w:rsidTr="001C7745">
        <w:tc>
          <w:tcPr>
            <w:tcW w:w="2689" w:type="dxa"/>
            <w:shd w:val="clear" w:color="auto" w:fill="EDEDED" w:themeFill="accent3" w:themeFillTint="33"/>
          </w:tcPr>
          <w:p w14:paraId="1EEF859D" w14:textId="0C90100A" w:rsidR="001C7745" w:rsidRPr="0086671E" w:rsidRDefault="00CE6F69" w:rsidP="00E13597">
            <w:pPr>
              <w:keepNext/>
              <w:rPr>
                <w:rFonts w:eastAsia="Batang" w:cstheme="minorHAnsi"/>
                <w:b/>
                <w:bCs/>
                <w:lang w:val="es-ES"/>
              </w:rPr>
            </w:pPr>
            <w:r w:rsidRPr="0086671E">
              <w:rPr>
                <w:rFonts w:eastAsia="Batang" w:cstheme="minorHAnsi"/>
                <w:b/>
                <w:bCs/>
                <w:lang w:val="es-ES"/>
              </w:rPr>
              <w:t>Acciones prioritarias</w:t>
            </w:r>
          </w:p>
        </w:tc>
        <w:tc>
          <w:tcPr>
            <w:tcW w:w="1842" w:type="dxa"/>
            <w:shd w:val="clear" w:color="auto" w:fill="EDEDED" w:themeFill="accent3" w:themeFillTint="33"/>
          </w:tcPr>
          <w:p w14:paraId="65E5A3C9" w14:textId="3E9DA1AE" w:rsidR="001C7745" w:rsidRPr="0086671E" w:rsidRDefault="00BA5F37" w:rsidP="00E13597">
            <w:pPr>
              <w:keepNext/>
              <w:rPr>
                <w:rFonts w:eastAsia="Batang" w:cstheme="minorHAnsi"/>
                <w:b/>
                <w:bCs/>
                <w:lang w:val="es-ES"/>
              </w:rPr>
            </w:pPr>
            <w:r w:rsidRPr="0086671E">
              <w:rPr>
                <w:rFonts w:eastAsia="Batang" w:cstheme="minorHAnsi"/>
                <w:b/>
                <w:bCs/>
                <w:lang w:val="es-ES"/>
              </w:rPr>
              <w:t>Financiación integral</w:t>
            </w:r>
            <w:r w:rsidR="00BC516D" w:rsidRPr="0086671E">
              <w:rPr>
                <w:rFonts w:eastAsia="Batang" w:cstheme="minorHAnsi"/>
                <w:b/>
                <w:bCs/>
                <w:lang w:val="es-ES"/>
              </w:rPr>
              <w:t xml:space="preserve"> (todas las acciones)</w:t>
            </w:r>
          </w:p>
        </w:tc>
        <w:tc>
          <w:tcPr>
            <w:tcW w:w="2231" w:type="dxa"/>
            <w:shd w:val="clear" w:color="auto" w:fill="EDEDED" w:themeFill="accent3" w:themeFillTint="33"/>
          </w:tcPr>
          <w:p w14:paraId="35C9485C" w14:textId="6B6E1FC9" w:rsidR="001C7745" w:rsidRPr="0086671E" w:rsidRDefault="00BA5F37" w:rsidP="00E13597">
            <w:pPr>
              <w:keepNext/>
              <w:rPr>
                <w:rFonts w:eastAsia="Batang" w:cstheme="minorHAnsi"/>
                <w:b/>
                <w:bCs/>
                <w:lang w:val="es-ES"/>
              </w:rPr>
            </w:pPr>
            <w:r w:rsidRPr="0086671E">
              <w:rPr>
                <w:rFonts w:eastAsia="Batang" w:cstheme="minorHAnsi"/>
                <w:b/>
                <w:bCs/>
                <w:lang w:val="es-ES"/>
              </w:rPr>
              <w:t>Financiación in</w:t>
            </w:r>
            <w:r w:rsidR="00BC516D" w:rsidRPr="0086671E">
              <w:rPr>
                <w:rFonts w:eastAsia="Batang" w:cstheme="minorHAnsi"/>
                <w:b/>
                <w:bCs/>
                <w:lang w:val="es-ES"/>
              </w:rPr>
              <w:t>termedi</w:t>
            </w:r>
            <w:r w:rsidRPr="0086671E">
              <w:rPr>
                <w:rFonts w:eastAsia="Batang" w:cstheme="minorHAnsi"/>
                <w:b/>
                <w:bCs/>
                <w:lang w:val="es-ES"/>
              </w:rPr>
              <w:t>a</w:t>
            </w:r>
            <w:r w:rsidR="00BC516D" w:rsidRPr="0086671E">
              <w:rPr>
                <w:rFonts w:eastAsia="Batang" w:cstheme="minorHAnsi"/>
                <w:b/>
                <w:bCs/>
                <w:lang w:val="es-ES"/>
              </w:rPr>
              <w:t>* (75</w:t>
            </w:r>
            <w:r w:rsidRPr="0086671E">
              <w:rPr>
                <w:rFonts w:eastAsia="Batang" w:cstheme="minorHAnsi"/>
                <w:b/>
                <w:bCs/>
                <w:lang w:val="es-ES"/>
              </w:rPr>
              <w:t xml:space="preserve"> </w:t>
            </w:r>
            <w:r w:rsidR="00BC516D" w:rsidRPr="0086671E">
              <w:rPr>
                <w:rFonts w:eastAsia="Batang" w:cstheme="minorHAnsi"/>
                <w:b/>
                <w:bCs/>
                <w:lang w:val="es-ES"/>
              </w:rPr>
              <w:t>%)</w:t>
            </w:r>
          </w:p>
        </w:tc>
        <w:tc>
          <w:tcPr>
            <w:tcW w:w="2254" w:type="dxa"/>
            <w:shd w:val="clear" w:color="auto" w:fill="EDEDED" w:themeFill="accent3" w:themeFillTint="33"/>
          </w:tcPr>
          <w:p w14:paraId="05E9D24F" w14:textId="7AC657E1" w:rsidR="001C7745" w:rsidRPr="0086671E" w:rsidRDefault="00BA5F37" w:rsidP="00E13597">
            <w:pPr>
              <w:keepNext/>
              <w:rPr>
                <w:rFonts w:eastAsia="Batang" w:cstheme="minorHAnsi"/>
                <w:b/>
                <w:bCs/>
                <w:lang w:val="es-ES"/>
              </w:rPr>
            </w:pPr>
            <w:r w:rsidRPr="0086671E">
              <w:rPr>
                <w:rFonts w:eastAsia="Batang" w:cstheme="minorHAnsi"/>
                <w:b/>
                <w:bCs/>
                <w:lang w:val="es-ES"/>
              </w:rPr>
              <w:t>Financiación m</w:t>
            </w:r>
            <w:r w:rsidR="00BC516D" w:rsidRPr="0086671E">
              <w:rPr>
                <w:rFonts w:eastAsia="Batang" w:cstheme="minorHAnsi"/>
                <w:b/>
                <w:bCs/>
                <w:lang w:val="es-ES"/>
              </w:rPr>
              <w:t>ínim</w:t>
            </w:r>
            <w:r w:rsidRPr="0086671E">
              <w:rPr>
                <w:rFonts w:eastAsia="Batang" w:cstheme="minorHAnsi"/>
                <w:b/>
                <w:bCs/>
                <w:lang w:val="es-ES"/>
              </w:rPr>
              <w:t>a</w:t>
            </w:r>
            <w:r w:rsidR="00BC516D" w:rsidRPr="0086671E">
              <w:rPr>
                <w:rFonts w:eastAsia="Batang" w:cstheme="minorHAnsi"/>
                <w:b/>
                <w:bCs/>
                <w:lang w:val="es-ES"/>
              </w:rPr>
              <w:t>* (50</w:t>
            </w:r>
            <w:r w:rsidRPr="0086671E">
              <w:rPr>
                <w:rFonts w:eastAsia="Batang" w:cstheme="minorHAnsi"/>
                <w:b/>
                <w:bCs/>
                <w:lang w:val="es-ES"/>
              </w:rPr>
              <w:t xml:space="preserve"> </w:t>
            </w:r>
            <w:r w:rsidR="00BC516D" w:rsidRPr="0086671E">
              <w:rPr>
                <w:rFonts w:eastAsia="Batang" w:cstheme="minorHAnsi"/>
                <w:b/>
                <w:bCs/>
                <w:lang w:val="es-ES"/>
              </w:rPr>
              <w:t>%)</w:t>
            </w:r>
          </w:p>
        </w:tc>
      </w:tr>
      <w:tr w:rsidR="001C7745" w:rsidRPr="0086671E" w14:paraId="678DF040" w14:textId="77777777" w:rsidTr="001C7745">
        <w:tc>
          <w:tcPr>
            <w:tcW w:w="2689" w:type="dxa"/>
          </w:tcPr>
          <w:p w14:paraId="094D7D35" w14:textId="075ECC13" w:rsidR="001C7745" w:rsidRPr="0086671E" w:rsidRDefault="00BC516D" w:rsidP="00E13597">
            <w:pPr>
              <w:keepNext/>
              <w:rPr>
                <w:rFonts w:eastAsia="Batang" w:cstheme="minorHAnsi"/>
                <w:lang w:val="es-ES"/>
              </w:rPr>
            </w:pPr>
            <w:r w:rsidRPr="0086671E">
              <w:rPr>
                <w:rFonts w:eastAsia="Batang" w:cstheme="minorHAnsi"/>
                <w:lang w:val="es-ES"/>
              </w:rPr>
              <w:t>Establecimiento de la Alianza para las Estimaciones de Aves Acuáticas</w:t>
            </w:r>
          </w:p>
        </w:tc>
        <w:tc>
          <w:tcPr>
            <w:tcW w:w="1842" w:type="dxa"/>
          </w:tcPr>
          <w:p w14:paraId="7CC8FF0A" w14:textId="7E6332D5" w:rsidR="001C7745" w:rsidRPr="0086671E" w:rsidRDefault="00BC516D" w:rsidP="00E13597">
            <w:pPr>
              <w:keepNext/>
              <w:rPr>
                <w:rFonts w:eastAsia="Batang" w:cstheme="minorHAnsi"/>
                <w:lang w:val="es-ES"/>
              </w:rPr>
            </w:pPr>
            <w:r w:rsidRPr="0086671E">
              <w:rPr>
                <w:rFonts w:eastAsia="Batang" w:cstheme="minorHAnsi"/>
                <w:lang w:val="es-ES"/>
              </w:rPr>
              <w:t>38 000</w:t>
            </w:r>
          </w:p>
        </w:tc>
        <w:tc>
          <w:tcPr>
            <w:tcW w:w="2231" w:type="dxa"/>
          </w:tcPr>
          <w:p w14:paraId="45ED29F4" w14:textId="3E7DBC9E" w:rsidR="001C7745" w:rsidRPr="0086671E" w:rsidRDefault="00BC516D" w:rsidP="00E13597">
            <w:pPr>
              <w:keepNext/>
              <w:rPr>
                <w:rFonts w:eastAsia="Batang" w:cstheme="minorHAnsi"/>
                <w:lang w:val="es-ES"/>
              </w:rPr>
            </w:pPr>
            <w:r w:rsidRPr="0086671E">
              <w:rPr>
                <w:rFonts w:eastAsia="Batang" w:cstheme="minorHAnsi"/>
                <w:lang w:val="es-ES"/>
              </w:rPr>
              <w:t>38 000</w:t>
            </w:r>
          </w:p>
        </w:tc>
        <w:tc>
          <w:tcPr>
            <w:tcW w:w="2254" w:type="dxa"/>
          </w:tcPr>
          <w:p w14:paraId="366F5147" w14:textId="7BCDF4AC" w:rsidR="001C7745" w:rsidRPr="0086671E" w:rsidRDefault="00BC516D" w:rsidP="00E13597">
            <w:pPr>
              <w:keepNext/>
              <w:rPr>
                <w:rFonts w:eastAsia="Batang" w:cstheme="minorHAnsi"/>
                <w:lang w:val="es-ES"/>
              </w:rPr>
            </w:pPr>
            <w:r w:rsidRPr="0086671E">
              <w:rPr>
                <w:rFonts w:eastAsia="Batang" w:cstheme="minorHAnsi"/>
                <w:lang w:val="es-ES"/>
              </w:rPr>
              <w:t>38 000</w:t>
            </w:r>
          </w:p>
        </w:tc>
      </w:tr>
      <w:tr w:rsidR="001C7745" w:rsidRPr="0086671E" w14:paraId="46219ED6" w14:textId="77777777" w:rsidTr="001C7745">
        <w:tc>
          <w:tcPr>
            <w:tcW w:w="2689" w:type="dxa"/>
          </w:tcPr>
          <w:p w14:paraId="4B46B0D3" w14:textId="56A08F3B" w:rsidR="001C7745" w:rsidRPr="0086671E" w:rsidRDefault="00BA5F37" w:rsidP="00E13597">
            <w:pPr>
              <w:keepNext/>
              <w:rPr>
                <w:rFonts w:eastAsia="Batang" w:cstheme="minorHAnsi"/>
                <w:lang w:val="es-ES"/>
              </w:rPr>
            </w:pPr>
            <w:r w:rsidRPr="0086671E">
              <w:rPr>
                <w:rFonts w:eastAsia="Batang" w:cstheme="minorHAnsi"/>
                <w:lang w:val="es-ES"/>
              </w:rPr>
              <w:t>Publicación de la</w:t>
            </w:r>
            <w:r w:rsidR="00BC516D" w:rsidRPr="0086671E">
              <w:rPr>
                <w:rFonts w:eastAsia="Batang" w:cstheme="minorHAnsi"/>
                <w:lang w:val="es-ES"/>
              </w:rPr>
              <w:t xml:space="preserve"> WPE</w:t>
            </w:r>
            <w:r w:rsidRPr="0086671E">
              <w:rPr>
                <w:rFonts w:eastAsia="Batang" w:cstheme="minorHAnsi"/>
                <w:lang w:val="es-ES"/>
              </w:rPr>
              <w:t xml:space="preserve"> </w:t>
            </w:r>
            <w:r w:rsidR="00BC516D" w:rsidRPr="0086671E">
              <w:rPr>
                <w:rFonts w:eastAsia="Batang" w:cstheme="minorHAnsi"/>
                <w:lang w:val="es-ES"/>
              </w:rPr>
              <w:t xml:space="preserve">2027 mediante </w:t>
            </w:r>
            <w:r w:rsidRPr="0086671E">
              <w:rPr>
                <w:rFonts w:eastAsia="Batang" w:cstheme="minorHAnsi"/>
                <w:lang w:val="es-ES"/>
              </w:rPr>
              <w:t xml:space="preserve">la revisión </w:t>
            </w:r>
            <w:r w:rsidR="00BC516D" w:rsidRPr="0086671E">
              <w:rPr>
                <w:rFonts w:eastAsia="Batang" w:cstheme="minorHAnsi"/>
                <w:lang w:val="es-ES"/>
              </w:rPr>
              <w:t>y actualización de poblaciones prioritarias</w:t>
            </w:r>
          </w:p>
        </w:tc>
        <w:tc>
          <w:tcPr>
            <w:tcW w:w="1842" w:type="dxa"/>
          </w:tcPr>
          <w:p w14:paraId="335B072C" w14:textId="14BFAFA7" w:rsidR="001C7745" w:rsidRPr="0086671E" w:rsidRDefault="00BC516D" w:rsidP="00E13597">
            <w:pPr>
              <w:keepNext/>
              <w:rPr>
                <w:rFonts w:eastAsia="Batang" w:cstheme="minorHAnsi"/>
                <w:lang w:val="es-ES"/>
              </w:rPr>
            </w:pPr>
            <w:r w:rsidRPr="0086671E">
              <w:rPr>
                <w:rFonts w:eastAsia="Batang" w:cstheme="minorHAnsi"/>
                <w:lang w:val="es-ES"/>
              </w:rPr>
              <w:t>366 000</w:t>
            </w:r>
          </w:p>
          <w:p w14:paraId="71FA65DE" w14:textId="25092302" w:rsidR="00BC516D" w:rsidRPr="0086671E" w:rsidRDefault="00BC516D" w:rsidP="00E13597">
            <w:pPr>
              <w:keepNext/>
              <w:rPr>
                <w:rFonts w:eastAsia="Batang" w:cstheme="minorHAnsi"/>
                <w:lang w:val="es-ES"/>
              </w:rPr>
            </w:pPr>
            <w:r w:rsidRPr="0086671E">
              <w:rPr>
                <w:rFonts w:eastAsia="Batang" w:cstheme="minorHAnsi"/>
                <w:lang w:val="es-ES"/>
              </w:rPr>
              <w:t>(1 600 poblaciones)</w:t>
            </w:r>
          </w:p>
        </w:tc>
        <w:tc>
          <w:tcPr>
            <w:tcW w:w="2231" w:type="dxa"/>
          </w:tcPr>
          <w:p w14:paraId="599AEA49" w14:textId="4B946648" w:rsidR="001C7745" w:rsidRPr="0086671E" w:rsidRDefault="00BC516D" w:rsidP="00E13597">
            <w:pPr>
              <w:keepNext/>
              <w:rPr>
                <w:rFonts w:eastAsia="Batang" w:cstheme="minorHAnsi"/>
                <w:lang w:val="es-ES"/>
              </w:rPr>
            </w:pPr>
            <w:r w:rsidRPr="0086671E">
              <w:rPr>
                <w:rFonts w:eastAsia="Batang" w:cstheme="minorHAnsi"/>
                <w:lang w:val="es-ES"/>
              </w:rPr>
              <w:t>287 000</w:t>
            </w:r>
          </w:p>
          <w:p w14:paraId="2E22DFF9" w14:textId="326E2D25" w:rsidR="00BC516D" w:rsidRPr="0086671E" w:rsidRDefault="00BC516D" w:rsidP="00E13597">
            <w:pPr>
              <w:keepNext/>
              <w:rPr>
                <w:rFonts w:eastAsia="Batang" w:cstheme="minorHAnsi"/>
                <w:lang w:val="es-ES"/>
              </w:rPr>
            </w:pPr>
            <w:r w:rsidRPr="0086671E">
              <w:rPr>
                <w:rFonts w:eastAsia="Batang" w:cstheme="minorHAnsi"/>
                <w:lang w:val="es-ES"/>
              </w:rPr>
              <w:t>(1 255 poblaciones)</w:t>
            </w:r>
          </w:p>
        </w:tc>
        <w:tc>
          <w:tcPr>
            <w:tcW w:w="2254" w:type="dxa"/>
          </w:tcPr>
          <w:p w14:paraId="6B6BB517" w14:textId="43E71890" w:rsidR="001C7745" w:rsidRPr="0086671E" w:rsidRDefault="00BC516D" w:rsidP="00E13597">
            <w:pPr>
              <w:keepNext/>
              <w:rPr>
                <w:rFonts w:eastAsia="Batang" w:cstheme="minorHAnsi"/>
                <w:lang w:val="es-ES"/>
              </w:rPr>
            </w:pPr>
            <w:r w:rsidRPr="0086671E">
              <w:rPr>
                <w:rFonts w:eastAsia="Batang" w:cstheme="minorHAnsi"/>
                <w:lang w:val="es-ES"/>
              </w:rPr>
              <w:t>170 000</w:t>
            </w:r>
          </w:p>
          <w:p w14:paraId="0AF723B5" w14:textId="6D495948" w:rsidR="00BC516D" w:rsidRPr="0086671E" w:rsidRDefault="00BC516D" w:rsidP="00E13597">
            <w:pPr>
              <w:keepNext/>
              <w:rPr>
                <w:rFonts w:eastAsia="Batang" w:cstheme="minorHAnsi"/>
                <w:i/>
                <w:iCs/>
                <w:lang w:val="es-ES"/>
              </w:rPr>
            </w:pPr>
            <w:r w:rsidRPr="0086671E">
              <w:rPr>
                <w:rFonts w:eastAsia="Batang" w:cstheme="minorHAnsi"/>
                <w:lang w:val="es-ES"/>
              </w:rPr>
              <w:t>(743 poblaciones)</w:t>
            </w:r>
          </w:p>
        </w:tc>
      </w:tr>
      <w:tr w:rsidR="001C7745" w:rsidRPr="0086671E" w14:paraId="20E020E6" w14:textId="77777777" w:rsidTr="001C7745">
        <w:tc>
          <w:tcPr>
            <w:tcW w:w="2689" w:type="dxa"/>
          </w:tcPr>
          <w:p w14:paraId="12D7478B" w14:textId="32C22DBC" w:rsidR="001C7745" w:rsidRPr="0086671E" w:rsidRDefault="00BC516D" w:rsidP="00E13597">
            <w:pPr>
              <w:keepNext/>
              <w:rPr>
                <w:rFonts w:eastAsia="Batang" w:cstheme="minorHAnsi"/>
                <w:lang w:val="es-ES"/>
              </w:rPr>
            </w:pPr>
            <w:r w:rsidRPr="0086671E">
              <w:rPr>
                <w:rFonts w:eastAsia="Batang" w:cstheme="minorHAnsi"/>
                <w:lang w:val="es-ES"/>
              </w:rPr>
              <w:t>Manten</w:t>
            </w:r>
            <w:r w:rsidR="00BA5F37" w:rsidRPr="0086671E">
              <w:rPr>
                <w:rFonts w:eastAsia="Batang" w:cstheme="minorHAnsi"/>
                <w:lang w:val="es-ES"/>
              </w:rPr>
              <w:t xml:space="preserve">imiento del </w:t>
            </w:r>
            <w:r w:rsidRPr="0086671E">
              <w:rPr>
                <w:rFonts w:eastAsia="Batang" w:cstheme="minorHAnsi"/>
                <w:lang w:val="es-ES"/>
              </w:rPr>
              <w:t xml:space="preserve">Portal </w:t>
            </w:r>
            <w:r w:rsidR="00BA5F37" w:rsidRPr="0086671E">
              <w:rPr>
                <w:rFonts w:eastAsia="Batang" w:cstheme="minorHAnsi"/>
                <w:lang w:val="es-ES"/>
              </w:rPr>
              <w:t>sobre</w:t>
            </w:r>
            <w:r w:rsidRPr="0086671E">
              <w:rPr>
                <w:rFonts w:eastAsia="Batang" w:cstheme="minorHAnsi"/>
                <w:lang w:val="es-ES"/>
              </w:rPr>
              <w:t xml:space="preserve"> Poblaciones de Aves Acuáticas para </w:t>
            </w:r>
            <w:r w:rsidR="00BA5F37" w:rsidRPr="0086671E">
              <w:rPr>
                <w:rFonts w:eastAsia="Batang" w:cstheme="minorHAnsi"/>
                <w:lang w:val="es-ES"/>
              </w:rPr>
              <w:t>publicar</w:t>
            </w:r>
            <w:r w:rsidRPr="0086671E">
              <w:rPr>
                <w:rFonts w:eastAsia="Batang" w:cstheme="minorHAnsi"/>
                <w:lang w:val="es-ES"/>
              </w:rPr>
              <w:t xml:space="preserve"> información </w:t>
            </w:r>
            <w:r w:rsidR="00BA5F37" w:rsidRPr="0086671E">
              <w:rPr>
                <w:rFonts w:eastAsia="Batang" w:cstheme="minorHAnsi"/>
                <w:lang w:val="es-ES"/>
              </w:rPr>
              <w:t>de la</w:t>
            </w:r>
            <w:r w:rsidR="001D6F9E" w:rsidRPr="0086671E">
              <w:rPr>
                <w:rFonts w:eastAsia="Batang" w:cstheme="minorHAnsi"/>
                <w:lang w:val="es-ES"/>
              </w:rPr>
              <w:t xml:space="preserve">s </w:t>
            </w:r>
            <w:r w:rsidR="001D6F9E" w:rsidRPr="003F2753">
              <w:rPr>
                <w:rFonts w:eastAsia="Batang" w:cstheme="minorHAnsi"/>
                <w:lang w:val="es-ES"/>
              </w:rPr>
              <w:t>WP</w:t>
            </w:r>
            <w:r w:rsidR="003F2753">
              <w:rPr>
                <w:rFonts w:eastAsia="Batang" w:cstheme="minorHAnsi"/>
                <w:lang w:val="es-ES"/>
              </w:rPr>
              <w:t>E</w:t>
            </w:r>
          </w:p>
        </w:tc>
        <w:tc>
          <w:tcPr>
            <w:tcW w:w="1842" w:type="dxa"/>
          </w:tcPr>
          <w:p w14:paraId="67E06421" w14:textId="5B8ADEF1" w:rsidR="001C7745" w:rsidRPr="0086671E" w:rsidRDefault="00246ACE" w:rsidP="00E13597">
            <w:pPr>
              <w:keepNext/>
              <w:rPr>
                <w:rFonts w:eastAsia="Batang" w:cstheme="minorHAnsi"/>
                <w:lang w:val="es-ES"/>
              </w:rPr>
            </w:pPr>
            <w:r w:rsidRPr="0086671E">
              <w:rPr>
                <w:rFonts w:eastAsia="Batang" w:cstheme="minorHAnsi"/>
                <w:lang w:val="es-ES"/>
              </w:rPr>
              <w:t>61 000</w:t>
            </w:r>
          </w:p>
        </w:tc>
        <w:tc>
          <w:tcPr>
            <w:tcW w:w="2231" w:type="dxa"/>
          </w:tcPr>
          <w:p w14:paraId="266E2E84" w14:textId="03E11BCA" w:rsidR="001C7745" w:rsidRPr="0086671E" w:rsidRDefault="00246ACE" w:rsidP="00E13597">
            <w:pPr>
              <w:keepNext/>
              <w:rPr>
                <w:rFonts w:eastAsia="Batang" w:cstheme="minorHAnsi"/>
                <w:lang w:val="es-ES"/>
              </w:rPr>
            </w:pPr>
            <w:r w:rsidRPr="0086671E">
              <w:rPr>
                <w:rFonts w:eastAsia="Batang" w:cstheme="minorHAnsi"/>
                <w:lang w:val="es-ES"/>
              </w:rPr>
              <w:t>25 000</w:t>
            </w:r>
          </w:p>
        </w:tc>
        <w:tc>
          <w:tcPr>
            <w:tcW w:w="2254" w:type="dxa"/>
          </w:tcPr>
          <w:p w14:paraId="6BFB4056" w14:textId="6405C2C0" w:rsidR="001C7745" w:rsidRPr="0086671E" w:rsidRDefault="00246ACE" w:rsidP="00E13597">
            <w:pPr>
              <w:keepNext/>
              <w:rPr>
                <w:rFonts w:eastAsia="Batang" w:cstheme="minorHAnsi"/>
                <w:lang w:val="es-ES"/>
              </w:rPr>
            </w:pPr>
            <w:r w:rsidRPr="0086671E">
              <w:rPr>
                <w:rFonts w:eastAsia="Batang" w:cstheme="minorHAnsi"/>
                <w:lang w:val="es-ES"/>
              </w:rPr>
              <w:t>25 000</w:t>
            </w:r>
          </w:p>
        </w:tc>
      </w:tr>
      <w:tr w:rsidR="001C7745" w:rsidRPr="0086671E" w14:paraId="596C7218" w14:textId="77777777" w:rsidTr="001C7745">
        <w:tc>
          <w:tcPr>
            <w:tcW w:w="2689" w:type="dxa"/>
            <w:shd w:val="clear" w:color="auto" w:fill="EDEDED" w:themeFill="accent3" w:themeFillTint="33"/>
          </w:tcPr>
          <w:p w14:paraId="5B96B7EE" w14:textId="2C04DD71" w:rsidR="001C7745" w:rsidRPr="0086671E" w:rsidRDefault="00246ACE" w:rsidP="00E13597">
            <w:pPr>
              <w:keepNext/>
              <w:rPr>
                <w:rFonts w:eastAsia="Batang" w:cstheme="minorHAnsi"/>
                <w:b/>
                <w:bCs/>
                <w:lang w:val="es-ES"/>
              </w:rPr>
            </w:pPr>
            <w:r w:rsidRPr="0086671E">
              <w:rPr>
                <w:rFonts w:eastAsia="Batang" w:cstheme="minorHAnsi"/>
                <w:b/>
                <w:bCs/>
                <w:lang w:val="es-ES"/>
              </w:rPr>
              <w:t>Cost</w:t>
            </w:r>
            <w:r w:rsidR="003F2753">
              <w:rPr>
                <w:rFonts w:eastAsia="Batang" w:cstheme="minorHAnsi"/>
                <w:b/>
                <w:bCs/>
                <w:lang w:val="es-ES"/>
              </w:rPr>
              <w:t>o</w:t>
            </w:r>
            <w:r w:rsidRPr="0086671E">
              <w:rPr>
                <w:rFonts w:eastAsia="Batang" w:cstheme="minorHAnsi"/>
                <w:b/>
                <w:bCs/>
                <w:lang w:val="es-ES"/>
              </w:rPr>
              <w:t xml:space="preserve">s indicativos totales (estimación </w:t>
            </w:r>
            <w:r w:rsidR="001D6F9E" w:rsidRPr="0086671E">
              <w:rPr>
                <w:rFonts w:eastAsia="Batang" w:cstheme="minorHAnsi"/>
                <w:b/>
                <w:bCs/>
                <w:lang w:val="es-ES"/>
              </w:rPr>
              <w:t>preliminar</w:t>
            </w:r>
            <w:r w:rsidRPr="0086671E">
              <w:rPr>
                <w:rFonts w:eastAsia="Batang" w:cstheme="minorHAnsi"/>
                <w:b/>
                <w:bCs/>
                <w:lang w:val="es-ES"/>
              </w:rPr>
              <w:t>)</w:t>
            </w:r>
          </w:p>
          <w:p w14:paraId="127C578B" w14:textId="578E9EC4" w:rsidR="001D6F9E" w:rsidRPr="0086671E" w:rsidRDefault="00246ACE" w:rsidP="00E13597">
            <w:pPr>
              <w:keepNext/>
              <w:rPr>
                <w:rFonts w:eastAsia="Batang" w:cstheme="minorHAnsi"/>
                <w:b/>
                <w:bCs/>
                <w:lang w:val="es-ES"/>
              </w:rPr>
            </w:pPr>
            <w:r w:rsidRPr="0086671E">
              <w:rPr>
                <w:rFonts w:eastAsia="Batang" w:cstheme="minorHAnsi"/>
                <w:b/>
                <w:bCs/>
                <w:lang w:val="es-ES"/>
              </w:rPr>
              <w:t>Convención sobre los</w:t>
            </w:r>
          </w:p>
          <w:p w14:paraId="03417BD4" w14:textId="47372418" w:rsidR="00246ACE" w:rsidRPr="0086671E" w:rsidRDefault="001D6F9E" w:rsidP="00E13597">
            <w:pPr>
              <w:keepNext/>
              <w:rPr>
                <w:rFonts w:eastAsia="Batang" w:cstheme="minorHAnsi"/>
                <w:b/>
                <w:bCs/>
                <w:lang w:val="es-ES"/>
              </w:rPr>
            </w:pPr>
            <w:r w:rsidRPr="0086671E">
              <w:rPr>
                <w:rFonts w:eastAsia="Batang" w:cstheme="minorHAnsi"/>
                <w:b/>
                <w:bCs/>
                <w:lang w:val="es-ES"/>
              </w:rPr>
              <w:t>H</w:t>
            </w:r>
            <w:r w:rsidR="00246ACE" w:rsidRPr="0086671E">
              <w:rPr>
                <w:rFonts w:eastAsia="Batang" w:cstheme="minorHAnsi"/>
                <w:b/>
                <w:bCs/>
                <w:lang w:val="es-ES"/>
              </w:rPr>
              <w:t>umedales – asignación del fondo de reserva básico</w:t>
            </w:r>
          </w:p>
          <w:p w14:paraId="4158270A" w14:textId="77777777" w:rsidR="00246ACE" w:rsidRPr="0086671E" w:rsidRDefault="00246ACE" w:rsidP="00E13597">
            <w:pPr>
              <w:keepNext/>
              <w:rPr>
                <w:rFonts w:eastAsia="Batang" w:cstheme="minorHAnsi"/>
                <w:b/>
                <w:bCs/>
                <w:lang w:val="es-ES"/>
              </w:rPr>
            </w:pPr>
          </w:p>
          <w:p w14:paraId="515AE28F" w14:textId="046A7412" w:rsidR="00246ACE" w:rsidRPr="0086671E" w:rsidRDefault="00246ACE" w:rsidP="00E13597">
            <w:pPr>
              <w:keepNext/>
              <w:rPr>
                <w:rFonts w:eastAsia="Batang" w:cstheme="minorHAnsi"/>
                <w:b/>
                <w:bCs/>
                <w:lang w:val="es-ES"/>
              </w:rPr>
            </w:pPr>
            <w:r w:rsidRPr="0086671E">
              <w:rPr>
                <w:rFonts w:eastAsia="Batang" w:cstheme="minorHAnsi"/>
                <w:b/>
                <w:bCs/>
                <w:lang w:val="es-ES"/>
              </w:rPr>
              <w:t xml:space="preserve">Contribuciones voluntarias o de otro tipo necesarias para la </w:t>
            </w:r>
            <w:r w:rsidR="003F2753" w:rsidRPr="003F2753">
              <w:rPr>
                <w:rFonts w:eastAsia="Batang" w:cstheme="minorHAnsi"/>
                <w:b/>
                <w:bCs/>
                <w:lang w:val="es-ES"/>
              </w:rPr>
              <w:t>publicación</w:t>
            </w:r>
            <w:r w:rsidR="00222E6A">
              <w:rPr>
                <w:rFonts w:eastAsia="Batang" w:cstheme="minorHAnsi"/>
                <w:b/>
                <w:bCs/>
                <w:lang w:val="es-ES"/>
              </w:rPr>
              <w:t xml:space="preserve"> total</w:t>
            </w:r>
            <w:r w:rsidRPr="0086671E">
              <w:rPr>
                <w:rFonts w:eastAsia="Batang" w:cstheme="minorHAnsi"/>
                <w:b/>
                <w:bCs/>
                <w:lang w:val="es-ES"/>
              </w:rPr>
              <w:t xml:space="preserve"> de WPE</w:t>
            </w:r>
            <w:r w:rsidR="001D6F9E" w:rsidRPr="0086671E">
              <w:rPr>
                <w:rFonts w:eastAsia="Batang" w:cstheme="minorHAnsi"/>
                <w:b/>
                <w:bCs/>
                <w:lang w:val="es-ES"/>
              </w:rPr>
              <w:t xml:space="preserve"> </w:t>
            </w:r>
            <w:r w:rsidRPr="0086671E">
              <w:rPr>
                <w:rFonts w:eastAsia="Batang" w:cstheme="minorHAnsi"/>
                <w:b/>
                <w:bCs/>
                <w:lang w:val="es-ES"/>
              </w:rPr>
              <w:t>2027</w:t>
            </w:r>
          </w:p>
        </w:tc>
        <w:tc>
          <w:tcPr>
            <w:tcW w:w="1842" w:type="dxa"/>
            <w:shd w:val="clear" w:color="auto" w:fill="EDEDED" w:themeFill="accent3" w:themeFillTint="33"/>
          </w:tcPr>
          <w:p w14:paraId="2C6A7849" w14:textId="3F45E14C" w:rsidR="001C7745" w:rsidRPr="0086671E" w:rsidRDefault="00246ACE" w:rsidP="00E13597">
            <w:pPr>
              <w:keepNext/>
              <w:rPr>
                <w:rFonts w:eastAsia="Batang" w:cstheme="minorHAnsi"/>
                <w:b/>
                <w:bCs/>
                <w:lang w:val="es-ES"/>
              </w:rPr>
            </w:pPr>
            <w:r w:rsidRPr="0086671E">
              <w:rPr>
                <w:rFonts w:eastAsia="Batang" w:cstheme="minorHAnsi"/>
                <w:b/>
                <w:bCs/>
                <w:lang w:val="es-ES"/>
              </w:rPr>
              <w:t>465 000</w:t>
            </w:r>
          </w:p>
          <w:p w14:paraId="2DE3F73F" w14:textId="77777777" w:rsidR="00246ACE" w:rsidRPr="0086671E" w:rsidRDefault="00246ACE" w:rsidP="00E13597">
            <w:pPr>
              <w:keepNext/>
              <w:rPr>
                <w:rFonts w:eastAsia="Batang" w:cstheme="minorHAnsi"/>
                <w:b/>
                <w:bCs/>
                <w:lang w:val="es-ES"/>
              </w:rPr>
            </w:pPr>
          </w:p>
          <w:p w14:paraId="5E311247" w14:textId="77777777" w:rsidR="00246ACE" w:rsidRPr="0086671E" w:rsidRDefault="00246ACE" w:rsidP="00E13597">
            <w:pPr>
              <w:keepNext/>
              <w:rPr>
                <w:rFonts w:eastAsia="Batang" w:cstheme="minorHAnsi"/>
                <w:b/>
                <w:bCs/>
                <w:lang w:val="es-ES"/>
              </w:rPr>
            </w:pPr>
          </w:p>
          <w:p w14:paraId="0DD2CF18" w14:textId="77777777" w:rsidR="00246ACE" w:rsidRPr="0086671E" w:rsidRDefault="00246ACE" w:rsidP="00E13597">
            <w:pPr>
              <w:keepNext/>
              <w:rPr>
                <w:rFonts w:eastAsia="Batang" w:cstheme="minorHAnsi"/>
                <w:b/>
                <w:bCs/>
                <w:lang w:val="es-ES"/>
              </w:rPr>
            </w:pPr>
          </w:p>
          <w:p w14:paraId="49B671CD" w14:textId="77777777" w:rsidR="00246ACE" w:rsidRPr="0086671E" w:rsidRDefault="00246ACE" w:rsidP="00E13597">
            <w:pPr>
              <w:keepNext/>
              <w:rPr>
                <w:rFonts w:eastAsia="Batang" w:cstheme="minorHAnsi"/>
                <w:b/>
                <w:bCs/>
                <w:lang w:val="es-ES"/>
              </w:rPr>
            </w:pPr>
          </w:p>
          <w:p w14:paraId="530808F0" w14:textId="77777777" w:rsidR="00246ACE" w:rsidRPr="0086671E" w:rsidRDefault="00246ACE" w:rsidP="00E13597">
            <w:pPr>
              <w:keepNext/>
              <w:rPr>
                <w:rFonts w:eastAsia="Batang" w:cstheme="minorHAnsi"/>
                <w:b/>
                <w:bCs/>
                <w:lang w:val="es-ES"/>
              </w:rPr>
            </w:pPr>
          </w:p>
          <w:p w14:paraId="55F9E5B1" w14:textId="77777777" w:rsidR="00246ACE" w:rsidRPr="0086671E" w:rsidRDefault="00246ACE" w:rsidP="00E13597">
            <w:pPr>
              <w:keepNext/>
              <w:rPr>
                <w:rFonts w:eastAsia="Batang" w:cstheme="minorHAnsi"/>
                <w:b/>
                <w:bCs/>
                <w:lang w:val="es-ES"/>
              </w:rPr>
            </w:pPr>
          </w:p>
          <w:p w14:paraId="26B25AF9" w14:textId="71AD243A" w:rsidR="00246ACE" w:rsidRPr="0086671E" w:rsidRDefault="00246ACE" w:rsidP="00E13597">
            <w:pPr>
              <w:keepNext/>
              <w:rPr>
                <w:rFonts w:eastAsia="Batang" w:cstheme="minorHAnsi"/>
                <w:b/>
                <w:bCs/>
                <w:lang w:val="es-ES"/>
              </w:rPr>
            </w:pPr>
            <w:r w:rsidRPr="0086671E">
              <w:rPr>
                <w:rFonts w:eastAsia="Batang" w:cstheme="minorHAnsi"/>
                <w:b/>
                <w:bCs/>
                <w:lang w:val="es-ES"/>
              </w:rPr>
              <w:t>0</w:t>
            </w:r>
          </w:p>
        </w:tc>
        <w:tc>
          <w:tcPr>
            <w:tcW w:w="2231" w:type="dxa"/>
            <w:shd w:val="clear" w:color="auto" w:fill="EDEDED" w:themeFill="accent3" w:themeFillTint="33"/>
          </w:tcPr>
          <w:p w14:paraId="1A8782F8" w14:textId="3A3B3083" w:rsidR="001C7745" w:rsidRPr="0086671E" w:rsidRDefault="00246ACE" w:rsidP="00E13597">
            <w:pPr>
              <w:keepNext/>
              <w:rPr>
                <w:rFonts w:eastAsia="Batang" w:cstheme="minorHAnsi"/>
                <w:b/>
                <w:bCs/>
                <w:lang w:val="es-ES"/>
              </w:rPr>
            </w:pPr>
            <w:r w:rsidRPr="0086671E">
              <w:rPr>
                <w:rFonts w:eastAsia="Batang" w:cstheme="minorHAnsi"/>
                <w:b/>
                <w:bCs/>
                <w:lang w:val="es-ES"/>
              </w:rPr>
              <w:t>350 000</w:t>
            </w:r>
          </w:p>
          <w:p w14:paraId="03904713" w14:textId="77777777" w:rsidR="00246ACE" w:rsidRPr="0086671E" w:rsidRDefault="00246ACE" w:rsidP="00E13597">
            <w:pPr>
              <w:keepNext/>
              <w:rPr>
                <w:rFonts w:eastAsia="Batang" w:cstheme="minorHAnsi"/>
                <w:b/>
                <w:bCs/>
                <w:lang w:val="es-ES"/>
              </w:rPr>
            </w:pPr>
          </w:p>
          <w:p w14:paraId="0A5B3D79" w14:textId="77777777" w:rsidR="00246ACE" w:rsidRPr="0086671E" w:rsidRDefault="00246ACE" w:rsidP="00E13597">
            <w:pPr>
              <w:keepNext/>
              <w:rPr>
                <w:rFonts w:eastAsia="Batang" w:cstheme="minorHAnsi"/>
                <w:b/>
                <w:bCs/>
                <w:lang w:val="es-ES"/>
              </w:rPr>
            </w:pPr>
          </w:p>
          <w:p w14:paraId="07CBEED2" w14:textId="77777777" w:rsidR="00246ACE" w:rsidRPr="0086671E" w:rsidRDefault="00246ACE" w:rsidP="00E13597">
            <w:pPr>
              <w:keepNext/>
              <w:rPr>
                <w:rFonts w:eastAsia="Batang" w:cstheme="minorHAnsi"/>
                <w:b/>
                <w:bCs/>
                <w:lang w:val="es-ES"/>
              </w:rPr>
            </w:pPr>
          </w:p>
          <w:p w14:paraId="4A0C7B1F" w14:textId="77777777" w:rsidR="00246ACE" w:rsidRPr="0086671E" w:rsidRDefault="00246ACE" w:rsidP="00E13597">
            <w:pPr>
              <w:keepNext/>
              <w:rPr>
                <w:rFonts w:eastAsia="Batang" w:cstheme="minorHAnsi"/>
                <w:b/>
                <w:bCs/>
                <w:lang w:val="es-ES"/>
              </w:rPr>
            </w:pPr>
          </w:p>
          <w:p w14:paraId="2B3FF1D5" w14:textId="77777777" w:rsidR="00246ACE" w:rsidRPr="0086671E" w:rsidRDefault="00246ACE" w:rsidP="00E13597">
            <w:pPr>
              <w:keepNext/>
              <w:rPr>
                <w:rFonts w:eastAsia="Batang" w:cstheme="minorHAnsi"/>
                <w:b/>
                <w:bCs/>
                <w:lang w:val="es-ES"/>
              </w:rPr>
            </w:pPr>
          </w:p>
          <w:p w14:paraId="14D28CE5" w14:textId="77777777" w:rsidR="00246ACE" w:rsidRPr="0086671E" w:rsidRDefault="00246ACE" w:rsidP="00E13597">
            <w:pPr>
              <w:keepNext/>
              <w:rPr>
                <w:rFonts w:eastAsia="Batang" w:cstheme="minorHAnsi"/>
                <w:b/>
                <w:bCs/>
                <w:lang w:val="es-ES"/>
              </w:rPr>
            </w:pPr>
          </w:p>
          <w:p w14:paraId="2358BFD3" w14:textId="0D0046D5" w:rsidR="00246ACE" w:rsidRPr="0086671E" w:rsidRDefault="00246ACE" w:rsidP="00E13597">
            <w:pPr>
              <w:keepNext/>
              <w:rPr>
                <w:rFonts w:eastAsia="Batang" w:cstheme="minorHAnsi"/>
                <w:b/>
                <w:bCs/>
                <w:lang w:val="es-ES"/>
              </w:rPr>
            </w:pPr>
            <w:r w:rsidRPr="0086671E">
              <w:rPr>
                <w:rFonts w:eastAsia="Batang" w:cstheme="minorHAnsi"/>
                <w:b/>
                <w:bCs/>
                <w:lang w:val="es-ES"/>
              </w:rPr>
              <w:t>115 000</w:t>
            </w:r>
          </w:p>
        </w:tc>
        <w:tc>
          <w:tcPr>
            <w:tcW w:w="2254" w:type="dxa"/>
            <w:shd w:val="clear" w:color="auto" w:fill="EDEDED" w:themeFill="accent3" w:themeFillTint="33"/>
          </w:tcPr>
          <w:p w14:paraId="3D65979A" w14:textId="69A8FB19" w:rsidR="001C7745" w:rsidRPr="0086671E" w:rsidRDefault="00246ACE" w:rsidP="00E13597">
            <w:pPr>
              <w:keepNext/>
              <w:rPr>
                <w:rFonts w:eastAsia="Batang" w:cstheme="minorHAnsi"/>
                <w:b/>
                <w:bCs/>
                <w:lang w:val="es-ES"/>
              </w:rPr>
            </w:pPr>
            <w:r w:rsidRPr="0086671E">
              <w:rPr>
                <w:rFonts w:eastAsia="Batang" w:cstheme="minorHAnsi"/>
                <w:b/>
                <w:bCs/>
                <w:lang w:val="es-ES"/>
              </w:rPr>
              <w:t>233 000</w:t>
            </w:r>
          </w:p>
          <w:p w14:paraId="6849BAC7" w14:textId="77777777" w:rsidR="00246ACE" w:rsidRPr="0086671E" w:rsidRDefault="00246ACE" w:rsidP="00E13597">
            <w:pPr>
              <w:keepNext/>
              <w:rPr>
                <w:rFonts w:eastAsia="Batang" w:cstheme="minorHAnsi"/>
                <w:b/>
                <w:bCs/>
                <w:lang w:val="es-ES"/>
              </w:rPr>
            </w:pPr>
          </w:p>
          <w:p w14:paraId="6618A6F8" w14:textId="77777777" w:rsidR="00246ACE" w:rsidRPr="0086671E" w:rsidRDefault="00246ACE" w:rsidP="00E13597">
            <w:pPr>
              <w:keepNext/>
              <w:rPr>
                <w:rFonts w:eastAsia="Batang" w:cstheme="minorHAnsi"/>
                <w:b/>
                <w:bCs/>
                <w:lang w:val="es-ES"/>
              </w:rPr>
            </w:pPr>
          </w:p>
          <w:p w14:paraId="2167F076" w14:textId="77777777" w:rsidR="00246ACE" w:rsidRPr="0086671E" w:rsidRDefault="00246ACE" w:rsidP="00E13597">
            <w:pPr>
              <w:keepNext/>
              <w:rPr>
                <w:rFonts w:eastAsia="Batang" w:cstheme="minorHAnsi"/>
                <w:b/>
                <w:bCs/>
                <w:lang w:val="es-ES"/>
              </w:rPr>
            </w:pPr>
          </w:p>
          <w:p w14:paraId="7FABBDEE" w14:textId="77777777" w:rsidR="00246ACE" w:rsidRPr="0086671E" w:rsidRDefault="00246ACE" w:rsidP="00E13597">
            <w:pPr>
              <w:keepNext/>
              <w:rPr>
                <w:rFonts w:eastAsia="Batang" w:cstheme="minorHAnsi"/>
                <w:b/>
                <w:bCs/>
                <w:lang w:val="es-ES"/>
              </w:rPr>
            </w:pPr>
          </w:p>
          <w:p w14:paraId="3E260CE3" w14:textId="77777777" w:rsidR="00246ACE" w:rsidRPr="0086671E" w:rsidRDefault="00246ACE" w:rsidP="00E13597">
            <w:pPr>
              <w:keepNext/>
              <w:rPr>
                <w:rFonts w:eastAsia="Batang" w:cstheme="minorHAnsi"/>
                <w:b/>
                <w:bCs/>
                <w:lang w:val="es-ES"/>
              </w:rPr>
            </w:pPr>
          </w:p>
          <w:p w14:paraId="474D0E51" w14:textId="77777777" w:rsidR="00246ACE" w:rsidRPr="0086671E" w:rsidRDefault="00246ACE" w:rsidP="00E13597">
            <w:pPr>
              <w:keepNext/>
              <w:rPr>
                <w:rFonts w:eastAsia="Batang" w:cstheme="minorHAnsi"/>
                <w:b/>
                <w:bCs/>
                <w:lang w:val="es-ES"/>
              </w:rPr>
            </w:pPr>
          </w:p>
          <w:p w14:paraId="1EC3D26D" w14:textId="742C25C7" w:rsidR="00246ACE" w:rsidRPr="0086671E" w:rsidRDefault="00246ACE" w:rsidP="00E13597">
            <w:pPr>
              <w:keepNext/>
              <w:rPr>
                <w:rFonts w:eastAsia="Batang" w:cstheme="minorHAnsi"/>
                <w:b/>
                <w:bCs/>
                <w:lang w:val="es-ES"/>
              </w:rPr>
            </w:pPr>
            <w:r w:rsidRPr="0086671E">
              <w:rPr>
                <w:rFonts w:eastAsia="Batang" w:cstheme="minorHAnsi"/>
                <w:b/>
                <w:bCs/>
                <w:lang w:val="es-ES"/>
              </w:rPr>
              <w:t>232 000</w:t>
            </w:r>
          </w:p>
        </w:tc>
      </w:tr>
    </w:tbl>
    <w:p w14:paraId="1B44BEA9" w14:textId="3F14C3D1" w:rsidR="001C7745" w:rsidRPr="0086671E" w:rsidRDefault="001C7745" w:rsidP="00E13597">
      <w:pPr>
        <w:keepNext/>
        <w:spacing w:after="0" w:line="240" w:lineRule="auto"/>
        <w:rPr>
          <w:rFonts w:eastAsia="Batang" w:cstheme="minorHAnsi"/>
          <w:i/>
          <w:iCs/>
          <w:lang w:val="es-ES"/>
        </w:rPr>
      </w:pPr>
    </w:p>
    <w:p w14:paraId="3798D0FA" w14:textId="09255714" w:rsidR="00E13597" w:rsidRPr="0086671E" w:rsidRDefault="00E13597" w:rsidP="00246AB9">
      <w:pPr>
        <w:pStyle w:val="MGfulltext"/>
        <w:ind w:left="426" w:hanging="426"/>
        <w:rPr>
          <w:rFonts w:asciiTheme="minorHAnsi" w:eastAsia="Batang" w:hAnsiTheme="minorHAnsi" w:cstheme="minorHAnsi"/>
          <w:sz w:val="22"/>
          <w:szCs w:val="22"/>
          <w:lang w:val="es-ES"/>
        </w:rPr>
      </w:pPr>
    </w:p>
    <w:p w14:paraId="62EF7C84" w14:textId="77777777" w:rsidR="00531EBB" w:rsidRPr="0086671E" w:rsidRDefault="00531EBB" w:rsidP="00531EBB">
      <w:pPr>
        <w:pStyle w:val="MGfulltext"/>
        <w:spacing w:after="0"/>
        <w:ind w:left="426" w:hanging="426"/>
        <w:rPr>
          <w:rFonts w:asciiTheme="minorHAnsi" w:eastAsia="Batang" w:hAnsiTheme="minorHAnsi" w:cstheme="minorHAnsi"/>
          <w:sz w:val="22"/>
          <w:szCs w:val="22"/>
          <w:lang w:val="es-ES"/>
        </w:rPr>
      </w:pPr>
    </w:p>
    <w:p w14:paraId="530C420A" w14:textId="7933AD8C" w:rsidR="00531EBB" w:rsidRPr="0086671E" w:rsidRDefault="00531EBB" w:rsidP="00531EBB">
      <w:pPr>
        <w:spacing w:after="0" w:line="240" w:lineRule="auto"/>
        <w:ind w:left="426" w:hanging="426"/>
        <w:rPr>
          <w:b/>
          <w:lang w:val="es-ES"/>
        </w:rPr>
      </w:pPr>
      <w:r w:rsidRPr="0086671E">
        <w:rPr>
          <w:b/>
          <w:lang w:val="es-ES"/>
        </w:rPr>
        <w:t xml:space="preserve">6) </w:t>
      </w:r>
      <w:r w:rsidRPr="0086671E">
        <w:rPr>
          <w:b/>
          <w:lang w:val="es-ES"/>
        </w:rPr>
        <w:tab/>
      </w:r>
      <w:r w:rsidR="00246ACE" w:rsidRPr="0086671E">
        <w:rPr>
          <w:b/>
          <w:lang w:val="es-ES"/>
        </w:rPr>
        <w:t>Otras cuestiones</w:t>
      </w:r>
    </w:p>
    <w:p w14:paraId="61585349" w14:textId="0619D040" w:rsidR="00531EBB" w:rsidRPr="0086671E" w:rsidRDefault="00531EBB" w:rsidP="00531EBB">
      <w:pPr>
        <w:spacing w:after="0" w:line="240" w:lineRule="auto"/>
        <w:ind w:left="426" w:hanging="426"/>
        <w:rPr>
          <w:bCs/>
          <w:lang w:val="es-ES"/>
        </w:rPr>
      </w:pPr>
    </w:p>
    <w:p w14:paraId="0B722710" w14:textId="015BCB69" w:rsidR="00531EBB" w:rsidRPr="0086671E" w:rsidRDefault="00246ACE" w:rsidP="0067160D">
      <w:pPr>
        <w:spacing w:after="0" w:line="240" w:lineRule="auto"/>
        <w:contextualSpacing/>
        <w:rPr>
          <w:rFonts w:cs="Calibri"/>
          <w:iCs/>
          <w:color w:val="000000" w:themeColor="text1"/>
          <w:lang w:val="es-ES"/>
        </w:rPr>
      </w:pPr>
      <w:r w:rsidRPr="0086671E">
        <w:rPr>
          <w:rFonts w:cs="Calibri"/>
          <w:iCs/>
          <w:color w:val="000000" w:themeColor="text1"/>
          <w:lang w:val="es-ES"/>
        </w:rPr>
        <w:t xml:space="preserve">Una Parte indicó que compartiría con la Presidencia del Subgrupo las enmiendas propuestas al texto del proyecto de resolución </w:t>
      </w:r>
      <w:r w:rsidR="001D6F9E" w:rsidRPr="0086671E">
        <w:rPr>
          <w:rFonts w:cs="Calibri"/>
          <w:iCs/>
          <w:color w:val="000000" w:themeColor="text1"/>
          <w:lang w:val="es-ES"/>
        </w:rPr>
        <w:t xml:space="preserve">contenido en </w:t>
      </w:r>
      <w:r w:rsidRPr="0086671E">
        <w:rPr>
          <w:rFonts w:cs="Calibri"/>
          <w:iCs/>
          <w:color w:val="000000" w:themeColor="text1"/>
          <w:lang w:val="es-ES"/>
        </w:rPr>
        <w:t>el documento SC64 Doc.9.3 Rev.1.</w:t>
      </w:r>
      <w:r w:rsidRPr="0086671E">
        <w:rPr>
          <w:rFonts w:cs="Calibri"/>
          <w:iCs/>
          <w:color w:val="000000" w:themeColor="text1"/>
          <w:vertAlign w:val="superscript"/>
          <w:lang w:val="es-ES"/>
        </w:rPr>
        <w:footnoteReference w:id="4"/>
      </w:r>
      <w:r w:rsidRPr="0086671E">
        <w:rPr>
          <w:rFonts w:cs="Calibri"/>
          <w:iCs/>
          <w:color w:val="000000" w:themeColor="text1"/>
          <w:lang w:val="es-ES"/>
        </w:rPr>
        <w:t xml:space="preserve"> </w:t>
      </w:r>
    </w:p>
    <w:p w14:paraId="539576C5" w14:textId="02F65389" w:rsidR="0067160D" w:rsidRPr="0086671E" w:rsidRDefault="0067160D" w:rsidP="0067160D">
      <w:pPr>
        <w:spacing w:after="0" w:line="240" w:lineRule="auto"/>
        <w:contextualSpacing/>
        <w:rPr>
          <w:rFonts w:cs="Calibri"/>
          <w:iCs/>
          <w:color w:val="000000" w:themeColor="text1"/>
          <w:lang w:val="es-ES"/>
        </w:rPr>
      </w:pPr>
    </w:p>
    <w:p w14:paraId="495CCA8F" w14:textId="3C8CAC27" w:rsidR="0067160D" w:rsidRPr="0086671E" w:rsidRDefault="00246ACE" w:rsidP="0067160D">
      <w:pPr>
        <w:spacing w:after="0" w:line="240" w:lineRule="auto"/>
        <w:contextualSpacing/>
        <w:rPr>
          <w:rFonts w:cs="Calibri"/>
          <w:iCs/>
          <w:color w:val="000000" w:themeColor="text1"/>
          <w:lang w:val="es-ES"/>
        </w:rPr>
      </w:pPr>
      <w:r w:rsidRPr="0086671E">
        <w:rPr>
          <w:rFonts w:cs="Calibri"/>
          <w:iCs/>
          <w:color w:val="000000" w:themeColor="text1"/>
          <w:lang w:val="es-ES"/>
        </w:rPr>
        <w:t xml:space="preserve">El Subgrupo acordó reunirse de nuevo el miércoles 22 de enero a las 13.15 horas. </w:t>
      </w:r>
    </w:p>
    <w:p w14:paraId="3744CC96" w14:textId="6CD79145" w:rsidR="00246AB9" w:rsidRPr="0086671E" w:rsidRDefault="00246AB9" w:rsidP="00246AB9">
      <w:pPr>
        <w:pStyle w:val="MGfulltext"/>
        <w:spacing w:after="0"/>
        <w:ind w:left="426" w:hanging="426"/>
        <w:rPr>
          <w:rFonts w:cs="Calibri"/>
          <w:iCs/>
          <w:color w:val="000000" w:themeColor="text1"/>
          <w:lang w:val="es-ES"/>
        </w:rPr>
      </w:pPr>
    </w:p>
    <w:p w14:paraId="026503EB" w14:textId="6536A47D" w:rsidR="00CD1C73" w:rsidRPr="0086671E" w:rsidRDefault="00CD1C73">
      <w:pPr>
        <w:rPr>
          <w:iCs/>
          <w:lang w:val="es-ES"/>
        </w:rPr>
      </w:pPr>
    </w:p>
    <w:p w14:paraId="49A72A15" w14:textId="77777777" w:rsidR="006E3C3E" w:rsidRPr="0086671E" w:rsidRDefault="006E3C3E">
      <w:pPr>
        <w:rPr>
          <w:rFonts w:cs="Arial"/>
          <w:b/>
          <w:sz w:val="24"/>
          <w:szCs w:val="24"/>
          <w:lang w:val="es-ES"/>
        </w:rPr>
      </w:pPr>
      <w:r w:rsidRPr="0086671E">
        <w:rPr>
          <w:rFonts w:cs="Arial"/>
          <w:b/>
          <w:sz w:val="24"/>
          <w:szCs w:val="24"/>
          <w:lang w:val="es-ES"/>
        </w:rPr>
        <w:br w:type="page"/>
      </w:r>
    </w:p>
    <w:p w14:paraId="1928E0C8" w14:textId="341705BE" w:rsidR="00CD1C73" w:rsidRPr="0086671E" w:rsidRDefault="001D6F9E" w:rsidP="00CD1C73">
      <w:pPr>
        <w:pStyle w:val="ListParagraph"/>
        <w:spacing w:after="0" w:line="240" w:lineRule="auto"/>
        <w:ind w:left="0"/>
        <w:contextualSpacing w:val="0"/>
        <w:rPr>
          <w:rFonts w:cs="Arial"/>
          <w:b/>
          <w:sz w:val="24"/>
          <w:szCs w:val="24"/>
          <w:lang w:val="es-ES"/>
        </w:rPr>
      </w:pPr>
      <w:r w:rsidRPr="0086671E">
        <w:rPr>
          <w:rFonts w:cs="Arial"/>
          <w:b/>
          <w:sz w:val="24"/>
          <w:szCs w:val="24"/>
          <w:lang w:val="es-ES"/>
        </w:rPr>
        <w:lastRenderedPageBreak/>
        <w:t>Anexo</w:t>
      </w:r>
      <w:r w:rsidR="00CD1C73" w:rsidRPr="0086671E">
        <w:rPr>
          <w:rFonts w:cs="Arial"/>
          <w:b/>
          <w:sz w:val="24"/>
          <w:szCs w:val="24"/>
          <w:lang w:val="es-ES"/>
        </w:rPr>
        <w:t xml:space="preserve"> 1</w:t>
      </w:r>
    </w:p>
    <w:p w14:paraId="604CC698" w14:textId="0D1EED02" w:rsidR="00CD1C73" w:rsidRPr="0086671E" w:rsidRDefault="001D6F9E" w:rsidP="00CD1C73">
      <w:pPr>
        <w:pStyle w:val="ListParagraph"/>
        <w:spacing w:after="0" w:line="240" w:lineRule="auto"/>
        <w:ind w:left="0"/>
        <w:contextualSpacing w:val="0"/>
        <w:rPr>
          <w:rFonts w:cs="Arial"/>
          <w:b/>
          <w:sz w:val="24"/>
          <w:szCs w:val="24"/>
          <w:lang w:val="es-ES"/>
        </w:rPr>
      </w:pPr>
      <w:r w:rsidRPr="0086671E">
        <w:rPr>
          <w:rFonts w:cs="Arial"/>
          <w:b/>
          <w:sz w:val="24"/>
          <w:szCs w:val="24"/>
          <w:lang w:val="es-ES"/>
        </w:rPr>
        <w:t>Escenario</w:t>
      </w:r>
      <w:r w:rsidR="00CD1C73" w:rsidRPr="0086671E">
        <w:rPr>
          <w:rFonts w:cs="Arial"/>
          <w:b/>
          <w:sz w:val="24"/>
          <w:szCs w:val="24"/>
          <w:lang w:val="es-ES"/>
        </w:rPr>
        <w:t xml:space="preserve"> C, </w:t>
      </w:r>
      <w:r w:rsidRPr="0086671E">
        <w:rPr>
          <w:rFonts w:cs="Arial"/>
          <w:b/>
          <w:sz w:val="24"/>
          <w:szCs w:val="24"/>
          <w:lang w:val="es-ES"/>
        </w:rPr>
        <w:t xml:space="preserve">incremento del </w:t>
      </w:r>
      <w:r w:rsidR="00CD1C73" w:rsidRPr="0086671E">
        <w:rPr>
          <w:rFonts w:cs="Arial"/>
          <w:b/>
          <w:sz w:val="24"/>
          <w:szCs w:val="24"/>
          <w:lang w:val="es-ES"/>
        </w:rPr>
        <w:t>0</w:t>
      </w:r>
      <w:r w:rsidRPr="0086671E">
        <w:rPr>
          <w:rFonts w:cs="Arial"/>
          <w:b/>
          <w:sz w:val="24"/>
          <w:szCs w:val="24"/>
          <w:lang w:val="es-ES"/>
        </w:rPr>
        <w:t xml:space="preserve"> </w:t>
      </w:r>
      <w:r w:rsidR="00CD1C73" w:rsidRPr="0086671E">
        <w:rPr>
          <w:rFonts w:cs="Arial"/>
          <w:b/>
          <w:sz w:val="24"/>
          <w:szCs w:val="24"/>
          <w:lang w:val="es-ES"/>
        </w:rPr>
        <w:t xml:space="preserve">% </w:t>
      </w:r>
      <w:r w:rsidRPr="0086671E">
        <w:rPr>
          <w:rFonts w:cs="Arial"/>
          <w:b/>
          <w:sz w:val="24"/>
          <w:szCs w:val="24"/>
          <w:lang w:val="es-ES"/>
        </w:rPr>
        <w:t xml:space="preserve">en comparación con el trienio </w:t>
      </w:r>
      <w:r w:rsidR="00CD1C73" w:rsidRPr="0086671E">
        <w:rPr>
          <w:rFonts w:cs="Arial"/>
          <w:b/>
          <w:sz w:val="24"/>
          <w:szCs w:val="24"/>
          <w:lang w:val="es-ES"/>
        </w:rPr>
        <w:t xml:space="preserve">2023-2025 </w:t>
      </w:r>
    </w:p>
    <w:p w14:paraId="35ED3056" w14:textId="77777777" w:rsidR="00CD1C73" w:rsidRPr="0086671E" w:rsidRDefault="00CD1C73" w:rsidP="00CD1C73">
      <w:pPr>
        <w:pStyle w:val="ListParagraph"/>
        <w:spacing w:after="0" w:line="240" w:lineRule="auto"/>
        <w:ind w:left="0"/>
        <w:contextualSpacing w:val="0"/>
        <w:rPr>
          <w:rFonts w:cs="Arial"/>
          <w:b/>
          <w:sz w:val="24"/>
          <w:szCs w:val="24"/>
          <w:lang w:val="es-ES"/>
        </w:rPr>
      </w:pPr>
    </w:p>
    <w:tbl>
      <w:tblPr>
        <w:tblW w:w="9782" w:type="dxa"/>
        <w:tblInd w:w="-289" w:type="dxa"/>
        <w:tblLayout w:type="fixed"/>
        <w:tblLook w:val="04A0" w:firstRow="1" w:lastRow="0" w:firstColumn="1" w:lastColumn="0" w:noHBand="0" w:noVBand="1"/>
      </w:tblPr>
      <w:tblGrid>
        <w:gridCol w:w="4820"/>
        <w:gridCol w:w="850"/>
        <w:gridCol w:w="851"/>
        <w:gridCol w:w="850"/>
        <w:gridCol w:w="1135"/>
        <w:gridCol w:w="1276"/>
      </w:tblGrid>
      <w:tr w:rsidR="00CD1C73" w:rsidRPr="0086671E" w14:paraId="498BCBB5" w14:textId="77777777" w:rsidTr="00CD1C73">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4A722989" w14:textId="546448BA" w:rsidR="00CD1C73" w:rsidRPr="00222E6A" w:rsidRDefault="001D6F9E" w:rsidP="00CD1C73">
            <w:pPr>
              <w:spacing w:after="0" w:line="240" w:lineRule="auto"/>
              <w:rPr>
                <w:rFonts w:eastAsia="Times New Roman" w:cstheme="minorHAnsi"/>
                <w:b/>
                <w:bCs/>
                <w:color w:val="1F497D"/>
                <w:sz w:val="24"/>
                <w:szCs w:val="24"/>
                <w:lang w:val="es-ES" w:eastAsia="en-GB"/>
              </w:rPr>
            </w:pPr>
            <w:r w:rsidRPr="00222E6A">
              <w:rPr>
                <w:rFonts w:eastAsia="Times New Roman" w:cstheme="minorHAnsi"/>
                <w:b/>
                <w:bCs/>
                <w:color w:val="1F497D"/>
                <w:sz w:val="20"/>
                <w:szCs w:val="20"/>
                <w:lang w:val="es-ES" w:eastAsia="en-GB"/>
              </w:rPr>
              <w:t xml:space="preserve">Aumento del </w:t>
            </w:r>
            <w:r w:rsidR="00CD1C73" w:rsidRPr="00222E6A">
              <w:rPr>
                <w:rFonts w:eastAsia="Times New Roman" w:cstheme="minorHAnsi"/>
                <w:b/>
                <w:bCs/>
                <w:color w:val="1F497D"/>
                <w:sz w:val="20"/>
                <w:szCs w:val="20"/>
                <w:lang w:val="es-ES" w:eastAsia="en-GB"/>
              </w:rPr>
              <w:t>0</w:t>
            </w:r>
            <w:r w:rsidRPr="00222E6A">
              <w:rPr>
                <w:rFonts w:eastAsia="Times New Roman" w:cstheme="minorHAnsi"/>
                <w:b/>
                <w:bCs/>
                <w:color w:val="1F497D"/>
                <w:sz w:val="20"/>
                <w:szCs w:val="20"/>
                <w:lang w:val="es-ES" w:eastAsia="en-GB"/>
              </w:rPr>
              <w:t xml:space="preserve"> </w:t>
            </w:r>
            <w:r w:rsidR="00CD1C73" w:rsidRPr="00222E6A">
              <w:rPr>
                <w:rFonts w:eastAsia="Times New Roman" w:cstheme="minorHAnsi"/>
                <w:b/>
                <w:bCs/>
                <w:color w:val="1F497D"/>
                <w:sz w:val="20"/>
                <w:szCs w:val="20"/>
                <w:lang w:val="es-ES" w:eastAsia="en-GB"/>
              </w:rPr>
              <w:t>%</w:t>
            </w:r>
            <w:r w:rsidRPr="00222E6A">
              <w:rPr>
                <w:rFonts w:eastAsia="Times New Roman" w:cstheme="minorHAnsi"/>
                <w:b/>
                <w:bCs/>
                <w:color w:val="1F497D"/>
                <w:sz w:val="20"/>
                <w:szCs w:val="20"/>
                <w:lang w:val="es-ES" w:eastAsia="en-GB"/>
              </w:rPr>
              <w:t>,</w:t>
            </w:r>
            <w:r w:rsidR="00CD1C73" w:rsidRPr="00222E6A">
              <w:rPr>
                <w:rFonts w:eastAsia="Times New Roman" w:cstheme="minorHAnsi"/>
                <w:b/>
                <w:bCs/>
                <w:color w:val="1F497D"/>
                <w:sz w:val="20"/>
                <w:szCs w:val="20"/>
                <w:lang w:val="es-ES" w:eastAsia="en-GB"/>
              </w:rPr>
              <w:t xml:space="preserve"> </w:t>
            </w:r>
            <w:r w:rsidRPr="00222E6A">
              <w:rPr>
                <w:b/>
                <w:color w:val="1F497D"/>
                <w:sz w:val="20"/>
                <w:lang w:val="es-ES"/>
              </w:rPr>
              <w:t>Presupuesto propuesto para la Convención sobre los Humedales para 2026</w:t>
            </w:r>
            <w:r w:rsidRPr="00222E6A">
              <w:rPr>
                <w:b/>
                <w:color w:val="1F497D"/>
                <w:sz w:val="20"/>
                <w:lang w:val="es-ES"/>
              </w:rPr>
              <w:noBreakHyphen/>
              <w:t>2028 (</w:t>
            </w:r>
            <w:r w:rsidR="00222E6A" w:rsidRPr="00222E6A">
              <w:rPr>
                <w:b/>
                <w:color w:val="1F497D"/>
                <w:sz w:val="20"/>
                <w:lang w:val="es-ES"/>
              </w:rPr>
              <w:t>e</w:t>
            </w:r>
            <w:r w:rsidRPr="00222E6A">
              <w:rPr>
                <w:b/>
                <w:color w:val="1F497D"/>
                <w:sz w:val="20"/>
                <w:lang w:val="es-ES"/>
              </w:rPr>
              <w:t>n miles de francos suizos)</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18B05333" w14:textId="20D542C9" w:rsidR="00CD1C73" w:rsidRPr="00222E6A" w:rsidRDefault="00E50D18" w:rsidP="00E50D18">
            <w:pPr>
              <w:spacing w:after="0" w:line="240" w:lineRule="auto"/>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Presu-puesto</w:t>
            </w:r>
            <w:r w:rsidR="00CD1C73" w:rsidRPr="00222E6A">
              <w:rPr>
                <w:rFonts w:eastAsia="Times New Roman" w:cstheme="minorHAnsi"/>
                <w:b/>
                <w:bCs/>
                <w:color w:val="1F497D"/>
                <w:sz w:val="20"/>
                <w:szCs w:val="20"/>
                <w:lang w:val="es-ES" w:eastAsia="en-GB"/>
              </w:rPr>
              <w:t xml:space="preserve"> 2026</w:t>
            </w:r>
          </w:p>
        </w:tc>
        <w:tc>
          <w:tcPr>
            <w:tcW w:w="851" w:type="dxa"/>
            <w:tcBorders>
              <w:top w:val="single" w:sz="4" w:space="0" w:color="auto"/>
              <w:left w:val="nil"/>
              <w:bottom w:val="single" w:sz="4" w:space="0" w:color="auto"/>
              <w:right w:val="single" w:sz="4" w:space="0" w:color="auto"/>
            </w:tcBorders>
            <w:shd w:val="clear" w:color="000000" w:fill="EBF1DE"/>
            <w:vAlign w:val="center"/>
          </w:tcPr>
          <w:p w14:paraId="3F748A9E" w14:textId="306FD51D" w:rsidR="00CD1C73" w:rsidRPr="00222E6A" w:rsidRDefault="00E50D18" w:rsidP="00CD1C73">
            <w:pPr>
              <w:spacing w:after="0" w:line="240" w:lineRule="auto"/>
              <w:jc w:val="center"/>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Presu-puesto</w:t>
            </w:r>
            <w:r w:rsidR="00CD1C73" w:rsidRPr="00222E6A">
              <w:rPr>
                <w:rFonts w:eastAsia="Times New Roman" w:cstheme="minorHAnsi"/>
                <w:b/>
                <w:bCs/>
                <w:color w:val="1F497D"/>
                <w:sz w:val="20"/>
                <w:szCs w:val="20"/>
                <w:lang w:val="es-ES" w:eastAsia="en-GB"/>
              </w:rPr>
              <w:t xml:space="preserve"> 2027</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74F6A6FD" w14:textId="4D4F86F0" w:rsidR="00CD1C73" w:rsidRPr="00222E6A" w:rsidRDefault="00E50D18" w:rsidP="00CD1C73">
            <w:pPr>
              <w:spacing w:after="0" w:line="240" w:lineRule="auto"/>
              <w:jc w:val="center"/>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Presu-puesto</w:t>
            </w:r>
            <w:r w:rsidR="00CD1C73" w:rsidRPr="00222E6A">
              <w:rPr>
                <w:rFonts w:eastAsia="Times New Roman" w:cstheme="minorHAnsi"/>
                <w:b/>
                <w:bCs/>
                <w:color w:val="1F497D"/>
                <w:sz w:val="20"/>
                <w:szCs w:val="20"/>
                <w:lang w:val="es-ES" w:eastAsia="en-GB"/>
              </w:rPr>
              <w:t xml:space="preserve"> 2028</w:t>
            </w:r>
          </w:p>
        </w:tc>
        <w:tc>
          <w:tcPr>
            <w:tcW w:w="1135" w:type="dxa"/>
            <w:tcBorders>
              <w:top w:val="single" w:sz="4" w:space="0" w:color="auto"/>
              <w:left w:val="nil"/>
              <w:bottom w:val="single" w:sz="4" w:space="0" w:color="auto"/>
              <w:right w:val="single" w:sz="4" w:space="0" w:color="auto"/>
            </w:tcBorders>
            <w:shd w:val="clear" w:color="000000" w:fill="EBF1DE"/>
            <w:vAlign w:val="center"/>
          </w:tcPr>
          <w:p w14:paraId="35711EB6" w14:textId="7EF87103" w:rsidR="00CD1C73" w:rsidRPr="00222E6A" w:rsidRDefault="00CD1C73" w:rsidP="00CD1C73">
            <w:pPr>
              <w:spacing w:after="0" w:line="240" w:lineRule="auto"/>
              <w:jc w:val="center"/>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 xml:space="preserve">Total </w:t>
            </w:r>
            <w:r w:rsidR="00E50D18" w:rsidRPr="00222E6A">
              <w:rPr>
                <w:rFonts w:eastAsia="Times New Roman" w:cstheme="minorHAnsi"/>
                <w:b/>
                <w:bCs/>
                <w:color w:val="1F497D"/>
                <w:sz w:val="20"/>
                <w:szCs w:val="20"/>
                <w:lang w:val="es-ES" w:eastAsia="en-GB"/>
              </w:rPr>
              <w:t>presu-puesto</w:t>
            </w:r>
            <w:r w:rsidRPr="00222E6A">
              <w:rPr>
                <w:rFonts w:eastAsia="Times New Roman" w:cstheme="minorHAnsi"/>
                <w:b/>
                <w:bCs/>
                <w:color w:val="1F497D"/>
                <w:sz w:val="20"/>
                <w:szCs w:val="20"/>
                <w:lang w:val="es-ES" w:eastAsia="en-GB"/>
              </w:rPr>
              <w:t xml:space="preserve"> 2026-2028</w:t>
            </w:r>
          </w:p>
        </w:tc>
        <w:tc>
          <w:tcPr>
            <w:tcW w:w="1276" w:type="dxa"/>
            <w:tcBorders>
              <w:top w:val="single" w:sz="4" w:space="0" w:color="auto"/>
              <w:left w:val="nil"/>
              <w:bottom w:val="single" w:sz="4" w:space="0" w:color="auto"/>
              <w:right w:val="single" w:sz="4" w:space="0" w:color="auto"/>
            </w:tcBorders>
            <w:shd w:val="clear" w:color="000000" w:fill="EBF1DE"/>
          </w:tcPr>
          <w:p w14:paraId="4FB40E0C" w14:textId="1EEE5054" w:rsidR="00CD1C73" w:rsidRPr="0086671E" w:rsidRDefault="00E50D18" w:rsidP="00CD1C73">
            <w:pPr>
              <w:spacing w:after="0" w:line="240" w:lineRule="auto"/>
              <w:jc w:val="center"/>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Cambios respecto del presupuesto</w:t>
            </w:r>
            <w:r w:rsidR="00CD1C73" w:rsidRPr="00222E6A">
              <w:rPr>
                <w:rFonts w:eastAsia="Times New Roman" w:cstheme="minorHAnsi"/>
                <w:b/>
                <w:bCs/>
                <w:color w:val="1F497D"/>
                <w:sz w:val="20"/>
                <w:szCs w:val="20"/>
                <w:lang w:val="es-ES" w:eastAsia="en-GB"/>
              </w:rPr>
              <w:t xml:space="preserve"> 2023-2025</w:t>
            </w:r>
          </w:p>
        </w:tc>
      </w:tr>
      <w:tr w:rsidR="00CD1C73" w:rsidRPr="00222E6A" w14:paraId="77A72DAB" w14:textId="77777777" w:rsidTr="00CD1C73">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2C76F" w14:textId="7F289AA3" w:rsidR="00CD1C73" w:rsidRPr="00222E6A" w:rsidRDefault="00CD1C73" w:rsidP="00CD1C73">
            <w:pPr>
              <w:spacing w:after="0" w:line="240" w:lineRule="auto"/>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IN</w:t>
            </w:r>
            <w:r w:rsidR="00E50D18" w:rsidRPr="00222E6A">
              <w:rPr>
                <w:rFonts w:eastAsia="Times New Roman" w:cstheme="minorHAnsi"/>
                <w:b/>
                <w:bCs/>
                <w:color w:val="1F497D"/>
                <w:sz w:val="20"/>
                <w:szCs w:val="20"/>
                <w:lang w:val="es-ES" w:eastAsia="en-GB"/>
              </w:rPr>
              <w:t>GRESOS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799749"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AD9A92"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0F9EB8"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 </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48BDD9"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 </w:t>
            </w:r>
          </w:p>
        </w:tc>
        <w:tc>
          <w:tcPr>
            <w:tcW w:w="1276" w:type="dxa"/>
            <w:tcBorders>
              <w:top w:val="single" w:sz="4" w:space="0" w:color="auto"/>
              <w:left w:val="nil"/>
              <w:bottom w:val="single" w:sz="4" w:space="0" w:color="auto"/>
              <w:right w:val="single" w:sz="4" w:space="0" w:color="auto"/>
            </w:tcBorders>
          </w:tcPr>
          <w:p w14:paraId="53A83933" w14:textId="77777777" w:rsidR="00CD1C73" w:rsidRPr="00222E6A" w:rsidRDefault="00CD1C73" w:rsidP="00CD1C73">
            <w:pPr>
              <w:spacing w:after="0" w:line="240" w:lineRule="auto"/>
              <w:jc w:val="right"/>
              <w:rPr>
                <w:rFonts w:eastAsia="Times New Roman" w:cstheme="minorHAnsi"/>
                <w:sz w:val="20"/>
                <w:szCs w:val="20"/>
                <w:lang w:val="es-ES" w:eastAsia="en-GB"/>
              </w:rPr>
            </w:pPr>
          </w:p>
        </w:tc>
      </w:tr>
      <w:tr w:rsidR="00CD1C73" w:rsidRPr="00222E6A" w14:paraId="48A695C6"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38FF8A6" w14:textId="3EC544AF" w:rsidR="00CD1C73" w:rsidRPr="00222E6A" w:rsidRDefault="00E50D18" w:rsidP="00CD1C73">
            <w:pPr>
              <w:spacing w:after="0" w:line="240" w:lineRule="auto"/>
              <w:rPr>
                <w:rFonts w:eastAsia="Times New Roman" w:cstheme="minorHAnsi"/>
                <w:color w:val="000000"/>
                <w:sz w:val="20"/>
                <w:szCs w:val="20"/>
                <w:lang w:val="es-ES" w:eastAsia="en-GB"/>
              </w:rPr>
            </w:pPr>
            <w:r w:rsidRPr="00222E6A">
              <w:rPr>
                <w:color w:val="000000"/>
                <w:sz w:val="20"/>
                <w:lang w:val="es-ES"/>
              </w:rPr>
              <w:t>Contribuciones de las Partes</w:t>
            </w:r>
          </w:p>
        </w:tc>
        <w:tc>
          <w:tcPr>
            <w:tcW w:w="850" w:type="dxa"/>
            <w:tcBorders>
              <w:top w:val="nil"/>
              <w:left w:val="nil"/>
              <w:bottom w:val="single" w:sz="4" w:space="0" w:color="auto"/>
              <w:right w:val="single" w:sz="4" w:space="0" w:color="auto"/>
            </w:tcBorders>
            <w:shd w:val="clear" w:color="auto" w:fill="auto"/>
            <w:noWrap/>
            <w:vAlign w:val="center"/>
          </w:tcPr>
          <w:p w14:paraId="2542D824" w14:textId="0A30CB94"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779</w:t>
            </w:r>
          </w:p>
        </w:tc>
        <w:tc>
          <w:tcPr>
            <w:tcW w:w="851" w:type="dxa"/>
            <w:tcBorders>
              <w:top w:val="nil"/>
              <w:left w:val="nil"/>
              <w:bottom w:val="single" w:sz="4" w:space="0" w:color="auto"/>
              <w:right w:val="single" w:sz="4" w:space="0" w:color="auto"/>
            </w:tcBorders>
            <w:shd w:val="clear" w:color="auto" w:fill="auto"/>
            <w:noWrap/>
            <w:vAlign w:val="center"/>
          </w:tcPr>
          <w:p w14:paraId="106A9CC5" w14:textId="20EB89F6"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779</w:t>
            </w:r>
          </w:p>
        </w:tc>
        <w:tc>
          <w:tcPr>
            <w:tcW w:w="850" w:type="dxa"/>
            <w:tcBorders>
              <w:top w:val="nil"/>
              <w:left w:val="nil"/>
              <w:bottom w:val="single" w:sz="4" w:space="0" w:color="auto"/>
              <w:right w:val="single" w:sz="4" w:space="0" w:color="auto"/>
            </w:tcBorders>
            <w:shd w:val="clear" w:color="auto" w:fill="auto"/>
            <w:noWrap/>
            <w:vAlign w:val="center"/>
          </w:tcPr>
          <w:p w14:paraId="650CF42D" w14:textId="5078F96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w:t>
            </w:r>
            <w:r w:rsidR="00222E6A" w:rsidRPr="00222E6A">
              <w:rPr>
                <w:rFonts w:eastAsia="Times New Roman" w:cstheme="minorHAnsi"/>
                <w:color w:val="000000"/>
                <w:sz w:val="20"/>
                <w:szCs w:val="20"/>
                <w:lang w:val="es-ES" w:eastAsia="en-GB"/>
              </w:rPr>
              <w:t xml:space="preserve"> </w:t>
            </w:r>
            <w:r w:rsidRPr="00222E6A">
              <w:rPr>
                <w:rFonts w:eastAsia="Times New Roman" w:cstheme="minorHAnsi"/>
                <w:color w:val="000000"/>
                <w:sz w:val="20"/>
                <w:szCs w:val="20"/>
                <w:lang w:val="es-ES" w:eastAsia="en-GB"/>
              </w:rPr>
              <w:t>779</w:t>
            </w:r>
          </w:p>
        </w:tc>
        <w:tc>
          <w:tcPr>
            <w:tcW w:w="1135" w:type="dxa"/>
            <w:tcBorders>
              <w:top w:val="nil"/>
              <w:left w:val="nil"/>
              <w:bottom w:val="single" w:sz="4" w:space="0" w:color="auto"/>
              <w:right w:val="single" w:sz="4" w:space="0" w:color="auto"/>
            </w:tcBorders>
            <w:shd w:val="clear" w:color="auto" w:fill="auto"/>
            <w:noWrap/>
            <w:vAlign w:val="center"/>
          </w:tcPr>
          <w:p w14:paraId="3D004E8B" w14:textId="6B3AB035"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337</w:t>
            </w:r>
          </w:p>
        </w:tc>
        <w:tc>
          <w:tcPr>
            <w:tcW w:w="1276" w:type="dxa"/>
            <w:tcBorders>
              <w:top w:val="nil"/>
              <w:left w:val="nil"/>
              <w:bottom w:val="single" w:sz="4" w:space="0" w:color="auto"/>
              <w:right w:val="single" w:sz="4" w:space="0" w:color="auto"/>
            </w:tcBorders>
          </w:tcPr>
          <w:p w14:paraId="4FD20F6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59AF38CA"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9CCAA37" w14:textId="562495A9" w:rsidR="00E50D18" w:rsidRPr="00222E6A" w:rsidRDefault="00E50D18" w:rsidP="00E50D18">
            <w:pPr>
              <w:spacing w:after="0" w:line="240" w:lineRule="auto"/>
              <w:rPr>
                <w:rFonts w:eastAsia="Times New Roman" w:cstheme="minorHAnsi"/>
                <w:color w:val="000000"/>
                <w:sz w:val="20"/>
                <w:szCs w:val="20"/>
                <w:lang w:val="es-ES" w:eastAsia="en-GB"/>
              </w:rPr>
            </w:pPr>
            <w:r w:rsidRPr="00222E6A">
              <w:rPr>
                <w:color w:val="000000"/>
                <w:sz w:val="20"/>
                <w:lang w:val="es-ES"/>
              </w:rPr>
              <w:t>Contribuciones voluntarias</w:t>
            </w:r>
          </w:p>
        </w:tc>
        <w:tc>
          <w:tcPr>
            <w:tcW w:w="850" w:type="dxa"/>
            <w:tcBorders>
              <w:top w:val="nil"/>
              <w:left w:val="nil"/>
              <w:bottom w:val="single" w:sz="4" w:space="0" w:color="auto"/>
              <w:right w:val="single" w:sz="4" w:space="0" w:color="auto"/>
            </w:tcBorders>
            <w:shd w:val="clear" w:color="auto" w:fill="auto"/>
            <w:noWrap/>
            <w:vAlign w:val="center"/>
          </w:tcPr>
          <w:p w14:paraId="7BAADF49" w14:textId="62E8B2A6"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065</w:t>
            </w:r>
          </w:p>
        </w:tc>
        <w:tc>
          <w:tcPr>
            <w:tcW w:w="851" w:type="dxa"/>
            <w:tcBorders>
              <w:top w:val="nil"/>
              <w:left w:val="nil"/>
              <w:bottom w:val="single" w:sz="4" w:space="0" w:color="auto"/>
              <w:right w:val="single" w:sz="4" w:space="0" w:color="auto"/>
            </w:tcBorders>
            <w:shd w:val="clear" w:color="auto" w:fill="auto"/>
            <w:noWrap/>
            <w:vAlign w:val="center"/>
          </w:tcPr>
          <w:p w14:paraId="6544F585" w14:textId="54D101FB"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065</w:t>
            </w:r>
          </w:p>
        </w:tc>
        <w:tc>
          <w:tcPr>
            <w:tcW w:w="850" w:type="dxa"/>
            <w:tcBorders>
              <w:top w:val="nil"/>
              <w:left w:val="nil"/>
              <w:bottom w:val="single" w:sz="4" w:space="0" w:color="auto"/>
              <w:right w:val="single" w:sz="4" w:space="0" w:color="auto"/>
            </w:tcBorders>
            <w:shd w:val="clear" w:color="auto" w:fill="auto"/>
            <w:noWrap/>
            <w:vAlign w:val="center"/>
          </w:tcPr>
          <w:p w14:paraId="218BCEDA" w14:textId="214DC00C"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w:t>
            </w:r>
            <w:r w:rsidR="00222E6A" w:rsidRPr="00222E6A">
              <w:rPr>
                <w:rFonts w:eastAsia="Times New Roman" w:cstheme="minorHAnsi"/>
                <w:color w:val="000000"/>
                <w:sz w:val="20"/>
                <w:szCs w:val="20"/>
                <w:lang w:val="es-ES" w:eastAsia="en-GB"/>
              </w:rPr>
              <w:t xml:space="preserve"> </w:t>
            </w:r>
            <w:r w:rsidRPr="00222E6A">
              <w:rPr>
                <w:rFonts w:eastAsia="Times New Roman" w:cstheme="minorHAnsi"/>
                <w:color w:val="000000"/>
                <w:sz w:val="20"/>
                <w:szCs w:val="20"/>
                <w:lang w:val="es-ES" w:eastAsia="en-GB"/>
              </w:rPr>
              <w:t>065</w:t>
            </w:r>
          </w:p>
        </w:tc>
        <w:tc>
          <w:tcPr>
            <w:tcW w:w="1135" w:type="dxa"/>
            <w:tcBorders>
              <w:top w:val="nil"/>
              <w:left w:val="nil"/>
              <w:bottom w:val="single" w:sz="4" w:space="0" w:color="auto"/>
              <w:right w:val="single" w:sz="4" w:space="0" w:color="auto"/>
            </w:tcBorders>
            <w:shd w:val="clear" w:color="auto" w:fill="auto"/>
            <w:noWrap/>
            <w:vAlign w:val="center"/>
          </w:tcPr>
          <w:p w14:paraId="0B8B4B61" w14:textId="683B4B2E"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195</w:t>
            </w:r>
          </w:p>
        </w:tc>
        <w:tc>
          <w:tcPr>
            <w:tcW w:w="1276" w:type="dxa"/>
            <w:tcBorders>
              <w:top w:val="nil"/>
              <w:left w:val="nil"/>
              <w:bottom w:val="single" w:sz="4" w:space="0" w:color="auto"/>
              <w:right w:val="single" w:sz="4" w:space="0" w:color="auto"/>
            </w:tcBorders>
          </w:tcPr>
          <w:p w14:paraId="79D774F8"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6B7B01E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2229066" w14:textId="293CC564" w:rsidR="00E50D18" w:rsidRPr="00222E6A" w:rsidRDefault="00E50D18" w:rsidP="00E50D18">
            <w:pPr>
              <w:spacing w:after="0" w:line="240" w:lineRule="auto"/>
              <w:rPr>
                <w:rFonts w:eastAsia="Times New Roman" w:cstheme="minorHAnsi"/>
                <w:color w:val="000000"/>
                <w:sz w:val="20"/>
                <w:szCs w:val="20"/>
                <w:lang w:val="es-ES" w:eastAsia="en-GB"/>
              </w:rPr>
            </w:pPr>
            <w:r w:rsidRPr="00222E6A">
              <w:rPr>
                <w:color w:val="000000"/>
                <w:sz w:val="20"/>
                <w:lang w:val="es-ES"/>
              </w:rPr>
              <w:t>Impuesto sobre la renta</w:t>
            </w:r>
          </w:p>
        </w:tc>
        <w:tc>
          <w:tcPr>
            <w:tcW w:w="850" w:type="dxa"/>
            <w:tcBorders>
              <w:top w:val="nil"/>
              <w:left w:val="nil"/>
              <w:bottom w:val="single" w:sz="4" w:space="0" w:color="auto"/>
              <w:right w:val="single" w:sz="4" w:space="0" w:color="auto"/>
            </w:tcBorders>
            <w:shd w:val="clear" w:color="auto" w:fill="auto"/>
            <w:noWrap/>
            <w:vAlign w:val="center"/>
          </w:tcPr>
          <w:p w14:paraId="730A6BEC"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225</w:t>
            </w:r>
          </w:p>
        </w:tc>
        <w:tc>
          <w:tcPr>
            <w:tcW w:w="851" w:type="dxa"/>
            <w:tcBorders>
              <w:top w:val="nil"/>
              <w:left w:val="nil"/>
              <w:bottom w:val="single" w:sz="4" w:space="0" w:color="auto"/>
              <w:right w:val="single" w:sz="4" w:space="0" w:color="auto"/>
            </w:tcBorders>
            <w:shd w:val="clear" w:color="auto" w:fill="auto"/>
            <w:noWrap/>
            <w:vAlign w:val="center"/>
          </w:tcPr>
          <w:p w14:paraId="71DB38E3"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225</w:t>
            </w:r>
          </w:p>
        </w:tc>
        <w:tc>
          <w:tcPr>
            <w:tcW w:w="850" w:type="dxa"/>
            <w:tcBorders>
              <w:top w:val="nil"/>
              <w:left w:val="nil"/>
              <w:bottom w:val="single" w:sz="4" w:space="0" w:color="auto"/>
              <w:right w:val="single" w:sz="4" w:space="0" w:color="auto"/>
            </w:tcBorders>
            <w:shd w:val="clear" w:color="auto" w:fill="auto"/>
            <w:noWrap/>
            <w:vAlign w:val="center"/>
          </w:tcPr>
          <w:p w14:paraId="02225BEC"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225</w:t>
            </w:r>
          </w:p>
        </w:tc>
        <w:tc>
          <w:tcPr>
            <w:tcW w:w="1135" w:type="dxa"/>
            <w:tcBorders>
              <w:top w:val="nil"/>
              <w:left w:val="nil"/>
              <w:bottom w:val="single" w:sz="4" w:space="0" w:color="auto"/>
              <w:right w:val="single" w:sz="4" w:space="0" w:color="auto"/>
            </w:tcBorders>
            <w:shd w:val="clear" w:color="auto" w:fill="auto"/>
            <w:noWrap/>
            <w:vAlign w:val="center"/>
          </w:tcPr>
          <w:p w14:paraId="7B2D1F28"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675</w:t>
            </w:r>
          </w:p>
        </w:tc>
        <w:tc>
          <w:tcPr>
            <w:tcW w:w="1276" w:type="dxa"/>
            <w:tcBorders>
              <w:top w:val="nil"/>
              <w:left w:val="nil"/>
              <w:bottom w:val="single" w:sz="4" w:space="0" w:color="auto"/>
              <w:right w:val="single" w:sz="4" w:space="0" w:color="auto"/>
            </w:tcBorders>
          </w:tcPr>
          <w:p w14:paraId="0D114B1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18BC8285" w14:textId="77777777" w:rsidTr="00CD1C73">
        <w:tc>
          <w:tcPr>
            <w:tcW w:w="4820" w:type="dxa"/>
            <w:tcBorders>
              <w:top w:val="nil"/>
              <w:left w:val="single" w:sz="4" w:space="0" w:color="auto"/>
              <w:bottom w:val="nil"/>
              <w:right w:val="single" w:sz="4" w:space="0" w:color="auto"/>
            </w:tcBorders>
            <w:shd w:val="clear" w:color="auto" w:fill="auto"/>
            <w:noWrap/>
            <w:vAlign w:val="center"/>
          </w:tcPr>
          <w:p w14:paraId="690401FB" w14:textId="1B563B75" w:rsidR="00E50D18" w:rsidRPr="00222E6A" w:rsidRDefault="00E50D18" w:rsidP="00E50D18">
            <w:pPr>
              <w:spacing w:after="0" w:line="240" w:lineRule="auto"/>
              <w:rPr>
                <w:rFonts w:eastAsia="Times New Roman" w:cstheme="minorHAnsi"/>
                <w:color w:val="000000"/>
                <w:sz w:val="20"/>
                <w:szCs w:val="20"/>
                <w:lang w:val="es-ES" w:eastAsia="en-GB"/>
              </w:rPr>
            </w:pPr>
            <w:r w:rsidRPr="00222E6A">
              <w:rPr>
                <w:color w:val="000000"/>
                <w:sz w:val="20"/>
                <w:lang w:val="es-ES"/>
              </w:rPr>
              <w:t>Ingresos por intereses</w:t>
            </w:r>
          </w:p>
        </w:tc>
        <w:tc>
          <w:tcPr>
            <w:tcW w:w="850" w:type="dxa"/>
            <w:tcBorders>
              <w:top w:val="nil"/>
              <w:left w:val="nil"/>
              <w:bottom w:val="single" w:sz="4" w:space="0" w:color="auto"/>
              <w:right w:val="single" w:sz="4" w:space="0" w:color="auto"/>
            </w:tcBorders>
            <w:shd w:val="clear" w:color="auto" w:fill="auto"/>
            <w:noWrap/>
            <w:vAlign w:val="center"/>
          </w:tcPr>
          <w:p w14:paraId="59CCF417"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12</w:t>
            </w:r>
          </w:p>
        </w:tc>
        <w:tc>
          <w:tcPr>
            <w:tcW w:w="851" w:type="dxa"/>
            <w:tcBorders>
              <w:top w:val="nil"/>
              <w:left w:val="nil"/>
              <w:bottom w:val="single" w:sz="4" w:space="0" w:color="auto"/>
              <w:right w:val="single" w:sz="4" w:space="0" w:color="auto"/>
            </w:tcBorders>
            <w:shd w:val="clear" w:color="auto" w:fill="auto"/>
            <w:noWrap/>
            <w:vAlign w:val="center"/>
          </w:tcPr>
          <w:p w14:paraId="26BD0480"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12</w:t>
            </w:r>
          </w:p>
        </w:tc>
        <w:tc>
          <w:tcPr>
            <w:tcW w:w="850" w:type="dxa"/>
            <w:tcBorders>
              <w:top w:val="nil"/>
              <w:left w:val="nil"/>
              <w:bottom w:val="single" w:sz="4" w:space="0" w:color="auto"/>
              <w:right w:val="single" w:sz="4" w:space="0" w:color="auto"/>
            </w:tcBorders>
            <w:shd w:val="clear" w:color="auto" w:fill="auto"/>
            <w:noWrap/>
            <w:vAlign w:val="center"/>
          </w:tcPr>
          <w:p w14:paraId="3C627CCA"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12</w:t>
            </w:r>
          </w:p>
        </w:tc>
        <w:tc>
          <w:tcPr>
            <w:tcW w:w="1135" w:type="dxa"/>
            <w:tcBorders>
              <w:top w:val="nil"/>
              <w:left w:val="nil"/>
              <w:bottom w:val="single" w:sz="4" w:space="0" w:color="auto"/>
              <w:right w:val="single" w:sz="4" w:space="0" w:color="auto"/>
            </w:tcBorders>
            <w:shd w:val="clear" w:color="auto" w:fill="auto"/>
            <w:noWrap/>
            <w:vAlign w:val="center"/>
          </w:tcPr>
          <w:p w14:paraId="295A2681"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36</w:t>
            </w:r>
          </w:p>
        </w:tc>
        <w:tc>
          <w:tcPr>
            <w:tcW w:w="1276" w:type="dxa"/>
            <w:tcBorders>
              <w:top w:val="nil"/>
              <w:left w:val="nil"/>
              <w:bottom w:val="single" w:sz="4" w:space="0" w:color="auto"/>
              <w:right w:val="single" w:sz="4" w:space="0" w:color="auto"/>
            </w:tcBorders>
          </w:tcPr>
          <w:p w14:paraId="0283E388"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CD1C73" w:rsidRPr="00222E6A" w14:paraId="5F8D31D5"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12E7DEF2" w14:textId="718EF7F8" w:rsidR="00CD1C73" w:rsidRPr="00222E6A" w:rsidRDefault="00CD1C73" w:rsidP="00CD1C73">
            <w:pPr>
              <w:spacing w:after="0" w:line="240" w:lineRule="auto"/>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 xml:space="preserve">TOTAL </w:t>
            </w:r>
            <w:r w:rsidR="00E50D18" w:rsidRPr="00222E6A">
              <w:rPr>
                <w:rFonts w:eastAsia="Times New Roman" w:cstheme="minorHAnsi"/>
                <w:b/>
                <w:bCs/>
                <w:color w:val="1F497D"/>
                <w:sz w:val="20"/>
                <w:szCs w:val="20"/>
                <w:lang w:val="es-ES" w:eastAsia="en-GB"/>
              </w:rPr>
              <w:t>DE INGRESOS</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64609DFD" w14:textId="75F827A5"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081</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6999D5F7" w14:textId="7CA8E958"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081</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4DB24384" w14:textId="40CB3CA2"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081</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4AD4F02D" w14:textId="28CF1926"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15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243</w:t>
            </w:r>
          </w:p>
        </w:tc>
        <w:tc>
          <w:tcPr>
            <w:tcW w:w="1276" w:type="dxa"/>
            <w:tcBorders>
              <w:top w:val="single" w:sz="4" w:space="0" w:color="auto"/>
              <w:left w:val="nil"/>
              <w:bottom w:val="single" w:sz="4" w:space="0" w:color="auto"/>
              <w:right w:val="single" w:sz="4" w:space="0" w:color="auto"/>
            </w:tcBorders>
            <w:shd w:val="clear" w:color="000000" w:fill="C4D79B"/>
          </w:tcPr>
          <w:p w14:paraId="660EC44A" w14:textId="77777777"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0</w:t>
            </w:r>
          </w:p>
        </w:tc>
      </w:tr>
      <w:tr w:rsidR="00CD1C73" w:rsidRPr="00222E6A" w14:paraId="0F5CCD55"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bottom"/>
          </w:tcPr>
          <w:p w14:paraId="46BDA83F" w14:textId="08DA50B7" w:rsidR="00CD1C73" w:rsidRPr="00222E6A" w:rsidRDefault="00E50D18" w:rsidP="00CD1C73">
            <w:pPr>
              <w:spacing w:after="0" w:line="240" w:lineRule="auto"/>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GASTOS</w:t>
            </w:r>
          </w:p>
        </w:tc>
        <w:tc>
          <w:tcPr>
            <w:tcW w:w="850" w:type="dxa"/>
            <w:tcBorders>
              <w:top w:val="nil"/>
              <w:left w:val="nil"/>
              <w:bottom w:val="single" w:sz="4" w:space="0" w:color="auto"/>
              <w:right w:val="single" w:sz="4" w:space="0" w:color="auto"/>
            </w:tcBorders>
            <w:shd w:val="clear" w:color="auto" w:fill="auto"/>
            <w:noWrap/>
            <w:vAlign w:val="bottom"/>
          </w:tcPr>
          <w:p w14:paraId="74EC59FE" w14:textId="77777777" w:rsidR="00CD1C73" w:rsidRPr="00222E6A" w:rsidRDefault="00CD1C73" w:rsidP="00CD1C73">
            <w:pPr>
              <w:spacing w:after="0" w:line="240" w:lineRule="auto"/>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 </w:t>
            </w:r>
          </w:p>
        </w:tc>
        <w:tc>
          <w:tcPr>
            <w:tcW w:w="851" w:type="dxa"/>
            <w:tcBorders>
              <w:top w:val="nil"/>
              <w:left w:val="nil"/>
              <w:bottom w:val="single" w:sz="4" w:space="0" w:color="auto"/>
              <w:right w:val="single" w:sz="4" w:space="0" w:color="auto"/>
            </w:tcBorders>
            <w:shd w:val="clear" w:color="auto" w:fill="auto"/>
            <w:noWrap/>
            <w:vAlign w:val="bottom"/>
          </w:tcPr>
          <w:p w14:paraId="2A454EB3" w14:textId="77777777" w:rsidR="00CD1C73" w:rsidRPr="00222E6A" w:rsidRDefault="00CD1C73" w:rsidP="00CD1C73">
            <w:pPr>
              <w:spacing w:after="0" w:line="240" w:lineRule="auto"/>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 </w:t>
            </w:r>
          </w:p>
        </w:tc>
        <w:tc>
          <w:tcPr>
            <w:tcW w:w="850" w:type="dxa"/>
            <w:tcBorders>
              <w:top w:val="nil"/>
              <w:left w:val="nil"/>
              <w:bottom w:val="single" w:sz="4" w:space="0" w:color="auto"/>
              <w:right w:val="single" w:sz="4" w:space="0" w:color="auto"/>
            </w:tcBorders>
            <w:shd w:val="clear" w:color="auto" w:fill="auto"/>
            <w:noWrap/>
            <w:vAlign w:val="bottom"/>
          </w:tcPr>
          <w:p w14:paraId="3FE8F262" w14:textId="77777777" w:rsidR="00CD1C73" w:rsidRPr="00222E6A" w:rsidRDefault="00CD1C73" w:rsidP="00CD1C73">
            <w:pPr>
              <w:spacing w:after="0" w:line="240" w:lineRule="auto"/>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 </w:t>
            </w:r>
          </w:p>
        </w:tc>
        <w:tc>
          <w:tcPr>
            <w:tcW w:w="1135" w:type="dxa"/>
            <w:tcBorders>
              <w:top w:val="nil"/>
              <w:left w:val="nil"/>
              <w:bottom w:val="single" w:sz="4" w:space="0" w:color="auto"/>
              <w:right w:val="single" w:sz="4" w:space="0" w:color="auto"/>
            </w:tcBorders>
            <w:shd w:val="clear" w:color="auto" w:fill="auto"/>
            <w:noWrap/>
            <w:vAlign w:val="bottom"/>
          </w:tcPr>
          <w:p w14:paraId="66A76CC5" w14:textId="77777777" w:rsidR="00CD1C73" w:rsidRPr="00222E6A" w:rsidRDefault="00CD1C73" w:rsidP="00CD1C73">
            <w:pPr>
              <w:spacing w:after="0" w:line="240" w:lineRule="auto"/>
              <w:rPr>
                <w:rFonts w:eastAsia="Times New Roman" w:cstheme="minorHAnsi"/>
                <w:b/>
                <w:bCs/>
                <w:sz w:val="20"/>
                <w:szCs w:val="20"/>
                <w:lang w:val="es-ES" w:eastAsia="en-GB"/>
              </w:rPr>
            </w:pPr>
            <w:r w:rsidRPr="00222E6A">
              <w:rPr>
                <w:rFonts w:eastAsia="Times New Roman" w:cstheme="minorHAnsi"/>
                <w:b/>
                <w:bCs/>
                <w:sz w:val="20"/>
                <w:szCs w:val="20"/>
                <w:lang w:val="es-ES" w:eastAsia="en-GB"/>
              </w:rPr>
              <w:t> </w:t>
            </w:r>
          </w:p>
        </w:tc>
        <w:tc>
          <w:tcPr>
            <w:tcW w:w="1276" w:type="dxa"/>
            <w:tcBorders>
              <w:top w:val="nil"/>
              <w:left w:val="nil"/>
              <w:bottom w:val="single" w:sz="4" w:space="0" w:color="auto"/>
              <w:right w:val="single" w:sz="4" w:space="0" w:color="auto"/>
            </w:tcBorders>
          </w:tcPr>
          <w:p w14:paraId="4004B33C" w14:textId="77777777" w:rsidR="00CD1C73" w:rsidRPr="00222E6A" w:rsidRDefault="00CD1C73" w:rsidP="00CD1C73">
            <w:pPr>
              <w:spacing w:after="0" w:line="240" w:lineRule="auto"/>
              <w:rPr>
                <w:rFonts w:eastAsia="Times New Roman" w:cstheme="minorHAnsi"/>
                <w:b/>
                <w:bCs/>
                <w:sz w:val="20"/>
                <w:szCs w:val="20"/>
                <w:lang w:val="es-ES" w:eastAsia="en-GB"/>
              </w:rPr>
            </w:pPr>
          </w:p>
        </w:tc>
      </w:tr>
      <w:tr w:rsidR="00CD1C73" w:rsidRPr="00222E6A" w14:paraId="03E24327"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763DE2C2" w14:textId="4AAED8BC" w:rsidR="00CD1C73" w:rsidRPr="00222E6A" w:rsidRDefault="00E50D18" w:rsidP="00CD1C73">
            <w:pPr>
              <w:spacing w:after="0" w:line="240" w:lineRule="auto"/>
              <w:rPr>
                <w:rFonts w:eastAsia="Times New Roman" w:cstheme="minorHAnsi"/>
                <w:b/>
                <w:bCs/>
                <w:color w:val="000000"/>
                <w:sz w:val="20"/>
                <w:szCs w:val="20"/>
                <w:lang w:val="es-ES" w:eastAsia="en-GB"/>
              </w:rPr>
            </w:pPr>
            <w:r w:rsidRPr="00222E6A">
              <w:rPr>
                <w:b/>
                <w:color w:val="000000"/>
                <w:sz w:val="20"/>
                <w:lang w:val="es-ES"/>
              </w:rPr>
              <w:t>A. Personal directivo de la Secretaría y Gobernanza</w:t>
            </w:r>
          </w:p>
        </w:tc>
        <w:tc>
          <w:tcPr>
            <w:tcW w:w="850" w:type="dxa"/>
            <w:tcBorders>
              <w:top w:val="nil"/>
              <w:left w:val="nil"/>
              <w:bottom w:val="single" w:sz="4" w:space="0" w:color="auto"/>
              <w:right w:val="single" w:sz="4" w:space="0" w:color="auto"/>
            </w:tcBorders>
            <w:shd w:val="clear" w:color="000000" w:fill="C4D79B"/>
            <w:noWrap/>
            <w:vAlign w:val="center"/>
          </w:tcPr>
          <w:p w14:paraId="3F31251D" w14:textId="44779AF2"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227</w:t>
            </w:r>
          </w:p>
        </w:tc>
        <w:tc>
          <w:tcPr>
            <w:tcW w:w="851" w:type="dxa"/>
            <w:tcBorders>
              <w:top w:val="nil"/>
              <w:left w:val="nil"/>
              <w:bottom w:val="single" w:sz="4" w:space="0" w:color="auto"/>
              <w:right w:val="single" w:sz="4" w:space="0" w:color="auto"/>
            </w:tcBorders>
            <w:shd w:val="clear" w:color="000000" w:fill="C4D79B"/>
            <w:noWrap/>
            <w:vAlign w:val="center"/>
          </w:tcPr>
          <w:p w14:paraId="5B698E18" w14:textId="3CA99C9C"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229</w:t>
            </w:r>
          </w:p>
        </w:tc>
        <w:tc>
          <w:tcPr>
            <w:tcW w:w="850" w:type="dxa"/>
            <w:tcBorders>
              <w:top w:val="nil"/>
              <w:left w:val="nil"/>
              <w:bottom w:val="single" w:sz="4" w:space="0" w:color="auto"/>
              <w:right w:val="single" w:sz="4" w:space="0" w:color="auto"/>
            </w:tcBorders>
            <w:shd w:val="clear" w:color="000000" w:fill="C4D79B"/>
            <w:noWrap/>
            <w:vAlign w:val="center"/>
          </w:tcPr>
          <w:p w14:paraId="7B7D1046" w14:textId="16903201"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249</w:t>
            </w:r>
          </w:p>
        </w:tc>
        <w:tc>
          <w:tcPr>
            <w:tcW w:w="1135" w:type="dxa"/>
            <w:tcBorders>
              <w:top w:val="nil"/>
              <w:left w:val="nil"/>
              <w:bottom w:val="single" w:sz="4" w:space="0" w:color="auto"/>
              <w:right w:val="single" w:sz="4" w:space="0" w:color="auto"/>
            </w:tcBorders>
            <w:shd w:val="clear" w:color="000000" w:fill="C4D79B"/>
            <w:noWrap/>
            <w:vAlign w:val="center"/>
          </w:tcPr>
          <w:p w14:paraId="07E63A4E" w14:textId="52FB0C16"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3</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705</w:t>
            </w:r>
          </w:p>
        </w:tc>
        <w:tc>
          <w:tcPr>
            <w:tcW w:w="1276" w:type="dxa"/>
            <w:tcBorders>
              <w:top w:val="nil"/>
              <w:left w:val="nil"/>
              <w:bottom w:val="single" w:sz="4" w:space="0" w:color="auto"/>
              <w:right w:val="single" w:sz="4" w:space="0" w:color="auto"/>
            </w:tcBorders>
            <w:shd w:val="clear" w:color="000000" w:fill="C4D79B"/>
          </w:tcPr>
          <w:p w14:paraId="265772F7"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536</w:t>
            </w:r>
          </w:p>
        </w:tc>
      </w:tr>
      <w:tr w:rsidR="00CD1C73" w:rsidRPr="00222E6A" w14:paraId="5DF93FEB"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A36E558" w14:textId="00697D5A"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Salarios, gastos sociales y otras prestaciones laborales</w:t>
            </w:r>
          </w:p>
        </w:tc>
        <w:tc>
          <w:tcPr>
            <w:tcW w:w="850" w:type="dxa"/>
            <w:tcBorders>
              <w:top w:val="nil"/>
              <w:left w:val="nil"/>
              <w:bottom w:val="single" w:sz="4" w:space="0" w:color="auto"/>
              <w:right w:val="single" w:sz="4" w:space="0" w:color="auto"/>
            </w:tcBorders>
            <w:shd w:val="clear" w:color="auto" w:fill="auto"/>
            <w:noWrap/>
            <w:vAlign w:val="center"/>
          </w:tcPr>
          <w:p w14:paraId="470920F5" w14:textId="475B673E"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170</w:t>
            </w:r>
          </w:p>
        </w:tc>
        <w:tc>
          <w:tcPr>
            <w:tcW w:w="851" w:type="dxa"/>
            <w:tcBorders>
              <w:top w:val="nil"/>
              <w:left w:val="nil"/>
              <w:bottom w:val="single" w:sz="4" w:space="0" w:color="auto"/>
              <w:right w:val="single" w:sz="4" w:space="0" w:color="auto"/>
            </w:tcBorders>
            <w:shd w:val="clear" w:color="auto" w:fill="auto"/>
            <w:noWrap/>
            <w:vAlign w:val="center"/>
          </w:tcPr>
          <w:p w14:paraId="4442357D" w14:textId="15FC3815"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172</w:t>
            </w:r>
          </w:p>
        </w:tc>
        <w:tc>
          <w:tcPr>
            <w:tcW w:w="850" w:type="dxa"/>
            <w:tcBorders>
              <w:top w:val="nil"/>
              <w:left w:val="nil"/>
              <w:bottom w:val="single" w:sz="4" w:space="0" w:color="auto"/>
              <w:right w:val="single" w:sz="4" w:space="0" w:color="auto"/>
            </w:tcBorders>
            <w:shd w:val="clear" w:color="auto" w:fill="auto"/>
            <w:noWrap/>
            <w:vAlign w:val="center"/>
          </w:tcPr>
          <w:p w14:paraId="3B0AD81F" w14:textId="0A62EABE"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w:t>
            </w:r>
            <w:r w:rsidR="00222E6A" w:rsidRPr="00222E6A">
              <w:rPr>
                <w:rFonts w:eastAsia="Times New Roman" w:cstheme="minorHAnsi"/>
                <w:color w:val="000000"/>
                <w:sz w:val="20"/>
                <w:szCs w:val="20"/>
                <w:lang w:val="es-ES" w:eastAsia="en-GB"/>
              </w:rPr>
              <w:t xml:space="preserve"> </w:t>
            </w:r>
            <w:r w:rsidRPr="00222E6A">
              <w:rPr>
                <w:rFonts w:eastAsia="Times New Roman" w:cstheme="minorHAnsi"/>
                <w:color w:val="000000"/>
                <w:sz w:val="20"/>
                <w:szCs w:val="20"/>
                <w:lang w:val="es-ES" w:eastAsia="en-GB"/>
              </w:rPr>
              <w:t>192</w:t>
            </w:r>
          </w:p>
        </w:tc>
        <w:tc>
          <w:tcPr>
            <w:tcW w:w="1135" w:type="dxa"/>
            <w:tcBorders>
              <w:top w:val="nil"/>
              <w:left w:val="nil"/>
              <w:bottom w:val="single" w:sz="4" w:space="0" w:color="auto"/>
              <w:right w:val="single" w:sz="4" w:space="0" w:color="auto"/>
            </w:tcBorders>
            <w:shd w:val="clear" w:color="auto" w:fill="auto"/>
            <w:noWrap/>
            <w:vAlign w:val="center"/>
          </w:tcPr>
          <w:p w14:paraId="2A1203B1" w14:textId="5B33A8B8"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534</w:t>
            </w:r>
          </w:p>
        </w:tc>
        <w:tc>
          <w:tcPr>
            <w:tcW w:w="1276" w:type="dxa"/>
            <w:tcBorders>
              <w:top w:val="nil"/>
              <w:left w:val="nil"/>
              <w:bottom w:val="single" w:sz="4" w:space="0" w:color="auto"/>
              <w:right w:val="single" w:sz="4" w:space="0" w:color="auto"/>
            </w:tcBorders>
          </w:tcPr>
          <w:p w14:paraId="10245C65"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485</w:t>
            </w:r>
          </w:p>
        </w:tc>
      </w:tr>
      <w:tr w:rsidR="00CD1C73" w:rsidRPr="00222E6A" w14:paraId="2E103CA6"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E16012C" w14:textId="25BC36FB" w:rsidR="00CD1C73" w:rsidRPr="00222E6A" w:rsidRDefault="00E50D18" w:rsidP="00CD1C73">
            <w:pPr>
              <w:spacing w:after="0" w:line="240" w:lineRule="auto"/>
              <w:rPr>
                <w:rFonts w:eastAsia="Times New Roman" w:cstheme="minorHAnsi"/>
                <w:sz w:val="20"/>
                <w:szCs w:val="20"/>
                <w:lang w:val="es-ES" w:eastAsia="en-GB"/>
              </w:rPr>
            </w:pPr>
            <w:r w:rsidRPr="00222E6A">
              <w:rPr>
                <w:rFonts w:eastAsia="Times New Roman" w:cstheme="minorHAnsi"/>
                <w:sz w:val="20"/>
                <w:szCs w:val="20"/>
                <w:lang w:val="es-ES" w:eastAsia="en-GB"/>
              </w:rPr>
              <w:t>Viajes</w:t>
            </w:r>
          </w:p>
        </w:tc>
        <w:tc>
          <w:tcPr>
            <w:tcW w:w="850" w:type="dxa"/>
            <w:tcBorders>
              <w:top w:val="nil"/>
              <w:left w:val="nil"/>
              <w:bottom w:val="single" w:sz="4" w:space="0" w:color="auto"/>
              <w:right w:val="single" w:sz="4" w:space="0" w:color="auto"/>
            </w:tcBorders>
            <w:shd w:val="clear" w:color="auto" w:fill="auto"/>
            <w:noWrap/>
            <w:vAlign w:val="center"/>
          </w:tcPr>
          <w:p w14:paraId="6D37D6EA"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57</w:t>
            </w:r>
          </w:p>
        </w:tc>
        <w:tc>
          <w:tcPr>
            <w:tcW w:w="851" w:type="dxa"/>
            <w:tcBorders>
              <w:top w:val="nil"/>
              <w:left w:val="nil"/>
              <w:bottom w:val="single" w:sz="4" w:space="0" w:color="auto"/>
              <w:right w:val="single" w:sz="4" w:space="0" w:color="auto"/>
            </w:tcBorders>
            <w:shd w:val="clear" w:color="auto" w:fill="auto"/>
            <w:noWrap/>
            <w:vAlign w:val="center"/>
          </w:tcPr>
          <w:p w14:paraId="123CB85C"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57</w:t>
            </w:r>
          </w:p>
        </w:tc>
        <w:tc>
          <w:tcPr>
            <w:tcW w:w="850" w:type="dxa"/>
            <w:tcBorders>
              <w:top w:val="nil"/>
              <w:left w:val="nil"/>
              <w:bottom w:val="single" w:sz="4" w:space="0" w:color="auto"/>
              <w:right w:val="single" w:sz="4" w:space="0" w:color="auto"/>
            </w:tcBorders>
            <w:shd w:val="clear" w:color="auto" w:fill="auto"/>
            <w:noWrap/>
            <w:vAlign w:val="center"/>
          </w:tcPr>
          <w:p w14:paraId="3E7963E2"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57</w:t>
            </w:r>
          </w:p>
        </w:tc>
        <w:tc>
          <w:tcPr>
            <w:tcW w:w="1135" w:type="dxa"/>
            <w:tcBorders>
              <w:top w:val="nil"/>
              <w:left w:val="nil"/>
              <w:bottom w:val="single" w:sz="4" w:space="0" w:color="auto"/>
              <w:right w:val="single" w:sz="4" w:space="0" w:color="auto"/>
            </w:tcBorders>
            <w:shd w:val="clear" w:color="auto" w:fill="auto"/>
            <w:noWrap/>
            <w:vAlign w:val="center"/>
          </w:tcPr>
          <w:p w14:paraId="51F9B35C"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171</w:t>
            </w:r>
          </w:p>
        </w:tc>
        <w:tc>
          <w:tcPr>
            <w:tcW w:w="1276" w:type="dxa"/>
            <w:tcBorders>
              <w:top w:val="nil"/>
              <w:left w:val="nil"/>
              <w:bottom w:val="single" w:sz="4" w:space="0" w:color="auto"/>
              <w:right w:val="single" w:sz="4" w:space="0" w:color="auto"/>
            </w:tcBorders>
          </w:tcPr>
          <w:p w14:paraId="7362BD97"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51</w:t>
            </w:r>
          </w:p>
        </w:tc>
      </w:tr>
      <w:tr w:rsidR="00CD1C73" w:rsidRPr="00222E6A" w14:paraId="1DF748AE"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3FF36A45" w14:textId="67A8DBFF" w:rsidR="00CD1C73" w:rsidRPr="00222E6A" w:rsidRDefault="00E50D18" w:rsidP="00CD1C73">
            <w:pPr>
              <w:spacing w:after="0" w:line="240" w:lineRule="auto"/>
              <w:rPr>
                <w:rFonts w:eastAsia="Times New Roman" w:cstheme="minorHAnsi"/>
                <w:b/>
                <w:bCs/>
                <w:sz w:val="20"/>
                <w:szCs w:val="20"/>
                <w:lang w:val="es-ES" w:eastAsia="en-GB"/>
              </w:rPr>
            </w:pPr>
            <w:r w:rsidRPr="00222E6A">
              <w:rPr>
                <w:b/>
                <w:sz w:val="20"/>
                <w:lang w:val="es-ES"/>
              </w:rPr>
              <w:t>Movilización de recursos y Promoción</w:t>
            </w:r>
          </w:p>
        </w:tc>
        <w:tc>
          <w:tcPr>
            <w:tcW w:w="850" w:type="dxa"/>
            <w:tcBorders>
              <w:top w:val="nil"/>
              <w:left w:val="nil"/>
              <w:bottom w:val="single" w:sz="4" w:space="0" w:color="auto"/>
              <w:right w:val="single" w:sz="4" w:space="0" w:color="auto"/>
            </w:tcBorders>
            <w:shd w:val="clear" w:color="000000" w:fill="C4D79B"/>
            <w:noWrap/>
            <w:vAlign w:val="center"/>
          </w:tcPr>
          <w:p w14:paraId="7840BB38"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489</w:t>
            </w:r>
          </w:p>
        </w:tc>
        <w:tc>
          <w:tcPr>
            <w:tcW w:w="851" w:type="dxa"/>
            <w:tcBorders>
              <w:top w:val="nil"/>
              <w:left w:val="nil"/>
              <w:bottom w:val="single" w:sz="4" w:space="0" w:color="auto"/>
              <w:right w:val="single" w:sz="4" w:space="0" w:color="auto"/>
            </w:tcBorders>
            <w:shd w:val="clear" w:color="000000" w:fill="C4D79B"/>
            <w:noWrap/>
            <w:vAlign w:val="center"/>
          </w:tcPr>
          <w:p w14:paraId="665B5199"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491</w:t>
            </w:r>
          </w:p>
        </w:tc>
        <w:tc>
          <w:tcPr>
            <w:tcW w:w="850" w:type="dxa"/>
            <w:tcBorders>
              <w:top w:val="nil"/>
              <w:left w:val="nil"/>
              <w:bottom w:val="single" w:sz="4" w:space="0" w:color="auto"/>
              <w:right w:val="single" w:sz="4" w:space="0" w:color="auto"/>
            </w:tcBorders>
            <w:shd w:val="clear" w:color="000000" w:fill="C4D79B"/>
            <w:noWrap/>
            <w:vAlign w:val="center"/>
          </w:tcPr>
          <w:p w14:paraId="585636F8"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487</w:t>
            </w:r>
          </w:p>
        </w:tc>
        <w:tc>
          <w:tcPr>
            <w:tcW w:w="1135" w:type="dxa"/>
            <w:tcBorders>
              <w:top w:val="nil"/>
              <w:left w:val="nil"/>
              <w:bottom w:val="single" w:sz="4" w:space="0" w:color="auto"/>
              <w:right w:val="single" w:sz="4" w:space="0" w:color="auto"/>
            </w:tcBorders>
            <w:shd w:val="clear" w:color="000000" w:fill="C4D79B"/>
            <w:noWrap/>
            <w:vAlign w:val="center"/>
          </w:tcPr>
          <w:p w14:paraId="7E87A081" w14:textId="1426B931"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467</w:t>
            </w:r>
          </w:p>
        </w:tc>
        <w:tc>
          <w:tcPr>
            <w:tcW w:w="1276" w:type="dxa"/>
            <w:tcBorders>
              <w:top w:val="nil"/>
              <w:left w:val="nil"/>
              <w:bottom w:val="single" w:sz="4" w:space="0" w:color="auto"/>
              <w:right w:val="single" w:sz="4" w:space="0" w:color="auto"/>
            </w:tcBorders>
            <w:shd w:val="clear" w:color="000000" w:fill="C4D79B"/>
          </w:tcPr>
          <w:p w14:paraId="342581F4"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(57)</w:t>
            </w:r>
          </w:p>
        </w:tc>
      </w:tr>
      <w:tr w:rsidR="00CD1C73" w:rsidRPr="00222E6A" w14:paraId="2E093828"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2AC094A" w14:textId="5F0FBDE8"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Salarios</w:t>
            </w:r>
            <w:r w:rsidR="00222E6A" w:rsidRPr="00222E6A">
              <w:rPr>
                <w:sz w:val="20"/>
                <w:lang w:val="es-ES"/>
              </w:rPr>
              <w:t>,</w:t>
            </w:r>
            <w:r w:rsidRPr="00222E6A">
              <w:rPr>
                <w:sz w:val="20"/>
                <w:lang w:val="es-ES"/>
              </w:rPr>
              <w:t xml:space="preserve"> gastos sociales y otras prestaciones laborales</w:t>
            </w:r>
          </w:p>
        </w:tc>
        <w:tc>
          <w:tcPr>
            <w:tcW w:w="850" w:type="dxa"/>
            <w:tcBorders>
              <w:top w:val="nil"/>
              <w:left w:val="nil"/>
              <w:bottom w:val="single" w:sz="4" w:space="0" w:color="auto"/>
              <w:right w:val="single" w:sz="4" w:space="0" w:color="auto"/>
            </w:tcBorders>
            <w:shd w:val="clear" w:color="auto" w:fill="auto"/>
            <w:noWrap/>
            <w:vAlign w:val="center"/>
          </w:tcPr>
          <w:p w14:paraId="0CED19B4"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394</w:t>
            </w:r>
          </w:p>
        </w:tc>
        <w:tc>
          <w:tcPr>
            <w:tcW w:w="851" w:type="dxa"/>
            <w:tcBorders>
              <w:top w:val="nil"/>
              <w:left w:val="nil"/>
              <w:bottom w:val="single" w:sz="4" w:space="0" w:color="auto"/>
              <w:right w:val="single" w:sz="4" w:space="0" w:color="auto"/>
            </w:tcBorders>
            <w:shd w:val="clear" w:color="auto" w:fill="auto"/>
            <w:noWrap/>
            <w:vAlign w:val="center"/>
          </w:tcPr>
          <w:p w14:paraId="7EFFBC3E"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396</w:t>
            </w:r>
          </w:p>
        </w:tc>
        <w:tc>
          <w:tcPr>
            <w:tcW w:w="850" w:type="dxa"/>
            <w:tcBorders>
              <w:top w:val="nil"/>
              <w:left w:val="nil"/>
              <w:bottom w:val="single" w:sz="4" w:space="0" w:color="auto"/>
              <w:right w:val="single" w:sz="4" w:space="0" w:color="auto"/>
            </w:tcBorders>
            <w:shd w:val="clear" w:color="auto" w:fill="auto"/>
            <w:noWrap/>
            <w:vAlign w:val="center"/>
          </w:tcPr>
          <w:p w14:paraId="33E59D05"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402</w:t>
            </w:r>
          </w:p>
        </w:tc>
        <w:tc>
          <w:tcPr>
            <w:tcW w:w="1135" w:type="dxa"/>
            <w:tcBorders>
              <w:top w:val="nil"/>
              <w:left w:val="nil"/>
              <w:bottom w:val="single" w:sz="4" w:space="0" w:color="auto"/>
              <w:right w:val="single" w:sz="4" w:space="0" w:color="auto"/>
            </w:tcBorders>
            <w:shd w:val="clear" w:color="auto" w:fill="auto"/>
            <w:noWrap/>
            <w:vAlign w:val="center"/>
          </w:tcPr>
          <w:p w14:paraId="0AC5A475" w14:textId="55201A9E"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192</w:t>
            </w:r>
          </w:p>
        </w:tc>
        <w:tc>
          <w:tcPr>
            <w:tcW w:w="1276" w:type="dxa"/>
            <w:tcBorders>
              <w:top w:val="nil"/>
              <w:left w:val="nil"/>
              <w:bottom w:val="single" w:sz="4" w:space="0" w:color="auto"/>
              <w:right w:val="single" w:sz="4" w:space="0" w:color="auto"/>
            </w:tcBorders>
          </w:tcPr>
          <w:p w14:paraId="5B42D599"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136</w:t>
            </w:r>
          </w:p>
        </w:tc>
      </w:tr>
      <w:tr w:rsidR="00CD1C73" w:rsidRPr="00222E6A" w14:paraId="7DE4B68F"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2BC2DC0" w14:textId="3477EDEE"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Programa de CECoP</w:t>
            </w:r>
          </w:p>
        </w:tc>
        <w:tc>
          <w:tcPr>
            <w:tcW w:w="850" w:type="dxa"/>
            <w:tcBorders>
              <w:top w:val="nil"/>
              <w:left w:val="nil"/>
              <w:bottom w:val="single" w:sz="4" w:space="0" w:color="auto"/>
              <w:right w:val="single" w:sz="4" w:space="0" w:color="auto"/>
            </w:tcBorders>
            <w:shd w:val="clear" w:color="auto" w:fill="auto"/>
            <w:noWrap/>
            <w:vAlign w:val="center"/>
          </w:tcPr>
          <w:p w14:paraId="7833E2B5"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w:t>
            </w:r>
          </w:p>
        </w:tc>
        <w:tc>
          <w:tcPr>
            <w:tcW w:w="851" w:type="dxa"/>
            <w:tcBorders>
              <w:top w:val="nil"/>
              <w:left w:val="nil"/>
              <w:bottom w:val="single" w:sz="4" w:space="0" w:color="auto"/>
              <w:right w:val="single" w:sz="4" w:space="0" w:color="auto"/>
            </w:tcBorders>
            <w:shd w:val="clear" w:color="auto" w:fill="auto"/>
            <w:noWrap/>
            <w:vAlign w:val="center"/>
          </w:tcPr>
          <w:p w14:paraId="798D304A"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w:t>
            </w:r>
          </w:p>
        </w:tc>
        <w:tc>
          <w:tcPr>
            <w:tcW w:w="850" w:type="dxa"/>
            <w:tcBorders>
              <w:top w:val="nil"/>
              <w:left w:val="nil"/>
              <w:bottom w:val="single" w:sz="4" w:space="0" w:color="auto"/>
              <w:right w:val="single" w:sz="4" w:space="0" w:color="auto"/>
            </w:tcBorders>
            <w:shd w:val="clear" w:color="auto" w:fill="auto"/>
            <w:noWrap/>
            <w:vAlign w:val="center"/>
          </w:tcPr>
          <w:p w14:paraId="38826E82"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10</w:t>
            </w:r>
          </w:p>
        </w:tc>
        <w:tc>
          <w:tcPr>
            <w:tcW w:w="1135" w:type="dxa"/>
            <w:tcBorders>
              <w:top w:val="nil"/>
              <w:left w:val="nil"/>
              <w:bottom w:val="single" w:sz="4" w:space="0" w:color="auto"/>
              <w:right w:val="single" w:sz="4" w:space="0" w:color="auto"/>
            </w:tcBorders>
            <w:shd w:val="clear" w:color="auto" w:fill="auto"/>
            <w:noWrap/>
            <w:vAlign w:val="center"/>
          </w:tcPr>
          <w:p w14:paraId="7ED65328"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30</w:t>
            </w:r>
          </w:p>
        </w:tc>
        <w:tc>
          <w:tcPr>
            <w:tcW w:w="1276" w:type="dxa"/>
            <w:tcBorders>
              <w:top w:val="nil"/>
              <w:left w:val="nil"/>
              <w:bottom w:val="single" w:sz="4" w:space="0" w:color="auto"/>
              <w:right w:val="single" w:sz="4" w:space="0" w:color="auto"/>
            </w:tcBorders>
          </w:tcPr>
          <w:p w14:paraId="7F410EE0"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(60)</w:t>
            </w:r>
          </w:p>
        </w:tc>
      </w:tr>
      <w:tr w:rsidR="00CD1C73" w:rsidRPr="00222E6A" w14:paraId="11691E1F"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A3C90A6" w14:textId="2B61D096"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Comunicaciones, traducciones, publicaciones e informes sobre la aplicación</w:t>
            </w:r>
          </w:p>
        </w:tc>
        <w:tc>
          <w:tcPr>
            <w:tcW w:w="850" w:type="dxa"/>
            <w:tcBorders>
              <w:top w:val="nil"/>
              <w:left w:val="nil"/>
              <w:bottom w:val="single" w:sz="4" w:space="0" w:color="auto"/>
              <w:right w:val="single" w:sz="4" w:space="0" w:color="auto"/>
            </w:tcBorders>
            <w:shd w:val="clear" w:color="auto" w:fill="auto"/>
            <w:noWrap/>
            <w:vAlign w:val="center"/>
          </w:tcPr>
          <w:p w14:paraId="1085FE29"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7F7413C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2328A66C"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40</w:t>
            </w:r>
          </w:p>
        </w:tc>
        <w:tc>
          <w:tcPr>
            <w:tcW w:w="1135" w:type="dxa"/>
            <w:tcBorders>
              <w:top w:val="nil"/>
              <w:left w:val="nil"/>
              <w:bottom w:val="single" w:sz="4" w:space="0" w:color="auto"/>
              <w:right w:val="single" w:sz="4" w:space="0" w:color="auto"/>
            </w:tcBorders>
            <w:shd w:val="clear" w:color="auto" w:fill="auto"/>
            <w:noWrap/>
            <w:vAlign w:val="center"/>
          </w:tcPr>
          <w:p w14:paraId="698535F4"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120</w:t>
            </w:r>
          </w:p>
        </w:tc>
        <w:tc>
          <w:tcPr>
            <w:tcW w:w="1276" w:type="dxa"/>
            <w:tcBorders>
              <w:top w:val="nil"/>
              <w:left w:val="nil"/>
              <w:bottom w:val="single" w:sz="4" w:space="0" w:color="auto"/>
              <w:right w:val="single" w:sz="4" w:space="0" w:color="auto"/>
            </w:tcBorders>
          </w:tcPr>
          <w:p w14:paraId="3673BEB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(60)</w:t>
            </w:r>
          </w:p>
        </w:tc>
      </w:tr>
      <w:tr w:rsidR="00CD1C73" w:rsidRPr="00222E6A" w14:paraId="2BC580B7"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8B54D5A" w14:textId="209687E9"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Apoyo y desarrollo del sitio web/servicios informáticos</w:t>
            </w:r>
          </w:p>
        </w:tc>
        <w:tc>
          <w:tcPr>
            <w:tcW w:w="850" w:type="dxa"/>
            <w:tcBorders>
              <w:top w:val="nil"/>
              <w:left w:val="nil"/>
              <w:bottom w:val="single" w:sz="4" w:space="0" w:color="auto"/>
              <w:right w:val="single" w:sz="4" w:space="0" w:color="auto"/>
            </w:tcBorders>
            <w:shd w:val="clear" w:color="auto" w:fill="auto"/>
            <w:noWrap/>
            <w:vAlign w:val="center"/>
          </w:tcPr>
          <w:p w14:paraId="2E65311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7B1A00F2"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2FA334D5"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232E9F08"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110</w:t>
            </w:r>
          </w:p>
        </w:tc>
        <w:tc>
          <w:tcPr>
            <w:tcW w:w="1276" w:type="dxa"/>
            <w:tcBorders>
              <w:top w:val="nil"/>
              <w:left w:val="nil"/>
              <w:bottom w:val="single" w:sz="4" w:space="0" w:color="auto"/>
              <w:right w:val="single" w:sz="4" w:space="0" w:color="auto"/>
            </w:tcBorders>
          </w:tcPr>
          <w:p w14:paraId="4E97AC9A"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(58)</w:t>
            </w:r>
          </w:p>
        </w:tc>
      </w:tr>
      <w:tr w:rsidR="00CD1C73" w:rsidRPr="00222E6A" w14:paraId="1949FE42"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52E7AE1E" w14:textId="65E2D304" w:rsidR="00CD1C73" w:rsidRPr="00222E6A" w:rsidRDefault="00E50D18" w:rsidP="00CD1C73">
            <w:pPr>
              <w:spacing w:after="0" w:line="240" w:lineRule="auto"/>
              <w:rPr>
                <w:rFonts w:eastAsia="Times New Roman" w:cstheme="minorHAnsi"/>
                <w:sz w:val="20"/>
                <w:szCs w:val="20"/>
                <w:lang w:val="es-ES" w:eastAsia="en-GB"/>
              </w:rPr>
            </w:pPr>
            <w:r w:rsidRPr="00222E6A">
              <w:rPr>
                <w:rFonts w:eastAsia="Times New Roman" w:cstheme="minorHAnsi"/>
                <w:sz w:val="20"/>
                <w:szCs w:val="20"/>
                <w:lang w:val="es-ES" w:eastAsia="en-GB"/>
              </w:rPr>
              <w:t>Viajes</w:t>
            </w:r>
          </w:p>
        </w:tc>
        <w:tc>
          <w:tcPr>
            <w:tcW w:w="850" w:type="dxa"/>
            <w:tcBorders>
              <w:top w:val="nil"/>
              <w:left w:val="nil"/>
              <w:bottom w:val="single" w:sz="4" w:space="0" w:color="auto"/>
              <w:right w:val="single" w:sz="4" w:space="0" w:color="auto"/>
            </w:tcBorders>
            <w:shd w:val="clear" w:color="auto" w:fill="auto"/>
            <w:noWrap/>
            <w:vAlign w:val="center"/>
          </w:tcPr>
          <w:p w14:paraId="1D0F933C" w14:textId="77777777" w:rsidR="00CD1C73" w:rsidRPr="00222E6A" w:rsidDel="00A6664E"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79903292" w14:textId="77777777" w:rsidR="00CD1C73" w:rsidRPr="00222E6A" w:rsidDel="00A6664E"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w:t>
            </w:r>
          </w:p>
        </w:tc>
        <w:tc>
          <w:tcPr>
            <w:tcW w:w="850" w:type="dxa"/>
            <w:tcBorders>
              <w:top w:val="nil"/>
              <w:left w:val="nil"/>
              <w:bottom w:val="single" w:sz="4" w:space="0" w:color="auto"/>
              <w:right w:val="single" w:sz="4" w:space="0" w:color="auto"/>
            </w:tcBorders>
            <w:shd w:val="clear" w:color="auto" w:fill="auto"/>
            <w:noWrap/>
            <w:vAlign w:val="center"/>
          </w:tcPr>
          <w:p w14:paraId="2BF0F9B6" w14:textId="77777777" w:rsidR="00CD1C73" w:rsidRPr="00222E6A" w:rsidDel="00A6664E"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5</w:t>
            </w:r>
          </w:p>
        </w:tc>
        <w:tc>
          <w:tcPr>
            <w:tcW w:w="1135" w:type="dxa"/>
            <w:tcBorders>
              <w:top w:val="nil"/>
              <w:left w:val="nil"/>
              <w:bottom w:val="single" w:sz="4" w:space="0" w:color="auto"/>
              <w:right w:val="single" w:sz="4" w:space="0" w:color="auto"/>
            </w:tcBorders>
            <w:shd w:val="clear" w:color="auto" w:fill="auto"/>
            <w:noWrap/>
            <w:vAlign w:val="center"/>
          </w:tcPr>
          <w:p w14:paraId="56A87988" w14:textId="77777777" w:rsidR="00CD1C73" w:rsidRPr="00222E6A" w:rsidDel="00A6664E"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15</w:t>
            </w:r>
          </w:p>
        </w:tc>
        <w:tc>
          <w:tcPr>
            <w:tcW w:w="1276" w:type="dxa"/>
            <w:tcBorders>
              <w:top w:val="nil"/>
              <w:left w:val="nil"/>
              <w:bottom w:val="single" w:sz="4" w:space="0" w:color="auto"/>
              <w:right w:val="single" w:sz="4" w:space="0" w:color="auto"/>
            </w:tcBorders>
          </w:tcPr>
          <w:p w14:paraId="184B3C03"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(15)</w:t>
            </w:r>
          </w:p>
        </w:tc>
      </w:tr>
      <w:tr w:rsidR="00CD1C73" w:rsidRPr="00222E6A" w14:paraId="7DE9324D"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46ABE22C" w14:textId="368425B9" w:rsidR="00CD1C73" w:rsidRPr="00222E6A" w:rsidRDefault="00E50D18" w:rsidP="00CD1C73">
            <w:pPr>
              <w:spacing w:after="0" w:line="240" w:lineRule="auto"/>
              <w:rPr>
                <w:rFonts w:eastAsia="Times New Roman" w:cstheme="minorHAnsi"/>
                <w:b/>
                <w:bCs/>
                <w:sz w:val="20"/>
                <w:szCs w:val="20"/>
                <w:lang w:val="es-ES" w:eastAsia="en-GB"/>
              </w:rPr>
            </w:pPr>
            <w:r w:rsidRPr="00222E6A">
              <w:rPr>
                <w:b/>
                <w:sz w:val="20"/>
                <w:lang w:val="es-ES"/>
              </w:rPr>
              <w:t>C. Asesoramiento y apoyo regionales</w:t>
            </w:r>
          </w:p>
        </w:tc>
        <w:tc>
          <w:tcPr>
            <w:tcW w:w="850" w:type="dxa"/>
            <w:tcBorders>
              <w:top w:val="nil"/>
              <w:left w:val="nil"/>
              <w:bottom w:val="single" w:sz="4" w:space="0" w:color="auto"/>
              <w:right w:val="single" w:sz="4" w:space="0" w:color="auto"/>
            </w:tcBorders>
            <w:shd w:val="clear" w:color="000000" w:fill="C4D79B"/>
            <w:noWrap/>
            <w:vAlign w:val="center"/>
          </w:tcPr>
          <w:p w14:paraId="4B1094AA" w14:textId="54B414D8"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243</w:t>
            </w:r>
          </w:p>
        </w:tc>
        <w:tc>
          <w:tcPr>
            <w:tcW w:w="851" w:type="dxa"/>
            <w:tcBorders>
              <w:top w:val="nil"/>
              <w:left w:val="nil"/>
              <w:bottom w:val="single" w:sz="4" w:space="0" w:color="auto"/>
              <w:right w:val="single" w:sz="4" w:space="0" w:color="auto"/>
            </w:tcBorders>
            <w:shd w:val="clear" w:color="000000" w:fill="C4D79B"/>
            <w:noWrap/>
            <w:vAlign w:val="center"/>
          </w:tcPr>
          <w:p w14:paraId="56242010" w14:textId="152B0444"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264</w:t>
            </w:r>
          </w:p>
        </w:tc>
        <w:tc>
          <w:tcPr>
            <w:tcW w:w="850" w:type="dxa"/>
            <w:tcBorders>
              <w:top w:val="nil"/>
              <w:left w:val="nil"/>
              <w:bottom w:val="single" w:sz="4" w:space="0" w:color="auto"/>
              <w:right w:val="single" w:sz="4" w:space="0" w:color="auto"/>
            </w:tcBorders>
            <w:shd w:val="clear" w:color="000000" w:fill="C4D79B"/>
            <w:noWrap/>
            <w:vAlign w:val="center"/>
          </w:tcPr>
          <w:p w14:paraId="42EEEBA4" w14:textId="351EEC93"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266</w:t>
            </w:r>
          </w:p>
        </w:tc>
        <w:tc>
          <w:tcPr>
            <w:tcW w:w="1135" w:type="dxa"/>
            <w:tcBorders>
              <w:top w:val="nil"/>
              <w:left w:val="nil"/>
              <w:bottom w:val="single" w:sz="4" w:space="0" w:color="auto"/>
              <w:right w:val="single" w:sz="4" w:space="0" w:color="auto"/>
            </w:tcBorders>
            <w:shd w:val="clear" w:color="000000" w:fill="C4D79B"/>
            <w:noWrap/>
            <w:vAlign w:val="center"/>
          </w:tcPr>
          <w:p w14:paraId="62D2C6A5" w14:textId="3EB44756"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3</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773</w:t>
            </w:r>
          </w:p>
        </w:tc>
        <w:tc>
          <w:tcPr>
            <w:tcW w:w="1276" w:type="dxa"/>
            <w:tcBorders>
              <w:top w:val="nil"/>
              <w:left w:val="nil"/>
              <w:bottom w:val="single" w:sz="4" w:space="0" w:color="auto"/>
              <w:right w:val="single" w:sz="4" w:space="0" w:color="auto"/>
            </w:tcBorders>
            <w:shd w:val="clear" w:color="000000" w:fill="C4D79B"/>
          </w:tcPr>
          <w:p w14:paraId="4B1BA080"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(170)</w:t>
            </w:r>
          </w:p>
        </w:tc>
      </w:tr>
      <w:tr w:rsidR="00CD1C73" w:rsidRPr="00222E6A" w14:paraId="7BC4E08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63BB213" w14:textId="5F34AA2A"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Salarios, gastos sociales y otras prestaciones laborales</w:t>
            </w:r>
          </w:p>
        </w:tc>
        <w:tc>
          <w:tcPr>
            <w:tcW w:w="850" w:type="dxa"/>
            <w:tcBorders>
              <w:top w:val="nil"/>
              <w:left w:val="nil"/>
              <w:bottom w:val="single" w:sz="4" w:space="0" w:color="auto"/>
              <w:right w:val="single" w:sz="4" w:space="0" w:color="auto"/>
            </w:tcBorders>
            <w:shd w:val="clear" w:color="auto" w:fill="auto"/>
            <w:noWrap/>
            <w:vAlign w:val="center"/>
          </w:tcPr>
          <w:p w14:paraId="6B2B77B7" w14:textId="146E0849"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188</w:t>
            </w:r>
          </w:p>
        </w:tc>
        <w:tc>
          <w:tcPr>
            <w:tcW w:w="851" w:type="dxa"/>
            <w:tcBorders>
              <w:top w:val="nil"/>
              <w:left w:val="nil"/>
              <w:bottom w:val="single" w:sz="4" w:space="0" w:color="auto"/>
              <w:right w:val="single" w:sz="4" w:space="0" w:color="auto"/>
            </w:tcBorders>
            <w:shd w:val="clear" w:color="auto" w:fill="auto"/>
            <w:noWrap/>
            <w:vAlign w:val="center"/>
          </w:tcPr>
          <w:p w14:paraId="7D9C8836" w14:textId="3284101B"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209</w:t>
            </w:r>
          </w:p>
        </w:tc>
        <w:tc>
          <w:tcPr>
            <w:tcW w:w="850" w:type="dxa"/>
            <w:tcBorders>
              <w:top w:val="nil"/>
              <w:left w:val="nil"/>
              <w:bottom w:val="single" w:sz="4" w:space="0" w:color="auto"/>
              <w:right w:val="single" w:sz="4" w:space="0" w:color="auto"/>
            </w:tcBorders>
            <w:shd w:val="clear" w:color="auto" w:fill="auto"/>
            <w:noWrap/>
            <w:vAlign w:val="center"/>
          </w:tcPr>
          <w:p w14:paraId="79226CA2" w14:textId="07B6E1CC"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w:t>
            </w:r>
            <w:r w:rsidR="00222E6A" w:rsidRPr="00222E6A">
              <w:rPr>
                <w:rFonts w:eastAsia="Times New Roman" w:cstheme="minorHAnsi"/>
                <w:color w:val="000000"/>
                <w:sz w:val="20"/>
                <w:szCs w:val="20"/>
                <w:lang w:val="es-ES" w:eastAsia="en-GB"/>
              </w:rPr>
              <w:t xml:space="preserve"> </w:t>
            </w:r>
            <w:r w:rsidRPr="00222E6A">
              <w:rPr>
                <w:rFonts w:eastAsia="Times New Roman" w:cstheme="minorHAnsi"/>
                <w:color w:val="000000"/>
                <w:sz w:val="20"/>
                <w:szCs w:val="20"/>
                <w:lang w:val="es-ES" w:eastAsia="en-GB"/>
              </w:rPr>
              <w:t>211</w:t>
            </w:r>
          </w:p>
        </w:tc>
        <w:tc>
          <w:tcPr>
            <w:tcW w:w="1135" w:type="dxa"/>
            <w:tcBorders>
              <w:top w:val="nil"/>
              <w:left w:val="nil"/>
              <w:bottom w:val="single" w:sz="4" w:space="0" w:color="auto"/>
              <w:right w:val="single" w:sz="4" w:space="0" w:color="auto"/>
            </w:tcBorders>
            <w:shd w:val="clear" w:color="auto" w:fill="auto"/>
            <w:noWrap/>
            <w:vAlign w:val="center"/>
          </w:tcPr>
          <w:p w14:paraId="38AE8E25" w14:textId="57150E71"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608</w:t>
            </w:r>
          </w:p>
        </w:tc>
        <w:tc>
          <w:tcPr>
            <w:tcW w:w="1276" w:type="dxa"/>
            <w:tcBorders>
              <w:top w:val="nil"/>
              <w:left w:val="nil"/>
              <w:bottom w:val="single" w:sz="4" w:space="0" w:color="auto"/>
              <w:right w:val="single" w:sz="4" w:space="0" w:color="auto"/>
            </w:tcBorders>
          </w:tcPr>
          <w:p w14:paraId="1B8FEEB2"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(134)</w:t>
            </w:r>
          </w:p>
        </w:tc>
      </w:tr>
      <w:tr w:rsidR="00CD1C73" w:rsidRPr="00222E6A" w14:paraId="228679E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AE782C6" w14:textId="545A8288" w:rsidR="00CD1C73" w:rsidRPr="00222E6A" w:rsidRDefault="00E50D18" w:rsidP="00CD1C73">
            <w:pPr>
              <w:spacing w:after="0" w:line="240" w:lineRule="auto"/>
              <w:rPr>
                <w:rFonts w:eastAsia="Times New Roman" w:cstheme="minorHAnsi"/>
                <w:sz w:val="20"/>
                <w:szCs w:val="20"/>
                <w:lang w:val="es-ES" w:eastAsia="en-GB"/>
              </w:rPr>
            </w:pPr>
            <w:r w:rsidRPr="00222E6A">
              <w:rPr>
                <w:rFonts w:eastAsia="Times New Roman" w:cstheme="minorHAnsi"/>
                <w:sz w:val="20"/>
                <w:szCs w:val="20"/>
                <w:lang w:val="es-ES" w:eastAsia="en-GB"/>
              </w:rPr>
              <w:t>Viajes</w:t>
            </w:r>
          </w:p>
        </w:tc>
        <w:tc>
          <w:tcPr>
            <w:tcW w:w="850" w:type="dxa"/>
            <w:tcBorders>
              <w:top w:val="nil"/>
              <w:left w:val="nil"/>
              <w:bottom w:val="single" w:sz="4" w:space="0" w:color="auto"/>
              <w:right w:val="single" w:sz="4" w:space="0" w:color="auto"/>
            </w:tcBorders>
            <w:shd w:val="clear" w:color="auto" w:fill="auto"/>
            <w:noWrap/>
            <w:vAlign w:val="center"/>
          </w:tcPr>
          <w:p w14:paraId="2E90C205"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55</w:t>
            </w:r>
          </w:p>
        </w:tc>
        <w:tc>
          <w:tcPr>
            <w:tcW w:w="851" w:type="dxa"/>
            <w:tcBorders>
              <w:top w:val="nil"/>
              <w:left w:val="nil"/>
              <w:bottom w:val="single" w:sz="4" w:space="0" w:color="auto"/>
              <w:right w:val="single" w:sz="4" w:space="0" w:color="auto"/>
            </w:tcBorders>
            <w:shd w:val="clear" w:color="auto" w:fill="auto"/>
            <w:noWrap/>
            <w:vAlign w:val="center"/>
          </w:tcPr>
          <w:p w14:paraId="026FF65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55</w:t>
            </w:r>
          </w:p>
        </w:tc>
        <w:tc>
          <w:tcPr>
            <w:tcW w:w="850" w:type="dxa"/>
            <w:tcBorders>
              <w:top w:val="nil"/>
              <w:left w:val="nil"/>
              <w:bottom w:val="single" w:sz="4" w:space="0" w:color="auto"/>
              <w:right w:val="single" w:sz="4" w:space="0" w:color="auto"/>
            </w:tcBorders>
            <w:shd w:val="clear" w:color="auto" w:fill="auto"/>
            <w:noWrap/>
            <w:vAlign w:val="center"/>
          </w:tcPr>
          <w:p w14:paraId="1C4AF846"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55</w:t>
            </w:r>
          </w:p>
        </w:tc>
        <w:tc>
          <w:tcPr>
            <w:tcW w:w="1135" w:type="dxa"/>
            <w:tcBorders>
              <w:top w:val="nil"/>
              <w:left w:val="nil"/>
              <w:bottom w:val="single" w:sz="4" w:space="0" w:color="auto"/>
              <w:right w:val="single" w:sz="4" w:space="0" w:color="auto"/>
            </w:tcBorders>
            <w:shd w:val="clear" w:color="auto" w:fill="auto"/>
            <w:noWrap/>
            <w:vAlign w:val="center"/>
          </w:tcPr>
          <w:p w14:paraId="0323488A"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165</w:t>
            </w:r>
          </w:p>
        </w:tc>
        <w:tc>
          <w:tcPr>
            <w:tcW w:w="1276" w:type="dxa"/>
            <w:tcBorders>
              <w:top w:val="nil"/>
              <w:left w:val="nil"/>
              <w:bottom w:val="single" w:sz="4" w:space="0" w:color="auto"/>
              <w:right w:val="single" w:sz="4" w:space="0" w:color="auto"/>
            </w:tcBorders>
          </w:tcPr>
          <w:p w14:paraId="7BA27599"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(36)</w:t>
            </w:r>
          </w:p>
        </w:tc>
      </w:tr>
      <w:tr w:rsidR="00CD1C73" w:rsidRPr="00222E6A" w14:paraId="1C2686B7"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BFE6A8F" w14:textId="13274BAD" w:rsidR="00CD1C73" w:rsidRPr="00222E6A" w:rsidRDefault="00E50D18" w:rsidP="00CD1C73">
            <w:pPr>
              <w:spacing w:after="0" w:line="240" w:lineRule="auto"/>
              <w:rPr>
                <w:rFonts w:eastAsia="Times New Roman" w:cstheme="minorHAnsi"/>
                <w:b/>
                <w:bCs/>
                <w:sz w:val="20"/>
                <w:szCs w:val="20"/>
                <w:lang w:val="es-ES" w:eastAsia="en-GB"/>
              </w:rPr>
            </w:pPr>
            <w:r w:rsidRPr="00222E6A">
              <w:rPr>
                <w:b/>
                <w:sz w:val="20"/>
                <w:lang w:val="es-ES"/>
              </w:rPr>
              <w:t>D. Apoyo a las iniciativas regionales</w:t>
            </w:r>
          </w:p>
        </w:tc>
        <w:tc>
          <w:tcPr>
            <w:tcW w:w="850" w:type="dxa"/>
            <w:tcBorders>
              <w:top w:val="nil"/>
              <w:left w:val="nil"/>
              <w:bottom w:val="single" w:sz="4" w:space="0" w:color="auto"/>
              <w:right w:val="single" w:sz="4" w:space="0" w:color="auto"/>
            </w:tcBorders>
            <w:shd w:val="clear" w:color="000000" w:fill="C4D79B"/>
            <w:noWrap/>
            <w:vAlign w:val="center"/>
          </w:tcPr>
          <w:p w14:paraId="0A4A9DCF"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0</w:t>
            </w:r>
          </w:p>
        </w:tc>
        <w:tc>
          <w:tcPr>
            <w:tcW w:w="851" w:type="dxa"/>
            <w:tcBorders>
              <w:top w:val="nil"/>
              <w:left w:val="nil"/>
              <w:bottom w:val="single" w:sz="4" w:space="0" w:color="auto"/>
              <w:right w:val="single" w:sz="4" w:space="0" w:color="auto"/>
            </w:tcBorders>
            <w:shd w:val="clear" w:color="000000" w:fill="C4D79B"/>
            <w:noWrap/>
            <w:vAlign w:val="center"/>
          </w:tcPr>
          <w:p w14:paraId="6B94C7F7"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0</w:t>
            </w:r>
          </w:p>
        </w:tc>
        <w:tc>
          <w:tcPr>
            <w:tcW w:w="850" w:type="dxa"/>
            <w:tcBorders>
              <w:top w:val="nil"/>
              <w:left w:val="nil"/>
              <w:bottom w:val="single" w:sz="4" w:space="0" w:color="auto"/>
              <w:right w:val="single" w:sz="4" w:space="0" w:color="auto"/>
            </w:tcBorders>
            <w:shd w:val="clear" w:color="000000" w:fill="C4D79B"/>
            <w:noWrap/>
            <w:vAlign w:val="center"/>
          </w:tcPr>
          <w:p w14:paraId="45C850A8"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0</w:t>
            </w:r>
          </w:p>
        </w:tc>
        <w:tc>
          <w:tcPr>
            <w:tcW w:w="1135" w:type="dxa"/>
            <w:tcBorders>
              <w:top w:val="nil"/>
              <w:left w:val="nil"/>
              <w:bottom w:val="single" w:sz="4" w:space="0" w:color="auto"/>
              <w:right w:val="single" w:sz="4" w:space="0" w:color="auto"/>
            </w:tcBorders>
            <w:shd w:val="clear" w:color="000000" w:fill="C4D79B"/>
            <w:noWrap/>
            <w:vAlign w:val="center"/>
          </w:tcPr>
          <w:p w14:paraId="30CB15AC"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0</w:t>
            </w:r>
          </w:p>
        </w:tc>
        <w:tc>
          <w:tcPr>
            <w:tcW w:w="1276" w:type="dxa"/>
            <w:tcBorders>
              <w:top w:val="nil"/>
              <w:left w:val="nil"/>
              <w:bottom w:val="single" w:sz="4" w:space="0" w:color="auto"/>
              <w:right w:val="single" w:sz="4" w:space="0" w:color="auto"/>
            </w:tcBorders>
            <w:shd w:val="clear" w:color="000000" w:fill="C4D79B"/>
          </w:tcPr>
          <w:p w14:paraId="7A0B3CC0" w14:textId="77777777" w:rsidR="00CD1C73" w:rsidRPr="00222E6A" w:rsidRDefault="00CD1C73" w:rsidP="00CD1C73">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(300)</w:t>
            </w:r>
          </w:p>
        </w:tc>
      </w:tr>
      <w:tr w:rsidR="00CD1C73" w:rsidRPr="00222E6A" w14:paraId="2156305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D0AE2CA" w14:textId="5C22F030"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Redes y centros regionales</w:t>
            </w:r>
          </w:p>
        </w:tc>
        <w:tc>
          <w:tcPr>
            <w:tcW w:w="850" w:type="dxa"/>
            <w:tcBorders>
              <w:top w:val="nil"/>
              <w:left w:val="nil"/>
              <w:bottom w:val="single" w:sz="4" w:space="0" w:color="auto"/>
              <w:right w:val="single" w:sz="4" w:space="0" w:color="auto"/>
            </w:tcBorders>
            <w:shd w:val="clear" w:color="auto" w:fill="auto"/>
            <w:noWrap/>
            <w:vAlign w:val="center"/>
          </w:tcPr>
          <w:p w14:paraId="75AB1DB8"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c>
          <w:tcPr>
            <w:tcW w:w="851" w:type="dxa"/>
            <w:tcBorders>
              <w:top w:val="nil"/>
              <w:left w:val="nil"/>
              <w:bottom w:val="single" w:sz="4" w:space="0" w:color="auto"/>
              <w:right w:val="single" w:sz="4" w:space="0" w:color="auto"/>
            </w:tcBorders>
            <w:shd w:val="clear" w:color="auto" w:fill="auto"/>
            <w:noWrap/>
            <w:vAlign w:val="center"/>
          </w:tcPr>
          <w:p w14:paraId="40A020D7"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c>
          <w:tcPr>
            <w:tcW w:w="850" w:type="dxa"/>
            <w:tcBorders>
              <w:top w:val="nil"/>
              <w:left w:val="nil"/>
              <w:bottom w:val="single" w:sz="4" w:space="0" w:color="auto"/>
              <w:right w:val="single" w:sz="4" w:space="0" w:color="auto"/>
            </w:tcBorders>
            <w:shd w:val="clear" w:color="auto" w:fill="auto"/>
            <w:noWrap/>
            <w:vAlign w:val="center"/>
          </w:tcPr>
          <w:p w14:paraId="5A18C1D4"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0</w:t>
            </w:r>
          </w:p>
        </w:tc>
        <w:tc>
          <w:tcPr>
            <w:tcW w:w="1135" w:type="dxa"/>
            <w:tcBorders>
              <w:top w:val="nil"/>
              <w:left w:val="nil"/>
              <w:bottom w:val="single" w:sz="4" w:space="0" w:color="auto"/>
              <w:right w:val="single" w:sz="4" w:space="0" w:color="auto"/>
            </w:tcBorders>
            <w:shd w:val="clear" w:color="auto" w:fill="auto"/>
            <w:noWrap/>
            <w:vAlign w:val="center"/>
          </w:tcPr>
          <w:p w14:paraId="02D0C72C"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c>
          <w:tcPr>
            <w:tcW w:w="1276" w:type="dxa"/>
            <w:tcBorders>
              <w:top w:val="nil"/>
              <w:left w:val="nil"/>
              <w:bottom w:val="single" w:sz="4" w:space="0" w:color="auto"/>
              <w:right w:val="single" w:sz="4" w:space="0" w:color="auto"/>
            </w:tcBorders>
          </w:tcPr>
          <w:p w14:paraId="1E759EB4"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(300)</w:t>
            </w:r>
          </w:p>
        </w:tc>
      </w:tr>
      <w:tr w:rsidR="00E50D18" w:rsidRPr="00222E6A" w14:paraId="48D623D8"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02886481" w14:textId="72044AA1" w:rsidR="00E50D18" w:rsidRPr="00222E6A" w:rsidRDefault="00E50D18" w:rsidP="00E50D18">
            <w:pPr>
              <w:spacing w:after="0" w:line="240" w:lineRule="auto"/>
              <w:rPr>
                <w:rFonts w:eastAsia="Times New Roman" w:cstheme="minorHAnsi"/>
                <w:b/>
                <w:bCs/>
                <w:sz w:val="20"/>
                <w:szCs w:val="20"/>
                <w:lang w:val="es-ES" w:eastAsia="en-GB"/>
              </w:rPr>
            </w:pPr>
            <w:r w:rsidRPr="00222E6A">
              <w:rPr>
                <w:b/>
                <w:sz w:val="20"/>
                <w:lang w:val="es-ES"/>
              </w:rPr>
              <w:t>E. Ciencia y Políticas</w:t>
            </w:r>
          </w:p>
        </w:tc>
        <w:tc>
          <w:tcPr>
            <w:tcW w:w="850" w:type="dxa"/>
            <w:tcBorders>
              <w:top w:val="nil"/>
              <w:left w:val="nil"/>
              <w:bottom w:val="single" w:sz="4" w:space="0" w:color="auto"/>
              <w:right w:val="single" w:sz="4" w:space="0" w:color="auto"/>
            </w:tcBorders>
            <w:shd w:val="clear" w:color="000000" w:fill="C4D79B"/>
            <w:noWrap/>
            <w:vAlign w:val="center"/>
          </w:tcPr>
          <w:p w14:paraId="45844A82"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851</w:t>
            </w:r>
          </w:p>
        </w:tc>
        <w:tc>
          <w:tcPr>
            <w:tcW w:w="851" w:type="dxa"/>
            <w:tcBorders>
              <w:top w:val="nil"/>
              <w:left w:val="nil"/>
              <w:bottom w:val="single" w:sz="4" w:space="0" w:color="auto"/>
              <w:right w:val="single" w:sz="4" w:space="0" w:color="auto"/>
            </w:tcBorders>
            <w:shd w:val="clear" w:color="000000" w:fill="C4D79B"/>
            <w:noWrap/>
            <w:vAlign w:val="center"/>
          </w:tcPr>
          <w:p w14:paraId="7F2B260E"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848</w:t>
            </w:r>
          </w:p>
        </w:tc>
        <w:tc>
          <w:tcPr>
            <w:tcW w:w="850" w:type="dxa"/>
            <w:tcBorders>
              <w:top w:val="nil"/>
              <w:left w:val="nil"/>
              <w:bottom w:val="single" w:sz="4" w:space="0" w:color="auto"/>
              <w:right w:val="single" w:sz="4" w:space="0" w:color="auto"/>
            </w:tcBorders>
            <w:shd w:val="clear" w:color="000000" w:fill="C4D79B"/>
            <w:noWrap/>
            <w:vAlign w:val="center"/>
          </w:tcPr>
          <w:p w14:paraId="355FED35"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854</w:t>
            </w:r>
          </w:p>
        </w:tc>
        <w:tc>
          <w:tcPr>
            <w:tcW w:w="1135" w:type="dxa"/>
            <w:tcBorders>
              <w:top w:val="nil"/>
              <w:left w:val="nil"/>
              <w:bottom w:val="single" w:sz="4" w:space="0" w:color="auto"/>
              <w:right w:val="single" w:sz="4" w:space="0" w:color="auto"/>
            </w:tcBorders>
            <w:shd w:val="clear" w:color="000000" w:fill="C4D79B"/>
            <w:noWrap/>
            <w:vAlign w:val="center"/>
          </w:tcPr>
          <w:p w14:paraId="3C1BE97D" w14:textId="3CC56B8E"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2</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553</w:t>
            </w:r>
          </w:p>
        </w:tc>
        <w:tc>
          <w:tcPr>
            <w:tcW w:w="1276" w:type="dxa"/>
            <w:tcBorders>
              <w:top w:val="nil"/>
              <w:left w:val="nil"/>
              <w:bottom w:val="single" w:sz="4" w:space="0" w:color="auto"/>
              <w:right w:val="single" w:sz="4" w:space="0" w:color="auto"/>
            </w:tcBorders>
            <w:shd w:val="clear" w:color="000000" w:fill="C4D79B"/>
          </w:tcPr>
          <w:p w14:paraId="15D93515"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76</w:t>
            </w:r>
          </w:p>
        </w:tc>
      </w:tr>
      <w:tr w:rsidR="00CD1C73" w:rsidRPr="00222E6A" w14:paraId="524DC062"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5A29FEAB" w14:textId="76C41F01"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Salarios</w:t>
            </w:r>
            <w:r w:rsidR="00222E6A" w:rsidRPr="00222E6A">
              <w:rPr>
                <w:sz w:val="20"/>
                <w:lang w:val="es-ES"/>
              </w:rPr>
              <w:t xml:space="preserve">, </w:t>
            </w:r>
            <w:r w:rsidRPr="00222E6A">
              <w:rPr>
                <w:sz w:val="20"/>
                <w:lang w:val="es-ES"/>
              </w:rPr>
              <w:t xml:space="preserve"> gastos sociales y otras prestaciones laborales</w:t>
            </w:r>
          </w:p>
        </w:tc>
        <w:tc>
          <w:tcPr>
            <w:tcW w:w="850" w:type="dxa"/>
            <w:tcBorders>
              <w:top w:val="nil"/>
              <w:left w:val="nil"/>
              <w:bottom w:val="single" w:sz="4" w:space="0" w:color="auto"/>
              <w:right w:val="single" w:sz="4" w:space="0" w:color="auto"/>
            </w:tcBorders>
            <w:shd w:val="clear" w:color="auto" w:fill="auto"/>
            <w:noWrap/>
            <w:vAlign w:val="center"/>
          </w:tcPr>
          <w:p w14:paraId="181BC0D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703</w:t>
            </w:r>
          </w:p>
        </w:tc>
        <w:tc>
          <w:tcPr>
            <w:tcW w:w="851" w:type="dxa"/>
            <w:tcBorders>
              <w:top w:val="nil"/>
              <w:left w:val="nil"/>
              <w:bottom w:val="single" w:sz="4" w:space="0" w:color="auto"/>
              <w:right w:val="single" w:sz="4" w:space="0" w:color="auto"/>
            </w:tcBorders>
            <w:shd w:val="clear" w:color="auto" w:fill="auto"/>
            <w:noWrap/>
            <w:vAlign w:val="center"/>
          </w:tcPr>
          <w:p w14:paraId="7BC2907C"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710</w:t>
            </w:r>
          </w:p>
        </w:tc>
        <w:tc>
          <w:tcPr>
            <w:tcW w:w="850" w:type="dxa"/>
            <w:tcBorders>
              <w:top w:val="nil"/>
              <w:left w:val="nil"/>
              <w:bottom w:val="single" w:sz="4" w:space="0" w:color="auto"/>
              <w:right w:val="single" w:sz="4" w:space="0" w:color="auto"/>
            </w:tcBorders>
            <w:shd w:val="clear" w:color="auto" w:fill="auto"/>
            <w:noWrap/>
            <w:vAlign w:val="center"/>
          </w:tcPr>
          <w:p w14:paraId="722DD9B5"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716</w:t>
            </w:r>
          </w:p>
        </w:tc>
        <w:tc>
          <w:tcPr>
            <w:tcW w:w="1135" w:type="dxa"/>
            <w:tcBorders>
              <w:top w:val="nil"/>
              <w:left w:val="nil"/>
              <w:bottom w:val="single" w:sz="4" w:space="0" w:color="auto"/>
              <w:right w:val="single" w:sz="4" w:space="0" w:color="auto"/>
            </w:tcBorders>
            <w:shd w:val="clear" w:color="auto" w:fill="auto"/>
            <w:noWrap/>
            <w:vAlign w:val="center"/>
          </w:tcPr>
          <w:p w14:paraId="6405EDE9" w14:textId="0FC881B4"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129</w:t>
            </w:r>
          </w:p>
        </w:tc>
        <w:tc>
          <w:tcPr>
            <w:tcW w:w="1276" w:type="dxa"/>
            <w:tcBorders>
              <w:top w:val="nil"/>
              <w:left w:val="nil"/>
              <w:bottom w:val="single" w:sz="4" w:space="0" w:color="auto"/>
              <w:right w:val="single" w:sz="4" w:space="0" w:color="auto"/>
            </w:tcBorders>
          </w:tcPr>
          <w:p w14:paraId="5284F8E8"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176</w:t>
            </w:r>
          </w:p>
        </w:tc>
      </w:tr>
      <w:tr w:rsidR="00E50D18" w:rsidRPr="00222E6A" w14:paraId="4767396A"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BDA6338" w14:textId="5D38ECCD"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Trabajo del GECT</w:t>
            </w:r>
          </w:p>
        </w:tc>
        <w:tc>
          <w:tcPr>
            <w:tcW w:w="850" w:type="dxa"/>
            <w:tcBorders>
              <w:top w:val="nil"/>
              <w:left w:val="nil"/>
              <w:bottom w:val="single" w:sz="4" w:space="0" w:color="auto"/>
              <w:right w:val="single" w:sz="4" w:space="0" w:color="auto"/>
            </w:tcBorders>
            <w:shd w:val="clear" w:color="auto" w:fill="auto"/>
            <w:noWrap/>
            <w:vAlign w:val="center"/>
          </w:tcPr>
          <w:p w14:paraId="541D193C"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7B5DEDF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5D7FB88F"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07D821E4"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105</w:t>
            </w:r>
          </w:p>
        </w:tc>
        <w:tc>
          <w:tcPr>
            <w:tcW w:w="1276" w:type="dxa"/>
            <w:tcBorders>
              <w:top w:val="nil"/>
              <w:left w:val="nil"/>
              <w:bottom w:val="single" w:sz="4" w:space="0" w:color="auto"/>
              <w:right w:val="single" w:sz="4" w:space="0" w:color="auto"/>
            </w:tcBorders>
          </w:tcPr>
          <w:p w14:paraId="0998D670"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70BE279E"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5E127039" w14:textId="41B42416"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Viajes de la Presidencia del GECT</w:t>
            </w:r>
          </w:p>
        </w:tc>
        <w:tc>
          <w:tcPr>
            <w:tcW w:w="850" w:type="dxa"/>
            <w:tcBorders>
              <w:top w:val="nil"/>
              <w:left w:val="nil"/>
              <w:bottom w:val="single" w:sz="4" w:space="0" w:color="auto"/>
              <w:right w:val="single" w:sz="4" w:space="0" w:color="auto"/>
            </w:tcBorders>
            <w:shd w:val="clear" w:color="auto" w:fill="auto"/>
            <w:noWrap/>
            <w:vAlign w:val="center"/>
          </w:tcPr>
          <w:p w14:paraId="046816F3" w14:textId="77777777" w:rsidR="00E50D18" w:rsidRPr="00222E6A" w:rsidDel="00A6664E"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28450C65" w14:textId="77777777" w:rsidR="00E50D18" w:rsidRPr="00222E6A" w:rsidDel="00A6664E"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w:t>
            </w:r>
          </w:p>
        </w:tc>
        <w:tc>
          <w:tcPr>
            <w:tcW w:w="850" w:type="dxa"/>
            <w:tcBorders>
              <w:top w:val="nil"/>
              <w:left w:val="nil"/>
              <w:bottom w:val="single" w:sz="4" w:space="0" w:color="auto"/>
              <w:right w:val="single" w:sz="4" w:space="0" w:color="auto"/>
            </w:tcBorders>
            <w:shd w:val="clear" w:color="auto" w:fill="auto"/>
            <w:noWrap/>
            <w:vAlign w:val="center"/>
          </w:tcPr>
          <w:p w14:paraId="7BF9474B" w14:textId="77777777" w:rsidR="00E50D18" w:rsidRPr="00222E6A" w:rsidDel="00A6664E"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5</w:t>
            </w:r>
          </w:p>
        </w:tc>
        <w:tc>
          <w:tcPr>
            <w:tcW w:w="1135" w:type="dxa"/>
            <w:tcBorders>
              <w:top w:val="nil"/>
              <w:left w:val="nil"/>
              <w:bottom w:val="single" w:sz="4" w:space="0" w:color="auto"/>
              <w:right w:val="single" w:sz="4" w:space="0" w:color="auto"/>
            </w:tcBorders>
            <w:shd w:val="clear" w:color="auto" w:fill="auto"/>
            <w:noWrap/>
            <w:vAlign w:val="center"/>
          </w:tcPr>
          <w:p w14:paraId="253108D3" w14:textId="77777777" w:rsidR="00E50D18" w:rsidRPr="00222E6A" w:rsidDel="00A6664E"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15</w:t>
            </w:r>
          </w:p>
        </w:tc>
        <w:tc>
          <w:tcPr>
            <w:tcW w:w="1276" w:type="dxa"/>
            <w:tcBorders>
              <w:top w:val="nil"/>
              <w:left w:val="nil"/>
              <w:bottom w:val="single" w:sz="4" w:space="0" w:color="auto"/>
              <w:right w:val="single" w:sz="4" w:space="0" w:color="auto"/>
            </w:tcBorders>
          </w:tcPr>
          <w:p w14:paraId="652C54CD"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3DF6151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A02CEDC" w14:textId="52085B39"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Reuniones del GECT</w:t>
            </w:r>
          </w:p>
        </w:tc>
        <w:tc>
          <w:tcPr>
            <w:tcW w:w="850" w:type="dxa"/>
            <w:tcBorders>
              <w:top w:val="nil"/>
              <w:left w:val="nil"/>
              <w:bottom w:val="single" w:sz="4" w:space="0" w:color="auto"/>
              <w:right w:val="single" w:sz="4" w:space="0" w:color="auto"/>
            </w:tcBorders>
            <w:shd w:val="clear" w:color="auto" w:fill="auto"/>
            <w:noWrap/>
            <w:vAlign w:val="center"/>
          </w:tcPr>
          <w:p w14:paraId="68C6AE81"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50</w:t>
            </w:r>
          </w:p>
        </w:tc>
        <w:tc>
          <w:tcPr>
            <w:tcW w:w="851" w:type="dxa"/>
            <w:tcBorders>
              <w:top w:val="nil"/>
              <w:left w:val="nil"/>
              <w:bottom w:val="single" w:sz="4" w:space="0" w:color="auto"/>
              <w:right w:val="single" w:sz="4" w:space="0" w:color="auto"/>
            </w:tcBorders>
            <w:shd w:val="clear" w:color="auto" w:fill="auto"/>
            <w:noWrap/>
            <w:vAlign w:val="center"/>
          </w:tcPr>
          <w:p w14:paraId="292169E0"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50</w:t>
            </w:r>
          </w:p>
        </w:tc>
        <w:tc>
          <w:tcPr>
            <w:tcW w:w="850" w:type="dxa"/>
            <w:tcBorders>
              <w:top w:val="nil"/>
              <w:left w:val="nil"/>
              <w:bottom w:val="single" w:sz="4" w:space="0" w:color="auto"/>
              <w:right w:val="single" w:sz="4" w:space="0" w:color="auto"/>
            </w:tcBorders>
            <w:shd w:val="clear" w:color="auto" w:fill="auto"/>
            <w:noWrap/>
            <w:vAlign w:val="center"/>
          </w:tcPr>
          <w:p w14:paraId="01E77625"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50</w:t>
            </w:r>
          </w:p>
        </w:tc>
        <w:tc>
          <w:tcPr>
            <w:tcW w:w="1135" w:type="dxa"/>
            <w:tcBorders>
              <w:top w:val="nil"/>
              <w:left w:val="nil"/>
              <w:bottom w:val="single" w:sz="4" w:space="0" w:color="auto"/>
              <w:right w:val="single" w:sz="4" w:space="0" w:color="auto"/>
            </w:tcBorders>
            <w:shd w:val="clear" w:color="auto" w:fill="auto"/>
            <w:noWrap/>
            <w:vAlign w:val="center"/>
          </w:tcPr>
          <w:p w14:paraId="27AC0CA9"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150</w:t>
            </w:r>
          </w:p>
        </w:tc>
        <w:tc>
          <w:tcPr>
            <w:tcW w:w="1276" w:type="dxa"/>
            <w:tcBorders>
              <w:top w:val="nil"/>
              <w:left w:val="nil"/>
              <w:bottom w:val="single" w:sz="4" w:space="0" w:color="auto"/>
              <w:right w:val="single" w:sz="4" w:space="0" w:color="auto"/>
            </w:tcBorders>
          </w:tcPr>
          <w:p w14:paraId="0E6E711D"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CD1C73" w:rsidRPr="00222E6A" w14:paraId="1E2907A8"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2494E07D" w14:textId="23FF5879"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Servicio de Información sobre Sitios Ramsar y Sistema de datos de los informes nacionales (Mantenimiento y desarrollo)</w:t>
            </w:r>
          </w:p>
        </w:tc>
        <w:tc>
          <w:tcPr>
            <w:tcW w:w="850" w:type="dxa"/>
            <w:tcBorders>
              <w:top w:val="nil"/>
              <w:left w:val="nil"/>
              <w:bottom w:val="single" w:sz="4" w:space="0" w:color="auto"/>
              <w:right w:val="single" w:sz="4" w:space="0" w:color="auto"/>
            </w:tcBorders>
            <w:shd w:val="clear" w:color="auto" w:fill="auto"/>
            <w:noWrap/>
            <w:vAlign w:val="center"/>
          </w:tcPr>
          <w:p w14:paraId="7E74E4E9"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657EC61D"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4B832FF5"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02D3B9A7"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100</w:t>
            </w:r>
          </w:p>
        </w:tc>
        <w:tc>
          <w:tcPr>
            <w:tcW w:w="1276" w:type="dxa"/>
            <w:tcBorders>
              <w:top w:val="nil"/>
              <w:left w:val="nil"/>
              <w:bottom w:val="single" w:sz="4" w:space="0" w:color="auto"/>
              <w:right w:val="single" w:sz="4" w:space="0" w:color="auto"/>
            </w:tcBorders>
          </w:tcPr>
          <w:p w14:paraId="0F85E183"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(100)</w:t>
            </w:r>
          </w:p>
        </w:tc>
      </w:tr>
      <w:tr w:rsidR="00CD1C73" w:rsidRPr="00222E6A" w14:paraId="19C172E9"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271770D4" w14:textId="6F276C6C" w:rsidR="00CD1C73" w:rsidRPr="00222E6A" w:rsidRDefault="00E50D18" w:rsidP="00CD1C73">
            <w:pPr>
              <w:spacing w:after="0" w:line="240" w:lineRule="auto"/>
              <w:rPr>
                <w:rFonts w:eastAsia="Times New Roman" w:cstheme="minorHAnsi"/>
                <w:sz w:val="20"/>
                <w:szCs w:val="20"/>
                <w:lang w:val="es-ES" w:eastAsia="en-GB"/>
              </w:rPr>
            </w:pPr>
            <w:r w:rsidRPr="00222E6A">
              <w:rPr>
                <w:rFonts w:eastAsia="Times New Roman" w:cstheme="minorHAnsi"/>
                <w:sz w:val="20"/>
                <w:szCs w:val="20"/>
                <w:lang w:val="es-ES" w:eastAsia="en-GB"/>
              </w:rPr>
              <w:t>Viajes</w:t>
            </w:r>
          </w:p>
        </w:tc>
        <w:tc>
          <w:tcPr>
            <w:tcW w:w="850" w:type="dxa"/>
            <w:tcBorders>
              <w:top w:val="nil"/>
              <w:left w:val="nil"/>
              <w:bottom w:val="single" w:sz="4" w:space="0" w:color="auto"/>
              <w:right w:val="single" w:sz="4" w:space="0" w:color="auto"/>
            </w:tcBorders>
            <w:shd w:val="clear" w:color="auto" w:fill="auto"/>
            <w:noWrap/>
            <w:vAlign w:val="center"/>
          </w:tcPr>
          <w:p w14:paraId="495042B7" w14:textId="77777777" w:rsidR="00CD1C73" w:rsidRPr="00222E6A" w:rsidDel="00A6664E"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18</w:t>
            </w:r>
          </w:p>
        </w:tc>
        <w:tc>
          <w:tcPr>
            <w:tcW w:w="851" w:type="dxa"/>
            <w:tcBorders>
              <w:top w:val="nil"/>
              <w:left w:val="nil"/>
              <w:bottom w:val="single" w:sz="4" w:space="0" w:color="auto"/>
              <w:right w:val="single" w:sz="4" w:space="0" w:color="auto"/>
            </w:tcBorders>
            <w:shd w:val="clear" w:color="auto" w:fill="auto"/>
            <w:noWrap/>
            <w:vAlign w:val="center"/>
          </w:tcPr>
          <w:p w14:paraId="271C4E2F" w14:textId="77777777" w:rsidR="00CD1C73" w:rsidRPr="00222E6A" w:rsidDel="00A6664E"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18</w:t>
            </w:r>
          </w:p>
        </w:tc>
        <w:tc>
          <w:tcPr>
            <w:tcW w:w="850" w:type="dxa"/>
            <w:tcBorders>
              <w:top w:val="nil"/>
              <w:left w:val="nil"/>
              <w:bottom w:val="single" w:sz="4" w:space="0" w:color="auto"/>
              <w:right w:val="single" w:sz="4" w:space="0" w:color="auto"/>
            </w:tcBorders>
            <w:shd w:val="clear" w:color="auto" w:fill="auto"/>
            <w:noWrap/>
            <w:vAlign w:val="center"/>
          </w:tcPr>
          <w:p w14:paraId="03F0238A" w14:textId="77777777" w:rsidR="00CD1C73" w:rsidRPr="00222E6A" w:rsidDel="00A6664E"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18</w:t>
            </w:r>
          </w:p>
        </w:tc>
        <w:tc>
          <w:tcPr>
            <w:tcW w:w="1135" w:type="dxa"/>
            <w:tcBorders>
              <w:top w:val="nil"/>
              <w:left w:val="nil"/>
              <w:bottom w:val="single" w:sz="4" w:space="0" w:color="auto"/>
              <w:right w:val="single" w:sz="4" w:space="0" w:color="auto"/>
            </w:tcBorders>
            <w:shd w:val="clear" w:color="auto" w:fill="auto"/>
            <w:noWrap/>
            <w:vAlign w:val="center"/>
          </w:tcPr>
          <w:p w14:paraId="2E901D08" w14:textId="77777777" w:rsidR="00CD1C73" w:rsidRPr="00222E6A" w:rsidDel="00A6664E"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54</w:t>
            </w:r>
          </w:p>
        </w:tc>
        <w:tc>
          <w:tcPr>
            <w:tcW w:w="1276" w:type="dxa"/>
            <w:tcBorders>
              <w:top w:val="nil"/>
              <w:left w:val="nil"/>
              <w:bottom w:val="single" w:sz="4" w:space="0" w:color="auto"/>
              <w:right w:val="single" w:sz="4" w:space="0" w:color="auto"/>
            </w:tcBorders>
          </w:tcPr>
          <w:p w14:paraId="69B682B6"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7C7318E5"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2D62129D" w14:textId="06135DE2" w:rsidR="00E50D18" w:rsidRPr="00222E6A" w:rsidRDefault="00E50D18" w:rsidP="00E50D18">
            <w:pPr>
              <w:spacing w:after="0" w:line="240" w:lineRule="auto"/>
              <w:rPr>
                <w:rFonts w:eastAsia="Times New Roman" w:cstheme="minorHAnsi"/>
                <w:b/>
                <w:bCs/>
                <w:sz w:val="20"/>
                <w:szCs w:val="20"/>
                <w:lang w:val="es-ES" w:eastAsia="en-GB"/>
              </w:rPr>
            </w:pPr>
            <w:r w:rsidRPr="00222E6A">
              <w:rPr>
                <w:b/>
                <w:sz w:val="20"/>
                <w:lang w:val="es-ES"/>
              </w:rPr>
              <w:t>F. Administración</w:t>
            </w:r>
          </w:p>
        </w:tc>
        <w:tc>
          <w:tcPr>
            <w:tcW w:w="850" w:type="dxa"/>
            <w:tcBorders>
              <w:top w:val="nil"/>
              <w:left w:val="nil"/>
              <w:bottom w:val="single" w:sz="4" w:space="0" w:color="auto"/>
              <w:right w:val="single" w:sz="4" w:space="0" w:color="auto"/>
            </w:tcBorders>
            <w:shd w:val="clear" w:color="000000" w:fill="C4D79B"/>
            <w:noWrap/>
            <w:vAlign w:val="center"/>
          </w:tcPr>
          <w:p w14:paraId="2670CCD4"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467</w:t>
            </w:r>
          </w:p>
        </w:tc>
        <w:tc>
          <w:tcPr>
            <w:tcW w:w="851" w:type="dxa"/>
            <w:tcBorders>
              <w:top w:val="nil"/>
              <w:left w:val="nil"/>
              <w:bottom w:val="single" w:sz="4" w:space="0" w:color="auto"/>
              <w:right w:val="single" w:sz="4" w:space="0" w:color="auto"/>
            </w:tcBorders>
            <w:shd w:val="clear" w:color="000000" w:fill="C4D79B"/>
            <w:noWrap/>
            <w:vAlign w:val="center"/>
          </w:tcPr>
          <w:p w14:paraId="506EB8E8"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445</w:t>
            </w:r>
          </w:p>
        </w:tc>
        <w:tc>
          <w:tcPr>
            <w:tcW w:w="850" w:type="dxa"/>
            <w:tcBorders>
              <w:top w:val="nil"/>
              <w:left w:val="nil"/>
              <w:bottom w:val="single" w:sz="4" w:space="0" w:color="auto"/>
              <w:right w:val="single" w:sz="4" w:space="0" w:color="auto"/>
            </w:tcBorders>
            <w:shd w:val="clear" w:color="000000" w:fill="C4D79B"/>
            <w:noWrap/>
            <w:vAlign w:val="center"/>
          </w:tcPr>
          <w:p w14:paraId="42B87898"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421</w:t>
            </w:r>
          </w:p>
        </w:tc>
        <w:tc>
          <w:tcPr>
            <w:tcW w:w="1135" w:type="dxa"/>
            <w:tcBorders>
              <w:top w:val="nil"/>
              <w:left w:val="nil"/>
              <w:bottom w:val="single" w:sz="4" w:space="0" w:color="auto"/>
              <w:right w:val="single" w:sz="4" w:space="0" w:color="auto"/>
            </w:tcBorders>
            <w:shd w:val="clear" w:color="000000" w:fill="C4D79B"/>
            <w:noWrap/>
            <w:vAlign w:val="center"/>
          </w:tcPr>
          <w:p w14:paraId="39F730AB" w14:textId="06BB7BF9"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333</w:t>
            </w:r>
          </w:p>
        </w:tc>
        <w:tc>
          <w:tcPr>
            <w:tcW w:w="1276" w:type="dxa"/>
            <w:tcBorders>
              <w:top w:val="nil"/>
              <w:left w:val="nil"/>
              <w:bottom w:val="single" w:sz="4" w:space="0" w:color="auto"/>
              <w:right w:val="single" w:sz="4" w:space="0" w:color="auto"/>
            </w:tcBorders>
            <w:shd w:val="clear" w:color="000000" w:fill="C4D79B"/>
          </w:tcPr>
          <w:p w14:paraId="5B12D49B"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(97)</w:t>
            </w:r>
          </w:p>
        </w:tc>
      </w:tr>
      <w:tr w:rsidR="00CD1C73" w:rsidRPr="00222E6A" w14:paraId="19BAED98"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68EFA2E" w14:textId="319077B3" w:rsidR="00CD1C73" w:rsidRPr="00222E6A" w:rsidRDefault="00E50D18" w:rsidP="00CD1C73">
            <w:pPr>
              <w:spacing w:after="0" w:line="240" w:lineRule="auto"/>
              <w:rPr>
                <w:rFonts w:eastAsia="Times New Roman" w:cstheme="minorHAnsi"/>
                <w:sz w:val="20"/>
                <w:szCs w:val="20"/>
                <w:lang w:val="es-ES" w:eastAsia="en-GB"/>
              </w:rPr>
            </w:pPr>
            <w:r w:rsidRPr="00222E6A">
              <w:rPr>
                <w:sz w:val="20"/>
                <w:lang w:val="es-ES"/>
              </w:rPr>
              <w:t>Salarios</w:t>
            </w:r>
            <w:r w:rsidR="00222E6A" w:rsidRPr="00222E6A">
              <w:rPr>
                <w:sz w:val="20"/>
                <w:lang w:val="es-ES"/>
              </w:rPr>
              <w:t xml:space="preserve">, </w:t>
            </w:r>
            <w:r w:rsidRPr="00222E6A">
              <w:rPr>
                <w:sz w:val="20"/>
                <w:lang w:val="es-ES"/>
              </w:rPr>
              <w:t>gastos sociales y otras prestaciones laborales</w:t>
            </w:r>
          </w:p>
        </w:tc>
        <w:tc>
          <w:tcPr>
            <w:tcW w:w="850" w:type="dxa"/>
            <w:tcBorders>
              <w:top w:val="nil"/>
              <w:left w:val="nil"/>
              <w:bottom w:val="single" w:sz="4" w:space="0" w:color="auto"/>
              <w:right w:val="single" w:sz="4" w:space="0" w:color="auto"/>
            </w:tcBorders>
            <w:shd w:val="clear" w:color="auto" w:fill="auto"/>
            <w:noWrap/>
            <w:vAlign w:val="center"/>
          </w:tcPr>
          <w:p w14:paraId="1620B39F"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372</w:t>
            </w:r>
          </w:p>
        </w:tc>
        <w:tc>
          <w:tcPr>
            <w:tcW w:w="851" w:type="dxa"/>
            <w:tcBorders>
              <w:top w:val="nil"/>
              <w:left w:val="nil"/>
              <w:bottom w:val="single" w:sz="4" w:space="0" w:color="auto"/>
              <w:right w:val="single" w:sz="4" w:space="0" w:color="auto"/>
            </w:tcBorders>
            <w:shd w:val="clear" w:color="auto" w:fill="auto"/>
            <w:noWrap/>
            <w:vAlign w:val="center"/>
          </w:tcPr>
          <w:p w14:paraId="7F97865E"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375</w:t>
            </w:r>
          </w:p>
        </w:tc>
        <w:tc>
          <w:tcPr>
            <w:tcW w:w="850" w:type="dxa"/>
            <w:tcBorders>
              <w:top w:val="nil"/>
              <w:left w:val="nil"/>
              <w:bottom w:val="single" w:sz="4" w:space="0" w:color="auto"/>
              <w:right w:val="single" w:sz="4" w:space="0" w:color="auto"/>
            </w:tcBorders>
            <w:shd w:val="clear" w:color="auto" w:fill="auto"/>
            <w:noWrap/>
            <w:vAlign w:val="center"/>
          </w:tcPr>
          <w:p w14:paraId="730AB969" w14:textId="77777777" w:rsidR="00CD1C73" w:rsidRPr="00222E6A" w:rsidRDefault="00CD1C73" w:rsidP="00CD1C73">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379</w:t>
            </w:r>
          </w:p>
        </w:tc>
        <w:tc>
          <w:tcPr>
            <w:tcW w:w="1135" w:type="dxa"/>
            <w:tcBorders>
              <w:top w:val="nil"/>
              <w:left w:val="nil"/>
              <w:bottom w:val="single" w:sz="4" w:space="0" w:color="auto"/>
              <w:right w:val="single" w:sz="4" w:space="0" w:color="auto"/>
            </w:tcBorders>
            <w:shd w:val="clear" w:color="auto" w:fill="auto"/>
            <w:noWrap/>
            <w:vAlign w:val="center"/>
          </w:tcPr>
          <w:p w14:paraId="7D77D552" w14:textId="346883DA"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126</w:t>
            </w:r>
          </w:p>
        </w:tc>
        <w:tc>
          <w:tcPr>
            <w:tcW w:w="1276" w:type="dxa"/>
            <w:tcBorders>
              <w:top w:val="nil"/>
              <w:left w:val="nil"/>
              <w:bottom w:val="single" w:sz="4" w:space="0" w:color="auto"/>
              <w:right w:val="single" w:sz="4" w:space="0" w:color="auto"/>
            </w:tcBorders>
          </w:tcPr>
          <w:p w14:paraId="793FA572" w14:textId="77777777" w:rsidR="00CD1C73" w:rsidRPr="00222E6A" w:rsidRDefault="00CD1C73" w:rsidP="00CD1C73">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133</w:t>
            </w:r>
          </w:p>
        </w:tc>
      </w:tr>
      <w:tr w:rsidR="00E50D18" w:rsidRPr="00222E6A" w14:paraId="338071F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33399857" w14:textId="09E4F88F"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Costos de contratación y separación del personal</w:t>
            </w:r>
          </w:p>
        </w:tc>
        <w:tc>
          <w:tcPr>
            <w:tcW w:w="850" w:type="dxa"/>
            <w:tcBorders>
              <w:top w:val="nil"/>
              <w:left w:val="nil"/>
              <w:bottom w:val="single" w:sz="4" w:space="0" w:color="auto"/>
              <w:right w:val="single" w:sz="4" w:space="0" w:color="auto"/>
            </w:tcBorders>
            <w:shd w:val="clear" w:color="auto" w:fill="auto"/>
            <w:noWrap/>
            <w:vAlign w:val="center"/>
          </w:tcPr>
          <w:p w14:paraId="43961D51"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55</w:t>
            </w:r>
          </w:p>
        </w:tc>
        <w:tc>
          <w:tcPr>
            <w:tcW w:w="851" w:type="dxa"/>
            <w:tcBorders>
              <w:top w:val="nil"/>
              <w:left w:val="nil"/>
              <w:bottom w:val="single" w:sz="4" w:space="0" w:color="auto"/>
              <w:right w:val="single" w:sz="4" w:space="0" w:color="auto"/>
            </w:tcBorders>
            <w:shd w:val="clear" w:color="auto" w:fill="auto"/>
            <w:noWrap/>
            <w:vAlign w:val="center"/>
          </w:tcPr>
          <w:p w14:paraId="70EF92DA"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31E19AA6"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16</w:t>
            </w:r>
          </w:p>
        </w:tc>
        <w:tc>
          <w:tcPr>
            <w:tcW w:w="1135" w:type="dxa"/>
            <w:tcBorders>
              <w:top w:val="nil"/>
              <w:left w:val="nil"/>
              <w:bottom w:val="single" w:sz="4" w:space="0" w:color="auto"/>
              <w:right w:val="single" w:sz="4" w:space="0" w:color="auto"/>
            </w:tcBorders>
            <w:shd w:val="clear" w:color="auto" w:fill="auto"/>
            <w:noWrap/>
            <w:vAlign w:val="center"/>
          </w:tcPr>
          <w:p w14:paraId="36F6AA0C"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101</w:t>
            </w:r>
          </w:p>
        </w:tc>
        <w:tc>
          <w:tcPr>
            <w:tcW w:w="1276" w:type="dxa"/>
            <w:tcBorders>
              <w:top w:val="nil"/>
              <w:left w:val="nil"/>
              <w:bottom w:val="single" w:sz="4" w:space="0" w:color="auto"/>
              <w:right w:val="single" w:sz="4" w:space="0" w:color="auto"/>
            </w:tcBorders>
          </w:tcPr>
          <w:p w14:paraId="2FE65CBC"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(51)</w:t>
            </w:r>
          </w:p>
        </w:tc>
      </w:tr>
      <w:tr w:rsidR="00E50D18" w:rsidRPr="00222E6A" w14:paraId="4D12FD6E"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1A1BAA5" w14:textId="4E6C4E14"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Equipo/material de oficina</w:t>
            </w:r>
          </w:p>
        </w:tc>
        <w:tc>
          <w:tcPr>
            <w:tcW w:w="850" w:type="dxa"/>
            <w:tcBorders>
              <w:top w:val="nil"/>
              <w:left w:val="nil"/>
              <w:bottom w:val="single" w:sz="4" w:space="0" w:color="auto"/>
              <w:right w:val="single" w:sz="4" w:space="0" w:color="auto"/>
            </w:tcBorders>
            <w:shd w:val="clear" w:color="auto" w:fill="auto"/>
            <w:noWrap/>
            <w:vAlign w:val="center"/>
          </w:tcPr>
          <w:p w14:paraId="14822D93"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611B2DE0"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6ABBE388"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26</w:t>
            </w:r>
          </w:p>
        </w:tc>
        <w:tc>
          <w:tcPr>
            <w:tcW w:w="1135" w:type="dxa"/>
            <w:tcBorders>
              <w:top w:val="nil"/>
              <w:left w:val="nil"/>
              <w:bottom w:val="single" w:sz="4" w:space="0" w:color="auto"/>
              <w:right w:val="single" w:sz="4" w:space="0" w:color="auto"/>
            </w:tcBorders>
            <w:shd w:val="clear" w:color="auto" w:fill="auto"/>
            <w:noWrap/>
            <w:vAlign w:val="center"/>
          </w:tcPr>
          <w:p w14:paraId="4514CD98"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106</w:t>
            </w:r>
          </w:p>
        </w:tc>
        <w:tc>
          <w:tcPr>
            <w:tcW w:w="1276" w:type="dxa"/>
            <w:tcBorders>
              <w:top w:val="nil"/>
              <w:left w:val="nil"/>
              <w:bottom w:val="single" w:sz="4" w:space="0" w:color="auto"/>
              <w:right w:val="single" w:sz="4" w:space="0" w:color="auto"/>
            </w:tcBorders>
          </w:tcPr>
          <w:p w14:paraId="4A201D5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(179)</w:t>
            </w:r>
          </w:p>
        </w:tc>
      </w:tr>
      <w:tr w:rsidR="00E50D18" w:rsidRPr="00222E6A" w14:paraId="32664EF7"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6C9148D7" w14:textId="5773DF16"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Planificación y creación de capacidad</w:t>
            </w:r>
          </w:p>
        </w:tc>
        <w:tc>
          <w:tcPr>
            <w:tcW w:w="850" w:type="dxa"/>
            <w:tcBorders>
              <w:top w:val="nil"/>
              <w:left w:val="nil"/>
              <w:bottom w:val="single" w:sz="4" w:space="0" w:color="auto"/>
              <w:right w:val="single" w:sz="4" w:space="0" w:color="auto"/>
            </w:tcBorders>
            <w:shd w:val="clear" w:color="auto" w:fill="auto"/>
            <w:noWrap/>
            <w:vAlign w:val="center"/>
          </w:tcPr>
          <w:p w14:paraId="1CA43ED1"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c>
          <w:tcPr>
            <w:tcW w:w="851" w:type="dxa"/>
            <w:tcBorders>
              <w:top w:val="nil"/>
              <w:left w:val="nil"/>
              <w:bottom w:val="single" w:sz="4" w:space="0" w:color="auto"/>
              <w:right w:val="single" w:sz="4" w:space="0" w:color="auto"/>
            </w:tcBorders>
            <w:shd w:val="clear" w:color="auto" w:fill="auto"/>
            <w:noWrap/>
            <w:vAlign w:val="center"/>
          </w:tcPr>
          <w:p w14:paraId="640AA22E"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 0</w:t>
            </w:r>
          </w:p>
        </w:tc>
        <w:tc>
          <w:tcPr>
            <w:tcW w:w="850" w:type="dxa"/>
            <w:tcBorders>
              <w:top w:val="nil"/>
              <w:left w:val="nil"/>
              <w:bottom w:val="single" w:sz="4" w:space="0" w:color="auto"/>
              <w:right w:val="single" w:sz="4" w:space="0" w:color="auto"/>
            </w:tcBorders>
            <w:shd w:val="clear" w:color="auto" w:fill="auto"/>
            <w:noWrap/>
            <w:vAlign w:val="center"/>
          </w:tcPr>
          <w:p w14:paraId="06FC98C7"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0</w:t>
            </w:r>
          </w:p>
        </w:tc>
        <w:tc>
          <w:tcPr>
            <w:tcW w:w="1135" w:type="dxa"/>
            <w:tcBorders>
              <w:top w:val="nil"/>
              <w:left w:val="nil"/>
              <w:bottom w:val="single" w:sz="4" w:space="0" w:color="auto"/>
              <w:right w:val="single" w:sz="4" w:space="0" w:color="auto"/>
            </w:tcBorders>
            <w:shd w:val="clear" w:color="auto" w:fill="auto"/>
            <w:noWrap/>
            <w:vAlign w:val="center"/>
          </w:tcPr>
          <w:p w14:paraId="237DCA82"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c>
          <w:tcPr>
            <w:tcW w:w="1276" w:type="dxa"/>
            <w:tcBorders>
              <w:top w:val="nil"/>
              <w:left w:val="nil"/>
              <w:bottom w:val="single" w:sz="4" w:space="0" w:color="auto"/>
              <w:right w:val="single" w:sz="4" w:space="0" w:color="auto"/>
            </w:tcBorders>
          </w:tcPr>
          <w:p w14:paraId="2BCEAA41"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535DBEB0"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9F01AEC" w14:textId="56EF3025" w:rsidR="00E50D18" w:rsidRPr="00222E6A" w:rsidRDefault="00E50D18" w:rsidP="00E50D18">
            <w:pPr>
              <w:spacing w:after="0" w:line="240" w:lineRule="auto"/>
              <w:rPr>
                <w:rFonts w:eastAsia="Times New Roman" w:cstheme="minorHAnsi"/>
                <w:b/>
                <w:bCs/>
                <w:sz w:val="20"/>
                <w:szCs w:val="20"/>
                <w:lang w:val="es-ES" w:eastAsia="en-GB"/>
              </w:rPr>
            </w:pPr>
            <w:r w:rsidRPr="00222E6A">
              <w:rPr>
                <w:b/>
                <w:sz w:val="20"/>
                <w:lang w:val="es-ES"/>
              </w:rPr>
              <w:t>G. Servicios del Comité Permanente</w:t>
            </w:r>
          </w:p>
        </w:tc>
        <w:tc>
          <w:tcPr>
            <w:tcW w:w="850" w:type="dxa"/>
            <w:tcBorders>
              <w:top w:val="nil"/>
              <w:left w:val="nil"/>
              <w:bottom w:val="single" w:sz="4" w:space="0" w:color="auto"/>
              <w:right w:val="single" w:sz="4" w:space="0" w:color="auto"/>
            </w:tcBorders>
            <w:shd w:val="clear" w:color="000000" w:fill="C4D79B"/>
            <w:noWrap/>
            <w:vAlign w:val="center"/>
          </w:tcPr>
          <w:p w14:paraId="2B458443"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175</w:t>
            </w:r>
          </w:p>
        </w:tc>
        <w:tc>
          <w:tcPr>
            <w:tcW w:w="851" w:type="dxa"/>
            <w:tcBorders>
              <w:top w:val="nil"/>
              <w:left w:val="nil"/>
              <w:bottom w:val="single" w:sz="4" w:space="0" w:color="auto"/>
              <w:right w:val="single" w:sz="4" w:space="0" w:color="auto"/>
            </w:tcBorders>
            <w:shd w:val="clear" w:color="000000" w:fill="C4D79B"/>
            <w:noWrap/>
            <w:vAlign w:val="center"/>
          </w:tcPr>
          <w:p w14:paraId="24EFBE7B"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175</w:t>
            </w:r>
          </w:p>
        </w:tc>
        <w:tc>
          <w:tcPr>
            <w:tcW w:w="850" w:type="dxa"/>
            <w:tcBorders>
              <w:top w:val="nil"/>
              <w:left w:val="nil"/>
              <w:bottom w:val="single" w:sz="4" w:space="0" w:color="auto"/>
              <w:right w:val="single" w:sz="4" w:space="0" w:color="auto"/>
            </w:tcBorders>
            <w:shd w:val="clear" w:color="000000" w:fill="C4D79B"/>
            <w:noWrap/>
            <w:vAlign w:val="center"/>
          </w:tcPr>
          <w:p w14:paraId="1C6B3ABE"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175</w:t>
            </w:r>
          </w:p>
        </w:tc>
        <w:tc>
          <w:tcPr>
            <w:tcW w:w="1135" w:type="dxa"/>
            <w:tcBorders>
              <w:top w:val="nil"/>
              <w:left w:val="nil"/>
              <w:bottom w:val="single" w:sz="4" w:space="0" w:color="auto"/>
              <w:right w:val="single" w:sz="4" w:space="0" w:color="auto"/>
            </w:tcBorders>
            <w:shd w:val="clear" w:color="000000" w:fill="C4D79B"/>
            <w:noWrap/>
            <w:vAlign w:val="center"/>
          </w:tcPr>
          <w:p w14:paraId="58B95E7E"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525</w:t>
            </w:r>
          </w:p>
        </w:tc>
        <w:tc>
          <w:tcPr>
            <w:tcW w:w="1276" w:type="dxa"/>
            <w:tcBorders>
              <w:top w:val="nil"/>
              <w:left w:val="nil"/>
              <w:bottom w:val="single" w:sz="4" w:space="0" w:color="auto"/>
              <w:right w:val="single" w:sz="4" w:space="0" w:color="auto"/>
            </w:tcBorders>
            <w:shd w:val="clear" w:color="000000" w:fill="C4D79B"/>
          </w:tcPr>
          <w:p w14:paraId="5A6AEEF3"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75</w:t>
            </w:r>
          </w:p>
        </w:tc>
      </w:tr>
      <w:tr w:rsidR="00E50D18" w:rsidRPr="00222E6A" w14:paraId="5CCBE82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E693AAE" w14:textId="27F798FB"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Apoyo a los delegados del Comité Permanente</w:t>
            </w:r>
          </w:p>
        </w:tc>
        <w:tc>
          <w:tcPr>
            <w:tcW w:w="850" w:type="dxa"/>
            <w:tcBorders>
              <w:top w:val="nil"/>
              <w:left w:val="nil"/>
              <w:bottom w:val="single" w:sz="4" w:space="0" w:color="auto"/>
              <w:right w:val="single" w:sz="4" w:space="0" w:color="auto"/>
            </w:tcBorders>
            <w:shd w:val="clear" w:color="auto" w:fill="auto"/>
            <w:noWrap/>
            <w:vAlign w:val="center"/>
          </w:tcPr>
          <w:p w14:paraId="35FD0FC3"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45</w:t>
            </w:r>
          </w:p>
        </w:tc>
        <w:tc>
          <w:tcPr>
            <w:tcW w:w="851" w:type="dxa"/>
            <w:tcBorders>
              <w:top w:val="nil"/>
              <w:left w:val="nil"/>
              <w:bottom w:val="single" w:sz="4" w:space="0" w:color="auto"/>
              <w:right w:val="single" w:sz="4" w:space="0" w:color="auto"/>
            </w:tcBorders>
            <w:shd w:val="clear" w:color="auto" w:fill="auto"/>
            <w:noWrap/>
            <w:vAlign w:val="center"/>
          </w:tcPr>
          <w:p w14:paraId="48526A8E"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45</w:t>
            </w:r>
          </w:p>
        </w:tc>
        <w:tc>
          <w:tcPr>
            <w:tcW w:w="850" w:type="dxa"/>
            <w:tcBorders>
              <w:top w:val="nil"/>
              <w:left w:val="nil"/>
              <w:bottom w:val="single" w:sz="4" w:space="0" w:color="auto"/>
              <w:right w:val="single" w:sz="4" w:space="0" w:color="auto"/>
            </w:tcBorders>
            <w:shd w:val="clear" w:color="auto" w:fill="auto"/>
            <w:noWrap/>
            <w:vAlign w:val="center"/>
          </w:tcPr>
          <w:p w14:paraId="1CCEA4B4"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45</w:t>
            </w:r>
          </w:p>
        </w:tc>
        <w:tc>
          <w:tcPr>
            <w:tcW w:w="1135" w:type="dxa"/>
            <w:tcBorders>
              <w:top w:val="nil"/>
              <w:left w:val="nil"/>
              <w:bottom w:val="single" w:sz="4" w:space="0" w:color="auto"/>
              <w:right w:val="single" w:sz="4" w:space="0" w:color="auto"/>
            </w:tcBorders>
            <w:shd w:val="clear" w:color="auto" w:fill="auto"/>
            <w:noWrap/>
            <w:vAlign w:val="center"/>
          </w:tcPr>
          <w:p w14:paraId="3E913C12"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135</w:t>
            </w:r>
          </w:p>
        </w:tc>
        <w:tc>
          <w:tcPr>
            <w:tcW w:w="1276" w:type="dxa"/>
            <w:tcBorders>
              <w:top w:val="nil"/>
              <w:left w:val="nil"/>
              <w:bottom w:val="single" w:sz="4" w:space="0" w:color="auto"/>
              <w:right w:val="single" w:sz="4" w:space="0" w:color="auto"/>
            </w:tcBorders>
          </w:tcPr>
          <w:p w14:paraId="64BA5E98"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60A5B2A5"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596E2F6" w14:textId="2A06EAC7"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Reuniones del Comité Permanente</w:t>
            </w:r>
          </w:p>
        </w:tc>
        <w:tc>
          <w:tcPr>
            <w:tcW w:w="850" w:type="dxa"/>
            <w:tcBorders>
              <w:top w:val="nil"/>
              <w:left w:val="nil"/>
              <w:bottom w:val="single" w:sz="4" w:space="0" w:color="auto"/>
              <w:right w:val="single" w:sz="4" w:space="0" w:color="auto"/>
            </w:tcBorders>
            <w:shd w:val="clear" w:color="auto" w:fill="auto"/>
            <w:noWrap/>
            <w:vAlign w:val="center"/>
          </w:tcPr>
          <w:p w14:paraId="588DBE53"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50CB5084"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22DCB40B"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07F3C68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105</w:t>
            </w:r>
          </w:p>
        </w:tc>
        <w:tc>
          <w:tcPr>
            <w:tcW w:w="1276" w:type="dxa"/>
            <w:tcBorders>
              <w:top w:val="nil"/>
              <w:left w:val="nil"/>
              <w:bottom w:val="single" w:sz="4" w:space="0" w:color="auto"/>
              <w:right w:val="single" w:sz="4" w:space="0" w:color="auto"/>
            </w:tcBorders>
          </w:tcPr>
          <w:p w14:paraId="2E146CF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75</w:t>
            </w:r>
          </w:p>
        </w:tc>
      </w:tr>
      <w:tr w:rsidR="00E50D18" w:rsidRPr="00222E6A" w14:paraId="48052A10"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4FC35F7F" w14:textId="7A9151AC"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Traducción de documentos del Comité Permanente</w:t>
            </w:r>
          </w:p>
        </w:tc>
        <w:tc>
          <w:tcPr>
            <w:tcW w:w="850" w:type="dxa"/>
            <w:tcBorders>
              <w:top w:val="nil"/>
              <w:left w:val="nil"/>
              <w:bottom w:val="single" w:sz="4" w:space="0" w:color="auto"/>
              <w:right w:val="single" w:sz="4" w:space="0" w:color="auto"/>
            </w:tcBorders>
            <w:shd w:val="clear" w:color="auto" w:fill="auto"/>
            <w:noWrap/>
            <w:vAlign w:val="center"/>
          </w:tcPr>
          <w:p w14:paraId="15337922"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60</w:t>
            </w:r>
          </w:p>
        </w:tc>
        <w:tc>
          <w:tcPr>
            <w:tcW w:w="851" w:type="dxa"/>
            <w:tcBorders>
              <w:top w:val="nil"/>
              <w:left w:val="nil"/>
              <w:bottom w:val="single" w:sz="4" w:space="0" w:color="auto"/>
              <w:right w:val="single" w:sz="4" w:space="0" w:color="auto"/>
            </w:tcBorders>
            <w:shd w:val="clear" w:color="auto" w:fill="auto"/>
            <w:noWrap/>
            <w:vAlign w:val="center"/>
          </w:tcPr>
          <w:p w14:paraId="72BAD9B3"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60</w:t>
            </w:r>
          </w:p>
        </w:tc>
        <w:tc>
          <w:tcPr>
            <w:tcW w:w="850" w:type="dxa"/>
            <w:tcBorders>
              <w:top w:val="nil"/>
              <w:left w:val="nil"/>
              <w:bottom w:val="single" w:sz="4" w:space="0" w:color="auto"/>
              <w:right w:val="single" w:sz="4" w:space="0" w:color="auto"/>
            </w:tcBorders>
            <w:shd w:val="clear" w:color="auto" w:fill="auto"/>
            <w:noWrap/>
            <w:vAlign w:val="center"/>
          </w:tcPr>
          <w:p w14:paraId="053EABC1"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60</w:t>
            </w:r>
          </w:p>
        </w:tc>
        <w:tc>
          <w:tcPr>
            <w:tcW w:w="1135" w:type="dxa"/>
            <w:tcBorders>
              <w:top w:val="nil"/>
              <w:left w:val="nil"/>
              <w:bottom w:val="single" w:sz="4" w:space="0" w:color="auto"/>
              <w:right w:val="single" w:sz="4" w:space="0" w:color="auto"/>
            </w:tcBorders>
            <w:shd w:val="clear" w:color="auto" w:fill="auto"/>
            <w:noWrap/>
            <w:vAlign w:val="center"/>
          </w:tcPr>
          <w:p w14:paraId="504FCB2D"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180</w:t>
            </w:r>
          </w:p>
        </w:tc>
        <w:tc>
          <w:tcPr>
            <w:tcW w:w="1276" w:type="dxa"/>
            <w:tcBorders>
              <w:top w:val="nil"/>
              <w:left w:val="nil"/>
              <w:bottom w:val="single" w:sz="4" w:space="0" w:color="auto"/>
              <w:right w:val="single" w:sz="4" w:space="0" w:color="auto"/>
            </w:tcBorders>
          </w:tcPr>
          <w:p w14:paraId="203262CE"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07333C47"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092B8E9E" w14:textId="5289F009"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Relator/a e interpretación simultánea en las reuniones del CP</w:t>
            </w:r>
          </w:p>
        </w:tc>
        <w:tc>
          <w:tcPr>
            <w:tcW w:w="850" w:type="dxa"/>
            <w:tcBorders>
              <w:top w:val="nil"/>
              <w:left w:val="nil"/>
              <w:bottom w:val="single" w:sz="4" w:space="0" w:color="auto"/>
              <w:right w:val="single" w:sz="4" w:space="0" w:color="auto"/>
            </w:tcBorders>
            <w:shd w:val="clear" w:color="auto" w:fill="auto"/>
            <w:noWrap/>
            <w:vAlign w:val="center"/>
          </w:tcPr>
          <w:p w14:paraId="670AFEF7"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2BE43315"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6C886EF0"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4914E3E0"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105</w:t>
            </w:r>
          </w:p>
        </w:tc>
        <w:tc>
          <w:tcPr>
            <w:tcW w:w="1276" w:type="dxa"/>
            <w:tcBorders>
              <w:top w:val="nil"/>
              <w:left w:val="nil"/>
              <w:bottom w:val="single" w:sz="4" w:space="0" w:color="auto"/>
              <w:right w:val="single" w:sz="4" w:space="0" w:color="auto"/>
            </w:tcBorders>
          </w:tcPr>
          <w:p w14:paraId="4176D76D"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7D96CA43"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23E63784" w14:textId="4BF5A66E" w:rsidR="00E50D18" w:rsidRPr="00222E6A" w:rsidRDefault="00E50D18" w:rsidP="00E50D18">
            <w:pPr>
              <w:spacing w:after="0" w:line="240" w:lineRule="auto"/>
              <w:rPr>
                <w:rFonts w:eastAsia="Times New Roman" w:cstheme="minorHAnsi"/>
                <w:b/>
                <w:bCs/>
                <w:sz w:val="20"/>
                <w:szCs w:val="20"/>
                <w:lang w:val="es-ES" w:eastAsia="en-GB"/>
              </w:rPr>
            </w:pPr>
            <w:r w:rsidRPr="00222E6A">
              <w:rPr>
                <w:b/>
                <w:sz w:val="20"/>
                <w:lang w:val="es-ES"/>
              </w:rPr>
              <w:t>H. Gastos por servicios administrativos de la UICN (máximo)</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1EC839E"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550</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798214DE"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550</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0E678C00"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550</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35729F83" w14:textId="0911DD83"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1</w:t>
            </w:r>
            <w:r w:rsidR="00222E6A" w:rsidRPr="00222E6A">
              <w:rPr>
                <w:rFonts w:eastAsia="Times New Roman" w:cstheme="minorHAnsi"/>
                <w:b/>
                <w:bCs/>
                <w:color w:val="000000"/>
                <w:sz w:val="20"/>
                <w:szCs w:val="20"/>
                <w:lang w:val="es-ES" w:eastAsia="en-GB"/>
              </w:rPr>
              <w:t xml:space="preserve"> </w:t>
            </w:r>
            <w:r w:rsidRPr="00222E6A">
              <w:rPr>
                <w:rFonts w:eastAsia="Times New Roman" w:cstheme="minorHAnsi"/>
                <w:b/>
                <w:bCs/>
                <w:color w:val="000000"/>
                <w:sz w:val="20"/>
                <w:szCs w:val="20"/>
                <w:lang w:val="es-ES" w:eastAsia="en-GB"/>
              </w:rPr>
              <w:t>650</w:t>
            </w:r>
          </w:p>
        </w:tc>
        <w:tc>
          <w:tcPr>
            <w:tcW w:w="1276" w:type="dxa"/>
            <w:tcBorders>
              <w:top w:val="single" w:sz="4" w:space="0" w:color="auto"/>
              <w:left w:val="nil"/>
              <w:bottom w:val="single" w:sz="4" w:space="0" w:color="auto"/>
              <w:right w:val="single" w:sz="4" w:space="0" w:color="auto"/>
            </w:tcBorders>
            <w:shd w:val="clear" w:color="000000" w:fill="C4D79B"/>
          </w:tcPr>
          <w:p w14:paraId="095E3152"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27</w:t>
            </w:r>
          </w:p>
        </w:tc>
      </w:tr>
      <w:tr w:rsidR="00E50D18" w:rsidRPr="00222E6A" w14:paraId="0B2B43B9"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CDA6461" w14:textId="46358CCC"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Administración</w:t>
            </w:r>
            <w:r w:rsidR="00222E6A" w:rsidRPr="00222E6A">
              <w:rPr>
                <w:sz w:val="20"/>
                <w:lang w:val="es-ES"/>
              </w:rPr>
              <w:t xml:space="preserve"> </w:t>
            </w:r>
            <w:r w:rsidRPr="00222E6A">
              <w:rPr>
                <w:sz w:val="20"/>
                <w:lang w:val="es-ES"/>
              </w:rPr>
              <w:t xml:space="preserve"> RR.HH., finanzas y servicios informáticos</w:t>
            </w:r>
          </w:p>
        </w:tc>
        <w:tc>
          <w:tcPr>
            <w:tcW w:w="850" w:type="dxa"/>
            <w:tcBorders>
              <w:top w:val="nil"/>
              <w:left w:val="nil"/>
              <w:bottom w:val="single" w:sz="4" w:space="0" w:color="auto"/>
              <w:right w:val="single" w:sz="4" w:space="0" w:color="auto"/>
            </w:tcBorders>
            <w:shd w:val="clear" w:color="auto" w:fill="auto"/>
            <w:noWrap/>
            <w:vAlign w:val="center"/>
          </w:tcPr>
          <w:p w14:paraId="0149906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550</w:t>
            </w:r>
          </w:p>
        </w:tc>
        <w:tc>
          <w:tcPr>
            <w:tcW w:w="851" w:type="dxa"/>
            <w:tcBorders>
              <w:top w:val="nil"/>
              <w:left w:val="nil"/>
              <w:bottom w:val="single" w:sz="4" w:space="0" w:color="auto"/>
              <w:right w:val="single" w:sz="4" w:space="0" w:color="auto"/>
            </w:tcBorders>
            <w:shd w:val="clear" w:color="auto" w:fill="auto"/>
            <w:noWrap/>
            <w:vAlign w:val="center"/>
          </w:tcPr>
          <w:p w14:paraId="7E360EA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550</w:t>
            </w:r>
          </w:p>
        </w:tc>
        <w:tc>
          <w:tcPr>
            <w:tcW w:w="850" w:type="dxa"/>
            <w:tcBorders>
              <w:top w:val="nil"/>
              <w:left w:val="nil"/>
              <w:bottom w:val="single" w:sz="4" w:space="0" w:color="auto"/>
              <w:right w:val="single" w:sz="4" w:space="0" w:color="auto"/>
            </w:tcBorders>
            <w:shd w:val="clear" w:color="auto" w:fill="auto"/>
            <w:noWrap/>
            <w:vAlign w:val="center"/>
          </w:tcPr>
          <w:p w14:paraId="7ADD9FFE"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550</w:t>
            </w:r>
          </w:p>
        </w:tc>
        <w:tc>
          <w:tcPr>
            <w:tcW w:w="1135" w:type="dxa"/>
            <w:tcBorders>
              <w:top w:val="nil"/>
              <w:left w:val="nil"/>
              <w:bottom w:val="single" w:sz="4" w:space="0" w:color="auto"/>
              <w:right w:val="single" w:sz="4" w:space="0" w:color="auto"/>
            </w:tcBorders>
            <w:shd w:val="clear" w:color="auto" w:fill="auto"/>
            <w:noWrap/>
            <w:vAlign w:val="center"/>
          </w:tcPr>
          <w:p w14:paraId="234FD1FB" w14:textId="75735A25"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1</w:t>
            </w:r>
            <w:r w:rsidR="00222E6A" w:rsidRPr="00222E6A">
              <w:rPr>
                <w:rFonts w:eastAsia="Times New Roman" w:cstheme="minorHAnsi"/>
                <w:sz w:val="20"/>
                <w:szCs w:val="20"/>
                <w:lang w:val="es-ES" w:eastAsia="en-GB"/>
              </w:rPr>
              <w:t xml:space="preserve"> </w:t>
            </w:r>
            <w:r w:rsidRPr="00222E6A">
              <w:rPr>
                <w:rFonts w:eastAsia="Times New Roman" w:cstheme="minorHAnsi"/>
                <w:sz w:val="20"/>
                <w:szCs w:val="20"/>
                <w:lang w:val="es-ES" w:eastAsia="en-GB"/>
              </w:rPr>
              <w:t>650</w:t>
            </w:r>
          </w:p>
        </w:tc>
        <w:tc>
          <w:tcPr>
            <w:tcW w:w="1276" w:type="dxa"/>
            <w:tcBorders>
              <w:top w:val="nil"/>
              <w:left w:val="nil"/>
              <w:bottom w:val="single" w:sz="4" w:space="0" w:color="auto"/>
              <w:right w:val="single" w:sz="4" w:space="0" w:color="auto"/>
            </w:tcBorders>
          </w:tcPr>
          <w:p w14:paraId="483743A7"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27</w:t>
            </w:r>
          </w:p>
        </w:tc>
      </w:tr>
      <w:tr w:rsidR="00E50D18" w:rsidRPr="00222E6A" w14:paraId="7897F388"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5D1D2D2" w14:textId="443215D1" w:rsidR="00E50D18" w:rsidRPr="00222E6A" w:rsidRDefault="00E50D18" w:rsidP="00E50D18">
            <w:pPr>
              <w:spacing w:after="0" w:line="240" w:lineRule="auto"/>
              <w:rPr>
                <w:rFonts w:eastAsia="Times New Roman" w:cstheme="minorHAnsi"/>
                <w:b/>
                <w:bCs/>
                <w:sz w:val="20"/>
                <w:szCs w:val="20"/>
                <w:lang w:val="es-ES" w:eastAsia="en-GB"/>
              </w:rPr>
            </w:pPr>
            <w:r w:rsidRPr="00222E6A">
              <w:rPr>
                <w:b/>
                <w:sz w:val="20"/>
                <w:lang w:val="es-ES"/>
              </w:rPr>
              <w:t>I. Varios – Fondo de reserva</w:t>
            </w:r>
          </w:p>
        </w:tc>
        <w:tc>
          <w:tcPr>
            <w:tcW w:w="850" w:type="dxa"/>
            <w:tcBorders>
              <w:top w:val="nil"/>
              <w:left w:val="nil"/>
              <w:bottom w:val="single" w:sz="4" w:space="0" w:color="auto"/>
              <w:right w:val="single" w:sz="4" w:space="0" w:color="auto"/>
            </w:tcBorders>
            <w:shd w:val="clear" w:color="000000" w:fill="C4D79B"/>
            <w:noWrap/>
            <w:vAlign w:val="center"/>
          </w:tcPr>
          <w:p w14:paraId="2D918820"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79</w:t>
            </w:r>
          </w:p>
        </w:tc>
        <w:tc>
          <w:tcPr>
            <w:tcW w:w="851" w:type="dxa"/>
            <w:tcBorders>
              <w:top w:val="nil"/>
              <w:left w:val="nil"/>
              <w:bottom w:val="single" w:sz="4" w:space="0" w:color="auto"/>
              <w:right w:val="single" w:sz="4" w:space="0" w:color="auto"/>
            </w:tcBorders>
            <w:shd w:val="clear" w:color="000000" w:fill="C4D79B"/>
            <w:noWrap/>
            <w:vAlign w:val="center"/>
          </w:tcPr>
          <w:p w14:paraId="431FF231"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79</w:t>
            </w:r>
          </w:p>
        </w:tc>
        <w:tc>
          <w:tcPr>
            <w:tcW w:w="850" w:type="dxa"/>
            <w:tcBorders>
              <w:top w:val="nil"/>
              <w:left w:val="nil"/>
              <w:bottom w:val="single" w:sz="4" w:space="0" w:color="auto"/>
              <w:right w:val="single" w:sz="4" w:space="0" w:color="auto"/>
            </w:tcBorders>
            <w:shd w:val="clear" w:color="000000" w:fill="C4D79B"/>
            <w:noWrap/>
            <w:vAlign w:val="center"/>
          </w:tcPr>
          <w:p w14:paraId="3B9B0EFA"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79</w:t>
            </w:r>
          </w:p>
        </w:tc>
        <w:tc>
          <w:tcPr>
            <w:tcW w:w="1135" w:type="dxa"/>
            <w:tcBorders>
              <w:top w:val="nil"/>
              <w:left w:val="nil"/>
              <w:bottom w:val="single" w:sz="4" w:space="0" w:color="auto"/>
              <w:right w:val="single" w:sz="4" w:space="0" w:color="auto"/>
            </w:tcBorders>
            <w:shd w:val="clear" w:color="000000" w:fill="C4D79B"/>
            <w:noWrap/>
            <w:vAlign w:val="center"/>
          </w:tcPr>
          <w:p w14:paraId="469A6A1B"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237</w:t>
            </w:r>
          </w:p>
        </w:tc>
        <w:tc>
          <w:tcPr>
            <w:tcW w:w="1276" w:type="dxa"/>
            <w:tcBorders>
              <w:top w:val="nil"/>
              <w:left w:val="nil"/>
              <w:bottom w:val="single" w:sz="4" w:space="0" w:color="auto"/>
              <w:right w:val="single" w:sz="4" w:space="0" w:color="auto"/>
            </w:tcBorders>
            <w:shd w:val="clear" w:color="000000" w:fill="C4D79B"/>
          </w:tcPr>
          <w:p w14:paraId="2CE56D1E" w14:textId="77777777" w:rsidR="00E50D18" w:rsidRPr="00222E6A" w:rsidRDefault="00E50D18" w:rsidP="00E50D18">
            <w:pPr>
              <w:spacing w:after="0" w:line="240" w:lineRule="auto"/>
              <w:jc w:val="right"/>
              <w:rPr>
                <w:rFonts w:eastAsia="Times New Roman" w:cstheme="minorHAnsi"/>
                <w:b/>
                <w:bCs/>
                <w:color w:val="000000"/>
                <w:sz w:val="20"/>
                <w:szCs w:val="20"/>
                <w:lang w:val="es-ES" w:eastAsia="en-GB"/>
              </w:rPr>
            </w:pPr>
            <w:r w:rsidRPr="00222E6A">
              <w:rPr>
                <w:rFonts w:eastAsia="Times New Roman" w:cstheme="minorHAnsi"/>
                <w:b/>
                <w:bCs/>
                <w:color w:val="000000"/>
                <w:sz w:val="20"/>
                <w:szCs w:val="20"/>
                <w:lang w:val="es-ES" w:eastAsia="en-GB"/>
              </w:rPr>
              <w:t>(90)</w:t>
            </w:r>
          </w:p>
        </w:tc>
      </w:tr>
      <w:tr w:rsidR="00E50D18" w:rsidRPr="00222E6A" w14:paraId="6665F6A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866AE3A" w14:textId="3197052B"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Provisiones correspondientes al personal</w:t>
            </w:r>
          </w:p>
        </w:tc>
        <w:tc>
          <w:tcPr>
            <w:tcW w:w="850" w:type="dxa"/>
            <w:tcBorders>
              <w:top w:val="nil"/>
              <w:left w:val="nil"/>
              <w:bottom w:val="single" w:sz="4" w:space="0" w:color="auto"/>
              <w:right w:val="single" w:sz="4" w:space="0" w:color="auto"/>
            </w:tcBorders>
            <w:shd w:val="clear" w:color="auto" w:fill="auto"/>
            <w:noWrap/>
            <w:vAlign w:val="center"/>
          </w:tcPr>
          <w:p w14:paraId="1636D0CC"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20</w:t>
            </w:r>
          </w:p>
        </w:tc>
        <w:tc>
          <w:tcPr>
            <w:tcW w:w="851" w:type="dxa"/>
            <w:tcBorders>
              <w:top w:val="nil"/>
              <w:left w:val="nil"/>
              <w:bottom w:val="single" w:sz="4" w:space="0" w:color="auto"/>
              <w:right w:val="single" w:sz="4" w:space="0" w:color="auto"/>
            </w:tcBorders>
            <w:shd w:val="clear" w:color="auto" w:fill="auto"/>
            <w:noWrap/>
            <w:vAlign w:val="center"/>
          </w:tcPr>
          <w:p w14:paraId="4FF4E0F9"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20</w:t>
            </w:r>
          </w:p>
        </w:tc>
        <w:tc>
          <w:tcPr>
            <w:tcW w:w="850" w:type="dxa"/>
            <w:tcBorders>
              <w:top w:val="nil"/>
              <w:left w:val="nil"/>
              <w:bottom w:val="single" w:sz="4" w:space="0" w:color="auto"/>
              <w:right w:val="single" w:sz="4" w:space="0" w:color="auto"/>
            </w:tcBorders>
            <w:shd w:val="clear" w:color="auto" w:fill="auto"/>
            <w:noWrap/>
            <w:vAlign w:val="center"/>
          </w:tcPr>
          <w:p w14:paraId="00679983"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20</w:t>
            </w:r>
          </w:p>
        </w:tc>
        <w:tc>
          <w:tcPr>
            <w:tcW w:w="1135" w:type="dxa"/>
            <w:tcBorders>
              <w:top w:val="nil"/>
              <w:left w:val="nil"/>
              <w:bottom w:val="single" w:sz="4" w:space="0" w:color="auto"/>
              <w:right w:val="single" w:sz="4" w:space="0" w:color="auto"/>
            </w:tcBorders>
            <w:shd w:val="clear" w:color="auto" w:fill="auto"/>
            <w:noWrap/>
            <w:vAlign w:val="center"/>
          </w:tcPr>
          <w:p w14:paraId="2178DD08"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60</w:t>
            </w:r>
          </w:p>
        </w:tc>
        <w:tc>
          <w:tcPr>
            <w:tcW w:w="1276" w:type="dxa"/>
            <w:tcBorders>
              <w:top w:val="nil"/>
              <w:left w:val="nil"/>
              <w:bottom w:val="single" w:sz="4" w:space="0" w:color="auto"/>
              <w:right w:val="single" w:sz="4" w:space="0" w:color="auto"/>
            </w:tcBorders>
          </w:tcPr>
          <w:p w14:paraId="34C4365A"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289B44D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0B379D1" w14:textId="21B2D6E6"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lastRenderedPageBreak/>
              <w:t>Provisiones correspondientes a las contribuciones pendientes</w:t>
            </w:r>
          </w:p>
        </w:tc>
        <w:tc>
          <w:tcPr>
            <w:tcW w:w="850" w:type="dxa"/>
            <w:tcBorders>
              <w:top w:val="nil"/>
              <w:left w:val="nil"/>
              <w:bottom w:val="single" w:sz="4" w:space="0" w:color="auto"/>
              <w:right w:val="single" w:sz="4" w:space="0" w:color="auto"/>
            </w:tcBorders>
            <w:shd w:val="clear" w:color="auto" w:fill="auto"/>
            <w:noWrap/>
            <w:vAlign w:val="center"/>
          </w:tcPr>
          <w:p w14:paraId="30554661"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30</w:t>
            </w:r>
          </w:p>
        </w:tc>
        <w:tc>
          <w:tcPr>
            <w:tcW w:w="851" w:type="dxa"/>
            <w:tcBorders>
              <w:top w:val="nil"/>
              <w:left w:val="nil"/>
              <w:bottom w:val="single" w:sz="4" w:space="0" w:color="auto"/>
              <w:right w:val="single" w:sz="4" w:space="0" w:color="auto"/>
            </w:tcBorders>
            <w:shd w:val="clear" w:color="auto" w:fill="auto"/>
            <w:noWrap/>
            <w:vAlign w:val="center"/>
          </w:tcPr>
          <w:p w14:paraId="5279D007"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262E7FC0"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60E7AF1B"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90</w:t>
            </w:r>
          </w:p>
        </w:tc>
        <w:tc>
          <w:tcPr>
            <w:tcW w:w="1276" w:type="dxa"/>
            <w:tcBorders>
              <w:top w:val="nil"/>
              <w:left w:val="nil"/>
              <w:bottom w:val="single" w:sz="4" w:space="0" w:color="auto"/>
              <w:right w:val="single" w:sz="4" w:space="0" w:color="auto"/>
            </w:tcBorders>
          </w:tcPr>
          <w:p w14:paraId="33358E27"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0</w:t>
            </w:r>
          </w:p>
        </w:tc>
      </w:tr>
      <w:tr w:rsidR="00E50D18" w:rsidRPr="00222E6A" w14:paraId="1C5354CD" w14:textId="77777777" w:rsidTr="00CD1C73">
        <w:tc>
          <w:tcPr>
            <w:tcW w:w="4820" w:type="dxa"/>
            <w:tcBorders>
              <w:top w:val="single" w:sz="4" w:space="0" w:color="auto"/>
              <w:left w:val="single" w:sz="4" w:space="0" w:color="auto"/>
              <w:bottom w:val="nil"/>
              <w:right w:val="single" w:sz="4" w:space="0" w:color="auto"/>
            </w:tcBorders>
            <w:shd w:val="clear" w:color="auto" w:fill="auto"/>
            <w:noWrap/>
            <w:vAlign w:val="center"/>
          </w:tcPr>
          <w:p w14:paraId="67AD8BD4" w14:textId="03B0D9F0" w:rsidR="00E50D18" w:rsidRPr="00222E6A" w:rsidRDefault="00E50D18" w:rsidP="00E50D18">
            <w:pPr>
              <w:spacing w:after="0" w:line="240" w:lineRule="auto"/>
              <w:rPr>
                <w:rFonts w:eastAsia="Times New Roman" w:cstheme="minorHAnsi"/>
                <w:sz w:val="20"/>
                <w:szCs w:val="20"/>
                <w:lang w:val="es-ES" w:eastAsia="en-GB"/>
              </w:rPr>
            </w:pPr>
            <w:r w:rsidRPr="00222E6A">
              <w:rPr>
                <w:sz w:val="20"/>
                <w:lang w:val="es-ES"/>
              </w:rPr>
              <w:t>Servicios jurídicos</w:t>
            </w:r>
          </w:p>
        </w:tc>
        <w:tc>
          <w:tcPr>
            <w:tcW w:w="850" w:type="dxa"/>
            <w:tcBorders>
              <w:top w:val="nil"/>
              <w:left w:val="nil"/>
              <w:bottom w:val="single" w:sz="4" w:space="0" w:color="auto"/>
              <w:right w:val="single" w:sz="4" w:space="0" w:color="auto"/>
            </w:tcBorders>
            <w:shd w:val="clear" w:color="auto" w:fill="auto"/>
            <w:noWrap/>
            <w:vAlign w:val="center"/>
          </w:tcPr>
          <w:p w14:paraId="07DA310A"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29</w:t>
            </w:r>
          </w:p>
        </w:tc>
        <w:tc>
          <w:tcPr>
            <w:tcW w:w="851" w:type="dxa"/>
            <w:tcBorders>
              <w:top w:val="nil"/>
              <w:left w:val="nil"/>
              <w:bottom w:val="single" w:sz="4" w:space="0" w:color="auto"/>
              <w:right w:val="single" w:sz="4" w:space="0" w:color="auto"/>
            </w:tcBorders>
            <w:shd w:val="clear" w:color="auto" w:fill="auto"/>
            <w:noWrap/>
            <w:vAlign w:val="center"/>
          </w:tcPr>
          <w:p w14:paraId="58980B1F"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29</w:t>
            </w:r>
          </w:p>
        </w:tc>
        <w:tc>
          <w:tcPr>
            <w:tcW w:w="850" w:type="dxa"/>
            <w:tcBorders>
              <w:top w:val="single" w:sz="4" w:space="0" w:color="auto"/>
              <w:left w:val="nil"/>
              <w:bottom w:val="nil"/>
              <w:right w:val="single" w:sz="4" w:space="0" w:color="auto"/>
            </w:tcBorders>
            <w:shd w:val="clear" w:color="auto" w:fill="auto"/>
            <w:noWrap/>
            <w:vAlign w:val="center"/>
          </w:tcPr>
          <w:p w14:paraId="5BEF90D5" w14:textId="77777777" w:rsidR="00E50D18" w:rsidRPr="00222E6A" w:rsidRDefault="00E50D18" w:rsidP="00E50D18">
            <w:pPr>
              <w:spacing w:after="0" w:line="240" w:lineRule="auto"/>
              <w:jc w:val="right"/>
              <w:rPr>
                <w:rFonts w:eastAsia="Times New Roman" w:cstheme="minorHAnsi"/>
                <w:color w:val="000000"/>
                <w:sz w:val="20"/>
                <w:szCs w:val="20"/>
                <w:lang w:val="es-ES" w:eastAsia="en-GB"/>
              </w:rPr>
            </w:pPr>
            <w:r w:rsidRPr="00222E6A">
              <w:rPr>
                <w:rFonts w:eastAsia="Times New Roman" w:cstheme="minorHAnsi"/>
                <w:color w:val="000000"/>
                <w:sz w:val="20"/>
                <w:szCs w:val="20"/>
                <w:lang w:val="es-ES" w:eastAsia="en-GB"/>
              </w:rPr>
              <w:t>29</w:t>
            </w:r>
          </w:p>
        </w:tc>
        <w:tc>
          <w:tcPr>
            <w:tcW w:w="1135" w:type="dxa"/>
            <w:tcBorders>
              <w:top w:val="nil"/>
              <w:left w:val="nil"/>
              <w:bottom w:val="single" w:sz="4" w:space="0" w:color="auto"/>
              <w:right w:val="single" w:sz="4" w:space="0" w:color="auto"/>
            </w:tcBorders>
            <w:shd w:val="clear" w:color="auto" w:fill="auto"/>
            <w:noWrap/>
            <w:vAlign w:val="center"/>
          </w:tcPr>
          <w:p w14:paraId="10941CCA"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87</w:t>
            </w:r>
          </w:p>
        </w:tc>
        <w:tc>
          <w:tcPr>
            <w:tcW w:w="1276" w:type="dxa"/>
            <w:tcBorders>
              <w:top w:val="nil"/>
              <w:left w:val="nil"/>
              <w:bottom w:val="single" w:sz="4" w:space="0" w:color="auto"/>
              <w:right w:val="single" w:sz="4" w:space="0" w:color="auto"/>
            </w:tcBorders>
          </w:tcPr>
          <w:p w14:paraId="1D2129F5" w14:textId="77777777" w:rsidR="00E50D18" w:rsidRPr="00222E6A" w:rsidRDefault="00E50D18" w:rsidP="00E50D18">
            <w:pPr>
              <w:spacing w:after="0" w:line="240" w:lineRule="auto"/>
              <w:jc w:val="right"/>
              <w:rPr>
                <w:rFonts w:eastAsia="Times New Roman" w:cstheme="minorHAnsi"/>
                <w:sz w:val="20"/>
                <w:szCs w:val="20"/>
                <w:lang w:val="es-ES" w:eastAsia="en-GB"/>
              </w:rPr>
            </w:pPr>
            <w:r w:rsidRPr="00222E6A">
              <w:rPr>
                <w:rFonts w:eastAsia="Times New Roman" w:cstheme="minorHAnsi"/>
                <w:sz w:val="20"/>
                <w:szCs w:val="20"/>
                <w:lang w:val="es-ES" w:eastAsia="en-GB"/>
              </w:rPr>
              <w:t>(90)</w:t>
            </w:r>
          </w:p>
        </w:tc>
      </w:tr>
      <w:tr w:rsidR="00CD1C73" w:rsidRPr="0086671E" w14:paraId="24259D0A"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43E90A2C" w14:textId="2EE84CC1" w:rsidR="00CD1C73" w:rsidRPr="00222E6A" w:rsidRDefault="00CD1C73" w:rsidP="00CD1C73">
            <w:pPr>
              <w:spacing w:after="0" w:line="240" w:lineRule="auto"/>
              <w:rPr>
                <w:rFonts w:eastAsia="Times New Roman" w:cstheme="minorHAnsi"/>
                <w:b/>
                <w:bCs/>
                <w:color w:val="1F497D"/>
                <w:sz w:val="20"/>
                <w:szCs w:val="20"/>
                <w:lang w:val="es-ES" w:eastAsia="en-GB"/>
              </w:rPr>
            </w:pPr>
            <w:r w:rsidRPr="00222E6A">
              <w:rPr>
                <w:rFonts w:eastAsia="Times New Roman" w:cstheme="minorHAnsi"/>
                <w:b/>
                <w:bCs/>
                <w:color w:val="1F497D"/>
                <w:sz w:val="20"/>
                <w:szCs w:val="20"/>
                <w:lang w:val="es-ES" w:eastAsia="en-GB"/>
              </w:rPr>
              <w:t xml:space="preserve">TOTAL </w:t>
            </w:r>
            <w:r w:rsidR="00E50D18" w:rsidRPr="00222E6A">
              <w:rPr>
                <w:rFonts w:eastAsia="Times New Roman" w:cstheme="minorHAnsi"/>
                <w:b/>
                <w:bCs/>
                <w:color w:val="1F497D"/>
                <w:sz w:val="20"/>
                <w:szCs w:val="20"/>
                <w:lang w:val="es-ES" w:eastAsia="en-GB"/>
              </w:rPr>
              <w:t>DE GASTOS</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E3821AF" w14:textId="38231924"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081</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2A711F67" w14:textId="489560BA"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081</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0CE6A50" w14:textId="68A30D08"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081</w:t>
            </w:r>
          </w:p>
        </w:tc>
        <w:tc>
          <w:tcPr>
            <w:tcW w:w="1135" w:type="dxa"/>
            <w:tcBorders>
              <w:top w:val="nil"/>
              <w:left w:val="nil"/>
              <w:bottom w:val="single" w:sz="4" w:space="0" w:color="auto"/>
              <w:right w:val="single" w:sz="4" w:space="0" w:color="auto"/>
            </w:tcBorders>
            <w:shd w:val="clear" w:color="000000" w:fill="C4D79B"/>
            <w:noWrap/>
            <w:vAlign w:val="center"/>
          </w:tcPr>
          <w:p w14:paraId="19D16C3C" w14:textId="436482A2" w:rsidR="00CD1C73" w:rsidRPr="00222E6A"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15</w:t>
            </w:r>
            <w:r w:rsidR="00222E6A" w:rsidRPr="00222E6A">
              <w:rPr>
                <w:rFonts w:eastAsia="Times New Roman" w:cstheme="minorHAnsi"/>
                <w:b/>
                <w:bCs/>
                <w:color w:val="000000"/>
                <w:lang w:val="es-ES" w:eastAsia="en-GB"/>
              </w:rPr>
              <w:t xml:space="preserve"> </w:t>
            </w:r>
            <w:r w:rsidRPr="00222E6A">
              <w:rPr>
                <w:rFonts w:eastAsia="Times New Roman" w:cstheme="minorHAnsi"/>
                <w:b/>
                <w:bCs/>
                <w:color w:val="000000"/>
                <w:lang w:val="es-ES" w:eastAsia="en-GB"/>
              </w:rPr>
              <w:t>243</w:t>
            </w:r>
          </w:p>
        </w:tc>
        <w:tc>
          <w:tcPr>
            <w:tcW w:w="1276" w:type="dxa"/>
            <w:tcBorders>
              <w:top w:val="nil"/>
              <w:left w:val="nil"/>
              <w:bottom w:val="single" w:sz="4" w:space="0" w:color="auto"/>
              <w:right w:val="single" w:sz="4" w:space="0" w:color="auto"/>
            </w:tcBorders>
            <w:shd w:val="clear" w:color="000000" w:fill="C4D79B"/>
          </w:tcPr>
          <w:p w14:paraId="1232063A" w14:textId="77777777" w:rsidR="00CD1C73" w:rsidRPr="0086671E" w:rsidRDefault="00CD1C73" w:rsidP="00CD1C73">
            <w:pPr>
              <w:spacing w:after="0" w:line="240" w:lineRule="auto"/>
              <w:jc w:val="right"/>
              <w:rPr>
                <w:rFonts w:eastAsia="Times New Roman" w:cstheme="minorHAnsi"/>
                <w:b/>
                <w:bCs/>
                <w:color w:val="000000"/>
                <w:lang w:val="es-ES" w:eastAsia="en-GB"/>
              </w:rPr>
            </w:pPr>
            <w:r w:rsidRPr="00222E6A">
              <w:rPr>
                <w:rFonts w:eastAsia="Times New Roman" w:cstheme="minorHAnsi"/>
                <w:b/>
                <w:bCs/>
                <w:color w:val="000000"/>
                <w:lang w:val="es-ES" w:eastAsia="en-GB"/>
              </w:rPr>
              <w:t>0</w:t>
            </w:r>
          </w:p>
        </w:tc>
      </w:tr>
    </w:tbl>
    <w:p w14:paraId="3DD1CB4A" w14:textId="77777777" w:rsidR="00E50D18" w:rsidRPr="0086671E" w:rsidRDefault="00E50D18" w:rsidP="00246AB9">
      <w:pPr>
        <w:spacing w:after="0" w:line="240" w:lineRule="auto"/>
        <w:rPr>
          <w:b/>
          <w:bCs/>
          <w:sz w:val="24"/>
          <w:szCs w:val="24"/>
          <w:lang w:val="es-ES"/>
        </w:rPr>
      </w:pPr>
    </w:p>
    <w:p w14:paraId="62EF73EB" w14:textId="77777777" w:rsidR="00E50D18" w:rsidRPr="0086671E" w:rsidRDefault="00E50D18">
      <w:pPr>
        <w:rPr>
          <w:b/>
          <w:bCs/>
          <w:sz w:val="24"/>
          <w:szCs w:val="24"/>
          <w:lang w:val="es-ES"/>
        </w:rPr>
      </w:pPr>
      <w:r w:rsidRPr="0086671E">
        <w:rPr>
          <w:b/>
          <w:bCs/>
          <w:sz w:val="24"/>
          <w:szCs w:val="24"/>
          <w:lang w:val="es-ES"/>
        </w:rPr>
        <w:br w:type="page"/>
      </w:r>
    </w:p>
    <w:p w14:paraId="4168F76F" w14:textId="2820ADD7" w:rsidR="00246AB9" w:rsidRPr="0086671E" w:rsidRDefault="00E50D18" w:rsidP="00246AB9">
      <w:pPr>
        <w:spacing w:after="0" w:line="240" w:lineRule="auto"/>
        <w:rPr>
          <w:b/>
          <w:bCs/>
          <w:sz w:val="24"/>
          <w:szCs w:val="24"/>
          <w:lang w:val="es-ES"/>
        </w:rPr>
      </w:pPr>
      <w:r w:rsidRPr="0086671E">
        <w:rPr>
          <w:b/>
          <w:bCs/>
          <w:sz w:val="24"/>
          <w:szCs w:val="24"/>
          <w:lang w:val="es-ES"/>
        </w:rPr>
        <w:lastRenderedPageBreak/>
        <w:t>Anexo</w:t>
      </w:r>
      <w:r w:rsidR="00246AB9" w:rsidRPr="0086671E">
        <w:rPr>
          <w:b/>
          <w:bCs/>
          <w:sz w:val="24"/>
          <w:szCs w:val="24"/>
          <w:lang w:val="es-ES"/>
        </w:rPr>
        <w:t xml:space="preserve"> 2</w:t>
      </w:r>
    </w:p>
    <w:p w14:paraId="0CC4A11C" w14:textId="712C70DB" w:rsidR="00246AB9" w:rsidRPr="0086671E" w:rsidRDefault="00E50D18" w:rsidP="00246AB9">
      <w:pPr>
        <w:spacing w:after="0" w:line="240" w:lineRule="auto"/>
        <w:rPr>
          <w:b/>
          <w:bCs/>
          <w:sz w:val="24"/>
          <w:szCs w:val="24"/>
          <w:lang w:val="es-ES"/>
        </w:rPr>
      </w:pPr>
      <w:r w:rsidRPr="0086671E">
        <w:rPr>
          <w:b/>
          <w:bCs/>
          <w:sz w:val="24"/>
          <w:szCs w:val="24"/>
          <w:lang w:val="es-ES"/>
        </w:rPr>
        <w:t xml:space="preserve">Solicitud de fondos excedentes </w:t>
      </w:r>
      <w:r w:rsidR="0086671E" w:rsidRPr="0086671E">
        <w:rPr>
          <w:b/>
          <w:bCs/>
          <w:sz w:val="24"/>
          <w:szCs w:val="24"/>
          <w:lang w:val="es-ES"/>
        </w:rPr>
        <w:t>relacionada</w:t>
      </w:r>
      <w:r w:rsidRPr="0086671E">
        <w:rPr>
          <w:b/>
          <w:bCs/>
          <w:sz w:val="24"/>
          <w:szCs w:val="24"/>
          <w:lang w:val="es-ES"/>
        </w:rPr>
        <w:t xml:space="preserve"> con la observación de la Tierra (únicamente en inglés)</w:t>
      </w:r>
    </w:p>
    <w:p w14:paraId="13FD4787" w14:textId="77777777" w:rsidR="00246AB9" w:rsidRPr="0086671E" w:rsidRDefault="00246AB9" w:rsidP="00246AB9">
      <w:pPr>
        <w:rPr>
          <w:lang w:val="es-ES"/>
        </w:rPr>
      </w:pPr>
    </w:p>
    <w:p w14:paraId="6E656DA9" w14:textId="0972CBB3" w:rsidR="00246AB9" w:rsidRPr="00821B09" w:rsidRDefault="00246AB9" w:rsidP="00246AB9">
      <w:r w:rsidRPr="00821B09">
        <w:t>Made by the Chair of the Scientific and Technical Review Panel (STRP) and the Secretariat</w:t>
      </w:r>
    </w:p>
    <w:p w14:paraId="442CD8F7" w14:textId="77777777" w:rsidR="00246AB9" w:rsidRPr="00821B09" w:rsidRDefault="00246AB9" w:rsidP="00246AB9">
      <w:pPr>
        <w:rPr>
          <w:b/>
          <w:bCs/>
        </w:rPr>
      </w:pPr>
    </w:p>
    <w:p w14:paraId="078C5D37" w14:textId="77777777" w:rsidR="00246AB9" w:rsidRPr="00821B09" w:rsidRDefault="00246AB9" w:rsidP="00246AB9">
      <w:r w:rsidRPr="00821B09">
        <w:t xml:space="preserve">Resolution XIII.10, in paragraph 23, requests the Secretariat, subject to the availability of resources, to investigate the options and associated costs for working with earth observation organizations, including the Group on Earth Observations (GEO), to put earth observation (EO) data and monitoring tools at the disposal of Contracting Parties for national wetland inventories (NWI) or monitoring of changes to Wetlands of International Importance. SC57 identified the development of national wetland inventories as an urgent challenge. </w:t>
      </w:r>
    </w:p>
    <w:p w14:paraId="2EE0C685" w14:textId="77777777" w:rsidR="00246AB9" w:rsidRPr="00821B09" w:rsidRDefault="00246AB9" w:rsidP="00246AB9">
      <w:r w:rsidRPr="00821B09">
        <w:t xml:space="preserve">Subsequently, the Secretariat has provided reports to the Standing Committee on progress made in development of national wetland inventories, best practices, and efforts made by Secretariat in supporting Contracting Parties in development and use of national wetland inventories, including the use of Earth Observation in this context. This is presented in SC57.8, SC58 Doc.9, SC59.9, SC62 Doc.9, SC63 Doc.10 and SC64 Doc. 10. </w:t>
      </w:r>
    </w:p>
    <w:p w14:paraId="002CB75C" w14:textId="77777777" w:rsidR="00246AB9" w:rsidRPr="00821B09" w:rsidRDefault="00246AB9" w:rsidP="00246AB9">
      <w:r w:rsidRPr="00821B09">
        <w:t xml:space="preserve">A support mechanism for Contracting Parties on development of national wetland inventories was initially presented by the Secretariat in SC62 Doc.9 and further elaborated in SC63 Doc.10. The five areas of focus of this support mechanism encompass, inter alia, implementation support including institutional partnerships, and resource mobilization. It identifies the possibility to develop an initiative for implementation support drawing on models provided by existing GEO Flagships (e.g. the GEO Land Degradation Neutrality Flagship). </w:t>
      </w:r>
    </w:p>
    <w:p w14:paraId="4E82EC22" w14:textId="77777777" w:rsidR="00246AB9" w:rsidRPr="00821B09" w:rsidRDefault="00246AB9" w:rsidP="00246AB9">
      <w:r w:rsidRPr="00821B09">
        <w:t>Pursuant to Standing Committee Decision SC63-30, the STRP and the Secretariat organised a consultation on development of an initiative for earth observation in support of wetland inventory, assessment, monitoring and conservation. The consultation built on needs identified through in-depth interviews with Contracting Parties (presented in SC63 Inf.2) and implementation of activities under the NWI support mechanism, as well as semi-structured interviews conducted with Earth Observation experts. The consultation included organization of an Earth Observation Day held on 6 December 2024 in association with STRP27, bringing together Earth Observation experts, STRP members, observers and National Focal Points. The findings and recommendations of the consultation are made available to SC64 as an information document (</w:t>
      </w:r>
      <w:hyperlink r:id="rId8" w:history="1">
        <w:r w:rsidRPr="00821B09">
          <w:rPr>
            <w:rStyle w:val="Hyperlink"/>
          </w:rPr>
          <w:t>SC64 Inf.2</w:t>
        </w:r>
      </w:hyperlink>
      <w:r w:rsidRPr="00821B09">
        <w:t xml:space="preserve">). </w:t>
      </w:r>
    </w:p>
    <w:p w14:paraId="0FA9B889" w14:textId="77777777" w:rsidR="00246AB9" w:rsidRPr="00821B09" w:rsidRDefault="00246AB9" w:rsidP="00246AB9">
      <w:r w:rsidRPr="00821B09">
        <w:t xml:space="preserve">The consultation, inter alia, recommended establishing a ‘GEO Wetlands’ initiative, complementing and supporting the Convention’s ongoing national wetland inventory support mechanism. This initiative would be developed and implemented in partnership with space agencies, earth observation organizations, International Organization Partners of the Convention, and the Group on Earth Observations (GEO). The report of the consultation identifies priority areas of work under the proposed initiative. The consultation further identified a need for start-up financial resources for development of the initiative, including to identify requirements and modalities for its longer-term operation. </w:t>
      </w:r>
    </w:p>
    <w:p w14:paraId="7D191C02" w14:textId="77777777" w:rsidR="00246AB9" w:rsidRPr="00821B09" w:rsidRDefault="00246AB9" w:rsidP="00246AB9">
      <w:r w:rsidRPr="00821B09">
        <w:t xml:space="preserve">To this end, allocation of CHF 40,000 of surplus funds is requested (in line with the funding requirement identified in SC63 Doc.10 and SC64 Doc.10, Table 1), in order to: </w:t>
      </w:r>
    </w:p>
    <w:p w14:paraId="47547A6D" w14:textId="77777777" w:rsidR="00246AB9" w:rsidRPr="00821B09" w:rsidRDefault="00246AB9" w:rsidP="00246AB9">
      <w:pPr>
        <w:pStyle w:val="ListParagraph"/>
        <w:numPr>
          <w:ilvl w:val="0"/>
          <w:numId w:val="8"/>
        </w:numPr>
      </w:pPr>
      <w:r w:rsidRPr="00821B09">
        <w:lastRenderedPageBreak/>
        <w:t>develop a funding proposal including detailed descriptions of products and services of the initiative, institutional and governance arrangements and envisaged operating costs; and a resource mobilization strategy including identification of and engagement with potential donors (bilateral, multilateral as well as philanthropies and other donors);</w:t>
      </w:r>
    </w:p>
    <w:p w14:paraId="0EE991A0" w14:textId="77777777" w:rsidR="00246AB9" w:rsidRPr="00821B09" w:rsidRDefault="00246AB9" w:rsidP="00246AB9">
      <w:pPr>
        <w:pStyle w:val="ListParagraph"/>
        <w:numPr>
          <w:ilvl w:val="0"/>
          <w:numId w:val="8"/>
        </w:numPr>
      </w:pPr>
      <w:r w:rsidRPr="00821B09">
        <w:t>consult with and seek endorsement of and confirmation of participation in the initiative by space agencies, Earth Observation organizations and other relevant entities (note: ESA, JAXA and Wetlands International have already expressed interest based on their long-standing work in the Convention).</w:t>
      </w:r>
    </w:p>
    <w:p w14:paraId="31845B6D" w14:textId="77777777" w:rsidR="00246AB9" w:rsidRPr="00821B09" w:rsidRDefault="00246AB9" w:rsidP="00246AB9">
      <w:r w:rsidRPr="00821B09">
        <w:t>The requested funds would be used towards:</w:t>
      </w:r>
    </w:p>
    <w:p w14:paraId="3DB43632" w14:textId="77777777" w:rsidR="00246AB9" w:rsidRPr="0086671E" w:rsidRDefault="00246AB9" w:rsidP="00246AB9">
      <w:pPr>
        <w:pStyle w:val="ListParagraph"/>
        <w:numPr>
          <w:ilvl w:val="0"/>
          <w:numId w:val="8"/>
        </w:numPr>
        <w:rPr>
          <w:lang w:val="es-ES"/>
        </w:rPr>
      </w:pPr>
      <w:r w:rsidRPr="0086671E">
        <w:rPr>
          <w:lang w:val="es-ES"/>
        </w:rPr>
        <w:t xml:space="preserve">expert consultant(s); </w:t>
      </w:r>
    </w:p>
    <w:p w14:paraId="458FEE96" w14:textId="77777777" w:rsidR="00246AB9" w:rsidRPr="00821B09" w:rsidRDefault="00246AB9" w:rsidP="00246AB9">
      <w:pPr>
        <w:pStyle w:val="ListParagraph"/>
        <w:numPr>
          <w:ilvl w:val="0"/>
          <w:numId w:val="8"/>
        </w:numPr>
      </w:pPr>
      <w:r w:rsidRPr="00821B09">
        <w:t xml:space="preserve">organisation of workshops/meetings for consultation with donors and partners; and </w:t>
      </w:r>
    </w:p>
    <w:p w14:paraId="3DC0C2D7" w14:textId="77777777" w:rsidR="00246AB9" w:rsidRPr="0086671E" w:rsidRDefault="00246AB9" w:rsidP="00246AB9">
      <w:pPr>
        <w:pStyle w:val="ListParagraph"/>
        <w:numPr>
          <w:ilvl w:val="0"/>
          <w:numId w:val="8"/>
        </w:numPr>
        <w:rPr>
          <w:lang w:val="es-ES"/>
        </w:rPr>
      </w:pPr>
      <w:r w:rsidRPr="0086671E">
        <w:rPr>
          <w:lang w:val="es-ES"/>
        </w:rPr>
        <w:t>associated travel expenses.</w:t>
      </w:r>
    </w:p>
    <w:p w14:paraId="26FF7D7C" w14:textId="77777777" w:rsidR="00246AB9" w:rsidRPr="00821B09" w:rsidRDefault="00246AB9" w:rsidP="00246AB9">
      <w:r w:rsidRPr="00821B09">
        <w:t xml:space="preserve">Implementation would be led by the Secretariat, working closely with the STRP. The requested funds would be administered by the Secretariat, subcontracted as relevant. </w:t>
      </w:r>
    </w:p>
    <w:p w14:paraId="327DCD8C" w14:textId="77777777" w:rsidR="00246AB9" w:rsidRPr="00821B09" w:rsidRDefault="00246AB9" w:rsidP="00246AB9">
      <w:r w:rsidRPr="00821B09">
        <w:t xml:space="preserve">The Secretariat will report on progress through reports on ‘Urgent challenges to the wise use of wetlands to receive enhanced attention: Update on wetland inventories’ provided to the Standing Committee, with expenditure reporting provided to the Subgroup on Finance. </w:t>
      </w:r>
    </w:p>
    <w:p w14:paraId="1F4342FC" w14:textId="77777777" w:rsidR="00246AB9" w:rsidRPr="00821B09" w:rsidRDefault="00246AB9" w:rsidP="00246AB9"/>
    <w:p w14:paraId="726D9031" w14:textId="77777777" w:rsidR="00246AB9" w:rsidRPr="00821B09" w:rsidRDefault="00246AB9" w:rsidP="00246AB9"/>
    <w:p w14:paraId="5206446D" w14:textId="7D4B1E9C" w:rsidR="00CD1C73" w:rsidRPr="00821B09" w:rsidRDefault="00CD1C73" w:rsidP="00CD1C73">
      <w:pPr>
        <w:rPr>
          <w:rFonts w:cs="Arial"/>
          <w:b/>
        </w:rPr>
      </w:pPr>
    </w:p>
    <w:p w14:paraId="053CDD2E" w14:textId="77777777" w:rsidR="00CD1C73" w:rsidRPr="00821B09" w:rsidRDefault="00CD1C73" w:rsidP="00CD1C73">
      <w:pPr>
        <w:rPr>
          <w:rFonts w:cs="Arial"/>
          <w:b/>
        </w:rPr>
      </w:pPr>
    </w:p>
    <w:p w14:paraId="45E2399D" w14:textId="77777777" w:rsidR="00CD1C73" w:rsidRPr="00821B09" w:rsidRDefault="00CD1C73">
      <w:pPr>
        <w:rPr>
          <w:rFonts w:cs="Arial"/>
          <w:b/>
        </w:rPr>
      </w:pPr>
      <w:r w:rsidRPr="00821B09">
        <w:rPr>
          <w:rFonts w:cs="Arial"/>
          <w:b/>
        </w:rPr>
        <w:br w:type="page"/>
      </w:r>
    </w:p>
    <w:p w14:paraId="75EF0BA9" w14:textId="01F45646" w:rsidR="006E3C3E" w:rsidRPr="0086671E" w:rsidRDefault="006E3C3E" w:rsidP="006E3C3E">
      <w:pPr>
        <w:spacing w:after="0" w:line="240" w:lineRule="auto"/>
        <w:rPr>
          <w:b/>
          <w:bCs/>
          <w:sz w:val="24"/>
          <w:szCs w:val="24"/>
          <w:lang w:val="es-ES"/>
        </w:rPr>
      </w:pPr>
      <w:r w:rsidRPr="0086671E">
        <w:rPr>
          <w:b/>
          <w:bCs/>
          <w:sz w:val="24"/>
          <w:szCs w:val="24"/>
          <w:lang w:val="es-ES"/>
        </w:rPr>
        <w:lastRenderedPageBreak/>
        <w:t>An</w:t>
      </w:r>
      <w:r w:rsidR="0086671E" w:rsidRPr="0086671E">
        <w:rPr>
          <w:b/>
          <w:bCs/>
          <w:sz w:val="24"/>
          <w:szCs w:val="24"/>
          <w:lang w:val="es-ES"/>
        </w:rPr>
        <w:t>exo</w:t>
      </w:r>
      <w:r w:rsidRPr="0086671E">
        <w:rPr>
          <w:b/>
          <w:bCs/>
          <w:sz w:val="24"/>
          <w:szCs w:val="24"/>
          <w:lang w:val="es-ES"/>
        </w:rPr>
        <w:t xml:space="preserve"> 2</w:t>
      </w:r>
    </w:p>
    <w:p w14:paraId="6BD2E9AA" w14:textId="40BED424" w:rsidR="00496A3B" w:rsidRPr="0086671E" w:rsidRDefault="0086671E" w:rsidP="0086671E">
      <w:pPr>
        <w:spacing w:after="0" w:line="240" w:lineRule="auto"/>
        <w:contextualSpacing/>
        <w:rPr>
          <w:rFonts w:cs="Calibri"/>
          <w:b/>
          <w:bCs/>
          <w:i/>
          <w:color w:val="000000" w:themeColor="text1"/>
          <w:lang w:val="es-ES"/>
        </w:rPr>
      </w:pPr>
      <w:r w:rsidRPr="0086671E">
        <w:rPr>
          <w:b/>
          <w:bCs/>
          <w:sz w:val="24"/>
          <w:szCs w:val="24"/>
          <w:lang w:val="es-ES"/>
        </w:rPr>
        <w:t xml:space="preserve">Solicitud de fondos adicionales relacionada con el documento </w:t>
      </w:r>
      <w:r w:rsidR="006E3C3E" w:rsidRPr="0086671E">
        <w:rPr>
          <w:b/>
          <w:bCs/>
          <w:sz w:val="24"/>
          <w:szCs w:val="24"/>
          <w:lang w:val="es-ES"/>
        </w:rPr>
        <w:t>SC64 Doc.20</w:t>
      </w:r>
      <w:r w:rsidRPr="0086671E">
        <w:rPr>
          <w:b/>
          <w:bCs/>
          <w:sz w:val="24"/>
          <w:szCs w:val="24"/>
          <w:lang w:val="es-ES"/>
        </w:rPr>
        <w:t xml:space="preserve"> (únicamente en inglés)</w:t>
      </w:r>
    </w:p>
    <w:p w14:paraId="46299324" w14:textId="77777777" w:rsidR="006E3C3E" w:rsidRPr="0086671E" w:rsidRDefault="006E3C3E" w:rsidP="00462ECE">
      <w:pPr>
        <w:spacing w:after="0" w:line="240" w:lineRule="auto"/>
        <w:ind w:left="425" w:hanging="425"/>
        <w:contextualSpacing/>
        <w:rPr>
          <w:rFonts w:cs="Calibri"/>
          <w:b/>
          <w:bCs/>
          <w:i/>
          <w:color w:val="000000" w:themeColor="text1"/>
          <w:lang w:val="es-ES"/>
        </w:rPr>
      </w:pPr>
    </w:p>
    <w:p w14:paraId="1B8BF5E8" w14:textId="0854F53B" w:rsidR="006E3C3E" w:rsidRPr="0086671E" w:rsidRDefault="006E3C3E" w:rsidP="00462ECE">
      <w:pPr>
        <w:spacing w:after="0" w:line="240" w:lineRule="auto"/>
        <w:ind w:left="425" w:hanging="425"/>
        <w:contextualSpacing/>
        <w:rPr>
          <w:rFonts w:cs="Calibri"/>
          <w:b/>
          <w:bCs/>
          <w:i/>
          <w:color w:val="000000" w:themeColor="text1"/>
          <w:lang w:val="es-ES"/>
        </w:rPr>
      </w:pPr>
      <w:r w:rsidRPr="0086671E">
        <w:rPr>
          <w:rFonts w:cs="Calibri"/>
          <w:b/>
          <w:bCs/>
          <w:i/>
          <w:noProof/>
          <w:color w:val="000000" w:themeColor="text1"/>
          <w:lang w:val="es-ES"/>
        </w:rPr>
        <w:drawing>
          <wp:inline distT="0" distB="0" distL="0" distR="0" wp14:anchorId="3E509E7E" wp14:editId="64AF81EB">
            <wp:extent cx="5603132" cy="8030295"/>
            <wp:effectExtent l="0" t="0" r="0" b="0"/>
            <wp:docPr id="1837475966" name="Picture 1" descr="A lett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75966" name="Picture 1" descr="A letter with text on it&#10;&#10;Description automatically generated"/>
                    <pic:cNvPicPr/>
                  </pic:nvPicPr>
                  <pic:blipFill>
                    <a:blip r:embed="rId9"/>
                    <a:stretch>
                      <a:fillRect/>
                    </a:stretch>
                  </pic:blipFill>
                  <pic:spPr>
                    <a:xfrm>
                      <a:off x="0" y="0"/>
                      <a:ext cx="5615604" cy="8048170"/>
                    </a:xfrm>
                    <a:prstGeom prst="rect">
                      <a:avLst/>
                    </a:prstGeom>
                  </pic:spPr>
                </pic:pic>
              </a:graphicData>
            </a:graphic>
          </wp:inline>
        </w:drawing>
      </w:r>
    </w:p>
    <w:p w14:paraId="1DD1EA6F" w14:textId="191B6883" w:rsidR="006E3C3E" w:rsidRPr="0086671E" w:rsidRDefault="006E3C3E">
      <w:pPr>
        <w:rPr>
          <w:rFonts w:cs="Calibri"/>
          <w:b/>
          <w:bCs/>
          <w:i/>
          <w:color w:val="000000" w:themeColor="text1"/>
          <w:lang w:val="es-ES"/>
        </w:rPr>
      </w:pPr>
      <w:r w:rsidRPr="0086671E">
        <w:rPr>
          <w:rFonts w:cs="Calibri"/>
          <w:b/>
          <w:bCs/>
          <w:i/>
          <w:color w:val="000000" w:themeColor="text1"/>
          <w:lang w:val="es-ES"/>
        </w:rPr>
        <w:lastRenderedPageBreak/>
        <w:br w:type="page"/>
      </w:r>
    </w:p>
    <w:p w14:paraId="4B85284E" w14:textId="1F32C3E3" w:rsidR="006E3C3E" w:rsidRPr="0086671E" w:rsidRDefault="006E3C3E" w:rsidP="00462ECE">
      <w:pPr>
        <w:spacing w:after="0" w:line="240" w:lineRule="auto"/>
        <w:ind w:left="425" w:hanging="425"/>
        <w:contextualSpacing/>
        <w:rPr>
          <w:rFonts w:cs="Calibri"/>
          <w:b/>
          <w:bCs/>
          <w:i/>
          <w:color w:val="000000" w:themeColor="text1"/>
          <w:lang w:val="es-ES"/>
        </w:rPr>
      </w:pPr>
      <w:r w:rsidRPr="0086671E">
        <w:rPr>
          <w:rFonts w:cs="Calibri"/>
          <w:b/>
          <w:bCs/>
          <w:i/>
          <w:noProof/>
          <w:color w:val="000000" w:themeColor="text1"/>
          <w:lang w:val="es-ES"/>
        </w:rPr>
        <w:lastRenderedPageBreak/>
        <w:drawing>
          <wp:inline distT="0" distB="0" distL="0" distR="0" wp14:anchorId="799194DB" wp14:editId="66C4899A">
            <wp:extent cx="5933525" cy="8501974"/>
            <wp:effectExtent l="0" t="0" r="0" b="0"/>
            <wp:docPr id="1274572007"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2007" name="Picture 1" descr="A document with text on it&#10;&#10;Description automatically generated"/>
                    <pic:cNvPicPr/>
                  </pic:nvPicPr>
                  <pic:blipFill>
                    <a:blip r:embed="rId10"/>
                    <a:stretch>
                      <a:fillRect/>
                    </a:stretch>
                  </pic:blipFill>
                  <pic:spPr>
                    <a:xfrm>
                      <a:off x="0" y="0"/>
                      <a:ext cx="5940753" cy="8512331"/>
                    </a:xfrm>
                    <a:prstGeom prst="rect">
                      <a:avLst/>
                    </a:prstGeom>
                  </pic:spPr>
                </pic:pic>
              </a:graphicData>
            </a:graphic>
          </wp:inline>
        </w:drawing>
      </w:r>
    </w:p>
    <w:p w14:paraId="0EE3EE33" w14:textId="01BF3BEF" w:rsidR="006E3C3E" w:rsidRPr="0086671E" w:rsidRDefault="006E3C3E">
      <w:pPr>
        <w:rPr>
          <w:rFonts w:cs="Calibri"/>
          <w:b/>
          <w:bCs/>
          <w:i/>
          <w:color w:val="000000" w:themeColor="text1"/>
          <w:lang w:val="es-ES"/>
        </w:rPr>
      </w:pPr>
      <w:r w:rsidRPr="0086671E">
        <w:rPr>
          <w:rFonts w:cs="Calibri"/>
          <w:b/>
          <w:bCs/>
          <w:i/>
          <w:color w:val="000000" w:themeColor="text1"/>
          <w:lang w:val="es-ES"/>
        </w:rPr>
        <w:br w:type="page"/>
      </w:r>
    </w:p>
    <w:p w14:paraId="206AF15B" w14:textId="0618225D" w:rsidR="006E3C3E" w:rsidRPr="0086671E" w:rsidRDefault="006E3C3E" w:rsidP="00462ECE">
      <w:pPr>
        <w:spacing w:after="0" w:line="240" w:lineRule="auto"/>
        <w:ind w:left="425" w:hanging="425"/>
        <w:contextualSpacing/>
        <w:rPr>
          <w:rFonts w:cs="Calibri"/>
          <w:b/>
          <w:bCs/>
          <w:i/>
          <w:color w:val="000000" w:themeColor="text1"/>
          <w:lang w:val="es-ES"/>
        </w:rPr>
      </w:pPr>
      <w:r w:rsidRPr="0086671E">
        <w:rPr>
          <w:rFonts w:cs="Calibri"/>
          <w:b/>
          <w:bCs/>
          <w:i/>
          <w:noProof/>
          <w:color w:val="000000" w:themeColor="text1"/>
          <w:lang w:val="es-ES"/>
        </w:rPr>
        <w:lastRenderedPageBreak/>
        <w:drawing>
          <wp:inline distT="0" distB="0" distL="0" distR="0" wp14:anchorId="66EB0E44" wp14:editId="73EC5949">
            <wp:extent cx="6032782" cy="8638162"/>
            <wp:effectExtent l="0" t="0" r="6350" b="0"/>
            <wp:docPr id="416219162"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19162" name="Picture 1" descr="A document with text and images&#10;&#10;Description automatically generated"/>
                    <pic:cNvPicPr/>
                  </pic:nvPicPr>
                  <pic:blipFill>
                    <a:blip r:embed="rId11"/>
                    <a:stretch>
                      <a:fillRect/>
                    </a:stretch>
                  </pic:blipFill>
                  <pic:spPr>
                    <a:xfrm>
                      <a:off x="0" y="0"/>
                      <a:ext cx="6042415" cy="8651956"/>
                    </a:xfrm>
                    <a:prstGeom prst="rect">
                      <a:avLst/>
                    </a:prstGeom>
                  </pic:spPr>
                </pic:pic>
              </a:graphicData>
            </a:graphic>
          </wp:inline>
        </w:drawing>
      </w:r>
    </w:p>
    <w:p w14:paraId="24920029" w14:textId="101CF3CC" w:rsidR="006E3C3E" w:rsidRPr="0086671E" w:rsidRDefault="006E3C3E">
      <w:pPr>
        <w:rPr>
          <w:rFonts w:cs="Calibri"/>
          <w:b/>
          <w:bCs/>
          <w:i/>
          <w:color w:val="000000" w:themeColor="text1"/>
          <w:lang w:val="es-ES"/>
        </w:rPr>
      </w:pPr>
      <w:r w:rsidRPr="0086671E">
        <w:rPr>
          <w:rFonts w:cs="Calibri"/>
          <w:b/>
          <w:bCs/>
          <w:i/>
          <w:color w:val="000000" w:themeColor="text1"/>
          <w:lang w:val="es-ES"/>
        </w:rPr>
        <w:br w:type="page"/>
      </w:r>
    </w:p>
    <w:p w14:paraId="41C196DA" w14:textId="77BE7158" w:rsidR="006E3C3E" w:rsidRPr="0086671E" w:rsidRDefault="006E3C3E" w:rsidP="00462ECE">
      <w:pPr>
        <w:spacing w:after="0" w:line="240" w:lineRule="auto"/>
        <w:ind w:left="425" w:hanging="425"/>
        <w:contextualSpacing/>
        <w:rPr>
          <w:rFonts w:cs="Calibri"/>
          <w:b/>
          <w:bCs/>
          <w:i/>
          <w:color w:val="000000" w:themeColor="text1"/>
          <w:lang w:val="es-ES"/>
        </w:rPr>
      </w:pPr>
      <w:r w:rsidRPr="0086671E">
        <w:rPr>
          <w:rFonts w:cs="Calibri"/>
          <w:b/>
          <w:bCs/>
          <w:i/>
          <w:noProof/>
          <w:color w:val="000000" w:themeColor="text1"/>
          <w:lang w:val="es-ES"/>
        </w:rPr>
        <w:lastRenderedPageBreak/>
        <w:drawing>
          <wp:inline distT="0" distB="0" distL="0" distR="0" wp14:anchorId="600F2412" wp14:editId="0EEC9C5A">
            <wp:extent cx="5798885" cy="8385243"/>
            <wp:effectExtent l="0" t="0" r="0" b="0"/>
            <wp:docPr id="10330980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9803" name="Picture 1" descr="A document with text and images&#10;&#10;Description automatically generated"/>
                    <pic:cNvPicPr/>
                  </pic:nvPicPr>
                  <pic:blipFill>
                    <a:blip r:embed="rId12"/>
                    <a:stretch>
                      <a:fillRect/>
                    </a:stretch>
                  </pic:blipFill>
                  <pic:spPr>
                    <a:xfrm>
                      <a:off x="0" y="0"/>
                      <a:ext cx="5805076" cy="8394195"/>
                    </a:xfrm>
                    <a:prstGeom prst="rect">
                      <a:avLst/>
                    </a:prstGeom>
                  </pic:spPr>
                </pic:pic>
              </a:graphicData>
            </a:graphic>
          </wp:inline>
        </w:drawing>
      </w:r>
    </w:p>
    <w:p w14:paraId="5D681F01" w14:textId="7E7A5914" w:rsidR="006E3C3E" w:rsidRPr="0086671E" w:rsidRDefault="006E3C3E">
      <w:pPr>
        <w:rPr>
          <w:rFonts w:cs="Calibri"/>
          <w:b/>
          <w:bCs/>
          <w:i/>
          <w:color w:val="000000" w:themeColor="text1"/>
          <w:lang w:val="es-ES"/>
        </w:rPr>
      </w:pPr>
      <w:r w:rsidRPr="0086671E">
        <w:rPr>
          <w:rFonts w:cs="Calibri"/>
          <w:b/>
          <w:bCs/>
          <w:i/>
          <w:color w:val="000000" w:themeColor="text1"/>
          <w:lang w:val="es-ES"/>
        </w:rPr>
        <w:br w:type="page"/>
      </w:r>
    </w:p>
    <w:p w14:paraId="36B84DCD" w14:textId="0AD68568" w:rsidR="006E3C3E" w:rsidRPr="0086671E" w:rsidRDefault="006E3C3E" w:rsidP="00462ECE">
      <w:pPr>
        <w:spacing w:after="0" w:line="240" w:lineRule="auto"/>
        <w:ind w:left="425" w:hanging="425"/>
        <w:contextualSpacing/>
        <w:rPr>
          <w:rFonts w:cs="Calibri"/>
          <w:b/>
          <w:bCs/>
          <w:i/>
          <w:color w:val="000000" w:themeColor="text1"/>
          <w:lang w:val="es-ES"/>
        </w:rPr>
      </w:pPr>
      <w:r w:rsidRPr="0086671E">
        <w:rPr>
          <w:rFonts w:cs="Calibri"/>
          <w:b/>
          <w:bCs/>
          <w:i/>
          <w:noProof/>
          <w:color w:val="000000" w:themeColor="text1"/>
          <w:lang w:val="es-ES"/>
        </w:rPr>
        <w:lastRenderedPageBreak/>
        <w:drawing>
          <wp:inline distT="0" distB="0" distL="0" distR="0" wp14:anchorId="62C899BB" wp14:editId="7EDB17CC">
            <wp:extent cx="5935456" cy="8677072"/>
            <wp:effectExtent l="0" t="0" r="8255" b="0"/>
            <wp:docPr id="82903019"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3019" name="Picture 1" descr="A document with text and numbers&#10;&#10;Description automatically generated"/>
                    <pic:cNvPicPr/>
                  </pic:nvPicPr>
                  <pic:blipFill>
                    <a:blip r:embed="rId13"/>
                    <a:stretch>
                      <a:fillRect/>
                    </a:stretch>
                  </pic:blipFill>
                  <pic:spPr>
                    <a:xfrm>
                      <a:off x="0" y="0"/>
                      <a:ext cx="5941240" cy="8685527"/>
                    </a:xfrm>
                    <a:prstGeom prst="rect">
                      <a:avLst/>
                    </a:prstGeom>
                  </pic:spPr>
                </pic:pic>
              </a:graphicData>
            </a:graphic>
          </wp:inline>
        </w:drawing>
      </w:r>
    </w:p>
    <w:p w14:paraId="6704E8FF" w14:textId="426B67C3" w:rsidR="006E3C3E" w:rsidRPr="0086671E" w:rsidRDefault="006E3C3E">
      <w:pPr>
        <w:rPr>
          <w:rFonts w:cs="Calibri"/>
          <w:b/>
          <w:bCs/>
          <w:i/>
          <w:color w:val="000000" w:themeColor="text1"/>
          <w:lang w:val="es-ES"/>
        </w:rPr>
      </w:pPr>
      <w:r w:rsidRPr="0086671E">
        <w:rPr>
          <w:rFonts w:cs="Calibri"/>
          <w:b/>
          <w:bCs/>
          <w:i/>
          <w:color w:val="000000" w:themeColor="text1"/>
          <w:lang w:val="es-ES"/>
        </w:rPr>
        <w:br w:type="page"/>
      </w:r>
    </w:p>
    <w:p w14:paraId="2D78779C" w14:textId="11A3749F" w:rsidR="006E3C3E" w:rsidRPr="00222E6A" w:rsidRDefault="006E3C3E" w:rsidP="00592253">
      <w:pPr>
        <w:spacing w:after="0" w:line="240" w:lineRule="auto"/>
        <w:ind w:left="425" w:hanging="425"/>
        <w:contextualSpacing/>
        <w:rPr>
          <w:b/>
          <w:i/>
          <w:color w:val="000000" w:themeColor="text1"/>
          <w:lang w:val="es-ES"/>
        </w:rPr>
      </w:pPr>
      <w:r w:rsidRPr="0086671E">
        <w:rPr>
          <w:rFonts w:cs="Calibri"/>
          <w:b/>
          <w:bCs/>
          <w:i/>
          <w:noProof/>
          <w:color w:val="000000" w:themeColor="text1"/>
          <w:lang w:val="es-ES"/>
        </w:rPr>
        <w:lastRenderedPageBreak/>
        <w:drawing>
          <wp:inline distT="0" distB="0" distL="0" distR="0" wp14:anchorId="46BDACF6" wp14:editId="69E70C5A">
            <wp:extent cx="6017736" cy="8832715"/>
            <wp:effectExtent l="0" t="0" r="2540" b="6985"/>
            <wp:docPr id="1887654614"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54614" name="Picture 1" descr="A screenshot of a document&#10;&#10;Description automatically generated"/>
                    <pic:cNvPicPr/>
                  </pic:nvPicPr>
                  <pic:blipFill>
                    <a:blip r:embed="rId14"/>
                    <a:stretch>
                      <a:fillRect/>
                    </a:stretch>
                  </pic:blipFill>
                  <pic:spPr>
                    <a:xfrm>
                      <a:off x="0" y="0"/>
                      <a:ext cx="6026061" cy="8844934"/>
                    </a:xfrm>
                    <a:prstGeom prst="rect">
                      <a:avLst/>
                    </a:prstGeom>
                  </pic:spPr>
                </pic:pic>
              </a:graphicData>
            </a:graphic>
          </wp:inline>
        </w:drawing>
      </w:r>
    </w:p>
    <w:sectPr w:rsidR="006E3C3E" w:rsidRPr="00222E6A" w:rsidSect="00592253">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012EE" w14:textId="77777777" w:rsidR="00AB02ED" w:rsidRDefault="00AB02ED" w:rsidP="00592253">
      <w:pPr>
        <w:spacing w:after="0" w:line="240" w:lineRule="auto"/>
      </w:pPr>
      <w:r>
        <w:separator/>
      </w:r>
    </w:p>
  </w:endnote>
  <w:endnote w:type="continuationSeparator" w:id="0">
    <w:p w14:paraId="409BB2F0" w14:textId="77777777" w:rsidR="00AB02ED" w:rsidRDefault="00AB02ED" w:rsidP="00592253">
      <w:pPr>
        <w:spacing w:after="0" w:line="240" w:lineRule="auto"/>
      </w:pPr>
      <w:r>
        <w:continuationSeparator/>
      </w:r>
    </w:p>
  </w:endnote>
  <w:endnote w:type="continuationNotice" w:id="1">
    <w:p w14:paraId="35D48914" w14:textId="77777777" w:rsidR="00AB02ED" w:rsidRDefault="00AB02ED" w:rsidP="00592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F812" w14:textId="33D08C59" w:rsidR="00CF5E47" w:rsidRPr="00592253" w:rsidRDefault="00A91632" w:rsidP="00592253">
    <w:pPr>
      <w:pStyle w:val="Footer"/>
      <w:rPr>
        <w:sz w:val="20"/>
      </w:rPr>
    </w:pPr>
    <w:r w:rsidRPr="00A91632">
      <w:rPr>
        <w:sz w:val="20"/>
        <w:szCs w:val="20"/>
      </w:rPr>
      <w:t>SC64 Com.1</w:t>
    </w:r>
    <w:r w:rsidRPr="00A91632">
      <w:rPr>
        <w:sz w:val="20"/>
        <w:szCs w:val="20"/>
      </w:rPr>
      <w:tab/>
    </w:r>
    <w:r w:rsidRPr="00A91632">
      <w:rPr>
        <w:sz w:val="20"/>
        <w:szCs w:val="20"/>
      </w:rPr>
      <w:tab/>
    </w:r>
    <w:r w:rsidRPr="00A91632">
      <w:rPr>
        <w:sz w:val="20"/>
        <w:szCs w:val="20"/>
      </w:rPr>
      <w:fldChar w:fldCharType="begin"/>
    </w:r>
    <w:r w:rsidRPr="00A91632">
      <w:rPr>
        <w:sz w:val="20"/>
        <w:szCs w:val="20"/>
      </w:rPr>
      <w:instrText xml:space="preserve"> PAGE   \* MERGEFORMAT </w:instrText>
    </w:r>
    <w:r w:rsidRPr="00A91632">
      <w:rPr>
        <w:sz w:val="20"/>
        <w:szCs w:val="20"/>
      </w:rPr>
      <w:fldChar w:fldCharType="separate"/>
    </w:r>
    <w:r w:rsidRPr="00A91632">
      <w:rPr>
        <w:noProof/>
        <w:sz w:val="20"/>
        <w:szCs w:val="20"/>
      </w:rPr>
      <w:t>1</w:t>
    </w:r>
    <w:r w:rsidRPr="00A916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F623" w14:textId="77777777" w:rsidR="00AB02ED" w:rsidRDefault="00AB02ED" w:rsidP="00592253">
      <w:pPr>
        <w:spacing w:after="0" w:line="240" w:lineRule="auto"/>
      </w:pPr>
      <w:r>
        <w:separator/>
      </w:r>
    </w:p>
  </w:footnote>
  <w:footnote w:type="continuationSeparator" w:id="0">
    <w:p w14:paraId="2510DC8C" w14:textId="77777777" w:rsidR="00AB02ED" w:rsidRDefault="00AB02ED" w:rsidP="00592253">
      <w:pPr>
        <w:spacing w:after="0" w:line="240" w:lineRule="auto"/>
      </w:pPr>
      <w:r>
        <w:continuationSeparator/>
      </w:r>
    </w:p>
  </w:footnote>
  <w:footnote w:type="continuationNotice" w:id="1">
    <w:p w14:paraId="27066497" w14:textId="77777777" w:rsidR="00AB02ED" w:rsidRDefault="00AB02ED" w:rsidP="00592253">
      <w:pPr>
        <w:spacing w:after="0" w:line="240" w:lineRule="auto"/>
      </w:pPr>
    </w:p>
  </w:footnote>
  <w:footnote w:id="2">
    <w:p w14:paraId="2A9C2BBE" w14:textId="053EB71F" w:rsidR="007A1483" w:rsidRPr="000747B7" w:rsidRDefault="007A1483" w:rsidP="007A1483">
      <w:pPr>
        <w:pStyle w:val="FootnoteText"/>
        <w:rPr>
          <w:lang w:val="es-ES"/>
        </w:rPr>
      </w:pPr>
      <w:r>
        <w:rPr>
          <w:rStyle w:val="FootnoteReference"/>
        </w:rPr>
        <w:footnoteRef/>
      </w:r>
      <w:r w:rsidRPr="00821B09">
        <w:rPr>
          <w:lang w:val="es-ES"/>
        </w:rPr>
        <w:t xml:space="preserve"> </w:t>
      </w:r>
      <w:r w:rsidRPr="000747B7">
        <w:rPr>
          <w:lang w:val="es-ES"/>
        </w:rPr>
        <w:t>Se adjuntará al segundo informe del Subgrupo de Finanzas una versión actualizada del presupuesto básico estimado propuesto para 2025 que figura en el Anexo 3 del documento SC64 Doc.9.1.</w:t>
      </w:r>
    </w:p>
  </w:footnote>
  <w:footnote w:id="3">
    <w:p w14:paraId="6C9FA0ED" w14:textId="662C7C18" w:rsidR="002F3506" w:rsidRPr="00246ACE" w:rsidRDefault="002F3506" w:rsidP="002F3506">
      <w:pPr>
        <w:pStyle w:val="FootnoteText"/>
        <w:rPr>
          <w:lang w:val="es-ES"/>
        </w:rPr>
      </w:pPr>
      <w:r>
        <w:rPr>
          <w:rStyle w:val="FootnoteReference"/>
        </w:rPr>
        <w:footnoteRef/>
      </w:r>
      <w:r w:rsidRPr="00E75568">
        <w:rPr>
          <w:lang w:val="es-ES"/>
        </w:rPr>
        <w:t xml:space="preserve"> </w:t>
      </w:r>
      <w:r w:rsidR="00E75568" w:rsidRPr="00E75568">
        <w:rPr>
          <w:lang w:val="es-ES"/>
        </w:rPr>
        <w:t xml:space="preserve">Se adjuntará una versión actualizada del texto del proyecto de resolución propuesto al segundo informe del Subgrupo de Finanzas. </w:t>
      </w:r>
    </w:p>
  </w:footnote>
  <w:footnote w:id="4">
    <w:p w14:paraId="353998AF" w14:textId="718027BC" w:rsidR="00246ACE" w:rsidRPr="00246ACE" w:rsidRDefault="00246ACE" w:rsidP="00246ACE">
      <w:pPr>
        <w:pStyle w:val="FootnoteText"/>
        <w:rPr>
          <w:lang w:val="es-ES"/>
        </w:rPr>
      </w:pPr>
      <w:r>
        <w:rPr>
          <w:rStyle w:val="FootnoteReference"/>
        </w:rPr>
        <w:footnoteRef/>
      </w:r>
      <w:r w:rsidRPr="00246ACE">
        <w:rPr>
          <w:lang w:val="es-ES"/>
        </w:rPr>
        <w:t xml:space="preserve"> Se adjuntará una versión actualizada del texto del proyecto de resolución propuesto al segundo informe del Subgrupo de Finanzas.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4BC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B32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53B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F52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94F42"/>
    <w:multiLevelType w:val="multilevel"/>
    <w:tmpl w:val="4784F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35D4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AB4D55"/>
    <w:multiLevelType w:val="hybridMultilevel"/>
    <w:tmpl w:val="1BA61AD0"/>
    <w:lvl w:ilvl="0" w:tplc="322C101A">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4FD4"/>
    <w:multiLevelType w:val="hybridMultilevel"/>
    <w:tmpl w:val="7D6A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B0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D9FA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F33DAE"/>
    <w:multiLevelType w:val="hybridMultilevel"/>
    <w:tmpl w:val="EB9A0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3498B"/>
    <w:multiLevelType w:val="hybridMultilevel"/>
    <w:tmpl w:val="25F44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7521F"/>
    <w:multiLevelType w:val="hybridMultilevel"/>
    <w:tmpl w:val="45A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4A0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3D7660"/>
    <w:multiLevelType w:val="hybridMultilevel"/>
    <w:tmpl w:val="B0C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18CE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38A1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346B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F6B30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7336446">
    <w:abstractNumId w:val="14"/>
  </w:num>
  <w:num w:numId="2" w16cid:durableId="48918740">
    <w:abstractNumId w:val="15"/>
  </w:num>
  <w:num w:numId="3" w16cid:durableId="1435513302">
    <w:abstractNumId w:val="7"/>
  </w:num>
  <w:num w:numId="4" w16cid:durableId="702705245">
    <w:abstractNumId w:val="10"/>
  </w:num>
  <w:num w:numId="5" w16cid:durableId="147333203">
    <w:abstractNumId w:val="12"/>
  </w:num>
  <w:num w:numId="6" w16cid:durableId="1323972638">
    <w:abstractNumId w:val="11"/>
  </w:num>
  <w:num w:numId="7" w16cid:durableId="609166601">
    <w:abstractNumId w:val="4"/>
  </w:num>
  <w:num w:numId="8" w16cid:durableId="516114720">
    <w:abstractNumId w:val="6"/>
  </w:num>
  <w:num w:numId="9" w16cid:durableId="1162429070">
    <w:abstractNumId w:val="19"/>
  </w:num>
  <w:num w:numId="10" w16cid:durableId="1968702104">
    <w:abstractNumId w:val="17"/>
  </w:num>
  <w:num w:numId="11" w16cid:durableId="707334057">
    <w:abstractNumId w:val="13"/>
  </w:num>
  <w:num w:numId="12" w16cid:durableId="199435811">
    <w:abstractNumId w:val="18"/>
  </w:num>
  <w:num w:numId="13" w16cid:durableId="1194077484">
    <w:abstractNumId w:val="2"/>
  </w:num>
  <w:num w:numId="14" w16cid:durableId="797605850">
    <w:abstractNumId w:val="0"/>
  </w:num>
  <w:num w:numId="15" w16cid:durableId="623198685">
    <w:abstractNumId w:val="8"/>
  </w:num>
  <w:num w:numId="16" w16cid:durableId="53509951">
    <w:abstractNumId w:val="16"/>
  </w:num>
  <w:num w:numId="17" w16cid:durableId="1100490796">
    <w:abstractNumId w:val="3"/>
  </w:num>
  <w:num w:numId="18" w16cid:durableId="1432045230">
    <w:abstractNumId w:val="5"/>
  </w:num>
  <w:num w:numId="19" w16cid:durableId="1247038330">
    <w:abstractNumId w:val="1"/>
  </w:num>
  <w:num w:numId="20" w16cid:durableId="1419403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0"/>
    <w:rsid w:val="00010A7A"/>
    <w:rsid w:val="00027C4A"/>
    <w:rsid w:val="000349F3"/>
    <w:rsid w:val="00034E1C"/>
    <w:rsid w:val="000747B7"/>
    <w:rsid w:val="00086A03"/>
    <w:rsid w:val="000C05D9"/>
    <w:rsid w:val="000D3245"/>
    <w:rsid w:val="000D438E"/>
    <w:rsid w:val="000F5145"/>
    <w:rsid w:val="000F6DFF"/>
    <w:rsid w:val="00106832"/>
    <w:rsid w:val="00113433"/>
    <w:rsid w:val="0012163F"/>
    <w:rsid w:val="00135BA4"/>
    <w:rsid w:val="0014300A"/>
    <w:rsid w:val="001549EC"/>
    <w:rsid w:val="0018296A"/>
    <w:rsid w:val="00190050"/>
    <w:rsid w:val="0019061B"/>
    <w:rsid w:val="001C7745"/>
    <w:rsid w:val="001D6F9E"/>
    <w:rsid w:val="001E07DF"/>
    <w:rsid w:val="001F03FD"/>
    <w:rsid w:val="00210600"/>
    <w:rsid w:val="00211B0F"/>
    <w:rsid w:val="002135B1"/>
    <w:rsid w:val="0021712C"/>
    <w:rsid w:val="002225C9"/>
    <w:rsid w:val="00222E6A"/>
    <w:rsid w:val="00246AB9"/>
    <w:rsid w:val="00246ACE"/>
    <w:rsid w:val="0024716F"/>
    <w:rsid w:val="0026117F"/>
    <w:rsid w:val="00284AA5"/>
    <w:rsid w:val="002B138D"/>
    <w:rsid w:val="002B796C"/>
    <w:rsid w:val="002E68F5"/>
    <w:rsid w:val="002F3506"/>
    <w:rsid w:val="00380F03"/>
    <w:rsid w:val="003A0A45"/>
    <w:rsid w:val="003A506B"/>
    <w:rsid w:val="003C0F4C"/>
    <w:rsid w:val="003C5F47"/>
    <w:rsid w:val="003D1F73"/>
    <w:rsid w:val="003D5BDB"/>
    <w:rsid w:val="003F2753"/>
    <w:rsid w:val="003F5A2C"/>
    <w:rsid w:val="00400CE7"/>
    <w:rsid w:val="004023BA"/>
    <w:rsid w:val="004028F4"/>
    <w:rsid w:val="00425B54"/>
    <w:rsid w:val="00462ECE"/>
    <w:rsid w:val="00496A3B"/>
    <w:rsid w:val="004A0651"/>
    <w:rsid w:val="004A7628"/>
    <w:rsid w:val="00501D55"/>
    <w:rsid w:val="005041CD"/>
    <w:rsid w:val="00531EBB"/>
    <w:rsid w:val="005361E4"/>
    <w:rsid w:val="00575C3B"/>
    <w:rsid w:val="00592253"/>
    <w:rsid w:val="00593BF8"/>
    <w:rsid w:val="00593CCD"/>
    <w:rsid w:val="005A4A52"/>
    <w:rsid w:val="005C1B70"/>
    <w:rsid w:val="005C6609"/>
    <w:rsid w:val="005C7300"/>
    <w:rsid w:val="005E0EF6"/>
    <w:rsid w:val="005E48A6"/>
    <w:rsid w:val="005E6043"/>
    <w:rsid w:val="005F0AD5"/>
    <w:rsid w:val="005F7BE3"/>
    <w:rsid w:val="00611646"/>
    <w:rsid w:val="00633038"/>
    <w:rsid w:val="00652251"/>
    <w:rsid w:val="0067160D"/>
    <w:rsid w:val="006B13D8"/>
    <w:rsid w:val="006C7B43"/>
    <w:rsid w:val="006D47D2"/>
    <w:rsid w:val="006E37BD"/>
    <w:rsid w:val="006E3C3E"/>
    <w:rsid w:val="006F09FA"/>
    <w:rsid w:val="006F1BAB"/>
    <w:rsid w:val="006F4029"/>
    <w:rsid w:val="006F7B19"/>
    <w:rsid w:val="00702BB1"/>
    <w:rsid w:val="00713CFE"/>
    <w:rsid w:val="007219BD"/>
    <w:rsid w:val="00733C6C"/>
    <w:rsid w:val="00735FDC"/>
    <w:rsid w:val="00741E7F"/>
    <w:rsid w:val="00745316"/>
    <w:rsid w:val="00782759"/>
    <w:rsid w:val="00785DBD"/>
    <w:rsid w:val="007938AE"/>
    <w:rsid w:val="007A1483"/>
    <w:rsid w:val="007C674C"/>
    <w:rsid w:val="007E5D16"/>
    <w:rsid w:val="007F102E"/>
    <w:rsid w:val="00811E3D"/>
    <w:rsid w:val="00821B09"/>
    <w:rsid w:val="0083417A"/>
    <w:rsid w:val="00844B10"/>
    <w:rsid w:val="00855318"/>
    <w:rsid w:val="0086671E"/>
    <w:rsid w:val="00870182"/>
    <w:rsid w:val="00887DD4"/>
    <w:rsid w:val="008C0273"/>
    <w:rsid w:val="008F361F"/>
    <w:rsid w:val="00911328"/>
    <w:rsid w:val="0091269E"/>
    <w:rsid w:val="00936E95"/>
    <w:rsid w:val="009822A1"/>
    <w:rsid w:val="0099187E"/>
    <w:rsid w:val="009A24A6"/>
    <w:rsid w:val="009D13D9"/>
    <w:rsid w:val="009F2B33"/>
    <w:rsid w:val="00A35B8C"/>
    <w:rsid w:val="00A5662D"/>
    <w:rsid w:val="00A75BC1"/>
    <w:rsid w:val="00A86D98"/>
    <w:rsid w:val="00A91632"/>
    <w:rsid w:val="00AB02ED"/>
    <w:rsid w:val="00AB06A3"/>
    <w:rsid w:val="00AE6443"/>
    <w:rsid w:val="00B07229"/>
    <w:rsid w:val="00B32E01"/>
    <w:rsid w:val="00B40B41"/>
    <w:rsid w:val="00B532D0"/>
    <w:rsid w:val="00B63D89"/>
    <w:rsid w:val="00B673D8"/>
    <w:rsid w:val="00B96958"/>
    <w:rsid w:val="00BA5F37"/>
    <w:rsid w:val="00BB5186"/>
    <w:rsid w:val="00BC1A6C"/>
    <w:rsid w:val="00BC516D"/>
    <w:rsid w:val="00BD1750"/>
    <w:rsid w:val="00BD72ED"/>
    <w:rsid w:val="00BE2327"/>
    <w:rsid w:val="00C143D8"/>
    <w:rsid w:val="00C27E30"/>
    <w:rsid w:val="00C630BD"/>
    <w:rsid w:val="00CC38F6"/>
    <w:rsid w:val="00CD1C73"/>
    <w:rsid w:val="00CD5E13"/>
    <w:rsid w:val="00CE6F69"/>
    <w:rsid w:val="00CF5E47"/>
    <w:rsid w:val="00CF5F03"/>
    <w:rsid w:val="00CF6274"/>
    <w:rsid w:val="00CF653F"/>
    <w:rsid w:val="00D34C2C"/>
    <w:rsid w:val="00D55456"/>
    <w:rsid w:val="00D84404"/>
    <w:rsid w:val="00D941A4"/>
    <w:rsid w:val="00DB13AE"/>
    <w:rsid w:val="00DB51AE"/>
    <w:rsid w:val="00DC0F3D"/>
    <w:rsid w:val="00DE11CB"/>
    <w:rsid w:val="00E04AE0"/>
    <w:rsid w:val="00E13597"/>
    <w:rsid w:val="00E25BBD"/>
    <w:rsid w:val="00E25EEF"/>
    <w:rsid w:val="00E50D18"/>
    <w:rsid w:val="00E54D9C"/>
    <w:rsid w:val="00E75568"/>
    <w:rsid w:val="00E92232"/>
    <w:rsid w:val="00EA1E95"/>
    <w:rsid w:val="00EA38DC"/>
    <w:rsid w:val="00EA7627"/>
    <w:rsid w:val="00EC0776"/>
    <w:rsid w:val="00EC6B4B"/>
    <w:rsid w:val="00EE4E03"/>
    <w:rsid w:val="00F35843"/>
    <w:rsid w:val="00F466ED"/>
    <w:rsid w:val="00F546CB"/>
    <w:rsid w:val="00F64180"/>
    <w:rsid w:val="00F930E5"/>
    <w:rsid w:val="00FB31AC"/>
    <w:rsid w:val="00FB4325"/>
    <w:rsid w:val="00FD645C"/>
    <w:rsid w:val="00FF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D33B"/>
  <w15:chartTrackingRefBased/>
  <w15:docId w15:val="{6ED21793-2790-4E8C-BFB3-4794C5EB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53"/>
  </w:style>
  <w:style w:type="paragraph" w:styleId="Heading1">
    <w:name w:val="heading 1"/>
    <w:basedOn w:val="Normal"/>
    <w:next w:val="Normal"/>
    <w:link w:val="Heading1Char"/>
    <w:uiPriority w:val="9"/>
    <w:qFormat/>
    <w:rsid w:val="0059225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225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25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25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25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25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25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25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300"/>
    <w:rPr>
      <w:sz w:val="16"/>
      <w:szCs w:val="16"/>
    </w:rPr>
  </w:style>
  <w:style w:type="paragraph" w:styleId="CommentText">
    <w:name w:val="annotation text"/>
    <w:basedOn w:val="Normal"/>
    <w:link w:val="CommentTextChar"/>
    <w:uiPriority w:val="99"/>
    <w:unhideWhenUsed/>
    <w:rsid w:val="005C7300"/>
    <w:pPr>
      <w:spacing w:line="240" w:lineRule="auto"/>
    </w:pPr>
    <w:rPr>
      <w:sz w:val="20"/>
      <w:szCs w:val="20"/>
    </w:rPr>
  </w:style>
  <w:style w:type="character" w:customStyle="1" w:styleId="CommentTextChar">
    <w:name w:val="Comment Text Char"/>
    <w:basedOn w:val="DefaultParagraphFont"/>
    <w:link w:val="CommentText"/>
    <w:uiPriority w:val="99"/>
    <w:rsid w:val="005C7300"/>
    <w:rPr>
      <w:sz w:val="20"/>
      <w:szCs w:val="20"/>
    </w:rPr>
  </w:style>
  <w:style w:type="paragraph" w:styleId="CommentSubject">
    <w:name w:val="annotation subject"/>
    <w:basedOn w:val="CommentText"/>
    <w:next w:val="CommentText"/>
    <w:link w:val="CommentSubjectChar"/>
    <w:uiPriority w:val="99"/>
    <w:semiHidden/>
    <w:unhideWhenUsed/>
    <w:rsid w:val="005C7300"/>
    <w:rPr>
      <w:b/>
      <w:bCs/>
    </w:rPr>
  </w:style>
  <w:style w:type="character" w:customStyle="1" w:styleId="CommentSubjectChar">
    <w:name w:val="Comment Subject Char"/>
    <w:basedOn w:val="CommentTextChar"/>
    <w:link w:val="CommentSubject"/>
    <w:uiPriority w:val="99"/>
    <w:semiHidden/>
    <w:rsid w:val="005C7300"/>
    <w:rPr>
      <w:b/>
      <w:bCs/>
      <w:sz w:val="20"/>
      <w:szCs w:val="20"/>
    </w:rPr>
  </w:style>
  <w:style w:type="paragraph" w:styleId="BalloonText">
    <w:name w:val="Balloon Text"/>
    <w:basedOn w:val="Normal"/>
    <w:link w:val="BalloonTextChar"/>
    <w:uiPriority w:val="99"/>
    <w:semiHidden/>
    <w:unhideWhenUsed/>
    <w:rsid w:val="005C7300"/>
    <w:pPr>
      <w:spacing w:after="0" w:line="240" w:lineRule="auto"/>
    </w:pPr>
    <w:rPr>
      <w:rFonts w:ascii="MS Shell Dlg" w:hAnsi="MS Shell Dlg"/>
      <w:sz w:val="18"/>
      <w:szCs w:val="18"/>
    </w:rPr>
  </w:style>
  <w:style w:type="character" w:customStyle="1" w:styleId="BalloonTextChar">
    <w:name w:val="Balloon Text Char"/>
    <w:basedOn w:val="DefaultParagraphFont"/>
    <w:link w:val="BalloonText"/>
    <w:uiPriority w:val="99"/>
    <w:semiHidden/>
    <w:rsid w:val="005C7300"/>
    <w:rPr>
      <w:rFonts w:ascii="MS Shell Dlg" w:hAnsi="MS Shell Dlg"/>
      <w:sz w:val="18"/>
      <w:szCs w:val="18"/>
    </w:rPr>
  </w:style>
  <w:style w:type="paragraph" w:styleId="ListParagraph">
    <w:name w:val="List Paragraph"/>
    <w:basedOn w:val="Normal"/>
    <w:uiPriority w:val="34"/>
    <w:qFormat/>
    <w:rsid w:val="00210600"/>
    <w:pPr>
      <w:ind w:left="720"/>
      <w:contextualSpacing/>
    </w:pPr>
  </w:style>
  <w:style w:type="paragraph" w:customStyle="1" w:styleId="ColorfulList-Accent11">
    <w:name w:val="Colorful List - Accent 11"/>
    <w:basedOn w:val="Normal"/>
    <w:uiPriority w:val="34"/>
    <w:qFormat/>
    <w:rsid w:val="004028F4"/>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CF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47"/>
  </w:style>
  <w:style w:type="paragraph" w:styleId="Footer">
    <w:name w:val="footer"/>
    <w:basedOn w:val="Normal"/>
    <w:link w:val="FooterChar"/>
    <w:uiPriority w:val="99"/>
    <w:unhideWhenUsed/>
    <w:rsid w:val="00CF5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47"/>
  </w:style>
  <w:style w:type="paragraph" w:styleId="BodyText">
    <w:name w:val="Body Text"/>
    <w:basedOn w:val="Normal"/>
    <w:link w:val="BodyTextChar"/>
    <w:uiPriority w:val="1"/>
    <w:unhideWhenUsed/>
    <w:qFormat/>
    <w:rsid w:val="00462ECE"/>
    <w:pPr>
      <w:widowControl w:val="0"/>
      <w:autoSpaceDE w:val="0"/>
      <w:autoSpaceDN w:val="0"/>
      <w:spacing w:after="0" w:line="240" w:lineRule="auto"/>
    </w:pPr>
    <w:rPr>
      <w:rFonts w:ascii="Calibri" w:eastAsia="Times New Roman" w:hAnsi="Calibri" w:cs="Calibri"/>
      <w:lang w:val="en-US"/>
    </w:rPr>
  </w:style>
  <w:style w:type="character" w:customStyle="1" w:styleId="BodyTextChar">
    <w:name w:val="Body Text Char"/>
    <w:basedOn w:val="DefaultParagraphFont"/>
    <w:link w:val="BodyText"/>
    <w:uiPriority w:val="1"/>
    <w:rsid w:val="00462ECE"/>
    <w:rPr>
      <w:rFonts w:ascii="Calibri" w:eastAsia="Times New Roman" w:hAnsi="Calibri" w:cs="Calibri"/>
      <w:lang w:val="en-US"/>
    </w:rPr>
  </w:style>
  <w:style w:type="character" w:customStyle="1" w:styleId="Heading2Char">
    <w:name w:val="Heading 2 Char"/>
    <w:basedOn w:val="DefaultParagraphFont"/>
    <w:link w:val="Heading2"/>
    <w:uiPriority w:val="9"/>
    <w:semiHidden/>
    <w:rsid w:val="00CC38F6"/>
    <w:rPr>
      <w:rFonts w:asciiTheme="majorHAnsi" w:eastAsiaTheme="majorEastAsia" w:hAnsiTheme="majorHAnsi" w:cstheme="majorBidi"/>
      <w:color w:val="2F5496" w:themeColor="accent1" w:themeShade="BF"/>
      <w:sz w:val="26"/>
      <w:szCs w:val="26"/>
    </w:rPr>
  </w:style>
  <w:style w:type="paragraph" w:customStyle="1" w:styleId="MGfulltext">
    <w:name w:val="MG_fulltext"/>
    <w:basedOn w:val="Normal"/>
    <w:link w:val="MGfulltextChar"/>
    <w:qFormat/>
    <w:rsid w:val="00B63D89"/>
    <w:pPr>
      <w:spacing w:after="120" w:line="240" w:lineRule="auto"/>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63D89"/>
    <w:rPr>
      <w:rFonts w:ascii="Arial" w:eastAsia="Times New Roman" w:hAnsi="Arial" w:cs="Arial"/>
      <w:sz w:val="24"/>
      <w:szCs w:val="24"/>
      <w:lang w:val="en-US"/>
    </w:rPr>
  </w:style>
  <w:style w:type="character" w:styleId="Hyperlink">
    <w:name w:val="Hyperlink"/>
    <w:basedOn w:val="DefaultParagraphFont"/>
    <w:uiPriority w:val="99"/>
    <w:unhideWhenUsed/>
    <w:qFormat/>
    <w:rsid w:val="00592253"/>
    <w:rPr>
      <w:color w:val="0563C1" w:themeColor="hyperlink"/>
      <w:u w:val="single"/>
    </w:rPr>
  </w:style>
  <w:style w:type="paragraph" w:styleId="Revision">
    <w:name w:val="Revision"/>
    <w:hidden/>
    <w:uiPriority w:val="99"/>
    <w:semiHidden/>
    <w:rsid w:val="00811E3D"/>
    <w:pPr>
      <w:spacing w:after="0" w:line="240" w:lineRule="auto"/>
    </w:pPr>
  </w:style>
  <w:style w:type="paragraph" w:styleId="FootnoteText">
    <w:name w:val="footnote text"/>
    <w:basedOn w:val="Normal"/>
    <w:link w:val="FootnoteTextChar"/>
    <w:uiPriority w:val="99"/>
    <w:semiHidden/>
    <w:unhideWhenUsed/>
    <w:rsid w:val="00034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F3"/>
    <w:rPr>
      <w:sz w:val="20"/>
      <w:szCs w:val="20"/>
    </w:rPr>
  </w:style>
  <w:style w:type="character" w:styleId="FootnoteReference">
    <w:name w:val="footnote reference"/>
    <w:basedOn w:val="DefaultParagraphFont"/>
    <w:uiPriority w:val="99"/>
    <w:semiHidden/>
    <w:unhideWhenUsed/>
    <w:rsid w:val="000349F3"/>
    <w:rPr>
      <w:vertAlign w:val="superscript"/>
    </w:rPr>
  </w:style>
  <w:style w:type="character" w:customStyle="1" w:styleId="Heading1Char">
    <w:name w:val="Heading 1 Char"/>
    <w:basedOn w:val="DefaultParagraphFont"/>
    <w:link w:val="Heading1"/>
    <w:uiPriority w:val="9"/>
    <w:rsid w:val="00592253"/>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592253"/>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92253"/>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92253"/>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92253"/>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92253"/>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92253"/>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92253"/>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922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25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9225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25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9225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92253"/>
    <w:rPr>
      <w:i/>
      <w:iCs/>
      <w:color w:val="404040" w:themeColor="text1" w:themeTint="BF"/>
      <w:kern w:val="2"/>
      <w14:ligatures w14:val="standardContextual"/>
    </w:rPr>
  </w:style>
  <w:style w:type="character" w:styleId="IntenseEmphasis">
    <w:name w:val="Intense Emphasis"/>
    <w:basedOn w:val="DefaultParagraphFont"/>
    <w:uiPriority w:val="21"/>
    <w:qFormat/>
    <w:rsid w:val="00592253"/>
    <w:rPr>
      <w:i/>
      <w:iCs/>
      <w:color w:val="2F5496" w:themeColor="accent1" w:themeShade="BF"/>
    </w:rPr>
  </w:style>
  <w:style w:type="paragraph" w:styleId="IntenseQuote">
    <w:name w:val="Intense Quote"/>
    <w:basedOn w:val="Normal"/>
    <w:next w:val="Normal"/>
    <w:link w:val="IntenseQuoteChar"/>
    <w:uiPriority w:val="30"/>
    <w:qFormat/>
    <w:rsid w:val="00592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92253"/>
    <w:rPr>
      <w:i/>
      <w:iCs/>
      <w:color w:val="2F5496" w:themeColor="accent1" w:themeShade="BF"/>
      <w:kern w:val="2"/>
      <w14:ligatures w14:val="standardContextual"/>
    </w:rPr>
  </w:style>
  <w:style w:type="character" w:styleId="IntenseReference">
    <w:name w:val="Intense Reference"/>
    <w:basedOn w:val="DefaultParagraphFont"/>
    <w:uiPriority w:val="32"/>
    <w:qFormat/>
    <w:rsid w:val="00592253"/>
    <w:rPr>
      <w:b/>
      <w:bCs/>
      <w:smallCaps/>
      <w:color w:val="2F5496" w:themeColor="accent1" w:themeShade="BF"/>
      <w:spacing w:val="5"/>
    </w:rPr>
  </w:style>
  <w:style w:type="character" w:styleId="UnresolvedMention">
    <w:name w:val="Unresolved Mention"/>
    <w:basedOn w:val="DefaultParagraphFont"/>
    <w:uiPriority w:val="99"/>
    <w:semiHidden/>
    <w:unhideWhenUsed/>
    <w:rsid w:val="00592253"/>
    <w:rPr>
      <w:color w:val="605E5C"/>
      <w:shd w:val="clear" w:color="auto" w:fill="E1DFDD"/>
    </w:rPr>
  </w:style>
  <w:style w:type="table" w:styleId="TableGrid">
    <w:name w:val="Table Grid"/>
    <w:basedOn w:val="TableNormal"/>
    <w:uiPriority w:val="39"/>
    <w:rsid w:val="001C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07650">
      <w:bodyDiv w:val="1"/>
      <w:marLeft w:val="0"/>
      <w:marRight w:val="0"/>
      <w:marTop w:val="0"/>
      <w:marBottom w:val="0"/>
      <w:divBdr>
        <w:top w:val="none" w:sz="0" w:space="0" w:color="auto"/>
        <w:left w:val="none" w:sz="0" w:space="0" w:color="auto"/>
        <w:bottom w:val="none" w:sz="0" w:space="0" w:color="auto"/>
        <w:right w:val="none" w:sz="0" w:space="0" w:color="auto"/>
      </w:divBdr>
      <w:divsChild>
        <w:div w:id="1784495101">
          <w:marLeft w:val="0"/>
          <w:marRight w:val="0"/>
          <w:marTop w:val="0"/>
          <w:marBottom w:val="0"/>
          <w:divBdr>
            <w:top w:val="none" w:sz="0" w:space="0" w:color="auto"/>
            <w:left w:val="none" w:sz="0" w:space="0" w:color="auto"/>
            <w:bottom w:val="none" w:sz="0" w:space="0" w:color="auto"/>
            <w:right w:val="none" w:sz="0" w:space="0" w:color="auto"/>
          </w:divBdr>
        </w:div>
      </w:divsChild>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268539781">
      <w:bodyDiv w:val="1"/>
      <w:marLeft w:val="0"/>
      <w:marRight w:val="0"/>
      <w:marTop w:val="0"/>
      <w:marBottom w:val="0"/>
      <w:divBdr>
        <w:top w:val="none" w:sz="0" w:space="0" w:color="auto"/>
        <w:left w:val="none" w:sz="0" w:space="0" w:color="auto"/>
        <w:bottom w:val="none" w:sz="0" w:space="0" w:color="auto"/>
        <w:right w:val="none" w:sz="0" w:space="0" w:color="auto"/>
      </w:divBdr>
      <w:divsChild>
        <w:div w:id="450319226">
          <w:marLeft w:val="0"/>
          <w:marRight w:val="0"/>
          <w:marTop w:val="0"/>
          <w:marBottom w:val="0"/>
          <w:divBdr>
            <w:top w:val="none" w:sz="0" w:space="0" w:color="auto"/>
            <w:left w:val="none" w:sz="0" w:space="0" w:color="auto"/>
            <w:bottom w:val="none" w:sz="0" w:space="0" w:color="auto"/>
            <w:right w:val="none" w:sz="0" w:space="0" w:color="auto"/>
          </w:divBdr>
        </w:div>
      </w:divsChild>
    </w:div>
    <w:div w:id="1401176261">
      <w:bodyDiv w:val="1"/>
      <w:marLeft w:val="0"/>
      <w:marRight w:val="0"/>
      <w:marTop w:val="0"/>
      <w:marBottom w:val="0"/>
      <w:divBdr>
        <w:top w:val="none" w:sz="0" w:space="0" w:color="auto"/>
        <w:left w:val="none" w:sz="0" w:space="0" w:color="auto"/>
        <w:bottom w:val="none" w:sz="0" w:space="0" w:color="auto"/>
        <w:right w:val="none" w:sz="0" w:space="0" w:color="auto"/>
      </w:divBdr>
    </w:div>
    <w:div w:id="1810122089">
      <w:bodyDiv w:val="1"/>
      <w:marLeft w:val="0"/>
      <w:marRight w:val="0"/>
      <w:marTop w:val="0"/>
      <w:marBottom w:val="0"/>
      <w:divBdr>
        <w:top w:val="none" w:sz="0" w:space="0" w:color="auto"/>
        <w:left w:val="none" w:sz="0" w:space="0" w:color="auto"/>
        <w:bottom w:val="none" w:sz="0" w:space="0" w:color="auto"/>
        <w:right w:val="none" w:sz="0" w:space="0" w:color="auto"/>
      </w:divBdr>
    </w:div>
    <w:div w:id="1861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2025-01/SC64_inf2_earth_observation_consultation_e.pdf"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31E5-66C4-4F60-B075-B7B21AB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3344</Words>
  <Characters>19064</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Subgroup on Finance</dc:creator>
  <cp:keywords/>
  <dc:description/>
  <cp:lastModifiedBy>JENNINGS Edmund</cp:lastModifiedBy>
  <cp:revision>4</cp:revision>
  <cp:lastPrinted>2025-01-22T08:42:00Z</cp:lastPrinted>
  <dcterms:created xsi:type="dcterms:W3CDTF">2025-01-22T08:29:00Z</dcterms:created>
  <dcterms:modified xsi:type="dcterms:W3CDTF">2025-01-22T08:43:00Z</dcterms:modified>
</cp:coreProperties>
</file>