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EA80" w14:textId="2523AF48" w:rsidR="00065B8F" w:rsidRPr="005F7684" w:rsidRDefault="00065B8F" w:rsidP="004A5A53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left="0" w:right="3214" w:firstLine="0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C</w:t>
      </w:r>
      <w:r w:rsidR="00C356E6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ONVENTION SUR LES ZONES HUMIDES</w:t>
      </w:r>
    </w:p>
    <w:p w14:paraId="0F0D1AAA" w14:textId="4B5D58BA" w:rsidR="00C356E6" w:rsidRPr="005F7684" w:rsidRDefault="00C356E6" w:rsidP="00A451D1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Theme="minorHAnsi" w:hAnsiTheme="minorHAnsi" w:cstheme="minorHAnsi"/>
          <w:lang w:val="fr-FR"/>
        </w:rPr>
      </w:pPr>
      <w:r w:rsidRPr="005F7684">
        <w:rPr>
          <w:rFonts w:asciiTheme="minorHAnsi" w:hAnsiTheme="minorHAnsi" w:cstheme="minorHAnsi"/>
          <w:lang w:val="fr-FR"/>
        </w:rPr>
        <w:t>64</w:t>
      </w:r>
      <w:r w:rsidRPr="005F7684">
        <w:rPr>
          <w:rFonts w:asciiTheme="minorHAnsi" w:hAnsiTheme="minorHAnsi" w:cstheme="minorHAnsi"/>
          <w:vertAlign w:val="superscript"/>
          <w:lang w:val="fr-FR"/>
        </w:rPr>
        <w:t>e</w:t>
      </w:r>
      <w:r w:rsidRPr="005F7684">
        <w:rPr>
          <w:rFonts w:asciiTheme="minorHAnsi" w:hAnsiTheme="minorHAnsi" w:cstheme="minorHAnsi"/>
          <w:lang w:val="fr-FR"/>
        </w:rPr>
        <w:t> réunion du Comité permanent</w:t>
      </w:r>
    </w:p>
    <w:p w14:paraId="78B3FB25" w14:textId="02096253" w:rsidR="00065B8F" w:rsidRPr="005F7684" w:rsidRDefault="00B556D3" w:rsidP="00A451D1">
      <w:pPr>
        <w:widowControl w:val="0"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214"/>
        <w:rPr>
          <w:rFonts w:asciiTheme="minorHAnsi" w:hAnsiTheme="minorHAnsi" w:cstheme="minorHAnsi"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lang w:val="fr-FR"/>
        </w:rPr>
        <w:t xml:space="preserve">Gland, </w:t>
      </w:r>
      <w:r w:rsidR="00C356E6" w:rsidRPr="005F7684">
        <w:rPr>
          <w:rFonts w:asciiTheme="minorHAnsi" w:hAnsiTheme="minorHAnsi" w:cstheme="minorHAnsi"/>
          <w:bCs/>
          <w:lang w:val="fr-FR"/>
        </w:rPr>
        <w:t>Suisse, 20-25 janvier 2025</w:t>
      </w:r>
    </w:p>
    <w:p w14:paraId="2BB6B6C0" w14:textId="77777777" w:rsidR="00065B8F" w:rsidRPr="005F7684" w:rsidRDefault="00065B8F" w:rsidP="00A451D1">
      <w:pPr>
        <w:widowControl w:val="0"/>
        <w:rPr>
          <w:rFonts w:asciiTheme="minorHAnsi" w:hAnsiTheme="minorHAnsi" w:cstheme="minorHAnsi"/>
          <w:sz w:val="28"/>
          <w:szCs w:val="28"/>
          <w:lang w:val="fr-FR"/>
        </w:rPr>
      </w:pPr>
    </w:p>
    <w:p w14:paraId="1B8DA46A" w14:textId="3E319C54" w:rsidR="00065B8F" w:rsidRPr="005F7684" w:rsidRDefault="006A7C44" w:rsidP="00A451D1">
      <w:pPr>
        <w:widowControl w:val="0"/>
        <w:jc w:val="righ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sz w:val="28"/>
          <w:szCs w:val="28"/>
          <w:lang w:val="fr-FR"/>
        </w:rPr>
        <w:t>SC</w:t>
      </w:r>
      <w:r w:rsidR="007A4DE6" w:rsidRPr="005F7684">
        <w:rPr>
          <w:rFonts w:asciiTheme="minorHAnsi" w:hAnsiTheme="minorHAnsi" w:cstheme="minorHAnsi"/>
          <w:b/>
          <w:sz w:val="28"/>
          <w:szCs w:val="28"/>
          <w:lang w:val="fr-FR"/>
        </w:rPr>
        <w:t>64</w:t>
      </w:r>
      <w:r w:rsidR="00065B8F" w:rsidRPr="005F7684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</w:t>
      </w:r>
      <w:r w:rsidR="007A4DE6" w:rsidRPr="005F7684">
        <w:rPr>
          <w:rFonts w:asciiTheme="minorHAnsi" w:hAnsiTheme="minorHAnsi" w:cstheme="minorHAnsi"/>
          <w:b/>
          <w:sz w:val="28"/>
          <w:szCs w:val="28"/>
          <w:lang w:val="fr-FR"/>
        </w:rPr>
        <w:t>9</w:t>
      </w:r>
      <w:r w:rsidR="00C56C0A" w:rsidRPr="005F7684">
        <w:rPr>
          <w:rFonts w:asciiTheme="minorHAnsi" w:hAnsiTheme="minorHAnsi" w:cstheme="minorHAnsi"/>
          <w:b/>
          <w:sz w:val="28"/>
          <w:szCs w:val="28"/>
          <w:lang w:val="fr-FR"/>
        </w:rPr>
        <w:t>.4</w:t>
      </w:r>
    </w:p>
    <w:p w14:paraId="23E946FC" w14:textId="77777777" w:rsidR="00065B8F" w:rsidRPr="005F7684" w:rsidRDefault="00065B8F" w:rsidP="00A451D1">
      <w:pPr>
        <w:widowControl w:val="0"/>
        <w:jc w:val="center"/>
        <w:rPr>
          <w:rFonts w:asciiTheme="minorHAnsi" w:hAnsiTheme="minorHAnsi" w:cstheme="minorHAnsi"/>
          <w:bCs/>
          <w:sz w:val="28"/>
          <w:szCs w:val="28"/>
          <w:lang w:val="fr-FR"/>
        </w:rPr>
      </w:pPr>
    </w:p>
    <w:p w14:paraId="520F0D4F" w14:textId="3C29FE3E" w:rsidR="00CD5F72" w:rsidRPr="005F7684" w:rsidRDefault="00C356E6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Questions financières et budgétaires</w:t>
      </w:r>
      <w:r w:rsidR="00996BB7">
        <w:rPr>
          <w:rFonts w:asciiTheme="minorHAnsi" w:hAnsiTheme="minorHAnsi" w:cstheme="minorHAnsi"/>
          <w:b/>
          <w:bCs/>
          <w:sz w:val="28"/>
          <w:szCs w:val="28"/>
          <w:lang w:val="fr-FR"/>
        </w:rPr>
        <w:t> </w:t>
      </w:r>
      <w:r w:rsidR="00CD5F72"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:</w:t>
      </w:r>
    </w:p>
    <w:p w14:paraId="4754E82B" w14:textId="14D8EBD5" w:rsidR="00065B8F" w:rsidRPr="005F7684" w:rsidRDefault="00C356E6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sz w:val="28"/>
          <w:szCs w:val="28"/>
          <w:lang w:val="fr-FR"/>
        </w:rPr>
        <w:t>Incidences financières possibles des projets de résolutions</w:t>
      </w:r>
    </w:p>
    <w:p w14:paraId="6D68E7B9" w14:textId="77777777" w:rsidR="00024100" w:rsidRPr="005F7684" w:rsidRDefault="00024100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F5BA36C" w14:textId="42AC6788" w:rsidR="006058B3" w:rsidRPr="005F7684" w:rsidRDefault="005C0613" w:rsidP="00A451D1">
      <w:pPr>
        <w:widowControl w:val="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F7684">
        <w:rPr>
          <w:rFonts w:asciiTheme="minorHAnsi" w:hAnsiTheme="minorHAnsi" w:cstheme="minorHAns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inline distT="0" distB="0" distL="0" distR="0" wp14:anchorId="6B0CB168" wp14:editId="76BF25D5">
                <wp:extent cx="5731510" cy="762000"/>
                <wp:effectExtent l="0" t="0" r="21590" b="19050"/>
                <wp:docPr id="19750257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A5C5" w14:textId="5BEF868F" w:rsidR="005C0613" w:rsidRPr="00C356E6" w:rsidRDefault="00C356E6" w:rsidP="005C061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Mesure requise </w:t>
                            </w:r>
                            <w:r w:rsidR="005C0613" w:rsidRPr="00C356E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</w:p>
                          <w:p w14:paraId="21E04FBC" w14:textId="77777777" w:rsidR="005C0613" w:rsidRPr="00C356E6" w:rsidRDefault="005C0613" w:rsidP="005C0613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75AB3F26" w14:textId="46582D90" w:rsidR="00C356E6" w:rsidRDefault="00C356E6" w:rsidP="005C0613">
                            <w:pPr>
                              <w:pStyle w:val="ColorfulList-Accent11"/>
                              <w:ind w:left="0" w:firstLine="0"/>
                              <w:rPr>
                                <w:lang w:val="fr-FR"/>
                              </w:rPr>
                            </w:pPr>
                            <w:r w:rsidRPr="00C356E6">
                              <w:rPr>
                                <w:lang w:val="fr-FR"/>
                              </w:rPr>
                              <w:t xml:space="preserve">Le Comité permanent est invité à prendre note des </w:t>
                            </w:r>
                            <w:r>
                              <w:rPr>
                                <w:lang w:val="fr-FR"/>
                              </w:rPr>
                              <w:t>incidences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administratives et financières prévues des projets de résolution</w:t>
                            </w:r>
                            <w:r w:rsidR="00A1711B">
                              <w:rPr>
                                <w:lang w:val="fr-FR"/>
                              </w:rPr>
                              <w:t>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soumi</w:t>
                            </w:r>
                            <w:r w:rsidR="00A1711B">
                              <w:rPr>
                                <w:lang w:val="fr-FR"/>
                              </w:rPr>
                              <w:t>s</w:t>
                            </w:r>
                            <w:r w:rsidRPr="00C356E6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1711B">
                              <w:rPr>
                                <w:lang w:val="fr-FR"/>
                              </w:rPr>
                              <w:t>pour examen à la 64</w:t>
                            </w:r>
                            <w:r w:rsidR="00A1711B" w:rsidRPr="00A1711B">
                              <w:rPr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="008B58B2">
                              <w:rPr>
                                <w:lang w:val="fr-FR"/>
                              </w:rPr>
                              <w:t> </w:t>
                            </w:r>
                            <w:r w:rsidR="00A1711B">
                              <w:rPr>
                                <w:lang w:val="fr-FR"/>
                              </w:rPr>
                              <w:t>réunion du Comité permanent.</w:t>
                            </w:r>
                          </w:p>
                          <w:p w14:paraId="68983808" w14:textId="77777777" w:rsidR="00A1711B" w:rsidRPr="00C356E6" w:rsidRDefault="00A1711B" w:rsidP="00A1711B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CB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">
                <v:textbox>
                  <w:txbxContent>
                    <w:p w14:paraId="4E2CA5C5" w14:textId="5BEF868F" w:rsidR="005C0613" w:rsidRPr="00C356E6" w:rsidRDefault="00C356E6" w:rsidP="005C0613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Mesure requise </w:t>
                      </w:r>
                      <w:r w:rsidR="005C0613" w:rsidRPr="00C356E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t>:</w:t>
                      </w:r>
                    </w:p>
                    <w:p w14:paraId="21E04FBC" w14:textId="77777777" w:rsidR="005C0613" w:rsidRPr="00C356E6" w:rsidRDefault="005C0613" w:rsidP="005C0613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75AB3F26" w14:textId="46582D90" w:rsidR="00C356E6" w:rsidRDefault="00C356E6" w:rsidP="005C0613">
                      <w:pPr>
                        <w:pStyle w:val="ColorfulList-Accent11"/>
                        <w:ind w:left="0" w:firstLine="0"/>
                        <w:rPr>
                          <w:lang w:val="fr-FR"/>
                        </w:rPr>
                      </w:pPr>
                      <w:r w:rsidRPr="00C356E6">
                        <w:rPr>
                          <w:lang w:val="fr-FR"/>
                        </w:rPr>
                        <w:t xml:space="preserve">Le Comité permanent est invité à prendre note des </w:t>
                      </w:r>
                      <w:r>
                        <w:rPr>
                          <w:lang w:val="fr-FR"/>
                        </w:rPr>
                        <w:t>incidences</w:t>
                      </w:r>
                      <w:r w:rsidRPr="00C356E6">
                        <w:rPr>
                          <w:lang w:val="fr-FR"/>
                        </w:rPr>
                        <w:t xml:space="preserve"> administratives et financières prévues des projets de résolution</w:t>
                      </w:r>
                      <w:r w:rsidR="00A1711B">
                        <w:rPr>
                          <w:lang w:val="fr-FR"/>
                        </w:rPr>
                        <w:t>s</w:t>
                      </w:r>
                      <w:r w:rsidRPr="00C356E6">
                        <w:rPr>
                          <w:lang w:val="fr-FR"/>
                        </w:rPr>
                        <w:t xml:space="preserve"> soumi</w:t>
                      </w:r>
                      <w:r w:rsidR="00A1711B">
                        <w:rPr>
                          <w:lang w:val="fr-FR"/>
                        </w:rPr>
                        <w:t>s</w:t>
                      </w:r>
                      <w:r w:rsidRPr="00C356E6">
                        <w:rPr>
                          <w:lang w:val="fr-FR"/>
                        </w:rPr>
                        <w:t xml:space="preserve"> </w:t>
                      </w:r>
                      <w:r w:rsidR="00A1711B">
                        <w:rPr>
                          <w:lang w:val="fr-FR"/>
                        </w:rPr>
                        <w:t>pour examen à la 64</w:t>
                      </w:r>
                      <w:r w:rsidR="00A1711B" w:rsidRPr="00A1711B">
                        <w:rPr>
                          <w:vertAlign w:val="superscript"/>
                          <w:lang w:val="fr-FR"/>
                        </w:rPr>
                        <w:t>e</w:t>
                      </w:r>
                      <w:r w:rsidR="008B58B2">
                        <w:rPr>
                          <w:lang w:val="fr-FR"/>
                        </w:rPr>
                        <w:t> </w:t>
                      </w:r>
                      <w:r w:rsidR="00A1711B">
                        <w:rPr>
                          <w:lang w:val="fr-FR"/>
                        </w:rPr>
                        <w:t>réunion du Comité permanent.</w:t>
                      </w:r>
                    </w:p>
                    <w:p w14:paraId="68983808" w14:textId="77777777" w:rsidR="00A1711B" w:rsidRPr="00C356E6" w:rsidRDefault="00A1711B" w:rsidP="00A1711B">
                      <w:pPr>
                        <w:ind w:left="0" w:firstLine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92BFF" w14:textId="488E9BEF" w:rsidR="00E95E62" w:rsidRPr="005F7684" w:rsidRDefault="00E95E62" w:rsidP="00024100">
      <w:pPr>
        <w:widowControl w:val="0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EEC0818" w14:textId="77777777" w:rsidR="006058B3" w:rsidRPr="005F7684" w:rsidRDefault="006058B3" w:rsidP="00A451D1">
      <w:pPr>
        <w:widowControl w:val="0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4FFF5DA1" w14:textId="3C37C7A0" w:rsidR="00773024" w:rsidRPr="005F7684" w:rsidRDefault="00A1711B" w:rsidP="00A451D1">
      <w:pPr>
        <w:widowControl w:val="0"/>
        <w:ind w:left="425" w:hanging="425"/>
        <w:jc w:val="left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/>
          <w:bCs/>
          <w:sz w:val="22"/>
          <w:szCs w:val="22"/>
          <w:lang w:val="fr-FR"/>
        </w:rPr>
        <w:t>Contexte</w:t>
      </w:r>
    </w:p>
    <w:p w14:paraId="12B7CC52" w14:textId="77777777" w:rsidR="00C32315" w:rsidRPr="005F7684" w:rsidRDefault="00C32315" w:rsidP="00A451D1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06B6758E" w14:textId="452A5041" w:rsidR="000A641A" w:rsidRPr="005F7684" w:rsidRDefault="003501A9" w:rsidP="000A641A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1</w:t>
      </w:r>
      <w:r w:rsidR="006058B3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  <w:r w:rsidR="006058B3"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article 14 du Règlement intérieur de la Convention sur les zones humides stipule que le Secrétariat fait rapport, dans un délai de 24 heures après 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ouverture de la session de la Conférence des Parties (COP) sur les incidences administratives et financières prévues de toutes les questions de fond inscrites à l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ordre du jour de la session avant que ces questions ne soient examinées par la Conférence des Parties.</w:t>
      </w:r>
    </w:p>
    <w:p w14:paraId="43FF90B5" w14:textId="77777777" w:rsidR="00027DBC" w:rsidRPr="005F7684" w:rsidRDefault="00027DBC" w:rsidP="00A451D1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BBF12BB" w14:textId="4609ECCE" w:rsidR="000A641A" w:rsidRPr="005F7684" w:rsidRDefault="00027DBC" w:rsidP="000A641A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2. </w:t>
      </w: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Comme le Règlement intérieur s</w:t>
      </w:r>
      <w:r w:rsidR="008B58B2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applique </w:t>
      </w:r>
      <w:r w:rsidR="000A641A" w:rsidRPr="005F7684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mutatis mutandis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aux réunions du Comité permanent, le Secrétariat a préparé le tableau 1 ci-dessous qui recense les premières incidences administratives et financières prévues des projets de résolutions soumis à la 64</w:t>
      </w:r>
      <w:r w:rsidR="000A641A" w:rsidRPr="005F7684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 réunion du Comité permanent pour examen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à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la COP1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5</w:t>
      </w:r>
      <w:r w:rsidR="000A641A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. Un rapport actualisé sur les incidences administratives et financières des projets de résolutions sera préparé par le Secrétariat pour la COP15.</w:t>
      </w:r>
    </w:p>
    <w:p w14:paraId="7F025D77" w14:textId="6E135709" w:rsidR="002B429F" w:rsidRPr="005F7684" w:rsidRDefault="002B429F" w:rsidP="00620479">
      <w:pPr>
        <w:widowControl w:val="0"/>
        <w:ind w:left="0" w:firstLine="0"/>
        <w:jc w:val="left"/>
        <w:rPr>
          <w:rFonts w:asciiTheme="minorHAnsi" w:hAnsiTheme="minorHAnsi" w:cstheme="minorHAnsi"/>
          <w:sz w:val="22"/>
          <w:szCs w:val="22"/>
          <w:lang w:val="fr-FR"/>
        </w:rPr>
      </w:pPr>
    </w:p>
    <w:p w14:paraId="02350DE4" w14:textId="78004F0D" w:rsidR="002B429F" w:rsidRPr="005F7684" w:rsidRDefault="002B429F" w:rsidP="00DD1507">
      <w:pPr>
        <w:widowControl w:val="0"/>
        <w:ind w:left="425" w:hanging="425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>3.</w:t>
      </w:r>
      <w:r w:rsidRPr="005F7684">
        <w:rPr>
          <w:rFonts w:asciiTheme="minorHAnsi" w:hAnsiTheme="minorHAnsi" w:cstheme="minorHAnsi"/>
          <w:bCs/>
          <w:sz w:val="22"/>
          <w:szCs w:val="22"/>
          <w:lang w:val="fr-FR"/>
        </w:rPr>
        <w:tab/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Rassemblés par le Secrétariat dans le tableau</w:t>
      </w:r>
      <w:r w:rsidR="002F7BBC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1, les mesures proposées et les coûts y afférents sont tirés des projets de résolutions soumis par les Parties contractantes, les groupes de travail, </w:t>
      </w:r>
      <w:r w:rsidR="008B58B2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et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les organes subsidiaires ou préparés par le Secrétariat. Les coûts indiqués correspondent aux montants pour la période triennale</w:t>
      </w:r>
      <w:r w:rsidR="002F7BBC">
        <w:rPr>
          <w:rFonts w:asciiTheme="minorHAnsi" w:hAnsiTheme="minorHAnsi" w:cstheme="minorHAnsi"/>
          <w:bCs/>
          <w:sz w:val="22"/>
          <w:szCs w:val="22"/>
          <w:lang w:val="fr-FR"/>
        </w:rPr>
        <w:t> 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2026-2028 et ne comprennent pas le coût des jours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de travail prestés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par le personnel actuel.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agissant d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es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jours de travail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information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f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igurant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dans le tableau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se rapportent aux jours de travail supplémentaires nécessaires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mener à bien les activités et les tâches proposées. Les jour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 de travail requis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pour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s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acquitter des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activités et </w:t>
      </w:r>
      <w:r w:rsidR="0058083B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tâches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qui relèvent 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ores et déjà des principaux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domaines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activité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du Secrétariat et 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qui sont d</w:t>
      </w:r>
      <w:r w:rsidR="00374E7F">
        <w:rPr>
          <w:rFonts w:asciiTheme="minorHAnsi" w:hAnsiTheme="minorHAnsi" w:cstheme="minorHAnsi"/>
          <w:bCs/>
          <w:sz w:val="22"/>
          <w:szCs w:val="22"/>
          <w:lang w:val="fr-FR"/>
        </w:rPr>
        <w:t>’</w:t>
      </w:r>
      <w:r w:rsidR="00DD1507" w:rsidRPr="005F768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ores et déjà inscrits </w:t>
      </w:r>
      <w:r w:rsidR="00620479" w:rsidRPr="005F7684">
        <w:rPr>
          <w:rFonts w:asciiTheme="minorHAnsi" w:hAnsiTheme="minorHAnsi" w:cstheme="minorHAnsi"/>
          <w:bCs/>
          <w:sz w:val="22"/>
          <w:szCs w:val="22"/>
          <w:lang w:val="fr-FR"/>
        </w:rPr>
        <w:t>dans son plan de travail ne figurent pas dans le tableau.</w:t>
      </w:r>
    </w:p>
    <w:p w14:paraId="6E503F40" w14:textId="77777777" w:rsidR="002B6DE6" w:rsidRPr="005F7684" w:rsidRDefault="002B429F" w:rsidP="00A451D1">
      <w:pPr>
        <w:widowControl w:val="0"/>
        <w:spacing w:after="160" w:line="259" w:lineRule="auto"/>
        <w:ind w:left="0" w:firstLine="0"/>
        <w:jc w:val="left"/>
        <w:rPr>
          <w:rFonts w:asciiTheme="minorHAnsi" w:hAnsiTheme="minorHAnsi" w:cstheme="minorHAnsi"/>
          <w:i/>
          <w:sz w:val="22"/>
          <w:szCs w:val="22"/>
          <w:lang w:val="fr-FR"/>
        </w:rPr>
        <w:sectPr w:rsidR="002B6DE6" w:rsidRPr="005F7684" w:rsidSect="003D6800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br w:type="page"/>
      </w:r>
    </w:p>
    <w:p w14:paraId="4DF17515" w14:textId="73053D7E" w:rsidR="002B429F" w:rsidRPr="005F7684" w:rsidRDefault="002B429F" w:rsidP="002B6DE6">
      <w:pPr>
        <w:widowControl w:val="0"/>
        <w:jc w:val="lef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lastRenderedPageBreak/>
        <w:t>Table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>au</w:t>
      </w: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1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> </w:t>
      </w:r>
      <w:r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r w:rsidR="00B92DAD" w:rsidRPr="005F7684">
        <w:rPr>
          <w:rFonts w:asciiTheme="minorHAnsi" w:hAnsiTheme="minorHAnsi" w:cstheme="minorHAnsi"/>
          <w:i/>
          <w:sz w:val="22"/>
          <w:szCs w:val="22"/>
          <w:lang w:val="fr-FR"/>
        </w:rPr>
        <w:t xml:space="preserve">Incidences administratives et financières prévues des projets de résolutions pour la période triennale </w:t>
      </w:r>
      <w:r w:rsidR="0086554B" w:rsidRPr="005F7684">
        <w:rPr>
          <w:rFonts w:asciiTheme="minorHAnsi" w:hAnsiTheme="minorHAnsi" w:cstheme="minorHAnsi"/>
          <w:i/>
          <w:sz w:val="22"/>
          <w:szCs w:val="22"/>
          <w:lang w:val="fr-FR"/>
        </w:rPr>
        <w:t>2026 – 2028</w:t>
      </w: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4533"/>
        <w:gridCol w:w="4533"/>
        <w:gridCol w:w="1701"/>
        <w:gridCol w:w="1710"/>
      </w:tblGrid>
      <w:tr w:rsidR="00772E80" w:rsidRPr="005F7684" w14:paraId="713C34C8" w14:textId="77777777" w:rsidTr="00024100">
        <w:trPr>
          <w:cantSplit/>
          <w:tblHeader/>
        </w:trPr>
        <w:tc>
          <w:tcPr>
            <w:tcW w:w="1699" w:type="dxa"/>
            <w:shd w:val="clear" w:color="auto" w:fill="D9D9D9" w:themeFill="background1" w:themeFillShade="D9"/>
            <w:noWrap/>
            <w:vAlign w:val="center"/>
          </w:tcPr>
          <w:p w14:paraId="4EFDD6A2" w14:textId="77777777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Document</w:t>
            </w:r>
          </w:p>
        </w:tc>
        <w:tc>
          <w:tcPr>
            <w:tcW w:w="4533" w:type="dxa"/>
            <w:shd w:val="clear" w:color="auto" w:fill="D9D9D9" w:themeFill="background1" w:themeFillShade="D9"/>
            <w:noWrap/>
            <w:vAlign w:val="center"/>
          </w:tcPr>
          <w:p w14:paraId="7B1FF384" w14:textId="46CAAB0D" w:rsidR="00A451D1" w:rsidRPr="005F7684" w:rsidRDefault="000A6B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 de résolution</w:t>
            </w:r>
          </w:p>
        </w:tc>
        <w:tc>
          <w:tcPr>
            <w:tcW w:w="4533" w:type="dxa"/>
            <w:shd w:val="clear" w:color="auto" w:fill="D9D9D9" w:themeFill="background1" w:themeFillShade="D9"/>
            <w:vAlign w:val="center"/>
          </w:tcPr>
          <w:p w14:paraId="13CE1A06" w14:textId="3B9BF5FA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Activit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é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s/</w:t>
            </w:r>
            <w:r w:rsidR="00CD5F7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t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âches requises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C91073" w14:textId="23261963" w:rsidR="00A451D1" w:rsidRPr="005F7684" w:rsidRDefault="000A6B7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Jours de travail supplémentaire</w:t>
            </w:r>
            <w:r w:rsidR="00CD5F7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s 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14:paraId="1088F56E" w14:textId="4C33E828" w:rsidR="00A451D1" w:rsidRPr="005F7684" w:rsidRDefault="00A451D1" w:rsidP="00A46A05">
            <w:pPr>
              <w:widowControl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C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oû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t (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en 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CHF)</w:t>
            </w:r>
            <w:r w:rsidR="00902C4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(</w:t>
            </w:r>
            <w:r w:rsidR="000A6B71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hors jours de travail</w:t>
            </w:r>
            <w:r w:rsidR="00902C42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D22D6F" w:rsidRPr="005F7684" w14:paraId="4B81FFCB" w14:textId="77777777" w:rsidTr="00024100">
        <w:trPr>
          <w:cantSplit/>
        </w:trPr>
        <w:tc>
          <w:tcPr>
            <w:tcW w:w="14173" w:type="dxa"/>
            <w:gridSpan w:val="5"/>
            <w:shd w:val="clear" w:color="auto" w:fill="auto"/>
            <w:noWrap/>
            <w:vAlign w:val="center"/>
          </w:tcPr>
          <w:p w14:paraId="28F7F515" w14:textId="7ED83B75" w:rsidR="00D22D6F" w:rsidRPr="005F7684" w:rsidDel="00886642" w:rsidRDefault="000748EB" w:rsidP="00165BEA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Projets de résolutions préparés par le Secrétariat</w:t>
            </w:r>
          </w:p>
        </w:tc>
      </w:tr>
      <w:tr w:rsidR="00AA3B37" w:rsidRPr="005F7684" w14:paraId="3683D293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553EEE6E" w14:textId="5439DB8F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Doc.9.3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6A4DCA13" w14:textId="3B8C1916" w:rsidR="00AA3B37" w:rsidRPr="005F7684" w:rsidRDefault="000748EB" w:rsidP="000748E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les questions financières et budgétaires</w:t>
            </w:r>
          </w:p>
        </w:tc>
        <w:tc>
          <w:tcPr>
            <w:tcW w:w="4533" w:type="dxa"/>
            <w:shd w:val="clear" w:color="auto" w:fill="auto"/>
          </w:tcPr>
          <w:p w14:paraId="454E2C1E" w14:textId="41A7E11B" w:rsidR="00AA3B37" w:rsidRPr="005F7684" w:rsidRDefault="006C13C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Voir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 document SC64</w:t>
            </w:r>
            <w:r w:rsidR="002F7B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 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Doc.9.3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pour les 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sc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é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narios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budgétaires envisagés pour la période </w:t>
            </w:r>
            <w:r w:rsidR="006B02CA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2026-2028</w:t>
            </w:r>
            <w:r w:rsidR="001B7A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2FF6658" w14:textId="79723119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7" w:type="dxa"/>
            <w:shd w:val="clear" w:color="auto" w:fill="auto"/>
          </w:tcPr>
          <w:p w14:paraId="7B0629F0" w14:textId="535B87B6" w:rsidR="00AA3B37" w:rsidRPr="005F7684" w:rsidDel="00886642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</w:tr>
      <w:tr w:rsidR="00AA3B37" w:rsidRPr="005F7684" w14:paraId="4AF98413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7A322AF0" w14:textId="10A7C6AE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71A63BB6" w14:textId="39BF8F87" w:rsidR="00AA3B37" w:rsidRPr="005F7684" w:rsidRDefault="000748EB" w:rsidP="000748EB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le rôle, les responsabilités et la composition du Comité permanent et la répartition régionale des pays dans le cadre 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114D9F25" w14:textId="3488AA45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69DF02D0" w14:textId="3EF17A17" w:rsidR="00AA3B37" w:rsidRPr="005F7684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2B7BE47E" w14:textId="50E5A04B" w:rsidR="00AA3B37" w:rsidRPr="005F7684" w:rsidDel="00886642" w:rsidRDefault="006B507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4FCC6233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614C9F9F" w14:textId="244E460B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Doc.14</w:t>
            </w:r>
          </w:p>
        </w:tc>
        <w:tc>
          <w:tcPr>
            <w:tcW w:w="4533" w:type="dxa"/>
            <w:shd w:val="clear" w:color="auto" w:fill="auto"/>
            <w:noWrap/>
          </w:tcPr>
          <w:p w14:paraId="539484FB" w14:textId="149FC2D1" w:rsidR="00AA3B37" w:rsidRPr="005F7684" w:rsidRDefault="000748E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 renforcement de la visibilité de la Convention et des synergies en partenariat avec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autres accords multilatéraux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environnement</w:t>
            </w:r>
          </w:p>
        </w:tc>
        <w:tc>
          <w:tcPr>
            <w:tcW w:w="4533" w:type="dxa"/>
            <w:shd w:val="clear" w:color="auto" w:fill="auto"/>
          </w:tcPr>
          <w:p w14:paraId="3C392A0C" w14:textId="27542ED9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780EF5C2" w14:textId="14433238" w:rsidR="00AA3B37" w:rsidRPr="005F7684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70F706CA" w14:textId="70EA4111" w:rsidR="00AA3B37" w:rsidRPr="005F7684" w:rsidDel="00886642" w:rsidRDefault="003F234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6DD2F15F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6EE0313D" w14:textId="7E804EB1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Doc.15.2</w:t>
            </w:r>
          </w:p>
        </w:tc>
        <w:tc>
          <w:tcPr>
            <w:tcW w:w="4533" w:type="dxa"/>
            <w:shd w:val="clear" w:color="auto" w:fill="auto"/>
            <w:noWrap/>
          </w:tcPr>
          <w:p w14:paraId="29CDF4E3" w14:textId="659B176A" w:rsidR="00AA3B37" w:rsidRPr="005F7684" w:rsidRDefault="000748E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la communication, le renforcement des capacités,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éducation, la sensibilisation et la participation (CESP)</w:t>
            </w:r>
          </w:p>
        </w:tc>
        <w:tc>
          <w:tcPr>
            <w:tcW w:w="4533" w:type="dxa"/>
            <w:shd w:val="clear" w:color="auto" w:fill="auto"/>
          </w:tcPr>
          <w:p w14:paraId="5D386887" w14:textId="5C561352" w:rsidR="00AA3B37" w:rsidRPr="006C13CF" w:rsidRDefault="006C13CF" w:rsidP="006C13CF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Secrétariat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en fonction des ressources disponibles,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aider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renforcer les capacités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Correspondants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mettant à leur disposition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ressources, des formations, des manuels et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modèles pour les activités 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CESP, et apporter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soutien technique aux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Correspondants nationaux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CESP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en créant un réseau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leur permettant de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partager leurs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6C13C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connaissances.</w:t>
            </w:r>
          </w:p>
        </w:tc>
        <w:tc>
          <w:tcPr>
            <w:tcW w:w="1701" w:type="dxa"/>
            <w:shd w:val="clear" w:color="auto" w:fill="auto"/>
          </w:tcPr>
          <w:p w14:paraId="580EE87F" w14:textId="574821D9" w:rsidR="00AA3B37" w:rsidRPr="005F7684" w:rsidRDefault="005513F0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EFA27BA" w14:textId="76C99699" w:rsidR="00AA3B37" w:rsidRPr="005F7684" w:rsidDel="00886642" w:rsidRDefault="009C1F9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45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000 </w:t>
            </w:r>
            <w:r w:rsidR="00A327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br/>
            </w:r>
            <w:r w:rsidR="005B0A8B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(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b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udget</w:t>
            </w:r>
            <w:r w:rsidR="009A0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administratif</w:t>
            </w:r>
            <w:r w:rsidR="005B0A8B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49345897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5082AB71" w14:textId="39EFD76E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Doc.22.3</w:t>
            </w:r>
          </w:p>
        </w:tc>
        <w:tc>
          <w:tcPr>
            <w:tcW w:w="4533" w:type="dxa"/>
            <w:shd w:val="clear" w:color="auto" w:fill="auto"/>
            <w:noWrap/>
          </w:tcPr>
          <w:p w14:paraId="3FF7F77A" w14:textId="4567D708" w:rsidR="00AA3B37" w:rsidRPr="005F7684" w:rsidRDefault="000748EB" w:rsidP="0002410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solution </w:t>
            </w: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 les prix Ramsar pour la conservation des</w:t>
            </w:r>
            <w:r w:rsidR="000C1C9C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zones humides</w:t>
            </w:r>
          </w:p>
        </w:tc>
        <w:tc>
          <w:tcPr>
            <w:tcW w:w="4533" w:type="dxa"/>
            <w:shd w:val="clear" w:color="auto" w:fill="auto"/>
          </w:tcPr>
          <w:p w14:paraId="26DDCC9A" w14:textId="5CF00A9E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25FEFC26" w14:textId="1E614D7C" w:rsidR="00AA3B37" w:rsidRPr="005F7684" w:rsidRDefault="00683AA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421C0D3B" w14:textId="556CC7A1" w:rsidR="00AA3B37" w:rsidRPr="005F7684" w:rsidDel="00886642" w:rsidRDefault="00A4095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50,000</w:t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A3276C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br/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(</w:t>
            </w:r>
            <w:r w:rsidR="002E73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financement volontaire</w:t>
            </w:r>
            <w:r w:rsidR="001F3BE1"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7645911D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78376F9F" w14:textId="270468D6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Doc.23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1C20DA4" w14:textId="5016A1C2" w:rsidR="00AA3B37" w:rsidRPr="005F7684" w:rsidRDefault="000C1C9C" w:rsidP="00C76D46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les Initiatives régionales Ramsar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2025-20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28</w:t>
            </w:r>
          </w:p>
        </w:tc>
        <w:tc>
          <w:tcPr>
            <w:tcW w:w="4533" w:type="dxa"/>
            <w:shd w:val="clear" w:color="auto" w:fill="auto"/>
          </w:tcPr>
          <w:p w14:paraId="0C920F31" w14:textId="1F9EFBCB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5A5D90A3" w14:textId="3F77ABD1" w:rsidR="00AA3B37" w:rsidRPr="005F7684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528292C6" w14:textId="6D07352F" w:rsidR="00AA3B37" w:rsidRPr="005F7684" w:rsidDel="00886642" w:rsidRDefault="000D05D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4D5D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7FF3E494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43AAE3AD" w14:textId="395AF181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Doc.25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DED3500" w14:textId="7E762830" w:rsidR="00AA3B37" w:rsidRPr="005F7684" w:rsidRDefault="001069C6" w:rsidP="001069C6">
            <w:pPr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État des sites inscrits sur la Liste des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importance internationale</w:t>
            </w:r>
          </w:p>
        </w:tc>
        <w:tc>
          <w:tcPr>
            <w:tcW w:w="4533" w:type="dxa"/>
            <w:shd w:val="clear" w:color="auto" w:fill="auto"/>
          </w:tcPr>
          <w:p w14:paraId="6016E99C" w14:textId="77777777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6A0CF0BE" w14:textId="4890381F" w:rsidR="00AA3B37" w:rsidRPr="005F7684" w:rsidRDefault="00F908A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0D7C9885" w14:textId="5FC5D467" w:rsidR="00AA3B37" w:rsidRPr="005F7684" w:rsidDel="00886642" w:rsidRDefault="00F908A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6ECC58FD" w14:textId="77777777" w:rsidTr="00024100">
        <w:trPr>
          <w:cantSplit/>
        </w:trPr>
        <w:tc>
          <w:tcPr>
            <w:tcW w:w="14173" w:type="dxa"/>
            <w:gridSpan w:val="5"/>
            <w:shd w:val="clear" w:color="auto" w:fill="auto"/>
            <w:noWrap/>
          </w:tcPr>
          <w:p w14:paraId="45732E84" w14:textId="185DF4BF" w:rsidR="00AA3B37" w:rsidRPr="005F7684" w:rsidRDefault="000F4086" w:rsidP="00AA3B37">
            <w:pPr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</w:t>
            </w:r>
            <w:r w:rsidR="008B5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de résolutions soumis par les Groupe de travail et le GEST</w:t>
            </w:r>
          </w:p>
        </w:tc>
      </w:tr>
      <w:tr w:rsidR="00AA3B37" w:rsidRPr="005F7684" w14:paraId="24213C48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307ED65A" w14:textId="7EFD020C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Doc.11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 w14:paraId="0CF1F8AA" w14:textId="1E3E1672" w:rsidR="00AA3B37" w:rsidRPr="005F7684" w:rsidRDefault="001069C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le Plan s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trat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gi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que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2025</w:t>
            </w:r>
            <w:r w:rsidR="00AA3B3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-2034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39DD4D8D" w14:textId="2C9F1F49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79F4F21C" w14:textId="17F18B01" w:rsidR="00AA3B37" w:rsidRPr="005F7684" w:rsidRDefault="00D458F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4F91ED9" w14:textId="286E5518" w:rsidR="00AA3B37" w:rsidRPr="005F7684" w:rsidRDefault="00D458F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0003C21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2A125AA4" w14:textId="1A4152D9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Doc.12</w:t>
            </w:r>
          </w:p>
        </w:tc>
        <w:tc>
          <w:tcPr>
            <w:tcW w:w="4533" w:type="dxa"/>
            <w:shd w:val="clear" w:color="auto" w:fill="auto"/>
            <w:noWrap/>
          </w:tcPr>
          <w:p w14:paraId="1D2C202B" w14:textId="08206391" w:rsidR="00AA3B37" w:rsidRPr="005F7684" w:rsidRDefault="001069C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la mise en œuvre du renforcement institutionnel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de la Convention sur les zones humides</w:t>
            </w:r>
          </w:p>
        </w:tc>
        <w:tc>
          <w:tcPr>
            <w:tcW w:w="4533" w:type="dxa"/>
            <w:shd w:val="clear" w:color="auto" w:fill="auto"/>
          </w:tcPr>
          <w:p w14:paraId="40DADC40" w14:textId="42192613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274059CB" w14:textId="2BC3483F" w:rsidR="00AA3B37" w:rsidRPr="005F7684" w:rsidRDefault="0066035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1F266BBF" w14:textId="7DB75A25" w:rsidR="00AA3B37" w:rsidRPr="005F7684" w:rsidRDefault="00A1323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5AC892B7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440F8B3D" w14:textId="0B08EEBF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Doc.19</w:t>
            </w:r>
          </w:p>
        </w:tc>
        <w:tc>
          <w:tcPr>
            <w:tcW w:w="4533" w:type="dxa"/>
            <w:shd w:val="clear" w:color="auto" w:fill="auto"/>
            <w:noWrap/>
          </w:tcPr>
          <w:p w14:paraId="235D876B" w14:textId="6ADFD8DC" w:rsidR="00AA3B37" w:rsidRPr="005F7684" w:rsidRDefault="001069C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application future des aspects scientifiques et techniques de la Convention pour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2026-2028</w:t>
            </w:r>
          </w:p>
        </w:tc>
        <w:tc>
          <w:tcPr>
            <w:tcW w:w="4533" w:type="dxa"/>
            <w:shd w:val="clear" w:color="auto" w:fill="auto"/>
          </w:tcPr>
          <w:p w14:paraId="240EE7A7" w14:textId="33BE9EF0" w:rsidR="00E64FC1" w:rsidRPr="001B7AED" w:rsidRDefault="001B7AED" w:rsidP="001B7AED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ecrétariat publier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les prochains appels à nominations pour les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membres du GEST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  <w:p w14:paraId="6AD9B733" w14:textId="77777777" w:rsidR="00E64FC1" w:rsidRPr="005F7684" w:rsidRDefault="00E64FC1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DD850E9" w14:textId="668E77F1" w:rsidR="00E64FC1" w:rsidRPr="001B7AED" w:rsidRDefault="001B7AED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Secrétariat, en consultation avec le GEST et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d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es partenaires, poursuivr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élaboration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une initiative visant à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mieux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appli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quer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observation de la Terre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à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inventaire des zones humides et f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era</w:t>
            </w:r>
            <w:r w:rsidRPr="001B7A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rapport au Comité permanent.</w:t>
            </w:r>
          </w:p>
          <w:p w14:paraId="78F46570" w14:textId="77777777" w:rsidR="00E64FC1" w:rsidRPr="005F7684" w:rsidRDefault="00E64FC1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5620C8B2" w14:textId="02747359" w:rsidR="000B5387" w:rsidRPr="00143536" w:rsidRDefault="00143536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Se</w:t>
            </w:r>
            <w:r w:rsidR="31147CE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31147CE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 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Secrétariat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étudiera de nouveaux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mécanismes de financement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permettant de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soutenir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es travaux scientifiques et techniques du GEST, y compris la possibilité de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nouer des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partenariats public-privé et de collabor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er</w:t>
            </w:r>
            <w:r w:rsidRPr="001435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avec le secteur philanthropique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E2264A8" w14:textId="3E0B084C" w:rsidR="00AA3B37" w:rsidRPr="005F7684" w:rsidRDefault="57C7C72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19F85DAC" w14:textId="77777777" w:rsidR="00A26DC8" w:rsidRPr="005F7684" w:rsidRDefault="00A26DC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B2FBDE3" w14:textId="77777777" w:rsidR="00A26DC8" w:rsidRPr="005F7684" w:rsidRDefault="00A26DC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8500E2A" w14:textId="484A2A78" w:rsidR="00A26DC8" w:rsidRPr="005F7684" w:rsidRDefault="4687895F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50</w:t>
            </w:r>
          </w:p>
          <w:p w14:paraId="59152045" w14:textId="77777777" w:rsidR="002F3493" w:rsidRPr="005F7684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F1758C3" w14:textId="77777777" w:rsidR="002F3493" w:rsidRPr="005F7684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59584D1" w14:textId="77777777" w:rsidR="002F3493" w:rsidRPr="005F7684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53D643D" w14:textId="77777777" w:rsidR="002F3493" w:rsidRPr="005F7684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876CEAB" w14:textId="77777777" w:rsidR="002F3493" w:rsidRPr="005F7684" w:rsidRDefault="002F349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2C030AD" w14:textId="604C15C8" w:rsidR="002F3493" w:rsidRPr="005F7684" w:rsidRDefault="765C114D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20</w:t>
            </w:r>
          </w:p>
        </w:tc>
        <w:tc>
          <w:tcPr>
            <w:tcW w:w="1707" w:type="dxa"/>
            <w:shd w:val="clear" w:color="auto" w:fill="auto"/>
          </w:tcPr>
          <w:p w14:paraId="125ABB7C" w14:textId="77777777" w:rsidR="006B02CA" w:rsidRPr="005F7684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3CD691D" w14:textId="77777777" w:rsidR="006B02CA" w:rsidRPr="005F7684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451350C" w14:textId="77777777" w:rsidR="006B02CA" w:rsidRPr="005F7684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83B0201" w14:textId="24AAB336" w:rsidR="00AA3B37" w:rsidRPr="005F7684" w:rsidRDefault="7D665BD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105</w:t>
            </w:r>
            <w:r w:rsidR="009A040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000</w:t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A3276C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(budget</w:t>
            </w:r>
            <w:r w:rsidR="009A040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administratif</w:t>
            </w:r>
            <w:r w:rsidR="2946F08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6E03E5EC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5BB152B7" w14:textId="72E350A5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Doc.20</w:t>
            </w:r>
          </w:p>
        </w:tc>
        <w:tc>
          <w:tcPr>
            <w:tcW w:w="4533" w:type="dxa"/>
            <w:shd w:val="clear" w:color="auto" w:fill="auto"/>
            <w:noWrap/>
          </w:tcPr>
          <w:p w14:paraId="3CBF2753" w14:textId="71F29840" w:rsidR="00AA3B37" w:rsidRPr="001817FA" w:rsidRDefault="001069C6" w:rsidP="000F408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création du Partenariat pour les estimations des populations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oiseaux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et la publication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édition 2027 du rapport</w:t>
            </w:r>
            <w:r w:rsidR="001817FA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="000F4086" w:rsidRPr="005F7684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fr-FR"/>
              </w:rPr>
              <w:t>Waterbird Population Estimates</w:t>
            </w:r>
          </w:p>
        </w:tc>
        <w:tc>
          <w:tcPr>
            <w:tcW w:w="4533" w:type="dxa"/>
            <w:shd w:val="clear" w:color="auto" w:fill="auto"/>
          </w:tcPr>
          <w:p w14:paraId="0C5463C3" w14:textId="5023C70E" w:rsidR="00EF368A" w:rsidRPr="009B2458" w:rsidRDefault="004D1E60" w:rsidP="009B245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354F04E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</w:t>
            </w:r>
            <w:r w:rsidR="6D11CDF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n consultation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consultation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avec le GEST et sur la base 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informations fournies par le WEP, fournir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à la 67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fr-FR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réunion du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Comité permanent une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actualisation, s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il y a lieu, des coûts à prévoir pour la production du WPE2027 et la réalisation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4D1E6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 activités du WEP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;</w:t>
            </w:r>
            <w:r w:rsidR="32DD6100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il fournira en outre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des conseils sur différents points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ordre technique ou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opérationnel afin de soutenir la mise en place et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entrée en activité du WEP 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(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y compris en facilitant la formation d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un </w:t>
            </w:r>
            <w:r w:rsidR="009B2458"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Comité de coordination provisoire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conformément à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nnex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 </w:t>
            </w:r>
            <w:r w:rsidR="64AA7E76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1)</w:t>
            </w:r>
            <w:r w:rsid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C83E3B1" w14:textId="69419997" w:rsidR="00AA3B37" w:rsidRPr="005F7684" w:rsidRDefault="004A5A53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2</w:t>
            </w:r>
            <w:r w:rsidR="3CC8423E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0AC2CB74" w14:textId="1005939D" w:rsidR="00AA3B37" w:rsidRPr="005F7684" w:rsidRDefault="5BD4E01E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465</w:t>
            </w:r>
            <w:r w:rsidR="002E73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000 (</w:t>
            </w:r>
            <w:r w:rsidR="002E731A" w:rsidRPr="002E73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fr-FR"/>
              </w:rPr>
              <w:t>financement volontaire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)</w:t>
            </w:r>
          </w:p>
        </w:tc>
      </w:tr>
      <w:tr w:rsidR="00AA3B37" w:rsidRPr="005F7684" w14:paraId="1F4CB378" w14:textId="77777777" w:rsidTr="00024100">
        <w:trPr>
          <w:cantSplit/>
        </w:trPr>
        <w:tc>
          <w:tcPr>
            <w:tcW w:w="1699" w:type="dxa"/>
            <w:shd w:val="clear" w:color="auto" w:fill="auto"/>
            <w:noWrap/>
          </w:tcPr>
          <w:p w14:paraId="4BA842E8" w14:textId="6A302354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Doc.21</w:t>
            </w:r>
          </w:p>
        </w:tc>
        <w:tc>
          <w:tcPr>
            <w:tcW w:w="4533" w:type="dxa"/>
            <w:shd w:val="clear" w:color="auto" w:fill="auto"/>
            <w:noWrap/>
          </w:tcPr>
          <w:p w14:paraId="111B8F48" w14:textId="15A99039" w:rsidR="00AA3B37" w:rsidRPr="005F7684" w:rsidRDefault="001069C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r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application des Critères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6 et 9 aux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importance internationale, nouvelles et existantes</w:t>
            </w:r>
          </w:p>
        </w:tc>
        <w:tc>
          <w:tcPr>
            <w:tcW w:w="4533" w:type="dxa"/>
            <w:shd w:val="clear" w:color="auto" w:fill="auto"/>
          </w:tcPr>
          <w:p w14:paraId="40B378F9" w14:textId="5DA1AA5F" w:rsidR="008964BB" w:rsidRPr="004B2976" w:rsidRDefault="009B2458" w:rsidP="009B2458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 S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tariat</w:t>
            </w:r>
            <w:r w:rsidR="002F7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apportera des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amendements au Cadre stratégique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;</w:t>
            </w:r>
            <w:r w:rsidR="259C3A9A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inform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era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autres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accords multilatéraux sur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environnement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33937F6C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;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et</w:t>
            </w:r>
            <w:r w:rsidR="67E62FB7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ur la base des informations fournies par le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GEST, de lancer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une mise à jour triennale des listes de la Convention des Estimations 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populations et seuils de 1% pour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application du Critère</w:t>
            </w:r>
            <w:r w:rsidR="002F7BB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9B245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9. </w:t>
            </w:r>
          </w:p>
          <w:p w14:paraId="67DB5495" w14:textId="77777777" w:rsidR="008964BB" w:rsidRPr="005F7684" w:rsidRDefault="008964BB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9547E31" w14:textId="3D17D43A" w:rsidR="004B2976" w:rsidRPr="005F7684" w:rsidRDefault="004B2976" w:rsidP="004B297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7AA4E65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7AA4E65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n coopération avec le GEST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, 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mettr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au point des initiatives de renforcement des capacités dans le but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améliorer les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capacités des Parties contractantes à appliquer les Critères</w:t>
            </w:r>
            <w:r w:rsidR="002F7BB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4B2976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6 et 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0A9A653" w14:textId="6CEB7E5C" w:rsidR="00AA3B37" w:rsidRPr="005F7684" w:rsidRDefault="331A9700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7DF890DF" w14:textId="77777777" w:rsidR="006E1698" w:rsidRPr="005F7684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AB16EB1" w14:textId="77777777" w:rsidR="006E1698" w:rsidRPr="005F7684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5481EB5" w14:textId="77777777" w:rsidR="006E1698" w:rsidRPr="005F7684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1EE2EAB1" w14:textId="77777777" w:rsidR="006E1698" w:rsidRPr="005F7684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BD6E469" w14:textId="77777777" w:rsidR="006E1698" w:rsidRPr="005F7684" w:rsidRDefault="006E1698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97A111D" w14:textId="05124901" w:rsidR="006E1698" w:rsidRPr="005F7684" w:rsidRDefault="009267F4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fonction de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approche retenue</w:t>
            </w:r>
          </w:p>
        </w:tc>
        <w:tc>
          <w:tcPr>
            <w:tcW w:w="1707" w:type="dxa"/>
            <w:shd w:val="clear" w:color="auto" w:fill="auto"/>
          </w:tcPr>
          <w:p w14:paraId="735304C7" w14:textId="4C660FB4" w:rsidR="00AA3B37" w:rsidRPr="005F7684" w:rsidRDefault="331A9700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</w:t>
            </w:r>
          </w:p>
          <w:p w14:paraId="47547091" w14:textId="667847C1" w:rsidR="00AA3B37" w:rsidRPr="005F7684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53C09955" w14:textId="508126A8" w:rsidR="00AA3B37" w:rsidRPr="005F7684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2AE1C641" w14:textId="3E30CBEA" w:rsidR="00AA3B37" w:rsidRPr="005F7684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38B25C6E" w14:textId="72A0FE8B" w:rsidR="00AA3B37" w:rsidRPr="005F7684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60021796" w14:textId="76FFC4D9" w:rsidR="00AA3B37" w:rsidRPr="005F7684" w:rsidRDefault="00AA3B37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0AEF7448" w14:textId="49AA2BA3" w:rsidR="00AA3B37" w:rsidRPr="005F7684" w:rsidRDefault="009267F4" w:rsidP="10C2BDC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En fonction de l</w:t>
            </w:r>
            <w:r w:rsidR="00374E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’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approche retenue</w:t>
            </w:r>
          </w:p>
        </w:tc>
      </w:tr>
      <w:tr w:rsidR="00AA3B37" w:rsidRPr="005F7684" w14:paraId="7C1715D3" w14:textId="77777777" w:rsidTr="00024100">
        <w:trPr>
          <w:cantSplit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8DB6BE" w14:textId="41EF2DF3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Doc.26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3A8810C" w14:textId="15423188" w:rsidR="00AA3B37" w:rsidRPr="005F7684" w:rsidRDefault="001069C6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mise à jour des Fiches descriptives Ramsar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326B8406" w14:textId="10A9144B" w:rsidR="00AA3B37" w:rsidRPr="00584E5C" w:rsidRDefault="00584E5C" w:rsidP="00584E5C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576098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576098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trouvera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 recommander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Comité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permanent des moyens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permettant un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transf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ert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automati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sé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données vers les FDR, à partir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sources externes et pour des champs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spécifiques, y compris des listes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84E5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espèces</w:t>
            </w:r>
            <w:r w:rsidR="00970AA9" w:rsidRPr="005F7684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fr-FR"/>
              </w:rPr>
              <w:footnoteReference w:id="2"/>
            </w:r>
            <w:r w:rsid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B4ABC6" w14:textId="7B44B53E" w:rsidR="00AA3B37" w:rsidRPr="005F7684" w:rsidRDefault="3937A39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</w:tcPr>
          <w:p w14:paraId="6B2EC3B6" w14:textId="6ABEBE6E" w:rsidR="00AA3B37" w:rsidRPr="005F7684" w:rsidRDefault="00822E22" w:rsidP="006F061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30</w:t>
            </w:r>
            <w:r w:rsidR="006546B1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</w:t>
            </w:r>
            <w:r w:rsidR="001828C8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AA3B37" w:rsidRPr="005F7684" w14:paraId="60706FF4" w14:textId="77777777" w:rsidTr="00024100">
        <w:trPr>
          <w:cantSplit/>
        </w:trPr>
        <w:tc>
          <w:tcPr>
            <w:tcW w:w="141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14:paraId="3A0156EC" w14:textId="6782FC8E" w:rsidR="00AA3B37" w:rsidRPr="005F7684" w:rsidRDefault="000F4086" w:rsidP="00024100">
            <w:pPr>
              <w:keepNext/>
              <w:widowControl w:val="0"/>
              <w:spacing w:before="60" w:after="6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Projet</w:t>
            </w:r>
            <w:r w:rsidR="008B58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s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 xml:space="preserve"> de résolutions soumis par les Parties c</w:t>
            </w:r>
            <w:r w:rsidR="00AA3B37"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ontract</w:t>
            </w:r>
            <w:r w:rsidRPr="005F76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fr-FR"/>
              </w:rPr>
              <w:t>antes</w:t>
            </w:r>
          </w:p>
        </w:tc>
      </w:tr>
      <w:tr w:rsidR="00AA3B37" w:rsidRPr="005F7684" w14:paraId="20A0A818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5483C3C6" w14:textId="28367689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</w:t>
            </w:r>
          </w:p>
        </w:tc>
        <w:tc>
          <w:tcPr>
            <w:tcW w:w="4533" w:type="dxa"/>
            <w:shd w:val="clear" w:color="auto" w:fill="auto"/>
          </w:tcPr>
          <w:p w14:paraId="5DFA5E7E" w14:textId="533F030E" w:rsidR="00AA3B37" w:rsidRPr="005F7684" w:rsidRDefault="001069C6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le renforcement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action en matière de culture et de zones humides</w:t>
            </w:r>
          </w:p>
        </w:tc>
        <w:tc>
          <w:tcPr>
            <w:tcW w:w="4533" w:type="dxa"/>
            <w:shd w:val="clear" w:color="auto" w:fill="auto"/>
          </w:tcPr>
          <w:p w14:paraId="6907E043" w14:textId="4D583794" w:rsidR="00AA3B37" w:rsidRPr="0054572A" w:rsidRDefault="0054572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184C6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184C60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tariat,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en collaboration avec le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Réseau culturel Ramsar et en s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appuyant sur les conseils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du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GEST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le cas échéant, étudier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les possibilités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élaborer un programme ciblé de travaux liés à la culture à l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appui des objectifs pertinents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définis dans le cinquième Plan stratégique de la Convention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6E335808" w14:textId="7147CD52" w:rsidR="00AA3B37" w:rsidRPr="005F7684" w:rsidRDefault="00630704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42C5281D" w14:textId="12B46D67" w:rsidR="00AA3B37" w:rsidRPr="005F7684" w:rsidRDefault="00947F9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15</w:t>
            </w:r>
            <w:r w:rsidR="002E73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000</w:t>
            </w:r>
          </w:p>
        </w:tc>
      </w:tr>
      <w:tr w:rsidR="00AA3B37" w:rsidRPr="005F7684" w14:paraId="21349D8A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00C8FF9E" w14:textId="3A57BD14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Doc.29.2</w:t>
            </w:r>
          </w:p>
        </w:tc>
        <w:tc>
          <w:tcPr>
            <w:tcW w:w="4533" w:type="dxa"/>
            <w:shd w:val="clear" w:color="auto" w:fill="auto"/>
          </w:tcPr>
          <w:p w14:paraId="3A0312A3" w14:textId="32AA0F99" w:rsidR="00AA3B37" w:rsidRPr="005F7684" w:rsidRDefault="001069C6" w:rsidP="000F4086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la restauration des écosystèmes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douce dégradés afin de préserver les caractéristiques écologiques, la biodiversité et les services écosystémiques [et le Défi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086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eau douce]</w:t>
            </w:r>
          </w:p>
        </w:tc>
        <w:tc>
          <w:tcPr>
            <w:tcW w:w="4533" w:type="dxa"/>
            <w:shd w:val="clear" w:color="auto" w:fill="auto"/>
            <w:noWrap/>
          </w:tcPr>
          <w:p w14:paraId="22EEC093" w14:textId="37D1A0CA" w:rsidR="00AA3B37" w:rsidRPr="005F7684" w:rsidRDefault="00AA3B37" w:rsidP="00AA3B37">
            <w:pPr>
              <w:widowControl w:val="0"/>
              <w:autoSpaceDE w:val="0"/>
              <w:autoSpaceDN w:val="0"/>
              <w:adjustRightInd w:val="0"/>
              <w:ind w:left="36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3C5E7FAD" w14:textId="72B29737" w:rsidR="00AA3B37" w:rsidRPr="005F7684" w:rsidRDefault="001429CC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  <w:noWrap/>
          </w:tcPr>
          <w:p w14:paraId="1054D323" w14:textId="48601C68" w:rsidR="00AA3B37" w:rsidRPr="005F7684" w:rsidRDefault="00173D3F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3A856B85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4B813289" w14:textId="52FD7EF5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Doc.29.3</w:t>
            </w:r>
          </w:p>
        </w:tc>
        <w:tc>
          <w:tcPr>
            <w:tcW w:w="4533" w:type="dxa"/>
            <w:shd w:val="clear" w:color="auto" w:fill="auto"/>
          </w:tcPr>
          <w:p w14:paraId="367C9ECB" w14:textId="48793E5C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le renforcement des actions nationales pour la conservation et la restauration de la voie de migration Asie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Est-Australasie</w:t>
            </w:r>
          </w:p>
        </w:tc>
        <w:tc>
          <w:tcPr>
            <w:tcW w:w="4533" w:type="dxa"/>
            <w:shd w:val="clear" w:color="auto" w:fill="auto"/>
          </w:tcPr>
          <w:p w14:paraId="65E4903C" w14:textId="14667B95" w:rsidR="00AA3B37" w:rsidRPr="005F7684" w:rsidRDefault="0054572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Demander au 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Secrétariat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examiner la mise en œuvre de la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54572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ésolution X.22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0C7E3A5F" w14:textId="2A2E8C56" w:rsidR="00AA3B37" w:rsidRPr="005F7684" w:rsidRDefault="0042096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6192098E" w14:textId="260A3ACA" w:rsidR="00A3276C" w:rsidRPr="005F7684" w:rsidRDefault="008D0CC8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6BFD19B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6D27261E" w14:textId="61FC5CE9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Doc.29.4</w:t>
            </w:r>
          </w:p>
        </w:tc>
        <w:tc>
          <w:tcPr>
            <w:tcW w:w="4533" w:type="dxa"/>
            <w:shd w:val="clear" w:color="auto" w:fill="auto"/>
          </w:tcPr>
          <w:p w14:paraId="11EE313B" w14:textId="67239BAC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promotion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intégration des technologies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avant-garde et des connaissances écologiques traditionnelles dans la conservation, la restauration, la gestion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rationnelle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3021A695" w14:textId="1DD4CE5C" w:rsidR="006D3F0C" w:rsidRDefault="00CE6E82" w:rsidP="00CE6E82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GEST d</w:t>
            </w:r>
            <w:r w:rsidR="00374E7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’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élaborer un rapport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technique et de formuler des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recommandations pour la COP17.</w:t>
            </w:r>
          </w:p>
          <w:p w14:paraId="11E46428" w14:textId="77777777" w:rsidR="00CE6E82" w:rsidRPr="005F7684" w:rsidRDefault="00CE6E82" w:rsidP="00CE6E82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9E3604C" w14:textId="2EE26F32" w:rsidR="006D3F0C" w:rsidRPr="00CE6E82" w:rsidRDefault="00CE6E82" w:rsidP="00CE6E82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au Secrétariat de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présenter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 rapport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CE6E8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situation au Comité permanent.</w:t>
            </w:r>
          </w:p>
        </w:tc>
        <w:tc>
          <w:tcPr>
            <w:tcW w:w="1701" w:type="dxa"/>
          </w:tcPr>
          <w:p w14:paraId="53824325" w14:textId="5C04D302" w:rsidR="00330AD3" w:rsidRPr="005F7684" w:rsidRDefault="00D42DBD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3</w:t>
            </w:r>
          </w:p>
          <w:p w14:paraId="36598946" w14:textId="769C6097" w:rsidR="00A3276C" w:rsidRPr="005F7684" w:rsidRDefault="00A3276C" w:rsidP="00A3276C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7106E96F" w14:textId="77777777" w:rsidR="00A3276C" w:rsidRPr="005F7684" w:rsidRDefault="00A3276C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2F248D6" w14:textId="717E27C7" w:rsidR="00330AD3" w:rsidRPr="005F7684" w:rsidRDefault="00330AD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1A71DCBA" w14:textId="58037875" w:rsidR="00AA3B37" w:rsidRPr="005F7684" w:rsidRDefault="0067141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</w:t>
            </w:r>
            <w:r w:rsidR="006B02CA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8</w:t>
            </w:r>
            <w:r w:rsidR="002E731A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000</w:t>
            </w:r>
          </w:p>
          <w:p w14:paraId="007DDFA7" w14:textId="62F71134" w:rsidR="00B33745" w:rsidRPr="005F7684" w:rsidRDefault="00B3374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9BC3833" w14:textId="77777777" w:rsidR="006B02CA" w:rsidRPr="005F7684" w:rsidRDefault="006B02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43E0EBB8" w14:textId="0EEA333C" w:rsidR="00330AD3" w:rsidRPr="005F7684" w:rsidRDefault="00B33745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0B5E688B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27D8E008" w14:textId="298543AB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Doc.29.5</w:t>
            </w:r>
          </w:p>
        </w:tc>
        <w:tc>
          <w:tcPr>
            <w:tcW w:w="4533" w:type="dxa"/>
            <w:shd w:val="clear" w:color="auto" w:fill="auto"/>
          </w:tcPr>
          <w:p w14:paraId="461759A3" w14:textId="1FEE6A5D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conservation équitable et efficace des zones humides en tant qu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aires protégées et autres mesures de conservation efficaces par zone (AMCE)</w:t>
            </w:r>
          </w:p>
        </w:tc>
        <w:tc>
          <w:tcPr>
            <w:tcW w:w="4533" w:type="dxa"/>
            <w:shd w:val="clear" w:color="auto" w:fill="auto"/>
            <w:noWrap/>
          </w:tcPr>
          <w:p w14:paraId="08D6AE0A" w14:textId="6851325E" w:rsidR="00CE6E82" w:rsidRPr="005F7684" w:rsidRDefault="00CE6E82" w:rsidP="00CE6E82">
            <w:pPr>
              <w:widowControl w:val="0"/>
              <w:ind w:left="36" w:firstLine="0"/>
              <w:jc w:val="left"/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</w:pP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Le Secrétariat coordonnera son action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avec celle d</w:t>
            </w:r>
            <w:r w:rsidR="00374E7F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’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autres organisations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(PNUE-WCMC, Secrétariat de la CDB,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Fonds pour l</w:t>
            </w:r>
            <w:r w:rsidR="00374E7F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’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environnement mondial)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afin d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e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soutenir et de conseiller les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Parties contractantes. Le Secrétariat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ajustera le modèle de Fiche descriptive</w:t>
            </w:r>
            <w:r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r w:rsidRPr="00CE6E82">
              <w:rPr>
                <w:rFonts w:asciiTheme="minorHAnsi" w:eastAsia="FangSong" w:hAnsiTheme="minorHAnsi" w:cstheme="minorHAnsi"/>
                <w:sz w:val="22"/>
                <w:szCs w:val="22"/>
                <w:lang w:val="fr-FR" w:eastAsia="zh-CN"/>
              </w:rPr>
              <w:t>Ramsar.</w:t>
            </w:r>
          </w:p>
        </w:tc>
        <w:tc>
          <w:tcPr>
            <w:tcW w:w="1701" w:type="dxa"/>
          </w:tcPr>
          <w:p w14:paraId="2EDF77B9" w14:textId="4BC1F637" w:rsidR="00A3276C" w:rsidRPr="005F7684" w:rsidRDefault="0067358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14:paraId="4E00AFA0" w14:textId="2BC4B1D5" w:rsidR="00AA3B37" w:rsidRPr="005F7684" w:rsidRDefault="007A3DCA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1E0E40C6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1D40E7ED" w14:textId="0C212F44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Doc.29.6</w:t>
            </w:r>
          </w:p>
        </w:tc>
        <w:tc>
          <w:tcPr>
            <w:tcW w:w="4533" w:type="dxa"/>
            <w:shd w:val="clear" w:color="auto" w:fill="auto"/>
          </w:tcPr>
          <w:p w14:paraId="40D283CB" w14:textId="1EA667FA" w:rsidR="000F48F0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amélioration des mandats du Comité exécutif et du</w:t>
            </w:r>
          </w:p>
          <w:p w14:paraId="5E0E3168" w14:textId="1E116775" w:rsidR="00AA3B37" w:rsidRPr="005F7684" w:rsidRDefault="000F48F0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Groupe de travail sur la gestion</w:t>
            </w:r>
          </w:p>
        </w:tc>
        <w:tc>
          <w:tcPr>
            <w:tcW w:w="4533" w:type="dxa"/>
            <w:shd w:val="clear" w:color="auto" w:fill="auto"/>
            <w:noWrap/>
          </w:tcPr>
          <w:p w14:paraId="618A5977" w14:textId="4C5A4880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</w:pPr>
          </w:p>
        </w:tc>
        <w:tc>
          <w:tcPr>
            <w:tcW w:w="1701" w:type="dxa"/>
          </w:tcPr>
          <w:p w14:paraId="13971FA5" w14:textId="33E70927" w:rsidR="00AA3B37" w:rsidRPr="005F7684" w:rsidRDefault="00D953C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27A5C89F" w14:textId="4156EFAA" w:rsidR="00AA3B37" w:rsidRPr="005F7684" w:rsidRDefault="00D953C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07C8A9A9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3181F06B" w14:textId="701EF18E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Doc.29.7</w:t>
            </w:r>
          </w:p>
        </w:tc>
        <w:tc>
          <w:tcPr>
            <w:tcW w:w="4533" w:type="dxa"/>
            <w:shd w:val="clear" w:color="auto" w:fill="auto"/>
          </w:tcPr>
          <w:p w14:paraId="60F0FE7A" w14:textId="01E39362" w:rsidR="00AA3B37" w:rsidRPr="005F7684" w:rsidRDefault="001069C6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sur les droits de la nature dans les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185F84B6" w14:textId="61B72445" w:rsidR="00AA3B37" w:rsidRPr="00273C1E" w:rsidRDefault="00273C1E" w:rsidP="00273C1E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Le </w:t>
            </w:r>
            <w:r w:rsidR="00C945F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é</w:t>
            </w:r>
            <w:r w:rsidR="00C945FD" w:rsidRPr="005F76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tariat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créer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a, enrichira et tiendra à jour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des archives vivantes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 xml:space="preserve">sur </w:t>
            </w:r>
            <w:r w:rsidRPr="00273C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les droits de la nature dans les zones humides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2372ED4C" w14:textId="3F352613" w:rsidR="00AA3B37" w:rsidRPr="005F7684" w:rsidRDefault="00963A6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0B063269" w14:textId="18310C41" w:rsidR="00AA3B37" w:rsidRPr="005F7684" w:rsidRDefault="00963A6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2500</w:t>
            </w:r>
          </w:p>
        </w:tc>
      </w:tr>
      <w:tr w:rsidR="00AA3B37" w:rsidRPr="005F7684" w14:paraId="2EBBAD9C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38215EC2" w14:textId="6E25DB14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Doc.29.8</w:t>
            </w:r>
          </w:p>
        </w:tc>
        <w:tc>
          <w:tcPr>
            <w:tcW w:w="4533" w:type="dxa"/>
            <w:shd w:val="clear" w:color="auto" w:fill="auto"/>
          </w:tcPr>
          <w:p w14:paraId="733D1250" w14:textId="33BAC536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réalisation du potentiel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intégration de la jeunesse : favoriser la mobilisation des jeunes et la longévité de la Convention sur les zones humides</w:t>
            </w:r>
            <w:r w:rsidR="00644727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  <w:noWrap/>
          </w:tcPr>
          <w:p w14:paraId="0D8F74B7" w14:textId="53C9E6D8" w:rsidR="00AA3B37" w:rsidRPr="005F7684" w:rsidRDefault="00273C1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r w:rsidR="007910A9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7910A9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tariat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ournira des services administratifs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 Groupe de travail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14:paraId="06884C7C" w14:textId="77777777" w:rsidR="00456093" w:rsidRPr="005F7684" w:rsidRDefault="0045609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8F47F1A" w14:textId="774C36CA" w:rsidR="00456093" w:rsidRPr="005F7684" w:rsidRDefault="00273C1E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S</w:t>
            </w:r>
            <w:r w:rsidR="00456093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ecr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</w:t>
            </w:r>
            <w:r w:rsidR="00456093" w:rsidRPr="005F768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tariat [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olliciter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r w:rsidRPr="00273C1E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contributions financières volontaires]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701" w:type="dxa"/>
          </w:tcPr>
          <w:p w14:paraId="670F5D2C" w14:textId="107E08A4" w:rsidR="00AA3B37" w:rsidRPr="005F7684" w:rsidRDefault="007910A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</w:t>
            </w:r>
          </w:p>
          <w:p w14:paraId="7A0EDE92" w14:textId="77777777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14FF4FC1" w14:textId="77777777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26BCBBA0" w14:textId="7ACE71EA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10</w:t>
            </w:r>
          </w:p>
        </w:tc>
        <w:tc>
          <w:tcPr>
            <w:tcW w:w="1707" w:type="dxa"/>
            <w:shd w:val="clear" w:color="auto" w:fill="auto"/>
          </w:tcPr>
          <w:p w14:paraId="1B35E326" w14:textId="5CF50DCD" w:rsidR="00AA3B37" w:rsidRPr="005F7684" w:rsidRDefault="009C3959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  <w:p w14:paraId="314E0970" w14:textId="77777777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63654886" w14:textId="77777777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  <w:p w14:paraId="31769EED" w14:textId="0BA48D38" w:rsidR="003963B3" w:rsidRPr="005F7684" w:rsidRDefault="003963B3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1E2AA0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4033A43D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2F2FDC61" w14:textId="3D529044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Doc.29.9</w:t>
            </w:r>
          </w:p>
        </w:tc>
        <w:tc>
          <w:tcPr>
            <w:tcW w:w="4533" w:type="dxa"/>
            <w:shd w:val="clear" w:color="auto" w:fill="auto"/>
          </w:tcPr>
          <w:p w14:paraId="5A264184" w14:textId="0881A098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la promotion des modes de vie durables au service de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rationnelle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08AC3B59" w14:textId="5CC7A59D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526D895E" w14:textId="42CA6640" w:rsidR="00AA3B37" w:rsidRPr="005F7684" w:rsidRDefault="007B138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F3BB24A" w14:textId="69C174F9" w:rsidR="00AA3B37" w:rsidRPr="005F7684" w:rsidRDefault="007B138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3BFBC7EE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18308C75" w14:textId="2375603D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lastRenderedPageBreak/>
              <w:t>SC64 Doc.29.10</w:t>
            </w:r>
          </w:p>
        </w:tc>
        <w:tc>
          <w:tcPr>
            <w:tcW w:w="4533" w:type="dxa"/>
            <w:shd w:val="clear" w:color="auto" w:fill="auto"/>
          </w:tcPr>
          <w:p w14:paraId="1989253F" w14:textId="078497B1" w:rsidR="00AA3B37" w:rsidRPr="005F7684" w:rsidRDefault="001069C6" w:rsidP="000F48F0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Projet de résolution sur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la reconnaissance des dauphins de rivière en tant qu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espèces clés pour la conservation et 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utilisation durable des zones humides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Amérique du Sud et d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0F48F0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Asie</w:t>
            </w:r>
          </w:p>
        </w:tc>
        <w:tc>
          <w:tcPr>
            <w:tcW w:w="4533" w:type="dxa"/>
            <w:shd w:val="clear" w:color="auto" w:fill="auto"/>
            <w:noWrap/>
          </w:tcPr>
          <w:p w14:paraId="3D6692F7" w14:textId="0549FEBA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2320E699" w14:textId="3DB1587D" w:rsidR="00AA3B37" w:rsidRPr="005F7684" w:rsidRDefault="003D7C7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03B3F64" w14:textId="579C79B1" w:rsidR="00AA3B37" w:rsidRPr="005F7684" w:rsidRDefault="003D7C72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59F82FAF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600656A3" w14:textId="68F9CE56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Doc.29.11</w:t>
            </w:r>
          </w:p>
        </w:tc>
        <w:tc>
          <w:tcPr>
            <w:tcW w:w="4533" w:type="dxa"/>
            <w:shd w:val="clear" w:color="auto" w:fill="auto"/>
          </w:tcPr>
          <w:p w14:paraId="6E36A053" w14:textId="3CE37A12" w:rsidR="00AA3B37" w:rsidRPr="005F7684" w:rsidRDefault="001069C6" w:rsidP="005F7684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éducation et la participation comme piliers de la gestion des zones humides urbaines et périurbaines</w:t>
            </w:r>
          </w:p>
        </w:tc>
        <w:tc>
          <w:tcPr>
            <w:tcW w:w="4533" w:type="dxa"/>
            <w:shd w:val="clear" w:color="auto" w:fill="auto"/>
            <w:noWrap/>
          </w:tcPr>
          <w:p w14:paraId="40B18CAF" w14:textId="7A946022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766EEB37" w14:textId="28F563AD" w:rsidR="00AA3B37" w:rsidRPr="005F7684" w:rsidRDefault="006F29D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4E276FC8" w14:textId="68FDBEA9" w:rsidR="00AA3B37" w:rsidRPr="005F7684" w:rsidRDefault="006F29D1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  <w:tr w:rsidR="00AA3B37" w:rsidRPr="005F7684" w14:paraId="2586F6A8" w14:textId="77777777" w:rsidTr="00FE3101">
        <w:trPr>
          <w:cantSplit/>
        </w:trPr>
        <w:tc>
          <w:tcPr>
            <w:tcW w:w="1699" w:type="dxa"/>
            <w:shd w:val="clear" w:color="auto" w:fill="auto"/>
          </w:tcPr>
          <w:p w14:paraId="214A3939" w14:textId="526DB2B3" w:rsidR="00AA3B37" w:rsidRPr="005F7684" w:rsidRDefault="00AA3B37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SC64 Doc.29.12</w:t>
            </w:r>
          </w:p>
        </w:tc>
        <w:tc>
          <w:tcPr>
            <w:tcW w:w="4533" w:type="dxa"/>
            <w:shd w:val="clear" w:color="auto" w:fill="auto"/>
          </w:tcPr>
          <w:p w14:paraId="378201B8" w14:textId="045E3F1B" w:rsidR="00AA3B37" w:rsidRPr="005F7684" w:rsidRDefault="001069C6" w:rsidP="00FE3101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Projet de résolution sur 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l</w:t>
            </w:r>
            <w:r w:rsidR="00374E7F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’</w:t>
            </w:r>
            <w:r w:rsidR="005F7684"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évaluation de la vulnérabilité des zones humides</w:t>
            </w:r>
          </w:p>
        </w:tc>
        <w:tc>
          <w:tcPr>
            <w:tcW w:w="4533" w:type="dxa"/>
            <w:shd w:val="clear" w:color="auto" w:fill="auto"/>
            <w:noWrap/>
          </w:tcPr>
          <w:p w14:paraId="1188CAA9" w14:textId="3FEEE52C" w:rsidR="00AA3B37" w:rsidRPr="005F7684" w:rsidRDefault="00AA3B37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</w:tcPr>
          <w:p w14:paraId="47D36E91" w14:textId="698838ED" w:rsidR="00AA3B37" w:rsidRPr="005F7684" w:rsidRDefault="00CD492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1707" w:type="dxa"/>
            <w:shd w:val="clear" w:color="auto" w:fill="auto"/>
          </w:tcPr>
          <w:p w14:paraId="15457ADC" w14:textId="29FCCCA4" w:rsidR="00AA3B37" w:rsidRPr="005F7684" w:rsidRDefault="00CD492B" w:rsidP="00AA3B37">
            <w:pPr>
              <w:widowControl w:val="0"/>
              <w:ind w:left="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F7684" w:rsidDel="004D5D77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0</w:t>
            </w:r>
          </w:p>
        </w:tc>
      </w:tr>
    </w:tbl>
    <w:p w14:paraId="01313558" w14:textId="77777777" w:rsidR="00A451D1" w:rsidRPr="005F7684" w:rsidRDefault="00A451D1" w:rsidP="00A451D1">
      <w:pPr>
        <w:widowControl w:val="0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sectPr w:rsidR="00A451D1" w:rsidRPr="005F7684" w:rsidSect="000241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ABF5" w14:textId="77777777" w:rsidR="00873D68" w:rsidRDefault="00873D68" w:rsidP="006058B3">
      <w:r>
        <w:separator/>
      </w:r>
    </w:p>
  </w:endnote>
  <w:endnote w:type="continuationSeparator" w:id="0">
    <w:p w14:paraId="58B5860B" w14:textId="77777777" w:rsidR="00873D68" w:rsidRDefault="00873D68" w:rsidP="006058B3">
      <w:r>
        <w:continuationSeparator/>
      </w:r>
    </w:p>
  </w:endnote>
  <w:endnote w:type="continuationNotice" w:id="1">
    <w:p w14:paraId="39B3E871" w14:textId="77777777" w:rsidR="00873D68" w:rsidRDefault="00873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DE03" w14:textId="33856E89" w:rsidR="006058B3" w:rsidRPr="006058B3" w:rsidRDefault="00644727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tab/>
    </w:r>
    <w:r w:rsidR="006058B3" w:rsidRPr="00967BF4">
      <w:rPr>
        <w:rFonts w:asciiTheme="minorHAnsi" w:hAnsiTheme="minorHAnsi" w:cstheme="minorHAnsi"/>
        <w:sz w:val="20"/>
        <w:szCs w:val="20"/>
      </w:rPr>
      <w:fldChar w:fldCharType="begin"/>
    </w:r>
    <w:r w:rsidR="006058B3"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  <w:szCs w:val="20"/>
      </w:rPr>
      <w:fldChar w:fldCharType="separate"/>
    </w:r>
    <w:r w:rsidR="00165BEA">
      <w:rPr>
        <w:rFonts w:asciiTheme="minorHAnsi" w:hAnsiTheme="minorHAnsi" w:cstheme="minorHAnsi"/>
        <w:noProof/>
        <w:sz w:val="20"/>
        <w:szCs w:val="20"/>
      </w:rPr>
      <w:t>4</w:t>
    </w:r>
    <w:r w:rsidR="006058B3"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8939" w14:textId="77777777" w:rsidR="00024100" w:rsidRPr="006058B3" w:rsidRDefault="00024100" w:rsidP="00024100">
    <w:pPr>
      <w:pStyle w:val="Footer"/>
      <w:tabs>
        <w:tab w:val="clear" w:pos="9026"/>
        <w:tab w:val="right" w:pos="1389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SC64 Doc.9.4</w:t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tab/>
    </w:r>
    <w:r w:rsidRPr="00967BF4">
      <w:rPr>
        <w:rFonts w:asciiTheme="minorHAnsi" w:hAnsiTheme="minorHAnsi" w:cstheme="minorHAnsi"/>
        <w:sz w:val="20"/>
        <w:szCs w:val="20"/>
      </w:rPr>
      <w:fldChar w:fldCharType="begin"/>
    </w:r>
    <w:r w:rsidRPr="00967BF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67BF4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4</w:t>
    </w:r>
    <w:r w:rsidRPr="00967BF4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F03E" w14:textId="77777777" w:rsidR="00873D68" w:rsidRDefault="00873D68" w:rsidP="006058B3">
      <w:r>
        <w:separator/>
      </w:r>
    </w:p>
  </w:footnote>
  <w:footnote w:type="continuationSeparator" w:id="0">
    <w:p w14:paraId="5A2863A6" w14:textId="77777777" w:rsidR="00873D68" w:rsidRDefault="00873D68" w:rsidP="006058B3">
      <w:r>
        <w:continuationSeparator/>
      </w:r>
    </w:p>
  </w:footnote>
  <w:footnote w:type="continuationNotice" w:id="1">
    <w:p w14:paraId="09550870" w14:textId="77777777" w:rsidR="00873D68" w:rsidRDefault="00873D68"/>
  </w:footnote>
  <w:footnote w:id="2">
    <w:p w14:paraId="227C155B" w14:textId="74C37C7C" w:rsidR="008B58B2" w:rsidRPr="00536562" w:rsidRDefault="00970AA9" w:rsidP="00024100">
      <w:pPr>
        <w:pStyle w:val="pf0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FootnoteReference"/>
          <w:rFonts w:asciiTheme="minorHAnsi" w:hAnsiTheme="minorHAnsi" w:cstheme="minorHAnsi"/>
          <w:sz w:val="20"/>
          <w:szCs w:val="20"/>
          <w:lang w:val="fr-FR"/>
        </w:rPr>
        <w:footnoteRef/>
      </w:r>
      <w:r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En fonction des conclusions tirées et de la solution retenue par les Parties contractantes, ainsi que du nombre de Parties qui auront recours à ce processus, des coûts de suivi </w:t>
      </w:r>
      <w:r w:rsidR="00536562" w:rsidRPr="00536562">
        <w:rPr>
          <w:rFonts w:asciiTheme="minorHAnsi" w:hAnsiTheme="minorHAnsi" w:cstheme="minorHAnsi"/>
          <w:sz w:val="20"/>
          <w:szCs w:val="20"/>
          <w:lang w:val="fr-FR"/>
        </w:rPr>
        <w:t>nettement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plus élevés (encore inconnus) </w:t>
      </w:r>
      <w:r w:rsidR="00536562" w:rsidRPr="00536562">
        <w:rPr>
          <w:rFonts w:asciiTheme="minorHAnsi" w:hAnsiTheme="minorHAnsi" w:cstheme="minorHAnsi"/>
          <w:sz w:val="20"/>
          <w:szCs w:val="20"/>
          <w:lang w:val="fr-FR"/>
        </w:rPr>
        <w:t>sont à prévoir en ce qui concerne</w:t>
      </w:r>
      <w:r w:rsidR="008B58B2" w:rsidRPr="00536562">
        <w:rPr>
          <w:rFonts w:asciiTheme="minorHAnsi" w:hAnsiTheme="minorHAnsi" w:cstheme="minorHAnsi"/>
          <w:sz w:val="20"/>
          <w:szCs w:val="20"/>
          <w:lang w:val="fr-FR"/>
        </w:rPr>
        <w:t xml:space="preserve"> :</w:t>
      </w:r>
    </w:p>
    <w:p w14:paraId="0139098F" w14:textId="32134028" w:rsidR="00970AA9" w:rsidRPr="00536562" w:rsidRDefault="00536562" w:rsidP="00024100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>La mise en œuvre de la solution retenue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 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>; et</w:t>
      </w:r>
    </w:p>
    <w:p w14:paraId="0FD274EC" w14:textId="687B7362" w:rsidR="00970AA9" w:rsidRPr="00536562" w:rsidRDefault="00536562" w:rsidP="00536562">
      <w:pPr>
        <w:pStyle w:val="pf1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426" w:hanging="426"/>
        <w:rPr>
          <w:rFonts w:asciiTheme="minorHAnsi" w:hAnsiTheme="minorHAnsi" w:cstheme="minorHAnsi"/>
          <w:sz w:val="20"/>
          <w:szCs w:val="20"/>
          <w:lang w:val="fr-FR"/>
        </w:rPr>
      </w:pP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Les dépenses courantes et les jours de travail 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relatifs au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transfert de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s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données par pays lorsque celui-ci ne </w:t>
      </w:r>
      <w:r>
        <w:rPr>
          <w:rStyle w:val="cf01"/>
          <w:rFonts w:asciiTheme="minorHAnsi" w:hAnsiTheme="minorHAnsi" w:cstheme="minorHAnsi"/>
          <w:sz w:val="20"/>
          <w:szCs w:val="20"/>
          <w:lang w:val="fr-FR"/>
        </w:rPr>
        <w:t>pourra</w:t>
      </w:r>
      <w:r w:rsidRPr="00536562">
        <w:rPr>
          <w:rStyle w:val="cf01"/>
          <w:rFonts w:asciiTheme="minorHAnsi" w:hAnsiTheme="minorHAnsi" w:cstheme="minorHAnsi"/>
          <w:sz w:val="20"/>
          <w:szCs w:val="20"/>
          <w:lang w:val="fr-FR"/>
        </w:rPr>
        <w:t xml:space="preserve"> pas être entièrement automatisé.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4814"/>
    <w:multiLevelType w:val="hybridMultilevel"/>
    <w:tmpl w:val="EFD6AEC6"/>
    <w:lvl w:ilvl="0" w:tplc="DFA2C6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421271EE"/>
    <w:multiLevelType w:val="multilevel"/>
    <w:tmpl w:val="EBB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C2928"/>
    <w:multiLevelType w:val="hybridMultilevel"/>
    <w:tmpl w:val="5B6CD4C4"/>
    <w:lvl w:ilvl="0" w:tplc="07662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9A0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009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44E6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FAB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9E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76C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36F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720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51A4C"/>
    <w:multiLevelType w:val="hybridMultilevel"/>
    <w:tmpl w:val="0FA448C8"/>
    <w:lvl w:ilvl="0" w:tplc="4656A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9552">
    <w:abstractNumId w:val="2"/>
  </w:num>
  <w:num w:numId="2" w16cid:durableId="1967540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84665536">
    <w:abstractNumId w:val="5"/>
  </w:num>
  <w:num w:numId="4" w16cid:durableId="1447234255">
    <w:abstractNumId w:val="0"/>
  </w:num>
  <w:num w:numId="5" w16cid:durableId="495069920">
    <w:abstractNumId w:val="7"/>
  </w:num>
  <w:num w:numId="6" w16cid:durableId="864905750">
    <w:abstractNumId w:val="8"/>
  </w:num>
  <w:num w:numId="7" w16cid:durableId="904530687">
    <w:abstractNumId w:val="6"/>
  </w:num>
  <w:num w:numId="8" w16cid:durableId="178129411">
    <w:abstractNumId w:val="1"/>
  </w:num>
  <w:num w:numId="9" w16cid:durableId="258105016">
    <w:abstractNumId w:val="4"/>
  </w:num>
  <w:num w:numId="10" w16cid:durableId="6811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755C"/>
    <w:rsid w:val="00013636"/>
    <w:rsid w:val="000206E7"/>
    <w:rsid w:val="00022A0A"/>
    <w:rsid w:val="00024100"/>
    <w:rsid w:val="000250FF"/>
    <w:rsid w:val="000267EF"/>
    <w:rsid w:val="00027DBC"/>
    <w:rsid w:val="00030ECD"/>
    <w:rsid w:val="00034125"/>
    <w:rsid w:val="00037632"/>
    <w:rsid w:val="00046B52"/>
    <w:rsid w:val="00057413"/>
    <w:rsid w:val="00057932"/>
    <w:rsid w:val="00065171"/>
    <w:rsid w:val="00065B8F"/>
    <w:rsid w:val="00065C00"/>
    <w:rsid w:val="00072A4E"/>
    <w:rsid w:val="000737A0"/>
    <w:rsid w:val="000748EB"/>
    <w:rsid w:val="00074DFF"/>
    <w:rsid w:val="00076CE7"/>
    <w:rsid w:val="00087E7E"/>
    <w:rsid w:val="00090B48"/>
    <w:rsid w:val="000A641A"/>
    <w:rsid w:val="000A6B71"/>
    <w:rsid w:val="000A7F0C"/>
    <w:rsid w:val="000B5387"/>
    <w:rsid w:val="000C1C9C"/>
    <w:rsid w:val="000C42CB"/>
    <w:rsid w:val="000C73F3"/>
    <w:rsid w:val="000D05D9"/>
    <w:rsid w:val="000D0626"/>
    <w:rsid w:val="000E637A"/>
    <w:rsid w:val="000F4086"/>
    <w:rsid w:val="000F48F0"/>
    <w:rsid w:val="000F55EE"/>
    <w:rsid w:val="001069C6"/>
    <w:rsid w:val="0011350A"/>
    <w:rsid w:val="001155B4"/>
    <w:rsid w:val="001158EA"/>
    <w:rsid w:val="001353CD"/>
    <w:rsid w:val="00141784"/>
    <w:rsid w:val="001429CC"/>
    <w:rsid w:val="00143536"/>
    <w:rsid w:val="001438E6"/>
    <w:rsid w:val="00144492"/>
    <w:rsid w:val="00144C7A"/>
    <w:rsid w:val="001529FF"/>
    <w:rsid w:val="00152C0C"/>
    <w:rsid w:val="00155904"/>
    <w:rsid w:val="00165BEA"/>
    <w:rsid w:val="00173D3F"/>
    <w:rsid w:val="00174C19"/>
    <w:rsid w:val="00176FC9"/>
    <w:rsid w:val="001817FA"/>
    <w:rsid w:val="001828C8"/>
    <w:rsid w:val="00184C60"/>
    <w:rsid w:val="00191A10"/>
    <w:rsid w:val="00192CDE"/>
    <w:rsid w:val="001A2A45"/>
    <w:rsid w:val="001A492D"/>
    <w:rsid w:val="001A624D"/>
    <w:rsid w:val="001B1070"/>
    <w:rsid w:val="001B1EDC"/>
    <w:rsid w:val="001B3EEB"/>
    <w:rsid w:val="001B5379"/>
    <w:rsid w:val="001B5CCD"/>
    <w:rsid w:val="001B6A31"/>
    <w:rsid w:val="001B6F33"/>
    <w:rsid w:val="001B7AB2"/>
    <w:rsid w:val="001B7AED"/>
    <w:rsid w:val="001C341F"/>
    <w:rsid w:val="001C4D6A"/>
    <w:rsid w:val="001D1CA4"/>
    <w:rsid w:val="001D5A0F"/>
    <w:rsid w:val="001E2AA0"/>
    <w:rsid w:val="001E2ECF"/>
    <w:rsid w:val="001E57F5"/>
    <w:rsid w:val="001F3BE1"/>
    <w:rsid w:val="001F488E"/>
    <w:rsid w:val="002039BA"/>
    <w:rsid w:val="00206A28"/>
    <w:rsid w:val="00211F03"/>
    <w:rsid w:val="00214B41"/>
    <w:rsid w:val="00217FA7"/>
    <w:rsid w:val="00224BB3"/>
    <w:rsid w:val="002314AC"/>
    <w:rsid w:val="002332D4"/>
    <w:rsid w:val="002462A8"/>
    <w:rsid w:val="0025233F"/>
    <w:rsid w:val="002646F3"/>
    <w:rsid w:val="00273C1E"/>
    <w:rsid w:val="00274B40"/>
    <w:rsid w:val="00275E30"/>
    <w:rsid w:val="0027767A"/>
    <w:rsid w:val="002864ED"/>
    <w:rsid w:val="00295E57"/>
    <w:rsid w:val="00295F80"/>
    <w:rsid w:val="002973CF"/>
    <w:rsid w:val="002A4E04"/>
    <w:rsid w:val="002A5383"/>
    <w:rsid w:val="002B2A41"/>
    <w:rsid w:val="002B429F"/>
    <w:rsid w:val="002B6DE6"/>
    <w:rsid w:val="002C53DC"/>
    <w:rsid w:val="002C6100"/>
    <w:rsid w:val="002D293B"/>
    <w:rsid w:val="002D2B79"/>
    <w:rsid w:val="002E6839"/>
    <w:rsid w:val="002E731A"/>
    <w:rsid w:val="002F3493"/>
    <w:rsid w:val="002F4875"/>
    <w:rsid w:val="002F7BBC"/>
    <w:rsid w:val="00303D77"/>
    <w:rsid w:val="0030644A"/>
    <w:rsid w:val="00307B7E"/>
    <w:rsid w:val="00311716"/>
    <w:rsid w:val="003149A3"/>
    <w:rsid w:val="00314E01"/>
    <w:rsid w:val="00317FDC"/>
    <w:rsid w:val="00330AD3"/>
    <w:rsid w:val="00341934"/>
    <w:rsid w:val="00343274"/>
    <w:rsid w:val="00343A90"/>
    <w:rsid w:val="003501A9"/>
    <w:rsid w:val="003531A1"/>
    <w:rsid w:val="00354AB1"/>
    <w:rsid w:val="00354D36"/>
    <w:rsid w:val="003574E3"/>
    <w:rsid w:val="00357BF6"/>
    <w:rsid w:val="003637BE"/>
    <w:rsid w:val="00373D04"/>
    <w:rsid w:val="00374E7F"/>
    <w:rsid w:val="00377EF3"/>
    <w:rsid w:val="00384AA8"/>
    <w:rsid w:val="00387289"/>
    <w:rsid w:val="003902C7"/>
    <w:rsid w:val="003951B5"/>
    <w:rsid w:val="003963B3"/>
    <w:rsid w:val="003976C4"/>
    <w:rsid w:val="003A2B95"/>
    <w:rsid w:val="003B0100"/>
    <w:rsid w:val="003B0DA3"/>
    <w:rsid w:val="003B1847"/>
    <w:rsid w:val="003C17FF"/>
    <w:rsid w:val="003C5910"/>
    <w:rsid w:val="003C7167"/>
    <w:rsid w:val="003D55B0"/>
    <w:rsid w:val="003D6800"/>
    <w:rsid w:val="003D7C72"/>
    <w:rsid w:val="003E16E1"/>
    <w:rsid w:val="003E79DA"/>
    <w:rsid w:val="003F2340"/>
    <w:rsid w:val="003F63D8"/>
    <w:rsid w:val="004063DA"/>
    <w:rsid w:val="00406AF2"/>
    <w:rsid w:val="0042096E"/>
    <w:rsid w:val="00421460"/>
    <w:rsid w:val="004252C7"/>
    <w:rsid w:val="004312C3"/>
    <w:rsid w:val="00432BE5"/>
    <w:rsid w:val="00435A3A"/>
    <w:rsid w:val="004371F2"/>
    <w:rsid w:val="00443677"/>
    <w:rsid w:val="00444FF1"/>
    <w:rsid w:val="0044619B"/>
    <w:rsid w:val="00453CB9"/>
    <w:rsid w:val="00454246"/>
    <w:rsid w:val="004553B8"/>
    <w:rsid w:val="00456093"/>
    <w:rsid w:val="00460B12"/>
    <w:rsid w:val="00470762"/>
    <w:rsid w:val="00473C47"/>
    <w:rsid w:val="00480DDF"/>
    <w:rsid w:val="00482698"/>
    <w:rsid w:val="004911DF"/>
    <w:rsid w:val="00491BEE"/>
    <w:rsid w:val="004A290F"/>
    <w:rsid w:val="004A5A53"/>
    <w:rsid w:val="004B2976"/>
    <w:rsid w:val="004C12D8"/>
    <w:rsid w:val="004C343C"/>
    <w:rsid w:val="004C3AFC"/>
    <w:rsid w:val="004C6C80"/>
    <w:rsid w:val="004D1E60"/>
    <w:rsid w:val="004D5D77"/>
    <w:rsid w:val="004E0DB3"/>
    <w:rsid w:val="004E1D29"/>
    <w:rsid w:val="004E6D45"/>
    <w:rsid w:val="004F0C81"/>
    <w:rsid w:val="004F2362"/>
    <w:rsid w:val="004F2E7A"/>
    <w:rsid w:val="004F7BE5"/>
    <w:rsid w:val="004F7E98"/>
    <w:rsid w:val="00503DDE"/>
    <w:rsid w:val="00505301"/>
    <w:rsid w:val="005069A3"/>
    <w:rsid w:val="005078BB"/>
    <w:rsid w:val="0051038A"/>
    <w:rsid w:val="005114E8"/>
    <w:rsid w:val="00524FEB"/>
    <w:rsid w:val="0053410E"/>
    <w:rsid w:val="00535F9D"/>
    <w:rsid w:val="00536562"/>
    <w:rsid w:val="0054572A"/>
    <w:rsid w:val="00546EFD"/>
    <w:rsid w:val="005513F0"/>
    <w:rsid w:val="00557311"/>
    <w:rsid w:val="00557635"/>
    <w:rsid w:val="00560682"/>
    <w:rsid w:val="00561CB9"/>
    <w:rsid w:val="005653D8"/>
    <w:rsid w:val="00576098"/>
    <w:rsid w:val="00577703"/>
    <w:rsid w:val="0058083B"/>
    <w:rsid w:val="0058153D"/>
    <w:rsid w:val="00584E5C"/>
    <w:rsid w:val="005855E2"/>
    <w:rsid w:val="00586AA0"/>
    <w:rsid w:val="00591F47"/>
    <w:rsid w:val="00594A88"/>
    <w:rsid w:val="00594ED0"/>
    <w:rsid w:val="005A19A6"/>
    <w:rsid w:val="005A3E31"/>
    <w:rsid w:val="005A5742"/>
    <w:rsid w:val="005B0A8B"/>
    <w:rsid w:val="005B7233"/>
    <w:rsid w:val="005C0613"/>
    <w:rsid w:val="005C4417"/>
    <w:rsid w:val="005C4558"/>
    <w:rsid w:val="005C567F"/>
    <w:rsid w:val="005C6528"/>
    <w:rsid w:val="005D106B"/>
    <w:rsid w:val="005D3A14"/>
    <w:rsid w:val="005F0984"/>
    <w:rsid w:val="005F6616"/>
    <w:rsid w:val="005F7684"/>
    <w:rsid w:val="00601430"/>
    <w:rsid w:val="00604BAD"/>
    <w:rsid w:val="006058B3"/>
    <w:rsid w:val="00620479"/>
    <w:rsid w:val="00630146"/>
    <w:rsid w:val="00630704"/>
    <w:rsid w:val="006320E6"/>
    <w:rsid w:val="00632664"/>
    <w:rsid w:val="00634417"/>
    <w:rsid w:val="00644727"/>
    <w:rsid w:val="00644C1D"/>
    <w:rsid w:val="006451A9"/>
    <w:rsid w:val="006476AB"/>
    <w:rsid w:val="00647DCF"/>
    <w:rsid w:val="006546B1"/>
    <w:rsid w:val="00657F96"/>
    <w:rsid w:val="00660359"/>
    <w:rsid w:val="00663013"/>
    <w:rsid w:val="0066368E"/>
    <w:rsid w:val="00663E0C"/>
    <w:rsid w:val="0067141B"/>
    <w:rsid w:val="0067358E"/>
    <w:rsid w:val="0068240A"/>
    <w:rsid w:val="00683AAA"/>
    <w:rsid w:val="00685785"/>
    <w:rsid w:val="00686267"/>
    <w:rsid w:val="006870A3"/>
    <w:rsid w:val="006948DC"/>
    <w:rsid w:val="00695535"/>
    <w:rsid w:val="00696FF1"/>
    <w:rsid w:val="006978F0"/>
    <w:rsid w:val="006A5172"/>
    <w:rsid w:val="006A54D8"/>
    <w:rsid w:val="006A54E9"/>
    <w:rsid w:val="006A7C44"/>
    <w:rsid w:val="006B02CA"/>
    <w:rsid w:val="006B103E"/>
    <w:rsid w:val="006B3286"/>
    <w:rsid w:val="006B507F"/>
    <w:rsid w:val="006B72AF"/>
    <w:rsid w:val="006C13CF"/>
    <w:rsid w:val="006C41F6"/>
    <w:rsid w:val="006D3F0C"/>
    <w:rsid w:val="006D7718"/>
    <w:rsid w:val="006E1698"/>
    <w:rsid w:val="006E26D5"/>
    <w:rsid w:val="006E56DC"/>
    <w:rsid w:val="006F0610"/>
    <w:rsid w:val="006F29D1"/>
    <w:rsid w:val="006F30DC"/>
    <w:rsid w:val="006F48CA"/>
    <w:rsid w:val="00701F07"/>
    <w:rsid w:val="00703BDC"/>
    <w:rsid w:val="007068E2"/>
    <w:rsid w:val="007114C9"/>
    <w:rsid w:val="00713A51"/>
    <w:rsid w:val="007350D4"/>
    <w:rsid w:val="00743F7A"/>
    <w:rsid w:val="0074505F"/>
    <w:rsid w:val="00746135"/>
    <w:rsid w:val="00750225"/>
    <w:rsid w:val="007557D5"/>
    <w:rsid w:val="0075712F"/>
    <w:rsid w:val="007656E7"/>
    <w:rsid w:val="00772E80"/>
    <w:rsid w:val="00773024"/>
    <w:rsid w:val="00773C97"/>
    <w:rsid w:val="007777BD"/>
    <w:rsid w:val="00780AFD"/>
    <w:rsid w:val="00785555"/>
    <w:rsid w:val="007910A9"/>
    <w:rsid w:val="00791F0A"/>
    <w:rsid w:val="0079354C"/>
    <w:rsid w:val="00794E4F"/>
    <w:rsid w:val="00795C4E"/>
    <w:rsid w:val="00795C6E"/>
    <w:rsid w:val="00797CBB"/>
    <w:rsid w:val="007A26F0"/>
    <w:rsid w:val="007A38D2"/>
    <w:rsid w:val="007A3DCA"/>
    <w:rsid w:val="007A4DE6"/>
    <w:rsid w:val="007A58EA"/>
    <w:rsid w:val="007B138B"/>
    <w:rsid w:val="007B2EAC"/>
    <w:rsid w:val="007B548D"/>
    <w:rsid w:val="007B7A16"/>
    <w:rsid w:val="007C36A8"/>
    <w:rsid w:val="007F15B5"/>
    <w:rsid w:val="007F382B"/>
    <w:rsid w:val="007F7A6A"/>
    <w:rsid w:val="007F7C24"/>
    <w:rsid w:val="007F7F60"/>
    <w:rsid w:val="008047D8"/>
    <w:rsid w:val="00805127"/>
    <w:rsid w:val="00807C3B"/>
    <w:rsid w:val="008116CB"/>
    <w:rsid w:val="00817AF6"/>
    <w:rsid w:val="00821B90"/>
    <w:rsid w:val="00822E22"/>
    <w:rsid w:val="0083180C"/>
    <w:rsid w:val="00836398"/>
    <w:rsid w:val="008363CE"/>
    <w:rsid w:val="00853A4C"/>
    <w:rsid w:val="00856950"/>
    <w:rsid w:val="00857CD6"/>
    <w:rsid w:val="00863D03"/>
    <w:rsid w:val="0086554B"/>
    <w:rsid w:val="0086687C"/>
    <w:rsid w:val="00870A47"/>
    <w:rsid w:val="00873BE1"/>
    <w:rsid w:val="00873D68"/>
    <w:rsid w:val="00885247"/>
    <w:rsid w:val="00886642"/>
    <w:rsid w:val="0089103F"/>
    <w:rsid w:val="008952D7"/>
    <w:rsid w:val="00896489"/>
    <w:rsid w:val="008964BB"/>
    <w:rsid w:val="008A1B89"/>
    <w:rsid w:val="008B01BC"/>
    <w:rsid w:val="008B29F2"/>
    <w:rsid w:val="008B58B2"/>
    <w:rsid w:val="008B6904"/>
    <w:rsid w:val="008B7DC2"/>
    <w:rsid w:val="008C1D57"/>
    <w:rsid w:val="008C2764"/>
    <w:rsid w:val="008C4264"/>
    <w:rsid w:val="008D0CC8"/>
    <w:rsid w:val="008D0D24"/>
    <w:rsid w:val="008D1C4F"/>
    <w:rsid w:val="008D7EB3"/>
    <w:rsid w:val="008F2E14"/>
    <w:rsid w:val="00902C42"/>
    <w:rsid w:val="00905A09"/>
    <w:rsid w:val="00906AAE"/>
    <w:rsid w:val="00910559"/>
    <w:rsid w:val="009229F3"/>
    <w:rsid w:val="00922CF5"/>
    <w:rsid w:val="009267F4"/>
    <w:rsid w:val="00935BB2"/>
    <w:rsid w:val="00943A3D"/>
    <w:rsid w:val="00943E75"/>
    <w:rsid w:val="00947F9A"/>
    <w:rsid w:val="00954F0A"/>
    <w:rsid w:val="00956B48"/>
    <w:rsid w:val="00960912"/>
    <w:rsid w:val="00963A63"/>
    <w:rsid w:val="00967BF4"/>
    <w:rsid w:val="00970AA9"/>
    <w:rsid w:val="0097291E"/>
    <w:rsid w:val="00973990"/>
    <w:rsid w:val="0097657A"/>
    <w:rsid w:val="00984032"/>
    <w:rsid w:val="0098508D"/>
    <w:rsid w:val="009935C4"/>
    <w:rsid w:val="00996BB7"/>
    <w:rsid w:val="009978A7"/>
    <w:rsid w:val="009A0403"/>
    <w:rsid w:val="009A1562"/>
    <w:rsid w:val="009A4362"/>
    <w:rsid w:val="009A609E"/>
    <w:rsid w:val="009B10DA"/>
    <w:rsid w:val="009B2458"/>
    <w:rsid w:val="009B2C8F"/>
    <w:rsid w:val="009B3696"/>
    <w:rsid w:val="009B687A"/>
    <w:rsid w:val="009B769F"/>
    <w:rsid w:val="009C1E4F"/>
    <w:rsid w:val="009C1F9B"/>
    <w:rsid w:val="009C2384"/>
    <w:rsid w:val="009C24AD"/>
    <w:rsid w:val="009C3959"/>
    <w:rsid w:val="009C4474"/>
    <w:rsid w:val="009C6711"/>
    <w:rsid w:val="009D3818"/>
    <w:rsid w:val="009D4F79"/>
    <w:rsid w:val="009D6313"/>
    <w:rsid w:val="009E03EE"/>
    <w:rsid w:val="009E09E2"/>
    <w:rsid w:val="009E159F"/>
    <w:rsid w:val="00A01347"/>
    <w:rsid w:val="00A01851"/>
    <w:rsid w:val="00A051F2"/>
    <w:rsid w:val="00A06715"/>
    <w:rsid w:val="00A1080E"/>
    <w:rsid w:val="00A10B27"/>
    <w:rsid w:val="00A12875"/>
    <w:rsid w:val="00A13239"/>
    <w:rsid w:val="00A156E5"/>
    <w:rsid w:val="00A1711B"/>
    <w:rsid w:val="00A2244A"/>
    <w:rsid w:val="00A24454"/>
    <w:rsid w:val="00A26DC8"/>
    <w:rsid w:val="00A32562"/>
    <w:rsid w:val="00A3276C"/>
    <w:rsid w:val="00A37A40"/>
    <w:rsid w:val="00A40951"/>
    <w:rsid w:val="00A451D1"/>
    <w:rsid w:val="00A4559E"/>
    <w:rsid w:val="00A46A05"/>
    <w:rsid w:val="00A50A28"/>
    <w:rsid w:val="00A52A09"/>
    <w:rsid w:val="00A60EDD"/>
    <w:rsid w:val="00A64F64"/>
    <w:rsid w:val="00A66157"/>
    <w:rsid w:val="00A66527"/>
    <w:rsid w:val="00A72BC9"/>
    <w:rsid w:val="00A75060"/>
    <w:rsid w:val="00A7626E"/>
    <w:rsid w:val="00A7752F"/>
    <w:rsid w:val="00A82FE8"/>
    <w:rsid w:val="00AA2EDD"/>
    <w:rsid w:val="00AA3B37"/>
    <w:rsid w:val="00AB00C2"/>
    <w:rsid w:val="00AB60B1"/>
    <w:rsid w:val="00AC138B"/>
    <w:rsid w:val="00AC56C4"/>
    <w:rsid w:val="00AD0037"/>
    <w:rsid w:val="00AD2236"/>
    <w:rsid w:val="00AE0369"/>
    <w:rsid w:val="00AE560D"/>
    <w:rsid w:val="00AE6055"/>
    <w:rsid w:val="00AE7B3F"/>
    <w:rsid w:val="00AF16B4"/>
    <w:rsid w:val="00AF1A7C"/>
    <w:rsid w:val="00AF25A0"/>
    <w:rsid w:val="00AF2D24"/>
    <w:rsid w:val="00AF3FB2"/>
    <w:rsid w:val="00B02590"/>
    <w:rsid w:val="00B10629"/>
    <w:rsid w:val="00B13C46"/>
    <w:rsid w:val="00B1462E"/>
    <w:rsid w:val="00B17F01"/>
    <w:rsid w:val="00B20630"/>
    <w:rsid w:val="00B21D00"/>
    <w:rsid w:val="00B25366"/>
    <w:rsid w:val="00B304E0"/>
    <w:rsid w:val="00B33745"/>
    <w:rsid w:val="00B42E2D"/>
    <w:rsid w:val="00B44012"/>
    <w:rsid w:val="00B50635"/>
    <w:rsid w:val="00B50B70"/>
    <w:rsid w:val="00B556D3"/>
    <w:rsid w:val="00B61F9A"/>
    <w:rsid w:val="00B62685"/>
    <w:rsid w:val="00B64C7E"/>
    <w:rsid w:val="00B65264"/>
    <w:rsid w:val="00B77C89"/>
    <w:rsid w:val="00B82B82"/>
    <w:rsid w:val="00B92DAD"/>
    <w:rsid w:val="00B952CC"/>
    <w:rsid w:val="00B9629C"/>
    <w:rsid w:val="00BA0B46"/>
    <w:rsid w:val="00BA3A1E"/>
    <w:rsid w:val="00BB0025"/>
    <w:rsid w:val="00BB61DD"/>
    <w:rsid w:val="00BC0610"/>
    <w:rsid w:val="00BC31BC"/>
    <w:rsid w:val="00BC5325"/>
    <w:rsid w:val="00BC7F81"/>
    <w:rsid w:val="00BD2193"/>
    <w:rsid w:val="00BD37B4"/>
    <w:rsid w:val="00BD6E03"/>
    <w:rsid w:val="00BE0188"/>
    <w:rsid w:val="00BE2889"/>
    <w:rsid w:val="00BE4075"/>
    <w:rsid w:val="00BE4FAE"/>
    <w:rsid w:val="00BF7B9F"/>
    <w:rsid w:val="00C216DF"/>
    <w:rsid w:val="00C234AA"/>
    <w:rsid w:val="00C30C01"/>
    <w:rsid w:val="00C32315"/>
    <w:rsid w:val="00C356E6"/>
    <w:rsid w:val="00C36260"/>
    <w:rsid w:val="00C36EC2"/>
    <w:rsid w:val="00C41747"/>
    <w:rsid w:val="00C56C0A"/>
    <w:rsid w:val="00C63E7B"/>
    <w:rsid w:val="00C6401E"/>
    <w:rsid w:val="00C648EB"/>
    <w:rsid w:val="00C659A9"/>
    <w:rsid w:val="00C65B97"/>
    <w:rsid w:val="00C71DB1"/>
    <w:rsid w:val="00C728C8"/>
    <w:rsid w:val="00C72F5E"/>
    <w:rsid w:val="00C74CF6"/>
    <w:rsid w:val="00C763DD"/>
    <w:rsid w:val="00C76D46"/>
    <w:rsid w:val="00C77920"/>
    <w:rsid w:val="00C81384"/>
    <w:rsid w:val="00C87BC6"/>
    <w:rsid w:val="00C945FD"/>
    <w:rsid w:val="00C95B67"/>
    <w:rsid w:val="00CA19C8"/>
    <w:rsid w:val="00CA1B42"/>
    <w:rsid w:val="00CA43DA"/>
    <w:rsid w:val="00CA73B0"/>
    <w:rsid w:val="00CA79E2"/>
    <w:rsid w:val="00CB67BF"/>
    <w:rsid w:val="00CC14FE"/>
    <w:rsid w:val="00CD231D"/>
    <w:rsid w:val="00CD30D4"/>
    <w:rsid w:val="00CD492B"/>
    <w:rsid w:val="00CD5358"/>
    <w:rsid w:val="00CD5F72"/>
    <w:rsid w:val="00CE6E82"/>
    <w:rsid w:val="00D037EC"/>
    <w:rsid w:val="00D04785"/>
    <w:rsid w:val="00D07F73"/>
    <w:rsid w:val="00D1132B"/>
    <w:rsid w:val="00D22D6F"/>
    <w:rsid w:val="00D300FB"/>
    <w:rsid w:val="00D37C9C"/>
    <w:rsid w:val="00D415F5"/>
    <w:rsid w:val="00D42DBD"/>
    <w:rsid w:val="00D458F6"/>
    <w:rsid w:val="00D52B3E"/>
    <w:rsid w:val="00D5325E"/>
    <w:rsid w:val="00D644E3"/>
    <w:rsid w:val="00D705EF"/>
    <w:rsid w:val="00D70864"/>
    <w:rsid w:val="00D85DFB"/>
    <w:rsid w:val="00D86190"/>
    <w:rsid w:val="00D86598"/>
    <w:rsid w:val="00D86EB0"/>
    <w:rsid w:val="00D926EF"/>
    <w:rsid w:val="00D92869"/>
    <w:rsid w:val="00D9355B"/>
    <w:rsid w:val="00D953C7"/>
    <w:rsid w:val="00DB0082"/>
    <w:rsid w:val="00DB0725"/>
    <w:rsid w:val="00DB22E7"/>
    <w:rsid w:val="00DB4D70"/>
    <w:rsid w:val="00DC0AFC"/>
    <w:rsid w:val="00DD1507"/>
    <w:rsid w:val="00DF1EBC"/>
    <w:rsid w:val="00DF3152"/>
    <w:rsid w:val="00DF5A3E"/>
    <w:rsid w:val="00E00002"/>
    <w:rsid w:val="00E029E1"/>
    <w:rsid w:val="00E06C17"/>
    <w:rsid w:val="00E06E63"/>
    <w:rsid w:val="00E07995"/>
    <w:rsid w:val="00E101A9"/>
    <w:rsid w:val="00E11391"/>
    <w:rsid w:val="00E122ED"/>
    <w:rsid w:val="00E14014"/>
    <w:rsid w:val="00E150BD"/>
    <w:rsid w:val="00E23793"/>
    <w:rsid w:val="00E25AA5"/>
    <w:rsid w:val="00E33D92"/>
    <w:rsid w:val="00E414F3"/>
    <w:rsid w:val="00E414F9"/>
    <w:rsid w:val="00E41D81"/>
    <w:rsid w:val="00E4593D"/>
    <w:rsid w:val="00E507B6"/>
    <w:rsid w:val="00E53DFC"/>
    <w:rsid w:val="00E55735"/>
    <w:rsid w:val="00E5772D"/>
    <w:rsid w:val="00E57E6C"/>
    <w:rsid w:val="00E62E1A"/>
    <w:rsid w:val="00E635E8"/>
    <w:rsid w:val="00E64FC1"/>
    <w:rsid w:val="00E67184"/>
    <w:rsid w:val="00E70C14"/>
    <w:rsid w:val="00E74ED7"/>
    <w:rsid w:val="00E9062A"/>
    <w:rsid w:val="00E959E6"/>
    <w:rsid w:val="00E95E62"/>
    <w:rsid w:val="00E973B2"/>
    <w:rsid w:val="00EA3584"/>
    <w:rsid w:val="00EB248D"/>
    <w:rsid w:val="00EB3007"/>
    <w:rsid w:val="00EB5FFE"/>
    <w:rsid w:val="00EC0046"/>
    <w:rsid w:val="00EC77A7"/>
    <w:rsid w:val="00ED2DDD"/>
    <w:rsid w:val="00ED3C9E"/>
    <w:rsid w:val="00ED6FAF"/>
    <w:rsid w:val="00EE0EEE"/>
    <w:rsid w:val="00EE11FB"/>
    <w:rsid w:val="00EF1AAE"/>
    <w:rsid w:val="00EF368A"/>
    <w:rsid w:val="00EF798D"/>
    <w:rsid w:val="00F00776"/>
    <w:rsid w:val="00F022D4"/>
    <w:rsid w:val="00F04CFC"/>
    <w:rsid w:val="00F11666"/>
    <w:rsid w:val="00F12993"/>
    <w:rsid w:val="00F14174"/>
    <w:rsid w:val="00F14C21"/>
    <w:rsid w:val="00F1563F"/>
    <w:rsid w:val="00F377DB"/>
    <w:rsid w:val="00F40DCA"/>
    <w:rsid w:val="00F43027"/>
    <w:rsid w:val="00F44FBF"/>
    <w:rsid w:val="00F44FC7"/>
    <w:rsid w:val="00F45A80"/>
    <w:rsid w:val="00F5204D"/>
    <w:rsid w:val="00F536C7"/>
    <w:rsid w:val="00F61E9D"/>
    <w:rsid w:val="00F62379"/>
    <w:rsid w:val="00F81316"/>
    <w:rsid w:val="00F86F5D"/>
    <w:rsid w:val="00F87343"/>
    <w:rsid w:val="00F908A2"/>
    <w:rsid w:val="00F935F0"/>
    <w:rsid w:val="00FA00BF"/>
    <w:rsid w:val="00FA2095"/>
    <w:rsid w:val="00FB7720"/>
    <w:rsid w:val="00FB7FA9"/>
    <w:rsid w:val="00FC3682"/>
    <w:rsid w:val="00FC5F91"/>
    <w:rsid w:val="00FD282B"/>
    <w:rsid w:val="00FE3101"/>
    <w:rsid w:val="00FE63C6"/>
    <w:rsid w:val="00FE782B"/>
    <w:rsid w:val="00FF1427"/>
    <w:rsid w:val="00FF5278"/>
    <w:rsid w:val="04520C2B"/>
    <w:rsid w:val="075C622F"/>
    <w:rsid w:val="0A8839F6"/>
    <w:rsid w:val="0B73F745"/>
    <w:rsid w:val="0DCD5289"/>
    <w:rsid w:val="10C2BDC6"/>
    <w:rsid w:val="12505C78"/>
    <w:rsid w:val="157E0DE0"/>
    <w:rsid w:val="176FD7FB"/>
    <w:rsid w:val="17C6AB0E"/>
    <w:rsid w:val="1AC4E8F7"/>
    <w:rsid w:val="1C3527B9"/>
    <w:rsid w:val="1E1A0332"/>
    <w:rsid w:val="219BF58B"/>
    <w:rsid w:val="2537BBFA"/>
    <w:rsid w:val="259C3A9A"/>
    <w:rsid w:val="27783726"/>
    <w:rsid w:val="2804A4E5"/>
    <w:rsid w:val="2946F080"/>
    <w:rsid w:val="2A121BDB"/>
    <w:rsid w:val="2C86F877"/>
    <w:rsid w:val="31147CE0"/>
    <w:rsid w:val="32519387"/>
    <w:rsid w:val="32DD6100"/>
    <w:rsid w:val="331A9700"/>
    <w:rsid w:val="33937F6C"/>
    <w:rsid w:val="354F04EC"/>
    <w:rsid w:val="3937A391"/>
    <w:rsid w:val="39E4EF57"/>
    <w:rsid w:val="3CC8423E"/>
    <w:rsid w:val="3D2F2810"/>
    <w:rsid w:val="433AD6BA"/>
    <w:rsid w:val="4687895F"/>
    <w:rsid w:val="47CDFE57"/>
    <w:rsid w:val="494714A7"/>
    <w:rsid w:val="4A17BD9F"/>
    <w:rsid w:val="4D2BD01F"/>
    <w:rsid w:val="57145B48"/>
    <w:rsid w:val="57C7C723"/>
    <w:rsid w:val="58473FDC"/>
    <w:rsid w:val="5A35EEB3"/>
    <w:rsid w:val="5BD4E01E"/>
    <w:rsid w:val="5EBA9845"/>
    <w:rsid w:val="64AA7E76"/>
    <w:rsid w:val="65F28222"/>
    <w:rsid w:val="67E62FB7"/>
    <w:rsid w:val="694814B9"/>
    <w:rsid w:val="6D11CDF7"/>
    <w:rsid w:val="73CC1007"/>
    <w:rsid w:val="765C114D"/>
    <w:rsid w:val="7AA4E65D"/>
    <w:rsid w:val="7D665BDF"/>
    <w:rsid w:val="7F68A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2A6"/>
  <w15:chartTrackingRefBased/>
  <w15:docId w15:val="{C0B3A9D7-F769-4EFD-8889-A3B3177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2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uiPriority w:val="99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2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4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70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0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870A3"/>
    <w:rPr>
      <w:vertAlign w:val="superscript"/>
    </w:rPr>
  </w:style>
  <w:style w:type="paragraph" w:customStyle="1" w:styleId="pf1">
    <w:name w:val="pf1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paragraph" w:customStyle="1" w:styleId="pf0">
    <w:name w:val="pf0"/>
    <w:basedOn w:val="Normal"/>
    <w:rsid w:val="006870A3"/>
    <w:pPr>
      <w:spacing w:before="100" w:beforeAutospacing="1" w:after="100" w:afterAutospacing="1"/>
      <w:ind w:left="0" w:firstLine="0"/>
      <w:jc w:val="left"/>
    </w:pPr>
  </w:style>
  <w:style w:type="character" w:customStyle="1" w:styleId="cf01">
    <w:name w:val="cf01"/>
    <w:basedOn w:val="DefaultParagraphFont"/>
    <w:rsid w:val="006870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499A3D4EBC46A54B223F15BF4755" ma:contentTypeVersion="14" ma:contentTypeDescription="Create a new document." ma:contentTypeScope="" ma:versionID="e19d1ba65b16215b94192fe30fef1093">
  <xsd:schema xmlns:xsd="http://www.w3.org/2001/XMLSchema" xmlns:xs="http://www.w3.org/2001/XMLSchema" xmlns:p="http://schemas.microsoft.com/office/2006/metadata/properties" xmlns:ns3="682f1ccd-e5c5-43c9-b9d9-dd72e0a643d0" xmlns:ns4="75035800-fbd9-4494-bf62-86cc10c5d50d" targetNamespace="http://schemas.microsoft.com/office/2006/metadata/properties" ma:root="true" ma:fieldsID="793f03ab7b181d42bf7ece909e5aba98" ns3:_="" ns4:_="">
    <xsd:import namespace="682f1ccd-e5c5-43c9-b9d9-dd72e0a643d0"/>
    <xsd:import namespace="75035800-fbd9-4494-bf62-86cc10c5d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ccd-e5c5-43c9-b9d9-dd72e0a64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35800-fbd9-4494-bf62-86cc10c5d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06C2-A773-4AD3-A05C-458A023A3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ccd-e5c5-43c9-b9d9-dd72e0a643d0"/>
    <ds:schemaRef ds:uri="75035800-fbd9-4494-bf62-86cc10c5d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71A80-3EB5-4641-8AA9-F2C9D0472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EA916-19D4-4B41-800A-1B7C448A1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9F202-1F11-4414-8194-32B0AACF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1466</Words>
  <Characters>8357</Characters>
  <Application>Microsoft Office Word</Application>
  <DocSecurity>4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JENNINGS Edmund</cp:lastModifiedBy>
  <cp:revision>2</cp:revision>
  <dcterms:created xsi:type="dcterms:W3CDTF">2025-01-06T15:32:00Z</dcterms:created>
  <dcterms:modified xsi:type="dcterms:W3CDTF">2025-01-06T15:32:00Z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0x0101009528499A3D4EBC46A54B223F15BF4755</vt:lpwstr>
  </property>
</Properties>
</file>