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6C14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LA CONVENCIÓN SOBRE LOS HUMEDALES</w:t>
      </w:r>
    </w:p>
    <w:p w14:paraId="32F62DFB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64ª reunión del Comité Permanente</w:t>
      </w:r>
    </w:p>
    <w:p w14:paraId="294ED38C" w14:textId="77777777" w:rsidR="005F6071" w:rsidRPr="005F6071" w:rsidRDefault="005F6071" w:rsidP="005F60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jc w:val="left"/>
        <w:rPr>
          <w:rFonts w:ascii="Calibri" w:eastAsia="Calibri" w:hAnsi="Calibri" w:cs="Calibri"/>
          <w:bCs/>
          <w:sz w:val="22"/>
          <w:szCs w:val="22"/>
          <w:lang w:val="es-ES" w:eastAsia="en-US"/>
        </w:rPr>
      </w:pPr>
      <w:r w:rsidRPr="005F6071">
        <w:rPr>
          <w:rFonts w:ascii="Calibri" w:eastAsia="Calibri" w:hAnsi="Calibri" w:cs="Arial"/>
          <w:sz w:val="22"/>
          <w:szCs w:val="22"/>
          <w:lang w:val="es-ES" w:eastAsia="en-US"/>
        </w:rPr>
        <w:t>Gland, Suiza, 20 a 24 de enero de 2025</w:t>
      </w:r>
    </w:p>
    <w:p w14:paraId="2BB6B6C0" w14:textId="77777777" w:rsidR="00065B8F" w:rsidRPr="00A763E6" w:rsidRDefault="00065B8F" w:rsidP="00A451D1">
      <w:pPr>
        <w:widowControl w:val="0"/>
        <w:rPr>
          <w:rFonts w:asciiTheme="minorHAnsi" w:hAnsiTheme="minorHAnsi" w:cstheme="minorHAnsi"/>
          <w:sz w:val="28"/>
          <w:szCs w:val="28"/>
          <w:lang w:val="es-ES"/>
        </w:rPr>
      </w:pPr>
    </w:p>
    <w:p w14:paraId="1B8DA46A" w14:textId="047FB601" w:rsidR="00065B8F" w:rsidRPr="00A763E6" w:rsidRDefault="006A7C44" w:rsidP="00A451D1">
      <w:pPr>
        <w:widowControl w:val="0"/>
        <w:jc w:val="right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A763E6">
        <w:rPr>
          <w:rFonts w:asciiTheme="minorHAnsi" w:hAnsiTheme="minorHAnsi" w:cstheme="minorHAnsi"/>
          <w:b/>
          <w:sz w:val="28"/>
          <w:szCs w:val="28"/>
          <w:lang w:val="de-CH"/>
        </w:rPr>
        <w:t>SC</w:t>
      </w:r>
      <w:r w:rsidR="007A4DE6" w:rsidRPr="00A763E6">
        <w:rPr>
          <w:rFonts w:asciiTheme="minorHAnsi" w:hAnsiTheme="minorHAnsi" w:cstheme="minorHAnsi"/>
          <w:b/>
          <w:sz w:val="28"/>
          <w:szCs w:val="28"/>
          <w:lang w:val="de-CH"/>
        </w:rPr>
        <w:t>64</w:t>
      </w:r>
      <w:r w:rsidR="00065B8F" w:rsidRPr="00A763E6">
        <w:rPr>
          <w:rFonts w:asciiTheme="minorHAnsi" w:hAnsiTheme="minorHAnsi" w:cstheme="minorHAnsi"/>
          <w:b/>
          <w:sz w:val="28"/>
          <w:szCs w:val="28"/>
          <w:lang w:val="de-CH"/>
        </w:rPr>
        <w:t xml:space="preserve"> Doc.</w:t>
      </w:r>
      <w:r w:rsidR="007A4DE6" w:rsidRPr="00A763E6">
        <w:rPr>
          <w:rFonts w:asciiTheme="minorHAnsi" w:hAnsiTheme="minorHAnsi" w:cstheme="minorHAnsi"/>
          <w:b/>
          <w:sz w:val="28"/>
          <w:szCs w:val="28"/>
          <w:lang w:val="de-CH"/>
        </w:rPr>
        <w:t>9</w:t>
      </w:r>
      <w:r w:rsidR="00C56C0A" w:rsidRPr="00A763E6">
        <w:rPr>
          <w:rFonts w:asciiTheme="minorHAnsi" w:hAnsiTheme="minorHAnsi" w:cstheme="minorHAnsi"/>
          <w:b/>
          <w:sz w:val="28"/>
          <w:szCs w:val="28"/>
          <w:lang w:val="de-CH"/>
        </w:rPr>
        <w:t>.4</w:t>
      </w:r>
      <w:r w:rsidR="00B44420" w:rsidRPr="00B44420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 w:rsidR="00B44420">
        <w:rPr>
          <w:rFonts w:asciiTheme="minorHAnsi" w:hAnsiTheme="minorHAnsi" w:cstheme="minorHAnsi"/>
          <w:b/>
          <w:sz w:val="28"/>
          <w:szCs w:val="28"/>
          <w:lang w:val="de-CH"/>
        </w:rPr>
        <w:t>Rev.1</w:t>
      </w:r>
      <w:r w:rsidR="00B44420">
        <w:rPr>
          <w:rStyle w:val="FootnoteReference"/>
          <w:rFonts w:asciiTheme="minorHAnsi" w:hAnsiTheme="minorHAnsi" w:cstheme="minorHAnsi"/>
          <w:b/>
          <w:sz w:val="28"/>
          <w:szCs w:val="28"/>
          <w:lang w:val="de-CH"/>
        </w:rPr>
        <w:footnoteReference w:id="2"/>
      </w:r>
    </w:p>
    <w:p w14:paraId="23E946FC" w14:textId="77777777" w:rsidR="00065B8F" w:rsidRPr="00A763E6" w:rsidRDefault="00065B8F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  <w:lang w:val="de-CH"/>
        </w:rPr>
      </w:pPr>
    </w:p>
    <w:p w14:paraId="3C89687C" w14:textId="48DD9DBC" w:rsidR="005F6071" w:rsidRPr="00A763E6" w:rsidRDefault="00A763E6" w:rsidP="00C73A6B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Cuestiones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financier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a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s y presupuestari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a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s:</w:t>
      </w:r>
    </w:p>
    <w:p w14:paraId="1F7D4B59" w14:textId="31860D14" w:rsidR="005F6071" w:rsidRPr="00A763E6" w:rsidRDefault="00C73A6B" w:rsidP="005F607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>Posibles</w:t>
      </w:r>
      <w:r w:rsidR="005F6071" w:rsidRPr="00A763E6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repercusiones financieras de los proyectos de resolución </w:t>
      </w:r>
    </w:p>
    <w:p w14:paraId="6D68E7B9" w14:textId="77777777" w:rsidR="00024100" w:rsidRPr="00A763E6" w:rsidRDefault="00024100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F5BA36C" w14:textId="42AC6788" w:rsidR="006058B3" w:rsidRPr="00772E80" w:rsidRDefault="005C0613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2E80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6B0CB168" wp14:editId="0C4E34E5">
                <wp:extent cx="5731510" cy="865414"/>
                <wp:effectExtent l="0" t="0" r="21590" b="11430"/>
                <wp:docPr id="1975025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65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A5C5" w14:textId="598BF4ED" w:rsidR="005C0613" w:rsidRPr="005F6071" w:rsidRDefault="005F6071" w:rsidP="005C061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cción</w:t>
                            </w:r>
                            <w:r w:rsidR="005C0613"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solicitada</w:t>
                            </w:r>
                            <w:r w:rsidR="005C0613" w:rsidRPr="005F607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21E04FBC" w14:textId="77777777" w:rsidR="005C0613" w:rsidRPr="005F6071" w:rsidRDefault="005C0613" w:rsidP="005C0613">
                            <w:pPr>
                              <w:pStyle w:val="ColorfulList-Accent11"/>
                              <w:ind w:left="0"/>
                              <w:rPr>
                                <w:lang w:val="es-ES"/>
                              </w:rPr>
                            </w:pPr>
                          </w:p>
                          <w:p w14:paraId="32E135D0" w14:textId="7FD0AC34" w:rsidR="005C0613" w:rsidRPr="00506D48" w:rsidRDefault="005F6071" w:rsidP="00795A46">
                            <w:pPr>
                              <w:pStyle w:val="ColorfulList-Accent11"/>
                              <w:ind w:left="0" w:firstLine="0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5F6071">
                              <w:rPr>
                                <w:lang w:val="es-ES"/>
                              </w:rPr>
                              <w:t xml:space="preserve">Se invita al Comité Permanente a tomar nota de las repercusiones administrativas y financieras previstas de los proyectos de resolución </w:t>
                            </w:r>
                            <w:r w:rsidR="00C73A6B">
                              <w:rPr>
                                <w:lang w:val="es-ES"/>
                              </w:rPr>
                              <w:t>presentados</w:t>
                            </w:r>
                            <w:r w:rsidRPr="005F6071">
                              <w:rPr>
                                <w:lang w:val="es-ES"/>
                              </w:rPr>
                              <w:t xml:space="preserve"> a la </w:t>
                            </w:r>
                            <w:r w:rsidR="00C73A6B">
                              <w:rPr>
                                <w:lang w:val="es-ES"/>
                              </w:rPr>
                              <w:t xml:space="preserve">reunión </w:t>
                            </w:r>
                            <w:r w:rsidRPr="005F6071">
                              <w:rPr>
                                <w:lang w:val="es-ES"/>
                              </w:rPr>
                              <w:t>SC64</w:t>
                            </w:r>
                            <w:r>
                              <w:rPr>
                                <w:lang w:val="es-ES"/>
                              </w:rPr>
                              <w:t xml:space="preserve"> para su </w:t>
                            </w:r>
                            <w:r w:rsidRPr="005F6071">
                              <w:rPr>
                                <w:lang w:val="es-ES"/>
                              </w:rPr>
                              <w:t>consideración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Pr="005F607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CB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">
                <v:textbox>
                  <w:txbxContent>
                    <w:p w14:paraId="4E2CA5C5" w14:textId="598BF4ED" w:rsidR="005C0613" w:rsidRPr="005F6071" w:rsidRDefault="005F6071" w:rsidP="005C061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A</w:t>
                      </w:r>
                      <w:r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cción</w:t>
                      </w:r>
                      <w:r w:rsidR="005C0613"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solicitada</w:t>
                      </w:r>
                      <w:r w:rsidR="005C0613" w:rsidRPr="005F607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21E04FBC" w14:textId="77777777" w:rsidR="005C0613" w:rsidRPr="005F6071" w:rsidRDefault="005C0613" w:rsidP="005C0613">
                      <w:pPr>
                        <w:pStyle w:val="ColorfulList-Accent11"/>
                        <w:ind w:left="0"/>
                        <w:rPr>
                          <w:lang w:val="es-ES"/>
                        </w:rPr>
                      </w:pPr>
                    </w:p>
                    <w:p w14:paraId="32E135D0" w14:textId="7FD0AC34" w:rsidR="005C0613" w:rsidRPr="00506D48" w:rsidRDefault="005F6071" w:rsidP="00795A46">
                      <w:pPr>
                        <w:pStyle w:val="ColorfulList-Accent11"/>
                        <w:ind w:left="0" w:firstLine="0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5F6071">
                        <w:rPr>
                          <w:lang w:val="es-ES"/>
                        </w:rPr>
                        <w:t xml:space="preserve">Se invita al Comité Permanente a tomar nota de las repercusiones administrativas y financieras previstas de los proyectos de resolución </w:t>
                      </w:r>
                      <w:r w:rsidR="00C73A6B">
                        <w:rPr>
                          <w:lang w:val="es-ES"/>
                        </w:rPr>
                        <w:t>presentados</w:t>
                      </w:r>
                      <w:r w:rsidRPr="005F6071">
                        <w:rPr>
                          <w:lang w:val="es-ES"/>
                        </w:rPr>
                        <w:t xml:space="preserve"> a la </w:t>
                      </w:r>
                      <w:r w:rsidR="00C73A6B">
                        <w:rPr>
                          <w:lang w:val="es-ES"/>
                        </w:rPr>
                        <w:t xml:space="preserve">reunión </w:t>
                      </w:r>
                      <w:r w:rsidRPr="005F6071">
                        <w:rPr>
                          <w:lang w:val="es-ES"/>
                        </w:rPr>
                        <w:t>SC64</w:t>
                      </w:r>
                      <w:r>
                        <w:rPr>
                          <w:lang w:val="es-ES"/>
                        </w:rPr>
                        <w:t xml:space="preserve"> para su </w:t>
                      </w:r>
                      <w:r w:rsidRPr="005F6071">
                        <w:rPr>
                          <w:lang w:val="es-ES"/>
                        </w:rPr>
                        <w:t>consideración</w:t>
                      </w:r>
                      <w:r>
                        <w:rPr>
                          <w:lang w:val="es-ES"/>
                        </w:rPr>
                        <w:t>.</w:t>
                      </w:r>
                      <w:r w:rsidRPr="005F6071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992BFF" w14:textId="488E9BEF" w:rsidR="00E95E62" w:rsidRPr="00024100" w:rsidRDefault="00E95E62" w:rsidP="00024100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C0818" w14:textId="77777777" w:rsidR="006058B3" w:rsidRPr="00024100" w:rsidRDefault="006058B3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F5DA1" w14:textId="17CA0604" w:rsidR="00773024" w:rsidRPr="005F6071" w:rsidRDefault="005F6071" w:rsidP="00A451D1">
      <w:pPr>
        <w:widowControl w:val="0"/>
        <w:ind w:left="425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/>
          <w:bCs/>
          <w:sz w:val="22"/>
          <w:szCs w:val="22"/>
          <w:lang w:val="es-ES"/>
        </w:rPr>
        <w:t>Antecedentes</w:t>
      </w:r>
    </w:p>
    <w:p w14:paraId="12B7CC52" w14:textId="77777777" w:rsidR="00C32315" w:rsidRPr="005F6071" w:rsidRDefault="00C32315" w:rsidP="00A451D1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30262FAB" w14:textId="227B5159" w:rsidR="00027DBC" w:rsidRPr="00C73A6B" w:rsidRDefault="003501A9" w:rsidP="00C73A6B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>1</w:t>
      </w:r>
      <w:r w:rsidR="006058B3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.</w:t>
      </w:r>
      <w:r w:rsidR="006058B3" w:rsidRPr="005F6071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El artículo 14 del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r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eglamento de la Convención establece que la Secretaría informará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sobre las consecuencias administrativas y financieras de todos los asuntos sustantivos del orden del día presentados a la reunión de la Conferencia de las Partes (COP)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en un plazo de 24 horas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desde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la apertura de la reunión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y antes de que la 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Conferencia de las Partes Contratantes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tome decisiones sobre dichos asuntos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. </w:t>
      </w:r>
    </w:p>
    <w:p w14:paraId="43FF90B5" w14:textId="77777777" w:rsidR="00027DBC" w:rsidRPr="00A763E6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3E5F4493" w14:textId="1E454D32" w:rsidR="00C41747" w:rsidRPr="00A763E6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  <w:lang w:val="es-ES"/>
        </w:rPr>
      </w:pPr>
      <w:r w:rsidRPr="00932E90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2. </w:t>
      </w:r>
      <w:r w:rsidRPr="00932E90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Dado que el </w:t>
      </w:r>
      <w:r w:rsidR="00C73A6B">
        <w:rPr>
          <w:rFonts w:asciiTheme="minorHAnsi" w:hAnsiTheme="minorHAnsi" w:cstheme="minorHAnsi"/>
          <w:bCs/>
          <w:sz w:val="22"/>
          <w:szCs w:val="22"/>
          <w:lang w:val="es-ES"/>
        </w:rPr>
        <w:t>r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eglamento se aplica </w:t>
      </w:r>
      <w:r w:rsidR="005F6071" w:rsidRPr="00C73A6B">
        <w:rPr>
          <w:rFonts w:asciiTheme="minorHAnsi" w:hAnsiTheme="minorHAnsi" w:cstheme="minorHAnsi"/>
          <w:bCs/>
          <w:i/>
          <w:iCs/>
          <w:sz w:val="22"/>
          <w:szCs w:val="22"/>
          <w:lang w:val="es-ES"/>
        </w:rPr>
        <w:t>mutatis mutandis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a las reuniones del Comité Permanente, la Secretaría ha preparado el Cuadro 1 que figura a continuación, en el que se indican las repercusiones administrativas y financieras preliminares previstas de los proyectos de resolución presentados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a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la 64ª reunión del Comité (SC64) para su examen en la COP15. La Secretaría preparará un informe actualizado sobre las repercusiones administrativas y financieras de los proyectos de resolución para la COP15. </w:t>
      </w:r>
    </w:p>
    <w:p w14:paraId="7F025D77" w14:textId="77777777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14:paraId="7908F4F2" w14:textId="59916C68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Pr="005F6071">
        <w:rPr>
          <w:rFonts w:asciiTheme="minorHAnsi" w:hAnsiTheme="minorHAnsi" w:cstheme="minorHAnsi"/>
          <w:bCs/>
          <w:sz w:val="22"/>
          <w:szCs w:val="22"/>
          <w:lang w:val="es-ES"/>
        </w:rPr>
        <w:tab/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>Las acciones propuestas y sus correspondientes cost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o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s, que figuran en el cuadro 1 elaborado por la Secretaría, provienen de los proyectos de resolución presentados por las Partes Contratantes, los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g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rupos de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t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rabajo o los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ó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rganos </w:t>
      </w:r>
      <w:r w:rsidR="000F6778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ubsidiarios, o bien han sido preparados por la Secretaría. Los </w:t>
      </w:r>
      <w:r w:rsidR="00914C3B" w:rsidRPr="00914C3B">
        <w:rPr>
          <w:rFonts w:asciiTheme="minorHAnsi" w:hAnsiTheme="minorHAnsi" w:cstheme="minorHAnsi"/>
          <w:bCs/>
          <w:sz w:val="22"/>
          <w:szCs w:val="22"/>
          <w:lang w:val="es-ES"/>
        </w:rPr>
        <w:t>costo</w:t>
      </w:r>
      <w:r w:rsidR="005F6071" w:rsidRPr="00914C3B">
        <w:rPr>
          <w:rFonts w:asciiTheme="minorHAnsi" w:hAnsiTheme="minorHAnsi" w:cstheme="minorHAnsi"/>
          <w:bCs/>
          <w:sz w:val="22"/>
          <w:szCs w:val="22"/>
          <w:lang w:val="es-ES"/>
        </w:rPr>
        <w:t>s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indicados son los totales para el trienio 2026-2028, y no incluyen el </w:t>
      </w:r>
      <w:r w:rsidR="00914C3B">
        <w:rPr>
          <w:rFonts w:asciiTheme="minorHAnsi" w:hAnsiTheme="minorHAnsi" w:cstheme="minorHAnsi"/>
          <w:bCs/>
          <w:sz w:val="22"/>
          <w:szCs w:val="22"/>
          <w:lang w:val="es-ES"/>
        </w:rPr>
        <w:t>costo</w:t>
      </w:r>
      <w:r w:rsidR="005F6071" w:rsidRP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de los días trabajados por el personal actual. Con respecto a los días de trabajo del personal, la información facilitada en el cuadro se refiere a los días de trabajo adicionales del personal necesarios para llevar a cabo las actividades y tareas propuestas. No se incluyen los días de trabajo del personal necesarios para llevar a cabo actividades y tareas que ya están incluidas en las áreas básicas de trabajo de la Secretaría y en su plan de trabajo.</w:t>
      </w:r>
      <w:r w:rsidR="005F6071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</w:p>
    <w:p w14:paraId="02350DE4" w14:textId="0EE6F92A" w:rsidR="002B429F" w:rsidRPr="00A763E6" w:rsidRDefault="002B429F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E503F40" w14:textId="77777777" w:rsidR="002B6DE6" w:rsidRPr="00A763E6" w:rsidRDefault="002B429F" w:rsidP="00A451D1">
      <w:pPr>
        <w:widowControl w:val="0"/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22"/>
          <w:szCs w:val="22"/>
          <w:lang w:val="es-ES"/>
        </w:rPr>
        <w:sectPr w:rsidR="002B6DE6" w:rsidRPr="00A763E6" w:rsidSect="003D6800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A763E6">
        <w:rPr>
          <w:rFonts w:asciiTheme="minorHAnsi" w:hAnsiTheme="minorHAnsi" w:cstheme="minorHAnsi"/>
          <w:i/>
          <w:sz w:val="22"/>
          <w:szCs w:val="22"/>
          <w:lang w:val="es-ES"/>
        </w:rPr>
        <w:br w:type="page"/>
      </w:r>
    </w:p>
    <w:p w14:paraId="260D4D5C" w14:textId="0A860771" w:rsidR="00772756" w:rsidRDefault="00772756" w:rsidP="002B6DE6">
      <w:pPr>
        <w:widowControl w:val="0"/>
        <w:jc w:val="left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772756">
        <w:rPr>
          <w:rFonts w:asciiTheme="minorHAnsi" w:hAnsiTheme="minorHAnsi" w:cstheme="minorHAnsi"/>
          <w:i/>
          <w:sz w:val="22"/>
          <w:szCs w:val="22"/>
          <w:lang w:val="es-ES"/>
        </w:rPr>
        <w:lastRenderedPageBreak/>
        <w:t xml:space="preserve">Cuadro 1: Repercusiones administrativas y financieras previstas de los proyectos de resolución para el trienio 2026 </w:t>
      </w:r>
      <w:r>
        <w:rPr>
          <w:rFonts w:asciiTheme="minorHAnsi" w:hAnsiTheme="minorHAnsi" w:cstheme="minorHAnsi"/>
          <w:i/>
          <w:sz w:val="22"/>
          <w:szCs w:val="22"/>
          <w:lang w:val="es-ES"/>
        </w:rPr>
        <w:t>–</w:t>
      </w:r>
      <w:r w:rsidRPr="0077275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2028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4533"/>
        <w:gridCol w:w="4533"/>
        <w:gridCol w:w="1701"/>
        <w:gridCol w:w="1710"/>
      </w:tblGrid>
      <w:tr w:rsidR="00772E80" w:rsidRPr="00795A46" w14:paraId="713C34C8" w14:textId="77777777" w:rsidTr="00A763E6">
        <w:trPr>
          <w:cantSplit/>
          <w:tblHeader/>
        </w:trPr>
        <w:tc>
          <w:tcPr>
            <w:tcW w:w="1699" w:type="dxa"/>
            <w:shd w:val="clear" w:color="auto" w:fill="D9D9D9" w:themeFill="background1" w:themeFillShade="D9"/>
            <w:noWrap/>
            <w:vAlign w:val="center"/>
          </w:tcPr>
          <w:p w14:paraId="4EFDD6A2" w14:textId="11C4CE9F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Document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4533" w:type="dxa"/>
            <w:shd w:val="clear" w:color="auto" w:fill="D9D9D9" w:themeFill="background1" w:themeFillShade="D9"/>
            <w:noWrap/>
            <w:vAlign w:val="center"/>
          </w:tcPr>
          <w:p w14:paraId="7B1FF384" w14:textId="4745C782" w:rsidR="00A451D1" w:rsidRPr="00024100" w:rsidRDefault="005F60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185926856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Proyecto de 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esolu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6B1EC5"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ión</w:t>
            </w:r>
            <w:bookmarkEnd w:id="0"/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13CE1A06" w14:textId="2542442C" w:rsidR="00A451D1" w:rsidRPr="00024100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Activiti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dades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CD5F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reas</w:t>
            </w:r>
            <w:r w:rsidR="00CD5F72"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60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necesarias</w:t>
            </w:r>
            <w:r w:rsidRPr="000241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C91073" w14:textId="6F00BD29" w:rsidR="00A451D1" w:rsidRPr="006B1EC5" w:rsidRDefault="00932E90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Días</w:t>
            </w:r>
            <w:r w:rsidR="00772756" w:rsidRPr="006B1E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de trabajo adicionales del personal</w:t>
            </w:r>
            <w:r w:rsidR="00E048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088F56E" w14:textId="749CD93C" w:rsidR="00A451D1" w:rsidRPr="00772756" w:rsidRDefault="00914C3B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Costo</w:t>
            </w:r>
            <w:r w:rsidR="00A451D1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(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en francos suizos</w:t>
            </w:r>
            <w:r w:rsidR="00A451D1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  <w:r w:rsidR="00902C42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(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no incluye </w:t>
            </w:r>
            <w:r w:rsidR="001219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el </w:t>
            </w:r>
            <w:r w:rsidR="00772756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tiempo de trabajo del</w:t>
            </w:r>
            <w:r w:rsid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personal</w:t>
            </w:r>
            <w:r w:rsidR="00902C42" w:rsidRPr="007727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</w:tr>
      <w:tr w:rsidR="00D22D6F" w:rsidRPr="00795A46" w14:paraId="4B81FFCB" w14:textId="77777777" w:rsidTr="00795A46">
        <w:trPr>
          <w:cantSplit/>
        </w:trPr>
        <w:tc>
          <w:tcPr>
            <w:tcW w:w="14176" w:type="dxa"/>
            <w:gridSpan w:val="5"/>
            <w:shd w:val="clear" w:color="auto" w:fill="auto"/>
            <w:noWrap/>
          </w:tcPr>
          <w:p w14:paraId="28F7F515" w14:textId="3E8A8117" w:rsidR="00B44420" w:rsidRPr="00B44420" w:rsidDel="00886642" w:rsidRDefault="0012196B" w:rsidP="00795A46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Proyectos de resolución preparados por la Secretaría</w:t>
            </w:r>
          </w:p>
        </w:tc>
      </w:tr>
      <w:tr w:rsidR="00AA3B37" w:rsidRPr="00795A46" w14:paraId="3683D293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553EEE6E" w14:textId="1B3B8775" w:rsidR="00B44420" w:rsidRPr="00795A4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Doc.9.3</w:t>
            </w:r>
          </w:p>
        </w:tc>
        <w:tc>
          <w:tcPr>
            <w:tcW w:w="4533" w:type="dxa"/>
            <w:shd w:val="clear" w:color="auto" w:fill="auto"/>
            <w:noWrap/>
          </w:tcPr>
          <w:p w14:paraId="6A4DCA13" w14:textId="0A2EC348" w:rsidR="00AA3B37" w:rsidRPr="006B1EC5" w:rsidRDefault="006B1EC5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</w:t>
            </w:r>
            <w:r w:rsidRPr="006B1E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ión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sobre 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asuntos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financier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 y presupuestari</w:t>
            </w:r>
            <w:r w:rsidR="007B4B8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</w:t>
            </w:r>
            <w:r w:rsidRPr="006B1EC5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</w:t>
            </w:r>
          </w:p>
        </w:tc>
        <w:tc>
          <w:tcPr>
            <w:tcW w:w="4533" w:type="dxa"/>
            <w:shd w:val="clear" w:color="auto" w:fill="auto"/>
          </w:tcPr>
          <w:p w14:paraId="454E2C1E" w14:textId="3043E183" w:rsidR="00AA3B37" w:rsidRPr="00932E90" w:rsidRDefault="006B1EC5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 xml:space="preserve">En el documento SC64 Doc.9.3 se presentan los escenarios presupuestarios propuestos para 2026-2028 </w:t>
            </w:r>
          </w:p>
        </w:tc>
        <w:tc>
          <w:tcPr>
            <w:tcW w:w="1701" w:type="dxa"/>
            <w:shd w:val="clear" w:color="auto" w:fill="auto"/>
          </w:tcPr>
          <w:p w14:paraId="62FF6658" w14:textId="79723119" w:rsidR="00AA3B37" w:rsidRPr="00932E9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10" w:type="dxa"/>
            <w:shd w:val="clear" w:color="auto" w:fill="auto"/>
          </w:tcPr>
          <w:p w14:paraId="7B0629F0" w14:textId="535B87B6" w:rsidR="00AA3B37" w:rsidRPr="00932E90" w:rsidDel="00886642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AA3B37" w:rsidRPr="00024100" w14:paraId="4AF98413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7A322AF0" w14:textId="55C85BE2" w:rsidR="00B44420" w:rsidRPr="00795A4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Doc.13</w:t>
            </w:r>
          </w:p>
        </w:tc>
        <w:tc>
          <w:tcPr>
            <w:tcW w:w="4533" w:type="dxa"/>
            <w:shd w:val="clear" w:color="auto" w:fill="auto"/>
            <w:noWrap/>
          </w:tcPr>
          <w:p w14:paraId="71A63BB6" w14:textId="40656292" w:rsidR="00AA3B37" w:rsidRPr="00A763E6" w:rsidRDefault="00932E9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r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esponsabilidades, funciones y composición del Comité Permanente y clasificación de los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países por regiones en el marco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de la Convención sobre los Humedales </w:t>
            </w:r>
          </w:p>
        </w:tc>
        <w:tc>
          <w:tcPr>
            <w:tcW w:w="4533" w:type="dxa"/>
            <w:shd w:val="clear" w:color="auto" w:fill="auto"/>
          </w:tcPr>
          <w:p w14:paraId="114D9F25" w14:textId="3488AA45" w:rsidR="00AA3B37" w:rsidRPr="00A763E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9DF02D0" w14:textId="3EF17A17" w:rsidR="00AA3B37" w:rsidRPr="00024100" w:rsidRDefault="006B507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B7BE47E" w14:textId="50E5A04B" w:rsidR="00AA3B37" w:rsidRPr="00024100" w:rsidDel="00886642" w:rsidRDefault="006B507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4FCC6233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614C9F9F" w14:textId="0279D8C7" w:rsidR="00B44420" w:rsidRPr="00795A4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Doc.14</w:t>
            </w:r>
          </w:p>
        </w:tc>
        <w:tc>
          <w:tcPr>
            <w:tcW w:w="4533" w:type="dxa"/>
            <w:shd w:val="clear" w:color="auto" w:fill="auto"/>
            <w:noWrap/>
          </w:tcPr>
          <w:p w14:paraId="539484FB" w14:textId="0C0918EC" w:rsidR="00AA3B37" w:rsidRPr="00795A46" w:rsidRDefault="00932E9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m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ejora de la visibilidad de la Convención y de las sinergias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en colaboración con acuerdos multilaterales sobre el medio ambiente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y otras instituciones internacionales </w:t>
            </w:r>
          </w:p>
        </w:tc>
        <w:tc>
          <w:tcPr>
            <w:tcW w:w="4533" w:type="dxa"/>
            <w:shd w:val="clear" w:color="auto" w:fill="auto"/>
          </w:tcPr>
          <w:p w14:paraId="3C392A0C" w14:textId="27542ED9" w:rsidR="00AA3B37" w:rsidRPr="00795A4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80EF5C2" w14:textId="14433238" w:rsidR="00AA3B37" w:rsidRPr="00024100" w:rsidRDefault="003F234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70F706CA" w14:textId="70EA4111" w:rsidR="00AA3B37" w:rsidRPr="00024100" w:rsidDel="00886642" w:rsidRDefault="003F234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6DD2F15F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3E81177F" w14:textId="77777777" w:rsidR="00AA3B37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Doc.15.2</w:t>
            </w:r>
          </w:p>
          <w:p w14:paraId="6EE0313D" w14:textId="7E804EB1" w:rsidR="00B44420" w:rsidRPr="00B44420" w:rsidRDefault="00B44420" w:rsidP="00795A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3" w:type="dxa"/>
            <w:shd w:val="clear" w:color="auto" w:fill="auto"/>
            <w:noWrap/>
          </w:tcPr>
          <w:p w14:paraId="29CDF4E3" w14:textId="6F46E827" w:rsidR="00AA3B37" w:rsidRPr="00795A46" w:rsidRDefault="00932E9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 comunicación, fomento de capacidad, educación, concienciación 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932E9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participación (CECoP)</w:t>
            </w:r>
          </w:p>
        </w:tc>
        <w:tc>
          <w:tcPr>
            <w:tcW w:w="4533" w:type="dxa"/>
            <w:shd w:val="clear" w:color="auto" w:fill="auto"/>
          </w:tcPr>
          <w:p w14:paraId="5D386887" w14:textId="193234DA" w:rsidR="00AA3B37" w:rsidRPr="00A763E6" w:rsidRDefault="00932E9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 función de los recursos disponibles, la Secretaría ayudará a reforzar la capacidad de los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coordinadores nacionales de 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CECoP mediante el suministro de recursos, formación, herramientas y plantillas para las actividades de CECoP; y prestará apoyo técnico a los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coordinadores nacionales 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de CECoP mediante el establecimiento de una red para el intercambio de conocimientos entre dichos </w:t>
            </w:r>
            <w:r w:rsidR="00F2301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coordinadores nacionales</w:t>
            </w:r>
            <w:r w:rsidRPr="00932E9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580EE87F" w14:textId="574821D9" w:rsidR="00AA3B37" w:rsidRPr="00024100" w:rsidRDefault="005513F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EFA27BA" w14:textId="6B36A506" w:rsidR="00AA3B37" w:rsidRPr="00024100" w:rsidDel="00886642" w:rsidRDefault="009C1F9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000 </w:t>
            </w:r>
            <w:r w:rsidR="00A327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="005B0A8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7727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presupuesto b</w:t>
            </w:r>
            <w:r w:rsidR="00B0040F" w:rsidRPr="00B004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á</w:t>
            </w:r>
            <w:r w:rsidR="007727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sico</w:t>
            </w:r>
            <w:r w:rsidR="005B0A8B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A3B37" w:rsidRPr="00024100" w14:paraId="49345897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5082AB71" w14:textId="39EFD76E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Doc.22.3</w:t>
            </w:r>
          </w:p>
        </w:tc>
        <w:tc>
          <w:tcPr>
            <w:tcW w:w="4533" w:type="dxa"/>
            <w:shd w:val="clear" w:color="auto" w:fill="auto"/>
            <w:noWrap/>
          </w:tcPr>
          <w:p w14:paraId="3FF7F77A" w14:textId="7B9E097C" w:rsidR="00AA3B37" w:rsidRPr="00B0040F" w:rsidRDefault="00C3542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resolución</w:t>
            </w: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sobre los Premios Ramsar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a la </w:t>
            </w:r>
            <w:r w:rsid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</w:t>
            </w:r>
            <w:r w:rsidR="00B0040F"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onservación de los Humedales</w:t>
            </w:r>
            <w:r w:rsidR="00E0489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26DDCC9A" w14:textId="5CF00A9E" w:rsidR="00AA3B37" w:rsidRPr="00B0040F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25FEFC26" w14:textId="1E614D7C" w:rsidR="00AA3B37" w:rsidRPr="00024100" w:rsidRDefault="00683AA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421C0D3B" w14:textId="1D9A9815" w:rsidR="00AA3B37" w:rsidRPr="00024100" w:rsidDel="00886642" w:rsidRDefault="00A4095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</w:t>
            </w:r>
            <w:r w:rsidR="00D712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000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3276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financiac</w:t>
            </w:r>
            <w:r w:rsidR="009F7BC2" w:rsidRPr="009F7B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  <w:t>ión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voluntar</w:t>
            </w:r>
            <w:r w:rsidR="00B0040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ia</w:t>
            </w:r>
            <w:r w:rsidR="001F3BE1"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A3B37" w:rsidRPr="00024100" w14:paraId="7645911D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78376F9F" w14:textId="270468D6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Doc.23</w:t>
            </w:r>
          </w:p>
        </w:tc>
        <w:tc>
          <w:tcPr>
            <w:tcW w:w="4533" w:type="dxa"/>
            <w:shd w:val="clear" w:color="auto" w:fill="auto"/>
            <w:noWrap/>
          </w:tcPr>
          <w:p w14:paraId="01C20DA4" w14:textId="08A6A1E1" w:rsidR="00AA3B37" w:rsidRPr="00B0040F" w:rsidRDefault="009F7BC2" w:rsidP="00795A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7BC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las iniciativas regionales de Ramsar 2025-2028 </w:t>
            </w:r>
          </w:p>
        </w:tc>
        <w:tc>
          <w:tcPr>
            <w:tcW w:w="4533" w:type="dxa"/>
            <w:shd w:val="clear" w:color="auto" w:fill="auto"/>
          </w:tcPr>
          <w:p w14:paraId="0C920F31" w14:textId="1F9EFBCB" w:rsidR="00AA3B37" w:rsidRPr="00B0040F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5A5D90A3" w14:textId="3F77ABD1" w:rsidR="00AA3B37" w:rsidRPr="00024100" w:rsidRDefault="000D05D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528292C6" w14:textId="6D07352F" w:rsidR="00AA3B37" w:rsidRPr="00024100" w:rsidDel="00886642" w:rsidRDefault="000D05D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</w:tr>
      <w:tr w:rsidR="00AA3B37" w:rsidRPr="00024100" w14:paraId="7FF3E494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43AAE3AD" w14:textId="395AF181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Doc.25</w:t>
            </w:r>
          </w:p>
        </w:tc>
        <w:tc>
          <w:tcPr>
            <w:tcW w:w="4533" w:type="dxa"/>
            <w:shd w:val="clear" w:color="auto" w:fill="auto"/>
            <w:noWrap/>
          </w:tcPr>
          <w:p w14:paraId="0DED3500" w14:textId="7B9CE5F6" w:rsidR="00AA3B37" w:rsidRPr="000E4492" w:rsidRDefault="00B0040F" w:rsidP="00795A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estado de los sitios incluidos en la Lista de Humedales de Importanci</w:t>
            </w:r>
            <w:r w:rsid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a Internacional </w:t>
            </w:r>
          </w:p>
        </w:tc>
        <w:tc>
          <w:tcPr>
            <w:tcW w:w="4533" w:type="dxa"/>
            <w:shd w:val="clear" w:color="auto" w:fill="auto"/>
          </w:tcPr>
          <w:p w14:paraId="6016E99C" w14:textId="6430FA4F" w:rsidR="00AA3B37" w:rsidRPr="000E4492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6A0CF0BE" w14:textId="4890381F" w:rsidR="00AA3B37" w:rsidRPr="00024100" w:rsidRDefault="00F908A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D7C9885" w14:textId="5FC5D467" w:rsidR="00AA3B37" w:rsidRPr="00024100" w:rsidDel="00886642" w:rsidRDefault="00F908A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795A46" w14:paraId="6ECC58FD" w14:textId="77777777" w:rsidTr="00795A46">
        <w:trPr>
          <w:cantSplit/>
        </w:trPr>
        <w:tc>
          <w:tcPr>
            <w:tcW w:w="14176" w:type="dxa"/>
            <w:gridSpan w:val="5"/>
            <w:shd w:val="clear" w:color="auto" w:fill="auto"/>
            <w:noWrap/>
          </w:tcPr>
          <w:p w14:paraId="45732E84" w14:textId="608A21D8" w:rsidR="00AA3B37" w:rsidRPr="00506D48" w:rsidRDefault="000E4492" w:rsidP="00795A46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Proyectos de resolución presentados por los </w:t>
            </w:r>
            <w:r w:rsidR="00D71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g</w:t>
            </w: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rupos de </w:t>
            </w:r>
            <w:r w:rsidR="00D712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t</w:t>
            </w:r>
            <w:r w:rsidRPr="000E44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rabajo y el GECT </w:t>
            </w:r>
          </w:p>
        </w:tc>
      </w:tr>
      <w:tr w:rsidR="00AA3B37" w:rsidRPr="00024100" w14:paraId="24213C48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307ED65A" w14:textId="7EFD020C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Doc.11</w:t>
            </w:r>
          </w:p>
        </w:tc>
        <w:tc>
          <w:tcPr>
            <w:tcW w:w="4533" w:type="dxa"/>
            <w:shd w:val="clear" w:color="auto" w:fill="auto"/>
            <w:noWrap/>
          </w:tcPr>
          <w:p w14:paraId="0CF1F8AA" w14:textId="25DC4CEB" w:rsidR="00AA3B37" w:rsidRPr="000E4492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el Plan Estratégico de la Convención sobre los Humedales </w:t>
            </w:r>
            <w:r w:rsidR="000E449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2025-2034 </w:t>
            </w:r>
          </w:p>
        </w:tc>
        <w:tc>
          <w:tcPr>
            <w:tcW w:w="4533" w:type="dxa"/>
            <w:shd w:val="clear" w:color="auto" w:fill="auto"/>
          </w:tcPr>
          <w:p w14:paraId="39DD4D8D" w14:textId="2C9F1F49" w:rsidR="00AA3B37" w:rsidRPr="000E4492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79F4F21C" w14:textId="17F18B01" w:rsidR="00AA3B37" w:rsidRPr="00024100" w:rsidRDefault="00D458F6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4F91ED9" w14:textId="286E5518" w:rsidR="00AA3B37" w:rsidRPr="00024100" w:rsidRDefault="00D458F6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0003C21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2A125AA4" w14:textId="1A4152D9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Doc.12</w:t>
            </w:r>
          </w:p>
        </w:tc>
        <w:tc>
          <w:tcPr>
            <w:tcW w:w="4533" w:type="dxa"/>
            <w:shd w:val="clear" w:color="auto" w:fill="auto"/>
            <w:noWrap/>
          </w:tcPr>
          <w:p w14:paraId="1D2C202B" w14:textId="540DC58A" w:rsidR="00AA3B37" w:rsidRPr="00795A4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E4492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aplicación</w:t>
            </w:r>
            <w:r w:rsidR="000E4492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del fortalecimiento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institucional de la Convención sobre los Humedales </w:t>
            </w:r>
          </w:p>
        </w:tc>
        <w:tc>
          <w:tcPr>
            <w:tcW w:w="4533" w:type="dxa"/>
            <w:shd w:val="clear" w:color="auto" w:fill="auto"/>
          </w:tcPr>
          <w:p w14:paraId="40DADC40" w14:textId="42192613" w:rsidR="00AA3B37" w:rsidRPr="00A763E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274059CB" w14:textId="2BC3483F" w:rsidR="00AA3B37" w:rsidRPr="00024100" w:rsidRDefault="0066035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F266BBF" w14:textId="7DB75A25" w:rsidR="00AA3B37" w:rsidRPr="00024100" w:rsidRDefault="00A1323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5AC892B7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440F8B3D" w14:textId="0B08EEBF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Doc.19</w:t>
            </w:r>
          </w:p>
        </w:tc>
        <w:tc>
          <w:tcPr>
            <w:tcW w:w="4533" w:type="dxa"/>
            <w:shd w:val="clear" w:color="auto" w:fill="auto"/>
            <w:noWrap/>
          </w:tcPr>
          <w:p w14:paraId="235D876B" w14:textId="5C9A1EB6" w:rsidR="00AA3B37" w:rsidRPr="000A5C2E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aplicación futura de los aspectos científicos y técnicos de la Convención para 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2026-2028 </w:t>
            </w:r>
          </w:p>
        </w:tc>
        <w:tc>
          <w:tcPr>
            <w:tcW w:w="4533" w:type="dxa"/>
            <w:shd w:val="clear" w:color="auto" w:fill="auto"/>
          </w:tcPr>
          <w:p w14:paraId="240EE7A7" w14:textId="1F991DC9" w:rsidR="00E64FC1" w:rsidRPr="000A5C2E" w:rsidRDefault="000A5C2E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 publicará futuras convocatorias de candidaturas de miembros del GECT </w:t>
            </w:r>
          </w:p>
          <w:p w14:paraId="6AD9B733" w14:textId="77777777" w:rsidR="00E64FC1" w:rsidRPr="000A5C2E" w:rsidRDefault="00E64FC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6DD850E9" w14:textId="5018708D" w:rsidR="00E64FC1" w:rsidRPr="000A5C2E" w:rsidRDefault="000A5C2E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Secretaría, en consulta con el GECT y sus colaboradores, seguirá desarrollando una iniciativa para mejorar la aplicación de la observación de la Tierra en el inventario de humedales, e informará al Comité Permanente al respecto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  <w:p w14:paraId="78F46570" w14:textId="77777777" w:rsidR="00E64FC1" w:rsidRPr="000A5C2E" w:rsidRDefault="00E64FC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5620C8B2" w14:textId="52D2B8FC" w:rsidR="000B5387" w:rsidRPr="000A5C2E" w:rsidRDefault="00B4442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</w:t>
            </w:r>
            <w:r w:rsidR="000A5C2E" w:rsidRPr="000A5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a Secretaría estudiará mecanismos de financiación innovadores para apoyar el trabajo científico y técnico del GECT, incluida la posibilidad de asociaciones público-privadas y colaboraciones con entidades filantrópicas </w:t>
            </w:r>
          </w:p>
        </w:tc>
        <w:tc>
          <w:tcPr>
            <w:tcW w:w="1701" w:type="dxa"/>
            <w:shd w:val="clear" w:color="auto" w:fill="auto"/>
          </w:tcPr>
          <w:p w14:paraId="6E2264A8" w14:textId="3E0B084C" w:rsidR="00AA3B37" w:rsidRPr="00024100" w:rsidRDefault="57C7C72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19F85DAC" w14:textId="77777777" w:rsidR="00A26DC8" w:rsidRPr="00024100" w:rsidRDefault="00A26DC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2FBDE3" w14:textId="77777777" w:rsidR="00A26DC8" w:rsidRPr="00024100" w:rsidRDefault="00A26DC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500E2A" w14:textId="484A2A78" w:rsidR="00A26DC8" w:rsidRPr="00024100" w:rsidRDefault="4687895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</w:t>
            </w:r>
          </w:p>
          <w:p w14:paraId="59152045" w14:textId="77777777" w:rsidR="002F3493" w:rsidRPr="00024100" w:rsidRDefault="002F349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1758C3" w14:textId="77777777" w:rsidR="002F3493" w:rsidRPr="00024100" w:rsidRDefault="002F349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9584D1" w14:textId="77777777" w:rsidR="002F3493" w:rsidRPr="00024100" w:rsidRDefault="002F349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3D643D" w14:textId="77777777" w:rsidR="002F3493" w:rsidRDefault="002F349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0421A2" w14:textId="77777777" w:rsidR="00795A46" w:rsidRPr="00024100" w:rsidRDefault="00795A46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76CEAB" w14:textId="77777777" w:rsidR="002F3493" w:rsidRPr="00024100" w:rsidRDefault="002F349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C030AD" w14:textId="604C15C8" w:rsidR="002F3493" w:rsidRPr="00024100" w:rsidRDefault="765C114D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14:paraId="125ABB7C" w14:textId="77777777" w:rsidR="006B02CA" w:rsidRDefault="006B02C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D691D" w14:textId="77777777" w:rsidR="006B02CA" w:rsidRDefault="006B02C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1350C" w14:textId="77777777" w:rsidR="006B02CA" w:rsidRDefault="006B02C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B0201" w14:textId="1A9ABBDA" w:rsidR="00AA3B37" w:rsidRPr="00024100" w:rsidRDefault="7D665BD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  <w:r w:rsidR="00D71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276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</w:rPr>
              <w:t>presupuesto b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á</w:t>
            </w:r>
            <w:r w:rsidR="009F7BC2" w:rsidRPr="009F7BC2">
              <w:rPr>
                <w:rFonts w:asciiTheme="minorHAnsi" w:hAnsiTheme="minorHAnsi" w:cstheme="minorHAnsi"/>
                <w:sz w:val="22"/>
                <w:szCs w:val="22"/>
              </w:rPr>
              <w:t>sico</w:t>
            </w:r>
            <w:r w:rsidR="2946F080" w:rsidRPr="000241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A3B37" w:rsidRPr="00024100" w14:paraId="6E03E5EC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5BB152B7" w14:textId="72E350A5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Doc.20</w:t>
            </w:r>
          </w:p>
        </w:tc>
        <w:tc>
          <w:tcPr>
            <w:tcW w:w="4533" w:type="dxa"/>
            <w:shd w:val="clear" w:color="auto" w:fill="auto"/>
            <w:noWrap/>
          </w:tcPr>
          <w:p w14:paraId="3CBF2753" w14:textId="7E8C61DD" w:rsidR="00AA3B37" w:rsidRPr="000A5C2E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establecimiento de la Alianza para las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Estimaciones de Aves 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cuáticas y la publicación de la edición de 2027 de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A5C2E" w:rsidRP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Waterbird Population Estimates</w:t>
            </w:r>
            <w:r w:rsidR="000A5C2E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0C5463C3" w14:textId="78BA7180" w:rsidR="00EF368A" w:rsidRPr="00A763E6" w:rsidRDefault="00F62BA6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F62B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Secretaría, en consulta con el GECT y basándose en la información del WEP, actualizará a la SC67 sobre el </w:t>
            </w:r>
            <w:r w:rsidR="00914C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costo</w:t>
            </w:r>
            <w:r w:rsidRPr="00F62B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previsto para la puesta en marcha de la WPE2027 y posibilitará las actividades del WEP; y ofrecerá asesoramiento sobre los aspectos técnicos y operativos para apoyar el establecimiento y la puesta en marcha del WEP (incluida la facilitación de la formación de un comité de coordinación provisional, con arreglo al Anexo 1).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C83E3B1" w14:textId="69419997" w:rsidR="00AA3B37" w:rsidRPr="00024100" w:rsidRDefault="004A5A5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3CC8423E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AC2CB74" w14:textId="5C244584" w:rsidR="00AA3B37" w:rsidRPr="00024100" w:rsidRDefault="5BD4E01E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465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 (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financiac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 w:rsidR="009F7BC2"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voluntaria</w:t>
            </w:r>
            <w:r w:rsid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A3B37" w:rsidRPr="00024100" w14:paraId="1F4CB378" w14:textId="77777777" w:rsidTr="00795A46">
        <w:trPr>
          <w:cantSplit/>
        </w:trPr>
        <w:tc>
          <w:tcPr>
            <w:tcW w:w="1699" w:type="dxa"/>
            <w:shd w:val="clear" w:color="auto" w:fill="auto"/>
            <w:noWrap/>
          </w:tcPr>
          <w:p w14:paraId="4BA842E8" w14:textId="6A302354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Doc.21</w:t>
            </w:r>
          </w:p>
        </w:tc>
        <w:tc>
          <w:tcPr>
            <w:tcW w:w="4533" w:type="dxa"/>
            <w:shd w:val="clear" w:color="auto" w:fill="auto"/>
            <w:noWrap/>
          </w:tcPr>
          <w:p w14:paraId="111B8F48" w14:textId="2EF38125" w:rsidR="00AA3B37" w:rsidRPr="0009278A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09278A"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aplicación de los Criterios 6 y 9 a los</w:t>
            </w:r>
            <w:r w:rsid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09278A" w:rsidRPr="0009278A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Humedales de Importancia Internacional nuevos y existentes </w:t>
            </w:r>
          </w:p>
        </w:tc>
        <w:tc>
          <w:tcPr>
            <w:tcW w:w="4533" w:type="dxa"/>
            <w:shd w:val="clear" w:color="auto" w:fill="auto"/>
          </w:tcPr>
          <w:p w14:paraId="40B378F9" w14:textId="45EF6310" w:rsidR="008964BB" w:rsidRPr="00E04898" w:rsidRDefault="0009278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</w:t>
            </w:r>
            <w:r w:rsid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lleva</w:t>
            </w:r>
            <w:r w:rsidR="00E04898" w:rsidRP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rá</w:t>
            </w:r>
            <w:r w:rsidR="00E048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a cabo las siguientes tareas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: modificará el marco estratégico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,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informará a otros AMMA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,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y, basándose en la información del GECT, actualizará trienalmente la lista de la Convención de estimaciones 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poblacionales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y umbrales del 1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 w:rsidRPr="00092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% para el Criterio 9. </w:t>
            </w:r>
          </w:p>
          <w:p w14:paraId="67DB5495" w14:textId="77777777" w:rsidR="008964BB" w:rsidRPr="00E04898" w:rsidRDefault="008964B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14:paraId="69547E31" w14:textId="0D937CF2" w:rsidR="00F62379" w:rsidRPr="00A763E6" w:rsidRDefault="006D5B6D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D5B6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La Secretaría, en cooperación con el GECT, desarrollará iniciativas de fomento de la capacidad en relación con la aplicación de los Criterios 6 y 9.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A9A653" w14:textId="6CEB7E5C" w:rsidR="00AA3B37" w:rsidRPr="00024100" w:rsidRDefault="331A970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7DF890DF" w14:textId="77777777" w:rsidR="006E1698" w:rsidRPr="00024100" w:rsidRDefault="006E169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B16EB1" w14:textId="77777777" w:rsidR="006E1698" w:rsidRPr="00024100" w:rsidRDefault="006E169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481EB5" w14:textId="77777777" w:rsidR="006E1698" w:rsidRPr="00024100" w:rsidRDefault="006E169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E2EAB1" w14:textId="77777777" w:rsidR="006E1698" w:rsidRPr="00024100" w:rsidRDefault="006E169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D6E469" w14:textId="77777777" w:rsidR="006E1698" w:rsidRPr="00024100" w:rsidRDefault="006E169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C7574D" w14:textId="77777777" w:rsidR="00D7128F" w:rsidRDefault="00D7128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7A111D" w14:textId="0BB848A3" w:rsidR="006E1698" w:rsidRPr="00024100" w:rsidRDefault="009F7BC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 func</w:t>
            </w:r>
            <w:r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del enfoque</w:t>
            </w:r>
          </w:p>
        </w:tc>
        <w:tc>
          <w:tcPr>
            <w:tcW w:w="1710" w:type="dxa"/>
            <w:shd w:val="clear" w:color="auto" w:fill="auto"/>
          </w:tcPr>
          <w:p w14:paraId="735304C7" w14:textId="4C660FB4" w:rsidR="00AA3B37" w:rsidRPr="00024100" w:rsidRDefault="331A970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47547091" w14:textId="667847C1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C09955" w14:textId="508126A8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E1C641" w14:textId="3E30CBEA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B25C6E" w14:textId="72A0FE8B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021796" w14:textId="76FFC4D9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A8F586" w14:textId="77777777" w:rsidR="00D7128F" w:rsidRDefault="00D7128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EF7448" w14:textId="756D06C0" w:rsidR="00AA3B37" w:rsidRPr="00024100" w:rsidRDefault="009F7BC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 func</w:t>
            </w:r>
            <w:r w:rsidRPr="009F7BC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ES"/>
              </w:rPr>
              <w:t>ión</w:t>
            </w:r>
            <w:r w:rsidRPr="009F7B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del enfoque</w:t>
            </w:r>
          </w:p>
        </w:tc>
      </w:tr>
      <w:tr w:rsidR="00AA3B37" w:rsidRPr="00024100" w14:paraId="7C1715D3" w14:textId="77777777" w:rsidTr="00795A46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8DB6BE" w14:textId="41EF2DF3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Doc.26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8810C" w14:textId="2064FEEA" w:rsidR="00AA3B37" w:rsidRPr="006D5B6D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B0040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actualización de las Fichas</w:t>
            </w:r>
            <w:r w:rsid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Informativas de Ramsar 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326B8406" w14:textId="6B69EB3A" w:rsidR="00AA3B37" w:rsidRPr="006D5B6D" w:rsidRDefault="00D7128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</w:t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Secretaría identificará y recomendará al Comité Permanente medios para permitir la transferencia automatizada de datos a la Ficha Informativa de Ramsar desde fuentes externas para campos específicos, incluidas las listas de especies</w:t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  <w:r w:rsidR="006D5B6D" w:rsidRPr="006D5B6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B4ABC6" w14:textId="7B44B53E" w:rsidR="00AA3B37" w:rsidRPr="00024100" w:rsidRDefault="3937A39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B2EC3B6" w14:textId="0862B98B" w:rsidR="00AA3B37" w:rsidRPr="00024100" w:rsidRDefault="00822E2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6546B1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1828C8"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A3B37" w:rsidRPr="00795A46" w14:paraId="60706FF4" w14:textId="77777777" w:rsidTr="00795A46">
        <w:trPr>
          <w:cantSplit/>
        </w:trPr>
        <w:tc>
          <w:tcPr>
            <w:tcW w:w="141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3A0156EC" w14:textId="2206EB4E" w:rsidR="00AA3B37" w:rsidRPr="00E04898" w:rsidRDefault="00F62BA6" w:rsidP="00795A46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62B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Proyectos de</w:t>
            </w:r>
            <w:r w:rsidRPr="00F62BA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Pr="00F62B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resolución presentados por las Partes Contratantes </w:t>
            </w:r>
          </w:p>
        </w:tc>
      </w:tr>
      <w:tr w:rsidR="00AA3B37" w:rsidRPr="00024100" w14:paraId="20A0A818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5483C3C6" w14:textId="28367689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</w:t>
            </w:r>
          </w:p>
        </w:tc>
        <w:tc>
          <w:tcPr>
            <w:tcW w:w="4533" w:type="dxa"/>
            <w:shd w:val="clear" w:color="auto" w:fill="auto"/>
          </w:tcPr>
          <w:p w14:paraId="5DFA5E7E" w14:textId="7E7DDC35" w:rsidR="00AA3B37" w:rsidRPr="006D5B6D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D5B6D" w:rsidRPr="006D5B6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fortalecimiento de la acción en materia de cultura y humedales </w:t>
            </w:r>
          </w:p>
        </w:tc>
        <w:tc>
          <w:tcPr>
            <w:tcW w:w="4533" w:type="dxa"/>
            <w:shd w:val="clear" w:color="auto" w:fill="auto"/>
          </w:tcPr>
          <w:p w14:paraId="6907E043" w14:textId="7D8AFFB7" w:rsidR="00AA3B37" w:rsidRPr="00795A46" w:rsidRDefault="00255F6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E0489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Secretaría, junto con la Red de Cultura de Ramsar y con el asesoramiento del GECT, según proceda, estudiará opciones para desarrollar un programa específico de trabajo relacionado con la cultura en apoyo de los objetivos pertinentes definidos en el </w:t>
            </w:r>
            <w:r w:rsidR="00D712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</w:t>
            </w:r>
            <w:r w:rsidRPr="00E0489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uinto Plan Estratégico de la Convención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6E335808" w14:textId="7147CD52" w:rsidR="00AA3B37" w:rsidRPr="00024100" w:rsidRDefault="00630704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2C5281D" w14:textId="6EA9AAC9" w:rsidR="00AA3B37" w:rsidRPr="00024100" w:rsidRDefault="00947F9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</w:t>
            </w:r>
          </w:p>
        </w:tc>
      </w:tr>
      <w:tr w:rsidR="00AA3B37" w:rsidRPr="00024100" w14:paraId="21349D8A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00C8FF9E" w14:textId="3A57BD14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Doc.29.2</w:t>
            </w:r>
          </w:p>
        </w:tc>
        <w:tc>
          <w:tcPr>
            <w:tcW w:w="4533" w:type="dxa"/>
            <w:shd w:val="clear" w:color="auto" w:fill="auto"/>
          </w:tcPr>
          <w:p w14:paraId="2BAF01D7" w14:textId="16C286B2" w:rsidR="00255F67" w:rsidRPr="00255F67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Proyecto de resolución sobre</w:t>
            </w:r>
            <w:r w:rsidR="00255F67" w:rsidRPr="00255F67">
              <w:rPr>
                <w:lang w:val="es-ES"/>
              </w:rPr>
              <w:t xml:space="preserve"> </w:t>
            </w:r>
            <w:r w:rsidR="00255F67"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restauración de los ecosistemas</w:t>
            </w:r>
            <w:r w:rsid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255F67"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de agua dulce degradados para apoyar la biodiversidad de las características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255F67" w:rsidRPr="00255F67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ecológicas y los servicios de los ecosistemas</w:t>
            </w:r>
          </w:p>
          <w:p w14:paraId="3A0312A3" w14:textId="588114B4" w:rsidR="00AA3B37" w:rsidRPr="00A763E6" w:rsidRDefault="00255F6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[y el Desafío del Agua Dulce]</w:t>
            </w:r>
          </w:p>
        </w:tc>
        <w:tc>
          <w:tcPr>
            <w:tcW w:w="4533" w:type="dxa"/>
            <w:shd w:val="clear" w:color="auto" w:fill="auto"/>
            <w:noWrap/>
          </w:tcPr>
          <w:p w14:paraId="22EEC093" w14:textId="37D1A0CA" w:rsidR="00AA3B37" w:rsidRPr="00A763E6" w:rsidRDefault="00AA3B37" w:rsidP="00795A46">
            <w:pPr>
              <w:widowControl w:val="0"/>
              <w:autoSpaceDE w:val="0"/>
              <w:autoSpaceDN w:val="0"/>
              <w:adjustRightInd w:val="0"/>
              <w:ind w:left="3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C5E7FAD" w14:textId="72B29737" w:rsidR="00AA3B37" w:rsidRPr="00024100" w:rsidRDefault="001429CC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  <w:noWrap/>
          </w:tcPr>
          <w:p w14:paraId="1054D323" w14:textId="48601C68" w:rsidR="00AA3B37" w:rsidRPr="00024100" w:rsidRDefault="00173D3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3A856B85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4B813289" w14:textId="52FD7EF5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Doc.29.3</w:t>
            </w:r>
          </w:p>
        </w:tc>
        <w:tc>
          <w:tcPr>
            <w:tcW w:w="4533" w:type="dxa"/>
            <w:shd w:val="clear" w:color="auto" w:fill="auto"/>
          </w:tcPr>
          <w:p w14:paraId="367C9ECB" w14:textId="0954C6B5" w:rsidR="00AA3B37" w:rsidRPr="00A763E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fortalecimiento de las medidas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nacionales para la conservación y restauración de la vía migratoria Asia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Oriental-Australasia </w:t>
            </w:r>
          </w:p>
        </w:tc>
        <w:tc>
          <w:tcPr>
            <w:tcW w:w="4533" w:type="dxa"/>
            <w:shd w:val="clear" w:color="auto" w:fill="auto"/>
          </w:tcPr>
          <w:p w14:paraId="65E4903C" w14:textId="3E559E46" w:rsidR="00AA3B37" w:rsidRPr="00255F67" w:rsidRDefault="00255F6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255F67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Solicitar a la Secretaría que examine la aplicación de la Resolución X.22 </w:t>
            </w:r>
          </w:p>
        </w:tc>
        <w:tc>
          <w:tcPr>
            <w:tcW w:w="1701" w:type="dxa"/>
          </w:tcPr>
          <w:p w14:paraId="0C7E3A5F" w14:textId="2A2E8C56" w:rsidR="00AA3B37" w:rsidRPr="00024100" w:rsidRDefault="0042096E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6192098E" w14:textId="260A3ACA" w:rsidR="00A3276C" w:rsidRPr="00024100" w:rsidRDefault="008D0CC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6BFD19B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6D27261E" w14:textId="61FC5CE9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29.4</w:t>
            </w:r>
          </w:p>
        </w:tc>
        <w:tc>
          <w:tcPr>
            <w:tcW w:w="4533" w:type="dxa"/>
            <w:shd w:val="clear" w:color="auto" w:fill="auto"/>
          </w:tcPr>
          <w:p w14:paraId="11EE313B" w14:textId="47184370" w:rsidR="00AA3B37" w:rsidRPr="00A763E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promoción de la incorporación de</w:t>
            </w:r>
            <w:r w:rsid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tecnología de vanguardia y conocimientos ecológicos tradicionales en la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7460B" w:rsidRPr="0067460B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conservación, restauración, gestión y uso racional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0023979F" w14:textId="77777777" w:rsidR="0067460B" w:rsidRDefault="0067460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7460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Solicitar al GECT la elaboración de un informe técnico y recomendaciones para la COP17</w:t>
            </w:r>
          </w:p>
          <w:p w14:paraId="3021A695" w14:textId="77777777" w:rsidR="006D3F0C" w:rsidRPr="00A763E6" w:rsidRDefault="006D3F0C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9E3604C" w14:textId="074FF279" w:rsidR="006D3F0C" w:rsidRPr="00A763E6" w:rsidRDefault="00D7128F" w:rsidP="00795A46">
            <w:pPr>
              <w:widowControl w:val="0"/>
              <w:ind w:left="0" w:firstLine="0"/>
              <w:jc w:val="left"/>
              <w:rPr>
                <w:rFonts w:asciiTheme="minorHAnsi" w:eastAsia="SimSun" w:hAnsiTheme="minorHAnsi" w:cstheme="minorHAnsi"/>
                <w:bCs/>
                <w:sz w:val="22"/>
                <w:szCs w:val="22"/>
                <w:lang w:val="es-ES" w:eastAsia="zh-CN"/>
              </w:rPr>
            </w:pPr>
            <w:r w:rsidRPr="00A763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Pedir</w:t>
            </w:r>
            <w:r w:rsidR="0067460B" w:rsidRPr="00A763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 la Secretaría que informe al Comité Permanente sobre la situación </w:t>
            </w:r>
          </w:p>
        </w:tc>
        <w:tc>
          <w:tcPr>
            <w:tcW w:w="1701" w:type="dxa"/>
          </w:tcPr>
          <w:p w14:paraId="53824325" w14:textId="5C04D302" w:rsidR="00330AD3" w:rsidRDefault="00D42DBD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  <w:p w14:paraId="36598946" w14:textId="769C6097" w:rsidR="00A3276C" w:rsidRPr="00024100" w:rsidRDefault="00A3276C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6E96F" w14:textId="77777777" w:rsidR="00A3276C" w:rsidRPr="00024100" w:rsidRDefault="00A3276C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F248D6" w14:textId="717E27C7" w:rsidR="00330AD3" w:rsidRPr="00024100" w:rsidRDefault="00330AD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1A71DCBA" w14:textId="0446B580" w:rsidR="00AA3B37" w:rsidRPr="00024100" w:rsidRDefault="0067141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6B02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  <w:p w14:paraId="007DDFA7" w14:textId="62F71134" w:rsidR="00B33745" w:rsidRPr="00024100" w:rsidRDefault="00B33745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BC3833" w14:textId="77777777" w:rsidR="006B02CA" w:rsidRDefault="006B02C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E0EBB8" w14:textId="0EEA333C" w:rsidR="00330AD3" w:rsidRPr="00024100" w:rsidRDefault="00B33745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0B5E688B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27D8E008" w14:textId="298543AB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Doc.29.5</w:t>
            </w:r>
          </w:p>
        </w:tc>
        <w:tc>
          <w:tcPr>
            <w:tcW w:w="4533" w:type="dxa"/>
            <w:shd w:val="clear" w:color="auto" w:fill="auto"/>
          </w:tcPr>
          <w:p w14:paraId="461759A3" w14:textId="36FBBCEB" w:rsidR="00AA3B37" w:rsidRPr="00A763E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6563F3"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consecución de la conservación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563F3" w:rsidRPr="006563F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equitativa y eficaz de los humedales como áreas protegidas y otras medidas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6563F3"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eficaces de conservación basadas en áreas (OMEC) </w:t>
            </w:r>
          </w:p>
        </w:tc>
        <w:tc>
          <w:tcPr>
            <w:tcW w:w="4533" w:type="dxa"/>
            <w:shd w:val="clear" w:color="auto" w:fill="auto"/>
            <w:noWrap/>
          </w:tcPr>
          <w:p w14:paraId="08D6AE0A" w14:textId="76A1B507" w:rsidR="00AA3B37" w:rsidRPr="00A763E6" w:rsidRDefault="006563F3" w:rsidP="00795A46">
            <w:pPr>
              <w:widowControl w:val="0"/>
              <w:ind w:left="36" w:firstLine="0"/>
              <w:jc w:val="left"/>
              <w:rPr>
                <w:rFonts w:asciiTheme="minorHAnsi" w:eastAsia="FangSong" w:hAnsiTheme="minorHAnsi" w:cstheme="minorHAnsi"/>
                <w:sz w:val="22"/>
                <w:szCs w:val="22"/>
                <w:lang w:val="es-ES" w:eastAsia="zh-CN"/>
              </w:rPr>
            </w:pP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Secretaría se coordinará con otras organizaciones (</w:t>
            </w:r>
            <w:r w:rsidR="00D7128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PNUMA-</w:t>
            </w: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WCMC, Secretaría del CDB, Fondo para el Medio Ambiente</w:t>
            </w:r>
            <w:r w:rsidR="00D7128F"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Mundial</w:t>
            </w:r>
            <w:r w:rsidRPr="006563F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 para apoyar y asesorar a las Partes Contratantes. La Secretaría adaptará el formato de la Ficha Informativa de Ramsar</w:t>
            </w:r>
            <w:r w:rsidR="00795A4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1701" w:type="dxa"/>
          </w:tcPr>
          <w:p w14:paraId="2EDF77B9" w14:textId="4BC1F637" w:rsidR="00A3276C" w:rsidRPr="00024100" w:rsidRDefault="0067358E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E00AFA0" w14:textId="2BC4B1D5" w:rsidR="00AA3B37" w:rsidRPr="00024100" w:rsidRDefault="007A3DCA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1E0E40C6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1D40E7ED" w14:textId="0C212F44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Doc.29.6</w:t>
            </w:r>
          </w:p>
        </w:tc>
        <w:tc>
          <w:tcPr>
            <w:tcW w:w="4533" w:type="dxa"/>
            <w:shd w:val="clear" w:color="auto" w:fill="auto"/>
          </w:tcPr>
          <w:p w14:paraId="5E0E3168" w14:textId="643BFA64" w:rsidR="00AA3B37" w:rsidRPr="00A763E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la mejora de los mandatos del Equipo Ejecutivo y del Grupo de Trabajo Administrativo </w:t>
            </w:r>
          </w:p>
        </w:tc>
        <w:tc>
          <w:tcPr>
            <w:tcW w:w="4533" w:type="dxa"/>
            <w:shd w:val="clear" w:color="auto" w:fill="auto"/>
            <w:noWrap/>
          </w:tcPr>
          <w:p w14:paraId="618A5977" w14:textId="4C5A4880" w:rsidR="00AA3B37" w:rsidRPr="00A763E6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 w:eastAsia="ko-KR"/>
              </w:rPr>
            </w:pPr>
          </w:p>
        </w:tc>
        <w:tc>
          <w:tcPr>
            <w:tcW w:w="1701" w:type="dxa"/>
          </w:tcPr>
          <w:p w14:paraId="13971FA5" w14:textId="33E70927" w:rsidR="00AA3B37" w:rsidRPr="00024100" w:rsidRDefault="00D953C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7A5C89F" w14:textId="4156EFAA" w:rsidR="00AA3B37" w:rsidRPr="00024100" w:rsidRDefault="00D953C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07C8A9A9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3181F06B" w14:textId="701EF18E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SC64 Doc.29.7</w:t>
            </w:r>
          </w:p>
        </w:tc>
        <w:tc>
          <w:tcPr>
            <w:tcW w:w="4533" w:type="dxa"/>
            <w:shd w:val="clear" w:color="auto" w:fill="auto"/>
          </w:tcPr>
          <w:p w14:paraId="60F0FE7A" w14:textId="6AF5AB06" w:rsidR="00AA3B37" w:rsidRPr="00531DE3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los derechos de la naturaleza en los humedales </w:t>
            </w:r>
          </w:p>
        </w:tc>
        <w:tc>
          <w:tcPr>
            <w:tcW w:w="4533" w:type="dxa"/>
            <w:shd w:val="clear" w:color="auto" w:fill="auto"/>
            <w:noWrap/>
          </w:tcPr>
          <w:p w14:paraId="185F84B6" w14:textId="1002C223" w:rsidR="00AA3B37" w:rsidRPr="00531DE3" w:rsidRDefault="00531DE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 Secretaría </w:t>
            </w:r>
            <w:r w:rsidR="00D71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elaborará</w:t>
            </w: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, recopilará 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>m</w:t>
            </w:r>
            <w:r w:rsidRPr="00531DE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antendrá un archivo viviente de la naturaleza en los humedales </w:t>
            </w:r>
          </w:p>
        </w:tc>
        <w:tc>
          <w:tcPr>
            <w:tcW w:w="1701" w:type="dxa"/>
          </w:tcPr>
          <w:p w14:paraId="2372ED4C" w14:textId="3F352613" w:rsidR="00AA3B37" w:rsidRPr="00024100" w:rsidRDefault="00963A6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0B063269" w14:textId="5E19A9C9" w:rsidR="00AA3B37" w:rsidRPr="00024100" w:rsidRDefault="00963A6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AA3B37" w:rsidRPr="00024100" w14:paraId="2EBBAD9C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38215EC2" w14:textId="6E25DB14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Doc.29.8</w:t>
            </w:r>
          </w:p>
        </w:tc>
        <w:tc>
          <w:tcPr>
            <w:tcW w:w="4533" w:type="dxa"/>
            <w:shd w:val="clear" w:color="auto" w:fill="auto"/>
          </w:tcPr>
          <w:p w14:paraId="733D1250" w14:textId="14EA30E8" w:rsidR="00AA3B37" w:rsidRPr="00A763E6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el 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mpoderamiento y la</w:t>
            </w:r>
            <w:r w:rsidR="00D7128F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31DE3" w:rsidRPr="00531DE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integración de la juventud: promoción de su participación en la Convención</w:t>
            </w:r>
            <w:r w:rsidR="00795A4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31DE3" w:rsidRPr="00A763E6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sobre los Humedales y perennidad de la Convención </w:t>
            </w:r>
          </w:p>
        </w:tc>
        <w:tc>
          <w:tcPr>
            <w:tcW w:w="4533" w:type="dxa"/>
            <w:shd w:val="clear" w:color="auto" w:fill="auto"/>
            <w:noWrap/>
          </w:tcPr>
          <w:p w14:paraId="06884C7C" w14:textId="039CE496" w:rsidR="00456093" w:rsidRPr="00506D48" w:rsidRDefault="00506D4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Secretaría prestará servicios de secretaría al </w:t>
            </w:r>
            <w:r w:rsidR="000D277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</w:t>
            </w: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rupo de </w:t>
            </w:r>
            <w:r w:rsidR="000D277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</w:t>
            </w: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rabajo</w:t>
            </w:r>
          </w:p>
          <w:p w14:paraId="68EFB4B8" w14:textId="77777777" w:rsidR="00506D48" w:rsidRPr="00506D48" w:rsidRDefault="00506D4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08F47F1A" w14:textId="4EE194EF" w:rsidR="00456093" w:rsidRPr="00506D48" w:rsidRDefault="00506D48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Secretaría [solicitará contribuciones financieras voluntarias]</w:t>
            </w:r>
          </w:p>
        </w:tc>
        <w:tc>
          <w:tcPr>
            <w:tcW w:w="1701" w:type="dxa"/>
          </w:tcPr>
          <w:p w14:paraId="670F5D2C" w14:textId="107E08A4" w:rsidR="00AA3B37" w:rsidRPr="00024100" w:rsidRDefault="007910A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  <w:p w14:paraId="7A0EDE92" w14:textId="77777777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FF4FC1" w14:textId="77777777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BCBBA0" w14:textId="7ACE71EA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1B35E326" w14:textId="5CF50DCD" w:rsidR="00AA3B37" w:rsidRPr="00024100" w:rsidRDefault="009C3959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  <w:p w14:paraId="314E0970" w14:textId="77777777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654886" w14:textId="77777777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769EED" w14:textId="0BA48D38" w:rsidR="003963B3" w:rsidRPr="00024100" w:rsidRDefault="003963B3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1E2A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4033A43D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2F2FDC61" w14:textId="3D529044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Doc.29.9</w:t>
            </w:r>
          </w:p>
        </w:tc>
        <w:tc>
          <w:tcPr>
            <w:tcW w:w="4533" w:type="dxa"/>
            <w:shd w:val="clear" w:color="auto" w:fill="auto"/>
          </w:tcPr>
          <w:p w14:paraId="5A264184" w14:textId="7097590D" w:rsidR="00AA3B37" w:rsidRPr="00506D48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promoción de estilos de vida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sostenibles para el uso racional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08AC3B59" w14:textId="1468A526" w:rsidR="00AA3B37" w:rsidRPr="00506D48" w:rsidRDefault="00B4442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795A46">
              <w:rPr>
                <w:rFonts w:ascii="Calibri" w:eastAsia="Playfair Display" w:hAnsi="Calibri" w:cs="Calibri"/>
                <w:sz w:val="22"/>
                <w:szCs w:val="22"/>
                <w:lang w:val="es-ES"/>
              </w:rPr>
              <w:t>Se pide al GECT que prepare una recopilación de métodos, estudios de caso y datos empíricos para promover la integración de los estilos de vida sostenibles en la gestión de los humedales</w:t>
            </w:r>
          </w:p>
        </w:tc>
        <w:tc>
          <w:tcPr>
            <w:tcW w:w="1701" w:type="dxa"/>
          </w:tcPr>
          <w:p w14:paraId="526D895E" w14:textId="617BD469" w:rsidR="00AA3B37" w:rsidRPr="00024100" w:rsidRDefault="00B4442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4F3BB24A" w14:textId="399E8C3E" w:rsidR="00AA3B37" w:rsidRPr="00024100" w:rsidRDefault="00B44420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15 000</w:t>
            </w:r>
          </w:p>
        </w:tc>
      </w:tr>
      <w:tr w:rsidR="00AA3B37" w:rsidRPr="00024100" w14:paraId="3BFBC7EE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18308C75" w14:textId="2375603D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Doc.29.10</w:t>
            </w:r>
          </w:p>
        </w:tc>
        <w:tc>
          <w:tcPr>
            <w:tcW w:w="4533" w:type="dxa"/>
            <w:shd w:val="clear" w:color="auto" w:fill="auto"/>
          </w:tcPr>
          <w:p w14:paraId="1989253F" w14:textId="749E3B20" w:rsidR="00AA3B37" w:rsidRPr="00506D48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el r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econocimiento de los delfines de río como especies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claves para la conservación y uso sostenible de los humedales en Suramérica y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Asia</w:t>
            </w:r>
          </w:p>
        </w:tc>
        <w:tc>
          <w:tcPr>
            <w:tcW w:w="4533" w:type="dxa"/>
            <w:shd w:val="clear" w:color="auto" w:fill="auto"/>
            <w:noWrap/>
          </w:tcPr>
          <w:p w14:paraId="3D6692F7" w14:textId="0549FEBA" w:rsidR="00AA3B37" w:rsidRPr="00506D48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320E699" w14:textId="3DB1587D" w:rsidR="00AA3B37" w:rsidRPr="00024100" w:rsidRDefault="003D7C7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03B3F64" w14:textId="579C79B1" w:rsidR="00AA3B37" w:rsidRPr="00024100" w:rsidRDefault="003D7C72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59F82FAF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600656A3" w14:textId="68F9CE56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Doc.29.11</w:t>
            </w:r>
          </w:p>
        </w:tc>
        <w:tc>
          <w:tcPr>
            <w:tcW w:w="4533" w:type="dxa"/>
            <w:shd w:val="clear" w:color="auto" w:fill="auto"/>
          </w:tcPr>
          <w:p w14:paraId="6E36A053" w14:textId="57822C7E" w:rsidR="00AA3B37" w:rsidRPr="00506D48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educación y participación como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base para la gestión de los humedales urbanos y periurbanos </w:t>
            </w:r>
          </w:p>
        </w:tc>
        <w:tc>
          <w:tcPr>
            <w:tcW w:w="4533" w:type="dxa"/>
            <w:shd w:val="clear" w:color="auto" w:fill="auto"/>
            <w:noWrap/>
          </w:tcPr>
          <w:p w14:paraId="40B18CAF" w14:textId="7A946022" w:rsidR="00AA3B37" w:rsidRPr="00506D48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66EEB37" w14:textId="28F563AD" w:rsidR="00AA3B37" w:rsidRPr="00024100" w:rsidRDefault="006F29D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4E276FC8" w14:textId="68FDBEA9" w:rsidR="00AA3B37" w:rsidRPr="00024100" w:rsidRDefault="006F29D1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AA3B37" w:rsidRPr="00024100" w14:paraId="2586F6A8" w14:textId="77777777" w:rsidTr="00795A46">
        <w:trPr>
          <w:cantSplit/>
        </w:trPr>
        <w:tc>
          <w:tcPr>
            <w:tcW w:w="1699" w:type="dxa"/>
            <w:shd w:val="clear" w:color="auto" w:fill="auto"/>
          </w:tcPr>
          <w:p w14:paraId="214A3939" w14:textId="526DB2B3" w:rsidR="00AA3B37" w:rsidRPr="00024100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SC64 Doc.29.12</w:t>
            </w:r>
          </w:p>
        </w:tc>
        <w:tc>
          <w:tcPr>
            <w:tcW w:w="4533" w:type="dxa"/>
            <w:shd w:val="clear" w:color="auto" w:fill="auto"/>
          </w:tcPr>
          <w:p w14:paraId="378201B8" w14:textId="276FAA87" w:rsidR="00AA3B37" w:rsidRPr="00506D48" w:rsidRDefault="00B0040F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Proyecto de resolución sobre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</w:t>
            </w:r>
            <w:r w:rsid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506D48" w:rsidRPr="00506D48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evaluación de la vulnerabilidad de los humedales</w:t>
            </w:r>
          </w:p>
        </w:tc>
        <w:tc>
          <w:tcPr>
            <w:tcW w:w="4533" w:type="dxa"/>
            <w:shd w:val="clear" w:color="auto" w:fill="auto"/>
            <w:noWrap/>
          </w:tcPr>
          <w:p w14:paraId="1188CAA9" w14:textId="3FEEE52C" w:rsidR="00AA3B37" w:rsidRPr="00506D48" w:rsidRDefault="00AA3B37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7D36E91" w14:textId="698838ED" w:rsidR="00AA3B37" w:rsidRPr="00024100" w:rsidRDefault="00CD492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15457ADC" w14:textId="29FCCCA4" w:rsidR="00AA3B37" w:rsidRPr="00024100" w:rsidRDefault="00CD492B" w:rsidP="00795A4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4100" w:rsidDel="004D5D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01313558" w14:textId="77777777" w:rsidR="00A451D1" w:rsidRPr="00024100" w:rsidRDefault="00A451D1" w:rsidP="00A451D1">
      <w:pPr>
        <w:widowControl w:val="0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451D1" w:rsidRPr="00024100" w:rsidSect="000241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DC5A" w14:textId="77777777" w:rsidR="0075440F" w:rsidRDefault="0075440F" w:rsidP="006058B3">
      <w:r>
        <w:separator/>
      </w:r>
    </w:p>
  </w:endnote>
  <w:endnote w:type="continuationSeparator" w:id="0">
    <w:p w14:paraId="26B242C7" w14:textId="77777777" w:rsidR="0075440F" w:rsidRDefault="0075440F" w:rsidP="006058B3">
      <w:r>
        <w:continuationSeparator/>
      </w:r>
    </w:p>
  </w:endnote>
  <w:endnote w:type="continuationNotice" w:id="1">
    <w:p w14:paraId="07842237" w14:textId="77777777" w:rsidR="0075440F" w:rsidRDefault="00754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Playfair Display">
    <w:charset w:val="4D"/>
    <w:family w:val="auto"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DE03" w14:textId="33856E89" w:rsidR="006058B3" w:rsidRPr="005F6071" w:rsidRDefault="00644727">
    <w:pPr>
      <w:pStyle w:val="Footer"/>
      <w:rPr>
        <w:rFonts w:ascii="Calibri" w:hAnsi="Calibri" w:cs="Calibri"/>
        <w:sz w:val="20"/>
        <w:szCs w:val="20"/>
      </w:rPr>
    </w:pPr>
    <w:r w:rsidRPr="005F6071">
      <w:rPr>
        <w:rFonts w:ascii="Calibri" w:hAnsi="Calibri" w:cs="Calibri"/>
        <w:sz w:val="20"/>
        <w:szCs w:val="20"/>
      </w:rPr>
      <w:t>SC64 Doc.9.4</w:t>
    </w:r>
    <w:r w:rsidR="006058B3" w:rsidRPr="005F6071">
      <w:rPr>
        <w:rFonts w:ascii="Calibri" w:hAnsi="Calibri" w:cs="Calibri"/>
        <w:sz w:val="20"/>
        <w:szCs w:val="20"/>
      </w:rPr>
      <w:tab/>
    </w:r>
    <w:r w:rsidR="006058B3" w:rsidRPr="005F6071">
      <w:rPr>
        <w:rFonts w:ascii="Calibri" w:hAnsi="Calibri" w:cs="Calibri"/>
        <w:sz w:val="20"/>
        <w:szCs w:val="20"/>
      </w:rPr>
      <w:tab/>
    </w:r>
    <w:r w:rsidR="006058B3" w:rsidRPr="005F6071">
      <w:rPr>
        <w:rFonts w:ascii="Calibri" w:hAnsi="Calibri" w:cs="Calibri"/>
        <w:sz w:val="20"/>
        <w:szCs w:val="20"/>
      </w:rPr>
      <w:fldChar w:fldCharType="begin"/>
    </w:r>
    <w:r w:rsidR="006058B3" w:rsidRPr="005F6071">
      <w:rPr>
        <w:rFonts w:ascii="Calibri" w:hAnsi="Calibri" w:cs="Calibri"/>
        <w:sz w:val="20"/>
        <w:szCs w:val="20"/>
      </w:rPr>
      <w:instrText xml:space="preserve"> PAGE   \* MERGEFORMAT </w:instrText>
    </w:r>
    <w:r w:rsidR="006058B3" w:rsidRPr="005F6071">
      <w:rPr>
        <w:rFonts w:ascii="Calibri" w:hAnsi="Calibri" w:cs="Calibri"/>
        <w:sz w:val="20"/>
        <w:szCs w:val="20"/>
      </w:rPr>
      <w:fldChar w:fldCharType="separate"/>
    </w:r>
    <w:r w:rsidR="00165BEA" w:rsidRPr="005F6071">
      <w:rPr>
        <w:rFonts w:ascii="Calibri" w:hAnsi="Calibri" w:cs="Calibri"/>
        <w:noProof/>
        <w:sz w:val="20"/>
        <w:szCs w:val="20"/>
      </w:rPr>
      <w:t>4</w:t>
    </w:r>
    <w:r w:rsidR="006058B3" w:rsidRPr="005F6071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8939" w14:textId="1E934E98" w:rsidR="00024100" w:rsidRPr="006058B3" w:rsidRDefault="00024100" w:rsidP="00024100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="00B44420">
      <w:rPr>
        <w:rFonts w:asciiTheme="minorHAnsi" w:hAnsiTheme="minorHAnsi" w:cstheme="minorHAnsi"/>
        <w:sz w:val="20"/>
        <w:szCs w:val="20"/>
      </w:rPr>
      <w:t xml:space="preserve"> Rev.1</w:t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fldChar w:fldCharType="begin"/>
    </w:r>
    <w:r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67BF4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4</w:t>
    </w:r>
    <w:r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4D91" w14:textId="77777777" w:rsidR="0075440F" w:rsidRDefault="0075440F" w:rsidP="006058B3">
      <w:r>
        <w:separator/>
      </w:r>
    </w:p>
  </w:footnote>
  <w:footnote w:type="continuationSeparator" w:id="0">
    <w:p w14:paraId="1F0947C4" w14:textId="77777777" w:rsidR="0075440F" w:rsidRDefault="0075440F" w:rsidP="006058B3">
      <w:r>
        <w:continuationSeparator/>
      </w:r>
    </w:p>
  </w:footnote>
  <w:footnote w:type="continuationNotice" w:id="1">
    <w:p w14:paraId="689B7035" w14:textId="77777777" w:rsidR="0075440F" w:rsidRDefault="0075440F"/>
  </w:footnote>
  <w:footnote w:id="2">
    <w:p w14:paraId="0C1E6119" w14:textId="237E5D96" w:rsidR="00B44420" w:rsidRPr="00795A46" w:rsidRDefault="00B44420" w:rsidP="00B44420">
      <w:pPr>
        <w:pStyle w:val="FootnoteText"/>
        <w:ind w:left="0" w:firstLine="0"/>
        <w:rPr>
          <w:rFonts w:asciiTheme="minorHAnsi" w:hAnsiTheme="minorHAnsi" w:cstheme="minorHAnsi"/>
          <w:lang w:val="es-ES"/>
        </w:rPr>
      </w:pPr>
      <w:r w:rsidRPr="000E4489">
        <w:rPr>
          <w:rStyle w:val="FootnoteReference"/>
          <w:rFonts w:asciiTheme="minorHAnsi" w:hAnsiTheme="minorHAnsi" w:cstheme="minorHAnsi"/>
        </w:rPr>
        <w:footnoteRef/>
      </w:r>
      <w:r w:rsidRPr="00795A46">
        <w:rPr>
          <w:rFonts w:asciiTheme="minorHAnsi" w:hAnsiTheme="minorHAnsi" w:cstheme="minorHAnsi"/>
          <w:lang w:val="es-ES"/>
        </w:rPr>
        <w:t xml:space="preserve"> Revisado para actualizar la información sobre el documento </w:t>
      </w:r>
      <w:r w:rsidRPr="00795A46">
        <w:rPr>
          <w:rFonts w:asciiTheme="minorHAnsi" w:hAnsiTheme="minorHAnsi" w:cstheme="minorHAnsi"/>
          <w:color w:val="000000"/>
          <w:lang w:val="es-ES"/>
        </w:rPr>
        <w:t>SC64 Doc.29.9.</w:t>
      </w:r>
    </w:p>
  </w:footnote>
  <w:footnote w:id="3">
    <w:p w14:paraId="11905950" w14:textId="57F328D7" w:rsidR="006D5B6D" w:rsidRPr="00A763E6" w:rsidRDefault="006D5B6D" w:rsidP="006D5B6D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s-ES"/>
        </w:rPr>
      </w:pPr>
      <w:r w:rsidRPr="00024100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763E6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A34F7C" w:rsidRPr="00A763E6">
        <w:rPr>
          <w:rFonts w:asciiTheme="minorHAnsi" w:hAnsiTheme="minorHAnsi" w:cstheme="minorHAnsi"/>
          <w:sz w:val="20"/>
          <w:szCs w:val="20"/>
          <w:lang w:val="es-ES"/>
        </w:rPr>
        <w:t>En función de estos resultados y de la solución que elijan las Partes Contratantes, así como del número de Partes que recurran a este proceso, los cost</w:t>
      </w:r>
      <w:r w:rsidR="00D7128F" w:rsidRPr="00A763E6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A34F7C" w:rsidRPr="00A763E6">
        <w:rPr>
          <w:rFonts w:asciiTheme="minorHAnsi" w:hAnsiTheme="minorHAnsi" w:cstheme="minorHAnsi"/>
          <w:sz w:val="20"/>
          <w:szCs w:val="20"/>
          <w:lang w:val="es-ES"/>
        </w:rPr>
        <w:t xml:space="preserve">s de seguimiento sufrirán un incremento significativo (aún desconocido) en lo relativo a: </w:t>
      </w:r>
    </w:p>
    <w:p w14:paraId="69BF0024" w14:textId="157F7069" w:rsidR="006D5B6D" w:rsidRPr="006563F3" w:rsidRDefault="006563F3" w:rsidP="009D069A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es-ES"/>
        </w:rPr>
      </w:pP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Aplicación de la solución elegida; y</w:t>
      </w:r>
      <w:r>
        <w:rPr>
          <w:rStyle w:val="cf01"/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5F755A1D" w14:textId="17EA0F2C" w:rsidR="006D5B6D" w:rsidRPr="006563F3" w:rsidRDefault="006563F3" w:rsidP="006D5B6D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es-ES"/>
        </w:rPr>
      </w:pP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Cost</w:t>
      </w:r>
      <w:r w:rsidR="00D7128F">
        <w:rPr>
          <w:rStyle w:val="cf01"/>
          <w:rFonts w:asciiTheme="minorHAnsi" w:hAnsiTheme="minorHAnsi" w:cstheme="minorHAnsi"/>
          <w:sz w:val="20"/>
          <w:szCs w:val="20"/>
          <w:lang w:val="es-ES"/>
        </w:rPr>
        <w:t>o</w:t>
      </w:r>
      <w:r w:rsidRPr="006563F3">
        <w:rPr>
          <w:rStyle w:val="cf01"/>
          <w:rFonts w:asciiTheme="minorHAnsi" w:hAnsiTheme="minorHAnsi" w:cstheme="minorHAnsi"/>
          <w:sz w:val="20"/>
          <w:szCs w:val="20"/>
          <w:lang w:val="es-ES"/>
        </w:rPr>
        <w:t>s corrientes y tiempo de trabajo del personal para la transferencia de datos por país cuando este proceso no pueda realizarse de forma totalmente automatizada.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4"/>
    <w:multiLevelType w:val="hybridMultilevel"/>
    <w:tmpl w:val="EFD6AEC6"/>
    <w:lvl w:ilvl="0" w:tplc="DFA2C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21271EE"/>
    <w:multiLevelType w:val="multilevel"/>
    <w:tmpl w:val="EB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C2928"/>
    <w:multiLevelType w:val="hybridMultilevel"/>
    <w:tmpl w:val="5B6CD4C4"/>
    <w:lvl w:ilvl="0" w:tplc="07662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9A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0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FAB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9E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6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6F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72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A4C"/>
    <w:multiLevelType w:val="hybridMultilevel"/>
    <w:tmpl w:val="0FA448C8"/>
    <w:lvl w:ilvl="0" w:tplc="4656A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2">
    <w:abstractNumId w:val="2"/>
  </w:num>
  <w:num w:numId="2" w16cid:durableId="196754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665536">
    <w:abstractNumId w:val="5"/>
  </w:num>
  <w:num w:numId="4" w16cid:durableId="1447234255">
    <w:abstractNumId w:val="0"/>
  </w:num>
  <w:num w:numId="5" w16cid:durableId="495069920">
    <w:abstractNumId w:val="7"/>
  </w:num>
  <w:num w:numId="6" w16cid:durableId="864905750">
    <w:abstractNumId w:val="8"/>
  </w:num>
  <w:num w:numId="7" w16cid:durableId="904530687">
    <w:abstractNumId w:val="6"/>
  </w:num>
  <w:num w:numId="8" w16cid:durableId="178129411">
    <w:abstractNumId w:val="1"/>
  </w:num>
  <w:num w:numId="9" w16cid:durableId="258105016">
    <w:abstractNumId w:val="4"/>
  </w:num>
  <w:num w:numId="10" w16cid:durableId="6811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755C"/>
    <w:rsid w:val="00013636"/>
    <w:rsid w:val="000206E7"/>
    <w:rsid w:val="00022A0A"/>
    <w:rsid w:val="00024100"/>
    <w:rsid w:val="000250FF"/>
    <w:rsid w:val="000267EF"/>
    <w:rsid w:val="00027DBC"/>
    <w:rsid w:val="00034125"/>
    <w:rsid w:val="00037632"/>
    <w:rsid w:val="00040131"/>
    <w:rsid w:val="00046B52"/>
    <w:rsid w:val="00057413"/>
    <w:rsid w:val="00057932"/>
    <w:rsid w:val="00065171"/>
    <w:rsid w:val="00065B8F"/>
    <w:rsid w:val="00065C00"/>
    <w:rsid w:val="00072A4E"/>
    <w:rsid w:val="000737A0"/>
    <w:rsid w:val="00074DFF"/>
    <w:rsid w:val="00076CE7"/>
    <w:rsid w:val="00087E7E"/>
    <w:rsid w:val="00090B48"/>
    <w:rsid w:val="0009278A"/>
    <w:rsid w:val="000A5C2E"/>
    <w:rsid w:val="000A7F0C"/>
    <w:rsid w:val="000B5387"/>
    <w:rsid w:val="000C42CB"/>
    <w:rsid w:val="000C73F3"/>
    <w:rsid w:val="000D05D9"/>
    <w:rsid w:val="000D0626"/>
    <w:rsid w:val="000D277B"/>
    <w:rsid w:val="000E1CD1"/>
    <w:rsid w:val="000E4492"/>
    <w:rsid w:val="000E637A"/>
    <w:rsid w:val="000F55EE"/>
    <w:rsid w:val="000F6778"/>
    <w:rsid w:val="0011350A"/>
    <w:rsid w:val="001155B4"/>
    <w:rsid w:val="001158EA"/>
    <w:rsid w:val="0012196B"/>
    <w:rsid w:val="001353CD"/>
    <w:rsid w:val="00141784"/>
    <w:rsid w:val="001429CC"/>
    <w:rsid w:val="001438E6"/>
    <w:rsid w:val="00144492"/>
    <w:rsid w:val="00144C7A"/>
    <w:rsid w:val="001529FF"/>
    <w:rsid w:val="00152C0C"/>
    <w:rsid w:val="00155904"/>
    <w:rsid w:val="00165BEA"/>
    <w:rsid w:val="00173D3F"/>
    <w:rsid w:val="00174C19"/>
    <w:rsid w:val="00176FC9"/>
    <w:rsid w:val="001828C8"/>
    <w:rsid w:val="00184C60"/>
    <w:rsid w:val="00191A10"/>
    <w:rsid w:val="00192CDE"/>
    <w:rsid w:val="001A2A45"/>
    <w:rsid w:val="001A492D"/>
    <w:rsid w:val="001A624D"/>
    <w:rsid w:val="001B1070"/>
    <w:rsid w:val="001B1EDC"/>
    <w:rsid w:val="001B3EEB"/>
    <w:rsid w:val="001B5379"/>
    <w:rsid w:val="001B5CCD"/>
    <w:rsid w:val="001B6A31"/>
    <w:rsid w:val="001B6F33"/>
    <w:rsid w:val="001B7AB2"/>
    <w:rsid w:val="001C341F"/>
    <w:rsid w:val="001C4D6A"/>
    <w:rsid w:val="001D1CA4"/>
    <w:rsid w:val="001D5A0F"/>
    <w:rsid w:val="001E2AA0"/>
    <w:rsid w:val="001E2ECF"/>
    <w:rsid w:val="001E57F5"/>
    <w:rsid w:val="001F3BE1"/>
    <w:rsid w:val="001F488E"/>
    <w:rsid w:val="002039BA"/>
    <w:rsid w:val="00211F03"/>
    <w:rsid w:val="00214B41"/>
    <w:rsid w:val="00217FA7"/>
    <w:rsid w:val="00224BB3"/>
    <w:rsid w:val="002314AC"/>
    <w:rsid w:val="002332D4"/>
    <w:rsid w:val="002462A8"/>
    <w:rsid w:val="0025233F"/>
    <w:rsid w:val="00255F67"/>
    <w:rsid w:val="002646F3"/>
    <w:rsid w:val="00274B40"/>
    <w:rsid w:val="00275E30"/>
    <w:rsid w:val="0027767A"/>
    <w:rsid w:val="002864ED"/>
    <w:rsid w:val="00291588"/>
    <w:rsid w:val="00295E57"/>
    <w:rsid w:val="00295F80"/>
    <w:rsid w:val="002973CF"/>
    <w:rsid w:val="002A4E04"/>
    <w:rsid w:val="002A5383"/>
    <w:rsid w:val="002B2A41"/>
    <w:rsid w:val="002B3457"/>
    <w:rsid w:val="002B429F"/>
    <w:rsid w:val="002B6DE6"/>
    <w:rsid w:val="002C53DC"/>
    <w:rsid w:val="002C6100"/>
    <w:rsid w:val="002D293B"/>
    <w:rsid w:val="002D2B79"/>
    <w:rsid w:val="002E6839"/>
    <w:rsid w:val="002F3493"/>
    <w:rsid w:val="002F4875"/>
    <w:rsid w:val="00303D77"/>
    <w:rsid w:val="0030644A"/>
    <w:rsid w:val="00307B7E"/>
    <w:rsid w:val="00311716"/>
    <w:rsid w:val="003149A3"/>
    <w:rsid w:val="00314E01"/>
    <w:rsid w:val="00317FDC"/>
    <w:rsid w:val="00330AD3"/>
    <w:rsid w:val="00341934"/>
    <w:rsid w:val="00343274"/>
    <w:rsid w:val="00343A90"/>
    <w:rsid w:val="003501A9"/>
    <w:rsid w:val="003531A1"/>
    <w:rsid w:val="00354AB1"/>
    <w:rsid w:val="00354D36"/>
    <w:rsid w:val="003574E3"/>
    <w:rsid w:val="00357BF6"/>
    <w:rsid w:val="003637BE"/>
    <w:rsid w:val="00373D04"/>
    <w:rsid w:val="00377EF3"/>
    <w:rsid w:val="00384AA8"/>
    <w:rsid w:val="00387289"/>
    <w:rsid w:val="003902C7"/>
    <w:rsid w:val="003951B5"/>
    <w:rsid w:val="003963B3"/>
    <w:rsid w:val="003976C4"/>
    <w:rsid w:val="003A2B95"/>
    <w:rsid w:val="003B0100"/>
    <w:rsid w:val="003B0DA3"/>
    <w:rsid w:val="003B1847"/>
    <w:rsid w:val="003C17FF"/>
    <w:rsid w:val="003C5910"/>
    <w:rsid w:val="003C7167"/>
    <w:rsid w:val="003D55B0"/>
    <w:rsid w:val="003D6800"/>
    <w:rsid w:val="003D7C72"/>
    <w:rsid w:val="003E16E1"/>
    <w:rsid w:val="003E79DA"/>
    <w:rsid w:val="003F2340"/>
    <w:rsid w:val="003F63D8"/>
    <w:rsid w:val="004063DA"/>
    <w:rsid w:val="00406AF2"/>
    <w:rsid w:val="0042096E"/>
    <w:rsid w:val="00421460"/>
    <w:rsid w:val="004252C7"/>
    <w:rsid w:val="004312C3"/>
    <w:rsid w:val="00432BE5"/>
    <w:rsid w:val="00435A3A"/>
    <w:rsid w:val="004371F2"/>
    <w:rsid w:val="00443677"/>
    <w:rsid w:val="00444FF1"/>
    <w:rsid w:val="0044619B"/>
    <w:rsid w:val="00453CB9"/>
    <w:rsid w:val="00454246"/>
    <w:rsid w:val="004553B8"/>
    <w:rsid w:val="00456093"/>
    <w:rsid w:val="00460B12"/>
    <w:rsid w:val="00470762"/>
    <w:rsid w:val="00473C47"/>
    <w:rsid w:val="00480DDF"/>
    <w:rsid w:val="00482698"/>
    <w:rsid w:val="004848FA"/>
    <w:rsid w:val="004911DF"/>
    <w:rsid w:val="00491BEE"/>
    <w:rsid w:val="004A290F"/>
    <w:rsid w:val="004A5A53"/>
    <w:rsid w:val="004C12D8"/>
    <w:rsid w:val="004C343C"/>
    <w:rsid w:val="004C3AFC"/>
    <w:rsid w:val="004C6C80"/>
    <w:rsid w:val="004D5D77"/>
    <w:rsid w:val="004E0DB3"/>
    <w:rsid w:val="004E1D29"/>
    <w:rsid w:val="004E6D45"/>
    <w:rsid w:val="004F0C81"/>
    <w:rsid w:val="004F2362"/>
    <w:rsid w:val="004F2E7A"/>
    <w:rsid w:val="004F7BE5"/>
    <w:rsid w:val="004F7E98"/>
    <w:rsid w:val="00503DDE"/>
    <w:rsid w:val="00505301"/>
    <w:rsid w:val="005069A3"/>
    <w:rsid w:val="00506D48"/>
    <w:rsid w:val="005078BB"/>
    <w:rsid w:val="0051038A"/>
    <w:rsid w:val="005114E8"/>
    <w:rsid w:val="00524FEB"/>
    <w:rsid w:val="00531DE3"/>
    <w:rsid w:val="0053410E"/>
    <w:rsid w:val="00535F9D"/>
    <w:rsid w:val="00546EFD"/>
    <w:rsid w:val="005513F0"/>
    <w:rsid w:val="00557311"/>
    <w:rsid w:val="00557635"/>
    <w:rsid w:val="00560682"/>
    <w:rsid w:val="005615E2"/>
    <w:rsid w:val="00561CB9"/>
    <w:rsid w:val="005653D8"/>
    <w:rsid w:val="00576098"/>
    <w:rsid w:val="0058153D"/>
    <w:rsid w:val="00582243"/>
    <w:rsid w:val="005855E2"/>
    <w:rsid w:val="00586AA0"/>
    <w:rsid w:val="00591F47"/>
    <w:rsid w:val="00594A88"/>
    <w:rsid w:val="00594ED0"/>
    <w:rsid w:val="005A19A6"/>
    <w:rsid w:val="005A3E31"/>
    <w:rsid w:val="005A5742"/>
    <w:rsid w:val="005B0A8B"/>
    <w:rsid w:val="005B7233"/>
    <w:rsid w:val="005C0613"/>
    <w:rsid w:val="005C4417"/>
    <w:rsid w:val="005C4558"/>
    <w:rsid w:val="005C567F"/>
    <w:rsid w:val="005C6528"/>
    <w:rsid w:val="005D106B"/>
    <w:rsid w:val="005D3A14"/>
    <w:rsid w:val="005F0984"/>
    <w:rsid w:val="005F6071"/>
    <w:rsid w:val="005F6616"/>
    <w:rsid w:val="00601430"/>
    <w:rsid w:val="00604BAD"/>
    <w:rsid w:val="006058B3"/>
    <w:rsid w:val="00630146"/>
    <w:rsid w:val="00630704"/>
    <w:rsid w:val="006320E6"/>
    <w:rsid w:val="00632664"/>
    <w:rsid w:val="00634417"/>
    <w:rsid w:val="00644727"/>
    <w:rsid w:val="00644C1D"/>
    <w:rsid w:val="006451A9"/>
    <w:rsid w:val="006476AB"/>
    <w:rsid w:val="00647DCF"/>
    <w:rsid w:val="006546B1"/>
    <w:rsid w:val="006563F3"/>
    <w:rsid w:val="00657F96"/>
    <w:rsid w:val="00660359"/>
    <w:rsid w:val="00663013"/>
    <w:rsid w:val="0066368E"/>
    <w:rsid w:val="00663E0C"/>
    <w:rsid w:val="0067141B"/>
    <w:rsid w:val="0067358E"/>
    <w:rsid w:val="0067460B"/>
    <w:rsid w:val="0068240A"/>
    <w:rsid w:val="00683AAA"/>
    <w:rsid w:val="00685785"/>
    <w:rsid w:val="00686267"/>
    <w:rsid w:val="006870A3"/>
    <w:rsid w:val="006948DC"/>
    <w:rsid w:val="00695535"/>
    <w:rsid w:val="00696FF1"/>
    <w:rsid w:val="006978F0"/>
    <w:rsid w:val="006A5172"/>
    <w:rsid w:val="006A54D8"/>
    <w:rsid w:val="006A54E9"/>
    <w:rsid w:val="006A7C44"/>
    <w:rsid w:val="006B02CA"/>
    <w:rsid w:val="006B103E"/>
    <w:rsid w:val="006B1EC5"/>
    <w:rsid w:val="006B3286"/>
    <w:rsid w:val="006B507F"/>
    <w:rsid w:val="006B72AF"/>
    <w:rsid w:val="006C41F6"/>
    <w:rsid w:val="006D3F0C"/>
    <w:rsid w:val="006D5B6D"/>
    <w:rsid w:val="006D7718"/>
    <w:rsid w:val="006E1698"/>
    <w:rsid w:val="006E56DC"/>
    <w:rsid w:val="006F0610"/>
    <w:rsid w:val="006F29D1"/>
    <w:rsid w:val="006F30DC"/>
    <w:rsid w:val="006F48CA"/>
    <w:rsid w:val="00701F07"/>
    <w:rsid w:val="00703BDC"/>
    <w:rsid w:val="007068E2"/>
    <w:rsid w:val="007114C9"/>
    <w:rsid w:val="00713A51"/>
    <w:rsid w:val="007236A2"/>
    <w:rsid w:val="007350D4"/>
    <w:rsid w:val="00743F7A"/>
    <w:rsid w:val="0074505F"/>
    <w:rsid w:val="00746135"/>
    <w:rsid w:val="00750225"/>
    <w:rsid w:val="0075440F"/>
    <w:rsid w:val="007557D5"/>
    <w:rsid w:val="0075712F"/>
    <w:rsid w:val="007656E7"/>
    <w:rsid w:val="00772756"/>
    <w:rsid w:val="00772E80"/>
    <w:rsid w:val="00773024"/>
    <w:rsid w:val="00773C97"/>
    <w:rsid w:val="007777BD"/>
    <w:rsid w:val="00780AFD"/>
    <w:rsid w:val="00785555"/>
    <w:rsid w:val="007910A9"/>
    <w:rsid w:val="00791F0A"/>
    <w:rsid w:val="0079354C"/>
    <w:rsid w:val="00794E4F"/>
    <w:rsid w:val="00795A46"/>
    <w:rsid w:val="00795C6E"/>
    <w:rsid w:val="00797CBB"/>
    <w:rsid w:val="007A26F0"/>
    <w:rsid w:val="007A38D2"/>
    <w:rsid w:val="007A3DCA"/>
    <w:rsid w:val="007A4DE6"/>
    <w:rsid w:val="007A58EA"/>
    <w:rsid w:val="007B138B"/>
    <w:rsid w:val="007B2EAC"/>
    <w:rsid w:val="007B4B87"/>
    <w:rsid w:val="007B548D"/>
    <w:rsid w:val="007B7A16"/>
    <w:rsid w:val="007C36A8"/>
    <w:rsid w:val="007F15B5"/>
    <w:rsid w:val="007F382B"/>
    <w:rsid w:val="007F7A6A"/>
    <w:rsid w:val="007F7C24"/>
    <w:rsid w:val="007F7F60"/>
    <w:rsid w:val="008047D8"/>
    <w:rsid w:val="00805127"/>
    <w:rsid w:val="00807C3B"/>
    <w:rsid w:val="008116CB"/>
    <w:rsid w:val="00817AF6"/>
    <w:rsid w:val="00821B90"/>
    <w:rsid w:val="00822E22"/>
    <w:rsid w:val="0083180C"/>
    <w:rsid w:val="00836398"/>
    <w:rsid w:val="008363CE"/>
    <w:rsid w:val="00853A4C"/>
    <w:rsid w:val="00856950"/>
    <w:rsid w:val="00857CD6"/>
    <w:rsid w:val="00863D03"/>
    <w:rsid w:val="0086554B"/>
    <w:rsid w:val="0086687C"/>
    <w:rsid w:val="00870A47"/>
    <w:rsid w:val="00873BE1"/>
    <w:rsid w:val="00885247"/>
    <w:rsid w:val="00886642"/>
    <w:rsid w:val="0089103F"/>
    <w:rsid w:val="008952D7"/>
    <w:rsid w:val="00896489"/>
    <w:rsid w:val="008964BB"/>
    <w:rsid w:val="008A1B89"/>
    <w:rsid w:val="008B01BC"/>
    <w:rsid w:val="008B29F2"/>
    <w:rsid w:val="008B5B80"/>
    <w:rsid w:val="008B6904"/>
    <w:rsid w:val="008B7DC2"/>
    <w:rsid w:val="008C1D57"/>
    <w:rsid w:val="008C2764"/>
    <w:rsid w:val="008C4264"/>
    <w:rsid w:val="008D0CC8"/>
    <w:rsid w:val="008D0D24"/>
    <w:rsid w:val="008D1C4F"/>
    <w:rsid w:val="008D7EB3"/>
    <w:rsid w:val="008E5AAB"/>
    <w:rsid w:val="008F2E14"/>
    <w:rsid w:val="00902C42"/>
    <w:rsid w:val="00905A09"/>
    <w:rsid w:val="00906AAE"/>
    <w:rsid w:val="00910559"/>
    <w:rsid w:val="00914C3B"/>
    <w:rsid w:val="009229F3"/>
    <w:rsid w:val="00922CF5"/>
    <w:rsid w:val="00924DFD"/>
    <w:rsid w:val="00932E90"/>
    <w:rsid w:val="00935BB2"/>
    <w:rsid w:val="00943A3D"/>
    <w:rsid w:val="00943E75"/>
    <w:rsid w:val="00947F9A"/>
    <w:rsid w:val="00954F0A"/>
    <w:rsid w:val="00956B48"/>
    <w:rsid w:val="00960912"/>
    <w:rsid w:val="00963A63"/>
    <w:rsid w:val="00967BF4"/>
    <w:rsid w:val="00970144"/>
    <w:rsid w:val="00970AA9"/>
    <w:rsid w:val="0097291E"/>
    <w:rsid w:val="00973990"/>
    <w:rsid w:val="0097657A"/>
    <w:rsid w:val="00984032"/>
    <w:rsid w:val="0098508D"/>
    <w:rsid w:val="009935C4"/>
    <w:rsid w:val="009978A7"/>
    <w:rsid w:val="009A1562"/>
    <w:rsid w:val="009A4362"/>
    <w:rsid w:val="009A609E"/>
    <w:rsid w:val="009B10DA"/>
    <w:rsid w:val="009B2C8F"/>
    <w:rsid w:val="009B3696"/>
    <w:rsid w:val="009B687A"/>
    <w:rsid w:val="009B769F"/>
    <w:rsid w:val="009C1E4F"/>
    <w:rsid w:val="009C1F9B"/>
    <w:rsid w:val="009C2384"/>
    <w:rsid w:val="009C24AD"/>
    <w:rsid w:val="009C3959"/>
    <w:rsid w:val="009C4474"/>
    <w:rsid w:val="009C6711"/>
    <w:rsid w:val="009D3818"/>
    <w:rsid w:val="009D4F79"/>
    <w:rsid w:val="009D6313"/>
    <w:rsid w:val="009E03EE"/>
    <w:rsid w:val="009E09E2"/>
    <w:rsid w:val="009E159F"/>
    <w:rsid w:val="009F7BC2"/>
    <w:rsid w:val="00A01347"/>
    <w:rsid w:val="00A01851"/>
    <w:rsid w:val="00A051F2"/>
    <w:rsid w:val="00A06715"/>
    <w:rsid w:val="00A1080E"/>
    <w:rsid w:val="00A10B27"/>
    <w:rsid w:val="00A12875"/>
    <w:rsid w:val="00A13239"/>
    <w:rsid w:val="00A156E5"/>
    <w:rsid w:val="00A2244A"/>
    <w:rsid w:val="00A24454"/>
    <w:rsid w:val="00A26DC8"/>
    <w:rsid w:val="00A32562"/>
    <w:rsid w:val="00A3276C"/>
    <w:rsid w:val="00A34F7C"/>
    <w:rsid w:val="00A37A40"/>
    <w:rsid w:val="00A40951"/>
    <w:rsid w:val="00A451D1"/>
    <w:rsid w:val="00A4559E"/>
    <w:rsid w:val="00A46A05"/>
    <w:rsid w:val="00A50A28"/>
    <w:rsid w:val="00A52A09"/>
    <w:rsid w:val="00A60EDD"/>
    <w:rsid w:val="00A64F64"/>
    <w:rsid w:val="00A66157"/>
    <w:rsid w:val="00A66527"/>
    <w:rsid w:val="00A72BC9"/>
    <w:rsid w:val="00A75060"/>
    <w:rsid w:val="00A7626E"/>
    <w:rsid w:val="00A763E6"/>
    <w:rsid w:val="00A7752F"/>
    <w:rsid w:val="00A82FE8"/>
    <w:rsid w:val="00AA2EDD"/>
    <w:rsid w:val="00AA3B37"/>
    <w:rsid w:val="00AB00C2"/>
    <w:rsid w:val="00AB60B1"/>
    <w:rsid w:val="00AC138B"/>
    <w:rsid w:val="00AC56C4"/>
    <w:rsid w:val="00AD0037"/>
    <w:rsid w:val="00AD2236"/>
    <w:rsid w:val="00AE0369"/>
    <w:rsid w:val="00AE560D"/>
    <w:rsid w:val="00AE6055"/>
    <w:rsid w:val="00AE7B3F"/>
    <w:rsid w:val="00AF16B4"/>
    <w:rsid w:val="00AF1A7C"/>
    <w:rsid w:val="00AF25A0"/>
    <w:rsid w:val="00AF2AEF"/>
    <w:rsid w:val="00AF2D24"/>
    <w:rsid w:val="00AF3FB2"/>
    <w:rsid w:val="00B0040F"/>
    <w:rsid w:val="00B02590"/>
    <w:rsid w:val="00B10629"/>
    <w:rsid w:val="00B13C46"/>
    <w:rsid w:val="00B1462E"/>
    <w:rsid w:val="00B17F01"/>
    <w:rsid w:val="00B20630"/>
    <w:rsid w:val="00B21D00"/>
    <w:rsid w:val="00B25366"/>
    <w:rsid w:val="00B304E0"/>
    <w:rsid w:val="00B33745"/>
    <w:rsid w:val="00B42E2D"/>
    <w:rsid w:val="00B44012"/>
    <w:rsid w:val="00B44420"/>
    <w:rsid w:val="00B50635"/>
    <w:rsid w:val="00B50B70"/>
    <w:rsid w:val="00B52184"/>
    <w:rsid w:val="00B556D3"/>
    <w:rsid w:val="00B61F9A"/>
    <w:rsid w:val="00B62685"/>
    <w:rsid w:val="00B64C7E"/>
    <w:rsid w:val="00B65264"/>
    <w:rsid w:val="00B77C89"/>
    <w:rsid w:val="00B82B82"/>
    <w:rsid w:val="00B952CC"/>
    <w:rsid w:val="00B9629C"/>
    <w:rsid w:val="00BA0B46"/>
    <w:rsid w:val="00BA3A1E"/>
    <w:rsid w:val="00BB0025"/>
    <w:rsid w:val="00BB61DD"/>
    <w:rsid w:val="00BC0610"/>
    <w:rsid w:val="00BC31BC"/>
    <w:rsid w:val="00BC5325"/>
    <w:rsid w:val="00BC7F81"/>
    <w:rsid w:val="00BD2193"/>
    <w:rsid w:val="00BD37B4"/>
    <w:rsid w:val="00BD6E03"/>
    <w:rsid w:val="00BE0188"/>
    <w:rsid w:val="00BE2889"/>
    <w:rsid w:val="00BE4075"/>
    <w:rsid w:val="00BE4FAE"/>
    <w:rsid w:val="00BF7B9F"/>
    <w:rsid w:val="00C216DF"/>
    <w:rsid w:val="00C234AA"/>
    <w:rsid w:val="00C30C01"/>
    <w:rsid w:val="00C32315"/>
    <w:rsid w:val="00C35423"/>
    <w:rsid w:val="00C36260"/>
    <w:rsid w:val="00C36EC2"/>
    <w:rsid w:val="00C41747"/>
    <w:rsid w:val="00C56C0A"/>
    <w:rsid w:val="00C63E7B"/>
    <w:rsid w:val="00C6401E"/>
    <w:rsid w:val="00C648EB"/>
    <w:rsid w:val="00C659A9"/>
    <w:rsid w:val="00C65B97"/>
    <w:rsid w:val="00C71DB1"/>
    <w:rsid w:val="00C728C8"/>
    <w:rsid w:val="00C72F5E"/>
    <w:rsid w:val="00C73A6B"/>
    <w:rsid w:val="00C74CF6"/>
    <w:rsid w:val="00C763DD"/>
    <w:rsid w:val="00C76D46"/>
    <w:rsid w:val="00C77920"/>
    <w:rsid w:val="00C81384"/>
    <w:rsid w:val="00C87BC6"/>
    <w:rsid w:val="00C945FD"/>
    <w:rsid w:val="00C95B67"/>
    <w:rsid w:val="00CA19C8"/>
    <w:rsid w:val="00CA1B42"/>
    <w:rsid w:val="00CA43DA"/>
    <w:rsid w:val="00CA73B0"/>
    <w:rsid w:val="00CA79E2"/>
    <w:rsid w:val="00CB67BF"/>
    <w:rsid w:val="00CC14FE"/>
    <w:rsid w:val="00CD231D"/>
    <w:rsid w:val="00CD30D4"/>
    <w:rsid w:val="00CD492B"/>
    <w:rsid w:val="00CD5358"/>
    <w:rsid w:val="00CD5F72"/>
    <w:rsid w:val="00CF2186"/>
    <w:rsid w:val="00D037EC"/>
    <w:rsid w:val="00D04785"/>
    <w:rsid w:val="00D07F73"/>
    <w:rsid w:val="00D1132B"/>
    <w:rsid w:val="00D22D6F"/>
    <w:rsid w:val="00D300FB"/>
    <w:rsid w:val="00D37C9C"/>
    <w:rsid w:val="00D415F5"/>
    <w:rsid w:val="00D42DBD"/>
    <w:rsid w:val="00D458F6"/>
    <w:rsid w:val="00D52B3E"/>
    <w:rsid w:val="00D5325E"/>
    <w:rsid w:val="00D644E3"/>
    <w:rsid w:val="00D64AD1"/>
    <w:rsid w:val="00D705EF"/>
    <w:rsid w:val="00D70864"/>
    <w:rsid w:val="00D7128F"/>
    <w:rsid w:val="00D85DFB"/>
    <w:rsid w:val="00D86190"/>
    <w:rsid w:val="00D86598"/>
    <w:rsid w:val="00D86EB0"/>
    <w:rsid w:val="00D926EF"/>
    <w:rsid w:val="00D92869"/>
    <w:rsid w:val="00D9355B"/>
    <w:rsid w:val="00D953C7"/>
    <w:rsid w:val="00DB0082"/>
    <w:rsid w:val="00DB0725"/>
    <w:rsid w:val="00DB22E7"/>
    <w:rsid w:val="00DB4D70"/>
    <w:rsid w:val="00DC0AFC"/>
    <w:rsid w:val="00DF1EBC"/>
    <w:rsid w:val="00DF3152"/>
    <w:rsid w:val="00DF5A3E"/>
    <w:rsid w:val="00E00002"/>
    <w:rsid w:val="00E029E1"/>
    <w:rsid w:val="00E04898"/>
    <w:rsid w:val="00E06C17"/>
    <w:rsid w:val="00E06E63"/>
    <w:rsid w:val="00E07995"/>
    <w:rsid w:val="00E101A9"/>
    <w:rsid w:val="00E11391"/>
    <w:rsid w:val="00E122ED"/>
    <w:rsid w:val="00E14014"/>
    <w:rsid w:val="00E150BD"/>
    <w:rsid w:val="00E23793"/>
    <w:rsid w:val="00E25AA5"/>
    <w:rsid w:val="00E33D92"/>
    <w:rsid w:val="00E414F3"/>
    <w:rsid w:val="00E414F9"/>
    <w:rsid w:val="00E41D81"/>
    <w:rsid w:val="00E4593D"/>
    <w:rsid w:val="00E507B6"/>
    <w:rsid w:val="00E53DFC"/>
    <w:rsid w:val="00E55735"/>
    <w:rsid w:val="00E5772D"/>
    <w:rsid w:val="00E57E6C"/>
    <w:rsid w:val="00E62E1A"/>
    <w:rsid w:val="00E635E8"/>
    <w:rsid w:val="00E64FC1"/>
    <w:rsid w:val="00E67184"/>
    <w:rsid w:val="00E70C14"/>
    <w:rsid w:val="00E74ED7"/>
    <w:rsid w:val="00E9062A"/>
    <w:rsid w:val="00E959E6"/>
    <w:rsid w:val="00E95E62"/>
    <w:rsid w:val="00E973B2"/>
    <w:rsid w:val="00EA3584"/>
    <w:rsid w:val="00EB248D"/>
    <w:rsid w:val="00EB3007"/>
    <w:rsid w:val="00EB5FFE"/>
    <w:rsid w:val="00EC0046"/>
    <w:rsid w:val="00EC77A7"/>
    <w:rsid w:val="00ED2DDD"/>
    <w:rsid w:val="00ED3C9E"/>
    <w:rsid w:val="00ED6FAF"/>
    <w:rsid w:val="00EE0EEE"/>
    <w:rsid w:val="00EE11FB"/>
    <w:rsid w:val="00EF1AAE"/>
    <w:rsid w:val="00EF368A"/>
    <w:rsid w:val="00EF798D"/>
    <w:rsid w:val="00F00776"/>
    <w:rsid w:val="00F022D4"/>
    <w:rsid w:val="00F04CFC"/>
    <w:rsid w:val="00F11666"/>
    <w:rsid w:val="00F12993"/>
    <w:rsid w:val="00F14174"/>
    <w:rsid w:val="00F14C21"/>
    <w:rsid w:val="00F1563F"/>
    <w:rsid w:val="00F2301C"/>
    <w:rsid w:val="00F377DB"/>
    <w:rsid w:val="00F40DCA"/>
    <w:rsid w:val="00F43027"/>
    <w:rsid w:val="00F44FBF"/>
    <w:rsid w:val="00F44FC7"/>
    <w:rsid w:val="00F45A80"/>
    <w:rsid w:val="00F5204D"/>
    <w:rsid w:val="00F536C7"/>
    <w:rsid w:val="00F61E9D"/>
    <w:rsid w:val="00F62379"/>
    <w:rsid w:val="00F62BA6"/>
    <w:rsid w:val="00F81316"/>
    <w:rsid w:val="00F86F5D"/>
    <w:rsid w:val="00F87343"/>
    <w:rsid w:val="00F908A2"/>
    <w:rsid w:val="00F935F0"/>
    <w:rsid w:val="00FA00BF"/>
    <w:rsid w:val="00FA2095"/>
    <w:rsid w:val="00FB7720"/>
    <w:rsid w:val="00FB7FA9"/>
    <w:rsid w:val="00FC3682"/>
    <w:rsid w:val="00FC5F91"/>
    <w:rsid w:val="00FD282B"/>
    <w:rsid w:val="00FE29D2"/>
    <w:rsid w:val="00FE3101"/>
    <w:rsid w:val="00FE63C6"/>
    <w:rsid w:val="00FE782B"/>
    <w:rsid w:val="00FF1427"/>
    <w:rsid w:val="00FF5278"/>
    <w:rsid w:val="04520C2B"/>
    <w:rsid w:val="075C622F"/>
    <w:rsid w:val="0A8839F6"/>
    <w:rsid w:val="0B73F745"/>
    <w:rsid w:val="0DCD5289"/>
    <w:rsid w:val="10C2BDC6"/>
    <w:rsid w:val="12505C78"/>
    <w:rsid w:val="157E0DE0"/>
    <w:rsid w:val="176FD7FB"/>
    <w:rsid w:val="17C6AB0E"/>
    <w:rsid w:val="1AC4E8F7"/>
    <w:rsid w:val="1C3527B9"/>
    <w:rsid w:val="1E1A0332"/>
    <w:rsid w:val="219BF58B"/>
    <w:rsid w:val="2537BBFA"/>
    <w:rsid w:val="259C3A9A"/>
    <w:rsid w:val="27783726"/>
    <w:rsid w:val="2804A4E5"/>
    <w:rsid w:val="2946F080"/>
    <w:rsid w:val="2A121BDB"/>
    <w:rsid w:val="2C86F877"/>
    <w:rsid w:val="31147CE0"/>
    <w:rsid w:val="32519387"/>
    <w:rsid w:val="32DD6100"/>
    <w:rsid w:val="331A9700"/>
    <w:rsid w:val="33937F6C"/>
    <w:rsid w:val="354F04EC"/>
    <w:rsid w:val="3937A391"/>
    <w:rsid w:val="39E4EF57"/>
    <w:rsid w:val="3CC8423E"/>
    <w:rsid w:val="3D2F2810"/>
    <w:rsid w:val="433AD6BA"/>
    <w:rsid w:val="4687895F"/>
    <w:rsid w:val="47CDFE57"/>
    <w:rsid w:val="494714A7"/>
    <w:rsid w:val="4A17BD9F"/>
    <w:rsid w:val="4D2BD01F"/>
    <w:rsid w:val="57145B48"/>
    <w:rsid w:val="57C7C723"/>
    <w:rsid w:val="58473FDC"/>
    <w:rsid w:val="5A35EEB3"/>
    <w:rsid w:val="5BD4E01E"/>
    <w:rsid w:val="5EBA9845"/>
    <w:rsid w:val="64AA7E76"/>
    <w:rsid w:val="65F28222"/>
    <w:rsid w:val="67E62FB7"/>
    <w:rsid w:val="694814B9"/>
    <w:rsid w:val="6D11CDF7"/>
    <w:rsid w:val="73CC1007"/>
    <w:rsid w:val="765C114D"/>
    <w:rsid w:val="7AA4E65D"/>
    <w:rsid w:val="7D665BDF"/>
    <w:rsid w:val="7F68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2A6"/>
  <w15:chartTrackingRefBased/>
  <w15:docId w15:val="{C0B3A9D7-F769-4EFD-8889-A3B317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2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uiPriority w:val="99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70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870A3"/>
    <w:rPr>
      <w:vertAlign w:val="superscript"/>
    </w:rPr>
  </w:style>
  <w:style w:type="paragraph" w:customStyle="1" w:styleId="pf1">
    <w:name w:val="pf1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paragraph" w:customStyle="1" w:styleId="pf0">
    <w:name w:val="pf0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character" w:customStyle="1" w:styleId="cf01">
    <w:name w:val="cf01"/>
    <w:basedOn w:val="DefaultParagraphFont"/>
    <w:rsid w:val="006870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F06C2-A773-4AD3-A05C-458A023A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9F202-1F11-4414-8194-32B0AACF2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EA916-19D4-4B41-800A-1B7C448A1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71A80-3EB5-4641-8AA9-F2C9D0472A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1469</Words>
  <Characters>8377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2025-01-13T13:54:00Z</dcterms:created>
  <dcterms:modified xsi:type="dcterms:W3CDTF">2025-01-13T13:54:00Z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