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77777777"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6843FCC2"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84601B">
        <w:rPr>
          <w:bCs/>
        </w:rPr>
        <w:t>4th</w:t>
      </w:r>
      <w:r w:rsidRPr="0089282D">
        <w:rPr>
          <w:bCs/>
        </w:rPr>
        <w:t xml:space="preserve"> meeting of the Standing Committee</w:t>
      </w:r>
    </w:p>
    <w:p w14:paraId="7B85DB9F" w14:textId="2D906FDF" w:rsidR="00814ACF" w:rsidRPr="00A3543C"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en-US"/>
        </w:rPr>
      </w:pPr>
      <w:r w:rsidRPr="00A3543C">
        <w:rPr>
          <w:bCs/>
          <w:lang w:val="en-US"/>
        </w:rPr>
        <w:t xml:space="preserve">Gland, Switzerland, </w:t>
      </w:r>
      <w:r w:rsidR="0084601B" w:rsidRPr="00A3543C">
        <w:rPr>
          <w:bCs/>
          <w:lang w:val="en-US"/>
        </w:rPr>
        <w:t>20</w:t>
      </w:r>
      <w:r w:rsidR="00975023" w:rsidRPr="00A3543C">
        <w:rPr>
          <w:bCs/>
          <w:lang w:val="en-US"/>
        </w:rPr>
        <w:t>-</w:t>
      </w:r>
      <w:r w:rsidR="0084601B" w:rsidRPr="00A3543C">
        <w:rPr>
          <w:bCs/>
          <w:lang w:val="en-US"/>
        </w:rPr>
        <w:t>24</w:t>
      </w:r>
      <w:r w:rsidRPr="00A3543C">
        <w:rPr>
          <w:bCs/>
          <w:lang w:val="en-US"/>
        </w:rPr>
        <w:t xml:space="preserve"> </w:t>
      </w:r>
      <w:r w:rsidR="0084601B" w:rsidRPr="00A3543C">
        <w:rPr>
          <w:bCs/>
          <w:lang w:val="en-US"/>
        </w:rPr>
        <w:t>January</w:t>
      </w:r>
      <w:r w:rsidR="00975023" w:rsidRPr="00A3543C">
        <w:rPr>
          <w:bCs/>
          <w:lang w:val="en-US"/>
        </w:rPr>
        <w:t xml:space="preserve"> 202</w:t>
      </w:r>
      <w:r w:rsidR="0084601B" w:rsidRPr="00A3543C">
        <w:rPr>
          <w:bCs/>
          <w:lang w:val="en-US"/>
        </w:rPr>
        <w:t>5</w:t>
      </w:r>
    </w:p>
    <w:p w14:paraId="18B91B93" w14:textId="77777777" w:rsidR="00135706" w:rsidRDefault="00135706" w:rsidP="006457B7">
      <w:pPr>
        <w:spacing w:after="0" w:line="240" w:lineRule="auto"/>
        <w:rPr>
          <w:rFonts w:cstheme="minorHAnsi"/>
          <w:b/>
          <w:sz w:val="28"/>
          <w:szCs w:val="28"/>
          <w:lang w:val="en-US"/>
        </w:rPr>
      </w:pPr>
    </w:p>
    <w:p w14:paraId="72FDCDD4" w14:textId="13475F42" w:rsidR="00D52AB9" w:rsidRPr="00A3543C" w:rsidRDefault="00D52AB9" w:rsidP="006457B7">
      <w:pPr>
        <w:spacing w:after="0" w:line="240" w:lineRule="auto"/>
        <w:rPr>
          <w:rFonts w:cstheme="minorHAnsi"/>
          <w:b/>
          <w:sz w:val="28"/>
          <w:szCs w:val="28"/>
          <w:lang w:val="en-US"/>
        </w:rPr>
      </w:pPr>
    </w:p>
    <w:p w14:paraId="2A4F478B" w14:textId="69D780AF" w:rsidR="00814ACF" w:rsidRDefault="00D52AB9" w:rsidP="006457B7">
      <w:pPr>
        <w:spacing w:after="0" w:line="240" w:lineRule="auto"/>
        <w:jc w:val="center"/>
        <w:rPr>
          <w:rFonts w:cstheme="minorHAnsi"/>
          <w:b/>
          <w:sz w:val="28"/>
          <w:szCs w:val="28"/>
        </w:rPr>
      </w:pPr>
      <w:r w:rsidRPr="00D52AB9">
        <w:rPr>
          <w:rFonts w:cstheme="minorHAnsi"/>
          <w:b/>
          <w:sz w:val="28"/>
          <w:szCs w:val="28"/>
          <w:lang w:val="en-US"/>
        </w:rPr>
        <w:t xml:space="preserve">Decisions of the </w:t>
      </w:r>
      <w:r w:rsidR="006F3191" w:rsidRPr="00D52AB9">
        <w:rPr>
          <w:rFonts w:cstheme="minorHAnsi"/>
          <w:b/>
          <w:sz w:val="28"/>
          <w:szCs w:val="28"/>
          <w:lang w:val="en-US"/>
        </w:rPr>
        <w:t>6</w:t>
      </w:r>
      <w:r w:rsidR="006F3191">
        <w:rPr>
          <w:rFonts w:cstheme="minorHAnsi"/>
          <w:b/>
          <w:sz w:val="28"/>
          <w:szCs w:val="28"/>
          <w:lang w:val="en-US"/>
        </w:rPr>
        <w:t>4th</w:t>
      </w:r>
      <w:r w:rsidR="006F3191" w:rsidRPr="00D52AB9">
        <w:rPr>
          <w:rFonts w:cstheme="minorHAnsi"/>
          <w:b/>
          <w:sz w:val="28"/>
          <w:szCs w:val="28"/>
          <w:lang w:val="en-US"/>
        </w:rPr>
        <w:t xml:space="preserve"> </w:t>
      </w:r>
      <w:r>
        <w:rPr>
          <w:rFonts w:cstheme="minorHAnsi"/>
          <w:b/>
          <w:sz w:val="28"/>
          <w:szCs w:val="28"/>
          <w:lang w:val="en-US"/>
        </w:rPr>
        <w:t>m</w:t>
      </w:r>
      <w:r w:rsidRPr="00D52AB9">
        <w:rPr>
          <w:rFonts w:cstheme="minorHAnsi"/>
          <w:b/>
          <w:sz w:val="28"/>
          <w:szCs w:val="28"/>
          <w:lang w:val="en-US"/>
        </w:rPr>
        <w:t>eeting</w:t>
      </w:r>
      <w:r w:rsidR="00AB13D6">
        <w:rPr>
          <w:rFonts w:cstheme="minorHAnsi"/>
          <w:b/>
          <w:sz w:val="28"/>
          <w:szCs w:val="28"/>
          <w:lang w:val="en-US"/>
        </w:rPr>
        <w:t xml:space="preserve"> </w:t>
      </w:r>
      <w:r w:rsidR="00AB13D6">
        <w:rPr>
          <w:rFonts w:cstheme="minorHAnsi"/>
          <w:b/>
          <w:sz w:val="28"/>
          <w:szCs w:val="28"/>
          <w:lang w:val="en-US"/>
        </w:rPr>
        <w:br/>
      </w:r>
      <w:r w:rsidRPr="00D52AB9">
        <w:rPr>
          <w:rFonts w:cstheme="minorHAnsi"/>
          <w:b/>
          <w:sz w:val="28"/>
          <w:szCs w:val="28"/>
          <w:lang w:val="en-US"/>
        </w:rPr>
        <w:t xml:space="preserve">of the Standing Committee </w:t>
      </w:r>
    </w:p>
    <w:p w14:paraId="50D567FE" w14:textId="77777777" w:rsidR="00135706" w:rsidRPr="00135706" w:rsidRDefault="00135706" w:rsidP="006457B7">
      <w:pPr>
        <w:spacing w:after="0" w:line="240" w:lineRule="auto"/>
        <w:outlineLvl w:val="0"/>
        <w:rPr>
          <w:rFonts w:cstheme="minorHAnsi"/>
          <w:b/>
        </w:rPr>
      </w:pPr>
    </w:p>
    <w:p w14:paraId="6CD68114" w14:textId="77777777" w:rsidR="00D52AB9" w:rsidRDefault="00D52AB9" w:rsidP="006457B7">
      <w:pPr>
        <w:keepNext/>
        <w:spacing w:after="0" w:line="240" w:lineRule="auto"/>
        <w:rPr>
          <w:rFonts w:cstheme="minorHAnsi"/>
          <w:b/>
        </w:rPr>
      </w:pPr>
    </w:p>
    <w:p w14:paraId="045DB966" w14:textId="77777777" w:rsidR="005A4B27" w:rsidRPr="00294A7E" w:rsidRDefault="005A4B27"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5590E23C" w14:textId="77777777" w:rsidR="00B35D10" w:rsidRPr="00663908" w:rsidRDefault="00B35D10" w:rsidP="006457B7">
      <w:pPr>
        <w:spacing w:after="0" w:line="240" w:lineRule="auto"/>
        <w:rPr>
          <w:rFonts w:cstheme="minorHAnsi"/>
        </w:rPr>
      </w:pPr>
    </w:p>
    <w:p w14:paraId="26F26CC8" w14:textId="3F6F705C" w:rsidR="005F4C17" w:rsidRDefault="00464088" w:rsidP="006457B7">
      <w:pPr>
        <w:spacing w:after="0" w:line="240" w:lineRule="auto"/>
      </w:pPr>
      <w:r w:rsidRPr="00663908">
        <w:rPr>
          <w:rFonts w:cstheme="minorHAnsi"/>
          <w:b/>
        </w:rPr>
        <w:t>Decision SC6</w:t>
      </w:r>
      <w:r w:rsidR="0084601B" w:rsidRPr="00663908">
        <w:rPr>
          <w:rFonts w:cstheme="minorHAnsi"/>
          <w:b/>
        </w:rPr>
        <w:t>4</w:t>
      </w:r>
      <w:r w:rsidR="0017411A" w:rsidRPr="00663908">
        <w:rPr>
          <w:rFonts w:cstheme="minorHAnsi"/>
          <w:b/>
        </w:rPr>
        <w:t xml:space="preserve">-01: </w:t>
      </w:r>
      <w:r w:rsidR="00231C29" w:rsidRPr="00231C29">
        <w:rPr>
          <w:rFonts w:cstheme="minorHAnsi"/>
          <w:b/>
        </w:rPr>
        <w:t>The Standing Committee adopt</w:t>
      </w:r>
      <w:r w:rsidR="00231C29">
        <w:rPr>
          <w:rFonts w:cstheme="minorHAnsi"/>
          <w:b/>
        </w:rPr>
        <w:t>ed</w:t>
      </w:r>
      <w:r w:rsidR="00231C29" w:rsidRPr="00231C29">
        <w:rPr>
          <w:rFonts w:cstheme="minorHAnsi"/>
          <w:b/>
        </w:rPr>
        <w:t xml:space="preserve"> the provisional </w:t>
      </w:r>
      <w:r w:rsidR="00681CD9">
        <w:rPr>
          <w:rFonts w:cstheme="minorHAnsi"/>
          <w:b/>
        </w:rPr>
        <w:t>agenda</w:t>
      </w:r>
      <w:r w:rsidR="00231C29" w:rsidRPr="00231C29">
        <w:rPr>
          <w:rFonts w:cstheme="minorHAnsi"/>
          <w:b/>
        </w:rPr>
        <w:t xml:space="preserve"> in SC64 Doc.</w:t>
      </w:r>
      <w:r w:rsidR="00DC0511">
        <w:rPr>
          <w:rFonts w:cstheme="minorHAnsi"/>
          <w:b/>
        </w:rPr>
        <w:t>2</w:t>
      </w:r>
      <w:r w:rsidR="00231C29" w:rsidRPr="00231C29">
        <w:rPr>
          <w:rFonts w:cstheme="minorHAnsi"/>
          <w:b/>
        </w:rPr>
        <w:t xml:space="preserve"> </w:t>
      </w:r>
      <w:r w:rsidR="0014221A">
        <w:rPr>
          <w:rFonts w:cstheme="minorHAnsi"/>
          <w:b/>
        </w:rPr>
        <w:t xml:space="preserve">Rev.1 </w:t>
      </w:r>
      <w:r w:rsidR="00231C29" w:rsidRPr="00231C29">
        <w:rPr>
          <w:rFonts w:cstheme="minorHAnsi"/>
          <w:b/>
        </w:rPr>
        <w:t>as amended.</w:t>
      </w:r>
    </w:p>
    <w:p w14:paraId="12FD1027" w14:textId="77777777" w:rsidR="0017411A" w:rsidRPr="00294A7E" w:rsidRDefault="0017411A" w:rsidP="006457B7">
      <w:pPr>
        <w:tabs>
          <w:tab w:val="left" w:pos="720"/>
          <w:tab w:val="center" w:pos="4680"/>
        </w:tabs>
        <w:spacing w:after="0" w:line="240" w:lineRule="auto"/>
        <w:contextualSpacing/>
        <w:rPr>
          <w:rFonts w:cstheme="minorHAnsi"/>
        </w:rPr>
      </w:pPr>
    </w:p>
    <w:p w14:paraId="1161549B"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608C2DF1" w14:textId="06B782EB" w:rsidR="005F4C17" w:rsidRDefault="005F4C17" w:rsidP="006457B7">
      <w:pPr>
        <w:spacing w:after="0" w:line="240" w:lineRule="auto"/>
      </w:pPr>
    </w:p>
    <w:p w14:paraId="289110D7" w14:textId="3D1D7A57" w:rsidR="005F4C17" w:rsidRDefault="005F4C17" w:rsidP="006457B7">
      <w:pPr>
        <w:spacing w:after="0" w:line="240" w:lineRule="auto"/>
      </w:pPr>
      <w:r w:rsidRPr="00B07936">
        <w:rPr>
          <w:rFonts w:cstheme="minorHAnsi"/>
          <w:b/>
        </w:rPr>
        <w:t>Decision SC</w:t>
      </w:r>
      <w:r w:rsidR="00464088" w:rsidRPr="00B07936">
        <w:rPr>
          <w:rFonts w:cstheme="minorHAnsi"/>
          <w:b/>
        </w:rPr>
        <w:t>6</w:t>
      </w:r>
      <w:r w:rsidR="0084601B" w:rsidRPr="00B07936">
        <w:rPr>
          <w:rFonts w:cstheme="minorHAnsi"/>
          <w:b/>
        </w:rPr>
        <w:t>4</w:t>
      </w:r>
      <w:r w:rsidRPr="00B07936">
        <w:rPr>
          <w:rFonts w:cstheme="minorHAnsi"/>
          <w:b/>
        </w:rPr>
        <w:t>-02:</w:t>
      </w:r>
      <w:r w:rsidRPr="00C72980">
        <w:rPr>
          <w:rFonts w:cstheme="minorHAnsi"/>
          <w:b/>
        </w:rPr>
        <w:t xml:space="preserve"> The Standing Committee adopted the provisional working programme in document </w:t>
      </w:r>
      <w:r w:rsidR="004017C8" w:rsidRPr="004017C8">
        <w:rPr>
          <w:rFonts w:cstheme="minorHAnsi"/>
          <w:b/>
        </w:rPr>
        <w:t>SC64 Doc.3</w:t>
      </w:r>
      <w:r w:rsidR="0014221A">
        <w:rPr>
          <w:rFonts w:cstheme="minorHAnsi"/>
          <w:b/>
        </w:rPr>
        <w:t xml:space="preserve"> Rev.1</w:t>
      </w:r>
      <w:r w:rsidR="004017C8" w:rsidRPr="004017C8">
        <w:rPr>
          <w:rFonts w:cstheme="minorHAnsi"/>
          <w:b/>
        </w:rPr>
        <w:t>.</w:t>
      </w:r>
    </w:p>
    <w:p w14:paraId="088BBE94" w14:textId="77777777" w:rsidR="0024341A" w:rsidRPr="00294A7E" w:rsidRDefault="0024341A" w:rsidP="006457B7">
      <w:pPr>
        <w:tabs>
          <w:tab w:val="left" w:pos="720"/>
          <w:tab w:val="center" w:pos="4680"/>
        </w:tabs>
        <w:spacing w:after="0" w:line="240" w:lineRule="auto"/>
        <w:rPr>
          <w:rFonts w:cstheme="minorHAnsi"/>
          <w:bCs/>
        </w:rPr>
      </w:pPr>
    </w:p>
    <w:p w14:paraId="741AECEF"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4: Admission of observers</w:t>
      </w:r>
    </w:p>
    <w:p w14:paraId="7E1FD3F9" w14:textId="77777777" w:rsidR="00C0227B" w:rsidRDefault="00C0227B" w:rsidP="006457B7">
      <w:pPr>
        <w:spacing w:after="0" w:line="240" w:lineRule="auto"/>
        <w:ind w:left="567" w:hanging="567"/>
        <w:rPr>
          <w:rFonts w:eastAsia="Calibri" w:cstheme="minorHAnsi"/>
          <w:bCs/>
        </w:rPr>
      </w:pPr>
    </w:p>
    <w:p w14:paraId="6C9C1AF7" w14:textId="16D59584" w:rsidR="0067283F" w:rsidRPr="0067283F" w:rsidRDefault="0067283F" w:rsidP="006457B7">
      <w:pPr>
        <w:spacing w:after="0" w:line="240" w:lineRule="auto"/>
        <w:contextualSpacing/>
      </w:pPr>
      <w:r w:rsidRPr="0067283F">
        <w:rPr>
          <w:rFonts w:cstheme="minorHAnsi"/>
          <w:b/>
        </w:rPr>
        <w:t>Decision SC64-03: The Standing Committee admitted as observers:</w:t>
      </w:r>
    </w:p>
    <w:p w14:paraId="6A09AD63" w14:textId="77777777" w:rsidR="0067283F" w:rsidRPr="00D27869" w:rsidRDefault="0067283F" w:rsidP="006457B7">
      <w:pPr>
        <w:spacing w:after="0" w:line="240" w:lineRule="auto"/>
        <w:ind w:left="567" w:hanging="567"/>
        <w:rPr>
          <w:rFonts w:eastAsia="Calibri" w:cstheme="minorHAnsi"/>
          <w:b/>
        </w:rPr>
      </w:pPr>
    </w:p>
    <w:p w14:paraId="1CC2CA5C" w14:textId="6B731EAB" w:rsidR="0014221A" w:rsidRPr="00D27869" w:rsidRDefault="0014221A" w:rsidP="006457B7">
      <w:pPr>
        <w:spacing w:after="0" w:line="240" w:lineRule="auto"/>
        <w:rPr>
          <w:rFonts w:eastAsia="Calibri" w:cstheme="minorHAnsi"/>
          <w:b/>
        </w:rPr>
      </w:pPr>
      <w:r w:rsidRPr="00D27869">
        <w:rPr>
          <w:rFonts w:eastAsia="Calibri" w:cstheme="minorHAnsi"/>
          <w:b/>
        </w:rPr>
        <w:t>States not Party to the Convention:</w:t>
      </w:r>
    </w:p>
    <w:p w14:paraId="3B0B7F46" w14:textId="3F26BA0F"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Guyana</w:t>
      </w:r>
    </w:p>
    <w:p w14:paraId="2858AF8F" w14:textId="662AD60A"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Holy See</w:t>
      </w:r>
    </w:p>
    <w:p w14:paraId="431E6238" w14:textId="31498808" w:rsidR="0014221A" w:rsidRPr="00D27869" w:rsidRDefault="0067283F"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Saudi Arabia</w:t>
      </w:r>
    </w:p>
    <w:p w14:paraId="59C63827" w14:textId="77777777" w:rsidR="0014221A" w:rsidRPr="00D27869" w:rsidRDefault="0014221A" w:rsidP="006457B7">
      <w:pPr>
        <w:spacing w:after="0" w:line="240" w:lineRule="auto"/>
        <w:rPr>
          <w:rFonts w:eastAsia="Calibri" w:cstheme="minorHAnsi"/>
          <w:b/>
        </w:rPr>
      </w:pPr>
    </w:p>
    <w:p w14:paraId="60525E12" w14:textId="0B5A369C" w:rsidR="00054337" w:rsidRPr="00D27869" w:rsidRDefault="00EF0CFD" w:rsidP="006457B7">
      <w:pPr>
        <w:spacing w:after="0" w:line="240" w:lineRule="auto"/>
        <w:rPr>
          <w:rFonts w:eastAsia="Calibri" w:cstheme="minorHAnsi"/>
          <w:b/>
        </w:rPr>
      </w:pPr>
      <w:r w:rsidRPr="00D27869">
        <w:rPr>
          <w:rFonts w:eastAsia="Calibri" w:cstheme="minorHAnsi"/>
          <w:b/>
        </w:rPr>
        <w:t>Bodies or agencies seeking approval which have met the criteria included:</w:t>
      </w:r>
    </w:p>
    <w:p w14:paraId="4C006B07" w14:textId="77777777" w:rsidR="00054337"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Arcus reflexus</w:t>
      </w:r>
    </w:p>
    <w:p w14:paraId="7C87E4F1" w14:textId="7449BDB9" w:rsidR="00EF0CFD"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Environment and Food Foundation (E2F)</w:t>
      </w:r>
    </w:p>
    <w:p w14:paraId="4DC7A77B" w14:textId="77777777" w:rsidR="00054337" w:rsidRPr="00054337" w:rsidRDefault="00054337" w:rsidP="006457B7">
      <w:pPr>
        <w:pStyle w:val="ListParagraph"/>
        <w:spacing w:after="0" w:line="240" w:lineRule="auto"/>
        <w:ind w:left="1494"/>
        <w:rPr>
          <w:rFonts w:eastAsia="Calibri" w:cstheme="minorHAnsi"/>
          <w:bCs/>
        </w:rPr>
      </w:pPr>
    </w:p>
    <w:p w14:paraId="6B5DC3D8" w14:textId="26492EF9" w:rsidR="0079631C" w:rsidRPr="00294A7E" w:rsidRDefault="0079631C"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12902BEA" w14:textId="77777777" w:rsidR="0079631C" w:rsidRPr="00666C2B" w:rsidRDefault="0079631C" w:rsidP="006457B7">
      <w:pPr>
        <w:spacing w:after="0" w:line="240" w:lineRule="auto"/>
        <w:ind w:left="567" w:hanging="567"/>
        <w:rPr>
          <w:rFonts w:eastAsia="Calibri" w:cstheme="minorHAnsi"/>
          <w:bCs/>
        </w:rPr>
      </w:pPr>
    </w:p>
    <w:p w14:paraId="3FF16B20" w14:textId="780A8E91" w:rsidR="0079631C" w:rsidRDefault="0079631C" w:rsidP="006457B7">
      <w:pPr>
        <w:spacing w:after="0" w:line="240" w:lineRule="auto"/>
        <w:contextualSpacing/>
        <w:rPr>
          <w:rFonts w:cstheme="minorHAnsi"/>
          <w:b/>
        </w:rPr>
      </w:pPr>
      <w:r w:rsidRPr="00294A7E">
        <w:rPr>
          <w:rFonts w:cstheme="minorHAnsi"/>
          <w:b/>
        </w:rPr>
        <w:t>Decision SC</w:t>
      </w:r>
      <w:r w:rsidR="00E66F99">
        <w:rPr>
          <w:rFonts w:cstheme="minorHAnsi"/>
          <w:b/>
        </w:rPr>
        <w:t>6</w:t>
      </w:r>
      <w:r w:rsidR="00925D0C">
        <w:rPr>
          <w:rFonts w:cstheme="minorHAnsi"/>
          <w:b/>
        </w:rPr>
        <w:t>4</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w:t>
      </w:r>
      <w:r w:rsidR="00BD2132" w:rsidRPr="00BD2132">
        <w:t xml:space="preserve"> </w:t>
      </w:r>
      <w:r w:rsidR="00BD2132" w:rsidRPr="00BD2132">
        <w:rPr>
          <w:rFonts w:cstheme="minorHAnsi"/>
          <w:b/>
        </w:rPr>
        <w:t>SC64 Doc.5</w:t>
      </w:r>
      <w:r w:rsidR="0067283F">
        <w:rPr>
          <w:rFonts w:cstheme="minorHAnsi"/>
          <w:b/>
        </w:rPr>
        <w:t>.</w:t>
      </w:r>
    </w:p>
    <w:p w14:paraId="4DCDA6F9" w14:textId="76C1DE48" w:rsidR="00F03D5B" w:rsidRDefault="00F03D5B" w:rsidP="006457B7">
      <w:pPr>
        <w:spacing w:after="0" w:line="240" w:lineRule="auto"/>
        <w:contextualSpacing/>
        <w:rPr>
          <w:rFonts w:cstheme="minorHAnsi"/>
          <w:b/>
        </w:rPr>
      </w:pPr>
    </w:p>
    <w:p w14:paraId="2B168679" w14:textId="4C9A5CE1" w:rsidR="00F03D5B" w:rsidRPr="00294A7E" w:rsidRDefault="00F03D5B"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4DF5B21C" w14:textId="77777777" w:rsidR="00F03D5B" w:rsidRPr="00666C2B" w:rsidRDefault="00F03D5B" w:rsidP="006457B7">
      <w:pPr>
        <w:spacing w:after="0" w:line="240" w:lineRule="auto"/>
        <w:ind w:left="567" w:hanging="567"/>
        <w:rPr>
          <w:rFonts w:eastAsia="Calibri" w:cstheme="minorHAnsi"/>
          <w:bCs/>
        </w:rPr>
      </w:pPr>
    </w:p>
    <w:p w14:paraId="07C8B408" w14:textId="1B442CF0" w:rsidR="00E66F99" w:rsidRDefault="00E66F99" w:rsidP="006457B7">
      <w:pPr>
        <w:spacing w:after="0" w:line="240" w:lineRule="auto"/>
        <w:contextualSpacing/>
        <w:rPr>
          <w:rFonts w:cstheme="minorHAnsi"/>
          <w:b/>
        </w:rPr>
      </w:pPr>
      <w:r w:rsidRPr="00294A7E">
        <w:rPr>
          <w:rFonts w:cstheme="minorHAnsi"/>
          <w:b/>
        </w:rPr>
        <w:t>Decision SC</w:t>
      </w:r>
      <w:r>
        <w:rPr>
          <w:rFonts w:cstheme="minorHAnsi"/>
          <w:b/>
        </w:rPr>
        <w:t>6</w:t>
      </w:r>
      <w:r w:rsidR="00925D0C">
        <w:rPr>
          <w:rFonts w:cstheme="minorHAnsi"/>
          <w:b/>
        </w:rPr>
        <w:t>4</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 xml:space="preserve">the Report of the Secretary General published as document </w:t>
      </w:r>
      <w:r w:rsidR="001921B0" w:rsidRPr="00BD2132">
        <w:rPr>
          <w:rFonts w:cstheme="minorHAnsi"/>
          <w:b/>
        </w:rPr>
        <w:t>SC64 Doc.</w:t>
      </w:r>
      <w:r w:rsidR="001921B0">
        <w:rPr>
          <w:rFonts w:cstheme="minorHAnsi"/>
          <w:b/>
        </w:rPr>
        <w:t>6.</w:t>
      </w:r>
    </w:p>
    <w:p w14:paraId="5B4CE5AD" w14:textId="67213FA4" w:rsidR="00AA35A1" w:rsidRDefault="00AA35A1" w:rsidP="006457B7">
      <w:pPr>
        <w:spacing w:after="0" w:line="240" w:lineRule="auto"/>
        <w:rPr>
          <w:rFonts w:cstheme="minorHAnsi"/>
          <w:bCs/>
        </w:rPr>
      </w:pPr>
    </w:p>
    <w:p w14:paraId="7B404E54" w14:textId="2C5E6695" w:rsidR="001921B0" w:rsidRPr="00294A7E" w:rsidRDefault="001921B0"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005539BC">
        <w:rPr>
          <w:rFonts w:cstheme="minorHAnsi"/>
          <w:bCs/>
        </w:rPr>
        <w:t>7.1</w:t>
      </w:r>
      <w:r w:rsidRPr="00294A7E">
        <w:rPr>
          <w:rFonts w:cstheme="minorHAnsi"/>
          <w:bCs/>
        </w:rPr>
        <w:t xml:space="preserve">: </w:t>
      </w:r>
      <w:r w:rsidR="004E7434" w:rsidRPr="004E7434">
        <w:rPr>
          <w:rFonts w:cstheme="minorHAnsi"/>
          <w:bCs/>
        </w:rPr>
        <w:t xml:space="preserve">Report of the Management Working Group: </w:t>
      </w:r>
      <w:r w:rsidR="005539BC" w:rsidRPr="005539BC">
        <w:rPr>
          <w:rFonts w:cstheme="minorHAnsi"/>
          <w:bCs/>
        </w:rPr>
        <w:t>Report on the activities of the Management Working Group</w:t>
      </w:r>
    </w:p>
    <w:p w14:paraId="1870CA9E" w14:textId="56053A31" w:rsidR="006E404B" w:rsidRPr="0067283F" w:rsidRDefault="006E404B" w:rsidP="006457B7">
      <w:pPr>
        <w:spacing w:after="0" w:line="240" w:lineRule="auto"/>
        <w:ind w:left="562" w:hanging="562"/>
        <w:rPr>
          <w:rFonts w:eastAsia="Calibri" w:cstheme="minorHAnsi"/>
          <w:bCs/>
        </w:rPr>
      </w:pPr>
    </w:p>
    <w:p w14:paraId="7E955DB2" w14:textId="2FBE6E55" w:rsidR="00181263" w:rsidRPr="00F42B33" w:rsidRDefault="00F42B33" w:rsidP="006457B7">
      <w:pPr>
        <w:spacing w:after="0" w:line="240" w:lineRule="auto"/>
        <w:contextualSpacing/>
        <w:rPr>
          <w:rFonts w:cstheme="minorHAnsi"/>
          <w:b/>
        </w:rPr>
      </w:pPr>
      <w:r w:rsidRPr="0067283F">
        <w:rPr>
          <w:rFonts w:cstheme="minorHAnsi"/>
          <w:b/>
        </w:rPr>
        <w:t xml:space="preserve">Decision SC64-06: The Standing Committee took note of the report </w:t>
      </w:r>
      <w:r w:rsidR="00F009F3" w:rsidRPr="0067283F">
        <w:rPr>
          <w:rFonts w:cstheme="minorHAnsi"/>
          <w:b/>
        </w:rPr>
        <w:t xml:space="preserve">on the activities of the Management Working Group </w:t>
      </w:r>
      <w:r w:rsidRPr="0067283F">
        <w:rPr>
          <w:rFonts w:cstheme="minorHAnsi"/>
          <w:b/>
        </w:rPr>
        <w:t>as found in document SC64 Doc.7.1.</w:t>
      </w:r>
    </w:p>
    <w:p w14:paraId="120043F5" w14:textId="6923F107" w:rsidR="000B5744" w:rsidRPr="005E7BFA" w:rsidRDefault="000B5744" w:rsidP="006457B7">
      <w:pPr>
        <w:spacing w:after="0" w:line="240" w:lineRule="auto"/>
        <w:contextualSpacing/>
        <w:rPr>
          <w:rFonts w:cstheme="minorHAnsi"/>
          <w:b/>
        </w:rPr>
      </w:pPr>
    </w:p>
    <w:p w14:paraId="4F5B47D1" w14:textId="3DE36E22" w:rsidR="00F47EAD" w:rsidRPr="00294A7E" w:rsidRDefault="00F47EAD"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88360449"/>
      <w:r w:rsidRPr="00294A7E">
        <w:rPr>
          <w:rFonts w:cstheme="minorHAnsi"/>
          <w:bCs/>
        </w:rPr>
        <w:lastRenderedPageBreak/>
        <w:t xml:space="preserve">Agenda item </w:t>
      </w:r>
      <w:r>
        <w:rPr>
          <w:rFonts w:cstheme="minorHAnsi"/>
          <w:bCs/>
        </w:rPr>
        <w:t>11</w:t>
      </w:r>
      <w:r w:rsidRPr="00294A7E">
        <w:rPr>
          <w:rFonts w:cstheme="minorHAnsi"/>
          <w:bCs/>
        </w:rPr>
        <w:t xml:space="preserve">: Report of the </w:t>
      </w:r>
      <w:r>
        <w:rPr>
          <w:bCs/>
        </w:rPr>
        <w:t>Strategic Plan Working Group</w:t>
      </w:r>
    </w:p>
    <w:bookmarkEnd w:id="0"/>
    <w:p w14:paraId="5641CCE1" w14:textId="77777777" w:rsidR="00030168" w:rsidRDefault="00030168" w:rsidP="006457B7">
      <w:pPr>
        <w:spacing w:after="0" w:line="240" w:lineRule="auto"/>
        <w:ind w:left="562" w:hanging="562"/>
        <w:rPr>
          <w:rFonts w:eastAsia="Calibri" w:cstheme="minorHAnsi"/>
          <w:bCs/>
        </w:rPr>
      </w:pPr>
    </w:p>
    <w:p w14:paraId="3863CD32" w14:textId="162EDB52" w:rsidR="00030168" w:rsidRPr="00F42B33" w:rsidRDefault="00030168" w:rsidP="00030168">
      <w:pPr>
        <w:spacing w:after="0" w:line="240" w:lineRule="auto"/>
        <w:contextualSpacing/>
        <w:rPr>
          <w:rFonts w:cstheme="minorHAnsi"/>
          <w:b/>
        </w:rPr>
      </w:pPr>
      <w:r w:rsidRPr="0067283F">
        <w:rPr>
          <w:rFonts w:cstheme="minorHAnsi"/>
          <w:b/>
        </w:rPr>
        <w:t>Decision SC64-0</w:t>
      </w:r>
      <w:r>
        <w:rPr>
          <w:rFonts w:cstheme="minorHAnsi"/>
          <w:b/>
        </w:rPr>
        <w:t>7</w:t>
      </w:r>
      <w:r w:rsidRPr="0067283F">
        <w:rPr>
          <w:rFonts w:cstheme="minorHAnsi"/>
          <w:b/>
        </w:rPr>
        <w:t xml:space="preserve">: The Standing Committee took note of the </w:t>
      </w:r>
      <w:r w:rsidR="00BA0395">
        <w:rPr>
          <w:rFonts w:cstheme="minorHAnsi"/>
          <w:b/>
        </w:rPr>
        <w:t xml:space="preserve">report </w:t>
      </w:r>
      <w:r w:rsidR="00BA0395" w:rsidRPr="00BA0395">
        <w:rPr>
          <w:rFonts w:cstheme="minorHAnsi"/>
          <w:b/>
        </w:rPr>
        <w:t>of the Strategic Plan Working Group</w:t>
      </w:r>
      <w:r w:rsidRPr="0067283F">
        <w:rPr>
          <w:rFonts w:cstheme="minorHAnsi"/>
          <w:b/>
        </w:rPr>
        <w:t>.</w:t>
      </w:r>
    </w:p>
    <w:p w14:paraId="46ECDBE7" w14:textId="77777777" w:rsidR="006C051B" w:rsidRPr="00AA1A7A" w:rsidRDefault="006C051B" w:rsidP="007B43A3">
      <w:pPr>
        <w:keepNext/>
        <w:spacing w:after="0" w:line="240" w:lineRule="auto"/>
        <w:rPr>
          <w:rFonts w:cstheme="minorHAnsi"/>
        </w:rPr>
      </w:pPr>
    </w:p>
    <w:p w14:paraId="07BD0856" w14:textId="492CB202" w:rsidR="006C051B" w:rsidRPr="00AA1A7A" w:rsidRDefault="006C051B"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AA1A7A">
        <w:rPr>
          <w:rFonts w:cstheme="minorHAnsi"/>
          <w:bCs/>
        </w:rPr>
        <w:t>Agenda item 18: Report of the Chair of the Scientific and Technical Review Panel</w:t>
      </w:r>
    </w:p>
    <w:p w14:paraId="1807D1CB" w14:textId="77777777" w:rsidR="006C051B" w:rsidRPr="00AA1A7A" w:rsidRDefault="006C051B" w:rsidP="006C051B">
      <w:pPr>
        <w:spacing w:after="0" w:line="240" w:lineRule="auto"/>
        <w:rPr>
          <w:rFonts w:cstheme="minorHAnsi"/>
        </w:rPr>
      </w:pPr>
    </w:p>
    <w:p w14:paraId="7F0804F3" w14:textId="77777777" w:rsidR="006C051B" w:rsidRPr="00AA1A7A" w:rsidRDefault="006C051B" w:rsidP="006C051B">
      <w:pPr>
        <w:spacing w:after="0" w:line="240" w:lineRule="auto"/>
        <w:rPr>
          <w:rFonts w:cstheme="minorHAnsi"/>
        </w:rPr>
      </w:pPr>
      <w:r w:rsidRPr="00AA1A7A">
        <w:rPr>
          <w:rFonts w:cstheme="minorHAnsi"/>
          <w:b/>
        </w:rPr>
        <w:t>Decision SC64-08: The Standing Committee took note of the Report of the Chair of the Scientific and Technical Review Panel.</w:t>
      </w:r>
    </w:p>
    <w:p w14:paraId="71B2E4EC" w14:textId="77777777" w:rsidR="006C051B" w:rsidRPr="00AA1A7A" w:rsidRDefault="006C051B" w:rsidP="006C051B">
      <w:pPr>
        <w:spacing w:after="0" w:line="240" w:lineRule="auto"/>
        <w:rPr>
          <w:rFonts w:cstheme="minorHAnsi"/>
        </w:rPr>
      </w:pPr>
    </w:p>
    <w:p w14:paraId="77051B4E" w14:textId="77777777" w:rsidR="006C051B" w:rsidRPr="00AA1A7A" w:rsidRDefault="006C051B" w:rsidP="002806B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19: Draft resolution on the future implementation of scientific and technical aspects of the Convention for 2026-2028</w:t>
      </w:r>
    </w:p>
    <w:p w14:paraId="00BF9204" w14:textId="77777777" w:rsidR="006C051B" w:rsidRPr="00AA1A7A" w:rsidRDefault="006C051B" w:rsidP="006C051B">
      <w:pPr>
        <w:spacing w:after="0" w:line="240" w:lineRule="auto"/>
        <w:contextualSpacing/>
        <w:rPr>
          <w:rFonts w:cstheme="minorHAnsi"/>
          <w:b/>
        </w:rPr>
      </w:pPr>
    </w:p>
    <w:p w14:paraId="505148B1" w14:textId="25869F25" w:rsidR="006C051B" w:rsidRPr="00AA1A7A" w:rsidRDefault="006C051B" w:rsidP="006C051B">
      <w:pPr>
        <w:spacing w:after="0" w:line="240" w:lineRule="auto"/>
        <w:contextualSpacing/>
        <w:rPr>
          <w:rFonts w:cstheme="minorHAnsi"/>
          <w:b/>
        </w:rPr>
      </w:pPr>
      <w:r w:rsidRPr="00AA1A7A">
        <w:rPr>
          <w:rFonts w:cstheme="minorHAnsi"/>
          <w:b/>
        </w:rPr>
        <w:t>Decision SC64-09: The Standing Committee instructed the Secretariat to submit the draft resolution in document SC64 Doc.19 on the future implementation of scientific and technical aspects of the Convention for 2026-2028 to COP15 for its consideration, amended to take into account the inputs presented by the Committee.</w:t>
      </w:r>
    </w:p>
    <w:p w14:paraId="595E92B4" w14:textId="77777777" w:rsidR="006C051B" w:rsidRPr="00AA1A7A" w:rsidRDefault="006C051B" w:rsidP="006C051B">
      <w:pPr>
        <w:spacing w:after="0" w:line="240" w:lineRule="auto"/>
        <w:contextualSpacing/>
        <w:rPr>
          <w:rFonts w:cstheme="minorHAnsi"/>
          <w:b/>
        </w:rPr>
      </w:pPr>
    </w:p>
    <w:p w14:paraId="1C2EF7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20: </w:t>
      </w:r>
      <w:r w:rsidRPr="00AA1A7A">
        <w:rPr>
          <w:rFonts w:cstheme="minorHAnsi"/>
        </w:rPr>
        <w:t>Draft resolution on the establishment of the Waterbird Estimates Partnership (WEP) and the delivery of the 2027 edition of Waterbird Population Estimates (WPE2027)</w:t>
      </w:r>
    </w:p>
    <w:p w14:paraId="621DDCA9" w14:textId="77777777" w:rsidR="006C051B" w:rsidRPr="00AA1A7A" w:rsidRDefault="006C051B" w:rsidP="006C051B">
      <w:pPr>
        <w:spacing w:after="0" w:line="240" w:lineRule="auto"/>
        <w:ind w:left="720" w:hanging="720"/>
        <w:rPr>
          <w:rFonts w:cstheme="minorHAnsi"/>
          <w:color w:val="000000"/>
        </w:rPr>
      </w:pPr>
    </w:p>
    <w:p w14:paraId="2EA7193C" w14:textId="125AFFE5" w:rsidR="006C051B" w:rsidRPr="00AA1A7A" w:rsidRDefault="006C051B" w:rsidP="006C051B">
      <w:pPr>
        <w:spacing w:after="0" w:line="240" w:lineRule="auto"/>
        <w:contextualSpacing/>
        <w:rPr>
          <w:rFonts w:eastAsia="SimSun" w:cstheme="minorHAnsi"/>
          <w:b/>
          <w:iCs/>
          <w:lang w:eastAsia="zh-CN"/>
        </w:rPr>
      </w:pPr>
      <w:r w:rsidRPr="00AA1A7A">
        <w:rPr>
          <w:rFonts w:cstheme="minorHAnsi"/>
          <w:b/>
          <w:iCs/>
        </w:rPr>
        <w:t xml:space="preserve">Decision SC64-10: </w:t>
      </w:r>
      <w:r w:rsidRPr="00AA1A7A">
        <w:rPr>
          <w:rFonts w:eastAsia="Aptos" w:cstheme="minorHAnsi"/>
          <w:b/>
          <w:bCs/>
        </w:rPr>
        <w:t xml:space="preserve">The Standing Committee instructed the Secretariat to submit the draft resolution in document SC64 Doc.20 to COP15 for its consideration, amended to take into account the inputs presented by the Committee. </w:t>
      </w:r>
    </w:p>
    <w:p w14:paraId="5B7FE478" w14:textId="77777777" w:rsidR="006C051B" w:rsidRPr="00AA1A7A" w:rsidRDefault="006C051B" w:rsidP="006C051B">
      <w:pPr>
        <w:spacing w:after="0" w:line="240" w:lineRule="auto"/>
        <w:contextualSpacing/>
        <w:rPr>
          <w:rFonts w:cstheme="minorHAnsi"/>
          <w:b/>
        </w:rPr>
      </w:pPr>
    </w:p>
    <w:p w14:paraId="546CA8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AA1A7A">
        <w:rPr>
          <w:rFonts w:cstheme="minorHAnsi"/>
          <w:bCs/>
        </w:rPr>
        <w:t xml:space="preserve">Agenda item 21: </w:t>
      </w:r>
      <w:r w:rsidRPr="00AA1A7A">
        <w:rPr>
          <w:rFonts w:cstheme="minorHAnsi"/>
        </w:rPr>
        <w:t>Draft resolution on the application of Criteria 6 and 9 to new and existing Wetlands of International Importance</w:t>
      </w:r>
    </w:p>
    <w:p w14:paraId="14EB96EB" w14:textId="77777777" w:rsidR="006C051B" w:rsidRPr="00AA1A7A" w:rsidRDefault="006C051B" w:rsidP="006C051B">
      <w:pPr>
        <w:spacing w:after="0" w:line="240" w:lineRule="auto"/>
        <w:ind w:left="720" w:hanging="720"/>
        <w:rPr>
          <w:rFonts w:cstheme="minorHAnsi"/>
        </w:rPr>
      </w:pPr>
    </w:p>
    <w:p w14:paraId="2D09609B" w14:textId="77777777" w:rsidR="006C051B" w:rsidRPr="00AA1A7A" w:rsidRDefault="006C051B" w:rsidP="006C051B">
      <w:pPr>
        <w:spacing w:after="0" w:line="240" w:lineRule="auto"/>
        <w:contextualSpacing/>
        <w:rPr>
          <w:rFonts w:eastAsia="Aptos" w:cstheme="minorHAnsi"/>
          <w:b/>
          <w:bCs/>
        </w:rPr>
      </w:pPr>
      <w:r w:rsidRPr="00AA1A7A">
        <w:rPr>
          <w:rFonts w:cstheme="minorHAnsi"/>
          <w:b/>
          <w:iCs/>
        </w:rPr>
        <w:t xml:space="preserve">Decision SC64-11: </w:t>
      </w:r>
      <w:r w:rsidRPr="00AA1A7A">
        <w:rPr>
          <w:rFonts w:eastAsia="Aptos" w:cstheme="minorHAnsi"/>
          <w:b/>
          <w:bCs/>
        </w:rPr>
        <w:t>The Standing Committee instructed the Secretariat to submit the draft resolution in document SC64 Doc.21 on the application of Criteria 6 and 9 to new and existing Wetlands of International Importance to COP15 for its consideration, amended to take into account the inputs presented by the Committee.</w:t>
      </w:r>
    </w:p>
    <w:p w14:paraId="4FE9B61D" w14:textId="77777777" w:rsidR="006C051B" w:rsidRPr="00AA1A7A" w:rsidRDefault="006C051B" w:rsidP="006C051B">
      <w:pPr>
        <w:spacing w:after="0" w:line="240" w:lineRule="auto"/>
        <w:contextualSpacing/>
        <w:rPr>
          <w:rFonts w:cstheme="minorHAnsi"/>
          <w:b/>
        </w:rPr>
      </w:pPr>
    </w:p>
    <w:p w14:paraId="53FC5C83"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13: Roles and responsibilities of the Standing Committee</w:t>
      </w:r>
    </w:p>
    <w:p w14:paraId="18A23CB8" w14:textId="77777777" w:rsidR="006C051B" w:rsidRPr="00AA1A7A" w:rsidRDefault="006C051B" w:rsidP="006C051B">
      <w:pPr>
        <w:spacing w:after="0" w:line="240" w:lineRule="auto"/>
        <w:ind w:left="567" w:hanging="567"/>
        <w:rPr>
          <w:rFonts w:eastAsia="Calibri" w:cstheme="minorHAnsi"/>
          <w:bCs/>
        </w:rPr>
      </w:pPr>
    </w:p>
    <w:p w14:paraId="23000C41" w14:textId="77777777" w:rsidR="006C051B" w:rsidRDefault="006C051B" w:rsidP="006C051B">
      <w:pPr>
        <w:spacing w:after="0" w:line="240" w:lineRule="auto"/>
        <w:ind w:left="567" w:hanging="567"/>
        <w:contextualSpacing/>
        <w:rPr>
          <w:rFonts w:cstheme="minorHAnsi"/>
          <w:b/>
        </w:rPr>
      </w:pPr>
      <w:r w:rsidRPr="00AA1A7A">
        <w:rPr>
          <w:rFonts w:cstheme="minorHAnsi"/>
          <w:b/>
        </w:rPr>
        <w:t>Decision SC64-12: The Standing Committee:</w:t>
      </w:r>
    </w:p>
    <w:p w14:paraId="711EF2A4" w14:textId="77777777" w:rsidR="00F332E0" w:rsidRDefault="00F332E0" w:rsidP="006C051B">
      <w:pPr>
        <w:spacing w:after="0" w:line="240" w:lineRule="auto"/>
        <w:ind w:left="567" w:hanging="567"/>
        <w:contextualSpacing/>
        <w:rPr>
          <w:rFonts w:cstheme="minorHAnsi"/>
          <w:b/>
        </w:rPr>
      </w:pPr>
    </w:p>
    <w:p w14:paraId="53E2CFEF" w14:textId="53E837B0" w:rsidR="006C051B" w:rsidRPr="00AA1A7A" w:rsidRDefault="006C051B" w:rsidP="006C051B">
      <w:pPr>
        <w:spacing w:after="0" w:line="240" w:lineRule="auto"/>
        <w:ind w:left="567" w:hanging="567"/>
        <w:contextualSpacing/>
        <w:rPr>
          <w:rFonts w:cstheme="minorHAnsi"/>
          <w:b/>
        </w:rPr>
      </w:pPr>
      <w:r w:rsidRPr="00AA1A7A">
        <w:rPr>
          <w:rFonts w:cstheme="minorHAnsi"/>
          <w:b/>
        </w:rPr>
        <w:t>i.</w:t>
      </w:r>
      <w:r w:rsidRPr="00AA1A7A">
        <w:rPr>
          <w:rFonts w:cstheme="minorHAnsi"/>
          <w:b/>
        </w:rPr>
        <w:tab/>
        <w:t>instructed the Secretariat to submit the draft resolution in document SC64 Doc.13 on responsibilities, roles and composition of the Standing Committee and regional categorization of countries under the Convention on Wetlands to COP15 for its consideration, amended to take into account the inputs presented by the Committee</w:t>
      </w:r>
      <w:r w:rsidR="00231E65">
        <w:rPr>
          <w:rFonts w:cstheme="minorHAnsi"/>
          <w:b/>
        </w:rPr>
        <w:t>; and</w:t>
      </w:r>
    </w:p>
    <w:p w14:paraId="3F4FF81D" w14:textId="77777777" w:rsidR="006C051B" w:rsidRPr="00AA1A7A" w:rsidRDefault="006C051B" w:rsidP="006C051B">
      <w:pPr>
        <w:spacing w:after="0" w:line="240" w:lineRule="auto"/>
        <w:contextualSpacing/>
        <w:rPr>
          <w:rFonts w:cstheme="minorHAnsi"/>
          <w:b/>
        </w:rPr>
      </w:pPr>
    </w:p>
    <w:p w14:paraId="79EE46C6" w14:textId="77777777" w:rsidR="006C051B" w:rsidRPr="00AA1A7A" w:rsidRDefault="006C051B" w:rsidP="006C051B">
      <w:pPr>
        <w:spacing w:after="0" w:line="240" w:lineRule="auto"/>
        <w:ind w:left="567" w:hanging="567"/>
        <w:contextualSpacing/>
        <w:rPr>
          <w:rFonts w:cstheme="minorHAnsi"/>
          <w:b/>
        </w:rPr>
      </w:pPr>
      <w:r w:rsidRPr="00AA1A7A">
        <w:rPr>
          <w:rFonts w:cstheme="minorHAnsi"/>
          <w:b/>
        </w:rPr>
        <w:t>ii.</w:t>
      </w:r>
      <w:r w:rsidRPr="00AA1A7A">
        <w:rPr>
          <w:rFonts w:cstheme="minorHAnsi"/>
          <w:b/>
        </w:rPr>
        <w:tab/>
      </w:r>
      <w:r>
        <w:rPr>
          <w:rFonts w:cstheme="minorHAnsi"/>
          <w:b/>
        </w:rPr>
        <w:t>confirmed</w:t>
      </w:r>
      <w:r w:rsidRPr="00AA1A7A">
        <w:rPr>
          <w:rFonts w:cstheme="minorHAnsi"/>
          <w:b/>
        </w:rPr>
        <w:t xml:space="preserve"> that paragraph 6 of Annex 1 and paragraph 5 of Annex 3 to the draft resolution replace outstanding Decisions reported in </w:t>
      </w:r>
      <w:r>
        <w:rPr>
          <w:rFonts w:cstheme="minorHAnsi"/>
          <w:b/>
        </w:rPr>
        <w:t>d</w:t>
      </w:r>
      <w:r w:rsidRPr="00AA1A7A">
        <w:rPr>
          <w:rFonts w:cstheme="minorHAnsi"/>
          <w:b/>
        </w:rPr>
        <w:t>ocument SC64 Doc.8, which can be considered “implemented” and removed from the list of “outstanding” decisions in accordance with Decision SC63-18.</w:t>
      </w:r>
    </w:p>
    <w:p w14:paraId="451E1CC1" w14:textId="77777777" w:rsidR="006C051B" w:rsidRPr="00AA1A7A" w:rsidRDefault="006C051B" w:rsidP="006C051B">
      <w:pPr>
        <w:spacing w:after="0" w:line="240" w:lineRule="auto"/>
        <w:contextualSpacing/>
        <w:rPr>
          <w:rFonts w:cstheme="minorHAnsi"/>
          <w:b/>
        </w:rPr>
      </w:pPr>
    </w:p>
    <w:p w14:paraId="2F41F7A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lastRenderedPageBreak/>
        <w:t xml:space="preserve">Agenda item 8: Report of the Secretariat on the implementation of the Decisions of the Standing Committee  </w:t>
      </w:r>
    </w:p>
    <w:p w14:paraId="6AAAA8A6" w14:textId="77777777" w:rsidR="006C051B" w:rsidRPr="00AA1A7A" w:rsidRDefault="006C051B" w:rsidP="00F51D54">
      <w:pPr>
        <w:keepNext/>
        <w:spacing w:after="0" w:line="240" w:lineRule="auto"/>
        <w:outlineLvl w:val="0"/>
        <w:rPr>
          <w:rFonts w:cstheme="minorHAnsi"/>
          <w:bCs/>
        </w:rPr>
      </w:pPr>
    </w:p>
    <w:p w14:paraId="3014E762" w14:textId="264FE226" w:rsidR="006C051B" w:rsidRPr="00AA1A7A" w:rsidRDefault="006C051B" w:rsidP="006C051B">
      <w:pPr>
        <w:spacing w:after="0" w:line="240" w:lineRule="auto"/>
        <w:contextualSpacing/>
        <w:rPr>
          <w:rFonts w:cstheme="minorHAnsi"/>
          <w:b/>
        </w:rPr>
      </w:pPr>
      <w:r w:rsidRPr="003C4064">
        <w:rPr>
          <w:rFonts w:cstheme="minorHAnsi"/>
          <w:b/>
        </w:rPr>
        <w:t xml:space="preserve">Decision SC64-13: The Standing Committee </w:t>
      </w:r>
      <w:r>
        <w:rPr>
          <w:rFonts w:cstheme="minorHAnsi"/>
          <w:b/>
        </w:rPr>
        <w:t xml:space="preserve">took note of the report and instructed the Secretariat to </w:t>
      </w:r>
      <w:r w:rsidRPr="003C4064">
        <w:rPr>
          <w:rFonts w:cstheme="minorHAnsi"/>
          <w:b/>
        </w:rPr>
        <w:t xml:space="preserve">invite members of the Standing Committee to provide suggestions for </w:t>
      </w:r>
      <w:r>
        <w:rPr>
          <w:rFonts w:cstheme="minorHAnsi"/>
          <w:b/>
        </w:rPr>
        <w:t xml:space="preserve">actions to close outstanding Decisions and to include these suggestions in the Secretariat’s report on outstanding decisions to be presented to </w:t>
      </w:r>
      <w:r w:rsidR="002C6D64">
        <w:rPr>
          <w:rFonts w:cstheme="minorHAnsi"/>
          <w:b/>
        </w:rPr>
        <w:t>the Committee’s 67th meeting (SC67)</w:t>
      </w:r>
      <w:r>
        <w:rPr>
          <w:rFonts w:cstheme="minorHAnsi"/>
          <w:b/>
        </w:rPr>
        <w:t xml:space="preserve">.  </w:t>
      </w:r>
    </w:p>
    <w:p w14:paraId="39A1B508" w14:textId="77777777" w:rsidR="006C051B" w:rsidRDefault="006C051B" w:rsidP="006C051B">
      <w:pPr>
        <w:spacing w:after="0" w:line="240" w:lineRule="auto"/>
        <w:ind w:left="567" w:hanging="567"/>
        <w:rPr>
          <w:rFonts w:cstheme="minorHAnsi"/>
          <w:bCs/>
        </w:rPr>
      </w:pPr>
    </w:p>
    <w:p w14:paraId="0BAACA74"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02699A">
        <w:rPr>
          <w:rFonts w:cstheme="minorHAnsi"/>
          <w:bCs/>
        </w:rPr>
        <w:t>16</w:t>
      </w:r>
      <w:r>
        <w:rPr>
          <w:rFonts w:cstheme="minorHAnsi"/>
          <w:bCs/>
        </w:rPr>
        <w:t xml:space="preserve">: </w:t>
      </w:r>
      <w:r w:rsidRPr="0002699A">
        <w:rPr>
          <w:rFonts w:cstheme="minorHAnsi"/>
          <w:bCs/>
        </w:rPr>
        <w:t>Report of the Youth Working Group</w:t>
      </w:r>
    </w:p>
    <w:p w14:paraId="0285B080" w14:textId="77777777" w:rsidR="006C051B" w:rsidRDefault="006C051B" w:rsidP="006C051B">
      <w:pPr>
        <w:spacing w:after="0" w:line="240" w:lineRule="auto"/>
        <w:ind w:left="567" w:hanging="567"/>
        <w:rPr>
          <w:rFonts w:cstheme="minorHAnsi"/>
          <w:bCs/>
        </w:rPr>
      </w:pPr>
    </w:p>
    <w:p w14:paraId="5DD0E262" w14:textId="77777777"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SC64-14: </w:t>
      </w:r>
      <w:r w:rsidRPr="00257DA4">
        <w:rPr>
          <w:rFonts w:eastAsia="Aptos" w:cstheme="minorHAnsi"/>
          <w:b/>
          <w:bCs/>
        </w:rPr>
        <w:t>The Standing Committee t</w:t>
      </w:r>
      <w:r>
        <w:rPr>
          <w:rFonts w:eastAsia="Aptos" w:cstheme="minorHAnsi"/>
          <w:b/>
          <w:bCs/>
        </w:rPr>
        <w:t>ook</w:t>
      </w:r>
      <w:r w:rsidRPr="00257DA4">
        <w:rPr>
          <w:rFonts w:eastAsia="Aptos" w:cstheme="minorHAnsi"/>
          <w:b/>
          <w:bCs/>
        </w:rPr>
        <w:t xml:space="preserve"> note of the progress of the Youth Working Group as presented in SC64 Doc.16.</w:t>
      </w:r>
    </w:p>
    <w:p w14:paraId="4FBDB3CE" w14:textId="77777777" w:rsidR="006C051B" w:rsidRDefault="006C051B" w:rsidP="006C051B">
      <w:pPr>
        <w:spacing w:after="0" w:line="240" w:lineRule="auto"/>
        <w:contextualSpacing/>
        <w:rPr>
          <w:rFonts w:cstheme="minorHAnsi"/>
          <w:bCs/>
        </w:rPr>
      </w:pPr>
    </w:p>
    <w:p w14:paraId="3BA7BE07" w14:textId="3F1A9B6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Report </w:t>
      </w:r>
      <w:r w:rsidR="00443E4A">
        <w:rPr>
          <w:rFonts w:cstheme="minorHAnsi"/>
          <w:bCs/>
        </w:rPr>
        <w:t>of</w:t>
      </w:r>
      <w:r>
        <w:rPr>
          <w:rFonts w:cstheme="minorHAnsi"/>
          <w:bCs/>
        </w:rPr>
        <w:t xml:space="preserve"> the Working Group on Institutional Strengthening </w:t>
      </w:r>
    </w:p>
    <w:p w14:paraId="5D3B3D84" w14:textId="77777777" w:rsidR="006C051B" w:rsidRDefault="006C051B" w:rsidP="006C051B">
      <w:pPr>
        <w:spacing w:after="0" w:line="240" w:lineRule="auto"/>
        <w:ind w:left="567" w:hanging="567"/>
      </w:pPr>
    </w:p>
    <w:p w14:paraId="44B3E3F8" w14:textId="51E982E8"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SC64-15:</w:t>
      </w:r>
      <w:r w:rsidRPr="00000FEB">
        <w:rPr>
          <w:rFonts w:cstheme="minorHAnsi"/>
          <w:b/>
          <w:bCs/>
        </w:rPr>
        <w:t xml:space="preserve"> </w:t>
      </w:r>
      <w:bookmarkStart w:id="1" w:name="_Hlk187212009"/>
      <w:r w:rsidRPr="00000FEB">
        <w:rPr>
          <w:rFonts w:cstheme="minorHAnsi"/>
          <w:b/>
          <w:bCs/>
        </w:rPr>
        <w:t>The Standing Committee t</w:t>
      </w:r>
      <w:r>
        <w:rPr>
          <w:rFonts w:cstheme="minorHAnsi"/>
          <w:b/>
          <w:bCs/>
        </w:rPr>
        <w:t>ook</w:t>
      </w:r>
      <w:r w:rsidRPr="00000FEB">
        <w:rPr>
          <w:rFonts w:cstheme="minorHAnsi"/>
          <w:b/>
          <w:bCs/>
        </w:rPr>
        <w:t xml:space="preserve"> note of </w:t>
      </w:r>
      <w:r w:rsidRPr="00000FEB">
        <w:rPr>
          <w:rFonts w:cstheme="minorHAnsi"/>
          <w:b/>
          <w:bCs/>
          <w:lang w:val="en-US"/>
        </w:rPr>
        <w:t xml:space="preserve">the Report of the Working Group on </w:t>
      </w:r>
      <w:r w:rsidR="00E9371B">
        <w:rPr>
          <w:rFonts w:cstheme="minorHAnsi"/>
          <w:b/>
          <w:bCs/>
          <w:lang w:val="en-US"/>
        </w:rPr>
        <w:t>I</w:t>
      </w:r>
      <w:r w:rsidRPr="00000FEB">
        <w:rPr>
          <w:rFonts w:cstheme="minorHAnsi"/>
          <w:b/>
          <w:bCs/>
          <w:lang w:val="en-US"/>
        </w:rPr>
        <w:t xml:space="preserve">nstitutional Strengthening </w:t>
      </w:r>
      <w:bookmarkEnd w:id="1"/>
      <w:r w:rsidRPr="00000FEB">
        <w:rPr>
          <w:rFonts w:cstheme="minorHAnsi"/>
          <w:b/>
          <w:bCs/>
          <w:lang w:val="en-US"/>
        </w:rPr>
        <w:t>and</w:t>
      </w:r>
      <w:r w:rsidRPr="00000FEB">
        <w:rPr>
          <w:rFonts w:eastAsia="Aptos" w:cstheme="minorHAnsi"/>
        </w:rPr>
        <w:t xml:space="preserve"> </w:t>
      </w:r>
      <w:r w:rsidRPr="00000FEB">
        <w:rPr>
          <w:rFonts w:eastAsia="Aptos" w:cstheme="minorHAnsi"/>
          <w:b/>
          <w:bCs/>
        </w:rPr>
        <w:t>instruct</w:t>
      </w:r>
      <w:r>
        <w:rPr>
          <w:rFonts w:eastAsia="Aptos" w:cstheme="minorHAnsi"/>
          <w:b/>
          <w:bCs/>
        </w:rPr>
        <w:t xml:space="preserve">ed </w:t>
      </w:r>
      <w:r w:rsidRPr="00000FEB">
        <w:rPr>
          <w:rFonts w:eastAsia="Aptos" w:cstheme="minorHAnsi"/>
          <w:b/>
          <w:bCs/>
        </w:rPr>
        <w:t>the Secretariat to submit the draft resolution in document SC64.12 on Institutional Strengthening to COP15 for its consideration, amended to take into account the inputs presented by the Committee.</w:t>
      </w:r>
    </w:p>
    <w:p w14:paraId="443D73F7" w14:textId="77777777" w:rsidR="006C051B" w:rsidRPr="0005017F" w:rsidRDefault="006C051B" w:rsidP="006C051B">
      <w:pPr>
        <w:spacing w:after="0" w:line="240" w:lineRule="auto"/>
        <w:contextualSpacing/>
        <w:rPr>
          <w:rFonts w:eastAsia="Aptos" w:cstheme="minorHAnsi"/>
          <w:b/>
          <w:bCs/>
        </w:rPr>
      </w:pPr>
    </w:p>
    <w:p w14:paraId="0496A087" w14:textId="40C107D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15.1: </w:t>
      </w:r>
      <w:r w:rsidR="006C03F8" w:rsidRPr="006C03F8">
        <w:rPr>
          <w:rFonts w:cstheme="minorHAnsi"/>
          <w:bCs/>
        </w:rPr>
        <w:t>Communication, capacity building, education, participation and awareness (CEPA)</w:t>
      </w:r>
      <w:r w:rsidR="006C03F8">
        <w:rPr>
          <w:rFonts w:cstheme="minorHAnsi"/>
          <w:bCs/>
        </w:rPr>
        <w:t xml:space="preserve">: </w:t>
      </w:r>
      <w:r>
        <w:t xml:space="preserve">Report of the Chair of the </w:t>
      </w:r>
      <w:r w:rsidRPr="00CB085E">
        <w:t>CEPA</w:t>
      </w:r>
      <w:r>
        <w:t xml:space="preserve"> Oversight Panel</w:t>
      </w:r>
    </w:p>
    <w:p w14:paraId="0CC6418A" w14:textId="77777777" w:rsidR="006C051B" w:rsidRDefault="006C051B" w:rsidP="006C051B">
      <w:pPr>
        <w:spacing w:after="0" w:line="240" w:lineRule="auto"/>
        <w:ind w:left="720" w:hanging="720"/>
      </w:pPr>
    </w:p>
    <w:p w14:paraId="2CCCFB2A" w14:textId="77777777" w:rsidR="006C051B"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SC64-16:</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Report of the CEPA Oversight Panel as found in document SC6</w:t>
      </w:r>
      <w:r w:rsidRPr="00000FEB">
        <w:rPr>
          <w:rFonts w:eastAsia="SimSun" w:cstheme="minorHAnsi"/>
          <w:b/>
          <w:bCs/>
          <w:lang w:eastAsia="zh-CN"/>
        </w:rPr>
        <w:t>4</w:t>
      </w:r>
      <w:r w:rsidRPr="00000FEB">
        <w:rPr>
          <w:rFonts w:cstheme="minorHAnsi"/>
          <w:b/>
          <w:bCs/>
        </w:rPr>
        <w:t xml:space="preserve"> Doc.</w:t>
      </w:r>
      <w:r w:rsidRPr="00000FEB">
        <w:rPr>
          <w:rFonts w:eastAsia="SimSun" w:cstheme="minorHAnsi"/>
          <w:b/>
          <w:bCs/>
          <w:lang w:eastAsia="zh-CN"/>
        </w:rPr>
        <w:t>15</w:t>
      </w:r>
      <w:r w:rsidRPr="00000FEB">
        <w:rPr>
          <w:rFonts w:cstheme="minorHAnsi"/>
          <w:b/>
          <w:bCs/>
        </w:rPr>
        <w:t>.1</w:t>
      </w:r>
      <w:r w:rsidRPr="00000FEB">
        <w:rPr>
          <w:rFonts w:eastAsia="SimSun" w:cstheme="minorHAnsi"/>
          <w:b/>
          <w:bCs/>
          <w:lang w:eastAsia="zh-CN"/>
        </w:rPr>
        <w:t>.</w:t>
      </w:r>
    </w:p>
    <w:p w14:paraId="4ECC3E4B" w14:textId="77777777" w:rsidR="006C051B" w:rsidRPr="0005017F" w:rsidRDefault="006C051B" w:rsidP="006C051B">
      <w:pPr>
        <w:spacing w:after="0" w:line="240" w:lineRule="auto"/>
        <w:rPr>
          <w:rFonts w:eastAsia="SimSun" w:cstheme="minorHAnsi"/>
          <w:b/>
          <w:iCs/>
          <w:lang w:eastAsia="zh-CN"/>
        </w:rPr>
      </w:pPr>
    </w:p>
    <w:p w14:paraId="0C7E9A64" w14:textId="370FCF80"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15.2: </w:t>
      </w:r>
      <w:r w:rsidR="006C03F8" w:rsidRPr="006C03F8">
        <w:rPr>
          <w:rFonts w:cstheme="minorHAnsi"/>
          <w:bCs/>
        </w:rPr>
        <w:t>Communication, capacity building, education, participation and awareness (CEPA)</w:t>
      </w:r>
      <w:r w:rsidR="006C03F8">
        <w:rPr>
          <w:rFonts w:cstheme="minorHAnsi"/>
          <w:bCs/>
        </w:rPr>
        <w:t xml:space="preserve">: </w:t>
      </w:r>
      <w:r>
        <w:rPr>
          <w:rFonts w:cstheme="minorHAnsi"/>
          <w:bCs/>
        </w:rPr>
        <w:t>Draft resolution on CEPA</w:t>
      </w:r>
    </w:p>
    <w:p w14:paraId="5BD41775" w14:textId="77777777" w:rsidR="006C051B" w:rsidRDefault="006C051B" w:rsidP="006C051B">
      <w:pPr>
        <w:spacing w:after="0" w:line="240" w:lineRule="auto"/>
        <w:ind w:left="720" w:hanging="720"/>
      </w:pPr>
    </w:p>
    <w:p w14:paraId="7294C38F" w14:textId="77777777" w:rsidR="006C051B" w:rsidRPr="0005017F" w:rsidRDefault="006C051B" w:rsidP="006C051B">
      <w:pPr>
        <w:spacing w:after="0" w:line="240" w:lineRule="auto"/>
        <w:contextualSpacing/>
        <w:rPr>
          <w:rFonts w:cstheme="minorHAnsi"/>
        </w:rPr>
      </w:pPr>
      <w:r w:rsidRPr="00000FEB">
        <w:rPr>
          <w:rFonts w:cstheme="minorHAnsi"/>
          <w:b/>
          <w:iCs/>
        </w:rPr>
        <w:t xml:space="preserve">Decision </w:t>
      </w:r>
      <w:r>
        <w:rPr>
          <w:rFonts w:cstheme="minorHAnsi"/>
          <w:b/>
          <w:iCs/>
        </w:rPr>
        <w:t>SC64-17:</w:t>
      </w:r>
      <w:r w:rsidRPr="00000FEB">
        <w:rPr>
          <w:rFonts w:cstheme="minorHAnsi"/>
          <w:b/>
          <w:bCs/>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Doc.15.2 on</w:t>
      </w:r>
      <w:r w:rsidRPr="00000FEB">
        <w:rPr>
          <w:rFonts w:eastAsia="SimSun" w:cstheme="minorHAnsi"/>
          <w:b/>
          <w:bCs/>
          <w:lang w:eastAsia="zh-CN"/>
        </w:rPr>
        <w:t xml:space="preserve"> Communication, capacity building, education, participation and awareness (CEPA)</w:t>
      </w:r>
      <w:r w:rsidRPr="00000FEB">
        <w:rPr>
          <w:rFonts w:eastAsia="SimSun" w:cstheme="minorHAnsi"/>
          <w:bCs/>
          <w:i/>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501F3FE8" w14:textId="77777777" w:rsidR="006C051B" w:rsidRDefault="006C051B" w:rsidP="006C051B">
      <w:pPr>
        <w:spacing w:after="0" w:line="240" w:lineRule="auto"/>
        <w:contextualSpacing/>
        <w:rPr>
          <w:rFonts w:cstheme="minorHAnsi"/>
          <w:bCs/>
        </w:rPr>
      </w:pPr>
    </w:p>
    <w:p w14:paraId="59E383F7"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14: </w:t>
      </w:r>
      <w:r>
        <w:t xml:space="preserve">Enhancing the Convention’s visibility and synergies with </w:t>
      </w:r>
      <w:r w:rsidRPr="00EA1DA5">
        <w:t>multilateral environmental agreements and other international institutions</w:t>
      </w:r>
    </w:p>
    <w:p w14:paraId="03058EC1" w14:textId="40439437" w:rsidR="006C051B" w:rsidRDefault="006C051B" w:rsidP="006C051B">
      <w:pPr>
        <w:spacing w:after="0" w:line="240" w:lineRule="auto"/>
        <w:ind w:left="720" w:hanging="720"/>
      </w:pPr>
    </w:p>
    <w:p w14:paraId="074239A4" w14:textId="3BE97247" w:rsidR="006C051B" w:rsidRPr="0005017F" w:rsidRDefault="006C051B" w:rsidP="006C051B">
      <w:pPr>
        <w:spacing w:after="0" w:line="240" w:lineRule="auto"/>
        <w:contextualSpacing/>
        <w:rPr>
          <w:rFonts w:eastAsia="SimSun" w:cstheme="minorHAnsi"/>
          <w:b/>
          <w:bCs/>
          <w:lang w:eastAsia="zh-CN"/>
        </w:rPr>
      </w:pPr>
      <w:r w:rsidRPr="00000FEB">
        <w:rPr>
          <w:rFonts w:cstheme="minorHAnsi"/>
          <w:b/>
          <w:bCs/>
        </w:rPr>
        <w:t xml:space="preserve">Decision </w:t>
      </w:r>
      <w:r>
        <w:rPr>
          <w:rFonts w:cstheme="minorHAnsi"/>
          <w:b/>
          <w:iCs/>
        </w:rPr>
        <w:t>SC64-18:</w:t>
      </w:r>
      <w:r w:rsidRPr="00000FEB">
        <w:rPr>
          <w:rFonts w:cstheme="minorHAnsi"/>
          <w:b/>
          <w:bCs/>
        </w:rPr>
        <w:t xml:space="preserve"> </w:t>
      </w:r>
      <w:r w:rsidR="00E9371B">
        <w:rPr>
          <w:rFonts w:cstheme="minorHAnsi"/>
          <w:b/>
        </w:rPr>
        <w:t>T</w:t>
      </w:r>
      <w:r w:rsidRPr="00000FEB">
        <w:rPr>
          <w:rFonts w:cstheme="minorHAnsi"/>
          <w:b/>
        </w:rPr>
        <w:t>he Standing Committee</w:t>
      </w:r>
      <w:r w:rsidR="00F332E0">
        <w:rPr>
          <w:rFonts w:cstheme="minorHAnsi"/>
          <w:b/>
        </w:rPr>
        <w:t>:</w:t>
      </w:r>
    </w:p>
    <w:p w14:paraId="6C621318" w14:textId="77777777" w:rsidR="00F332E0" w:rsidRDefault="00F332E0" w:rsidP="002A2E92">
      <w:pPr>
        <w:spacing w:after="0" w:line="240" w:lineRule="auto"/>
        <w:ind w:left="567" w:hanging="567"/>
        <w:rPr>
          <w:rFonts w:eastAsia="SimSun" w:cstheme="minorHAnsi"/>
          <w:b/>
          <w:iCs/>
          <w:lang w:eastAsia="zh-CN"/>
        </w:rPr>
      </w:pPr>
    </w:p>
    <w:p w14:paraId="12A9EC8D" w14:textId="6876ABDC" w:rsidR="006C051B" w:rsidRPr="00000FEB" w:rsidRDefault="006C051B" w:rsidP="006C051B">
      <w:pPr>
        <w:spacing w:after="0" w:line="240" w:lineRule="auto"/>
        <w:ind w:left="567" w:hanging="567"/>
        <w:rPr>
          <w:rFonts w:eastAsia="SimSun" w:cstheme="minorHAnsi"/>
          <w:b/>
          <w:iCs/>
          <w:lang w:eastAsia="zh-CN"/>
        </w:rPr>
      </w:pPr>
      <w:r w:rsidRPr="00000FEB">
        <w:rPr>
          <w:rFonts w:eastAsia="SimSun" w:cstheme="minorHAnsi"/>
          <w:b/>
          <w:iCs/>
          <w:lang w:eastAsia="zh-CN"/>
        </w:rPr>
        <w:t>i.</w:t>
      </w:r>
      <w:r w:rsidRPr="00000FEB">
        <w:rPr>
          <w:rFonts w:eastAsia="SimSun" w:cstheme="minorHAnsi"/>
          <w:b/>
          <w:iCs/>
          <w:lang w:eastAsia="zh-CN"/>
        </w:rPr>
        <w:tab/>
        <w:t>t</w:t>
      </w:r>
      <w:r>
        <w:rPr>
          <w:rFonts w:eastAsia="SimSun" w:cstheme="minorHAnsi"/>
          <w:b/>
          <w:iCs/>
          <w:lang w:eastAsia="zh-CN"/>
        </w:rPr>
        <w:t>ook</w:t>
      </w:r>
      <w:r w:rsidRPr="00000FEB">
        <w:rPr>
          <w:rFonts w:eastAsia="SimSun" w:cstheme="minorHAnsi"/>
          <w:b/>
          <w:iCs/>
          <w:lang w:eastAsia="zh-CN"/>
        </w:rPr>
        <w:t xml:space="preserve"> note of the progress since the 63rd meeting of the Standing Committee in implementing Resolution XIV.6 </w:t>
      </w:r>
      <w:r w:rsidRPr="00000FEB">
        <w:rPr>
          <w:rFonts w:eastAsia="SimSun" w:cstheme="minorHAnsi"/>
          <w:b/>
          <w:bCs/>
          <w:iCs/>
          <w:lang w:eastAsia="zh-CN"/>
        </w:rPr>
        <w:t xml:space="preserve">on </w:t>
      </w:r>
      <w:r w:rsidRPr="00000FEB">
        <w:rPr>
          <w:rFonts w:eastAsia="SimSun" w:cstheme="minorHAnsi"/>
          <w:b/>
          <w:i/>
          <w:iCs/>
          <w:lang w:eastAsia="zh-CN"/>
        </w:rPr>
        <w:t>Enhancing the Convention´s visibility and synergies with other multilateral environmental agreements and other international institutions</w:t>
      </w:r>
      <w:r w:rsidRPr="00000FEB">
        <w:rPr>
          <w:rFonts w:eastAsia="SimSun" w:cstheme="minorHAnsi"/>
          <w:b/>
          <w:iCs/>
          <w:lang w:eastAsia="zh-CN"/>
        </w:rPr>
        <w:t>;</w:t>
      </w:r>
      <w:r w:rsidR="004C31EA">
        <w:rPr>
          <w:rFonts w:eastAsia="SimSun" w:cstheme="minorHAnsi"/>
          <w:b/>
          <w:iCs/>
          <w:lang w:eastAsia="zh-CN"/>
        </w:rPr>
        <w:t xml:space="preserve"> and</w:t>
      </w:r>
    </w:p>
    <w:p w14:paraId="1481B5E7" w14:textId="77777777" w:rsidR="00F332E0" w:rsidRDefault="00F332E0" w:rsidP="006C051B">
      <w:pPr>
        <w:spacing w:after="0" w:line="240" w:lineRule="auto"/>
        <w:ind w:left="567" w:hanging="567"/>
        <w:rPr>
          <w:rFonts w:eastAsia="SimSun" w:cstheme="minorHAnsi"/>
          <w:b/>
          <w:iCs/>
          <w:lang w:eastAsia="zh-CN"/>
        </w:rPr>
      </w:pPr>
    </w:p>
    <w:p w14:paraId="1BE48886" w14:textId="09837DE7" w:rsidR="006C051B" w:rsidRDefault="006C051B" w:rsidP="006C051B">
      <w:pPr>
        <w:spacing w:after="0" w:line="240" w:lineRule="auto"/>
        <w:ind w:left="567" w:hanging="567"/>
        <w:rPr>
          <w:rFonts w:eastAsia="Aptos" w:cstheme="minorHAnsi"/>
          <w:b/>
          <w:bCs/>
        </w:rPr>
      </w:pPr>
      <w:r w:rsidRPr="00000FEB">
        <w:rPr>
          <w:rFonts w:eastAsia="SimSun" w:cstheme="minorHAnsi"/>
          <w:b/>
          <w:iCs/>
          <w:lang w:eastAsia="zh-CN"/>
        </w:rPr>
        <w:t>ii.</w:t>
      </w:r>
      <w:r w:rsidRPr="00000FEB">
        <w:rPr>
          <w:rFonts w:eastAsia="SimSun" w:cstheme="minorHAnsi"/>
          <w:b/>
          <w:iCs/>
          <w:lang w:eastAsia="zh-CN"/>
        </w:rPr>
        <w:tab/>
      </w:r>
      <w:r w:rsidRPr="00000FEB">
        <w:rPr>
          <w:rFonts w:eastAsia="Aptos" w:cstheme="minorHAnsi"/>
          <w:b/>
          <w:bCs/>
        </w:rPr>
        <w:t>instruct</w:t>
      </w:r>
      <w:r>
        <w:rPr>
          <w:rFonts w:eastAsia="Aptos" w:cstheme="minorHAnsi"/>
          <w:b/>
          <w:bCs/>
        </w:rPr>
        <w:t>ed</w:t>
      </w:r>
      <w:r w:rsidRPr="00000FEB">
        <w:rPr>
          <w:rFonts w:eastAsia="Aptos" w:cstheme="minorHAnsi"/>
          <w:b/>
          <w:bCs/>
        </w:rPr>
        <w:t xml:space="preserve"> the Secretariat to submit the draft resolution in document SC64 Doc.14 on</w:t>
      </w:r>
      <w:r w:rsidRPr="00000FEB">
        <w:rPr>
          <w:rFonts w:eastAsia="SimSun" w:cstheme="minorHAnsi"/>
          <w:b/>
          <w:bCs/>
          <w:lang w:eastAsia="zh-CN"/>
        </w:rPr>
        <w:t xml:space="preserve"> </w:t>
      </w:r>
      <w:r w:rsidRPr="00000FEB">
        <w:rPr>
          <w:rFonts w:cstheme="minorHAnsi"/>
          <w:b/>
          <w:bCs/>
        </w:rPr>
        <w:t>enhancing the Convention’s visibility and synergies in partnership with multilateral environmental agreements and other international institutions</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295646D3" w14:textId="77777777" w:rsidR="006C051B" w:rsidRPr="0005017F" w:rsidRDefault="006C051B" w:rsidP="006C051B">
      <w:pPr>
        <w:spacing w:after="0" w:line="240" w:lineRule="auto"/>
        <w:rPr>
          <w:rFonts w:eastAsia="Aptos" w:cstheme="minorHAnsi"/>
          <w:b/>
          <w:bCs/>
        </w:rPr>
      </w:pPr>
    </w:p>
    <w:p w14:paraId="6DE7C91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 xml:space="preserve">10: </w:t>
      </w:r>
      <w:r w:rsidRPr="009E148E">
        <w:rPr>
          <w:rFonts w:cstheme="minorHAnsi"/>
          <w:bCs/>
        </w:rPr>
        <w:t>Urgent challenges to the wise use of wetlands to receive enhanced attention: Update on wetlands inventories</w:t>
      </w:r>
    </w:p>
    <w:p w14:paraId="3062503F" w14:textId="77777777" w:rsidR="006C051B" w:rsidRDefault="006C051B" w:rsidP="006C051B">
      <w:pPr>
        <w:spacing w:after="0" w:line="240" w:lineRule="auto"/>
        <w:contextualSpacing/>
        <w:rPr>
          <w:rFonts w:cstheme="minorHAnsi"/>
          <w:bCs/>
        </w:rPr>
      </w:pPr>
    </w:p>
    <w:p w14:paraId="46AD5901" w14:textId="77777777" w:rsidR="006C051B" w:rsidRDefault="006C051B" w:rsidP="006C051B">
      <w:pPr>
        <w:spacing w:after="0" w:line="240" w:lineRule="auto"/>
        <w:contextualSpacing/>
        <w:rPr>
          <w:rFonts w:cstheme="minorHAnsi"/>
          <w:b/>
        </w:rPr>
      </w:pPr>
      <w:r w:rsidRPr="00D03AFA">
        <w:rPr>
          <w:rFonts w:cstheme="minorHAnsi"/>
          <w:b/>
        </w:rPr>
        <w:t>Decision SC64-</w:t>
      </w:r>
      <w:r>
        <w:rPr>
          <w:rFonts w:cstheme="minorHAnsi"/>
          <w:b/>
        </w:rPr>
        <w:t>19</w:t>
      </w:r>
      <w:r w:rsidRPr="00D03AFA">
        <w:rPr>
          <w:rFonts w:cstheme="minorHAnsi"/>
          <w:b/>
        </w:rPr>
        <w:t>: The Standing Committee:</w:t>
      </w:r>
    </w:p>
    <w:p w14:paraId="79A9A403" w14:textId="77777777" w:rsidR="00F332E0" w:rsidRPr="00D03AFA" w:rsidRDefault="00F332E0" w:rsidP="006C051B">
      <w:pPr>
        <w:spacing w:after="0" w:line="240" w:lineRule="auto"/>
        <w:contextualSpacing/>
        <w:rPr>
          <w:rFonts w:cstheme="minorHAnsi"/>
          <w:b/>
        </w:rPr>
      </w:pPr>
    </w:p>
    <w:p w14:paraId="033C4638" w14:textId="2864869A" w:rsidR="006C051B" w:rsidRPr="00D03AFA" w:rsidRDefault="006C051B" w:rsidP="006C051B">
      <w:pPr>
        <w:spacing w:after="0" w:line="240" w:lineRule="auto"/>
        <w:ind w:left="567" w:hanging="567"/>
        <w:contextualSpacing/>
        <w:rPr>
          <w:rFonts w:cstheme="minorHAnsi"/>
          <w:b/>
        </w:rPr>
      </w:pPr>
      <w:r w:rsidRPr="00D03AFA">
        <w:rPr>
          <w:rFonts w:cstheme="minorHAnsi"/>
          <w:b/>
        </w:rPr>
        <w:t>i.</w:t>
      </w:r>
      <w:r w:rsidRPr="00D03AFA">
        <w:rPr>
          <w:rFonts w:cstheme="minorHAnsi"/>
          <w:b/>
        </w:rPr>
        <w:tab/>
        <w:t xml:space="preserve">noted the progress of the Secretariat in providing a support mechanism to Contracting Parties for the completion of national wetland inventories; </w:t>
      </w:r>
      <w:r w:rsidR="00231E65">
        <w:rPr>
          <w:rFonts w:cstheme="minorHAnsi"/>
          <w:b/>
        </w:rPr>
        <w:t>and</w:t>
      </w:r>
    </w:p>
    <w:p w14:paraId="0D8C42FF" w14:textId="77777777" w:rsidR="00F332E0" w:rsidRDefault="00F332E0" w:rsidP="006C051B">
      <w:pPr>
        <w:spacing w:after="0" w:line="240" w:lineRule="auto"/>
        <w:ind w:left="567" w:hanging="567"/>
        <w:contextualSpacing/>
        <w:rPr>
          <w:rFonts w:cstheme="minorHAnsi"/>
          <w:b/>
        </w:rPr>
      </w:pPr>
    </w:p>
    <w:p w14:paraId="3A5E976E" w14:textId="7C06021E" w:rsidR="006C051B" w:rsidRDefault="006C051B" w:rsidP="006C051B">
      <w:pPr>
        <w:spacing w:after="0" w:line="240" w:lineRule="auto"/>
        <w:ind w:left="567" w:hanging="567"/>
        <w:contextualSpacing/>
        <w:rPr>
          <w:rFonts w:cstheme="minorHAnsi"/>
          <w:b/>
        </w:rPr>
      </w:pPr>
      <w:r w:rsidRPr="00D03AFA">
        <w:rPr>
          <w:rFonts w:cstheme="minorHAnsi"/>
          <w:b/>
        </w:rPr>
        <w:t>ii.</w:t>
      </w:r>
      <w:r w:rsidRPr="00D03AFA">
        <w:rPr>
          <w:rFonts w:cstheme="minorHAnsi"/>
          <w:b/>
        </w:rPr>
        <w:tab/>
        <w:t>requested the Secretariat to further expand the national wetland inventories support mechanism, including through the mobilization of resources and partnerships, to offer further training and technical support.</w:t>
      </w:r>
    </w:p>
    <w:p w14:paraId="59E41C92" w14:textId="77777777" w:rsidR="006C051B" w:rsidRPr="00D03AFA" w:rsidRDefault="006C051B" w:rsidP="006C051B">
      <w:pPr>
        <w:spacing w:after="0" w:line="240" w:lineRule="auto"/>
        <w:ind w:left="720" w:hanging="720"/>
        <w:contextualSpacing/>
        <w:rPr>
          <w:rFonts w:cstheme="minorHAnsi"/>
          <w:b/>
        </w:rPr>
      </w:pPr>
    </w:p>
    <w:p w14:paraId="1F28F411"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6008BA">
        <w:rPr>
          <w:rFonts w:cstheme="minorHAnsi"/>
          <w:bCs/>
        </w:rPr>
        <w:t>22.3</w:t>
      </w:r>
      <w:r>
        <w:rPr>
          <w:rFonts w:cstheme="minorHAnsi"/>
          <w:bCs/>
        </w:rPr>
        <w:t xml:space="preserve">: </w:t>
      </w:r>
      <w:r w:rsidRPr="006008BA">
        <w:rPr>
          <w:rFonts w:cstheme="minorHAnsi"/>
          <w:bCs/>
        </w:rPr>
        <w:t xml:space="preserve">Draft resolution on the Ramsar Wetland Conservation Awards  </w:t>
      </w:r>
    </w:p>
    <w:p w14:paraId="1B2F06BA" w14:textId="77777777" w:rsidR="006C051B" w:rsidRDefault="006C051B" w:rsidP="006C051B">
      <w:pPr>
        <w:spacing w:after="0" w:line="240" w:lineRule="auto"/>
        <w:contextualSpacing/>
        <w:rPr>
          <w:rFonts w:cstheme="minorHAnsi"/>
          <w:bCs/>
        </w:rPr>
      </w:pPr>
    </w:p>
    <w:p w14:paraId="7621C17E" w14:textId="656395BD" w:rsidR="006C051B" w:rsidRDefault="006C051B" w:rsidP="006C051B">
      <w:pPr>
        <w:spacing w:after="0" w:line="240" w:lineRule="auto"/>
        <w:contextualSpacing/>
        <w:rPr>
          <w:rFonts w:cstheme="minorHAnsi"/>
          <w:b/>
        </w:rPr>
      </w:pPr>
      <w:r w:rsidRPr="00CF63E6">
        <w:rPr>
          <w:rFonts w:cstheme="minorHAnsi"/>
          <w:b/>
        </w:rPr>
        <w:t>Decision SC64-</w:t>
      </w:r>
      <w:r>
        <w:rPr>
          <w:rFonts w:cstheme="minorHAnsi"/>
          <w:b/>
        </w:rPr>
        <w:t>20</w:t>
      </w:r>
      <w:r w:rsidRPr="00CF63E6">
        <w:rPr>
          <w:rFonts w:cstheme="minorHAnsi"/>
          <w:b/>
        </w:rPr>
        <w:t xml:space="preserve">: The Standing Committee </w:t>
      </w:r>
      <w:r w:rsidRPr="00412FCE">
        <w:rPr>
          <w:rFonts w:cstheme="minorHAnsi"/>
          <w:b/>
        </w:rPr>
        <w:t>decided not to submit</w:t>
      </w:r>
      <w:r w:rsidRPr="00CF63E6">
        <w:rPr>
          <w:rFonts w:cstheme="minorHAnsi"/>
          <w:b/>
        </w:rPr>
        <w:t xml:space="preserve"> the draft resolution in document SC64 Doc.22.3 for consideration by the Conference of the Contracting Parties.</w:t>
      </w:r>
    </w:p>
    <w:p w14:paraId="0808FA42" w14:textId="77777777" w:rsidR="006C051B" w:rsidRPr="00D03AFA" w:rsidRDefault="006C051B" w:rsidP="006C051B">
      <w:pPr>
        <w:spacing w:after="0" w:line="240" w:lineRule="auto"/>
        <w:ind w:left="720" w:hanging="720"/>
        <w:contextualSpacing/>
        <w:rPr>
          <w:rFonts w:cstheme="minorHAnsi"/>
          <w:b/>
        </w:rPr>
      </w:pPr>
    </w:p>
    <w:p w14:paraId="5B7576A3"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 </w:t>
      </w:r>
      <w:r>
        <w:t>Work plan of the Secretariat for 2025</w:t>
      </w:r>
    </w:p>
    <w:p w14:paraId="78EE0E8D" w14:textId="77777777" w:rsidR="006C051B" w:rsidRDefault="006C051B" w:rsidP="006C051B">
      <w:pPr>
        <w:tabs>
          <w:tab w:val="left" w:pos="0"/>
        </w:tabs>
        <w:spacing w:after="0" w:line="240" w:lineRule="auto"/>
        <w:contextualSpacing/>
        <w:rPr>
          <w:rFonts w:cstheme="minorHAnsi"/>
          <w:b/>
          <w:iCs/>
        </w:rPr>
      </w:pPr>
    </w:p>
    <w:p w14:paraId="5FB12358" w14:textId="28C545C7" w:rsidR="006C051B" w:rsidRDefault="006C051B" w:rsidP="006C051B">
      <w:pPr>
        <w:tabs>
          <w:tab w:val="left" w:pos="0"/>
        </w:tabs>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21:</w:t>
      </w:r>
      <w:r w:rsidRPr="00CF63E6">
        <w:rPr>
          <w:rFonts w:cstheme="minorHAnsi"/>
          <w:b/>
        </w:rPr>
        <w:t xml:space="preserve"> </w:t>
      </w:r>
      <w:r>
        <w:rPr>
          <w:rFonts w:cstheme="minorHAnsi"/>
          <w:b/>
          <w:iCs/>
        </w:rPr>
        <w:t>T</w:t>
      </w:r>
      <w:r w:rsidRPr="00000FEB">
        <w:rPr>
          <w:rFonts w:cstheme="minorHAnsi"/>
          <w:b/>
          <w:iCs/>
        </w:rPr>
        <w:t>he Standing Committee</w:t>
      </w:r>
      <w:r w:rsidRPr="00000FEB">
        <w:rPr>
          <w:rFonts w:eastAsia="SimSun" w:cstheme="minorHAnsi"/>
          <w:b/>
          <w:iCs/>
          <w:lang w:eastAsia="zh-CN"/>
        </w:rPr>
        <w:t xml:space="preserve"> </w:t>
      </w:r>
      <w:r w:rsidRPr="00000FEB">
        <w:rPr>
          <w:rFonts w:cstheme="minorHAnsi"/>
          <w:b/>
          <w:iCs/>
        </w:rPr>
        <w:t>t</w:t>
      </w:r>
      <w:r>
        <w:rPr>
          <w:rFonts w:cstheme="minorHAnsi"/>
          <w:b/>
          <w:iCs/>
        </w:rPr>
        <w:t xml:space="preserve">ook </w:t>
      </w:r>
      <w:r w:rsidRPr="00000FEB">
        <w:rPr>
          <w:rFonts w:cstheme="minorHAnsi"/>
          <w:b/>
          <w:iCs/>
        </w:rPr>
        <w:t>note of and approve</w:t>
      </w:r>
      <w:r>
        <w:rPr>
          <w:rFonts w:eastAsia="SimSun" w:cstheme="minorHAnsi"/>
          <w:b/>
          <w:iCs/>
          <w:lang w:eastAsia="zh-CN"/>
        </w:rPr>
        <w:t>d</w:t>
      </w:r>
      <w:r w:rsidRPr="00000FEB">
        <w:rPr>
          <w:rFonts w:cstheme="minorHAnsi"/>
          <w:b/>
          <w:iCs/>
        </w:rPr>
        <w:t xml:space="preserve"> the Secretariat’s integrated Annual Plan for 2025</w:t>
      </w:r>
      <w:r w:rsidRPr="00000FEB">
        <w:rPr>
          <w:rFonts w:eastAsia="SimSun" w:cstheme="minorHAnsi"/>
          <w:b/>
          <w:iCs/>
          <w:lang w:eastAsia="zh-CN"/>
        </w:rPr>
        <w:t xml:space="preserve"> </w:t>
      </w:r>
      <w:r w:rsidRPr="00000FEB">
        <w:rPr>
          <w:rFonts w:cstheme="minorHAnsi"/>
          <w:b/>
          <w:iCs/>
        </w:rPr>
        <w:t xml:space="preserve">as presented in </w:t>
      </w:r>
      <w:r w:rsidR="00996F6B">
        <w:rPr>
          <w:rFonts w:cstheme="minorHAnsi"/>
          <w:b/>
          <w:iCs/>
        </w:rPr>
        <w:t xml:space="preserve">document </w:t>
      </w:r>
      <w:r w:rsidRPr="00000FEB">
        <w:rPr>
          <w:rFonts w:cstheme="minorHAnsi"/>
          <w:b/>
          <w:iCs/>
        </w:rPr>
        <w:t>SC6</w:t>
      </w:r>
      <w:r w:rsidRPr="00000FEB">
        <w:rPr>
          <w:rFonts w:eastAsia="SimSun" w:cstheme="minorHAnsi"/>
          <w:b/>
          <w:iCs/>
          <w:lang w:eastAsia="zh-CN"/>
        </w:rPr>
        <w:t>4</w:t>
      </w:r>
      <w:r w:rsidRPr="00000FEB">
        <w:rPr>
          <w:rFonts w:cstheme="minorHAnsi"/>
          <w:b/>
          <w:iCs/>
        </w:rPr>
        <w:t xml:space="preserve"> Doc.1</w:t>
      </w:r>
      <w:r w:rsidRPr="00000FEB">
        <w:rPr>
          <w:rFonts w:eastAsia="SimSun" w:cstheme="minorHAnsi"/>
          <w:b/>
          <w:iCs/>
          <w:lang w:eastAsia="zh-CN"/>
        </w:rPr>
        <w:t>7</w:t>
      </w:r>
      <w:r w:rsidRPr="00000FEB">
        <w:rPr>
          <w:rFonts w:cstheme="minorHAnsi"/>
          <w:b/>
          <w:iCs/>
        </w:rPr>
        <w:t>.</w:t>
      </w:r>
    </w:p>
    <w:p w14:paraId="29A5C501" w14:textId="77777777" w:rsidR="006C051B" w:rsidRPr="00D03AFA" w:rsidRDefault="006C051B" w:rsidP="006C051B">
      <w:pPr>
        <w:spacing w:after="0" w:line="240" w:lineRule="auto"/>
        <w:ind w:left="720" w:hanging="720"/>
        <w:contextualSpacing/>
        <w:rPr>
          <w:rFonts w:cstheme="minorHAnsi"/>
          <w:b/>
        </w:rPr>
      </w:pPr>
    </w:p>
    <w:p w14:paraId="57838FA1" w14:textId="6249681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23: </w:t>
      </w:r>
      <w:r>
        <w:t>Draft resolution on Ramsar Regional Initiatives 2025-2028</w:t>
      </w:r>
    </w:p>
    <w:p w14:paraId="6A8D4390" w14:textId="77777777" w:rsidR="006C051B" w:rsidRDefault="006C051B" w:rsidP="006C051B">
      <w:pPr>
        <w:spacing w:after="0" w:line="240" w:lineRule="auto"/>
      </w:pPr>
    </w:p>
    <w:p w14:paraId="4865D39D" w14:textId="60D819DD" w:rsidR="006C051B" w:rsidRDefault="006C051B" w:rsidP="006C051B">
      <w:pPr>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22:</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instruct</w:t>
      </w:r>
      <w:r>
        <w:rPr>
          <w:rFonts w:eastAsia="Aptos" w:cstheme="minorHAnsi"/>
          <w:b/>
          <w:bCs/>
        </w:rPr>
        <w:t>ed</w:t>
      </w:r>
      <w:r w:rsidRPr="00000FEB">
        <w:rPr>
          <w:rFonts w:eastAsia="Aptos" w:cstheme="minorHAnsi"/>
          <w:b/>
          <w:bCs/>
        </w:rPr>
        <w:t xml:space="preserve"> the Secretariat to submit the draft resolution in document SC64 Doc.23 on</w:t>
      </w:r>
      <w:r w:rsidRPr="00000FEB">
        <w:rPr>
          <w:rFonts w:eastAsia="SimSun" w:cstheme="minorHAnsi"/>
          <w:b/>
          <w:bCs/>
          <w:lang w:eastAsia="zh-CN"/>
        </w:rPr>
        <w:t xml:space="preserve"> </w:t>
      </w:r>
      <w:r w:rsidRPr="00000FEB">
        <w:rPr>
          <w:rFonts w:eastAsia="SimSun" w:cstheme="minorHAnsi"/>
          <w:b/>
          <w:iCs/>
          <w:lang w:eastAsia="zh-CN"/>
        </w:rPr>
        <w:t xml:space="preserve">Ramsar Regional Initiatives 2025-2028 </w:t>
      </w:r>
      <w:r w:rsidRPr="00000FEB">
        <w:rPr>
          <w:rFonts w:eastAsia="Aptos" w:cstheme="minorHAnsi"/>
          <w:b/>
          <w:iCs/>
        </w:rPr>
        <w:t>to</w:t>
      </w:r>
      <w:r w:rsidRPr="00000FEB">
        <w:rPr>
          <w:rFonts w:eastAsia="Aptos" w:cstheme="minorHAnsi"/>
          <w:b/>
          <w:bCs/>
        </w:rPr>
        <w:t xml:space="preserve"> COP15 for its consideration</w:t>
      </w:r>
      <w:r w:rsidRPr="006F7EE1">
        <w:rPr>
          <w:rFonts w:eastAsia="Aptos" w:cstheme="minorHAnsi"/>
          <w:b/>
          <w:bCs/>
        </w:rPr>
        <w:t>,</w:t>
      </w:r>
      <w:r w:rsidRPr="00412FCE">
        <w:rPr>
          <w:rFonts w:eastAsia="Aptos" w:cstheme="minorHAnsi"/>
          <w:b/>
          <w:bCs/>
        </w:rPr>
        <w:t xml:space="preserve"> </w:t>
      </w:r>
      <w:r w:rsidRPr="00000FEB">
        <w:rPr>
          <w:rFonts w:eastAsia="Aptos" w:cstheme="minorHAnsi"/>
          <w:b/>
          <w:bCs/>
        </w:rPr>
        <w:t>amended to take into account the inputs presented by the Committee.</w:t>
      </w:r>
      <w:r w:rsidRPr="00000FEB">
        <w:rPr>
          <w:rFonts w:cstheme="minorHAnsi"/>
          <w:b/>
          <w:iCs/>
        </w:rPr>
        <w:t xml:space="preserve"> </w:t>
      </w:r>
    </w:p>
    <w:p w14:paraId="057401E2" w14:textId="77777777" w:rsidR="006C051B" w:rsidRPr="00D03AFA" w:rsidRDefault="006C051B" w:rsidP="006C051B">
      <w:pPr>
        <w:spacing w:after="0" w:line="240" w:lineRule="auto"/>
        <w:ind w:left="720" w:hanging="720"/>
        <w:contextualSpacing/>
        <w:rPr>
          <w:rFonts w:cstheme="minorHAnsi"/>
          <w:b/>
        </w:rPr>
      </w:pPr>
    </w:p>
    <w:p w14:paraId="4E78F86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22.1: </w:t>
      </w:r>
      <w:r>
        <w:t>Report of the Subgroup on COP15</w:t>
      </w:r>
    </w:p>
    <w:p w14:paraId="0280E87A" w14:textId="77777777" w:rsidR="006C051B" w:rsidRDefault="006C051B" w:rsidP="006C051B">
      <w:pPr>
        <w:spacing w:after="0" w:line="240" w:lineRule="auto"/>
        <w:ind w:left="567" w:hanging="567"/>
      </w:pPr>
    </w:p>
    <w:p w14:paraId="26634718" w14:textId="77777777" w:rsidR="006C051B" w:rsidRPr="00A36FD6"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SC64-23:</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w:t>
      </w:r>
      <w:r>
        <w:rPr>
          <w:rFonts w:cstheme="minorHAnsi"/>
          <w:b/>
          <w:bCs/>
        </w:rPr>
        <w:t>presentation</w:t>
      </w:r>
      <w:r w:rsidRPr="00000FEB">
        <w:rPr>
          <w:rFonts w:cstheme="minorHAnsi"/>
          <w:b/>
          <w:bCs/>
        </w:rPr>
        <w:t xml:space="preserve"> of </w:t>
      </w:r>
      <w:r>
        <w:rPr>
          <w:rFonts w:cstheme="minorHAnsi"/>
          <w:b/>
          <w:bCs/>
        </w:rPr>
        <w:t>COP15 preparations by Zimbabwe.</w:t>
      </w:r>
    </w:p>
    <w:p w14:paraId="166D49FC" w14:textId="77777777" w:rsidR="006C051B" w:rsidRDefault="006C051B" w:rsidP="006C051B">
      <w:pPr>
        <w:spacing w:after="0" w:line="240" w:lineRule="auto"/>
        <w:contextualSpacing/>
        <w:rPr>
          <w:rFonts w:cstheme="minorHAnsi"/>
          <w:b/>
        </w:rPr>
      </w:pPr>
    </w:p>
    <w:p w14:paraId="79BC1439" w14:textId="2A6A1C0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7C6BDC">
        <w:rPr>
          <w:rFonts w:cstheme="minorHAnsi"/>
          <w:bCs/>
        </w:rPr>
        <w:t>7.2</w:t>
      </w:r>
      <w:r>
        <w:rPr>
          <w:rFonts w:cstheme="minorHAnsi"/>
          <w:bCs/>
        </w:rPr>
        <w:t xml:space="preserve">: </w:t>
      </w:r>
      <w:r w:rsidR="00443E4A" w:rsidRPr="00B81692">
        <w:rPr>
          <w:rFonts w:cstheme="minorHAnsi"/>
          <w:bCs/>
        </w:rPr>
        <w:t xml:space="preserve">Report of the Management Working Group: </w:t>
      </w:r>
      <w:r w:rsidRPr="007C6BDC">
        <w:rPr>
          <w:rFonts w:cstheme="minorHAnsi"/>
          <w:bCs/>
        </w:rPr>
        <w:t>Report on the process for recruiting a new Secretary General</w:t>
      </w:r>
    </w:p>
    <w:p w14:paraId="3B30783F" w14:textId="77777777" w:rsidR="006C051B" w:rsidRDefault="006C051B" w:rsidP="006C051B">
      <w:pPr>
        <w:spacing w:after="0" w:line="240" w:lineRule="auto"/>
        <w:contextualSpacing/>
        <w:rPr>
          <w:rFonts w:cstheme="minorHAnsi"/>
          <w:b/>
        </w:rPr>
      </w:pPr>
    </w:p>
    <w:p w14:paraId="4D81E0B4" w14:textId="77777777" w:rsidR="006C051B" w:rsidRPr="00390A32" w:rsidRDefault="006C051B" w:rsidP="006C051B">
      <w:pPr>
        <w:spacing w:after="0" w:line="240" w:lineRule="auto"/>
        <w:rPr>
          <w:b/>
          <w:bCs/>
        </w:rPr>
      </w:pPr>
      <w:r w:rsidRPr="00553B68">
        <w:rPr>
          <w:rFonts w:cstheme="minorHAnsi"/>
          <w:b/>
        </w:rPr>
        <w:t>Decision SC64-2</w:t>
      </w:r>
      <w:r>
        <w:rPr>
          <w:rFonts w:cstheme="minorHAnsi"/>
          <w:b/>
        </w:rPr>
        <w:t>4</w:t>
      </w:r>
      <w:r w:rsidRPr="00553B68">
        <w:rPr>
          <w:rFonts w:cstheme="minorHAnsi"/>
          <w:b/>
        </w:rPr>
        <w:t xml:space="preserve">: The Standing Committee </w:t>
      </w:r>
      <w:r w:rsidRPr="00BB706A">
        <w:rPr>
          <w:rFonts w:cstheme="minorHAnsi"/>
          <w:b/>
        </w:rPr>
        <w:t>instructed</w:t>
      </w:r>
      <w:r w:rsidRPr="00BB706A">
        <w:rPr>
          <w:b/>
        </w:rPr>
        <w:t xml:space="preserve"> the </w:t>
      </w:r>
      <w:r w:rsidRPr="00BB706A">
        <w:rPr>
          <w:rFonts w:cstheme="minorHAnsi"/>
          <w:b/>
        </w:rPr>
        <w:t>Secretariat to submit</w:t>
      </w:r>
      <w:r>
        <w:rPr>
          <w:rFonts w:cstheme="minorHAnsi"/>
          <w:b/>
        </w:rPr>
        <w:t xml:space="preserve"> in square brackets the </w:t>
      </w:r>
      <w:r w:rsidRPr="00BB706A">
        <w:rPr>
          <w:rFonts w:cstheme="minorHAnsi"/>
          <w:b/>
        </w:rPr>
        <w:t>draft resolution</w:t>
      </w:r>
      <w:r>
        <w:rPr>
          <w:rFonts w:cstheme="minorHAnsi"/>
          <w:b/>
        </w:rPr>
        <w:t xml:space="preserve"> </w:t>
      </w:r>
      <w:r w:rsidRPr="004C0CCE">
        <w:rPr>
          <w:rFonts w:cstheme="minorHAnsi"/>
          <w:b/>
        </w:rPr>
        <w:t>on the process for recruiting a new Secretary General</w:t>
      </w:r>
      <w:r>
        <w:rPr>
          <w:rFonts w:cstheme="minorHAnsi"/>
          <w:b/>
        </w:rPr>
        <w:t xml:space="preserve">, contained </w:t>
      </w:r>
      <w:r w:rsidRPr="00BB706A">
        <w:rPr>
          <w:rFonts w:cstheme="minorHAnsi"/>
          <w:b/>
        </w:rPr>
        <w:t xml:space="preserve">in </w:t>
      </w:r>
      <w:r>
        <w:rPr>
          <w:rFonts w:cstheme="minorHAnsi"/>
          <w:b/>
        </w:rPr>
        <w:t xml:space="preserve">Annex 1 of </w:t>
      </w:r>
      <w:r w:rsidRPr="00BB706A">
        <w:rPr>
          <w:rFonts w:cstheme="minorHAnsi"/>
          <w:b/>
        </w:rPr>
        <w:t xml:space="preserve">document </w:t>
      </w:r>
      <w:r w:rsidRPr="0056126D">
        <w:rPr>
          <w:rFonts w:cstheme="minorHAnsi"/>
          <w:b/>
        </w:rPr>
        <w:t>SC64 Doc.7.2</w:t>
      </w:r>
      <w:r>
        <w:rPr>
          <w:rFonts w:cstheme="minorHAnsi"/>
          <w:b/>
        </w:rPr>
        <w:t>,</w:t>
      </w:r>
      <w:r w:rsidRPr="002F3CCD">
        <w:t xml:space="preserve"> </w:t>
      </w:r>
      <w:r w:rsidRPr="002F3CCD">
        <w:rPr>
          <w:rFonts w:cstheme="minorHAnsi"/>
          <w:b/>
        </w:rPr>
        <w:t>to COP15</w:t>
      </w:r>
      <w:r>
        <w:rPr>
          <w:rFonts w:cstheme="minorHAnsi"/>
          <w:b/>
        </w:rPr>
        <w:t xml:space="preserve"> </w:t>
      </w:r>
      <w:r w:rsidRPr="00BB706A">
        <w:rPr>
          <w:rFonts w:cstheme="minorHAnsi"/>
          <w:b/>
        </w:rPr>
        <w:t>for its consideration</w:t>
      </w:r>
      <w:r>
        <w:rPr>
          <w:rFonts w:cstheme="minorHAnsi"/>
          <w:b/>
        </w:rPr>
        <w:t>.</w:t>
      </w:r>
      <w:r w:rsidRPr="00390A32">
        <w:rPr>
          <w:b/>
          <w:bCs/>
        </w:rPr>
        <w:t xml:space="preserve"> </w:t>
      </w:r>
    </w:p>
    <w:p w14:paraId="0A962EBD" w14:textId="77777777" w:rsidR="006C051B" w:rsidRDefault="006C051B" w:rsidP="006C051B">
      <w:pPr>
        <w:spacing w:after="0" w:line="240" w:lineRule="auto"/>
        <w:contextualSpacing/>
        <w:rPr>
          <w:rFonts w:cstheme="minorHAnsi"/>
          <w:b/>
        </w:rPr>
      </w:pPr>
    </w:p>
    <w:p w14:paraId="3E8BB7DE" w14:textId="77777777" w:rsidR="006C051B" w:rsidRPr="00390A32"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25: Draft resolution on the Status of Sites on the List of Wetlands of International Importance</w:t>
      </w:r>
    </w:p>
    <w:p w14:paraId="2EDE72AB" w14:textId="77777777" w:rsidR="006C051B" w:rsidRDefault="006C051B" w:rsidP="006C051B">
      <w:pPr>
        <w:spacing w:after="0" w:line="240" w:lineRule="auto"/>
        <w:contextualSpacing/>
        <w:rPr>
          <w:rFonts w:cstheme="minorHAnsi"/>
          <w:b/>
          <w:iCs/>
        </w:rPr>
      </w:pPr>
    </w:p>
    <w:p w14:paraId="26E1DCD8" w14:textId="77777777" w:rsidR="006C051B" w:rsidRPr="00390A32"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w:t>
      </w:r>
      <w:r w:rsidRPr="00553B68">
        <w:rPr>
          <w:rFonts w:cstheme="minorHAnsi"/>
          <w:b/>
        </w:rPr>
        <w:t>SC64-2</w:t>
      </w:r>
      <w:r>
        <w:rPr>
          <w:rFonts w:cstheme="minorHAnsi"/>
          <w:b/>
        </w:rPr>
        <w:t>5</w:t>
      </w:r>
      <w:r w:rsidRPr="00553B68">
        <w:rPr>
          <w:rFonts w:cstheme="minorHAnsi"/>
          <w:b/>
        </w:rPr>
        <w:t>:</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w:t>
      </w:r>
      <w:r>
        <w:rPr>
          <w:rFonts w:eastAsia="Aptos" w:cstheme="minorHAnsi"/>
          <w:b/>
          <w:bCs/>
        </w:rPr>
        <w:t>ted</w:t>
      </w:r>
      <w:r w:rsidRPr="00000FEB">
        <w:rPr>
          <w:rFonts w:eastAsia="Aptos" w:cstheme="minorHAnsi"/>
          <w:b/>
          <w:bCs/>
        </w:rPr>
        <w:t xml:space="preserve"> the Secretariat to submit the draft resolution in document SC64 Doc.25 on</w:t>
      </w:r>
      <w:r w:rsidRPr="00000FEB">
        <w:rPr>
          <w:rFonts w:eastAsia="SimSun" w:cstheme="minorHAnsi"/>
          <w:b/>
          <w:bCs/>
          <w:lang w:eastAsia="zh-CN"/>
        </w:rPr>
        <w:t xml:space="preserve"> </w:t>
      </w:r>
      <w:r w:rsidRPr="00000FEB">
        <w:rPr>
          <w:rFonts w:eastAsia="SimSun" w:cstheme="minorHAnsi"/>
          <w:b/>
          <w:iCs/>
          <w:lang w:eastAsia="zh-CN"/>
        </w:rPr>
        <w:t>the status of Sites on the List of Wetlands of International Importance</w:t>
      </w:r>
      <w:r w:rsidRPr="00000FEB">
        <w:rPr>
          <w:rFonts w:cstheme="minorHAnsi"/>
          <w:b/>
          <w:bCs/>
        </w:rPr>
        <w:t xml:space="preserve"> </w:t>
      </w:r>
      <w:r w:rsidRPr="00000FEB">
        <w:rPr>
          <w:rFonts w:eastAsia="Aptos" w:cstheme="minorHAnsi"/>
          <w:b/>
          <w:bCs/>
        </w:rPr>
        <w:t>to COP15 for its consideration</w:t>
      </w:r>
      <w:r>
        <w:rPr>
          <w:rFonts w:eastAsia="Aptos" w:cstheme="minorHAnsi"/>
          <w:b/>
          <w:bCs/>
        </w:rPr>
        <w:t>.</w:t>
      </w:r>
    </w:p>
    <w:p w14:paraId="41E21253" w14:textId="77777777" w:rsidR="006C051B" w:rsidRDefault="006C051B" w:rsidP="006C051B">
      <w:pPr>
        <w:spacing w:after="0" w:line="240" w:lineRule="auto"/>
        <w:contextualSpacing/>
        <w:rPr>
          <w:rFonts w:cstheme="minorHAnsi"/>
          <w:bCs/>
        </w:rPr>
      </w:pPr>
    </w:p>
    <w:p w14:paraId="18E5DB6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 xml:space="preserve">27: </w:t>
      </w:r>
      <w:r w:rsidRPr="00390A32">
        <w:rPr>
          <w:rFonts w:eastAsia="Aptos" w:cstheme="minorHAnsi"/>
        </w:rPr>
        <w:t>Report of the Secretariat on proposals on strengthening the process to include a Site on the List of Wetlands of International Importance</w:t>
      </w:r>
    </w:p>
    <w:p w14:paraId="22427F4D" w14:textId="77777777" w:rsidR="006C051B" w:rsidRDefault="006C051B" w:rsidP="00F51D54">
      <w:pPr>
        <w:keepNext/>
        <w:spacing w:after="0" w:line="240" w:lineRule="auto"/>
        <w:ind w:left="567" w:hanging="567"/>
      </w:pPr>
    </w:p>
    <w:p w14:paraId="6C1A70A1" w14:textId="5397E0DF" w:rsidR="006C051B" w:rsidRPr="008C07CC" w:rsidRDefault="006C051B" w:rsidP="006C051B">
      <w:pPr>
        <w:spacing w:after="0" w:line="240" w:lineRule="auto"/>
        <w:rPr>
          <w:rFonts w:cstheme="minorHAnsi"/>
          <w:b/>
        </w:rPr>
      </w:pPr>
      <w:r w:rsidRPr="008C07CC">
        <w:rPr>
          <w:rFonts w:cstheme="minorHAnsi"/>
          <w:b/>
          <w:iCs/>
        </w:rPr>
        <w:t xml:space="preserve">Decision </w:t>
      </w:r>
      <w:r w:rsidRPr="008C07CC">
        <w:rPr>
          <w:rFonts w:cstheme="minorHAnsi"/>
          <w:b/>
        </w:rPr>
        <w:t>SC64-2</w:t>
      </w:r>
      <w:r>
        <w:rPr>
          <w:rFonts w:cstheme="minorHAnsi"/>
          <w:b/>
        </w:rPr>
        <w:t>6</w:t>
      </w:r>
      <w:r w:rsidRPr="008C07CC">
        <w:rPr>
          <w:rFonts w:cstheme="minorHAnsi"/>
          <w:b/>
        </w:rPr>
        <w:t>:</w:t>
      </w:r>
      <w:r w:rsidRPr="008C07CC">
        <w:rPr>
          <w:rFonts w:cstheme="minorHAnsi"/>
          <w:b/>
          <w:iCs/>
        </w:rPr>
        <w:t xml:space="preserve"> The Standing Committee took note of the </w:t>
      </w:r>
      <w:r w:rsidRPr="008C07CC">
        <w:rPr>
          <w:rFonts w:cstheme="minorHAnsi"/>
          <w:b/>
        </w:rPr>
        <w:t xml:space="preserve">report and  decided </w:t>
      </w:r>
      <w:r w:rsidRPr="008C07CC">
        <w:rPr>
          <w:b/>
        </w:rPr>
        <w:t xml:space="preserve">to extend the work of interested </w:t>
      </w:r>
      <w:r w:rsidR="0065391A">
        <w:rPr>
          <w:b/>
        </w:rPr>
        <w:t xml:space="preserve">Contracting </w:t>
      </w:r>
      <w:r w:rsidRPr="008C07CC">
        <w:rPr>
          <w:b/>
        </w:rPr>
        <w:t>Parties into the next triennium, and instructed the Secretariat to present to SC67 an updated report reflecting further suggestions from Parties on strengthening the process to include a Site on the List of Wetlands of International Importance, for SC67 to consider any further actions.</w:t>
      </w:r>
    </w:p>
    <w:p w14:paraId="2EAC8769" w14:textId="77777777" w:rsidR="006C051B" w:rsidRDefault="006C051B" w:rsidP="006C051B">
      <w:pPr>
        <w:spacing w:after="0" w:line="240" w:lineRule="auto"/>
        <w:contextualSpacing/>
        <w:rPr>
          <w:rFonts w:cstheme="minorHAnsi"/>
          <w:b/>
        </w:rPr>
      </w:pPr>
    </w:p>
    <w:p w14:paraId="2BD3875D" w14:textId="02EC653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5B1E9B">
        <w:rPr>
          <w:rFonts w:cstheme="minorHAnsi"/>
          <w:bCs/>
        </w:rPr>
        <w:t>29.12</w:t>
      </w:r>
      <w:r>
        <w:rPr>
          <w:rFonts w:cstheme="minorHAnsi"/>
          <w:bCs/>
        </w:rPr>
        <w:t xml:space="preserve">: </w:t>
      </w:r>
      <w:r w:rsidR="006C03F8">
        <w:rPr>
          <w:rFonts w:cstheme="minorHAnsi"/>
          <w:bCs/>
        </w:rPr>
        <w:t>P</w:t>
      </w:r>
      <w:r w:rsidR="006C03F8" w:rsidRPr="00196467">
        <w:t xml:space="preserve">roposed draft resolution on </w:t>
      </w:r>
      <w:r w:rsidR="006C03F8">
        <w:t>a</w:t>
      </w:r>
      <w:r w:rsidRPr="005B1E9B">
        <w:rPr>
          <w:rFonts w:cstheme="minorHAnsi"/>
          <w:bCs/>
        </w:rPr>
        <w:t>ssessing wetland vulnerability</w:t>
      </w:r>
    </w:p>
    <w:p w14:paraId="45CB7986" w14:textId="77777777" w:rsidR="006C051B" w:rsidRDefault="006C051B" w:rsidP="006C051B">
      <w:pPr>
        <w:spacing w:after="0" w:line="240" w:lineRule="auto"/>
        <w:contextualSpacing/>
        <w:rPr>
          <w:rFonts w:cstheme="minorHAnsi"/>
          <w:bCs/>
        </w:rPr>
      </w:pPr>
    </w:p>
    <w:p w14:paraId="2A01EDA3" w14:textId="77777777" w:rsidR="006C051B" w:rsidRPr="00187304" w:rsidRDefault="006C051B" w:rsidP="006C051B">
      <w:pPr>
        <w:spacing w:after="0" w:line="240" w:lineRule="auto"/>
        <w:contextualSpacing/>
        <w:rPr>
          <w:rFonts w:cstheme="minorHAnsi"/>
          <w:b/>
        </w:rPr>
      </w:pPr>
      <w:r w:rsidRPr="00187304">
        <w:rPr>
          <w:rFonts w:cstheme="minorHAnsi"/>
          <w:b/>
        </w:rPr>
        <w:t>Decision SC64-</w:t>
      </w:r>
      <w:r>
        <w:rPr>
          <w:rFonts w:cstheme="minorHAnsi"/>
          <w:b/>
        </w:rPr>
        <w:t>27</w:t>
      </w:r>
      <w:r w:rsidRPr="00187304">
        <w:rPr>
          <w:rFonts w:cstheme="minorHAnsi"/>
          <w:b/>
        </w:rPr>
        <w:t>: The Standing Committee instructed the Secretariat to submit the draft resolution in document SC64 Doc.29.12</w:t>
      </w:r>
      <w:r>
        <w:rPr>
          <w:rFonts w:cstheme="minorHAnsi"/>
          <w:b/>
        </w:rPr>
        <w:t xml:space="preserve"> Rev.2,</w:t>
      </w:r>
      <w:r w:rsidRPr="00187304">
        <w:rPr>
          <w:rFonts w:cstheme="minorHAnsi"/>
          <w:b/>
        </w:rPr>
        <w:t xml:space="preserve"> on assessing wetland vulnerability</w:t>
      </w:r>
      <w:r>
        <w:rPr>
          <w:rFonts w:cstheme="minorHAnsi"/>
          <w:b/>
        </w:rPr>
        <w:t>,</w:t>
      </w:r>
      <w:r w:rsidRPr="00187304">
        <w:rPr>
          <w:rFonts w:cstheme="minorHAnsi"/>
          <w:b/>
        </w:rPr>
        <w:t xml:space="preserve"> to COP15 for its consideration, amended to take into account the inputs presented by the Committee.</w:t>
      </w:r>
    </w:p>
    <w:p w14:paraId="27064588" w14:textId="77777777" w:rsidR="006C051B" w:rsidRDefault="006C051B" w:rsidP="006C051B">
      <w:pPr>
        <w:spacing w:after="0" w:line="240" w:lineRule="auto"/>
        <w:contextualSpacing/>
        <w:rPr>
          <w:rFonts w:cstheme="minorHAnsi"/>
          <w:bCs/>
        </w:rPr>
      </w:pPr>
    </w:p>
    <w:p w14:paraId="36A6388A" w14:textId="7CF13210"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A6404">
        <w:rPr>
          <w:rFonts w:cstheme="minorHAnsi"/>
          <w:bCs/>
        </w:rPr>
        <w:t>29.3</w:t>
      </w:r>
      <w:r>
        <w:rPr>
          <w:rFonts w:cstheme="minorHAnsi"/>
          <w:bCs/>
        </w:rPr>
        <w:t xml:space="preserve">: </w:t>
      </w:r>
      <w:r w:rsidR="006C03F8">
        <w:rPr>
          <w:rFonts w:cstheme="minorHAnsi"/>
          <w:bCs/>
        </w:rPr>
        <w:t>P</w:t>
      </w:r>
      <w:r w:rsidR="006C03F8" w:rsidRPr="00196467">
        <w:t xml:space="preserve">roposed draft resolution on </w:t>
      </w:r>
      <w:r w:rsidR="006C03F8">
        <w:t>s</w:t>
      </w:r>
      <w:r w:rsidRPr="00FA6404">
        <w:rPr>
          <w:rFonts w:cstheme="minorHAnsi"/>
          <w:bCs/>
        </w:rPr>
        <w:t>trengthening national actions for the conservation and restoration of the East Asian-Australasian Flyway</w:t>
      </w:r>
    </w:p>
    <w:p w14:paraId="408138CC" w14:textId="77777777" w:rsidR="006C051B" w:rsidRDefault="006C051B" w:rsidP="006C051B">
      <w:pPr>
        <w:spacing w:after="0" w:line="240" w:lineRule="auto"/>
        <w:contextualSpacing/>
        <w:rPr>
          <w:rFonts w:cstheme="minorHAnsi"/>
          <w:bCs/>
        </w:rPr>
      </w:pPr>
    </w:p>
    <w:p w14:paraId="386CCB4B" w14:textId="77777777" w:rsidR="006C051B" w:rsidRPr="00187304" w:rsidRDefault="006C051B" w:rsidP="006C051B">
      <w:pPr>
        <w:contextualSpacing/>
        <w:rPr>
          <w:rFonts w:cstheme="minorHAnsi"/>
          <w:b/>
        </w:rPr>
      </w:pPr>
      <w:r w:rsidRPr="00187304">
        <w:rPr>
          <w:rFonts w:cstheme="minorHAnsi"/>
          <w:b/>
        </w:rPr>
        <w:t>Decision SC64-2</w:t>
      </w:r>
      <w:r>
        <w:rPr>
          <w:rFonts w:cstheme="minorHAnsi"/>
          <w:b/>
        </w:rPr>
        <w:t>8</w:t>
      </w:r>
      <w:r w:rsidRPr="00187304">
        <w:rPr>
          <w:rFonts w:cstheme="minorHAnsi"/>
          <w:b/>
        </w:rPr>
        <w:t>: The Standing Committee instructed the Secretariat to submit the draft resolution in document SC64 Doc.29.</w:t>
      </w:r>
      <w:r>
        <w:rPr>
          <w:rFonts w:cstheme="minorHAnsi"/>
          <w:b/>
        </w:rPr>
        <w:t>3 Rev.1,</w:t>
      </w:r>
      <w:r w:rsidRPr="00187304">
        <w:rPr>
          <w:rFonts w:cstheme="minorHAnsi"/>
          <w:b/>
        </w:rPr>
        <w:t xml:space="preserve"> on</w:t>
      </w:r>
      <w:r>
        <w:rPr>
          <w:rFonts w:cstheme="minorHAnsi"/>
          <w:b/>
        </w:rPr>
        <w:t xml:space="preserve"> </w:t>
      </w:r>
      <w:r w:rsidRPr="00EE2086">
        <w:rPr>
          <w:rFonts w:cstheme="minorHAnsi"/>
          <w:b/>
        </w:rPr>
        <w:t>strengthening national actions for the conservation and restoration of waterbird flyways</w:t>
      </w:r>
      <w:r>
        <w:rPr>
          <w:rFonts w:cstheme="minorHAnsi"/>
          <w:b/>
        </w:rPr>
        <w:t>,</w:t>
      </w:r>
      <w:r w:rsidRPr="00187304">
        <w:rPr>
          <w:rFonts w:cstheme="minorHAnsi"/>
          <w:b/>
        </w:rPr>
        <w:t xml:space="preserve"> to COP15 for its consideration, amended to take into account the inputs presented by the Committee.</w:t>
      </w:r>
    </w:p>
    <w:p w14:paraId="0B469F91" w14:textId="77777777" w:rsidR="006C051B" w:rsidRDefault="006C051B" w:rsidP="006C051B">
      <w:pPr>
        <w:spacing w:after="0" w:line="240" w:lineRule="auto"/>
        <w:contextualSpacing/>
        <w:rPr>
          <w:rFonts w:cstheme="minorHAnsi"/>
          <w:bCs/>
        </w:rPr>
      </w:pPr>
    </w:p>
    <w:p w14:paraId="2F644097" w14:textId="2C376F63" w:rsidR="006C051B" w:rsidRPr="00336E7D"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36E7D">
        <w:rPr>
          <w:rFonts w:cstheme="minorHAnsi"/>
          <w:bCs/>
        </w:rPr>
        <w:t xml:space="preserve">Agenda item 29.10: </w:t>
      </w:r>
      <w:r w:rsidR="00443E4A" w:rsidRPr="00336E7D">
        <w:rPr>
          <w:rFonts w:cstheme="minorHAnsi"/>
          <w:bCs/>
        </w:rPr>
        <w:t>Proposed draft resolution on recognition of river dolphins as key species for the conservation and sustainable use of wetlands in South America and Asia</w:t>
      </w:r>
    </w:p>
    <w:p w14:paraId="2A984BD1" w14:textId="77777777" w:rsidR="006C051B" w:rsidRDefault="006C051B" w:rsidP="006C051B">
      <w:pPr>
        <w:spacing w:after="0" w:line="240" w:lineRule="auto"/>
        <w:ind w:left="720" w:hanging="720"/>
        <w:rPr>
          <w:bCs/>
        </w:rPr>
      </w:pPr>
    </w:p>
    <w:p w14:paraId="2FA15509" w14:textId="16E1694E" w:rsidR="006C051B" w:rsidRPr="00000FEB" w:rsidRDefault="006C051B" w:rsidP="006C051B">
      <w:pPr>
        <w:spacing w:after="0" w:line="240" w:lineRule="auto"/>
        <w:contextualSpacing/>
        <w:rPr>
          <w:rFonts w:eastAsia="SimSun" w:cstheme="minorHAnsi"/>
          <w:b/>
          <w:iCs/>
          <w:lang w:eastAsia="zh-CN"/>
        </w:rPr>
      </w:pPr>
      <w:r w:rsidRPr="00000FEB">
        <w:rPr>
          <w:rFonts w:cstheme="minorHAnsi"/>
          <w:b/>
          <w:iCs/>
        </w:rPr>
        <w:t xml:space="preserve">Decision </w:t>
      </w:r>
      <w:r w:rsidRPr="00187304">
        <w:rPr>
          <w:rFonts w:cstheme="minorHAnsi"/>
          <w:b/>
        </w:rPr>
        <w:t>SC64-2</w:t>
      </w:r>
      <w:r>
        <w:rPr>
          <w:rFonts w:cstheme="minorHAnsi"/>
          <w:b/>
        </w:rPr>
        <w:t>9</w:t>
      </w:r>
      <w:r w:rsidRPr="00187304">
        <w:rPr>
          <w:rFonts w:cstheme="minorHAnsi"/>
          <w:b/>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Doc.29.10 </w:t>
      </w:r>
      <w:r>
        <w:rPr>
          <w:rFonts w:eastAsia="Aptos" w:cstheme="minorHAnsi"/>
          <w:b/>
          <w:bCs/>
        </w:rPr>
        <w:t xml:space="preserve">Rev.1, </w:t>
      </w:r>
      <w:r w:rsidRPr="00000FEB">
        <w:rPr>
          <w:rFonts w:eastAsia="Aptos" w:cstheme="minorHAnsi"/>
          <w:b/>
          <w:bCs/>
        </w:rPr>
        <w:t>on</w:t>
      </w:r>
      <w:r w:rsidRPr="00000FEB">
        <w:rPr>
          <w:rFonts w:eastAsia="SimSun" w:cstheme="minorHAnsi"/>
          <w:b/>
          <w:bCs/>
          <w:lang w:eastAsia="zh-CN"/>
        </w:rPr>
        <w:t xml:space="preserve"> recognition of river dolphins as key species for the conservation and sustainable use of wetlands in South America and Asia</w:t>
      </w:r>
      <w:r>
        <w:rPr>
          <w:rFonts w:eastAsia="SimSun" w:cstheme="minorHAnsi"/>
          <w:b/>
          <w:bCs/>
          <w:lang w:eastAsia="zh-CN"/>
        </w:rPr>
        <w:t>,</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r>
        <w:rPr>
          <w:rFonts w:eastAsia="Aptos" w:cstheme="minorHAnsi"/>
          <w:b/>
          <w:bCs/>
        </w:rPr>
        <w:t xml:space="preserve">. </w:t>
      </w:r>
    </w:p>
    <w:p w14:paraId="4A7565B3" w14:textId="77777777" w:rsidR="006C051B" w:rsidRPr="00354A87" w:rsidRDefault="006C051B" w:rsidP="006C051B">
      <w:pPr>
        <w:keepNext/>
        <w:spacing w:after="0" w:line="240" w:lineRule="auto"/>
        <w:rPr>
          <w:rFonts w:cstheme="minorHAnsi"/>
        </w:rPr>
      </w:pPr>
    </w:p>
    <w:p w14:paraId="14CB5B66" w14:textId="282FB7EE" w:rsidR="006C051B" w:rsidRPr="00354A87"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54A87">
        <w:rPr>
          <w:rFonts w:cstheme="minorHAnsi"/>
          <w:bCs/>
        </w:rPr>
        <w:t>Agenda item 11: Report of the Strategic Plan Working Group</w:t>
      </w:r>
    </w:p>
    <w:p w14:paraId="305C76FD" w14:textId="77777777" w:rsidR="006C051B" w:rsidRDefault="006C051B" w:rsidP="006C051B">
      <w:pPr>
        <w:spacing w:after="0" w:line="240" w:lineRule="auto"/>
        <w:rPr>
          <w:rFonts w:eastAsia="Calibri" w:cstheme="minorHAnsi"/>
          <w:bCs/>
          <w:lang w:val="en-US"/>
        </w:rPr>
      </w:pPr>
    </w:p>
    <w:p w14:paraId="664D92C3" w14:textId="77777777" w:rsidR="006C051B" w:rsidRPr="00127DD1" w:rsidRDefault="006C051B" w:rsidP="006C051B">
      <w:pPr>
        <w:spacing w:after="0" w:line="240" w:lineRule="auto"/>
        <w:rPr>
          <w:rFonts w:eastAsia="Calibri" w:cstheme="minorHAnsi"/>
          <w:b/>
          <w:bCs/>
        </w:rPr>
      </w:pPr>
      <w:r w:rsidRPr="00FA1806">
        <w:rPr>
          <w:rFonts w:cstheme="minorHAnsi"/>
          <w:b/>
          <w:lang w:val="en-US"/>
        </w:rPr>
        <w:t xml:space="preserve">Decision SC64-30: </w:t>
      </w:r>
      <w:r w:rsidRPr="00127DD1">
        <w:rPr>
          <w:rFonts w:eastAsia="Calibri" w:cstheme="minorHAnsi"/>
          <w:b/>
          <w:bCs/>
        </w:rPr>
        <w:t>The Standing Committee:</w:t>
      </w:r>
    </w:p>
    <w:p w14:paraId="2943BFE9" w14:textId="77777777" w:rsidR="00F332E0" w:rsidRDefault="00F332E0" w:rsidP="006C051B">
      <w:pPr>
        <w:spacing w:after="0" w:line="240" w:lineRule="auto"/>
        <w:ind w:left="567" w:hanging="567"/>
        <w:rPr>
          <w:rFonts w:eastAsia="Calibri" w:cstheme="minorHAnsi"/>
          <w:b/>
          <w:bCs/>
        </w:rPr>
      </w:pPr>
    </w:p>
    <w:p w14:paraId="49042E49" w14:textId="10946DC4"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w:t>
      </w:r>
      <w:r w:rsidRPr="00127DD1">
        <w:rPr>
          <w:rFonts w:eastAsia="Calibri" w:cstheme="minorHAnsi"/>
          <w:b/>
          <w:bCs/>
        </w:rPr>
        <w:tab/>
        <w:t>took note of the report of the Strategic Plan Working Group in document SC64 Doc.11;</w:t>
      </w:r>
    </w:p>
    <w:p w14:paraId="7CCB7CF7" w14:textId="77777777" w:rsidR="00F332E0" w:rsidRDefault="00F332E0" w:rsidP="006C051B">
      <w:pPr>
        <w:spacing w:after="0" w:line="240" w:lineRule="auto"/>
        <w:ind w:left="567" w:hanging="567"/>
        <w:rPr>
          <w:rFonts w:eastAsia="Calibri" w:cstheme="minorHAnsi"/>
          <w:b/>
          <w:bCs/>
        </w:rPr>
      </w:pPr>
    </w:p>
    <w:p w14:paraId="4070927E" w14:textId="272620F7"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w:t>
      </w:r>
      <w:r w:rsidRPr="00127DD1">
        <w:rPr>
          <w:rFonts w:eastAsia="Calibri" w:cstheme="minorHAnsi"/>
          <w:b/>
          <w:bCs/>
        </w:rPr>
        <w:tab/>
        <w:t xml:space="preserve">invited interested Parties to submit their amendments to document SC64 Doc.11 in written form to the Secretariat by 13.00 </w:t>
      </w:r>
      <w:r>
        <w:rPr>
          <w:rFonts w:eastAsia="Calibri" w:cstheme="minorHAnsi"/>
          <w:b/>
          <w:bCs/>
        </w:rPr>
        <w:t xml:space="preserve">CET </w:t>
      </w:r>
      <w:r w:rsidRPr="00127DD1">
        <w:rPr>
          <w:rFonts w:eastAsia="Calibri" w:cstheme="minorHAnsi"/>
          <w:b/>
          <w:bCs/>
        </w:rPr>
        <w:t>on 24 January;</w:t>
      </w:r>
    </w:p>
    <w:p w14:paraId="25099F88" w14:textId="77777777" w:rsidR="00F332E0" w:rsidRDefault="00F332E0" w:rsidP="006C051B">
      <w:pPr>
        <w:spacing w:after="0" w:line="240" w:lineRule="auto"/>
        <w:ind w:left="567" w:hanging="567"/>
        <w:rPr>
          <w:rFonts w:eastAsia="Calibri" w:cstheme="minorHAnsi"/>
          <w:b/>
          <w:bCs/>
        </w:rPr>
      </w:pPr>
    </w:p>
    <w:p w14:paraId="39B0BBCC" w14:textId="30B99D3A"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iii.</w:t>
      </w:r>
      <w:r w:rsidRPr="00127DD1">
        <w:rPr>
          <w:rFonts w:eastAsia="Calibri" w:cstheme="minorHAnsi"/>
          <w:b/>
          <w:bCs/>
        </w:rPr>
        <w:tab/>
        <w:t xml:space="preserve">asked the Co-Chairs of the Strategic Plan </w:t>
      </w:r>
      <w:r w:rsidR="00354A87" w:rsidRPr="00127DD1">
        <w:rPr>
          <w:rFonts w:eastAsia="Calibri" w:cstheme="minorHAnsi"/>
          <w:b/>
          <w:bCs/>
        </w:rPr>
        <w:t xml:space="preserve">Working Group </w:t>
      </w:r>
      <w:r w:rsidRPr="00127DD1">
        <w:rPr>
          <w:rFonts w:eastAsia="Calibri" w:cstheme="minorHAnsi"/>
          <w:b/>
          <w:bCs/>
        </w:rPr>
        <w:t xml:space="preserve">to take the comments received by the Secretariat and prepare a revised </w:t>
      </w:r>
      <w:r>
        <w:rPr>
          <w:rFonts w:eastAsia="Calibri" w:cstheme="minorHAnsi"/>
          <w:b/>
          <w:bCs/>
        </w:rPr>
        <w:t>document</w:t>
      </w:r>
      <w:r w:rsidRPr="00127DD1">
        <w:rPr>
          <w:rFonts w:eastAsia="Calibri" w:cstheme="minorHAnsi"/>
          <w:b/>
          <w:bCs/>
        </w:rPr>
        <w:t>, incorporating any new amendments in square brackets; and</w:t>
      </w:r>
    </w:p>
    <w:p w14:paraId="34C1A9B9" w14:textId="77777777" w:rsidR="00F332E0" w:rsidRDefault="00F332E0" w:rsidP="006C051B">
      <w:pPr>
        <w:spacing w:after="0" w:line="240" w:lineRule="auto"/>
        <w:ind w:left="567" w:hanging="567"/>
        <w:rPr>
          <w:rFonts w:eastAsia="Calibri" w:cstheme="minorHAnsi"/>
          <w:b/>
          <w:bCs/>
        </w:rPr>
      </w:pPr>
    </w:p>
    <w:p w14:paraId="4C215AA6" w14:textId="7D39FD91" w:rsidR="006C051B" w:rsidRDefault="006C051B" w:rsidP="006C051B">
      <w:pPr>
        <w:spacing w:after="0" w:line="240" w:lineRule="auto"/>
        <w:ind w:left="567" w:hanging="567"/>
        <w:rPr>
          <w:rFonts w:eastAsia="Calibri" w:cstheme="minorHAnsi"/>
          <w:bCs/>
        </w:rPr>
      </w:pPr>
      <w:r w:rsidRPr="00127DD1">
        <w:rPr>
          <w:rFonts w:eastAsia="Calibri" w:cstheme="minorHAnsi"/>
          <w:b/>
          <w:bCs/>
        </w:rPr>
        <w:t>iv.</w:t>
      </w:r>
      <w:r w:rsidRPr="00127DD1">
        <w:rPr>
          <w:rFonts w:eastAsia="Calibri" w:cstheme="minorHAnsi"/>
          <w:b/>
          <w:bCs/>
        </w:rPr>
        <w:tab/>
        <w:t>instructed the Secretariat to publish the revised document on the Convention website and forward it to COP15 for consideration.</w:t>
      </w:r>
      <w:r w:rsidRPr="00127DD1">
        <w:rPr>
          <w:rFonts w:eastAsia="Calibri" w:cstheme="minorHAnsi"/>
          <w:bCs/>
        </w:rPr>
        <w:t xml:space="preserve">  </w:t>
      </w:r>
    </w:p>
    <w:p w14:paraId="39989058" w14:textId="77777777" w:rsidR="006C051B" w:rsidRPr="00294A7E" w:rsidRDefault="006C051B" w:rsidP="006C051B">
      <w:pPr>
        <w:spacing w:after="0" w:line="240" w:lineRule="auto"/>
        <w:ind w:left="567" w:hanging="567"/>
        <w:rPr>
          <w:rFonts w:cstheme="minorHAnsi"/>
          <w:bCs/>
        </w:rPr>
      </w:pPr>
    </w:p>
    <w:p w14:paraId="2CE6595C" w14:textId="23A84D78"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lastRenderedPageBreak/>
        <w:t xml:space="preserve">Agenda item </w:t>
      </w:r>
      <w:r w:rsidRPr="005808DD">
        <w:rPr>
          <w:rFonts w:cstheme="minorHAnsi"/>
          <w:bCs/>
          <w:lang w:val="en-US"/>
        </w:rPr>
        <w:t>26</w:t>
      </w:r>
      <w:r>
        <w:rPr>
          <w:rFonts w:cstheme="minorHAnsi"/>
          <w:bCs/>
          <w:lang w:val="en-US"/>
        </w:rPr>
        <w:t xml:space="preserve">: </w:t>
      </w:r>
      <w:r w:rsidRPr="005808DD">
        <w:rPr>
          <w:rFonts w:cstheme="minorHAnsi"/>
          <w:bCs/>
          <w:lang w:val="en-US"/>
        </w:rPr>
        <w:t>Report of the Working Group on RIS Updating</w:t>
      </w:r>
    </w:p>
    <w:p w14:paraId="1BFEECA6" w14:textId="77777777" w:rsidR="006C051B" w:rsidRDefault="006C051B" w:rsidP="002A2E92">
      <w:pPr>
        <w:keepNext/>
        <w:spacing w:after="0" w:line="240" w:lineRule="auto"/>
        <w:ind w:left="567" w:hanging="567"/>
        <w:rPr>
          <w:rFonts w:cstheme="minorHAnsi"/>
          <w:bCs/>
          <w:lang w:val="en-US"/>
        </w:rPr>
      </w:pPr>
    </w:p>
    <w:p w14:paraId="08C5EB61" w14:textId="77777777" w:rsidR="006C051B" w:rsidRDefault="006C051B" w:rsidP="006C051B">
      <w:pPr>
        <w:keepNext/>
        <w:spacing w:after="0" w:line="240" w:lineRule="auto"/>
        <w:rPr>
          <w:rFonts w:cstheme="minorHAnsi"/>
          <w:b/>
        </w:rPr>
      </w:pPr>
      <w:r w:rsidRPr="00E53467">
        <w:rPr>
          <w:rFonts w:cstheme="minorHAnsi"/>
          <w:b/>
        </w:rPr>
        <w:t>Decision SC64-31: The Standing Committee</w:t>
      </w:r>
      <w:r>
        <w:rPr>
          <w:rFonts w:cstheme="minorHAnsi"/>
          <w:b/>
        </w:rPr>
        <w:t>:</w:t>
      </w:r>
    </w:p>
    <w:p w14:paraId="7B3178E0" w14:textId="77777777" w:rsidR="00F332E0" w:rsidRDefault="00F332E0" w:rsidP="006C051B">
      <w:pPr>
        <w:spacing w:after="0" w:line="240" w:lineRule="auto"/>
        <w:ind w:left="567" w:hanging="567"/>
        <w:rPr>
          <w:rFonts w:cstheme="minorHAnsi"/>
          <w:b/>
        </w:rPr>
      </w:pPr>
    </w:p>
    <w:p w14:paraId="2BE397F8" w14:textId="0498F667" w:rsidR="006C051B" w:rsidRPr="00266D8E" w:rsidRDefault="006C051B" w:rsidP="006C051B">
      <w:pPr>
        <w:spacing w:after="0" w:line="240" w:lineRule="auto"/>
        <w:ind w:left="567" w:hanging="567"/>
        <w:rPr>
          <w:rFonts w:cstheme="minorHAnsi"/>
          <w:b/>
        </w:rPr>
      </w:pPr>
      <w:r w:rsidRPr="00266D8E">
        <w:rPr>
          <w:rFonts w:cstheme="minorHAnsi"/>
          <w:b/>
        </w:rPr>
        <w:t>i.</w:t>
      </w:r>
      <w:r w:rsidRPr="00266D8E">
        <w:rPr>
          <w:rFonts w:cstheme="minorHAnsi"/>
          <w:b/>
        </w:rPr>
        <w:tab/>
      </w:r>
      <w:r>
        <w:rPr>
          <w:rFonts w:cstheme="minorHAnsi"/>
          <w:b/>
        </w:rPr>
        <w:t>took</w:t>
      </w:r>
      <w:r w:rsidRPr="00266D8E">
        <w:rPr>
          <w:rFonts w:cstheme="minorHAnsi"/>
          <w:b/>
        </w:rPr>
        <w:t xml:space="preserve"> note of the progress report on the work of the Working Group on </w:t>
      </w:r>
      <w:r>
        <w:rPr>
          <w:rFonts w:cstheme="minorHAnsi"/>
          <w:b/>
        </w:rPr>
        <w:t xml:space="preserve">(Ramsar Information Sheet) </w:t>
      </w:r>
      <w:r w:rsidRPr="00266D8E">
        <w:rPr>
          <w:rFonts w:cstheme="minorHAnsi"/>
          <w:b/>
        </w:rPr>
        <w:t>RIS Updating established at SC63;</w:t>
      </w:r>
    </w:p>
    <w:p w14:paraId="28488F73" w14:textId="77777777" w:rsidR="00F332E0" w:rsidRDefault="00F332E0" w:rsidP="006C051B">
      <w:pPr>
        <w:spacing w:after="0" w:line="240" w:lineRule="auto"/>
        <w:ind w:left="567" w:hanging="567"/>
        <w:rPr>
          <w:rFonts w:cstheme="minorHAnsi"/>
          <w:b/>
        </w:rPr>
      </w:pPr>
    </w:p>
    <w:p w14:paraId="5549D39E" w14:textId="221123A9" w:rsidR="006C051B" w:rsidRPr="00266D8E" w:rsidRDefault="006C051B" w:rsidP="006C051B">
      <w:pPr>
        <w:spacing w:after="0" w:line="240" w:lineRule="auto"/>
        <w:ind w:left="567" w:hanging="567"/>
        <w:rPr>
          <w:rFonts w:cstheme="minorHAnsi"/>
          <w:b/>
        </w:rPr>
      </w:pPr>
      <w:r w:rsidRPr="00266D8E">
        <w:rPr>
          <w:rFonts w:cstheme="minorHAnsi"/>
          <w:b/>
        </w:rPr>
        <w:t>ii.</w:t>
      </w:r>
      <w:r w:rsidRPr="00266D8E">
        <w:rPr>
          <w:rFonts w:cstheme="minorHAnsi"/>
          <w:b/>
        </w:rPr>
        <w:tab/>
        <w:t>instruct</w:t>
      </w:r>
      <w:r>
        <w:rPr>
          <w:rFonts w:cstheme="minorHAnsi"/>
          <w:b/>
        </w:rPr>
        <w:t>ed</w:t>
      </w:r>
      <w:r w:rsidRPr="00266D8E">
        <w:rPr>
          <w:rFonts w:cstheme="minorHAnsi"/>
          <w:b/>
        </w:rPr>
        <w:t xml:space="preserve"> the Secretariat to update its </w:t>
      </w:r>
      <w:r>
        <w:rPr>
          <w:rFonts w:cstheme="minorHAnsi"/>
          <w:b/>
        </w:rPr>
        <w:t xml:space="preserve">standard operating procedures </w:t>
      </w:r>
      <w:r w:rsidRPr="00266D8E">
        <w:rPr>
          <w:rFonts w:cstheme="minorHAnsi"/>
          <w:b/>
        </w:rPr>
        <w:t>for the review of RIS, considering the comments provided by Working Group members, as outlined in paragraphs 12 and 13</w:t>
      </w:r>
      <w:r w:rsidR="004F5FA2">
        <w:rPr>
          <w:rFonts w:cstheme="minorHAnsi"/>
          <w:b/>
        </w:rPr>
        <w:t xml:space="preserve"> </w:t>
      </w:r>
      <w:r w:rsidR="004F5FA2" w:rsidRPr="00CF00C2">
        <w:rPr>
          <w:b/>
          <w:bCs/>
        </w:rPr>
        <w:t>of</w:t>
      </w:r>
      <w:r w:rsidR="004F5FA2">
        <w:t xml:space="preserve"> </w:t>
      </w:r>
      <w:r w:rsidR="004F5FA2" w:rsidRPr="00275277">
        <w:rPr>
          <w:rFonts w:cstheme="minorHAnsi"/>
          <w:b/>
        </w:rPr>
        <w:t>document SC64 Doc.26 Rev.2</w:t>
      </w:r>
      <w:r w:rsidRPr="00266D8E">
        <w:rPr>
          <w:rFonts w:cstheme="minorHAnsi"/>
          <w:b/>
        </w:rPr>
        <w:t>;</w:t>
      </w:r>
    </w:p>
    <w:p w14:paraId="4EC71210" w14:textId="77777777" w:rsidR="00F332E0" w:rsidRDefault="00F332E0" w:rsidP="006C051B">
      <w:pPr>
        <w:spacing w:after="0" w:line="240" w:lineRule="auto"/>
        <w:ind w:left="567" w:hanging="567"/>
        <w:rPr>
          <w:rFonts w:cstheme="minorHAnsi"/>
          <w:b/>
        </w:rPr>
      </w:pPr>
    </w:p>
    <w:p w14:paraId="0C483C07" w14:textId="0691C3A5" w:rsidR="006C051B" w:rsidRPr="00266D8E" w:rsidRDefault="006C051B" w:rsidP="006C051B">
      <w:pPr>
        <w:spacing w:after="0" w:line="240" w:lineRule="auto"/>
        <w:ind w:left="567" w:hanging="567"/>
        <w:rPr>
          <w:rFonts w:cstheme="minorHAnsi"/>
          <w:b/>
        </w:rPr>
      </w:pPr>
      <w:r w:rsidRPr="00266D8E">
        <w:rPr>
          <w:rFonts w:cstheme="minorHAnsi"/>
          <w:b/>
        </w:rPr>
        <w:t>iii.</w:t>
      </w:r>
      <w:r w:rsidRPr="00266D8E">
        <w:rPr>
          <w:rFonts w:cstheme="minorHAnsi"/>
          <w:b/>
        </w:rPr>
        <w:tab/>
        <w:t>instruct</w:t>
      </w:r>
      <w:r>
        <w:rPr>
          <w:rFonts w:cstheme="minorHAnsi"/>
          <w:b/>
        </w:rPr>
        <w:t>ed</w:t>
      </w:r>
      <w:r w:rsidRPr="00266D8E">
        <w:rPr>
          <w:rFonts w:cstheme="minorHAnsi"/>
          <w:b/>
        </w:rPr>
        <w:t xml:space="preserve"> the Secretariat to develop a mechanism to notify Contracting Parties of milestones in the RIS update process as highlighted in paragraph</w:t>
      </w:r>
      <w:r w:rsidR="004F5FA2">
        <w:rPr>
          <w:rFonts w:cstheme="minorHAnsi"/>
          <w:b/>
        </w:rPr>
        <w:t>s</w:t>
      </w:r>
      <w:r w:rsidRPr="00266D8E">
        <w:rPr>
          <w:rFonts w:cstheme="minorHAnsi"/>
          <w:b/>
        </w:rPr>
        <w:t xml:space="preserve"> 16 and 17</w:t>
      </w:r>
      <w:r w:rsidRPr="00275277">
        <w:t xml:space="preserve"> </w:t>
      </w:r>
      <w:r w:rsidRPr="00CF00C2">
        <w:rPr>
          <w:b/>
          <w:bCs/>
        </w:rPr>
        <w:t>of</w:t>
      </w:r>
      <w:r>
        <w:t xml:space="preserve"> </w:t>
      </w:r>
      <w:r w:rsidRPr="00275277">
        <w:rPr>
          <w:rFonts w:cstheme="minorHAnsi"/>
          <w:b/>
        </w:rPr>
        <w:t>document SC64 Doc.26 Rev.2</w:t>
      </w:r>
      <w:r w:rsidRPr="00266D8E">
        <w:rPr>
          <w:rFonts w:cstheme="minorHAnsi"/>
          <w:b/>
        </w:rPr>
        <w:t>; and</w:t>
      </w:r>
    </w:p>
    <w:p w14:paraId="74504C73" w14:textId="77777777" w:rsidR="00F332E0" w:rsidRDefault="00F332E0" w:rsidP="006C051B">
      <w:pPr>
        <w:spacing w:after="0" w:line="240" w:lineRule="auto"/>
        <w:ind w:left="567" w:hanging="567"/>
        <w:rPr>
          <w:rFonts w:cstheme="minorHAnsi"/>
          <w:b/>
        </w:rPr>
      </w:pPr>
    </w:p>
    <w:p w14:paraId="4A339409" w14:textId="460CCE39" w:rsidR="006C051B" w:rsidRPr="00E53467" w:rsidRDefault="006C051B" w:rsidP="006C051B">
      <w:pPr>
        <w:spacing w:after="0" w:line="240" w:lineRule="auto"/>
        <w:ind w:left="567" w:hanging="567"/>
        <w:rPr>
          <w:rFonts w:cstheme="minorHAnsi"/>
          <w:b/>
        </w:rPr>
      </w:pPr>
      <w:r w:rsidRPr="00266D8E">
        <w:rPr>
          <w:rFonts w:cstheme="minorHAnsi"/>
          <w:b/>
        </w:rPr>
        <w:t>iv.</w:t>
      </w:r>
      <w:r w:rsidRPr="00266D8E">
        <w:rPr>
          <w:rFonts w:cstheme="minorHAnsi"/>
          <w:b/>
        </w:rPr>
        <w:tab/>
      </w:r>
      <w:r w:rsidRPr="00E53467">
        <w:rPr>
          <w:rFonts w:cstheme="minorHAnsi"/>
          <w:b/>
        </w:rPr>
        <w:t xml:space="preserve">instructed the Secretariat to submit the draft resolution in document SC64 Doc.26 Rev.2 on RIS </w:t>
      </w:r>
      <w:r>
        <w:rPr>
          <w:rFonts w:cstheme="minorHAnsi"/>
          <w:b/>
        </w:rPr>
        <w:t>u</w:t>
      </w:r>
      <w:r w:rsidRPr="00E53467">
        <w:rPr>
          <w:rFonts w:cstheme="minorHAnsi"/>
          <w:b/>
        </w:rPr>
        <w:t>pdating to COP15 for its consideration, with</w:t>
      </w:r>
      <w:r>
        <w:rPr>
          <w:rFonts w:cstheme="minorHAnsi"/>
          <w:b/>
        </w:rPr>
        <w:t xml:space="preserve"> all</w:t>
      </w:r>
      <w:r w:rsidRPr="00E53467">
        <w:rPr>
          <w:rFonts w:cstheme="minorHAnsi"/>
          <w:b/>
        </w:rPr>
        <w:t xml:space="preserve"> proposed amendments in square brackets.</w:t>
      </w:r>
    </w:p>
    <w:p w14:paraId="37C2FFA7" w14:textId="77777777" w:rsidR="006C051B" w:rsidRDefault="006C051B" w:rsidP="006C051B">
      <w:pPr>
        <w:spacing w:after="0" w:line="240" w:lineRule="auto"/>
        <w:contextualSpacing/>
        <w:rPr>
          <w:rFonts w:cstheme="minorHAnsi"/>
          <w:bCs/>
          <w:lang w:val="en-US"/>
        </w:rPr>
      </w:pPr>
    </w:p>
    <w:p w14:paraId="4ED6701A" w14:textId="1A2E2E0B"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29.4: </w:t>
      </w:r>
      <w:r w:rsidR="00702011" w:rsidRPr="00AA1A7A">
        <w:rPr>
          <w:rFonts w:cstheme="minorHAnsi"/>
          <w:bCs/>
        </w:rPr>
        <w:t xml:space="preserve">Proposed draft resolution on </w:t>
      </w:r>
      <w:r w:rsidR="00702011">
        <w:rPr>
          <w:rFonts w:cstheme="minorHAnsi"/>
          <w:bCs/>
        </w:rPr>
        <w:t>p</w:t>
      </w:r>
      <w:r w:rsidR="00702011" w:rsidRPr="00911010">
        <w:rPr>
          <w:rFonts w:cstheme="minorHAnsi"/>
          <w:bCs/>
        </w:rPr>
        <w:t>romoting incorporation of frontier technology and traditional ecological knowledge in wetland conservation, restoration, management, and wise use</w:t>
      </w:r>
    </w:p>
    <w:p w14:paraId="264501DC" w14:textId="77777777" w:rsidR="006C051B" w:rsidRDefault="006C051B" w:rsidP="006C051B">
      <w:pPr>
        <w:spacing w:after="0" w:line="240" w:lineRule="auto"/>
        <w:ind w:left="567" w:hanging="567"/>
      </w:pPr>
    </w:p>
    <w:p w14:paraId="4065156F" w14:textId="77777777" w:rsidR="006C051B" w:rsidRPr="00E53467" w:rsidRDefault="006C051B" w:rsidP="006C051B">
      <w:pPr>
        <w:spacing w:after="0" w:line="240" w:lineRule="auto"/>
        <w:rPr>
          <w:rFonts w:cstheme="minorHAnsi"/>
          <w:b/>
        </w:rPr>
      </w:pPr>
      <w:r w:rsidRPr="00E53467">
        <w:rPr>
          <w:rFonts w:cstheme="minorHAnsi"/>
          <w:b/>
        </w:rPr>
        <w:t xml:space="preserve">Decision SC64-32: </w:t>
      </w:r>
      <w:bookmarkStart w:id="2" w:name="_Hlk187213681"/>
      <w:r w:rsidRPr="00E53467">
        <w:rPr>
          <w:rFonts w:cstheme="minorHAnsi"/>
          <w:b/>
        </w:rPr>
        <w:t>The Standing Committee instructed the Secretariat to submit the draft resolution in document SC64 Doc.29.4 Rev.2 on promoting incorporation of new technology and traditional knowledge in wetland conservation, restoration, management, and wise use to COP15 for its consideration, amended to take into account the inputs presented by the Committee.</w:t>
      </w:r>
      <w:bookmarkEnd w:id="2"/>
    </w:p>
    <w:p w14:paraId="00F42C3A" w14:textId="77777777" w:rsidR="006C051B" w:rsidRPr="00D87A62" w:rsidRDefault="006C051B" w:rsidP="006C051B">
      <w:pPr>
        <w:spacing w:after="0" w:line="240" w:lineRule="auto"/>
      </w:pPr>
    </w:p>
    <w:p w14:paraId="32516BF0" w14:textId="5A3DEE2C"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w:t>
      </w:r>
      <w:r>
        <w:rPr>
          <w:rFonts w:cstheme="minorHAnsi"/>
          <w:bCs/>
          <w:lang w:val="en-US"/>
        </w:rPr>
        <w:t xml:space="preserve"> 29.5: </w:t>
      </w:r>
      <w:r w:rsidR="006C03F8">
        <w:rPr>
          <w:rFonts w:cstheme="minorHAnsi"/>
          <w:bCs/>
        </w:rPr>
        <w:t>P</w:t>
      </w:r>
      <w:r w:rsidR="006C03F8" w:rsidRPr="00196467">
        <w:t xml:space="preserve">roposed draft resolution on </w:t>
      </w:r>
      <w:r w:rsidR="006C03F8">
        <w:t>a</w:t>
      </w:r>
      <w:r w:rsidRPr="00D87A62">
        <w:rPr>
          <w:rFonts w:cstheme="minorHAnsi"/>
          <w:bCs/>
          <w:lang w:val="en-US"/>
        </w:rPr>
        <w:t>chieving the equitable governance and effective conservation of wetlands as protected areas and other effective area-based conservation measures</w:t>
      </w:r>
    </w:p>
    <w:p w14:paraId="4DFC3A44" w14:textId="77777777" w:rsidR="006C051B" w:rsidRDefault="006C051B" w:rsidP="006C051B">
      <w:pPr>
        <w:spacing w:after="0" w:line="240" w:lineRule="auto"/>
        <w:ind w:left="567" w:hanging="567"/>
      </w:pPr>
    </w:p>
    <w:p w14:paraId="605413B3" w14:textId="77777777" w:rsidR="006C051B" w:rsidRPr="00E53467" w:rsidRDefault="006C051B" w:rsidP="006C051B">
      <w:pPr>
        <w:spacing w:after="0" w:line="240" w:lineRule="auto"/>
        <w:rPr>
          <w:rFonts w:cstheme="minorHAnsi"/>
          <w:b/>
        </w:rPr>
      </w:pPr>
      <w:r w:rsidRPr="00E53467">
        <w:rPr>
          <w:rFonts w:cstheme="minorHAnsi"/>
          <w:b/>
        </w:rPr>
        <w:t>Decision SC64-33: The Standing Committee instructed the Secretariat to submit the draft resolution in document SC64 Doc.29.5 Rev.1 on achieving the equitable governance and effective conservation of wetlands as protected areas and other effective area-based conservation measures to COP15 for its consideration, amended to take into account the inputs presented by the Committee.</w:t>
      </w:r>
    </w:p>
    <w:p w14:paraId="1484A16E" w14:textId="77777777" w:rsidR="006C051B" w:rsidRDefault="006C051B" w:rsidP="006C051B">
      <w:pPr>
        <w:spacing w:after="0" w:line="240" w:lineRule="auto"/>
        <w:ind w:left="720" w:hanging="720"/>
      </w:pPr>
    </w:p>
    <w:p w14:paraId="3F31C5EA" w14:textId="2D7362EB"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29.2: </w:t>
      </w:r>
      <w:r w:rsidR="00443E4A" w:rsidRPr="00AA1A7A">
        <w:rPr>
          <w:rFonts w:cstheme="minorHAnsi"/>
          <w:lang w:val="en-US"/>
        </w:rPr>
        <w:t>Proposed draft resolution on restoration</w:t>
      </w:r>
      <w:r w:rsidR="00443E4A" w:rsidRPr="002A2E92">
        <w:rPr>
          <w:lang w:val="en-US"/>
        </w:rPr>
        <w:t xml:space="preserve"> of degraded freshwater ecosystems to support ecological character biodiversity and ecosystem services </w:t>
      </w:r>
      <w:r w:rsidR="00443E4A" w:rsidRPr="00AA1A7A">
        <w:rPr>
          <w:rFonts w:cstheme="minorHAnsi"/>
          <w:lang w:val="en-US"/>
        </w:rPr>
        <w:t>[and the Freshwater Challenge]</w:t>
      </w:r>
    </w:p>
    <w:p w14:paraId="50B242D0" w14:textId="77777777" w:rsidR="006C051B" w:rsidRDefault="006C051B" w:rsidP="006C051B">
      <w:pPr>
        <w:spacing w:after="0" w:line="240" w:lineRule="auto"/>
        <w:ind w:left="567" w:hanging="567"/>
      </w:pPr>
    </w:p>
    <w:p w14:paraId="61BA0C36" w14:textId="77777777" w:rsidR="006C051B" w:rsidRPr="00737F24" w:rsidRDefault="006C051B" w:rsidP="006C051B">
      <w:pPr>
        <w:spacing w:after="0" w:line="240" w:lineRule="auto"/>
        <w:rPr>
          <w:rFonts w:cstheme="minorHAnsi"/>
          <w:b/>
        </w:rPr>
      </w:pPr>
      <w:r w:rsidRPr="00737F24">
        <w:rPr>
          <w:rFonts w:cstheme="minorHAnsi"/>
          <w:b/>
        </w:rPr>
        <w:t xml:space="preserve">Decision SC64-34: The Standing Committee instructed the Secretariat to submit the draft resolution in document SC64 Doc.29.2 Rev.1 on </w:t>
      </w:r>
      <w:r>
        <w:rPr>
          <w:rFonts w:cstheme="minorHAnsi"/>
          <w:b/>
        </w:rPr>
        <w:t>r</w:t>
      </w:r>
      <w:r w:rsidRPr="00737F24">
        <w:rPr>
          <w:rFonts w:cstheme="minorHAnsi"/>
          <w:b/>
        </w:rPr>
        <w:t>estoration of degraded freshwater ecosystems to support ecological character biodiversity and ecosystem services to COP15 for its consideration, amended to take into account the inputs presented by the Committee.</w:t>
      </w:r>
    </w:p>
    <w:p w14:paraId="39736DFA" w14:textId="77777777" w:rsidR="006C051B" w:rsidRDefault="006C051B" w:rsidP="006C051B">
      <w:pPr>
        <w:spacing w:after="0" w:line="240" w:lineRule="auto"/>
        <w:rPr>
          <w:rFonts w:eastAsia="Aptos" w:cstheme="minorHAnsi"/>
          <w:b/>
        </w:rPr>
      </w:pPr>
    </w:p>
    <w:p w14:paraId="1C4EDB0D" w14:textId="452BCF04"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29.8: </w:t>
      </w:r>
      <w:r w:rsidR="006C03F8">
        <w:rPr>
          <w:rFonts w:cstheme="minorHAnsi"/>
          <w:bCs/>
        </w:rPr>
        <w:t>P</w:t>
      </w:r>
      <w:r w:rsidR="006C03F8" w:rsidRPr="00196467">
        <w:t xml:space="preserve">roposed draft resolution on </w:t>
      </w:r>
      <w:r w:rsidR="006C03F8">
        <w:t>y</w:t>
      </w:r>
      <w:r w:rsidRPr="004A62EE">
        <w:rPr>
          <w:rFonts w:cstheme="minorHAnsi"/>
          <w:bCs/>
          <w:lang w:val="en-US"/>
        </w:rPr>
        <w:t>outh empowerment and integration: driving engagement in and the longevity of the Convention on Wetlands</w:t>
      </w:r>
    </w:p>
    <w:p w14:paraId="6861B9F7" w14:textId="77777777" w:rsidR="006C051B" w:rsidRDefault="006C051B" w:rsidP="006C051B">
      <w:pPr>
        <w:spacing w:after="0" w:line="240" w:lineRule="auto"/>
        <w:ind w:left="567" w:hanging="567"/>
      </w:pPr>
    </w:p>
    <w:p w14:paraId="08281C2A" w14:textId="77777777" w:rsidR="006C051B" w:rsidRPr="00737F24" w:rsidRDefault="006C051B" w:rsidP="006C051B">
      <w:pPr>
        <w:spacing w:after="0" w:line="240" w:lineRule="auto"/>
        <w:rPr>
          <w:rFonts w:cstheme="minorHAnsi"/>
          <w:b/>
        </w:rPr>
      </w:pPr>
      <w:r w:rsidRPr="00737F24">
        <w:rPr>
          <w:rFonts w:cstheme="minorHAnsi"/>
          <w:b/>
        </w:rPr>
        <w:t xml:space="preserve">Decision SC64-35: The Standing Committee instructed the Secretariat to submit the draft resolution in document SC64 Doc.29.2 Rev.1 on youth empowerment and integration: driving </w:t>
      </w:r>
      <w:r w:rsidRPr="00737F24">
        <w:rPr>
          <w:rFonts w:cstheme="minorHAnsi"/>
          <w:b/>
        </w:rPr>
        <w:lastRenderedPageBreak/>
        <w:t>engagement in and the longevity of the Convention on Wetlands to COP15 for its consideration, amended to take into account the inputs presented by the Committee.</w:t>
      </w:r>
    </w:p>
    <w:p w14:paraId="05CD2C29" w14:textId="77777777" w:rsidR="006C051B" w:rsidRDefault="006C051B" w:rsidP="006C051B">
      <w:pPr>
        <w:spacing w:after="0" w:line="240" w:lineRule="auto"/>
        <w:rPr>
          <w:rFonts w:eastAsia="Aptos" w:cstheme="minorHAnsi"/>
          <w:b/>
        </w:rPr>
      </w:pPr>
    </w:p>
    <w:p w14:paraId="2B23DD83" w14:textId="3CB1997B"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 </w:t>
      </w:r>
      <w:r w:rsidR="006C03F8">
        <w:rPr>
          <w:rFonts w:cstheme="minorHAnsi"/>
          <w:bCs/>
        </w:rPr>
        <w:t>P</w:t>
      </w:r>
      <w:r w:rsidR="006C03F8" w:rsidRPr="00196467">
        <w:t xml:space="preserve">roposed draft resolution on </w:t>
      </w:r>
      <w:r w:rsidR="006C03F8">
        <w:t>s</w:t>
      </w:r>
      <w:r w:rsidRPr="00CE0733">
        <w:t>trengthening action on culture and wetlands</w:t>
      </w:r>
      <w:r>
        <w:rPr>
          <w:rFonts w:cstheme="minorHAnsi"/>
          <w:bCs/>
          <w:lang w:val="en-US"/>
        </w:rPr>
        <w:t xml:space="preserve"> </w:t>
      </w:r>
    </w:p>
    <w:p w14:paraId="3C75D232" w14:textId="77777777" w:rsidR="006C051B" w:rsidRDefault="006C051B" w:rsidP="00F51D54">
      <w:pPr>
        <w:keepNext/>
        <w:spacing w:after="0" w:line="240" w:lineRule="auto"/>
        <w:ind w:left="567" w:hanging="567"/>
      </w:pPr>
    </w:p>
    <w:p w14:paraId="0F0D8C47" w14:textId="77777777" w:rsidR="006C051B" w:rsidRPr="00737F24" w:rsidRDefault="006C051B" w:rsidP="006C051B">
      <w:pPr>
        <w:spacing w:after="0" w:line="240" w:lineRule="auto"/>
        <w:rPr>
          <w:rFonts w:cstheme="minorHAnsi"/>
          <w:b/>
        </w:rPr>
      </w:pPr>
      <w:r w:rsidRPr="00737F24">
        <w:rPr>
          <w:rFonts w:cstheme="minorHAnsi"/>
          <w:b/>
        </w:rPr>
        <w:t>Decision SC64-36: The Standing Committee instructed the Secretariat to submit the draft resolution in document SC64 Doc.29.1 Rev.1 on strengthening action on culture and wetlands to COP15 for its consideration.</w:t>
      </w:r>
    </w:p>
    <w:p w14:paraId="15CB378B" w14:textId="77777777" w:rsidR="006C051B" w:rsidRDefault="006C051B" w:rsidP="006C051B">
      <w:pPr>
        <w:spacing w:after="0" w:line="240" w:lineRule="auto"/>
        <w:rPr>
          <w:rFonts w:eastAsia="Aptos" w:cstheme="minorHAnsi"/>
          <w:b/>
        </w:rPr>
      </w:pPr>
    </w:p>
    <w:p w14:paraId="301E885E" w14:textId="1199B4F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29.9: </w:t>
      </w:r>
      <w:r w:rsidR="006C03F8">
        <w:rPr>
          <w:rFonts w:cstheme="minorHAnsi"/>
          <w:bCs/>
        </w:rPr>
        <w:t>P</w:t>
      </w:r>
      <w:r w:rsidR="006C03F8" w:rsidRPr="00196467">
        <w:t xml:space="preserve">roposed draft resolution on </w:t>
      </w:r>
      <w:r w:rsidR="006C03F8">
        <w:t>p</w:t>
      </w:r>
      <w:r w:rsidRPr="004A62EE">
        <w:t>romoting sustainable lifestyles for the wise use of wetlands</w:t>
      </w:r>
    </w:p>
    <w:p w14:paraId="3B83426C" w14:textId="77777777" w:rsidR="006C051B" w:rsidRPr="00564BA6" w:rsidRDefault="006C051B" w:rsidP="00AB13D6">
      <w:pPr>
        <w:keepNext/>
        <w:spacing w:after="0" w:line="240" w:lineRule="auto"/>
        <w:ind w:left="567" w:hanging="567"/>
      </w:pPr>
    </w:p>
    <w:p w14:paraId="359803D3" w14:textId="77777777" w:rsidR="006C051B" w:rsidRPr="00737F24" w:rsidRDefault="006C051B" w:rsidP="006C051B">
      <w:pPr>
        <w:spacing w:after="0" w:line="240" w:lineRule="auto"/>
        <w:rPr>
          <w:rFonts w:cstheme="minorHAnsi"/>
          <w:b/>
        </w:rPr>
      </w:pPr>
      <w:r w:rsidRPr="00737F24">
        <w:rPr>
          <w:rFonts w:cstheme="minorHAnsi"/>
          <w:b/>
        </w:rPr>
        <w:t>Decision SC64-37: The Standing Committee instructed the Secretariat to submit the draft resolution in document SC64 Doc.29.1 Rev.1 on promoting sustainable lifestyles for the wise use of wetlands to COP15 for its consideration, amended to take into account the inputs presented by the Committee.</w:t>
      </w:r>
    </w:p>
    <w:p w14:paraId="23D78048" w14:textId="77777777" w:rsidR="006C051B" w:rsidRDefault="006C051B" w:rsidP="006C051B">
      <w:pPr>
        <w:spacing w:after="0" w:line="240" w:lineRule="auto"/>
        <w:rPr>
          <w:rFonts w:eastAsia="Aptos" w:cstheme="minorHAnsi"/>
          <w:b/>
        </w:rPr>
      </w:pPr>
    </w:p>
    <w:p w14:paraId="1D6120B3" w14:textId="472797C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29.11: </w:t>
      </w:r>
      <w:r w:rsidR="006C03F8">
        <w:rPr>
          <w:rFonts w:cstheme="minorHAnsi"/>
          <w:bCs/>
        </w:rPr>
        <w:t>P</w:t>
      </w:r>
      <w:r w:rsidR="006C03F8" w:rsidRPr="00196467">
        <w:t xml:space="preserve">roposed draft resolution on </w:t>
      </w:r>
      <w:r w:rsidR="006C03F8">
        <w:t>e</w:t>
      </w:r>
      <w:r w:rsidRPr="004A62EE">
        <w:t>ducation and participation as a basis for the management of urban and peri-urban wetlands</w:t>
      </w:r>
    </w:p>
    <w:p w14:paraId="55C732ED" w14:textId="77777777" w:rsidR="006C051B" w:rsidRDefault="006C051B" w:rsidP="006C051B">
      <w:pPr>
        <w:spacing w:after="0" w:line="240" w:lineRule="auto"/>
        <w:ind w:left="567" w:hanging="567"/>
      </w:pPr>
    </w:p>
    <w:p w14:paraId="55F9A336" w14:textId="77777777" w:rsidR="006C051B" w:rsidRPr="00D87A62" w:rsidRDefault="006C051B" w:rsidP="006C051B">
      <w:pPr>
        <w:spacing w:after="0" w:line="240" w:lineRule="auto"/>
        <w:rPr>
          <w:rFonts w:cstheme="minorHAnsi"/>
        </w:rPr>
      </w:pPr>
      <w:r w:rsidRPr="0096192C">
        <w:rPr>
          <w:rFonts w:cstheme="minorHAnsi"/>
          <w:b/>
        </w:rPr>
        <w:t>Decision SC64-38: The Standing Committee instructed the Secretariat to submit the draft resolution in document SC64 Doc.29.11 Rev.1 on education and participation as a basis for the management of urban and peri-urban wetlands to COP15 for its consideration, amended to take into account the inputs presented by the Committee.</w:t>
      </w:r>
    </w:p>
    <w:p w14:paraId="1844F00B" w14:textId="77777777" w:rsidR="006C051B" w:rsidRPr="00135706" w:rsidRDefault="006C051B" w:rsidP="006C051B">
      <w:pPr>
        <w:keepNext/>
        <w:spacing w:after="0" w:line="240" w:lineRule="auto"/>
        <w:rPr>
          <w:rFonts w:cstheme="minorHAnsi"/>
        </w:rPr>
      </w:pPr>
    </w:p>
    <w:p w14:paraId="27B983EE" w14:textId="1B4AEED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84135F">
        <w:rPr>
          <w:rFonts w:cstheme="minorHAnsi"/>
          <w:bCs/>
        </w:rPr>
        <w:t>Agenda item 9: Financial and budgetary matters</w:t>
      </w:r>
    </w:p>
    <w:p w14:paraId="75AE474A" w14:textId="77777777" w:rsidR="006C051B" w:rsidRPr="00B3415B" w:rsidRDefault="006C051B" w:rsidP="006C051B">
      <w:pPr>
        <w:spacing w:after="0" w:line="240" w:lineRule="auto"/>
        <w:ind w:left="567" w:hanging="567"/>
        <w:rPr>
          <w:rFonts w:eastAsia="Calibri" w:cstheme="minorHAnsi"/>
          <w:bCs/>
        </w:rPr>
      </w:pPr>
    </w:p>
    <w:p w14:paraId="39F1E36F" w14:textId="77777777" w:rsidR="006C051B" w:rsidRPr="00A70A0F" w:rsidRDefault="006C051B" w:rsidP="006C051B">
      <w:pPr>
        <w:keepNext/>
        <w:spacing w:after="0" w:line="240" w:lineRule="auto"/>
        <w:rPr>
          <w:rFonts w:cstheme="minorHAnsi"/>
          <w:b/>
        </w:rPr>
      </w:pPr>
      <w:r w:rsidRPr="00A70A0F">
        <w:rPr>
          <w:rFonts w:cstheme="minorHAnsi"/>
          <w:b/>
        </w:rPr>
        <w:t>Decision SC64-39: The Standing Committee:</w:t>
      </w:r>
    </w:p>
    <w:p w14:paraId="423CBCBD" w14:textId="77777777" w:rsidR="00F332E0" w:rsidRDefault="00F332E0" w:rsidP="006C051B">
      <w:pPr>
        <w:spacing w:after="0" w:line="240" w:lineRule="auto"/>
        <w:ind w:left="567" w:hanging="567"/>
        <w:rPr>
          <w:rFonts w:cstheme="minorHAnsi"/>
          <w:b/>
        </w:rPr>
      </w:pPr>
    </w:p>
    <w:p w14:paraId="0FAEF56A" w14:textId="4791DF9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noted the interim estimates of the core budget results for 2024;</w:t>
      </w:r>
    </w:p>
    <w:p w14:paraId="3351EA14" w14:textId="77777777" w:rsidR="00F332E0" w:rsidRDefault="00F332E0" w:rsidP="006C051B">
      <w:pPr>
        <w:spacing w:after="0" w:line="240" w:lineRule="auto"/>
        <w:ind w:left="567" w:hanging="567"/>
        <w:rPr>
          <w:rFonts w:cstheme="minorHAnsi"/>
          <w:b/>
        </w:rPr>
      </w:pPr>
    </w:p>
    <w:p w14:paraId="4609A00D" w14:textId="2F2180AB"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noted the interim estimates of the status of the non-core balan</w:t>
      </w:r>
      <w:r>
        <w:rPr>
          <w:rFonts w:cstheme="minorHAnsi"/>
          <w:b/>
        </w:rPr>
        <w:t>c</w:t>
      </w:r>
      <w:r w:rsidRPr="00A70A0F">
        <w:rPr>
          <w:rFonts w:cstheme="minorHAnsi"/>
          <w:b/>
        </w:rPr>
        <w:t xml:space="preserve">es and voluntary contributions for 2024; </w:t>
      </w:r>
      <w:r w:rsidRPr="00A70A0F">
        <w:rPr>
          <w:rFonts w:cstheme="minorHAnsi"/>
          <w:b/>
        </w:rPr>
        <w:tab/>
      </w:r>
    </w:p>
    <w:p w14:paraId="20F6BC34" w14:textId="77777777" w:rsidR="00F332E0" w:rsidRDefault="00F332E0" w:rsidP="006C051B">
      <w:pPr>
        <w:spacing w:after="0" w:line="240" w:lineRule="auto"/>
        <w:ind w:left="567" w:hanging="567"/>
        <w:rPr>
          <w:b/>
          <w:bCs/>
        </w:rPr>
      </w:pPr>
    </w:p>
    <w:p w14:paraId="7A4DE391" w14:textId="2D34AD99" w:rsidR="006C051B" w:rsidRPr="00A70A0F" w:rsidRDefault="006C051B" w:rsidP="006C051B">
      <w:pPr>
        <w:spacing w:after="0" w:line="240" w:lineRule="auto"/>
        <w:ind w:left="567" w:hanging="567"/>
        <w:rPr>
          <w:b/>
          <w:bCs/>
        </w:rPr>
      </w:pPr>
      <w:r w:rsidRPr="52DE3A2B">
        <w:rPr>
          <w:b/>
          <w:bCs/>
        </w:rPr>
        <w:t>iii.</w:t>
      </w:r>
      <w:r>
        <w:tab/>
      </w:r>
      <w:r w:rsidRPr="52DE3A2B">
        <w:rPr>
          <w:b/>
          <w:bCs/>
        </w:rPr>
        <w:t>noted the estimated carry-forward of pre-committed and unspent funds in amount of CHF 1,120,000 from 2024 to 2025, as included in column C of the table in Annex 1 of the Subgroup on Finance report in document SC64 Com.2;</w:t>
      </w:r>
    </w:p>
    <w:p w14:paraId="4E61004E" w14:textId="77777777" w:rsidR="00F332E0" w:rsidRDefault="00F332E0" w:rsidP="006C051B">
      <w:pPr>
        <w:spacing w:after="0" w:line="240" w:lineRule="auto"/>
        <w:ind w:left="567" w:hanging="567"/>
        <w:rPr>
          <w:b/>
          <w:bCs/>
        </w:rPr>
      </w:pPr>
    </w:p>
    <w:p w14:paraId="19203182" w14:textId="349EE26B" w:rsidR="006C051B" w:rsidRPr="00A70A0F" w:rsidRDefault="006C051B" w:rsidP="006C051B">
      <w:pPr>
        <w:spacing w:after="0" w:line="240" w:lineRule="auto"/>
        <w:ind w:left="567" w:hanging="567"/>
        <w:rPr>
          <w:b/>
          <w:bCs/>
        </w:rPr>
      </w:pPr>
      <w:r w:rsidRPr="032AE04B">
        <w:rPr>
          <w:b/>
          <w:bCs/>
        </w:rPr>
        <w:t>iv.</w:t>
      </w:r>
      <w:r>
        <w:tab/>
      </w:r>
      <w:r w:rsidRPr="032AE04B">
        <w:rPr>
          <w:b/>
          <w:bCs/>
        </w:rPr>
        <w:t>approved the temporary use of reserve funds as a loan to supplement voluntary funding for COP15 sponsored delegate support as described in paragraphs 13, 14 and 20 of document SC64 Doc.9.1 and in Table 1 of document SC64 Com.2, to a maximum of CHF 486,000; and</w:t>
      </w:r>
    </w:p>
    <w:p w14:paraId="418B3086" w14:textId="77777777" w:rsidR="00F332E0" w:rsidRDefault="00F332E0" w:rsidP="006C051B">
      <w:pPr>
        <w:spacing w:after="0" w:line="240" w:lineRule="auto"/>
        <w:ind w:left="567" w:hanging="567"/>
        <w:rPr>
          <w:rFonts w:cstheme="minorHAnsi"/>
          <w:b/>
        </w:rPr>
      </w:pPr>
    </w:p>
    <w:p w14:paraId="0317F736" w14:textId="7A559D94" w:rsidR="006C051B" w:rsidRPr="00A70A0F" w:rsidRDefault="006C051B" w:rsidP="006C051B">
      <w:pPr>
        <w:spacing w:after="0" w:line="240" w:lineRule="auto"/>
        <w:ind w:left="567" w:hanging="567"/>
        <w:rPr>
          <w:rFonts w:cstheme="minorHAnsi"/>
          <w:b/>
        </w:rPr>
      </w:pPr>
      <w:r w:rsidRPr="00A70A0F">
        <w:rPr>
          <w:rFonts w:cstheme="minorHAnsi"/>
          <w:b/>
        </w:rPr>
        <w:t>v.</w:t>
      </w:r>
      <w:r w:rsidRPr="00A70A0F">
        <w:rPr>
          <w:rFonts w:cstheme="minorHAnsi"/>
          <w:b/>
        </w:rPr>
        <w:tab/>
        <w:t xml:space="preserve">noted the estimated surplus balances summarized in Table 1 of document SC64 Com.2. </w:t>
      </w:r>
    </w:p>
    <w:p w14:paraId="497381D2" w14:textId="77777777" w:rsidR="006C051B" w:rsidRPr="00A70A0F" w:rsidRDefault="006C051B" w:rsidP="006C051B">
      <w:pPr>
        <w:spacing w:after="0" w:line="240" w:lineRule="auto"/>
        <w:rPr>
          <w:rFonts w:cstheme="minorHAnsi"/>
          <w:b/>
        </w:rPr>
      </w:pPr>
    </w:p>
    <w:p w14:paraId="6F483FC3"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SC64-40: The Standing Committee:</w:t>
      </w:r>
    </w:p>
    <w:p w14:paraId="631B1ADD" w14:textId="77777777" w:rsidR="00F332E0" w:rsidRDefault="00F332E0" w:rsidP="006C051B">
      <w:pPr>
        <w:spacing w:after="0" w:line="240" w:lineRule="auto"/>
        <w:ind w:left="567" w:hanging="567"/>
        <w:rPr>
          <w:rFonts w:cstheme="minorHAnsi"/>
          <w:b/>
        </w:rPr>
      </w:pPr>
    </w:p>
    <w:p w14:paraId="41C310F4" w14:textId="13D164F7"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status of annual contributions as of 31 December 2024; </w:t>
      </w:r>
    </w:p>
    <w:p w14:paraId="0A5DEDA4" w14:textId="77777777" w:rsidR="00F332E0" w:rsidRDefault="00F332E0" w:rsidP="006C051B">
      <w:pPr>
        <w:spacing w:after="0" w:line="240" w:lineRule="auto"/>
        <w:ind w:left="567" w:hanging="567"/>
        <w:rPr>
          <w:rFonts w:cstheme="minorHAnsi"/>
          <w:b/>
        </w:rPr>
      </w:pPr>
    </w:p>
    <w:p w14:paraId="736E36E1" w14:textId="21E286E6"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 xml:space="preserve">acknowledged the status of assessed contributions as of 31 December 2024 as part of the audit process; </w:t>
      </w:r>
    </w:p>
    <w:p w14:paraId="4D5A9C16" w14:textId="77777777" w:rsidR="00F332E0" w:rsidRDefault="00F332E0" w:rsidP="006C051B">
      <w:pPr>
        <w:spacing w:after="0" w:line="240" w:lineRule="auto"/>
        <w:ind w:left="567" w:hanging="567"/>
        <w:rPr>
          <w:rFonts w:cstheme="minorHAnsi"/>
          <w:b/>
        </w:rPr>
      </w:pPr>
    </w:p>
    <w:p w14:paraId="663C5890" w14:textId="50725603" w:rsidR="006C051B" w:rsidRPr="00A70A0F" w:rsidRDefault="006C051B" w:rsidP="006C051B">
      <w:pPr>
        <w:spacing w:after="0" w:line="240" w:lineRule="auto"/>
        <w:ind w:left="567" w:hanging="567"/>
        <w:rPr>
          <w:rFonts w:cstheme="minorHAnsi"/>
          <w:b/>
        </w:rPr>
      </w:pPr>
      <w:r w:rsidRPr="00A70A0F">
        <w:rPr>
          <w:rFonts w:cstheme="minorHAnsi"/>
          <w:b/>
        </w:rPr>
        <w:lastRenderedPageBreak/>
        <w:t>iii.</w:t>
      </w:r>
      <w:r w:rsidRPr="00A70A0F">
        <w:rPr>
          <w:rFonts w:cstheme="minorHAnsi"/>
          <w:b/>
        </w:rPr>
        <w:tab/>
        <w:t>noted the actions listed in paragraphs 14, 16, 17 and 18 of document SC64 Doc.9.2 Rev.1 to continue encouraging the payment of annual contributions by Contracting Parties; and</w:t>
      </w:r>
    </w:p>
    <w:p w14:paraId="5D0C10B4" w14:textId="77777777" w:rsidR="00F332E0" w:rsidRDefault="00F332E0" w:rsidP="006C051B">
      <w:pPr>
        <w:spacing w:after="0" w:line="240" w:lineRule="auto"/>
        <w:ind w:left="567" w:hanging="567"/>
        <w:rPr>
          <w:rFonts w:cstheme="minorHAnsi"/>
          <w:b/>
        </w:rPr>
      </w:pPr>
    </w:p>
    <w:p w14:paraId="341E6BD9" w14:textId="2822E085"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noted the status of the voluntary contributions received from the Contracting Parties in the Africa region outlined in paragraph 19 of document SC64 Doc.9.2 Rev.1.</w:t>
      </w:r>
    </w:p>
    <w:p w14:paraId="0E1C2E04" w14:textId="77777777" w:rsidR="006C051B" w:rsidRPr="00A70A0F" w:rsidRDefault="006C051B" w:rsidP="006C051B">
      <w:pPr>
        <w:spacing w:after="0" w:line="240" w:lineRule="auto"/>
        <w:rPr>
          <w:rFonts w:cstheme="minorHAnsi"/>
          <w:b/>
        </w:rPr>
      </w:pPr>
    </w:p>
    <w:p w14:paraId="6A1DFC2F"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SC64-41: The Standing Committee:</w:t>
      </w:r>
    </w:p>
    <w:p w14:paraId="47C62481" w14:textId="77777777" w:rsidR="00F332E0" w:rsidRDefault="00F332E0" w:rsidP="006C051B">
      <w:pPr>
        <w:spacing w:after="0" w:line="240" w:lineRule="auto"/>
        <w:ind w:left="567" w:hanging="567"/>
        <w:rPr>
          <w:rFonts w:cstheme="minorHAnsi"/>
          <w:b/>
        </w:rPr>
      </w:pPr>
    </w:p>
    <w:p w14:paraId="1B6081C6" w14:textId="32E9A0A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contents of document SC64 Doc 9.3 Rev.1; </w:t>
      </w:r>
    </w:p>
    <w:p w14:paraId="39C1DCDC" w14:textId="77777777" w:rsidR="00F332E0" w:rsidRDefault="00F332E0" w:rsidP="006C051B">
      <w:pPr>
        <w:spacing w:after="0" w:line="240" w:lineRule="auto"/>
        <w:ind w:left="567" w:hanging="567"/>
        <w:rPr>
          <w:b/>
          <w:bCs/>
        </w:rPr>
      </w:pPr>
    </w:p>
    <w:p w14:paraId="605F5594" w14:textId="177334EB" w:rsidR="006C051B" w:rsidRPr="00A70A0F" w:rsidRDefault="006C051B" w:rsidP="006C051B">
      <w:pPr>
        <w:spacing w:after="0" w:line="240" w:lineRule="auto"/>
        <w:ind w:left="567" w:hanging="567"/>
        <w:rPr>
          <w:b/>
          <w:bCs/>
        </w:rPr>
      </w:pPr>
      <w:r w:rsidRPr="52DE3A2B">
        <w:rPr>
          <w:b/>
          <w:bCs/>
        </w:rPr>
        <w:t>ii.</w:t>
      </w:r>
      <w:r>
        <w:tab/>
      </w:r>
      <w:r w:rsidRPr="52DE3A2B">
        <w:rPr>
          <w:b/>
          <w:bCs/>
        </w:rPr>
        <w:t>instructed the Secretariat to present the following scenarios to the 15th meeting of the Conference of the Parties:</w:t>
      </w:r>
    </w:p>
    <w:p w14:paraId="44630800"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0% nominal increase compared to 2023-2025 budget</w:t>
      </w:r>
      <w:r>
        <w:rPr>
          <w:rFonts w:cstheme="minorHAnsi"/>
          <w:b/>
        </w:rPr>
        <w:t>, as in Annex 2 of document SC64 Com.2</w:t>
      </w:r>
      <w:r w:rsidRPr="00C73D83">
        <w:rPr>
          <w:rFonts w:cstheme="minorHAnsi"/>
          <w:b/>
        </w:rPr>
        <w:t>;</w:t>
      </w:r>
    </w:p>
    <w:p w14:paraId="2636BDCB"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4.1% nominal increase compared to 2023-2025 budget</w:t>
      </w:r>
      <w:r>
        <w:rPr>
          <w:rFonts w:cstheme="minorHAnsi"/>
          <w:b/>
        </w:rPr>
        <w:t>, as in Annex 3 of document SC64 Com.2</w:t>
      </w:r>
      <w:r w:rsidRPr="00C73D83">
        <w:rPr>
          <w:rFonts w:cstheme="minorHAnsi"/>
          <w:b/>
        </w:rPr>
        <w:t>;</w:t>
      </w:r>
    </w:p>
    <w:p w14:paraId="1D1BEDC3"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9.6% nominal increase compared to 2023-2025 budget</w:t>
      </w:r>
      <w:r>
        <w:rPr>
          <w:rFonts w:cstheme="minorHAnsi"/>
          <w:b/>
        </w:rPr>
        <w:t>, as Scenario A in Annex 1 of document SC64 Doc.9.3 Rev.1</w:t>
      </w:r>
      <w:r w:rsidRPr="00C73D83">
        <w:rPr>
          <w:rFonts w:cstheme="minorHAnsi"/>
          <w:b/>
        </w:rPr>
        <w:t>; and</w:t>
      </w:r>
    </w:p>
    <w:p w14:paraId="537D2396"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11.3% nominal increase compared to 2023-2025 budget</w:t>
      </w:r>
      <w:r>
        <w:rPr>
          <w:rFonts w:cstheme="minorHAnsi"/>
          <w:b/>
        </w:rPr>
        <w:t>, as Scenario B in Annex 1 of document SC64 Doc.9.3 Rev.1</w:t>
      </w:r>
      <w:r w:rsidRPr="00C73D83">
        <w:rPr>
          <w:rFonts w:cstheme="minorHAnsi"/>
          <w:b/>
        </w:rPr>
        <w:t>;</w:t>
      </w:r>
    </w:p>
    <w:p w14:paraId="630C83CE" w14:textId="77777777" w:rsidR="00F332E0" w:rsidRDefault="00F332E0" w:rsidP="006C051B">
      <w:pPr>
        <w:spacing w:after="0" w:line="240" w:lineRule="auto"/>
        <w:ind w:left="567" w:hanging="567"/>
        <w:rPr>
          <w:rFonts w:cstheme="minorHAnsi"/>
          <w:b/>
        </w:rPr>
      </w:pPr>
    </w:p>
    <w:p w14:paraId="02CB11DB" w14:textId="5D42B452"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requested the Secretariat to prepare a narrative and quantitative analysis explaining the respective costs and benefits, as well as policy implications for each scenario (e.g a SWOT analysis</w:t>
      </w:r>
      <w:r>
        <w:rPr>
          <w:rFonts w:cstheme="minorHAnsi"/>
          <w:b/>
        </w:rPr>
        <w:t>)</w:t>
      </w:r>
      <w:r w:rsidRPr="00A70A0F">
        <w:rPr>
          <w:rFonts w:cstheme="minorHAnsi"/>
          <w:b/>
        </w:rPr>
        <w:t>; and</w:t>
      </w:r>
    </w:p>
    <w:p w14:paraId="38E4CEDC" w14:textId="77777777" w:rsidR="00F332E0" w:rsidRDefault="00F332E0" w:rsidP="006C051B">
      <w:pPr>
        <w:spacing w:after="0" w:line="240" w:lineRule="auto"/>
        <w:ind w:left="567" w:hanging="567"/>
        <w:rPr>
          <w:rFonts w:cstheme="minorHAnsi"/>
          <w:b/>
        </w:rPr>
      </w:pPr>
    </w:p>
    <w:p w14:paraId="4378A24D" w14:textId="722963C1"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approved the draft resolution on the financial and budgetary matters to be considered at COP15, as presented in Annex 4 of the Subgroup on Finance report</w:t>
      </w:r>
      <w:r>
        <w:rPr>
          <w:rFonts w:cstheme="minorHAnsi"/>
          <w:b/>
        </w:rPr>
        <w:t xml:space="preserve"> in</w:t>
      </w:r>
      <w:r w:rsidRPr="00A70A0F">
        <w:rPr>
          <w:rFonts w:cstheme="minorHAnsi"/>
          <w:b/>
        </w:rPr>
        <w:t xml:space="preserve"> document SC64 Com.2. </w:t>
      </w:r>
    </w:p>
    <w:p w14:paraId="05F7301B" w14:textId="77777777" w:rsidR="006C051B" w:rsidRPr="00A70A0F" w:rsidRDefault="006C051B" w:rsidP="006C051B">
      <w:pPr>
        <w:spacing w:after="0" w:line="240" w:lineRule="auto"/>
        <w:rPr>
          <w:rFonts w:cstheme="minorHAnsi"/>
          <w:b/>
        </w:rPr>
      </w:pPr>
    </w:p>
    <w:p w14:paraId="6AE36B7D" w14:textId="22CE09F3" w:rsidR="006C051B" w:rsidRPr="00A70A0F" w:rsidRDefault="006C051B" w:rsidP="002A2E92">
      <w:pPr>
        <w:keepNext/>
        <w:spacing w:after="0" w:line="240" w:lineRule="auto"/>
        <w:contextualSpacing/>
        <w:rPr>
          <w:rFonts w:cstheme="minorHAnsi"/>
          <w:b/>
        </w:rPr>
      </w:pPr>
      <w:r w:rsidRPr="00A70A0F">
        <w:rPr>
          <w:rFonts w:cstheme="minorHAnsi"/>
          <w:b/>
        </w:rPr>
        <w:t>Decision SC64-42: The Standing Committee</w:t>
      </w:r>
      <w:r w:rsidR="00F332E0">
        <w:rPr>
          <w:rFonts w:cstheme="minorHAnsi"/>
          <w:b/>
        </w:rPr>
        <w:t xml:space="preserve"> </w:t>
      </w:r>
      <w:r>
        <w:rPr>
          <w:rFonts w:cstheme="minorHAnsi"/>
          <w:b/>
        </w:rPr>
        <w:t>t</w:t>
      </w:r>
      <w:r w:rsidRPr="00A70A0F">
        <w:rPr>
          <w:rFonts w:cstheme="minorHAnsi"/>
          <w:b/>
        </w:rPr>
        <w:t>ook note of the projected administrative and financial implications of draft resolutions submitted to the Standing Committee, which will be revised on the basis of the draft resolutions forwarded for consideration to COP15.</w:t>
      </w:r>
    </w:p>
    <w:p w14:paraId="319F9811" w14:textId="77777777" w:rsidR="006C051B" w:rsidRDefault="006C051B" w:rsidP="006C051B">
      <w:pPr>
        <w:spacing w:after="0" w:line="240" w:lineRule="auto"/>
        <w:rPr>
          <w:rFonts w:eastAsia="Calibri" w:cstheme="minorHAnsi"/>
          <w:bCs/>
        </w:rPr>
      </w:pPr>
    </w:p>
    <w:p w14:paraId="52998F2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22672F">
        <w:rPr>
          <w:rFonts w:cstheme="minorHAnsi"/>
          <w:bCs/>
        </w:rPr>
        <w:t>24</w:t>
      </w:r>
      <w:r>
        <w:rPr>
          <w:rFonts w:cstheme="minorHAnsi"/>
          <w:bCs/>
        </w:rPr>
        <w:t xml:space="preserve">: </w:t>
      </w:r>
      <w:r w:rsidRPr="0022672F">
        <w:rPr>
          <w:rFonts w:cstheme="minorHAnsi"/>
          <w:bCs/>
        </w:rPr>
        <w:t>Report of the Co-Chairs of the Independent Advisory Committee on Wetland City Accreditation</w:t>
      </w:r>
    </w:p>
    <w:p w14:paraId="202DA0F6" w14:textId="77777777" w:rsidR="006C051B" w:rsidRPr="00432C61" w:rsidRDefault="006C051B" w:rsidP="006C051B">
      <w:pPr>
        <w:spacing w:after="0" w:line="240" w:lineRule="auto"/>
        <w:ind w:left="567" w:hanging="567"/>
        <w:rPr>
          <w:rFonts w:cstheme="minorHAnsi"/>
          <w:bCs/>
        </w:rPr>
      </w:pPr>
    </w:p>
    <w:p w14:paraId="1184C8F9" w14:textId="77777777" w:rsidR="006C051B" w:rsidRPr="00286CDC" w:rsidRDefault="006C051B" w:rsidP="002A2E92">
      <w:pPr>
        <w:keepNext/>
        <w:spacing w:after="0" w:line="240" w:lineRule="auto"/>
        <w:contextualSpacing/>
        <w:rPr>
          <w:rFonts w:cstheme="minorHAnsi"/>
          <w:b/>
          <w:iCs/>
        </w:rPr>
      </w:pPr>
      <w:r w:rsidRPr="00286CDC">
        <w:rPr>
          <w:rFonts w:cstheme="minorHAnsi"/>
          <w:b/>
          <w:iCs/>
        </w:rPr>
        <w:t>Decision SC64-</w:t>
      </w:r>
      <w:r>
        <w:rPr>
          <w:rFonts w:cstheme="minorHAnsi"/>
          <w:b/>
          <w:iCs/>
        </w:rPr>
        <w:t>43</w:t>
      </w:r>
      <w:r w:rsidRPr="00286CDC">
        <w:rPr>
          <w:rFonts w:cstheme="minorHAnsi"/>
          <w:b/>
          <w:iCs/>
        </w:rPr>
        <w:t>: The Standing Committee:</w:t>
      </w:r>
    </w:p>
    <w:p w14:paraId="32CEEA5A" w14:textId="77777777" w:rsidR="00F332E0" w:rsidRDefault="00F332E0" w:rsidP="006C051B">
      <w:pPr>
        <w:spacing w:after="0" w:line="240" w:lineRule="auto"/>
        <w:ind w:left="567" w:hanging="567"/>
        <w:rPr>
          <w:rFonts w:cstheme="minorHAnsi"/>
          <w:b/>
          <w:iCs/>
        </w:rPr>
      </w:pPr>
    </w:p>
    <w:p w14:paraId="2E1EB680" w14:textId="279FA6CE" w:rsidR="006C051B" w:rsidRPr="00286CDC" w:rsidRDefault="006C051B" w:rsidP="006C051B">
      <w:pPr>
        <w:spacing w:after="0" w:line="240" w:lineRule="auto"/>
        <w:ind w:left="567" w:hanging="567"/>
        <w:rPr>
          <w:rFonts w:cstheme="minorHAnsi"/>
          <w:b/>
          <w:iCs/>
        </w:rPr>
      </w:pPr>
      <w:r w:rsidRPr="00286CDC">
        <w:rPr>
          <w:rFonts w:cstheme="minorHAnsi"/>
          <w:b/>
          <w:iCs/>
        </w:rPr>
        <w:t>i.</w:t>
      </w:r>
      <w:r w:rsidRPr="00286CDC">
        <w:rPr>
          <w:rFonts w:cstheme="minorHAnsi"/>
          <w:b/>
          <w:iCs/>
        </w:rPr>
        <w:tab/>
        <w:t xml:space="preserve">took note of the process of evaluation of applications for new and renewed accreditation presented in this report; </w:t>
      </w:r>
      <w:r>
        <w:rPr>
          <w:rFonts w:cstheme="minorHAnsi"/>
          <w:b/>
          <w:iCs/>
        </w:rPr>
        <w:t>and</w:t>
      </w:r>
    </w:p>
    <w:p w14:paraId="1A69290A" w14:textId="77777777" w:rsidR="00F332E0" w:rsidRDefault="00F332E0" w:rsidP="006C051B">
      <w:pPr>
        <w:spacing w:after="0" w:line="240" w:lineRule="auto"/>
        <w:ind w:left="567" w:hanging="567"/>
        <w:rPr>
          <w:rFonts w:cstheme="minorHAnsi"/>
          <w:b/>
          <w:iCs/>
        </w:rPr>
      </w:pPr>
    </w:p>
    <w:p w14:paraId="6B4C0F42" w14:textId="47015D68" w:rsidR="006C051B" w:rsidRDefault="006C051B" w:rsidP="006C051B">
      <w:pPr>
        <w:spacing w:after="0" w:line="240" w:lineRule="auto"/>
        <w:ind w:left="567" w:hanging="567"/>
        <w:rPr>
          <w:rFonts w:cstheme="minorHAnsi"/>
          <w:b/>
          <w:iCs/>
        </w:rPr>
      </w:pPr>
      <w:r w:rsidRPr="00286CDC">
        <w:rPr>
          <w:rFonts w:cstheme="minorHAnsi"/>
          <w:b/>
          <w:iCs/>
        </w:rPr>
        <w:t xml:space="preserve">ii. </w:t>
      </w:r>
      <w:r w:rsidRPr="00286CDC">
        <w:rPr>
          <w:rFonts w:cstheme="minorHAnsi"/>
          <w:b/>
          <w:iCs/>
        </w:rPr>
        <w:tab/>
        <w:t>took note of the new</w:t>
      </w:r>
      <w:r>
        <w:rPr>
          <w:rFonts w:cstheme="minorHAnsi"/>
          <w:b/>
          <w:iCs/>
        </w:rPr>
        <w:t>ly</w:t>
      </w:r>
      <w:r w:rsidRPr="00286CDC">
        <w:rPr>
          <w:rFonts w:cstheme="minorHAnsi"/>
          <w:b/>
          <w:iCs/>
        </w:rPr>
        <w:t xml:space="preserve"> </w:t>
      </w:r>
      <w:r>
        <w:rPr>
          <w:rFonts w:cstheme="minorHAnsi"/>
          <w:b/>
          <w:iCs/>
        </w:rPr>
        <w:t>a</w:t>
      </w:r>
      <w:r w:rsidRPr="00286CDC">
        <w:rPr>
          <w:rFonts w:cstheme="minorHAnsi"/>
          <w:b/>
          <w:iCs/>
        </w:rPr>
        <w:t xml:space="preserve">ccredited Wetland Cities and the </w:t>
      </w:r>
      <w:r>
        <w:rPr>
          <w:rFonts w:cstheme="minorHAnsi"/>
          <w:b/>
          <w:iCs/>
        </w:rPr>
        <w:t xml:space="preserve">cities with </w:t>
      </w:r>
      <w:r w:rsidRPr="00286CDC">
        <w:rPr>
          <w:rFonts w:cstheme="minorHAnsi"/>
          <w:b/>
          <w:iCs/>
        </w:rPr>
        <w:t>renewed Wetland Cit</w:t>
      </w:r>
      <w:r>
        <w:rPr>
          <w:rFonts w:cstheme="minorHAnsi"/>
          <w:b/>
          <w:iCs/>
        </w:rPr>
        <w:t>y Accreditation, as follows:</w:t>
      </w:r>
    </w:p>
    <w:p w14:paraId="01AA5B76" w14:textId="77777777" w:rsidR="00F332E0" w:rsidRDefault="00F332E0" w:rsidP="006C051B">
      <w:pPr>
        <w:spacing w:after="0" w:line="240" w:lineRule="auto"/>
        <w:ind w:left="567"/>
        <w:rPr>
          <w:rFonts w:cstheme="minorHAnsi"/>
          <w:b/>
          <w:iCs/>
        </w:rPr>
      </w:pPr>
    </w:p>
    <w:p w14:paraId="5FF2511C" w14:textId="4F581855" w:rsidR="006C051B" w:rsidRDefault="006C051B" w:rsidP="006C051B">
      <w:pPr>
        <w:spacing w:after="0" w:line="240" w:lineRule="auto"/>
        <w:ind w:left="567"/>
        <w:rPr>
          <w:rFonts w:cstheme="minorHAnsi"/>
          <w:b/>
          <w:iCs/>
        </w:rPr>
      </w:pPr>
      <w:r>
        <w:rPr>
          <w:rFonts w:cstheme="minorHAnsi"/>
          <w:b/>
          <w:iCs/>
        </w:rPr>
        <w:t>Newly accredited Wetland Cities:</w:t>
      </w:r>
    </w:p>
    <w:p w14:paraId="6E1E7C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Argentina: Trelew</w:t>
      </w:r>
    </w:p>
    <w:p w14:paraId="22883497"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Belgium: Mechelen</w:t>
      </w:r>
    </w:p>
    <w:p w14:paraId="5E5653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Botswana: Kasane-Kazungula, Shakawe</w:t>
      </w:r>
    </w:p>
    <w:p w14:paraId="30BB388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Chile: Valdivia</w:t>
      </w:r>
    </w:p>
    <w:p w14:paraId="1973C9B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Chongming, Dali, Fuzhou, Hangzhou, Jiujiang, Lhasa, Suzhou, Wenzhou, Yueyang</w:t>
      </w:r>
    </w:p>
    <w:p w14:paraId="0A0D457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France: Abbeville, Arles, Hampigny</w:t>
      </w:r>
    </w:p>
    <w:p w14:paraId="3A2DFE75"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lastRenderedPageBreak/>
        <w:t>India: Indore, Udaipur</w:t>
      </w:r>
    </w:p>
    <w:p w14:paraId="11879264"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Iran (Islamic Republic of): Babol, Bandar Kiashar, Gandoman</w:t>
      </w:r>
    </w:p>
    <w:p w14:paraId="1907CF8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Japan: Nagoya City</w:t>
      </w:r>
    </w:p>
    <w:p w14:paraId="5BB1800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Morocco: Mehdya</w:t>
      </w:r>
    </w:p>
    <w:p w14:paraId="438879E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Philippines: Balanga City</w:t>
      </w:r>
    </w:p>
    <w:p w14:paraId="65B9A76D"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Poland: Poznan</w:t>
      </w:r>
    </w:p>
    <w:p w14:paraId="1E58DAE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Gimhae, Mungyeong</w:t>
      </w:r>
    </w:p>
    <w:p w14:paraId="51D20B95" w14:textId="77777777" w:rsidR="006C051B" w:rsidRPr="002A2E92" w:rsidRDefault="006C051B" w:rsidP="002A2E92">
      <w:pPr>
        <w:pStyle w:val="ListParagraph"/>
        <w:numPr>
          <w:ilvl w:val="0"/>
          <w:numId w:val="18"/>
        </w:numPr>
        <w:spacing w:after="0" w:line="240" w:lineRule="auto"/>
        <w:ind w:left="993" w:hanging="425"/>
        <w:rPr>
          <w:b/>
        </w:rPr>
      </w:pPr>
      <w:r w:rsidRPr="00443E4A">
        <w:rPr>
          <w:rFonts w:eastAsia="Calibri" w:cstheme="minorHAnsi"/>
          <w:b/>
        </w:rPr>
        <w:t>Serbia: Novi Sad</w:t>
      </w:r>
    </w:p>
    <w:p w14:paraId="02133A2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Switzerland:</w:t>
      </w:r>
      <w:r w:rsidRPr="002A2E92">
        <w:rPr>
          <w:b/>
        </w:rPr>
        <w:t xml:space="preserve"> </w:t>
      </w:r>
      <w:r w:rsidRPr="00443E4A">
        <w:rPr>
          <w:rFonts w:eastAsia="Calibri" w:cstheme="minorHAnsi"/>
          <w:b/>
        </w:rPr>
        <w:t>Canton de Genève</w:t>
      </w:r>
    </w:p>
    <w:p w14:paraId="36AAE1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Zimbabwe: Victoria Falls</w:t>
      </w:r>
    </w:p>
    <w:p w14:paraId="6EB484C1" w14:textId="77777777" w:rsidR="00F332E0" w:rsidRDefault="00F332E0" w:rsidP="006C051B">
      <w:pPr>
        <w:spacing w:after="0" w:line="240" w:lineRule="auto"/>
        <w:ind w:left="567"/>
        <w:rPr>
          <w:rFonts w:cstheme="minorHAnsi"/>
          <w:b/>
          <w:iCs/>
        </w:rPr>
      </w:pPr>
    </w:p>
    <w:p w14:paraId="5486C05A" w14:textId="7F836487" w:rsidR="006C051B" w:rsidRDefault="006C051B" w:rsidP="006C051B">
      <w:pPr>
        <w:spacing w:after="0" w:line="240" w:lineRule="auto"/>
        <w:ind w:left="567"/>
        <w:rPr>
          <w:rFonts w:cstheme="minorHAnsi"/>
          <w:b/>
          <w:iCs/>
        </w:rPr>
      </w:pPr>
      <w:r>
        <w:rPr>
          <w:rFonts w:cstheme="minorHAnsi"/>
          <w:b/>
          <w:iCs/>
        </w:rPr>
        <w:t>Cities with renewed Wetland City Accredition:</w:t>
      </w:r>
    </w:p>
    <w:p w14:paraId="508E172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Changde, Changshu, Dongying, Haikou, Harbin, Yinchuan</w:t>
      </w:r>
    </w:p>
    <w:p w14:paraId="761A5667" w14:textId="55607449" w:rsidR="006C051B" w:rsidRPr="00A34841" w:rsidRDefault="003930F5" w:rsidP="002A2E92">
      <w:pPr>
        <w:pStyle w:val="ListParagraph"/>
        <w:numPr>
          <w:ilvl w:val="0"/>
          <w:numId w:val="18"/>
        </w:numPr>
        <w:spacing w:after="0" w:line="240" w:lineRule="auto"/>
        <w:ind w:left="993" w:hanging="425"/>
        <w:rPr>
          <w:rFonts w:eastAsia="Calibri" w:cstheme="minorHAnsi"/>
          <w:b/>
          <w:lang w:val="fr-FR"/>
        </w:rPr>
      </w:pPr>
      <w:r>
        <w:rPr>
          <w:rFonts w:eastAsia="Calibri" w:cstheme="minorHAnsi"/>
          <w:b/>
          <w:lang w:val="fr-FR"/>
        </w:rPr>
        <w:t>France:</w:t>
      </w:r>
      <w:r w:rsidR="006C051B" w:rsidRPr="00A34841">
        <w:rPr>
          <w:rFonts w:eastAsia="Calibri" w:cstheme="minorHAnsi"/>
          <w:b/>
          <w:lang w:val="fr-FR"/>
        </w:rPr>
        <w:t xml:space="preserve"> Amiens, Courteranges, Pont-Audemer, Saint-Omer</w:t>
      </w:r>
    </w:p>
    <w:p w14:paraId="6B71B29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Hungary: Tata</w:t>
      </w:r>
    </w:p>
    <w:p w14:paraId="03DC35FA"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Madagascar: Mitsinjo</w:t>
      </w:r>
    </w:p>
    <w:p w14:paraId="320F6E7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Changnyeong, Inje, Jeju, Suncheon</w:t>
      </w:r>
    </w:p>
    <w:p w14:paraId="150CCEDA" w14:textId="77777777" w:rsidR="006C051B" w:rsidRPr="002A2E92" w:rsidRDefault="006C051B" w:rsidP="002A2E92">
      <w:pPr>
        <w:pStyle w:val="ListParagraph"/>
        <w:numPr>
          <w:ilvl w:val="0"/>
          <w:numId w:val="18"/>
        </w:numPr>
        <w:spacing w:after="0" w:line="240" w:lineRule="auto"/>
        <w:ind w:left="993" w:hanging="425"/>
        <w:rPr>
          <w:b/>
        </w:rPr>
      </w:pPr>
      <w:r w:rsidRPr="002A2E92">
        <w:rPr>
          <w:b/>
        </w:rPr>
        <w:t>Sri Lanka: Colombo</w:t>
      </w:r>
    </w:p>
    <w:p w14:paraId="276846F5" w14:textId="77777777" w:rsidR="006C051B" w:rsidRPr="002A2E92" w:rsidRDefault="006C051B" w:rsidP="002A2E92">
      <w:pPr>
        <w:pStyle w:val="ListParagraph"/>
        <w:numPr>
          <w:ilvl w:val="0"/>
          <w:numId w:val="18"/>
        </w:numPr>
        <w:spacing w:after="0" w:line="240" w:lineRule="auto"/>
        <w:ind w:left="993" w:hanging="425"/>
        <w:rPr>
          <w:b/>
        </w:rPr>
      </w:pPr>
      <w:r w:rsidRPr="002A2E92">
        <w:rPr>
          <w:b/>
        </w:rPr>
        <w:t>Tunisia: Ghar el Melh</w:t>
      </w:r>
    </w:p>
    <w:p w14:paraId="6676DC99" w14:textId="77777777" w:rsidR="006C051B" w:rsidRPr="006B4FFE" w:rsidRDefault="006C051B" w:rsidP="006C051B">
      <w:pPr>
        <w:spacing w:after="0" w:line="240" w:lineRule="auto"/>
        <w:rPr>
          <w:rFonts w:cstheme="minorHAnsi"/>
          <w:b/>
          <w:iCs/>
          <w:lang w:val="es-ES"/>
        </w:rPr>
      </w:pPr>
    </w:p>
    <w:p w14:paraId="78F9D13D"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7022C5">
        <w:rPr>
          <w:rFonts w:cstheme="minorHAnsi"/>
          <w:bCs/>
        </w:rPr>
        <w:t>28</w:t>
      </w:r>
      <w:r>
        <w:rPr>
          <w:rFonts w:cstheme="minorHAnsi"/>
          <w:bCs/>
        </w:rPr>
        <w:t xml:space="preserve">: </w:t>
      </w:r>
      <w:r w:rsidRPr="007022C5">
        <w:rPr>
          <w:rFonts w:cstheme="minorHAnsi"/>
          <w:bCs/>
        </w:rPr>
        <w:t>Update of the Secretariat on the implementation of Resolution XIV.20</w:t>
      </w:r>
    </w:p>
    <w:p w14:paraId="14F4B55E" w14:textId="77777777" w:rsidR="006C051B" w:rsidRPr="00286CDC" w:rsidRDefault="006C051B" w:rsidP="006C051B">
      <w:pPr>
        <w:spacing w:after="0" w:line="240" w:lineRule="auto"/>
        <w:ind w:left="567" w:hanging="567"/>
        <w:rPr>
          <w:rFonts w:cstheme="minorHAnsi"/>
          <w:bCs/>
        </w:rPr>
      </w:pPr>
    </w:p>
    <w:p w14:paraId="0ADE9A5D" w14:textId="77777777" w:rsidR="006C051B" w:rsidRDefault="006C051B" w:rsidP="006C051B">
      <w:pPr>
        <w:spacing w:after="0" w:line="240" w:lineRule="auto"/>
        <w:rPr>
          <w:rFonts w:cstheme="minorHAnsi"/>
          <w:b/>
          <w:iCs/>
        </w:rPr>
      </w:pPr>
      <w:r w:rsidRPr="00286CDC">
        <w:rPr>
          <w:rFonts w:cstheme="minorHAnsi"/>
          <w:b/>
          <w:iCs/>
        </w:rPr>
        <w:t>Decision SC64-</w:t>
      </w:r>
      <w:r>
        <w:rPr>
          <w:rFonts w:cstheme="minorHAnsi"/>
          <w:b/>
          <w:iCs/>
        </w:rPr>
        <w:t>44</w:t>
      </w:r>
      <w:r w:rsidRPr="00286CDC">
        <w:rPr>
          <w:rFonts w:cstheme="minorHAnsi"/>
          <w:b/>
          <w:iCs/>
        </w:rPr>
        <w:t>: The Standing Committee took note of the update of the Secretariat on the implementation of Resolution XIV.20 on the Convention’s response to environmental emergency in Ukraine relating to the damage of its Wetlands of International Importance (Ramsar Sites) stemming from the Russian Federation’s aggression.</w:t>
      </w:r>
    </w:p>
    <w:p w14:paraId="18D492A4" w14:textId="77777777" w:rsidR="006C051B" w:rsidRPr="00286CDC" w:rsidRDefault="006C051B" w:rsidP="006C051B">
      <w:pPr>
        <w:spacing w:after="0" w:line="240" w:lineRule="auto"/>
        <w:rPr>
          <w:rFonts w:cstheme="minorHAnsi"/>
          <w:b/>
          <w:iCs/>
        </w:rPr>
      </w:pPr>
    </w:p>
    <w:p w14:paraId="2E0A618A"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E929D5">
        <w:rPr>
          <w:rFonts w:cstheme="minorHAnsi"/>
          <w:bCs/>
        </w:rPr>
        <w:t>30</w:t>
      </w:r>
      <w:r>
        <w:rPr>
          <w:rFonts w:cstheme="minorHAnsi"/>
          <w:bCs/>
        </w:rPr>
        <w:t xml:space="preserve">: </w:t>
      </w:r>
      <w:r w:rsidRPr="00E929D5">
        <w:rPr>
          <w:rFonts w:cstheme="minorHAnsi"/>
          <w:bCs/>
        </w:rPr>
        <w:t>Dates and venue of the 65th and 66th meetings of the Standing Committee</w:t>
      </w:r>
    </w:p>
    <w:p w14:paraId="17D2AD7C" w14:textId="77777777" w:rsidR="006C051B" w:rsidRPr="00286CDC" w:rsidRDefault="006C051B" w:rsidP="006C051B">
      <w:pPr>
        <w:spacing w:after="0" w:line="240" w:lineRule="auto"/>
        <w:ind w:left="567" w:hanging="567"/>
        <w:rPr>
          <w:rFonts w:cstheme="minorHAnsi"/>
          <w:bCs/>
        </w:rPr>
      </w:pPr>
    </w:p>
    <w:p w14:paraId="0856324F" w14:textId="03EB8CE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45</w:t>
      </w:r>
      <w:r w:rsidRPr="00286CDC">
        <w:rPr>
          <w:rFonts w:cstheme="minorHAnsi"/>
          <w:b/>
          <w:iCs/>
        </w:rPr>
        <w:t xml:space="preserve">: The Standing Committee decided to hold </w:t>
      </w:r>
      <w:r w:rsidR="002C6D64">
        <w:rPr>
          <w:rFonts w:cstheme="minorHAnsi"/>
          <w:b/>
          <w:iCs/>
        </w:rPr>
        <w:t>its 65th meeting (</w:t>
      </w:r>
      <w:r w:rsidRPr="00286CDC">
        <w:rPr>
          <w:rFonts w:cstheme="minorHAnsi"/>
          <w:b/>
          <w:iCs/>
        </w:rPr>
        <w:t>SC65</w:t>
      </w:r>
      <w:r w:rsidR="002C6D64">
        <w:rPr>
          <w:rFonts w:cstheme="minorHAnsi"/>
          <w:b/>
          <w:iCs/>
        </w:rPr>
        <w:t>)</w:t>
      </w:r>
      <w:r w:rsidRPr="00286CDC">
        <w:rPr>
          <w:rFonts w:cstheme="minorHAnsi"/>
          <w:b/>
          <w:iCs/>
        </w:rPr>
        <w:t xml:space="preserve"> on 23 July 2025 and </w:t>
      </w:r>
      <w:r w:rsidR="002C6D64">
        <w:rPr>
          <w:rFonts w:cstheme="minorHAnsi"/>
          <w:b/>
          <w:iCs/>
        </w:rPr>
        <w:t>its 66th meeting (</w:t>
      </w:r>
      <w:r w:rsidRPr="00286CDC">
        <w:rPr>
          <w:rFonts w:cstheme="minorHAnsi"/>
          <w:b/>
          <w:iCs/>
        </w:rPr>
        <w:t>SC66</w:t>
      </w:r>
      <w:r w:rsidR="002C6D64">
        <w:rPr>
          <w:rFonts w:cstheme="minorHAnsi"/>
          <w:b/>
          <w:iCs/>
        </w:rPr>
        <w:t>)</w:t>
      </w:r>
      <w:r w:rsidRPr="00286CDC">
        <w:rPr>
          <w:rFonts w:cstheme="minorHAnsi"/>
          <w:b/>
          <w:iCs/>
        </w:rPr>
        <w:t xml:space="preserve"> on 31 July 2025. Both meetings will be held in Victoria Falls, Zimbabwe.</w:t>
      </w:r>
    </w:p>
    <w:p w14:paraId="0D3CF629" w14:textId="77777777" w:rsidR="006C051B" w:rsidRPr="00286CDC" w:rsidRDefault="006C051B" w:rsidP="006C051B">
      <w:pPr>
        <w:spacing w:after="0" w:line="240" w:lineRule="auto"/>
        <w:ind w:left="567" w:hanging="567"/>
        <w:rPr>
          <w:rFonts w:cstheme="minorHAnsi"/>
          <w:bCs/>
        </w:rPr>
      </w:pPr>
    </w:p>
    <w:p w14:paraId="76BC27FB"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EB2633">
        <w:rPr>
          <w:rFonts w:cstheme="minorHAnsi"/>
          <w:bCs/>
          <w:lang w:val="en-US"/>
        </w:rPr>
        <w:t>32</w:t>
      </w:r>
      <w:r>
        <w:rPr>
          <w:rFonts w:cstheme="minorHAnsi"/>
          <w:bCs/>
          <w:lang w:val="en-US"/>
        </w:rPr>
        <w:t xml:space="preserve">: </w:t>
      </w:r>
      <w:r w:rsidRPr="00EB2633">
        <w:rPr>
          <w:rFonts w:cstheme="minorHAnsi"/>
          <w:bCs/>
          <w:lang w:val="en-US"/>
        </w:rPr>
        <w:t>Any other business</w:t>
      </w:r>
    </w:p>
    <w:p w14:paraId="4F9FD6AC" w14:textId="77777777" w:rsidR="006C051B" w:rsidRDefault="006C051B" w:rsidP="006C051B">
      <w:pPr>
        <w:spacing w:after="0" w:line="240" w:lineRule="auto"/>
        <w:rPr>
          <w:rFonts w:cstheme="minorHAnsi"/>
          <w:b/>
          <w:iCs/>
        </w:rPr>
      </w:pPr>
    </w:p>
    <w:p w14:paraId="6470CCC6" w14:textId="4037983B" w:rsidR="008A6FC3" w:rsidRPr="00F51D54" w:rsidRDefault="006C051B" w:rsidP="002A2E92">
      <w:pPr>
        <w:spacing w:after="0" w:line="240" w:lineRule="auto"/>
        <w:rPr>
          <w:rFonts w:cstheme="minorHAnsi"/>
          <w:b/>
          <w:iCs/>
        </w:rPr>
      </w:pPr>
      <w:r w:rsidRPr="00286CDC">
        <w:rPr>
          <w:rFonts w:cstheme="minorHAnsi"/>
          <w:b/>
          <w:iCs/>
        </w:rPr>
        <w:t>Decision SC64-</w:t>
      </w:r>
      <w:r>
        <w:rPr>
          <w:rFonts w:cstheme="minorHAnsi"/>
          <w:b/>
          <w:iCs/>
        </w:rPr>
        <w:t>46</w:t>
      </w:r>
      <w:r w:rsidRPr="00286CDC">
        <w:rPr>
          <w:rFonts w:cstheme="minorHAnsi"/>
          <w:b/>
          <w:iCs/>
        </w:rPr>
        <w:t xml:space="preserve">: The Standing Committee </w:t>
      </w:r>
      <w:r w:rsidRPr="004462D6">
        <w:rPr>
          <w:rFonts w:cstheme="minorHAnsi"/>
          <w:b/>
          <w:iCs/>
        </w:rPr>
        <w:t>instruct</w:t>
      </w:r>
      <w:r>
        <w:rPr>
          <w:rFonts w:cstheme="minorHAnsi"/>
          <w:b/>
          <w:iCs/>
        </w:rPr>
        <w:t>ed</w:t>
      </w:r>
      <w:r w:rsidRPr="004462D6">
        <w:rPr>
          <w:rFonts w:cstheme="minorHAnsi"/>
          <w:b/>
          <w:iCs/>
        </w:rPr>
        <w:t xml:space="preserve"> the Secretariat to publish the proposal on amending the Rules of Procedure as an informal paper and </w:t>
      </w:r>
      <w:r>
        <w:rPr>
          <w:rFonts w:cstheme="minorHAnsi"/>
          <w:b/>
          <w:iCs/>
        </w:rPr>
        <w:t xml:space="preserve">to </w:t>
      </w:r>
      <w:r w:rsidRPr="004462D6">
        <w:rPr>
          <w:rFonts w:cstheme="minorHAnsi"/>
          <w:b/>
          <w:iCs/>
        </w:rPr>
        <w:t>notify all Parties and invite comments</w:t>
      </w:r>
      <w:r w:rsidRPr="00286CDC">
        <w:rPr>
          <w:rFonts w:cstheme="minorHAnsi"/>
          <w:b/>
          <w:iCs/>
        </w:rPr>
        <w:t>.</w:t>
      </w:r>
    </w:p>
    <w:sectPr w:rsidR="008A6FC3" w:rsidRPr="00F51D54" w:rsidSect="00F03D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D46A" w14:textId="77777777" w:rsidR="002A2E92" w:rsidRDefault="002A2E92" w:rsidP="0021462B">
      <w:pPr>
        <w:spacing w:after="0" w:line="240" w:lineRule="auto"/>
      </w:pPr>
      <w:r>
        <w:separator/>
      </w:r>
    </w:p>
  </w:endnote>
  <w:endnote w:type="continuationSeparator" w:id="0">
    <w:p w14:paraId="64A0B985" w14:textId="77777777" w:rsidR="002A2E92" w:rsidRDefault="002A2E92" w:rsidP="0021462B">
      <w:pPr>
        <w:spacing w:after="0" w:line="240" w:lineRule="auto"/>
      </w:pPr>
      <w:r>
        <w:continuationSeparator/>
      </w:r>
    </w:p>
  </w:endnote>
  <w:endnote w:type="continuationNotice" w:id="1">
    <w:p w14:paraId="084EB83B" w14:textId="77777777" w:rsidR="002A2E92" w:rsidRDefault="002A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2F71" w14:textId="77777777" w:rsidR="00AB13D6" w:rsidRDefault="00AB1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31DD8997"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F5411C">
      <w:rPr>
        <w:sz w:val="20"/>
        <w:szCs w:val="20"/>
      </w:rPr>
      <w:t>Decisions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B82D" w14:textId="77777777" w:rsidR="00AB13D6" w:rsidRDefault="00AB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74AB" w14:textId="77777777" w:rsidR="002A2E92" w:rsidRDefault="002A2E92" w:rsidP="0021462B">
      <w:pPr>
        <w:spacing w:after="0" w:line="240" w:lineRule="auto"/>
      </w:pPr>
      <w:r>
        <w:separator/>
      </w:r>
    </w:p>
  </w:footnote>
  <w:footnote w:type="continuationSeparator" w:id="0">
    <w:p w14:paraId="1C89F62D" w14:textId="77777777" w:rsidR="002A2E92" w:rsidRDefault="002A2E92" w:rsidP="0021462B">
      <w:pPr>
        <w:spacing w:after="0" w:line="240" w:lineRule="auto"/>
      </w:pPr>
      <w:r>
        <w:continuationSeparator/>
      </w:r>
    </w:p>
  </w:footnote>
  <w:footnote w:type="continuationNotice" w:id="1">
    <w:p w14:paraId="210C822A" w14:textId="77777777" w:rsidR="002A2E92" w:rsidRDefault="002A2E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7EBA" w14:textId="77777777" w:rsidR="00AB13D6" w:rsidRDefault="00AB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D95A" w14:textId="77777777" w:rsidR="00AB13D6" w:rsidRDefault="00AB1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6D8E" w14:textId="77777777" w:rsidR="00AB13D6" w:rsidRDefault="00AB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63F34"/>
    <w:multiLevelType w:val="hybridMultilevel"/>
    <w:tmpl w:val="ECC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5"/>
  </w:num>
  <w:num w:numId="2" w16cid:durableId="1968004820">
    <w:abstractNumId w:val="8"/>
  </w:num>
  <w:num w:numId="3" w16cid:durableId="1754085589">
    <w:abstractNumId w:val="7"/>
  </w:num>
  <w:num w:numId="4" w16cid:durableId="1615942864">
    <w:abstractNumId w:val="0"/>
  </w:num>
  <w:num w:numId="5" w16cid:durableId="1198350406">
    <w:abstractNumId w:val="16"/>
  </w:num>
  <w:num w:numId="6" w16cid:durableId="753624296">
    <w:abstractNumId w:val="18"/>
  </w:num>
  <w:num w:numId="7" w16cid:durableId="1872066363">
    <w:abstractNumId w:val="11"/>
  </w:num>
  <w:num w:numId="8" w16cid:durableId="1703357674">
    <w:abstractNumId w:val="11"/>
  </w:num>
  <w:num w:numId="9" w16cid:durableId="142696298">
    <w:abstractNumId w:val="17"/>
  </w:num>
  <w:num w:numId="10" w16cid:durableId="545410482">
    <w:abstractNumId w:val="14"/>
  </w:num>
  <w:num w:numId="11" w16cid:durableId="1170022567">
    <w:abstractNumId w:val="1"/>
  </w:num>
  <w:num w:numId="12" w16cid:durableId="116728870">
    <w:abstractNumId w:val="2"/>
  </w:num>
  <w:num w:numId="13" w16cid:durableId="338393910">
    <w:abstractNumId w:val="5"/>
  </w:num>
  <w:num w:numId="14" w16cid:durableId="1125732709">
    <w:abstractNumId w:val="12"/>
  </w:num>
  <w:num w:numId="15" w16cid:durableId="461071523">
    <w:abstractNumId w:val="13"/>
  </w:num>
  <w:num w:numId="16" w16cid:durableId="748767433">
    <w:abstractNumId w:val="3"/>
  </w:num>
  <w:num w:numId="17" w16cid:durableId="1969167508">
    <w:abstractNumId w:val="6"/>
  </w:num>
  <w:num w:numId="18" w16cid:durableId="736441763">
    <w:abstractNumId w:val="19"/>
  </w:num>
  <w:num w:numId="19" w16cid:durableId="521020284">
    <w:abstractNumId w:val="10"/>
  </w:num>
  <w:num w:numId="20" w16cid:durableId="1810050388">
    <w:abstractNumId w:val="4"/>
  </w:num>
  <w:num w:numId="21" w16cid:durableId="52043140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30F6"/>
    <w:rsid w:val="00014190"/>
    <w:rsid w:val="00015DBE"/>
    <w:rsid w:val="00030168"/>
    <w:rsid w:val="00033DBB"/>
    <w:rsid w:val="00035341"/>
    <w:rsid w:val="0003654E"/>
    <w:rsid w:val="00037E1E"/>
    <w:rsid w:val="00040BFC"/>
    <w:rsid w:val="00041D60"/>
    <w:rsid w:val="00043ED1"/>
    <w:rsid w:val="00046FF0"/>
    <w:rsid w:val="000473E0"/>
    <w:rsid w:val="00051460"/>
    <w:rsid w:val="00051BE0"/>
    <w:rsid w:val="00052163"/>
    <w:rsid w:val="000523B2"/>
    <w:rsid w:val="00052A2A"/>
    <w:rsid w:val="00054337"/>
    <w:rsid w:val="000569B7"/>
    <w:rsid w:val="000636A9"/>
    <w:rsid w:val="00065BF8"/>
    <w:rsid w:val="00065D01"/>
    <w:rsid w:val="00067B29"/>
    <w:rsid w:val="00071E5E"/>
    <w:rsid w:val="000732FB"/>
    <w:rsid w:val="00075ACA"/>
    <w:rsid w:val="0008003D"/>
    <w:rsid w:val="0008257D"/>
    <w:rsid w:val="00084737"/>
    <w:rsid w:val="00086DB6"/>
    <w:rsid w:val="000900FA"/>
    <w:rsid w:val="00093E6F"/>
    <w:rsid w:val="00094BD4"/>
    <w:rsid w:val="00095D7A"/>
    <w:rsid w:val="00096C8C"/>
    <w:rsid w:val="000A5475"/>
    <w:rsid w:val="000A5B19"/>
    <w:rsid w:val="000A7322"/>
    <w:rsid w:val="000A739B"/>
    <w:rsid w:val="000B2EF5"/>
    <w:rsid w:val="000B5097"/>
    <w:rsid w:val="000B5513"/>
    <w:rsid w:val="000B5744"/>
    <w:rsid w:val="000B7669"/>
    <w:rsid w:val="000C05E2"/>
    <w:rsid w:val="000C10BB"/>
    <w:rsid w:val="000C31CF"/>
    <w:rsid w:val="000C6501"/>
    <w:rsid w:val="000C794A"/>
    <w:rsid w:val="000D6619"/>
    <w:rsid w:val="000E0A38"/>
    <w:rsid w:val="000E0D43"/>
    <w:rsid w:val="000E166A"/>
    <w:rsid w:val="000E1B66"/>
    <w:rsid w:val="000E1F64"/>
    <w:rsid w:val="000E2268"/>
    <w:rsid w:val="000E3574"/>
    <w:rsid w:val="000E3AF3"/>
    <w:rsid w:val="000E621C"/>
    <w:rsid w:val="000F08CF"/>
    <w:rsid w:val="000F0DA6"/>
    <w:rsid w:val="000F6A3D"/>
    <w:rsid w:val="000F768E"/>
    <w:rsid w:val="000F7874"/>
    <w:rsid w:val="000F7F76"/>
    <w:rsid w:val="00103CC5"/>
    <w:rsid w:val="001048C0"/>
    <w:rsid w:val="00105953"/>
    <w:rsid w:val="0010689C"/>
    <w:rsid w:val="00107E83"/>
    <w:rsid w:val="00111AE4"/>
    <w:rsid w:val="00111E9F"/>
    <w:rsid w:val="00112505"/>
    <w:rsid w:val="0011266F"/>
    <w:rsid w:val="00113818"/>
    <w:rsid w:val="00115B2A"/>
    <w:rsid w:val="00121238"/>
    <w:rsid w:val="00121C24"/>
    <w:rsid w:val="00125D77"/>
    <w:rsid w:val="001266DB"/>
    <w:rsid w:val="00130E47"/>
    <w:rsid w:val="00131D19"/>
    <w:rsid w:val="00135706"/>
    <w:rsid w:val="00135C9D"/>
    <w:rsid w:val="001372A5"/>
    <w:rsid w:val="00141FBB"/>
    <w:rsid w:val="0014221A"/>
    <w:rsid w:val="001436BD"/>
    <w:rsid w:val="00143961"/>
    <w:rsid w:val="0014634B"/>
    <w:rsid w:val="001508BF"/>
    <w:rsid w:val="001515FC"/>
    <w:rsid w:val="00151765"/>
    <w:rsid w:val="00152DA6"/>
    <w:rsid w:val="001570CC"/>
    <w:rsid w:val="00163ED4"/>
    <w:rsid w:val="00171731"/>
    <w:rsid w:val="0017223F"/>
    <w:rsid w:val="0017411A"/>
    <w:rsid w:val="00181263"/>
    <w:rsid w:val="00181E71"/>
    <w:rsid w:val="00181F40"/>
    <w:rsid w:val="001833DC"/>
    <w:rsid w:val="00185088"/>
    <w:rsid w:val="001868C3"/>
    <w:rsid w:val="00186A24"/>
    <w:rsid w:val="00186C2A"/>
    <w:rsid w:val="001921B0"/>
    <w:rsid w:val="00194CAC"/>
    <w:rsid w:val="00197D9D"/>
    <w:rsid w:val="001A0231"/>
    <w:rsid w:val="001A1050"/>
    <w:rsid w:val="001A10DC"/>
    <w:rsid w:val="001A1A5D"/>
    <w:rsid w:val="001A38D1"/>
    <w:rsid w:val="001A6274"/>
    <w:rsid w:val="001B1CCF"/>
    <w:rsid w:val="001B6B1A"/>
    <w:rsid w:val="001C1DBE"/>
    <w:rsid w:val="001C24DC"/>
    <w:rsid w:val="001C643C"/>
    <w:rsid w:val="001C70EF"/>
    <w:rsid w:val="001D07DD"/>
    <w:rsid w:val="001D129D"/>
    <w:rsid w:val="001D1935"/>
    <w:rsid w:val="001D7A2A"/>
    <w:rsid w:val="001E185F"/>
    <w:rsid w:val="001E31B7"/>
    <w:rsid w:val="001E52EB"/>
    <w:rsid w:val="001E7082"/>
    <w:rsid w:val="001E7F06"/>
    <w:rsid w:val="001F2187"/>
    <w:rsid w:val="001F2EA4"/>
    <w:rsid w:val="001F461D"/>
    <w:rsid w:val="001F4C8A"/>
    <w:rsid w:val="00200BB7"/>
    <w:rsid w:val="0020322B"/>
    <w:rsid w:val="002035A8"/>
    <w:rsid w:val="00203F18"/>
    <w:rsid w:val="00204321"/>
    <w:rsid w:val="0020647A"/>
    <w:rsid w:val="00211A0E"/>
    <w:rsid w:val="00212BA9"/>
    <w:rsid w:val="00213A8D"/>
    <w:rsid w:val="0021462B"/>
    <w:rsid w:val="00217B9E"/>
    <w:rsid w:val="00220911"/>
    <w:rsid w:val="002311FC"/>
    <w:rsid w:val="00231C29"/>
    <w:rsid w:val="00231E65"/>
    <w:rsid w:val="00234087"/>
    <w:rsid w:val="00234A2B"/>
    <w:rsid w:val="00242978"/>
    <w:rsid w:val="0024341A"/>
    <w:rsid w:val="00250708"/>
    <w:rsid w:val="00253263"/>
    <w:rsid w:val="002566E0"/>
    <w:rsid w:val="00260CB8"/>
    <w:rsid w:val="002612B3"/>
    <w:rsid w:val="002620FA"/>
    <w:rsid w:val="002623E8"/>
    <w:rsid w:val="002642A3"/>
    <w:rsid w:val="002671A8"/>
    <w:rsid w:val="002676BB"/>
    <w:rsid w:val="00272350"/>
    <w:rsid w:val="00277224"/>
    <w:rsid w:val="00277425"/>
    <w:rsid w:val="002806B4"/>
    <w:rsid w:val="002813FB"/>
    <w:rsid w:val="00282E54"/>
    <w:rsid w:val="002833B3"/>
    <w:rsid w:val="00285EBF"/>
    <w:rsid w:val="00292A6F"/>
    <w:rsid w:val="00294A7E"/>
    <w:rsid w:val="0029655A"/>
    <w:rsid w:val="002A1752"/>
    <w:rsid w:val="002A2E92"/>
    <w:rsid w:val="002A609F"/>
    <w:rsid w:val="002A7BA4"/>
    <w:rsid w:val="002B1C9D"/>
    <w:rsid w:val="002B333B"/>
    <w:rsid w:val="002B506E"/>
    <w:rsid w:val="002B5D8A"/>
    <w:rsid w:val="002C1614"/>
    <w:rsid w:val="002C18F1"/>
    <w:rsid w:val="002C1D8B"/>
    <w:rsid w:val="002C46E8"/>
    <w:rsid w:val="002C6D64"/>
    <w:rsid w:val="002D1710"/>
    <w:rsid w:val="002D1A0A"/>
    <w:rsid w:val="002D3C07"/>
    <w:rsid w:val="002D4184"/>
    <w:rsid w:val="002D6A0F"/>
    <w:rsid w:val="002D70BA"/>
    <w:rsid w:val="002E18AD"/>
    <w:rsid w:val="002E31C6"/>
    <w:rsid w:val="002E3F8A"/>
    <w:rsid w:val="002E4095"/>
    <w:rsid w:val="002E6689"/>
    <w:rsid w:val="002E7E09"/>
    <w:rsid w:val="002F1149"/>
    <w:rsid w:val="002F3870"/>
    <w:rsid w:val="00300945"/>
    <w:rsid w:val="003016BC"/>
    <w:rsid w:val="00303762"/>
    <w:rsid w:val="00303AFC"/>
    <w:rsid w:val="00306B82"/>
    <w:rsid w:val="00307696"/>
    <w:rsid w:val="003105BD"/>
    <w:rsid w:val="00311AE1"/>
    <w:rsid w:val="00311EA4"/>
    <w:rsid w:val="00316FB0"/>
    <w:rsid w:val="003218BB"/>
    <w:rsid w:val="00322841"/>
    <w:rsid w:val="00322898"/>
    <w:rsid w:val="0032300E"/>
    <w:rsid w:val="00324094"/>
    <w:rsid w:val="0032759D"/>
    <w:rsid w:val="00330856"/>
    <w:rsid w:val="0033087B"/>
    <w:rsid w:val="003323C2"/>
    <w:rsid w:val="003365A5"/>
    <w:rsid w:val="00336E7D"/>
    <w:rsid w:val="003370DB"/>
    <w:rsid w:val="00337250"/>
    <w:rsid w:val="0034026E"/>
    <w:rsid w:val="00344658"/>
    <w:rsid w:val="00347B02"/>
    <w:rsid w:val="003509F5"/>
    <w:rsid w:val="00354752"/>
    <w:rsid w:val="00354A87"/>
    <w:rsid w:val="00357F37"/>
    <w:rsid w:val="00360D78"/>
    <w:rsid w:val="00362D32"/>
    <w:rsid w:val="00363EAD"/>
    <w:rsid w:val="003649DD"/>
    <w:rsid w:val="00366660"/>
    <w:rsid w:val="00367A4B"/>
    <w:rsid w:val="00370B73"/>
    <w:rsid w:val="003713EF"/>
    <w:rsid w:val="0037198A"/>
    <w:rsid w:val="0037435C"/>
    <w:rsid w:val="00374368"/>
    <w:rsid w:val="00376AEA"/>
    <w:rsid w:val="00387A1D"/>
    <w:rsid w:val="003900EF"/>
    <w:rsid w:val="003930F5"/>
    <w:rsid w:val="00396ADF"/>
    <w:rsid w:val="003A26AF"/>
    <w:rsid w:val="003A755D"/>
    <w:rsid w:val="003B2460"/>
    <w:rsid w:val="003B515C"/>
    <w:rsid w:val="003B546F"/>
    <w:rsid w:val="003B6C18"/>
    <w:rsid w:val="003B7781"/>
    <w:rsid w:val="003B7CD2"/>
    <w:rsid w:val="003C0E3F"/>
    <w:rsid w:val="003C2124"/>
    <w:rsid w:val="003C25E0"/>
    <w:rsid w:val="003C32B7"/>
    <w:rsid w:val="003C35C9"/>
    <w:rsid w:val="003C4862"/>
    <w:rsid w:val="003D5D1A"/>
    <w:rsid w:val="003E0090"/>
    <w:rsid w:val="003E218D"/>
    <w:rsid w:val="003E494E"/>
    <w:rsid w:val="003E6857"/>
    <w:rsid w:val="003F6F4D"/>
    <w:rsid w:val="00400D96"/>
    <w:rsid w:val="004017C8"/>
    <w:rsid w:val="00403150"/>
    <w:rsid w:val="00403D87"/>
    <w:rsid w:val="00407078"/>
    <w:rsid w:val="00407B51"/>
    <w:rsid w:val="0041000E"/>
    <w:rsid w:val="004107FC"/>
    <w:rsid w:val="00414485"/>
    <w:rsid w:val="00416BFE"/>
    <w:rsid w:val="004254D7"/>
    <w:rsid w:val="004262A9"/>
    <w:rsid w:val="004275A2"/>
    <w:rsid w:val="00427B3E"/>
    <w:rsid w:val="00430514"/>
    <w:rsid w:val="00434D8C"/>
    <w:rsid w:val="00435E30"/>
    <w:rsid w:val="004372C5"/>
    <w:rsid w:val="00440B38"/>
    <w:rsid w:val="00442449"/>
    <w:rsid w:val="00443E4A"/>
    <w:rsid w:val="00446B26"/>
    <w:rsid w:val="00451620"/>
    <w:rsid w:val="0045164E"/>
    <w:rsid w:val="00451F3B"/>
    <w:rsid w:val="0045457C"/>
    <w:rsid w:val="00456883"/>
    <w:rsid w:val="00456B09"/>
    <w:rsid w:val="0046089C"/>
    <w:rsid w:val="004608D6"/>
    <w:rsid w:val="00464088"/>
    <w:rsid w:val="0046661F"/>
    <w:rsid w:val="00472A66"/>
    <w:rsid w:val="00472E52"/>
    <w:rsid w:val="00477F4F"/>
    <w:rsid w:val="00480A12"/>
    <w:rsid w:val="004843A4"/>
    <w:rsid w:val="00485C03"/>
    <w:rsid w:val="00485F41"/>
    <w:rsid w:val="00486AD0"/>
    <w:rsid w:val="004872A3"/>
    <w:rsid w:val="004901BB"/>
    <w:rsid w:val="004949B5"/>
    <w:rsid w:val="004A3EEF"/>
    <w:rsid w:val="004A6446"/>
    <w:rsid w:val="004A6E99"/>
    <w:rsid w:val="004A701D"/>
    <w:rsid w:val="004B12AA"/>
    <w:rsid w:val="004B16FF"/>
    <w:rsid w:val="004B5380"/>
    <w:rsid w:val="004C2E9B"/>
    <w:rsid w:val="004C31EA"/>
    <w:rsid w:val="004C533C"/>
    <w:rsid w:val="004D20C6"/>
    <w:rsid w:val="004D446C"/>
    <w:rsid w:val="004E28BD"/>
    <w:rsid w:val="004E2C70"/>
    <w:rsid w:val="004E7434"/>
    <w:rsid w:val="004E7B4B"/>
    <w:rsid w:val="004F28C1"/>
    <w:rsid w:val="004F5FA2"/>
    <w:rsid w:val="005022A4"/>
    <w:rsid w:val="005027FA"/>
    <w:rsid w:val="00505FC0"/>
    <w:rsid w:val="00510438"/>
    <w:rsid w:val="0051126F"/>
    <w:rsid w:val="00515873"/>
    <w:rsid w:val="0051620D"/>
    <w:rsid w:val="0052232C"/>
    <w:rsid w:val="00526C01"/>
    <w:rsid w:val="00530DD7"/>
    <w:rsid w:val="00531067"/>
    <w:rsid w:val="0053562B"/>
    <w:rsid w:val="0053592E"/>
    <w:rsid w:val="00536F33"/>
    <w:rsid w:val="00541DD8"/>
    <w:rsid w:val="00543BF9"/>
    <w:rsid w:val="00544A64"/>
    <w:rsid w:val="00545098"/>
    <w:rsid w:val="00545238"/>
    <w:rsid w:val="0054557E"/>
    <w:rsid w:val="0054722F"/>
    <w:rsid w:val="005502D7"/>
    <w:rsid w:val="00550CBA"/>
    <w:rsid w:val="005539BC"/>
    <w:rsid w:val="00554312"/>
    <w:rsid w:val="00554838"/>
    <w:rsid w:val="00557E77"/>
    <w:rsid w:val="00561F98"/>
    <w:rsid w:val="00570FBB"/>
    <w:rsid w:val="00581487"/>
    <w:rsid w:val="00583A38"/>
    <w:rsid w:val="00584154"/>
    <w:rsid w:val="00584301"/>
    <w:rsid w:val="00585877"/>
    <w:rsid w:val="0058654F"/>
    <w:rsid w:val="00593027"/>
    <w:rsid w:val="005936F1"/>
    <w:rsid w:val="005A3D2D"/>
    <w:rsid w:val="005A4B27"/>
    <w:rsid w:val="005B0AC0"/>
    <w:rsid w:val="005B4766"/>
    <w:rsid w:val="005B476B"/>
    <w:rsid w:val="005B48FF"/>
    <w:rsid w:val="005B73D2"/>
    <w:rsid w:val="005B7FB7"/>
    <w:rsid w:val="005C32B7"/>
    <w:rsid w:val="005C3E7C"/>
    <w:rsid w:val="005C4477"/>
    <w:rsid w:val="005C4D95"/>
    <w:rsid w:val="005D1FDD"/>
    <w:rsid w:val="005D2595"/>
    <w:rsid w:val="005D5335"/>
    <w:rsid w:val="005D685F"/>
    <w:rsid w:val="005E1A58"/>
    <w:rsid w:val="005E33B1"/>
    <w:rsid w:val="005E38DF"/>
    <w:rsid w:val="005E529E"/>
    <w:rsid w:val="005E61C6"/>
    <w:rsid w:val="005E74E4"/>
    <w:rsid w:val="005E7BFA"/>
    <w:rsid w:val="005F045E"/>
    <w:rsid w:val="005F0EC2"/>
    <w:rsid w:val="005F36E0"/>
    <w:rsid w:val="005F4C17"/>
    <w:rsid w:val="005F5C73"/>
    <w:rsid w:val="005F6C5C"/>
    <w:rsid w:val="005F74A2"/>
    <w:rsid w:val="006008CB"/>
    <w:rsid w:val="00601B54"/>
    <w:rsid w:val="0061113C"/>
    <w:rsid w:val="006173AB"/>
    <w:rsid w:val="006208DD"/>
    <w:rsid w:val="006211E5"/>
    <w:rsid w:val="00624F00"/>
    <w:rsid w:val="00625167"/>
    <w:rsid w:val="0062665F"/>
    <w:rsid w:val="00626E03"/>
    <w:rsid w:val="00630910"/>
    <w:rsid w:val="00632426"/>
    <w:rsid w:val="00633E8E"/>
    <w:rsid w:val="006346F9"/>
    <w:rsid w:val="0064056B"/>
    <w:rsid w:val="00641266"/>
    <w:rsid w:val="00642437"/>
    <w:rsid w:val="00645566"/>
    <w:rsid w:val="006457B7"/>
    <w:rsid w:val="00646B04"/>
    <w:rsid w:val="00650E38"/>
    <w:rsid w:val="006523E7"/>
    <w:rsid w:val="00652B15"/>
    <w:rsid w:val="0065391A"/>
    <w:rsid w:val="00653EC5"/>
    <w:rsid w:val="00655353"/>
    <w:rsid w:val="0065637A"/>
    <w:rsid w:val="006601CE"/>
    <w:rsid w:val="00663908"/>
    <w:rsid w:val="0066515D"/>
    <w:rsid w:val="006666D2"/>
    <w:rsid w:val="00666C2B"/>
    <w:rsid w:val="00667D01"/>
    <w:rsid w:val="0067112E"/>
    <w:rsid w:val="0067283F"/>
    <w:rsid w:val="00673887"/>
    <w:rsid w:val="00675BFB"/>
    <w:rsid w:val="00681CD9"/>
    <w:rsid w:val="006821F0"/>
    <w:rsid w:val="0068291E"/>
    <w:rsid w:val="00683D21"/>
    <w:rsid w:val="00692120"/>
    <w:rsid w:val="00694026"/>
    <w:rsid w:val="00696420"/>
    <w:rsid w:val="006A020D"/>
    <w:rsid w:val="006A157B"/>
    <w:rsid w:val="006A359C"/>
    <w:rsid w:val="006A3DBE"/>
    <w:rsid w:val="006A46EA"/>
    <w:rsid w:val="006A4CDA"/>
    <w:rsid w:val="006A7A89"/>
    <w:rsid w:val="006B3DD2"/>
    <w:rsid w:val="006B4313"/>
    <w:rsid w:val="006B5762"/>
    <w:rsid w:val="006B5E80"/>
    <w:rsid w:val="006B761D"/>
    <w:rsid w:val="006C022D"/>
    <w:rsid w:val="006C03F8"/>
    <w:rsid w:val="006C051B"/>
    <w:rsid w:val="006C73E4"/>
    <w:rsid w:val="006D087C"/>
    <w:rsid w:val="006D6493"/>
    <w:rsid w:val="006E3FDE"/>
    <w:rsid w:val="006E404B"/>
    <w:rsid w:val="006E58F3"/>
    <w:rsid w:val="006E63D3"/>
    <w:rsid w:val="006F0060"/>
    <w:rsid w:val="006F0FDF"/>
    <w:rsid w:val="006F28D9"/>
    <w:rsid w:val="006F3191"/>
    <w:rsid w:val="006F5E92"/>
    <w:rsid w:val="006F7ABD"/>
    <w:rsid w:val="006F7D86"/>
    <w:rsid w:val="00702011"/>
    <w:rsid w:val="00702075"/>
    <w:rsid w:val="007029B1"/>
    <w:rsid w:val="00706669"/>
    <w:rsid w:val="00711678"/>
    <w:rsid w:val="00711B81"/>
    <w:rsid w:val="0071279C"/>
    <w:rsid w:val="00721469"/>
    <w:rsid w:val="0072363D"/>
    <w:rsid w:val="00727C91"/>
    <w:rsid w:val="00730620"/>
    <w:rsid w:val="007356E1"/>
    <w:rsid w:val="00736898"/>
    <w:rsid w:val="0073724A"/>
    <w:rsid w:val="007439FE"/>
    <w:rsid w:val="007460D1"/>
    <w:rsid w:val="00747705"/>
    <w:rsid w:val="00752F75"/>
    <w:rsid w:val="00753EB2"/>
    <w:rsid w:val="00754241"/>
    <w:rsid w:val="007546F8"/>
    <w:rsid w:val="007564EF"/>
    <w:rsid w:val="00756832"/>
    <w:rsid w:val="0076043D"/>
    <w:rsid w:val="0076130E"/>
    <w:rsid w:val="00763F6D"/>
    <w:rsid w:val="00764A77"/>
    <w:rsid w:val="00764D6F"/>
    <w:rsid w:val="007669F5"/>
    <w:rsid w:val="00772403"/>
    <w:rsid w:val="00773549"/>
    <w:rsid w:val="00775347"/>
    <w:rsid w:val="00780C41"/>
    <w:rsid w:val="00781BED"/>
    <w:rsid w:val="00783E5D"/>
    <w:rsid w:val="0078588B"/>
    <w:rsid w:val="00786D39"/>
    <w:rsid w:val="00791D18"/>
    <w:rsid w:val="0079208E"/>
    <w:rsid w:val="007925D9"/>
    <w:rsid w:val="00793277"/>
    <w:rsid w:val="00793C93"/>
    <w:rsid w:val="0079464B"/>
    <w:rsid w:val="0079473B"/>
    <w:rsid w:val="0079631C"/>
    <w:rsid w:val="0079632E"/>
    <w:rsid w:val="007976F2"/>
    <w:rsid w:val="007A0A3F"/>
    <w:rsid w:val="007A4532"/>
    <w:rsid w:val="007A6591"/>
    <w:rsid w:val="007A6C25"/>
    <w:rsid w:val="007A6FBF"/>
    <w:rsid w:val="007A76AB"/>
    <w:rsid w:val="007B2155"/>
    <w:rsid w:val="007B268C"/>
    <w:rsid w:val="007B277C"/>
    <w:rsid w:val="007B43A3"/>
    <w:rsid w:val="007C692A"/>
    <w:rsid w:val="007C7939"/>
    <w:rsid w:val="007C7F2E"/>
    <w:rsid w:val="007D1247"/>
    <w:rsid w:val="007D30A0"/>
    <w:rsid w:val="007D3F96"/>
    <w:rsid w:val="007D520E"/>
    <w:rsid w:val="007D7EA7"/>
    <w:rsid w:val="007E1F48"/>
    <w:rsid w:val="007E32E0"/>
    <w:rsid w:val="007E4736"/>
    <w:rsid w:val="007E570B"/>
    <w:rsid w:val="007E6F58"/>
    <w:rsid w:val="007E7A7B"/>
    <w:rsid w:val="007F0B87"/>
    <w:rsid w:val="007F3137"/>
    <w:rsid w:val="007F424B"/>
    <w:rsid w:val="007F459E"/>
    <w:rsid w:val="007F5420"/>
    <w:rsid w:val="00812C2E"/>
    <w:rsid w:val="00814ACF"/>
    <w:rsid w:val="0081547F"/>
    <w:rsid w:val="008156F0"/>
    <w:rsid w:val="00817228"/>
    <w:rsid w:val="008179A1"/>
    <w:rsid w:val="0082283E"/>
    <w:rsid w:val="00825406"/>
    <w:rsid w:val="00827B8B"/>
    <w:rsid w:val="00831663"/>
    <w:rsid w:val="0083600D"/>
    <w:rsid w:val="00836C35"/>
    <w:rsid w:val="008410FE"/>
    <w:rsid w:val="0084194C"/>
    <w:rsid w:val="00843341"/>
    <w:rsid w:val="0084601B"/>
    <w:rsid w:val="00846B31"/>
    <w:rsid w:val="00847694"/>
    <w:rsid w:val="00853B55"/>
    <w:rsid w:val="0085514E"/>
    <w:rsid w:val="008615C1"/>
    <w:rsid w:val="00862F03"/>
    <w:rsid w:val="00867091"/>
    <w:rsid w:val="0087432B"/>
    <w:rsid w:val="00875446"/>
    <w:rsid w:val="008804A8"/>
    <w:rsid w:val="00880BA8"/>
    <w:rsid w:val="00881410"/>
    <w:rsid w:val="00882E05"/>
    <w:rsid w:val="00885C6D"/>
    <w:rsid w:val="00890A37"/>
    <w:rsid w:val="00890CDF"/>
    <w:rsid w:val="008910F9"/>
    <w:rsid w:val="00892653"/>
    <w:rsid w:val="00892AFD"/>
    <w:rsid w:val="0089482D"/>
    <w:rsid w:val="00895030"/>
    <w:rsid w:val="0089568C"/>
    <w:rsid w:val="008960C0"/>
    <w:rsid w:val="008977CD"/>
    <w:rsid w:val="008A2242"/>
    <w:rsid w:val="008A26B7"/>
    <w:rsid w:val="008A44DC"/>
    <w:rsid w:val="008A50F6"/>
    <w:rsid w:val="008A618F"/>
    <w:rsid w:val="008A6FC3"/>
    <w:rsid w:val="008B0C8F"/>
    <w:rsid w:val="008B3E75"/>
    <w:rsid w:val="008B5F2C"/>
    <w:rsid w:val="008B6CF3"/>
    <w:rsid w:val="008C05E9"/>
    <w:rsid w:val="008C1127"/>
    <w:rsid w:val="008C2486"/>
    <w:rsid w:val="008D116B"/>
    <w:rsid w:val="008D319A"/>
    <w:rsid w:val="008D3BAC"/>
    <w:rsid w:val="008E2CB2"/>
    <w:rsid w:val="008E35E3"/>
    <w:rsid w:val="008E6292"/>
    <w:rsid w:val="008F000D"/>
    <w:rsid w:val="00905C21"/>
    <w:rsid w:val="00906E1C"/>
    <w:rsid w:val="00911C74"/>
    <w:rsid w:val="00914011"/>
    <w:rsid w:val="0091457A"/>
    <w:rsid w:val="00921422"/>
    <w:rsid w:val="00921D5B"/>
    <w:rsid w:val="00921EC8"/>
    <w:rsid w:val="00925D0C"/>
    <w:rsid w:val="00925E93"/>
    <w:rsid w:val="009306B4"/>
    <w:rsid w:val="00933D94"/>
    <w:rsid w:val="0093422F"/>
    <w:rsid w:val="009369AE"/>
    <w:rsid w:val="00936E54"/>
    <w:rsid w:val="009376F4"/>
    <w:rsid w:val="00940F43"/>
    <w:rsid w:val="009427C4"/>
    <w:rsid w:val="009428CB"/>
    <w:rsid w:val="0094347C"/>
    <w:rsid w:val="00943A94"/>
    <w:rsid w:val="00944BEB"/>
    <w:rsid w:val="00944CBE"/>
    <w:rsid w:val="00951730"/>
    <w:rsid w:val="009549BE"/>
    <w:rsid w:val="00955177"/>
    <w:rsid w:val="009556B3"/>
    <w:rsid w:val="00956EFE"/>
    <w:rsid w:val="009643B7"/>
    <w:rsid w:val="00965639"/>
    <w:rsid w:val="00971290"/>
    <w:rsid w:val="0097189E"/>
    <w:rsid w:val="009723D0"/>
    <w:rsid w:val="00972A87"/>
    <w:rsid w:val="00972F50"/>
    <w:rsid w:val="00975023"/>
    <w:rsid w:val="00976B31"/>
    <w:rsid w:val="00981090"/>
    <w:rsid w:val="00983642"/>
    <w:rsid w:val="00985357"/>
    <w:rsid w:val="00987BD7"/>
    <w:rsid w:val="00987CC9"/>
    <w:rsid w:val="00991DC1"/>
    <w:rsid w:val="00995FCE"/>
    <w:rsid w:val="009969CB"/>
    <w:rsid w:val="00996F6B"/>
    <w:rsid w:val="00997212"/>
    <w:rsid w:val="009A0A9D"/>
    <w:rsid w:val="009A4AEA"/>
    <w:rsid w:val="009A67C8"/>
    <w:rsid w:val="009A6EDB"/>
    <w:rsid w:val="009B0705"/>
    <w:rsid w:val="009B6872"/>
    <w:rsid w:val="009C33E8"/>
    <w:rsid w:val="009C4483"/>
    <w:rsid w:val="009C5EC5"/>
    <w:rsid w:val="009C6DA8"/>
    <w:rsid w:val="009D015E"/>
    <w:rsid w:val="009D3396"/>
    <w:rsid w:val="009D41B6"/>
    <w:rsid w:val="009E2432"/>
    <w:rsid w:val="009E2D92"/>
    <w:rsid w:val="009E3AF4"/>
    <w:rsid w:val="009E7260"/>
    <w:rsid w:val="009E733A"/>
    <w:rsid w:val="009F3964"/>
    <w:rsid w:val="00A031F5"/>
    <w:rsid w:val="00A05014"/>
    <w:rsid w:val="00A12156"/>
    <w:rsid w:val="00A143F1"/>
    <w:rsid w:val="00A20D3D"/>
    <w:rsid w:val="00A21C0C"/>
    <w:rsid w:val="00A250BF"/>
    <w:rsid w:val="00A304EB"/>
    <w:rsid w:val="00A32A27"/>
    <w:rsid w:val="00A33A4D"/>
    <w:rsid w:val="00A34841"/>
    <w:rsid w:val="00A3543C"/>
    <w:rsid w:val="00A35D1B"/>
    <w:rsid w:val="00A369C9"/>
    <w:rsid w:val="00A4219F"/>
    <w:rsid w:val="00A422BF"/>
    <w:rsid w:val="00A43745"/>
    <w:rsid w:val="00A43D58"/>
    <w:rsid w:val="00A44EDD"/>
    <w:rsid w:val="00A45007"/>
    <w:rsid w:val="00A4535E"/>
    <w:rsid w:val="00A45FEE"/>
    <w:rsid w:val="00A47A1A"/>
    <w:rsid w:val="00A54897"/>
    <w:rsid w:val="00A56B91"/>
    <w:rsid w:val="00A60F4D"/>
    <w:rsid w:val="00A63509"/>
    <w:rsid w:val="00A70884"/>
    <w:rsid w:val="00A71FC1"/>
    <w:rsid w:val="00A738DC"/>
    <w:rsid w:val="00A74081"/>
    <w:rsid w:val="00A802BF"/>
    <w:rsid w:val="00A81CC1"/>
    <w:rsid w:val="00A84B04"/>
    <w:rsid w:val="00A86EA6"/>
    <w:rsid w:val="00A900FF"/>
    <w:rsid w:val="00A93866"/>
    <w:rsid w:val="00A94017"/>
    <w:rsid w:val="00A97DC2"/>
    <w:rsid w:val="00AA199E"/>
    <w:rsid w:val="00AA1F12"/>
    <w:rsid w:val="00AA35A1"/>
    <w:rsid w:val="00AA3626"/>
    <w:rsid w:val="00AA7FAF"/>
    <w:rsid w:val="00AB13D6"/>
    <w:rsid w:val="00AB1456"/>
    <w:rsid w:val="00AB1DEB"/>
    <w:rsid w:val="00AB525F"/>
    <w:rsid w:val="00AB5292"/>
    <w:rsid w:val="00AB5C7C"/>
    <w:rsid w:val="00AC19E1"/>
    <w:rsid w:val="00AC339C"/>
    <w:rsid w:val="00AC35BF"/>
    <w:rsid w:val="00AC363F"/>
    <w:rsid w:val="00AC4B81"/>
    <w:rsid w:val="00AC5202"/>
    <w:rsid w:val="00AC7C77"/>
    <w:rsid w:val="00AD14BC"/>
    <w:rsid w:val="00AD3594"/>
    <w:rsid w:val="00AD3C22"/>
    <w:rsid w:val="00AD3D63"/>
    <w:rsid w:val="00AD4450"/>
    <w:rsid w:val="00AD793E"/>
    <w:rsid w:val="00AE3625"/>
    <w:rsid w:val="00AE3FE0"/>
    <w:rsid w:val="00AE5174"/>
    <w:rsid w:val="00AE707B"/>
    <w:rsid w:val="00AF56F5"/>
    <w:rsid w:val="00AF7228"/>
    <w:rsid w:val="00B034D9"/>
    <w:rsid w:val="00B07936"/>
    <w:rsid w:val="00B07E7E"/>
    <w:rsid w:val="00B10A55"/>
    <w:rsid w:val="00B10FA6"/>
    <w:rsid w:val="00B22928"/>
    <w:rsid w:val="00B23453"/>
    <w:rsid w:val="00B27962"/>
    <w:rsid w:val="00B27D50"/>
    <w:rsid w:val="00B3294C"/>
    <w:rsid w:val="00B3442E"/>
    <w:rsid w:val="00B35D10"/>
    <w:rsid w:val="00B3611F"/>
    <w:rsid w:val="00B37586"/>
    <w:rsid w:val="00B37E7E"/>
    <w:rsid w:val="00B442CA"/>
    <w:rsid w:val="00B44EF2"/>
    <w:rsid w:val="00B46C13"/>
    <w:rsid w:val="00B46C71"/>
    <w:rsid w:val="00B475AA"/>
    <w:rsid w:val="00B47721"/>
    <w:rsid w:val="00B47B59"/>
    <w:rsid w:val="00B52919"/>
    <w:rsid w:val="00B57327"/>
    <w:rsid w:val="00B60302"/>
    <w:rsid w:val="00B6120C"/>
    <w:rsid w:val="00B6181E"/>
    <w:rsid w:val="00B62467"/>
    <w:rsid w:val="00B67628"/>
    <w:rsid w:val="00B70D29"/>
    <w:rsid w:val="00B74128"/>
    <w:rsid w:val="00B76D18"/>
    <w:rsid w:val="00B77951"/>
    <w:rsid w:val="00B80455"/>
    <w:rsid w:val="00B83816"/>
    <w:rsid w:val="00B96116"/>
    <w:rsid w:val="00B97795"/>
    <w:rsid w:val="00BA0294"/>
    <w:rsid w:val="00BA0395"/>
    <w:rsid w:val="00BA1D83"/>
    <w:rsid w:val="00BA7AAC"/>
    <w:rsid w:val="00BB135B"/>
    <w:rsid w:val="00BB41CA"/>
    <w:rsid w:val="00BB542E"/>
    <w:rsid w:val="00BC304E"/>
    <w:rsid w:val="00BC4803"/>
    <w:rsid w:val="00BC5FF3"/>
    <w:rsid w:val="00BD2132"/>
    <w:rsid w:val="00BD300C"/>
    <w:rsid w:val="00BD74E2"/>
    <w:rsid w:val="00BE2067"/>
    <w:rsid w:val="00BE2ABC"/>
    <w:rsid w:val="00BE582F"/>
    <w:rsid w:val="00BF06D5"/>
    <w:rsid w:val="00BF31D7"/>
    <w:rsid w:val="00BF68CC"/>
    <w:rsid w:val="00BF73AC"/>
    <w:rsid w:val="00C00A3C"/>
    <w:rsid w:val="00C0227B"/>
    <w:rsid w:val="00C03FA9"/>
    <w:rsid w:val="00C04BED"/>
    <w:rsid w:val="00C05D05"/>
    <w:rsid w:val="00C115B5"/>
    <w:rsid w:val="00C1221D"/>
    <w:rsid w:val="00C13F55"/>
    <w:rsid w:val="00C179AD"/>
    <w:rsid w:val="00C21FDF"/>
    <w:rsid w:val="00C27F80"/>
    <w:rsid w:val="00C34602"/>
    <w:rsid w:val="00C4021C"/>
    <w:rsid w:val="00C40D5F"/>
    <w:rsid w:val="00C44F01"/>
    <w:rsid w:val="00C47E86"/>
    <w:rsid w:val="00C5140E"/>
    <w:rsid w:val="00C56683"/>
    <w:rsid w:val="00C602BE"/>
    <w:rsid w:val="00C611B3"/>
    <w:rsid w:val="00C61D13"/>
    <w:rsid w:val="00C6445D"/>
    <w:rsid w:val="00C64C2B"/>
    <w:rsid w:val="00C7115C"/>
    <w:rsid w:val="00C723D3"/>
    <w:rsid w:val="00C72980"/>
    <w:rsid w:val="00C73282"/>
    <w:rsid w:val="00C80F17"/>
    <w:rsid w:val="00C83314"/>
    <w:rsid w:val="00C84AC7"/>
    <w:rsid w:val="00C85153"/>
    <w:rsid w:val="00C85B0C"/>
    <w:rsid w:val="00C86147"/>
    <w:rsid w:val="00C87DB1"/>
    <w:rsid w:val="00C92D16"/>
    <w:rsid w:val="00C951F9"/>
    <w:rsid w:val="00C95DE3"/>
    <w:rsid w:val="00C95E8E"/>
    <w:rsid w:val="00CA2333"/>
    <w:rsid w:val="00CA36D1"/>
    <w:rsid w:val="00CA3BDB"/>
    <w:rsid w:val="00CB09A0"/>
    <w:rsid w:val="00CC2C93"/>
    <w:rsid w:val="00CC30D5"/>
    <w:rsid w:val="00CC3C70"/>
    <w:rsid w:val="00CC4566"/>
    <w:rsid w:val="00CC5A8D"/>
    <w:rsid w:val="00CC6DB5"/>
    <w:rsid w:val="00CD55B3"/>
    <w:rsid w:val="00CD5D60"/>
    <w:rsid w:val="00CD7716"/>
    <w:rsid w:val="00CE0DF7"/>
    <w:rsid w:val="00CE2FE7"/>
    <w:rsid w:val="00CE3C87"/>
    <w:rsid w:val="00CE4927"/>
    <w:rsid w:val="00CF0FE8"/>
    <w:rsid w:val="00CF14A8"/>
    <w:rsid w:val="00CF2AC4"/>
    <w:rsid w:val="00CF30CB"/>
    <w:rsid w:val="00D00BBD"/>
    <w:rsid w:val="00D026C7"/>
    <w:rsid w:val="00D02BB2"/>
    <w:rsid w:val="00D1035F"/>
    <w:rsid w:val="00D1174B"/>
    <w:rsid w:val="00D11DE0"/>
    <w:rsid w:val="00D1200F"/>
    <w:rsid w:val="00D13792"/>
    <w:rsid w:val="00D163CF"/>
    <w:rsid w:val="00D16E1A"/>
    <w:rsid w:val="00D17FE6"/>
    <w:rsid w:val="00D20B2A"/>
    <w:rsid w:val="00D21B99"/>
    <w:rsid w:val="00D22178"/>
    <w:rsid w:val="00D27869"/>
    <w:rsid w:val="00D315D4"/>
    <w:rsid w:val="00D33687"/>
    <w:rsid w:val="00D349A5"/>
    <w:rsid w:val="00D35B8B"/>
    <w:rsid w:val="00D3697A"/>
    <w:rsid w:val="00D37F6E"/>
    <w:rsid w:val="00D46950"/>
    <w:rsid w:val="00D4704A"/>
    <w:rsid w:val="00D47231"/>
    <w:rsid w:val="00D52AB9"/>
    <w:rsid w:val="00D541B0"/>
    <w:rsid w:val="00D54BF6"/>
    <w:rsid w:val="00D62485"/>
    <w:rsid w:val="00D6398B"/>
    <w:rsid w:val="00D66AE8"/>
    <w:rsid w:val="00D672E5"/>
    <w:rsid w:val="00D71B9D"/>
    <w:rsid w:val="00D72801"/>
    <w:rsid w:val="00D7464E"/>
    <w:rsid w:val="00D74B30"/>
    <w:rsid w:val="00D7656B"/>
    <w:rsid w:val="00D77582"/>
    <w:rsid w:val="00D849BB"/>
    <w:rsid w:val="00D84F77"/>
    <w:rsid w:val="00D85097"/>
    <w:rsid w:val="00D869EF"/>
    <w:rsid w:val="00D900B1"/>
    <w:rsid w:val="00D92C88"/>
    <w:rsid w:val="00D93E9F"/>
    <w:rsid w:val="00D97417"/>
    <w:rsid w:val="00D97D42"/>
    <w:rsid w:val="00DA1A52"/>
    <w:rsid w:val="00DA2204"/>
    <w:rsid w:val="00DA3496"/>
    <w:rsid w:val="00DA7386"/>
    <w:rsid w:val="00DB5E67"/>
    <w:rsid w:val="00DB6324"/>
    <w:rsid w:val="00DB6FF3"/>
    <w:rsid w:val="00DC0511"/>
    <w:rsid w:val="00DC2687"/>
    <w:rsid w:val="00DC26BD"/>
    <w:rsid w:val="00DC338C"/>
    <w:rsid w:val="00DC6E49"/>
    <w:rsid w:val="00DD48B2"/>
    <w:rsid w:val="00DD4B32"/>
    <w:rsid w:val="00DD5334"/>
    <w:rsid w:val="00DD6CB6"/>
    <w:rsid w:val="00DE0587"/>
    <w:rsid w:val="00DE252E"/>
    <w:rsid w:val="00DE3186"/>
    <w:rsid w:val="00DE4C97"/>
    <w:rsid w:val="00DE5211"/>
    <w:rsid w:val="00DE66F9"/>
    <w:rsid w:val="00DF020D"/>
    <w:rsid w:val="00DF1517"/>
    <w:rsid w:val="00DF7D6D"/>
    <w:rsid w:val="00E00E75"/>
    <w:rsid w:val="00E02F47"/>
    <w:rsid w:val="00E031BF"/>
    <w:rsid w:val="00E12D8E"/>
    <w:rsid w:val="00E1336F"/>
    <w:rsid w:val="00E14261"/>
    <w:rsid w:val="00E164A9"/>
    <w:rsid w:val="00E17E60"/>
    <w:rsid w:val="00E21EC0"/>
    <w:rsid w:val="00E22824"/>
    <w:rsid w:val="00E22DAF"/>
    <w:rsid w:val="00E25A83"/>
    <w:rsid w:val="00E2616F"/>
    <w:rsid w:val="00E320B1"/>
    <w:rsid w:val="00E378D8"/>
    <w:rsid w:val="00E37D85"/>
    <w:rsid w:val="00E460D8"/>
    <w:rsid w:val="00E46676"/>
    <w:rsid w:val="00E51A55"/>
    <w:rsid w:val="00E57C18"/>
    <w:rsid w:val="00E64244"/>
    <w:rsid w:val="00E6583E"/>
    <w:rsid w:val="00E66F99"/>
    <w:rsid w:val="00E70783"/>
    <w:rsid w:val="00E70BFC"/>
    <w:rsid w:val="00E72EC4"/>
    <w:rsid w:val="00E76065"/>
    <w:rsid w:val="00E76DCA"/>
    <w:rsid w:val="00E828ED"/>
    <w:rsid w:val="00E8306B"/>
    <w:rsid w:val="00E83928"/>
    <w:rsid w:val="00E85DF1"/>
    <w:rsid w:val="00E86582"/>
    <w:rsid w:val="00E8665D"/>
    <w:rsid w:val="00E873E4"/>
    <w:rsid w:val="00E875D4"/>
    <w:rsid w:val="00E90605"/>
    <w:rsid w:val="00E9371B"/>
    <w:rsid w:val="00E938CA"/>
    <w:rsid w:val="00E956AE"/>
    <w:rsid w:val="00E9610A"/>
    <w:rsid w:val="00EA0885"/>
    <w:rsid w:val="00EA66C6"/>
    <w:rsid w:val="00EA7769"/>
    <w:rsid w:val="00EB1BD8"/>
    <w:rsid w:val="00EB42C7"/>
    <w:rsid w:val="00EB4EF2"/>
    <w:rsid w:val="00EB5383"/>
    <w:rsid w:val="00EB65F3"/>
    <w:rsid w:val="00EB67D8"/>
    <w:rsid w:val="00EC1815"/>
    <w:rsid w:val="00EC300B"/>
    <w:rsid w:val="00EC46D8"/>
    <w:rsid w:val="00ED22B7"/>
    <w:rsid w:val="00ED267A"/>
    <w:rsid w:val="00ED2E5D"/>
    <w:rsid w:val="00ED63CA"/>
    <w:rsid w:val="00ED63DB"/>
    <w:rsid w:val="00EE2DBF"/>
    <w:rsid w:val="00EE4CE0"/>
    <w:rsid w:val="00EE7105"/>
    <w:rsid w:val="00EE7554"/>
    <w:rsid w:val="00EE7E71"/>
    <w:rsid w:val="00EF0CFD"/>
    <w:rsid w:val="00EF667B"/>
    <w:rsid w:val="00F00092"/>
    <w:rsid w:val="00F009F3"/>
    <w:rsid w:val="00F03D5B"/>
    <w:rsid w:val="00F057FC"/>
    <w:rsid w:val="00F07D0D"/>
    <w:rsid w:val="00F14AC3"/>
    <w:rsid w:val="00F20BB8"/>
    <w:rsid w:val="00F22DC9"/>
    <w:rsid w:val="00F32938"/>
    <w:rsid w:val="00F332E0"/>
    <w:rsid w:val="00F42B33"/>
    <w:rsid w:val="00F43279"/>
    <w:rsid w:val="00F4437B"/>
    <w:rsid w:val="00F47EAD"/>
    <w:rsid w:val="00F51D54"/>
    <w:rsid w:val="00F530AD"/>
    <w:rsid w:val="00F5411C"/>
    <w:rsid w:val="00F54D82"/>
    <w:rsid w:val="00F565FC"/>
    <w:rsid w:val="00F57D90"/>
    <w:rsid w:val="00F605B6"/>
    <w:rsid w:val="00F63433"/>
    <w:rsid w:val="00F708A3"/>
    <w:rsid w:val="00F73806"/>
    <w:rsid w:val="00F75BF1"/>
    <w:rsid w:val="00F822F6"/>
    <w:rsid w:val="00F85AA4"/>
    <w:rsid w:val="00F92602"/>
    <w:rsid w:val="00F945BA"/>
    <w:rsid w:val="00FA4D1F"/>
    <w:rsid w:val="00FA6993"/>
    <w:rsid w:val="00FB1621"/>
    <w:rsid w:val="00FB1B6A"/>
    <w:rsid w:val="00FB50C3"/>
    <w:rsid w:val="00FB77DF"/>
    <w:rsid w:val="00FC0A33"/>
    <w:rsid w:val="00FC0D43"/>
    <w:rsid w:val="00FC0FB2"/>
    <w:rsid w:val="00FC75A4"/>
    <w:rsid w:val="00FD294C"/>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cf01">
    <w:name w:val="cf01"/>
    <w:basedOn w:val="DefaultParagraphFont"/>
    <w:rsid w:val="006C051B"/>
    <w:rPr>
      <w:rFonts w:ascii="Segoe UI" w:hAnsi="Segoe UI" w:cs="Segoe UI" w:hint="default"/>
      <w:sz w:val="18"/>
      <w:szCs w:val="18"/>
      <w:shd w:val="clear" w:color="auto" w:fill="FFFFFF"/>
    </w:rPr>
  </w:style>
  <w:style w:type="character" w:customStyle="1" w:styleId="cf11">
    <w:name w:val="cf11"/>
    <w:basedOn w:val="DefaultParagraphFont"/>
    <w:rsid w:val="006C05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45741980">
      <w:bodyDiv w:val="1"/>
      <w:marLeft w:val="0"/>
      <w:marRight w:val="0"/>
      <w:marTop w:val="0"/>
      <w:marBottom w:val="0"/>
      <w:divBdr>
        <w:top w:val="none" w:sz="0" w:space="0" w:color="auto"/>
        <w:left w:val="none" w:sz="0" w:space="0" w:color="auto"/>
        <w:bottom w:val="none" w:sz="0" w:space="0" w:color="auto"/>
        <w:right w:val="none" w:sz="0" w:space="0" w:color="auto"/>
      </w:divBdr>
      <w:divsChild>
        <w:div w:id="26375616">
          <w:marLeft w:val="0"/>
          <w:marRight w:val="0"/>
          <w:marTop w:val="0"/>
          <w:marBottom w:val="0"/>
          <w:divBdr>
            <w:top w:val="none" w:sz="0" w:space="0" w:color="auto"/>
            <w:left w:val="none" w:sz="0" w:space="0" w:color="auto"/>
            <w:bottom w:val="none" w:sz="0" w:space="0" w:color="auto"/>
            <w:right w:val="none" w:sz="0" w:space="0" w:color="auto"/>
          </w:divBdr>
          <w:divsChild>
            <w:div w:id="14482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16032049">
      <w:bodyDiv w:val="1"/>
      <w:marLeft w:val="0"/>
      <w:marRight w:val="0"/>
      <w:marTop w:val="0"/>
      <w:marBottom w:val="0"/>
      <w:divBdr>
        <w:top w:val="none" w:sz="0" w:space="0" w:color="auto"/>
        <w:left w:val="none" w:sz="0" w:space="0" w:color="auto"/>
        <w:bottom w:val="none" w:sz="0" w:space="0" w:color="auto"/>
        <w:right w:val="none" w:sz="0" w:space="0" w:color="auto"/>
      </w:divBdr>
      <w:divsChild>
        <w:div w:id="1622878782">
          <w:marLeft w:val="0"/>
          <w:marRight w:val="0"/>
          <w:marTop w:val="0"/>
          <w:marBottom w:val="0"/>
          <w:divBdr>
            <w:top w:val="none" w:sz="0" w:space="0" w:color="auto"/>
            <w:left w:val="none" w:sz="0" w:space="0" w:color="auto"/>
            <w:bottom w:val="none" w:sz="0" w:space="0" w:color="auto"/>
            <w:right w:val="none" w:sz="0" w:space="0" w:color="auto"/>
          </w:divBdr>
          <w:divsChild>
            <w:div w:id="1289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B1341-9A43-4D56-A22D-27730D8BDC4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8c0b6b05-eb82-4bda-97e8-cd82d0d6b453"/>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2019-06-25T19:33:00Z</cp:lastPrinted>
  <dcterms:created xsi:type="dcterms:W3CDTF">2025-02-17T16:03:00Z</dcterms:created>
  <dcterms:modified xsi:type="dcterms:W3CDTF">2025-02-18T13:38:00Z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