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7EF2" w14:textId="77777777" w:rsidR="003D4E2B" w:rsidRPr="00EF3A05" w:rsidRDefault="003D4E2B" w:rsidP="00CC3135">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noProof/>
          <w:lang w:val="es-ES"/>
        </w:rPr>
      </w:pPr>
      <w:r w:rsidRPr="00EF3A05">
        <w:rPr>
          <w:rFonts w:ascii="Calibri" w:hAnsi="Calibri" w:cs="Calibri"/>
          <w:noProof/>
          <w:lang w:val="es-ES"/>
        </w:rPr>
        <w:t>LA CONVENCIÓN SOBRE LOS HUMEDALES</w:t>
      </w:r>
    </w:p>
    <w:p w14:paraId="4FDF065F" w14:textId="77777777" w:rsidR="003D4E2B" w:rsidRPr="00EF3A05" w:rsidRDefault="003D4E2B" w:rsidP="00CC3135">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noProof/>
          <w:lang w:val="es-ES"/>
        </w:rPr>
      </w:pPr>
      <w:r w:rsidRPr="00EF3A05">
        <w:rPr>
          <w:rFonts w:ascii="Calibri" w:hAnsi="Calibri" w:cs="Calibri"/>
          <w:noProof/>
          <w:lang w:val="es-ES"/>
        </w:rPr>
        <w:t>64ª reunión del Comité Permanente</w:t>
      </w:r>
    </w:p>
    <w:p w14:paraId="3A04391D" w14:textId="77777777" w:rsidR="003D4E2B" w:rsidRPr="00EF3A05" w:rsidRDefault="003D4E2B" w:rsidP="00CC3135">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noProof/>
          <w:lang w:val="es-ES"/>
        </w:rPr>
      </w:pPr>
      <w:r w:rsidRPr="00EF3A05">
        <w:rPr>
          <w:rFonts w:ascii="Calibri" w:hAnsi="Calibri" w:cs="Calibri"/>
          <w:noProof/>
          <w:lang w:val="es-ES"/>
        </w:rPr>
        <w:t>Gland (Suiza), 20 a 24 de enero de 2025</w:t>
      </w:r>
    </w:p>
    <w:p w14:paraId="4F0FD5C4" w14:textId="77777777" w:rsidR="003D4E2B" w:rsidRPr="00EF3A05" w:rsidRDefault="003D4E2B" w:rsidP="00CC3135">
      <w:pPr>
        <w:spacing w:after="0" w:line="240" w:lineRule="auto"/>
        <w:jc w:val="right"/>
        <w:rPr>
          <w:rFonts w:ascii="Calibri" w:hAnsi="Calibri" w:cs="Calibri"/>
          <w:noProof/>
          <w:sz w:val="28"/>
          <w:szCs w:val="28"/>
          <w:lang w:val="es-ES"/>
        </w:rPr>
      </w:pPr>
    </w:p>
    <w:p w14:paraId="6D1FE2F1" w14:textId="77777777" w:rsidR="003D4E2B" w:rsidRDefault="003D4E2B" w:rsidP="00CC3135">
      <w:pPr>
        <w:spacing w:after="0" w:line="240" w:lineRule="auto"/>
        <w:jc w:val="right"/>
        <w:rPr>
          <w:rFonts w:ascii="Calibri" w:hAnsi="Calibri" w:cs="Calibri"/>
          <w:b/>
          <w:noProof/>
          <w:sz w:val="28"/>
          <w:szCs w:val="28"/>
          <w:lang w:val="es-ES"/>
        </w:rPr>
      </w:pPr>
    </w:p>
    <w:p w14:paraId="3B3163F5" w14:textId="703214E2" w:rsidR="002D1C3E" w:rsidRDefault="00FE78F1" w:rsidP="00CC3135">
      <w:pPr>
        <w:spacing w:after="0" w:line="240" w:lineRule="auto"/>
        <w:jc w:val="center"/>
        <w:rPr>
          <w:rFonts w:cstheme="minorHAnsi"/>
          <w:b/>
          <w:noProof/>
          <w:sz w:val="28"/>
          <w:szCs w:val="28"/>
          <w:lang w:val="es-ES"/>
        </w:rPr>
      </w:pPr>
      <w:r>
        <w:rPr>
          <w:rFonts w:cstheme="minorHAnsi"/>
          <w:b/>
          <w:noProof/>
          <w:sz w:val="28"/>
          <w:szCs w:val="28"/>
          <w:lang w:val="es-ES"/>
        </w:rPr>
        <w:t>D</w:t>
      </w:r>
      <w:r w:rsidR="002D1C3E">
        <w:rPr>
          <w:rFonts w:cstheme="minorHAnsi"/>
          <w:b/>
          <w:noProof/>
          <w:sz w:val="28"/>
          <w:szCs w:val="28"/>
          <w:lang w:val="es-ES"/>
        </w:rPr>
        <w:t>ecisiones de la 64ª sesión</w:t>
      </w:r>
    </w:p>
    <w:p w14:paraId="122E79D0" w14:textId="275D930B" w:rsidR="002D1C3E" w:rsidRDefault="002D1C3E" w:rsidP="002D1C3E">
      <w:pPr>
        <w:spacing w:after="0" w:line="240" w:lineRule="auto"/>
        <w:jc w:val="center"/>
        <w:rPr>
          <w:rFonts w:cstheme="minorHAnsi"/>
          <w:b/>
          <w:noProof/>
          <w:sz w:val="28"/>
          <w:szCs w:val="28"/>
          <w:lang w:val="es-ES"/>
        </w:rPr>
      </w:pPr>
      <w:r>
        <w:rPr>
          <w:rFonts w:cstheme="minorHAnsi"/>
          <w:b/>
          <w:noProof/>
          <w:sz w:val="28"/>
          <w:szCs w:val="28"/>
          <w:lang w:val="es-ES"/>
        </w:rPr>
        <w:t>del Comité Permanente</w:t>
      </w:r>
    </w:p>
    <w:p w14:paraId="3C33B96E" w14:textId="77777777" w:rsidR="002D1C3E" w:rsidRDefault="002D1C3E" w:rsidP="0008506C">
      <w:pPr>
        <w:spacing w:after="0" w:line="240" w:lineRule="auto"/>
        <w:rPr>
          <w:rFonts w:cstheme="minorHAnsi"/>
          <w:b/>
          <w:noProof/>
          <w:lang w:val="es-ES"/>
        </w:rPr>
      </w:pPr>
    </w:p>
    <w:p w14:paraId="09ECF5E6" w14:textId="77777777" w:rsidR="0008506C" w:rsidRPr="0008506C" w:rsidRDefault="0008506C" w:rsidP="0008506C">
      <w:pPr>
        <w:spacing w:after="0" w:line="240" w:lineRule="auto"/>
        <w:rPr>
          <w:rFonts w:cstheme="minorHAnsi"/>
          <w:b/>
          <w:noProof/>
          <w:lang w:val="es-ES"/>
        </w:rPr>
      </w:pPr>
    </w:p>
    <w:p w14:paraId="22CA77DC" w14:textId="77777777" w:rsidR="003D4E2B" w:rsidRPr="00EF3A05" w:rsidRDefault="003D4E2B"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Punto 2 del orden del día: Aprobación de la agenda provisional</w:t>
      </w:r>
    </w:p>
    <w:p w14:paraId="4E15AA86" w14:textId="77777777" w:rsidR="00F614D7" w:rsidRPr="00EF3A05" w:rsidRDefault="00F614D7" w:rsidP="00CC3135">
      <w:pPr>
        <w:spacing w:after="0" w:line="240" w:lineRule="auto"/>
        <w:ind w:left="700" w:hanging="700"/>
        <w:rPr>
          <w:noProof/>
          <w:lang w:val="es-ES"/>
        </w:rPr>
      </w:pPr>
    </w:p>
    <w:p w14:paraId="303BAF9F" w14:textId="77777777" w:rsidR="00F614D7" w:rsidRPr="00EF3A05" w:rsidRDefault="00F614D7" w:rsidP="00CC3135">
      <w:pPr>
        <w:spacing w:after="0" w:line="240" w:lineRule="auto"/>
        <w:rPr>
          <w:b/>
          <w:bCs/>
          <w:noProof/>
          <w:lang w:val="es-ES"/>
        </w:rPr>
      </w:pPr>
      <w:r w:rsidRPr="00EF3A05">
        <w:rPr>
          <w:rFonts w:cstheme="minorHAnsi"/>
          <w:b/>
          <w:noProof/>
          <w:kern w:val="0"/>
          <w:lang w:val="es-ES"/>
          <w14:ligatures w14:val="none"/>
        </w:rPr>
        <w:t>Decisión</w:t>
      </w:r>
      <w:r w:rsidRPr="00EF3A05">
        <w:rPr>
          <w:b/>
          <w:bCs/>
          <w:noProof/>
          <w:lang w:val="es-ES"/>
        </w:rPr>
        <w:t xml:space="preserve"> SC64-01: El Comité Permanente </w:t>
      </w:r>
      <w:r w:rsidR="00E53725">
        <w:rPr>
          <w:b/>
          <w:bCs/>
          <w:noProof/>
          <w:lang w:val="es-ES"/>
        </w:rPr>
        <w:t>aprobó</w:t>
      </w:r>
      <w:r w:rsidRPr="00EF3A05">
        <w:rPr>
          <w:b/>
          <w:bCs/>
          <w:noProof/>
          <w:lang w:val="es-ES"/>
        </w:rPr>
        <w:t xml:space="preserve"> el orden del día provisional del documento SC64 Doc.2 Rev.1 en su versión enmendada.</w:t>
      </w:r>
    </w:p>
    <w:p w14:paraId="7CCD3189" w14:textId="77777777" w:rsidR="00F614D7" w:rsidRPr="00EF3A05" w:rsidRDefault="00F614D7" w:rsidP="00CC3135">
      <w:pPr>
        <w:spacing w:after="0" w:line="240" w:lineRule="auto"/>
        <w:rPr>
          <w:rFonts w:cstheme="minorHAnsi"/>
          <w:noProof/>
          <w:lang w:val="es-ES"/>
        </w:rPr>
      </w:pPr>
    </w:p>
    <w:p w14:paraId="66F25F9C" w14:textId="77777777" w:rsidR="00F614D7" w:rsidRPr="00EF3A05" w:rsidRDefault="00F614D7"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Punto 3 del orden del día: Aprobación del programa de trabajo provisional</w:t>
      </w:r>
    </w:p>
    <w:p w14:paraId="23215326" w14:textId="77777777" w:rsidR="00BB707E" w:rsidRPr="00EF3A05" w:rsidRDefault="00BB707E" w:rsidP="00CC3135">
      <w:pPr>
        <w:spacing w:after="0" w:line="240" w:lineRule="auto"/>
        <w:ind w:left="700" w:hanging="700"/>
        <w:rPr>
          <w:noProof/>
          <w:lang w:val="es-ES"/>
        </w:rPr>
      </w:pPr>
    </w:p>
    <w:p w14:paraId="507FA395" w14:textId="77777777" w:rsidR="00BB707E" w:rsidRPr="00EF3A05" w:rsidRDefault="00BB707E" w:rsidP="00CC3135">
      <w:pPr>
        <w:spacing w:after="0" w:line="240" w:lineRule="auto"/>
        <w:rPr>
          <w:rFonts w:cstheme="minorHAnsi"/>
          <w:b/>
          <w:noProof/>
          <w:kern w:val="0"/>
          <w:lang w:val="es-ES"/>
          <w14:ligatures w14:val="none"/>
        </w:rPr>
      </w:pPr>
      <w:r w:rsidRPr="00EF3A05">
        <w:rPr>
          <w:rFonts w:cstheme="minorHAnsi"/>
          <w:b/>
          <w:noProof/>
          <w:kern w:val="0"/>
          <w:lang w:val="es-ES"/>
          <w14:ligatures w14:val="none"/>
        </w:rPr>
        <w:lastRenderedPageBreak/>
        <w:t>Decisión SC64-02: El Comité Permanente aprobó el programa de trabajo provisional que figura en el documento SC64 Doc.3 Rev.1.</w:t>
      </w:r>
    </w:p>
    <w:p w14:paraId="4BB37B1C" w14:textId="77777777" w:rsidR="00BB707E" w:rsidRPr="00EF3A05" w:rsidRDefault="00BB707E" w:rsidP="00CC3135">
      <w:pPr>
        <w:spacing w:after="0" w:line="240" w:lineRule="auto"/>
        <w:rPr>
          <w:rFonts w:cstheme="minorHAnsi"/>
          <w:noProof/>
          <w:lang w:val="es-ES"/>
        </w:rPr>
      </w:pPr>
    </w:p>
    <w:p w14:paraId="3F86B996" w14:textId="77777777" w:rsidR="00BB707E" w:rsidRPr="00EF3A05" w:rsidRDefault="00BB707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Punto 4 del orden del día: Admisión de observadores</w:t>
      </w:r>
    </w:p>
    <w:p w14:paraId="5EB846CE" w14:textId="77777777" w:rsidR="00BB707E" w:rsidRPr="00EF3A05" w:rsidRDefault="00BB707E" w:rsidP="00CC3135">
      <w:pPr>
        <w:spacing w:after="0" w:line="240" w:lineRule="auto"/>
        <w:ind w:left="700" w:hanging="700"/>
        <w:rPr>
          <w:noProof/>
          <w:lang w:val="es-ES"/>
        </w:rPr>
      </w:pPr>
    </w:p>
    <w:p w14:paraId="5E813522" w14:textId="77777777" w:rsidR="00BB707E" w:rsidRPr="00EF3A05" w:rsidRDefault="00BB707E" w:rsidP="00CC3135">
      <w:pPr>
        <w:spacing w:after="0" w:line="240" w:lineRule="auto"/>
        <w:ind w:left="700" w:hanging="700"/>
        <w:rPr>
          <w:rFonts w:cstheme="minorHAnsi"/>
          <w:b/>
          <w:noProof/>
          <w:kern w:val="0"/>
          <w:lang w:val="es-ES"/>
          <w14:ligatures w14:val="none"/>
        </w:rPr>
      </w:pPr>
      <w:r w:rsidRPr="00EF3A05">
        <w:rPr>
          <w:rFonts w:cstheme="minorHAnsi"/>
          <w:b/>
          <w:noProof/>
          <w:kern w:val="0"/>
          <w:lang w:val="es-ES"/>
          <w14:ligatures w14:val="none"/>
        </w:rPr>
        <w:t>Decisión SC64-03: El Comité Permanente admitió como observadores a:</w:t>
      </w:r>
    </w:p>
    <w:p w14:paraId="1DE05390" w14:textId="77777777" w:rsidR="00BB707E" w:rsidRPr="00EF3A05" w:rsidRDefault="00BB707E" w:rsidP="00CC3135">
      <w:pPr>
        <w:spacing w:after="0" w:line="240" w:lineRule="auto"/>
        <w:ind w:left="700" w:hanging="700"/>
        <w:rPr>
          <w:rFonts w:cstheme="minorHAnsi"/>
          <w:b/>
          <w:noProof/>
          <w:kern w:val="0"/>
          <w:lang w:val="es-ES"/>
          <w14:ligatures w14:val="none"/>
        </w:rPr>
      </w:pPr>
    </w:p>
    <w:p w14:paraId="41F2789B" w14:textId="77777777" w:rsidR="00BB707E" w:rsidRPr="00EF3A05" w:rsidRDefault="00BB707E" w:rsidP="00CC3135">
      <w:pPr>
        <w:spacing w:after="0" w:line="240" w:lineRule="auto"/>
        <w:ind w:left="700" w:hanging="700"/>
        <w:rPr>
          <w:rFonts w:cstheme="minorHAnsi"/>
          <w:b/>
          <w:noProof/>
          <w:kern w:val="0"/>
          <w:lang w:val="es-ES"/>
          <w14:ligatures w14:val="none"/>
        </w:rPr>
      </w:pPr>
      <w:r w:rsidRPr="00EF3A05">
        <w:rPr>
          <w:rFonts w:cstheme="minorHAnsi"/>
          <w:b/>
          <w:noProof/>
          <w:kern w:val="0"/>
          <w:lang w:val="es-ES"/>
          <w14:ligatures w14:val="none"/>
        </w:rPr>
        <w:t>Estados que no son Partes Contratantes en la Convención:</w:t>
      </w:r>
    </w:p>
    <w:p w14:paraId="34110177" w14:textId="77777777" w:rsidR="00BF7A16" w:rsidRPr="00EF3A05" w:rsidRDefault="00BF7A16" w:rsidP="00CC3135">
      <w:pPr>
        <w:pStyle w:val="ListParagraph"/>
        <w:numPr>
          <w:ilvl w:val="0"/>
          <w:numId w:val="2"/>
        </w:numPr>
        <w:spacing w:after="0" w:line="240" w:lineRule="auto"/>
        <w:rPr>
          <w:rFonts w:cstheme="minorHAnsi"/>
          <w:b/>
          <w:noProof/>
          <w:kern w:val="0"/>
          <w:lang w:val="es-ES"/>
          <w14:ligatures w14:val="none"/>
        </w:rPr>
      </w:pPr>
      <w:r w:rsidRPr="00EF3A05">
        <w:rPr>
          <w:rFonts w:cstheme="minorHAnsi"/>
          <w:b/>
          <w:noProof/>
          <w:kern w:val="0"/>
          <w:lang w:val="es-ES"/>
          <w14:ligatures w14:val="none"/>
        </w:rPr>
        <w:t>Arabia Saudita</w:t>
      </w:r>
    </w:p>
    <w:p w14:paraId="0E099C1E" w14:textId="7F8FCA94" w:rsidR="00BB707E" w:rsidRPr="00EF3A05" w:rsidRDefault="00BB707E" w:rsidP="00CC3135">
      <w:pPr>
        <w:pStyle w:val="ListParagraph"/>
        <w:numPr>
          <w:ilvl w:val="0"/>
          <w:numId w:val="2"/>
        </w:numPr>
        <w:spacing w:after="0" w:line="240" w:lineRule="auto"/>
        <w:rPr>
          <w:rFonts w:cstheme="minorHAnsi"/>
          <w:b/>
          <w:noProof/>
          <w:kern w:val="0"/>
          <w:lang w:val="es-ES"/>
          <w14:ligatures w14:val="none"/>
        </w:rPr>
      </w:pPr>
      <w:r w:rsidRPr="00EF3A05">
        <w:rPr>
          <w:rFonts w:cstheme="minorHAnsi"/>
          <w:b/>
          <w:noProof/>
          <w:kern w:val="0"/>
          <w:lang w:val="es-ES"/>
          <w14:ligatures w14:val="none"/>
        </w:rPr>
        <w:t>Guyana</w:t>
      </w:r>
    </w:p>
    <w:p w14:paraId="21B6DB28" w14:textId="77777777" w:rsidR="00BB707E" w:rsidRPr="00EF3A05" w:rsidRDefault="00BB707E" w:rsidP="00CC3135">
      <w:pPr>
        <w:pStyle w:val="ListParagraph"/>
        <w:numPr>
          <w:ilvl w:val="0"/>
          <w:numId w:val="2"/>
        </w:numPr>
        <w:spacing w:after="0" w:line="240" w:lineRule="auto"/>
        <w:rPr>
          <w:rFonts w:cstheme="minorHAnsi"/>
          <w:b/>
          <w:noProof/>
          <w:kern w:val="0"/>
          <w:lang w:val="es-ES"/>
          <w14:ligatures w14:val="none"/>
        </w:rPr>
      </w:pPr>
      <w:r w:rsidRPr="00EF3A05">
        <w:rPr>
          <w:rFonts w:cstheme="minorHAnsi"/>
          <w:b/>
          <w:noProof/>
          <w:kern w:val="0"/>
          <w:lang w:val="es-ES"/>
          <w14:ligatures w14:val="none"/>
        </w:rPr>
        <w:t>Santa Sede</w:t>
      </w:r>
    </w:p>
    <w:p w14:paraId="14623CF4" w14:textId="77777777" w:rsidR="00EF3A05" w:rsidRPr="00EF3A05" w:rsidRDefault="00EF3A05" w:rsidP="00CC3135">
      <w:pPr>
        <w:spacing w:after="0" w:line="240" w:lineRule="auto"/>
        <w:rPr>
          <w:rFonts w:cstheme="minorHAnsi"/>
          <w:b/>
          <w:noProof/>
          <w:kern w:val="0"/>
          <w:lang w:val="es-ES"/>
          <w14:ligatures w14:val="none"/>
        </w:rPr>
      </w:pPr>
    </w:p>
    <w:p w14:paraId="17C91AE9" w14:textId="77777777" w:rsidR="00EF3A05" w:rsidRPr="00EF3A05" w:rsidRDefault="00EF3A05" w:rsidP="00CC3135">
      <w:pPr>
        <w:spacing w:after="0" w:line="240" w:lineRule="auto"/>
        <w:rPr>
          <w:rFonts w:cstheme="minorHAnsi"/>
          <w:b/>
          <w:noProof/>
          <w:kern w:val="0"/>
          <w:lang w:val="es-ES"/>
          <w14:ligatures w14:val="none"/>
        </w:rPr>
      </w:pPr>
      <w:r w:rsidRPr="00EF3A05">
        <w:rPr>
          <w:rFonts w:cstheme="minorHAnsi"/>
          <w:b/>
          <w:noProof/>
          <w:kern w:val="0"/>
          <w:lang w:val="es-ES"/>
          <w14:ligatures w14:val="none"/>
        </w:rPr>
        <w:t xml:space="preserve">Organismos o agencias que </w:t>
      </w:r>
      <w:r w:rsidR="00E53725">
        <w:rPr>
          <w:rFonts w:cstheme="minorHAnsi"/>
          <w:b/>
          <w:noProof/>
          <w:kern w:val="0"/>
          <w:lang w:val="es-ES"/>
          <w14:ligatures w14:val="none"/>
        </w:rPr>
        <w:t>han solicitado</w:t>
      </w:r>
      <w:r w:rsidRPr="00EF3A05">
        <w:rPr>
          <w:rFonts w:cstheme="minorHAnsi"/>
          <w:b/>
          <w:noProof/>
          <w:kern w:val="0"/>
          <w:lang w:val="es-ES"/>
          <w14:ligatures w14:val="none"/>
        </w:rPr>
        <w:t xml:space="preserve"> </w:t>
      </w:r>
      <w:r w:rsidR="00E53725">
        <w:rPr>
          <w:rFonts w:cstheme="minorHAnsi"/>
          <w:b/>
          <w:noProof/>
          <w:kern w:val="0"/>
          <w:lang w:val="es-ES"/>
          <w14:ligatures w14:val="none"/>
        </w:rPr>
        <w:t>autorización</w:t>
      </w:r>
      <w:r w:rsidRPr="00EF3A05">
        <w:rPr>
          <w:rFonts w:cstheme="minorHAnsi"/>
          <w:b/>
          <w:noProof/>
          <w:kern w:val="0"/>
          <w:lang w:val="es-ES"/>
          <w14:ligatures w14:val="none"/>
        </w:rPr>
        <w:t xml:space="preserve"> y que han reunido los requisitos establecidos:</w:t>
      </w:r>
    </w:p>
    <w:p w14:paraId="191A0DF3" w14:textId="77777777" w:rsidR="00EF3A05" w:rsidRPr="00EF3A05" w:rsidRDefault="00EF3A05" w:rsidP="00CC3135">
      <w:pPr>
        <w:pStyle w:val="ListParagraph"/>
        <w:numPr>
          <w:ilvl w:val="0"/>
          <w:numId w:val="2"/>
        </w:numPr>
        <w:spacing w:after="0" w:line="240" w:lineRule="auto"/>
        <w:rPr>
          <w:rFonts w:cstheme="minorHAnsi"/>
          <w:b/>
          <w:noProof/>
          <w:kern w:val="0"/>
          <w:lang w:val="es-ES"/>
          <w14:ligatures w14:val="none"/>
        </w:rPr>
      </w:pPr>
      <w:r w:rsidRPr="00EF3A05">
        <w:rPr>
          <w:rFonts w:cstheme="minorHAnsi"/>
          <w:b/>
          <w:noProof/>
          <w:kern w:val="0"/>
          <w:lang w:val="es-ES"/>
          <w14:ligatures w14:val="none"/>
        </w:rPr>
        <w:t>Arcus reflexus</w:t>
      </w:r>
    </w:p>
    <w:p w14:paraId="1795EAB0" w14:textId="77777777" w:rsidR="00EF3A05" w:rsidRPr="00BF7A16" w:rsidRDefault="00EF3A05" w:rsidP="00CC3135">
      <w:pPr>
        <w:pStyle w:val="ListParagraph"/>
        <w:numPr>
          <w:ilvl w:val="0"/>
          <w:numId w:val="2"/>
        </w:numPr>
        <w:spacing w:after="0" w:line="240" w:lineRule="auto"/>
        <w:rPr>
          <w:rFonts w:cstheme="minorHAnsi"/>
          <w:b/>
          <w:noProof/>
          <w:kern w:val="0"/>
          <w:lang w:val="en-GB"/>
          <w14:ligatures w14:val="none"/>
        </w:rPr>
      </w:pPr>
      <w:r w:rsidRPr="00BF7A16">
        <w:rPr>
          <w:rFonts w:cstheme="minorHAnsi"/>
          <w:b/>
          <w:noProof/>
          <w:kern w:val="0"/>
          <w:lang w:val="en-GB"/>
          <w14:ligatures w14:val="none"/>
        </w:rPr>
        <w:t>Environment and Food Foundation (E2F)</w:t>
      </w:r>
    </w:p>
    <w:p w14:paraId="6D591962" w14:textId="77777777" w:rsidR="00EF3A05" w:rsidRPr="00BF7A16" w:rsidRDefault="00EF3A05" w:rsidP="00CC3135">
      <w:pPr>
        <w:spacing w:after="0" w:line="240" w:lineRule="auto"/>
        <w:rPr>
          <w:rFonts w:cstheme="minorHAnsi"/>
          <w:b/>
          <w:noProof/>
          <w:kern w:val="0"/>
          <w:lang w:val="en-GB"/>
          <w14:ligatures w14:val="none"/>
        </w:rPr>
      </w:pPr>
    </w:p>
    <w:p w14:paraId="0E2FAE54" w14:textId="77777777" w:rsidR="00EF3A05" w:rsidRPr="00EF3A05" w:rsidRDefault="00EF3A05"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 xml:space="preserve">Punto 5 del orden del día: Informe del Equipo Ejecutivo y de la Presidencia del Comité Permanente </w:t>
      </w:r>
    </w:p>
    <w:p w14:paraId="5D7F70AF" w14:textId="77777777" w:rsidR="00EF3A05" w:rsidRPr="00EF3A05" w:rsidRDefault="00EF3A05" w:rsidP="00CC3135">
      <w:pPr>
        <w:spacing w:after="0" w:line="240" w:lineRule="auto"/>
        <w:ind w:left="567" w:hanging="567"/>
        <w:rPr>
          <w:rFonts w:eastAsia="Calibri" w:cstheme="minorHAnsi"/>
          <w:bCs/>
          <w:noProof/>
          <w:lang w:val="es-ES"/>
        </w:rPr>
      </w:pPr>
    </w:p>
    <w:p w14:paraId="7D12CA61" w14:textId="77777777" w:rsidR="00EF3A05" w:rsidRPr="00EF3A05" w:rsidRDefault="00EF3A05" w:rsidP="00CC3135">
      <w:pPr>
        <w:spacing w:after="0" w:line="240" w:lineRule="auto"/>
        <w:rPr>
          <w:rFonts w:cstheme="minorHAnsi"/>
          <w:b/>
          <w:noProof/>
          <w:kern w:val="0"/>
          <w:lang w:val="es-ES"/>
          <w14:ligatures w14:val="none"/>
        </w:rPr>
      </w:pPr>
      <w:r w:rsidRPr="00EF3A05">
        <w:rPr>
          <w:rFonts w:cstheme="minorHAnsi"/>
          <w:b/>
          <w:noProof/>
          <w:lang w:val="es-ES"/>
        </w:rPr>
        <w:t xml:space="preserve">Decisión SC64-04: El Comité Permanente tomó nota del Informe del Equipo Ejecutivo y </w:t>
      </w:r>
      <w:r w:rsidR="00E53725">
        <w:rPr>
          <w:rFonts w:cstheme="minorHAnsi"/>
          <w:b/>
          <w:noProof/>
          <w:lang w:val="es-ES"/>
        </w:rPr>
        <w:t>de la Presidencia</w:t>
      </w:r>
      <w:r w:rsidRPr="00EF3A05">
        <w:rPr>
          <w:rFonts w:cstheme="minorHAnsi"/>
          <w:b/>
          <w:noProof/>
          <w:lang w:val="es-ES"/>
        </w:rPr>
        <w:t xml:space="preserve"> del Comité Permanente publicado</w:t>
      </w:r>
      <w:r>
        <w:rPr>
          <w:rFonts w:cstheme="minorHAnsi"/>
          <w:b/>
          <w:noProof/>
          <w:lang w:val="es-ES"/>
        </w:rPr>
        <w:t>s</w:t>
      </w:r>
      <w:r w:rsidRPr="00EF3A05">
        <w:rPr>
          <w:rFonts w:cstheme="minorHAnsi"/>
          <w:b/>
          <w:noProof/>
          <w:lang w:val="es-ES"/>
        </w:rPr>
        <w:t xml:space="preserve"> como documento SC64 Doc.5.</w:t>
      </w:r>
    </w:p>
    <w:p w14:paraId="54EADF27" w14:textId="77777777" w:rsidR="00EF3A05" w:rsidRPr="00EF3A05" w:rsidRDefault="00EF3A05" w:rsidP="00CC3135">
      <w:pPr>
        <w:pStyle w:val="ListParagraph"/>
        <w:spacing w:after="0" w:line="240" w:lineRule="auto"/>
        <w:ind w:left="1494"/>
        <w:rPr>
          <w:rFonts w:eastAsia="Calibri" w:cstheme="minorHAnsi"/>
          <w:bCs/>
          <w:noProof/>
          <w:lang w:val="es-ES"/>
        </w:rPr>
      </w:pPr>
    </w:p>
    <w:p w14:paraId="517FB502" w14:textId="77777777" w:rsidR="00EF3A05" w:rsidRPr="00EF3A05" w:rsidRDefault="00EF3A05"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 xml:space="preserve">Punto </w:t>
      </w:r>
      <w:r>
        <w:rPr>
          <w:rFonts w:cstheme="minorHAnsi"/>
          <w:bCs/>
          <w:noProof/>
          <w:lang w:val="es-ES"/>
        </w:rPr>
        <w:t>6</w:t>
      </w:r>
      <w:r w:rsidRPr="00EF3A05">
        <w:rPr>
          <w:rFonts w:cstheme="minorHAnsi"/>
          <w:bCs/>
          <w:noProof/>
          <w:lang w:val="es-ES"/>
        </w:rPr>
        <w:t xml:space="preserve"> del orden del día: Informe </w:t>
      </w:r>
      <w:r>
        <w:rPr>
          <w:rFonts w:cstheme="minorHAnsi"/>
          <w:bCs/>
          <w:noProof/>
          <w:lang w:val="es-ES"/>
        </w:rPr>
        <w:t>de la Secretaria General</w:t>
      </w:r>
      <w:r w:rsidRPr="00EF3A05">
        <w:rPr>
          <w:rFonts w:cstheme="minorHAnsi"/>
          <w:bCs/>
          <w:noProof/>
          <w:lang w:val="es-ES"/>
        </w:rPr>
        <w:t xml:space="preserve"> </w:t>
      </w:r>
    </w:p>
    <w:p w14:paraId="1F139AE3" w14:textId="77777777" w:rsidR="007E74BB" w:rsidRPr="00FC7AFF" w:rsidRDefault="007E74BB" w:rsidP="00CC3135">
      <w:pPr>
        <w:spacing w:after="0" w:line="240" w:lineRule="auto"/>
        <w:ind w:left="700" w:hanging="700"/>
        <w:rPr>
          <w:rFonts w:eastAsia="Calibri" w:cstheme="minorHAnsi"/>
          <w:b/>
          <w:noProof/>
          <w:lang w:val="es-ES"/>
        </w:rPr>
      </w:pPr>
    </w:p>
    <w:p w14:paraId="4E29BE05" w14:textId="77777777" w:rsidR="00FC7AFF" w:rsidRDefault="00FC7AFF" w:rsidP="00CC3135">
      <w:pPr>
        <w:spacing w:after="0" w:line="240" w:lineRule="auto"/>
        <w:rPr>
          <w:rFonts w:eastAsia="Calibri" w:cstheme="minorHAnsi"/>
          <w:b/>
          <w:noProof/>
          <w:lang w:val="es-ES"/>
        </w:rPr>
      </w:pPr>
      <w:r w:rsidRPr="00FC7AFF">
        <w:rPr>
          <w:rFonts w:cstheme="minorHAnsi"/>
          <w:b/>
          <w:noProof/>
          <w:lang w:val="es-ES"/>
        </w:rPr>
        <w:t>Decisión</w:t>
      </w:r>
      <w:r w:rsidRPr="00FC7AFF">
        <w:rPr>
          <w:rFonts w:eastAsia="Calibri" w:cstheme="minorHAnsi"/>
          <w:b/>
          <w:noProof/>
          <w:lang w:val="es-ES"/>
        </w:rPr>
        <w:t xml:space="preserve"> SC64-05: El Comité Permanente tom</w:t>
      </w:r>
      <w:r>
        <w:rPr>
          <w:rFonts w:eastAsia="Calibri" w:cstheme="minorHAnsi"/>
          <w:b/>
          <w:noProof/>
          <w:lang w:val="es-ES"/>
        </w:rPr>
        <w:t>ó</w:t>
      </w:r>
      <w:r w:rsidRPr="00FC7AFF">
        <w:rPr>
          <w:rFonts w:eastAsia="Calibri" w:cstheme="minorHAnsi"/>
          <w:b/>
          <w:noProof/>
          <w:lang w:val="es-ES"/>
        </w:rPr>
        <w:t xml:space="preserve"> nota del </w:t>
      </w:r>
      <w:r>
        <w:rPr>
          <w:rFonts w:eastAsia="Calibri" w:cstheme="minorHAnsi"/>
          <w:b/>
          <w:noProof/>
          <w:lang w:val="es-ES"/>
        </w:rPr>
        <w:t>i</w:t>
      </w:r>
      <w:r w:rsidRPr="00FC7AFF">
        <w:rPr>
          <w:rFonts w:eastAsia="Calibri" w:cstheme="minorHAnsi"/>
          <w:b/>
          <w:noProof/>
          <w:lang w:val="es-ES"/>
        </w:rPr>
        <w:t xml:space="preserve">nforme </w:t>
      </w:r>
      <w:r>
        <w:rPr>
          <w:rFonts w:eastAsia="Calibri" w:cstheme="minorHAnsi"/>
          <w:b/>
          <w:noProof/>
          <w:lang w:val="es-ES"/>
        </w:rPr>
        <w:t>de la</w:t>
      </w:r>
      <w:r w:rsidRPr="00FC7AFF">
        <w:rPr>
          <w:rFonts w:eastAsia="Calibri" w:cstheme="minorHAnsi"/>
          <w:b/>
          <w:noProof/>
          <w:lang w:val="es-ES"/>
        </w:rPr>
        <w:t xml:space="preserve"> Secretari</w:t>
      </w:r>
      <w:r>
        <w:rPr>
          <w:rFonts w:eastAsia="Calibri" w:cstheme="minorHAnsi"/>
          <w:b/>
          <w:noProof/>
          <w:lang w:val="es-ES"/>
        </w:rPr>
        <w:t>a</w:t>
      </w:r>
      <w:r w:rsidRPr="00FC7AFF">
        <w:rPr>
          <w:rFonts w:eastAsia="Calibri" w:cstheme="minorHAnsi"/>
          <w:b/>
          <w:noProof/>
          <w:lang w:val="es-ES"/>
        </w:rPr>
        <w:t xml:space="preserve"> General </w:t>
      </w:r>
      <w:r>
        <w:rPr>
          <w:rFonts w:eastAsia="Calibri" w:cstheme="minorHAnsi"/>
          <w:b/>
          <w:noProof/>
          <w:lang w:val="es-ES"/>
        </w:rPr>
        <w:t>que se publicó</w:t>
      </w:r>
      <w:r w:rsidRPr="00FC7AFF">
        <w:rPr>
          <w:rFonts w:eastAsia="Calibri" w:cstheme="minorHAnsi"/>
          <w:b/>
          <w:noProof/>
          <w:lang w:val="es-ES"/>
        </w:rPr>
        <w:t xml:space="preserve"> como documento SC64 Doc.6.</w:t>
      </w:r>
    </w:p>
    <w:p w14:paraId="326BB190" w14:textId="77777777" w:rsidR="00FC7AFF" w:rsidRPr="00EF3A05" w:rsidRDefault="00FC7AFF" w:rsidP="00CC3135">
      <w:pPr>
        <w:spacing w:after="0" w:line="240" w:lineRule="auto"/>
        <w:rPr>
          <w:rFonts w:cstheme="minorHAnsi"/>
          <w:b/>
          <w:noProof/>
          <w:kern w:val="0"/>
          <w:lang w:val="es-ES"/>
          <w14:ligatures w14:val="none"/>
        </w:rPr>
      </w:pPr>
    </w:p>
    <w:p w14:paraId="6887C2CB" w14:textId="77777777" w:rsidR="00FC7AFF" w:rsidRPr="00EF3A05" w:rsidRDefault="00FC7AFF" w:rsidP="00477B1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 xml:space="preserve">Punto </w:t>
      </w:r>
      <w:r>
        <w:rPr>
          <w:rFonts w:cstheme="minorHAnsi"/>
          <w:bCs/>
          <w:noProof/>
          <w:lang w:val="es-ES"/>
        </w:rPr>
        <w:t>7.1</w:t>
      </w:r>
      <w:r w:rsidRPr="00EF3A05">
        <w:rPr>
          <w:rFonts w:cstheme="minorHAnsi"/>
          <w:bCs/>
          <w:noProof/>
          <w:lang w:val="es-ES"/>
        </w:rPr>
        <w:t xml:space="preserve"> del orden del día: </w:t>
      </w:r>
      <w:r>
        <w:rPr>
          <w:rFonts w:cstheme="minorHAnsi"/>
          <w:bCs/>
          <w:noProof/>
          <w:lang w:val="es-ES"/>
        </w:rPr>
        <w:t>Informe de las actividades del Grupo de Trabajo Administrativo</w:t>
      </w:r>
    </w:p>
    <w:p w14:paraId="5097500B" w14:textId="77777777" w:rsidR="00DD0551" w:rsidRPr="00DD0551" w:rsidRDefault="00DD0551" w:rsidP="00477B18">
      <w:pPr>
        <w:keepNext/>
        <w:spacing w:after="0" w:line="240" w:lineRule="auto"/>
        <w:ind w:left="700" w:hanging="700"/>
        <w:rPr>
          <w:rFonts w:eastAsia="Calibri" w:cstheme="minorHAnsi"/>
          <w:b/>
          <w:noProof/>
          <w:lang w:val="es-ES"/>
        </w:rPr>
      </w:pPr>
    </w:p>
    <w:p w14:paraId="57E69A53" w14:textId="77777777" w:rsidR="00DD0551" w:rsidRDefault="00DD0551" w:rsidP="00CC3135">
      <w:pPr>
        <w:spacing w:after="0" w:line="240" w:lineRule="auto"/>
        <w:rPr>
          <w:rFonts w:eastAsia="Calibri" w:cstheme="minorHAnsi"/>
          <w:b/>
          <w:noProof/>
          <w:lang w:val="es-ES"/>
        </w:rPr>
      </w:pPr>
      <w:r w:rsidRPr="00DD0551">
        <w:rPr>
          <w:rFonts w:cstheme="minorHAnsi"/>
          <w:b/>
          <w:noProof/>
          <w:lang w:val="es-ES"/>
        </w:rPr>
        <w:t>Decisión</w:t>
      </w:r>
      <w:r w:rsidRPr="00DD0551">
        <w:rPr>
          <w:rFonts w:eastAsia="Calibri" w:cstheme="minorHAnsi"/>
          <w:b/>
          <w:noProof/>
          <w:lang w:val="es-ES"/>
        </w:rPr>
        <w:t xml:space="preserve"> SC64-06: El Comité Permanente tomó nota del informe sobre las actividades del Grupo de Trabajo Administrativo que figura en el documento SC64 Doc.7.1.</w:t>
      </w:r>
    </w:p>
    <w:p w14:paraId="65BDE175" w14:textId="77777777" w:rsidR="00241D9B" w:rsidRPr="00DD0551" w:rsidRDefault="00241D9B" w:rsidP="00CC3135">
      <w:pPr>
        <w:spacing w:after="0" w:line="240" w:lineRule="auto"/>
        <w:rPr>
          <w:rFonts w:eastAsia="Calibri" w:cstheme="minorHAnsi"/>
          <w:bCs/>
          <w:noProof/>
          <w:lang w:val="es-ES"/>
        </w:rPr>
      </w:pPr>
    </w:p>
    <w:p w14:paraId="407F355F" w14:textId="77777777" w:rsidR="00241D9B" w:rsidRPr="00EF3A05" w:rsidRDefault="00241D9B"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EF3A05">
        <w:rPr>
          <w:rFonts w:cstheme="minorHAnsi"/>
          <w:bCs/>
          <w:noProof/>
          <w:lang w:val="es-ES"/>
        </w:rPr>
        <w:t xml:space="preserve">Punto </w:t>
      </w:r>
      <w:r>
        <w:rPr>
          <w:rFonts w:cstheme="minorHAnsi"/>
          <w:bCs/>
          <w:noProof/>
          <w:lang w:val="es-ES"/>
        </w:rPr>
        <w:t>11</w:t>
      </w:r>
      <w:r w:rsidRPr="00EF3A05">
        <w:rPr>
          <w:rFonts w:cstheme="minorHAnsi"/>
          <w:bCs/>
          <w:noProof/>
          <w:lang w:val="es-ES"/>
        </w:rPr>
        <w:t xml:space="preserve"> del orden del día: </w:t>
      </w:r>
      <w:r>
        <w:rPr>
          <w:rFonts w:cstheme="minorHAnsi"/>
          <w:bCs/>
          <w:noProof/>
          <w:lang w:val="es-ES"/>
        </w:rPr>
        <w:t xml:space="preserve">Informe </w:t>
      </w:r>
      <w:r>
        <w:rPr>
          <w:rFonts w:eastAsia="Calibri" w:cstheme="minorHAnsi"/>
          <w:bCs/>
          <w:noProof/>
          <w:lang w:val="es-ES"/>
        </w:rPr>
        <w:t>d</w:t>
      </w:r>
      <w:r w:rsidRPr="00FC7AFF">
        <w:rPr>
          <w:rFonts w:eastAsia="Calibri" w:cstheme="minorHAnsi"/>
          <w:bCs/>
          <w:noProof/>
          <w:lang w:val="es-ES"/>
        </w:rPr>
        <w:t xml:space="preserve">el </w:t>
      </w:r>
      <w:r>
        <w:rPr>
          <w:rFonts w:eastAsia="Calibri" w:cstheme="minorHAnsi"/>
          <w:bCs/>
          <w:noProof/>
          <w:lang w:val="es-ES"/>
        </w:rPr>
        <w:t>Grupo de trabajo sobre el Plan Estratégico</w:t>
      </w:r>
    </w:p>
    <w:p w14:paraId="1CDC6673" w14:textId="77777777" w:rsidR="00C93010" w:rsidRDefault="00C93010" w:rsidP="00CC3135">
      <w:pPr>
        <w:spacing w:after="0" w:line="240" w:lineRule="auto"/>
        <w:ind w:left="700" w:hanging="700"/>
        <w:rPr>
          <w:rFonts w:eastAsia="Calibri" w:cstheme="minorHAnsi"/>
          <w:bCs/>
          <w:noProof/>
          <w:lang w:val="es-ES"/>
        </w:rPr>
      </w:pPr>
    </w:p>
    <w:p w14:paraId="4E531814" w14:textId="77777777" w:rsidR="00C93010" w:rsidRPr="00690C45" w:rsidRDefault="00690C45" w:rsidP="00CC3135">
      <w:pPr>
        <w:spacing w:after="0" w:line="240" w:lineRule="auto"/>
        <w:rPr>
          <w:rFonts w:cstheme="minorHAnsi"/>
          <w:b/>
          <w:noProof/>
          <w:lang w:val="es-ES"/>
        </w:rPr>
      </w:pPr>
      <w:r w:rsidRPr="00690C45">
        <w:rPr>
          <w:rFonts w:cstheme="minorHAnsi"/>
          <w:b/>
          <w:noProof/>
          <w:lang w:val="es-ES"/>
        </w:rPr>
        <w:t xml:space="preserve">Decisión SC64-07: El Comité Permanente tomó nota del informe del Grupo de </w:t>
      </w:r>
      <w:r>
        <w:rPr>
          <w:rFonts w:cstheme="minorHAnsi"/>
          <w:b/>
          <w:noProof/>
          <w:lang w:val="es-ES"/>
        </w:rPr>
        <w:t>t</w:t>
      </w:r>
      <w:r w:rsidRPr="00690C45">
        <w:rPr>
          <w:rFonts w:cstheme="minorHAnsi"/>
          <w:b/>
          <w:noProof/>
          <w:lang w:val="es-ES"/>
        </w:rPr>
        <w:t>rabajo sobre el Plan Estratégico.</w:t>
      </w:r>
    </w:p>
    <w:p w14:paraId="3886EA18" w14:textId="77777777" w:rsidR="006B1E1E" w:rsidRPr="00FB57B5" w:rsidRDefault="006B1E1E" w:rsidP="00CC3135">
      <w:pPr>
        <w:keepNext/>
        <w:spacing w:after="0" w:line="240" w:lineRule="auto"/>
        <w:rPr>
          <w:rFonts w:cstheme="minorHAnsi"/>
          <w:noProof/>
          <w:lang w:val="es-ES"/>
        </w:rPr>
      </w:pPr>
    </w:p>
    <w:p w14:paraId="2ACF64F9" w14:textId="77777777" w:rsidR="006B1E1E" w:rsidRPr="00FB57B5"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FB57B5">
        <w:rPr>
          <w:rFonts w:cstheme="minorHAnsi"/>
          <w:bCs/>
          <w:noProof/>
          <w:lang w:val="es-ES"/>
        </w:rPr>
        <w:t>Punto 18 del orden del día: Informe de la Presidencia del Grupo de Examen Científico y Técnico</w:t>
      </w:r>
    </w:p>
    <w:p w14:paraId="3C12776C" w14:textId="77777777" w:rsidR="006B1E1E" w:rsidRPr="00FB57B5" w:rsidRDefault="006B1E1E" w:rsidP="00CC3135">
      <w:pPr>
        <w:pStyle w:val="ListParagraph"/>
        <w:spacing w:after="0" w:line="240" w:lineRule="auto"/>
        <w:rPr>
          <w:b/>
          <w:bCs/>
          <w:noProof/>
          <w:lang w:val="es-ES"/>
        </w:rPr>
      </w:pPr>
    </w:p>
    <w:p w14:paraId="2B7C3C6F" w14:textId="77777777" w:rsidR="006B1E1E" w:rsidRPr="00FB57B5" w:rsidRDefault="006B1E1E" w:rsidP="00CC3135">
      <w:pPr>
        <w:spacing w:after="0" w:line="240" w:lineRule="auto"/>
        <w:rPr>
          <w:b/>
          <w:bCs/>
          <w:noProof/>
          <w:lang w:val="es-ES"/>
        </w:rPr>
      </w:pPr>
      <w:r w:rsidRPr="00FB57B5">
        <w:rPr>
          <w:b/>
          <w:bCs/>
          <w:noProof/>
          <w:lang w:val="es-ES"/>
        </w:rPr>
        <w:lastRenderedPageBreak/>
        <w:t>Decisión SC64-08: El Comité Permanente tomó nota del Informe de la Presidencia del Grupo de Examen Científico y Técnico.</w:t>
      </w:r>
    </w:p>
    <w:p w14:paraId="58272BC4" w14:textId="77777777" w:rsidR="006B1E1E" w:rsidRPr="00FB57B5" w:rsidRDefault="006B1E1E" w:rsidP="00CC3135">
      <w:pPr>
        <w:spacing w:after="0" w:line="240" w:lineRule="auto"/>
        <w:rPr>
          <w:rFonts w:cstheme="minorHAnsi"/>
          <w:b/>
          <w:bCs/>
          <w:noProof/>
          <w:lang w:val="es-ES"/>
        </w:rPr>
      </w:pPr>
    </w:p>
    <w:p w14:paraId="71C6D5F1" w14:textId="77777777" w:rsidR="006B1E1E" w:rsidRPr="00FB57B5"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noProof/>
          <w:lang w:val="es-ES"/>
        </w:rPr>
      </w:pPr>
      <w:r w:rsidRPr="00FB57B5">
        <w:rPr>
          <w:rFonts w:cstheme="minorHAnsi"/>
          <w:noProof/>
          <w:lang w:val="es-ES"/>
        </w:rPr>
        <w:t>Punto 19 del orden del día: Proyecto de resolución sobre la aplicación futura de los aspectos científicos y técnicos de la Convención para 2026-2028</w:t>
      </w:r>
    </w:p>
    <w:p w14:paraId="3561F69C" w14:textId="77777777" w:rsidR="006B1E1E" w:rsidRPr="00FB57B5" w:rsidRDefault="006B1E1E" w:rsidP="00CC3135">
      <w:pPr>
        <w:pStyle w:val="ListParagraph"/>
        <w:spacing w:after="0" w:line="240" w:lineRule="auto"/>
        <w:rPr>
          <w:noProof/>
          <w:lang w:val="es-ES"/>
        </w:rPr>
      </w:pPr>
    </w:p>
    <w:p w14:paraId="0A3E7E97" w14:textId="2A3003FF" w:rsidR="006B1E1E" w:rsidRPr="00FB57B5" w:rsidRDefault="006B1E1E" w:rsidP="00CC3135">
      <w:pPr>
        <w:spacing w:after="0" w:line="240" w:lineRule="auto"/>
        <w:rPr>
          <w:b/>
          <w:bCs/>
          <w:noProof/>
          <w:lang w:val="es-ES"/>
        </w:rPr>
      </w:pPr>
      <w:r w:rsidRPr="00FB57B5">
        <w:rPr>
          <w:b/>
          <w:bCs/>
          <w:noProof/>
          <w:lang w:val="es-ES"/>
        </w:rPr>
        <w:t>Decisión SC64-09: El Comité Permanente encargó a la Secretaría que sometiera a la consideración de la COP15 el proyecto de resolución que figura en el documento SC64 Doc.19 sobre la aplicación futura de los aspectos científicos y técnicos de la Convención para 2026-2028, enmendado para incorporar las aportaciones presentadas por el Comité.</w:t>
      </w:r>
    </w:p>
    <w:p w14:paraId="53612800" w14:textId="77777777" w:rsidR="006B1E1E" w:rsidRPr="00FB57B5" w:rsidRDefault="006B1E1E" w:rsidP="00CC3135">
      <w:pPr>
        <w:keepNext/>
        <w:spacing w:after="0" w:line="240" w:lineRule="auto"/>
        <w:rPr>
          <w:rFonts w:cstheme="minorHAnsi"/>
          <w:noProof/>
          <w:lang w:val="es-ES"/>
        </w:rPr>
      </w:pPr>
    </w:p>
    <w:p w14:paraId="514870F9" w14:textId="77777777" w:rsidR="006B1E1E" w:rsidRPr="00FB57B5" w:rsidRDefault="006B1E1E" w:rsidP="000850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noProof/>
          <w:lang w:val="es-ES"/>
        </w:rPr>
      </w:pPr>
      <w:r w:rsidRPr="00FB57B5">
        <w:rPr>
          <w:rFonts w:cstheme="minorHAnsi"/>
          <w:noProof/>
          <w:lang w:val="es-ES"/>
        </w:rPr>
        <w:t>Punto 20 del orden del día: Propuesta de proyecto de resolución sobre el establecimiento de la Alianza para las Estimaciones de Aves Acuáticas y la publicación de la edición de 2027 de Waterbird Population Estimates</w:t>
      </w:r>
    </w:p>
    <w:p w14:paraId="7CD3E5A0" w14:textId="77777777" w:rsidR="006B1E1E" w:rsidRPr="00FB57B5" w:rsidRDefault="006B1E1E" w:rsidP="00CC3135">
      <w:pPr>
        <w:pStyle w:val="ListParagraph"/>
        <w:spacing w:after="0" w:line="240" w:lineRule="auto"/>
        <w:rPr>
          <w:noProof/>
          <w:lang w:val="es-ES"/>
        </w:rPr>
      </w:pPr>
    </w:p>
    <w:p w14:paraId="681D30DF" w14:textId="77777777" w:rsidR="006B1E1E" w:rsidRPr="00FB57B5" w:rsidRDefault="006B1E1E" w:rsidP="00CC3135">
      <w:pPr>
        <w:spacing w:after="0" w:line="240" w:lineRule="auto"/>
        <w:rPr>
          <w:b/>
          <w:bCs/>
          <w:noProof/>
          <w:lang w:val="es-ES"/>
        </w:rPr>
      </w:pPr>
      <w:r w:rsidRPr="00FB57B5">
        <w:rPr>
          <w:b/>
          <w:bCs/>
          <w:noProof/>
          <w:lang w:val="es-ES"/>
        </w:rPr>
        <w:t>Decisión SC64-10: El Comité Permanente encargó a la Secretaría que sometiera a la consideración de la COP15 el proyecto de resolución que figura en el documento SC64 Doc.20, enmendado para incorporar las aportaciones del Comité.</w:t>
      </w:r>
    </w:p>
    <w:p w14:paraId="42E8BDB1" w14:textId="77777777" w:rsidR="006B1E1E" w:rsidRPr="00FB57B5" w:rsidRDefault="006B1E1E" w:rsidP="00CC3135">
      <w:pPr>
        <w:spacing w:after="0" w:line="240" w:lineRule="auto"/>
        <w:rPr>
          <w:b/>
          <w:bCs/>
          <w:noProof/>
          <w:lang w:val="es-ES"/>
        </w:rPr>
      </w:pPr>
    </w:p>
    <w:p w14:paraId="75C2119B" w14:textId="77777777" w:rsidR="006B1E1E" w:rsidRPr="00FB57B5"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noProof/>
          <w:lang w:val="es-ES"/>
        </w:rPr>
      </w:pPr>
      <w:r w:rsidRPr="00FB57B5">
        <w:rPr>
          <w:rFonts w:cstheme="minorHAnsi"/>
          <w:noProof/>
          <w:lang w:val="es-ES"/>
        </w:rPr>
        <w:t>Punto 21 del orden del día: Proyecto de resolución propuesto sobre la aplicación de los Criterios 6 y 9 en los Humedales de Importancia Internacional nuevos y existentes</w:t>
      </w:r>
    </w:p>
    <w:p w14:paraId="45EB19E6" w14:textId="77777777" w:rsidR="006B1E1E" w:rsidRPr="00FB57B5" w:rsidRDefault="006B1E1E" w:rsidP="00CC3135">
      <w:pPr>
        <w:pStyle w:val="ListParagraph"/>
        <w:spacing w:after="0" w:line="240" w:lineRule="auto"/>
        <w:rPr>
          <w:noProof/>
          <w:lang w:val="es-ES"/>
        </w:rPr>
      </w:pPr>
    </w:p>
    <w:p w14:paraId="674D6618" w14:textId="77777777" w:rsidR="006B1E1E" w:rsidRPr="00FB57B5" w:rsidRDefault="006B1E1E" w:rsidP="00CC3135">
      <w:pPr>
        <w:spacing w:after="0" w:line="240" w:lineRule="auto"/>
        <w:rPr>
          <w:b/>
          <w:bCs/>
          <w:noProof/>
          <w:lang w:val="es-ES"/>
        </w:rPr>
      </w:pPr>
      <w:r w:rsidRPr="00FB57B5">
        <w:rPr>
          <w:b/>
          <w:bCs/>
          <w:noProof/>
          <w:lang w:val="es-ES"/>
        </w:rPr>
        <w:lastRenderedPageBreak/>
        <w:t>Decisión SC64-11: El Comité Permanente encargó a la Secretaría que sometiera a la consideración de la COP15 el proyecto de resolución que figura en el documento SC64 Doc.21 sobre la aplicación de los Criterios 6 y 9 en los Humedales de Importancia Internacional nuevos y existentes, enmendado para incorporar las aportaciones presentadas por el Comité.</w:t>
      </w:r>
    </w:p>
    <w:p w14:paraId="003BD141" w14:textId="77777777" w:rsidR="006B1E1E" w:rsidRPr="00FB57B5" w:rsidRDefault="006B1E1E" w:rsidP="00CC3135">
      <w:pPr>
        <w:keepNext/>
        <w:spacing w:after="0" w:line="240" w:lineRule="auto"/>
        <w:rPr>
          <w:rFonts w:cstheme="minorHAnsi"/>
          <w:noProof/>
          <w:lang w:val="es-ES"/>
        </w:rPr>
      </w:pPr>
    </w:p>
    <w:p w14:paraId="11D74823" w14:textId="77777777" w:rsidR="006B1E1E" w:rsidRPr="00FB57B5"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noProof/>
          <w:lang w:val="es-ES"/>
        </w:rPr>
      </w:pPr>
      <w:r w:rsidRPr="00FB57B5">
        <w:rPr>
          <w:rFonts w:cstheme="minorHAnsi"/>
          <w:noProof/>
          <w:lang w:val="es-ES"/>
        </w:rPr>
        <w:t>Punto 13 del orden del día: Funciones y responsabilidades del Comité Permanente</w:t>
      </w:r>
    </w:p>
    <w:p w14:paraId="339EC52F" w14:textId="77777777" w:rsidR="006B1E1E" w:rsidRPr="00FB57B5" w:rsidRDefault="006B1E1E" w:rsidP="00CC3135">
      <w:pPr>
        <w:pStyle w:val="ListParagraph"/>
        <w:spacing w:after="0" w:line="240" w:lineRule="auto"/>
        <w:rPr>
          <w:noProof/>
          <w:lang w:val="es-ES"/>
        </w:rPr>
      </w:pPr>
    </w:p>
    <w:p w14:paraId="6CFF7995" w14:textId="77777777" w:rsidR="006B1E1E" w:rsidRPr="00FB57B5" w:rsidRDefault="006B1E1E" w:rsidP="00CC3135">
      <w:pPr>
        <w:spacing w:after="0" w:line="240" w:lineRule="auto"/>
        <w:ind w:left="567" w:hanging="567"/>
        <w:contextualSpacing/>
        <w:rPr>
          <w:b/>
          <w:bCs/>
          <w:noProof/>
          <w:lang w:val="es-ES"/>
        </w:rPr>
      </w:pPr>
      <w:r w:rsidRPr="00FB57B5">
        <w:rPr>
          <w:b/>
          <w:bCs/>
          <w:noProof/>
          <w:lang w:val="es-ES"/>
        </w:rPr>
        <w:t>Decisión SC64-12: El Comité Permanente:</w:t>
      </w:r>
    </w:p>
    <w:p w14:paraId="1FE83D58" w14:textId="230E07ED" w:rsidR="006B1E1E" w:rsidRPr="00FB57B5" w:rsidRDefault="006B1E1E" w:rsidP="00CC3135">
      <w:pPr>
        <w:pStyle w:val="ListParagraph"/>
        <w:numPr>
          <w:ilvl w:val="0"/>
          <w:numId w:val="4"/>
        </w:numPr>
        <w:spacing w:after="0" w:line="240" w:lineRule="auto"/>
        <w:ind w:left="567" w:hanging="567"/>
        <w:rPr>
          <w:b/>
          <w:bCs/>
          <w:noProof/>
          <w:lang w:val="es-ES"/>
        </w:rPr>
      </w:pPr>
      <w:r w:rsidRPr="00FB57B5">
        <w:rPr>
          <w:b/>
          <w:bCs/>
          <w:noProof/>
          <w:lang w:val="es-ES"/>
        </w:rPr>
        <w:t>encargó a la Secretaría que sometiera a la consideración de la COP15 el proyecto de resolución que figura en el documento SC64 Doc.13 sobre funciones, responsabilidades y composición del Comité Permanente y clasificación de los países por regiones en el marco de la Convención sobre los Humedales, enmendado para incorporar las aportaciones presentadas por el Comité</w:t>
      </w:r>
      <w:r w:rsidR="00D142EE">
        <w:rPr>
          <w:b/>
          <w:bCs/>
          <w:noProof/>
          <w:lang w:val="es-ES"/>
        </w:rPr>
        <w:t>; y</w:t>
      </w:r>
    </w:p>
    <w:p w14:paraId="2B862852" w14:textId="77777777" w:rsidR="006B1E1E" w:rsidRPr="00FB57B5" w:rsidRDefault="006B1E1E" w:rsidP="00CC3135">
      <w:pPr>
        <w:pStyle w:val="ListParagraph"/>
        <w:spacing w:after="0" w:line="240" w:lineRule="auto"/>
        <w:ind w:left="567" w:hanging="567"/>
        <w:rPr>
          <w:b/>
          <w:bCs/>
          <w:noProof/>
          <w:lang w:val="es-ES"/>
        </w:rPr>
      </w:pPr>
    </w:p>
    <w:p w14:paraId="54C592FA" w14:textId="77777777" w:rsidR="006B1E1E" w:rsidRPr="00FB57B5" w:rsidRDefault="006B1E1E" w:rsidP="00CC3135">
      <w:pPr>
        <w:pStyle w:val="ListParagraph"/>
        <w:numPr>
          <w:ilvl w:val="0"/>
          <w:numId w:val="4"/>
        </w:numPr>
        <w:spacing w:after="0" w:line="240" w:lineRule="auto"/>
        <w:ind w:left="567" w:hanging="567"/>
        <w:rPr>
          <w:b/>
          <w:bCs/>
          <w:noProof/>
          <w:lang w:val="es-ES"/>
        </w:rPr>
      </w:pPr>
      <w:r w:rsidRPr="00FB57B5">
        <w:rPr>
          <w:b/>
          <w:bCs/>
          <w:noProof/>
          <w:lang w:val="es-ES"/>
        </w:rPr>
        <w:t>confirmó que el párrafo 6 del anexo 1 y el párrafo 5 del anexo 3 del proyecto de resolución sustituyen las decisiones pendientes que figuran en el documento SC64 Doc.8, que pueden considerarse como “aplicadas” y eliminarse de la lista de decisiones “pendientes” con arreglo a la Decisión SC63-18.</w:t>
      </w:r>
    </w:p>
    <w:p w14:paraId="3AA45BB5" w14:textId="77777777" w:rsidR="006B1E1E" w:rsidRPr="00FB57B5" w:rsidRDefault="006B1E1E" w:rsidP="00CC3135">
      <w:pPr>
        <w:spacing w:after="0" w:line="240" w:lineRule="auto"/>
        <w:rPr>
          <w:b/>
          <w:bCs/>
          <w:noProof/>
          <w:lang w:val="es-ES"/>
        </w:rPr>
      </w:pPr>
    </w:p>
    <w:p w14:paraId="4E5F1541" w14:textId="77777777" w:rsidR="006B1E1E" w:rsidRPr="00FB57B5"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noProof/>
          <w:lang w:val="es-ES"/>
        </w:rPr>
      </w:pPr>
      <w:r w:rsidRPr="00FB57B5">
        <w:rPr>
          <w:rFonts w:cstheme="minorHAnsi"/>
          <w:noProof/>
          <w:lang w:val="es-ES"/>
        </w:rPr>
        <w:t>Punto 8 del orden del día: Informe de la Secretaría sobre la aplicación de las decisiones del Comité Permanente</w:t>
      </w:r>
    </w:p>
    <w:p w14:paraId="4CBBF207" w14:textId="77777777" w:rsidR="006B1E1E" w:rsidRPr="00FB57B5" w:rsidRDefault="006B1E1E" w:rsidP="00CC3135">
      <w:pPr>
        <w:pStyle w:val="ListParagraph"/>
        <w:spacing w:after="0" w:line="240" w:lineRule="auto"/>
        <w:rPr>
          <w:noProof/>
          <w:lang w:val="es-ES"/>
        </w:rPr>
      </w:pPr>
    </w:p>
    <w:p w14:paraId="6140DF97" w14:textId="5C9EFFDD" w:rsidR="006B1E1E" w:rsidRDefault="006B1E1E" w:rsidP="00CC3135">
      <w:pPr>
        <w:spacing w:after="0" w:line="240" w:lineRule="auto"/>
        <w:rPr>
          <w:b/>
          <w:bCs/>
          <w:noProof/>
          <w:lang w:val="es-ES"/>
        </w:rPr>
      </w:pPr>
      <w:r w:rsidRPr="00FB57B5">
        <w:rPr>
          <w:b/>
          <w:bCs/>
          <w:noProof/>
          <w:lang w:val="es-ES"/>
        </w:rPr>
        <w:t>Decisión SC64-13: El Comité Permanente tomó nota del informe y encargó a la Secretaría que invit</w:t>
      </w:r>
      <w:r w:rsidR="00D142EE">
        <w:rPr>
          <w:b/>
          <w:bCs/>
          <w:noProof/>
          <w:lang w:val="es-ES"/>
        </w:rPr>
        <w:t>ara</w:t>
      </w:r>
      <w:r w:rsidRPr="00FB57B5">
        <w:rPr>
          <w:b/>
          <w:bCs/>
          <w:noProof/>
          <w:lang w:val="es-ES"/>
        </w:rPr>
        <w:t xml:space="preserve"> a los miembros del Comité Permanente a</w:t>
      </w:r>
      <w:r w:rsidR="00D142EE">
        <w:rPr>
          <w:b/>
          <w:bCs/>
          <w:noProof/>
          <w:lang w:val="es-ES"/>
        </w:rPr>
        <w:t xml:space="preserve"> que formularan</w:t>
      </w:r>
      <w:r w:rsidRPr="00FB57B5">
        <w:rPr>
          <w:b/>
          <w:bCs/>
          <w:noProof/>
          <w:lang w:val="es-ES"/>
        </w:rPr>
        <w:t xml:space="preserve"> sugerencias de acciones para concluir las decisiones pendientes e incorporar estas sugerencias en el informe de la Secretaría sobre las decisiones pendientes que </w:t>
      </w:r>
      <w:r w:rsidR="00D142EE">
        <w:rPr>
          <w:b/>
          <w:bCs/>
          <w:noProof/>
          <w:lang w:val="es-ES"/>
        </w:rPr>
        <w:t>se presentarán a la</w:t>
      </w:r>
      <w:r w:rsidRPr="00FB57B5">
        <w:rPr>
          <w:b/>
          <w:bCs/>
          <w:noProof/>
          <w:lang w:val="es-ES"/>
        </w:rPr>
        <w:t xml:space="preserve"> </w:t>
      </w:r>
      <w:r w:rsidR="00D142EE">
        <w:rPr>
          <w:b/>
          <w:bCs/>
          <w:noProof/>
          <w:lang w:val="es-ES"/>
        </w:rPr>
        <w:t xml:space="preserve">67ª </w:t>
      </w:r>
      <w:r w:rsidRPr="00FB57B5">
        <w:rPr>
          <w:b/>
          <w:bCs/>
          <w:noProof/>
          <w:lang w:val="es-ES"/>
        </w:rPr>
        <w:t>reunión</w:t>
      </w:r>
      <w:r w:rsidR="00D142EE">
        <w:rPr>
          <w:b/>
          <w:bCs/>
          <w:noProof/>
          <w:lang w:val="es-ES"/>
        </w:rPr>
        <w:t xml:space="preserve"> del Comité Permanente</w:t>
      </w:r>
      <w:r w:rsidRPr="00FB57B5">
        <w:rPr>
          <w:b/>
          <w:bCs/>
          <w:noProof/>
          <w:lang w:val="es-ES"/>
        </w:rPr>
        <w:t xml:space="preserve"> </w:t>
      </w:r>
      <w:r w:rsidR="00D142EE">
        <w:rPr>
          <w:b/>
          <w:bCs/>
          <w:noProof/>
          <w:lang w:val="es-ES"/>
        </w:rPr>
        <w:t>(</w:t>
      </w:r>
      <w:r w:rsidRPr="00FB57B5">
        <w:rPr>
          <w:b/>
          <w:bCs/>
          <w:noProof/>
          <w:lang w:val="es-ES"/>
        </w:rPr>
        <w:t>SC67</w:t>
      </w:r>
      <w:r w:rsidR="00D142EE">
        <w:rPr>
          <w:b/>
          <w:bCs/>
          <w:noProof/>
          <w:lang w:val="es-ES"/>
        </w:rPr>
        <w:t>)</w:t>
      </w:r>
      <w:r w:rsidRPr="00FB57B5">
        <w:rPr>
          <w:b/>
          <w:bCs/>
          <w:noProof/>
          <w:lang w:val="es-ES"/>
        </w:rPr>
        <w:t>.</w:t>
      </w:r>
    </w:p>
    <w:p w14:paraId="0C538B70" w14:textId="77777777" w:rsidR="006B1E1E" w:rsidRPr="00AD113D" w:rsidRDefault="006B1E1E" w:rsidP="00CC3135">
      <w:pPr>
        <w:spacing w:after="0" w:line="240" w:lineRule="auto"/>
        <w:ind w:left="567" w:hanging="567"/>
        <w:rPr>
          <w:rFonts w:cstheme="minorHAnsi"/>
          <w:bCs/>
          <w:lang w:val="es-ES"/>
        </w:rPr>
      </w:pPr>
    </w:p>
    <w:p w14:paraId="7C18FDDB" w14:textId="77777777" w:rsidR="006B1E1E" w:rsidRPr="00AD113D"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AD113D">
        <w:rPr>
          <w:rFonts w:cstheme="minorHAnsi"/>
          <w:bCs/>
          <w:lang w:val="es-ES"/>
        </w:rPr>
        <w:t xml:space="preserve">Punto 16 del orden del día: </w:t>
      </w:r>
      <w:r w:rsidRPr="00AD113D">
        <w:rPr>
          <w:lang w:val="es-ES"/>
        </w:rPr>
        <w:t>Informe del Grupo de Trabajo sobre la Juventud</w:t>
      </w:r>
    </w:p>
    <w:p w14:paraId="3218354D" w14:textId="77777777" w:rsidR="006B1E1E" w:rsidRPr="00AD113D" w:rsidRDefault="006B1E1E" w:rsidP="00CC3135">
      <w:pPr>
        <w:spacing w:after="0" w:line="240" w:lineRule="auto"/>
        <w:ind w:left="567" w:hanging="567"/>
        <w:rPr>
          <w:rFonts w:cstheme="minorHAnsi"/>
          <w:bCs/>
          <w:lang w:val="es-ES"/>
        </w:rPr>
      </w:pPr>
    </w:p>
    <w:p w14:paraId="65C1A99B" w14:textId="77777777" w:rsidR="006B1E1E" w:rsidRPr="00AD113D" w:rsidRDefault="006B1E1E" w:rsidP="00CC3135">
      <w:pPr>
        <w:spacing w:after="0" w:line="240" w:lineRule="auto"/>
        <w:contextualSpacing/>
        <w:rPr>
          <w:rFonts w:eastAsia="Aptos" w:cstheme="minorHAnsi"/>
          <w:b/>
          <w:bCs/>
          <w:lang w:val="es-ES"/>
        </w:rPr>
      </w:pPr>
      <w:r w:rsidRPr="00AD113D">
        <w:rPr>
          <w:rFonts w:cstheme="minorHAnsi"/>
          <w:b/>
          <w:iCs/>
          <w:color w:val="000000" w:themeColor="text1"/>
          <w:lang w:val="es-ES"/>
        </w:rPr>
        <w:t xml:space="preserve">Decisión </w:t>
      </w:r>
      <w:r w:rsidRPr="00AD113D">
        <w:rPr>
          <w:rFonts w:cstheme="minorHAnsi"/>
          <w:b/>
          <w:iCs/>
          <w:lang w:val="es-ES"/>
        </w:rPr>
        <w:t>SC64-14: El</w:t>
      </w:r>
      <w:r w:rsidRPr="00AD113D">
        <w:rPr>
          <w:rFonts w:eastAsia="Aptos" w:cstheme="minorHAnsi"/>
          <w:b/>
          <w:bCs/>
          <w:lang w:val="es-ES"/>
        </w:rPr>
        <w:t xml:space="preserve"> Comité Permanente tomó nota de los avances del Grupo de Trabajo sobre la Juventud presentados en el documento SC64 Doc.16.</w:t>
      </w:r>
    </w:p>
    <w:p w14:paraId="4DFE3E0A" w14:textId="77777777" w:rsidR="006B1E1E" w:rsidRPr="005F2F0D" w:rsidRDefault="006B1E1E" w:rsidP="00CC3135">
      <w:pPr>
        <w:keepNext/>
        <w:spacing w:after="0" w:line="240" w:lineRule="auto"/>
        <w:rPr>
          <w:rFonts w:cstheme="minorHAnsi"/>
          <w:noProof/>
          <w:lang w:val="es-ES"/>
        </w:rPr>
      </w:pPr>
    </w:p>
    <w:p w14:paraId="2D9EE3BF" w14:textId="2D543347" w:rsidR="006B1E1E" w:rsidRPr="005F2F0D"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5F2F0D">
        <w:rPr>
          <w:rFonts w:cstheme="minorHAnsi"/>
          <w:bCs/>
          <w:noProof/>
          <w:lang w:val="es-ES"/>
        </w:rPr>
        <w:t xml:space="preserve">Punto 12 del orden del día: </w:t>
      </w:r>
      <w:r w:rsidR="00AF3C3B" w:rsidRPr="009142FF">
        <w:rPr>
          <w:rFonts w:cstheme="minorHAnsi"/>
          <w:lang w:val="es-ES"/>
        </w:rPr>
        <w:t>Informe del Grupo de trabajo sobre el fortalecimiento institucional</w:t>
      </w:r>
    </w:p>
    <w:p w14:paraId="7196FC85" w14:textId="77777777" w:rsidR="006B1E1E" w:rsidRPr="005F2F0D" w:rsidRDefault="006B1E1E" w:rsidP="00CC3135">
      <w:pPr>
        <w:pStyle w:val="ListParagraph"/>
        <w:spacing w:after="0" w:line="240" w:lineRule="auto"/>
        <w:ind w:left="360"/>
        <w:rPr>
          <w:noProof/>
          <w:lang w:val="es-ES"/>
        </w:rPr>
      </w:pPr>
    </w:p>
    <w:p w14:paraId="48626384" w14:textId="53D8A219" w:rsidR="006B1E1E" w:rsidRPr="005F2F0D" w:rsidRDefault="006B1E1E" w:rsidP="00CC3135">
      <w:pPr>
        <w:spacing w:after="0" w:line="240" w:lineRule="auto"/>
        <w:rPr>
          <w:b/>
          <w:bCs/>
          <w:noProof/>
          <w:lang w:val="es-ES"/>
        </w:rPr>
      </w:pPr>
      <w:r w:rsidRPr="005F2F0D">
        <w:rPr>
          <w:b/>
          <w:bCs/>
          <w:noProof/>
          <w:lang w:val="es-ES"/>
        </w:rPr>
        <w:t>Decisión SC64-15: El Comité Permanente tomó nota del informe del Grupo de trabajo sobre el fortalecimiento institucional y encargó a la Secretaría que remitiera a la COP15 para su examen el proyecto de resolución que figura en el documento SC64.12 sobre el fortalecimiento institucional, enmendado para incorporar los aportes presentados por el Comité</w:t>
      </w:r>
      <w:r w:rsidR="00623BF9">
        <w:rPr>
          <w:b/>
          <w:bCs/>
          <w:noProof/>
          <w:lang w:val="es-ES"/>
        </w:rPr>
        <w:t xml:space="preserve">. </w:t>
      </w:r>
    </w:p>
    <w:p w14:paraId="019099B2" w14:textId="77777777" w:rsidR="006B1E1E" w:rsidRPr="005F2F0D" w:rsidRDefault="006B1E1E" w:rsidP="00CC3135">
      <w:pPr>
        <w:keepNext/>
        <w:spacing w:after="0" w:line="240" w:lineRule="auto"/>
        <w:rPr>
          <w:rFonts w:cstheme="minorHAnsi"/>
          <w:noProof/>
          <w:lang w:val="es-ES"/>
        </w:rPr>
      </w:pPr>
    </w:p>
    <w:p w14:paraId="2364F3DE" w14:textId="2668FC60" w:rsidR="006B1E1E" w:rsidRPr="005F2F0D"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5F2F0D">
        <w:rPr>
          <w:rFonts w:cstheme="minorHAnsi"/>
          <w:bCs/>
          <w:noProof/>
          <w:lang w:val="es-ES"/>
        </w:rPr>
        <w:t xml:space="preserve">Punto 15.1 del orden del día: </w:t>
      </w:r>
      <w:r w:rsidR="000D72DD" w:rsidRPr="00782F61">
        <w:rPr>
          <w:noProof/>
          <w:lang w:val="es-ES"/>
        </w:rPr>
        <w:t xml:space="preserve">Comunicación, </w:t>
      </w:r>
      <w:r w:rsidR="000D72DD">
        <w:rPr>
          <w:noProof/>
          <w:lang w:val="es-ES"/>
        </w:rPr>
        <w:t>e</w:t>
      </w:r>
      <w:r w:rsidR="000D72DD" w:rsidRPr="00782F61">
        <w:rPr>
          <w:noProof/>
          <w:lang w:val="es-ES"/>
        </w:rPr>
        <w:t xml:space="preserve">ducación, </w:t>
      </w:r>
      <w:r w:rsidR="000D72DD">
        <w:rPr>
          <w:noProof/>
          <w:lang w:val="es-ES"/>
        </w:rPr>
        <w:t>c</w:t>
      </w:r>
      <w:r w:rsidR="000D72DD" w:rsidRPr="00782F61">
        <w:rPr>
          <w:noProof/>
          <w:lang w:val="es-ES"/>
        </w:rPr>
        <w:t xml:space="preserve">oncienciación y </w:t>
      </w:r>
      <w:r w:rsidR="000D72DD">
        <w:rPr>
          <w:noProof/>
          <w:lang w:val="es-ES"/>
        </w:rPr>
        <w:t>p</w:t>
      </w:r>
      <w:r w:rsidR="000D72DD" w:rsidRPr="00782F61">
        <w:rPr>
          <w:noProof/>
          <w:lang w:val="es-ES"/>
        </w:rPr>
        <w:t>articipación</w:t>
      </w:r>
      <w:r w:rsidR="000D72DD">
        <w:rPr>
          <w:noProof/>
          <w:lang w:val="es-ES"/>
        </w:rPr>
        <w:t xml:space="preserve"> (CECoP):</w:t>
      </w:r>
      <w:r w:rsidR="000D72DD" w:rsidRPr="005F2F0D">
        <w:rPr>
          <w:rFonts w:cstheme="minorHAnsi"/>
          <w:bCs/>
          <w:noProof/>
          <w:lang w:val="es-ES"/>
        </w:rPr>
        <w:t xml:space="preserve"> </w:t>
      </w:r>
      <w:r w:rsidRPr="005F2F0D">
        <w:rPr>
          <w:rFonts w:cstheme="minorHAnsi"/>
          <w:bCs/>
          <w:noProof/>
          <w:lang w:val="es-ES"/>
        </w:rPr>
        <w:t>Informe de la Presidencia del Grupo de supervisión de las actividades de CECoP</w:t>
      </w:r>
    </w:p>
    <w:p w14:paraId="21082D96" w14:textId="77777777" w:rsidR="006B1E1E" w:rsidRPr="00FA6996" w:rsidRDefault="006B1E1E" w:rsidP="00CC3135">
      <w:pPr>
        <w:pStyle w:val="ListParagraph"/>
        <w:spacing w:after="0" w:line="240" w:lineRule="auto"/>
        <w:rPr>
          <w:noProof/>
          <w:lang w:val="es-ES"/>
        </w:rPr>
      </w:pPr>
    </w:p>
    <w:p w14:paraId="51C98E3C" w14:textId="77777777" w:rsidR="006B1E1E" w:rsidRPr="00FA6996" w:rsidRDefault="006B1E1E" w:rsidP="00CC3135">
      <w:pPr>
        <w:spacing w:after="0" w:line="240" w:lineRule="auto"/>
        <w:rPr>
          <w:rFonts w:eastAsia="SimSun" w:cstheme="minorHAnsi"/>
          <w:b/>
          <w:iCs/>
          <w:lang w:val="es-ES"/>
        </w:rPr>
      </w:pPr>
      <w:r w:rsidRPr="00FA6996">
        <w:rPr>
          <w:b/>
          <w:bCs/>
          <w:lang w:val="es-ES"/>
        </w:rPr>
        <w:t>Decisión</w:t>
      </w:r>
      <w:r w:rsidRPr="00FA6996">
        <w:rPr>
          <w:b/>
          <w:lang w:val="es-ES"/>
        </w:rPr>
        <w:t xml:space="preserve"> SC64 -16:</w:t>
      </w:r>
      <w:r w:rsidRPr="00FA6996">
        <w:rPr>
          <w:b/>
          <w:bCs/>
          <w:lang w:val="es-ES"/>
        </w:rPr>
        <w:t xml:space="preserve"> El Comité Permanente tomó nota del Informe del Grupo de Supervisión de las Actividades de CECoP que figura en el documento SC64 Doc.15.1.</w:t>
      </w:r>
    </w:p>
    <w:p w14:paraId="3C627D39" w14:textId="77777777" w:rsidR="006B1E1E" w:rsidRPr="00FA6996" w:rsidRDefault="006B1E1E" w:rsidP="00CC3135">
      <w:pPr>
        <w:spacing w:after="0" w:line="240" w:lineRule="auto"/>
        <w:rPr>
          <w:rFonts w:eastAsia="SimSun" w:cstheme="minorHAnsi"/>
          <w:b/>
          <w:iCs/>
          <w:lang w:val="es-ES" w:eastAsia="zh-CN"/>
        </w:rPr>
      </w:pPr>
    </w:p>
    <w:p w14:paraId="296ABCFD" w14:textId="01F5E577"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t xml:space="preserve">Punto 15.2 del orden del día: </w:t>
      </w:r>
      <w:r w:rsidR="000D72DD" w:rsidRPr="00782F61">
        <w:rPr>
          <w:noProof/>
          <w:lang w:val="es-ES"/>
        </w:rPr>
        <w:t xml:space="preserve">Comunicación, </w:t>
      </w:r>
      <w:r w:rsidR="000D72DD">
        <w:rPr>
          <w:noProof/>
          <w:lang w:val="es-ES"/>
        </w:rPr>
        <w:t>e</w:t>
      </w:r>
      <w:r w:rsidR="000D72DD" w:rsidRPr="00782F61">
        <w:rPr>
          <w:noProof/>
          <w:lang w:val="es-ES"/>
        </w:rPr>
        <w:t xml:space="preserve">ducación, </w:t>
      </w:r>
      <w:r w:rsidR="000D72DD">
        <w:rPr>
          <w:noProof/>
          <w:lang w:val="es-ES"/>
        </w:rPr>
        <w:t>c</w:t>
      </w:r>
      <w:r w:rsidR="000D72DD" w:rsidRPr="00782F61">
        <w:rPr>
          <w:noProof/>
          <w:lang w:val="es-ES"/>
        </w:rPr>
        <w:t xml:space="preserve">oncienciación y </w:t>
      </w:r>
      <w:r w:rsidR="000D72DD">
        <w:rPr>
          <w:noProof/>
          <w:lang w:val="es-ES"/>
        </w:rPr>
        <w:t>p</w:t>
      </w:r>
      <w:r w:rsidR="000D72DD" w:rsidRPr="00782F61">
        <w:rPr>
          <w:noProof/>
          <w:lang w:val="es-ES"/>
        </w:rPr>
        <w:t>articipación</w:t>
      </w:r>
      <w:r w:rsidR="000D72DD">
        <w:rPr>
          <w:noProof/>
          <w:lang w:val="es-ES"/>
        </w:rPr>
        <w:t xml:space="preserve"> (CECoP): </w:t>
      </w:r>
      <w:r w:rsidRPr="00FA6996">
        <w:rPr>
          <w:lang w:val="es-ES"/>
        </w:rPr>
        <w:t>Proyecto de resolución sobre CECoP</w:t>
      </w:r>
    </w:p>
    <w:p w14:paraId="06944CF9" w14:textId="77777777" w:rsidR="006B1E1E" w:rsidRPr="00FA6996" w:rsidRDefault="006B1E1E" w:rsidP="00CC3135">
      <w:pPr>
        <w:spacing w:after="0" w:line="240" w:lineRule="auto"/>
        <w:ind w:left="720" w:hanging="720"/>
        <w:rPr>
          <w:lang w:val="es-ES"/>
        </w:rPr>
      </w:pPr>
    </w:p>
    <w:p w14:paraId="0259A6FB" w14:textId="6078EAF1" w:rsidR="006B1E1E" w:rsidRPr="00FA6996" w:rsidRDefault="006B1E1E" w:rsidP="00CC3135">
      <w:pPr>
        <w:spacing w:after="0" w:line="240" w:lineRule="auto"/>
        <w:contextualSpacing/>
        <w:rPr>
          <w:rFonts w:cstheme="minorHAnsi"/>
          <w:lang w:val="es-ES"/>
        </w:rPr>
      </w:pPr>
      <w:r w:rsidRPr="00FA6996">
        <w:rPr>
          <w:b/>
          <w:iCs/>
          <w:lang w:val="es-ES"/>
        </w:rPr>
        <w:t>Decisión SC64-17:</w:t>
      </w:r>
      <w:r w:rsidRPr="00FA6996">
        <w:rPr>
          <w:b/>
          <w:bCs/>
          <w:lang w:val="es-ES"/>
        </w:rPr>
        <w:t xml:space="preserve"> El Comité Permanente encargó a la Secretaría que sometiera a la consideración de la COP15 el proyecto de resolución que figura en el documento SC64 Doc.15.2 sobre Comunicación, fomento de capacidad, educación, concienciación y participación (CECoP), enmendado para tener en cuenta las aportaciones del Comité.</w:t>
      </w:r>
    </w:p>
    <w:p w14:paraId="44679957" w14:textId="77777777" w:rsidR="006B1E1E" w:rsidRPr="00FA6996" w:rsidRDefault="006B1E1E" w:rsidP="00CC3135">
      <w:pPr>
        <w:spacing w:after="0" w:line="240" w:lineRule="auto"/>
        <w:contextualSpacing/>
        <w:rPr>
          <w:rFonts w:cstheme="minorHAnsi"/>
          <w:bCs/>
          <w:lang w:val="es-ES"/>
        </w:rPr>
      </w:pPr>
    </w:p>
    <w:p w14:paraId="55727440" w14:textId="77777777" w:rsidR="006B1E1E" w:rsidRPr="00FA6996" w:rsidRDefault="006B1E1E" w:rsidP="00DF3F4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t>Punto 14 del orden del día: Mejora de la visibilidad de la Convención y de las sinergias con otros acuerdos multilaterales sobre el medio ambiente e instituciones internacionales</w:t>
      </w:r>
    </w:p>
    <w:p w14:paraId="3F8166A8" w14:textId="11CEDCA2" w:rsidR="006B1E1E" w:rsidRPr="00FA6996" w:rsidRDefault="006B1E1E" w:rsidP="00DF3F4C">
      <w:pPr>
        <w:keepNext/>
        <w:spacing w:after="0" w:line="240" w:lineRule="auto"/>
        <w:ind w:left="720" w:hanging="720"/>
        <w:rPr>
          <w:lang w:val="es-ES"/>
        </w:rPr>
      </w:pPr>
    </w:p>
    <w:p w14:paraId="16D29069" w14:textId="77777777" w:rsidR="006B15C5" w:rsidRDefault="006B1E1E" w:rsidP="00CC3135">
      <w:pPr>
        <w:keepNext/>
        <w:spacing w:after="0" w:line="240" w:lineRule="auto"/>
        <w:contextualSpacing/>
        <w:rPr>
          <w:b/>
          <w:lang w:val="es-ES"/>
        </w:rPr>
      </w:pPr>
      <w:r w:rsidRPr="00FA6996">
        <w:rPr>
          <w:b/>
          <w:bCs/>
          <w:lang w:val="es-ES"/>
        </w:rPr>
        <w:t>Decisión</w:t>
      </w:r>
      <w:r w:rsidRPr="00FA6996">
        <w:rPr>
          <w:b/>
          <w:lang w:val="es-ES"/>
        </w:rPr>
        <w:t xml:space="preserve"> SC64 -18:</w:t>
      </w:r>
      <w:r w:rsidRPr="00FA6996">
        <w:rPr>
          <w:b/>
          <w:bCs/>
          <w:lang w:val="es-ES"/>
        </w:rPr>
        <w:t xml:space="preserve"> </w:t>
      </w:r>
      <w:r w:rsidRPr="00FA6996">
        <w:rPr>
          <w:b/>
          <w:lang w:val="es-ES"/>
        </w:rPr>
        <w:t>El Comité Permanente</w:t>
      </w:r>
      <w:r w:rsidR="006B15C5">
        <w:rPr>
          <w:b/>
          <w:lang w:val="es-ES"/>
        </w:rPr>
        <w:t>:</w:t>
      </w:r>
    </w:p>
    <w:p w14:paraId="624C073C" w14:textId="12AD20DE" w:rsidR="006B1E1E" w:rsidRPr="00FA6996" w:rsidRDefault="006B1E1E" w:rsidP="00CC3135">
      <w:pPr>
        <w:keepNext/>
        <w:spacing w:after="0" w:line="240" w:lineRule="auto"/>
        <w:contextualSpacing/>
        <w:rPr>
          <w:rFonts w:eastAsia="SimSun" w:cstheme="minorHAnsi"/>
          <w:b/>
          <w:bCs/>
          <w:lang w:val="es-ES"/>
        </w:rPr>
      </w:pPr>
      <w:r w:rsidRPr="00FA6996">
        <w:rPr>
          <w:b/>
          <w:lang w:val="es-ES"/>
        </w:rPr>
        <w:t xml:space="preserve"> </w:t>
      </w:r>
    </w:p>
    <w:p w14:paraId="19BE63B0" w14:textId="0AA14801" w:rsidR="006B1E1E" w:rsidRDefault="006B1E1E" w:rsidP="00CC3135">
      <w:pPr>
        <w:spacing w:after="0" w:line="240" w:lineRule="auto"/>
        <w:ind w:left="567" w:hanging="567"/>
        <w:rPr>
          <w:b/>
          <w:iCs/>
          <w:lang w:val="es-ES"/>
        </w:rPr>
      </w:pPr>
      <w:r w:rsidRPr="00FA6996">
        <w:rPr>
          <w:b/>
          <w:iCs/>
          <w:lang w:val="es-ES"/>
        </w:rPr>
        <w:t>i.</w:t>
      </w:r>
      <w:r w:rsidRPr="00FA6996">
        <w:rPr>
          <w:rFonts w:eastAsia="SimSun" w:cstheme="minorHAnsi"/>
          <w:b/>
          <w:iCs/>
          <w:lang w:val="es-ES"/>
        </w:rPr>
        <w:tab/>
      </w:r>
      <w:r w:rsidRPr="00FA6996">
        <w:rPr>
          <w:b/>
          <w:iCs/>
          <w:lang w:val="es-ES"/>
        </w:rPr>
        <w:t>tomó nota de los progresos realizados desde la 63</w:t>
      </w:r>
      <w:r w:rsidRPr="00FA6996">
        <w:rPr>
          <w:b/>
          <w:iCs/>
          <w:vertAlign w:val="superscript"/>
          <w:lang w:val="es-ES"/>
        </w:rPr>
        <w:t>a</w:t>
      </w:r>
      <w:r w:rsidRPr="00FA6996">
        <w:rPr>
          <w:b/>
          <w:iCs/>
          <w:lang w:val="es-ES"/>
        </w:rPr>
        <w:t xml:space="preserve"> reunión del Comité Permanente en la aplicación de la Resolución XIV.6, </w:t>
      </w:r>
      <w:r w:rsidRPr="00FA6996">
        <w:rPr>
          <w:b/>
          <w:i/>
          <w:iCs/>
          <w:lang w:val="es-ES"/>
        </w:rPr>
        <w:t>Mejora de la visibilidad de la Convención y de las sinergias con otros acuerdos multilaterales sobre el medio ambiente e instituciones internacionales</w:t>
      </w:r>
      <w:r w:rsidRPr="00FA6996">
        <w:rPr>
          <w:b/>
          <w:iCs/>
          <w:lang w:val="es-ES"/>
        </w:rPr>
        <w:t>;</w:t>
      </w:r>
      <w:r w:rsidR="006B15C5">
        <w:rPr>
          <w:b/>
          <w:iCs/>
          <w:lang w:val="es-ES"/>
        </w:rPr>
        <w:t xml:space="preserve"> y</w:t>
      </w:r>
    </w:p>
    <w:p w14:paraId="7D090342" w14:textId="77777777" w:rsidR="006B15C5" w:rsidRPr="00FA6996" w:rsidRDefault="006B15C5" w:rsidP="00CC3135">
      <w:pPr>
        <w:spacing w:after="0" w:line="240" w:lineRule="auto"/>
        <w:ind w:left="567" w:hanging="567"/>
        <w:rPr>
          <w:rFonts w:eastAsia="SimSun" w:cstheme="minorHAnsi"/>
          <w:b/>
          <w:iCs/>
          <w:lang w:val="es-ES"/>
        </w:rPr>
      </w:pPr>
    </w:p>
    <w:p w14:paraId="38031714" w14:textId="77777777" w:rsidR="006B1E1E" w:rsidRPr="00FA6996" w:rsidRDefault="006B1E1E" w:rsidP="00CC3135">
      <w:pPr>
        <w:spacing w:after="0" w:line="240" w:lineRule="auto"/>
        <w:ind w:left="567" w:hanging="567"/>
        <w:rPr>
          <w:rFonts w:eastAsia="Aptos" w:cstheme="minorHAnsi"/>
          <w:b/>
          <w:bCs/>
          <w:lang w:val="es-ES"/>
        </w:rPr>
      </w:pPr>
      <w:r w:rsidRPr="00FA6996">
        <w:rPr>
          <w:b/>
          <w:iCs/>
          <w:lang w:val="es-ES"/>
        </w:rPr>
        <w:t>ii.</w:t>
      </w:r>
      <w:r w:rsidRPr="00FA6996">
        <w:rPr>
          <w:rFonts w:eastAsia="SimSun" w:cstheme="minorHAnsi"/>
          <w:b/>
          <w:iCs/>
          <w:lang w:val="es-ES"/>
        </w:rPr>
        <w:tab/>
      </w:r>
      <w:r w:rsidRPr="00FA6996">
        <w:rPr>
          <w:b/>
          <w:bCs/>
          <w:lang w:val="es-ES"/>
        </w:rPr>
        <w:t>encargó a la Secretaría que sometiera a la consideración de la COP15 el proyecto de resolución que figura en el documento SC64 Doc.14 sobre la mejora de la visibilidad de la Convención y de las sinergias con otros acuerdos multilaterales sobre el medio ambiente e instituciones internacionales, enmendado para tener en cuenta las aportaciones del Comité.</w:t>
      </w:r>
    </w:p>
    <w:p w14:paraId="69992052" w14:textId="77777777" w:rsidR="006B1E1E" w:rsidRPr="00FA6996" w:rsidRDefault="006B1E1E" w:rsidP="00CC3135">
      <w:pPr>
        <w:spacing w:after="0" w:line="240" w:lineRule="auto"/>
        <w:rPr>
          <w:rFonts w:eastAsia="Aptos" w:cstheme="minorHAnsi"/>
          <w:b/>
          <w:bCs/>
          <w:lang w:val="es-ES"/>
        </w:rPr>
      </w:pPr>
    </w:p>
    <w:p w14:paraId="3279E3A0" w14:textId="69676CE5"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t xml:space="preserve">Punto 10 del orden del día: Desafíos urgentes en materia de uso racional de los humedales que merecen mayor atención: </w:t>
      </w:r>
      <w:r w:rsidR="006B15C5">
        <w:rPr>
          <w:lang w:val="es-ES"/>
        </w:rPr>
        <w:t>A</w:t>
      </w:r>
      <w:r w:rsidRPr="00FA6996">
        <w:rPr>
          <w:lang w:val="es-ES"/>
        </w:rPr>
        <w:t>ctualización sobre los inventarios de humedales</w:t>
      </w:r>
    </w:p>
    <w:p w14:paraId="5DF156C7" w14:textId="77777777" w:rsidR="006B1E1E" w:rsidRPr="00FA6996" w:rsidRDefault="006B1E1E" w:rsidP="00CC3135">
      <w:pPr>
        <w:spacing w:after="0" w:line="240" w:lineRule="auto"/>
        <w:contextualSpacing/>
        <w:rPr>
          <w:rFonts w:cstheme="minorHAnsi"/>
          <w:bCs/>
          <w:lang w:val="es-ES"/>
        </w:rPr>
      </w:pPr>
    </w:p>
    <w:p w14:paraId="0E9AF05B" w14:textId="77777777" w:rsidR="006B1E1E" w:rsidRDefault="006B1E1E" w:rsidP="00CC3135">
      <w:pPr>
        <w:spacing w:after="0" w:line="240" w:lineRule="auto"/>
        <w:contextualSpacing/>
        <w:rPr>
          <w:b/>
          <w:lang w:val="es-ES"/>
        </w:rPr>
      </w:pPr>
      <w:r w:rsidRPr="00FA6996">
        <w:rPr>
          <w:b/>
          <w:lang w:val="es-ES"/>
        </w:rPr>
        <w:t>Decisión SC64 -19: El Comité Permanente:</w:t>
      </w:r>
    </w:p>
    <w:p w14:paraId="07454CBF" w14:textId="77777777" w:rsidR="006B15C5" w:rsidRPr="00FA6996" w:rsidRDefault="006B15C5" w:rsidP="00CC3135">
      <w:pPr>
        <w:spacing w:after="0" w:line="240" w:lineRule="auto"/>
        <w:contextualSpacing/>
        <w:rPr>
          <w:rFonts w:cstheme="minorHAnsi"/>
          <w:b/>
          <w:lang w:val="es-ES"/>
        </w:rPr>
      </w:pPr>
    </w:p>
    <w:p w14:paraId="6903814A" w14:textId="3453BD12" w:rsidR="006B1E1E" w:rsidRDefault="006B1E1E" w:rsidP="00CC3135">
      <w:pPr>
        <w:spacing w:after="0" w:line="240" w:lineRule="auto"/>
        <w:ind w:left="567" w:hanging="567"/>
        <w:contextualSpacing/>
        <w:rPr>
          <w:b/>
          <w:lang w:val="es-ES"/>
        </w:rPr>
      </w:pPr>
      <w:r w:rsidRPr="00FA6996">
        <w:rPr>
          <w:b/>
          <w:lang w:val="es-ES"/>
        </w:rPr>
        <w:t>i.</w:t>
      </w:r>
      <w:r w:rsidRPr="00FA6996">
        <w:rPr>
          <w:rFonts w:cstheme="minorHAnsi"/>
          <w:b/>
          <w:lang w:val="es-ES"/>
        </w:rPr>
        <w:tab/>
      </w:r>
      <w:r w:rsidRPr="00FA6996">
        <w:rPr>
          <w:b/>
          <w:lang w:val="es-ES"/>
        </w:rPr>
        <w:t xml:space="preserve">tomó nota de los avances de la Secretaría en la provisión de un mecanismo para ayudar a las Partes Contratantes a elaborar sus inventarios nacionales de humedales; </w:t>
      </w:r>
      <w:r w:rsidR="006B15C5">
        <w:rPr>
          <w:b/>
          <w:lang w:val="es-ES"/>
        </w:rPr>
        <w:t>y</w:t>
      </w:r>
    </w:p>
    <w:p w14:paraId="2C8E3538" w14:textId="77777777" w:rsidR="006B15C5" w:rsidRPr="00FA6996" w:rsidRDefault="006B15C5" w:rsidP="00CC3135">
      <w:pPr>
        <w:spacing w:after="0" w:line="240" w:lineRule="auto"/>
        <w:ind w:left="567" w:hanging="567"/>
        <w:contextualSpacing/>
        <w:rPr>
          <w:rFonts w:cstheme="minorHAnsi"/>
          <w:b/>
          <w:lang w:val="es-ES"/>
        </w:rPr>
      </w:pPr>
    </w:p>
    <w:p w14:paraId="4683D07E" w14:textId="77777777" w:rsidR="006B1E1E" w:rsidRPr="00FA6996" w:rsidRDefault="006B1E1E" w:rsidP="00CC3135">
      <w:pPr>
        <w:spacing w:after="0" w:line="240" w:lineRule="auto"/>
        <w:ind w:left="567" w:hanging="567"/>
        <w:contextualSpacing/>
        <w:rPr>
          <w:rFonts w:cstheme="minorHAnsi"/>
          <w:b/>
          <w:lang w:val="es-ES"/>
        </w:rPr>
      </w:pPr>
      <w:r w:rsidRPr="00FA6996">
        <w:rPr>
          <w:b/>
          <w:lang w:val="es-ES"/>
        </w:rPr>
        <w:t>ii.</w:t>
      </w:r>
      <w:r w:rsidRPr="00FA6996">
        <w:rPr>
          <w:rFonts w:cstheme="minorHAnsi"/>
          <w:b/>
          <w:lang w:val="es-ES"/>
        </w:rPr>
        <w:tab/>
      </w:r>
      <w:r w:rsidRPr="00FA6996">
        <w:rPr>
          <w:b/>
          <w:lang w:val="es-ES"/>
        </w:rPr>
        <w:t>pidió a la Secretaría que siguiera ampliando el mecanismo de apoyo a los inventarios nacionales de humedales, entre otras cosas, mediante la movilización de recursos y asociaciones de colaboración, para ofrecer más formación y apoyo técnico.</w:t>
      </w:r>
    </w:p>
    <w:p w14:paraId="49E25F18" w14:textId="77777777" w:rsidR="006B1E1E" w:rsidRPr="00FA6996" w:rsidRDefault="006B1E1E" w:rsidP="00CC3135">
      <w:pPr>
        <w:spacing w:after="0" w:line="240" w:lineRule="auto"/>
        <w:ind w:left="720" w:hanging="720"/>
        <w:contextualSpacing/>
        <w:rPr>
          <w:rFonts w:cstheme="minorHAnsi"/>
          <w:b/>
          <w:lang w:val="es-ES"/>
        </w:rPr>
      </w:pPr>
    </w:p>
    <w:p w14:paraId="0C66F616" w14:textId="77777777"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t xml:space="preserve">Punto 22.3 del orden del día: Proyecto de resolución sobre los Premios Ramsar a la Conservación de los Humedales  </w:t>
      </w:r>
    </w:p>
    <w:p w14:paraId="60172D99" w14:textId="77777777" w:rsidR="006B1E1E" w:rsidRPr="00FA6996" w:rsidRDefault="006B1E1E" w:rsidP="00CC3135">
      <w:pPr>
        <w:spacing w:after="0" w:line="240" w:lineRule="auto"/>
        <w:contextualSpacing/>
        <w:rPr>
          <w:rFonts w:cstheme="minorHAnsi"/>
          <w:bCs/>
          <w:lang w:val="es-ES"/>
        </w:rPr>
      </w:pPr>
    </w:p>
    <w:p w14:paraId="743D2404" w14:textId="036D601E" w:rsidR="006B1E1E" w:rsidRPr="00FA6996" w:rsidRDefault="006B1E1E" w:rsidP="00CC3135">
      <w:pPr>
        <w:spacing w:after="0" w:line="240" w:lineRule="auto"/>
        <w:contextualSpacing/>
        <w:rPr>
          <w:rFonts w:cstheme="minorHAnsi"/>
          <w:b/>
          <w:lang w:val="es-ES"/>
        </w:rPr>
      </w:pPr>
      <w:r w:rsidRPr="00FA6996">
        <w:rPr>
          <w:b/>
          <w:lang w:val="es-ES"/>
        </w:rPr>
        <w:t xml:space="preserve">Decisión SC64-20: El Comité Permanente decidió no someter a la consideración de la Conferencia de las Partes Contratantes el proyecto de resolución </w:t>
      </w:r>
      <w:r w:rsidR="002C4F6E">
        <w:rPr>
          <w:b/>
          <w:lang w:val="es-ES"/>
        </w:rPr>
        <w:t>d</w:t>
      </w:r>
      <w:r w:rsidRPr="00FA6996">
        <w:rPr>
          <w:b/>
          <w:lang w:val="es-ES"/>
        </w:rPr>
        <w:t>el documento SC64 Doc.22.3.</w:t>
      </w:r>
    </w:p>
    <w:p w14:paraId="689B9AB2" w14:textId="77777777" w:rsidR="006B1E1E" w:rsidRPr="00FA6996" w:rsidRDefault="006B1E1E" w:rsidP="00CC3135">
      <w:pPr>
        <w:spacing w:after="0" w:line="240" w:lineRule="auto"/>
        <w:ind w:left="720" w:hanging="720"/>
        <w:contextualSpacing/>
        <w:rPr>
          <w:rFonts w:cstheme="minorHAnsi"/>
          <w:b/>
          <w:lang w:val="es-ES"/>
        </w:rPr>
      </w:pPr>
    </w:p>
    <w:p w14:paraId="348A9893" w14:textId="77777777"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lastRenderedPageBreak/>
        <w:t>Punto 17 del orden del día: Plan de trabajo de la Secretaría para 2025</w:t>
      </w:r>
    </w:p>
    <w:p w14:paraId="6CEF74E7" w14:textId="77777777" w:rsidR="006B1E1E" w:rsidRPr="00FA6996" w:rsidRDefault="006B1E1E" w:rsidP="00CC3135">
      <w:pPr>
        <w:tabs>
          <w:tab w:val="left" w:pos="0"/>
        </w:tabs>
        <w:spacing w:after="0" w:line="240" w:lineRule="auto"/>
        <w:contextualSpacing/>
        <w:rPr>
          <w:rFonts w:cstheme="minorHAnsi"/>
          <w:b/>
          <w:iCs/>
          <w:lang w:val="es-ES"/>
        </w:rPr>
      </w:pPr>
    </w:p>
    <w:p w14:paraId="3964A8F2" w14:textId="77777777" w:rsidR="006B1E1E" w:rsidRPr="00FA6996" w:rsidRDefault="006B1E1E" w:rsidP="00CC3135">
      <w:pPr>
        <w:tabs>
          <w:tab w:val="left" w:pos="0"/>
        </w:tabs>
        <w:spacing w:after="0" w:line="240" w:lineRule="auto"/>
        <w:contextualSpacing/>
        <w:rPr>
          <w:rFonts w:cstheme="minorHAnsi"/>
          <w:b/>
          <w:iCs/>
          <w:lang w:val="es-ES"/>
        </w:rPr>
      </w:pPr>
      <w:r w:rsidRPr="00FA6996">
        <w:rPr>
          <w:b/>
          <w:lang w:val="es-ES"/>
        </w:rPr>
        <w:t xml:space="preserve">Decisión SC64 -21: </w:t>
      </w:r>
      <w:r w:rsidRPr="00FA6996">
        <w:rPr>
          <w:b/>
          <w:iCs/>
          <w:lang w:val="es-ES"/>
        </w:rPr>
        <w:t>El Comité Permanente tomó nota del Plan Anual integrado de la Secretaría para el año 2025 presentado en el documento SC64 Doc.17 y aprobó dicho plan.</w:t>
      </w:r>
    </w:p>
    <w:p w14:paraId="65B21C76" w14:textId="77777777" w:rsidR="006B1E1E" w:rsidRPr="00FA6996" w:rsidRDefault="006B1E1E" w:rsidP="00CC3135">
      <w:pPr>
        <w:spacing w:after="0" w:line="240" w:lineRule="auto"/>
        <w:ind w:left="720" w:hanging="720"/>
        <w:contextualSpacing/>
        <w:rPr>
          <w:rFonts w:cstheme="minorHAnsi"/>
          <w:b/>
          <w:lang w:val="es-ES"/>
        </w:rPr>
      </w:pPr>
    </w:p>
    <w:p w14:paraId="7CFABED1" w14:textId="648D8EE5"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t>Punto 23 del orden del día: Proyecto de resolución sobre las iniciativas regionales de Ramsar 2025-2028</w:t>
      </w:r>
    </w:p>
    <w:p w14:paraId="2D6F4EC8" w14:textId="77777777" w:rsidR="006B1E1E" w:rsidRPr="00FA6996" w:rsidRDefault="006B1E1E" w:rsidP="00CC3135">
      <w:pPr>
        <w:spacing w:after="0" w:line="240" w:lineRule="auto"/>
        <w:rPr>
          <w:lang w:val="es-ES"/>
        </w:rPr>
      </w:pPr>
    </w:p>
    <w:p w14:paraId="222E111F" w14:textId="77777777" w:rsidR="006B1E1E" w:rsidRPr="00FA6996" w:rsidRDefault="006B1E1E" w:rsidP="00CC3135">
      <w:pPr>
        <w:spacing w:after="0" w:line="240" w:lineRule="auto"/>
        <w:contextualSpacing/>
        <w:rPr>
          <w:rFonts w:cstheme="minorHAnsi"/>
          <w:b/>
          <w:iCs/>
          <w:lang w:val="es-ES"/>
        </w:rPr>
      </w:pPr>
      <w:r w:rsidRPr="00FA6996">
        <w:rPr>
          <w:b/>
          <w:lang w:val="es-ES"/>
        </w:rPr>
        <w:t>Decisión SC64 -22:</w:t>
      </w:r>
      <w:r w:rsidRPr="00FA6996">
        <w:rPr>
          <w:b/>
          <w:iCs/>
          <w:lang w:val="es-ES"/>
        </w:rPr>
        <w:t xml:space="preserve"> </w:t>
      </w:r>
      <w:r w:rsidRPr="00FA6996">
        <w:rPr>
          <w:b/>
          <w:lang w:val="es-ES"/>
        </w:rPr>
        <w:t>El Comité Permanente encargó a la Secretaría que sometiera a la consideración de la COP15 el proyecto de resolución que figura en el documento SC64 Doc.23 sobre las iniciativas regionales de Ramsar 2025-2028, enmendado para tener en cuenta las aportaciones presentadas y acordadas por el Comité.</w:t>
      </w:r>
      <w:r w:rsidRPr="00FA6996">
        <w:rPr>
          <w:b/>
          <w:iCs/>
          <w:lang w:val="es-ES"/>
        </w:rPr>
        <w:t xml:space="preserve"> </w:t>
      </w:r>
    </w:p>
    <w:p w14:paraId="5C538A28" w14:textId="77777777" w:rsidR="006B1E1E" w:rsidRPr="00FA6996" w:rsidRDefault="006B1E1E" w:rsidP="00CC3135">
      <w:pPr>
        <w:spacing w:after="0" w:line="240" w:lineRule="auto"/>
        <w:ind w:left="720" w:hanging="720"/>
        <w:contextualSpacing/>
        <w:rPr>
          <w:rFonts w:cstheme="minorHAnsi"/>
          <w:b/>
          <w:lang w:val="es-ES"/>
        </w:rPr>
      </w:pPr>
    </w:p>
    <w:p w14:paraId="0BE80DB5" w14:textId="77777777" w:rsidR="006B1E1E" w:rsidRPr="00FA6996"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FA6996">
        <w:rPr>
          <w:lang w:val="es-ES"/>
        </w:rPr>
        <w:t>Punto 22.1 del orden del día: Informe del Subgrupo sobre la COP15</w:t>
      </w:r>
    </w:p>
    <w:p w14:paraId="64CDB840" w14:textId="77777777" w:rsidR="006B1E1E" w:rsidRDefault="006B1E1E" w:rsidP="00CC3135">
      <w:pPr>
        <w:spacing w:after="0" w:line="240" w:lineRule="auto"/>
        <w:ind w:left="567" w:hanging="567"/>
        <w:rPr>
          <w:lang w:val="es-ES"/>
        </w:rPr>
      </w:pPr>
    </w:p>
    <w:p w14:paraId="432255B7" w14:textId="77777777" w:rsidR="006B1E1E" w:rsidRPr="000D2059" w:rsidRDefault="006B1E1E" w:rsidP="00CC3135">
      <w:pPr>
        <w:spacing w:after="0" w:line="240" w:lineRule="auto"/>
        <w:contextualSpacing/>
        <w:rPr>
          <w:b/>
          <w:lang w:val="es-ES"/>
        </w:rPr>
      </w:pPr>
      <w:r w:rsidRPr="000D2059">
        <w:rPr>
          <w:b/>
          <w:lang w:val="es-ES"/>
        </w:rPr>
        <w:t>Decisión SC64-23: El Comité Permanente tomó nota de la presentación de los preparativos de la COP15 por parte de Zimbabwe.</w:t>
      </w:r>
    </w:p>
    <w:p w14:paraId="33220CE2" w14:textId="77777777" w:rsidR="006B1E1E" w:rsidRPr="006B1E1E" w:rsidRDefault="006B1E1E" w:rsidP="00CC3135">
      <w:pPr>
        <w:spacing w:after="0" w:line="240" w:lineRule="auto"/>
        <w:contextualSpacing/>
        <w:rPr>
          <w:rFonts w:cstheme="minorHAnsi"/>
          <w:b/>
          <w:lang w:val="es-ES"/>
        </w:rPr>
      </w:pPr>
    </w:p>
    <w:p w14:paraId="3C5514B1" w14:textId="0C5EE2B2"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Punto 7.2 del orden del día: Informe del Grupo de Trabajo Administrativo: Informe del proceso de contratación de un nuevo Secretario o Secretaria General</w:t>
      </w:r>
    </w:p>
    <w:p w14:paraId="3B3C355B" w14:textId="77777777" w:rsidR="006B1E1E" w:rsidRPr="006B1E1E" w:rsidRDefault="006B1E1E" w:rsidP="00CC3135">
      <w:pPr>
        <w:spacing w:after="0" w:line="240" w:lineRule="auto"/>
        <w:contextualSpacing/>
        <w:rPr>
          <w:rFonts w:cstheme="minorHAnsi"/>
          <w:b/>
          <w:lang w:val="es-ES"/>
        </w:rPr>
      </w:pPr>
    </w:p>
    <w:p w14:paraId="0FD7BD27" w14:textId="77777777" w:rsidR="006B1E1E" w:rsidRPr="006B1E1E" w:rsidRDefault="006B1E1E" w:rsidP="00CC3135">
      <w:pPr>
        <w:spacing w:after="0" w:line="240" w:lineRule="auto"/>
        <w:rPr>
          <w:b/>
          <w:bCs/>
          <w:lang w:val="es-ES"/>
        </w:rPr>
      </w:pPr>
      <w:r w:rsidRPr="006B1E1E">
        <w:rPr>
          <w:b/>
          <w:lang w:val="es-ES"/>
        </w:rPr>
        <w:t>Decisión SC64-24: El Comité Permanente encargó a la Secretaría que sometiera a la consideración de la COP15, entre corchetes, el proyecto de resolución sobre el proceso de contratación de un nuevo Secretario o Secretaria General, que figura en el anexo 1 del documento SC64 Doc.7.2.</w:t>
      </w:r>
      <w:r w:rsidRPr="006B1E1E">
        <w:rPr>
          <w:b/>
          <w:bCs/>
          <w:lang w:val="es-ES"/>
        </w:rPr>
        <w:t xml:space="preserve"> </w:t>
      </w:r>
    </w:p>
    <w:p w14:paraId="62803385" w14:textId="77777777" w:rsidR="006B1E1E" w:rsidRPr="006B1E1E" w:rsidRDefault="006B1E1E" w:rsidP="00CC3135">
      <w:pPr>
        <w:spacing w:after="0" w:line="240" w:lineRule="auto"/>
        <w:contextualSpacing/>
        <w:rPr>
          <w:rFonts w:cstheme="minorHAnsi"/>
          <w:b/>
          <w:lang w:val="es-ES"/>
        </w:rPr>
      </w:pPr>
    </w:p>
    <w:p w14:paraId="6B45518D" w14:textId="77777777"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Punto 25 del orden del día: Proyecto de resolución sobre el estado de los sitios incluidos en la Lista de Humedales de Importancia Internacional</w:t>
      </w:r>
    </w:p>
    <w:p w14:paraId="137DB28D" w14:textId="77777777" w:rsidR="006B1E1E" w:rsidRPr="006B1E1E" w:rsidRDefault="006B1E1E" w:rsidP="00CC3135">
      <w:pPr>
        <w:spacing w:after="0" w:line="240" w:lineRule="auto"/>
        <w:contextualSpacing/>
        <w:rPr>
          <w:rFonts w:cstheme="minorHAnsi"/>
          <w:b/>
          <w:iCs/>
          <w:lang w:val="es-ES"/>
        </w:rPr>
      </w:pPr>
    </w:p>
    <w:p w14:paraId="58378837" w14:textId="77777777" w:rsidR="006B1E1E" w:rsidRPr="006B1E1E" w:rsidRDefault="006B1E1E" w:rsidP="00CC3135">
      <w:pPr>
        <w:spacing w:after="0" w:line="240" w:lineRule="auto"/>
        <w:contextualSpacing/>
        <w:rPr>
          <w:rFonts w:eastAsia="Aptos" w:cstheme="minorHAnsi"/>
          <w:b/>
          <w:bCs/>
          <w:lang w:val="es-ES"/>
        </w:rPr>
      </w:pPr>
      <w:r w:rsidRPr="006B1E1E">
        <w:rPr>
          <w:b/>
          <w:lang w:val="es-ES"/>
        </w:rPr>
        <w:t>Decisión SC64-25:</w:t>
      </w:r>
      <w:r w:rsidRPr="006B1E1E">
        <w:rPr>
          <w:b/>
          <w:iCs/>
          <w:lang w:val="es-ES"/>
        </w:rPr>
        <w:t xml:space="preserve"> </w:t>
      </w:r>
      <w:r w:rsidRPr="006B1E1E">
        <w:rPr>
          <w:b/>
          <w:lang w:val="es-ES"/>
        </w:rPr>
        <w:t>El Comité Permanente encargó a la Secretaría que sometiera a la consideración de la COP15 el proyecto de resolución que figura en el documento SC64 Doc.25 sobre sobre el estado de los sitios incluidos en la Lista de Humedales de Importancia Internacional.</w:t>
      </w:r>
    </w:p>
    <w:p w14:paraId="65717A46" w14:textId="77777777" w:rsidR="006B1E1E" w:rsidRPr="006B1E1E" w:rsidRDefault="006B1E1E" w:rsidP="00CC3135">
      <w:pPr>
        <w:spacing w:after="0" w:line="240" w:lineRule="auto"/>
        <w:contextualSpacing/>
        <w:rPr>
          <w:rFonts w:cstheme="minorHAnsi"/>
          <w:bCs/>
          <w:lang w:val="es-ES"/>
        </w:rPr>
      </w:pPr>
    </w:p>
    <w:p w14:paraId="4D6CB688" w14:textId="77777777"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Punto 27 del orden del día: Informe de la Secretaría sobre las propuestas para fortalecer el proceso de inscripción de los sitios en la Lista de Humedales de Importancia Internacional</w:t>
      </w:r>
    </w:p>
    <w:p w14:paraId="1C8EED91" w14:textId="77777777" w:rsidR="006B1E1E" w:rsidRPr="006B1E1E" w:rsidRDefault="006B1E1E" w:rsidP="00CC3135">
      <w:pPr>
        <w:spacing w:after="0" w:line="240" w:lineRule="auto"/>
        <w:contextualSpacing/>
        <w:rPr>
          <w:lang w:val="es-ES"/>
        </w:rPr>
      </w:pPr>
    </w:p>
    <w:p w14:paraId="323CA772" w14:textId="4A2D0181" w:rsidR="006B1E1E" w:rsidRPr="006B1E1E" w:rsidRDefault="006B1E1E" w:rsidP="00CC3135">
      <w:pPr>
        <w:spacing w:after="0" w:line="240" w:lineRule="auto"/>
        <w:rPr>
          <w:rFonts w:cstheme="minorHAnsi"/>
          <w:b/>
          <w:lang w:val="es-ES"/>
        </w:rPr>
      </w:pPr>
      <w:r w:rsidRPr="006B1E1E">
        <w:rPr>
          <w:b/>
          <w:lang w:val="es-ES"/>
        </w:rPr>
        <w:t>Decisión SC64-26:</w:t>
      </w:r>
      <w:r w:rsidRPr="006B1E1E">
        <w:rPr>
          <w:b/>
          <w:iCs/>
          <w:lang w:val="es-ES"/>
        </w:rPr>
        <w:t xml:space="preserve"> </w:t>
      </w:r>
      <w:r w:rsidRPr="006B1E1E">
        <w:rPr>
          <w:b/>
          <w:lang w:val="es-ES"/>
        </w:rPr>
        <w:t xml:space="preserve">El </w:t>
      </w:r>
      <w:r w:rsidRPr="006B1E1E">
        <w:rPr>
          <w:b/>
          <w:iCs/>
          <w:lang w:val="es-ES"/>
        </w:rPr>
        <w:t>Comité Permanente tomó nota</w:t>
      </w:r>
      <w:r w:rsidRPr="006B1E1E">
        <w:rPr>
          <w:b/>
          <w:lang w:val="es-ES"/>
        </w:rPr>
        <w:t xml:space="preserve"> del informe y decidió prolongar el trabajo de las Partes </w:t>
      </w:r>
      <w:r w:rsidR="00916655">
        <w:rPr>
          <w:b/>
          <w:lang w:val="es-ES"/>
        </w:rPr>
        <w:t xml:space="preserve">Contratantes </w:t>
      </w:r>
      <w:r w:rsidRPr="006B1E1E">
        <w:rPr>
          <w:b/>
          <w:lang w:val="es-ES"/>
        </w:rPr>
        <w:t>interesadas durante el próximo trienio; además, encargó a la Secretaría que presentara a la reunión SC67 un informe actualizado que refleje las sugerencias adicionales de las Partes sobre el fortalecimiento del proceso de inscripción de los sitios en la Lista de Humedales de Importancia Internacional, para que la reunión SC67 considere cualquier medida adicional.</w:t>
      </w:r>
    </w:p>
    <w:p w14:paraId="44BE6DA0" w14:textId="77777777" w:rsidR="006B1E1E" w:rsidRPr="006B1E1E" w:rsidRDefault="006B1E1E" w:rsidP="00CC3135">
      <w:pPr>
        <w:spacing w:after="0" w:line="240" w:lineRule="auto"/>
        <w:contextualSpacing/>
        <w:rPr>
          <w:rFonts w:cstheme="minorHAnsi"/>
          <w:b/>
          <w:lang w:val="es-ES"/>
        </w:rPr>
      </w:pPr>
    </w:p>
    <w:p w14:paraId="58806E76" w14:textId="364518FF"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 xml:space="preserve">Punto 29.12 del orden del día: </w:t>
      </w:r>
      <w:r w:rsidR="00916655" w:rsidRPr="005878F4">
        <w:rPr>
          <w:rFonts w:cstheme="minorHAnsi"/>
          <w:lang w:val="es-ES"/>
        </w:rPr>
        <w:t>Propuesta de proyecto de resolución sobre la evaluación de la vulnerabilidad de los humedales</w:t>
      </w:r>
    </w:p>
    <w:p w14:paraId="598F2ACA" w14:textId="77777777" w:rsidR="006B1E1E" w:rsidRPr="006B1E1E" w:rsidRDefault="006B1E1E" w:rsidP="00CC3135">
      <w:pPr>
        <w:spacing w:after="0" w:line="240" w:lineRule="auto"/>
        <w:contextualSpacing/>
        <w:rPr>
          <w:rFonts w:cstheme="minorHAnsi"/>
          <w:bCs/>
          <w:lang w:val="es-ES"/>
        </w:rPr>
      </w:pPr>
    </w:p>
    <w:p w14:paraId="64696544" w14:textId="77777777" w:rsidR="006B1E1E" w:rsidRPr="006B1E1E" w:rsidRDefault="006B1E1E" w:rsidP="00CC3135">
      <w:pPr>
        <w:spacing w:after="0" w:line="240" w:lineRule="auto"/>
        <w:contextualSpacing/>
        <w:rPr>
          <w:rFonts w:cstheme="minorHAnsi"/>
          <w:b/>
          <w:lang w:val="es-ES"/>
        </w:rPr>
      </w:pPr>
      <w:r w:rsidRPr="006B1E1E">
        <w:rPr>
          <w:b/>
          <w:lang w:val="es-ES"/>
        </w:rPr>
        <w:t>Decisión SC64-27: El Comité Permanente encargó a la Secretaría que sometiera a la consideración de la COP15 el proyecto de resolución que figura en el documento SC64 Doc.29.12 Rev.2, sobre la evaluación de la vulnerabilidad de los humedales, enmendado para tener en cuenta las aportaciones del Comité.</w:t>
      </w:r>
    </w:p>
    <w:p w14:paraId="3A5ED265" w14:textId="77777777" w:rsidR="006B1E1E" w:rsidRPr="006B1E1E" w:rsidRDefault="006B1E1E" w:rsidP="00CC3135">
      <w:pPr>
        <w:spacing w:after="0" w:line="240" w:lineRule="auto"/>
        <w:contextualSpacing/>
        <w:rPr>
          <w:rFonts w:cstheme="minorHAnsi"/>
          <w:bCs/>
          <w:lang w:val="es-ES"/>
        </w:rPr>
      </w:pPr>
    </w:p>
    <w:p w14:paraId="62BA4DB9" w14:textId="05EE0483"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 xml:space="preserve">Punto 29.3 del orden del día: </w:t>
      </w:r>
      <w:r w:rsidR="00916655" w:rsidRPr="005878F4">
        <w:rPr>
          <w:rFonts w:cstheme="minorHAnsi"/>
          <w:lang w:val="es-ES"/>
        </w:rPr>
        <w:t>Propuesta de proyecto de resolución sobre el fortalecimiento de las medidas nacionales para la conservación y restauración de la vía migratoria Asia Oriental-Australasia</w:t>
      </w:r>
    </w:p>
    <w:p w14:paraId="5186C24C" w14:textId="77777777" w:rsidR="006B1E1E" w:rsidRPr="006B1E1E" w:rsidRDefault="006B1E1E" w:rsidP="00CC3135">
      <w:pPr>
        <w:spacing w:after="0" w:line="240" w:lineRule="auto"/>
        <w:contextualSpacing/>
        <w:rPr>
          <w:rFonts w:cstheme="minorHAnsi"/>
          <w:bCs/>
          <w:lang w:val="es-ES"/>
        </w:rPr>
      </w:pPr>
    </w:p>
    <w:p w14:paraId="39D8B2F4" w14:textId="77777777" w:rsidR="006B1E1E" w:rsidRPr="006B1E1E" w:rsidRDefault="006B1E1E" w:rsidP="00CC3135">
      <w:pPr>
        <w:spacing w:after="0" w:line="240" w:lineRule="auto"/>
        <w:contextualSpacing/>
        <w:rPr>
          <w:rFonts w:cstheme="minorHAnsi"/>
          <w:b/>
          <w:lang w:val="es-ES"/>
        </w:rPr>
      </w:pPr>
      <w:r w:rsidRPr="006B1E1E">
        <w:rPr>
          <w:b/>
          <w:lang w:val="es-ES"/>
        </w:rPr>
        <w:t>Decisión SC64-28: El Comité Permanente encargó a la Secretaría que sometiera a la consideración de la COP15 el proyecto de resolución que figura en el documento SC64 Doc.29.3 Rev.1, sobre el fortalecimiento de las medidas nacionales para la conservación y restauración de las vías migratorias, enmendado para tener en cuenta las aportaciones del Comité.</w:t>
      </w:r>
    </w:p>
    <w:p w14:paraId="31BD15B9" w14:textId="77777777" w:rsidR="006B1E1E" w:rsidRPr="006B1E1E" w:rsidRDefault="006B1E1E" w:rsidP="00CC3135">
      <w:pPr>
        <w:spacing w:after="0" w:line="240" w:lineRule="auto"/>
        <w:contextualSpacing/>
        <w:rPr>
          <w:rFonts w:cstheme="minorHAnsi"/>
          <w:bCs/>
          <w:lang w:val="es-ES"/>
        </w:rPr>
      </w:pPr>
    </w:p>
    <w:p w14:paraId="3DF7225D" w14:textId="74EAC27A" w:rsidR="006B1E1E" w:rsidRPr="006B1E1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6B1E1E">
        <w:rPr>
          <w:lang w:val="es-ES"/>
        </w:rPr>
        <w:t xml:space="preserve">Punto 29.10 del orden del día: </w:t>
      </w:r>
      <w:r w:rsidR="00916655">
        <w:rPr>
          <w:lang w:val="es-ES"/>
        </w:rPr>
        <w:t>Propuesta de proyecto de resolución sobre r</w:t>
      </w:r>
      <w:r w:rsidRPr="006B1E1E">
        <w:rPr>
          <w:lang w:val="es-ES"/>
        </w:rPr>
        <w:t>econocimiento de los delfines de río como especies claves para la conservación y uso sostenible de los humedales en Suramérica y Asia</w:t>
      </w:r>
    </w:p>
    <w:p w14:paraId="2B41863E" w14:textId="77777777" w:rsidR="006B1E1E" w:rsidRPr="006B1E1E" w:rsidRDefault="006B1E1E" w:rsidP="00CC3135">
      <w:pPr>
        <w:spacing w:after="0" w:line="240" w:lineRule="auto"/>
        <w:ind w:left="720" w:hanging="720"/>
        <w:rPr>
          <w:bCs/>
          <w:lang w:val="es-ES"/>
        </w:rPr>
      </w:pPr>
    </w:p>
    <w:p w14:paraId="0BC7C1A8" w14:textId="39CE26C9" w:rsidR="006B1E1E" w:rsidRPr="006B1E1E" w:rsidRDefault="006B1E1E" w:rsidP="00CC3135">
      <w:pPr>
        <w:spacing w:after="0" w:line="240" w:lineRule="auto"/>
        <w:contextualSpacing/>
        <w:rPr>
          <w:rFonts w:eastAsia="SimSun" w:cstheme="minorHAnsi"/>
          <w:b/>
          <w:iCs/>
          <w:lang w:val="es-ES"/>
        </w:rPr>
      </w:pPr>
      <w:r w:rsidRPr="006B1E1E">
        <w:rPr>
          <w:b/>
          <w:lang w:val="es-ES"/>
        </w:rPr>
        <w:t xml:space="preserve">Decisión SC64-29: </w:t>
      </w:r>
      <w:r w:rsidRPr="006B1E1E">
        <w:rPr>
          <w:b/>
          <w:bCs/>
          <w:lang w:val="es-ES"/>
        </w:rPr>
        <w:t xml:space="preserve">El Comité Permanente encargó a la Secretaría que sometiera a la consideración de la COP15 el proyecto de resolución que figura en el documento SC64 Doc.29.10 Rev.1 sobre el reconocimiento de los delfines de río como especies claves para la conservación y uso sostenible de los humedales en Suramérica y Asia, enmendado para tener en cuenta las aportaciones del Comité. </w:t>
      </w:r>
    </w:p>
    <w:p w14:paraId="3B6BB13C" w14:textId="77777777" w:rsidR="006B1E1E" w:rsidRPr="009330AE" w:rsidRDefault="006B1E1E" w:rsidP="00CC3135">
      <w:pPr>
        <w:keepNext/>
        <w:spacing w:after="0" w:line="240" w:lineRule="auto"/>
        <w:rPr>
          <w:rFonts w:cstheme="minorHAnsi"/>
          <w:lang w:val="es-ES"/>
        </w:rPr>
      </w:pPr>
    </w:p>
    <w:p w14:paraId="2D7B3007" w14:textId="2D05A09C"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C061C9">
        <w:rPr>
          <w:rFonts w:cstheme="minorHAnsi"/>
          <w:bCs/>
          <w:lang w:val="es-ES"/>
        </w:rPr>
        <w:t>Punto 11 del orden del día</w:t>
      </w:r>
      <w:r w:rsidRPr="009330AE">
        <w:rPr>
          <w:rFonts w:cstheme="minorHAnsi"/>
          <w:bCs/>
          <w:lang w:val="es-ES"/>
        </w:rPr>
        <w:t>: Informe del Grupo de trabajo sobre el Plan Estratégico</w:t>
      </w:r>
    </w:p>
    <w:p w14:paraId="0CCEBF65" w14:textId="77777777" w:rsidR="006B1E1E" w:rsidRPr="009330AE" w:rsidRDefault="006B1E1E" w:rsidP="00CC3135">
      <w:pPr>
        <w:spacing w:after="0" w:line="240" w:lineRule="auto"/>
        <w:rPr>
          <w:b/>
          <w:bCs/>
          <w:lang w:val="es-ES"/>
        </w:rPr>
      </w:pPr>
    </w:p>
    <w:p w14:paraId="2EB42ABD" w14:textId="77777777" w:rsidR="00C061C9" w:rsidRDefault="006B1E1E" w:rsidP="00CC3135">
      <w:pPr>
        <w:spacing w:after="0" w:line="240" w:lineRule="auto"/>
        <w:rPr>
          <w:b/>
          <w:bCs/>
          <w:lang w:val="es-ES"/>
        </w:rPr>
      </w:pPr>
      <w:r w:rsidRPr="009330AE">
        <w:rPr>
          <w:b/>
          <w:bCs/>
          <w:lang w:val="es-ES"/>
        </w:rPr>
        <w:t>Decisión SC64-30: El Comité Permanente</w:t>
      </w:r>
    </w:p>
    <w:p w14:paraId="7291308C" w14:textId="17F50B03" w:rsidR="006B1E1E" w:rsidRPr="009330AE" w:rsidRDefault="006B1E1E" w:rsidP="00CC3135">
      <w:pPr>
        <w:spacing w:after="0" w:line="240" w:lineRule="auto"/>
        <w:rPr>
          <w:b/>
          <w:bCs/>
          <w:lang w:val="es-ES"/>
        </w:rPr>
      </w:pPr>
      <w:r w:rsidRPr="009330AE">
        <w:rPr>
          <w:b/>
          <w:bCs/>
          <w:lang w:val="es-ES"/>
        </w:rPr>
        <w:t xml:space="preserve"> </w:t>
      </w:r>
    </w:p>
    <w:p w14:paraId="4700672A" w14:textId="77777777" w:rsidR="006B1E1E" w:rsidRDefault="006B1E1E" w:rsidP="00CC3135">
      <w:pPr>
        <w:pStyle w:val="ListParagraph"/>
        <w:numPr>
          <w:ilvl w:val="0"/>
          <w:numId w:val="26"/>
        </w:numPr>
        <w:spacing w:after="0" w:line="240" w:lineRule="auto"/>
        <w:rPr>
          <w:b/>
          <w:bCs/>
          <w:lang w:val="es-ES"/>
        </w:rPr>
      </w:pPr>
      <w:r w:rsidRPr="009330AE">
        <w:rPr>
          <w:b/>
          <w:bCs/>
          <w:lang w:val="es-ES"/>
        </w:rPr>
        <w:t xml:space="preserve">tomó nota del informe del Grupo de Trabajo sobre el Plan Estratégico que figura en el documento SC64 Doc.11; </w:t>
      </w:r>
    </w:p>
    <w:p w14:paraId="162BA32E" w14:textId="77777777" w:rsidR="00C061C9" w:rsidRPr="009330AE" w:rsidRDefault="00C061C9" w:rsidP="00C061C9">
      <w:pPr>
        <w:pStyle w:val="ListParagraph"/>
        <w:spacing w:after="0" w:line="240" w:lineRule="auto"/>
        <w:rPr>
          <w:b/>
          <w:bCs/>
          <w:lang w:val="es-ES"/>
        </w:rPr>
      </w:pPr>
    </w:p>
    <w:p w14:paraId="5B5766E6" w14:textId="137D142F" w:rsidR="00C061C9" w:rsidRDefault="006B1E1E" w:rsidP="00C061C9">
      <w:pPr>
        <w:pStyle w:val="ListParagraph"/>
        <w:numPr>
          <w:ilvl w:val="0"/>
          <w:numId w:val="26"/>
        </w:numPr>
        <w:spacing w:after="0" w:line="240" w:lineRule="auto"/>
        <w:rPr>
          <w:b/>
          <w:bCs/>
          <w:lang w:val="es-ES"/>
        </w:rPr>
      </w:pPr>
      <w:r w:rsidRPr="009330AE">
        <w:rPr>
          <w:b/>
          <w:bCs/>
          <w:lang w:val="es-ES"/>
        </w:rPr>
        <w:t>instó a las Partes interesadas a que presentaran sus enmiendas al documento SC64 Doc.11 por escrito a la Secretaría antes de las 13:00 horas (hora de Europa Central) del 24 de enero;</w:t>
      </w:r>
    </w:p>
    <w:p w14:paraId="735D6BA8" w14:textId="77777777" w:rsidR="00C061C9" w:rsidRPr="00C061C9" w:rsidRDefault="00C061C9" w:rsidP="00C061C9">
      <w:pPr>
        <w:spacing w:after="0" w:line="240" w:lineRule="auto"/>
        <w:rPr>
          <w:b/>
          <w:bCs/>
          <w:lang w:val="es-ES"/>
        </w:rPr>
      </w:pPr>
    </w:p>
    <w:p w14:paraId="2ED8C9FE" w14:textId="34794049" w:rsidR="006B1E1E" w:rsidRDefault="006B1E1E" w:rsidP="00CC3135">
      <w:pPr>
        <w:pStyle w:val="ListParagraph"/>
        <w:numPr>
          <w:ilvl w:val="0"/>
          <w:numId w:val="26"/>
        </w:numPr>
        <w:spacing w:after="0" w:line="240" w:lineRule="auto"/>
        <w:rPr>
          <w:b/>
          <w:bCs/>
          <w:lang w:val="es-ES"/>
        </w:rPr>
      </w:pPr>
      <w:r w:rsidRPr="009330AE">
        <w:rPr>
          <w:b/>
          <w:bCs/>
          <w:lang w:val="es-ES"/>
        </w:rPr>
        <w:t xml:space="preserve">pidió a las Copresidencias del Grupo de </w:t>
      </w:r>
      <w:r w:rsidR="00C061C9">
        <w:rPr>
          <w:b/>
          <w:bCs/>
          <w:lang w:val="es-ES"/>
        </w:rPr>
        <w:t>t</w:t>
      </w:r>
      <w:r w:rsidRPr="009330AE">
        <w:rPr>
          <w:b/>
          <w:bCs/>
          <w:lang w:val="es-ES"/>
        </w:rPr>
        <w:t>rabajo sobre el Plan Estratégico que tuvieran en cuenta los comentarios recibidos por la Secretaría y elaboraran un documento modificado, incorporando las nuevas enmiendas entre corchetes; y</w:t>
      </w:r>
    </w:p>
    <w:p w14:paraId="2FA77904" w14:textId="77777777" w:rsidR="00C061C9" w:rsidRPr="00C061C9" w:rsidRDefault="00C061C9" w:rsidP="00C061C9">
      <w:pPr>
        <w:spacing w:after="0" w:line="240" w:lineRule="auto"/>
        <w:rPr>
          <w:b/>
          <w:bCs/>
          <w:lang w:val="es-ES"/>
        </w:rPr>
      </w:pPr>
    </w:p>
    <w:p w14:paraId="4DC9F269" w14:textId="77777777" w:rsidR="006B1E1E" w:rsidRPr="009330AE" w:rsidRDefault="006B1E1E" w:rsidP="00CC3135">
      <w:pPr>
        <w:pStyle w:val="ListParagraph"/>
        <w:numPr>
          <w:ilvl w:val="0"/>
          <w:numId w:val="26"/>
        </w:numPr>
        <w:spacing w:after="0" w:line="240" w:lineRule="auto"/>
        <w:rPr>
          <w:b/>
          <w:bCs/>
          <w:lang w:val="es-ES"/>
        </w:rPr>
      </w:pPr>
      <w:r w:rsidRPr="009330AE">
        <w:rPr>
          <w:b/>
          <w:bCs/>
          <w:lang w:val="es-ES"/>
        </w:rPr>
        <w:t>encargó a la Secretaría que publicara el documento modificado en el sitio web de la Convención y lo sometiera a la consideración de la COP15.</w:t>
      </w:r>
    </w:p>
    <w:p w14:paraId="01311EBD" w14:textId="77777777" w:rsidR="006B1E1E" w:rsidRPr="009330AE" w:rsidRDefault="006B1E1E" w:rsidP="00CC3135">
      <w:pPr>
        <w:pStyle w:val="ListParagraph"/>
        <w:spacing w:after="0" w:line="240" w:lineRule="auto"/>
        <w:ind w:left="357"/>
        <w:rPr>
          <w:lang w:val="es-ES"/>
        </w:rPr>
      </w:pPr>
    </w:p>
    <w:p w14:paraId="5474F8DF" w14:textId="081BF06C"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Punto 26 del orden del día: Informe del Grupo de trabajo sobre la actualización de las FIR</w:t>
      </w:r>
    </w:p>
    <w:p w14:paraId="1A0D147E" w14:textId="77777777" w:rsidR="006B1E1E" w:rsidRPr="009330AE" w:rsidRDefault="006B1E1E" w:rsidP="00CC3135">
      <w:pPr>
        <w:spacing w:after="0" w:line="240" w:lineRule="auto"/>
        <w:rPr>
          <w:lang w:val="es-ES"/>
        </w:rPr>
      </w:pPr>
    </w:p>
    <w:p w14:paraId="02D7F188" w14:textId="77777777" w:rsidR="006B1E1E" w:rsidRDefault="006B1E1E" w:rsidP="00CC3135">
      <w:pPr>
        <w:spacing w:after="0" w:line="240" w:lineRule="auto"/>
        <w:rPr>
          <w:b/>
          <w:bCs/>
          <w:lang w:val="es-ES"/>
        </w:rPr>
      </w:pPr>
      <w:r w:rsidRPr="009330AE">
        <w:rPr>
          <w:b/>
          <w:bCs/>
          <w:lang w:val="es-ES"/>
        </w:rPr>
        <w:t>Decisión SC64-31: El Comité Permanente:</w:t>
      </w:r>
    </w:p>
    <w:p w14:paraId="0CAD7148" w14:textId="77777777" w:rsidR="00993D09" w:rsidRPr="009330AE" w:rsidRDefault="00993D09" w:rsidP="00CC3135">
      <w:pPr>
        <w:spacing w:after="0" w:line="240" w:lineRule="auto"/>
        <w:rPr>
          <w:b/>
          <w:bCs/>
          <w:lang w:val="es-ES"/>
        </w:rPr>
      </w:pPr>
    </w:p>
    <w:p w14:paraId="31599405" w14:textId="0C977082" w:rsidR="006B1E1E" w:rsidRPr="00993D09" w:rsidRDefault="006B1E1E" w:rsidP="00993D09">
      <w:pPr>
        <w:pStyle w:val="ListParagraph"/>
        <w:numPr>
          <w:ilvl w:val="0"/>
          <w:numId w:val="36"/>
        </w:numPr>
        <w:spacing w:after="0" w:line="240" w:lineRule="auto"/>
        <w:rPr>
          <w:b/>
          <w:bCs/>
          <w:lang w:val="es-ES"/>
        </w:rPr>
      </w:pPr>
      <w:r w:rsidRPr="00993D09">
        <w:rPr>
          <w:b/>
          <w:bCs/>
          <w:lang w:val="es-ES"/>
        </w:rPr>
        <w:t>tomó nota del presente informe sobre la evolución de la labor del Grupo de trabajo sobre la actualización de las FIR (Fichas Informativas de Ramsar), creado en la reunión SC63;</w:t>
      </w:r>
    </w:p>
    <w:p w14:paraId="274B3E08" w14:textId="77777777" w:rsidR="00993D09" w:rsidRPr="00993D09" w:rsidRDefault="00993D09" w:rsidP="00993D09">
      <w:pPr>
        <w:spacing w:after="0" w:line="240" w:lineRule="auto"/>
        <w:rPr>
          <w:b/>
          <w:bCs/>
          <w:lang w:val="es-ES"/>
        </w:rPr>
      </w:pPr>
    </w:p>
    <w:p w14:paraId="549064B3" w14:textId="1AC98E1B" w:rsidR="006B1E1E" w:rsidRPr="00993D09" w:rsidRDefault="006B1E1E" w:rsidP="00993D09">
      <w:pPr>
        <w:pStyle w:val="ListParagraph"/>
        <w:numPr>
          <w:ilvl w:val="0"/>
          <w:numId w:val="36"/>
        </w:numPr>
        <w:spacing w:after="0" w:line="240" w:lineRule="auto"/>
        <w:rPr>
          <w:b/>
          <w:bCs/>
          <w:lang w:val="es-ES"/>
        </w:rPr>
      </w:pPr>
      <w:r w:rsidRPr="00993D09">
        <w:rPr>
          <w:b/>
          <w:bCs/>
          <w:lang w:val="es-ES"/>
        </w:rPr>
        <w:t>encargó a la Secretaría que actualizara sus procedimientos operativos estándar para el examen de las FIR, teniendo en cuenta las observaciones formuladas por los miembros del grupo de trabajo, como se indica en los párrafos 12 y 13</w:t>
      </w:r>
      <w:r w:rsidR="00993D09">
        <w:rPr>
          <w:b/>
          <w:bCs/>
          <w:lang w:val="es-ES"/>
        </w:rPr>
        <w:t xml:space="preserve"> del documento SC64 Doc.26 Rev.2</w:t>
      </w:r>
      <w:r w:rsidRPr="00993D09">
        <w:rPr>
          <w:b/>
          <w:bCs/>
          <w:lang w:val="es-ES"/>
        </w:rPr>
        <w:t>;</w:t>
      </w:r>
    </w:p>
    <w:p w14:paraId="6516597E" w14:textId="77777777" w:rsidR="00993D09" w:rsidRPr="00993D09" w:rsidRDefault="00993D09" w:rsidP="00993D09">
      <w:pPr>
        <w:spacing w:after="0" w:line="240" w:lineRule="auto"/>
        <w:rPr>
          <w:b/>
          <w:bCs/>
          <w:lang w:val="es-ES"/>
        </w:rPr>
      </w:pPr>
    </w:p>
    <w:p w14:paraId="4274128D" w14:textId="42A51A38" w:rsidR="006B1E1E" w:rsidRPr="00993D09" w:rsidRDefault="006B1E1E" w:rsidP="00993D09">
      <w:pPr>
        <w:pStyle w:val="ListParagraph"/>
        <w:numPr>
          <w:ilvl w:val="0"/>
          <w:numId w:val="36"/>
        </w:numPr>
        <w:spacing w:after="0" w:line="240" w:lineRule="auto"/>
        <w:rPr>
          <w:b/>
          <w:bCs/>
          <w:lang w:val="es-ES"/>
        </w:rPr>
      </w:pPr>
      <w:r w:rsidRPr="00993D09">
        <w:rPr>
          <w:b/>
          <w:bCs/>
          <w:lang w:val="es-ES"/>
        </w:rPr>
        <w:t>encargó a la Secretaría que elaborara un mecanismo para notificar a las Partes Contratantes sobre los hitos en el proceso de actualización de las FIR, como se destaca en los párrafos 16 y 17 del documento SC64 Doc.26 Rev.2; y</w:t>
      </w:r>
    </w:p>
    <w:p w14:paraId="2F9D5A7C" w14:textId="77777777" w:rsidR="00993D09" w:rsidRPr="00993D09" w:rsidRDefault="00993D09" w:rsidP="00993D09">
      <w:pPr>
        <w:spacing w:after="0" w:line="240" w:lineRule="auto"/>
        <w:rPr>
          <w:b/>
          <w:bCs/>
          <w:lang w:val="es-ES"/>
        </w:rPr>
      </w:pPr>
    </w:p>
    <w:p w14:paraId="79F877CC" w14:textId="77777777" w:rsidR="006B1E1E" w:rsidRPr="009330AE" w:rsidRDefault="006B1E1E" w:rsidP="00CC3135">
      <w:pPr>
        <w:spacing w:after="0" w:line="240" w:lineRule="auto"/>
        <w:ind w:left="700" w:hanging="700"/>
        <w:rPr>
          <w:b/>
          <w:bCs/>
          <w:lang w:val="es-ES"/>
        </w:rPr>
      </w:pPr>
      <w:r w:rsidRPr="009330AE">
        <w:rPr>
          <w:b/>
          <w:bCs/>
          <w:lang w:val="es-ES"/>
        </w:rPr>
        <w:t xml:space="preserve">iv. </w:t>
      </w:r>
      <w:r w:rsidRPr="009330AE">
        <w:rPr>
          <w:b/>
          <w:bCs/>
          <w:lang w:val="es-ES"/>
        </w:rPr>
        <w:tab/>
        <w:t>encargó a la Secretaría que sometiera a la consideración de la COP15 el proyecto de resolución que figura en el documento SC64 Doc.26 Rev.2 sobre la actualización de las FIR, con todas las enmiendas propuestas entre corchetes.</w:t>
      </w:r>
    </w:p>
    <w:p w14:paraId="5F401A43" w14:textId="77777777" w:rsidR="006B1E1E" w:rsidRPr="009330AE" w:rsidRDefault="006B1E1E" w:rsidP="00CC3135">
      <w:pPr>
        <w:keepNext/>
        <w:spacing w:after="0" w:line="240" w:lineRule="auto"/>
        <w:rPr>
          <w:rFonts w:cstheme="minorHAnsi"/>
          <w:lang w:val="es-ES"/>
        </w:rPr>
      </w:pPr>
    </w:p>
    <w:p w14:paraId="393C6A1C" w14:textId="3600A239"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29.5 del orden del día: </w:t>
      </w:r>
      <w:r w:rsidR="00993D09" w:rsidRPr="005878F4">
        <w:rPr>
          <w:rFonts w:cstheme="minorHAnsi"/>
          <w:lang w:val="es-ES"/>
        </w:rPr>
        <w:t>Propuesta de proyecto de resolución sobre la consecución de la conservación equitativa y eficaz de los humedales como áreas protegidas y otras medidas eficaces de conservación basadas en áreas</w:t>
      </w:r>
    </w:p>
    <w:p w14:paraId="1DC51EBA" w14:textId="77777777" w:rsidR="006B1E1E" w:rsidRPr="009330AE" w:rsidRDefault="006B1E1E" w:rsidP="00CC3135">
      <w:pPr>
        <w:spacing w:after="0" w:line="240" w:lineRule="auto"/>
        <w:rPr>
          <w:lang w:val="es-ES"/>
        </w:rPr>
      </w:pPr>
    </w:p>
    <w:p w14:paraId="2E388D94" w14:textId="77777777" w:rsidR="006B1E1E" w:rsidRPr="009330AE" w:rsidRDefault="006B1E1E" w:rsidP="00CC3135">
      <w:pPr>
        <w:spacing w:after="0" w:line="240" w:lineRule="auto"/>
        <w:rPr>
          <w:lang w:val="es-ES"/>
        </w:rPr>
      </w:pPr>
      <w:r w:rsidRPr="009330AE">
        <w:rPr>
          <w:b/>
          <w:bCs/>
          <w:lang w:val="es-ES"/>
        </w:rPr>
        <w:t xml:space="preserve">Decisión SC64-33: El Comité Permanente encargó a la Secretaría que sometiera a la consideración de la COP15 el proyecto de resolución que figura en el documento SC64 Doc.29.5 Rev.1 sobre el logro de la gobernanza equitativa y la conservación eficaz de los humedales como </w:t>
      </w:r>
      <w:r w:rsidRPr="009330AE">
        <w:rPr>
          <w:b/>
          <w:bCs/>
          <w:lang w:val="es-ES"/>
        </w:rPr>
        <w:lastRenderedPageBreak/>
        <w:t>áreas protegidas y otras medidas eficaces de conservación basadas en áreas, enmendado para incorporar las aportaciones que presentó el Comité.</w:t>
      </w:r>
    </w:p>
    <w:p w14:paraId="4A9C2F98" w14:textId="77777777" w:rsidR="006B1E1E" w:rsidRPr="009330AE" w:rsidRDefault="006B1E1E" w:rsidP="00CC3135">
      <w:pPr>
        <w:keepNext/>
        <w:spacing w:after="0" w:line="240" w:lineRule="auto"/>
        <w:rPr>
          <w:rFonts w:cstheme="minorHAnsi"/>
          <w:lang w:val="es-ES"/>
        </w:rPr>
      </w:pPr>
    </w:p>
    <w:p w14:paraId="64DAC956" w14:textId="4E952F19"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29.2 del orden del día: </w:t>
      </w:r>
      <w:r w:rsidR="00CA30B9" w:rsidRPr="005878F4">
        <w:rPr>
          <w:rFonts w:cstheme="minorHAnsi"/>
          <w:lang w:val="es-ES"/>
        </w:rPr>
        <w:t>Propuesta de proyecto de resolución sobre la restauración de los ecosistemas de agua dulce degradados para apoyar la biodiversidad de las características ecológicas y los servicios de los ecosistemas [y el Desafío del Agua Dulce]</w:t>
      </w:r>
    </w:p>
    <w:p w14:paraId="57BA1BC3" w14:textId="77777777" w:rsidR="006B1E1E" w:rsidRPr="009330AE" w:rsidRDefault="006B1E1E" w:rsidP="00CC3135">
      <w:pPr>
        <w:spacing w:after="0" w:line="240" w:lineRule="auto"/>
        <w:rPr>
          <w:lang w:val="es-ES"/>
        </w:rPr>
      </w:pPr>
    </w:p>
    <w:p w14:paraId="19C7E31B" w14:textId="56BE61E4" w:rsidR="006B1E1E" w:rsidRPr="009330AE" w:rsidRDefault="006B1E1E" w:rsidP="00CC3135">
      <w:pPr>
        <w:spacing w:after="0" w:line="240" w:lineRule="auto"/>
        <w:rPr>
          <w:b/>
          <w:bCs/>
          <w:lang w:val="es-ES"/>
        </w:rPr>
      </w:pPr>
      <w:r w:rsidRPr="009330AE">
        <w:rPr>
          <w:b/>
          <w:bCs/>
          <w:lang w:val="es-ES"/>
        </w:rPr>
        <w:t xml:space="preserve">Decisión SC64-34: El Comité Permanente encargó a la Secretaría que sometiera a la consideración de la COP15 el proyecto de resolución que figura en el documento SC64 Doc.29.2 Rev.1 sobre la restauración de los ecosistemas de agua dulce degradados para apoyar la biodiversidad de las características ecológicas y los servicios de los ecosistemas, enmendado para </w:t>
      </w:r>
      <w:r w:rsidR="00CA30B9">
        <w:rPr>
          <w:b/>
          <w:bCs/>
          <w:lang w:val="es-ES"/>
        </w:rPr>
        <w:t>incorporar</w:t>
      </w:r>
      <w:r w:rsidRPr="009330AE">
        <w:rPr>
          <w:b/>
          <w:bCs/>
          <w:lang w:val="es-ES"/>
        </w:rPr>
        <w:t xml:space="preserve"> las observaciones que formuló el Comité Permanente.</w:t>
      </w:r>
    </w:p>
    <w:p w14:paraId="24603F6D" w14:textId="77777777" w:rsidR="006B1E1E" w:rsidRPr="009330AE" w:rsidRDefault="006B1E1E" w:rsidP="00CC3135">
      <w:pPr>
        <w:keepNext/>
        <w:spacing w:after="0" w:line="240" w:lineRule="auto"/>
        <w:rPr>
          <w:rFonts w:cstheme="minorHAnsi"/>
          <w:lang w:val="es-ES"/>
        </w:rPr>
      </w:pPr>
    </w:p>
    <w:p w14:paraId="1B6E106B" w14:textId="63E3ACBD"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29.8 </w:t>
      </w:r>
      <w:r w:rsidR="00CA30B9" w:rsidRPr="005878F4">
        <w:rPr>
          <w:rFonts w:cstheme="minorHAnsi"/>
          <w:lang w:val="es-ES"/>
        </w:rPr>
        <w:t>Propuesta de proyecto de resolución sobre el empoderamiento y la integración de la juventud: promoción de su participación en la Convención sobre los Humedales y perennidad de la Convención</w:t>
      </w:r>
    </w:p>
    <w:p w14:paraId="51EAA220" w14:textId="77777777" w:rsidR="006B1E1E" w:rsidRPr="009330AE" w:rsidRDefault="006B1E1E" w:rsidP="00CC3135">
      <w:pPr>
        <w:spacing w:after="0" w:line="240" w:lineRule="auto"/>
        <w:rPr>
          <w:lang w:val="es-ES"/>
        </w:rPr>
      </w:pPr>
    </w:p>
    <w:p w14:paraId="315A8DED" w14:textId="77777777" w:rsidR="006B1E1E" w:rsidRPr="009330AE" w:rsidRDefault="006B1E1E" w:rsidP="00CC3135">
      <w:pPr>
        <w:spacing w:after="0" w:line="240" w:lineRule="auto"/>
        <w:rPr>
          <w:b/>
          <w:bCs/>
          <w:lang w:val="es-ES"/>
        </w:rPr>
      </w:pPr>
      <w:r w:rsidRPr="009330AE">
        <w:rPr>
          <w:b/>
          <w:bCs/>
          <w:lang w:val="es-ES"/>
        </w:rPr>
        <w:t>Decisión SC64-35: El Comité Permanente encargó a la Secretaría que sometiera a la consideración de la COP15 el proyecto de resolución que figura en el documento SC64 Doc.29.2 Rev.1 sobre el empoderamiento y la integración de los jóvenes: promoción de su participación en la Convención sobre los Humedales y perennidad de la Convención, enmendado para incorporar las aportaciones del Comité.</w:t>
      </w:r>
    </w:p>
    <w:p w14:paraId="7A0390F0" w14:textId="77777777" w:rsidR="006B1E1E" w:rsidRPr="009330AE" w:rsidRDefault="006B1E1E" w:rsidP="00CC3135">
      <w:pPr>
        <w:keepNext/>
        <w:spacing w:after="0" w:line="240" w:lineRule="auto"/>
        <w:rPr>
          <w:rFonts w:cstheme="minorHAnsi"/>
          <w:lang w:val="es-ES"/>
        </w:rPr>
      </w:pPr>
    </w:p>
    <w:p w14:paraId="75DC5134" w14:textId="7E226F89"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29.1 del orden del día: </w:t>
      </w:r>
      <w:r w:rsidR="00AC1A42" w:rsidRPr="005878F4">
        <w:rPr>
          <w:rFonts w:cstheme="minorHAnsi"/>
          <w:lang w:val="es-ES"/>
        </w:rPr>
        <w:t>Propuesta de proyecto de resolución sobre fortalecimiento de la acción en materia de cultura y humedales</w:t>
      </w:r>
    </w:p>
    <w:p w14:paraId="4F497EC4" w14:textId="77777777" w:rsidR="006B1E1E" w:rsidRPr="009330AE" w:rsidRDefault="006B1E1E" w:rsidP="00CC3135">
      <w:pPr>
        <w:spacing w:after="0" w:line="240" w:lineRule="auto"/>
        <w:rPr>
          <w:lang w:val="es-ES"/>
        </w:rPr>
      </w:pPr>
    </w:p>
    <w:p w14:paraId="519112F9" w14:textId="77777777" w:rsidR="006B1E1E" w:rsidRPr="009330AE" w:rsidRDefault="006B1E1E" w:rsidP="00CC3135">
      <w:pPr>
        <w:spacing w:after="0" w:line="240" w:lineRule="auto"/>
        <w:rPr>
          <w:b/>
          <w:bCs/>
          <w:lang w:val="es-ES"/>
        </w:rPr>
      </w:pPr>
      <w:r w:rsidRPr="009330AE">
        <w:rPr>
          <w:b/>
          <w:bCs/>
          <w:lang w:val="es-ES"/>
        </w:rPr>
        <w:t>Decisión SC64-36: El Comité Permanente encargó a la Secretaría que sometiera a la consideración de la COP15 el proyecto de resolución que figura en el documento SC64 Doc.29.1 Rev.1 sobre fortalecimiento de la acción en materia de cultura y humedales.</w:t>
      </w:r>
    </w:p>
    <w:p w14:paraId="4591B844" w14:textId="77777777" w:rsidR="006B1E1E" w:rsidRPr="009330AE" w:rsidRDefault="006B1E1E" w:rsidP="00CC3135">
      <w:pPr>
        <w:keepNext/>
        <w:spacing w:after="0" w:line="240" w:lineRule="auto"/>
        <w:rPr>
          <w:rFonts w:cstheme="minorHAnsi"/>
          <w:lang w:val="es-ES"/>
        </w:rPr>
      </w:pPr>
    </w:p>
    <w:p w14:paraId="0256F26E" w14:textId="177A2397"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29.9 del orden del día: </w:t>
      </w:r>
      <w:r w:rsidR="00AC1A42" w:rsidRPr="005878F4">
        <w:rPr>
          <w:rFonts w:cstheme="minorHAnsi"/>
          <w:lang w:val="es-ES"/>
        </w:rPr>
        <w:t>Propuesta de proyecto de resolución sobre la promoción de estilos de vida sostenibles para el uso racional de los humedales</w:t>
      </w:r>
    </w:p>
    <w:p w14:paraId="3CC7F16B" w14:textId="77777777" w:rsidR="006B1E1E" w:rsidRPr="009330AE" w:rsidRDefault="006B1E1E" w:rsidP="00CC3135">
      <w:pPr>
        <w:spacing w:after="0" w:line="240" w:lineRule="auto"/>
        <w:rPr>
          <w:lang w:val="es-ES"/>
        </w:rPr>
      </w:pPr>
    </w:p>
    <w:p w14:paraId="5D855DCD" w14:textId="77777777" w:rsidR="006B1E1E" w:rsidRPr="009330AE" w:rsidRDefault="006B1E1E" w:rsidP="00CC3135">
      <w:pPr>
        <w:spacing w:after="0" w:line="240" w:lineRule="auto"/>
        <w:rPr>
          <w:b/>
          <w:bCs/>
          <w:lang w:val="es-ES"/>
        </w:rPr>
      </w:pPr>
      <w:r w:rsidRPr="009330AE">
        <w:rPr>
          <w:b/>
          <w:bCs/>
          <w:lang w:val="es-ES"/>
        </w:rPr>
        <w:lastRenderedPageBreak/>
        <w:t>Decisión SC64-37: El Comité Permanente encargó a la Secretaría que sometiera a la consideración de la COP15 el proyecto de resolución que figura en el documento SC64 Doc.29.1 Rev.1 sobre la promoción de estilos de vida sostenibles para el uso racional de los humedales, enmendado para incorporar las aportaciones del Comité.</w:t>
      </w:r>
    </w:p>
    <w:p w14:paraId="606C69B2" w14:textId="77777777" w:rsidR="006B1E1E" w:rsidRPr="009330AE" w:rsidRDefault="006B1E1E" w:rsidP="00CC3135">
      <w:pPr>
        <w:keepNext/>
        <w:spacing w:after="0" w:line="240" w:lineRule="auto"/>
        <w:rPr>
          <w:rFonts w:cstheme="minorHAnsi"/>
          <w:lang w:val="es-ES"/>
        </w:rPr>
      </w:pPr>
    </w:p>
    <w:p w14:paraId="3A1FC4E8" w14:textId="7783B0A5" w:rsidR="006B1E1E" w:rsidRPr="009330AE"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es-ES"/>
        </w:rPr>
      </w:pPr>
      <w:r w:rsidRPr="009330AE">
        <w:rPr>
          <w:rFonts w:cstheme="minorHAnsi"/>
          <w:bCs/>
          <w:lang w:val="es-ES"/>
        </w:rPr>
        <w:t xml:space="preserve">Punto 29.11 del orden del día: </w:t>
      </w:r>
      <w:r w:rsidR="00AC1A42" w:rsidRPr="005878F4">
        <w:rPr>
          <w:rFonts w:cstheme="minorHAnsi"/>
          <w:lang w:val="es-ES"/>
        </w:rPr>
        <w:t>Propuesta de proyecto de resolución sobre educación y participación como base para la gestión de los humedales urbanos y periurbanos</w:t>
      </w:r>
    </w:p>
    <w:p w14:paraId="1F08FE70" w14:textId="77777777" w:rsidR="006B1E1E" w:rsidRPr="009330AE" w:rsidRDefault="006B1E1E" w:rsidP="00CC3135">
      <w:pPr>
        <w:spacing w:after="0" w:line="240" w:lineRule="auto"/>
        <w:rPr>
          <w:lang w:val="es-ES"/>
        </w:rPr>
      </w:pPr>
    </w:p>
    <w:p w14:paraId="3715E288" w14:textId="77777777" w:rsidR="006B1E1E" w:rsidRPr="009330AE" w:rsidRDefault="006B1E1E" w:rsidP="00CC3135">
      <w:pPr>
        <w:spacing w:after="0" w:line="240" w:lineRule="auto"/>
        <w:rPr>
          <w:b/>
          <w:bCs/>
          <w:lang w:val="es-ES"/>
        </w:rPr>
      </w:pPr>
      <w:r w:rsidRPr="009330AE">
        <w:rPr>
          <w:b/>
          <w:bCs/>
          <w:lang w:val="es-ES"/>
        </w:rPr>
        <w:t>Decisión SC64-38: El Comité Permanente encargó a la Secretaría que sometiera a la consideración de la COP15 el proyecto de resolución que figura en el documento SC64 Doc.29.11 Rev.1 sobre la educación y participación como base para la gestión de los humedales urbanos y periurbanos, enmendado para incorporar las aportaciones del Comité.</w:t>
      </w:r>
    </w:p>
    <w:p w14:paraId="2B9750F7" w14:textId="77777777" w:rsidR="006B1E1E" w:rsidRPr="00011601" w:rsidRDefault="006B1E1E" w:rsidP="00CC3135">
      <w:pPr>
        <w:keepNext/>
        <w:spacing w:after="0" w:line="240" w:lineRule="auto"/>
        <w:rPr>
          <w:rFonts w:cstheme="minorHAnsi"/>
          <w:noProof/>
          <w:lang w:val="es-ES"/>
        </w:rPr>
      </w:pPr>
    </w:p>
    <w:p w14:paraId="6709E5C6" w14:textId="47AE47D7" w:rsidR="006B1E1E" w:rsidRPr="00011601"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011601">
        <w:rPr>
          <w:rFonts w:cstheme="minorHAnsi"/>
          <w:bCs/>
          <w:noProof/>
          <w:lang w:val="es-ES"/>
        </w:rPr>
        <w:t>Punto 9 del orden del día: Cuestiones financieras y presupuestarias</w:t>
      </w:r>
    </w:p>
    <w:p w14:paraId="78ADDCC9" w14:textId="77777777" w:rsidR="00322E88" w:rsidRDefault="00322E88" w:rsidP="00322E88">
      <w:pPr>
        <w:spacing w:after="0" w:line="240" w:lineRule="auto"/>
        <w:ind w:left="567" w:hanging="567"/>
        <w:rPr>
          <w:lang w:val="es-ES"/>
        </w:rPr>
      </w:pPr>
    </w:p>
    <w:p w14:paraId="729CDE1B" w14:textId="07019624" w:rsidR="00322E88" w:rsidRPr="00322E88" w:rsidRDefault="006B1E1E" w:rsidP="00322E88">
      <w:pPr>
        <w:spacing w:after="0" w:line="240" w:lineRule="auto"/>
        <w:ind w:left="567" w:hanging="567"/>
        <w:rPr>
          <w:b/>
          <w:noProof/>
          <w:lang w:val="es-ES"/>
        </w:rPr>
      </w:pPr>
      <w:r w:rsidRPr="00357F8A">
        <w:rPr>
          <w:b/>
          <w:noProof/>
          <w:lang w:val="es-ES"/>
        </w:rPr>
        <w:t>Decisión</w:t>
      </w:r>
      <w:r w:rsidRPr="00C8416B">
        <w:rPr>
          <w:b/>
          <w:noProof/>
          <w:lang w:val="es-ES"/>
        </w:rPr>
        <w:t xml:space="preserve"> SC64-39: El Comité Permanente:</w:t>
      </w:r>
    </w:p>
    <w:p w14:paraId="3DB93734" w14:textId="77777777" w:rsidR="00322E88" w:rsidRPr="00C8416B" w:rsidRDefault="00322E88" w:rsidP="00CC3135">
      <w:pPr>
        <w:spacing w:after="0" w:line="240" w:lineRule="auto"/>
        <w:rPr>
          <w:b/>
          <w:noProof/>
          <w:lang w:val="es-ES"/>
        </w:rPr>
      </w:pPr>
    </w:p>
    <w:p w14:paraId="4977DD93" w14:textId="77777777" w:rsidR="00322E88" w:rsidRDefault="00322E88" w:rsidP="00322E88">
      <w:pPr>
        <w:spacing w:after="0" w:line="240" w:lineRule="auto"/>
        <w:ind w:left="567" w:hanging="567"/>
        <w:contextualSpacing/>
        <w:rPr>
          <w:rFonts w:cs="Calibri"/>
          <w:b/>
          <w:noProof/>
          <w:color w:val="000000" w:themeColor="text1"/>
          <w:lang w:val="es-ES"/>
        </w:rPr>
      </w:pPr>
      <w:r>
        <w:rPr>
          <w:rFonts w:cs="Calibri"/>
          <w:b/>
          <w:bCs/>
          <w:noProof/>
          <w:color w:val="000000" w:themeColor="text1"/>
          <w:lang w:val="es-ES"/>
        </w:rPr>
        <w:t xml:space="preserve">i.   </w:t>
      </w:r>
      <w:r>
        <w:rPr>
          <w:rFonts w:cs="Calibri"/>
          <w:b/>
          <w:bCs/>
          <w:noProof/>
          <w:color w:val="000000" w:themeColor="text1"/>
          <w:lang w:val="es-ES"/>
        </w:rPr>
        <w:tab/>
      </w:r>
      <w:r w:rsidRPr="00322E88">
        <w:rPr>
          <w:rFonts w:cs="Calibri"/>
          <w:b/>
          <w:bCs/>
          <w:noProof/>
          <w:color w:val="000000" w:themeColor="text1"/>
          <w:lang w:val="es-ES"/>
        </w:rPr>
        <w:t>t</w:t>
      </w:r>
      <w:r w:rsidR="006B1E1E" w:rsidRPr="00322E88">
        <w:rPr>
          <w:rFonts w:cs="Calibri"/>
          <w:b/>
          <w:bCs/>
          <w:noProof/>
          <w:color w:val="000000" w:themeColor="text1"/>
          <w:lang w:val="es-ES"/>
        </w:rPr>
        <w:t>omó</w:t>
      </w:r>
      <w:r w:rsidR="006B1E1E" w:rsidRPr="00322E88">
        <w:rPr>
          <w:rFonts w:cs="Calibri"/>
          <w:b/>
          <w:noProof/>
          <w:color w:val="000000" w:themeColor="text1"/>
          <w:lang w:val="es-ES"/>
        </w:rPr>
        <w:t xml:space="preserve"> nota de las estimaciones provisionales de los resultados del presupuesto básico para 2024</w:t>
      </w:r>
      <w:r>
        <w:rPr>
          <w:rFonts w:cs="Calibri"/>
          <w:b/>
          <w:noProof/>
          <w:color w:val="000000" w:themeColor="text1"/>
          <w:lang w:val="es-ES"/>
        </w:rPr>
        <w:t>;</w:t>
      </w:r>
    </w:p>
    <w:p w14:paraId="2774CC2C" w14:textId="77777777" w:rsidR="00322E88" w:rsidRDefault="00322E88" w:rsidP="00322E88">
      <w:pPr>
        <w:spacing w:after="0" w:line="240" w:lineRule="auto"/>
        <w:ind w:left="567" w:hanging="567"/>
        <w:contextualSpacing/>
        <w:rPr>
          <w:rFonts w:cs="Calibri"/>
          <w:b/>
          <w:noProof/>
          <w:color w:val="000000" w:themeColor="text1"/>
          <w:lang w:val="es-ES"/>
        </w:rPr>
      </w:pPr>
    </w:p>
    <w:p w14:paraId="4CD1F5D3" w14:textId="100EEDB1" w:rsidR="006B1E1E" w:rsidRPr="00322E88" w:rsidRDefault="00322E88" w:rsidP="00322E88">
      <w:pPr>
        <w:spacing w:after="0" w:line="240" w:lineRule="auto"/>
        <w:ind w:left="567" w:hanging="567"/>
        <w:rPr>
          <w:rFonts w:cs="Calibri"/>
          <w:b/>
          <w:noProof/>
          <w:color w:val="000000" w:themeColor="text1"/>
          <w:lang w:val="es-ES"/>
        </w:rPr>
      </w:pPr>
      <w:r>
        <w:rPr>
          <w:rFonts w:cs="Calibri"/>
          <w:b/>
          <w:bCs/>
          <w:noProof/>
          <w:color w:val="000000" w:themeColor="text1"/>
          <w:lang w:val="es-ES"/>
        </w:rPr>
        <w:t xml:space="preserve">ii. </w:t>
      </w:r>
      <w:r>
        <w:rPr>
          <w:rFonts w:cs="Calibri"/>
          <w:b/>
          <w:bCs/>
          <w:noProof/>
          <w:color w:val="000000" w:themeColor="text1"/>
          <w:lang w:val="es-ES"/>
        </w:rPr>
        <w:tab/>
      </w:r>
      <w:r w:rsidR="006B1E1E" w:rsidRPr="0008506C">
        <w:rPr>
          <w:rFonts w:cstheme="minorHAnsi"/>
          <w:b/>
          <w:kern w:val="0"/>
          <w:lang w:val="es-ES"/>
          <w14:ligatures w14:val="none"/>
        </w:rPr>
        <w:t>tomó</w:t>
      </w:r>
      <w:r w:rsidR="006B1E1E" w:rsidRPr="00322E88">
        <w:rPr>
          <w:rFonts w:cs="Calibri"/>
          <w:b/>
          <w:noProof/>
          <w:color w:val="000000" w:themeColor="text1"/>
          <w:lang w:val="es-ES"/>
        </w:rPr>
        <w:t xml:space="preserve"> nota de las estimaciones provisionales sobre la situación de los fondos complementarios y las contribuciones voluntarias para 2024; </w:t>
      </w:r>
    </w:p>
    <w:p w14:paraId="3DC8ACAE" w14:textId="77777777" w:rsidR="00322E88" w:rsidRPr="00322E88" w:rsidRDefault="00322E88" w:rsidP="00322E88">
      <w:pPr>
        <w:pStyle w:val="ListParagraph"/>
        <w:rPr>
          <w:rFonts w:cs="Calibri"/>
          <w:b/>
          <w:noProof/>
          <w:color w:val="000000" w:themeColor="text1"/>
          <w:lang w:val="es-ES"/>
        </w:rPr>
      </w:pPr>
    </w:p>
    <w:p w14:paraId="32535290" w14:textId="598F2CD2" w:rsidR="00322E88" w:rsidRDefault="006B1E1E" w:rsidP="00322E88">
      <w:pPr>
        <w:numPr>
          <w:ilvl w:val="0"/>
          <w:numId w:val="4"/>
        </w:numPr>
        <w:spacing w:after="0" w:line="240" w:lineRule="auto"/>
        <w:ind w:left="567" w:hanging="567"/>
        <w:rPr>
          <w:rFonts w:cs="Calibri"/>
          <w:b/>
          <w:noProof/>
          <w:color w:val="000000" w:themeColor="text1"/>
          <w:lang w:val="es-ES"/>
        </w:rPr>
      </w:pPr>
      <w:r w:rsidRPr="0008506C">
        <w:rPr>
          <w:rFonts w:cstheme="minorHAnsi"/>
          <w:b/>
          <w:kern w:val="0"/>
          <w:lang w:val="es-ES"/>
          <w14:ligatures w14:val="none"/>
        </w:rPr>
        <w:lastRenderedPageBreak/>
        <w:t>t</w:t>
      </w:r>
      <w:r w:rsidRPr="00322E88">
        <w:rPr>
          <w:rFonts w:cs="Calibri"/>
          <w:b/>
          <w:noProof/>
          <w:color w:val="000000" w:themeColor="text1"/>
          <w:lang w:val="es-ES"/>
        </w:rPr>
        <w:t xml:space="preserve">omó nota del traspaso estimado de fondos previamente comprometidos y no gastados por un importe de 1 120 000 francos suizos de 2024 a 2025, tal como se describe en la columna C del cuadro del </w:t>
      </w:r>
      <w:r w:rsidR="00301F1F" w:rsidRPr="00322E88">
        <w:rPr>
          <w:rFonts w:cs="Calibri"/>
          <w:b/>
          <w:noProof/>
          <w:color w:val="000000" w:themeColor="text1"/>
          <w:lang w:val="es-ES"/>
        </w:rPr>
        <w:t>a</w:t>
      </w:r>
      <w:r w:rsidRPr="00322E88">
        <w:rPr>
          <w:rFonts w:cs="Calibri"/>
          <w:b/>
          <w:noProof/>
          <w:color w:val="000000" w:themeColor="text1"/>
          <w:lang w:val="es-ES"/>
        </w:rPr>
        <w:t xml:space="preserve">nexo 1 del informe del Subgrupo de Finanzas, en el documento </w:t>
      </w:r>
      <w:r w:rsidRPr="00322E88">
        <w:rPr>
          <w:rFonts w:cstheme="minorHAnsi"/>
          <w:b/>
          <w:lang w:val="es-ES"/>
        </w:rPr>
        <w:t>SC64 Com.2</w:t>
      </w:r>
      <w:r w:rsidRPr="00322E88">
        <w:rPr>
          <w:rFonts w:cs="Calibri"/>
          <w:b/>
          <w:noProof/>
          <w:color w:val="000000" w:themeColor="text1"/>
          <w:lang w:val="es-ES"/>
        </w:rPr>
        <w:t>;</w:t>
      </w:r>
    </w:p>
    <w:p w14:paraId="2A137259" w14:textId="77777777" w:rsidR="00322E88" w:rsidRDefault="00322E88" w:rsidP="00322E88">
      <w:pPr>
        <w:spacing w:after="0" w:line="240" w:lineRule="auto"/>
        <w:ind w:left="567"/>
        <w:rPr>
          <w:rFonts w:cs="Calibri"/>
          <w:b/>
          <w:noProof/>
          <w:color w:val="000000" w:themeColor="text1"/>
          <w:lang w:val="es-ES"/>
        </w:rPr>
      </w:pPr>
    </w:p>
    <w:p w14:paraId="1F9DB02B" w14:textId="612E9761" w:rsidR="00322E88" w:rsidRDefault="006B1E1E" w:rsidP="00322E88">
      <w:pPr>
        <w:numPr>
          <w:ilvl w:val="0"/>
          <w:numId w:val="4"/>
        </w:numPr>
        <w:spacing w:after="0" w:line="240" w:lineRule="auto"/>
        <w:ind w:left="567" w:hanging="567"/>
        <w:rPr>
          <w:rFonts w:cs="Calibri"/>
          <w:b/>
          <w:noProof/>
          <w:color w:val="000000" w:themeColor="text1"/>
          <w:lang w:val="es-ES"/>
        </w:rPr>
      </w:pPr>
      <w:r w:rsidRPr="00322E88">
        <w:rPr>
          <w:rFonts w:cs="Calibri"/>
          <w:b/>
          <w:noProof/>
          <w:color w:val="000000" w:themeColor="text1"/>
          <w:lang w:val="es-ES"/>
        </w:rPr>
        <w:t>aprobó el uso temporal de los fondos de reserva como préstamo para complementar la financiación voluntaria para el apoyo a los delegados patrocinados para la COP15, tal como se describe en los párrafos 13, 14 y 20 del documento SC64 Doc.9.1 y en el Cuadro 1 del documento SC64 Com.2, por un importe máximo de 486 000 francos suizos; y</w:t>
      </w:r>
    </w:p>
    <w:p w14:paraId="64BDE927" w14:textId="77777777" w:rsidR="00322E88" w:rsidRPr="00322E88" w:rsidRDefault="00322E88" w:rsidP="00322E88">
      <w:pPr>
        <w:spacing w:after="0" w:line="240" w:lineRule="auto"/>
        <w:rPr>
          <w:rFonts w:cs="Calibri"/>
          <w:b/>
          <w:noProof/>
          <w:color w:val="000000" w:themeColor="text1"/>
          <w:lang w:val="es-ES"/>
        </w:rPr>
      </w:pPr>
    </w:p>
    <w:p w14:paraId="2B99AB23" w14:textId="40884CFF" w:rsidR="006B1E1E" w:rsidRPr="00322E88" w:rsidRDefault="006B1E1E" w:rsidP="00322E88">
      <w:pPr>
        <w:numPr>
          <w:ilvl w:val="0"/>
          <w:numId w:val="4"/>
        </w:numPr>
        <w:spacing w:after="0" w:line="240" w:lineRule="auto"/>
        <w:ind w:left="567" w:hanging="567"/>
        <w:rPr>
          <w:rFonts w:cs="Calibri"/>
          <w:b/>
          <w:noProof/>
          <w:color w:val="000000" w:themeColor="text1"/>
          <w:lang w:val="es-ES"/>
        </w:rPr>
      </w:pPr>
      <w:r w:rsidRPr="00322E88">
        <w:rPr>
          <w:rFonts w:cs="Calibri"/>
          <w:b/>
          <w:noProof/>
          <w:color w:val="000000" w:themeColor="text1"/>
          <w:lang w:val="es-ES"/>
        </w:rPr>
        <w:t>tomó nota de los saldos excedentes estimados, resumidos en el Cuadro 1 del documento SC64 Com.2.</w:t>
      </w:r>
    </w:p>
    <w:p w14:paraId="41473468" w14:textId="77777777" w:rsidR="006B1E1E" w:rsidRDefault="006B1E1E" w:rsidP="00CC3135">
      <w:pPr>
        <w:spacing w:after="0" w:line="240" w:lineRule="auto"/>
        <w:ind w:left="425" w:hanging="425"/>
        <w:contextualSpacing/>
        <w:rPr>
          <w:rFonts w:cs="Calibri"/>
          <w:b/>
          <w:bCs/>
          <w:i/>
          <w:noProof/>
          <w:color w:val="000000" w:themeColor="text1"/>
          <w:lang w:val="es-ES"/>
        </w:rPr>
      </w:pPr>
    </w:p>
    <w:p w14:paraId="63B259B0" w14:textId="77777777" w:rsidR="006B1E1E" w:rsidRDefault="006B1E1E" w:rsidP="00CC3135">
      <w:pPr>
        <w:spacing w:after="0" w:line="240" w:lineRule="auto"/>
        <w:rPr>
          <w:b/>
          <w:bCs/>
          <w:noProof/>
          <w:lang w:val="es-ES"/>
        </w:rPr>
      </w:pPr>
      <w:r w:rsidRPr="000E298D">
        <w:rPr>
          <w:b/>
          <w:bCs/>
          <w:noProof/>
          <w:lang w:val="es-ES"/>
        </w:rPr>
        <w:t>Decisión SC64-</w:t>
      </w:r>
      <w:r>
        <w:rPr>
          <w:b/>
          <w:bCs/>
          <w:noProof/>
          <w:lang w:val="es-ES"/>
        </w:rPr>
        <w:t>40</w:t>
      </w:r>
      <w:r w:rsidRPr="000E298D">
        <w:rPr>
          <w:b/>
          <w:bCs/>
          <w:noProof/>
          <w:lang w:val="es-ES"/>
        </w:rPr>
        <w:t>: El Comité Permanente</w:t>
      </w:r>
      <w:r>
        <w:rPr>
          <w:b/>
          <w:bCs/>
          <w:noProof/>
          <w:lang w:val="es-ES"/>
        </w:rPr>
        <w:t>:</w:t>
      </w:r>
    </w:p>
    <w:p w14:paraId="03252C84" w14:textId="77777777" w:rsidR="00E828EB" w:rsidRDefault="00E828EB" w:rsidP="00CC3135">
      <w:pPr>
        <w:spacing w:after="0" w:line="240" w:lineRule="auto"/>
        <w:rPr>
          <w:b/>
          <w:bCs/>
          <w:noProof/>
          <w:lang w:val="es-ES"/>
        </w:rPr>
      </w:pPr>
    </w:p>
    <w:p w14:paraId="4C27A1F5" w14:textId="77777777" w:rsidR="006B1E1E" w:rsidRDefault="006B1E1E" w:rsidP="00CC3135">
      <w:pPr>
        <w:spacing w:after="0" w:line="240" w:lineRule="auto"/>
        <w:ind w:left="567" w:hanging="567"/>
        <w:rPr>
          <w:b/>
          <w:bCs/>
          <w:noProof/>
          <w:lang w:val="es-ES"/>
        </w:rPr>
      </w:pPr>
      <w:r w:rsidRPr="0093784A">
        <w:rPr>
          <w:rFonts w:cs="Calibri"/>
          <w:b/>
          <w:bCs/>
          <w:noProof/>
          <w:color w:val="000000" w:themeColor="text1"/>
          <w:lang w:val="es-ES"/>
        </w:rPr>
        <w:t>i.</w:t>
      </w:r>
      <w:r w:rsidRPr="0093784A">
        <w:rPr>
          <w:b/>
          <w:bCs/>
          <w:noProof/>
          <w:lang w:val="es-ES"/>
        </w:rPr>
        <w:tab/>
      </w:r>
      <w:r w:rsidRPr="0093784A">
        <w:rPr>
          <w:rFonts w:cs="Calibri"/>
          <w:b/>
          <w:bCs/>
          <w:noProof/>
          <w:color w:val="000000" w:themeColor="text1"/>
          <w:lang w:val="es-ES"/>
        </w:rPr>
        <w:t>tomó nota del estado de las contribuciones anuales a 31 de diciembre de 2024;</w:t>
      </w:r>
      <w:r w:rsidRPr="0093784A">
        <w:rPr>
          <w:b/>
          <w:bCs/>
          <w:noProof/>
          <w:lang w:val="es-ES"/>
        </w:rPr>
        <w:t xml:space="preserve"> </w:t>
      </w:r>
    </w:p>
    <w:p w14:paraId="12AE3534" w14:textId="77777777" w:rsidR="00E828EB" w:rsidRPr="0093784A" w:rsidRDefault="00E828EB" w:rsidP="00CC3135">
      <w:pPr>
        <w:spacing w:after="0" w:line="240" w:lineRule="auto"/>
        <w:ind w:left="567" w:hanging="567"/>
        <w:rPr>
          <w:rFonts w:cs="Calibri"/>
          <w:b/>
          <w:bCs/>
          <w:noProof/>
          <w:color w:val="000000" w:themeColor="text1"/>
          <w:lang w:val="es-ES"/>
        </w:rPr>
      </w:pPr>
    </w:p>
    <w:p w14:paraId="5083827E" w14:textId="77777777" w:rsidR="00E828EB" w:rsidRDefault="006B1E1E" w:rsidP="00E828EB">
      <w:pPr>
        <w:spacing w:after="0" w:line="240" w:lineRule="auto"/>
        <w:ind w:left="567" w:hanging="567"/>
        <w:contextualSpacing/>
        <w:rPr>
          <w:rFonts w:cs="Calibri"/>
          <w:b/>
          <w:bCs/>
          <w:noProof/>
          <w:color w:val="000000" w:themeColor="text1"/>
          <w:lang w:val="es-ES"/>
        </w:rPr>
      </w:pPr>
      <w:r w:rsidRPr="0093784A">
        <w:rPr>
          <w:rFonts w:cs="Calibri"/>
          <w:b/>
          <w:bCs/>
          <w:noProof/>
          <w:color w:val="000000" w:themeColor="text1"/>
          <w:lang w:val="es-ES"/>
        </w:rPr>
        <w:t>ii.</w:t>
      </w:r>
      <w:r w:rsidRPr="0093784A">
        <w:rPr>
          <w:rFonts w:cs="Calibri"/>
          <w:b/>
          <w:bCs/>
          <w:noProof/>
          <w:color w:val="000000" w:themeColor="text1"/>
          <w:lang w:val="es-ES"/>
        </w:rPr>
        <w:tab/>
        <w:t xml:space="preserve">tomó nota del estado de las contribuciones asignadas a 31 de diciembre de 2024 como parte del proceso de auditoría; </w:t>
      </w:r>
    </w:p>
    <w:p w14:paraId="7B852D37" w14:textId="77777777" w:rsidR="00E828EB" w:rsidRDefault="00E828EB" w:rsidP="00E828EB">
      <w:pPr>
        <w:spacing w:after="0" w:line="240" w:lineRule="auto"/>
        <w:ind w:left="567" w:hanging="567"/>
        <w:contextualSpacing/>
        <w:rPr>
          <w:rFonts w:cs="Calibri"/>
          <w:b/>
          <w:bCs/>
          <w:noProof/>
          <w:color w:val="000000" w:themeColor="text1"/>
          <w:lang w:val="es-ES"/>
        </w:rPr>
      </w:pPr>
    </w:p>
    <w:p w14:paraId="052F7622" w14:textId="458C63EC" w:rsidR="006B1E1E" w:rsidRPr="00E828EB" w:rsidRDefault="00E828EB" w:rsidP="00E828EB">
      <w:pPr>
        <w:spacing w:after="0" w:line="240" w:lineRule="auto"/>
        <w:ind w:left="567" w:hanging="567"/>
        <w:contextualSpacing/>
        <w:rPr>
          <w:rFonts w:cs="Calibri"/>
          <w:b/>
          <w:bCs/>
          <w:noProof/>
          <w:color w:val="000000" w:themeColor="text1"/>
          <w:lang w:val="es-ES"/>
        </w:rPr>
      </w:pPr>
      <w:r>
        <w:rPr>
          <w:rFonts w:cs="Calibri"/>
          <w:b/>
          <w:bCs/>
          <w:noProof/>
          <w:color w:val="000000" w:themeColor="text1"/>
          <w:lang w:val="es-ES"/>
        </w:rPr>
        <w:t xml:space="preserve">iii. </w:t>
      </w:r>
      <w:r w:rsidR="006B1E1E" w:rsidRPr="00E828EB">
        <w:rPr>
          <w:rFonts w:cs="Calibri"/>
          <w:b/>
          <w:bCs/>
          <w:noProof/>
          <w:color w:val="000000" w:themeColor="text1"/>
          <w:lang w:val="es-ES"/>
        </w:rPr>
        <w:t xml:space="preserve">tomó nota de las acciones enumeradas en los párrafos 14, 16, 17 y 18 del documento SC64 Doc.9.2 Rev.1 para seguir fomentando el pago de las contribuciones anuales por las Partes Contratantes; y </w:t>
      </w:r>
    </w:p>
    <w:p w14:paraId="3C4A8480" w14:textId="77777777" w:rsidR="00E828EB" w:rsidRPr="00E828EB" w:rsidRDefault="00E828EB" w:rsidP="00E828EB">
      <w:pPr>
        <w:spacing w:after="0" w:line="240" w:lineRule="auto"/>
        <w:rPr>
          <w:rFonts w:cs="Calibri"/>
          <w:b/>
          <w:bCs/>
          <w:noProof/>
          <w:color w:val="000000" w:themeColor="text1"/>
          <w:lang w:val="es-ES"/>
        </w:rPr>
      </w:pPr>
    </w:p>
    <w:p w14:paraId="08D3B166" w14:textId="77777777" w:rsidR="006B1E1E" w:rsidRPr="0093784A" w:rsidRDefault="006B1E1E" w:rsidP="00CC3135">
      <w:pPr>
        <w:spacing w:after="0" w:line="240" w:lineRule="auto"/>
        <w:ind w:left="567" w:hanging="567"/>
        <w:contextualSpacing/>
        <w:rPr>
          <w:rFonts w:cs="Calibri"/>
          <w:b/>
          <w:bCs/>
          <w:noProof/>
          <w:color w:val="000000" w:themeColor="text1"/>
          <w:lang w:val="es-ES"/>
        </w:rPr>
      </w:pPr>
      <w:r w:rsidRPr="0093784A">
        <w:rPr>
          <w:rFonts w:cs="Calibri"/>
          <w:b/>
          <w:bCs/>
          <w:noProof/>
          <w:color w:val="000000" w:themeColor="text1"/>
          <w:lang w:val="es-ES"/>
        </w:rPr>
        <w:t>iv.</w:t>
      </w:r>
      <w:r w:rsidRPr="0093784A">
        <w:rPr>
          <w:rFonts w:cs="Calibri"/>
          <w:b/>
          <w:bCs/>
          <w:noProof/>
          <w:color w:val="000000" w:themeColor="text1"/>
          <w:lang w:val="es-ES"/>
        </w:rPr>
        <w:tab/>
        <w:t xml:space="preserve">tomó nota del estado de las contribuciones voluntarias recibidas de las Partes Contratantes de la región de África que se indica en el párrafo 19 del documento SC64 Doc.9.2. Rev.1. </w:t>
      </w:r>
    </w:p>
    <w:p w14:paraId="635A2F48" w14:textId="77777777" w:rsidR="006B1E1E" w:rsidRDefault="006B1E1E" w:rsidP="00E828EB">
      <w:pPr>
        <w:spacing w:after="0" w:line="240" w:lineRule="auto"/>
        <w:contextualSpacing/>
        <w:rPr>
          <w:rFonts w:cs="Calibri"/>
          <w:b/>
          <w:bCs/>
          <w:iCs/>
          <w:noProof/>
          <w:color w:val="000000" w:themeColor="text1"/>
          <w:lang w:val="es-ES"/>
        </w:rPr>
      </w:pPr>
    </w:p>
    <w:p w14:paraId="15D4D139" w14:textId="77777777" w:rsidR="006B1E1E" w:rsidRDefault="006B1E1E" w:rsidP="00CC3135">
      <w:pPr>
        <w:spacing w:after="0" w:line="240" w:lineRule="auto"/>
        <w:ind w:left="425" w:hanging="425"/>
        <w:contextualSpacing/>
        <w:rPr>
          <w:rFonts w:cs="Calibri"/>
          <w:b/>
          <w:bCs/>
          <w:iCs/>
          <w:noProof/>
          <w:color w:val="000000" w:themeColor="text1"/>
          <w:lang w:val="es-ES"/>
        </w:rPr>
      </w:pPr>
      <w:r>
        <w:rPr>
          <w:rFonts w:cs="Calibri"/>
          <w:b/>
          <w:bCs/>
          <w:iCs/>
          <w:noProof/>
          <w:color w:val="000000" w:themeColor="text1"/>
          <w:lang w:val="es-ES"/>
        </w:rPr>
        <w:t>Decisión SC64-41: El Comité Permanente:</w:t>
      </w:r>
    </w:p>
    <w:p w14:paraId="3043AE16" w14:textId="77777777" w:rsidR="00E828EB" w:rsidRDefault="00E828EB" w:rsidP="00CC3135">
      <w:pPr>
        <w:spacing w:after="0" w:line="240" w:lineRule="auto"/>
        <w:ind w:left="425" w:hanging="425"/>
        <w:contextualSpacing/>
        <w:rPr>
          <w:rFonts w:cs="Calibri"/>
          <w:b/>
          <w:bCs/>
          <w:iCs/>
          <w:noProof/>
          <w:color w:val="000000" w:themeColor="text1"/>
          <w:lang w:val="es-ES"/>
        </w:rPr>
      </w:pPr>
    </w:p>
    <w:p w14:paraId="206B390C" w14:textId="77777777" w:rsidR="006B1E1E" w:rsidRDefault="006B1E1E" w:rsidP="00CC3135">
      <w:pPr>
        <w:spacing w:after="0" w:line="240" w:lineRule="auto"/>
        <w:ind w:left="567" w:hanging="567"/>
        <w:rPr>
          <w:rFonts w:cs="Calibri"/>
          <w:b/>
          <w:bCs/>
          <w:noProof/>
          <w:lang w:val="es-ES"/>
        </w:rPr>
      </w:pPr>
      <w:r w:rsidRPr="0093784A">
        <w:rPr>
          <w:rFonts w:cs="Calibri"/>
          <w:b/>
          <w:bCs/>
          <w:noProof/>
          <w:lang w:val="es-ES"/>
        </w:rPr>
        <w:t xml:space="preserve">i. </w:t>
      </w:r>
      <w:r w:rsidRPr="0093784A">
        <w:rPr>
          <w:rFonts w:cs="Calibri"/>
          <w:b/>
          <w:bCs/>
          <w:noProof/>
          <w:lang w:val="es-ES"/>
        </w:rPr>
        <w:tab/>
        <w:t>tomó nota del contenido del documento SC64 Doc 9.3 Rev.1;</w:t>
      </w:r>
    </w:p>
    <w:p w14:paraId="2EF7B7D7" w14:textId="77777777" w:rsidR="00E828EB" w:rsidRPr="0093784A" w:rsidRDefault="00E828EB" w:rsidP="00CC3135">
      <w:pPr>
        <w:spacing w:after="0" w:line="240" w:lineRule="auto"/>
        <w:ind w:left="567" w:hanging="567"/>
        <w:rPr>
          <w:rFonts w:cs="Calibri"/>
          <w:b/>
          <w:bCs/>
          <w:noProof/>
          <w:lang w:val="es-ES"/>
        </w:rPr>
      </w:pPr>
    </w:p>
    <w:p w14:paraId="4C7843D2" w14:textId="77777777" w:rsidR="006B1E1E" w:rsidRPr="0093784A" w:rsidRDefault="006B1E1E" w:rsidP="00CC3135">
      <w:pPr>
        <w:spacing w:after="0" w:line="240" w:lineRule="auto"/>
        <w:ind w:left="567" w:hanging="567"/>
        <w:rPr>
          <w:rFonts w:cs="Calibri"/>
          <w:b/>
          <w:bCs/>
          <w:noProof/>
          <w:lang w:val="es-ES"/>
        </w:rPr>
      </w:pPr>
      <w:r w:rsidRPr="0093784A">
        <w:rPr>
          <w:rFonts w:cs="Calibri"/>
          <w:b/>
          <w:bCs/>
          <w:noProof/>
          <w:lang w:val="es-ES"/>
        </w:rPr>
        <w:t xml:space="preserve">ii. </w:t>
      </w:r>
      <w:r w:rsidRPr="0093784A">
        <w:rPr>
          <w:rFonts w:cs="Calibri"/>
          <w:b/>
          <w:bCs/>
          <w:noProof/>
          <w:lang w:val="es-ES"/>
        </w:rPr>
        <w:tab/>
        <w:t>encargó a la Secretaría que presentara los siguientes escenarios a la 15ª reunión de la Conferencia de las Partes:</w:t>
      </w:r>
    </w:p>
    <w:p w14:paraId="3CCEAD8D" w14:textId="211CAB76" w:rsidR="006B1E1E" w:rsidRPr="0093784A" w:rsidRDefault="00E828EB" w:rsidP="00CC3135">
      <w:pPr>
        <w:pStyle w:val="ListParagraph"/>
        <w:numPr>
          <w:ilvl w:val="0"/>
          <w:numId w:val="27"/>
        </w:numPr>
        <w:spacing w:after="0" w:line="240" w:lineRule="auto"/>
        <w:ind w:left="993" w:hanging="426"/>
        <w:rPr>
          <w:rFonts w:cs="Calibri"/>
          <w:b/>
          <w:bCs/>
          <w:noProof/>
          <w:lang w:val="es-ES"/>
        </w:rPr>
      </w:pPr>
      <w:r>
        <w:rPr>
          <w:rFonts w:cs="Calibri"/>
          <w:b/>
          <w:bCs/>
          <w:noProof/>
          <w:lang w:val="es-ES"/>
        </w:rPr>
        <w:t>A</w:t>
      </w:r>
      <w:r w:rsidR="006B1E1E" w:rsidRPr="0093784A">
        <w:rPr>
          <w:rFonts w:cs="Calibri"/>
          <w:b/>
          <w:bCs/>
          <w:noProof/>
          <w:lang w:val="es-ES"/>
        </w:rPr>
        <w:t xml:space="preserve">umento nominal del 0 % en comparación con el presupuesto de 2023-2025, como en el </w:t>
      </w:r>
      <w:r w:rsidR="00301F1F">
        <w:rPr>
          <w:rFonts w:cs="Calibri"/>
          <w:b/>
          <w:bCs/>
          <w:noProof/>
          <w:lang w:val="es-ES"/>
        </w:rPr>
        <w:t>a</w:t>
      </w:r>
      <w:r w:rsidR="006B1E1E" w:rsidRPr="0093784A">
        <w:rPr>
          <w:rFonts w:cs="Calibri"/>
          <w:b/>
          <w:bCs/>
          <w:noProof/>
          <w:lang w:val="es-ES"/>
        </w:rPr>
        <w:t>nexo 2 del documento SC64 Com.2;</w:t>
      </w:r>
    </w:p>
    <w:p w14:paraId="5FE4C107" w14:textId="79C49DE3" w:rsidR="006B1E1E" w:rsidRPr="0093784A" w:rsidRDefault="00E828EB" w:rsidP="00CC3135">
      <w:pPr>
        <w:pStyle w:val="ListParagraph"/>
        <w:numPr>
          <w:ilvl w:val="0"/>
          <w:numId w:val="27"/>
        </w:numPr>
        <w:spacing w:after="0" w:line="240" w:lineRule="auto"/>
        <w:ind w:left="993" w:hanging="426"/>
        <w:rPr>
          <w:rFonts w:cs="Calibri"/>
          <w:b/>
          <w:bCs/>
          <w:noProof/>
          <w:lang w:val="es-ES"/>
        </w:rPr>
      </w:pPr>
      <w:r>
        <w:rPr>
          <w:rFonts w:cs="Calibri"/>
          <w:b/>
          <w:bCs/>
          <w:noProof/>
          <w:lang w:val="es-ES"/>
        </w:rPr>
        <w:t>Aumento nominal</w:t>
      </w:r>
      <w:r w:rsidR="006B1E1E" w:rsidRPr="0093784A">
        <w:rPr>
          <w:rFonts w:cs="Calibri"/>
          <w:b/>
          <w:bCs/>
          <w:noProof/>
          <w:lang w:val="es-ES"/>
        </w:rPr>
        <w:t xml:space="preserve"> del 4,1 % en comparación con el presupuesto de 2023-2025, como en el </w:t>
      </w:r>
      <w:r w:rsidR="00301F1F">
        <w:rPr>
          <w:rFonts w:cs="Calibri"/>
          <w:b/>
          <w:bCs/>
          <w:noProof/>
          <w:lang w:val="es-ES"/>
        </w:rPr>
        <w:t>a</w:t>
      </w:r>
      <w:r w:rsidR="006B1E1E" w:rsidRPr="0093784A">
        <w:rPr>
          <w:rFonts w:cs="Calibri"/>
          <w:b/>
          <w:bCs/>
          <w:noProof/>
          <w:lang w:val="es-ES"/>
        </w:rPr>
        <w:t>nexo 3 del documento SC64 Com.2;</w:t>
      </w:r>
    </w:p>
    <w:p w14:paraId="65CE1C55" w14:textId="2D1C18C5" w:rsidR="006B1E1E" w:rsidRPr="0093784A" w:rsidRDefault="00E828EB" w:rsidP="00CC3135">
      <w:pPr>
        <w:pStyle w:val="ListParagraph"/>
        <w:numPr>
          <w:ilvl w:val="0"/>
          <w:numId w:val="27"/>
        </w:numPr>
        <w:spacing w:after="0" w:line="240" w:lineRule="auto"/>
        <w:ind w:left="993" w:hanging="426"/>
        <w:rPr>
          <w:rFonts w:cs="Calibri"/>
          <w:b/>
          <w:bCs/>
          <w:noProof/>
          <w:lang w:val="es-ES"/>
        </w:rPr>
      </w:pPr>
      <w:r>
        <w:rPr>
          <w:rFonts w:cs="Calibri"/>
          <w:b/>
          <w:bCs/>
          <w:noProof/>
          <w:lang w:val="es-ES"/>
        </w:rPr>
        <w:t>A</w:t>
      </w:r>
      <w:r w:rsidRPr="0093784A">
        <w:rPr>
          <w:rFonts w:cs="Calibri"/>
          <w:b/>
          <w:bCs/>
          <w:noProof/>
          <w:lang w:val="es-ES"/>
        </w:rPr>
        <w:t xml:space="preserve">umento nominal </w:t>
      </w:r>
      <w:r w:rsidR="006B1E1E" w:rsidRPr="0093784A">
        <w:rPr>
          <w:rFonts w:cs="Calibri"/>
          <w:b/>
          <w:bCs/>
          <w:noProof/>
          <w:lang w:val="es-ES"/>
        </w:rPr>
        <w:t xml:space="preserve">del 9,6 % en comparación con el presupuesto de 2023-2025, como en el Escenario A del </w:t>
      </w:r>
      <w:r w:rsidR="00301F1F">
        <w:rPr>
          <w:rFonts w:cs="Calibri"/>
          <w:b/>
          <w:bCs/>
          <w:noProof/>
          <w:lang w:val="es-ES"/>
        </w:rPr>
        <w:t>a</w:t>
      </w:r>
      <w:r w:rsidR="006B1E1E" w:rsidRPr="0093784A">
        <w:rPr>
          <w:rFonts w:cs="Calibri"/>
          <w:b/>
          <w:bCs/>
          <w:noProof/>
          <w:lang w:val="es-ES"/>
        </w:rPr>
        <w:t>nexo 1 del documento SC64 Doc.9.3 Rev.1; y</w:t>
      </w:r>
    </w:p>
    <w:p w14:paraId="2F21CD36" w14:textId="5475E18C" w:rsidR="006B1E1E" w:rsidRDefault="00E828EB" w:rsidP="00CC3135">
      <w:pPr>
        <w:pStyle w:val="ListParagraph"/>
        <w:numPr>
          <w:ilvl w:val="0"/>
          <w:numId w:val="27"/>
        </w:numPr>
        <w:spacing w:after="0" w:line="240" w:lineRule="auto"/>
        <w:ind w:left="993" w:hanging="426"/>
        <w:rPr>
          <w:rFonts w:cs="Calibri"/>
          <w:b/>
          <w:bCs/>
          <w:noProof/>
          <w:lang w:val="es-ES"/>
        </w:rPr>
      </w:pPr>
      <w:r>
        <w:rPr>
          <w:rFonts w:cs="Calibri"/>
          <w:b/>
          <w:bCs/>
          <w:noProof/>
          <w:lang w:val="es-ES"/>
        </w:rPr>
        <w:t>A</w:t>
      </w:r>
      <w:r w:rsidRPr="0093784A">
        <w:rPr>
          <w:rFonts w:cs="Calibri"/>
          <w:b/>
          <w:bCs/>
          <w:noProof/>
          <w:lang w:val="es-ES"/>
        </w:rPr>
        <w:t xml:space="preserve">umento nominal </w:t>
      </w:r>
      <w:r w:rsidR="006B1E1E" w:rsidRPr="0093784A">
        <w:rPr>
          <w:rFonts w:cs="Calibri"/>
          <w:b/>
          <w:bCs/>
          <w:noProof/>
          <w:lang w:val="es-ES"/>
        </w:rPr>
        <w:t xml:space="preserve">del 11,3 % en comparación con el presupuesto de 2023-2025, como en el Escenario B del </w:t>
      </w:r>
      <w:r w:rsidR="00301F1F">
        <w:rPr>
          <w:rFonts w:cs="Calibri"/>
          <w:b/>
          <w:bCs/>
          <w:noProof/>
          <w:lang w:val="es-ES"/>
        </w:rPr>
        <w:t>a</w:t>
      </w:r>
      <w:r w:rsidR="006B1E1E" w:rsidRPr="0093784A">
        <w:rPr>
          <w:rFonts w:cs="Calibri"/>
          <w:b/>
          <w:bCs/>
          <w:noProof/>
          <w:lang w:val="es-ES"/>
        </w:rPr>
        <w:t>nexo 1 del documento SC64 Doc.9.3 Rev.1;</w:t>
      </w:r>
    </w:p>
    <w:p w14:paraId="72DBBDAF" w14:textId="77777777" w:rsidR="00E828EB" w:rsidRPr="0093784A" w:rsidRDefault="00E828EB" w:rsidP="00E828EB">
      <w:pPr>
        <w:pStyle w:val="ListParagraph"/>
        <w:spacing w:after="0" w:line="240" w:lineRule="auto"/>
        <w:ind w:left="993"/>
        <w:rPr>
          <w:rFonts w:cs="Calibri"/>
          <w:b/>
          <w:bCs/>
          <w:noProof/>
          <w:lang w:val="es-ES"/>
        </w:rPr>
      </w:pPr>
    </w:p>
    <w:p w14:paraId="3ECA4C69" w14:textId="77777777" w:rsidR="006B1E1E" w:rsidRDefault="006B1E1E" w:rsidP="00CC3135">
      <w:pPr>
        <w:spacing w:after="0" w:line="240" w:lineRule="auto"/>
        <w:ind w:left="567" w:hanging="567"/>
        <w:rPr>
          <w:rFonts w:cs="Calibri"/>
          <w:b/>
          <w:bCs/>
          <w:noProof/>
          <w:lang w:val="es-ES"/>
        </w:rPr>
      </w:pPr>
      <w:r w:rsidRPr="0093784A">
        <w:rPr>
          <w:rFonts w:cs="Calibri"/>
          <w:b/>
          <w:bCs/>
          <w:noProof/>
          <w:lang w:val="es-ES"/>
        </w:rPr>
        <w:t xml:space="preserve">iii. </w:t>
      </w:r>
      <w:r w:rsidRPr="0093784A">
        <w:rPr>
          <w:rFonts w:cs="Calibri"/>
          <w:b/>
          <w:bCs/>
          <w:noProof/>
          <w:lang w:val="es-ES"/>
        </w:rPr>
        <w:tab/>
        <w:t>solicitó a la Secretaría que elaborara un análisis narrativo y cuantitativo para explicar los respectivos costos y beneficios, así como las implicaciones normativas para cada escenario (por ejemplo, un análisis FODA); y</w:t>
      </w:r>
    </w:p>
    <w:p w14:paraId="0BA46AED" w14:textId="77777777" w:rsidR="00E828EB" w:rsidRPr="0093784A" w:rsidRDefault="00E828EB" w:rsidP="00CC3135">
      <w:pPr>
        <w:spacing w:after="0" w:line="240" w:lineRule="auto"/>
        <w:ind w:left="567" w:hanging="567"/>
        <w:rPr>
          <w:rFonts w:cs="Calibri"/>
          <w:b/>
          <w:bCs/>
          <w:noProof/>
          <w:lang w:val="es-ES"/>
        </w:rPr>
      </w:pPr>
    </w:p>
    <w:p w14:paraId="71E23008" w14:textId="2E1281FD" w:rsidR="006B1E1E" w:rsidRPr="0093784A" w:rsidRDefault="006B1E1E" w:rsidP="00CC3135">
      <w:pPr>
        <w:spacing w:after="0" w:line="240" w:lineRule="auto"/>
        <w:ind w:left="567" w:hanging="567"/>
        <w:rPr>
          <w:rFonts w:cs="Calibri"/>
          <w:b/>
          <w:bCs/>
          <w:noProof/>
          <w:lang w:val="es-ES"/>
        </w:rPr>
      </w:pPr>
      <w:r w:rsidRPr="0093784A">
        <w:rPr>
          <w:rFonts w:cs="Calibri"/>
          <w:b/>
          <w:bCs/>
          <w:noProof/>
          <w:lang w:val="es-ES"/>
        </w:rPr>
        <w:lastRenderedPageBreak/>
        <w:t xml:space="preserve">iv. </w:t>
      </w:r>
      <w:r w:rsidRPr="0093784A">
        <w:rPr>
          <w:rFonts w:cs="Calibri"/>
          <w:b/>
          <w:bCs/>
          <w:noProof/>
          <w:lang w:val="es-ES"/>
        </w:rPr>
        <w:tab/>
        <w:t xml:space="preserve">aprobó el proyecto de resolución sobre las cuestiones financieras y presupuestarias que se examinarán en la COP15, como figura en el </w:t>
      </w:r>
      <w:r w:rsidR="00301F1F">
        <w:rPr>
          <w:rFonts w:cs="Calibri"/>
          <w:b/>
          <w:bCs/>
          <w:noProof/>
          <w:lang w:val="es-ES"/>
        </w:rPr>
        <w:t>a</w:t>
      </w:r>
      <w:r w:rsidRPr="0093784A">
        <w:rPr>
          <w:rFonts w:cs="Calibri"/>
          <w:b/>
          <w:bCs/>
          <w:noProof/>
          <w:lang w:val="es-ES"/>
        </w:rPr>
        <w:t>nexo 4 del informe del Subgrupo de Finanzas en el documento SC64 Com.2.</w:t>
      </w:r>
    </w:p>
    <w:p w14:paraId="0D59A596" w14:textId="77777777" w:rsidR="006B1E1E" w:rsidRPr="0093784A" w:rsidRDefault="006B1E1E" w:rsidP="00CC3135">
      <w:pPr>
        <w:spacing w:after="0" w:line="240" w:lineRule="auto"/>
        <w:contextualSpacing/>
        <w:rPr>
          <w:rFonts w:cs="Calibri"/>
          <w:b/>
          <w:bCs/>
          <w:noProof/>
          <w:color w:val="000000" w:themeColor="text1"/>
          <w:lang w:val="es-ES"/>
        </w:rPr>
      </w:pPr>
    </w:p>
    <w:p w14:paraId="7398F03F" w14:textId="35D5B391" w:rsidR="006B1E1E" w:rsidRPr="0093784A" w:rsidRDefault="006B1E1E" w:rsidP="00B74C77">
      <w:pPr>
        <w:spacing w:after="0" w:line="240" w:lineRule="auto"/>
        <w:contextualSpacing/>
        <w:rPr>
          <w:rFonts w:cs="Calibri"/>
          <w:b/>
          <w:bCs/>
          <w:noProof/>
          <w:color w:val="000000" w:themeColor="text1"/>
          <w:lang w:val="es-ES"/>
        </w:rPr>
      </w:pPr>
      <w:r w:rsidRPr="0093784A">
        <w:rPr>
          <w:rFonts w:cs="Calibri"/>
          <w:b/>
          <w:bCs/>
          <w:noProof/>
          <w:color w:val="000000" w:themeColor="text1"/>
          <w:lang w:val="es-ES"/>
        </w:rPr>
        <w:t>Decisión SC64-42: El Comité Permanente</w:t>
      </w:r>
      <w:r w:rsidR="00B74C77">
        <w:rPr>
          <w:rFonts w:cs="Calibri"/>
          <w:b/>
          <w:bCs/>
          <w:noProof/>
          <w:color w:val="000000" w:themeColor="text1"/>
          <w:lang w:val="es-ES"/>
        </w:rPr>
        <w:t xml:space="preserve"> </w:t>
      </w:r>
      <w:r w:rsidR="00E828EB">
        <w:rPr>
          <w:rFonts w:cs="Calibri"/>
          <w:b/>
          <w:bCs/>
          <w:noProof/>
          <w:lang w:val="es-ES"/>
        </w:rPr>
        <w:t xml:space="preserve">tomó </w:t>
      </w:r>
      <w:r w:rsidRPr="0093784A">
        <w:rPr>
          <w:rFonts w:cs="Calibri"/>
          <w:b/>
          <w:bCs/>
          <w:noProof/>
          <w:color w:val="000000" w:themeColor="text1"/>
          <w:lang w:val="es-ES"/>
        </w:rPr>
        <w:t>nota de las repercusiones administrativas y financieras previstas de los proyectos de</w:t>
      </w:r>
      <w:r w:rsidR="00E828EB">
        <w:rPr>
          <w:rFonts w:cs="Calibri"/>
          <w:b/>
          <w:bCs/>
          <w:noProof/>
          <w:color w:val="000000" w:themeColor="text1"/>
          <w:lang w:val="es-ES"/>
        </w:rPr>
        <w:t xml:space="preserve"> </w:t>
      </w:r>
      <w:r w:rsidRPr="0093784A">
        <w:rPr>
          <w:rFonts w:cs="Calibri"/>
          <w:b/>
          <w:bCs/>
          <w:noProof/>
          <w:color w:val="000000" w:themeColor="text1"/>
          <w:lang w:val="es-ES"/>
        </w:rPr>
        <w:t xml:space="preserve">resolución presentados al Comité Permanente, que se revisarán sobre la base de los proyectos de resolución remitidos para su examen a la COP15. </w:t>
      </w:r>
    </w:p>
    <w:p w14:paraId="4D45A1D6" w14:textId="77777777" w:rsidR="006B1E1E" w:rsidRPr="0093784A" w:rsidRDefault="006B1E1E" w:rsidP="00CC3135">
      <w:pPr>
        <w:keepNext/>
        <w:spacing w:after="0" w:line="240" w:lineRule="auto"/>
        <w:rPr>
          <w:rFonts w:cstheme="minorHAnsi"/>
          <w:noProof/>
          <w:lang w:val="es-ES"/>
        </w:rPr>
      </w:pPr>
    </w:p>
    <w:p w14:paraId="035E7FD0" w14:textId="77777777" w:rsidR="006B1E1E" w:rsidRPr="00011601"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011601">
        <w:rPr>
          <w:rFonts w:cstheme="minorHAnsi"/>
          <w:bCs/>
          <w:noProof/>
          <w:lang w:val="es-ES"/>
        </w:rPr>
        <w:t xml:space="preserve">Punto </w:t>
      </w:r>
      <w:r>
        <w:rPr>
          <w:rFonts w:cstheme="minorHAnsi"/>
          <w:bCs/>
          <w:noProof/>
          <w:lang w:val="es-ES"/>
        </w:rPr>
        <w:t>24</w:t>
      </w:r>
      <w:r w:rsidRPr="00011601">
        <w:rPr>
          <w:rFonts w:cstheme="minorHAnsi"/>
          <w:bCs/>
          <w:noProof/>
          <w:lang w:val="es-ES"/>
        </w:rPr>
        <w:t xml:space="preserve"> del orden del día: </w:t>
      </w:r>
      <w:r>
        <w:rPr>
          <w:rFonts w:cstheme="minorHAnsi"/>
          <w:bCs/>
          <w:noProof/>
          <w:lang w:val="es-ES"/>
        </w:rPr>
        <w:t>Informe de las copresidencias del Comité Asesor Independiente sobre la acreditación de Ciudad de Humedal</w:t>
      </w:r>
    </w:p>
    <w:p w14:paraId="4F7022CA" w14:textId="77777777" w:rsidR="006B1E1E" w:rsidRPr="005A7CFF" w:rsidRDefault="006B1E1E" w:rsidP="00CC3135">
      <w:pPr>
        <w:pStyle w:val="ListParagraph"/>
        <w:spacing w:after="0" w:line="240" w:lineRule="auto"/>
        <w:rPr>
          <w:rFonts w:cstheme="minorHAnsi"/>
          <w:noProof/>
          <w:lang w:val="es-ES"/>
        </w:rPr>
      </w:pPr>
    </w:p>
    <w:p w14:paraId="380DCEE0" w14:textId="77777777" w:rsidR="00E828EB" w:rsidRDefault="006B1E1E" w:rsidP="00CC3135">
      <w:pPr>
        <w:keepNext/>
        <w:spacing w:after="0" w:line="240" w:lineRule="auto"/>
        <w:rPr>
          <w:b/>
          <w:bCs/>
          <w:noProof/>
          <w:lang w:val="es-ES"/>
        </w:rPr>
      </w:pPr>
      <w:r w:rsidRPr="0010300C">
        <w:rPr>
          <w:b/>
          <w:bCs/>
          <w:noProof/>
          <w:lang w:val="es-ES"/>
        </w:rPr>
        <w:t>Decisión SC64-43: El Comité Permanente:</w:t>
      </w:r>
    </w:p>
    <w:p w14:paraId="1BF38776" w14:textId="6029A0E1" w:rsidR="006B1E1E" w:rsidRPr="0010300C" w:rsidRDefault="006B1E1E" w:rsidP="00CC3135">
      <w:pPr>
        <w:keepNext/>
        <w:spacing w:after="0" w:line="240" w:lineRule="auto"/>
        <w:rPr>
          <w:b/>
          <w:bCs/>
          <w:noProof/>
          <w:lang w:val="es-ES"/>
        </w:rPr>
      </w:pPr>
      <w:r w:rsidRPr="0010300C">
        <w:rPr>
          <w:b/>
          <w:bCs/>
          <w:noProof/>
          <w:lang w:val="es-ES"/>
        </w:rPr>
        <w:t xml:space="preserve"> </w:t>
      </w:r>
    </w:p>
    <w:p w14:paraId="68A078CE" w14:textId="77777777" w:rsidR="006B1E1E" w:rsidRDefault="006B1E1E" w:rsidP="00CC3135">
      <w:pPr>
        <w:pStyle w:val="ListParagraph"/>
        <w:numPr>
          <w:ilvl w:val="0"/>
          <w:numId w:val="28"/>
        </w:numPr>
        <w:spacing w:after="0" w:line="240" w:lineRule="auto"/>
        <w:ind w:left="567" w:hanging="567"/>
        <w:rPr>
          <w:b/>
          <w:bCs/>
          <w:noProof/>
          <w:lang w:val="es-ES"/>
        </w:rPr>
      </w:pPr>
      <w:r w:rsidRPr="0010300C">
        <w:rPr>
          <w:b/>
          <w:bCs/>
          <w:noProof/>
          <w:lang w:val="es-ES"/>
        </w:rPr>
        <w:t xml:space="preserve">tomó nota del proceso de evaluación de solicitudes de acreditación nueva y renovada presentado en este informe; y </w:t>
      </w:r>
    </w:p>
    <w:p w14:paraId="356706A7" w14:textId="77777777" w:rsidR="00F34A59" w:rsidRPr="0010300C" w:rsidRDefault="00F34A59" w:rsidP="00F34A59">
      <w:pPr>
        <w:pStyle w:val="ListParagraph"/>
        <w:spacing w:after="0" w:line="240" w:lineRule="auto"/>
        <w:ind w:left="567"/>
        <w:rPr>
          <w:b/>
          <w:bCs/>
          <w:noProof/>
          <w:lang w:val="es-ES"/>
        </w:rPr>
      </w:pPr>
    </w:p>
    <w:p w14:paraId="3F575556" w14:textId="77777777" w:rsidR="00F34A59" w:rsidRDefault="006B1E1E" w:rsidP="00CC3135">
      <w:pPr>
        <w:pStyle w:val="ListParagraph"/>
        <w:numPr>
          <w:ilvl w:val="0"/>
          <w:numId w:val="28"/>
        </w:numPr>
        <w:spacing w:after="0" w:line="240" w:lineRule="auto"/>
        <w:ind w:left="567" w:hanging="567"/>
        <w:rPr>
          <w:b/>
          <w:bCs/>
          <w:noProof/>
          <w:lang w:val="es-ES"/>
        </w:rPr>
      </w:pPr>
      <w:r w:rsidRPr="0010300C">
        <w:rPr>
          <w:b/>
          <w:bCs/>
          <w:noProof/>
          <w:lang w:val="es-ES"/>
        </w:rPr>
        <w:t xml:space="preserve">tomó nota de las Ciudades de Humedal recientemente acreditadas y de las ciudades con acreditación de Ciudad de Humedal renovada, </w:t>
      </w:r>
      <w:r w:rsidRPr="008F7AF2">
        <w:rPr>
          <w:b/>
          <w:bCs/>
          <w:noProof/>
          <w:lang w:val="es-ES"/>
        </w:rPr>
        <w:t>según se indica a continuación</w:t>
      </w:r>
      <w:r w:rsidRPr="0010300C">
        <w:rPr>
          <w:b/>
          <w:bCs/>
          <w:noProof/>
          <w:lang w:val="es-ES"/>
        </w:rPr>
        <w:t>:</w:t>
      </w:r>
    </w:p>
    <w:p w14:paraId="6F4766DA" w14:textId="5634B6D8" w:rsidR="006B1E1E" w:rsidRPr="00F34A59" w:rsidRDefault="006B1E1E" w:rsidP="00F34A59">
      <w:pPr>
        <w:spacing w:after="0" w:line="240" w:lineRule="auto"/>
        <w:rPr>
          <w:b/>
          <w:bCs/>
          <w:noProof/>
          <w:lang w:val="es-ES"/>
        </w:rPr>
      </w:pPr>
      <w:r w:rsidRPr="00F34A59">
        <w:rPr>
          <w:b/>
          <w:bCs/>
          <w:noProof/>
          <w:lang w:val="es-ES"/>
        </w:rPr>
        <w:t xml:space="preserve"> </w:t>
      </w:r>
    </w:p>
    <w:p w14:paraId="2141A83E" w14:textId="77777777" w:rsidR="006B1E1E" w:rsidRPr="008E7B42" w:rsidRDefault="006B1E1E" w:rsidP="008E7B42">
      <w:pPr>
        <w:spacing w:after="0" w:line="240" w:lineRule="auto"/>
        <w:ind w:firstLine="567"/>
        <w:rPr>
          <w:b/>
          <w:bCs/>
          <w:noProof/>
          <w:lang w:val="es-ES"/>
        </w:rPr>
      </w:pPr>
      <w:r w:rsidRPr="008E7B42">
        <w:rPr>
          <w:b/>
          <w:bCs/>
          <w:noProof/>
          <w:lang w:val="es-ES"/>
        </w:rPr>
        <w:t xml:space="preserve">Ciudades de Humedales recientemente acreditadas: </w:t>
      </w:r>
    </w:p>
    <w:p w14:paraId="6EE00D7D"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Argentina: Trelew </w:t>
      </w:r>
    </w:p>
    <w:p w14:paraId="247272BE"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Bélgica: </w:t>
      </w:r>
      <w:r>
        <w:rPr>
          <w:b/>
          <w:bCs/>
          <w:noProof/>
          <w:lang w:val="es-ES"/>
        </w:rPr>
        <w:t>Mechelen</w:t>
      </w:r>
      <w:r w:rsidRPr="0010300C">
        <w:rPr>
          <w:b/>
          <w:bCs/>
          <w:noProof/>
          <w:lang w:val="es-ES"/>
        </w:rPr>
        <w:t xml:space="preserve"> </w:t>
      </w:r>
    </w:p>
    <w:p w14:paraId="55A8A017"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Bots</w:t>
      </w:r>
      <w:r>
        <w:rPr>
          <w:b/>
          <w:bCs/>
          <w:noProof/>
          <w:lang w:val="es-ES"/>
        </w:rPr>
        <w:t>w</w:t>
      </w:r>
      <w:r w:rsidRPr="0010300C">
        <w:rPr>
          <w:b/>
          <w:bCs/>
          <w:noProof/>
          <w:lang w:val="es-ES"/>
        </w:rPr>
        <w:t xml:space="preserve">ana: Kasan-Kazungula, Shakawe </w:t>
      </w:r>
    </w:p>
    <w:p w14:paraId="41126D9E"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Chile: Valdivia </w:t>
      </w:r>
    </w:p>
    <w:p w14:paraId="7B042960"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China: Chongming, Dali, Fuzhou, Hangzhou, Jiujiang, Lhasa, Suzhou, Wenzhou, Yueyang </w:t>
      </w:r>
    </w:p>
    <w:p w14:paraId="69B4460D"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Francia: Abbeville, Arl</w:t>
      </w:r>
      <w:r>
        <w:rPr>
          <w:b/>
          <w:bCs/>
          <w:noProof/>
          <w:lang w:val="es-ES"/>
        </w:rPr>
        <w:t>e</w:t>
      </w:r>
      <w:r w:rsidRPr="0010300C">
        <w:rPr>
          <w:b/>
          <w:bCs/>
          <w:noProof/>
          <w:lang w:val="es-ES"/>
        </w:rPr>
        <w:t xml:space="preserve">s, Hampigny </w:t>
      </w:r>
    </w:p>
    <w:p w14:paraId="43F05C6E"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lastRenderedPageBreak/>
        <w:t xml:space="preserve">India: Indore, Udaipur </w:t>
      </w:r>
    </w:p>
    <w:p w14:paraId="7716BD87"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Irán (República Islámica del): Babol, Bandar Kiashar, Gandoman </w:t>
      </w:r>
    </w:p>
    <w:p w14:paraId="3E71CE84"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Japón: Nagoya </w:t>
      </w:r>
      <w:r>
        <w:rPr>
          <w:b/>
          <w:bCs/>
          <w:noProof/>
          <w:lang w:val="es-ES"/>
        </w:rPr>
        <w:t>City</w:t>
      </w:r>
    </w:p>
    <w:p w14:paraId="2F0C7C24"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Marruecos: Mehd</w:t>
      </w:r>
      <w:r>
        <w:rPr>
          <w:b/>
          <w:bCs/>
          <w:noProof/>
          <w:lang w:val="es-ES"/>
        </w:rPr>
        <w:t>y</w:t>
      </w:r>
      <w:r w:rsidRPr="0010300C">
        <w:rPr>
          <w:b/>
          <w:bCs/>
          <w:noProof/>
          <w:lang w:val="es-ES"/>
        </w:rPr>
        <w:t xml:space="preserve">a </w:t>
      </w:r>
    </w:p>
    <w:p w14:paraId="0D0330EC"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Filipinas: Balanga </w:t>
      </w:r>
      <w:r>
        <w:rPr>
          <w:b/>
          <w:bCs/>
          <w:noProof/>
          <w:lang w:val="es-ES"/>
        </w:rPr>
        <w:t>City</w:t>
      </w:r>
    </w:p>
    <w:p w14:paraId="4E7877EB"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Polonia: Pozna</w:t>
      </w:r>
      <w:r>
        <w:rPr>
          <w:b/>
          <w:bCs/>
          <w:noProof/>
          <w:lang w:val="es-ES"/>
        </w:rPr>
        <w:t>n</w:t>
      </w:r>
      <w:r w:rsidRPr="0010300C">
        <w:rPr>
          <w:b/>
          <w:bCs/>
          <w:noProof/>
          <w:lang w:val="es-ES"/>
        </w:rPr>
        <w:t xml:space="preserve"> </w:t>
      </w:r>
    </w:p>
    <w:p w14:paraId="7E9D5652"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República de Corea: Gimhae, Mungyeong </w:t>
      </w:r>
    </w:p>
    <w:p w14:paraId="750593D4"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Serbia: Novi Sad </w:t>
      </w:r>
    </w:p>
    <w:p w14:paraId="72051896"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Suiza: </w:t>
      </w:r>
      <w:r>
        <w:rPr>
          <w:b/>
          <w:bCs/>
          <w:noProof/>
          <w:lang w:val="es-ES"/>
        </w:rPr>
        <w:t>Canton de Genève</w:t>
      </w:r>
    </w:p>
    <w:p w14:paraId="488D13F9"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Zimbab</w:t>
      </w:r>
      <w:r>
        <w:rPr>
          <w:b/>
          <w:bCs/>
          <w:noProof/>
          <w:lang w:val="es-ES"/>
        </w:rPr>
        <w:t>w</w:t>
      </w:r>
      <w:r w:rsidRPr="0010300C">
        <w:rPr>
          <w:b/>
          <w:bCs/>
          <w:noProof/>
          <w:lang w:val="es-ES"/>
        </w:rPr>
        <w:t>e: Victoria</w:t>
      </w:r>
      <w:r>
        <w:rPr>
          <w:b/>
          <w:bCs/>
          <w:noProof/>
          <w:lang w:val="es-ES"/>
        </w:rPr>
        <w:t xml:space="preserve"> Falls</w:t>
      </w:r>
      <w:r w:rsidRPr="0010300C">
        <w:rPr>
          <w:b/>
          <w:bCs/>
          <w:noProof/>
          <w:lang w:val="es-ES"/>
        </w:rPr>
        <w:t xml:space="preserve"> </w:t>
      </w:r>
    </w:p>
    <w:p w14:paraId="7A4EB192" w14:textId="77777777" w:rsidR="008E7B42" w:rsidRDefault="008E7B42" w:rsidP="008E7B42">
      <w:pPr>
        <w:pStyle w:val="ListParagraph"/>
        <w:spacing w:after="0" w:line="240" w:lineRule="auto"/>
        <w:ind w:left="927"/>
        <w:rPr>
          <w:b/>
          <w:bCs/>
          <w:noProof/>
          <w:lang w:val="es-ES"/>
        </w:rPr>
      </w:pPr>
    </w:p>
    <w:p w14:paraId="67441D6F" w14:textId="77777777" w:rsidR="006B1E1E" w:rsidRDefault="006B1E1E" w:rsidP="008E7B42">
      <w:pPr>
        <w:spacing w:after="0" w:line="240" w:lineRule="auto"/>
        <w:ind w:firstLine="567"/>
        <w:rPr>
          <w:b/>
          <w:bCs/>
          <w:noProof/>
          <w:lang w:val="es-ES"/>
        </w:rPr>
      </w:pPr>
      <w:r w:rsidRPr="0010300C">
        <w:rPr>
          <w:b/>
          <w:bCs/>
          <w:noProof/>
          <w:lang w:val="es-ES"/>
        </w:rPr>
        <w:t xml:space="preserve">Ciudades con </w:t>
      </w:r>
      <w:r>
        <w:rPr>
          <w:b/>
          <w:bCs/>
          <w:noProof/>
          <w:lang w:val="es-ES"/>
        </w:rPr>
        <w:t>a</w:t>
      </w:r>
      <w:r w:rsidRPr="0010300C">
        <w:rPr>
          <w:b/>
          <w:bCs/>
          <w:noProof/>
          <w:lang w:val="es-ES"/>
        </w:rPr>
        <w:t xml:space="preserve">creditación </w:t>
      </w:r>
      <w:r>
        <w:rPr>
          <w:b/>
          <w:bCs/>
          <w:noProof/>
          <w:lang w:val="es-ES"/>
        </w:rPr>
        <w:t>r</w:t>
      </w:r>
      <w:r w:rsidRPr="0010300C">
        <w:rPr>
          <w:b/>
          <w:bCs/>
          <w:noProof/>
          <w:lang w:val="es-ES"/>
        </w:rPr>
        <w:t xml:space="preserve">enovada de Ciudad de Humedal: </w:t>
      </w:r>
    </w:p>
    <w:p w14:paraId="3B2A0D55" w14:textId="77777777" w:rsidR="006B1E1E" w:rsidRPr="0008506C" w:rsidRDefault="006B1E1E" w:rsidP="008E7B42">
      <w:pPr>
        <w:pStyle w:val="ListParagraph"/>
        <w:numPr>
          <w:ilvl w:val="0"/>
          <w:numId w:val="38"/>
        </w:numPr>
        <w:spacing w:after="0" w:line="240" w:lineRule="auto"/>
        <w:rPr>
          <w:b/>
          <w:bCs/>
          <w:noProof/>
          <w:lang w:val="en-GB"/>
        </w:rPr>
      </w:pPr>
      <w:r w:rsidRPr="0008506C">
        <w:rPr>
          <w:b/>
          <w:bCs/>
          <w:noProof/>
          <w:lang w:val="en-GB"/>
        </w:rPr>
        <w:t xml:space="preserve">China: Changde, Changshu, Dongying, Haikou, Harbin, Yinchuan </w:t>
      </w:r>
    </w:p>
    <w:p w14:paraId="574E3FD5" w14:textId="77777777" w:rsidR="006B1E1E" w:rsidRPr="0008506C" w:rsidRDefault="006B1E1E" w:rsidP="008E7B42">
      <w:pPr>
        <w:pStyle w:val="ListParagraph"/>
        <w:numPr>
          <w:ilvl w:val="0"/>
          <w:numId w:val="38"/>
        </w:numPr>
        <w:spacing w:after="0" w:line="240" w:lineRule="auto"/>
        <w:rPr>
          <w:b/>
          <w:bCs/>
          <w:noProof/>
          <w:lang w:val="fr-FR"/>
        </w:rPr>
      </w:pPr>
      <w:r w:rsidRPr="0008506C">
        <w:rPr>
          <w:b/>
          <w:bCs/>
          <w:noProof/>
          <w:lang w:val="fr-FR"/>
        </w:rPr>
        <w:t xml:space="preserve">Francia: Amiens, Courteranges, Pont-Audemer, Saint-Omer </w:t>
      </w:r>
    </w:p>
    <w:p w14:paraId="6FF3B2EE"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Hungría: </w:t>
      </w:r>
      <w:r>
        <w:rPr>
          <w:b/>
          <w:bCs/>
          <w:noProof/>
          <w:lang w:val="es-ES"/>
        </w:rPr>
        <w:t>Tata</w:t>
      </w:r>
      <w:r w:rsidRPr="0010300C">
        <w:rPr>
          <w:b/>
          <w:bCs/>
          <w:noProof/>
          <w:lang w:val="es-ES"/>
        </w:rPr>
        <w:t xml:space="preserve"> </w:t>
      </w:r>
    </w:p>
    <w:p w14:paraId="73244B85"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Madagascar: Mitsinjo </w:t>
      </w:r>
    </w:p>
    <w:p w14:paraId="52721F48"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República de Corea: Changnyeong, Inje, Jeju, Suncheon </w:t>
      </w:r>
    </w:p>
    <w:p w14:paraId="7F26F1A2" w14:textId="77777777" w:rsidR="006B1E1E" w:rsidRDefault="006B1E1E" w:rsidP="008E7B42">
      <w:pPr>
        <w:pStyle w:val="ListParagraph"/>
        <w:numPr>
          <w:ilvl w:val="0"/>
          <w:numId w:val="38"/>
        </w:numPr>
        <w:spacing w:after="0" w:line="240" w:lineRule="auto"/>
        <w:rPr>
          <w:b/>
          <w:bCs/>
          <w:noProof/>
          <w:lang w:val="es-ES"/>
        </w:rPr>
      </w:pPr>
      <w:r w:rsidRPr="0010300C">
        <w:rPr>
          <w:b/>
          <w:bCs/>
          <w:noProof/>
          <w:lang w:val="es-ES"/>
        </w:rPr>
        <w:t xml:space="preserve">Sri Lanka: Colombo </w:t>
      </w:r>
    </w:p>
    <w:p w14:paraId="1410C3F3" w14:textId="77777777" w:rsidR="006B1E1E" w:rsidRPr="0010300C" w:rsidRDefault="006B1E1E" w:rsidP="008E7B42">
      <w:pPr>
        <w:pStyle w:val="ListParagraph"/>
        <w:numPr>
          <w:ilvl w:val="0"/>
          <w:numId w:val="38"/>
        </w:numPr>
        <w:spacing w:after="0" w:line="240" w:lineRule="auto"/>
        <w:rPr>
          <w:b/>
          <w:bCs/>
          <w:noProof/>
          <w:lang w:val="es-ES"/>
        </w:rPr>
      </w:pPr>
      <w:r w:rsidRPr="0010300C">
        <w:rPr>
          <w:b/>
          <w:bCs/>
          <w:noProof/>
          <w:lang w:val="es-ES"/>
        </w:rPr>
        <w:t>Túnez: Ghar el Melh</w:t>
      </w:r>
    </w:p>
    <w:p w14:paraId="6239EA90" w14:textId="77777777" w:rsidR="006B1E1E" w:rsidRPr="00011601" w:rsidRDefault="006B1E1E" w:rsidP="00CC3135">
      <w:pPr>
        <w:keepNext/>
        <w:spacing w:after="0" w:line="240" w:lineRule="auto"/>
        <w:rPr>
          <w:rFonts w:cstheme="minorHAnsi"/>
          <w:noProof/>
          <w:lang w:val="es-ES"/>
        </w:rPr>
      </w:pPr>
    </w:p>
    <w:p w14:paraId="62E8735F" w14:textId="77777777" w:rsidR="006B1E1E" w:rsidRPr="00011601"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011601">
        <w:rPr>
          <w:rFonts w:cstheme="minorHAnsi"/>
          <w:bCs/>
          <w:noProof/>
          <w:lang w:val="es-ES"/>
        </w:rPr>
        <w:t xml:space="preserve">Punto </w:t>
      </w:r>
      <w:r>
        <w:rPr>
          <w:rFonts w:cstheme="minorHAnsi"/>
          <w:bCs/>
          <w:noProof/>
          <w:lang w:val="es-ES"/>
        </w:rPr>
        <w:t>28</w:t>
      </w:r>
      <w:r w:rsidRPr="00011601">
        <w:rPr>
          <w:rFonts w:cstheme="minorHAnsi"/>
          <w:bCs/>
          <w:noProof/>
          <w:lang w:val="es-ES"/>
        </w:rPr>
        <w:t xml:space="preserve"> del orden del día: </w:t>
      </w:r>
      <w:r>
        <w:rPr>
          <w:rFonts w:cstheme="minorHAnsi"/>
          <w:bCs/>
          <w:noProof/>
          <w:lang w:val="es-ES"/>
        </w:rPr>
        <w:t>Información de la Secretaría sobre la aplicación de la Resolución XIV.20</w:t>
      </w:r>
    </w:p>
    <w:p w14:paraId="200C982A" w14:textId="77777777" w:rsidR="006B1E1E" w:rsidRPr="002A53FD" w:rsidRDefault="006B1E1E" w:rsidP="00CC3135">
      <w:pPr>
        <w:pStyle w:val="ListParagraph"/>
        <w:spacing w:after="0" w:line="240" w:lineRule="auto"/>
        <w:rPr>
          <w:rFonts w:cstheme="minorHAnsi"/>
          <w:noProof/>
          <w:lang w:val="es-ES"/>
        </w:rPr>
      </w:pPr>
    </w:p>
    <w:p w14:paraId="1E364319" w14:textId="77777777" w:rsidR="006B1E1E" w:rsidRDefault="006B1E1E" w:rsidP="00CC3135">
      <w:pPr>
        <w:spacing w:after="0" w:line="240" w:lineRule="auto"/>
        <w:rPr>
          <w:rFonts w:cstheme="minorHAnsi"/>
          <w:b/>
          <w:bCs/>
          <w:noProof/>
          <w:lang w:val="es-ES"/>
        </w:rPr>
      </w:pPr>
      <w:r w:rsidRPr="002A53FD">
        <w:rPr>
          <w:rFonts w:cstheme="minorHAnsi"/>
          <w:b/>
          <w:bCs/>
          <w:noProof/>
          <w:lang w:val="es-ES"/>
        </w:rPr>
        <w:t xml:space="preserve">Decisión SC64-44: El Comité Permanente tomó nota de la actualización de la Secretaría sobre la </w:t>
      </w:r>
      <w:r>
        <w:rPr>
          <w:rFonts w:cstheme="minorHAnsi"/>
          <w:b/>
          <w:bCs/>
          <w:noProof/>
          <w:lang w:val="es-ES"/>
        </w:rPr>
        <w:t>aplic</w:t>
      </w:r>
      <w:r w:rsidRPr="002A53FD">
        <w:rPr>
          <w:rFonts w:cstheme="minorHAnsi"/>
          <w:b/>
          <w:bCs/>
          <w:noProof/>
          <w:lang w:val="es-ES"/>
        </w:rPr>
        <w:t xml:space="preserve">ación de la Resolución XIV.20 </w:t>
      </w:r>
      <w:r>
        <w:rPr>
          <w:rFonts w:cstheme="minorHAnsi"/>
          <w:b/>
          <w:bCs/>
          <w:noProof/>
          <w:lang w:val="es-ES"/>
        </w:rPr>
        <w:t>acerca de</w:t>
      </w:r>
      <w:r w:rsidRPr="002A53FD">
        <w:rPr>
          <w:rFonts w:cstheme="minorHAnsi"/>
          <w:b/>
          <w:bCs/>
          <w:noProof/>
          <w:lang w:val="es-ES"/>
        </w:rPr>
        <w:t xml:space="preserve"> la respuesta de la Convención </w:t>
      </w:r>
      <w:r>
        <w:rPr>
          <w:rFonts w:cstheme="minorHAnsi"/>
          <w:b/>
          <w:bCs/>
          <w:noProof/>
          <w:lang w:val="es-ES"/>
        </w:rPr>
        <w:t>ante</w:t>
      </w:r>
      <w:r w:rsidRPr="002A53FD">
        <w:rPr>
          <w:rFonts w:cstheme="minorHAnsi"/>
          <w:b/>
          <w:bCs/>
          <w:noProof/>
          <w:lang w:val="es-ES"/>
        </w:rPr>
        <w:t xml:space="preserve"> la emergencia ambiental en Ucrania </w:t>
      </w:r>
      <w:r>
        <w:rPr>
          <w:rFonts w:cstheme="minorHAnsi"/>
          <w:b/>
          <w:bCs/>
          <w:noProof/>
          <w:lang w:val="es-ES"/>
        </w:rPr>
        <w:t>relacionada con</w:t>
      </w:r>
      <w:r w:rsidRPr="002A53FD">
        <w:rPr>
          <w:rFonts w:cstheme="minorHAnsi"/>
          <w:b/>
          <w:bCs/>
          <w:noProof/>
          <w:lang w:val="es-ES"/>
        </w:rPr>
        <w:t xml:space="preserve"> </w:t>
      </w:r>
      <w:r>
        <w:rPr>
          <w:rFonts w:cstheme="minorHAnsi"/>
          <w:b/>
          <w:bCs/>
          <w:noProof/>
          <w:lang w:val="es-ES"/>
        </w:rPr>
        <w:t>los daños</w:t>
      </w:r>
      <w:r w:rsidRPr="002A53FD">
        <w:rPr>
          <w:rFonts w:cstheme="minorHAnsi"/>
          <w:b/>
          <w:bCs/>
          <w:noProof/>
          <w:lang w:val="es-ES"/>
        </w:rPr>
        <w:t xml:space="preserve"> </w:t>
      </w:r>
      <w:r>
        <w:rPr>
          <w:rFonts w:cstheme="minorHAnsi"/>
          <w:b/>
          <w:bCs/>
          <w:noProof/>
          <w:lang w:val="es-ES"/>
        </w:rPr>
        <w:t xml:space="preserve">ocasionados </w:t>
      </w:r>
      <w:r w:rsidRPr="002A53FD">
        <w:rPr>
          <w:rFonts w:cstheme="minorHAnsi"/>
          <w:b/>
          <w:bCs/>
          <w:noProof/>
          <w:lang w:val="es-ES"/>
        </w:rPr>
        <w:t>a sus Humedales de Importancia Internacional (</w:t>
      </w:r>
      <w:r>
        <w:rPr>
          <w:rFonts w:cstheme="minorHAnsi"/>
          <w:b/>
          <w:bCs/>
          <w:noProof/>
          <w:lang w:val="es-ES"/>
        </w:rPr>
        <w:t>s</w:t>
      </w:r>
      <w:r w:rsidRPr="002A53FD">
        <w:rPr>
          <w:rFonts w:cstheme="minorHAnsi"/>
          <w:b/>
          <w:bCs/>
          <w:noProof/>
          <w:lang w:val="es-ES"/>
        </w:rPr>
        <w:t>itios Ramsar)</w:t>
      </w:r>
      <w:r>
        <w:rPr>
          <w:rFonts w:cstheme="minorHAnsi"/>
          <w:b/>
          <w:bCs/>
          <w:noProof/>
          <w:lang w:val="es-ES"/>
        </w:rPr>
        <w:t xml:space="preserve"> como consecuencia </w:t>
      </w:r>
      <w:r w:rsidRPr="002A53FD">
        <w:rPr>
          <w:rFonts w:cstheme="minorHAnsi"/>
          <w:b/>
          <w:bCs/>
          <w:noProof/>
          <w:lang w:val="es-ES"/>
        </w:rPr>
        <w:t xml:space="preserve">de la agresión </w:t>
      </w:r>
      <w:r>
        <w:rPr>
          <w:rFonts w:cstheme="minorHAnsi"/>
          <w:b/>
          <w:bCs/>
          <w:noProof/>
          <w:lang w:val="es-ES"/>
        </w:rPr>
        <w:t xml:space="preserve">por parte </w:t>
      </w:r>
      <w:r w:rsidRPr="002A53FD">
        <w:rPr>
          <w:rFonts w:cstheme="minorHAnsi"/>
          <w:b/>
          <w:bCs/>
          <w:noProof/>
          <w:lang w:val="es-ES"/>
        </w:rPr>
        <w:t>de la Federación de Rusia.</w:t>
      </w:r>
    </w:p>
    <w:p w14:paraId="22B8E6A2" w14:textId="77777777" w:rsidR="006B1E1E" w:rsidRPr="00011601" w:rsidRDefault="006B1E1E" w:rsidP="00CC3135">
      <w:pPr>
        <w:keepNext/>
        <w:spacing w:after="0" w:line="240" w:lineRule="auto"/>
        <w:rPr>
          <w:rFonts w:cstheme="minorHAnsi"/>
          <w:noProof/>
          <w:lang w:val="es-ES"/>
        </w:rPr>
      </w:pPr>
    </w:p>
    <w:p w14:paraId="2A749272" w14:textId="77777777" w:rsidR="006B1E1E" w:rsidRPr="00011601"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011601">
        <w:rPr>
          <w:rFonts w:cstheme="minorHAnsi"/>
          <w:bCs/>
          <w:noProof/>
          <w:lang w:val="es-ES"/>
        </w:rPr>
        <w:t xml:space="preserve">Punto </w:t>
      </w:r>
      <w:r>
        <w:rPr>
          <w:rFonts w:cstheme="minorHAnsi"/>
          <w:bCs/>
          <w:noProof/>
          <w:lang w:val="es-ES"/>
        </w:rPr>
        <w:t>30</w:t>
      </w:r>
      <w:r w:rsidRPr="00011601">
        <w:rPr>
          <w:rFonts w:cstheme="minorHAnsi"/>
          <w:bCs/>
          <w:noProof/>
          <w:lang w:val="es-ES"/>
        </w:rPr>
        <w:t xml:space="preserve"> del orden del día: </w:t>
      </w:r>
      <w:r>
        <w:rPr>
          <w:rFonts w:cstheme="minorHAnsi"/>
          <w:bCs/>
          <w:noProof/>
          <w:lang w:val="es-ES"/>
        </w:rPr>
        <w:t>Fechas y lugar de las 65ª y 66ª reuniones del Comité Permanente</w:t>
      </w:r>
    </w:p>
    <w:p w14:paraId="3F6FD09D" w14:textId="77777777" w:rsidR="006B1E1E" w:rsidRPr="002A53FD" w:rsidRDefault="006B1E1E" w:rsidP="00CC3135">
      <w:pPr>
        <w:pStyle w:val="ListParagraph"/>
        <w:spacing w:after="0" w:line="240" w:lineRule="auto"/>
        <w:ind w:left="360"/>
        <w:rPr>
          <w:noProof/>
          <w:lang w:val="es-ES"/>
        </w:rPr>
      </w:pPr>
    </w:p>
    <w:p w14:paraId="3FA2FA17" w14:textId="77777777" w:rsidR="006B1E1E" w:rsidRPr="002A53FD" w:rsidRDefault="006B1E1E" w:rsidP="00CC3135">
      <w:pPr>
        <w:spacing w:after="0" w:line="240" w:lineRule="auto"/>
        <w:rPr>
          <w:rFonts w:cstheme="minorHAnsi"/>
          <w:b/>
          <w:bCs/>
          <w:noProof/>
          <w:lang w:val="es-ES"/>
        </w:rPr>
      </w:pPr>
      <w:r w:rsidRPr="002A53FD">
        <w:rPr>
          <w:rFonts w:cstheme="minorHAnsi"/>
          <w:b/>
          <w:bCs/>
          <w:noProof/>
          <w:lang w:val="es-ES"/>
        </w:rPr>
        <w:t>Decisión SC64-45: El Comité Permanente decidió celebrar la</w:t>
      </w:r>
      <w:r>
        <w:rPr>
          <w:rFonts w:cstheme="minorHAnsi"/>
          <w:b/>
          <w:bCs/>
          <w:noProof/>
          <w:lang w:val="es-ES"/>
        </w:rPr>
        <w:t xml:space="preserve"> reunión</w:t>
      </w:r>
      <w:r w:rsidRPr="002A53FD">
        <w:rPr>
          <w:rFonts w:cstheme="minorHAnsi"/>
          <w:b/>
          <w:bCs/>
          <w:noProof/>
          <w:lang w:val="es-ES"/>
        </w:rPr>
        <w:t xml:space="preserve"> SC65 el 23 de julio de 2025 y la </w:t>
      </w:r>
      <w:r>
        <w:rPr>
          <w:rFonts w:cstheme="minorHAnsi"/>
          <w:b/>
          <w:bCs/>
          <w:noProof/>
          <w:lang w:val="es-ES"/>
        </w:rPr>
        <w:t xml:space="preserve">reunión </w:t>
      </w:r>
      <w:r w:rsidRPr="002A53FD">
        <w:rPr>
          <w:rFonts w:cstheme="minorHAnsi"/>
          <w:b/>
          <w:bCs/>
          <w:noProof/>
          <w:lang w:val="es-ES"/>
        </w:rPr>
        <w:t>SC66 el 31 de julio de 2025. Ambas reuniones se celebrarán en Victoria</w:t>
      </w:r>
      <w:r>
        <w:rPr>
          <w:rFonts w:cstheme="minorHAnsi"/>
          <w:b/>
          <w:bCs/>
          <w:noProof/>
          <w:lang w:val="es-ES"/>
        </w:rPr>
        <w:t xml:space="preserve"> Falls</w:t>
      </w:r>
      <w:r w:rsidRPr="002A53FD">
        <w:rPr>
          <w:rFonts w:cstheme="minorHAnsi"/>
          <w:b/>
          <w:bCs/>
          <w:noProof/>
          <w:lang w:val="es-ES"/>
        </w:rPr>
        <w:t xml:space="preserve"> (Zimbabwe).</w:t>
      </w:r>
    </w:p>
    <w:p w14:paraId="0A14301F" w14:textId="77777777" w:rsidR="006B1E1E" w:rsidRDefault="006B1E1E" w:rsidP="00CC3135">
      <w:pPr>
        <w:keepNext/>
        <w:spacing w:after="0" w:line="240" w:lineRule="auto"/>
        <w:rPr>
          <w:rFonts w:cstheme="minorHAnsi"/>
          <w:noProof/>
          <w:lang w:val="es-ES"/>
        </w:rPr>
      </w:pPr>
    </w:p>
    <w:p w14:paraId="4386D95F" w14:textId="77777777" w:rsidR="006B1E1E" w:rsidRPr="00011601" w:rsidRDefault="006B1E1E" w:rsidP="00CC313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noProof/>
          <w:lang w:val="es-ES"/>
        </w:rPr>
      </w:pPr>
      <w:r w:rsidRPr="00011601">
        <w:rPr>
          <w:rFonts w:cstheme="minorHAnsi"/>
          <w:bCs/>
          <w:noProof/>
          <w:lang w:val="es-ES"/>
        </w:rPr>
        <w:t xml:space="preserve">Punto </w:t>
      </w:r>
      <w:r>
        <w:rPr>
          <w:rFonts w:cstheme="minorHAnsi"/>
          <w:bCs/>
          <w:noProof/>
          <w:lang w:val="es-ES"/>
        </w:rPr>
        <w:t>32</w:t>
      </w:r>
      <w:r w:rsidRPr="00011601">
        <w:rPr>
          <w:rFonts w:cstheme="minorHAnsi"/>
          <w:bCs/>
          <w:noProof/>
          <w:lang w:val="es-ES"/>
        </w:rPr>
        <w:t xml:space="preserve"> del orden del día: </w:t>
      </w:r>
      <w:r>
        <w:rPr>
          <w:rFonts w:cstheme="minorHAnsi"/>
          <w:bCs/>
          <w:noProof/>
          <w:lang w:val="es-ES"/>
        </w:rPr>
        <w:t>Otros asuntos</w:t>
      </w:r>
    </w:p>
    <w:p w14:paraId="402A4FCF" w14:textId="77777777" w:rsidR="006B1E1E" w:rsidRPr="00DB78DC" w:rsidRDefault="006B1E1E" w:rsidP="00CC3135">
      <w:pPr>
        <w:pStyle w:val="ListParagraph"/>
        <w:spacing w:after="0" w:line="240" w:lineRule="auto"/>
        <w:rPr>
          <w:noProof/>
          <w:lang w:val="es-ES"/>
        </w:rPr>
      </w:pPr>
    </w:p>
    <w:p w14:paraId="1438FEAF" w14:textId="1933C38C" w:rsidR="006B1E1E" w:rsidRPr="000A1F10" w:rsidRDefault="006B1E1E" w:rsidP="000A1F10">
      <w:pPr>
        <w:spacing w:after="0" w:line="240" w:lineRule="auto"/>
        <w:rPr>
          <w:rFonts w:cstheme="minorHAnsi"/>
          <w:b/>
          <w:bCs/>
          <w:noProof/>
          <w:lang w:val="es-ES"/>
        </w:rPr>
      </w:pPr>
      <w:r w:rsidRPr="00DB78DC">
        <w:rPr>
          <w:rFonts w:cstheme="minorHAnsi"/>
          <w:b/>
          <w:bCs/>
          <w:noProof/>
          <w:lang w:val="es-ES"/>
        </w:rPr>
        <w:t xml:space="preserve">Decisión SC64-46: El Comité Permanente encargó a la Secretaría que publicara la propuesta de modificación del </w:t>
      </w:r>
      <w:r>
        <w:rPr>
          <w:rFonts w:cstheme="minorHAnsi"/>
          <w:b/>
          <w:bCs/>
          <w:noProof/>
          <w:lang w:val="es-ES"/>
        </w:rPr>
        <w:t>r</w:t>
      </w:r>
      <w:r w:rsidRPr="00DB78DC">
        <w:rPr>
          <w:rFonts w:cstheme="minorHAnsi"/>
          <w:b/>
          <w:bCs/>
          <w:noProof/>
          <w:lang w:val="es-ES"/>
        </w:rPr>
        <w:t xml:space="preserve">eglamento como documento oficioso y que lo notificara a todas las Partes e </w:t>
      </w:r>
      <w:r>
        <w:rPr>
          <w:rFonts w:cstheme="minorHAnsi"/>
          <w:b/>
          <w:bCs/>
          <w:noProof/>
          <w:lang w:val="es-ES"/>
        </w:rPr>
        <w:t>instara</w:t>
      </w:r>
      <w:r w:rsidRPr="00DB78DC">
        <w:rPr>
          <w:rFonts w:cstheme="minorHAnsi"/>
          <w:b/>
          <w:bCs/>
          <w:noProof/>
          <w:lang w:val="es-ES"/>
        </w:rPr>
        <w:t xml:space="preserve"> a formular observaciones.</w:t>
      </w:r>
    </w:p>
    <w:sectPr w:rsidR="006B1E1E" w:rsidRPr="000A1F10" w:rsidSect="00BF7A16">
      <w:footerReference w:type="default" r:id="rId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68FD9" w14:textId="77777777" w:rsidR="006D344E" w:rsidRDefault="006D344E" w:rsidP="007E74BB">
      <w:pPr>
        <w:spacing w:after="0" w:line="240" w:lineRule="auto"/>
      </w:pPr>
      <w:r>
        <w:separator/>
      </w:r>
    </w:p>
  </w:endnote>
  <w:endnote w:type="continuationSeparator" w:id="0">
    <w:p w14:paraId="33BF57ED" w14:textId="77777777" w:rsidR="006D344E" w:rsidRDefault="006D344E" w:rsidP="007E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5821E" w14:textId="56E28DF9" w:rsidR="00286903" w:rsidRPr="0008506C" w:rsidRDefault="000A1F10" w:rsidP="00BF7A16">
    <w:pPr>
      <w:pStyle w:val="Footer"/>
      <w:tabs>
        <w:tab w:val="right" w:pos="13892"/>
      </w:tabs>
      <w:rPr>
        <w:lang w:val="es-ES"/>
      </w:rPr>
    </w:pPr>
    <w:r>
      <w:rPr>
        <w:noProof/>
        <w:sz w:val="20"/>
        <w:szCs w:val="20"/>
        <w:lang w:val="es-ES"/>
      </w:rPr>
      <w:t>D</w:t>
    </w:r>
    <w:r w:rsidR="00DC636C" w:rsidRPr="00DC636C">
      <w:rPr>
        <w:noProof/>
        <w:sz w:val="20"/>
        <w:szCs w:val="20"/>
        <w:lang w:val="es-ES"/>
      </w:rPr>
      <w:t>ecisiones de la reunión SC64</w:t>
    </w:r>
    <w:r w:rsidR="00BF7A16" w:rsidRPr="0008506C">
      <w:rPr>
        <w:sz w:val="20"/>
        <w:szCs w:val="20"/>
        <w:lang w:val="es-ES"/>
      </w:rPr>
      <w:tab/>
    </w:r>
    <w:r w:rsidR="00BF7A16" w:rsidRPr="0008506C">
      <w:rPr>
        <w:sz w:val="20"/>
        <w:szCs w:val="20"/>
        <w:lang w:val="es-ES"/>
      </w:rPr>
      <w:tab/>
    </w:r>
    <w:r w:rsidR="00BF7A16" w:rsidRPr="00816086">
      <w:rPr>
        <w:sz w:val="20"/>
        <w:szCs w:val="20"/>
      </w:rPr>
      <w:fldChar w:fldCharType="begin"/>
    </w:r>
    <w:r w:rsidR="00BF7A16" w:rsidRPr="0008506C">
      <w:rPr>
        <w:sz w:val="20"/>
        <w:szCs w:val="20"/>
        <w:lang w:val="es-ES"/>
      </w:rPr>
      <w:instrText xml:space="preserve"> PAGE   \* MERGEFORMAT </w:instrText>
    </w:r>
    <w:r w:rsidR="00BF7A16" w:rsidRPr="00816086">
      <w:rPr>
        <w:sz w:val="20"/>
        <w:szCs w:val="20"/>
      </w:rPr>
      <w:fldChar w:fldCharType="separate"/>
    </w:r>
    <w:r w:rsidR="00BF7A16" w:rsidRPr="0008506C">
      <w:rPr>
        <w:sz w:val="20"/>
        <w:szCs w:val="20"/>
        <w:lang w:val="es-ES"/>
      </w:rPr>
      <w:t>5</w:t>
    </w:r>
    <w:r w:rsidR="00BF7A16" w:rsidRPr="0081608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70B9F" w14:textId="77777777" w:rsidR="006D344E" w:rsidRDefault="006D344E" w:rsidP="007E74BB">
      <w:pPr>
        <w:spacing w:after="0" w:line="240" w:lineRule="auto"/>
      </w:pPr>
      <w:r>
        <w:separator/>
      </w:r>
    </w:p>
  </w:footnote>
  <w:footnote w:type="continuationSeparator" w:id="0">
    <w:p w14:paraId="08AFF2B1" w14:textId="77777777" w:rsidR="006D344E" w:rsidRDefault="006D344E" w:rsidP="007E7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650D8"/>
    <w:multiLevelType w:val="hybridMultilevel"/>
    <w:tmpl w:val="6E1EEAC4"/>
    <w:lvl w:ilvl="0" w:tplc="B320448E">
      <w:start w:val="10"/>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3C54D8"/>
    <w:multiLevelType w:val="hybridMultilevel"/>
    <w:tmpl w:val="24E81FF4"/>
    <w:lvl w:ilvl="0" w:tplc="CD5CE524">
      <w:start w:val="1"/>
      <w:numFmt w:val="decimal"/>
      <w:lvlText w:val="%1."/>
      <w:lvlJc w:val="left"/>
      <w:pPr>
        <w:ind w:left="720" w:hanging="360"/>
      </w:pPr>
      <w:rPr>
        <w:rFonts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024C02"/>
    <w:multiLevelType w:val="hybridMultilevel"/>
    <w:tmpl w:val="5790C46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4" w15:restartNumberingAfterBreak="0">
    <w:nsid w:val="1218532B"/>
    <w:multiLevelType w:val="hybridMultilevel"/>
    <w:tmpl w:val="A1EC7D98"/>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5" w15:restartNumberingAfterBreak="0">
    <w:nsid w:val="12B30756"/>
    <w:multiLevelType w:val="hybridMultilevel"/>
    <w:tmpl w:val="05A8516E"/>
    <w:lvl w:ilvl="0" w:tplc="AD30B966">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30BED"/>
    <w:multiLevelType w:val="hybridMultilevel"/>
    <w:tmpl w:val="6F7C551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A80BAD"/>
    <w:multiLevelType w:val="hybridMultilevel"/>
    <w:tmpl w:val="6CA20D34"/>
    <w:lvl w:ilvl="0" w:tplc="703E8D12">
      <w:start w:val="2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EA4FCC"/>
    <w:multiLevelType w:val="hybridMultilevel"/>
    <w:tmpl w:val="BD70E570"/>
    <w:lvl w:ilvl="0" w:tplc="BE5E9842">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1C825EE"/>
    <w:multiLevelType w:val="hybridMultilevel"/>
    <w:tmpl w:val="E8325340"/>
    <w:lvl w:ilvl="0" w:tplc="AEDE20C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0" w15:restartNumberingAfterBreak="0">
    <w:nsid w:val="23D30AF2"/>
    <w:multiLevelType w:val="hybridMultilevel"/>
    <w:tmpl w:val="49D003AE"/>
    <w:lvl w:ilvl="0" w:tplc="0E66CF1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1"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4ED6"/>
    <w:multiLevelType w:val="hybridMultilevel"/>
    <w:tmpl w:val="1BF84C5C"/>
    <w:lvl w:ilvl="0" w:tplc="96885F36">
      <w:start w:val="1"/>
      <w:numFmt w:val="decimal"/>
      <w:lvlText w:val="%1."/>
      <w:lvlJc w:val="left"/>
      <w:pPr>
        <w:ind w:left="930" w:hanging="57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099129C"/>
    <w:multiLevelType w:val="hybridMultilevel"/>
    <w:tmpl w:val="85EC13F2"/>
    <w:lvl w:ilvl="0" w:tplc="440CE116">
      <w:start w:val="2"/>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2F340E0"/>
    <w:multiLevelType w:val="hybridMultilevel"/>
    <w:tmpl w:val="4060FF14"/>
    <w:lvl w:ilvl="0" w:tplc="C6F2D40A">
      <w:start w:val="224"/>
      <w:numFmt w:val="decimal"/>
      <w:lvlText w:val="%1."/>
      <w:lvlJc w:val="left"/>
      <w:pPr>
        <w:ind w:left="400" w:hanging="40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40369"/>
    <w:multiLevelType w:val="hybridMultilevel"/>
    <w:tmpl w:val="D6180C02"/>
    <w:lvl w:ilvl="0" w:tplc="1618D932">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F6D6BA4"/>
    <w:multiLevelType w:val="hybridMultilevel"/>
    <w:tmpl w:val="9EF229D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15:restartNumberingAfterBreak="0">
    <w:nsid w:val="3F9F024F"/>
    <w:multiLevelType w:val="hybridMultilevel"/>
    <w:tmpl w:val="906034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4106F78"/>
    <w:multiLevelType w:val="hybridMultilevel"/>
    <w:tmpl w:val="BA7237F2"/>
    <w:lvl w:ilvl="0" w:tplc="F5C8B240">
      <w:start w:val="10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962A4A"/>
    <w:multiLevelType w:val="hybridMultilevel"/>
    <w:tmpl w:val="AC04B4D0"/>
    <w:lvl w:ilvl="0" w:tplc="080A000F">
      <w:start w:val="3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6D35305"/>
    <w:multiLevelType w:val="hybridMultilevel"/>
    <w:tmpl w:val="BB64966C"/>
    <w:lvl w:ilvl="0" w:tplc="02E6772E">
      <w:start w:val="3"/>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98B282C"/>
    <w:multiLevelType w:val="hybridMultilevel"/>
    <w:tmpl w:val="4D063B1E"/>
    <w:lvl w:ilvl="0" w:tplc="8B62A654">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2003FA"/>
    <w:multiLevelType w:val="hybridMultilevel"/>
    <w:tmpl w:val="9DE4DA8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5" w15:restartNumberingAfterBreak="0">
    <w:nsid w:val="52338D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2A41629"/>
    <w:multiLevelType w:val="hybridMultilevel"/>
    <w:tmpl w:val="C384598A"/>
    <w:lvl w:ilvl="0" w:tplc="1EE45DE6">
      <w:start w:val="1"/>
      <w:numFmt w:val="bullet"/>
      <w:lvlText w:val="-"/>
      <w:lvlJc w:val="left"/>
      <w:pPr>
        <w:ind w:left="720" w:hanging="360"/>
      </w:pPr>
      <w:rPr>
        <w:rFonts w:ascii="Yu Gothic" w:eastAsia="Yu Gothic" w:hAnsi="Yu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1F7340"/>
    <w:multiLevelType w:val="hybridMultilevel"/>
    <w:tmpl w:val="3E2445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1A700C"/>
    <w:multiLevelType w:val="hybridMultilevel"/>
    <w:tmpl w:val="942E2A5E"/>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0"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333C25"/>
    <w:multiLevelType w:val="hybridMultilevel"/>
    <w:tmpl w:val="3C90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C29D4"/>
    <w:multiLevelType w:val="hybridMultilevel"/>
    <w:tmpl w:val="06461D76"/>
    <w:lvl w:ilvl="0" w:tplc="0C8EFF9E">
      <w:start w:val="10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2158B8"/>
    <w:multiLevelType w:val="hybridMultilevel"/>
    <w:tmpl w:val="BB24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7C04BF"/>
    <w:multiLevelType w:val="hybridMultilevel"/>
    <w:tmpl w:val="CA2A249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2B1E86"/>
    <w:multiLevelType w:val="hybridMultilevel"/>
    <w:tmpl w:val="02502934"/>
    <w:lvl w:ilvl="0" w:tplc="4932799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A554FF"/>
    <w:multiLevelType w:val="hybridMultilevel"/>
    <w:tmpl w:val="EFB6CB62"/>
    <w:lvl w:ilvl="0" w:tplc="0E66CF1E">
      <w:start w:val="10"/>
      <w:numFmt w:val="bullet"/>
      <w:lvlText w:val="•"/>
      <w:lvlJc w:val="left"/>
      <w:pPr>
        <w:ind w:left="1494" w:hanging="360"/>
      </w:pPr>
      <w:rPr>
        <w:rFonts w:ascii="Calibri" w:eastAsia="Calibri" w:hAnsi="Calibri" w:cs="Calibri"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7" w15:restartNumberingAfterBreak="0">
    <w:nsid w:val="77B523DE"/>
    <w:multiLevelType w:val="hybridMultilevel"/>
    <w:tmpl w:val="52DC2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2980440">
    <w:abstractNumId w:val="28"/>
  </w:num>
  <w:num w:numId="2" w16cid:durableId="1458841891">
    <w:abstractNumId w:val="27"/>
  </w:num>
  <w:num w:numId="3" w16cid:durableId="1090544810">
    <w:abstractNumId w:val="5"/>
  </w:num>
  <w:num w:numId="4" w16cid:durableId="123233431">
    <w:abstractNumId w:val="22"/>
  </w:num>
  <w:num w:numId="5" w16cid:durableId="340470678">
    <w:abstractNumId w:val="15"/>
  </w:num>
  <w:num w:numId="6" w16cid:durableId="169685391">
    <w:abstractNumId w:val="11"/>
  </w:num>
  <w:num w:numId="7" w16cid:durableId="1230919908">
    <w:abstractNumId w:val="0"/>
  </w:num>
  <w:num w:numId="8" w16cid:durableId="1878738316">
    <w:abstractNumId w:val="30"/>
  </w:num>
  <w:num w:numId="9" w16cid:durableId="148835326">
    <w:abstractNumId w:val="33"/>
  </w:num>
  <w:num w:numId="10" w16cid:durableId="1037121405">
    <w:abstractNumId w:val="23"/>
  </w:num>
  <w:num w:numId="11" w16cid:durableId="1926835653">
    <w:abstractNumId w:val="31"/>
  </w:num>
  <w:num w:numId="12" w16cid:durableId="1664359438">
    <w:abstractNumId w:val="26"/>
  </w:num>
  <w:num w:numId="13" w16cid:durableId="1656255312">
    <w:abstractNumId w:val="1"/>
  </w:num>
  <w:num w:numId="14" w16cid:durableId="1273975056">
    <w:abstractNumId w:val="3"/>
  </w:num>
  <w:num w:numId="15" w16cid:durableId="24410410">
    <w:abstractNumId w:val="9"/>
  </w:num>
  <w:num w:numId="16" w16cid:durableId="198784152">
    <w:abstractNumId w:val="24"/>
  </w:num>
  <w:num w:numId="17" w16cid:durableId="635529396">
    <w:abstractNumId w:val="25"/>
  </w:num>
  <w:num w:numId="18" w16cid:durableId="2029793204">
    <w:abstractNumId w:val="4"/>
  </w:num>
  <w:num w:numId="19" w16cid:durableId="2033989257">
    <w:abstractNumId w:val="10"/>
  </w:num>
  <w:num w:numId="20" w16cid:durableId="893082097">
    <w:abstractNumId w:val="36"/>
  </w:num>
  <w:num w:numId="21" w16cid:durableId="665322748">
    <w:abstractNumId w:val="21"/>
  </w:num>
  <w:num w:numId="22" w16cid:durableId="1898739311">
    <w:abstractNumId w:val="12"/>
  </w:num>
  <w:num w:numId="23" w16cid:durableId="514416200">
    <w:abstractNumId w:val="13"/>
  </w:num>
  <w:num w:numId="24" w16cid:durableId="459495404">
    <w:abstractNumId w:val="18"/>
  </w:num>
  <w:num w:numId="25" w16cid:durableId="1793087599">
    <w:abstractNumId w:val="2"/>
  </w:num>
  <w:num w:numId="26" w16cid:durableId="915746788">
    <w:abstractNumId w:val="16"/>
  </w:num>
  <w:num w:numId="27" w16cid:durableId="2086948306">
    <w:abstractNumId w:val="17"/>
  </w:num>
  <w:num w:numId="28" w16cid:durableId="1697005309">
    <w:abstractNumId w:val="35"/>
  </w:num>
  <w:num w:numId="29" w16cid:durableId="812678728">
    <w:abstractNumId w:val="20"/>
  </w:num>
  <w:num w:numId="30" w16cid:durableId="1129738741">
    <w:abstractNumId w:val="32"/>
  </w:num>
  <w:num w:numId="31" w16cid:durableId="1911234518">
    <w:abstractNumId w:val="19"/>
  </w:num>
  <w:num w:numId="32" w16cid:durableId="1344087498">
    <w:abstractNumId w:val="37"/>
  </w:num>
  <w:num w:numId="33" w16cid:durableId="1798253782">
    <w:abstractNumId w:val="7"/>
  </w:num>
  <w:num w:numId="34" w16cid:durableId="501704799">
    <w:abstractNumId w:val="34"/>
  </w:num>
  <w:num w:numId="35" w16cid:durableId="84570492">
    <w:abstractNumId w:val="14"/>
  </w:num>
  <w:num w:numId="36" w16cid:durableId="1144858301">
    <w:abstractNumId w:val="8"/>
  </w:num>
  <w:num w:numId="37" w16cid:durableId="985937126">
    <w:abstractNumId w:val="6"/>
  </w:num>
  <w:num w:numId="38" w16cid:durableId="21407642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AD"/>
    <w:rsid w:val="000131EE"/>
    <w:rsid w:val="0004070F"/>
    <w:rsid w:val="00041199"/>
    <w:rsid w:val="00051547"/>
    <w:rsid w:val="0008506C"/>
    <w:rsid w:val="00091B16"/>
    <w:rsid w:val="00091F32"/>
    <w:rsid w:val="00097F81"/>
    <w:rsid w:val="000A1F10"/>
    <w:rsid w:val="000A5475"/>
    <w:rsid w:val="000A7CB2"/>
    <w:rsid w:val="000C738A"/>
    <w:rsid w:val="000C7FDA"/>
    <w:rsid w:val="000D4868"/>
    <w:rsid w:val="000D72DD"/>
    <w:rsid w:val="000F75A5"/>
    <w:rsid w:val="0010148F"/>
    <w:rsid w:val="001124AF"/>
    <w:rsid w:val="0011797A"/>
    <w:rsid w:val="00122722"/>
    <w:rsid w:val="00145A96"/>
    <w:rsid w:val="00193697"/>
    <w:rsid w:val="001D4312"/>
    <w:rsid w:val="001E43C6"/>
    <w:rsid w:val="001F3D05"/>
    <w:rsid w:val="00241D9B"/>
    <w:rsid w:val="00254F62"/>
    <w:rsid w:val="00264D5E"/>
    <w:rsid w:val="002763C9"/>
    <w:rsid w:val="00286903"/>
    <w:rsid w:val="002C2635"/>
    <w:rsid w:val="002C4F6E"/>
    <w:rsid w:val="002D1C3E"/>
    <w:rsid w:val="002D324A"/>
    <w:rsid w:val="002D6884"/>
    <w:rsid w:val="00301F1F"/>
    <w:rsid w:val="0031622A"/>
    <w:rsid w:val="00322427"/>
    <w:rsid w:val="00322E88"/>
    <w:rsid w:val="003723B8"/>
    <w:rsid w:val="00374AE6"/>
    <w:rsid w:val="003D4E2B"/>
    <w:rsid w:val="003E3B1E"/>
    <w:rsid w:val="003F5902"/>
    <w:rsid w:val="00406B85"/>
    <w:rsid w:val="00433327"/>
    <w:rsid w:val="00477B18"/>
    <w:rsid w:val="004B7500"/>
    <w:rsid w:val="004D3404"/>
    <w:rsid w:val="004E0DF9"/>
    <w:rsid w:val="004F13E8"/>
    <w:rsid w:val="004F2D87"/>
    <w:rsid w:val="00526C01"/>
    <w:rsid w:val="00527FC7"/>
    <w:rsid w:val="0054511F"/>
    <w:rsid w:val="005E0930"/>
    <w:rsid w:val="00621FC4"/>
    <w:rsid w:val="00623BF9"/>
    <w:rsid w:val="00630775"/>
    <w:rsid w:val="0066043F"/>
    <w:rsid w:val="006644EA"/>
    <w:rsid w:val="00690126"/>
    <w:rsid w:val="00690C45"/>
    <w:rsid w:val="006B15C5"/>
    <w:rsid w:val="006B1E1E"/>
    <w:rsid w:val="006D344E"/>
    <w:rsid w:val="00761981"/>
    <w:rsid w:val="00766BF4"/>
    <w:rsid w:val="00781FE5"/>
    <w:rsid w:val="007D4437"/>
    <w:rsid w:val="007E74BB"/>
    <w:rsid w:val="00814FC6"/>
    <w:rsid w:val="0086695C"/>
    <w:rsid w:val="0087697A"/>
    <w:rsid w:val="0088003E"/>
    <w:rsid w:val="008A35C9"/>
    <w:rsid w:val="008B32C4"/>
    <w:rsid w:val="008E7B42"/>
    <w:rsid w:val="008F7A71"/>
    <w:rsid w:val="00916655"/>
    <w:rsid w:val="009306C6"/>
    <w:rsid w:val="00960FA5"/>
    <w:rsid w:val="00993D09"/>
    <w:rsid w:val="009A2CBF"/>
    <w:rsid w:val="00A07676"/>
    <w:rsid w:val="00A15483"/>
    <w:rsid w:val="00A22ECE"/>
    <w:rsid w:val="00A362E4"/>
    <w:rsid w:val="00A65A96"/>
    <w:rsid w:val="00AA2E2F"/>
    <w:rsid w:val="00AC1A42"/>
    <w:rsid w:val="00AF3C3B"/>
    <w:rsid w:val="00B521A5"/>
    <w:rsid w:val="00B64C35"/>
    <w:rsid w:val="00B74C77"/>
    <w:rsid w:val="00BB707E"/>
    <w:rsid w:val="00BE6D14"/>
    <w:rsid w:val="00BF7A16"/>
    <w:rsid w:val="00C061C9"/>
    <w:rsid w:val="00C26BD8"/>
    <w:rsid w:val="00C43339"/>
    <w:rsid w:val="00C5541C"/>
    <w:rsid w:val="00C666D0"/>
    <w:rsid w:val="00C76D74"/>
    <w:rsid w:val="00C93010"/>
    <w:rsid w:val="00CA30B9"/>
    <w:rsid w:val="00CB6467"/>
    <w:rsid w:val="00CC3135"/>
    <w:rsid w:val="00D142EE"/>
    <w:rsid w:val="00D32E8B"/>
    <w:rsid w:val="00D354E4"/>
    <w:rsid w:val="00D40D79"/>
    <w:rsid w:val="00D550C5"/>
    <w:rsid w:val="00DC636C"/>
    <w:rsid w:val="00DD04AD"/>
    <w:rsid w:val="00DD0551"/>
    <w:rsid w:val="00DE545B"/>
    <w:rsid w:val="00DF3F4C"/>
    <w:rsid w:val="00E010C5"/>
    <w:rsid w:val="00E15B1B"/>
    <w:rsid w:val="00E53725"/>
    <w:rsid w:val="00E828EB"/>
    <w:rsid w:val="00E94254"/>
    <w:rsid w:val="00EC3C3C"/>
    <w:rsid w:val="00EF3A05"/>
    <w:rsid w:val="00EF539E"/>
    <w:rsid w:val="00F17021"/>
    <w:rsid w:val="00F347EF"/>
    <w:rsid w:val="00F34A59"/>
    <w:rsid w:val="00F614D7"/>
    <w:rsid w:val="00F61901"/>
    <w:rsid w:val="00F827C0"/>
    <w:rsid w:val="00F930E5"/>
    <w:rsid w:val="00FC7AFF"/>
    <w:rsid w:val="00FD0750"/>
    <w:rsid w:val="00FD793E"/>
    <w:rsid w:val="00FE78F1"/>
    <w:rsid w:val="00FF52F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D245"/>
  <w15:chartTrackingRefBased/>
  <w15:docId w15:val="{9F5EF160-4790-6C42-9580-578B8120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2B"/>
    <w:pPr>
      <w:spacing w:after="160" w:line="259" w:lineRule="auto"/>
    </w:pPr>
    <w:rPr>
      <w:sz w:val="22"/>
      <w:szCs w:val="22"/>
      <w:lang w:val="en-AU"/>
    </w:rPr>
  </w:style>
  <w:style w:type="paragraph" w:styleId="Heading1">
    <w:name w:val="heading 1"/>
    <w:basedOn w:val="Normal"/>
    <w:next w:val="Normal"/>
    <w:link w:val="Heading1Char"/>
    <w:qFormat/>
    <w:rsid w:val="00DD04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D04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DD04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DD04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DD04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04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4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4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DD04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4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D04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DD04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DD04AD"/>
    <w:rPr>
      <w:rFonts w:eastAsiaTheme="majorEastAsia" w:cstheme="majorBidi"/>
      <w:i/>
      <w:iCs/>
      <w:color w:val="2F5496" w:themeColor="accent1" w:themeShade="BF"/>
    </w:rPr>
  </w:style>
  <w:style w:type="character" w:customStyle="1" w:styleId="Heading5Char">
    <w:name w:val="Heading 5 Char"/>
    <w:basedOn w:val="DefaultParagraphFont"/>
    <w:link w:val="Heading5"/>
    <w:rsid w:val="00DD04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04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4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4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DD04AD"/>
    <w:rPr>
      <w:rFonts w:eastAsiaTheme="majorEastAsia" w:cstheme="majorBidi"/>
      <w:color w:val="272727" w:themeColor="text1" w:themeTint="D8"/>
    </w:rPr>
  </w:style>
  <w:style w:type="paragraph" w:styleId="Title">
    <w:name w:val="Title"/>
    <w:basedOn w:val="Normal"/>
    <w:next w:val="Normal"/>
    <w:link w:val="TitleChar"/>
    <w:uiPriority w:val="99"/>
    <w:qFormat/>
    <w:rsid w:val="00DD04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DD04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4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4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4AD"/>
    <w:pPr>
      <w:spacing w:before="160"/>
      <w:jc w:val="center"/>
    </w:pPr>
    <w:rPr>
      <w:i/>
      <w:iCs/>
      <w:color w:val="404040" w:themeColor="text1" w:themeTint="BF"/>
    </w:rPr>
  </w:style>
  <w:style w:type="character" w:customStyle="1" w:styleId="QuoteChar">
    <w:name w:val="Quote Char"/>
    <w:basedOn w:val="DefaultParagraphFont"/>
    <w:link w:val="Quote"/>
    <w:uiPriority w:val="29"/>
    <w:rsid w:val="00DD04AD"/>
    <w:rPr>
      <w:i/>
      <w:iCs/>
      <w:color w:val="404040" w:themeColor="text1" w:themeTint="BF"/>
    </w:rPr>
  </w:style>
  <w:style w:type="paragraph" w:styleId="ListParagraph">
    <w:name w:val="List Paragraph"/>
    <w:aliases w:val="Rec para"/>
    <w:basedOn w:val="Normal"/>
    <w:link w:val="ListParagraphChar"/>
    <w:uiPriority w:val="34"/>
    <w:qFormat/>
    <w:rsid w:val="00DD04AD"/>
    <w:pPr>
      <w:ind w:left="720"/>
      <w:contextualSpacing/>
    </w:pPr>
  </w:style>
  <w:style w:type="character" w:styleId="IntenseEmphasis">
    <w:name w:val="Intense Emphasis"/>
    <w:basedOn w:val="DefaultParagraphFont"/>
    <w:uiPriority w:val="21"/>
    <w:qFormat/>
    <w:rsid w:val="00DD04AD"/>
    <w:rPr>
      <w:i/>
      <w:iCs/>
      <w:color w:val="2F5496" w:themeColor="accent1" w:themeShade="BF"/>
    </w:rPr>
  </w:style>
  <w:style w:type="paragraph" w:styleId="IntenseQuote">
    <w:name w:val="Intense Quote"/>
    <w:basedOn w:val="Normal"/>
    <w:next w:val="Normal"/>
    <w:link w:val="IntenseQuoteChar"/>
    <w:uiPriority w:val="30"/>
    <w:qFormat/>
    <w:rsid w:val="00DD0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04AD"/>
    <w:rPr>
      <w:i/>
      <w:iCs/>
      <w:color w:val="2F5496" w:themeColor="accent1" w:themeShade="BF"/>
    </w:rPr>
  </w:style>
  <w:style w:type="character" w:styleId="IntenseReference">
    <w:name w:val="Intense Reference"/>
    <w:basedOn w:val="DefaultParagraphFont"/>
    <w:uiPriority w:val="32"/>
    <w:qFormat/>
    <w:rsid w:val="00DD04AD"/>
    <w:rPr>
      <w:b/>
      <w:bCs/>
      <w:smallCaps/>
      <w:color w:val="2F5496" w:themeColor="accent1" w:themeShade="BF"/>
      <w:spacing w:val="5"/>
    </w:rPr>
  </w:style>
  <w:style w:type="character" w:customStyle="1" w:styleId="ListParagraphChar">
    <w:name w:val="List Paragraph Char"/>
    <w:aliases w:val="Rec para Char"/>
    <w:link w:val="ListParagraph"/>
    <w:uiPriority w:val="34"/>
    <w:locked/>
    <w:rsid w:val="003D4E2B"/>
  </w:style>
  <w:style w:type="paragraph" w:styleId="Header">
    <w:name w:val="header"/>
    <w:basedOn w:val="Normal"/>
    <w:link w:val="HeaderChar"/>
    <w:uiPriority w:val="99"/>
    <w:unhideWhenUsed/>
    <w:rsid w:val="007E74BB"/>
    <w:pPr>
      <w:tabs>
        <w:tab w:val="center" w:pos="4419"/>
        <w:tab w:val="right" w:pos="8838"/>
      </w:tabs>
      <w:spacing w:after="0" w:line="240" w:lineRule="auto"/>
    </w:pPr>
  </w:style>
  <w:style w:type="character" w:customStyle="1" w:styleId="HeaderChar">
    <w:name w:val="Header Char"/>
    <w:basedOn w:val="DefaultParagraphFont"/>
    <w:link w:val="Header"/>
    <w:uiPriority w:val="99"/>
    <w:rsid w:val="007E74BB"/>
    <w:rPr>
      <w:sz w:val="22"/>
      <w:szCs w:val="22"/>
      <w:lang w:val="en-AU"/>
    </w:rPr>
  </w:style>
  <w:style w:type="paragraph" w:styleId="Footer">
    <w:name w:val="footer"/>
    <w:basedOn w:val="Normal"/>
    <w:link w:val="FooterChar"/>
    <w:uiPriority w:val="99"/>
    <w:unhideWhenUsed/>
    <w:rsid w:val="007E74BB"/>
    <w:pPr>
      <w:tabs>
        <w:tab w:val="center" w:pos="4419"/>
        <w:tab w:val="right" w:pos="8838"/>
      </w:tabs>
      <w:spacing w:after="0" w:line="240" w:lineRule="auto"/>
    </w:pPr>
  </w:style>
  <w:style w:type="character" w:customStyle="1" w:styleId="FooterChar">
    <w:name w:val="Footer Char"/>
    <w:basedOn w:val="DefaultParagraphFont"/>
    <w:link w:val="Footer"/>
    <w:uiPriority w:val="99"/>
    <w:rsid w:val="007E74BB"/>
    <w:rPr>
      <w:sz w:val="22"/>
      <w:szCs w:val="22"/>
      <w:lang w:val="en-AU"/>
    </w:rPr>
  </w:style>
  <w:style w:type="paragraph" w:customStyle="1" w:styleId="Default">
    <w:name w:val="Default"/>
    <w:uiPriority w:val="99"/>
    <w:rsid w:val="006B1E1E"/>
    <w:pPr>
      <w:autoSpaceDE w:val="0"/>
      <w:autoSpaceDN w:val="0"/>
      <w:adjustRightInd w:val="0"/>
    </w:pPr>
    <w:rPr>
      <w:rFonts w:ascii="Calibri" w:hAnsi="Calibri" w:cs="Calibri"/>
      <w:color w:val="000000"/>
      <w:kern w:val="0"/>
      <w:lang w:val="en-GB"/>
      <w14:ligatures w14:val="none"/>
    </w:rPr>
  </w:style>
  <w:style w:type="paragraph" w:styleId="BalloonText">
    <w:name w:val="Balloon Text"/>
    <w:basedOn w:val="Normal"/>
    <w:link w:val="BalloonTextChar"/>
    <w:uiPriority w:val="99"/>
    <w:semiHidden/>
    <w:unhideWhenUsed/>
    <w:rsid w:val="006B1E1E"/>
    <w:pPr>
      <w:spacing w:after="0" w:line="240" w:lineRule="auto"/>
    </w:pPr>
    <w:rPr>
      <w:rFonts w:ascii="Segoe UI" w:hAnsi="Segoe UI" w:cs="Segoe UI"/>
      <w:kern w:val="0"/>
      <w:sz w:val="18"/>
      <w:szCs w:val="18"/>
      <w:lang w:val="en-GB"/>
      <w14:ligatures w14:val="none"/>
    </w:rPr>
  </w:style>
  <w:style w:type="character" w:customStyle="1" w:styleId="BalloonTextChar">
    <w:name w:val="Balloon Text Char"/>
    <w:basedOn w:val="DefaultParagraphFont"/>
    <w:link w:val="BalloonText"/>
    <w:uiPriority w:val="99"/>
    <w:semiHidden/>
    <w:rsid w:val="006B1E1E"/>
    <w:rPr>
      <w:rFonts w:ascii="Segoe UI" w:hAnsi="Segoe UI" w:cs="Segoe UI"/>
      <w:kern w:val="0"/>
      <w:sz w:val="18"/>
      <w:szCs w:val="18"/>
      <w:lang w:val="en-GB"/>
      <w14:ligatures w14:val="none"/>
    </w:rPr>
  </w:style>
  <w:style w:type="paragraph" w:customStyle="1" w:styleId="ColorfulList-Accent11">
    <w:name w:val="Colorful List - Accent 11"/>
    <w:basedOn w:val="Normal"/>
    <w:uiPriority w:val="34"/>
    <w:qFormat/>
    <w:rsid w:val="006B1E1E"/>
    <w:pPr>
      <w:spacing w:after="0" w:line="240" w:lineRule="auto"/>
      <w:ind w:left="720" w:hanging="425"/>
      <w:contextualSpacing/>
    </w:pPr>
    <w:rPr>
      <w:rFonts w:ascii="Calibri" w:eastAsia="Calibri" w:hAnsi="Calibri" w:cs="Times New Roman"/>
      <w:kern w:val="0"/>
      <w:lang w:val="en-GB"/>
      <w14:ligatures w14:val="none"/>
    </w:rPr>
  </w:style>
  <w:style w:type="paragraph" w:styleId="FootnoteText">
    <w:name w:val="footnote text"/>
    <w:basedOn w:val="Normal"/>
    <w:link w:val="FootnoteTextChar"/>
    <w:uiPriority w:val="99"/>
    <w:unhideWhenUsed/>
    <w:rsid w:val="006B1E1E"/>
    <w:pPr>
      <w:spacing w:after="0" w:line="240" w:lineRule="auto"/>
    </w:pPr>
    <w:rPr>
      <w:kern w:val="0"/>
      <w:sz w:val="20"/>
      <w:szCs w:val="20"/>
      <w:lang w:val="en-GB"/>
      <w14:ligatures w14:val="none"/>
    </w:rPr>
  </w:style>
  <w:style w:type="character" w:customStyle="1" w:styleId="FootnoteTextChar">
    <w:name w:val="Footnote Text Char"/>
    <w:basedOn w:val="DefaultParagraphFont"/>
    <w:link w:val="FootnoteText"/>
    <w:uiPriority w:val="99"/>
    <w:rsid w:val="006B1E1E"/>
    <w:rPr>
      <w:kern w:val="0"/>
      <w:sz w:val="20"/>
      <w:szCs w:val="20"/>
      <w:lang w:val="en-GB"/>
      <w14:ligatures w14:val="none"/>
    </w:rPr>
  </w:style>
  <w:style w:type="character" w:styleId="FootnoteReference">
    <w:name w:val="footnote reference"/>
    <w:basedOn w:val="DefaultParagraphFont"/>
    <w:semiHidden/>
    <w:unhideWhenUsed/>
    <w:rsid w:val="006B1E1E"/>
    <w:rPr>
      <w:vertAlign w:val="superscript"/>
    </w:rPr>
  </w:style>
  <w:style w:type="character" w:styleId="Hyperlink">
    <w:name w:val="Hyperlink"/>
    <w:basedOn w:val="DefaultParagraphFont"/>
    <w:uiPriority w:val="99"/>
    <w:unhideWhenUsed/>
    <w:rsid w:val="006B1E1E"/>
    <w:rPr>
      <w:color w:val="0000FF"/>
      <w:u w:val="single"/>
    </w:rPr>
  </w:style>
  <w:style w:type="paragraph" w:customStyle="1" w:styleId="xmsonormal">
    <w:name w:val="x_msonormal"/>
    <w:basedOn w:val="Normal"/>
    <w:uiPriority w:val="99"/>
    <w:rsid w:val="006B1E1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CommentText">
    <w:name w:val="annotation text"/>
    <w:basedOn w:val="Normal"/>
    <w:link w:val="CommentTextChar"/>
    <w:uiPriority w:val="99"/>
    <w:unhideWhenUsed/>
    <w:rsid w:val="006B1E1E"/>
    <w:pPr>
      <w:spacing w:line="240" w:lineRule="auto"/>
    </w:pPr>
    <w:rPr>
      <w:kern w:val="0"/>
      <w:sz w:val="20"/>
      <w:szCs w:val="20"/>
      <w:lang w:val="en-GB"/>
      <w14:ligatures w14:val="none"/>
    </w:rPr>
  </w:style>
  <w:style w:type="character" w:customStyle="1" w:styleId="CommentTextChar">
    <w:name w:val="Comment Text Char"/>
    <w:basedOn w:val="DefaultParagraphFont"/>
    <w:link w:val="CommentText"/>
    <w:uiPriority w:val="99"/>
    <w:rsid w:val="006B1E1E"/>
    <w:rPr>
      <w:kern w:val="0"/>
      <w:sz w:val="20"/>
      <w:szCs w:val="20"/>
      <w:lang w:val="en-GB"/>
      <w14:ligatures w14:val="none"/>
    </w:rPr>
  </w:style>
  <w:style w:type="table" w:styleId="TableGrid">
    <w:name w:val="Table Grid"/>
    <w:basedOn w:val="TableNormal"/>
    <w:rsid w:val="006B1E1E"/>
    <w:rPr>
      <w:rFonts w:eastAsiaTheme="minorEastAsia"/>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1E1E"/>
    <w:rPr>
      <w:kern w:val="0"/>
      <w:sz w:val="22"/>
      <w:szCs w:val="22"/>
      <w:lang w:val="en-US"/>
      <w14:ligatures w14:val="none"/>
    </w:rPr>
  </w:style>
  <w:style w:type="character" w:styleId="CommentReference">
    <w:name w:val="annotation reference"/>
    <w:basedOn w:val="DefaultParagraphFont"/>
    <w:uiPriority w:val="99"/>
    <w:unhideWhenUsed/>
    <w:rsid w:val="006B1E1E"/>
    <w:rPr>
      <w:sz w:val="16"/>
      <w:szCs w:val="16"/>
    </w:rPr>
  </w:style>
  <w:style w:type="paragraph" w:styleId="CommentSubject">
    <w:name w:val="annotation subject"/>
    <w:basedOn w:val="CommentText"/>
    <w:next w:val="CommentText"/>
    <w:link w:val="CommentSubjectChar"/>
    <w:uiPriority w:val="99"/>
    <w:unhideWhenUsed/>
    <w:rsid w:val="006B1E1E"/>
    <w:rPr>
      <w:b/>
      <w:bCs/>
    </w:rPr>
  </w:style>
  <w:style w:type="character" w:customStyle="1" w:styleId="CommentSubjectChar">
    <w:name w:val="Comment Subject Char"/>
    <w:basedOn w:val="CommentTextChar"/>
    <w:link w:val="CommentSubject"/>
    <w:uiPriority w:val="99"/>
    <w:rsid w:val="006B1E1E"/>
    <w:rPr>
      <w:b/>
      <w:bCs/>
      <w:kern w:val="0"/>
      <w:sz w:val="20"/>
      <w:szCs w:val="20"/>
      <w:lang w:val="en-GB"/>
      <w14:ligatures w14:val="none"/>
    </w:rPr>
  </w:style>
  <w:style w:type="numbering" w:customStyle="1" w:styleId="Style1">
    <w:name w:val="Style1"/>
    <w:uiPriority w:val="99"/>
    <w:rsid w:val="006B1E1E"/>
    <w:pPr>
      <w:numPr>
        <w:numId w:val="6"/>
      </w:numPr>
    </w:pPr>
  </w:style>
  <w:style w:type="character" w:styleId="FollowedHyperlink">
    <w:name w:val="FollowedHyperlink"/>
    <w:basedOn w:val="DefaultParagraphFont"/>
    <w:uiPriority w:val="99"/>
    <w:unhideWhenUsed/>
    <w:rsid w:val="006B1E1E"/>
    <w:rPr>
      <w:color w:val="954F72" w:themeColor="followedHyperlink"/>
      <w:u w:val="single"/>
    </w:rPr>
  </w:style>
  <w:style w:type="paragraph" w:styleId="Revision">
    <w:name w:val="Revision"/>
    <w:hidden/>
    <w:uiPriority w:val="99"/>
    <w:semiHidden/>
    <w:rsid w:val="006B1E1E"/>
    <w:pPr>
      <w:spacing w:after="200" w:line="288" w:lineRule="auto"/>
    </w:pPr>
    <w:rPr>
      <w:rFonts w:ascii="Calibri" w:eastAsia="Calibri" w:hAnsi="Calibri" w:cs="Times New Roman"/>
      <w:kern w:val="0"/>
      <w:sz w:val="21"/>
      <w:szCs w:val="21"/>
      <w:lang w:val="en-GB"/>
      <w14:ligatures w14:val="none"/>
    </w:rPr>
  </w:style>
  <w:style w:type="paragraph" w:customStyle="1" w:styleId="msonormal0">
    <w:name w:val="msonormal"/>
    <w:basedOn w:val="Normal"/>
    <w:uiPriority w:val="99"/>
    <w:rsid w:val="006B1E1E"/>
    <w:pPr>
      <w:spacing w:before="100" w:beforeAutospacing="1" w:after="100" w:afterAutospacing="1" w:line="288" w:lineRule="auto"/>
    </w:pPr>
    <w:rPr>
      <w:rFonts w:ascii="Times New Roman" w:eastAsia="Times New Roman" w:hAnsi="Times New Roman"/>
      <w:kern w:val="0"/>
      <w:sz w:val="24"/>
      <w:szCs w:val="24"/>
      <w:lang w:val="en-GB" w:eastAsia="en-GB"/>
      <w14:ligatures w14:val="none"/>
    </w:rPr>
  </w:style>
  <w:style w:type="paragraph" w:styleId="BodyText">
    <w:name w:val="Body Text"/>
    <w:basedOn w:val="Normal"/>
    <w:link w:val="BodyTextChar"/>
    <w:uiPriority w:val="1"/>
    <w:unhideWhenUsed/>
    <w:qFormat/>
    <w:rsid w:val="006B1E1E"/>
    <w:pPr>
      <w:widowControl w:val="0"/>
      <w:spacing w:after="200" w:line="288" w:lineRule="auto"/>
      <w:ind w:left="3" w:hanging="440"/>
    </w:pPr>
    <w:rPr>
      <w:rFonts w:eastAsiaTheme="minorEastAsia"/>
      <w:kern w:val="0"/>
      <w:sz w:val="21"/>
      <w:szCs w:val="21"/>
      <w:lang w:val="en-US"/>
      <w14:ligatures w14:val="none"/>
    </w:rPr>
  </w:style>
  <w:style w:type="character" w:customStyle="1" w:styleId="BodyTextChar">
    <w:name w:val="Body Text Char"/>
    <w:basedOn w:val="DefaultParagraphFont"/>
    <w:link w:val="BodyText"/>
    <w:uiPriority w:val="1"/>
    <w:rsid w:val="006B1E1E"/>
    <w:rPr>
      <w:rFonts w:eastAsiaTheme="minorEastAsia"/>
      <w:kern w:val="0"/>
      <w:sz w:val="21"/>
      <w:szCs w:val="21"/>
      <w:lang w:val="en-US"/>
      <w14:ligatures w14:val="none"/>
    </w:rPr>
  </w:style>
  <w:style w:type="paragraph" w:customStyle="1" w:styleId="Normal1">
    <w:name w:val="Normal1"/>
    <w:uiPriority w:val="99"/>
    <w:rsid w:val="006B1E1E"/>
    <w:pPr>
      <w:spacing w:after="4" w:line="249" w:lineRule="auto"/>
      <w:ind w:left="435" w:right="118" w:hanging="434"/>
    </w:pPr>
    <w:rPr>
      <w:rFonts w:ascii="Calibri" w:eastAsia="Calibri" w:hAnsi="Calibri" w:cs="Calibri"/>
      <w:kern w:val="0"/>
      <w:sz w:val="21"/>
      <w:szCs w:val="21"/>
      <w:lang w:val="en-US"/>
      <w14:ligatures w14:val="none"/>
    </w:rPr>
  </w:style>
  <w:style w:type="character" w:styleId="SubtleEmphasis">
    <w:name w:val="Subtle Emphasis"/>
    <w:basedOn w:val="DefaultParagraphFont"/>
    <w:uiPriority w:val="19"/>
    <w:qFormat/>
    <w:rsid w:val="006B1E1E"/>
    <w:rPr>
      <w:i/>
      <w:iCs/>
    </w:rPr>
  </w:style>
  <w:style w:type="table" w:styleId="LightList">
    <w:name w:val="Light List"/>
    <w:basedOn w:val="TableNormal"/>
    <w:uiPriority w:val="61"/>
    <w:semiHidden/>
    <w:unhideWhenUsed/>
    <w:rsid w:val="006B1E1E"/>
    <w:pPr>
      <w:spacing w:after="200" w:line="288" w:lineRule="auto"/>
    </w:pPr>
    <w:rPr>
      <w:rFonts w:eastAsiaTheme="minorEastAsia"/>
      <w:kern w:val="0"/>
      <w:sz w:val="21"/>
      <w:szCs w:val="21"/>
      <w:lang w:val="en-GB"/>
      <w14:ligatures w14:val="none"/>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6B1E1E"/>
    <w:pPr>
      <w:spacing w:after="200" w:line="288" w:lineRule="auto"/>
    </w:pPr>
    <w:rPr>
      <w:rFonts w:eastAsia="Times New Roman"/>
      <w:b/>
      <w:kern w:val="0"/>
      <w:lang w:val="en-US"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B1E1E"/>
    <w:pPr>
      <w:spacing w:after="40" w:line="240" w:lineRule="auto"/>
      <w:outlineLvl w:val="9"/>
    </w:pPr>
    <w:rPr>
      <w:color w:val="538135" w:themeColor="accent6" w:themeShade="BF"/>
      <w:kern w:val="0"/>
      <w:lang w:val="en-GB"/>
      <w14:ligatures w14:val="none"/>
    </w:rPr>
  </w:style>
  <w:style w:type="paragraph" w:styleId="TOC2">
    <w:name w:val="toc 2"/>
    <w:basedOn w:val="Normal"/>
    <w:next w:val="Normal"/>
    <w:autoRedefine/>
    <w:uiPriority w:val="99"/>
    <w:unhideWhenUsed/>
    <w:rsid w:val="006B1E1E"/>
    <w:pPr>
      <w:spacing w:after="100"/>
      <w:ind w:left="220"/>
    </w:pPr>
    <w:rPr>
      <w:rFonts w:eastAsiaTheme="minorEastAsia"/>
      <w:kern w:val="0"/>
      <w:sz w:val="21"/>
      <w:szCs w:val="21"/>
      <w:lang w:val="en-US"/>
      <w14:ligatures w14:val="none"/>
    </w:rPr>
  </w:style>
  <w:style w:type="paragraph" w:styleId="TOC1">
    <w:name w:val="toc 1"/>
    <w:basedOn w:val="Normal"/>
    <w:next w:val="Normal"/>
    <w:autoRedefine/>
    <w:uiPriority w:val="99"/>
    <w:unhideWhenUsed/>
    <w:rsid w:val="006B1E1E"/>
    <w:pPr>
      <w:spacing w:after="100"/>
    </w:pPr>
    <w:rPr>
      <w:rFonts w:eastAsiaTheme="minorEastAsia"/>
      <w:kern w:val="0"/>
      <w:sz w:val="21"/>
      <w:szCs w:val="21"/>
      <w:lang w:val="en-US"/>
      <w14:ligatures w14:val="none"/>
    </w:rPr>
  </w:style>
  <w:style w:type="paragraph" w:styleId="TOC3">
    <w:name w:val="toc 3"/>
    <w:basedOn w:val="Normal"/>
    <w:next w:val="Normal"/>
    <w:autoRedefine/>
    <w:uiPriority w:val="39"/>
    <w:unhideWhenUsed/>
    <w:rsid w:val="006B1E1E"/>
    <w:pPr>
      <w:spacing w:after="100"/>
      <w:ind w:left="440"/>
    </w:pPr>
    <w:rPr>
      <w:rFonts w:eastAsiaTheme="minorEastAsia"/>
      <w:kern w:val="0"/>
      <w:sz w:val="21"/>
      <w:szCs w:val="21"/>
      <w:lang w:val="en-US"/>
      <w14:ligatures w14:val="none"/>
    </w:rPr>
  </w:style>
  <w:style w:type="paragraph" w:styleId="Caption">
    <w:name w:val="caption"/>
    <w:basedOn w:val="Normal"/>
    <w:next w:val="Normal"/>
    <w:uiPriority w:val="35"/>
    <w:semiHidden/>
    <w:unhideWhenUsed/>
    <w:qFormat/>
    <w:rsid w:val="006B1E1E"/>
    <w:pPr>
      <w:spacing w:after="200" w:line="240" w:lineRule="auto"/>
    </w:pPr>
    <w:rPr>
      <w:rFonts w:eastAsiaTheme="minorEastAsia"/>
      <w:b/>
      <w:bCs/>
      <w:smallCaps/>
      <w:color w:val="595959" w:themeColor="text1" w:themeTint="A6"/>
      <w:kern w:val="0"/>
      <w:sz w:val="21"/>
      <w:szCs w:val="21"/>
      <w:lang w:val="en-GB"/>
      <w14:ligatures w14:val="none"/>
    </w:rPr>
  </w:style>
  <w:style w:type="character" w:styleId="Strong">
    <w:name w:val="Strong"/>
    <w:basedOn w:val="DefaultParagraphFont"/>
    <w:uiPriority w:val="22"/>
    <w:qFormat/>
    <w:rsid w:val="006B1E1E"/>
    <w:rPr>
      <w:b/>
      <w:bCs/>
    </w:rPr>
  </w:style>
  <w:style w:type="character" w:styleId="Emphasis">
    <w:name w:val="Emphasis"/>
    <w:basedOn w:val="DefaultParagraphFont"/>
    <w:uiPriority w:val="20"/>
    <w:qFormat/>
    <w:rsid w:val="006B1E1E"/>
    <w:rPr>
      <w:i/>
      <w:iCs/>
      <w:color w:val="70AD47" w:themeColor="accent6"/>
    </w:rPr>
  </w:style>
  <w:style w:type="character" w:styleId="SubtleReference">
    <w:name w:val="Subtle Reference"/>
    <w:basedOn w:val="DefaultParagraphFont"/>
    <w:uiPriority w:val="31"/>
    <w:qFormat/>
    <w:rsid w:val="006B1E1E"/>
    <w:rPr>
      <w:smallCaps/>
      <w:color w:val="595959" w:themeColor="text1" w:themeTint="A6"/>
    </w:rPr>
  </w:style>
  <w:style w:type="character" w:styleId="BookTitle">
    <w:name w:val="Book Title"/>
    <w:basedOn w:val="DefaultParagraphFont"/>
    <w:uiPriority w:val="33"/>
    <w:qFormat/>
    <w:rsid w:val="006B1E1E"/>
    <w:rPr>
      <w:b/>
      <w:bCs/>
      <w:caps w:val="0"/>
      <w:smallCaps/>
      <w:spacing w:val="7"/>
      <w:sz w:val="21"/>
      <w:szCs w:val="21"/>
    </w:rPr>
  </w:style>
  <w:style w:type="paragraph" w:customStyle="1" w:styleId="actiongt">
    <w:name w:val="actiongt"/>
    <w:basedOn w:val="Normal"/>
    <w:link w:val="actiongtChar"/>
    <w:rsid w:val="006B1E1E"/>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kern w:val="0"/>
      <w:lang w:val="en-US"/>
      <w14:ligatures w14:val="none"/>
    </w:rPr>
  </w:style>
  <w:style w:type="character" w:customStyle="1" w:styleId="actiongtChar">
    <w:name w:val="actiongt Char"/>
    <w:link w:val="actiongt"/>
    <w:rsid w:val="006B1E1E"/>
    <w:rPr>
      <w:rFonts w:ascii="Garamond" w:eastAsia="Batang" w:hAnsi="Garamond" w:cs="Garamond"/>
      <w:noProof/>
      <w:kern w:val="0"/>
      <w:sz w:val="22"/>
      <w:szCs w:val="22"/>
      <w:shd w:val="clear" w:color="auto" w:fill="E6E6E6"/>
      <w:lang w:val="en-US"/>
      <w14:ligatures w14:val="none"/>
    </w:rPr>
  </w:style>
  <w:style w:type="paragraph" w:customStyle="1" w:styleId="actionnogt">
    <w:name w:val="actionnogt"/>
    <w:basedOn w:val="Normal"/>
    <w:link w:val="actionnogtChar"/>
    <w:rsid w:val="006B1E1E"/>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kern w:val="0"/>
      <w:lang w:val="en-US"/>
      <w14:ligatures w14:val="none"/>
    </w:rPr>
  </w:style>
  <w:style w:type="character" w:customStyle="1" w:styleId="actionnogtChar">
    <w:name w:val="actionnogt Char"/>
    <w:link w:val="actionnogt"/>
    <w:rsid w:val="006B1E1E"/>
    <w:rPr>
      <w:rFonts w:ascii="Garamond" w:eastAsia="Batang" w:hAnsi="Garamond" w:cs="Garamond"/>
      <w:noProof/>
      <w:kern w:val="0"/>
      <w:sz w:val="22"/>
      <w:szCs w:val="22"/>
      <w:lang w:val="en-US"/>
      <w14:ligatures w14:val="none"/>
    </w:rPr>
  </w:style>
  <w:style w:type="paragraph" w:customStyle="1" w:styleId="oonoheading">
    <w:name w:val="oonoheading"/>
    <w:basedOn w:val="Normal"/>
    <w:uiPriority w:val="99"/>
    <w:rsid w:val="006B1E1E"/>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kern w:val="0"/>
      <w:sz w:val="24"/>
      <w:szCs w:val="24"/>
      <w:lang w:val="en-US"/>
      <w14:ligatures w14:val="none"/>
    </w:rPr>
  </w:style>
  <w:style w:type="paragraph" w:customStyle="1" w:styleId="StyleHeading1NotAllcaps">
    <w:name w:val="Style Heading 1 + Not All caps"/>
    <w:basedOn w:val="Heading1"/>
    <w:link w:val="StyleHeading1NotAllcapsChar"/>
    <w:rsid w:val="006B1E1E"/>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kern w:val="0"/>
      <w:sz w:val="32"/>
      <w:lang w:val="en-US"/>
      <w14:ligatures w14:val="none"/>
    </w:rPr>
  </w:style>
  <w:style w:type="character" w:customStyle="1" w:styleId="StyleHeading1NotAllcapsChar">
    <w:name w:val="Style Heading 1 + Not All caps Char"/>
    <w:basedOn w:val="Heading1Char"/>
    <w:link w:val="StyleHeading1NotAllcaps"/>
    <w:rsid w:val="006B1E1E"/>
    <w:rPr>
      <w:rFonts w:ascii="Calibri" w:eastAsia="Batang" w:hAnsi="Calibri" w:cs="Garamond"/>
      <w:b/>
      <w:bCs/>
      <w:color w:val="10AAAA"/>
      <w:spacing w:val="-2"/>
      <w:kern w:val="0"/>
      <w:sz w:val="32"/>
      <w:szCs w:val="40"/>
      <w:lang w:val="en-US"/>
      <w14:ligatures w14:val="none"/>
    </w:rPr>
  </w:style>
  <w:style w:type="paragraph" w:customStyle="1" w:styleId="StyleactiongtBold">
    <w:name w:val="Style actiongt + Bold"/>
    <w:basedOn w:val="actiongt"/>
    <w:link w:val="StyleactiongtBoldChar"/>
    <w:rsid w:val="006B1E1E"/>
    <w:pPr>
      <w:keepNext w:val="0"/>
    </w:pPr>
    <w:rPr>
      <w:b/>
      <w:bCs/>
    </w:rPr>
  </w:style>
  <w:style w:type="character" w:customStyle="1" w:styleId="StyleactiongtBoldChar">
    <w:name w:val="Style actiongt + Bold Char"/>
    <w:link w:val="StyleactiongtBold"/>
    <w:rsid w:val="006B1E1E"/>
    <w:rPr>
      <w:rFonts w:ascii="Garamond" w:eastAsia="Batang" w:hAnsi="Garamond" w:cs="Garamond"/>
      <w:b/>
      <w:bCs/>
      <w:noProof/>
      <w:kern w:val="0"/>
      <w:sz w:val="22"/>
      <w:szCs w:val="22"/>
      <w:shd w:val="clear" w:color="auto" w:fill="E6E6E6"/>
      <w:lang w:val="en-US"/>
      <w14:ligatures w14:val="none"/>
    </w:rPr>
  </w:style>
  <w:style w:type="paragraph" w:customStyle="1" w:styleId="StyleactionnogtBefore0ptAfter0pt">
    <w:name w:val="Style actionnogt + Before:  0 pt After:  0 pt"/>
    <w:basedOn w:val="actionnogt"/>
    <w:uiPriority w:val="99"/>
    <w:rsid w:val="006B1E1E"/>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6B1E1E"/>
    <w:rPr>
      <w:b/>
      <w:bCs/>
    </w:rPr>
  </w:style>
  <w:style w:type="character" w:customStyle="1" w:styleId="StyleactionnogtBoldChar">
    <w:name w:val="Style actionnogt + Bold Char"/>
    <w:link w:val="StyleactionnogtBold"/>
    <w:rsid w:val="006B1E1E"/>
    <w:rPr>
      <w:rFonts w:ascii="Garamond" w:eastAsia="Batang" w:hAnsi="Garamond" w:cs="Garamond"/>
      <w:b/>
      <w:bCs/>
      <w:noProof/>
      <w:kern w:val="0"/>
      <w:sz w:val="22"/>
      <w:szCs w:val="22"/>
      <w:lang w:val="en-US"/>
      <w14:ligatures w14:val="none"/>
    </w:rPr>
  </w:style>
  <w:style w:type="paragraph" w:customStyle="1" w:styleId="StyleStyleactiongtBoldPatternClearGray-25">
    <w:name w:val="Style Style actiongt + Bold + Pattern: Clear (Gray-25%)"/>
    <w:basedOn w:val="StyleactiongtBold"/>
    <w:uiPriority w:val="99"/>
    <w:rsid w:val="006B1E1E"/>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6B1E1E"/>
    <w:pPr>
      <w:spacing w:after="0" w:line="240" w:lineRule="auto"/>
      <w:ind w:left="-851"/>
    </w:pPr>
    <w:rPr>
      <w:rFonts w:ascii="Times New Roman" w:eastAsia="Times New Roman" w:hAnsi="Times New Roman" w:cs="Times New Roman"/>
      <w:kern w:val="0"/>
      <w:szCs w:val="20"/>
      <w:lang w:val="en-GB" w:eastAsia="en-ZA"/>
      <w14:ligatures w14:val="none"/>
    </w:rPr>
  </w:style>
  <w:style w:type="character" w:customStyle="1" w:styleId="BodyTextIndent3Char">
    <w:name w:val="Body Text Indent 3 Char"/>
    <w:basedOn w:val="DefaultParagraphFont"/>
    <w:link w:val="BodyTextIndent3"/>
    <w:uiPriority w:val="99"/>
    <w:rsid w:val="006B1E1E"/>
    <w:rPr>
      <w:rFonts w:ascii="Times New Roman" w:eastAsia="Times New Roman" w:hAnsi="Times New Roman" w:cs="Times New Roman"/>
      <w:kern w:val="0"/>
      <w:sz w:val="22"/>
      <w:szCs w:val="20"/>
      <w:lang w:val="en-GB" w:eastAsia="en-ZA"/>
      <w14:ligatures w14:val="none"/>
    </w:rPr>
  </w:style>
  <w:style w:type="paragraph" w:styleId="BodyText3">
    <w:name w:val="Body Text 3"/>
    <w:basedOn w:val="Normal"/>
    <w:link w:val="BodyText3Char"/>
    <w:uiPriority w:val="99"/>
    <w:rsid w:val="006B1E1E"/>
    <w:pPr>
      <w:spacing w:after="120" w:line="240" w:lineRule="auto"/>
    </w:pPr>
    <w:rPr>
      <w:rFonts w:ascii="Garamond" w:eastAsia="Batang" w:hAnsi="Garamond" w:cs="Garamond"/>
      <w:kern w:val="0"/>
      <w:sz w:val="16"/>
      <w:szCs w:val="16"/>
      <w:lang w:val="en-US"/>
      <w14:ligatures w14:val="none"/>
    </w:rPr>
  </w:style>
  <w:style w:type="character" w:customStyle="1" w:styleId="BodyText3Char">
    <w:name w:val="Body Text 3 Char"/>
    <w:basedOn w:val="DefaultParagraphFont"/>
    <w:link w:val="BodyText3"/>
    <w:uiPriority w:val="99"/>
    <w:rsid w:val="006B1E1E"/>
    <w:rPr>
      <w:rFonts w:ascii="Garamond" w:eastAsia="Batang" w:hAnsi="Garamond" w:cs="Garamond"/>
      <w:kern w:val="0"/>
      <w:sz w:val="16"/>
      <w:szCs w:val="16"/>
      <w:lang w:val="en-US"/>
      <w14:ligatures w14:val="none"/>
    </w:rPr>
  </w:style>
  <w:style w:type="paragraph" w:styleId="TOC8">
    <w:name w:val="toc 8"/>
    <w:basedOn w:val="Normal"/>
    <w:next w:val="Normal"/>
    <w:autoRedefine/>
    <w:uiPriority w:val="99"/>
    <w:semiHidden/>
    <w:rsid w:val="006B1E1E"/>
    <w:pPr>
      <w:spacing w:after="0" w:line="240" w:lineRule="auto"/>
      <w:ind w:left="1680"/>
    </w:pPr>
    <w:rPr>
      <w:rFonts w:ascii="Garamond" w:eastAsia="Batang" w:hAnsi="Garamond" w:cs="Garamond"/>
      <w:kern w:val="0"/>
      <w:sz w:val="24"/>
      <w:szCs w:val="24"/>
      <w:lang w:val="en-US"/>
      <w14:ligatures w14:val="none"/>
    </w:rPr>
  </w:style>
  <w:style w:type="character" w:styleId="PageNumber">
    <w:name w:val="page number"/>
    <w:basedOn w:val="DefaultParagraphFont"/>
    <w:rsid w:val="006B1E1E"/>
  </w:style>
  <w:style w:type="paragraph" w:customStyle="1" w:styleId="MediumGrid1-Accent21">
    <w:name w:val="Medium Grid 1 - Accent 21"/>
    <w:basedOn w:val="Normal"/>
    <w:uiPriority w:val="34"/>
    <w:qFormat/>
    <w:rsid w:val="006B1E1E"/>
    <w:pPr>
      <w:spacing w:after="0" w:line="240" w:lineRule="auto"/>
      <w:ind w:left="720"/>
    </w:pPr>
    <w:rPr>
      <w:rFonts w:ascii="Garamond" w:eastAsia="Batang" w:hAnsi="Garamond" w:cs="Garamond"/>
      <w:kern w:val="0"/>
      <w:sz w:val="24"/>
      <w:szCs w:val="24"/>
      <w:lang w:val="en-US"/>
      <w14:ligatures w14:val="none"/>
    </w:rPr>
  </w:style>
  <w:style w:type="paragraph" w:styleId="NormalWeb">
    <w:name w:val="Normal (Web)"/>
    <w:basedOn w:val="Normal"/>
    <w:uiPriority w:val="99"/>
    <w:unhideWhenUsed/>
    <w:rsid w:val="006B1E1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ediumList2-Accent21">
    <w:name w:val="Medium List 2 - Accent 21"/>
    <w:hidden/>
    <w:uiPriority w:val="99"/>
    <w:semiHidden/>
    <w:rsid w:val="006B1E1E"/>
    <w:rPr>
      <w:rFonts w:ascii="Garamond" w:eastAsia="Batang" w:hAnsi="Garamond" w:cs="Garamond"/>
      <w:kern w:val="0"/>
      <w:lang w:val="en-US"/>
      <w14:ligatures w14:val="none"/>
    </w:rPr>
  </w:style>
  <w:style w:type="character" w:customStyle="1" w:styleId="firstTxt1">
    <w:name w:val="firstTxt1"/>
    <w:rsid w:val="006B1E1E"/>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6B1E1E"/>
    <w:rPr>
      <w:rFonts w:ascii="Garamond" w:eastAsia="Batang" w:hAnsi="Garamond" w:cs="Garamond"/>
      <w:kern w:val="0"/>
      <w:lang w:val="en-US"/>
      <w14:ligatures w14:val="none"/>
    </w:rPr>
  </w:style>
  <w:style w:type="paragraph" w:styleId="ListBullet">
    <w:name w:val="List Bullet"/>
    <w:basedOn w:val="Normal"/>
    <w:uiPriority w:val="99"/>
    <w:rsid w:val="006B1E1E"/>
    <w:pPr>
      <w:numPr>
        <w:numId w:val="7"/>
      </w:numPr>
      <w:spacing w:after="0" w:line="240" w:lineRule="auto"/>
      <w:contextualSpacing/>
    </w:pPr>
    <w:rPr>
      <w:rFonts w:ascii="Garamond" w:eastAsia="Batang" w:hAnsi="Garamond" w:cs="Garamond"/>
      <w:kern w:val="0"/>
      <w:sz w:val="24"/>
      <w:szCs w:val="24"/>
      <w:lang w:val="en-US"/>
      <w14:ligatures w14:val="none"/>
    </w:rPr>
  </w:style>
  <w:style w:type="paragraph" w:customStyle="1" w:styleId="Formsubtitle">
    <w:name w:val="Form sub title"/>
    <w:basedOn w:val="Normal"/>
    <w:link w:val="FormsubtitleChar"/>
    <w:qFormat/>
    <w:rsid w:val="006B1E1E"/>
    <w:pPr>
      <w:spacing w:after="0" w:line="240" w:lineRule="auto"/>
    </w:pPr>
    <w:rPr>
      <w:rFonts w:ascii="Calibri" w:eastAsia="Batang" w:hAnsi="Calibri" w:cs="Arial"/>
      <w:b/>
      <w:bCs/>
      <w:color w:val="10AAAA"/>
      <w:kern w:val="0"/>
      <w:lang w:val="en-GB"/>
      <w14:ligatures w14:val="none"/>
    </w:rPr>
  </w:style>
  <w:style w:type="character" w:customStyle="1" w:styleId="LightGrid-Accent11">
    <w:name w:val="Light Grid - Accent 11"/>
    <w:uiPriority w:val="99"/>
    <w:semiHidden/>
    <w:rsid w:val="006B1E1E"/>
    <w:rPr>
      <w:color w:val="808080"/>
    </w:rPr>
  </w:style>
  <w:style w:type="character" w:customStyle="1" w:styleId="FormsubtitleChar">
    <w:name w:val="Form sub title Char"/>
    <w:link w:val="Formsubtitle"/>
    <w:rsid w:val="006B1E1E"/>
    <w:rPr>
      <w:rFonts w:ascii="Calibri" w:eastAsia="Batang" w:hAnsi="Calibri" w:cs="Arial"/>
      <w:b/>
      <w:bCs/>
      <w:color w:val="10AAAA"/>
      <w:kern w:val="0"/>
      <w:sz w:val="22"/>
      <w:szCs w:val="22"/>
      <w:lang w:val="en-GB"/>
      <w14:ligatures w14:val="none"/>
    </w:rPr>
  </w:style>
  <w:style w:type="character" w:customStyle="1" w:styleId="IntenseEmphasis1">
    <w:name w:val="Intense Emphasis1"/>
    <w:uiPriority w:val="21"/>
    <w:qFormat/>
    <w:rsid w:val="006B1E1E"/>
    <w:rPr>
      <w:b/>
      <w:bCs/>
      <w:i/>
      <w:iCs/>
      <w:color w:val="4F81BD"/>
    </w:rPr>
  </w:style>
  <w:style w:type="paragraph" w:customStyle="1" w:styleId="MediumGrid3-Accent21">
    <w:name w:val="Medium Grid 3 - Accent 21"/>
    <w:basedOn w:val="Normal"/>
    <w:next w:val="Normal"/>
    <w:link w:val="MediumGrid3-Accent2Char"/>
    <w:uiPriority w:val="30"/>
    <w:qFormat/>
    <w:rsid w:val="006B1E1E"/>
    <w:pPr>
      <w:pBdr>
        <w:left w:val="single" w:sz="18" w:space="4" w:color="10AAAA"/>
      </w:pBdr>
      <w:spacing w:before="200" w:after="280" w:line="240" w:lineRule="auto"/>
      <w:ind w:left="936" w:right="936"/>
    </w:pPr>
    <w:rPr>
      <w:rFonts w:ascii="Calibri" w:eastAsia="Batang" w:hAnsi="Calibri" w:cs="Garamond"/>
      <w:b/>
      <w:bCs/>
      <w:i/>
      <w:iCs/>
      <w:kern w:val="0"/>
      <w:sz w:val="24"/>
      <w:szCs w:val="24"/>
      <w:lang w:val="en-US"/>
      <w14:ligatures w14:val="none"/>
    </w:rPr>
  </w:style>
  <w:style w:type="character" w:customStyle="1" w:styleId="MediumGrid3-Accent2Char">
    <w:name w:val="Medium Grid 3 - Accent 2 Char"/>
    <w:link w:val="MediumGrid3-Accent21"/>
    <w:uiPriority w:val="30"/>
    <w:rsid w:val="006B1E1E"/>
    <w:rPr>
      <w:rFonts w:ascii="Calibri" w:eastAsia="Batang" w:hAnsi="Calibri" w:cs="Garamond"/>
      <w:b/>
      <w:bCs/>
      <w:i/>
      <w:iCs/>
      <w:kern w:val="0"/>
      <w:lang w:val="en-US"/>
      <w14:ligatures w14:val="none"/>
    </w:rPr>
  </w:style>
  <w:style w:type="paragraph" w:customStyle="1" w:styleId="Emphasisblock">
    <w:name w:val="Emphasis block"/>
    <w:basedOn w:val="Normal"/>
    <w:next w:val="Normal"/>
    <w:link w:val="EmphasisblockChar"/>
    <w:qFormat/>
    <w:rsid w:val="006B1E1E"/>
    <w:pPr>
      <w:pBdr>
        <w:left w:val="single" w:sz="18" w:space="4" w:color="10AAAA"/>
      </w:pBdr>
      <w:spacing w:after="0" w:line="240" w:lineRule="auto"/>
    </w:pPr>
    <w:rPr>
      <w:rFonts w:ascii="Calibri" w:eastAsia="Batang" w:hAnsi="Calibri" w:cs="Garamond"/>
      <w:b/>
      <w:i/>
      <w:kern w:val="0"/>
      <w:sz w:val="24"/>
      <w:szCs w:val="24"/>
      <w:lang w:val="en-US"/>
      <w14:ligatures w14:val="none"/>
    </w:rPr>
  </w:style>
  <w:style w:type="paragraph" w:customStyle="1" w:styleId="Greencell">
    <w:name w:val="Green cell"/>
    <w:basedOn w:val="Normal"/>
    <w:link w:val="GreencellChar"/>
    <w:rsid w:val="006B1E1E"/>
    <w:pPr>
      <w:keepNext/>
      <w:spacing w:after="0" w:line="240" w:lineRule="auto"/>
    </w:pPr>
    <w:rPr>
      <w:rFonts w:ascii="Calibri" w:eastAsia="Batang" w:hAnsi="Calibri" w:cs="Arial"/>
      <w:noProof/>
      <w:kern w:val="0"/>
      <w:lang w:val="en-GB"/>
      <w14:ligatures w14:val="none"/>
    </w:rPr>
  </w:style>
  <w:style w:type="character" w:customStyle="1" w:styleId="MediumShading1-Accent1Char">
    <w:name w:val="Medium Shading 1 - Accent 1 Char"/>
    <w:link w:val="MediumShading1-Accent11"/>
    <w:uiPriority w:val="1"/>
    <w:rsid w:val="006B1E1E"/>
    <w:rPr>
      <w:rFonts w:ascii="Garamond" w:eastAsia="Batang" w:hAnsi="Garamond" w:cs="Garamond"/>
      <w:kern w:val="0"/>
      <w:lang w:val="en-US"/>
      <w14:ligatures w14:val="none"/>
    </w:rPr>
  </w:style>
  <w:style w:type="character" w:customStyle="1" w:styleId="EmphasisblockChar">
    <w:name w:val="Emphasis block Char"/>
    <w:link w:val="Emphasisblock"/>
    <w:rsid w:val="006B1E1E"/>
    <w:rPr>
      <w:rFonts w:ascii="Calibri" w:eastAsia="Batang" w:hAnsi="Calibri" w:cs="Garamond"/>
      <w:b/>
      <w:i/>
      <w:kern w:val="0"/>
      <w:lang w:val="en-US"/>
      <w14:ligatures w14:val="none"/>
    </w:rPr>
  </w:style>
  <w:style w:type="character" w:customStyle="1" w:styleId="GreencellChar">
    <w:name w:val="Green cell Char"/>
    <w:link w:val="Greencell"/>
    <w:rsid w:val="006B1E1E"/>
    <w:rPr>
      <w:rFonts w:ascii="Calibri" w:eastAsia="Batang" w:hAnsi="Calibri" w:cs="Arial"/>
      <w:noProof/>
      <w:kern w:val="0"/>
      <w:sz w:val="22"/>
      <w:szCs w:val="22"/>
      <w:lang w:val="en-GB"/>
      <w14:ligatures w14:val="none"/>
    </w:rPr>
  </w:style>
  <w:style w:type="paragraph" w:customStyle="1" w:styleId="AnswerLegend">
    <w:name w:val="Answer Legend"/>
    <w:basedOn w:val="Normal"/>
    <w:link w:val="AnswerLegendChar"/>
    <w:qFormat/>
    <w:rsid w:val="006B1E1E"/>
    <w:pPr>
      <w:spacing w:after="0" w:line="240" w:lineRule="auto"/>
      <w:jc w:val="center"/>
    </w:pPr>
    <w:rPr>
      <w:rFonts w:ascii="Calibri" w:eastAsia="Batang" w:hAnsi="Calibri" w:cs="Garamond"/>
      <w:kern w:val="0"/>
      <w:lang w:val="en-GB"/>
      <w14:ligatures w14:val="none"/>
    </w:rPr>
  </w:style>
  <w:style w:type="paragraph" w:customStyle="1" w:styleId="ColorfulShading-Accent11">
    <w:name w:val="Colorful Shading - Accent 11"/>
    <w:hidden/>
    <w:uiPriority w:val="71"/>
    <w:rsid w:val="006B1E1E"/>
    <w:rPr>
      <w:rFonts w:ascii="Garamond" w:eastAsia="Batang" w:hAnsi="Garamond" w:cs="Garamond"/>
      <w:kern w:val="0"/>
      <w:lang w:val="en-US"/>
      <w14:ligatures w14:val="none"/>
    </w:rPr>
  </w:style>
  <w:style w:type="character" w:customStyle="1" w:styleId="AnswerLegendChar">
    <w:name w:val="Answer Legend Char"/>
    <w:link w:val="AnswerLegend"/>
    <w:rsid w:val="006B1E1E"/>
    <w:rPr>
      <w:rFonts w:ascii="Calibri" w:eastAsia="Batang" w:hAnsi="Calibri" w:cs="Garamond"/>
      <w:kern w:val="0"/>
      <w:sz w:val="22"/>
      <w:szCs w:val="22"/>
      <w:lang w:val="en-GB"/>
      <w14:ligatures w14:val="none"/>
    </w:rPr>
  </w:style>
  <w:style w:type="paragraph" w:customStyle="1" w:styleId="NRFTitle1">
    <w:name w:val="NRF Title1"/>
    <w:next w:val="Normal"/>
    <w:uiPriority w:val="99"/>
    <w:rsid w:val="006B1E1E"/>
    <w:pPr>
      <w:numPr>
        <w:numId w:val="8"/>
      </w:numPr>
      <w:tabs>
        <w:tab w:val="left" w:pos="567"/>
      </w:tabs>
      <w:spacing w:before="120" w:after="80"/>
      <w:ind w:left="357" w:hanging="357"/>
    </w:pPr>
    <w:rPr>
      <w:rFonts w:ascii="Garamond" w:eastAsia="Times New Roman" w:hAnsi="Garamond" w:cs="Times New Roman"/>
      <w:b/>
      <w:color w:val="000000"/>
      <w:kern w:val="0"/>
      <w:sz w:val="28"/>
      <w:szCs w:val="28"/>
      <w:lang w:val="en-US"/>
      <w14:ligatures w14:val="none"/>
    </w:rPr>
  </w:style>
  <w:style w:type="paragraph" w:customStyle="1" w:styleId="NRFTitle2">
    <w:name w:val="NRF Title2"/>
    <w:basedOn w:val="Normal"/>
    <w:next w:val="Normal"/>
    <w:uiPriority w:val="99"/>
    <w:rsid w:val="006B1E1E"/>
    <w:pPr>
      <w:numPr>
        <w:ilvl w:val="1"/>
        <w:numId w:val="8"/>
      </w:numPr>
      <w:tabs>
        <w:tab w:val="left" w:pos="567"/>
      </w:tabs>
      <w:spacing w:before="120" w:after="80" w:line="240" w:lineRule="auto"/>
    </w:pPr>
    <w:rPr>
      <w:rFonts w:ascii="Garamond" w:eastAsia="Times New Roman" w:hAnsi="Garamond" w:cs="Times New Roman"/>
      <w:b/>
      <w:snapToGrid w:val="0"/>
      <w:color w:val="000000"/>
      <w:kern w:val="0"/>
      <w:sz w:val="24"/>
      <w:szCs w:val="24"/>
      <w:lang w:val="en-US"/>
      <w14:ligatures w14:val="none"/>
    </w:rPr>
  </w:style>
  <w:style w:type="paragraph" w:customStyle="1" w:styleId="NRFTitle3">
    <w:name w:val="NRF Title3"/>
    <w:basedOn w:val="Normal"/>
    <w:next w:val="Normal"/>
    <w:uiPriority w:val="99"/>
    <w:rsid w:val="006B1E1E"/>
    <w:pPr>
      <w:numPr>
        <w:ilvl w:val="2"/>
        <w:numId w:val="8"/>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kern w:val="0"/>
      <w:sz w:val="24"/>
      <w:szCs w:val="24"/>
      <w:lang w:val="en-US"/>
      <w14:ligatures w14:val="none"/>
    </w:rPr>
  </w:style>
  <w:style w:type="character" w:customStyle="1" w:styleId="apple-converted-space">
    <w:name w:val="apple-converted-space"/>
    <w:basedOn w:val="DefaultParagraphFont"/>
    <w:rsid w:val="009A2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230737">
      <w:bodyDiv w:val="1"/>
      <w:marLeft w:val="0"/>
      <w:marRight w:val="0"/>
      <w:marTop w:val="0"/>
      <w:marBottom w:val="0"/>
      <w:divBdr>
        <w:top w:val="none" w:sz="0" w:space="0" w:color="auto"/>
        <w:left w:val="none" w:sz="0" w:space="0" w:color="auto"/>
        <w:bottom w:val="none" w:sz="0" w:space="0" w:color="auto"/>
        <w:right w:val="none" w:sz="0" w:space="0" w:color="auto"/>
      </w:divBdr>
    </w:div>
    <w:div w:id="12490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3378</Words>
  <Characters>19259</Characters>
  <Application>Microsoft Office Word</Application>
  <DocSecurity>0</DocSecurity>
  <Lines>160</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22592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9</cp:revision>
  <cp:lastPrinted>2025-02-18T11:01:00Z</cp:lastPrinted>
  <dcterms:created xsi:type="dcterms:W3CDTF">2025-02-18T11:08:00Z</dcterms:created>
  <dcterms:modified xsi:type="dcterms:W3CDTF">2025-02-18T13:36:00Z</dcterms:modified>
  <cp:category/>
</cp:coreProperties>
</file>