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6014D967" w:rsidR="00446065" w:rsidRPr="001E2204" w:rsidRDefault="00A22A7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THE</w:t>
      </w:r>
      <w:r w:rsidR="00446065">
        <w:rPr>
          <w:bCs/>
        </w:rPr>
        <w:t xml:space="preserve"> </w:t>
      </w:r>
      <w:r w:rsidR="00446065" w:rsidRPr="001E2204">
        <w:rPr>
          <w:bCs/>
        </w:rPr>
        <w:t>CONVENTION ON WETLANDS</w:t>
      </w:r>
    </w:p>
    <w:p w14:paraId="2CE8AB6C" w14:textId="6E567A87" w:rsidR="00446065" w:rsidRPr="001E2204" w:rsidRDefault="00446065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6</w:t>
      </w:r>
      <w:r w:rsidR="007E6C0E">
        <w:rPr>
          <w:bCs/>
        </w:rPr>
        <w:t>6th</w:t>
      </w:r>
      <w:r w:rsidRPr="001E2204">
        <w:rPr>
          <w:bCs/>
        </w:rPr>
        <w:t xml:space="preserve"> Meeting of the Standing Committee</w:t>
      </w:r>
    </w:p>
    <w:p w14:paraId="7431151E" w14:textId="2603BA54" w:rsidR="007E6C0E" w:rsidRPr="00A22A7E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Victoria Falls</w:t>
      </w:r>
      <w:r w:rsidRPr="00A22A7E">
        <w:rPr>
          <w:bCs/>
        </w:rPr>
        <w:t xml:space="preserve">, </w:t>
      </w:r>
      <w:r>
        <w:rPr>
          <w:bCs/>
        </w:rPr>
        <w:t>Zimbabwe</w:t>
      </w:r>
      <w:r w:rsidRPr="00A22A7E">
        <w:rPr>
          <w:bCs/>
        </w:rPr>
        <w:t xml:space="preserve">, </w:t>
      </w:r>
      <w:r>
        <w:rPr>
          <w:bCs/>
        </w:rPr>
        <w:t>31</w:t>
      </w:r>
      <w:r w:rsidRPr="00A22A7E">
        <w:rPr>
          <w:bCs/>
        </w:rPr>
        <w:t xml:space="preserve"> </w:t>
      </w:r>
      <w:r>
        <w:rPr>
          <w:bCs/>
        </w:rPr>
        <w:t>July</w:t>
      </w:r>
      <w:r w:rsidRPr="00A22A7E">
        <w:rPr>
          <w:bCs/>
        </w:rPr>
        <w:t xml:space="preserve"> 202</w:t>
      </w:r>
      <w:r>
        <w:rPr>
          <w:bCs/>
        </w:rPr>
        <w:t>5</w:t>
      </w:r>
    </w:p>
    <w:p w14:paraId="5D981AD9" w14:textId="77777777" w:rsidR="00446065" w:rsidRPr="00A22A7E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14044A9C" w:rsidR="00446065" w:rsidRPr="00A22A7E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>SC6</w:t>
      </w:r>
      <w:r w:rsidR="007E6C0E">
        <w:rPr>
          <w:rFonts w:cs="Arial"/>
          <w:b/>
          <w:sz w:val="28"/>
          <w:szCs w:val="28"/>
        </w:rPr>
        <w:t>6</w:t>
      </w:r>
      <w:r w:rsidRPr="00A22A7E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367476" w:rsidRDefault="00446065" w:rsidP="009A1328">
      <w:pPr>
        <w:spacing w:after="0" w:line="240" w:lineRule="auto"/>
        <w:rPr>
          <w:b/>
        </w:rPr>
      </w:pPr>
    </w:p>
    <w:p w14:paraId="27AD51E0" w14:textId="77777777" w:rsidR="00446065" w:rsidRPr="00A22A7E" w:rsidRDefault="00446065" w:rsidP="009A132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 xml:space="preserve">Provisional agenda </w:t>
      </w:r>
    </w:p>
    <w:p w14:paraId="3F2AB586" w14:textId="62BE1F68" w:rsidR="00446065" w:rsidRPr="00A22A7E" w:rsidRDefault="00446065" w:rsidP="009A1328">
      <w:pPr>
        <w:spacing w:after="0" w:line="240" w:lineRule="auto"/>
        <w:rPr>
          <w:rFonts w:cs="Arial"/>
          <w:b/>
        </w:rPr>
      </w:pPr>
    </w:p>
    <w:p w14:paraId="32C7B984" w14:textId="77777777" w:rsidR="00A22A7E" w:rsidRPr="00A22A7E" w:rsidRDefault="00A22A7E" w:rsidP="009A1328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A22A7E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77777777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4BEB2390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Document</w:t>
            </w:r>
          </w:p>
        </w:tc>
      </w:tr>
      <w:tr w:rsidR="00446065" w:rsidRPr="00A22A7E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Opening statements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A22A7E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Adoption of the provisional agenda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SC6</w:t>
            </w:r>
            <w:r w:rsidR="007E6C0E">
              <w:rPr>
                <w:bCs/>
              </w:rPr>
              <w:t>6</w:t>
            </w:r>
            <w:r w:rsidRPr="00A22A7E">
              <w:rPr>
                <w:bCs/>
              </w:rPr>
              <w:t xml:space="preserve"> Doc.2</w:t>
            </w:r>
          </w:p>
        </w:tc>
      </w:tr>
      <w:tr w:rsidR="00446065" w:rsidRPr="00A22A7E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0634FB9C" w:rsidR="00446065" w:rsidRPr="00A22A7E" w:rsidRDefault="00BB7E69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  <w:color w:val="000000"/>
                <w:lang w:val="en-US"/>
              </w:rPr>
              <w:t xml:space="preserve">Election of </w:t>
            </w:r>
            <w:r w:rsidR="00DF07A3">
              <w:rPr>
                <w:bCs/>
                <w:color w:val="000000"/>
                <w:lang w:val="en-US"/>
              </w:rPr>
              <w:t xml:space="preserve">the </w:t>
            </w:r>
            <w:r w:rsidRPr="00C90F35">
              <w:rPr>
                <w:bCs/>
                <w:color w:val="000000"/>
                <w:lang w:val="en-US"/>
              </w:rPr>
              <w:t>Chair and Vice-Chair of the Standing Committee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2E045EE9" w:rsidR="00446065" w:rsidRPr="00A22A7E" w:rsidRDefault="00446065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</w:p>
        </w:tc>
      </w:tr>
      <w:tr w:rsidR="00446065" w:rsidRPr="00A22A7E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0C17F689" w:rsidR="00446065" w:rsidRPr="00A22A7E" w:rsidRDefault="00BB7E69" w:rsidP="009A1328">
            <w:pPr>
              <w:spacing w:after="0" w:line="240" w:lineRule="auto"/>
              <w:rPr>
                <w:color w:val="000000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 xml:space="preserve">Election of the </w:t>
            </w:r>
            <w:r w:rsidR="00F63F01" w:rsidRPr="017F272C">
              <w:rPr>
                <w:color w:val="000000" w:themeColor="text1"/>
                <w:lang w:val="en-US"/>
              </w:rPr>
              <w:t xml:space="preserve">members </w:t>
            </w:r>
            <w:r w:rsidR="7362814D" w:rsidRPr="017F272C">
              <w:rPr>
                <w:color w:val="000000" w:themeColor="text1"/>
                <w:lang w:val="en-US"/>
              </w:rPr>
              <w:t xml:space="preserve">and Chair </w:t>
            </w:r>
            <w:r w:rsidR="00F63F01" w:rsidRPr="017F272C">
              <w:rPr>
                <w:color w:val="000000" w:themeColor="text1"/>
                <w:lang w:val="en-US"/>
              </w:rPr>
              <w:t xml:space="preserve">of the </w:t>
            </w:r>
            <w:r w:rsidRPr="017F272C">
              <w:rPr>
                <w:color w:val="000000" w:themeColor="text1"/>
                <w:lang w:val="en-US"/>
              </w:rPr>
              <w:t>Subgroup on Finance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A22A7E" w:rsidRDefault="00446065" w:rsidP="009A1328">
            <w:pPr>
              <w:spacing w:after="0" w:line="240" w:lineRule="auto"/>
              <w:rPr>
                <w:bCs/>
              </w:rPr>
            </w:pPr>
          </w:p>
        </w:tc>
      </w:tr>
      <w:tr w:rsidR="00F63F01" w:rsidRPr="008D75A2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7C3B965B" w:rsidR="00F63F01" w:rsidRDefault="00F63F01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Bidi"/>
              </w:rPr>
              <w:t>Establishment of other subgroups and working groups (</w:t>
            </w:r>
            <w:r w:rsidR="00BA38DB">
              <w:rPr>
                <w:rFonts w:asciiTheme="minorHAnsi" w:hAnsiTheme="minorHAnsi" w:cstheme="minorBidi"/>
              </w:rPr>
              <w:t>as</w:t>
            </w:r>
            <w:r>
              <w:rPr>
                <w:rFonts w:asciiTheme="minorHAnsi" w:hAnsiTheme="minorHAnsi" w:cstheme="minorBidi"/>
              </w:rPr>
              <w:t xml:space="preserve"> required</w:t>
            </w:r>
            <w:r w:rsidR="000C3823">
              <w:rPr>
                <w:rFonts w:asciiTheme="minorHAnsi" w:hAnsiTheme="minorHAnsi" w:cstheme="minorBidi"/>
              </w:rPr>
              <w:t>; to be updated in accordance with Resolutions approved at COP15</w:t>
            </w:r>
            <w:r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77777777" w:rsidR="00F63F01" w:rsidRPr="008D75A2" w:rsidRDefault="00F63F01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69109C" w:rsidRPr="008D75A2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Default="0069109C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2DE10450" w:rsidR="0069109C" w:rsidRDefault="0069109C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  <w:r w:rsidR="00226E1A">
              <w:rPr>
                <w:rFonts w:asciiTheme="minorHAnsi" w:hAnsiTheme="minorHAnsi" w:cstheme="minorHAnsi"/>
              </w:rPr>
              <w:t xml:space="preserve"> Oversight Panel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77777777" w:rsidR="0069109C" w:rsidRPr="008D75A2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17F272C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Default="07326BB1" w:rsidP="009A132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>5.</w:t>
            </w:r>
            <w:r w:rsidR="009A132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6C69C215" w:rsidR="07326BB1" w:rsidRDefault="07326BB1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7F27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Independent Advisory Committee (IAC) of the Wetland Cities Accreditation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6839EB12" w:rsidR="017F272C" w:rsidRDefault="017F272C" w:rsidP="009A1328">
            <w:pPr>
              <w:spacing w:after="0" w:line="240" w:lineRule="auto"/>
            </w:pPr>
          </w:p>
        </w:tc>
      </w:tr>
      <w:tr w:rsidR="017F272C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Default="07326BB1" w:rsidP="009A132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>5.</w:t>
            </w:r>
            <w:r w:rsidR="009A132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641E6CEA" w:rsidR="07326BB1" w:rsidRDefault="07326BB1" w:rsidP="009A1328">
            <w:pPr>
              <w:spacing w:after="0" w:line="240" w:lineRule="auto"/>
            </w:pPr>
            <w:r w:rsidRPr="017F272C">
              <w:t>Subgroup on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55B34497" w:rsidR="017F272C" w:rsidRDefault="017F272C" w:rsidP="009A1328">
            <w:pPr>
              <w:spacing w:after="0" w:line="240" w:lineRule="auto"/>
            </w:pPr>
          </w:p>
        </w:tc>
      </w:tr>
      <w:tr w:rsidR="00446065" w:rsidRPr="008D75A2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446065" w:rsidRPr="00A22A7E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37C15FD8" w:rsidR="00446065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Date</w:t>
            </w:r>
            <w:r w:rsidR="00D40713"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  <w:lang w:val="en-US"/>
              </w:rPr>
              <w:t xml:space="preserve"> and venue of </w:t>
            </w:r>
            <w:r w:rsidR="00446065" w:rsidRPr="00A22A7E">
              <w:rPr>
                <w:bCs/>
                <w:color w:val="000000"/>
                <w:lang w:val="en-US"/>
              </w:rPr>
              <w:t xml:space="preserve">the </w:t>
            </w:r>
            <w:r w:rsidR="00AB1BD9" w:rsidRPr="00A22A7E">
              <w:rPr>
                <w:bCs/>
                <w:color w:val="000000"/>
                <w:lang w:val="en-US"/>
              </w:rPr>
              <w:t>6</w:t>
            </w:r>
            <w:r w:rsidR="007E6C0E">
              <w:rPr>
                <w:bCs/>
                <w:color w:val="000000"/>
                <w:lang w:val="en-US"/>
              </w:rPr>
              <w:t>7th</w:t>
            </w:r>
            <w:r w:rsidR="00446065" w:rsidRPr="00A22A7E">
              <w:rPr>
                <w:bCs/>
                <w:color w:val="000000"/>
                <w:lang w:val="en-US"/>
              </w:rPr>
              <w:t xml:space="preserve"> meeting of the Standing Committee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4F338D12" w:rsidR="00446065" w:rsidRPr="008D75A2" w:rsidRDefault="00446065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BB7E69" w:rsidRPr="008D75A2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7</w:t>
            </w:r>
            <w:r w:rsidR="00BB7E69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2BBCBF67" w:rsidR="00BB7E69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</w:rPr>
              <w:t>Any other business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77777777" w:rsidR="00BB7E69" w:rsidRPr="00A22A7E" w:rsidRDefault="00BB7E69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BB7E69" w:rsidRPr="008D75A2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BB7E69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67D5A184" w:rsidR="00BB7E69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</w:rPr>
              <w:t>Closing remarks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77777777" w:rsidR="00BB7E69" w:rsidRPr="00A22A7E" w:rsidRDefault="00BB7E69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</w:tbl>
    <w:p w14:paraId="790DAEE5" w14:textId="77777777" w:rsidR="00446065" w:rsidRPr="001E2204" w:rsidRDefault="00446065" w:rsidP="009A1328">
      <w:pPr>
        <w:spacing w:after="0" w:line="240" w:lineRule="auto"/>
        <w:contextualSpacing/>
        <w:rPr>
          <w:bCs/>
        </w:rPr>
      </w:pPr>
    </w:p>
    <w:p w14:paraId="1CFB88E5" w14:textId="77777777" w:rsidR="00C00322" w:rsidRDefault="00C00322" w:rsidP="009A1328">
      <w:pPr>
        <w:spacing w:after="0" w:line="240" w:lineRule="auto"/>
      </w:pPr>
    </w:p>
    <w:sectPr w:rsidR="00C00322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4E10" w14:textId="77777777" w:rsidR="00431B3F" w:rsidRDefault="00431B3F">
      <w:pPr>
        <w:spacing w:after="0" w:line="240" w:lineRule="auto"/>
      </w:pPr>
      <w:r>
        <w:separator/>
      </w:r>
    </w:p>
  </w:endnote>
  <w:endnote w:type="continuationSeparator" w:id="0">
    <w:p w14:paraId="68EEE2A2" w14:textId="77777777" w:rsidR="00431B3F" w:rsidRDefault="00431B3F">
      <w:pPr>
        <w:spacing w:after="0" w:line="240" w:lineRule="auto"/>
      </w:pPr>
      <w:r>
        <w:continuationSeparator/>
      </w:r>
    </w:p>
  </w:endnote>
  <w:endnote w:type="continuationNotice" w:id="1">
    <w:p w14:paraId="5BF525A1" w14:textId="77777777" w:rsidR="00431B3F" w:rsidRDefault="00431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7DB4" w14:textId="77777777" w:rsidR="00431B3F" w:rsidRDefault="00431B3F">
      <w:pPr>
        <w:spacing w:after="0" w:line="240" w:lineRule="auto"/>
      </w:pPr>
      <w:r>
        <w:separator/>
      </w:r>
    </w:p>
  </w:footnote>
  <w:footnote w:type="continuationSeparator" w:id="0">
    <w:p w14:paraId="3A253E37" w14:textId="77777777" w:rsidR="00431B3F" w:rsidRDefault="00431B3F">
      <w:pPr>
        <w:spacing w:after="0" w:line="240" w:lineRule="auto"/>
      </w:pPr>
      <w:r>
        <w:continuationSeparator/>
      </w:r>
    </w:p>
  </w:footnote>
  <w:footnote w:type="continuationNotice" w:id="1">
    <w:p w14:paraId="7B1DF4A4" w14:textId="77777777" w:rsidR="00431B3F" w:rsidRDefault="00431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Default="00C00322">
    <w:pPr>
      <w:pStyle w:val="Header"/>
    </w:pPr>
  </w:p>
  <w:p w14:paraId="04860DCE" w14:textId="77777777" w:rsidR="00C00322" w:rsidRDefault="00C00322">
    <w:pPr>
      <w:pStyle w:val="Header"/>
    </w:pPr>
  </w:p>
  <w:p w14:paraId="25CC5115" w14:textId="77777777" w:rsidR="00C00322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26E1A"/>
    <w:rsid w:val="00253623"/>
    <w:rsid w:val="00266CFA"/>
    <w:rsid w:val="0027209A"/>
    <w:rsid w:val="00274646"/>
    <w:rsid w:val="002909D4"/>
    <w:rsid w:val="002C060A"/>
    <w:rsid w:val="00367476"/>
    <w:rsid w:val="00374E74"/>
    <w:rsid w:val="00431B3F"/>
    <w:rsid w:val="00446065"/>
    <w:rsid w:val="0056654C"/>
    <w:rsid w:val="0056741E"/>
    <w:rsid w:val="005752F4"/>
    <w:rsid w:val="00581B1C"/>
    <w:rsid w:val="00655307"/>
    <w:rsid w:val="0069109C"/>
    <w:rsid w:val="00784021"/>
    <w:rsid w:val="007B4443"/>
    <w:rsid w:val="007D34F4"/>
    <w:rsid w:val="007E6C0E"/>
    <w:rsid w:val="0085554C"/>
    <w:rsid w:val="0086755D"/>
    <w:rsid w:val="0090703A"/>
    <w:rsid w:val="00930BA9"/>
    <w:rsid w:val="00984919"/>
    <w:rsid w:val="009A1328"/>
    <w:rsid w:val="009C0E17"/>
    <w:rsid w:val="00A22A7E"/>
    <w:rsid w:val="00A354BA"/>
    <w:rsid w:val="00A4072F"/>
    <w:rsid w:val="00AB1BD9"/>
    <w:rsid w:val="00B540C9"/>
    <w:rsid w:val="00BA38DB"/>
    <w:rsid w:val="00BB7E69"/>
    <w:rsid w:val="00BE1E22"/>
    <w:rsid w:val="00C00322"/>
    <w:rsid w:val="00C91801"/>
    <w:rsid w:val="00CB24B7"/>
    <w:rsid w:val="00D36788"/>
    <w:rsid w:val="00D40713"/>
    <w:rsid w:val="00DF07A3"/>
    <w:rsid w:val="00E3507A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purl.org/dc/dcmitype/"/>
    <ds:schemaRef ds:uri="http://www.w3.org/XML/1998/namespace"/>
    <ds:schemaRef ds:uri="ed13e1a4-03b5-44b7-a6ed-2799c47f2e9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82bae87-54d2-4d35-9c82-c5c937f4768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>IUCN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2022-09-27T07:02:00Z</cp:lastPrinted>
  <dcterms:created xsi:type="dcterms:W3CDTF">2025-02-13T12:28:00Z</dcterms:created>
  <dcterms:modified xsi:type="dcterms:W3CDTF">2025-02-13T12:28:00Z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