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5B9F169D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C4074" w14:textId="0F8E69DC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15ª 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reunión de la </w:t>
      </w:r>
      <w:r w:rsidRPr="004238C7">
        <w:rPr>
          <w:rFonts w:eastAsia="Times New Roman" w:cstheme="majorHAnsi"/>
          <w:b/>
          <w:bCs/>
          <w:sz w:val="24"/>
          <w:szCs w:val="24"/>
        </w:rPr>
        <w:t>Conferencia de las Partes Contratantes</w:t>
      </w:r>
    </w:p>
    <w:p w14:paraId="13C05DE2" w14:textId="77777777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en la Convención de Ramsar sobre los Humedales</w:t>
      </w:r>
    </w:p>
    <w:p w14:paraId="0397C0E1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8AAD50D" w14:textId="28C81770" w:rsidR="00E510AC" w:rsidRPr="004238C7" w:rsidRDefault="00E510AC" w:rsidP="00747FF4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“Proteger los humedales para nuestro futuro </w:t>
      </w:r>
      <w:r w:rsidR="002E6B54" w:rsidRPr="004238C7">
        <w:rPr>
          <w:rFonts w:eastAsia="Times New Roman" w:cstheme="majorHAnsi"/>
          <w:b/>
          <w:bCs/>
          <w:sz w:val="24"/>
          <w:szCs w:val="24"/>
        </w:rPr>
        <w:t>común</w:t>
      </w:r>
      <w:r w:rsidRPr="004238C7">
        <w:rPr>
          <w:rFonts w:eastAsia="Times New Roman" w:cstheme="majorHAnsi"/>
          <w:b/>
          <w:bCs/>
          <w:sz w:val="24"/>
          <w:szCs w:val="24"/>
        </w:rPr>
        <w:t>”</w:t>
      </w:r>
    </w:p>
    <w:p w14:paraId="794993B1" w14:textId="7B7A25B9" w:rsidR="00E024E2" w:rsidRPr="004238C7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Victoria Falls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 (</w:t>
      </w:r>
      <w:r w:rsidRPr="004238C7">
        <w:rPr>
          <w:rFonts w:eastAsia="Times New Roman" w:cstheme="majorHAnsi"/>
          <w:b/>
          <w:bCs/>
          <w:sz w:val="24"/>
          <w:szCs w:val="24"/>
        </w:rPr>
        <w:t>Zimbabwe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>)</w:t>
      </w:r>
      <w:r w:rsidR="00375CDA" w:rsidRPr="004238C7">
        <w:rPr>
          <w:rFonts w:eastAsia="Times New Roman" w:cstheme="majorHAnsi"/>
          <w:b/>
          <w:bCs/>
          <w:sz w:val="24"/>
          <w:szCs w:val="24"/>
        </w:rPr>
        <w:t>,</w:t>
      </w:r>
      <w:r w:rsidR="00E024E2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23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 xml:space="preserve"> a </w:t>
      </w:r>
      <w:r w:rsidRPr="004238C7">
        <w:rPr>
          <w:rFonts w:eastAsia="Times New Roman" w:cstheme="majorHAnsi"/>
          <w:b/>
          <w:bCs/>
          <w:sz w:val="24"/>
          <w:szCs w:val="24"/>
        </w:rPr>
        <w:t xml:space="preserve">31 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>de julio de</w:t>
      </w:r>
      <w:r w:rsidR="000E1016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4238C7">
        <w:rPr>
          <w:rFonts w:eastAsia="Times New Roman" w:cstheme="majorHAnsi"/>
          <w:b/>
          <w:bCs/>
          <w:sz w:val="24"/>
          <w:szCs w:val="24"/>
        </w:rPr>
        <w:t>2</w:t>
      </w:r>
      <w:r w:rsidRPr="004238C7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4238C7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6E9D1A5D" w:rsidR="00FA0356" w:rsidRPr="004238C7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4238C7">
        <w:rPr>
          <w:rFonts w:cs="Times New Roman"/>
          <w:b/>
          <w:sz w:val="28"/>
          <w:szCs w:val="28"/>
        </w:rPr>
        <w:t>COP15 Doc.</w:t>
      </w:r>
      <w:r w:rsidR="001E5E2D" w:rsidRPr="004238C7">
        <w:rPr>
          <w:rFonts w:cs="Times New Roman"/>
          <w:b/>
          <w:sz w:val="28"/>
          <w:szCs w:val="28"/>
        </w:rPr>
        <w:t>3</w:t>
      </w:r>
      <w:r w:rsidRPr="004238C7">
        <w:rPr>
          <w:rFonts w:cs="Times New Roman"/>
          <w:b/>
          <w:sz w:val="28"/>
          <w:szCs w:val="28"/>
        </w:rPr>
        <w:t>.1</w:t>
      </w:r>
    </w:p>
    <w:p w14:paraId="69F17080" w14:textId="77777777" w:rsidR="00DD5291" w:rsidRPr="004238C7" w:rsidRDefault="00DD5291" w:rsidP="00C45220">
      <w:pPr>
        <w:spacing w:line="240" w:lineRule="auto"/>
        <w:jc w:val="center"/>
        <w:rPr>
          <w:rFonts w:cs="Times New Roman"/>
        </w:rPr>
      </w:pPr>
    </w:p>
    <w:p w14:paraId="3F7ACE0C" w14:textId="77777777" w:rsidR="00E510AC" w:rsidRPr="004238C7" w:rsidRDefault="00E510AC" w:rsidP="00E510A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238C7">
        <w:rPr>
          <w:rFonts w:cs="Times New Roman"/>
          <w:b/>
          <w:sz w:val="28"/>
          <w:szCs w:val="28"/>
        </w:rPr>
        <w:t>Orden del día provisional</w:t>
      </w:r>
    </w:p>
    <w:p w14:paraId="17C77728" w14:textId="71D7087A" w:rsidR="00BE19AD" w:rsidRPr="004238C7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4238C7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E510AC" w:rsidRPr="004238C7" w14:paraId="752317F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185A2AC1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3060A4B9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Documento</w:t>
            </w:r>
          </w:p>
        </w:tc>
      </w:tr>
      <w:tr w:rsidR="00505EDF" w:rsidRPr="004238C7" w14:paraId="136D1F06" w14:textId="77777777" w:rsidTr="00EF17A4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740EC32E" w:rsidR="00505EDF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Apertura de la reunión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4238C7" w14:paraId="69C08F5D" w14:textId="77777777" w:rsidTr="00B46B7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7DE6FDF4" w:rsidR="00B46B7B" w:rsidRPr="004238C7" w:rsidRDefault="003E1B8E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D</w:t>
            </w:r>
            <w:r w:rsidR="00041910" w:rsidRPr="004238C7">
              <w:rPr>
                <w:bCs/>
              </w:rPr>
              <w:t>eclaraciones</w:t>
            </w:r>
            <w:r w:rsidRPr="004238C7">
              <w:rPr>
                <w:bCs/>
              </w:rPr>
              <w:t xml:space="preserve"> de apertura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3CE52ABC" w:rsidR="00B46B7B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</w:t>
            </w:r>
            <w:r w:rsidR="00B46B7B" w:rsidRPr="004238C7">
              <w:rPr>
                <w:bCs/>
              </w:rPr>
              <w:t xml:space="preserve"> document</w:t>
            </w:r>
            <w:r w:rsidRPr="004238C7">
              <w:rPr>
                <w:bCs/>
              </w:rPr>
              <w:t>o</w:t>
            </w:r>
          </w:p>
        </w:tc>
      </w:tr>
      <w:tr w:rsidR="0076274A" w:rsidRPr="004238C7" w14:paraId="0E89A4DA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2265A08" w:rsidR="0076274A" w:rsidRPr="004238C7" w:rsidRDefault="003E1B8E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3E1B8E" w:rsidRPr="004238C7" w14:paraId="79497C66" w14:textId="77777777" w:rsidTr="00DE055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67BD8A" w14:textId="40E8C9C1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Elección de la Presidencia y Vicepresidencias y palabras de la Presidencia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3675F24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29313959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EB2DB6D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Adopción del orden del día y el programa de trabajo provisionales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2CB0121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68AFD8A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Orden del día provisional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Doc.3.1</w:t>
            </w:r>
          </w:p>
        </w:tc>
      </w:tr>
      <w:tr w:rsidR="003E1B8E" w:rsidRPr="004238C7" w14:paraId="70F0986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5254DB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Programa de trabajo provisional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COP15 Doc.3.2</w:t>
            </w:r>
          </w:p>
        </w:tc>
      </w:tr>
      <w:tr w:rsidR="003E1B8E" w:rsidRPr="004238C7" w14:paraId="549F63B5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4.</w:t>
            </w:r>
          </w:p>
        </w:tc>
        <w:tc>
          <w:tcPr>
            <w:tcW w:w="6612" w:type="dxa"/>
            <w:gridSpan w:val="2"/>
          </w:tcPr>
          <w:p w14:paraId="35703281" w14:textId="27A1D20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Aprobación del reglamento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Doc.4</w:t>
            </w:r>
          </w:p>
        </w:tc>
      </w:tr>
      <w:tr w:rsidR="003E1B8E" w:rsidRPr="004238C7" w14:paraId="0634110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406F579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Nombramiento del Comité de Credenciales y de los demás comités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5D3B0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1BD4DF1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29EFD69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Admisión de observadores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Doc.6</w:t>
            </w:r>
          </w:p>
        </w:tc>
      </w:tr>
      <w:tr w:rsidR="003E1B8E" w:rsidRPr="004238C7" w14:paraId="5D8A43B7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2716C2B5" w:rsidR="003E1B8E" w:rsidRPr="004238C7" w:rsidRDefault="003E1B8E" w:rsidP="003E1B8E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administrativas</w:t>
            </w:r>
          </w:p>
        </w:tc>
      </w:tr>
      <w:tr w:rsidR="003E1B8E" w:rsidRPr="004238C7" w14:paraId="3BE4916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7.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3BBEFC5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 la Presidencia del Comité Permanente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Doc.7</w:t>
            </w:r>
          </w:p>
        </w:tc>
      </w:tr>
      <w:tr w:rsidR="003E1B8E" w:rsidRPr="004238C7" w14:paraId="43B01EF5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6BC94970" w:rsidR="003E1B8E" w:rsidRPr="004238C7" w:rsidRDefault="0027448F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 la Secretaria General sobre la aplicación de la Convención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5BD2EB9B" w14:textId="77777777" w:rsidTr="00C72495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F01922" w14:textId="466F66B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Aplicación a escala mundial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Doc.8.1</w:t>
            </w:r>
          </w:p>
        </w:tc>
      </w:tr>
      <w:tr w:rsidR="003E1B8E" w:rsidRPr="004238C7" w14:paraId="5357260D" w14:textId="77777777" w:rsidTr="00C72495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56B105" w14:textId="08E097E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t>Trabajo de la Secretaría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Doc.8.2</w:t>
            </w:r>
          </w:p>
        </w:tc>
      </w:tr>
      <w:tr w:rsidR="003E1B8E" w:rsidRPr="004238C7" w14:paraId="5A68166E" w14:textId="77777777" w:rsidTr="00D35C75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70C" w14:textId="6E0959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 la Secretaría de conformidad con el artículo 8.2 sobre la Lista de Humedales de Importancia Internacional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3E1B8E" w:rsidRPr="004238C7" w:rsidRDefault="003E1B8E" w:rsidP="003E1B8E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 xml:space="preserve">COP15 Doc.9 </w:t>
            </w:r>
          </w:p>
        </w:tc>
      </w:tr>
      <w:tr w:rsidR="003E1B8E" w:rsidRPr="004238C7" w14:paraId="1A52D5F7" w14:textId="77777777" w:rsidTr="00D35C7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10.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936423" w14:textId="46D3B4F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</w:t>
            </w:r>
            <w:r w:rsidR="000A08B2" w:rsidRPr="004238C7">
              <w:rPr>
                <w:bCs/>
              </w:rPr>
              <w:t xml:space="preserve"> de la Presidencia del Grupo de supervisión de las actividades de CECoP</w:t>
            </w:r>
            <w:r w:rsidR="000A08B2" w:rsidRPr="004238C7">
              <w:rPr>
                <w:rStyle w:val="FootnoteReference"/>
                <w:bCs/>
              </w:rPr>
              <w:footnoteReference w:id="1"/>
            </w:r>
            <w:r w:rsidR="000A08B2" w:rsidRPr="004238C7">
              <w:rPr>
                <w:bCs/>
              </w:rPr>
              <w:t xml:space="preserve"> </w:t>
            </w:r>
            <w:r w:rsidRPr="004238C7">
              <w:rPr>
                <w:bCs/>
              </w:rPr>
              <w:t>sobre la aplicación del Programa de CECoP 2016-2024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Doc.10</w:t>
            </w:r>
          </w:p>
        </w:tc>
      </w:tr>
      <w:tr w:rsidR="003E1B8E" w:rsidRPr="004238C7" w14:paraId="0D777B83" w14:textId="77777777" w:rsidTr="00D35C7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821AD4" w14:textId="250931D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 la Presidencia del Grupo de Examen Científico y Técnico (GECT)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Doc.11</w:t>
            </w:r>
          </w:p>
        </w:tc>
      </w:tr>
      <w:tr w:rsidR="00687687" w:rsidRPr="004238C7" w14:paraId="63356169" w14:textId="77777777" w:rsidTr="00D35C75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43FD6B0" w14:textId="1A4C1029" w:rsidR="00687687" w:rsidRPr="004238C7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1BEC9D" w14:textId="11E6DC47" w:rsidR="00687687" w:rsidRPr="004238C7" w:rsidRDefault="00687687" w:rsidP="00687687">
            <w:pPr>
              <w:contextualSpacing/>
              <w:rPr>
                <w:bCs/>
              </w:rPr>
            </w:pPr>
            <w:r w:rsidRPr="000C11FE">
              <w:rPr>
                <w:bCs/>
              </w:rPr>
              <w:t>Informe de la Secretaría sobre las iniciativas regionales de Ramsar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51123D" w14:textId="71F6251C" w:rsidR="00687687" w:rsidRPr="004238C7" w:rsidRDefault="00687687" w:rsidP="00687687">
            <w:pPr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Doc.12</w:t>
            </w:r>
          </w:p>
        </w:tc>
      </w:tr>
      <w:tr w:rsidR="00687687" w:rsidRPr="004238C7" w14:paraId="2F2C926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314B40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lastRenderedPageBreak/>
              <w:t>13.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30841BC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t>Informe de la Secretaría sobre la mejora de los procedimientos de toma de decisiones y el mantenimiento del funcionamiento eficaz de la Convención en circunstancias excepcionales</w:t>
            </w:r>
            <w:r w:rsidRPr="004238C7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0AFA8961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Doc.13</w:t>
            </w:r>
          </w:p>
        </w:tc>
      </w:tr>
      <w:tr w:rsidR="00687687" w:rsidRPr="004238C7" w14:paraId="23B2E40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C4B121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14.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250BD42" w:rsidR="00687687" w:rsidRPr="004238C7" w:rsidRDefault="00687687" w:rsidP="00687687">
            <w:pPr>
              <w:ind w:left="0" w:firstLine="0"/>
              <w:contextualSpacing/>
            </w:pPr>
            <w:r w:rsidRPr="004238C7">
              <w:t>Informe de la Secretaría sobre la evaluación de los progresos realizados en la restauración de humedales</w:t>
            </w:r>
            <w:r w:rsidRPr="004238C7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4874F86C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Doc.14</w:t>
            </w:r>
          </w:p>
        </w:tc>
      </w:tr>
      <w:tr w:rsidR="00687687" w:rsidRPr="004238C7" w14:paraId="0C2B98D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670134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5B31D8A3" w:rsidR="00687687" w:rsidRPr="004238C7" w:rsidRDefault="00687687" w:rsidP="00687687">
            <w:pPr>
              <w:ind w:left="0" w:firstLine="0"/>
              <w:contextualSpacing/>
            </w:pPr>
            <w:r w:rsidRPr="004238C7">
              <w:t>Informe de la Secretaría sobre las oportunidades para seguir reforzando la contribución de la Convención a la Agenda 2030 para el Desarrollo Sostenible y los Objetivos de Desarrollo Sostenible</w:t>
            </w:r>
            <w:r w:rsidRPr="004238C7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A6B2B30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Doc.15</w:t>
            </w:r>
          </w:p>
        </w:tc>
      </w:tr>
      <w:tr w:rsidR="00687687" w:rsidRPr="004238C7" w14:paraId="240BA6C8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3447E4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2D26448C" w:rsidR="00687687" w:rsidRPr="004238C7" w:rsidRDefault="00687687" w:rsidP="00687687">
            <w:pPr>
              <w:ind w:left="0" w:firstLine="0"/>
              <w:contextualSpacing/>
            </w:pPr>
            <w:r w:rsidRPr="004238C7">
              <w:t>Informe de la Secretaría sobre la aplicación de la Resolución 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0C64B61E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Doc.16</w:t>
            </w:r>
          </w:p>
        </w:tc>
      </w:tr>
      <w:tr w:rsidR="00687687" w:rsidRPr="004238C7" w14:paraId="1C61230C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4528E3F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17.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6D7D8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 la Secretaría sobre las repercusiones administrativas y financieras de los proyectos de resolución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0EAB6309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Doc.17</w:t>
            </w:r>
          </w:p>
        </w:tc>
      </w:tr>
      <w:tr w:rsidR="00687687" w:rsidRPr="004238C7" w14:paraId="1EAA3959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4CBDCEE6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3E430E2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financiero para 2023-2025 presentado por la Presidencia del Subgrupo de Finanzas del Comité Permanente y presupuesto propuesto para el trienio 202</w:t>
            </w:r>
            <w:r>
              <w:rPr>
                <w:bCs/>
              </w:rPr>
              <w:t>6</w:t>
            </w:r>
            <w:r w:rsidRPr="004238C7">
              <w:rPr>
                <w:bCs/>
              </w:rPr>
              <w:t>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35F9080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</w:t>
            </w:r>
            <w:r>
              <w:rPr>
                <w:rFonts w:eastAsia="Times New Roman" w:cstheme="majorHAnsi"/>
                <w:bCs/>
              </w:rPr>
              <w:t>8</w:t>
            </w:r>
          </w:p>
        </w:tc>
      </w:tr>
      <w:tr w:rsidR="00687687" w:rsidRPr="004238C7" w14:paraId="165CA947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28B71D6E" w:rsidR="00687687" w:rsidRPr="004238C7" w:rsidDel="00F10C39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002BB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Elección de las Partes Contratantes que integrarán el Comité Permanente durante el período 2025-2028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0D771CAF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6774299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366C33C" w14:textId="13F0D09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20.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758F99D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Acreditación de Ciudad de Humedal: Presentación de los certificados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2489654B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79904C4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34453714" w:rsidR="00687687" w:rsidRPr="004238C7" w:rsidDel="00F10C39" w:rsidRDefault="00687687" w:rsidP="00687687">
            <w:pPr>
              <w:contextualSpacing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14FD832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Ceremonia de entrega de los Premios Ramsar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7FEE0E32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382374B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66E22870" w:rsidR="00687687" w:rsidRPr="004238C7" w:rsidRDefault="00687687" w:rsidP="00687687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Proyectos de resolución</w:t>
            </w:r>
          </w:p>
        </w:tc>
      </w:tr>
      <w:tr w:rsidR="00687687" w:rsidRPr="004238C7" w14:paraId="6DD92E8C" w14:textId="77777777" w:rsidTr="00A56CED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BC5C08D" w14:textId="51E94FF3" w:rsidR="00687687" w:rsidRPr="004238C7" w:rsidRDefault="00F640F0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687687"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5654F46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Consolida</w:t>
            </w:r>
            <w:r w:rsidRPr="004238C7">
              <w:t xml:space="preserve">ción </w:t>
            </w:r>
            <w:r w:rsidRPr="004238C7">
              <w:rPr>
                <w:bCs/>
              </w:rPr>
              <w:t>de resoluciones existentes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687687" w:rsidRPr="004238C7" w14:paraId="47386EC4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CBC4185" w14:textId="77777777" w:rsidR="00687687" w:rsidRPr="004238C7" w:rsidRDefault="00687687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4E2E48E" w:rsidR="00687687" w:rsidRPr="004238C7" w:rsidRDefault="00F640F0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687687" w:rsidRPr="004238C7">
              <w:rPr>
                <w:bCs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6B62BBF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Resolución consolidada sobre la evaluación de los valores y servicios de los humedales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11C533BE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 w:rsidR="00F640F0"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687687" w:rsidRPr="004238C7" w14:paraId="64AFDD52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500B6D6" w14:textId="77777777" w:rsidR="00687687" w:rsidRPr="004238C7" w:rsidRDefault="00687687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63702274" w:rsidR="00687687" w:rsidRPr="004238C7" w:rsidRDefault="00F640F0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687687" w:rsidRPr="004238C7">
              <w:rPr>
                <w:bCs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27B1272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Resolución consolidada sobre el agua, asuntos relacionados con el agua y el manejo del agua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7D2155FB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 w:rsidR="00F640F0"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687687" w:rsidRPr="004238C7" w14:paraId="120F6E6B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24C004D" w14:textId="77777777" w:rsidR="00687687" w:rsidRPr="004238C7" w:rsidRDefault="00687687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21A27AFD" w:rsidR="00687687" w:rsidRPr="004238C7" w:rsidRDefault="00F640F0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687687" w:rsidRPr="004238C7">
              <w:rPr>
                <w:bCs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7E86BD4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Resolución consolidada sobre inventarios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1DAE6278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 w:rsidR="00F640F0"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179C3DA1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6005E33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41892F4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Examen de los proyectos de resolución y de recomendación presentados por las Partes Contratantes y el Comité Permanente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687687" w:rsidRPr="004238C7" w14:paraId="345D3E1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43A5E06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ED0A2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cuestiones financieras y presupuestarias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6A77265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687687" w:rsidRPr="004238C7" w14:paraId="3C75FCF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5D74D48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39792DC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responsabilidades, funciones y composición del Comité Permanente y clasificación de los países por regiones en el marco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4745326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687687" w:rsidRPr="004238C7" w14:paraId="504D9FB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2323AD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0EEAE6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el Plan Estratégico de la Convención sobre los Humedales para 2025-2034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06181E71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63AFA42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53E9B60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540FFF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la mejora de la visibilidad de la Convención y las sinergias con otros acuerdos multilaterales sobre el medio ambiente e instituciones internacionales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1AC73C36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.4</w:t>
            </w:r>
          </w:p>
        </w:tc>
      </w:tr>
      <w:tr w:rsidR="00687687" w:rsidRPr="004238C7" w14:paraId="64F112A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6CA4E0E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0D5F7C46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iniciativas regionales de 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48E4485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</w:tr>
      <w:tr w:rsidR="00687687" w:rsidRPr="004238C7" w14:paraId="5D8FE10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03293B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71CD9AB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CECoP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262DED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.6</w:t>
            </w:r>
          </w:p>
        </w:tc>
      </w:tr>
      <w:tr w:rsidR="00687687" w:rsidRPr="004238C7" w14:paraId="5026B61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5C0FA9D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1163396A" w:rsidR="00687687" w:rsidRPr="004238C7" w:rsidRDefault="00687687" w:rsidP="00687687">
            <w:pPr>
              <w:ind w:left="0" w:firstLine="0"/>
              <w:contextualSpacing/>
            </w:pPr>
            <w:r w:rsidRPr="004238C7">
              <w:t>Proyecto de resolución sobre el estado de los sitios incluidos en la Lista de Humedales de Importancia Internacional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94C2DF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.7</w:t>
            </w:r>
          </w:p>
        </w:tc>
      </w:tr>
      <w:tr w:rsidR="00687687" w:rsidRPr="004238C7" w14:paraId="095BA18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1A14ED1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.8</w:t>
            </w:r>
          </w:p>
        </w:tc>
        <w:tc>
          <w:tcPr>
            <w:tcW w:w="5812" w:type="dxa"/>
          </w:tcPr>
          <w:p w14:paraId="5C8A1DC4" w14:textId="77777777" w:rsidR="00687687" w:rsidRPr="004238C7" w:rsidRDefault="00687687" w:rsidP="00687687">
            <w:pPr>
              <w:contextualSpacing/>
            </w:pPr>
            <w:r w:rsidRPr="004238C7">
              <w:t xml:space="preserve">Proyecto de resolución sobre el proceso de contratación </w:t>
            </w:r>
          </w:p>
          <w:p w14:paraId="41076F7E" w14:textId="39A4E2F0" w:rsidR="00687687" w:rsidRPr="004238C7" w:rsidRDefault="00687687" w:rsidP="00687687">
            <w:pPr>
              <w:contextualSpacing/>
              <w:rPr>
                <w:bCs/>
                <w:highlight w:val="yellow"/>
              </w:rPr>
            </w:pPr>
            <w:r w:rsidRPr="004238C7">
              <w:t xml:space="preserve">de un nuevo Secretario o Secretaria General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350F5C8F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.8</w:t>
            </w:r>
          </w:p>
        </w:tc>
      </w:tr>
      <w:tr w:rsidR="00687687" w:rsidRPr="004238C7" w14:paraId="4D36C98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2604FD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3B9AD07E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la aplicación del fortalecimiento institucional de la </w:t>
            </w:r>
            <w:r w:rsidRPr="004238C7">
              <w:rPr>
                <w:rFonts w:eastAsia="Times New Roman" w:cstheme="majorHAnsi"/>
                <w:bCs/>
              </w:rPr>
              <w:t>Convención sobre los Humedales</w:t>
            </w:r>
            <w:r w:rsidRPr="004238C7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2857E734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687687" w:rsidRPr="004238C7" w14:paraId="4E21536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2D26D6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75AF691B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aplicación futura de los aspectos científicos y técnicos de la Convención para 202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-2028</w:t>
            </w:r>
            <w:r w:rsidRPr="004238C7"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2B73829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.10</w:t>
            </w:r>
          </w:p>
        </w:tc>
      </w:tr>
      <w:tr w:rsidR="00687687" w:rsidRPr="004238C7" w14:paraId="6D560F3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03BC6EC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5D328A20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 xml:space="preserve">Proyecto de resolución sobre el establecimiento de la Alianza para las Estimaciones de Aves Acuáticas y la publicación de la edición de 2027 de </w:t>
            </w:r>
            <w:r w:rsidRPr="004238C7">
              <w:rPr>
                <w:i/>
                <w:iCs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538F0C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.11</w:t>
            </w:r>
          </w:p>
        </w:tc>
      </w:tr>
      <w:tr w:rsidR="00687687" w:rsidRPr="004238C7" w14:paraId="4B363D5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4C44B60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5D3B015F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aplicación de los Criterios 6 y 9 a los Humedales de Importancia Internacional nuevos y existentes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411919D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.12</w:t>
            </w:r>
          </w:p>
        </w:tc>
      </w:tr>
      <w:tr w:rsidR="00687687" w:rsidRPr="004238C7" w14:paraId="77647E8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81D25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49E3C64D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>Proyecto de resolución sobre [actualizaciones de] las Fichas Informativas de 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705EC5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.13</w:t>
            </w:r>
          </w:p>
        </w:tc>
      </w:tr>
      <w:tr w:rsidR="00687687" w:rsidRPr="004238C7" w14:paraId="44110C4F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57471E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4E0AC07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fortalecimiento de la acción en materia de cultura y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8AD8BF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.14</w:t>
            </w:r>
          </w:p>
        </w:tc>
      </w:tr>
      <w:tr w:rsidR="00687687" w:rsidRPr="004238C7" w14:paraId="29071FC9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7C084F8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5C5678B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restauración de los ecosistemas de agua dulce degradados para apoyar la biodiversidad de las características ecológicas y los servicios de los ecosistemas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3700749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.15</w:t>
            </w:r>
          </w:p>
        </w:tc>
      </w:tr>
      <w:tr w:rsidR="00687687" w:rsidRPr="004238C7" w14:paraId="3B027D86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6BB618C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69110E5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fortalecimiento de las medidas nacionales para la conservación y restauración de las vías migratorias de las aves acuáticas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5B6F0F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.16</w:t>
            </w:r>
          </w:p>
        </w:tc>
      </w:tr>
      <w:tr w:rsidR="00687687" w:rsidRPr="004238C7" w14:paraId="682BAB9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1E7741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4F097A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fomento de la incorporación de nuevas tecnologías y conocimientos tradicionales en la conservación, restauración, gestión y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63FEE6D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.17</w:t>
            </w:r>
          </w:p>
        </w:tc>
      </w:tr>
      <w:tr w:rsidR="00687687" w:rsidRPr="004238C7" w14:paraId="5AC30858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083ABDF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588624A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consecución de la conservación equitativa y eficaz de los humedales como áreas protegidas y otras medidas eficaces de conservación basadas en áreas (OECM)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3F557FEB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.18</w:t>
            </w:r>
          </w:p>
        </w:tc>
      </w:tr>
      <w:tr w:rsidR="00687687" w:rsidRPr="004238C7" w14:paraId="5C56480A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38EEE20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151566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empoderamiento y la integración de la juventud: promoción de su participación en la Convención sobre los Humedales y perennidad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3CE6B24C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.19</w:t>
            </w:r>
          </w:p>
        </w:tc>
      </w:tr>
      <w:tr w:rsidR="00687687" w:rsidRPr="004238C7" w14:paraId="707CB22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7A7DAFD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57F48C9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promoción de estilos de vida sostenibles para el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C74C41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.20</w:t>
            </w:r>
          </w:p>
        </w:tc>
      </w:tr>
      <w:tr w:rsidR="00687687" w:rsidRPr="004238C7" w14:paraId="032B1F4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55841A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433FFB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reconocimiento de los delfines de río como especies clave para la conservación y uso sostenible de los humedales en Suramérica y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49B7E0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.21</w:t>
            </w:r>
          </w:p>
        </w:tc>
      </w:tr>
      <w:tr w:rsidR="00687687" w:rsidRPr="004238C7" w14:paraId="5A062F2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33F37AD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51672F1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educación y participación como base para la gestión de los humedales urbanos y periurbanos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54B393D2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.22</w:t>
            </w:r>
          </w:p>
        </w:tc>
      </w:tr>
      <w:tr w:rsidR="00687687" w:rsidRPr="004238C7" w14:paraId="5166F4D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E92678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73CA6C8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evaluación de las presiones y los riesgos para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06DF99EE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.23</w:t>
            </w:r>
          </w:p>
        </w:tc>
      </w:tr>
      <w:tr w:rsidR="00687687" w:rsidRPr="004238C7" w14:paraId="3F604CE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4B2B865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1ED4F7BC" w:rsidR="00687687" w:rsidRPr="004238C7" w:rsidRDefault="00687687" w:rsidP="00687687">
            <w:pPr>
              <w:contextualSpacing/>
            </w:pPr>
            <w:r w:rsidRPr="004238C7">
              <w:t>Proyecto de resolución enmendado sobre la Lista de Ramsar</w:t>
            </w:r>
            <w:r w:rsidRPr="004238C7">
              <w:rPr>
                <w:rStyle w:val="FootnoteReference"/>
              </w:rPr>
              <w:footnoteReference w:id="5"/>
            </w:r>
            <w:r w:rsidRPr="004238C7"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4757DDF5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.24</w:t>
            </w:r>
          </w:p>
        </w:tc>
      </w:tr>
      <w:tr w:rsidR="00687687" w:rsidRPr="004238C7" w14:paraId="6F35116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1B2477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2F416987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el agradecimiento al país anfitrión, la República de Zimbabwe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078CB0A3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.25</w:t>
            </w:r>
          </w:p>
        </w:tc>
      </w:tr>
      <w:tr w:rsidR="00687687" w:rsidRPr="004238C7" w14:paraId="679F8DC2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547998E7" w:rsidR="00687687" w:rsidRPr="004238C7" w:rsidRDefault="00687687" w:rsidP="00687687">
            <w:pPr>
              <w:keepNext/>
              <w:ind w:left="0" w:firstLine="0"/>
              <w:contextualSpacing/>
              <w:rPr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687687" w:rsidRPr="004238C7" w14:paraId="04825BF0" w14:textId="77777777" w:rsidTr="00D72DB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180BEDF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2F6" w14:textId="22DCAB6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del Comité de Credenciales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0CCFAB6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Doc.2</w:t>
            </w:r>
            <w:r>
              <w:rPr>
                <w:rFonts w:eastAsia="Times New Roman" w:cstheme="majorHAnsi"/>
                <w:bCs/>
              </w:rPr>
              <w:t>4</w:t>
            </w:r>
          </w:p>
        </w:tc>
      </w:tr>
      <w:tr w:rsidR="00687687" w:rsidRPr="004238C7" w14:paraId="26D79763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78EACFC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349742A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Fechas y lugar de la siguiente reunión ordinaria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729254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74C78AEE" w14:textId="77777777" w:rsidTr="00F076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454F5773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26.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6C6" w14:textId="765A3B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Otros asuntos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07029D3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6FBABA1" w14:textId="77777777" w:rsidTr="00F076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51A866B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27.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DF4" w14:textId="4AB51DD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Adopción del informe de la 15ª Reunión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1E343AA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2D1AF1D6" w14:textId="77777777" w:rsidTr="00F076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1E1AC99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E50" w14:textId="568CB7C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Clausura de la reunión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2E9271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</w:tbl>
    <w:p w14:paraId="4DDDF2B9" w14:textId="64121C82" w:rsidR="000040BE" w:rsidRPr="004238C7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4238C7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3F33" w14:textId="77777777" w:rsidR="002F7ED0" w:rsidRPr="002E6B54" w:rsidRDefault="002F7ED0" w:rsidP="00F241CA">
      <w:pPr>
        <w:spacing w:line="240" w:lineRule="auto"/>
      </w:pPr>
      <w:r w:rsidRPr="002E6B54">
        <w:separator/>
      </w:r>
    </w:p>
  </w:endnote>
  <w:endnote w:type="continuationSeparator" w:id="0">
    <w:p w14:paraId="0507D2DD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50C0D797" w:rsidR="00B16B31" w:rsidRPr="002E6B54" w:rsidRDefault="0083702F" w:rsidP="00545602">
    <w:pPr>
      <w:pStyle w:val="Footer"/>
      <w:rPr>
        <w:rFonts w:cstheme="minorHAnsi"/>
        <w:sz w:val="20"/>
        <w:szCs w:val="20"/>
      </w:rPr>
    </w:pPr>
    <w:r w:rsidRPr="002E6B54">
      <w:rPr>
        <w:rFonts w:cstheme="minorHAnsi"/>
        <w:sz w:val="20"/>
        <w:szCs w:val="20"/>
      </w:rPr>
      <w:t>COP1</w:t>
    </w:r>
    <w:r w:rsidR="00B34848" w:rsidRPr="002E6B54">
      <w:rPr>
        <w:rFonts w:cstheme="minorHAnsi"/>
        <w:sz w:val="20"/>
        <w:szCs w:val="20"/>
      </w:rPr>
      <w:t>5</w:t>
    </w:r>
    <w:r w:rsidRPr="002E6B54">
      <w:rPr>
        <w:rFonts w:cstheme="minorHAnsi"/>
        <w:sz w:val="20"/>
        <w:szCs w:val="20"/>
      </w:rPr>
      <w:t xml:space="preserve"> Doc.</w:t>
    </w:r>
    <w:r w:rsidR="001E5E2D" w:rsidRPr="002E6B54">
      <w:rPr>
        <w:rFonts w:cstheme="minorHAnsi"/>
        <w:sz w:val="20"/>
        <w:szCs w:val="20"/>
      </w:rPr>
      <w:t>3</w:t>
    </w:r>
    <w:r w:rsidR="003058BC" w:rsidRPr="002E6B54">
      <w:rPr>
        <w:rFonts w:cstheme="minorHAnsi"/>
        <w:sz w:val="20"/>
        <w:szCs w:val="20"/>
      </w:rPr>
      <w:t>.1</w:t>
    </w:r>
    <w:r w:rsidRPr="002E6B54">
      <w:rPr>
        <w:rFonts w:cstheme="minorHAnsi"/>
        <w:sz w:val="20"/>
        <w:szCs w:val="20"/>
      </w:rPr>
      <w:tab/>
    </w:r>
    <w:r w:rsidRPr="002E6B54"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Pr="002E6B54">
          <w:rPr>
            <w:sz w:val="20"/>
            <w:szCs w:val="20"/>
          </w:rPr>
          <w:fldChar w:fldCharType="begin"/>
        </w:r>
        <w:r w:rsidRPr="002E6B54">
          <w:rPr>
            <w:sz w:val="20"/>
            <w:szCs w:val="20"/>
          </w:rPr>
          <w:instrText xml:space="preserve"> PAGE   \* MERGEFORMAT </w:instrText>
        </w:r>
        <w:r w:rsidRPr="002E6B54">
          <w:rPr>
            <w:sz w:val="20"/>
            <w:szCs w:val="20"/>
          </w:rPr>
          <w:fldChar w:fldCharType="separate"/>
        </w:r>
        <w:r w:rsidR="001C3319" w:rsidRPr="002E6B54">
          <w:rPr>
            <w:sz w:val="20"/>
            <w:szCs w:val="20"/>
          </w:rPr>
          <w:t>2</w:t>
        </w:r>
        <w:r w:rsidRPr="002E6B54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ECE2" w14:textId="77777777" w:rsidR="002F7ED0" w:rsidRPr="002E6B54" w:rsidRDefault="002F7ED0" w:rsidP="00F241CA">
      <w:pPr>
        <w:spacing w:line="240" w:lineRule="auto"/>
      </w:pPr>
      <w:r w:rsidRPr="002E6B54">
        <w:separator/>
      </w:r>
    </w:p>
  </w:footnote>
  <w:footnote w:type="continuationSeparator" w:id="0">
    <w:p w14:paraId="34C1BB66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footnote>
  <w:footnote w:id="1">
    <w:p w14:paraId="4E3E306A" w14:textId="24D2A8D4" w:rsidR="000A08B2" w:rsidRPr="004238C7" w:rsidRDefault="000A08B2" w:rsidP="000A08B2">
      <w:pPr>
        <w:pStyle w:val="FootnoteText"/>
      </w:pPr>
      <w:r w:rsidRPr="004238C7">
        <w:rPr>
          <w:rStyle w:val="FootnoteReference"/>
        </w:rPr>
        <w:footnoteRef/>
      </w:r>
      <w:r w:rsidRPr="004238C7">
        <w:t xml:space="preserve"> CECoP: </w:t>
      </w:r>
      <w:r w:rsidRPr="004238C7">
        <w:rPr>
          <w:bCs/>
        </w:rPr>
        <w:t>Comunicación, fomento de capacidad, educación, concienciación y participación.</w:t>
      </w:r>
    </w:p>
  </w:footnote>
  <w:footnote w:id="2">
    <w:p w14:paraId="5231463F" w14:textId="3B680498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1" w:history="1">
        <w:r w:rsidRPr="002E6B54">
          <w:rPr>
            <w:rStyle w:val="Hyperlink"/>
          </w:rPr>
          <w:t>Resolución XIV.3, párrafo 15</w:t>
        </w:r>
      </w:hyperlink>
      <w:r w:rsidRPr="002E6B54">
        <w:t>.</w:t>
      </w:r>
    </w:p>
  </w:footnote>
  <w:footnote w:id="3">
    <w:p w14:paraId="7D0BFC1E" w14:textId="5B254E26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2" w:history="1">
        <w:r w:rsidRPr="002E6B54">
          <w:rPr>
            <w:rStyle w:val="Hyperlink"/>
          </w:rPr>
          <w:t>Resolución XIV.6, párrafo 35</w:t>
        </w:r>
      </w:hyperlink>
      <w:r w:rsidRPr="002E6B54">
        <w:t>.</w:t>
      </w:r>
    </w:p>
  </w:footnote>
  <w:footnote w:id="4">
    <w:p w14:paraId="6C496C83" w14:textId="28536F6B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3" w:history="1">
        <w:r w:rsidRPr="002E6B54">
          <w:rPr>
            <w:rStyle w:val="Hyperlink"/>
          </w:rPr>
          <w:t>Resolución XIV.6, párrafo 24</w:t>
        </w:r>
      </w:hyperlink>
      <w:r w:rsidRPr="002E6B54">
        <w:t>.</w:t>
      </w:r>
    </w:p>
  </w:footnote>
  <w:footnote w:id="5">
    <w:p w14:paraId="66A4C7B3" w14:textId="48F165CB" w:rsidR="00687687" w:rsidRPr="00403847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Presentado a la COP14 como documento COP14 Doc.18.16 Rev.1, y </w:t>
      </w:r>
      <w:r>
        <w:t>transferi</w:t>
      </w:r>
      <w:r w:rsidRPr="002E6B54">
        <w:t xml:space="preserve">do a la COP15 para su </w:t>
      </w:r>
      <w:r>
        <w:t>examen</w:t>
      </w:r>
      <w:r w:rsidRPr="002E6B5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1910"/>
    <w:rsid w:val="00043935"/>
    <w:rsid w:val="00047703"/>
    <w:rsid w:val="00075EFE"/>
    <w:rsid w:val="000774E0"/>
    <w:rsid w:val="0007766E"/>
    <w:rsid w:val="000800E4"/>
    <w:rsid w:val="0008427D"/>
    <w:rsid w:val="00094916"/>
    <w:rsid w:val="000A08B2"/>
    <w:rsid w:val="000C2552"/>
    <w:rsid w:val="000D3012"/>
    <w:rsid w:val="000D6126"/>
    <w:rsid w:val="000D6B9E"/>
    <w:rsid w:val="000E1016"/>
    <w:rsid w:val="00123BF8"/>
    <w:rsid w:val="00140AA1"/>
    <w:rsid w:val="00164543"/>
    <w:rsid w:val="00194305"/>
    <w:rsid w:val="001C3319"/>
    <w:rsid w:val="001D0B30"/>
    <w:rsid w:val="001D6DE1"/>
    <w:rsid w:val="001E5E2D"/>
    <w:rsid w:val="001F24C5"/>
    <w:rsid w:val="0020472E"/>
    <w:rsid w:val="00215D7E"/>
    <w:rsid w:val="00216DE9"/>
    <w:rsid w:val="002311BD"/>
    <w:rsid w:val="00231212"/>
    <w:rsid w:val="00232163"/>
    <w:rsid w:val="002603B0"/>
    <w:rsid w:val="0027448F"/>
    <w:rsid w:val="00280ECD"/>
    <w:rsid w:val="002A4C9F"/>
    <w:rsid w:val="002A5164"/>
    <w:rsid w:val="002A5EB0"/>
    <w:rsid w:val="002D7C08"/>
    <w:rsid w:val="002E6B54"/>
    <w:rsid w:val="002F7ED0"/>
    <w:rsid w:val="003058BC"/>
    <w:rsid w:val="00311B01"/>
    <w:rsid w:val="003144B0"/>
    <w:rsid w:val="003315FC"/>
    <w:rsid w:val="00332AA5"/>
    <w:rsid w:val="003345CA"/>
    <w:rsid w:val="00335F0F"/>
    <w:rsid w:val="00354F8D"/>
    <w:rsid w:val="00362A72"/>
    <w:rsid w:val="00375CDA"/>
    <w:rsid w:val="00390671"/>
    <w:rsid w:val="003A1637"/>
    <w:rsid w:val="003A3786"/>
    <w:rsid w:val="003B230A"/>
    <w:rsid w:val="003C5378"/>
    <w:rsid w:val="003D402D"/>
    <w:rsid w:val="003E1B8E"/>
    <w:rsid w:val="003E1D5F"/>
    <w:rsid w:val="003E33C7"/>
    <w:rsid w:val="00403847"/>
    <w:rsid w:val="00413622"/>
    <w:rsid w:val="00417C0A"/>
    <w:rsid w:val="0042170B"/>
    <w:rsid w:val="004238C7"/>
    <w:rsid w:val="00424373"/>
    <w:rsid w:val="00426B95"/>
    <w:rsid w:val="0046046B"/>
    <w:rsid w:val="004769D8"/>
    <w:rsid w:val="00490D7F"/>
    <w:rsid w:val="0049165E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521F2"/>
    <w:rsid w:val="0057511D"/>
    <w:rsid w:val="005C1401"/>
    <w:rsid w:val="005D097B"/>
    <w:rsid w:val="005E3252"/>
    <w:rsid w:val="00601573"/>
    <w:rsid w:val="00601589"/>
    <w:rsid w:val="006332CF"/>
    <w:rsid w:val="0065018C"/>
    <w:rsid w:val="00661E6F"/>
    <w:rsid w:val="00675DAF"/>
    <w:rsid w:val="00687687"/>
    <w:rsid w:val="00687A83"/>
    <w:rsid w:val="00692E0D"/>
    <w:rsid w:val="006951F6"/>
    <w:rsid w:val="006A6288"/>
    <w:rsid w:val="006B0E7A"/>
    <w:rsid w:val="006C3522"/>
    <w:rsid w:val="006C5F91"/>
    <w:rsid w:val="006D2EDB"/>
    <w:rsid w:val="006D7FC7"/>
    <w:rsid w:val="007015A6"/>
    <w:rsid w:val="007144DE"/>
    <w:rsid w:val="007161D2"/>
    <w:rsid w:val="00724E7F"/>
    <w:rsid w:val="007327AD"/>
    <w:rsid w:val="00737E72"/>
    <w:rsid w:val="00741D92"/>
    <w:rsid w:val="00743168"/>
    <w:rsid w:val="00747FF4"/>
    <w:rsid w:val="00760B3F"/>
    <w:rsid w:val="0076274A"/>
    <w:rsid w:val="007747C1"/>
    <w:rsid w:val="00777AA4"/>
    <w:rsid w:val="007B1890"/>
    <w:rsid w:val="007C1865"/>
    <w:rsid w:val="007C29CA"/>
    <w:rsid w:val="007F056B"/>
    <w:rsid w:val="007F24C3"/>
    <w:rsid w:val="00805245"/>
    <w:rsid w:val="00806E86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A00EB"/>
    <w:rsid w:val="008A23ED"/>
    <w:rsid w:val="008B1070"/>
    <w:rsid w:val="008E1D06"/>
    <w:rsid w:val="008E5B2A"/>
    <w:rsid w:val="008F56F2"/>
    <w:rsid w:val="00903343"/>
    <w:rsid w:val="00907CA6"/>
    <w:rsid w:val="00916005"/>
    <w:rsid w:val="009316B7"/>
    <w:rsid w:val="00934470"/>
    <w:rsid w:val="00965D53"/>
    <w:rsid w:val="009825E3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51392"/>
    <w:rsid w:val="00A62ACB"/>
    <w:rsid w:val="00A71FEB"/>
    <w:rsid w:val="00AA0461"/>
    <w:rsid w:val="00AA19B7"/>
    <w:rsid w:val="00AB64C9"/>
    <w:rsid w:val="00AC0708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52E61"/>
    <w:rsid w:val="00B53152"/>
    <w:rsid w:val="00B805B3"/>
    <w:rsid w:val="00B9048A"/>
    <w:rsid w:val="00BE19AD"/>
    <w:rsid w:val="00C04314"/>
    <w:rsid w:val="00C04CB5"/>
    <w:rsid w:val="00C0566A"/>
    <w:rsid w:val="00C05AB4"/>
    <w:rsid w:val="00C20EC2"/>
    <w:rsid w:val="00C3651B"/>
    <w:rsid w:val="00C45220"/>
    <w:rsid w:val="00C61DF5"/>
    <w:rsid w:val="00C62658"/>
    <w:rsid w:val="00C65B07"/>
    <w:rsid w:val="00C7682F"/>
    <w:rsid w:val="00CD1DDF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A4438"/>
    <w:rsid w:val="00DA734E"/>
    <w:rsid w:val="00DD5291"/>
    <w:rsid w:val="00E024DB"/>
    <w:rsid w:val="00E024E2"/>
    <w:rsid w:val="00E15D42"/>
    <w:rsid w:val="00E22585"/>
    <w:rsid w:val="00E26C96"/>
    <w:rsid w:val="00E36C72"/>
    <w:rsid w:val="00E510AC"/>
    <w:rsid w:val="00E552DC"/>
    <w:rsid w:val="00E64247"/>
    <w:rsid w:val="00E87D9D"/>
    <w:rsid w:val="00E94C4F"/>
    <w:rsid w:val="00E97645"/>
    <w:rsid w:val="00EA3EDF"/>
    <w:rsid w:val="00EA6FCB"/>
    <w:rsid w:val="00ED166C"/>
    <w:rsid w:val="00ED4E8D"/>
    <w:rsid w:val="00ED6FED"/>
    <w:rsid w:val="00EE45E1"/>
    <w:rsid w:val="00EF0F24"/>
    <w:rsid w:val="00EF4EA7"/>
    <w:rsid w:val="00F074E2"/>
    <w:rsid w:val="00F10C39"/>
    <w:rsid w:val="00F139B2"/>
    <w:rsid w:val="00F16D0F"/>
    <w:rsid w:val="00F241CA"/>
    <w:rsid w:val="00F3013D"/>
    <w:rsid w:val="00F30DA2"/>
    <w:rsid w:val="00F343A9"/>
    <w:rsid w:val="00F37F8A"/>
    <w:rsid w:val="00F640F0"/>
    <w:rsid w:val="00F9088F"/>
    <w:rsid w:val="00F94527"/>
    <w:rsid w:val="00FA0356"/>
    <w:rsid w:val="00FA0B45"/>
    <w:rsid w:val="00FA62F2"/>
    <w:rsid w:val="00FB2D43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  <w:rPr>
      <w:lang w:val="es-ES"/>
    </w:rPr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resolution-xiv6-renforcer-la-visibilite-de-la-convention-et-les-synergies-avec-dautres" TargetMode="External"/><Relationship Id="rId2" Type="http://schemas.openxmlformats.org/officeDocument/2006/relationships/hyperlink" Target="https://www.ramsar.org/fr/document/resolution-xiv6-renforcer-la-visibilite-de-la-convention-et-les-synergies-avec-dautres" TargetMode="External"/><Relationship Id="rId1" Type="http://schemas.openxmlformats.org/officeDocument/2006/relationships/hyperlink" Target="https://www.ramsar.org/es/document/resolucion-xiv3-eficacia-y-eficiencia-de-la-convencion-sobre-los-humed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4</cp:revision>
  <cp:lastPrinted>2021-06-17T07:46:00Z</cp:lastPrinted>
  <dcterms:created xsi:type="dcterms:W3CDTF">2025-02-13T15:25:00Z</dcterms:created>
  <dcterms:modified xsi:type="dcterms:W3CDTF">2025-02-13T16:01:00Z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