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B" w:rsidRPr="00F10669" w:rsidRDefault="00DC5157" w:rsidP="000D555B">
      <w:pPr>
        <w:tabs>
          <w:tab w:val="left" w:pos="2977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bookmarkStart w:id="0" w:name="OLE_LINK7"/>
      <w:bookmarkStart w:id="1" w:name="OLE_LINK8"/>
      <w:r w:rsidRPr="00DC5157">
        <w:rPr>
          <w:noProof/>
          <w:spacing w:val="-4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13.5pt;margin-top:-20.5pt;width:174.5pt;height:75pt;z-index:251659264;visibility:visible;mso-wrap-style:square;mso-wrap-distance-left:9pt;mso-wrap-distance-top:0;mso-wrap-distance-right:9pt;mso-wrap-distance-bottom:0;mso-position-horizontal-relative:margin;mso-position-vertical-relative:margin">
            <v:imagedata r:id="rId7" o:title="COP12-logo-en_small"/>
            <w10:wrap type="square" anchorx="margin" anchory="margin"/>
          </v:shape>
        </w:pict>
      </w:r>
      <w:r w:rsidR="000D555B"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>12</w:t>
      </w:r>
      <w:r w:rsidR="000D555B" w:rsidRPr="00F10669">
        <w:rPr>
          <w:rFonts w:asciiTheme="minorHAnsi" w:hAnsiTheme="minorHAnsi"/>
          <w:b/>
          <w:spacing w:val="-4"/>
          <w:sz w:val="25"/>
          <w:szCs w:val="25"/>
          <w:vertAlign w:val="superscript"/>
          <w:lang w:val="es-ES_tradnl"/>
        </w:rPr>
        <w:t>e</w:t>
      </w:r>
      <w:r w:rsidR="000D555B"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 </w:t>
      </w:r>
      <w:r w:rsidR="000D555B" w:rsidRPr="00F10669">
        <w:rPr>
          <w:rFonts w:asciiTheme="minorHAnsi" w:hAnsiTheme="minorHAnsi"/>
          <w:b/>
          <w:spacing w:val="-4"/>
          <w:sz w:val="25"/>
          <w:szCs w:val="25"/>
          <w:lang w:val="fr-FR"/>
        </w:rPr>
        <w:t>Session de la Conférence des Parties à la Convention sur les zones humides (Ramsar, Iran, 1971)</w:t>
      </w:r>
    </w:p>
    <w:p w:rsidR="000D555B" w:rsidRPr="00F10669" w:rsidRDefault="000D555B" w:rsidP="000D555B">
      <w:pPr>
        <w:tabs>
          <w:tab w:val="left" w:pos="3261"/>
          <w:tab w:val="left" w:pos="3544"/>
        </w:tabs>
        <w:jc w:val="center"/>
        <w:rPr>
          <w:rFonts w:asciiTheme="minorHAnsi" w:hAnsiTheme="minorHAnsi"/>
          <w:spacing w:val="-4"/>
          <w:sz w:val="16"/>
          <w:szCs w:val="16"/>
          <w:lang w:val="es-ES_tradnl"/>
        </w:rPr>
      </w:pPr>
    </w:p>
    <w:p w:rsidR="000D555B" w:rsidRPr="00F10669" w:rsidRDefault="000D555B" w:rsidP="000D555B">
      <w:pPr>
        <w:tabs>
          <w:tab w:val="left" w:pos="3261"/>
          <w:tab w:val="left" w:pos="3402"/>
          <w:tab w:val="left" w:pos="3544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>Punta del Este, Uruguay, 1</w:t>
      </w:r>
      <w:r w:rsidRPr="00107426">
        <w:rPr>
          <w:rFonts w:asciiTheme="minorHAnsi" w:hAnsiTheme="minorHAnsi"/>
          <w:b/>
          <w:spacing w:val="-4"/>
          <w:sz w:val="25"/>
          <w:szCs w:val="25"/>
          <w:vertAlign w:val="superscript"/>
          <w:lang w:val="es-ES_tradnl"/>
        </w:rPr>
        <w:t>er</w:t>
      </w: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 au 9 juin 2015</w:t>
      </w:r>
    </w:p>
    <w:p w:rsidR="000D555B" w:rsidRPr="00491109" w:rsidRDefault="000D555B" w:rsidP="000D555B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D555B" w:rsidRPr="006E782B" w:rsidRDefault="000D555B" w:rsidP="000D555B">
      <w:pPr>
        <w:jc w:val="center"/>
        <w:rPr>
          <w:rFonts w:ascii="Garamond" w:hAnsi="Garamond"/>
          <w:b/>
          <w:szCs w:val="24"/>
          <w:lang w:val="es-E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7"/>
      </w:tblGrid>
      <w:tr w:rsidR="000D555B" w:rsidRPr="00491109" w:rsidTr="00EE45CE">
        <w:tc>
          <w:tcPr>
            <w:tcW w:w="4528" w:type="dxa"/>
          </w:tcPr>
          <w:p w:rsidR="000D555B" w:rsidRPr="00491109" w:rsidRDefault="000D555B" w:rsidP="00EE45CE">
            <w:pPr>
              <w:rPr>
                <w:rFonts w:asciiTheme="minorHAnsi" w:hAnsiTheme="minorHAnsi"/>
                <w:b/>
                <w:sz w:val="25"/>
                <w:szCs w:val="25"/>
                <w:lang w:val="fr-FR"/>
              </w:rPr>
            </w:pPr>
          </w:p>
        </w:tc>
        <w:tc>
          <w:tcPr>
            <w:tcW w:w="4607" w:type="dxa"/>
          </w:tcPr>
          <w:p w:rsidR="000D555B" w:rsidRPr="00491109" w:rsidRDefault="000D555B" w:rsidP="000D555B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fr-FR"/>
              </w:rPr>
            </w:pPr>
            <w:r w:rsidRPr="00491109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>Ramsar COP12 D</w:t>
            </w:r>
            <w:r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>OC.2</w:t>
            </w:r>
            <w:r w:rsidR="00241D15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 xml:space="preserve"> Rev.1</w:t>
            </w:r>
          </w:p>
        </w:tc>
      </w:tr>
    </w:tbl>
    <w:p w:rsidR="00085EB2" w:rsidRPr="0012683D" w:rsidRDefault="00085EB2" w:rsidP="00085EB2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  <w:lang w:val="fr-FR"/>
        </w:rPr>
      </w:pPr>
      <w:r w:rsidRPr="0012683D">
        <w:rPr>
          <w:rFonts w:ascii="Calibri" w:hAnsi="Calibri"/>
          <w:b/>
          <w:sz w:val="28"/>
          <w:szCs w:val="28"/>
          <w:lang w:val="fr-FR"/>
        </w:rPr>
        <w:tab/>
      </w:r>
    </w:p>
    <w:p w:rsidR="00FA1B32" w:rsidRPr="0012683D" w:rsidRDefault="00567E8F" w:rsidP="00567E8F">
      <w:pPr>
        <w:pStyle w:val="Heading3"/>
        <w:ind w:left="900" w:right="1000" w:firstLine="0"/>
        <w:rPr>
          <w:rFonts w:ascii="Calibri" w:hAnsi="Calibri"/>
          <w:bCs/>
          <w:spacing w:val="0"/>
          <w:szCs w:val="28"/>
          <w:lang w:val="fr-FR" w:eastAsia="el-GR"/>
        </w:rPr>
      </w:pPr>
      <w:r w:rsidRPr="0012683D">
        <w:rPr>
          <w:rFonts w:ascii="Calibri" w:hAnsi="Calibri"/>
          <w:bCs/>
          <w:spacing w:val="0"/>
          <w:szCs w:val="28"/>
          <w:lang w:val="fr-FR" w:eastAsia="el-GR"/>
        </w:rPr>
        <w:t xml:space="preserve">Guide </w:t>
      </w:r>
      <w:r w:rsidR="003C2019" w:rsidRPr="0012683D">
        <w:rPr>
          <w:rFonts w:ascii="Calibri" w:hAnsi="Calibri"/>
          <w:bCs/>
          <w:spacing w:val="0"/>
          <w:szCs w:val="28"/>
          <w:lang w:val="fr-FR" w:eastAsia="el-GR"/>
        </w:rPr>
        <w:t>des projets de résolution et des documents d’information liés</w:t>
      </w:r>
      <w:r w:rsidR="00FA1B32" w:rsidRPr="0012683D">
        <w:rPr>
          <w:rFonts w:ascii="Calibri" w:hAnsi="Calibri"/>
          <w:bCs/>
          <w:spacing w:val="0"/>
          <w:szCs w:val="28"/>
          <w:lang w:val="fr-FR" w:eastAsia="el-GR"/>
        </w:rPr>
        <w:t xml:space="preserve"> </w:t>
      </w:r>
    </w:p>
    <w:bookmarkEnd w:id="0"/>
    <w:bookmarkEnd w:id="1"/>
    <w:p w:rsidR="00FA1B32" w:rsidRPr="0012683D" w:rsidRDefault="00FA1B32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="Garamond" w:hAnsi="Garamond"/>
          <w:spacing w:val="-2"/>
          <w:szCs w:val="24"/>
          <w:lang w:val="fr-FR"/>
        </w:rPr>
      </w:pPr>
    </w:p>
    <w:p w:rsidR="00FA1B32" w:rsidRPr="0012683D" w:rsidRDefault="003C2019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spacing w:val="-2"/>
          <w:sz w:val="22"/>
          <w:szCs w:val="22"/>
          <w:lang w:val="fr-FR"/>
        </w:rPr>
      </w:pPr>
      <w:r w:rsidRPr="0012683D">
        <w:rPr>
          <w:rFonts w:ascii="Calibri" w:hAnsi="Calibri"/>
          <w:spacing w:val="-2"/>
          <w:sz w:val="22"/>
          <w:szCs w:val="22"/>
          <w:lang w:val="fr-FR"/>
        </w:rPr>
        <w:t>Le présent tableau a été préparé par le</w:t>
      </w:r>
      <w:r w:rsidR="00CB04FC" w:rsidRPr="0012683D">
        <w:rPr>
          <w:rFonts w:ascii="Calibri" w:hAnsi="Calibri"/>
          <w:spacing w:val="-2"/>
          <w:sz w:val="22"/>
          <w:szCs w:val="22"/>
          <w:lang w:val="fr-FR"/>
        </w:rPr>
        <w:t xml:space="preserve"> Secr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>é</w:t>
      </w:r>
      <w:r w:rsidR="00CB04FC" w:rsidRPr="0012683D">
        <w:rPr>
          <w:rFonts w:ascii="Calibri" w:hAnsi="Calibri"/>
          <w:spacing w:val="-2"/>
          <w:sz w:val="22"/>
          <w:szCs w:val="22"/>
          <w:lang w:val="fr-FR"/>
        </w:rPr>
        <w:t xml:space="preserve">tariat 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 xml:space="preserve">pour aider les </w:t>
      </w:r>
      <w:r w:rsidR="001913D5" w:rsidRPr="0012683D">
        <w:rPr>
          <w:rFonts w:ascii="Calibri" w:hAnsi="Calibri"/>
          <w:spacing w:val="-2"/>
          <w:sz w:val="22"/>
          <w:szCs w:val="22"/>
          <w:lang w:val="fr-FR"/>
        </w:rPr>
        <w:t xml:space="preserve">Parties 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>contractantes et autres délégués à retrouver les projets de résolution et les documents d’information qui seront examinés sous chaque point de l’ordre du jour de la COP12.</w:t>
      </w:r>
    </w:p>
    <w:p w:rsidR="0093465E" w:rsidRPr="0012683D" w:rsidRDefault="0093465E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Garamond" w:hAnsi="Garamond"/>
          <w:spacing w:val="-2"/>
          <w:sz w:val="26"/>
          <w:szCs w:val="26"/>
          <w:lang w:val="fr-FR"/>
        </w:rPr>
      </w:pPr>
    </w:p>
    <w:p w:rsidR="00B82A63" w:rsidRPr="0012683D" w:rsidRDefault="0093465E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b/>
          <w:spacing w:val="-2"/>
          <w:sz w:val="22"/>
          <w:szCs w:val="22"/>
          <w:lang w:val="fr-FR"/>
        </w:rPr>
      </w:pPr>
      <w:r w:rsidRPr="0012683D">
        <w:rPr>
          <w:rFonts w:ascii="Calibri" w:hAnsi="Calibri"/>
          <w:b/>
          <w:spacing w:val="-2"/>
          <w:sz w:val="22"/>
          <w:szCs w:val="22"/>
          <w:lang w:val="fr-FR"/>
        </w:rPr>
        <w:t>Note</w:t>
      </w:r>
      <w:r w:rsidR="00F73800" w:rsidRPr="0012683D">
        <w:rPr>
          <w:rFonts w:ascii="Calibri" w:hAnsi="Calibri"/>
          <w:b/>
          <w:spacing w:val="-2"/>
          <w:sz w:val="22"/>
          <w:szCs w:val="22"/>
          <w:lang w:val="fr-FR"/>
        </w:rPr>
        <w:t>s</w:t>
      </w:r>
    </w:p>
    <w:p w:rsidR="00753A14" w:rsidRPr="0012683D" w:rsidRDefault="00753A14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spacing w:val="-2"/>
          <w:sz w:val="22"/>
          <w:szCs w:val="22"/>
          <w:lang w:val="fr-FR"/>
        </w:rPr>
      </w:pPr>
    </w:p>
    <w:p w:rsidR="001913D8" w:rsidRPr="0012683D" w:rsidRDefault="003C2019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spacing w:val="-2"/>
          <w:sz w:val="22"/>
          <w:szCs w:val="22"/>
          <w:lang w:val="fr-FR"/>
        </w:rPr>
      </w:pPr>
      <w:r w:rsidRPr="0012683D">
        <w:rPr>
          <w:rFonts w:ascii="Calibri" w:hAnsi="Calibri"/>
          <w:spacing w:val="-2"/>
          <w:sz w:val="22"/>
          <w:szCs w:val="22"/>
          <w:lang w:val="fr-FR"/>
        </w:rPr>
        <w:t>Les documents</w:t>
      </w:r>
      <w:r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 </w:t>
      </w:r>
      <w:r w:rsidR="00B6591D" w:rsidRPr="0012683D">
        <w:rPr>
          <w:rFonts w:ascii="Calibri" w:hAnsi="Calibri"/>
          <w:b/>
          <w:spacing w:val="-2"/>
          <w:sz w:val="22"/>
          <w:szCs w:val="22"/>
          <w:lang w:val="fr-FR"/>
        </w:rPr>
        <w:t>COP1</w:t>
      </w:r>
      <w:r w:rsidR="00753A14" w:rsidRPr="0012683D">
        <w:rPr>
          <w:rFonts w:ascii="Calibri" w:hAnsi="Calibri"/>
          <w:b/>
          <w:spacing w:val="-2"/>
          <w:sz w:val="22"/>
          <w:szCs w:val="22"/>
          <w:lang w:val="fr-FR"/>
        </w:rPr>
        <w:t>2</w:t>
      </w:r>
      <w:r w:rsidR="0093465E"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 DOC</w:t>
      </w:r>
      <w:r w:rsidR="00AE3C8E"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. 9 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 xml:space="preserve">à </w:t>
      </w:r>
      <w:r w:rsidRPr="0012683D">
        <w:rPr>
          <w:rFonts w:ascii="Calibri" w:hAnsi="Calibri"/>
          <w:b/>
          <w:spacing w:val="-2"/>
          <w:sz w:val="22"/>
          <w:szCs w:val="22"/>
          <w:lang w:val="fr-FR"/>
        </w:rPr>
        <w:t>DOC.</w:t>
      </w:r>
      <w:r w:rsidR="00AE3C8E"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 </w:t>
      </w:r>
      <w:r w:rsidR="00B6591D" w:rsidRPr="0012683D">
        <w:rPr>
          <w:rFonts w:ascii="Calibri" w:hAnsi="Calibri"/>
          <w:b/>
          <w:spacing w:val="-2"/>
          <w:sz w:val="22"/>
          <w:szCs w:val="22"/>
          <w:lang w:val="fr-FR"/>
        </w:rPr>
        <w:t>13</w:t>
      </w:r>
      <w:r w:rsidR="0093465E" w:rsidRPr="0012683D">
        <w:rPr>
          <w:rFonts w:ascii="Calibri" w:hAnsi="Calibri"/>
          <w:spacing w:val="-2"/>
          <w:sz w:val="22"/>
          <w:szCs w:val="22"/>
          <w:lang w:val="fr-FR"/>
        </w:rPr>
        <w:t xml:space="preserve"> (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>Synthèses de la mise en œuvre au niveau régional)</w:t>
      </w:r>
      <w:r w:rsidR="0093465E" w:rsidRPr="0012683D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>seront examinés aux réunions régionales, le 1</w:t>
      </w:r>
      <w:r w:rsidRPr="0012683D">
        <w:rPr>
          <w:rFonts w:ascii="Calibri" w:hAnsi="Calibri"/>
          <w:spacing w:val="-2"/>
          <w:sz w:val="22"/>
          <w:szCs w:val="22"/>
          <w:vertAlign w:val="superscript"/>
          <w:lang w:val="fr-FR"/>
        </w:rPr>
        <w:t>er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 xml:space="preserve"> et le 2 juin</w:t>
      </w:r>
      <w:r w:rsidR="00B6591D" w:rsidRPr="0012683D">
        <w:rPr>
          <w:rFonts w:ascii="Calibri" w:hAnsi="Calibri"/>
          <w:spacing w:val="-2"/>
          <w:sz w:val="22"/>
          <w:szCs w:val="22"/>
          <w:lang w:val="fr-FR"/>
        </w:rPr>
        <w:t xml:space="preserve"> 201</w:t>
      </w:r>
      <w:r w:rsidR="00753A14" w:rsidRPr="0012683D">
        <w:rPr>
          <w:rFonts w:ascii="Calibri" w:hAnsi="Calibri"/>
          <w:spacing w:val="-2"/>
          <w:sz w:val="22"/>
          <w:szCs w:val="22"/>
          <w:lang w:val="fr-FR"/>
        </w:rPr>
        <w:t>5</w:t>
      </w:r>
      <w:r w:rsidR="00AE3C8E" w:rsidRPr="0012683D">
        <w:rPr>
          <w:rFonts w:ascii="Calibri" w:hAnsi="Calibri"/>
          <w:spacing w:val="-2"/>
          <w:sz w:val="22"/>
          <w:szCs w:val="22"/>
          <w:lang w:val="fr-FR"/>
        </w:rPr>
        <w:t>.</w:t>
      </w:r>
    </w:p>
    <w:p w:rsidR="00B6591D" w:rsidRPr="0012683D" w:rsidRDefault="00B6591D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spacing w:val="-2"/>
          <w:sz w:val="22"/>
          <w:szCs w:val="22"/>
          <w:lang w:val="fr-FR"/>
        </w:rPr>
      </w:pPr>
    </w:p>
    <w:p w:rsidR="0093465E" w:rsidRPr="0012683D" w:rsidRDefault="003C2019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Calibri" w:hAnsi="Calibri"/>
          <w:spacing w:val="-2"/>
          <w:sz w:val="22"/>
          <w:szCs w:val="22"/>
          <w:lang w:val="fr-FR"/>
        </w:rPr>
      </w:pPr>
      <w:r w:rsidRPr="0012683D">
        <w:rPr>
          <w:rFonts w:ascii="Calibri" w:hAnsi="Calibri"/>
          <w:spacing w:val="-2"/>
          <w:sz w:val="22"/>
          <w:szCs w:val="22"/>
          <w:lang w:val="fr-FR"/>
        </w:rPr>
        <w:t>Le document</w:t>
      </w:r>
      <w:r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 </w:t>
      </w:r>
      <w:r w:rsidR="00B6591D" w:rsidRPr="0012683D">
        <w:rPr>
          <w:rFonts w:ascii="Calibri" w:hAnsi="Calibri"/>
          <w:b/>
          <w:spacing w:val="-2"/>
          <w:sz w:val="22"/>
          <w:szCs w:val="22"/>
          <w:lang w:val="fr-FR"/>
        </w:rPr>
        <w:t>COP1</w:t>
      </w:r>
      <w:r w:rsidR="00753A14" w:rsidRPr="0012683D">
        <w:rPr>
          <w:rFonts w:ascii="Calibri" w:hAnsi="Calibri"/>
          <w:b/>
          <w:spacing w:val="-2"/>
          <w:sz w:val="22"/>
          <w:szCs w:val="22"/>
          <w:lang w:val="fr-FR"/>
        </w:rPr>
        <w:t>2</w:t>
      </w:r>
      <w:r w:rsidR="00B6591D" w:rsidRPr="0012683D">
        <w:rPr>
          <w:rFonts w:ascii="Calibri" w:hAnsi="Calibri"/>
          <w:b/>
          <w:spacing w:val="-2"/>
          <w:sz w:val="22"/>
          <w:szCs w:val="22"/>
          <w:lang w:val="fr-FR"/>
        </w:rPr>
        <w:t xml:space="preserve"> DOC</w:t>
      </w:r>
      <w:r w:rsidR="00753A14" w:rsidRPr="0012683D">
        <w:rPr>
          <w:rFonts w:ascii="Calibri" w:hAnsi="Calibri"/>
          <w:b/>
          <w:spacing w:val="-2"/>
          <w:sz w:val="22"/>
          <w:szCs w:val="22"/>
          <w:lang w:val="fr-FR"/>
        </w:rPr>
        <w:t>.4</w:t>
      </w:r>
      <w:r w:rsidR="00753A14" w:rsidRPr="0012683D">
        <w:rPr>
          <w:rFonts w:ascii="Calibri" w:hAnsi="Calibri"/>
          <w:spacing w:val="-2"/>
          <w:sz w:val="22"/>
          <w:szCs w:val="22"/>
          <w:lang w:val="fr-FR"/>
        </w:rPr>
        <w:t xml:space="preserve"> (</w:t>
      </w:r>
      <w:r w:rsidRPr="0012683D">
        <w:rPr>
          <w:rFonts w:ascii="Calibri" w:hAnsi="Calibri"/>
          <w:spacing w:val="-2"/>
          <w:sz w:val="22"/>
          <w:szCs w:val="22"/>
          <w:lang w:val="fr-FR"/>
        </w:rPr>
        <w:t>Orientations destinées aux Parties contractantes sur le fonctionnement de la</w:t>
      </w:r>
      <w:r w:rsidR="00753A14" w:rsidRPr="0012683D">
        <w:rPr>
          <w:rFonts w:ascii="Calibri" w:hAnsi="Calibri"/>
          <w:bCs/>
          <w:spacing w:val="-2"/>
          <w:sz w:val="22"/>
          <w:szCs w:val="22"/>
          <w:lang w:val="fr-FR"/>
        </w:rPr>
        <w:t xml:space="preserve"> COP12) </w:t>
      </w:r>
      <w:r w:rsidRPr="0012683D">
        <w:rPr>
          <w:rFonts w:ascii="Calibri" w:hAnsi="Calibri"/>
          <w:bCs/>
          <w:spacing w:val="-2"/>
          <w:sz w:val="22"/>
          <w:szCs w:val="22"/>
          <w:lang w:val="fr-FR"/>
        </w:rPr>
        <w:t>est utile à l’ensemble du processus de la COP</w:t>
      </w:r>
      <w:r w:rsidR="0018467F" w:rsidRPr="0012683D">
        <w:rPr>
          <w:rFonts w:ascii="Calibri" w:hAnsi="Calibri"/>
          <w:spacing w:val="-2"/>
          <w:sz w:val="22"/>
          <w:szCs w:val="22"/>
          <w:lang w:val="fr-FR"/>
        </w:rPr>
        <w:t>.</w:t>
      </w:r>
    </w:p>
    <w:p w:rsidR="001913D5" w:rsidRPr="0012683D" w:rsidRDefault="001913D5" w:rsidP="00FA1B32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="Garamond" w:hAnsi="Garamond"/>
          <w:spacing w:val="-2"/>
          <w:sz w:val="26"/>
          <w:szCs w:val="26"/>
          <w:lang w:val="fr-FR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2835"/>
        <w:gridCol w:w="3119"/>
      </w:tblGrid>
      <w:tr w:rsidR="00FA1B32" w:rsidRPr="0012683D" w:rsidTr="006A39B1">
        <w:trPr>
          <w:cantSplit/>
        </w:trPr>
        <w:tc>
          <w:tcPr>
            <w:tcW w:w="3195" w:type="dxa"/>
          </w:tcPr>
          <w:p w:rsidR="00FA1B32" w:rsidRPr="0012683D" w:rsidRDefault="003C2019" w:rsidP="00D95EAA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252" w:hanging="252"/>
              <w:jc w:val="center"/>
              <w:rPr>
                <w:rFonts w:ascii="Calibri" w:hAnsi="Calibri"/>
                <w:b/>
                <w:spacing w:val="-2"/>
                <w:szCs w:val="24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Cs w:val="24"/>
                <w:lang w:val="fr-FR"/>
              </w:rPr>
              <w:t>Points de l’ordre du jour</w:t>
            </w:r>
          </w:p>
        </w:tc>
        <w:tc>
          <w:tcPr>
            <w:tcW w:w="2835" w:type="dxa"/>
          </w:tcPr>
          <w:p w:rsidR="00FA1B32" w:rsidRPr="0012683D" w:rsidRDefault="003C2019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jc w:val="center"/>
              <w:rPr>
                <w:rFonts w:ascii="Calibri" w:hAnsi="Calibri"/>
                <w:b/>
                <w:spacing w:val="-2"/>
                <w:szCs w:val="24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Cs w:val="24"/>
                <w:lang w:val="fr-FR"/>
              </w:rPr>
              <w:t>Projets de résolution</w:t>
            </w:r>
            <w:r w:rsidR="000844F7" w:rsidRPr="0012683D">
              <w:rPr>
                <w:rFonts w:ascii="Calibri" w:hAnsi="Calibri"/>
                <w:b/>
                <w:spacing w:val="-2"/>
                <w:szCs w:val="24"/>
                <w:lang w:val="fr-FR"/>
              </w:rPr>
              <w:t xml:space="preserve"> (</w:t>
            </w:r>
            <w:r w:rsidR="00FA1B32" w:rsidRPr="0012683D">
              <w:rPr>
                <w:rFonts w:ascii="Calibri" w:hAnsi="Calibri"/>
                <w:b/>
                <w:spacing w:val="-2"/>
                <w:szCs w:val="24"/>
                <w:lang w:val="fr-FR"/>
              </w:rPr>
              <w:t>DR)</w:t>
            </w:r>
          </w:p>
        </w:tc>
        <w:tc>
          <w:tcPr>
            <w:tcW w:w="3119" w:type="dxa"/>
          </w:tcPr>
          <w:p w:rsidR="00FA1B32" w:rsidRPr="0012683D" w:rsidRDefault="003C2019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jc w:val="center"/>
              <w:rPr>
                <w:rFonts w:ascii="Calibri" w:hAnsi="Calibri"/>
                <w:b/>
                <w:spacing w:val="-2"/>
                <w:szCs w:val="24"/>
                <w:lang w:val="fr-FR"/>
              </w:rPr>
            </w:pPr>
            <w:r w:rsidRPr="0012683D">
              <w:rPr>
                <w:rFonts w:ascii="Calibri" w:hAnsi="Calibri"/>
                <w:b/>
                <w:szCs w:val="24"/>
                <w:lang w:val="fr-FR"/>
              </w:rPr>
              <w:t>Documents d’i</w:t>
            </w:r>
            <w:r w:rsidR="00FA1B32" w:rsidRPr="0012683D">
              <w:rPr>
                <w:rFonts w:ascii="Calibri" w:hAnsi="Calibri"/>
                <w:b/>
                <w:szCs w:val="24"/>
                <w:lang w:val="fr-FR"/>
              </w:rPr>
              <w:t xml:space="preserve">nformation </w:t>
            </w: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Ouverture de la Session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Allocutions générales et discours liminaires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064CD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  <w:t xml:space="preserve">Adoption 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de l’ordre du jour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603259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DOC.</w:t>
            </w:r>
            <w:r w:rsidR="00BE4249" w:rsidRPr="0012683D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1 </w:t>
            </w:r>
            <w:r w:rsidR="003C2019" w:rsidRPr="0012683D">
              <w:rPr>
                <w:rFonts w:ascii="Calibri" w:hAnsi="Calibri"/>
                <w:sz w:val="22"/>
                <w:szCs w:val="22"/>
                <w:lang w:val="fr-FR"/>
              </w:rPr>
              <w:t>Ordre du jour provisoire</w:t>
            </w: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42413D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IV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4241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Discussion et a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doption 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du Règlement intérieur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8C1F6C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DOC.3 </w:t>
            </w:r>
            <w:r w:rsidRPr="0012683D">
              <w:rPr>
                <w:rFonts w:ascii="Calibri" w:hAnsi="Calibri"/>
                <w:bCs/>
                <w:sz w:val="22"/>
                <w:szCs w:val="22"/>
                <w:lang w:val="fr-FR"/>
              </w:rPr>
              <w:t>R</w:t>
            </w:r>
            <w:r w:rsidR="003C2019" w:rsidRPr="0012683D">
              <w:rPr>
                <w:rFonts w:ascii="Calibri" w:hAnsi="Calibri"/>
                <w:bCs/>
                <w:sz w:val="22"/>
                <w:szCs w:val="22"/>
                <w:lang w:val="fr-FR"/>
              </w:rPr>
              <w:t>èglement intérieur des sessions de la Conférence des Parties contractantes</w:t>
            </w: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085EB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V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Élection du président et des vice-présidents et remarques du président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VI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Nomination du Comité de vérification des pouvoirs et de tout autre comité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064CD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VII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  <w:t xml:space="preserve">Admission 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des observateurs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603259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DOC.21</w:t>
            </w:r>
            <w:r w:rsidR="008C1F6C"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Admission </w:t>
            </w:r>
            <w:r w:rsidR="003C2019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des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3C2019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o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bserv</w:t>
            </w:r>
            <w:r w:rsidR="003C2019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ateurs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[</w:t>
            </w:r>
            <w:r w:rsidR="003C2019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présenté en séance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]</w:t>
            </w:r>
          </w:p>
        </w:tc>
      </w:tr>
      <w:tr w:rsidR="00FA1B32" w:rsidRPr="0042413D" w:rsidTr="006A39B1">
        <w:trPr>
          <w:cantSplit/>
        </w:trPr>
        <w:tc>
          <w:tcPr>
            <w:tcW w:w="3195" w:type="dxa"/>
          </w:tcPr>
          <w:p w:rsidR="00FA1B32" w:rsidRPr="0012683D" w:rsidRDefault="00FA1B32" w:rsidP="00064CD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VIII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de la Présidente du Comité permanent</w:t>
            </w:r>
          </w:p>
        </w:tc>
        <w:tc>
          <w:tcPr>
            <w:tcW w:w="2835" w:type="dxa"/>
          </w:tcPr>
          <w:p w:rsidR="00FA1B32" w:rsidRPr="0012683D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FA1B32" w:rsidRPr="0012683D" w:rsidRDefault="008C1F6C" w:rsidP="003C201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</w:t>
            </w:r>
            <w:r w:rsidR="00603259"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C.</w:t>
            </w: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5 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R</w:t>
            </w:r>
            <w:r w:rsidR="003C2019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ap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port </w:t>
            </w:r>
            <w:r w:rsidR="003C2019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de la Présidente du Comité permanent</w:t>
            </w: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B6591D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lastRenderedPageBreak/>
              <w:t>I</w:t>
            </w:r>
            <w:r w:rsidR="0018467F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</w:t>
            </w:r>
            <w:r w:rsidR="0018467F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du Secrétaire général et aperçu de l’application de la Convention au niveau mondial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ind w:left="241" w:hanging="241"/>
              <w:rPr>
                <w:rFonts w:ascii="Garamond" w:hAnsi="Garamond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EE45CE" w:rsidRPr="00EE45CE" w:rsidRDefault="0042413D" w:rsidP="00EE45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DOC.8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R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apport du Secrétaire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général à la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COP12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sur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la mise en œuvre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de la </w:t>
            </w:r>
            <w:r w:rsid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color w:val="000000"/>
                <w:sz w:val="22"/>
                <w:szCs w:val="22"/>
              </w:rPr>
              <w:t>Convention</w:t>
            </w:r>
          </w:p>
          <w:p w:rsidR="00884B53" w:rsidRPr="0012683D" w:rsidRDefault="00884B53" w:rsidP="00884B5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DOC.</w:t>
            </w:r>
            <w:r w:rsidR="004241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7</w:t>
            </w:r>
            <w:r w:rsidRPr="001268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R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ap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port 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du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 Secr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étaire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général </w:t>
            </w:r>
            <w:r w:rsidR="00410CFB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au titre de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 l’a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rticle 8.2 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concernant la Liste des zones humides d’importance internationale</w:t>
            </w:r>
          </w:p>
          <w:p w:rsidR="0042413D" w:rsidRPr="0012683D" w:rsidRDefault="0042413D" w:rsidP="0042413D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DOC.18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EE45CE" w:rsidRPr="00EE45CE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sur la mise en œuvre du Programme de CESP de la Convention</w:t>
            </w:r>
          </w:p>
          <w:p w:rsidR="0042413D" w:rsidRDefault="0042413D" w:rsidP="0060325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DOC.2</w:t>
            </w:r>
            <w:r w:rsidR="00241D15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6</w:t>
            </w:r>
            <w:r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="00241D15" w:rsidRPr="00241D15">
              <w:rPr>
                <w:rFonts w:ascii="Calibri" w:hAnsi="Calibri"/>
                <w:bCs/>
                <w:spacing w:val="-2"/>
                <w:sz w:val="22"/>
                <w:szCs w:val="22"/>
                <w:lang w:val="fr-CH"/>
              </w:rPr>
              <w:t>Plan d’action en matière de communication/CESP 2016-2021 pour le Secrétariat Ramsar</w:t>
            </w:r>
            <w:r w:rsidR="00241D15" w:rsidRPr="00241D15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CH"/>
              </w:rPr>
              <w:t> </w:t>
            </w:r>
          </w:p>
          <w:p w:rsidR="00884B53" w:rsidRPr="00241D15" w:rsidRDefault="00603259" w:rsidP="00241D15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</w:t>
            </w:r>
            <w:r w:rsidR="008C1F6C"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9; DOC.10</w:t>
            </w: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; DOC.</w:t>
            </w:r>
            <w:r w:rsidR="008C1F6C"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11; DOC.12</w:t>
            </w: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; DOC.13</w:t>
            </w:r>
            <w:r w:rsidR="008C1F6C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410CFB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Rapports de s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ynthèse régiona</w:t>
            </w:r>
            <w:r w:rsidR="00410CFB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ux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sur </w:t>
            </w:r>
            <w:r w:rsidR="00410CFB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l’application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de la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Convention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et de son Plan stratégique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en Afrique, dans les Amériques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(</w:t>
            </w:r>
            <w:r w:rsid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Région néotropicale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et Amérique du Nord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),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en 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Europe,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en 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Asi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e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et en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Oc</w:t>
            </w:r>
            <w:r w:rsidR="00031A2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éanie</w:t>
            </w:r>
          </w:p>
        </w:tc>
      </w:tr>
      <w:tr w:rsidR="00774A58" w:rsidRPr="0042413D" w:rsidTr="006A39B1">
        <w:trPr>
          <w:cantSplit/>
        </w:trPr>
        <w:tc>
          <w:tcPr>
            <w:tcW w:w="3195" w:type="dxa"/>
          </w:tcPr>
          <w:p w:rsidR="00774A58" w:rsidRPr="0012683D" w:rsidRDefault="00753A14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</w:t>
            </w:r>
            <w:r w:rsidR="00AE3C8E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Questions issues des Résolutions et Recommandations de sessions précédentes de la Conférence des Parties contractantes</w:t>
            </w:r>
          </w:p>
        </w:tc>
        <w:tc>
          <w:tcPr>
            <w:tcW w:w="2835" w:type="dxa"/>
          </w:tcPr>
          <w:p w:rsidR="00774A58" w:rsidRPr="0012683D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CB607D" w:rsidRPr="0012683D" w:rsidRDefault="00CB607D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du Président du Groupe d’évaluation scientifique et technique (GEST)</w:t>
            </w:r>
          </w:p>
        </w:tc>
        <w:tc>
          <w:tcPr>
            <w:tcW w:w="2835" w:type="dxa"/>
          </w:tcPr>
          <w:p w:rsidR="0018467F" w:rsidRPr="0012683D" w:rsidRDefault="0018467F" w:rsidP="00F442F7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</w:tcPr>
          <w:p w:rsidR="002C1076" w:rsidRPr="0012683D" w:rsidRDefault="002C1076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DOC.6 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R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ap</w:t>
            </w:r>
            <w:r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 xml:space="preserve">port </w:t>
            </w:r>
            <w:r w:rsidR="00031A28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du Président du Groupe d’évaluation scientifique et technique (GEST)</w:t>
            </w:r>
          </w:p>
          <w:p w:rsidR="002C1076" w:rsidRPr="0012683D" w:rsidRDefault="002C1076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DOC.2</w:t>
            </w:r>
            <w:r w:rsidR="004241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3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Note d’information Ramsar No 7 État des zones humides du monde et des services qu’elles fournissent à l’humanité : compilation d’analyses récentes</w:t>
            </w:r>
          </w:p>
          <w:p w:rsidR="009A3AB3" w:rsidRPr="0012683D" w:rsidRDefault="00131C60" w:rsidP="0042413D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</w:t>
            </w:r>
            <w:r w:rsidRPr="0012683D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>2</w:t>
            </w:r>
            <w:r w:rsidR="0042413D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>5</w:t>
            </w:r>
            <w:r w:rsidRPr="0012683D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 xml:space="preserve"> </w:t>
            </w:r>
            <w:r w:rsidR="00EE45CE" w:rsidRPr="00EE45CE"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Fiche d’Information Ramsar No 5 Les récifs coralliens : Des zones humides vitales en péril</w:t>
            </w: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lastRenderedPageBreak/>
              <w:t>XII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sur l’application du Programme de CESP 2009-2015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3119" w:type="dxa"/>
          </w:tcPr>
          <w:p w:rsidR="00865846" w:rsidRPr="0012683D" w:rsidRDefault="00865846" w:rsidP="0086584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DOC.18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EE45CE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sur la mise en œuvre du Programme de CESP de la Convention</w:t>
            </w:r>
          </w:p>
          <w:p w:rsidR="00241D15" w:rsidRPr="0012683D" w:rsidRDefault="00241D15" w:rsidP="00064CD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b/>
                <w:spacing w:val="-2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DOC.26 </w:t>
            </w:r>
            <w:r w:rsidRPr="00241D15">
              <w:rPr>
                <w:rFonts w:ascii="Calibri" w:hAnsi="Calibri"/>
                <w:bCs/>
                <w:spacing w:val="-2"/>
                <w:sz w:val="22"/>
                <w:szCs w:val="22"/>
                <w:lang w:val="fr-CH"/>
              </w:rPr>
              <w:t>Plan d’action en matière de communication/CESP 2016-2021 pour le Secrétariat Ramsar</w:t>
            </w:r>
            <w:r w:rsidRPr="00241D15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CH"/>
              </w:rPr>
              <w:t> </w:t>
            </w: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18467F" w:rsidP="0042413D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XI</w:t>
            </w:r>
            <w:r w:rsidR="00774A58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z w:val="22"/>
                <w:szCs w:val="22"/>
                <w:lang w:val="fr-FR"/>
              </w:rPr>
              <w:t xml:space="preserve">Rapport financier de la Présidente du Sous-groupe du Comité permanent sur les finances 2012-2015 </w:t>
            </w:r>
          </w:p>
        </w:tc>
        <w:tc>
          <w:tcPr>
            <w:tcW w:w="2835" w:type="dxa"/>
          </w:tcPr>
          <w:p w:rsidR="0018467F" w:rsidRPr="0012683D" w:rsidRDefault="0018467F" w:rsidP="002645B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2C1076" w:rsidRPr="00865846" w:rsidRDefault="002C1076" w:rsidP="0086584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z w:val="22"/>
                <w:szCs w:val="22"/>
                <w:lang w:val="fr-CH"/>
              </w:rPr>
            </w:pPr>
            <w:r w:rsidRPr="0012683D">
              <w:rPr>
                <w:rFonts w:ascii="Calibri" w:hAnsi="Calibri"/>
                <w:b/>
                <w:sz w:val="22"/>
                <w:szCs w:val="22"/>
                <w:lang w:val="fr-FR"/>
              </w:rPr>
              <w:t>DOC.1</w:t>
            </w:r>
            <w:r w:rsidR="00884B53" w:rsidRPr="0012683D">
              <w:rPr>
                <w:rFonts w:ascii="Calibri" w:hAnsi="Calibri"/>
                <w:b/>
                <w:sz w:val="22"/>
                <w:szCs w:val="22"/>
                <w:lang w:val="fr-FR"/>
              </w:rPr>
              <w:t>4</w:t>
            </w:r>
            <w:r w:rsidRPr="0012683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65846" w:rsidRPr="00865846">
              <w:rPr>
                <w:rFonts w:ascii="Calibri" w:hAnsi="Calibri"/>
                <w:bCs/>
                <w:sz w:val="22"/>
                <w:szCs w:val="22"/>
                <w:lang w:val="fr-CH"/>
              </w:rPr>
              <w:t>Informations générales sur les questions financières et budgétaires</w:t>
            </w:r>
            <w:r w:rsidR="00865846" w:rsidRPr="00865846">
              <w:rPr>
                <w:rFonts w:ascii="Calibri" w:hAnsi="Calibr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4F5F9F" w:rsidRPr="0012683D" w:rsidRDefault="002C1076" w:rsidP="0086584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DOC.15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Parties</w:t>
            </w:r>
            <w:r w:rsidR="00731419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contractantes ayant des arriérés de </w:t>
            </w:r>
            <w:r w:rsidRPr="0012683D">
              <w:rPr>
                <w:rFonts w:ascii="Calibri" w:hAnsi="Calibri"/>
                <w:sz w:val="22"/>
                <w:szCs w:val="22"/>
                <w:lang w:val="fr-FR"/>
              </w:rPr>
              <w:t>contributions</w:t>
            </w:r>
            <w:r w:rsidR="00FD4EAA">
              <w:rPr>
                <w:rFonts w:ascii="Calibri" w:hAnsi="Calibri"/>
                <w:sz w:val="22"/>
                <w:szCs w:val="22"/>
                <w:lang w:val="fr-FR"/>
              </w:rPr>
              <w:t xml:space="preserve"> annuelles</w:t>
            </w:r>
          </w:p>
        </w:tc>
      </w:tr>
      <w:tr w:rsidR="00774A58" w:rsidRPr="0042413D" w:rsidTr="006A39B1">
        <w:trPr>
          <w:cantSplit/>
        </w:trPr>
        <w:tc>
          <w:tcPr>
            <w:tcW w:w="3195" w:type="dxa"/>
          </w:tcPr>
          <w:p w:rsidR="00774A58" w:rsidRPr="0012683D" w:rsidRDefault="00774A58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XIV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z w:val="22"/>
                <w:szCs w:val="22"/>
                <w:lang w:val="fr-FR"/>
              </w:rPr>
              <w:t>Élection des Parties contractantes qui siégeront au Comité permanent durant la période 2015-2018</w:t>
            </w:r>
          </w:p>
        </w:tc>
        <w:tc>
          <w:tcPr>
            <w:tcW w:w="2835" w:type="dxa"/>
          </w:tcPr>
          <w:p w:rsidR="00774A58" w:rsidRPr="0012683D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774A58" w:rsidRPr="0012683D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B47DBC" w:rsidP="0042413D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XV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Examen des projets de </w:t>
            </w:r>
            <w:r w:rsidR="004241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ésolution présentés par les  Parties contractantes et le Comité permanent</w:t>
            </w:r>
          </w:p>
        </w:tc>
        <w:tc>
          <w:tcPr>
            <w:tcW w:w="2835" w:type="dxa"/>
          </w:tcPr>
          <w:p w:rsidR="0018467F" w:rsidRPr="0012683D" w:rsidRDefault="00455408" w:rsidP="002645B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DR2 </w:t>
            </w:r>
            <w:r w:rsidR="002645B3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Le Plan stratégique Ramsar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2016-2021</w:t>
            </w: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DR3 </w:t>
            </w:r>
            <w:r w:rsidR="002645B3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Renforcer l’utilisation des langues, la visibilité et la stature de la Convention et améliorer les synergies avec d’autres accords multilatéraux sur l’environnement et autres institutions internationales</w:t>
            </w:r>
          </w:p>
        </w:tc>
        <w:tc>
          <w:tcPr>
            <w:tcW w:w="3119" w:type="dxa"/>
          </w:tcPr>
          <w:p w:rsidR="00884B53" w:rsidRPr="0012683D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DOC.16 </w:t>
            </w:r>
            <w:r w:rsidR="00D9546A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Considérations du groupe de travail sur le plan stratégique sur les mécanismes visant à renforcer la visibilité et la stature de la Convention de Ramsar et à accroître les synergies avec les accords multilatéraux sur l’environnement (AME) et autres entités internationales</w:t>
            </w:r>
          </w:p>
          <w:p w:rsidR="00455408" w:rsidRPr="0012683D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DOC.17 </w:t>
            </w:r>
            <w:r w:rsidR="00D9546A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Mémoire juridique : Opinion sur l’utilisation de l’arabe et d’autres langues des Nations Unies dans les travaux de la Convention de Ramsar</w:t>
            </w: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DR4 </w:t>
            </w:r>
            <w:r w:rsidR="002645B3" w:rsidRPr="0012683D">
              <w:rPr>
                <w:rFonts w:ascii="Calibri" w:hAnsi="Calibri"/>
                <w:bCs/>
                <w:sz w:val="22"/>
                <w:szCs w:val="22"/>
                <w:lang w:val="fr-FR"/>
              </w:rPr>
              <w:t>Responsabilités, rôle et composition du Comité permanent et répartition régionale des pays dans le cadre de la Convention de Ramsar</w:t>
            </w:r>
          </w:p>
        </w:tc>
        <w:tc>
          <w:tcPr>
            <w:tcW w:w="3119" w:type="dxa"/>
          </w:tcPr>
          <w:p w:rsidR="00884B53" w:rsidRPr="0012683D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DR5 </w:t>
            </w:r>
            <w:r w:rsidR="002645B3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Projet de nouveau cadre pour la fourniture d’avis et d’orientations scientifiques et techniques à la Convention</w:t>
            </w:r>
          </w:p>
        </w:tc>
        <w:tc>
          <w:tcPr>
            <w:tcW w:w="3119" w:type="dxa"/>
          </w:tcPr>
          <w:p w:rsidR="00884B53" w:rsidRPr="0012683D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DR6 </w:t>
            </w:r>
            <w:r w:rsidR="00EA2B03" w:rsidRPr="0012683D"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État des sites inscrits sur la Liste de Ramsar des zones humides d’importance internationale</w:t>
            </w:r>
          </w:p>
        </w:tc>
        <w:tc>
          <w:tcPr>
            <w:tcW w:w="3119" w:type="dxa"/>
          </w:tcPr>
          <w:p w:rsidR="00884B53" w:rsidRPr="0012683D" w:rsidRDefault="00012AB4" w:rsidP="00012AB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 xml:space="preserve">DOC.7 </w:t>
            </w:r>
            <w:r w:rsidR="00D9546A" w:rsidRPr="0012683D">
              <w:rPr>
                <w:rFonts w:ascii="Calibri" w:hAnsi="Calibri"/>
                <w:bCs/>
                <w:color w:val="000000"/>
                <w:sz w:val="22"/>
                <w:szCs w:val="22"/>
                <w:lang w:val="fr-FR"/>
              </w:rPr>
              <w:t>Rapport du Secrétaire général conformément à l’article 8.2 concernant la Liste des zones humides d’importance internationale</w:t>
            </w: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 xml:space="preserve">DR7 </w:t>
            </w:r>
            <w:r w:rsidR="00EA2B03" w:rsidRPr="0012683D"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Cadre de la Convention de Ramsar pour la mobilisation de ressources et les partenariats et proposition visant à attribuer le statut d’Organisation internationale partenaire au Wildfowl and Wetlands Trust (WWT)</w:t>
            </w:r>
          </w:p>
        </w:tc>
        <w:tc>
          <w:tcPr>
            <w:tcW w:w="3119" w:type="dxa"/>
          </w:tcPr>
          <w:p w:rsidR="00884B53" w:rsidRPr="0012683D" w:rsidRDefault="00884B53" w:rsidP="00241D15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 xml:space="preserve">DR8 </w:t>
            </w:r>
            <w:r w:rsidR="00427233" w:rsidRPr="0012683D"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Initiatives régionales 2016-2018 fonctionnant dans le cadre de la Convention de Ramsar</w:t>
            </w:r>
          </w:p>
        </w:tc>
        <w:tc>
          <w:tcPr>
            <w:tcW w:w="3119" w:type="dxa"/>
          </w:tcPr>
          <w:p w:rsidR="00884B53" w:rsidRPr="0012683D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EE1E6E" w:rsidP="0042723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DR9 </w:t>
            </w:r>
            <w:r w:rsidR="00A43F6B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Le Programme de la Convention de Ramsar relatif à la communication, au développement des capacités, à l’éducation, à la sensibilisation et à la participation (CESP) 2016-2021</w:t>
            </w:r>
          </w:p>
        </w:tc>
        <w:tc>
          <w:tcPr>
            <w:tcW w:w="3119" w:type="dxa"/>
          </w:tcPr>
          <w:p w:rsidR="00884B53" w:rsidRPr="0012683D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884B53" w:rsidRPr="0042413D" w:rsidTr="006A39B1">
        <w:trPr>
          <w:cantSplit/>
        </w:trPr>
        <w:tc>
          <w:tcPr>
            <w:tcW w:w="3195" w:type="dxa"/>
          </w:tcPr>
          <w:p w:rsidR="00884B53" w:rsidRPr="0012683D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884B53" w:rsidRPr="0012683D" w:rsidRDefault="001E2F67" w:rsidP="001E2F67">
            <w:pPr>
              <w:ind w:right="17"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 w:eastAsia="el-G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DR10 </w:t>
            </w:r>
            <w:r w:rsidR="00586970" w:rsidRPr="0012683D">
              <w:rPr>
                <w:rFonts w:ascii="Calibri" w:hAnsi="Calibri"/>
                <w:bCs/>
                <w:sz w:val="22"/>
                <w:szCs w:val="22"/>
                <w:lang w:val="fr-FR" w:eastAsia="el-GR"/>
              </w:rPr>
              <w:t>Label Ramsar pour les zones humides urbaines</w:t>
            </w:r>
          </w:p>
        </w:tc>
        <w:tc>
          <w:tcPr>
            <w:tcW w:w="3119" w:type="dxa"/>
          </w:tcPr>
          <w:p w:rsidR="00884B53" w:rsidRPr="0012683D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E2F67" w:rsidRPr="0042413D" w:rsidTr="006A39B1">
        <w:trPr>
          <w:cantSplit/>
        </w:trPr>
        <w:tc>
          <w:tcPr>
            <w:tcW w:w="3195" w:type="dxa"/>
          </w:tcPr>
          <w:p w:rsidR="001E2F67" w:rsidRPr="0012683D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1E2F67" w:rsidRPr="0012683D" w:rsidRDefault="001E2F67" w:rsidP="001E2F67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DR11 </w:t>
            </w:r>
            <w:r w:rsidR="00586970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Les tourbières, les changements climatiques et l’utilisation rationnelle : implications pour la Convention de Ramsar</w:t>
            </w:r>
          </w:p>
        </w:tc>
        <w:tc>
          <w:tcPr>
            <w:tcW w:w="3119" w:type="dxa"/>
          </w:tcPr>
          <w:p w:rsidR="001E2F67" w:rsidRPr="0012683D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E2F67" w:rsidRPr="0042413D" w:rsidTr="006A39B1">
        <w:trPr>
          <w:cantSplit/>
        </w:trPr>
        <w:tc>
          <w:tcPr>
            <w:tcW w:w="3195" w:type="dxa"/>
          </w:tcPr>
          <w:p w:rsidR="001E2F67" w:rsidRPr="0012683D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1E2F67" w:rsidRPr="0012683D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DR12 </w:t>
            </w:r>
            <w:r w:rsidR="00586970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Appel à l’action pour garantir et protéger les besoins en eau des zones humides, présents et futurs</w:t>
            </w:r>
          </w:p>
        </w:tc>
        <w:tc>
          <w:tcPr>
            <w:tcW w:w="3119" w:type="dxa"/>
          </w:tcPr>
          <w:p w:rsidR="001E2F67" w:rsidRPr="0012683D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E2F67" w:rsidRPr="0042413D" w:rsidTr="006A39B1">
        <w:trPr>
          <w:cantSplit/>
        </w:trPr>
        <w:tc>
          <w:tcPr>
            <w:tcW w:w="3195" w:type="dxa"/>
          </w:tcPr>
          <w:p w:rsidR="001E2F67" w:rsidRPr="0012683D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1E2F67" w:rsidRPr="0012683D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DR13 </w:t>
            </w:r>
            <w:r w:rsidR="00586970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Les zones humides et la prévention des risques de catastrophe</w:t>
            </w:r>
          </w:p>
        </w:tc>
        <w:tc>
          <w:tcPr>
            <w:tcW w:w="3119" w:type="dxa"/>
          </w:tcPr>
          <w:p w:rsidR="001E2F67" w:rsidRPr="0012683D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E2F67" w:rsidRPr="0042413D" w:rsidTr="006A39B1">
        <w:trPr>
          <w:cantSplit/>
        </w:trPr>
        <w:tc>
          <w:tcPr>
            <w:tcW w:w="3195" w:type="dxa"/>
          </w:tcPr>
          <w:p w:rsidR="001E2F67" w:rsidRPr="0012683D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1E2F67" w:rsidRPr="0012683D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DR14 </w:t>
            </w:r>
            <w:r w:rsidR="00586970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Conservation des zones humides des îles du bassin méditerranéen</w:t>
            </w:r>
          </w:p>
        </w:tc>
        <w:tc>
          <w:tcPr>
            <w:tcW w:w="3119" w:type="dxa"/>
          </w:tcPr>
          <w:p w:rsidR="001E2F67" w:rsidRPr="0012683D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E2F67" w:rsidRPr="0042413D" w:rsidTr="006A39B1">
        <w:trPr>
          <w:cantSplit/>
        </w:trPr>
        <w:tc>
          <w:tcPr>
            <w:tcW w:w="3195" w:type="dxa"/>
          </w:tcPr>
          <w:p w:rsidR="001E2F67" w:rsidRPr="0012683D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1E2F67" w:rsidRPr="0012683D" w:rsidRDefault="006D3DD9" w:rsidP="006D3DD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DR15 </w:t>
            </w:r>
            <w:r w:rsidR="00586970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Évaluer et assurer la gestion efficace et la conservation des Sites Ramsar</w:t>
            </w:r>
          </w:p>
        </w:tc>
        <w:tc>
          <w:tcPr>
            <w:tcW w:w="3119" w:type="dxa"/>
          </w:tcPr>
          <w:p w:rsidR="001E2F67" w:rsidRPr="0012683D" w:rsidRDefault="006D3DD9" w:rsidP="00D9546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 xml:space="preserve">DOC.20 </w:t>
            </w:r>
            <w:r w:rsidR="00D9546A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Évaluation de l’efficacité de la gestion des Sites Ramsar</w:t>
            </w:r>
          </w:p>
        </w:tc>
      </w:tr>
      <w:tr w:rsidR="00FD4EAA" w:rsidRPr="00FD4EAA" w:rsidTr="00EE45CE">
        <w:trPr>
          <w:cantSplit/>
        </w:trPr>
        <w:tc>
          <w:tcPr>
            <w:tcW w:w="3195" w:type="dxa"/>
          </w:tcPr>
          <w:p w:rsidR="00FD4EAA" w:rsidRPr="0012683D" w:rsidRDefault="00FD4EAA" w:rsidP="00EE45CE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FD4EAA" w:rsidRPr="00FD4EAA" w:rsidRDefault="00FD4EAA" w:rsidP="00EE45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  <w:t xml:space="preserve">DR1 </w:t>
            </w:r>
            <w:r>
              <w:rPr>
                <w:rFonts w:ascii="Calibri" w:hAnsi="Calibri"/>
                <w:bCs/>
                <w:spacing w:val="-2"/>
                <w:sz w:val="22"/>
                <w:szCs w:val="22"/>
                <w:lang w:val="fr-FR"/>
              </w:rPr>
              <w:t>Questions financières et budgétaires</w:t>
            </w:r>
          </w:p>
        </w:tc>
        <w:tc>
          <w:tcPr>
            <w:tcW w:w="3119" w:type="dxa"/>
          </w:tcPr>
          <w:p w:rsidR="00FD4EAA" w:rsidRPr="00AB6F57" w:rsidRDefault="00FD4EAA" w:rsidP="00EE45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AB6F57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DOC.14</w:t>
            </w:r>
            <w:r w:rsidRPr="00AB6F57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</w:t>
            </w:r>
            <w:r w:rsidR="00865846" w:rsidRPr="00865846">
              <w:rPr>
                <w:rFonts w:ascii="Calibri" w:hAnsi="Calibri"/>
                <w:bCs/>
                <w:sz w:val="22"/>
                <w:szCs w:val="22"/>
                <w:lang w:val="fr-CH"/>
              </w:rPr>
              <w:t>Informations générales sur les questions financières et budgétaires</w:t>
            </w:r>
          </w:p>
          <w:p w:rsidR="00FD4EAA" w:rsidRPr="00AB6F57" w:rsidRDefault="00FD4EAA" w:rsidP="0086584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AB6F57">
              <w:rPr>
                <w:rFonts w:ascii="Calibri" w:hAnsi="Calibri"/>
                <w:b/>
                <w:spacing w:val="-2"/>
                <w:sz w:val="22"/>
                <w:szCs w:val="22"/>
                <w:lang w:val="fr-FR"/>
              </w:rPr>
              <w:t>DOC.15</w:t>
            </w:r>
            <w:r w:rsidRPr="00AB6F57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Parties contractantes ayant des arriérés de contributions annuelles</w:t>
            </w:r>
          </w:p>
        </w:tc>
      </w:tr>
      <w:tr w:rsidR="0018467F" w:rsidRPr="0012683D" w:rsidTr="006A39B1">
        <w:trPr>
          <w:cantSplit/>
        </w:trPr>
        <w:tc>
          <w:tcPr>
            <w:tcW w:w="3195" w:type="dxa"/>
          </w:tcPr>
          <w:p w:rsidR="0018467F" w:rsidRPr="0012683D" w:rsidRDefault="0018467F" w:rsidP="00702645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XVI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du Comité de vérification des pouvoirs</w:t>
            </w:r>
          </w:p>
        </w:tc>
        <w:tc>
          <w:tcPr>
            <w:tcW w:w="2835" w:type="dxa"/>
          </w:tcPr>
          <w:p w:rsidR="0018467F" w:rsidRPr="0012683D" w:rsidRDefault="0018467F" w:rsidP="001E2F67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6D3DD9" w:rsidP="00D9546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[</w:t>
            </w:r>
            <w:r w:rsidR="00D9546A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présenté en séance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]</w:t>
            </w: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XVII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Rapport sur les discussions, conclusions et recommandations des séances précédentes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12683D" w:rsidTr="006A39B1">
        <w:trPr>
          <w:cantSplit/>
        </w:trPr>
        <w:tc>
          <w:tcPr>
            <w:tcW w:w="3195" w:type="dxa"/>
          </w:tcPr>
          <w:p w:rsidR="0018467F" w:rsidRPr="0012683D" w:rsidRDefault="000E2EAF" w:rsidP="00FD4EAA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XVIII</w:t>
            </w:r>
            <w:r w:rsidR="0018467F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Adoption des Résolutions 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jc w:val="center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bookmarkStart w:id="2" w:name="_GoBack"/>
            <w:bookmarkEnd w:id="2"/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0E2EA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</w:t>
            </w:r>
            <w:r w:rsidR="00CB607D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</w:t>
            </w:r>
            <w:r w:rsidR="0018467F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Date et lieu de la prochaine Session ordinaire de la Conférence des Parties contractantes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b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12683D" w:rsidTr="006A39B1">
        <w:trPr>
          <w:cantSplit/>
        </w:trPr>
        <w:tc>
          <w:tcPr>
            <w:tcW w:w="3195" w:type="dxa"/>
          </w:tcPr>
          <w:p w:rsidR="0018467F" w:rsidRPr="0012683D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XX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Divers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  <w:tr w:rsidR="0018467F" w:rsidRPr="0012683D" w:rsidTr="006A39B1">
        <w:trPr>
          <w:cantSplit/>
        </w:trPr>
        <w:tc>
          <w:tcPr>
            <w:tcW w:w="3195" w:type="dxa"/>
          </w:tcPr>
          <w:p w:rsidR="0018467F" w:rsidRPr="0012683D" w:rsidRDefault="00753A14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XXI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Adoption du rapport de la 12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vertAlign w:val="superscript"/>
                <w:lang w:val="fr-FR"/>
              </w:rPr>
              <w:t>e</w:t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Session de la Conférence des Parties contractantes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6D3DD9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[</w:t>
            </w:r>
            <w:r w:rsidR="00D9546A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présenté en séance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]</w:t>
            </w:r>
          </w:p>
        </w:tc>
      </w:tr>
      <w:tr w:rsidR="0018467F" w:rsidRPr="0042413D" w:rsidTr="006A39B1">
        <w:trPr>
          <w:cantSplit/>
        </w:trPr>
        <w:tc>
          <w:tcPr>
            <w:tcW w:w="3195" w:type="dxa"/>
          </w:tcPr>
          <w:p w:rsidR="0018467F" w:rsidRPr="0012683D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Calibri" w:hAnsi="Calibri"/>
                <w:spacing w:val="-2"/>
                <w:sz w:val="22"/>
                <w:szCs w:val="22"/>
                <w:lang w:val="fr-FR"/>
              </w:rPr>
            </w:pP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XX</w:t>
            </w:r>
            <w:r w:rsidR="000E2EAF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II</w:t>
            </w:r>
            <w:r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ab/>
            </w:r>
            <w:r w:rsidR="00064CD6" w:rsidRPr="0012683D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835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18467F" w:rsidRPr="0012683D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753A14" w:rsidRPr="0012683D" w:rsidRDefault="00753A14" w:rsidP="00753A14">
      <w:pPr>
        <w:tabs>
          <w:tab w:val="left" w:pos="1072"/>
        </w:tabs>
        <w:rPr>
          <w:lang w:val="fr-FR"/>
        </w:rPr>
      </w:pPr>
      <w:r w:rsidRPr="0012683D">
        <w:rPr>
          <w:lang w:val="fr-FR"/>
        </w:rPr>
        <w:tab/>
      </w:r>
    </w:p>
    <w:p w:rsidR="00C13DD2" w:rsidRPr="0012683D" w:rsidRDefault="00753A14" w:rsidP="00753A14">
      <w:pPr>
        <w:tabs>
          <w:tab w:val="left" w:pos="1072"/>
        </w:tabs>
        <w:rPr>
          <w:lang w:val="fr-FR"/>
        </w:rPr>
      </w:pPr>
      <w:r w:rsidRPr="0012683D">
        <w:rPr>
          <w:lang w:val="fr-FR"/>
        </w:rPr>
        <w:tab/>
      </w:r>
    </w:p>
    <w:sectPr w:rsidR="00C13DD2" w:rsidRPr="0012683D" w:rsidSect="00085EB2">
      <w:headerReference w:type="default" r:id="rId8"/>
      <w:footerReference w:type="default" r:id="rId9"/>
      <w:pgSz w:w="11907" w:h="16840" w:code="9"/>
      <w:pgMar w:top="1440" w:right="1440" w:bottom="1440" w:left="1440" w:header="1134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16AF34" w15:done="0"/>
  <w15:commentEx w15:paraId="544C5061" w15:done="0"/>
  <w15:commentEx w15:paraId="0EB48810" w15:done="0"/>
  <w15:commentEx w15:paraId="3ED473BA" w15:done="0"/>
  <w15:commentEx w15:paraId="77687CF6" w15:done="0"/>
  <w15:commentEx w15:paraId="7E8ED3C3" w15:done="0"/>
  <w15:commentEx w15:paraId="485EDD58" w15:done="0"/>
  <w15:commentEx w15:paraId="110B9052" w15:done="0"/>
  <w15:commentEx w15:paraId="03AC568F" w15:done="0"/>
  <w15:commentEx w15:paraId="05816B58" w15:done="0"/>
  <w15:commentEx w15:paraId="50FFB5B5" w15:done="0"/>
  <w15:commentEx w15:paraId="7CEAB711" w15:done="0"/>
  <w15:commentEx w15:paraId="537E10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CE" w:rsidRDefault="00EE45CE">
      <w:r>
        <w:separator/>
      </w:r>
    </w:p>
  </w:endnote>
  <w:endnote w:type="continuationSeparator" w:id="0">
    <w:p w:rsidR="00EE45CE" w:rsidRDefault="00EE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CE" w:rsidRPr="00CF6DE2" w:rsidRDefault="00EE45CE" w:rsidP="00085EB2">
    <w:pPr>
      <w:pStyle w:val="Header"/>
      <w:tabs>
        <w:tab w:val="clear" w:pos="8640"/>
        <w:tab w:val="right" w:pos="9072"/>
      </w:tabs>
      <w:ind w:right="-45"/>
      <w:rPr>
        <w:rFonts w:ascii="Calibri" w:hAnsi="Calibri"/>
        <w:sz w:val="20"/>
      </w:rPr>
    </w:pPr>
    <w:r w:rsidRPr="00CF6DE2">
      <w:rPr>
        <w:rFonts w:ascii="Calibri" w:hAnsi="Calibri"/>
        <w:sz w:val="20"/>
      </w:rPr>
      <w:t>Ramsar COP12 DOC.2</w:t>
    </w:r>
    <w:r>
      <w:rPr>
        <w:rFonts w:ascii="Calibri" w:hAnsi="Calibri"/>
        <w:sz w:val="20"/>
      </w:rPr>
      <w:t xml:space="preserve"> Rev.1</w:t>
    </w:r>
    <w:r w:rsidRPr="00CF6DE2">
      <w:rPr>
        <w:rFonts w:ascii="Calibri" w:hAnsi="Calibri"/>
        <w:sz w:val="20"/>
      </w:rPr>
      <w:tab/>
    </w:r>
    <w:r w:rsidRPr="00CF6DE2">
      <w:rPr>
        <w:rFonts w:ascii="Calibri" w:hAnsi="Calibri"/>
        <w:sz w:val="20"/>
      </w:rPr>
      <w:tab/>
    </w:r>
    <w:r w:rsidRPr="00CF6DE2">
      <w:rPr>
        <w:rStyle w:val="PageNumber"/>
        <w:rFonts w:ascii="Calibri" w:hAnsi="Calibri"/>
        <w:sz w:val="20"/>
      </w:rPr>
      <w:fldChar w:fldCharType="begin"/>
    </w:r>
    <w:r w:rsidRPr="00CF6DE2">
      <w:rPr>
        <w:rStyle w:val="PageNumber"/>
        <w:rFonts w:ascii="Calibri" w:hAnsi="Calibri"/>
        <w:sz w:val="20"/>
      </w:rPr>
      <w:instrText xml:space="preserve"> PAGE </w:instrText>
    </w:r>
    <w:r w:rsidRPr="00CF6DE2">
      <w:rPr>
        <w:rStyle w:val="PageNumber"/>
        <w:rFonts w:ascii="Calibri" w:hAnsi="Calibri"/>
        <w:sz w:val="20"/>
      </w:rPr>
      <w:fldChar w:fldCharType="separate"/>
    </w:r>
    <w:r w:rsidR="00865846">
      <w:rPr>
        <w:rStyle w:val="PageNumber"/>
        <w:rFonts w:ascii="Calibri" w:hAnsi="Calibri"/>
        <w:noProof/>
        <w:sz w:val="20"/>
      </w:rPr>
      <w:t>2</w:t>
    </w:r>
    <w:r w:rsidRPr="00CF6DE2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CE" w:rsidRDefault="00EE45CE">
      <w:r>
        <w:separator/>
      </w:r>
    </w:p>
  </w:footnote>
  <w:footnote w:type="continuationSeparator" w:id="0">
    <w:p w:rsidR="00EE45CE" w:rsidRDefault="00EE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CE" w:rsidRDefault="00EE45CE" w:rsidP="00FF5795">
    <w:pPr>
      <w:pStyle w:val="Header"/>
      <w:jc w:val="right"/>
      <w:rPr>
        <w:rStyle w:val="PageNumber"/>
        <w:rFonts w:ascii="Garamond" w:hAnsi="Garamond"/>
        <w:b/>
        <w:sz w:val="22"/>
        <w:szCs w:val="22"/>
      </w:rPr>
    </w:pPr>
  </w:p>
  <w:p w:rsidR="00EE45CE" w:rsidRPr="00FF5795" w:rsidRDefault="00EE45CE" w:rsidP="00FF5795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2324"/>
    <w:multiLevelType w:val="hybridMultilevel"/>
    <w:tmpl w:val="BBA6752C"/>
    <w:lvl w:ilvl="0" w:tplc="668E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57"/>
    <w:rsid w:val="00012AB4"/>
    <w:rsid w:val="000245F1"/>
    <w:rsid w:val="00031A28"/>
    <w:rsid w:val="000419E5"/>
    <w:rsid w:val="00064CD6"/>
    <w:rsid w:val="000673BC"/>
    <w:rsid w:val="000844F7"/>
    <w:rsid w:val="00085EB2"/>
    <w:rsid w:val="000A4C52"/>
    <w:rsid w:val="000D555B"/>
    <w:rsid w:val="000E1A6F"/>
    <w:rsid w:val="000E2EAF"/>
    <w:rsid w:val="0012683D"/>
    <w:rsid w:val="001268E0"/>
    <w:rsid w:val="00131C60"/>
    <w:rsid w:val="00152E05"/>
    <w:rsid w:val="00165BF6"/>
    <w:rsid w:val="00170277"/>
    <w:rsid w:val="0018467F"/>
    <w:rsid w:val="001913D5"/>
    <w:rsid w:val="001913D8"/>
    <w:rsid w:val="001A0EDB"/>
    <w:rsid w:val="001C0403"/>
    <w:rsid w:val="001E2F67"/>
    <w:rsid w:val="0022219B"/>
    <w:rsid w:val="0024167B"/>
    <w:rsid w:val="00241D15"/>
    <w:rsid w:val="002645B3"/>
    <w:rsid w:val="00272D37"/>
    <w:rsid w:val="00281C10"/>
    <w:rsid w:val="002B05CD"/>
    <w:rsid w:val="002C1076"/>
    <w:rsid w:val="002D3197"/>
    <w:rsid w:val="003034C8"/>
    <w:rsid w:val="003106EF"/>
    <w:rsid w:val="00320C6E"/>
    <w:rsid w:val="00323309"/>
    <w:rsid w:val="003744CB"/>
    <w:rsid w:val="0039059B"/>
    <w:rsid w:val="0039209A"/>
    <w:rsid w:val="003A04C3"/>
    <w:rsid w:val="003A6AD7"/>
    <w:rsid w:val="003C0B3A"/>
    <w:rsid w:val="003C2019"/>
    <w:rsid w:val="00410CFB"/>
    <w:rsid w:val="00413ADE"/>
    <w:rsid w:val="0042413D"/>
    <w:rsid w:val="00427233"/>
    <w:rsid w:val="00441188"/>
    <w:rsid w:val="00455408"/>
    <w:rsid w:val="00474DF5"/>
    <w:rsid w:val="004A01E9"/>
    <w:rsid w:val="004A5764"/>
    <w:rsid w:val="004C470F"/>
    <w:rsid w:val="004C7AB4"/>
    <w:rsid w:val="004D1FF0"/>
    <w:rsid w:val="004F5F9F"/>
    <w:rsid w:val="004F6718"/>
    <w:rsid w:val="004F68F1"/>
    <w:rsid w:val="00562182"/>
    <w:rsid w:val="00567E8F"/>
    <w:rsid w:val="00586970"/>
    <w:rsid w:val="00603259"/>
    <w:rsid w:val="0061775F"/>
    <w:rsid w:val="006714FB"/>
    <w:rsid w:val="00697D7F"/>
    <w:rsid w:val="006A39B1"/>
    <w:rsid w:val="006C2FAA"/>
    <w:rsid w:val="006D3DD9"/>
    <w:rsid w:val="00701A13"/>
    <w:rsid w:val="00702645"/>
    <w:rsid w:val="00731419"/>
    <w:rsid w:val="007334DB"/>
    <w:rsid w:val="00747631"/>
    <w:rsid w:val="00751750"/>
    <w:rsid w:val="00753A14"/>
    <w:rsid w:val="00774A58"/>
    <w:rsid w:val="00790588"/>
    <w:rsid w:val="007B2FB3"/>
    <w:rsid w:val="007F22C2"/>
    <w:rsid w:val="0084016B"/>
    <w:rsid w:val="008439E3"/>
    <w:rsid w:val="0085444B"/>
    <w:rsid w:val="00865846"/>
    <w:rsid w:val="00884B53"/>
    <w:rsid w:val="00890ACE"/>
    <w:rsid w:val="008A3104"/>
    <w:rsid w:val="008C1559"/>
    <w:rsid w:val="008C1F6C"/>
    <w:rsid w:val="008C4849"/>
    <w:rsid w:val="008C53D8"/>
    <w:rsid w:val="009166FD"/>
    <w:rsid w:val="00920EBF"/>
    <w:rsid w:val="0093465E"/>
    <w:rsid w:val="0095222E"/>
    <w:rsid w:val="00960F8D"/>
    <w:rsid w:val="00962397"/>
    <w:rsid w:val="0098385B"/>
    <w:rsid w:val="009A3AB3"/>
    <w:rsid w:val="009D45BB"/>
    <w:rsid w:val="009E083F"/>
    <w:rsid w:val="00A43F6B"/>
    <w:rsid w:val="00A51021"/>
    <w:rsid w:val="00A95F73"/>
    <w:rsid w:val="00AA4CD0"/>
    <w:rsid w:val="00AB6F57"/>
    <w:rsid w:val="00AB79F7"/>
    <w:rsid w:val="00AE3C8E"/>
    <w:rsid w:val="00B16D20"/>
    <w:rsid w:val="00B218B9"/>
    <w:rsid w:val="00B222FA"/>
    <w:rsid w:val="00B457D5"/>
    <w:rsid w:val="00B47DBC"/>
    <w:rsid w:val="00B6591D"/>
    <w:rsid w:val="00B80C78"/>
    <w:rsid w:val="00B82A63"/>
    <w:rsid w:val="00B9020A"/>
    <w:rsid w:val="00BD1E38"/>
    <w:rsid w:val="00BE4249"/>
    <w:rsid w:val="00BE4339"/>
    <w:rsid w:val="00C13DD2"/>
    <w:rsid w:val="00C367FA"/>
    <w:rsid w:val="00C907F7"/>
    <w:rsid w:val="00CB04FC"/>
    <w:rsid w:val="00CB4A41"/>
    <w:rsid w:val="00CB607D"/>
    <w:rsid w:val="00CE2E1E"/>
    <w:rsid w:val="00CF6DE2"/>
    <w:rsid w:val="00D03082"/>
    <w:rsid w:val="00D05517"/>
    <w:rsid w:val="00D32A52"/>
    <w:rsid w:val="00D410C6"/>
    <w:rsid w:val="00D44C03"/>
    <w:rsid w:val="00D73836"/>
    <w:rsid w:val="00D9546A"/>
    <w:rsid w:val="00D95EAA"/>
    <w:rsid w:val="00DA5455"/>
    <w:rsid w:val="00DB7615"/>
    <w:rsid w:val="00DC5157"/>
    <w:rsid w:val="00DD51BA"/>
    <w:rsid w:val="00DE2957"/>
    <w:rsid w:val="00E3531A"/>
    <w:rsid w:val="00E6206E"/>
    <w:rsid w:val="00E9622D"/>
    <w:rsid w:val="00EA2B03"/>
    <w:rsid w:val="00EE1E6E"/>
    <w:rsid w:val="00EE45CE"/>
    <w:rsid w:val="00F442F7"/>
    <w:rsid w:val="00F73800"/>
    <w:rsid w:val="00F761F9"/>
    <w:rsid w:val="00F84806"/>
    <w:rsid w:val="00F86CF0"/>
    <w:rsid w:val="00FA1B32"/>
    <w:rsid w:val="00FD4EAA"/>
    <w:rsid w:val="00FD6A86"/>
    <w:rsid w:val="00FE2E9F"/>
    <w:rsid w:val="00FF2E94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FA"/>
    <w:rPr>
      <w:sz w:val="24"/>
    </w:rPr>
  </w:style>
  <w:style w:type="paragraph" w:styleId="Heading3">
    <w:name w:val="heading 3"/>
    <w:basedOn w:val="Normal"/>
    <w:next w:val="Normal"/>
    <w:qFormat/>
    <w:rsid w:val="00FA1B32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A1B32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A1B32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table" w:styleId="TableGrid">
    <w:name w:val="Table Grid"/>
    <w:basedOn w:val="TableNormal"/>
    <w:rsid w:val="00F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95"/>
  </w:style>
  <w:style w:type="paragraph" w:customStyle="1" w:styleId="CharCharChar">
    <w:name w:val="Char Char Char"/>
    <w:basedOn w:val="Normal"/>
    <w:rsid w:val="004F5F9F"/>
    <w:rPr>
      <w:szCs w:val="24"/>
      <w:lang w:val="pl-PL" w:eastAsia="pl-PL"/>
    </w:rPr>
  </w:style>
  <w:style w:type="character" w:styleId="Hyperlink">
    <w:name w:val="Hyperlink"/>
    <w:rsid w:val="00D32A52"/>
    <w:rPr>
      <w:color w:val="0000EE"/>
      <w:u w:val="single"/>
    </w:rPr>
  </w:style>
  <w:style w:type="character" w:styleId="Strong">
    <w:name w:val="Strong"/>
    <w:uiPriority w:val="22"/>
    <w:qFormat/>
    <w:rsid w:val="00D32A52"/>
    <w:rPr>
      <w:b/>
      <w:bCs/>
    </w:rPr>
  </w:style>
  <w:style w:type="paragraph" w:styleId="BalloonText">
    <w:name w:val="Balloon Text"/>
    <w:basedOn w:val="Normal"/>
    <w:semiHidden/>
    <w:rsid w:val="007905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E2F67"/>
    <w:rPr>
      <w:rFonts w:ascii="Calibri" w:hAnsi="Calibri"/>
      <w:sz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1E2F67"/>
    <w:rPr>
      <w:rFonts w:ascii="Calibri" w:hAnsi="Calibri"/>
      <w:lang w:val="en-GB" w:eastAsia="en-GB"/>
    </w:rPr>
  </w:style>
  <w:style w:type="character" w:styleId="FootnoteReference">
    <w:name w:val="footnote reference"/>
    <w:uiPriority w:val="99"/>
    <w:unhideWhenUsed/>
    <w:rsid w:val="001E2F67"/>
    <w:rPr>
      <w:vertAlign w:val="superscript"/>
    </w:rPr>
  </w:style>
  <w:style w:type="character" w:styleId="CommentReference">
    <w:name w:val="annotation reference"/>
    <w:uiPriority w:val="99"/>
    <w:unhideWhenUsed/>
    <w:rsid w:val="006D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DD9"/>
    <w:pPr>
      <w:widowControl w:val="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6D3DD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D3DD9"/>
    <w:pPr>
      <w:widowControl/>
    </w:pPr>
    <w:rPr>
      <w:b/>
      <w:bCs/>
    </w:rPr>
  </w:style>
  <w:style w:type="character" w:customStyle="1" w:styleId="CommentSubjectChar">
    <w:name w:val="Comment Subject Char"/>
    <w:link w:val="CommentSubject"/>
    <w:rsid w:val="006D3DD9"/>
    <w:rPr>
      <w:rFonts w:ascii="Calibri" w:eastAsia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9th Meeting of the Conference of the Parties to the Convention on Wetlands (Ramsar, Iran, 1971)</vt:lpstr>
      <vt:lpstr>9th Meeting of the Conference of the Parties to the Convention on Wetlands (Ramsar, Iran, 1971)</vt:lpstr>
    </vt:vector>
  </TitlesOfParts>
  <Company>The World Conservation Union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the Conference of the Parties to the Convention on Wetlands (Ramsar, Iran, 1971)</dc:title>
  <dc:creator>IUCN</dc:creator>
  <cp:lastModifiedBy>Ramsar\JenningsE</cp:lastModifiedBy>
  <cp:revision>2</cp:revision>
  <cp:lastPrinted>2012-05-08T11:24:00Z</cp:lastPrinted>
  <dcterms:created xsi:type="dcterms:W3CDTF">2015-04-02T15:12:00Z</dcterms:created>
  <dcterms:modified xsi:type="dcterms:W3CDTF">2015-04-02T15:12:00Z</dcterms:modified>
</cp:coreProperties>
</file>