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2C3" w:rsidRPr="00C721AB" w:rsidRDefault="003E32C3" w:rsidP="003E32C3">
      <w:pPr>
        <w:jc w:val="center"/>
        <w:rPr>
          <w:rFonts w:asciiTheme="minorHAnsi" w:hAnsiTheme="minorHAnsi"/>
          <w:b/>
          <w:sz w:val="25"/>
          <w:szCs w:val="25"/>
          <w:lang w:val="es-ES_tradnl"/>
        </w:rPr>
      </w:pPr>
      <w:r w:rsidRPr="00C721AB">
        <w:rPr>
          <w:rFonts w:asciiTheme="minorHAnsi" w:hAnsiTheme="minorHAnsi"/>
          <w:noProof/>
          <w:sz w:val="25"/>
          <w:szCs w:val="25"/>
          <w:lang w:eastAsia="en-GB"/>
        </w:rPr>
        <w:drawing>
          <wp:anchor distT="0" distB="0" distL="114300" distR="114300" simplePos="0" relativeHeight="251659264" behindDoc="0" locked="0" layoutInCell="1" allowOverlap="1">
            <wp:simplePos x="0" y="0"/>
            <wp:positionH relativeFrom="margin">
              <wp:posOffset>-172720</wp:posOffset>
            </wp:positionH>
            <wp:positionV relativeFrom="margin">
              <wp:posOffset>-182245</wp:posOffset>
            </wp:positionV>
            <wp:extent cx="2219325" cy="955675"/>
            <wp:effectExtent l="19050" t="0" r="9525" b="0"/>
            <wp:wrapSquare wrapText="bothSides"/>
            <wp:docPr id="7"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13"/>
                    <a:stretch>
                      <a:fillRect/>
                    </a:stretch>
                  </pic:blipFill>
                  <pic:spPr bwMode="auto">
                    <a:xfrm>
                      <a:off x="0" y="0"/>
                      <a:ext cx="2219325" cy="955675"/>
                    </a:xfrm>
                    <a:prstGeom prst="rect">
                      <a:avLst/>
                    </a:prstGeom>
                    <a:noFill/>
                    <a:ln>
                      <a:noFill/>
                    </a:ln>
                  </pic:spPr>
                </pic:pic>
              </a:graphicData>
            </a:graphic>
          </wp:anchor>
        </w:drawing>
      </w:r>
      <w:r w:rsidR="00E97789" w:rsidRPr="00C721AB">
        <w:rPr>
          <w:rFonts w:asciiTheme="minorHAnsi" w:hAnsiTheme="minorHAnsi"/>
          <w:b/>
          <w:sz w:val="25"/>
          <w:szCs w:val="25"/>
          <w:lang w:val="es-ES_tradnl"/>
        </w:rPr>
        <w:t>12ª Reunión de la Conferencia de las Partes en la Convención sobre los Humedales (Ramsar, Irán</w:t>
      </w:r>
      <w:r w:rsidRPr="00C721AB">
        <w:rPr>
          <w:rFonts w:asciiTheme="minorHAnsi" w:hAnsiTheme="minorHAnsi"/>
          <w:b/>
          <w:sz w:val="25"/>
          <w:szCs w:val="25"/>
          <w:lang w:val="es-ES_tradnl"/>
        </w:rPr>
        <w:t>, 1971)</w:t>
      </w:r>
    </w:p>
    <w:p w:rsidR="003E32C3" w:rsidRPr="00C721AB" w:rsidRDefault="003E32C3" w:rsidP="003E32C3">
      <w:pPr>
        <w:jc w:val="center"/>
        <w:rPr>
          <w:rFonts w:asciiTheme="minorHAnsi" w:hAnsiTheme="minorHAnsi"/>
          <w:sz w:val="25"/>
          <w:szCs w:val="25"/>
          <w:lang w:val="es-ES_tradnl"/>
        </w:rPr>
      </w:pPr>
    </w:p>
    <w:p w:rsidR="003E32C3" w:rsidRPr="00C721AB" w:rsidRDefault="003E32C3" w:rsidP="003E32C3">
      <w:pPr>
        <w:tabs>
          <w:tab w:val="left" w:pos="3828"/>
        </w:tabs>
        <w:jc w:val="center"/>
        <w:rPr>
          <w:rFonts w:asciiTheme="minorHAnsi" w:hAnsiTheme="minorHAnsi"/>
          <w:b/>
          <w:sz w:val="25"/>
          <w:szCs w:val="25"/>
          <w:lang w:val="es-ES_tradnl"/>
        </w:rPr>
      </w:pPr>
      <w:r w:rsidRPr="00C721AB">
        <w:rPr>
          <w:rFonts w:asciiTheme="minorHAnsi" w:hAnsiTheme="minorHAnsi"/>
          <w:b/>
          <w:sz w:val="25"/>
          <w:szCs w:val="25"/>
          <w:lang w:val="es-ES_tradnl"/>
        </w:rPr>
        <w:t xml:space="preserve">Punta del Este, Uruguay, </w:t>
      </w:r>
      <w:r w:rsidR="00E97789" w:rsidRPr="00C721AB">
        <w:rPr>
          <w:rFonts w:asciiTheme="minorHAnsi" w:hAnsiTheme="minorHAnsi"/>
          <w:b/>
          <w:sz w:val="25"/>
          <w:szCs w:val="25"/>
          <w:lang w:val="es-ES_tradnl"/>
        </w:rPr>
        <w:t xml:space="preserve">1 al 9 de junio de </w:t>
      </w:r>
      <w:r w:rsidRPr="00C721AB">
        <w:rPr>
          <w:rFonts w:asciiTheme="minorHAnsi" w:hAnsiTheme="minorHAnsi"/>
          <w:b/>
          <w:sz w:val="25"/>
          <w:szCs w:val="25"/>
          <w:lang w:val="es-ES_tradnl"/>
        </w:rPr>
        <w:t>2015</w:t>
      </w:r>
    </w:p>
    <w:p w:rsidR="003E32C3" w:rsidRPr="00C721AB" w:rsidRDefault="003E32C3" w:rsidP="003E32C3">
      <w:pPr>
        <w:rPr>
          <w:rFonts w:asciiTheme="minorHAnsi" w:hAnsiTheme="minorHAnsi"/>
          <w:lang w:val="es-ES_tradnl"/>
        </w:rPr>
      </w:pPr>
    </w:p>
    <w:p w:rsidR="003E32C3" w:rsidRPr="00C721AB" w:rsidRDefault="003E32C3" w:rsidP="003E32C3">
      <w:pPr>
        <w:rPr>
          <w:rFonts w:asciiTheme="minorHAnsi" w:hAnsiTheme="minorHAnsi"/>
          <w:lang w:val="es-ES_tradn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4528"/>
        <w:gridCol w:w="4602"/>
      </w:tblGrid>
      <w:tr w:rsidR="003E32C3" w:rsidRPr="00C721AB" w:rsidTr="003E32C3">
        <w:tc>
          <w:tcPr>
            <w:tcW w:w="4528" w:type="dxa"/>
          </w:tcPr>
          <w:p w:rsidR="003E32C3" w:rsidRPr="00C721AB" w:rsidRDefault="003E32C3" w:rsidP="003E32C3">
            <w:pPr>
              <w:rPr>
                <w:rFonts w:asciiTheme="minorHAnsi" w:hAnsiTheme="minorHAnsi"/>
                <w:b/>
                <w:sz w:val="25"/>
                <w:szCs w:val="25"/>
                <w:lang w:val="es-ES_tradnl"/>
              </w:rPr>
            </w:pPr>
          </w:p>
        </w:tc>
        <w:tc>
          <w:tcPr>
            <w:tcW w:w="4602" w:type="dxa"/>
          </w:tcPr>
          <w:p w:rsidR="003E32C3" w:rsidRPr="00C721AB" w:rsidRDefault="003E32C3" w:rsidP="003E32C3">
            <w:pPr>
              <w:jc w:val="right"/>
              <w:rPr>
                <w:rFonts w:asciiTheme="minorHAnsi" w:hAnsiTheme="minorHAnsi"/>
                <w:b/>
                <w:sz w:val="25"/>
                <w:szCs w:val="25"/>
                <w:lang w:val="es-ES_tradnl"/>
              </w:rPr>
            </w:pPr>
            <w:r w:rsidRPr="00C721AB">
              <w:rPr>
                <w:rFonts w:asciiTheme="minorHAnsi" w:hAnsiTheme="minorHAnsi"/>
                <w:b/>
                <w:sz w:val="25"/>
                <w:szCs w:val="25"/>
                <w:lang w:val="es-ES_tradnl"/>
              </w:rPr>
              <w:t>Ramsar COP12 DOC.7</w:t>
            </w:r>
          </w:p>
        </w:tc>
      </w:tr>
    </w:tbl>
    <w:p w:rsidR="000469BF" w:rsidRPr="00C721AB" w:rsidRDefault="000469BF" w:rsidP="004E1B0C">
      <w:pPr>
        <w:jc w:val="center"/>
        <w:rPr>
          <w:rFonts w:ascii="Calibri" w:hAnsi="Calibri" w:cs="Calibri"/>
          <w:b/>
          <w:sz w:val="28"/>
          <w:szCs w:val="28"/>
          <w:lang w:val="es-ES_tradnl"/>
        </w:rPr>
      </w:pPr>
    </w:p>
    <w:p w:rsidR="00574670" w:rsidRPr="00C721AB" w:rsidRDefault="00E97789" w:rsidP="004E1B0C">
      <w:pPr>
        <w:jc w:val="center"/>
        <w:rPr>
          <w:rFonts w:ascii="Calibri" w:hAnsi="Calibri" w:cs="Calibri"/>
          <w:b/>
          <w:sz w:val="28"/>
          <w:szCs w:val="28"/>
          <w:lang w:val="es-ES_tradnl"/>
        </w:rPr>
      </w:pPr>
      <w:r w:rsidRPr="00C721AB">
        <w:rPr>
          <w:rFonts w:ascii="Calibri" w:hAnsi="Calibri" w:cs="Calibri"/>
          <w:b/>
          <w:sz w:val="28"/>
          <w:szCs w:val="28"/>
          <w:lang w:val="es-ES_tradnl"/>
        </w:rPr>
        <w:t>Informe del Secretario General de conformidad con el Artículo 8.2 sobre la Lista de Humedales de Importancia Internacional</w:t>
      </w:r>
    </w:p>
    <w:p w:rsidR="000469BF" w:rsidRPr="00C721AB" w:rsidRDefault="000469BF" w:rsidP="004E1B0C">
      <w:pPr>
        <w:jc w:val="center"/>
        <w:rPr>
          <w:rFonts w:ascii="Calibri" w:hAnsi="Calibri" w:cs="Calibri"/>
          <w:b/>
          <w:sz w:val="28"/>
          <w:szCs w:val="28"/>
          <w:lang w:val="es-ES_tradnl"/>
        </w:rPr>
      </w:pPr>
    </w:p>
    <w:p w:rsidR="003E32C3" w:rsidRPr="00C721AB" w:rsidRDefault="003E32C3" w:rsidP="003E32C3">
      <w:pPr>
        <w:autoSpaceDE w:val="0"/>
        <w:autoSpaceDN w:val="0"/>
        <w:adjustRightInd w:val="0"/>
        <w:rPr>
          <w:rFonts w:ascii="Calibri" w:hAnsi="Calibri"/>
          <w:b/>
          <w:sz w:val="22"/>
          <w:szCs w:val="22"/>
          <w:lang w:val="es-ES_tradnl"/>
        </w:rPr>
      </w:pPr>
      <w:r w:rsidRPr="00C721AB">
        <w:rPr>
          <w:rFonts w:ascii="Calibri" w:hAnsi="Calibri"/>
          <w:b/>
          <w:sz w:val="22"/>
          <w:szCs w:val="22"/>
          <w:lang w:val="es-ES_tradnl"/>
        </w:rPr>
        <w:t>Not</w:t>
      </w:r>
      <w:r w:rsidR="00F87C97" w:rsidRPr="00C721AB">
        <w:rPr>
          <w:rFonts w:ascii="Calibri" w:hAnsi="Calibri"/>
          <w:b/>
          <w:sz w:val="22"/>
          <w:szCs w:val="22"/>
          <w:lang w:val="es-ES_tradnl"/>
        </w:rPr>
        <w:t>a de la Secretaría</w:t>
      </w:r>
      <w:r w:rsidRPr="00C721AB">
        <w:rPr>
          <w:rFonts w:ascii="Calibri" w:hAnsi="Calibri"/>
          <w:b/>
          <w:sz w:val="22"/>
          <w:szCs w:val="22"/>
          <w:lang w:val="es-ES_tradnl"/>
        </w:rPr>
        <w:t xml:space="preserve">: </w:t>
      </w:r>
    </w:p>
    <w:p w:rsidR="003E32C3" w:rsidRPr="00C721AB" w:rsidRDefault="003E32C3" w:rsidP="003E32C3">
      <w:pPr>
        <w:autoSpaceDE w:val="0"/>
        <w:autoSpaceDN w:val="0"/>
        <w:adjustRightInd w:val="0"/>
        <w:rPr>
          <w:rFonts w:ascii="Calibri" w:hAnsi="Calibri"/>
          <w:b/>
          <w:sz w:val="22"/>
          <w:szCs w:val="22"/>
          <w:lang w:val="es-ES_tradnl"/>
        </w:rPr>
      </w:pPr>
    </w:p>
    <w:p w:rsidR="00854BFC" w:rsidRPr="00C721AB" w:rsidRDefault="00F87C97" w:rsidP="003E32C3">
      <w:pPr>
        <w:autoSpaceDE w:val="0"/>
        <w:autoSpaceDN w:val="0"/>
        <w:adjustRightInd w:val="0"/>
        <w:rPr>
          <w:rFonts w:ascii="Calibri" w:hAnsi="Calibri"/>
          <w:b/>
          <w:sz w:val="22"/>
          <w:szCs w:val="22"/>
          <w:lang w:val="es-ES_tradnl"/>
        </w:rPr>
      </w:pPr>
      <w:r w:rsidRPr="00C721AB">
        <w:rPr>
          <w:rFonts w:asciiTheme="minorHAnsi" w:hAnsiTheme="minorHAnsi"/>
          <w:sz w:val="22"/>
          <w:szCs w:val="22"/>
          <w:lang w:val="es-ES_tradnl"/>
        </w:rPr>
        <w:t xml:space="preserve">El presente informe del Secretario General se </w:t>
      </w:r>
      <w:r w:rsidR="006D7426" w:rsidRPr="00C721AB">
        <w:rPr>
          <w:rFonts w:asciiTheme="minorHAnsi" w:hAnsiTheme="minorHAnsi"/>
          <w:sz w:val="22"/>
          <w:szCs w:val="22"/>
          <w:lang w:val="es-ES_tradnl"/>
        </w:rPr>
        <w:t>trató</w:t>
      </w:r>
      <w:r w:rsidRPr="00C721AB">
        <w:rPr>
          <w:rFonts w:asciiTheme="minorHAnsi" w:hAnsiTheme="minorHAnsi"/>
          <w:sz w:val="22"/>
          <w:szCs w:val="22"/>
          <w:lang w:val="es-ES_tradnl"/>
        </w:rPr>
        <w:t xml:space="preserve"> durante las reuniones regionales y en la 48ª reunión del Comité Permanente como documento</w:t>
      </w:r>
      <w:r w:rsidR="003E32C3" w:rsidRPr="00C721AB">
        <w:rPr>
          <w:rFonts w:asciiTheme="minorHAnsi" w:hAnsiTheme="minorHAnsi"/>
          <w:sz w:val="22"/>
          <w:szCs w:val="22"/>
          <w:lang w:val="es-ES_tradnl"/>
        </w:rPr>
        <w:t xml:space="preserve"> SC48-21. </w:t>
      </w:r>
      <w:r w:rsidR="00F47626" w:rsidRPr="00C721AB">
        <w:rPr>
          <w:rFonts w:asciiTheme="minorHAnsi" w:hAnsiTheme="minorHAnsi"/>
          <w:sz w:val="22"/>
          <w:szCs w:val="22"/>
          <w:lang w:val="es-ES_tradnl"/>
        </w:rPr>
        <w:t>En el presente informe se presenta a la</w:t>
      </w:r>
      <w:r w:rsidRPr="00C721AB">
        <w:rPr>
          <w:rFonts w:asciiTheme="minorHAnsi" w:hAnsiTheme="minorHAnsi"/>
          <w:sz w:val="22"/>
          <w:szCs w:val="22"/>
          <w:lang w:val="es-ES_tradnl"/>
        </w:rPr>
        <w:t xml:space="preserve"> 12ª reunión de la Conferencia de las Partes la información solicitada</w:t>
      </w:r>
      <w:r w:rsidR="006D7426" w:rsidRPr="00C721AB">
        <w:rPr>
          <w:rFonts w:asciiTheme="minorHAnsi" w:hAnsiTheme="minorHAnsi"/>
          <w:sz w:val="22"/>
          <w:szCs w:val="22"/>
          <w:lang w:val="es-ES_tradnl"/>
        </w:rPr>
        <w:t xml:space="preserve"> </w:t>
      </w:r>
      <w:r w:rsidR="00F47626" w:rsidRPr="00C721AB">
        <w:rPr>
          <w:rFonts w:asciiTheme="minorHAnsi" w:hAnsiTheme="minorHAnsi"/>
          <w:sz w:val="22"/>
          <w:szCs w:val="22"/>
          <w:lang w:val="es-ES_tradnl"/>
        </w:rPr>
        <w:t>en virtud del</w:t>
      </w:r>
      <w:r w:rsidR="006D7426" w:rsidRPr="00C721AB">
        <w:rPr>
          <w:rFonts w:asciiTheme="minorHAnsi" w:hAnsiTheme="minorHAnsi"/>
          <w:sz w:val="22"/>
          <w:szCs w:val="22"/>
          <w:lang w:val="es-ES_tradnl"/>
        </w:rPr>
        <w:t xml:space="preserve"> </w:t>
      </w:r>
      <w:r w:rsidRPr="00C721AB">
        <w:rPr>
          <w:rFonts w:asciiTheme="minorHAnsi" w:hAnsiTheme="minorHAnsi"/>
          <w:sz w:val="22"/>
          <w:szCs w:val="22"/>
          <w:lang w:val="es-ES_tradnl"/>
        </w:rPr>
        <w:t>Artículo 8 sobre la Lista de Humedales de Importancia Internacional (la “</w:t>
      </w:r>
      <w:r w:rsidR="006D7426" w:rsidRPr="00C721AB">
        <w:rPr>
          <w:rFonts w:asciiTheme="minorHAnsi" w:hAnsiTheme="minorHAnsi"/>
          <w:sz w:val="22"/>
          <w:szCs w:val="22"/>
          <w:lang w:val="es-ES_tradnl"/>
        </w:rPr>
        <w:t>L</w:t>
      </w:r>
      <w:r w:rsidRPr="00C721AB">
        <w:rPr>
          <w:rFonts w:asciiTheme="minorHAnsi" w:hAnsiTheme="minorHAnsi"/>
          <w:sz w:val="22"/>
          <w:szCs w:val="22"/>
          <w:lang w:val="es-ES_tradnl"/>
        </w:rPr>
        <w:t xml:space="preserve">ista de Ramsar”) desde la </w:t>
      </w:r>
      <w:r w:rsidR="00F47626" w:rsidRPr="00C721AB">
        <w:rPr>
          <w:rFonts w:asciiTheme="minorHAnsi" w:hAnsiTheme="minorHAnsi"/>
          <w:sz w:val="22"/>
          <w:szCs w:val="22"/>
          <w:lang w:val="es-ES_tradnl"/>
        </w:rPr>
        <w:t>clausura</w:t>
      </w:r>
      <w:r w:rsidRPr="00C721AB">
        <w:rPr>
          <w:rFonts w:asciiTheme="minorHAnsi" w:hAnsiTheme="minorHAnsi"/>
          <w:sz w:val="22"/>
          <w:szCs w:val="22"/>
          <w:lang w:val="es-ES_tradnl"/>
        </w:rPr>
        <w:t xml:space="preserve"> de la COP11 de Ramsar</w:t>
      </w:r>
      <w:r w:rsidR="00F47626" w:rsidRPr="00C721AB">
        <w:rPr>
          <w:rFonts w:asciiTheme="minorHAnsi" w:hAnsiTheme="minorHAnsi"/>
          <w:sz w:val="22"/>
          <w:szCs w:val="22"/>
          <w:lang w:val="es-ES_tradnl"/>
        </w:rPr>
        <w:t>,</w:t>
      </w:r>
      <w:r w:rsidRPr="00C721AB">
        <w:rPr>
          <w:rFonts w:asciiTheme="minorHAnsi" w:hAnsiTheme="minorHAnsi"/>
          <w:sz w:val="22"/>
          <w:szCs w:val="22"/>
          <w:lang w:val="es-ES_tradnl"/>
        </w:rPr>
        <w:t xml:space="preserve"> el </w:t>
      </w:r>
      <w:r w:rsidR="003E32C3" w:rsidRPr="00C721AB">
        <w:rPr>
          <w:rFonts w:asciiTheme="minorHAnsi" w:hAnsiTheme="minorHAnsi"/>
          <w:sz w:val="22"/>
          <w:szCs w:val="22"/>
          <w:lang w:val="es-ES_tradnl"/>
        </w:rPr>
        <w:t xml:space="preserve">13 </w:t>
      </w:r>
      <w:r w:rsidRPr="00C721AB">
        <w:rPr>
          <w:rFonts w:asciiTheme="minorHAnsi" w:hAnsiTheme="minorHAnsi"/>
          <w:sz w:val="22"/>
          <w:szCs w:val="22"/>
          <w:lang w:val="es-ES_tradnl"/>
        </w:rPr>
        <w:t xml:space="preserve">de julio de 2012. También </w:t>
      </w:r>
      <w:r w:rsidR="00F47626" w:rsidRPr="00C721AB">
        <w:rPr>
          <w:rFonts w:asciiTheme="minorHAnsi" w:hAnsiTheme="minorHAnsi"/>
          <w:sz w:val="22"/>
          <w:szCs w:val="22"/>
          <w:lang w:val="es-ES_tradnl"/>
        </w:rPr>
        <w:t>se facilita</w:t>
      </w:r>
      <w:r w:rsidRPr="00C721AB">
        <w:rPr>
          <w:rFonts w:asciiTheme="minorHAnsi" w:hAnsiTheme="minorHAnsi"/>
          <w:sz w:val="22"/>
          <w:szCs w:val="22"/>
          <w:lang w:val="es-ES_tradnl"/>
        </w:rPr>
        <w:t xml:space="preserve"> una actualización sobre el estado de los sitios Ramsar a partir de la información recibi</w:t>
      </w:r>
      <w:r w:rsidR="00F47626" w:rsidRPr="00C721AB">
        <w:rPr>
          <w:rFonts w:asciiTheme="minorHAnsi" w:hAnsiTheme="minorHAnsi"/>
          <w:sz w:val="22"/>
          <w:szCs w:val="22"/>
          <w:lang w:val="es-ES_tradnl"/>
        </w:rPr>
        <w:t>d</w:t>
      </w:r>
      <w:r w:rsidRPr="00C721AB">
        <w:rPr>
          <w:rFonts w:asciiTheme="minorHAnsi" w:hAnsiTheme="minorHAnsi"/>
          <w:sz w:val="22"/>
          <w:szCs w:val="22"/>
          <w:lang w:val="es-ES_tradnl"/>
        </w:rPr>
        <w:t>a por la Secretaría a 28 de agosto de 2014</w:t>
      </w:r>
      <w:r w:rsidR="003E32C3" w:rsidRPr="00C721AB">
        <w:rPr>
          <w:rFonts w:asciiTheme="minorHAnsi" w:hAnsiTheme="minorHAnsi"/>
          <w:sz w:val="22"/>
          <w:szCs w:val="22"/>
          <w:lang w:val="es-ES_tradnl"/>
        </w:rPr>
        <w:t>.</w:t>
      </w:r>
    </w:p>
    <w:p w:rsidR="00E97789" w:rsidRPr="00C721AB" w:rsidRDefault="00E97789" w:rsidP="00E97789">
      <w:pPr>
        <w:rPr>
          <w:rFonts w:ascii="Calibri" w:hAnsi="Calibri"/>
          <w:b/>
          <w:iCs/>
          <w:sz w:val="22"/>
          <w:szCs w:val="22"/>
          <w:lang w:val="es-ES_tradnl"/>
        </w:rPr>
      </w:pPr>
    </w:p>
    <w:p w:rsidR="00F87C97" w:rsidRPr="00C721AB" w:rsidRDefault="00F87C97" w:rsidP="00E97789">
      <w:pPr>
        <w:rPr>
          <w:rFonts w:ascii="Calibri" w:hAnsi="Calibri"/>
          <w:b/>
          <w:iCs/>
          <w:sz w:val="22"/>
          <w:szCs w:val="22"/>
          <w:lang w:val="es-ES_tradnl"/>
        </w:rPr>
      </w:pPr>
    </w:p>
    <w:p w:rsidR="00E97789" w:rsidRPr="00C721AB" w:rsidRDefault="00E97789" w:rsidP="00E97789">
      <w:pPr>
        <w:pStyle w:val="ListParagraph"/>
        <w:numPr>
          <w:ilvl w:val="0"/>
          <w:numId w:val="10"/>
        </w:numPr>
        <w:rPr>
          <w:rFonts w:ascii="Calibri" w:hAnsi="Calibri"/>
          <w:sz w:val="22"/>
          <w:szCs w:val="22"/>
          <w:lang w:val="es-ES_tradnl"/>
        </w:rPr>
      </w:pPr>
      <w:r w:rsidRPr="00C721AB">
        <w:rPr>
          <w:rFonts w:ascii="Calibri" w:hAnsi="Calibri"/>
          <w:sz w:val="22"/>
          <w:szCs w:val="22"/>
          <w:lang w:val="es-ES_tradnl"/>
        </w:rPr>
        <w:t>El</w:t>
      </w:r>
      <w:r w:rsidR="00F87C97" w:rsidRPr="00C721AB">
        <w:rPr>
          <w:rFonts w:ascii="Calibri" w:hAnsi="Calibri"/>
          <w:sz w:val="22"/>
          <w:szCs w:val="22"/>
          <w:lang w:val="es-ES_tradnl"/>
        </w:rPr>
        <w:t xml:space="preserve"> Artículo 8.2 del texto de la Convención </w:t>
      </w:r>
      <w:r w:rsidR="00F47626" w:rsidRPr="00C721AB">
        <w:rPr>
          <w:rFonts w:ascii="Calibri" w:hAnsi="Calibri"/>
          <w:sz w:val="22"/>
          <w:szCs w:val="22"/>
          <w:lang w:val="es-ES_tradnl"/>
        </w:rPr>
        <w:t>relativa a</w:t>
      </w:r>
      <w:r w:rsidR="00F87C97" w:rsidRPr="00C721AB">
        <w:rPr>
          <w:rFonts w:ascii="Calibri" w:hAnsi="Calibri"/>
          <w:sz w:val="22"/>
          <w:szCs w:val="22"/>
          <w:lang w:val="es-ES_tradnl"/>
        </w:rPr>
        <w:t xml:space="preserve"> los Humedales </w:t>
      </w:r>
      <w:r w:rsidRPr="00C721AB">
        <w:rPr>
          <w:rFonts w:ascii="Calibri" w:hAnsi="Calibri"/>
          <w:sz w:val="22"/>
          <w:szCs w:val="22"/>
          <w:lang w:val="es-ES_tradnl"/>
        </w:rPr>
        <w:t xml:space="preserve">establece que entre las funciones permanentes de la Secretaría se incluirán las siguientes: </w:t>
      </w: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lang w:val="es-ES_tradnl"/>
        </w:rPr>
      </w:pP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r w:rsidRPr="00C721AB">
        <w:rPr>
          <w:rStyle w:val="Strong"/>
          <w:rFonts w:asciiTheme="minorHAnsi" w:hAnsiTheme="minorHAnsi" w:cstheme="minorHAnsi"/>
          <w:b w:val="0"/>
          <w:bCs w:val="0"/>
          <w:sz w:val="22"/>
          <w:szCs w:val="22"/>
          <w:lang w:val="es-ES_tradnl"/>
        </w:rPr>
        <w:t>“b) mantener la Lista de Humedales de Importancia Internacional y recibir información de las Partes Contratantes sobre cualquier adición, extensión, supresión o reducción de los humedales incluidos en la Lista, según lo previsto en el Artículo 2.5;</w:t>
      </w:r>
      <w:r w:rsidRPr="00C721AB">
        <w:rPr>
          <w:rStyle w:val="Strong"/>
          <w:rFonts w:asciiTheme="minorHAnsi" w:hAnsiTheme="minorHAnsi" w:cstheme="minorHAnsi"/>
          <w:b w:val="0"/>
          <w:sz w:val="22"/>
          <w:szCs w:val="22"/>
          <w:lang w:val="es-ES_tradnl"/>
        </w:rPr>
        <w:t xml:space="preserve"> </w:t>
      </w:r>
    </w:p>
    <w:p w:rsidR="00E97789" w:rsidRPr="00C721AB" w:rsidRDefault="00E97789" w:rsidP="00E97789">
      <w:pPr>
        <w:widowControl w:val="0"/>
        <w:autoSpaceDE w:val="0"/>
        <w:autoSpaceDN w:val="0"/>
        <w:adjustRightInd w:val="0"/>
        <w:ind w:left="360"/>
        <w:rPr>
          <w:rStyle w:val="Strong"/>
          <w:rFonts w:asciiTheme="minorHAnsi" w:hAnsiTheme="minorHAnsi" w:cstheme="minorHAnsi"/>
          <w:sz w:val="22"/>
          <w:szCs w:val="22"/>
          <w:lang w:val="es-ES_tradnl"/>
        </w:rPr>
      </w:pP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r w:rsidRPr="00C721AB">
        <w:rPr>
          <w:rStyle w:val="Strong"/>
          <w:rFonts w:asciiTheme="minorHAnsi" w:hAnsiTheme="minorHAnsi" w:cstheme="minorHAnsi"/>
          <w:b w:val="0"/>
          <w:sz w:val="22"/>
          <w:szCs w:val="22"/>
          <w:lang w:val="es-ES_tradnl"/>
        </w:rPr>
        <w:t>c) recibir información de las Partes Contratantes sobre cualquier modificación de las condiciones ecológicas de los humedales incluidos en la Lista, según lo previsto en el Artículo 3.2;</w:t>
      </w: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r w:rsidRPr="00C721AB">
        <w:rPr>
          <w:rStyle w:val="Strong"/>
          <w:rFonts w:asciiTheme="minorHAnsi" w:hAnsiTheme="minorHAnsi" w:cstheme="minorHAnsi"/>
          <w:b w:val="0"/>
          <w:sz w:val="22"/>
          <w:szCs w:val="22"/>
          <w:lang w:val="es-ES_tradnl"/>
        </w:rPr>
        <w:t>d) notificar a las Partes Contratantes cualquier modificación de la Lista o cambio en las características de los humedales incluidos en ella, y proveer para que dichos asuntos se discutan en la Conferencia siguiente;</w:t>
      </w: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p>
    <w:p w:rsidR="00E97789" w:rsidRPr="00C721AB" w:rsidRDefault="00E97789" w:rsidP="00E97789">
      <w:pPr>
        <w:widowControl w:val="0"/>
        <w:autoSpaceDE w:val="0"/>
        <w:autoSpaceDN w:val="0"/>
        <w:adjustRightInd w:val="0"/>
        <w:ind w:left="360"/>
        <w:rPr>
          <w:rStyle w:val="Strong"/>
          <w:rFonts w:asciiTheme="minorHAnsi" w:hAnsiTheme="minorHAnsi" w:cstheme="minorHAnsi"/>
          <w:b w:val="0"/>
          <w:sz w:val="22"/>
          <w:szCs w:val="22"/>
          <w:lang w:val="es-ES_tradnl"/>
        </w:rPr>
      </w:pPr>
      <w:r w:rsidRPr="00C721AB">
        <w:rPr>
          <w:rStyle w:val="Strong"/>
          <w:rFonts w:asciiTheme="minorHAnsi" w:hAnsiTheme="minorHAnsi" w:cstheme="minorHAnsi"/>
          <w:b w:val="0"/>
          <w:sz w:val="22"/>
          <w:szCs w:val="22"/>
          <w:lang w:val="es-ES_tradnl"/>
        </w:rPr>
        <w:t xml:space="preserve">e) </w:t>
      </w:r>
      <w:proofErr w:type="gramStart"/>
      <w:r w:rsidRPr="00C721AB">
        <w:rPr>
          <w:rStyle w:val="Strong"/>
          <w:rFonts w:asciiTheme="minorHAnsi" w:hAnsiTheme="minorHAnsi" w:cstheme="minorHAnsi"/>
          <w:b w:val="0"/>
          <w:sz w:val="22"/>
          <w:szCs w:val="22"/>
          <w:lang w:val="es-ES_tradnl"/>
        </w:rPr>
        <w:t>poner</w:t>
      </w:r>
      <w:proofErr w:type="gramEnd"/>
      <w:r w:rsidRPr="00C721AB">
        <w:rPr>
          <w:rStyle w:val="Strong"/>
          <w:rFonts w:asciiTheme="minorHAnsi" w:hAnsiTheme="minorHAnsi" w:cstheme="minorHAnsi"/>
          <w:b w:val="0"/>
          <w:sz w:val="22"/>
          <w:szCs w:val="22"/>
          <w:lang w:val="es-ES_tradnl"/>
        </w:rPr>
        <w:t xml:space="preserve"> en conocimiento de la Parte Contratante interesada las recomendaciones de las Conferencias en lo que se refiere a dichas modificaciones de la Lista o a los cambios de las características de los humedales incluidos en ella.”</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10"/>
        </w:numPr>
        <w:rPr>
          <w:rFonts w:ascii="Calibri" w:hAnsi="Calibri"/>
          <w:sz w:val="22"/>
          <w:szCs w:val="22"/>
          <w:lang w:val="es-ES_tradnl"/>
        </w:rPr>
      </w:pPr>
      <w:r w:rsidRPr="00C721AB">
        <w:rPr>
          <w:rFonts w:ascii="Calibri" w:hAnsi="Calibri"/>
          <w:sz w:val="22"/>
          <w:szCs w:val="22"/>
          <w:lang w:val="es-ES_tradnl"/>
        </w:rPr>
        <w:t>Desde la COP2 en 1983, la Secretaría ha cumplido con esta obligación mediante la presentación de informes específicos a cada reunión de la COP, de conformidad con los puntos anteriores del Artículo 8.2. La propuesta del informe sobre este tema a la COP12 se presenta a continuación.</w:t>
      </w:r>
    </w:p>
    <w:p w:rsidR="00E97789" w:rsidRPr="00C721AB" w:rsidRDefault="00E97789" w:rsidP="00E97789">
      <w:pPr>
        <w:pStyle w:val="ListParagraph"/>
        <w:ind w:left="360"/>
        <w:rPr>
          <w:rFonts w:ascii="Calibri" w:hAnsi="Calibri"/>
          <w:sz w:val="22"/>
          <w:szCs w:val="22"/>
          <w:lang w:val="es-ES_tradnl"/>
        </w:rPr>
      </w:pPr>
    </w:p>
    <w:p w:rsidR="00E97789" w:rsidRPr="00C721AB" w:rsidRDefault="00E97789" w:rsidP="00F47626">
      <w:pPr>
        <w:pStyle w:val="ListParagraph"/>
        <w:numPr>
          <w:ilvl w:val="0"/>
          <w:numId w:val="10"/>
        </w:numPr>
        <w:rPr>
          <w:rFonts w:ascii="Calibri" w:hAnsi="Calibri"/>
          <w:sz w:val="22"/>
          <w:szCs w:val="22"/>
          <w:lang w:val="es-ES_tradnl"/>
        </w:rPr>
        <w:sectPr w:rsidR="00E97789" w:rsidRPr="00C721AB">
          <w:headerReference w:type="default" r:id="rId14"/>
          <w:footerReference w:type="default" r:id="rId15"/>
          <w:headerReference w:type="first" r:id="rId16"/>
          <w:footerReference w:type="first" r:id="rId17"/>
          <w:pgSz w:w="11907" w:h="16839" w:code="9"/>
          <w:pgMar w:top="1440" w:right="1440" w:bottom="1440" w:left="1440" w:header="1134" w:footer="708" w:gutter="0"/>
          <w:cols w:space="708"/>
          <w:titlePg/>
          <w:docGrid w:linePitch="360"/>
        </w:sectPr>
      </w:pPr>
      <w:r w:rsidRPr="00C721AB">
        <w:rPr>
          <w:rFonts w:ascii="Calibri" w:hAnsi="Calibri"/>
          <w:sz w:val="22"/>
          <w:szCs w:val="22"/>
          <w:lang w:val="es-ES_tradnl"/>
        </w:rPr>
        <w:t>El informe del Secretario General, de conformidad con el Artículo 8.2, ofrece un</w:t>
      </w:r>
      <w:r w:rsidR="00F47626" w:rsidRPr="00C721AB">
        <w:rPr>
          <w:rFonts w:ascii="Calibri" w:hAnsi="Calibri"/>
          <w:sz w:val="22"/>
          <w:szCs w:val="22"/>
          <w:lang w:val="es-ES_tradnl"/>
        </w:rPr>
        <w:t xml:space="preserve">a panorámica </w:t>
      </w:r>
      <w:r w:rsidRPr="00C721AB">
        <w:rPr>
          <w:rFonts w:ascii="Calibri" w:hAnsi="Calibri"/>
          <w:sz w:val="22"/>
          <w:szCs w:val="22"/>
          <w:lang w:val="es-ES_tradnl"/>
        </w:rPr>
        <w:t xml:space="preserve">del estado de los sitios inscritos en la Lista de Humedales de Importancia Internacional a fecha de 28 de agosto de 2014. </w:t>
      </w:r>
      <w:r w:rsidR="00F87C97" w:rsidRPr="00C721AB">
        <w:rPr>
          <w:rFonts w:ascii="Calibri" w:hAnsi="Calibri"/>
          <w:sz w:val="22"/>
          <w:szCs w:val="22"/>
          <w:lang w:val="es-ES_tradnl"/>
        </w:rPr>
        <w:t xml:space="preserve">Se presentará un informe actualizado </w:t>
      </w:r>
      <w:r w:rsidRPr="00C721AB">
        <w:rPr>
          <w:rFonts w:ascii="Calibri" w:hAnsi="Calibri"/>
          <w:sz w:val="22"/>
          <w:szCs w:val="22"/>
          <w:lang w:val="es-ES_tradnl"/>
        </w:rPr>
        <w:t>a la 51ª reunión del Comité Permanen</w:t>
      </w:r>
      <w:r w:rsidR="00F87C97" w:rsidRPr="00C721AB">
        <w:rPr>
          <w:rFonts w:ascii="Calibri" w:hAnsi="Calibri"/>
          <w:sz w:val="22"/>
          <w:szCs w:val="22"/>
          <w:lang w:val="es-ES_tradnl"/>
        </w:rPr>
        <w:t>te (SC51) a principios de 2016.</w:t>
      </w:r>
    </w:p>
    <w:p w:rsidR="00E97789" w:rsidRPr="00C721AB" w:rsidRDefault="00E97789" w:rsidP="00E97789">
      <w:pPr>
        <w:rPr>
          <w:rFonts w:ascii="Calibri" w:hAnsi="Calibri"/>
          <w:sz w:val="22"/>
          <w:szCs w:val="22"/>
          <w:lang w:val="es-ES_tradnl"/>
        </w:rPr>
      </w:pPr>
    </w:p>
    <w:p w:rsidR="00E97789" w:rsidRPr="00C721AB" w:rsidRDefault="00E97789" w:rsidP="00E97789">
      <w:pPr>
        <w:ind w:left="567" w:hanging="567"/>
        <w:rPr>
          <w:rFonts w:ascii="Calibri" w:hAnsi="Calibri"/>
          <w:b/>
          <w:color w:val="000000"/>
          <w:sz w:val="22"/>
          <w:szCs w:val="22"/>
          <w:lang w:val="es-ES_tradnl"/>
        </w:rPr>
      </w:pPr>
      <w:r w:rsidRPr="00C721AB">
        <w:rPr>
          <w:rFonts w:ascii="Calibri" w:hAnsi="Calibri"/>
          <w:b/>
          <w:color w:val="000000"/>
          <w:sz w:val="22"/>
          <w:szCs w:val="22"/>
          <w:lang w:val="es-ES_tradnl"/>
        </w:rPr>
        <w:t>Sitios Ramsar designados recientemente</w:t>
      </w:r>
    </w:p>
    <w:p w:rsidR="00E97789" w:rsidRPr="00C721AB" w:rsidRDefault="00E97789" w:rsidP="00E97789">
      <w:pPr>
        <w:ind w:left="567" w:hanging="567"/>
        <w:rPr>
          <w:rFonts w:ascii="Calibri" w:hAnsi="Calibri"/>
          <w:b/>
          <w:color w:val="000000"/>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A fecha de 28 de agosto de 2014, un total de 2.188 Humedales de Importancia Internacional (sitios Ramsar) abarcaban 208.482.867 hectáreas.</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Durante </w:t>
      </w:r>
      <w:r w:rsidR="00BC198A" w:rsidRPr="00C721AB">
        <w:rPr>
          <w:rFonts w:ascii="Calibri" w:hAnsi="Calibri"/>
          <w:sz w:val="22"/>
          <w:szCs w:val="22"/>
          <w:lang w:val="es-ES_tradnl"/>
        </w:rPr>
        <w:t>el</w:t>
      </w:r>
      <w:r w:rsidRPr="00C721AB">
        <w:rPr>
          <w:rFonts w:ascii="Calibri" w:hAnsi="Calibri"/>
          <w:sz w:val="22"/>
          <w:szCs w:val="22"/>
          <w:lang w:val="es-ES_tradnl"/>
        </w:rPr>
        <w:t xml:space="preserve"> período</w:t>
      </w:r>
      <w:r w:rsidR="00BC198A" w:rsidRPr="00C721AB">
        <w:rPr>
          <w:rFonts w:ascii="Calibri" w:hAnsi="Calibri"/>
          <w:color w:val="FF0000"/>
          <w:sz w:val="22"/>
          <w:szCs w:val="22"/>
          <w:lang w:val="es-ES_tradnl"/>
        </w:rPr>
        <w:t xml:space="preserve"> </w:t>
      </w:r>
      <w:r w:rsidR="00BC198A" w:rsidRPr="00C721AB">
        <w:rPr>
          <w:rFonts w:ascii="Calibri" w:hAnsi="Calibri"/>
          <w:sz w:val="22"/>
          <w:szCs w:val="22"/>
          <w:lang w:val="es-ES_tradnl"/>
        </w:rPr>
        <w:t>objeto de examen</w:t>
      </w:r>
      <w:r w:rsidRPr="00C721AB">
        <w:rPr>
          <w:rFonts w:ascii="Calibri" w:hAnsi="Calibri"/>
          <w:sz w:val="22"/>
          <w:szCs w:val="22"/>
          <w:lang w:val="es-ES_tradnl"/>
        </w:rPr>
        <w:t>, se añadieron a la Lista 149 nuevos sitios Ramsar que abarcan un total de 16.271.990 hectáreas. El Anexo 1 del presente informe facilita una lista de los sitios</w:t>
      </w:r>
      <w:r w:rsidR="00F47626" w:rsidRPr="00C721AB">
        <w:rPr>
          <w:rFonts w:ascii="Calibri" w:hAnsi="Calibri"/>
          <w:sz w:val="22"/>
          <w:szCs w:val="22"/>
          <w:lang w:val="es-ES_tradnl"/>
        </w:rPr>
        <w:t>.</w:t>
      </w:r>
    </w:p>
    <w:p w:rsidR="00F47626" w:rsidRPr="00C721AB" w:rsidRDefault="00F47626" w:rsidP="00F47626">
      <w:pPr>
        <w:rPr>
          <w:rFonts w:ascii="Calibri" w:hAnsi="Calibri"/>
          <w:sz w:val="22"/>
          <w:szCs w:val="22"/>
          <w:lang w:val="es-ES_tradnl"/>
        </w:rPr>
      </w:pPr>
    </w:p>
    <w:p w:rsidR="00E97789" w:rsidRPr="00C721AB" w:rsidRDefault="00E97789" w:rsidP="00E97789">
      <w:pPr>
        <w:rPr>
          <w:rFonts w:ascii="Calibri" w:hAnsi="Calibri"/>
          <w:sz w:val="22"/>
          <w:szCs w:val="22"/>
          <w:lang w:val="es-ES_tradnl"/>
        </w:rPr>
      </w:pPr>
      <w:r w:rsidRPr="00C721AB">
        <w:rPr>
          <w:rFonts w:ascii="Calibri" w:hAnsi="Calibri"/>
          <w:noProof/>
          <w:sz w:val="22"/>
          <w:szCs w:val="22"/>
          <w:lang w:eastAsia="en-GB"/>
        </w:rPr>
        <w:drawing>
          <wp:inline distT="0" distB="0" distL="0" distR="0">
            <wp:extent cx="5732145" cy="31266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7789" w:rsidRPr="00C721AB" w:rsidRDefault="00E97789" w:rsidP="00E97789">
      <w:pPr>
        <w:ind w:left="567" w:hanging="567"/>
        <w:rPr>
          <w:rFonts w:ascii="Calibri" w:hAnsi="Calibri"/>
          <w:color w:val="000000"/>
          <w:sz w:val="22"/>
          <w:szCs w:val="22"/>
          <w:lang w:val="es-ES_tradnl"/>
        </w:rPr>
      </w:pPr>
    </w:p>
    <w:p w:rsidR="00E97789" w:rsidRPr="00C721AB" w:rsidRDefault="00E97789" w:rsidP="00E97789">
      <w:pPr>
        <w:ind w:left="567" w:hanging="567"/>
        <w:rPr>
          <w:rFonts w:ascii="Calibri" w:hAnsi="Calibri"/>
          <w:b/>
          <w:color w:val="000000"/>
          <w:sz w:val="22"/>
          <w:szCs w:val="22"/>
          <w:lang w:val="es-ES_tradnl"/>
        </w:rPr>
      </w:pPr>
      <w:r w:rsidRPr="00C721AB">
        <w:rPr>
          <w:rFonts w:ascii="Calibri" w:hAnsi="Calibri"/>
          <w:b/>
          <w:color w:val="000000"/>
          <w:sz w:val="22"/>
          <w:szCs w:val="22"/>
          <w:lang w:val="es-ES_tradnl"/>
        </w:rPr>
        <w:t xml:space="preserve">Actualización periódica de información sobre los sitios Ramsar </w:t>
      </w:r>
    </w:p>
    <w:p w:rsidR="00E97789" w:rsidRPr="00C721AB" w:rsidRDefault="00E97789" w:rsidP="00E97789">
      <w:pPr>
        <w:ind w:left="567" w:hanging="567"/>
        <w:rPr>
          <w:rFonts w:ascii="Calibri" w:hAnsi="Calibri"/>
          <w:b/>
          <w:color w:val="000000"/>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Durante el período objeto de examen, 20 Partes suministraron información actualizada o datos faltantes sobre 113 sitios Ramsar (el 5 % del total). En el Anexo 2 se enumeran más detalles. Además, 37 Partes proporcionaron FIR actualizadas sobre 274 sitios que están siendo tramitadas por la Secretaría o sobre las cuales se ha solicitado más información a la Parte Contratante en cuestión.</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En el caso de 1.238 sitios Ramsar (el 57 % de 2.188 sitios) en el territorio de 150 Partes, la información desactualizada o faltante es considerable. El histograma que se presenta a continuación muestra el desglose de los sitios que no presentaron puntualmente las actualizaciones según las normas de las Partes Contratantes de actualización cada seis años de la información sobre los sitios Ramsar. También incluye la información sobre los 274 sitios mencionados más arriba. En los Anexos 3a y 3b se ofrecen más detalles en relación con la información faltante o desactualizada. </w:t>
      </w:r>
    </w:p>
    <w:p w:rsidR="00E97789" w:rsidRPr="00C721AB" w:rsidRDefault="00E97789" w:rsidP="00E97789">
      <w:pPr>
        <w:pStyle w:val="ListParagraph"/>
        <w:ind w:left="426"/>
        <w:rPr>
          <w:rFonts w:ascii="Calibri" w:hAnsi="Calibri"/>
          <w:sz w:val="22"/>
          <w:szCs w:val="22"/>
          <w:lang w:val="es-ES_tradnl"/>
        </w:rPr>
      </w:pPr>
      <w:r w:rsidRPr="00C721AB">
        <w:rPr>
          <w:noProof/>
          <w:lang w:eastAsia="en-GB"/>
        </w:rPr>
        <w:lastRenderedPageBreak/>
        <w:drawing>
          <wp:inline distT="0" distB="0" distL="0" distR="0">
            <wp:extent cx="5066714" cy="28575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La Secretaría indica que algunas Partes han señalado que tienen la intención de proporcionar sus actualizaciones en el nuevo formato de la Ficha Informativa de Ramsar (FIR), revisión de 2012 (según el Anexo 1 de la Resolución XI.8: </w:t>
      </w:r>
      <w:r w:rsidRPr="00C721AB">
        <w:rPr>
          <w:rFonts w:ascii="Calibri" w:hAnsi="Calibri"/>
          <w:i/>
          <w:sz w:val="22"/>
          <w:szCs w:val="22"/>
          <w:lang w:val="es-ES_tradnl"/>
        </w:rPr>
        <w:t>Racionalización de los procedimientos para la descripción de sitios Ramsar en el momento de la designación y de las posteriores actualizaciones de su descripción</w:t>
      </w:r>
      <w:r w:rsidRPr="00C721AB">
        <w:rPr>
          <w:rFonts w:ascii="Calibri" w:hAnsi="Calibri"/>
          <w:sz w:val="22"/>
          <w:szCs w:val="22"/>
          <w:lang w:val="es-ES_tradnl"/>
        </w:rPr>
        <w:t>), una vez que esté disponible para su uso. La nueva FIR se estrenó en agosto de 2014 y, por lo tanto, se espera que las cifras puedan mejorar considerablemente el año próximo.</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No obstante, la falta general y continua de actualizaciones periódicas no se ajusta a la Resolución VI.13 y socava el impacto de la Convención. Si la información sobre un sitio no se ha actualizado según el calendario, tal como lo prescriben las Partes Contratantes, no se puede indicar ningún cambio en su estado. Esta falta de información debe considerarse en el contexto de la pérdida anual del 1 % de la superficie de los humedales del mundo y el alto porcentaje de Sitios del Patrimonio Mundial en peligro, según la evaluación de la conservación realizada por la UICN (IUCN World Heritage Conservat</w:t>
      </w:r>
      <w:r w:rsidR="00BC198A" w:rsidRPr="00C721AB">
        <w:rPr>
          <w:rFonts w:ascii="Calibri" w:hAnsi="Calibri"/>
          <w:sz w:val="22"/>
          <w:szCs w:val="22"/>
          <w:lang w:val="es-ES_tradnl"/>
        </w:rPr>
        <w:t>ion Outlook; véase el párrafo 10</w:t>
      </w:r>
      <w:r w:rsidRPr="00C721AB">
        <w:rPr>
          <w:rFonts w:ascii="Calibri" w:hAnsi="Calibri"/>
          <w:sz w:val="22"/>
          <w:szCs w:val="22"/>
          <w:lang w:val="es-ES_tradnl"/>
        </w:rPr>
        <w:t xml:space="preserve"> más adelante). Por consiguiente, existe un riesgo considerable de que las características ecológicas de muchos de estos sitios estén en peligro.</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De este modo, la Secretaría realizará un seguimiento de las Partes que no hayan proporcionado actualizaciones y trabajará con ellas para apoyar la realización de esta acción importante y obligatoria, tal como se indica en el párrafo 26</w:t>
      </w:r>
      <w:r w:rsidRPr="00C721AB">
        <w:rPr>
          <w:rStyle w:val="FootnoteReference"/>
          <w:rFonts w:ascii="Calibri" w:hAnsi="Calibri"/>
          <w:sz w:val="22"/>
          <w:szCs w:val="22"/>
          <w:lang w:val="es-ES_tradnl"/>
        </w:rPr>
        <w:footnoteReference w:id="1"/>
      </w:r>
      <w:r w:rsidRPr="00C721AB">
        <w:rPr>
          <w:rFonts w:ascii="Calibri" w:hAnsi="Calibri"/>
          <w:sz w:val="22"/>
          <w:szCs w:val="22"/>
          <w:lang w:val="es-ES_tradnl"/>
        </w:rPr>
        <w:t xml:space="preserve"> de la Resolución XI.4: </w:t>
      </w:r>
      <w:r w:rsidRPr="00C721AB">
        <w:rPr>
          <w:rFonts w:ascii="Calibri" w:hAnsi="Calibri"/>
          <w:bCs/>
          <w:i/>
          <w:sz w:val="22"/>
          <w:szCs w:val="22"/>
          <w:lang w:val="es-ES_tradnl"/>
        </w:rPr>
        <w:t>El estado de los sitios de la Lista Ramsar de Humedales de Importancia Internacional</w:t>
      </w:r>
      <w:r w:rsidRPr="00C721AB">
        <w:rPr>
          <w:rFonts w:ascii="Calibri" w:hAnsi="Calibri"/>
          <w:sz w:val="22"/>
          <w:szCs w:val="22"/>
          <w:lang w:val="es-ES_tradnl"/>
        </w:rPr>
        <w:t>.</w:t>
      </w:r>
    </w:p>
    <w:p w:rsidR="00E97789" w:rsidRPr="00C721AB" w:rsidRDefault="00E97789" w:rsidP="00E97789">
      <w:pPr>
        <w:rPr>
          <w:rFonts w:ascii="Calibri" w:hAnsi="Calibri"/>
          <w:sz w:val="22"/>
          <w:szCs w:val="22"/>
          <w:lang w:val="es-ES_tradnl"/>
        </w:rPr>
      </w:pPr>
    </w:p>
    <w:p w:rsidR="00E97789" w:rsidRPr="00C721AB" w:rsidRDefault="00E97789" w:rsidP="00E97789">
      <w:pPr>
        <w:ind w:left="567" w:hanging="567"/>
        <w:rPr>
          <w:rFonts w:ascii="Calibri" w:hAnsi="Calibri"/>
          <w:b/>
          <w:color w:val="000000"/>
          <w:sz w:val="22"/>
          <w:szCs w:val="22"/>
          <w:lang w:val="es-ES_tradnl"/>
        </w:rPr>
      </w:pPr>
      <w:r w:rsidRPr="00C721AB">
        <w:rPr>
          <w:rFonts w:ascii="Calibri" w:hAnsi="Calibri"/>
          <w:b/>
          <w:color w:val="000000"/>
          <w:sz w:val="22"/>
          <w:szCs w:val="22"/>
          <w:lang w:val="es-ES_tradnl"/>
        </w:rPr>
        <w:t>Sistema comparativo para obtener información sobre el estado de los sitios Ramsar</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Teniendo en cuenta el gran número de sitios Ramsar con información desactualizada y el desafío mundial que esto representa para asegurar la conservación y el uso racional de los sitios Ramsar, para entender mejor el estado de los sitios Ramsar la Secretaría alienta a las Partes </w:t>
      </w:r>
      <w:r w:rsidRPr="00C721AB">
        <w:rPr>
          <w:rFonts w:ascii="Calibri" w:hAnsi="Calibri"/>
          <w:sz w:val="22"/>
          <w:szCs w:val="22"/>
          <w:lang w:val="es-ES_tradnl"/>
        </w:rPr>
        <w:lastRenderedPageBreak/>
        <w:t>Contratantes a considerar otras herramientas disponibles en la actualidad, tales como la información sobre el estado de los Sitios del Patrimonio Mundial.</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En el caso de la Convención del Patrimonio Mundial (WHC), los Sitios del Patrimonio Mundial son examinados ​​de forma independiente por el Centro del Patrimonio Mundial y sus órganos consultivos (el Consejo Internacional de Monumentos y Sitios –ICOMOS– y la UICN en el caso de sitios del patrimonio natural y mixtos), los cuales elaboran informes exhaustivos sobre su estado de conservación en intervalos de seis años. Los informes para todas las propiedades naturales bajo la supervisión de la UICN se elaboran a nivel regional e incluyen alguna información sobre 63 sitios Ramsar que también están protegidos por la WHC; estos sitios también se enumeran en el Anexo 5 del presente informe.</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La Perspectiva del Patrimonio Mundial de la UICN se estableció adicionalmente en 2012 para proporcionar una evaluación independiente sobre el estado de conservación de los 228 sitios naturales de la WHC en todo el mundo, incluidos los que comparten límites con sitios Ramsar. La Perspectiva del Patrimonio Mundial de la UICN publicará una evaluación actualizada de éstos a tiempo para el Congreso Mundial de Parques que se celebrará en noviembre de 2014. Todos los detalles del proceso, la metodología seguida y los sitios cubiertos están disponibles en línea en: </w:t>
      </w:r>
      <w:hyperlink r:id="rId20" w:history="1">
        <w:r w:rsidRPr="00C721AB">
          <w:rPr>
            <w:rStyle w:val="Hyperlink"/>
            <w:rFonts w:ascii="Calibri" w:hAnsi="Calibri"/>
            <w:sz w:val="22"/>
            <w:szCs w:val="22"/>
            <w:lang w:val="es-ES_tradnl"/>
          </w:rPr>
          <w:t>http://www.worldheritageoutlook.iucn.org/home</w:t>
        </w:r>
      </w:hyperlink>
      <w:r w:rsidRPr="00C721AB">
        <w:rPr>
          <w:rFonts w:ascii="Calibri" w:hAnsi="Calibri"/>
          <w:sz w:val="22"/>
          <w:szCs w:val="22"/>
          <w:lang w:val="es-ES_tradnl"/>
        </w:rPr>
        <w:t>.</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Ese estudio indica que entre el 30 y el 40 % de los sitios Ramsar pertinentes están en riesgo considerable y necesitan atención inmediata. Si las cifras para todos los sitios Ramsar se encuentran en el mismo rango, alrededor de 750 sitios Ramsar podrían estar en riesgo considerable de perder sus características ecológicas.</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Las Partes pueden considerar las ventajas de la adopción de un proceso de examen independiente, similar al que lleva a cabo la UICN (asumiendo los costos relacionados), la contratación de su propia evaluación independiente de sus sitios Ramsar, o la búsqueda de otras maneras de informar sobre sus propios sitios.</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Otra alternativa es considerar si se pueden utilizar datos de imágenes de satélite de diferentes fuentes y con múltiples capas para proporcionar un sistema de alerta temprana para los sitios en riesgo mediante la comparación entre datos actuales y datos históricos. La base de datos GRID del PNUMA está proponiendo desarrollar un sistema denominado TRIPWIRE para integrar datos de satélite de varios conjuntos de datos con el fin de aportar un análisis de los cambios visibles en humedales que anteriormente fueron cartografiados como sitios Ramsar. Las Partes pueden considerar la eficacia de una herramienta de este tipo para ofrecer información adicional sobre los sitios de todo el mundo, apoyando de esta manera sus esfuerzos de presentación de informes. </w:t>
      </w:r>
    </w:p>
    <w:p w:rsidR="00E97789" w:rsidRPr="00C721AB" w:rsidRDefault="00E97789" w:rsidP="00E97789">
      <w:pPr>
        <w:rPr>
          <w:rFonts w:ascii="Calibri" w:hAnsi="Calibri"/>
          <w:color w:val="000000"/>
          <w:sz w:val="22"/>
          <w:szCs w:val="22"/>
          <w:lang w:val="es-ES_tradnl"/>
        </w:rPr>
      </w:pPr>
    </w:p>
    <w:p w:rsidR="00E97789" w:rsidRPr="00C721AB" w:rsidRDefault="00E97789" w:rsidP="00E97789">
      <w:pPr>
        <w:rPr>
          <w:rFonts w:ascii="Calibri" w:hAnsi="Calibri"/>
          <w:b/>
          <w:color w:val="000000"/>
          <w:sz w:val="22"/>
          <w:szCs w:val="22"/>
          <w:lang w:val="es-ES_tradnl"/>
        </w:rPr>
      </w:pPr>
      <w:r w:rsidRPr="00C721AB">
        <w:rPr>
          <w:rFonts w:ascii="Calibri" w:hAnsi="Calibri"/>
          <w:b/>
          <w:color w:val="000000"/>
          <w:sz w:val="22"/>
          <w:szCs w:val="22"/>
          <w:lang w:val="es-ES_tradnl"/>
        </w:rPr>
        <w:t>Ampliaciones de sitios Ramsar existentes (Artículo 2.5)</w:t>
      </w:r>
    </w:p>
    <w:p w:rsidR="00E97789" w:rsidRPr="00C721AB" w:rsidRDefault="00E97789" w:rsidP="00E97789">
      <w:pPr>
        <w:rPr>
          <w:rFonts w:ascii="Calibri" w:hAnsi="Calibri" w:cs="Garamond-Bold"/>
          <w:b/>
          <w:bCs/>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Durante el período objeto de examen, seis Partes han ampliado considerablemente los límites y la superficie de al menos un sitio Ramsar existente en sus respectivos territorios: Australia (2), Canadá (1), Colombia (1), México (3), Países Bajos (21) y el Reino Unido (1).</w:t>
      </w:r>
    </w:p>
    <w:p w:rsidR="00E97789" w:rsidRPr="00C721AB" w:rsidRDefault="00E97789" w:rsidP="00E97789">
      <w:pPr>
        <w:rPr>
          <w:rFonts w:cs="Garamond"/>
          <w:szCs w:val="24"/>
          <w:lang w:val="es-ES_tradnl"/>
        </w:rPr>
      </w:pPr>
    </w:p>
    <w:p w:rsidR="00E97789" w:rsidRPr="00C721AB" w:rsidRDefault="00E97789" w:rsidP="00E97789">
      <w:pPr>
        <w:rPr>
          <w:rFonts w:ascii="Calibri" w:hAnsi="Calibri"/>
          <w:b/>
          <w:color w:val="000000"/>
          <w:sz w:val="22"/>
          <w:szCs w:val="22"/>
          <w:lang w:val="es-ES_tradnl"/>
        </w:rPr>
      </w:pPr>
      <w:r w:rsidRPr="00C721AB">
        <w:rPr>
          <w:rFonts w:ascii="Calibri" w:hAnsi="Calibri"/>
          <w:b/>
          <w:color w:val="000000"/>
          <w:sz w:val="22"/>
          <w:szCs w:val="22"/>
          <w:lang w:val="es-ES_tradnl"/>
        </w:rPr>
        <w:t>Reducciones o supresiones de sitios Ramsar en la Lista (Artículo 2.5)</w:t>
      </w:r>
    </w:p>
    <w:p w:rsidR="00E97789" w:rsidRPr="00C721AB" w:rsidRDefault="00E97789" w:rsidP="00E97789">
      <w:pPr>
        <w:autoSpaceDE w:val="0"/>
        <w:autoSpaceDN w:val="0"/>
        <w:adjustRightInd w:val="0"/>
        <w:rPr>
          <w:rFonts w:cs="Garamond"/>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No hay ningún sitio Ramsar que se haya retirado de la Lista durante el período objeto de examen.</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lastRenderedPageBreak/>
        <w:t xml:space="preserve">El Gobierno de Uruguay invocó el </w:t>
      </w:r>
      <w:r w:rsidRPr="00C721AB">
        <w:rPr>
          <w:rFonts w:ascii="Calibri" w:hAnsi="Calibri"/>
          <w:color w:val="000000"/>
          <w:sz w:val="22"/>
          <w:szCs w:val="22"/>
          <w:lang w:val="es-ES_tradnl"/>
        </w:rPr>
        <w:t xml:space="preserve">Artículo 2.5 de la Convención en un caso relacionado con la supresión de 1.456 hectáreas (eso es, aproximadamente el 0,34 % del total de 407.408 ha) del sitio Ramsar Bañados del Este. Presentó una FIR actualizada y un mapa actualizado que mostraba los límites modificados del sitio Ramsar con extensiones separadas de 24.128 hectáreas y 11.000 hectáreas añadidas como medida compensatoria según lo </w:t>
      </w:r>
      <w:r w:rsidRPr="00C721AB">
        <w:rPr>
          <w:rFonts w:ascii="Calibri" w:hAnsi="Calibri"/>
          <w:sz w:val="22"/>
          <w:szCs w:val="22"/>
          <w:lang w:val="es-ES_tradnl"/>
        </w:rPr>
        <w:t>establecido</w:t>
      </w:r>
      <w:r w:rsidRPr="00C721AB">
        <w:rPr>
          <w:rFonts w:ascii="Calibri" w:hAnsi="Calibri"/>
          <w:color w:val="000000"/>
          <w:sz w:val="22"/>
          <w:szCs w:val="22"/>
          <w:lang w:val="es-ES_tradnl"/>
        </w:rPr>
        <w:t xml:space="preserve"> en el Artículo 4.2 y la Resolución VIII.20.</w:t>
      </w:r>
    </w:p>
    <w:p w:rsidR="00E97789" w:rsidRPr="00C721AB" w:rsidRDefault="00E97789" w:rsidP="00E97789">
      <w:pPr>
        <w:rPr>
          <w:rFonts w:ascii="Calibri" w:hAnsi="Calibri"/>
          <w:color w:val="000000"/>
          <w:sz w:val="22"/>
          <w:szCs w:val="22"/>
          <w:lang w:val="es-ES_tradnl"/>
        </w:rPr>
      </w:pPr>
    </w:p>
    <w:p w:rsidR="00E97789" w:rsidRPr="00C721AB" w:rsidRDefault="00E97789" w:rsidP="00E97789">
      <w:pPr>
        <w:rPr>
          <w:rFonts w:ascii="Calibri" w:hAnsi="Calibri"/>
          <w:i/>
          <w:color w:val="000000"/>
          <w:sz w:val="22"/>
          <w:szCs w:val="22"/>
          <w:lang w:val="es-ES_tradnl"/>
        </w:rPr>
      </w:pPr>
      <w:r w:rsidRPr="00C721AB">
        <w:rPr>
          <w:rFonts w:ascii="Calibri" w:hAnsi="Calibri"/>
          <w:b/>
          <w:color w:val="000000"/>
          <w:sz w:val="22"/>
          <w:szCs w:val="22"/>
          <w:lang w:val="es-ES_tradnl"/>
        </w:rPr>
        <w:t xml:space="preserve">Cambios en las características ecológicas de sitios Ramsar concretos: informes del Artículo 3.2 </w:t>
      </w:r>
    </w:p>
    <w:p w:rsidR="00E97789" w:rsidRPr="00C721AB" w:rsidRDefault="00E97789" w:rsidP="00E97789">
      <w:pPr>
        <w:ind w:left="567" w:hanging="567"/>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El Artículo 3.2 establece que las Partes deben informar a la Secretaría acerca de los cambios en las condiciones ecológicas de los humedales que hayan ocurrido, estén ocurriendo o puedan ocurrir como consecuencia del desarrollo tecnológico, de la contaminación o de cualquier otra intervención del hombre. Se alienta a todas las Partes a tratar de restablecer su función y sus características ecológicas. Este tipo de casos se denominan “expedientes del Artículo 3.2”.</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El Anexo 4a enumera el estado de los 144 sitios Ramsar con “expedientes confirmados del Artículo 3.2” sobre los que la Autoridad Administrativa informó inicialmente o que fueron señalados por terceros y confirmados por la Autoridad Administrativa. </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El Anexo 4b enumera el estado de 64 sitios Ramsar sobre los que algún tercero ha señalado cambios negativos inducidos por el hombre en las características ecológicas, pero que la Autoridad Administrativa no ha confirmado.</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El total combinado de 208 sitios enumerados en los Anexos 4a y 4b durante el período objeto de examen representa un aumento considerable respecto del número comunicado para el trienio anterior. Este aumento indica que un número cada vez mayor de humedales está en peligro, pero también que las Partes están prestando mayor atención a la posible pérdida de las características ecológicas de los sitios y que el interés de la sociedad civil por el estado de los humedales está creciendo. Durante el período objeto de examen, la Secretaría recibió de las Partes Contratantes nuevos expedientes confirmados del Artículo 3.2 en relación con 31 sitios Ramsar, y de otras fuentes, nuevos expedientes en relación con 27 sitios Ramsar no confirmados aún por la Autoridad Administrativa. </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Los Anexos 4a y 4b también resumen los sitios sobre los cuales no se ha recibido nueva información. En especial, se carece de información sobre los expedientes abiertos en Bangladesh, Belice (Sarstoon Temash National Park, 1562), Grecia (Messolonghi lagoons, 62; Amvrakikos gulf, 61; Axios Ludias Aliakmon delta, 59; Kotychi Lagoons, 63; Lake Vistonis Porto Lagos Lake Ismaris &amp; adjoining lagoons, 55; Lakes Volvi &amp; Koronia, 57; Messolonghi lagoons, 62; Nestos delta &amp; adjoining lagoons, 56), India (Wular Lake, 461; Hairke Lake, 462; Sambhar Lake, 464; Ashtamudi Lake, 1204; Deepor Beel, 1207; East Calcutta Wetlands, 1208; Sasthamkotta Lake, 1212; Vembanand-Kol, 1214), Países Bajos (Bargerveen, 581), República Democrática del Congo (Parc National des Mangroves, 788).</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Durante el período objeto de examen se resolvieron cambios señalados en las características ecológicas, y las Autoridades Administrativas informaron de que se cerraron los expedientes del Artículo 3.2 para 21 sitios Ramsar, lo que indica una proporción de casos resueltos de alrededor del 15 % (21 de 144) en tres años.</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El tiempo promedio para resolver y cerrar esos 21 expedientes del Artículo 3.2 fue de cuatro años; sin embargo, el tiempo promedio que los expedientes restantes del Artículo 3.2 </w:t>
      </w:r>
      <w:r w:rsidRPr="00C721AB">
        <w:rPr>
          <w:rFonts w:ascii="Calibri" w:hAnsi="Calibri"/>
          <w:sz w:val="22"/>
          <w:szCs w:val="22"/>
          <w:lang w:val="es-ES_tradnl"/>
        </w:rPr>
        <w:lastRenderedPageBreak/>
        <w:t>enumerados en el Anexo 4a han permanecido abiertos es de alrededor de ocho años al final del período objeto de examen.</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Se considera importante cuestionarse acerca de la falta de comentarios sobre los expedientes abiertos enumerados en los Anexos 4a y 4b, así como la lentitud de la resolución de estos casos. La tendencia de la falta de informes parece coherente con el bajo nivel de actualización de la información sobre los sitios Ramsar. Además, es coherente con el hecho de que, en los Informes Nacionales a la COP12, sólo el 21 % de las Partes Contratantes indicó haber informado a la Secretaría de Ramsar de todos los casos de cambios negativos o probables cambios negativos en las características ecológicas de sus sitios Ramsar. Esto se produjo a pesar del hecho de que, según los mismos Informes Nacionales a la COP12, el 73 % de las Partes Contratantes contaba con procedimientos para recibir información sobre cambios negativos inducidos por el hombre o cambios probables en las características ecológicas de los sitios Ramsar. El alto porcentaje de países que no informan sobre casos reales del Artículo 3.2 en su propio territorio es de gran preocupación, ya que sugiere que el número de sitios Ramsar en peligro es considerablemente mayor que el reportado. Tal evidencia también sustenta la tesis de que a nivel mundial una alta proporción de los humedales está en peligro.</w:t>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Por todas estas razones, la Secretaría procura mejorar la calidad de los datos sobre los sitios, con el fin de llamar la atención sobre posibles problemas y ayudar a resolver problemas que conducen a la pérdida de las características ecológicas. En el caso de los sitios Ramsar sobre los que no se ha recibido ninguna actualización en seis años, la Secretaría dará seguimiento con las Autoridades Administrativas de los países afectados, y se insta a las Partes a que informen a la Secretaría para la 51ª reunión del Comité Permanente, y posteriormente en cada reunión de dicho Comité, sobre su estado y las medidas adoptadas para hacer frente a los cambios o probables cambios en sus características ecológicas.</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Asimismo, la Secretaría solicita a los representantes regionales del Comité Permanente que presten su apoyo, por ejemplo mediante la consulta directa con las Partes interesadas, a fin de que “las informaciones sobre dichas modificaciones se transmitan sin demora a [la Secretaría de Ramsar]”, tal como se estipula en el Artículo 3.2 de la Convención. </w:t>
      </w:r>
    </w:p>
    <w:p w:rsidR="00E97789" w:rsidRPr="00C721AB" w:rsidRDefault="00E97789" w:rsidP="00E97789">
      <w:pPr>
        <w:rPr>
          <w:rFonts w:ascii="Calibri" w:hAnsi="Calibri"/>
          <w:sz w:val="22"/>
          <w:szCs w:val="22"/>
          <w:lang w:val="es-ES_tradnl"/>
        </w:rPr>
      </w:pPr>
    </w:p>
    <w:p w:rsidR="00E97789" w:rsidRPr="00C721AB" w:rsidRDefault="00E97789" w:rsidP="00E97789">
      <w:pPr>
        <w:rPr>
          <w:rFonts w:ascii="Calibri" w:hAnsi="Calibri"/>
          <w:b/>
          <w:color w:val="000000"/>
          <w:sz w:val="22"/>
          <w:szCs w:val="22"/>
          <w:lang w:val="es-ES_tradnl"/>
        </w:rPr>
      </w:pPr>
      <w:r w:rsidRPr="00C721AB">
        <w:rPr>
          <w:rFonts w:ascii="Calibri" w:hAnsi="Calibri"/>
          <w:b/>
          <w:color w:val="000000"/>
          <w:sz w:val="22"/>
          <w:szCs w:val="22"/>
          <w:lang w:val="es-ES_tradnl"/>
        </w:rPr>
        <w:t xml:space="preserve">Registro de Montreux </w:t>
      </w:r>
    </w:p>
    <w:p w:rsidR="00E97789" w:rsidRPr="00C721AB" w:rsidDel="00D26361" w:rsidRDefault="00E97789" w:rsidP="00E97789">
      <w:pPr>
        <w:rPr>
          <w:rFonts w:ascii="Calibri" w:hAnsi="Calibri"/>
          <w:b/>
          <w:color w:val="000000"/>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El Cuestionario del Registro de Montreux fue adoptado por la Conferencia de las Partes Contratantes en la Resolución VI.1, Brisbane, 1996, acompañando a los Lineamientos de funcionamiento del Registro de Montreux. El cuestionario incluye información para evaluar la posible inclusión o supresión de algún sitio de la Lista en el Registro de Montreux.</w:t>
      </w:r>
    </w:p>
    <w:p w:rsidR="00E97789" w:rsidRPr="00C721AB" w:rsidRDefault="00E97789" w:rsidP="00E97789">
      <w:pPr>
        <w:pStyle w:val="ListParagraph"/>
        <w:ind w:left="426"/>
        <w:rPr>
          <w:rFonts w:ascii="Calibri" w:hAnsi="Calibri"/>
          <w:sz w:val="22"/>
          <w:szCs w:val="22"/>
          <w:lang w:val="es-ES_tradnl"/>
        </w:rPr>
      </w:pPr>
      <w:r w:rsidRPr="00C721AB">
        <w:rPr>
          <w:rFonts w:ascii="Calibri" w:hAnsi="Calibri"/>
          <w:sz w:val="22"/>
          <w:szCs w:val="22"/>
          <w:lang w:val="es-ES_tradnl"/>
        </w:rPr>
        <w:t xml:space="preserve"> </w:t>
      </w: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bCs/>
          <w:sz w:val="22"/>
          <w:szCs w:val="22"/>
          <w:lang w:val="es-ES_tradnl"/>
        </w:rPr>
        <w:t xml:space="preserve">Desde el momento de su adopción hace 18 años, y en consonancia con la Resolución XI.4, la Secretaría ha diseñado de nuevo el cuestionario del Registro de Montreux (véase el Anexo 1 de la Resolución </w:t>
      </w:r>
      <w:r w:rsidRPr="00C721AB">
        <w:rPr>
          <w:rFonts w:ascii="Calibri" w:hAnsi="Calibri"/>
          <w:bCs/>
          <w:sz w:val="22"/>
          <w:szCs w:val="22"/>
          <w:highlight w:val="yellow"/>
          <w:lang w:val="es-ES_tradnl"/>
        </w:rPr>
        <w:t>XII.</w:t>
      </w:r>
      <w:r w:rsidR="00472A8F" w:rsidRPr="00C721AB">
        <w:rPr>
          <w:rFonts w:ascii="Calibri" w:hAnsi="Calibri"/>
          <w:bCs/>
          <w:sz w:val="22"/>
          <w:szCs w:val="22"/>
          <w:highlight w:val="yellow"/>
          <w:lang w:val="es-ES_tradnl"/>
        </w:rPr>
        <w:t>6</w:t>
      </w:r>
      <w:r w:rsidRPr="00C721AB">
        <w:rPr>
          <w:rFonts w:ascii="Calibri" w:hAnsi="Calibri"/>
          <w:bCs/>
          <w:sz w:val="22"/>
          <w:szCs w:val="22"/>
          <w:lang w:val="es-ES_tradnl"/>
        </w:rPr>
        <w:t xml:space="preserve"> sobre el </w:t>
      </w:r>
      <w:r w:rsidRPr="00C721AB">
        <w:rPr>
          <w:rFonts w:ascii="Calibri" w:hAnsi="Calibri"/>
          <w:bCs/>
          <w:i/>
          <w:sz w:val="22"/>
          <w:szCs w:val="22"/>
          <w:lang w:val="es-ES_tradnl"/>
        </w:rPr>
        <w:t>Estado de los sitios de la Lista Ramsar de Humedales de Importancia Internacional</w:t>
      </w:r>
      <w:r w:rsidRPr="00C721AB">
        <w:rPr>
          <w:rFonts w:ascii="Calibri" w:hAnsi="Calibri"/>
          <w:bCs/>
          <w:sz w:val="22"/>
          <w:szCs w:val="22"/>
          <w:lang w:val="es-ES_tradnl"/>
        </w:rPr>
        <w:t>), para considerar con qué frecuencia las Partes Contratantes deberían informar sobre sus avances en la resolución de cuestiones que dieron lugar a la inclusión de sitios en el Registro de Montreux, y para permitir que el Registro se actualice antes de cada COP.</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De los 123 expedientes abiertos del Artículo 3.2 desde el 28 de agosto de 2014, 47 están incluidos en el Registro de Montreux, pero la velocidad de resolución sigue siendo muy baja. El único sitio eliminado del Registro durante el período objeto de examen fue el sitio Ramsar Bañados del Este de Uruguay. La solicitud del gobierno de eliminar el sitio del Registro se llevó a cabo 24 años después de su adición al Registro en 1990. En línea con la práctica establecida, la </w:t>
      </w:r>
      <w:r w:rsidRPr="00C721AB">
        <w:rPr>
          <w:rFonts w:ascii="Calibri" w:hAnsi="Calibri"/>
          <w:sz w:val="22"/>
          <w:szCs w:val="22"/>
          <w:lang w:val="es-ES_tradnl"/>
        </w:rPr>
        <w:lastRenderedPageBreak/>
        <w:t>Secretaría solicitó asesoramiento del GECT sobre esta solicitud y lo transmitió a Uruguay. Durante el período, no se eliminaron otros sitios del Registro de Montreux y se llevaron a cabo cuatro Misiones Ramsar de Asesoramiento en Costa Rica, la República Democrática del Congo, Islandia y Pakistán.</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 xml:space="preserve">La figura que se encuentra a continuación muestra el número de sitios Ramsar inscritos en el Registro de Montreux a lo largo del tiempo; el total ha descendido con respecto al número histórico mayor de sitios registrados en los trienios pasados. Dado que aparentemente las Partes no están implementando el Registro de Montreux como en el pasado, que no se han registrado nuevas entradas desde 2010 y que sólo un sitio ha sido eliminado del Registro en cuatro años, la Secretaría tiene la intención de solicitar a las Partes que proporcionen información sobre todos los expedientes abiertos del Artículo 3.2, incluidos los sitios del Registro de Montreux, en cada reunión del Comité Permanente, para que haya una mayor coherencia de enfoque en todos los sitios que se encuentran en riesgo de perder sus características ecológicas. </w:t>
      </w:r>
    </w:p>
    <w:p w:rsidR="00E97789" w:rsidRPr="00C721AB" w:rsidRDefault="00E97789" w:rsidP="00E97789">
      <w:pPr>
        <w:rPr>
          <w:rFonts w:ascii="Calibri" w:hAnsi="Calibri"/>
          <w:sz w:val="22"/>
          <w:szCs w:val="22"/>
          <w:lang w:val="es-ES_tradnl"/>
        </w:rPr>
      </w:pPr>
    </w:p>
    <w:p w:rsidR="00E97789" w:rsidRPr="00C721AB" w:rsidRDefault="00E97789" w:rsidP="00E97789">
      <w:pPr>
        <w:pStyle w:val="ListParagraph"/>
        <w:ind w:left="426"/>
        <w:rPr>
          <w:rFonts w:ascii="Calibri" w:hAnsi="Calibri"/>
          <w:sz w:val="22"/>
          <w:szCs w:val="22"/>
          <w:lang w:val="es-ES_tradnl"/>
        </w:rPr>
      </w:pPr>
      <w:r w:rsidRPr="00C721AB">
        <w:rPr>
          <w:noProof/>
          <w:lang w:eastAsia="en-GB"/>
        </w:rPr>
        <w:drawing>
          <wp:inline distT="0" distB="0" distL="0" distR="0">
            <wp:extent cx="5732145" cy="3580753"/>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7789" w:rsidRPr="00C721AB" w:rsidRDefault="00E97789" w:rsidP="00E97789">
      <w:pPr>
        <w:pStyle w:val="ListParagraph"/>
        <w:ind w:left="426"/>
        <w:rPr>
          <w:rFonts w:ascii="Calibri" w:hAnsi="Calibri"/>
          <w:sz w:val="22"/>
          <w:szCs w:val="22"/>
          <w:lang w:val="es-ES_tradnl"/>
        </w:rPr>
      </w:pPr>
    </w:p>
    <w:p w:rsidR="00E97789" w:rsidRPr="00C721AB" w:rsidRDefault="00E97789" w:rsidP="00E97789">
      <w:pPr>
        <w:pStyle w:val="ListParagraph"/>
        <w:ind w:left="426"/>
        <w:rPr>
          <w:rFonts w:ascii="Calibri" w:hAnsi="Calibri"/>
          <w:color w:val="000000"/>
          <w:sz w:val="22"/>
          <w:szCs w:val="22"/>
          <w:lang w:val="es-ES_tradnl"/>
        </w:rPr>
      </w:pPr>
    </w:p>
    <w:p w:rsidR="00E97789" w:rsidRPr="00C721AB" w:rsidRDefault="00E97789" w:rsidP="00E97789">
      <w:pPr>
        <w:pStyle w:val="ListParagraph"/>
        <w:numPr>
          <w:ilvl w:val="0"/>
          <w:numId w:val="4"/>
        </w:numPr>
        <w:ind w:left="426" w:hanging="426"/>
        <w:rPr>
          <w:rFonts w:ascii="Calibri" w:hAnsi="Calibri"/>
          <w:sz w:val="22"/>
          <w:szCs w:val="22"/>
          <w:lang w:val="es-ES_tradnl"/>
        </w:rPr>
      </w:pPr>
      <w:r w:rsidRPr="00C721AB">
        <w:rPr>
          <w:rFonts w:ascii="Calibri" w:hAnsi="Calibri"/>
          <w:sz w:val="22"/>
          <w:szCs w:val="22"/>
          <w:lang w:val="es-ES_tradnl"/>
        </w:rPr>
        <w:t>Como consecuencia de la falta de actualizaciones periódicas e información sobre los expedientes potenciales o abiertos de</w:t>
      </w:r>
      <w:r w:rsidR="00472A8F" w:rsidRPr="00C721AB">
        <w:rPr>
          <w:rFonts w:ascii="Calibri" w:hAnsi="Calibri"/>
          <w:sz w:val="22"/>
          <w:szCs w:val="22"/>
          <w:lang w:val="es-ES_tradnl"/>
        </w:rPr>
        <w:t xml:space="preserve">l Artículo 3.2 de sitios Ramsar y tras las deliberaciones mantenidas </w:t>
      </w:r>
      <w:r w:rsidR="00F860FE" w:rsidRPr="00C721AB">
        <w:rPr>
          <w:rFonts w:ascii="Calibri" w:hAnsi="Calibri"/>
          <w:sz w:val="22"/>
          <w:szCs w:val="22"/>
          <w:lang w:val="es-ES_tradnl"/>
        </w:rPr>
        <w:t>en</w:t>
      </w:r>
      <w:r w:rsidR="00472A8F" w:rsidRPr="00C721AB">
        <w:rPr>
          <w:rFonts w:ascii="Calibri" w:hAnsi="Calibri"/>
          <w:sz w:val="22"/>
          <w:szCs w:val="22"/>
          <w:lang w:val="es-ES_tradnl"/>
        </w:rPr>
        <w:t xml:space="preserve"> la 48ª reunión del Comité Permanente,</w:t>
      </w:r>
      <w:r w:rsidRPr="00C721AB">
        <w:rPr>
          <w:rFonts w:ascii="Calibri" w:hAnsi="Calibri"/>
          <w:sz w:val="22"/>
          <w:szCs w:val="22"/>
          <w:lang w:val="es-ES_tradnl"/>
        </w:rPr>
        <w:t xml:space="preserve"> la Sec</w:t>
      </w:r>
      <w:r w:rsidR="00472A8F" w:rsidRPr="00C721AB">
        <w:rPr>
          <w:rFonts w:ascii="Calibri" w:hAnsi="Calibri"/>
          <w:sz w:val="22"/>
          <w:szCs w:val="22"/>
          <w:lang w:val="es-ES_tradnl"/>
        </w:rPr>
        <w:t>retaría desea que durante la 51ª</w:t>
      </w:r>
      <w:r w:rsidRPr="00C721AB">
        <w:rPr>
          <w:rFonts w:ascii="Calibri" w:hAnsi="Calibri"/>
          <w:sz w:val="22"/>
          <w:szCs w:val="22"/>
          <w:lang w:val="es-ES_tradnl"/>
        </w:rPr>
        <w:t xml:space="preserve"> reunión d</w:t>
      </w:r>
      <w:r w:rsidR="00F860FE" w:rsidRPr="00C721AB">
        <w:rPr>
          <w:rFonts w:ascii="Calibri" w:hAnsi="Calibri"/>
          <w:sz w:val="22"/>
          <w:szCs w:val="22"/>
          <w:lang w:val="es-ES_tradnl"/>
        </w:rPr>
        <w:t>e dicho Comité</w:t>
      </w:r>
      <w:r w:rsidRPr="00C721AB">
        <w:rPr>
          <w:rFonts w:ascii="Calibri" w:hAnsi="Calibri"/>
          <w:sz w:val="22"/>
          <w:szCs w:val="22"/>
          <w:lang w:val="es-ES_tradnl"/>
        </w:rPr>
        <w:t xml:space="preserve"> se delibere sobre los casos más graves en relación con el Artículo 3.2, con el fin de </w:t>
      </w:r>
      <w:r w:rsidR="00F860FE" w:rsidRPr="00C721AB">
        <w:rPr>
          <w:rFonts w:ascii="Calibri" w:hAnsi="Calibri"/>
          <w:sz w:val="22"/>
          <w:szCs w:val="22"/>
          <w:lang w:val="es-ES_tradnl"/>
        </w:rPr>
        <w:t>formular</w:t>
      </w:r>
      <w:r w:rsidRPr="00C721AB">
        <w:rPr>
          <w:rFonts w:ascii="Calibri" w:hAnsi="Calibri"/>
          <w:sz w:val="22"/>
          <w:szCs w:val="22"/>
          <w:lang w:val="es-ES_tradnl"/>
        </w:rPr>
        <w:t xml:space="preserve"> recomendaciones sobre la manera de darles un mayor apoyo y lograr una resolución rápida de los casos. Haciendo uso de</w:t>
      </w:r>
      <w:r w:rsidR="00472A8F" w:rsidRPr="00C721AB">
        <w:rPr>
          <w:rFonts w:ascii="Calibri" w:hAnsi="Calibri"/>
          <w:sz w:val="22"/>
          <w:szCs w:val="22"/>
          <w:lang w:val="es-ES_tradnl"/>
        </w:rPr>
        <w:t xml:space="preserve"> la información actualizada que figura en</w:t>
      </w:r>
      <w:r w:rsidRPr="00C721AB">
        <w:rPr>
          <w:rFonts w:ascii="Calibri" w:hAnsi="Calibri"/>
          <w:sz w:val="22"/>
          <w:szCs w:val="22"/>
          <w:lang w:val="es-ES_tradnl"/>
        </w:rPr>
        <w:t xml:space="preserve"> los Anexos 3(a), 4(a) y 4(b) del presente informe, </w:t>
      </w:r>
      <w:r w:rsidR="00472A8F" w:rsidRPr="00C721AB">
        <w:rPr>
          <w:rFonts w:ascii="Calibri" w:hAnsi="Calibri"/>
          <w:sz w:val="22"/>
          <w:szCs w:val="22"/>
          <w:lang w:val="es-ES_tradnl"/>
        </w:rPr>
        <w:t>la Secretaría propone que se estudien los cien</w:t>
      </w:r>
      <w:r w:rsidRPr="00C721AB">
        <w:rPr>
          <w:rFonts w:ascii="Calibri" w:hAnsi="Calibri"/>
          <w:sz w:val="22"/>
          <w:szCs w:val="22"/>
          <w:lang w:val="es-ES_tradnl"/>
        </w:rPr>
        <w:t xml:space="preserve"> expedientes más antiguos</w:t>
      </w:r>
      <w:r w:rsidR="00472A8F" w:rsidRPr="00C721AB">
        <w:rPr>
          <w:rFonts w:ascii="Calibri" w:hAnsi="Calibri"/>
          <w:sz w:val="22"/>
          <w:szCs w:val="22"/>
          <w:lang w:val="es-ES_tradnl"/>
        </w:rPr>
        <w:t xml:space="preserve"> en la 51ª reunión del C</w:t>
      </w:r>
      <w:r w:rsidR="00F860FE" w:rsidRPr="00C721AB">
        <w:rPr>
          <w:rFonts w:ascii="Calibri" w:hAnsi="Calibri"/>
          <w:sz w:val="22"/>
          <w:szCs w:val="22"/>
          <w:lang w:val="es-ES_tradnl"/>
        </w:rPr>
        <w:t>omité Permanente</w:t>
      </w:r>
      <w:r w:rsidR="00472A8F" w:rsidRPr="00C721AB">
        <w:rPr>
          <w:rFonts w:ascii="Calibri" w:hAnsi="Calibri"/>
          <w:sz w:val="22"/>
          <w:szCs w:val="22"/>
          <w:lang w:val="es-ES_tradnl"/>
        </w:rPr>
        <w:t xml:space="preserve"> y en cada reunión anual de dicho Comité</w:t>
      </w:r>
      <w:r w:rsidRPr="00C721AB">
        <w:rPr>
          <w:rFonts w:ascii="Calibri" w:hAnsi="Calibri"/>
          <w:sz w:val="22"/>
          <w:szCs w:val="22"/>
          <w:lang w:val="es-ES_tradnl"/>
        </w:rPr>
        <w:t>.</w:t>
      </w:r>
    </w:p>
    <w:p w:rsidR="00E97789" w:rsidRPr="00C721AB" w:rsidRDefault="00E97789" w:rsidP="00E97789">
      <w:pPr>
        <w:tabs>
          <w:tab w:val="right" w:pos="9026"/>
        </w:tabs>
        <w:suppressAutoHyphens/>
        <w:ind w:left="567" w:hanging="567"/>
        <w:rPr>
          <w:rFonts w:ascii="Calibri" w:hAnsi="Calibri"/>
          <w:color w:val="000000"/>
          <w:sz w:val="22"/>
          <w:szCs w:val="22"/>
          <w:lang w:val="es-ES_tradnl"/>
        </w:rPr>
      </w:pPr>
    </w:p>
    <w:p w:rsidR="00E97789" w:rsidRDefault="00E97789" w:rsidP="00E97789">
      <w:pPr>
        <w:tabs>
          <w:tab w:val="right" w:pos="9026"/>
        </w:tabs>
        <w:suppressAutoHyphens/>
        <w:rPr>
          <w:rFonts w:ascii="Calibri" w:hAnsi="Calibri"/>
          <w:color w:val="000000"/>
          <w:sz w:val="22"/>
          <w:szCs w:val="22"/>
          <w:lang w:val="es-ES_tradnl"/>
        </w:rPr>
      </w:pPr>
    </w:p>
    <w:p w:rsidR="00C721AB" w:rsidRPr="00C721AB" w:rsidRDefault="00C721AB" w:rsidP="00E97789">
      <w:pPr>
        <w:tabs>
          <w:tab w:val="right" w:pos="9026"/>
        </w:tabs>
        <w:suppressAutoHyphens/>
        <w:rPr>
          <w:rFonts w:ascii="Calibri" w:hAnsi="Calibri"/>
          <w:color w:val="000000"/>
          <w:sz w:val="22"/>
          <w:szCs w:val="22"/>
          <w:lang w:val="es-ES_tradnl"/>
        </w:rPr>
      </w:pPr>
    </w:p>
    <w:p w:rsidR="00E97789" w:rsidRPr="00C721AB" w:rsidRDefault="00E97789" w:rsidP="00E97789">
      <w:pPr>
        <w:ind w:left="567" w:hanging="567"/>
        <w:rPr>
          <w:rFonts w:ascii="Calibri" w:hAnsi="Calibri"/>
          <w:b/>
          <w:color w:val="000000"/>
          <w:sz w:val="22"/>
          <w:szCs w:val="22"/>
          <w:lang w:val="es-ES_tradnl"/>
        </w:rPr>
      </w:pPr>
      <w:r w:rsidRPr="00C721AB">
        <w:rPr>
          <w:rFonts w:ascii="Calibri" w:hAnsi="Calibri"/>
          <w:b/>
          <w:color w:val="000000"/>
          <w:sz w:val="22"/>
          <w:szCs w:val="22"/>
          <w:lang w:val="es-ES_tradnl"/>
        </w:rPr>
        <w:lastRenderedPageBreak/>
        <w:t>Anexos</w:t>
      </w:r>
    </w:p>
    <w:p w:rsidR="00E97789" w:rsidRPr="00C721AB" w:rsidRDefault="00E97789" w:rsidP="00E97789">
      <w:pPr>
        <w:ind w:left="567" w:hanging="567"/>
        <w:rPr>
          <w:rFonts w:ascii="Calibri" w:hAnsi="Calibri"/>
          <w:b/>
          <w:color w:val="000000"/>
          <w:sz w:val="22"/>
          <w:szCs w:val="22"/>
          <w:lang w:val="es-ES_tradnl"/>
        </w:rPr>
      </w:pPr>
    </w:p>
    <w:tbl>
      <w:tblPr>
        <w:tblW w:w="0" w:type="auto"/>
        <w:tblInd w:w="-34" w:type="dxa"/>
        <w:tblCellMar>
          <w:top w:w="57" w:type="dxa"/>
          <w:bottom w:w="57" w:type="dxa"/>
        </w:tblCellMar>
        <w:tblLook w:val="04A0" w:firstRow="1" w:lastRow="0" w:firstColumn="1" w:lastColumn="0" w:noHBand="0" w:noVBand="1"/>
      </w:tblPr>
      <w:tblGrid>
        <w:gridCol w:w="568"/>
        <w:gridCol w:w="7371"/>
        <w:gridCol w:w="992"/>
      </w:tblGrid>
      <w:tr w:rsidR="00E97789" w:rsidRPr="00C721AB" w:rsidTr="00E97789">
        <w:tc>
          <w:tcPr>
            <w:tcW w:w="568"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1</w:t>
            </w:r>
          </w:p>
        </w:tc>
        <w:tc>
          <w:tcPr>
            <w:tcW w:w="7371"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149 sitios Ramsar designados recientemente y añadidos a la Lista desde la COP11</w:t>
            </w:r>
          </w:p>
        </w:tc>
        <w:tc>
          <w:tcPr>
            <w:tcW w:w="992" w:type="dxa"/>
          </w:tcPr>
          <w:p w:rsidR="00E97789" w:rsidRPr="00C721AB" w:rsidRDefault="00E97789" w:rsidP="00E97789">
            <w:pPr>
              <w:suppressAutoHyphens/>
              <w:jc w:val="right"/>
              <w:rPr>
                <w:rFonts w:ascii="Calibri" w:hAnsi="Calibri"/>
                <w:sz w:val="22"/>
                <w:szCs w:val="22"/>
                <w:lang w:val="es-ES_tradnl"/>
              </w:rPr>
            </w:pPr>
            <w:r w:rsidRPr="00C721AB">
              <w:rPr>
                <w:rFonts w:ascii="Calibri" w:hAnsi="Calibri"/>
                <w:sz w:val="22"/>
                <w:szCs w:val="22"/>
                <w:lang w:val="es-ES_tradnl"/>
              </w:rPr>
              <w:t>9</w:t>
            </w:r>
          </w:p>
        </w:tc>
      </w:tr>
      <w:tr w:rsidR="00E97789" w:rsidRPr="00C721AB" w:rsidTr="00E97789">
        <w:tc>
          <w:tcPr>
            <w:tcW w:w="568"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2</w:t>
            </w:r>
          </w:p>
        </w:tc>
        <w:tc>
          <w:tcPr>
            <w:tcW w:w="7371"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Lista de sitios sobre los que las Partes han proporcionado Fichas Informativas de Ramsar y mapas actualizados, incluidas las FIR y los mapas faltantes desde la COP11</w:t>
            </w:r>
          </w:p>
        </w:tc>
        <w:tc>
          <w:tcPr>
            <w:tcW w:w="992" w:type="dxa"/>
          </w:tcPr>
          <w:p w:rsidR="00E97789" w:rsidRPr="00C721AB" w:rsidRDefault="00E97789" w:rsidP="00E97789">
            <w:pPr>
              <w:suppressAutoHyphens/>
              <w:jc w:val="right"/>
              <w:rPr>
                <w:rFonts w:ascii="Calibri" w:hAnsi="Calibri"/>
                <w:sz w:val="22"/>
                <w:szCs w:val="22"/>
                <w:lang w:val="es-ES_tradnl"/>
              </w:rPr>
            </w:pPr>
            <w:r w:rsidRPr="00C721AB">
              <w:rPr>
                <w:rFonts w:ascii="Calibri" w:hAnsi="Calibri"/>
                <w:sz w:val="22"/>
                <w:szCs w:val="22"/>
                <w:lang w:val="es-ES_tradnl"/>
              </w:rPr>
              <w:t>14</w:t>
            </w:r>
          </w:p>
        </w:tc>
      </w:tr>
      <w:tr w:rsidR="00E97789" w:rsidRPr="00C721AB" w:rsidTr="00E97789">
        <w:tc>
          <w:tcPr>
            <w:tcW w:w="568"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3a</w:t>
            </w:r>
          </w:p>
        </w:tc>
        <w:tc>
          <w:tcPr>
            <w:tcW w:w="7371"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Lista de 51 sitios Ramsar sobre los que no se han presentado a la Secretaría las FIR o mapas adecuados desde su designación</w:t>
            </w:r>
          </w:p>
        </w:tc>
        <w:tc>
          <w:tcPr>
            <w:tcW w:w="992" w:type="dxa"/>
          </w:tcPr>
          <w:p w:rsidR="00E97789" w:rsidRPr="00C721AB" w:rsidRDefault="00E97789" w:rsidP="00E97789">
            <w:pPr>
              <w:suppressAutoHyphens/>
              <w:jc w:val="right"/>
              <w:rPr>
                <w:rFonts w:ascii="Calibri" w:hAnsi="Calibri"/>
                <w:sz w:val="22"/>
                <w:szCs w:val="22"/>
                <w:lang w:val="es-ES_tradnl"/>
              </w:rPr>
            </w:pPr>
            <w:r w:rsidRPr="00C721AB">
              <w:rPr>
                <w:rFonts w:ascii="Calibri" w:hAnsi="Calibri"/>
                <w:sz w:val="22"/>
                <w:szCs w:val="22"/>
                <w:lang w:val="es-ES_tradnl"/>
              </w:rPr>
              <w:t>19</w:t>
            </w:r>
          </w:p>
        </w:tc>
      </w:tr>
      <w:tr w:rsidR="00E97789" w:rsidRPr="00C721AB" w:rsidTr="00E97789">
        <w:tc>
          <w:tcPr>
            <w:tcW w:w="568" w:type="dxa"/>
          </w:tcPr>
          <w:p w:rsidR="00E97789" w:rsidRPr="00C721AB" w:rsidRDefault="00E97789" w:rsidP="00E97789">
            <w:pPr>
              <w:pStyle w:val="BodyText"/>
              <w:spacing w:after="0"/>
              <w:rPr>
                <w:rFonts w:ascii="Calibri" w:hAnsi="Calibri"/>
                <w:sz w:val="22"/>
                <w:szCs w:val="22"/>
                <w:lang w:val="es-ES_tradnl"/>
              </w:rPr>
            </w:pPr>
            <w:r w:rsidRPr="00C721AB">
              <w:rPr>
                <w:rFonts w:ascii="Calibri" w:hAnsi="Calibri"/>
                <w:sz w:val="22"/>
                <w:szCs w:val="22"/>
                <w:lang w:val="es-ES_tradnl"/>
              </w:rPr>
              <w:t>3b</w:t>
            </w:r>
          </w:p>
        </w:tc>
        <w:tc>
          <w:tcPr>
            <w:tcW w:w="7371" w:type="dxa"/>
          </w:tcPr>
          <w:p w:rsidR="00E97789" w:rsidRPr="00C721AB" w:rsidRDefault="00E97789" w:rsidP="00E97789">
            <w:pPr>
              <w:pStyle w:val="BodyText"/>
              <w:spacing w:after="0"/>
              <w:rPr>
                <w:rFonts w:ascii="Calibri" w:hAnsi="Calibri"/>
                <w:sz w:val="22"/>
                <w:szCs w:val="22"/>
                <w:lang w:val="es-ES_tradnl"/>
              </w:rPr>
            </w:pPr>
            <w:r w:rsidRPr="00C721AB">
              <w:rPr>
                <w:rFonts w:ascii="Calibri" w:hAnsi="Calibri"/>
                <w:sz w:val="22"/>
                <w:szCs w:val="22"/>
                <w:lang w:val="es-ES_tradnl"/>
              </w:rPr>
              <w:t>Lista de las Partes Contratantes de las que se necesitan una o más Fichas Informativas de Ramsar tras seis años o más sin actualización</w:t>
            </w:r>
          </w:p>
        </w:tc>
        <w:tc>
          <w:tcPr>
            <w:tcW w:w="992" w:type="dxa"/>
          </w:tcPr>
          <w:p w:rsidR="00E97789" w:rsidRPr="00C721AB" w:rsidRDefault="00E97789" w:rsidP="00E97789">
            <w:pPr>
              <w:pStyle w:val="BodyText"/>
              <w:spacing w:after="0"/>
              <w:jc w:val="right"/>
              <w:rPr>
                <w:rFonts w:ascii="Calibri" w:hAnsi="Calibri"/>
                <w:sz w:val="22"/>
                <w:szCs w:val="22"/>
                <w:lang w:val="es-ES_tradnl"/>
              </w:rPr>
            </w:pPr>
            <w:r w:rsidRPr="00C721AB">
              <w:rPr>
                <w:rFonts w:ascii="Calibri" w:hAnsi="Calibri"/>
                <w:sz w:val="22"/>
                <w:szCs w:val="22"/>
                <w:lang w:val="es-ES_tradnl"/>
              </w:rPr>
              <w:t>21</w:t>
            </w:r>
          </w:p>
        </w:tc>
      </w:tr>
      <w:tr w:rsidR="00E97789" w:rsidRPr="00C721AB" w:rsidTr="00E97789">
        <w:tc>
          <w:tcPr>
            <w:tcW w:w="568"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4a</w:t>
            </w:r>
          </w:p>
        </w:tc>
        <w:tc>
          <w:tcPr>
            <w:tcW w:w="7371"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 xml:space="preserve">Estado de los sitios Ramsar sobre los que existen informes de que han ocurrido, están ocurriendo o es probable que ocurran cambios negativos inducidos por la actividad humana (Artículo 3.2) </w:t>
            </w:r>
          </w:p>
        </w:tc>
        <w:tc>
          <w:tcPr>
            <w:tcW w:w="992" w:type="dxa"/>
          </w:tcPr>
          <w:p w:rsidR="00E97789" w:rsidRPr="00C721AB" w:rsidRDefault="00E97789" w:rsidP="00E97789">
            <w:pPr>
              <w:suppressAutoHyphens/>
              <w:jc w:val="right"/>
              <w:rPr>
                <w:rFonts w:ascii="Calibri" w:hAnsi="Calibri"/>
                <w:sz w:val="22"/>
                <w:szCs w:val="22"/>
                <w:lang w:val="es-ES_tradnl"/>
              </w:rPr>
            </w:pPr>
            <w:r w:rsidRPr="00C721AB">
              <w:rPr>
                <w:rFonts w:ascii="Calibri" w:hAnsi="Calibri"/>
                <w:sz w:val="22"/>
                <w:szCs w:val="22"/>
                <w:lang w:val="es-ES_tradnl"/>
              </w:rPr>
              <w:t>26</w:t>
            </w:r>
          </w:p>
        </w:tc>
      </w:tr>
      <w:tr w:rsidR="00E97789" w:rsidRPr="00C721AB" w:rsidTr="00E97789">
        <w:tc>
          <w:tcPr>
            <w:tcW w:w="568"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4b</w:t>
            </w:r>
          </w:p>
        </w:tc>
        <w:tc>
          <w:tcPr>
            <w:tcW w:w="7371" w:type="dxa"/>
          </w:tcPr>
          <w:p w:rsidR="00E97789" w:rsidRPr="00C721AB" w:rsidRDefault="00E97789" w:rsidP="00E97789">
            <w:pPr>
              <w:suppressAutoHyphens/>
              <w:rPr>
                <w:rFonts w:ascii="Calibri" w:hAnsi="Calibri"/>
                <w:sz w:val="22"/>
                <w:szCs w:val="22"/>
                <w:lang w:val="es-ES_tradnl"/>
              </w:rPr>
            </w:pPr>
            <w:r w:rsidRPr="00C721AB">
              <w:rPr>
                <w:rFonts w:ascii="Calibri" w:hAnsi="Calibri"/>
                <w:sz w:val="22"/>
                <w:szCs w:val="22"/>
                <w:lang w:val="es-ES_tradnl"/>
              </w:rPr>
              <w:t>Estado de los sitios Ramsar sobre los que existen informes de que han ocurrido, están ocurriendo o es probable que ocurran cambios negativos inducidos por la actividad humana hasta y desde la COP11</w:t>
            </w:r>
          </w:p>
        </w:tc>
        <w:tc>
          <w:tcPr>
            <w:tcW w:w="992" w:type="dxa"/>
          </w:tcPr>
          <w:p w:rsidR="00E97789" w:rsidRPr="00C721AB" w:rsidRDefault="00E97789" w:rsidP="00464F75">
            <w:pPr>
              <w:suppressAutoHyphens/>
              <w:jc w:val="right"/>
              <w:rPr>
                <w:rFonts w:ascii="Calibri" w:hAnsi="Calibri"/>
                <w:sz w:val="22"/>
                <w:szCs w:val="22"/>
                <w:lang w:val="es-ES_tradnl"/>
              </w:rPr>
            </w:pPr>
            <w:r w:rsidRPr="00C721AB">
              <w:rPr>
                <w:rFonts w:ascii="Calibri" w:hAnsi="Calibri"/>
                <w:sz w:val="22"/>
                <w:szCs w:val="22"/>
                <w:lang w:val="es-ES_tradnl"/>
              </w:rPr>
              <w:t>5</w:t>
            </w:r>
            <w:r w:rsidR="00464F75">
              <w:rPr>
                <w:rFonts w:ascii="Calibri" w:hAnsi="Calibri"/>
                <w:sz w:val="22"/>
                <w:szCs w:val="22"/>
                <w:lang w:val="es-ES_tradnl"/>
              </w:rPr>
              <w:t>4</w:t>
            </w:r>
          </w:p>
        </w:tc>
      </w:tr>
      <w:tr w:rsidR="00E97789" w:rsidRPr="00C721AB" w:rsidTr="00E97789">
        <w:tc>
          <w:tcPr>
            <w:tcW w:w="568" w:type="dxa"/>
          </w:tcPr>
          <w:p w:rsidR="00E97789" w:rsidRPr="00C721AB" w:rsidRDefault="00E97789" w:rsidP="00E97789">
            <w:pPr>
              <w:pStyle w:val="BodyText"/>
              <w:spacing w:after="0"/>
              <w:rPr>
                <w:rFonts w:ascii="Calibri" w:hAnsi="Calibri"/>
                <w:sz w:val="22"/>
                <w:szCs w:val="22"/>
                <w:lang w:val="es-ES_tradnl"/>
              </w:rPr>
            </w:pPr>
            <w:r w:rsidRPr="00C721AB">
              <w:rPr>
                <w:rFonts w:ascii="Calibri" w:hAnsi="Calibri"/>
                <w:sz w:val="22"/>
                <w:szCs w:val="22"/>
                <w:lang w:val="es-ES_tradnl"/>
              </w:rPr>
              <w:t>5</w:t>
            </w:r>
          </w:p>
        </w:tc>
        <w:tc>
          <w:tcPr>
            <w:tcW w:w="7371" w:type="dxa"/>
          </w:tcPr>
          <w:p w:rsidR="00E97789" w:rsidRPr="00C721AB" w:rsidRDefault="00E97789" w:rsidP="00E97789">
            <w:pPr>
              <w:pStyle w:val="BodyText"/>
              <w:spacing w:after="0"/>
              <w:rPr>
                <w:rFonts w:ascii="Calibri" w:hAnsi="Calibri"/>
                <w:sz w:val="22"/>
                <w:szCs w:val="22"/>
                <w:lang w:val="es-ES_tradnl"/>
              </w:rPr>
            </w:pPr>
            <w:r w:rsidRPr="00C721AB">
              <w:rPr>
                <w:rFonts w:ascii="Calibri" w:hAnsi="Calibri"/>
                <w:sz w:val="22"/>
                <w:szCs w:val="22"/>
                <w:lang w:val="es-ES_tradnl"/>
              </w:rPr>
              <w:t>Lista de sitios Ramsar que también son Sitios del Patrimonio Mundial</w:t>
            </w:r>
          </w:p>
        </w:tc>
        <w:tc>
          <w:tcPr>
            <w:tcW w:w="992" w:type="dxa"/>
          </w:tcPr>
          <w:p w:rsidR="00E97789" w:rsidRPr="00C721AB" w:rsidRDefault="00464F75" w:rsidP="00E97789">
            <w:pPr>
              <w:pStyle w:val="BodyText"/>
              <w:spacing w:after="0"/>
              <w:jc w:val="right"/>
              <w:rPr>
                <w:rFonts w:ascii="Calibri" w:hAnsi="Calibri"/>
                <w:sz w:val="22"/>
                <w:szCs w:val="22"/>
                <w:lang w:val="es-ES_tradnl"/>
              </w:rPr>
            </w:pPr>
            <w:r>
              <w:rPr>
                <w:rFonts w:ascii="Calibri" w:hAnsi="Calibri"/>
                <w:sz w:val="22"/>
                <w:szCs w:val="22"/>
                <w:lang w:val="es-ES_tradnl"/>
              </w:rPr>
              <w:t>63</w:t>
            </w:r>
          </w:p>
        </w:tc>
      </w:tr>
    </w:tbl>
    <w:p w:rsidR="00E97789" w:rsidRPr="00C721AB" w:rsidRDefault="00E97789" w:rsidP="00E97789">
      <w:pPr>
        <w:tabs>
          <w:tab w:val="right" w:pos="9026"/>
        </w:tabs>
        <w:suppressAutoHyphens/>
        <w:rPr>
          <w:rFonts w:ascii="Calibri" w:hAnsi="Calibri"/>
          <w:color w:val="000000"/>
          <w:sz w:val="22"/>
          <w:szCs w:val="22"/>
          <w:lang w:val="es-ES_tradnl"/>
        </w:rPr>
      </w:pPr>
    </w:p>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br w:type="page"/>
      </w:r>
    </w:p>
    <w:p w:rsidR="00E97789" w:rsidRPr="00C721AB" w:rsidRDefault="00472A8F" w:rsidP="00E97789">
      <w:pPr>
        <w:tabs>
          <w:tab w:val="right" w:pos="9026"/>
        </w:tabs>
        <w:suppressAutoHyphens/>
        <w:rPr>
          <w:rFonts w:ascii="Calibri" w:hAnsi="Calibri"/>
          <w:color w:val="000000"/>
          <w:sz w:val="26"/>
          <w:szCs w:val="26"/>
          <w:lang w:val="es-ES_tradnl"/>
        </w:rPr>
      </w:pPr>
      <w:r w:rsidRPr="00C721AB">
        <w:rPr>
          <w:rFonts w:ascii="Calibri" w:hAnsi="Calibri"/>
          <w:b/>
          <w:color w:val="000000"/>
          <w:sz w:val="26"/>
          <w:szCs w:val="26"/>
          <w:lang w:val="es-ES_tradnl"/>
        </w:rPr>
        <w:lastRenderedPageBreak/>
        <w:t>Anexo 1</w:t>
      </w:r>
      <w:r w:rsidR="00E97789" w:rsidRPr="00C721AB">
        <w:rPr>
          <w:rFonts w:ascii="Calibri" w:hAnsi="Calibri"/>
          <w:b/>
          <w:color w:val="000000"/>
          <w:sz w:val="26"/>
          <w:szCs w:val="26"/>
          <w:lang w:val="es-ES_tradnl"/>
        </w:rPr>
        <w:t xml:space="preserve"> </w:t>
      </w:r>
    </w:p>
    <w:p w:rsidR="00E97789" w:rsidRPr="00C721AB" w:rsidRDefault="00E97789" w:rsidP="00E97789">
      <w:pPr>
        <w:tabs>
          <w:tab w:val="right" w:pos="9026"/>
        </w:tabs>
        <w:suppressAutoHyphens/>
        <w:ind w:left="567" w:hanging="567"/>
        <w:jc w:val="center"/>
        <w:rPr>
          <w:rFonts w:ascii="Calibri" w:hAnsi="Calibri"/>
          <w:b/>
          <w:color w:val="000000"/>
          <w:sz w:val="26"/>
          <w:szCs w:val="26"/>
          <w:lang w:val="es-ES_tradnl"/>
        </w:rPr>
      </w:pPr>
    </w:p>
    <w:p w:rsidR="00E97789" w:rsidRPr="00C721AB" w:rsidRDefault="00E97789" w:rsidP="00E97789">
      <w:pPr>
        <w:suppressAutoHyphens/>
        <w:ind w:right="-51"/>
        <w:rPr>
          <w:rFonts w:ascii="Calibri" w:hAnsi="Calibri"/>
          <w:b/>
          <w:snapToGrid w:val="0"/>
          <w:color w:val="000000"/>
          <w:sz w:val="26"/>
          <w:szCs w:val="26"/>
          <w:lang w:val="es-ES_tradnl"/>
        </w:rPr>
      </w:pPr>
      <w:r w:rsidRPr="00C721AB">
        <w:rPr>
          <w:rFonts w:ascii="Calibri" w:hAnsi="Calibri"/>
          <w:b/>
          <w:snapToGrid w:val="0"/>
          <w:color w:val="000000"/>
          <w:sz w:val="26"/>
          <w:szCs w:val="26"/>
          <w:lang w:val="es-ES_tradnl"/>
        </w:rPr>
        <w:t>149 sitios Ramsar designados recientemente y añadidos a la Lista desde la COP11</w:t>
      </w:r>
      <w:r w:rsidRPr="00C721AB">
        <w:rPr>
          <w:rStyle w:val="FootnoteReference"/>
          <w:rFonts w:ascii="Calibri" w:hAnsi="Calibri"/>
          <w:b/>
          <w:snapToGrid w:val="0"/>
          <w:color w:val="000000"/>
          <w:sz w:val="26"/>
          <w:szCs w:val="26"/>
          <w:lang w:val="es-ES_tradnl"/>
        </w:rPr>
        <w:footnoteReference w:id="2"/>
      </w:r>
    </w:p>
    <w:p w:rsidR="00E97789" w:rsidRPr="00C721AB" w:rsidRDefault="00E97789" w:rsidP="00E97789">
      <w:pPr>
        <w:suppressAutoHyphens/>
        <w:ind w:right="-51"/>
        <w:rPr>
          <w:rFonts w:ascii="Calibri" w:hAnsi="Calibri"/>
          <w:snapToGrid w:val="0"/>
          <w:color w:val="000000"/>
          <w:sz w:val="22"/>
          <w:szCs w:val="22"/>
          <w:lang w:val="es-ES_tradnl"/>
        </w:rPr>
      </w:pPr>
      <w:r w:rsidRPr="00C721AB">
        <w:rPr>
          <w:rFonts w:ascii="Calibri" w:hAnsi="Calibri"/>
          <w:snapToGrid w:val="0"/>
          <w:color w:val="000000"/>
          <w:sz w:val="22"/>
          <w:szCs w:val="22"/>
          <w:lang w:val="es-ES_tradnl"/>
        </w:rPr>
        <w:t>(</w:t>
      </w:r>
      <w:proofErr w:type="gramStart"/>
      <w:r w:rsidRPr="00C721AB">
        <w:rPr>
          <w:rFonts w:ascii="Calibri" w:hAnsi="Calibri"/>
          <w:snapToGrid w:val="0"/>
          <w:color w:val="000000"/>
          <w:sz w:val="22"/>
          <w:szCs w:val="22"/>
          <w:lang w:val="es-ES_tradnl"/>
        </w:rPr>
        <w:t>período</w:t>
      </w:r>
      <w:proofErr w:type="gramEnd"/>
      <w:r w:rsidRPr="00C721AB">
        <w:rPr>
          <w:rFonts w:ascii="Calibri" w:hAnsi="Calibri"/>
          <w:snapToGrid w:val="0"/>
          <w:color w:val="000000"/>
          <w:sz w:val="22"/>
          <w:szCs w:val="22"/>
          <w:lang w:val="es-ES_tradnl"/>
        </w:rPr>
        <w:t xml:space="preserve"> de presentación de informes: 13 de julio de 2012 al 28 de agosto de 2014)</w:t>
      </w:r>
    </w:p>
    <w:p w:rsidR="00E97789" w:rsidRPr="00C721AB" w:rsidRDefault="00E97789" w:rsidP="00E97789">
      <w:pPr>
        <w:tabs>
          <w:tab w:val="right" w:pos="9026"/>
        </w:tabs>
        <w:suppressAutoHyphens/>
        <w:ind w:left="567" w:hanging="567"/>
        <w:jc w:val="center"/>
        <w:rPr>
          <w:rFonts w:ascii="Garamond" w:hAnsi="Garamond"/>
          <w:color w:val="000000"/>
          <w:szCs w:val="24"/>
          <w:lang w:val="es-ES_tradnl"/>
        </w:rPr>
      </w:pPr>
    </w:p>
    <w:p w:rsidR="00E97789" w:rsidRPr="00C721AB" w:rsidRDefault="00E97789" w:rsidP="00E97789">
      <w:pPr>
        <w:tabs>
          <w:tab w:val="right" w:pos="9026"/>
        </w:tabs>
        <w:suppressAutoHyphens/>
        <w:ind w:left="567" w:hanging="567"/>
        <w:jc w:val="center"/>
        <w:rPr>
          <w:rFonts w:asciiTheme="minorHAnsi" w:hAnsiTheme="minorHAnsi"/>
          <w:color w:val="000000"/>
          <w:szCs w:val="24"/>
          <w:lang w:val="es-ES_tradnl"/>
        </w:rPr>
      </w:pPr>
    </w:p>
    <w:tbl>
      <w:tblPr>
        <w:tblStyle w:val="LightList-Accent11"/>
        <w:tblW w:w="9243" w:type="dxa"/>
        <w:tblLook w:val="04A0" w:firstRow="1" w:lastRow="0" w:firstColumn="1" w:lastColumn="0" w:noHBand="0" w:noVBand="1"/>
      </w:tblPr>
      <w:tblGrid>
        <w:gridCol w:w="1417"/>
        <w:gridCol w:w="841"/>
        <w:gridCol w:w="4229"/>
        <w:gridCol w:w="1422"/>
        <w:gridCol w:w="1334"/>
      </w:tblGrid>
      <w:tr w:rsidR="009C4908" w:rsidRPr="00C721AB" w:rsidTr="009C490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shd w:val="clear" w:color="auto" w:fill="C6D9F1" w:themeFill="text2" w:themeFillTint="33"/>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País</w:t>
            </w:r>
          </w:p>
        </w:tc>
        <w:tc>
          <w:tcPr>
            <w:tcW w:w="841" w:type="dxa"/>
            <w:shd w:val="clear" w:color="auto" w:fill="C6D9F1" w:themeFill="text2" w:themeFillTint="33"/>
            <w:noWrap/>
            <w:hideMark/>
          </w:tcPr>
          <w:p w:rsidR="00E97789" w:rsidRPr="00C721AB" w:rsidRDefault="00E97789" w:rsidP="00E977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Nº del sitio</w:t>
            </w:r>
          </w:p>
        </w:tc>
        <w:tc>
          <w:tcPr>
            <w:tcW w:w="4229"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Nombre del sitio</w:t>
            </w:r>
          </w:p>
        </w:tc>
        <w:tc>
          <w:tcPr>
            <w:tcW w:w="1422"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Fecha de designación</w:t>
            </w:r>
          </w:p>
        </w:tc>
        <w:tc>
          <w:tcPr>
            <w:tcW w:w="1334"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Área (ha)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Albania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2151</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Albanian Prespa Lakes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13/06/2013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15.119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Andorra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2071</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Parc naturel de la vallée de Sorteny (Parc natural de la vall de Sorteny)</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23/07/2012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1.080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Andorra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Vall de Madriu-Perafita-Claror</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28/08/2013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4.247</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Andorra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Parque Natural Comunal de los Valles del Comapedrosa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15/04/2014</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1.543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Argentina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Humedales de Península Valdés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20/07/2012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42.695</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Australia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Piccaninnie Ponds Karst Wetlands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21/12/2012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862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Austria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Güssing Fishponds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05/06/2013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Austria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Wilder Kaiser</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08/04/2013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3.781</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Austria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2208</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Upper Drava River (Obere Drau)</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06/05/2014</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1.029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Duleby Islands-Zaozerye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09/07/2012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30.772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Morochno</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07/09/2012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5.845</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Stary Zhaden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07/09/2012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17.048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2141</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 Vigonoshchanskoe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54.182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Vydritsa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29/03/2013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21.292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Kozyansky</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29/03/2013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26.060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Belarús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Pripyatsky National Park</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29/03/2013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88.553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Bolivia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 xml:space="preserve">Río Blanco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2.404.916</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Bolivia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2093</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 xml:space="preserve">Río Matos </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1.729.788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Bolivia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2094</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 xml:space="preserve">Río Yata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2.813.229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Brasil</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Cabo Orange National Park (Parque Nacional do Cabo Orange)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657.328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Burundi</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2148</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Parc National de la Ruvubu</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50.800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Burundi</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2149</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Paysage Aquatique Protégé du Nord</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14/03/2013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16.242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Burundi</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2150</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Réserve Naturelle de la Malagarazi</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800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Cabo Verde</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Salinas of the English Port (Salinas de Porto Inglês)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03/07/2013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535</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Camerún</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2067</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Partie Camerounaise du Fleuve Ntem</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06/05/2012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39.848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Camerún</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Zone Humide d’Ebogo</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06/05/2012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3.097</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China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2184</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Hubei Chen Lake Wetland Nature Reserve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16/10/2013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11.579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China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2185</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Dongfanghong Wetland National Nature Reserve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16/10/2013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31.538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China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Hubei Dajiu Lake Wetland</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16/10/2013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9.320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lastRenderedPageBreak/>
              <w:t>China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2187</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Shandong Yellow River Delta Wetland</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16/10/2013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95.950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China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2188</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Jilin Momoge National Nature Reserve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16/10/2013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144.000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Congo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2079</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Site Ramsar Ntokou-Pikounda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18/09/2012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427.200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Congo</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Site Ramsar Odzala Kokoua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18/09/2012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1.300.000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Congo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2081</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Site Ramsar Vallée du Niari</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18/09/2012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1.581.000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Croacia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 xml:space="preserve">Vransko Lake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5.748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Dinamarca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Lille Vildmose </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7.393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Ecuador</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Reserva Ecológica El Ángel (REEA)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07/12/2012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17.003</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Ecuador</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Sistema Lacustre Lagunas del Compadre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15/12/2012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23.962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Ecuador</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Sistema Lacustre Yacuri</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15/12/2012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27.762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Ecuador</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Manglares del Estuario Interior del Golfo de Guayaquil “Don Goyo”</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15.337</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El Salvador</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Complejo Barra de Santiago</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23/07/2014</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11.159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Emiratos Árabes Unidos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2125</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Mangrove and Alhafeya Protected Area in Khor Kalba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10/03/2013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1.494</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Emiratos Árabes Unidos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Al Wathba Wetland Reserve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25/04/2013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Emiratos Árabes Unidos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2191</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Sir Bu Nair Island Protected Area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02/12/2013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4.964</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España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Lagunas de Ruidera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23/09/2011</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6.639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San Francisco Bay/Estuary (SFBE)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158.711</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2200</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Missisquoi Delta and Bay Wetlands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20/11/2013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3.102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 xml:space="preserve">Filipinas </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Puerto Princesa Subterranean River National Park (PPSRNP)</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30/06/2012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22.202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Filipinas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2124</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Las Piñas-Parañaque Critical Habitat and Ecotourism Area (LPPCHEA)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175</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Francia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2073</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Ile d’Europa (Terres Australes et Antarctiques françaises)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27/10/2011</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205.800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Francia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2194</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 xml:space="preserve">Les Lacs du Grand Sud Neo-Caledonien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02/02/2014</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43.970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Guinea-Bissau</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Archipel Bolama-Bijagós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21/01/2014</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1.046.950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Honduras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Sistema de Humedales Cuyamel-Omoa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30.029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Honduras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Sistema de Humedales de la Isla de Utila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16.226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Honduras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Sistema de Humedales Laguna de Zambuco (SH-LZ)</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 22/04/2013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649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India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Nalsarovar</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24/09/2012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12.000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Indonesia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Tanjung Puting National Park</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11/12/2013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408.286</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Islandia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2129</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Andakill Protected Habitat Area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3.086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Islandia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Guolaugstungur Nature Reserve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40.160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lastRenderedPageBreak/>
              <w:t>Islandia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2131</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Snaefell and Eyjabakkar Area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26.450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Islas Marshall</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Namdrik Atoll</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1.119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Kazakstán</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2083</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s="Calibri"/>
                <w:color w:val="000000"/>
                <w:sz w:val="22"/>
                <w:szCs w:val="22"/>
              </w:rPr>
              <w:t>Lesser Aral Sea and Delta of the Syrdarya River</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330.000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Kenya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Tana River Delta Ramsar Site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07/09/2012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163.600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Kiribati</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2143</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Nooto-North Tarawa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03/04/2013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1.033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Malí</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Lac Magui</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24.740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Malí</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Lac Wegnia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22/03/2013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3.900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Malí</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2128</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Plaine Inondable du Sourou</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56.500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México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Humedales de la Laguna La Cruz</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6.665</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México</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2201</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Manantiales Geotermales de Julimes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30/10/2013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368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México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Humedales de Guachochi</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30/10/2013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58 </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México</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Laguna La Juanota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30/10/2013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Montenegro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Tivat Saline </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Namibia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Bwabwata – Okavango Ramsar Site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13/12/2013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46.964</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Grunnfjorden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1.472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Anda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Fiskumvannet Nature Reserve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119</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Horsvaer</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17.036</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Horta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3.158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Innherred Freshwater System</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Laukvikoyene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1.084</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2161</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Lovund-Lundeura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153</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Mastadfjellet</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802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Risøysundet</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504</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Runde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1.351</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Noruega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West-Vikna Archipelago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27/05/2013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13.592</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 xml:space="preserve">Omán </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Qurm Nature Reserve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 19/04/2013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172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Países Bajos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 xml:space="preserve">Malpais/Sint Michiel.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iCs/>
                <w:color w:val="000000"/>
                <w:sz w:val="22"/>
                <w:szCs w:val="22"/>
                <w:lang w:val="es-ES_tradnl"/>
              </w:rPr>
              <w:t>05/02/2013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1.100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Países Bajos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Muizenberg.</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iCs/>
                <w:color w:val="000000"/>
                <w:sz w:val="22"/>
                <w:szCs w:val="22"/>
                <w:lang w:val="es-ES_tradnl"/>
              </w:rPr>
              <w:t>05/02/2013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65</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Países Bajos</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Northwest Curaçao</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iCs/>
                <w:color w:val="000000"/>
                <w:sz w:val="22"/>
                <w:szCs w:val="22"/>
                <w:lang w:val="es-ES_tradnl"/>
              </w:rPr>
              <w:t>05/02/2013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2.441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Países Bajos</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Rif-Sint Marie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iCs/>
                <w:color w:val="000000"/>
                <w:sz w:val="22"/>
                <w:szCs w:val="22"/>
                <w:lang w:val="es-ES_tradnl"/>
              </w:rPr>
              <w:t>05/02/2013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667</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Portugal</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Pateira de Fermentelos Lake and Águeda and Cértima Valleys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27/07/2012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1.559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Portugal</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Vascão River (Riverira do Vascão)</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30/10/2012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44.331</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Portugal</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xml:space="preserve">Paúl da Praia da Vitória (Praia da Vitória Marsh) </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13/12/2012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16</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Reino Unido</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2202</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The Mersey Narrows and North Wirral Foreshore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05/07/2013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2.078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República Checa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2074</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Jizera Headwaters (Horní Jizera)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13/02/2012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2.303</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 xml:space="preserve">República </w:t>
            </w:r>
            <w:r w:rsidRPr="00C721AB">
              <w:rPr>
                <w:rFonts w:asciiTheme="minorHAnsi" w:hAnsiTheme="minorHAnsi" w:cs="Calibri"/>
                <w:color w:val="000000"/>
                <w:sz w:val="22"/>
                <w:szCs w:val="22"/>
                <w:lang w:val="es-ES_tradnl"/>
              </w:rPr>
              <w:lastRenderedPageBreak/>
              <w:t>Checa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lastRenderedPageBreak/>
              <w:t>2075</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s="Calibri"/>
                <w:color w:val="000000"/>
                <w:sz w:val="22"/>
                <w:szCs w:val="22"/>
              </w:rPr>
              <w:t xml:space="preserve">Springs and Mires of the Slavkov Forest </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13/02/2012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3.223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lastRenderedPageBreak/>
              <w:t>República de Corea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2209</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Songdo Tidal Flat</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10/07/2014</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611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República Dominicana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2091</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Parque Nacional Manglares del Bajo Yuna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77.518</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República Dominicana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2210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Humedales de Jaragua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04/07/2014</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32.979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2063</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Bistret</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13/06/2012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27.482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2064</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Lake Calarasi (Iezerul Calarasi)</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13/06/2012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5.001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Olt-Danube Confluence (Confluenta Olt-Dunare)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13/06/2012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46.623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2066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Suhaia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13/06/2012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19.594</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2110</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Blahnita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45.286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2111</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Borcea Arm</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21.529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Calafat-Ciuperceni-Danube</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29.206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Canaralele de la Harsova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7.406</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Danube Islands-Bugeac-Iortmac</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82.832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Jiu-Danube Confluence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19.800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Rumania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2116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bCs/>
                <w:color w:val="000000"/>
                <w:sz w:val="22"/>
                <w:szCs w:val="22"/>
                <w:lang w:val="es-ES_tradnl"/>
              </w:rPr>
              <w:t>Old Danube-Macin Arm</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26.792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Senegal</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2199</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Réserve Naturelle de Tocc Tocc</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12/09/2013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273</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Sri Lanka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 xml:space="preserve">Wilpattu Ramsar Wetland Cluster </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165.800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Sudáfrica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2132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uMgeni Vlei Nature Reserve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19/03/2013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958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Blaikfjället</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43.611</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2168</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Getapulien-Grönbo</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3.229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2169</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Gullhög-Tönningfloarna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1.883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Gustavsmurarna-Tröskens rikkärr</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653</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2171</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Koppången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4.936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2172</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Mannavuoma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705</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2173</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Mellanljusnan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1.136</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2174</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Mellerstön</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290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2175</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Nittälven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1.932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2176</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Päivävuoma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2.759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2177</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Pirttimysvuoma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2.587</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2178</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Rappomyran</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3.031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2179</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Vasikkavuoma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2180</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Vattenån</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3.661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Suecia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2181</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Vindelälven</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31/01/2013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66.395</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Swazilandia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2121</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Hawane Nature Reserve and Dam</w:t>
            </w:r>
          </w:p>
        </w:tc>
        <w:tc>
          <w:tcPr>
            <w:tcW w:w="1422" w:type="dxa"/>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15/06/2013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Swazilandia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Sand River</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15/06/2013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Swazilandia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2123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Van Eck</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15/06/2013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 </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Tailandia</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Ko Kra Archipelago</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12/08/2013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374</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Tailandia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2153</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B43D37">
              <w:rPr>
                <w:rFonts w:asciiTheme="minorHAnsi" w:hAnsiTheme="minorHAnsi"/>
                <w:color w:val="000000"/>
                <w:sz w:val="22"/>
                <w:szCs w:val="22"/>
              </w:rPr>
              <w:t>Ko Ra-Ko Phra Thong Archipelago</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12/08/2013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19.648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lastRenderedPageBreak/>
              <w:t>Túnez</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2076</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Complexe des zones humides des Chott el Guetayate et Sebkhet Dhreia et Oueds Akarit, Rekhama et Meleh</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21/09/2012</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4.845</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Túnez</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2077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Barrage Mlaabi</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21/09/2012</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98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Túnez</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2096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Complexe Lac de Tunis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2.243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Túnez</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2100</w:t>
            </w:r>
          </w:p>
        </w:tc>
        <w:tc>
          <w:tcPr>
            <w:tcW w:w="422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Complexe des zones humides de Sebkhet Oum Ez-Zessar et Sebkhet El Grine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9.195</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Túnez</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2101</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Le complexe des zones humides de Barrage Ghdir El Goulla et Barrage El Mornaguia (Al Mornaguia)</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02/02/2013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273</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Turquía</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2145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Nemrut Caldera</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17/04/2013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4.589</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Viet Nam</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2088</w:t>
            </w:r>
          </w:p>
        </w:tc>
        <w:tc>
          <w:tcPr>
            <w:tcW w:w="422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fr-FR"/>
              </w:rPr>
            </w:pPr>
            <w:r w:rsidRPr="00B43D37">
              <w:rPr>
                <w:rFonts w:asciiTheme="minorHAnsi" w:hAnsiTheme="minorHAnsi"/>
                <w:color w:val="000000"/>
                <w:sz w:val="22"/>
                <w:szCs w:val="22"/>
                <w:lang w:val="fr-FR"/>
              </w:rPr>
              <w:t>Mui Ca Mau National Park</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12/12/2013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41.862</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olor w:val="000000"/>
                <w:sz w:val="22"/>
                <w:szCs w:val="22"/>
                <w:lang w:val="es-ES_tradnl"/>
              </w:rPr>
              <w:t>Viet Nam</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2203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Con Dao National Park</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olor w:val="000000"/>
                <w:sz w:val="22"/>
                <w:szCs w:val="22"/>
                <w:lang w:val="es-ES_tradnl"/>
              </w:rPr>
              <w:t>18/06/2013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19.991</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2102</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Cleveland Dam</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2.500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2103</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Chinhoyi Caves</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8</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2104</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Driefontein Grasslands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200.000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2105</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Lake Chivero and Manyame</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29.260</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2106</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Mana Pools</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682.500</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2107</w:t>
            </w:r>
          </w:p>
        </w:tc>
        <w:tc>
          <w:tcPr>
            <w:tcW w:w="422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Monavale Wetland</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594</w:t>
            </w:r>
          </w:p>
        </w:tc>
      </w:tr>
      <w:tr w:rsidR="00E97789" w:rsidRPr="00C721AB" w:rsidTr="009C4908">
        <w:trPr>
          <w:trHeight w:val="315"/>
        </w:trPr>
        <w:tc>
          <w:tcPr>
            <w:cnfStyle w:val="001000000000" w:firstRow="0" w:lastRow="0" w:firstColumn="1" w:lastColumn="0" w:oddVBand="0" w:evenVBand="0" w:oddHBand="0" w:evenHBand="0" w:firstRowFirstColumn="0" w:firstRowLastColumn="0" w:lastRowFirstColumn="0" w:lastRowLastColumn="0"/>
            <w:tcW w:w="1417" w:type="dxa"/>
            <w:noWrap/>
            <w:hideMark/>
          </w:tcPr>
          <w:p w:rsidR="00E97789" w:rsidRPr="00C721AB" w:rsidRDefault="00E97789" w:rsidP="00E97789">
            <w:pPr>
              <w:rPr>
                <w:rFonts w:asciiTheme="minorHAnsi" w:hAnsiTheme="minorHAnsi"/>
                <w:b w:val="0"/>
                <w:bCs w:val="0"/>
                <w:color w:val="000000"/>
                <w:sz w:val="22"/>
                <w:szCs w:val="22"/>
                <w:lang w:val="es-ES_tradnl"/>
              </w:rPr>
            </w:pPr>
            <w:r w:rsidRPr="00C721AB">
              <w:rPr>
                <w:rFonts w:asciiTheme="minorHAnsi" w:hAnsiTheme="minorHAnsi" w:cs="Calibri"/>
                <w:color w:val="000000"/>
                <w:sz w:val="22"/>
                <w:szCs w:val="22"/>
                <w:lang w:val="es-ES_tradnl"/>
              </w:rPr>
              <w:t>Zimbabwe</w:t>
            </w:r>
          </w:p>
        </w:tc>
        <w:tc>
          <w:tcPr>
            <w:tcW w:w="841"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2108</w:t>
            </w:r>
          </w:p>
        </w:tc>
        <w:tc>
          <w:tcPr>
            <w:tcW w:w="422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Victoria Falls National Park</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03/01/2013</w:t>
            </w:r>
          </w:p>
        </w:tc>
        <w:tc>
          <w:tcPr>
            <w:tcW w:w="1334"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2"/>
                <w:szCs w:val="22"/>
                <w:lang w:val="es-ES_tradnl"/>
              </w:rPr>
            </w:pPr>
            <w:r w:rsidRPr="00C721AB">
              <w:rPr>
                <w:rFonts w:asciiTheme="minorHAnsi" w:hAnsiTheme="minorHAnsi" w:cs="Calibri"/>
                <w:color w:val="000000"/>
                <w:sz w:val="22"/>
                <w:szCs w:val="22"/>
                <w:lang w:val="es-ES_tradnl"/>
              </w:rPr>
              <w:t>2.340</w:t>
            </w:r>
          </w:p>
        </w:tc>
      </w:tr>
    </w:tbl>
    <w:p w:rsidR="00E97789" w:rsidRPr="00C721AB" w:rsidRDefault="00E97789" w:rsidP="00E97789">
      <w:pPr>
        <w:tabs>
          <w:tab w:val="right" w:pos="9026"/>
        </w:tabs>
        <w:suppressAutoHyphens/>
        <w:ind w:left="567" w:hanging="567"/>
        <w:jc w:val="center"/>
        <w:rPr>
          <w:rFonts w:asciiTheme="minorHAnsi" w:hAnsiTheme="minorHAnsi"/>
          <w:color w:val="000000"/>
          <w:szCs w:val="24"/>
          <w:lang w:val="es-ES_tradnl"/>
        </w:rPr>
      </w:pPr>
    </w:p>
    <w:p w:rsidR="00E97789" w:rsidRPr="00C721AB" w:rsidRDefault="00E97789" w:rsidP="00E97789">
      <w:pPr>
        <w:rPr>
          <w:rFonts w:asciiTheme="minorHAnsi" w:hAnsiTheme="minorHAnsi"/>
          <w:color w:val="000000"/>
          <w:szCs w:val="24"/>
          <w:lang w:val="es-ES_tradnl"/>
        </w:rPr>
      </w:pPr>
      <w:r w:rsidRPr="00C721AB">
        <w:rPr>
          <w:rFonts w:asciiTheme="minorHAnsi" w:hAnsiTheme="minorHAnsi"/>
          <w:color w:val="000000"/>
          <w:szCs w:val="24"/>
          <w:lang w:val="es-ES_tradnl"/>
        </w:rPr>
        <w:br w:type="page"/>
      </w:r>
    </w:p>
    <w:p w:rsidR="00E97789" w:rsidRPr="00C721AB" w:rsidRDefault="00E97789" w:rsidP="00E97789">
      <w:pPr>
        <w:tabs>
          <w:tab w:val="right" w:pos="9026"/>
        </w:tabs>
        <w:suppressAutoHyphens/>
        <w:rPr>
          <w:rFonts w:asciiTheme="minorHAnsi" w:hAnsiTheme="minorHAnsi"/>
          <w:color w:val="000000"/>
          <w:sz w:val="26"/>
          <w:szCs w:val="26"/>
          <w:lang w:val="es-ES_tradnl"/>
        </w:rPr>
      </w:pPr>
      <w:r w:rsidRPr="00C721AB">
        <w:rPr>
          <w:rFonts w:asciiTheme="minorHAnsi" w:hAnsiTheme="minorHAnsi"/>
          <w:b/>
          <w:color w:val="000000"/>
          <w:sz w:val="26"/>
          <w:szCs w:val="26"/>
          <w:lang w:val="es-ES_tradnl"/>
        </w:rPr>
        <w:lastRenderedPageBreak/>
        <w:t xml:space="preserve">Anexo 2 </w:t>
      </w:r>
    </w:p>
    <w:p w:rsidR="00E97789" w:rsidRPr="00C721AB" w:rsidRDefault="00E97789" w:rsidP="00E97789">
      <w:pPr>
        <w:tabs>
          <w:tab w:val="right" w:pos="9026"/>
        </w:tabs>
        <w:suppressAutoHyphens/>
        <w:rPr>
          <w:rFonts w:asciiTheme="minorHAnsi" w:hAnsiTheme="minorHAnsi"/>
          <w:b/>
          <w:color w:val="000000"/>
          <w:sz w:val="26"/>
          <w:szCs w:val="26"/>
          <w:lang w:val="es-ES_tradnl"/>
        </w:rPr>
      </w:pPr>
      <w:r w:rsidRPr="00C721AB">
        <w:rPr>
          <w:rFonts w:asciiTheme="minorHAnsi" w:hAnsiTheme="minorHAnsi"/>
          <w:b/>
          <w:color w:val="000000"/>
          <w:sz w:val="26"/>
          <w:szCs w:val="26"/>
          <w:lang w:val="es-ES_tradnl"/>
        </w:rPr>
        <w:t xml:space="preserve">Lista de sitios sobre los que las Partes </w:t>
      </w:r>
      <w:r w:rsidRPr="00C721AB">
        <w:rPr>
          <w:rFonts w:asciiTheme="minorHAnsi" w:hAnsiTheme="minorHAnsi"/>
          <w:b/>
          <w:sz w:val="26"/>
          <w:szCs w:val="26"/>
          <w:lang w:val="es-ES_tradnl"/>
        </w:rPr>
        <w:t>han proporcionado Fichas Informativas de Ramsar y mapas actualizados, lo que incluye las</w:t>
      </w:r>
      <w:r w:rsidRPr="00C721AB">
        <w:rPr>
          <w:rFonts w:asciiTheme="minorHAnsi" w:hAnsiTheme="minorHAnsi"/>
          <w:b/>
          <w:color w:val="000000"/>
          <w:sz w:val="26"/>
          <w:szCs w:val="26"/>
          <w:lang w:val="es-ES_tradnl"/>
        </w:rPr>
        <w:t xml:space="preserve"> FIR y los mapas faltantes desde la COP11</w:t>
      </w:r>
      <w:r w:rsidRPr="00C721AB">
        <w:rPr>
          <w:rStyle w:val="FootnoteReference"/>
          <w:rFonts w:asciiTheme="minorHAnsi" w:hAnsiTheme="minorHAnsi"/>
          <w:b/>
          <w:color w:val="000000"/>
          <w:sz w:val="26"/>
          <w:szCs w:val="26"/>
          <w:lang w:val="es-ES_tradnl"/>
        </w:rPr>
        <w:footnoteReference w:id="3"/>
      </w:r>
    </w:p>
    <w:p w:rsidR="00E97789" w:rsidRPr="00C721AB" w:rsidRDefault="00E97789" w:rsidP="00E97789">
      <w:pPr>
        <w:suppressAutoHyphens/>
        <w:ind w:right="-51"/>
        <w:rPr>
          <w:rFonts w:asciiTheme="minorHAnsi" w:hAnsiTheme="minorHAnsi"/>
          <w:snapToGrid w:val="0"/>
          <w:color w:val="000000"/>
          <w:sz w:val="22"/>
          <w:szCs w:val="22"/>
          <w:lang w:val="es-ES_tradnl"/>
        </w:rPr>
      </w:pPr>
      <w:r w:rsidRPr="00C721AB">
        <w:rPr>
          <w:rFonts w:asciiTheme="minorHAnsi" w:hAnsiTheme="minorHAnsi"/>
          <w:snapToGrid w:val="0"/>
          <w:color w:val="000000"/>
          <w:sz w:val="22"/>
          <w:szCs w:val="22"/>
          <w:lang w:val="es-ES_tradnl"/>
        </w:rPr>
        <w:t>(</w:t>
      </w:r>
      <w:proofErr w:type="gramStart"/>
      <w:r w:rsidRPr="00C721AB">
        <w:rPr>
          <w:rFonts w:asciiTheme="minorHAnsi" w:hAnsiTheme="minorHAnsi"/>
          <w:snapToGrid w:val="0"/>
          <w:color w:val="000000"/>
          <w:sz w:val="22"/>
          <w:szCs w:val="22"/>
          <w:lang w:val="es-ES_tradnl"/>
        </w:rPr>
        <w:t>período</w:t>
      </w:r>
      <w:proofErr w:type="gramEnd"/>
      <w:r w:rsidRPr="00C721AB">
        <w:rPr>
          <w:rFonts w:asciiTheme="minorHAnsi" w:hAnsiTheme="minorHAnsi"/>
          <w:snapToGrid w:val="0"/>
          <w:color w:val="000000"/>
          <w:sz w:val="22"/>
          <w:szCs w:val="22"/>
          <w:lang w:val="es-ES_tradnl"/>
        </w:rPr>
        <w:t xml:space="preserve"> de presentación de informes: 13 de julio de 2012 al 28 de agosto de 2014)</w:t>
      </w:r>
    </w:p>
    <w:p w:rsidR="00E97789" w:rsidRPr="00C721AB" w:rsidRDefault="00E97789" w:rsidP="00E97789">
      <w:pPr>
        <w:tabs>
          <w:tab w:val="right" w:pos="9026"/>
        </w:tabs>
        <w:suppressAutoHyphens/>
        <w:rPr>
          <w:rFonts w:asciiTheme="minorHAnsi" w:hAnsiTheme="minorHAnsi"/>
          <w:b/>
          <w:color w:val="000000"/>
          <w:sz w:val="26"/>
          <w:szCs w:val="26"/>
          <w:lang w:val="es-ES_tradnl"/>
        </w:rPr>
      </w:pPr>
    </w:p>
    <w:tbl>
      <w:tblPr>
        <w:tblStyle w:val="LightList-Accent11"/>
        <w:tblW w:w="10206" w:type="dxa"/>
        <w:tblInd w:w="-459" w:type="dxa"/>
        <w:tblLayout w:type="fixed"/>
        <w:tblLook w:val="04A0" w:firstRow="1" w:lastRow="0" w:firstColumn="1" w:lastColumn="0" w:noHBand="0" w:noVBand="1"/>
      </w:tblPr>
      <w:tblGrid>
        <w:gridCol w:w="1286"/>
        <w:gridCol w:w="675"/>
        <w:gridCol w:w="4135"/>
        <w:gridCol w:w="1417"/>
        <w:gridCol w:w="1134"/>
        <w:gridCol w:w="1559"/>
      </w:tblGrid>
      <w:tr w:rsidR="00E97789" w:rsidRPr="00C721AB" w:rsidTr="009C4908">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286" w:type="dxa"/>
            <w:shd w:val="clear" w:color="auto" w:fill="C6D9F1" w:themeFill="text2" w:themeFillTint="33"/>
            <w:noWrap/>
          </w:tcPr>
          <w:p w:rsidR="00E97789" w:rsidRPr="00C721AB" w:rsidRDefault="00E97789" w:rsidP="009C4908">
            <w:pPr>
              <w:jc w:val="center"/>
              <w:rPr>
                <w:rFonts w:asciiTheme="minorHAnsi" w:hAnsiTheme="minorHAnsi" w:cs="Calibri"/>
                <w:bCs w:val="0"/>
                <w:color w:val="000000"/>
                <w:sz w:val="22"/>
                <w:szCs w:val="22"/>
                <w:lang w:val="es-ES_tradnl"/>
              </w:rPr>
            </w:pPr>
            <w:r w:rsidRPr="00C721AB">
              <w:rPr>
                <w:rFonts w:asciiTheme="minorHAnsi" w:hAnsiTheme="minorHAnsi" w:cs="Calibri"/>
                <w:color w:val="000000"/>
                <w:sz w:val="22"/>
                <w:szCs w:val="22"/>
                <w:lang w:val="es-ES_tradnl"/>
              </w:rPr>
              <w:t>País</w:t>
            </w:r>
          </w:p>
        </w:tc>
        <w:tc>
          <w:tcPr>
            <w:tcW w:w="675" w:type="dxa"/>
            <w:shd w:val="clear" w:color="auto" w:fill="C6D9F1" w:themeFill="text2" w:themeFillTint="33"/>
            <w:noWrap/>
          </w:tcPr>
          <w:p w:rsidR="00E97789" w:rsidRPr="00C721AB" w:rsidRDefault="00E97789" w:rsidP="009C4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color w:val="000000"/>
                <w:sz w:val="22"/>
                <w:szCs w:val="22"/>
                <w:lang w:val="es-ES_tradnl"/>
              </w:rPr>
              <w:t>Nº del sitio</w:t>
            </w:r>
          </w:p>
        </w:tc>
        <w:tc>
          <w:tcPr>
            <w:tcW w:w="4135" w:type="dxa"/>
            <w:shd w:val="clear" w:color="auto" w:fill="C6D9F1" w:themeFill="text2" w:themeFillTint="33"/>
            <w:noWrap/>
          </w:tcPr>
          <w:p w:rsidR="00E97789" w:rsidRPr="00C721AB" w:rsidRDefault="00E97789" w:rsidP="009C4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color w:val="000000"/>
                <w:sz w:val="22"/>
                <w:szCs w:val="22"/>
                <w:lang w:val="es-ES_tradnl"/>
              </w:rPr>
              <w:t>Nombre del sitio</w:t>
            </w:r>
          </w:p>
        </w:tc>
        <w:tc>
          <w:tcPr>
            <w:tcW w:w="1417" w:type="dxa"/>
            <w:shd w:val="clear" w:color="auto" w:fill="C6D9F1" w:themeFill="text2" w:themeFillTint="33"/>
            <w:noWrap/>
          </w:tcPr>
          <w:p w:rsidR="00E97789" w:rsidRPr="00C721AB" w:rsidRDefault="00E97789" w:rsidP="009C4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color w:val="000000"/>
                <w:sz w:val="22"/>
                <w:szCs w:val="22"/>
                <w:lang w:val="es-ES_tradnl"/>
              </w:rPr>
              <w:t>Fecha de designación</w:t>
            </w:r>
          </w:p>
        </w:tc>
        <w:tc>
          <w:tcPr>
            <w:tcW w:w="1134" w:type="dxa"/>
            <w:shd w:val="clear" w:color="auto" w:fill="C6D9F1" w:themeFill="text2" w:themeFillTint="33"/>
            <w:noWrap/>
          </w:tcPr>
          <w:p w:rsidR="00E97789" w:rsidRPr="00C721AB" w:rsidRDefault="00E97789" w:rsidP="009C4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color w:val="000000"/>
                <w:sz w:val="22"/>
                <w:szCs w:val="22"/>
                <w:lang w:val="es-ES_tradnl"/>
              </w:rPr>
              <w:t>Área (ha)</w:t>
            </w:r>
          </w:p>
        </w:tc>
        <w:tc>
          <w:tcPr>
            <w:tcW w:w="1559" w:type="dxa"/>
            <w:shd w:val="clear" w:color="auto" w:fill="C6D9F1" w:themeFill="text2" w:themeFillTint="33"/>
          </w:tcPr>
          <w:p w:rsidR="00E97789" w:rsidRPr="00C721AB" w:rsidRDefault="00E97789" w:rsidP="009C49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Tipo</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1222</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Coral Sea Reserves (Coringa-Herald and Linou Reefs and Cays)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21/10/2002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1728920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256</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East Coast Cape Barren Island Lagoons (ECCBIL)</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16/11/1982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4473</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1223</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Elizabeth and Middleton Reefs Marine National Nature Reserve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21/10/2002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187726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258</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Jocks Lagoon</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16/11/1982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483</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Toolibin Lake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07/06/1990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497</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251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Moulting Lagoon Game Reserve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16/11/1982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4580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260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Little Waterhouse Lake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16/11/1982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57</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286</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Towra Point</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21/02/1984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604</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287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Hunter Estuary Wetlands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21/02/1984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2971</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337</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Macquarie Marshes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01/08/1986</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19850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994</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Myall</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14/06/1999</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44612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Australia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1291</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NSW Central Murray State Forests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20/05/2003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84028</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Bulgaria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64</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Srébarna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24/09/1975</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1463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Bulgaria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1226</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Belene Islands Complex</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24/09/2002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6898</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Bulgaria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1227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Ibisha Island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24/09/2002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372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Bulgaria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1229</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Pomorie Wetland Complex (Pomorie Lake, Pomoriysko Ezero)</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24/09/2002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922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Camboya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997</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Boeng Chhmar and Associated River System and Floodplain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23/06/1999</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28000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Camboya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998</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Koh Kapir and Associated Islets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23/06/1999</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12000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Camboya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999</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Middle stretches of Mekong River North of Stoeng Treng</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23/06/1999</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14600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Canadá</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243</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Fraser River Delta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20/05/1982</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20.682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551</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Dong dongting hu</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31/03/1992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190000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750</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Mai Po Marshes and Inner Deep Bay</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04/09/1995</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1540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1434</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Bitahai Wetland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1985</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1435</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Dashanbao</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5958</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Eling Lake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65907</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1437</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Lashihai Wetland</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3560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1438</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Maidika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43496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1439</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Mapangyong Cuo</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73782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lastRenderedPageBreak/>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1440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Napahai Wetland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2083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1441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Shuangtai Estuary</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128000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1442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Zhaling Lake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07/12/2004</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64920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Croacia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Crna Mlaka Fishponds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18/01/1993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756</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Croacia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584</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Lonjsko Polje Nature Park</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18/01/1993</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51218</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Croacia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585</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Neretva River Delta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18/01/1993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12742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141</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Ringkobing Fjord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27652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Stadil and Veststadil Fjords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6932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Nissum Fjord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10952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144</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Nissum Bredning with Harboore and Agger Tange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12786</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145</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Vejlerne and Logstor Bredning</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43534</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146</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Ulvedybet and Nibe Bredning</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18575</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Hirsholmene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3714</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148</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Nordre Ronner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2993</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149</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Læso</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66548</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150</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Randers and Mariager Fjords and the adjacent sea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39190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151</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Waters north of Anholt</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11616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Horsens Fjord &amp; Endelave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42737</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153</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Stavns Fjord and adjacent waters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15533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154</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Lillebælt</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35189</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155</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Nærå Coast and Æbelo area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13161</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156</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South Funen Archipelago</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38329</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Sejro Bugt, Nekselo Bugt &amp; Saltbæk Vig</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44111</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158</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Waters South of Zealand,Skælskor Fjord, Glæno and adjacent wetlands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18577</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160</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Waters southeast of Fejo and Femo Islands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41826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Præsto Fjord, Jungshoved Nor, Ulvshale and Nyord</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24778</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162</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Nakskov Fjord and Inner Fjord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8552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163</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Maribo Lakes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02/09/1977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3823</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164</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Waters between Lolland and Falster including Rodsand, Guldborg sound, and Boto Nor</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37210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165</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Ertholmene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09/02/1977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1266</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Dinamarca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356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Vadehavet (Wadden Sea)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14/05/1987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151080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El Salvador</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970</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Área Natural Protegida el Jocotal</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22/01/1999</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4.479</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Emiratos Árabes Unidos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1715</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Ras Al Khor Wildlife Sanctuary</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620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España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451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Lagunas de Villafáfila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12/05/1989</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2714</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lastRenderedPageBreak/>
              <w:t>España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1260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Laguna de la Nava de Fuentes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24/10/2002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326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590</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Pelican Island National Wildlife Refuge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14/03/1993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2.203</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348</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Edwin B. Forsythe National Wildlife Refuge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18/12/1986</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18.800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711</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Cache River - Cypress Creek Wetlands</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01/11/1994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24.281</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Cache - Lower White Rivers</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21/11/1989</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99.166</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511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Horicon Marsh</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04/12/1990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13.355</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Estados Unidos de América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349</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Izembek Lagoon National Wildlife Refuge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18/12/1986</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168.433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Fiji</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1612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Upper Navua Conservation Area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11/04/2006</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615</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Francia</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520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Etang de Biguglia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08/04/1991</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Iraq</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1718</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Hawizeh Marsh (Haur Al-Hawizeh)</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10/07/2007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137700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Kirguistán</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1231</w:t>
            </w:r>
          </w:p>
        </w:tc>
        <w:tc>
          <w:tcPr>
            <w:tcW w:w="4135" w:type="dxa"/>
            <w:noWrap/>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Issyk-Kul State Nature Reserve with the Issyk-Kul Lake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12/11/2002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626439</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 xml:space="preserve">Actualización </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Myanmar</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Moyingyi Wetland Wildlife Sanctuary</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17/11/2004</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10.359</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Groote Peel</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193</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Weerribben</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3400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194</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Naardermeer</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752</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197</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De Biesbosch (southern part)</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427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Oostvaardersplassen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02/06/1989</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5600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428</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Engbertsdijksvenen</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02/06/1989</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975</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578</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Alde Feanen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07/01/1993</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2500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579</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De Deelen</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07/01/1993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520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Deurnese Peelgebieden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07/01/1993</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1450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lastRenderedPageBreak/>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Bargerveen</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07/01/1993</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747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Krammer-Volkerak</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04/09/1995</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6450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748</w:t>
            </w:r>
          </w:p>
        </w:tc>
        <w:tc>
          <w:tcPr>
            <w:tcW w:w="4135" w:type="dxa"/>
            <w:noWrap/>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rPr>
            </w:pPr>
            <w:r w:rsidRPr="00B43D37">
              <w:rPr>
                <w:rFonts w:asciiTheme="minorHAnsi" w:hAnsiTheme="minorHAnsi" w:cs="Calibri"/>
                <w:color w:val="000000"/>
                <w:sz w:val="22"/>
                <w:szCs w:val="22"/>
              </w:rPr>
              <w:t>Westerschelde en Verdronken Land van Saeftinge</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09/04/1995</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19500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749</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Zwarte Meer</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04/09/1995</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2050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1244</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Haringvliet</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IJsselmeer</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108000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1247</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Lauwersmeer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1248</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Leekstermeergebied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1450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1251</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Veerse 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2575</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Grevelingen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13900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1273</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Hollands Diep</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4050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1277</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Rottige Meenthe</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1130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1279</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Voordelta</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90000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1280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Voornes Duin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195</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Boschplaat</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4400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Griend</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354</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Oosterschelde &amp; Markiezaatmeer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03/04/1987</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38000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1240</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Broekvelden/Vettenbroek</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700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Drontermeer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600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1243</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Fluessen/Vogelhoek/Morra</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1250</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Sneekermeer/Goengarijpsterpoelen/Terkaplesterpoelen en Akmarijp</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1252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Waddeneilanden,Noordzeekustzone,Breebaart</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135000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1274</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Ketelmeer en Vossemeer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3900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lastRenderedPageBreak/>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Oudegaasterbrekken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850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1278</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Veluwemeer</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3150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1281</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Wolderwijd en Nuldernauw</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2600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Países Bajos</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1282</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Zuidlaardermeergebied</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29/08/2000</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2100</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Palau</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1232</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Lake Ngardok</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18/10/2002</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493</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r w:rsidR="00E97789" w:rsidRPr="00C721AB" w:rsidTr="009C4908">
        <w:trPr>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Reino Unido</w:t>
            </w:r>
          </w:p>
        </w:tc>
        <w:tc>
          <w:tcPr>
            <w:tcW w:w="675"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298</w:t>
            </w:r>
          </w:p>
        </w:tc>
        <w:tc>
          <w:tcPr>
            <w:tcW w:w="41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The Dee Estuary</w:t>
            </w:r>
          </w:p>
        </w:tc>
        <w:tc>
          <w:tcPr>
            <w:tcW w:w="1417"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17/07/1985</w:t>
            </w:r>
          </w:p>
        </w:tc>
        <w:tc>
          <w:tcPr>
            <w:tcW w:w="1134" w:type="dxa"/>
            <w:noWrap/>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14302</w:t>
            </w:r>
          </w:p>
        </w:tc>
        <w:tc>
          <w:tcPr>
            <w:tcW w:w="1559" w:type="dxa"/>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Actualización</w:t>
            </w:r>
          </w:p>
        </w:tc>
      </w:tr>
      <w:tr w:rsidR="00E97789" w:rsidRPr="00C721AB" w:rsidTr="009C4908">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286" w:type="dxa"/>
            <w:noWrap/>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Yemen</w:t>
            </w:r>
          </w:p>
        </w:tc>
        <w:tc>
          <w:tcPr>
            <w:tcW w:w="675"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1736</w:t>
            </w:r>
          </w:p>
        </w:tc>
        <w:tc>
          <w:tcPr>
            <w:tcW w:w="4135" w:type="dxa"/>
            <w:noWrap/>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Detwah Lagoon</w:t>
            </w:r>
          </w:p>
        </w:tc>
        <w:tc>
          <w:tcPr>
            <w:tcW w:w="1417"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08/10/2007</w:t>
            </w:r>
          </w:p>
        </w:tc>
        <w:tc>
          <w:tcPr>
            <w:tcW w:w="1134" w:type="dxa"/>
            <w:noWrap/>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580</w:t>
            </w:r>
          </w:p>
        </w:tc>
        <w:tc>
          <w:tcPr>
            <w:tcW w:w="1559" w:type="dxa"/>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Falta FIR/mapa</w:t>
            </w:r>
          </w:p>
        </w:tc>
      </w:tr>
    </w:tbl>
    <w:p w:rsidR="00E97789" w:rsidRPr="00C721AB" w:rsidRDefault="00E97789" w:rsidP="00E97789">
      <w:pPr>
        <w:tabs>
          <w:tab w:val="right" w:pos="9026"/>
        </w:tabs>
        <w:suppressAutoHyphens/>
        <w:ind w:left="567" w:hanging="567"/>
        <w:rPr>
          <w:rFonts w:asciiTheme="minorHAnsi" w:hAnsiTheme="minorHAnsi"/>
          <w:color w:val="000000"/>
          <w:szCs w:val="24"/>
          <w:lang w:val="es-ES_tradnl"/>
        </w:rPr>
      </w:pPr>
    </w:p>
    <w:p w:rsidR="00E97789" w:rsidRPr="00C721AB" w:rsidRDefault="00E97789" w:rsidP="00E97789">
      <w:pPr>
        <w:tabs>
          <w:tab w:val="right" w:pos="9026"/>
        </w:tabs>
        <w:suppressAutoHyphens/>
        <w:ind w:left="567" w:hanging="567"/>
        <w:rPr>
          <w:rFonts w:asciiTheme="minorHAnsi" w:hAnsiTheme="minorHAnsi"/>
          <w:color w:val="000000"/>
          <w:szCs w:val="24"/>
          <w:lang w:val="es-ES_tradnl"/>
        </w:rPr>
      </w:pPr>
    </w:p>
    <w:p w:rsidR="00E97789" w:rsidRPr="00C721AB" w:rsidRDefault="00E97789" w:rsidP="00E97789">
      <w:pPr>
        <w:rPr>
          <w:rFonts w:asciiTheme="minorHAnsi" w:hAnsiTheme="minorHAnsi"/>
          <w:color w:val="000000"/>
          <w:szCs w:val="24"/>
          <w:lang w:val="es-ES_tradnl"/>
        </w:rPr>
      </w:pPr>
      <w:r w:rsidRPr="00C721AB">
        <w:rPr>
          <w:rFonts w:asciiTheme="minorHAnsi" w:hAnsiTheme="minorHAnsi"/>
          <w:color w:val="000000"/>
          <w:szCs w:val="24"/>
          <w:lang w:val="es-ES_tradnl"/>
        </w:rPr>
        <w:br w:type="page"/>
      </w:r>
    </w:p>
    <w:p w:rsidR="00E97789" w:rsidRPr="00C721AB" w:rsidRDefault="00E97789" w:rsidP="00E97789">
      <w:pPr>
        <w:tabs>
          <w:tab w:val="right" w:pos="9026"/>
        </w:tabs>
        <w:suppressAutoHyphens/>
        <w:rPr>
          <w:rFonts w:asciiTheme="minorHAnsi" w:hAnsiTheme="minorHAnsi"/>
          <w:color w:val="000000"/>
          <w:sz w:val="26"/>
          <w:szCs w:val="26"/>
          <w:lang w:val="es-ES_tradnl"/>
        </w:rPr>
      </w:pPr>
      <w:r w:rsidRPr="00C721AB">
        <w:rPr>
          <w:rFonts w:asciiTheme="minorHAnsi" w:hAnsiTheme="minorHAnsi"/>
          <w:b/>
          <w:color w:val="000000"/>
          <w:sz w:val="26"/>
          <w:szCs w:val="26"/>
          <w:lang w:val="es-ES_tradnl"/>
        </w:rPr>
        <w:lastRenderedPageBreak/>
        <w:t xml:space="preserve">Anexo 3a </w:t>
      </w:r>
    </w:p>
    <w:p w:rsidR="00E97789" w:rsidRPr="00C721AB" w:rsidRDefault="00E97789" w:rsidP="00E97789">
      <w:pPr>
        <w:pStyle w:val="BodyText"/>
        <w:spacing w:after="0"/>
        <w:rPr>
          <w:rFonts w:asciiTheme="minorHAnsi" w:hAnsiTheme="minorHAnsi"/>
          <w:color w:val="000000"/>
          <w:sz w:val="26"/>
          <w:szCs w:val="26"/>
          <w:lang w:val="es-ES_tradnl"/>
        </w:rPr>
      </w:pPr>
    </w:p>
    <w:p w:rsidR="00E97789" w:rsidRPr="00C721AB" w:rsidRDefault="00E97789" w:rsidP="00E97789">
      <w:pPr>
        <w:pStyle w:val="BodyText"/>
        <w:spacing w:after="0"/>
        <w:rPr>
          <w:rFonts w:asciiTheme="minorHAnsi" w:hAnsiTheme="minorHAnsi"/>
          <w:b/>
          <w:sz w:val="26"/>
          <w:szCs w:val="26"/>
          <w:lang w:val="es-ES_tradnl"/>
        </w:rPr>
      </w:pPr>
      <w:r w:rsidRPr="00C721AB">
        <w:rPr>
          <w:rFonts w:asciiTheme="minorHAnsi" w:hAnsiTheme="minorHAnsi"/>
          <w:b/>
          <w:sz w:val="26"/>
          <w:szCs w:val="26"/>
          <w:lang w:val="es-ES_tradnl"/>
        </w:rPr>
        <w:t xml:space="preserve">Lista de 51 sitios Ramsar sobre los que no se han presentado a la Secretaría las FIR o mapas adecuados desde su designación </w:t>
      </w:r>
    </w:p>
    <w:p w:rsidR="00E97789" w:rsidRPr="00C721AB" w:rsidRDefault="00E97789" w:rsidP="00E97789">
      <w:pPr>
        <w:pStyle w:val="BodyText"/>
        <w:spacing w:after="0"/>
        <w:rPr>
          <w:rFonts w:asciiTheme="minorHAnsi" w:hAnsiTheme="minorHAnsi"/>
          <w:sz w:val="22"/>
          <w:szCs w:val="22"/>
          <w:lang w:val="es-ES_tradnl"/>
        </w:rPr>
      </w:pPr>
      <w:r w:rsidRPr="00C721AB">
        <w:rPr>
          <w:rFonts w:asciiTheme="minorHAnsi" w:hAnsiTheme="minorHAnsi"/>
          <w:sz w:val="22"/>
          <w:szCs w:val="22"/>
          <w:lang w:val="es-ES_tradnl"/>
        </w:rPr>
        <w:t>(</w:t>
      </w:r>
      <w:proofErr w:type="gramStart"/>
      <w:r w:rsidRPr="00C721AB">
        <w:rPr>
          <w:rFonts w:asciiTheme="minorHAnsi" w:hAnsiTheme="minorHAnsi"/>
          <w:sz w:val="22"/>
          <w:szCs w:val="22"/>
          <w:lang w:val="es-ES_tradnl"/>
        </w:rPr>
        <w:t>a</w:t>
      </w:r>
      <w:proofErr w:type="gramEnd"/>
      <w:r w:rsidRPr="00C721AB">
        <w:rPr>
          <w:rFonts w:asciiTheme="minorHAnsi" w:hAnsiTheme="minorHAnsi"/>
          <w:sz w:val="22"/>
          <w:szCs w:val="22"/>
          <w:lang w:val="es-ES_tradnl"/>
        </w:rPr>
        <w:t xml:space="preserve"> 28 de agosto de 2014)</w:t>
      </w:r>
    </w:p>
    <w:p w:rsidR="00E97789" w:rsidRPr="00C721AB" w:rsidRDefault="00E97789" w:rsidP="00E97789">
      <w:pPr>
        <w:pStyle w:val="BodyText"/>
        <w:spacing w:after="0"/>
        <w:ind w:left="360"/>
        <w:jc w:val="center"/>
        <w:rPr>
          <w:rFonts w:asciiTheme="minorHAnsi" w:hAnsiTheme="minorHAnsi"/>
          <w:b/>
          <w:sz w:val="28"/>
          <w:szCs w:val="28"/>
          <w:lang w:val="es-ES_tradnl"/>
        </w:rPr>
      </w:pPr>
    </w:p>
    <w:tbl>
      <w:tblPr>
        <w:tblW w:w="9015"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01"/>
        <w:gridCol w:w="1701"/>
        <w:gridCol w:w="708"/>
        <w:gridCol w:w="2443"/>
        <w:gridCol w:w="1406"/>
        <w:gridCol w:w="774"/>
        <w:gridCol w:w="882"/>
      </w:tblGrid>
      <w:tr w:rsidR="00E97789" w:rsidRPr="00C721AB" w:rsidTr="009C4908">
        <w:trPr>
          <w:cantSplit/>
          <w:trHeight w:val="315"/>
          <w:tblHeader/>
        </w:trPr>
        <w:tc>
          <w:tcPr>
            <w:tcW w:w="1101"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Región</w:t>
            </w:r>
          </w:p>
        </w:tc>
        <w:tc>
          <w:tcPr>
            <w:tcW w:w="1701"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País</w:t>
            </w:r>
          </w:p>
        </w:tc>
        <w:tc>
          <w:tcPr>
            <w:tcW w:w="708"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Nº del sitio</w:t>
            </w:r>
          </w:p>
        </w:tc>
        <w:tc>
          <w:tcPr>
            <w:tcW w:w="2443"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Nombre del sitio</w:t>
            </w:r>
          </w:p>
        </w:tc>
        <w:tc>
          <w:tcPr>
            <w:tcW w:w="1406"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Fecha de designación</w:t>
            </w:r>
          </w:p>
        </w:tc>
        <w:tc>
          <w:tcPr>
            <w:tcW w:w="774"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FIR</w:t>
            </w:r>
          </w:p>
        </w:tc>
        <w:tc>
          <w:tcPr>
            <w:tcW w:w="882" w:type="dxa"/>
            <w:shd w:val="clear" w:color="auto" w:fill="C6D9F1" w:themeFill="text2" w:themeFillTint="33"/>
          </w:tcPr>
          <w:p w:rsidR="00E97789" w:rsidRPr="00C721AB" w:rsidRDefault="00E97789" w:rsidP="00E97789">
            <w:pPr>
              <w:jc w:val="center"/>
              <w:rPr>
                <w:rFonts w:asciiTheme="minorHAnsi" w:hAnsiTheme="minorHAnsi" w:cs="Calibri"/>
                <w:b/>
                <w:bCs/>
                <w:color w:val="000000"/>
                <w:sz w:val="22"/>
                <w:szCs w:val="22"/>
                <w:lang w:val="es-ES_tradnl"/>
              </w:rPr>
            </w:pPr>
            <w:r w:rsidRPr="00C721AB">
              <w:rPr>
                <w:rFonts w:asciiTheme="minorHAnsi" w:hAnsiTheme="minorHAnsi" w:cs="Calibri"/>
                <w:b/>
                <w:bCs/>
                <w:color w:val="000000"/>
                <w:sz w:val="22"/>
                <w:szCs w:val="22"/>
                <w:lang w:val="es-ES_tradnl"/>
              </w:rPr>
              <w:t>Mapa</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Azerbaiyán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1075</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Agh-Ghol</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21/05/2001</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bottom w:val="single" w:sz="4" w:space="0" w:color="4F81BD" w:themeColor="accent1"/>
            </w:tcBorders>
          </w:tcPr>
          <w:p w:rsidR="00E97789" w:rsidRPr="00C721AB" w:rsidRDefault="00E97789" w:rsidP="00E97789">
            <w:pPr>
              <w:rPr>
                <w:rFonts w:asciiTheme="minorHAnsi" w:hAnsiTheme="minorHAnsi" w:cs="Calibri"/>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bottom w:val="single" w:sz="4" w:space="0" w:color="4F81BD" w:themeColor="accent1"/>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Azerbaiyán</w:t>
            </w:r>
          </w:p>
        </w:tc>
        <w:tc>
          <w:tcPr>
            <w:tcW w:w="708" w:type="dxa"/>
            <w:tcBorders>
              <w:bottom w:val="single" w:sz="4" w:space="0" w:color="4F81BD" w:themeColor="accent1"/>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1076</w:t>
            </w:r>
          </w:p>
        </w:tc>
        <w:tc>
          <w:tcPr>
            <w:tcW w:w="2443" w:type="dxa"/>
            <w:tcBorders>
              <w:bottom w:val="single" w:sz="4" w:space="0" w:color="4F81BD" w:themeColor="accent1"/>
            </w:tcBorders>
          </w:tcPr>
          <w:p w:rsidR="00E97789" w:rsidRPr="00C721AB" w:rsidRDefault="00E97789" w:rsidP="00E97789">
            <w:pPr>
              <w:rPr>
                <w:rFonts w:asciiTheme="minorHAnsi" w:hAnsiTheme="minorHAnsi" w:cs="Calibri"/>
                <w:color w:val="000000"/>
                <w:sz w:val="22"/>
                <w:szCs w:val="22"/>
                <w:lang w:val="es-ES_tradnl"/>
              </w:rPr>
            </w:pPr>
            <w:r w:rsidRPr="00C721AB">
              <w:rPr>
                <w:rStyle w:val="Strong"/>
                <w:rFonts w:asciiTheme="minorHAnsi" w:hAnsiTheme="minorHAnsi"/>
                <w:b w:val="0"/>
                <w:lang w:val="es-ES_tradnl"/>
              </w:rPr>
              <w:t>Ghizil-Agaj</w:t>
            </w:r>
          </w:p>
        </w:tc>
        <w:tc>
          <w:tcPr>
            <w:tcW w:w="1406" w:type="dxa"/>
            <w:tcBorders>
              <w:bottom w:val="single" w:sz="4" w:space="0" w:color="4F81BD" w:themeColor="accent1"/>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21/05/2001</w:t>
            </w:r>
          </w:p>
        </w:tc>
        <w:tc>
          <w:tcPr>
            <w:tcW w:w="774" w:type="dxa"/>
            <w:tcBorders>
              <w:bottom w:val="single" w:sz="4" w:space="0" w:color="4F81BD" w:themeColor="accent1"/>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Borders>
              <w:bottom w:val="single" w:sz="4" w:space="0" w:color="4F81BD" w:themeColor="accent1"/>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4" w:space="0" w:color="4F81BD" w:themeColor="accent1"/>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4" w:space="0" w:color="4F81BD" w:themeColor="accent1"/>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Cabo Verde</w:t>
            </w:r>
          </w:p>
        </w:tc>
        <w:tc>
          <w:tcPr>
            <w:tcW w:w="708" w:type="dxa"/>
            <w:tcBorders>
              <w:top w:val="single" w:sz="4" w:space="0" w:color="4F81BD" w:themeColor="accent1"/>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1575</w:t>
            </w:r>
          </w:p>
        </w:tc>
        <w:tc>
          <w:tcPr>
            <w:tcW w:w="2443" w:type="dxa"/>
            <w:tcBorders>
              <w:top w:val="single" w:sz="4" w:space="0" w:color="4F81BD" w:themeColor="accent1"/>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Curral Velho</w:t>
            </w:r>
          </w:p>
        </w:tc>
        <w:tc>
          <w:tcPr>
            <w:tcW w:w="1406" w:type="dxa"/>
            <w:tcBorders>
              <w:top w:val="single" w:sz="4" w:space="0" w:color="4F81BD" w:themeColor="accent1"/>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18/07/2005</w:t>
            </w:r>
          </w:p>
        </w:tc>
        <w:tc>
          <w:tcPr>
            <w:tcW w:w="774" w:type="dxa"/>
            <w:tcBorders>
              <w:top w:val="single" w:sz="4" w:space="0" w:color="4F81BD" w:themeColor="accent1"/>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4" w:space="0" w:color="4F81BD" w:themeColor="accent1"/>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Cabo Verde</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1576</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Lagoa de Rabil</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18/07/2005</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Cabo Verde</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1577</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Lagoa de Pedra Badejo</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18/07/2005</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República Centroafricana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1590</w:t>
            </w:r>
          </w:p>
        </w:tc>
        <w:tc>
          <w:tcPr>
            <w:tcW w:w="2443" w:type="dxa"/>
            <w:tcBorders>
              <w:top w:val="single" w:sz="8" w:space="0" w:color="4F81BD"/>
              <w:bottom w:val="single" w:sz="8" w:space="0" w:color="4F81BD"/>
            </w:tcBorders>
          </w:tcPr>
          <w:p w:rsidR="00E97789" w:rsidRPr="00B43D37" w:rsidRDefault="00E97789" w:rsidP="00E97789">
            <w:pPr>
              <w:rPr>
                <w:rFonts w:asciiTheme="minorHAnsi" w:hAnsiTheme="minorHAnsi" w:cs="Calibri"/>
                <w:color w:val="000000"/>
                <w:sz w:val="22"/>
                <w:szCs w:val="22"/>
                <w:lang w:val="fr-FR"/>
              </w:rPr>
            </w:pPr>
            <w:r w:rsidRPr="00B43D37">
              <w:rPr>
                <w:rFonts w:asciiTheme="minorHAnsi" w:hAnsiTheme="minorHAnsi" w:cs="Calibri"/>
                <w:color w:val="000000"/>
                <w:sz w:val="22"/>
                <w:szCs w:val="22"/>
                <w:lang w:val="fr-FR"/>
              </w:rPr>
              <w:t>Les Rivières de Mbaéré-Bodingué</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05/12/2005</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Alemania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174</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Unteres Odertal, Schwedt</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31/07/1978</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Alemania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175</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Peitzer Teichgebiet</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31/07/1978</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India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463</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Loktak Lake</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23/03/1990</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India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464</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Sambhar Lake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23/03/1990</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Irán, República Islámica del</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39</w:t>
            </w:r>
          </w:p>
        </w:tc>
        <w:tc>
          <w:tcPr>
            <w:tcW w:w="2443" w:type="dxa"/>
            <w:tcBorders>
              <w:top w:val="single" w:sz="8" w:space="0" w:color="4F81BD"/>
              <w:bottom w:val="single" w:sz="8" w:space="0" w:color="4F81BD"/>
            </w:tcBorders>
          </w:tcPr>
          <w:p w:rsidR="00E97789" w:rsidRPr="00B43D37" w:rsidRDefault="00E97789" w:rsidP="00E97789">
            <w:pPr>
              <w:rPr>
                <w:rFonts w:asciiTheme="minorHAnsi" w:hAnsiTheme="minorHAnsi" w:cs="Calibri"/>
                <w:color w:val="000000"/>
                <w:sz w:val="22"/>
                <w:szCs w:val="22"/>
              </w:rPr>
            </w:pPr>
            <w:r w:rsidRPr="00B43D37">
              <w:rPr>
                <w:rFonts w:asciiTheme="minorHAnsi" w:hAnsiTheme="minorHAnsi" w:cs="Calibri"/>
                <w:color w:val="000000"/>
                <w:sz w:val="22"/>
                <w:szCs w:val="22"/>
              </w:rPr>
              <w:t>Neyriz Lakes and Kamjan Marshes</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23/06/1975</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Irán, República Islámica del</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42</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Hamun-e- Saberi and Hamun-e-Helmand</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23/06/1975</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Irlanda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840</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Bannow Bay</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11/06/1996</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Irlanda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841</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Trawbreaga Bay</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11/06/1996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Irlanda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842</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Cummeen Strand</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11/06/1996</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Kazakstán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w:t>
            </w:r>
          </w:p>
        </w:tc>
        <w:tc>
          <w:tcPr>
            <w:tcW w:w="2443" w:type="dxa"/>
            <w:tcBorders>
              <w:top w:val="single" w:sz="8" w:space="0" w:color="4F81BD"/>
              <w:bottom w:val="single" w:sz="8" w:space="0" w:color="4F81BD"/>
            </w:tcBorders>
          </w:tcPr>
          <w:p w:rsidR="00E97789" w:rsidRPr="00B43D37" w:rsidRDefault="00E97789" w:rsidP="00E97789">
            <w:pPr>
              <w:rPr>
                <w:rFonts w:asciiTheme="minorHAnsi" w:hAnsiTheme="minorHAnsi" w:cs="Calibri"/>
                <w:color w:val="000000"/>
                <w:sz w:val="22"/>
                <w:szCs w:val="22"/>
              </w:rPr>
            </w:pPr>
            <w:r w:rsidRPr="00B43D37">
              <w:rPr>
                <w:rFonts w:asciiTheme="minorHAnsi" w:hAnsiTheme="minorHAnsi" w:cs="Calibri"/>
                <w:color w:val="000000"/>
                <w:sz w:val="22"/>
                <w:szCs w:val="22"/>
              </w:rPr>
              <w:t>Lakes of the lower Turgay and Irgiz</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11/10/1976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Mongolia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924</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Mongol Daguur (Mongolian Dauria)</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08/12/1997</w:t>
            </w:r>
          </w:p>
        </w:tc>
        <w:tc>
          <w:tcPr>
            <w:tcW w:w="774"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Style w:val="FootnoteReference"/>
                <w:rFonts w:asciiTheme="minorHAnsi" w:hAnsiTheme="minorHAnsi" w:cs="Calibri"/>
                <w:b/>
                <w:color w:val="000000"/>
                <w:sz w:val="22"/>
                <w:szCs w:val="22"/>
                <w:lang w:val="es-ES_tradnl"/>
              </w:rPr>
              <w:footnoteReference w:id="4"/>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198</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Het Spaans Lagoen</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Fonts w:asciiTheme="minorHAnsi" w:hAnsiTheme="minorHAnsi" w:cs="Calibri"/>
                <w:b/>
                <w:color w:val="000000"/>
                <w:sz w:val="22"/>
                <w:szCs w:val="22"/>
                <w:vertAlign w:val="superscript"/>
                <w:lang w:val="es-ES_tradnl"/>
              </w:rPr>
              <w:t>4</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199</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Het Lac</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Fonts w:asciiTheme="minorHAnsi" w:hAnsiTheme="minorHAnsi" w:cs="Calibri"/>
                <w:b/>
                <w:color w:val="000000"/>
                <w:sz w:val="22"/>
                <w:szCs w:val="22"/>
                <w:vertAlign w:val="superscript"/>
                <w:lang w:val="es-ES_tradnl"/>
              </w:rPr>
              <w:t>4</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200</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Het Pekelmeer</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Fonts w:asciiTheme="minorHAnsi" w:hAnsiTheme="minorHAnsi" w:cs="Calibri"/>
                <w:b/>
                <w:color w:val="000000"/>
                <w:sz w:val="22"/>
                <w:szCs w:val="22"/>
                <w:vertAlign w:val="superscript"/>
                <w:lang w:val="es-ES_tradnl"/>
              </w:rPr>
              <w:t>4</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201</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Klein Bonaire Island and adjacent sea</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Fonts w:asciiTheme="minorHAnsi" w:hAnsiTheme="minorHAnsi" w:cs="Calibri"/>
                <w:b/>
                <w:color w:val="000000"/>
                <w:sz w:val="22"/>
                <w:szCs w:val="22"/>
                <w:vertAlign w:val="superscript"/>
                <w:lang w:val="es-ES_tradnl"/>
              </w:rPr>
              <w:t>4</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202</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Het Gotomeer</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Europa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 xml:space="preserve">Países Bajos </w:t>
            </w:r>
            <w:r w:rsidRPr="00C721AB">
              <w:rPr>
                <w:rFonts w:asciiTheme="minorHAnsi" w:hAnsiTheme="minorHAnsi" w:cs="Calibri"/>
                <w:b/>
                <w:color w:val="000000"/>
                <w:sz w:val="22"/>
                <w:szCs w:val="22"/>
                <w:vertAlign w:val="superscript"/>
                <w:lang w:val="es-ES_tradnl"/>
              </w:rPr>
              <w:t>4</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203</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De Slagbaai</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23/05/1980</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Oceanía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Nueva Zelandia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103</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Farewell Spit</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13/08/1976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Omán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2144</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Qurm Nature Reserve</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19/04/2013</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97</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Thanedar Wala</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23/07/1976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98</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Tanda Dam</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23/07/1976</w:t>
            </w:r>
          </w:p>
        </w:tc>
        <w:tc>
          <w:tcPr>
            <w:tcW w:w="774"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lastRenderedPageBreak/>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99</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Kinjhar (kalri) Lake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23/07/1976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100</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Drigh Lake</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23/07/1976</w:t>
            </w:r>
          </w:p>
        </w:tc>
        <w:tc>
          <w:tcPr>
            <w:tcW w:w="774"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101</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Haleji Lake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23/07/1976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Pakistán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818</w:t>
            </w:r>
          </w:p>
        </w:tc>
        <w:tc>
          <w:tcPr>
            <w:tcW w:w="2443" w:type="dxa"/>
          </w:tcPr>
          <w:p w:rsidR="00E97789" w:rsidRPr="00B43D37" w:rsidRDefault="00E97789" w:rsidP="00E97789">
            <w:pPr>
              <w:rPr>
                <w:rFonts w:asciiTheme="minorHAnsi" w:hAnsiTheme="minorHAnsi" w:cs="Calibri"/>
                <w:color w:val="000000"/>
                <w:sz w:val="22"/>
                <w:szCs w:val="22"/>
              </w:rPr>
            </w:pPr>
            <w:r w:rsidRPr="00B43D37">
              <w:rPr>
                <w:rFonts w:asciiTheme="minorHAnsi" w:hAnsiTheme="minorHAnsi" w:cs="Calibri"/>
                <w:color w:val="000000"/>
                <w:sz w:val="22"/>
                <w:szCs w:val="22"/>
              </w:rPr>
              <w:t>Ucchali Complex (including Khabbaki, Uchhali and Jahlar Lakes)</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22/03/1996</w:t>
            </w:r>
          </w:p>
        </w:tc>
        <w:tc>
          <w:tcPr>
            <w:tcW w:w="774"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Oceanía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Papua Nueva Guinea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961</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Lake Kutubu</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22/09/1998</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Oceanía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Papua Nueva Guinea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591</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Tonda Wildlife Management Area</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16/03/1993</w:t>
            </w:r>
          </w:p>
        </w:tc>
        <w:tc>
          <w:tcPr>
            <w:tcW w:w="774" w:type="dxa"/>
          </w:tcPr>
          <w:p w:rsidR="00E97789" w:rsidRPr="00C721AB" w:rsidRDefault="00E97789" w:rsidP="00E97789">
            <w:pPr>
              <w:rPr>
                <w:rFonts w:asciiTheme="minorHAnsi" w:hAnsiTheme="minorHAnsi"/>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Rwanda</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1589</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Rugezi-Bulera-Ruhondo</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12/01/2005</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Santo Tomé y Príncipe</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1632</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Ilots Tinhosas</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21/08/2006</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Swazilandia</w:t>
            </w:r>
            <w:r w:rsidRPr="00C721AB">
              <w:rPr>
                <w:rFonts w:asciiTheme="minorHAnsi" w:hAnsiTheme="minorHAnsi" w:cs="Calibri"/>
                <w:b/>
                <w:color w:val="000000"/>
                <w:sz w:val="22"/>
                <w:szCs w:val="22"/>
                <w:vertAlign w:val="superscript"/>
                <w:lang w:val="es-ES_tradnl"/>
              </w:rPr>
              <w:t>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2121</w:t>
            </w:r>
          </w:p>
        </w:tc>
        <w:tc>
          <w:tcPr>
            <w:tcW w:w="2443" w:type="dxa"/>
            <w:tcBorders>
              <w:top w:val="single" w:sz="8" w:space="0" w:color="4F81BD"/>
              <w:bottom w:val="single" w:sz="8" w:space="0" w:color="4F81BD"/>
            </w:tcBorders>
          </w:tcPr>
          <w:p w:rsidR="00E97789" w:rsidRPr="00B43D37" w:rsidRDefault="00E97789" w:rsidP="00E97789">
            <w:pPr>
              <w:rPr>
                <w:rFonts w:asciiTheme="minorHAnsi" w:hAnsiTheme="minorHAnsi" w:cs="Calibri"/>
                <w:color w:val="000000"/>
                <w:sz w:val="22"/>
                <w:szCs w:val="22"/>
              </w:rPr>
            </w:pPr>
            <w:r w:rsidRPr="00B43D37">
              <w:rPr>
                <w:rFonts w:asciiTheme="minorHAnsi" w:hAnsiTheme="minorHAnsi" w:cs="Calibri"/>
                <w:color w:val="000000"/>
                <w:sz w:val="22"/>
                <w:szCs w:val="22"/>
              </w:rPr>
              <w:t>Hawane Nature Reserve and Dam</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15/06/13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Swazilandia</w:t>
            </w:r>
            <w:r w:rsidRPr="00C721AB">
              <w:rPr>
                <w:rFonts w:asciiTheme="minorHAnsi" w:hAnsiTheme="minorHAnsi" w:cs="Calibri"/>
                <w:b/>
                <w:color w:val="000000"/>
                <w:sz w:val="22"/>
                <w:szCs w:val="22"/>
                <w:vertAlign w:val="superscript"/>
                <w:lang w:val="es-ES_tradnl"/>
              </w:rPr>
              <w:t>45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2122</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Sand River</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15/06/13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Swazilandia</w:t>
            </w:r>
            <w:r w:rsidRPr="00C721AB">
              <w:rPr>
                <w:rFonts w:asciiTheme="minorHAnsi" w:hAnsiTheme="minorHAnsi" w:cs="Calibri"/>
                <w:b/>
                <w:color w:val="000000"/>
                <w:sz w:val="22"/>
                <w:szCs w:val="22"/>
                <w:vertAlign w:val="superscript"/>
                <w:lang w:val="es-ES_tradnl"/>
              </w:rPr>
              <w:t>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2123</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Van Eck</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15/06/13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República Árabe Siria</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935</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Sabkhat al-Jabbul Nature Reserve</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05/03/1998</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Tayikistán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1082</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Karakul Lake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18/07/2001</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Tayikistán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1083</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Kayrakum Reservoir</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18/07/2001</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Tayikistán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1084</w:t>
            </w:r>
          </w:p>
        </w:tc>
        <w:tc>
          <w:tcPr>
            <w:tcW w:w="2443" w:type="dxa"/>
            <w:tcBorders>
              <w:top w:val="single" w:sz="8" w:space="0" w:color="4F81BD"/>
              <w:bottom w:val="single" w:sz="8" w:space="0" w:color="4F81BD"/>
            </w:tcBorders>
          </w:tcPr>
          <w:p w:rsidR="00E97789" w:rsidRPr="00B43D37" w:rsidRDefault="00E97789" w:rsidP="00E97789">
            <w:pPr>
              <w:rPr>
                <w:rFonts w:asciiTheme="minorHAnsi" w:hAnsiTheme="minorHAnsi" w:cs="Calibri"/>
                <w:color w:val="000000"/>
                <w:sz w:val="22"/>
                <w:szCs w:val="22"/>
              </w:rPr>
            </w:pPr>
            <w:r w:rsidRPr="00B43D37">
              <w:rPr>
                <w:rFonts w:asciiTheme="minorHAnsi" w:hAnsiTheme="minorHAnsi" w:cs="Calibri"/>
                <w:color w:val="000000"/>
                <w:sz w:val="22"/>
                <w:szCs w:val="22"/>
              </w:rPr>
              <w:t>Lower part of Pyandj River</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18/07/2001</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Tayikistán</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1085</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Shorkul and Rangkul Lakes</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18/07/2001</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Asia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Tayikistán</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1086</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Zorkul Lake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18/07/2001</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sí</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Style w:val="FootnoteReference"/>
                <w:rFonts w:asciiTheme="minorHAnsi" w:hAnsiTheme="minorHAnsi" w:cs="Calibri"/>
                <w:b/>
                <w:color w:val="000000"/>
                <w:sz w:val="22"/>
                <w:szCs w:val="22"/>
                <w:lang w:val="es-ES_tradnl"/>
              </w:rPr>
              <w:footnoteReference w:id="5"/>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2102</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Cleveland Dam</w:t>
            </w:r>
          </w:p>
        </w:tc>
        <w:tc>
          <w:tcPr>
            <w:tcW w:w="1406" w:type="dxa"/>
          </w:tcPr>
          <w:p w:rsidR="00E97789" w:rsidRPr="00C721AB" w:rsidRDefault="00E97789" w:rsidP="00E97789">
            <w:pPr>
              <w:jc w:val="center"/>
              <w:rPr>
                <w:rFonts w:asciiTheme="minorHAnsi" w:hAnsiTheme="minorHAnsi"/>
                <w:b/>
                <w:color w:val="000000"/>
                <w:sz w:val="22"/>
                <w:lang w:val="es-ES_tradnl"/>
              </w:rPr>
            </w:pPr>
            <w:r w:rsidRPr="00C721AB">
              <w:rPr>
                <w:rFonts w:asciiTheme="minorHAnsi" w:hAnsiTheme="minorHAnsi" w:cs="Calibri"/>
                <w:color w:val="000000"/>
                <w:sz w:val="22"/>
                <w:szCs w:val="22"/>
                <w:lang w:val="es-ES_tradnl"/>
              </w:rPr>
              <w:t>03/05/2013</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2103</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Chinhoyi Caves</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2104</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Driefontein Grasslands</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2105</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Lake Chivero and Manyame</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2106</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Mana Pools</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Borders>
              <w:top w:val="single" w:sz="8" w:space="0" w:color="4F81BD"/>
              <w:left w:val="single" w:sz="8" w:space="0" w:color="4F81BD"/>
              <w:bottom w:val="single" w:sz="8" w:space="0" w:color="4F81BD"/>
            </w:tcBorders>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Borders>
              <w:top w:val="single" w:sz="8" w:space="0" w:color="4F81BD"/>
              <w:bottom w:val="single" w:sz="8" w:space="0" w:color="4F81BD"/>
            </w:tcBorders>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Borders>
              <w:top w:val="single" w:sz="8" w:space="0" w:color="4F81BD"/>
              <w:bottom w:val="single" w:sz="8" w:space="0" w:color="4F81BD"/>
            </w:tcBorders>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2107</w:t>
            </w:r>
          </w:p>
        </w:tc>
        <w:tc>
          <w:tcPr>
            <w:tcW w:w="2443"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Monavale Wetland</w:t>
            </w:r>
          </w:p>
        </w:tc>
        <w:tc>
          <w:tcPr>
            <w:tcW w:w="1406" w:type="dxa"/>
            <w:tcBorders>
              <w:top w:val="single" w:sz="8" w:space="0" w:color="4F81BD"/>
              <w:bottom w:val="single" w:sz="8" w:space="0" w:color="4F81BD"/>
            </w:tcBorders>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Borders>
              <w:top w:val="single" w:sz="8" w:space="0" w:color="4F81BD"/>
              <w:bottom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Borders>
              <w:top w:val="single" w:sz="8" w:space="0" w:color="4F81BD"/>
              <w:bottom w:val="single" w:sz="8" w:space="0" w:color="4F81BD"/>
              <w:right w:val="single" w:sz="8" w:space="0" w:color="4F81BD"/>
            </w:tcBorders>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r w:rsidR="00E97789" w:rsidRPr="00C721AB" w:rsidTr="00E97789">
        <w:trPr>
          <w:cantSplit/>
          <w:trHeight w:val="315"/>
        </w:trPr>
        <w:tc>
          <w:tcPr>
            <w:tcW w:w="1101" w:type="dxa"/>
          </w:tcPr>
          <w:p w:rsidR="00E97789" w:rsidRPr="00C721AB" w:rsidRDefault="00E97789" w:rsidP="00E97789">
            <w:pPr>
              <w:rPr>
                <w:rFonts w:asciiTheme="minorHAnsi" w:hAnsiTheme="minorHAnsi" w:cs="Calibri"/>
                <w:b/>
                <w:bCs/>
                <w:color w:val="000000"/>
                <w:sz w:val="22"/>
                <w:szCs w:val="22"/>
                <w:lang w:val="es-ES_tradnl"/>
              </w:rPr>
            </w:pPr>
            <w:r w:rsidRPr="00C721AB">
              <w:rPr>
                <w:rFonts w:asciiTheme="minorHAnsi" w:hAnsiTheme="minorHAnsi" w:cs="Calibri"/>
                <w:bCs/>
                <w:color w:val="000000"/>
                <w:sz w:val="22"/>
                <w:szCs w:val="22"/>
                <w:lang w:val="es-ES_tradnl"/>
              </w:rPr>
              <w:t>África</w:t>
            </w:r>
          </w:p>
        </w:tc>
        <w:tc>
          <w:tcPr>
            <w:tcW w:w="1701" w:type="dxa"/>
          </w:tcPr>
          <w:p w:rsidR="00E97789" w:rsidRPr="00C721AB" w:rsidRDefault="00E97789" w:rsidP="00E97789">
            <w:pPr>
              <w:rPr>
                <w:rFonts w:asciiTheme="minorHAnsi" w:hAnsiTheme="minorHAnsi" w:cs="Calibri"/>
                <w:b/>
                <w:color w:val="000000"/>
                <w:sz w:val="22"/>
                <w:szCs w:val="22"/>
                <w:lang w:val="es-ES_tradnl"/>
              </w:rPr>
            </w:pPr>
            <w:r w:rsidRPr="00C721AB">
              <w:rPr>
                <w:rFonts w:asciiTheme="minorHAnsi" w:hAnsiTheme="minorHAnsi" w:cs="Calibri"/>
                <w:b/>
                <w:color w:val="000000"/>
                <w:sz w:val="22"/>
                <w:szCs w:val="22"/>
                <w:lang w:val="es-ES_tradnl"/>
              </w:rPr>
              <w:t>Zimbabwe</w:t>
            </w:r>
            <w:r w:rsidRPr="00C721AB">
              <w:rPr>
                <w:rFonts w:asciiTheme="minorHAnsi" w:hAnsiTheme="minorHAnsi" w:cs="Calibri"/>
                <w:b/>
                <w:color w:val="000000"/>
                <w:sz w:val="22"/>
                <w:szCs w:val="22"/>
                <w:vertAlign w:val="superscript"/>
                <w:lang w:val="es-ES_tradnl"/>
              </w:rPr>
              <w:t>5</w:t>
            </w:r>
          </w:p>
        </w:tc>
        <w:tc>
          <w:tcPr>
            <w:tcW w:w="708" w:type="dxa"/>
          </w:tcPr>
          <w:p w:rsidR="00E97789" w:rsidRPr="00C721AB" w:rsidRDefault="00E97789" w:rsidP="00E97789">
            <w:pPr>
              <w:jc w:val="right"/>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2108</w:t>
            </w:r>
          </w:p>
        </w:tc>
        <w:tc>
          <w:tcPr>
            <w:tcW w:w="2443"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Victoria Falls National Park</w:t>
            </w:r>
          </w:p>
        </w:tc>
        <w:tc>
          <w:tcPr>
            <w:tcW w:w="1406" w:type="dxa"/>
          </w:tcPr>
          <w:p w:rsidR="00E97789" w:rsidRPr="00C721AB" w:rsidRDefault="00E97789" w:rsidP="00E97789">
            <w:pPr>
              <w:jc w:val="cente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03/05/2013</w:t>
            </w:r>
          </w:p>
        </w:tc>
        <w:tc>
          <w:tcPr>
            <w:tcW w:w="774"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c>
          <w:tcPr>
            <w:tcW w:w="882" w:type="dxa"/>
          </w:tcPr>
          <w:p w:rsidR="00E97789" w:rsidRPr="00C721AB" w:rsidRDefault="00E97789" w:rsidP="00E97789">
            <w:pPr>
              <w:rPr>
                <w:rFonts w:asciiTheme="minorHAnsi" w:hAnsiTheme="minorHAnsi" w:cs="Calibri"/>
                <w:color w:val="000000"/>
                <w:sz w:val="22"/>
                <w:szCs w:val="22"/>
                <w:lang w:val="es-ES_tradnl"/>
              </w:rPr>
            </w:pPr>
            <w:r w:rsidRPr="00C721AB">
              <w:rPr>
                <w:rFonts w:asciiTheme="minorHAnsi" w:hAnsiTheme="minorHAnsi" w:cs="Calibri"/>
                <w:color w:val="000000"/>
                <w:sz w:val="22"/>
                <w:szCs w:val="22"/>
                <w:lang w:val="es-ES_tradnl"/>
              </w:rPr>
              <w:t>no</w:t>
            </w:r>
          </w:p>
        </w:tc>
      </w:tr>
    </w:tbl>
    <w:p w:rsidR="00E97789" w:rsidRPr="00C721AB" w:rsidRDefault="00E97789" w:rsidP="00E97789">
      <w:pPr>
        <w:pStyle w:val="BodyText"/>
        <w:tabs>
          <w:tab w:val="left" w:pos="6078"/>
        </w:tabs>
        <w:spacing w:after="0"/>
        <w:ind w:left="360"/>
        <w:rPr>
          <w:rFonts w:asciiTheme="minorHAnsi" w:hAnsiTheme="minorHAnsi"/>
          <w:sz w:val="20"/>
          <w:szCs w:val="20"/>
          <w:lang w:val="es-ES_tradnl"/>
        </w:rPr>
      </w:pPr>
    </w:p>
    <w:p w:rsidR="00E97789" w:rsidRPr="00C721AB" w:rsidRDefault="00E97789" w:rsidP="00E97789">
      <w:pPr>
        <w:pStyle w:val="BodyText"/>
        <w:spacing w:after="0"/>
        <w:ind w:left="360"/>
        <w:rPr>
          <w:rFonts w:ascii="Calibri" w:hAnsi="Calibri"/>
          <w:sz w:val="26"/>
          <w:szCs w:val="26"/>
          <w:lang w:val="es-ES_tradnl"/>
        </w:rPr>
      </w:pPr>
      <w:r w:rsidRPr="00C721AB">
        <w:rPr>
          <w:rFonts w:asciiTheme="minorHAnsi" w:hAnsiTheme="minorHAnsi"/>
          <w:b/>
          <w:sz w:val="28"/>
          <w:szCs w:val="28"/>
          <w:lang w:val="es-ES_tradnl"/>
        </w:rPr>
        <w:br w:type="page"/>
      </w:r>
      <w:r w:rsidRPr="00C721AB">
        <w:rPr>
          <w:rFonts w:ascii="Calibri" w:hAnsi="Calibri"/>
          <w:b/>
          <w:sz w:val="26"/>
          <w:szCs w:val="26"/>
          <w:lang w:val="es-ES_tradnl"/>
        </w:rPr>
        <w:lastRenderedPageBreak/>
        <w:t xml:space="preserve">Anexo 3b </w:t>
      </w:r>
    </w:p>
    <w:p w:rsidR="00E97789" w:rsidRPr="00C721AB" w:rsidRDefault="00E97789" w:rsidP="00E97789">
      <w:pPr>
        <w:pStyle w:val="BodyText"/>
        <w:spacing w:after="0"/>
        <w:ind w:left="360"/>
        <w:rPr>
          <w:rFonts w:ascii="Calibri" w:hAnsi="Calibri"/>
          <w:color w:val="000000"/>
          <w:sz w:val="26"/>
          <w:szCs w:val="26"/>
          <w:lang w:val="es-ES_tradnl"/>
        </w:rPr>
      </w:pPr>
    </w:p>
    <w:p w:rsidR="00E97789" w:rsidRPr="00C721AB" w:rsidRDefault="00E97789" w:rsidP="00E97789">
      <w:pPr>
        <w:pStyle w:val="BodyText"/>
        <w:spacing w:after="0"/>
        <w:ind w:left="360"/>
        <w:rPr>
          <w:rFonts w:ascii="Calibri" w:hAnsi="Calibri"/>
          <w:b/>
          <w:color w:val="000000"/>
          <w:sz w:val="26"/>
          <w:szCs w:val="26"/>
          <w:lang w:val="es-ES_tradnl"/>
        </w:rPr>
      </w:pPr>
      <w:r w:rsidRPr="00C721AB">
        <w:rPr>
          <w:rFonts w:ascii="Calibri" w:hAnsi="Calibri"/>
          <w:b/>
          <w:color w:val="000000"/>
          <w:sz w:val="26"/>
          <w:szCs w:val="26"/>
          <w:lang w:val="es-ES_tradnl"/>
        </w:rPr>
        <w:t xml:space="preserve">Lista de las Partes Contratantes de las que se necesitan una o más Fichas Informativas de Ramsar tras seis años o más sin actualización </w:t>
      </w:r>
    </w:p>
    <w:p w:rsidR="00E97789" w:rsidRPr="00C721AB" w:rsidRDefault="00E97789" w:rsidP="00E97789">
      <w:pPr>
        <w:pStyle w:val="BodyText"/>
        <w:spacing w:after="0"/>
        <w:ind w:left="360"/>
        <w:rPr>
          <w:rFonts w:ascii="Calibri" w:hAnsi="Calibri"/>
          <w:color w:val="000000"/>
          <w:sz w:val="22"/>
          <w:szCs w:val="22"/>
          <w:lang w:val="es-ES_tradnl"/>
        </w:rPr>
      </w:pPr>
      <w:r w:rsidRPr="00C721AB">
        <w:rPr>
          <w:rFonts w:ascii="Calibri" w:hAnsi="Calibri"/>
          <w:color w:val="000000"/>
          <w:sz w:val="22"/>
          <w:szCs w:val="22"/>
          <w:lang w:val="es-ES_tradnl"/>
        </w:rPr>
        <w:t>(</w:t>
      </w:r>
      <w:proofErr w:type="gramStart"/>
      <w:r w:rsidRPr="00C721AB">
        <w:rPr>
          <w:rFonts w:ascii="Calibri" w:hAnsi="Calibri"/>
          <w:color w:val="000000"/>
          <w:sz w:val="22"/>
          <w:szCs w:val="22"/>
          <w:lang w:val="es-ES_tradnl"/>
        </w:rPr>
        <w:t>a</w:t>
      </w:r>
      <w:proofErr w:type="gramEnd"/>
      <w:r w:rsidRPr="00C721AB">
        <w:rPr>
          <w:rFonts w:ascii="Calibri" w:hAnsi="Calibri"/>
          <w:color w:val="000000"/>
          <w:sz w:val="22"/>
          <w:szCs w:val="22"/>
          <w:lang w:val="es-ES_tradnl"/>
        </w:rPr>
        <w:t xml:space="preserve"> 28 de agosto de 2014)</w:t>
      </w:r>
    </w:p>
    <w:p w:rsidR="00E97789" w:rsidRPr="00C721AB" w:rsidRDefault="00E97789" w:rsidP="00E97789">
      <w:pPr>
        <w:pStyle w:val="BodyText"/>
        <w:spacing w:after="0"/>
        <w:ind w:left="360"/>
        <w:jc w:val="center"/>
        <w:rPr>
          <w:rFonts w:ascii="Garamond" w:hAnsi="Garamond"/>
          <w:color w:val="000000"/>
          <w:lang w:val="es-ES_tradnl"/>
        </w:rPr>
      </w:pPr>
    </w:p>
    <w:tbl>
      <w:tblPr>
        <w:tblStyle w:val="LightList-Accent11"/>
        <w:tblW w:w="9322" w:type="dxa"/>
        <w:tblLayout w:type="fixed"/>
        <w:tblLook w:val="04A0" w:firstRow="1" w:lastRow="0" w:firstColumn="1" w:lastColumn="0" w:noHBand="0" w:noVBand="1"/>
      </w:tblPr>
      <w:tblGrid>
        <w:gridCol w:w="2943"/>
        <w:gridCol w:w="1985"/>
        <w:gridCol w:w="1984"/>
        <w:gridCol w:w="2410"/>
      </w:tblGrid>
      <w:tr w:rsidR="00E97789" w:rsidRPr="00B43D37" w:rsidTr="00464F7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943" w:type="dxa"/>
            <w:shd w:val="clear" w:color="auto" w:fill="C6D9F1" w:themeFill="text2" w:themeFillTint="33"/>
            <w:noWrap/>
          </w:tcPr>
          <w:p w:rsidR="00E97789" w:rsidRPr="00C721AB" w:rsidRDefault="00E97789" w:rsidP="00E97789">
            <w:pPr>
              <w:rPr>
                <w:rFonts w:asciiTheme="minorHAnsi" w:hAnsiTheme="minorHAnsi" w:cs="Calibri"/>
                <w:bCs w:val="0"/>
                <w:caps/>
                <w:color w:val="000000"/>
                <w:sz w:val="22"/>
                <w:szCs w:val="22"/>
                <w:lang w:val="es-ES_tradnl"/>
              </w:rPr>
            </w:pPr>
            <w:r w:rsidRPr="00C721AB">
              <w:rPr>
                <w:rFonts w:asciiTheme="minorHAnsi" w:hAnsiTheme="minorHAnsi" w:cs="Calibri"/>
                <w:bCs w:val="0"/>
                <w:color w:val="000000"/>
                <w:sz w:val="22"/>
                <w:szCs w:val="22"/>
                <w:lang w:val="es-ES_tradnl"/>
              </w:rPr>
              <w:t>País</w:t>
            </w:r>
          </w:p>
        </w:tc>
        <w:tc>
          <w:tcPr>
            <w:tcW w:w="1985" w:type="dxa"/>
            <w:shd w:val="clear" w:color="auto" w:fill="C6D9F1" w:themeFill="text2" w:themeFillTint="33"/>
          </w:tcPr>
          <w:p w:rsidR="00E97789" w:rsidRPr="00C721AB" w:rsidRDefault="00E97789" w:rsidP="00E977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bCs w:val="0"/>
                <w:color w:val="000000"/>
                <w:sz w:val="22"/>
                <w:szCs w:val="22"/>
                <w:lang w:val="es-ES_tradnl"/>
              </w:rPr>
              <w:t>Número total de sitios designados por país</w:t>
            </w:r>
          </w:p>
        </w:tc>
        <w:tc>
          <w:tcPr>
            <w:tcW w:w="1984" w:type="dxa"/>
            <w:shd w:val="clear" w:color="auto" w:fill="C6D9F1" w:themeFill="text2" w:themeFillTint="33"/>
            <w:noWrap/>
          </w:tcPr>
          <w:p w:rsidR="00E97789" w:rsidRPr="00C721AB" w:rsidRDefault="00E97789" w:rsidP="00E977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bCs w:val="0"/>
                <w:color w:val="000000"/>
                <w:sz w:val="22"/>
                <w:szCs w:val="22"/>
                <w:lang w:val="es-ES_tradnl"/>
              </w:rPr>
              <w:t>Número de sitios que necesitan una actualización de la información</w:t>
            </w:r>
          </w:p>
        </w:tc>
        <w:tc>
          <w:tcPr>
            <w:tcW w:w="2410" w:type="dxa"/>
            <w:shd w:val="clear" w:color="auto" w:fill="C6D9F1" w:themeFill="text2" w:themeFillTint="33"/>
          </w:tcPr>
          <w:p w:rsidR="00E97789" w:rsidRPr="00C721AB" w:rsidRDefault="00E97789" w:rsidP="00E977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Cs w:val="0"/>
                <w:color w:val="000000"/>
                <w:sz w:val="22"/>
                <w:szCs w:val="22"/>
                <w:lang w:val="es-ES_tradnl"/>
              </w:rPr>
            </w:pPr>
            <w:r w:rsidRPr="00C721AB">
              <w:rPr>
                <w:rFonts w:asciiTheme="minorHAnsi" w:hAnsiTheme="minorHAnsi" w:cs="Calibri"/>
                <w:bCs w:val="0"/>
                <w:color w:val="000000"/>
                <w:sz w:val="22"/>
                <w:szCs w:val="22"/>
                <w:lang w:val="es-ES_tradnl"/>
              </w:rPr>
              <w:t>Número de sitios para los que la Secretaría ha recibido información actualizada</w:t>
            </w:r>
            <w:r w:rsidRPr="00C721AB">
              <w:rPr>
                <w:rStyle w:val="FootnoteReference"/>
                <w:rFonts w:asciiTheme="minorHAnsi" w:hAnsiTheme="minorHAnsi" w:cs="Calibri"/>
                <w:bCs w:val="0"/>
                <w:color w:val="000000"/>
                <w:sz w:val="22"/>
                <w:szCs w:val="22"/>
                <w:lang w:val="es-ES_tradnl"/>
              </w:rPr>
              <w:footnoteReference w:id="6"/>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Albania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Alemania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Andorra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Antigua y Barbuda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Argelia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50</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Argentina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4</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Armenia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Australia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Austria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Azerbaiyán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Bahamas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Bahrein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Bangladesh</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Barbados</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Belarús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8</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Bélgica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Belice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Benin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Bhután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ind w:right="-57"/>
              <w:rPr>
                <w:rFonts w:ascii="Calibri" w:hAnsi="Calibri"/>
                <w:color w:val="000000"/>
                <w:sz w:val="22"/>
                <w:szCs w:val="22"/>
                <w:lang w:val="es-ES_tradnl"/>
              </w:rPr>
            </w:pPr>
            <w:r w:rsidRPr="00C721AB">
              <w:rPr>
                <w:rFonts w:ascii="Calibri" w:hAnsi="Calibri"/>
                <w:color w:val="000000"/>
                <w:sz w:val="22"/>
                <w:szCs w:val="22"/>
                <w:lang w:val="es-ES_tradnl"/>
              </w:rPr>
              <w:t>Bolivia (Estado Plurinacional de)</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Bosnia y Herzegovina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Botswana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Brasil</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8</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Bulgaria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Burkina Faso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Burundi</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Cabo Verde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Camboya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Camerún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Canadá</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37</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29</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Chad</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Chile</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5</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b w:val="0"/>
                <w:color w:val="000000"/>
                <w:sz w:val="22"/>
                <w:szCs w:val="22"/>
                <w:lang w:val="es-ES_tradnl"/>
              </w:rPr>
            </w:pPr>
            <w:r w:rsidRPr="00C721AB">
              <w:rPr>
                <w:rFonts w:ascii="Calibri" w:hAnsi="Calibri"/>
                <w:b w:val="0"/>
                <w:color w:val="000000"/>
                <w:sz w:val="22"/>
                <w:szCs w:val="22"/>
                <w:lang w:val="es-ES_tradnl"/>
              </w:rPr>
              <w:lastRenderedPageBreak/>
              <w:t>China</w:t>
            </w:r>
            <w:r w:rsidRPr="00C721AB">
              <w:rPr>
                <w:rStyle w:val="FootnoteReference"/>
                <w:rFonts w:ascii="Calibri" w:hAnsi="Calibri"/>
                <w:b w:val="0"/>
                <w:color w:val="000000"/>
                <w:sz w:val="22"/>
                <w:szCs w:val="22"/>
                <w:lang w:val="es-ES_tradnl"/>
              </w:rPr>
              <w:footnoteReference w:id="7"/>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5</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Chipre</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Colombia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Comoras (las)</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Congo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Costa Rica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Côte d'Ivoire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Croacia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Cuba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6</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Dinamarca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Djibouti</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Ecuador</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18</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9</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Egipto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El Salvador</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Emiratos Árabes Unidos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Eslovaquia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Eslovenia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España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Estados Unidos de América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Estonia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17</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Ex República Yugoslava de Macedonia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Federación de Rusia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9</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Fiji</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Filipinas</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Finlandia</w:t>
            </w:r>
            <w:hyperlink r:id="rId22" w:tooltip="Dagger (typography)" w:history="1">
              <w:r w:rsidRPr="00C721AB">
                <w:rPr>
                  <w:rStyle w:val="Hyperlink"/>
                  <w:rFonts w:ascii="Garamond" w:hAnsi="Garamond"/>
                  <w:color w:val="auto"/>
                  <w:sz w:val="22"/>
                  <w:szCs w:val="22"/>
                  <w:u w:val="none"/>
                  <w:vertAlign w:val="superscript"/>
                  <w:lang w:val="es-ES_tradnl"/>
                </w:rPr>
                <w:t>7</w:t>
              </w:r>
            </w:hyperlink>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49</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49</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Francia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Gabón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Gambia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Georgia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Ghana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6</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Granada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Grecia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Guatemala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Guinea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Guinea Ecuatorial</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Guinea-Bissau</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Honduras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6</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Hungría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27</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India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25</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Indonesia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lastRenderedPageBreak/>
              <w:t>Irán (República Islámica de)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Iraq</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Irlanda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45</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Islandia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 xml:space="preserve">Islas Marshall </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Israel</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Italia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48</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Jamaica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Japón</w:t>
            </w:r>
            <w:hyperlink r:id="rId23" w:tooltip="Dagger (typography)" w:history="1">
              <w:r w:rsidRPr="00C721AB">
                <w:rPr>
                  <w:rStyle w:val="Hyperlink"/>
                  <w:rFonts w:ascii="Garamond" w:hAnsi="Garamond"/>
                  <w:color w:val="auto"/>
                  <w:sz w:val="22"/>
                  <w:szCs w:val="22"/>
                  <w:u w:val="none"/>
                  <w:vertAlign w:val="superscript"/>
                  <w:lang w:val="es-ES_tradnl"/>
                </w:rPr>
                <w:t>7</w:t>
              </w:r>
            </w:hyperlink>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29</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Jordania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Kazakstán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Kenya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Kirguistán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Kiribati</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Lesotho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Letonia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Líbano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Liberia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Libia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Liechtenstein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Lituania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Luxemburgo</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Madagascar</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Malasia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Malawi</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Mali</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Malta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Marruecos</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24</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Mauricio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Mauritania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México</w:t>
            </w:r>
          </w:p>
        </w:tc>
        <w:tc>
          <w:tcPr>
            <w:tcW w:w="1985" w:type="dxa"/>
            <w:shd w:val="clear" w:color="auto" w:fill="auto"/>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142</w:t>
            </w:r>
          </w:p>
        </w:tc>
        <w:tc>
          <w:tcPr>
            <w:tcW w:w="1984" w:type="dxa"/>
            <w:shd w:val="clear" w:color="auto" w:fill="auto"/>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64</w:t>
            </w:r>
          </w:p>
        </w:tc>
        <w:tc>
          <w:tcPr>
            <w:tcW w:w="2410" w:type="dxa"/>
            <w:shd w:val="clear" w:color="auto" w:fill="auto"/>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Mónaco</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Mongolia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Montenegro</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Mozambique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Myanmar</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Namibia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Nepal</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Nicaragua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7</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Níger</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Nigeria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Noruega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Nueva Zelandia</w:t>
            </w:r>
            <w:hyperlink r:id="rId24" w:tooltip="Dagger (typography)" w:history="1">
              <w:r w:rsidRPr="00C721AB">
                <w:rPr>
                  <w:rStyle w:val="Hyperlink"/>
                  <w:rFonts w:ascii="Garamond" w:hAnsi="Garamond"/>
                  <w:color w:val="auto"/>
                  <w:sz w:val="22"/>
                  <w:szCs w:val="22"/>
                  <w:u w:val="none"/>
                  <w:vertAlign w:val="superscript"/>
                  <w:lang w:val="es-ES_tradnl"/>
                </w:rPr>
                <w:t>7</w:t>
              </w:r>
            </w:hyperlink>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Omán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lastRenderedPageBreak/>
              <w:t>Países Bajos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Pakistán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19</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Palau</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Panamá</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1</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Papua Nueva Guinea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Paraguay</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Perú</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9</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Polonia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Portugal</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17</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Reino Unido</w:t>
            </w:r>
            <w:hyperlink r:id="rId25" w:tooltip="Dagger (typography)" w:history="1">
              <w:r w:rsidRPr="00C721AB">
                <w:rPr>
                  <w:rStyle w:val="Hyperlink"/>
                  <w:rFonts w:ascii="Garamond" w:hAnsi="Garamond"/>
                  <w:color w:val="auto"/>
                  <w:sz w:val="22"/>
                  <w:szCs w:val="22"/>
                  <w:u w:val="none"/>
                  <w:vertAlign w:val="superscript"/>
                  <w:lang w:val="es-ES_tradnl"/>
                </w:rPr>
                <w:t>7</w:t>
              </w:r>
            </w:hyperlink>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170</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163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Árabe de Siria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Centroafricana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Checa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de Corea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2</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de Moldova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Democrática del Congo</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Democrática Popular Lao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Dominicana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República Unida de Tanzanía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Rumania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19</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Rwanda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Samoa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Santa Lucía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Santo Tomé y Príncipe</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Senegal</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Serbia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Seychelles</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sz w:val="22"/>
                <w:szCs w:val="22"/>
                <w:lang w:val="es-ES_tradnl"/>
              </w:rPr>
            </w:pPr>
            <w:r w:rsidRPr="00C721AB">
              <w:rPr>
                <w:rFonts w:ascii="Calibri" w:hAnsi="Calibri"/>
                <w:sz w:val="22"/>
                <w:szCs w:val="22"/>
                <w:lang w:val="es-ES_tradnl"/>
              </w:rPr>
              <w:t>Sierra Leona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Sri Lanka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Sudáfrica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19</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Sudán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Sudán del Sur</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Suecia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32</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Suiza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Suriname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Swazilandia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Tailandia</w:t>
            </w:r>
            <w:hyperlink r:id="rId26" w:tooltip="Dagger (typography)" w:history="1">
              <w:r w:rsidRPr="00C721AB">
                <w:rPr>
                  <w:rStyle w:val="Hyperlink"/>
                  <w:rFonts w:ascii="Garamond" w:hAnsi="Garamond"/>
                  <w:color w:val="auto"/>
                  <w:sz w:val="22"/>
                  <w:szCs w:val="22"/>
                  <w:u w:val="none"/>
                  <w:vertAlign w:val="superscript"/>
                  <w:lang w:val="es-ES_tradnl"/>
                </w:rPr>
                <w:t>7</w:t>
              </w:r>
            </w:hyperlink>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13</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Tayikistán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Togo</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B43D37" w:rsidP="00E97789">
            <w:pPr>
              <w:rPr>
                <w:rFonts w:ascii="Calibri" w:hAnsi="Calibri"/>
                <w:color w:val="000000"/>
                <w:sz w:val="22"/>
                <w:szCs w:val="22"/>
                <w:lang w:val="es-ES_tradnl"/>
              </w:rPr>
            </w:pPr>
            <w:r>
              <w:rPr>
                <w:rFonts w:ascii="Calibri" w:hAnsi="Calibri"/>
                <w:color w:val="000000"/>
                <w:sz w:val="22"/>
                <w:szCs w:val="22"/>
                <w:lang w:val="es-ES_tradnl"/>
              </w:rPr>
              <w:t>Trinidad y</w:t>
            </w:r>
            <w:r w:rsidR="00E97789" w:rsidRPr="00C721AB">
              <w:rPr>
                <w:rFonts w:ascii="Calibri" w:hAnsi="Calibri"/>
                <w:color w:val="000000"/>
                <w:sz w:val="22"/>
                <w:szCs w:val="22"/>
                <w:lang w:val="es-ES_tradnl"/>
              </w:rPr>
              <w:t xml:space="preserve"> Tobago</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Túnez</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40</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20</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Turkmenistán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lastRenderedPageBreak/>
              <w:t>Turquía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14</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8</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Ucrania</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33</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33</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Uganda</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Uruguay</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Uzbekistán</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ind w:right="-199"/>
              <w:rPr>
                <w:rFonts w:ascii="Calibri" w:hAnsi="Calibri"/>
                <w:color w:val="000000"/>
                <w:sz w:val="22"/>
                <w:szCs w:val="22"/>
                <w:lang w:val="es-ES_tradnl"/>
              </w:rPr>
            </w:pPr>
            <w:r w:rsidRPr="00C721AB">
              <w:rPr>
                <w:rFonts w:ascii="Calibri" w:hAnsi="Calibri"/>
                <w:color w:val="000000"/>
                <w:sz w:val="22"/>
                <w:szCs w:val="22"/>
                <w:lang w:val="es-ES_tradnl"/>
              </w:rPr>
              <w:t>Venezuela (República Bolivariana de)</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5</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Viet Nam</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6</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2</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Yemen</w:t>
            </w:r>
          </w:p>
        </w:tc>
        <w:tc>
          <w:tcPr>
            <w:tcW w:w="1985"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1</w:t>
            </w:r>
          </w:p>
        </w:tc>
        <w:tc>
          <w:tcPr>
            <w:tcW w:w="1984"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0</w:t>
            </w:r>
          </w:p>
        </w:tc>
        <w:tc>
          <w:tcPr>
            <w:tcW w:w="241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3" w:type="dxa"/>
            <w:noWrap/>
          </w:tcPr>
          <w:p w:rsidR="00E97789" w:rsidRPr="00C721AB" w:rsidRDefault="00E97789" w:rsidP="00E97789">
            <w:pPr>
              <w:rPr>
                <w:rFonts w:ascii="Calibri" w:hAnsi="Calibri"/>
                <w:color w:val="000000"/>
                <w:sz w:val="22"/>
                <w:szCs w:val="22"/>
                <w:lang w:val="es-ES_tradnl"/>
              </w:rPr>
            </w:pPr>
            <w:r w:rsidRPr="00C721AB">
              <w:rPr>
                <w:rFonts w:ascii="Calibri" w:hAnsi="Calibri"/>
                <w:color w:val="000000"/>
                <w:sz w:val="22"/>
                <w:szCs w:val="22"/>
                <w:lang w:val="es-ES_tradnl"/>
              </w:rPr>
              <w:t>Zimbabwe</w:t>
            </w:r>
          </w:p>
        </w:tc>
        <w:tc>
          <w:tcPr>
            <w:tcW w:w="1985"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1984"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rPr>
            </w:pPr>
            <w:r w:rsidRPr="00C721AB">
              <w:rPr>
                <w:rFonts w:ascii="Calibri" w:hAnsi="Calibri"/>
                <w:color w:val="000000"/>
                <w:sz w:val="22"/>
                <w:szCs w:val="22"/>
                <w:lang w:val="es-ES_tradnl"/>
              </w:rPr>
              <w:t>7</w:t>
            </w:r>
          </w:p>
        </w:tc>
        <w:tc>
          <w:tcPr>
            <w:tcW w:w="2410" w:type="dxa"/>
            <w:noWrap/>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Garamond" w:hAnsi="Garamond" w:cs="Arial"/>
                <w:sz w:val="22"/>
                <w:szCs w:val="22"/>
                <w:lang w:val="es-ES_tradnl"/>
              </w:rPr>
            </w:pPr>
            <w:r w:rsidRPr="00C721AB">
              <w:rPr>
                <w:rFonts w:ascii="Garamond" w:hAnsi="Garamond" w:cs="Arial"/>
                <w:sz w:val="22"/>
                <w:szCs w:val="22"/>
                <w:lang w:val="es-ES_tradnl"/>
              </w:rPr>
              <w:t>0</w:t>
            </w:r>
          </w:p>
        </w:tc>
      </w:tr>
    </w:tbl>
    <w:p w:rsidR="00E97789" w:rsidRPr="00C721AB" w:rsidRDefault="00E97789" w:rsidP="00E97789">
      <w:pPr>
        <w:pStyle w:val="BodyText"/>
        <w:spacing w:after="0"/>
        <w:rPr>
          <w:rFonts w:ascii="Garamond" w:hAnsi="Garamond"/>
          <w:lang w:val="es-ES_tradnl"/>
        </w:rPr>
      </w:pPr>
    </w:p>
    <w:p w:rsidR="00E97789" w:rsidRPr="00C721AB" w:rsidRDefault="00E97789" w:rsidP="00E97789">
      <w:pPr>
        <w:tabs>
          <w:tab w:val="right" w:pos="9026"/>
        </w:tabs>
        <w:suppressAutoHyphens/>
        <w:ind w:left="567" w:hanging="567"/>
        <w:jc w:val="center"/>
        <w:rPr>
          <w:rFonts w:ascii="Garamond" w:hAnsi="Garamond"/>
          <w:color w:val="000000"/>
          <w:szCs w:val="24"/>
          <w:lang w:val="es-ES_tradnl"/>
        </w:rPr>
      </w:pPr>
    </w:p>
    <w:p w:rsidR="00E97789" w:rsidRPr="00C721AB" w:rsidRDefault="00E97789" w:rsidP="00E97789">
      <w:pPr>
        <w:tabs>
          <w:tab w:val="right" w:pos="9026"/>
        </w:tabs>
        <w:suppressAutoHyphens/>
        <w:ind w:left="567" w:hanging="567"/>
        <w:jc w:val="center"/>
        <w:rPr>
          <w:rFonts w:ascii="Garamond" w:hAnsi="Garamond"/>
          <w:color w:val="000000"/>
          <w:szCs w:val="24"/>
          <w:lang w:val="es-ES_tradnl"/>
        </w:rPr>
      </w:pPr>
    </w:p>
    <w:p w:rsidR="00E97789" w:rsidRPr="00C721AB" w:rsidRDefault="00E97789" w:rsidP="00E97789">
      <w:pPr>
        <w:tabs>
          <w:tab w:val="right" w:pos="9026"/>
        </w:tabs>
        <w:suppressAutoHyphens/>
        <w:ind w:left="567" w:hanging="567"/>
        <w:jc w:val="center"/>
        <w:rPr>
          <w:rFonts w:ascii="Garamond" w:hAnsi="Garamond"/>
          <w:color w:val="000000"/>
          <w:szCs w:val="24"/>
          <w:lang w:val="es-ES_tradnl"/>
        </w:rPr>
        <w:sectPr w:rsidR="00E97789" w:rsidRPr="00C721AB" w:rsidSect="009C4908">
          <w:headerReference w:type="first" r:id="rId27"/>
          <w:footerReference w:type="first" r:id="rId28"/>
          <w:pgSz w:w="11907" w:h="16839" w:code="9"/>
          <w:pgMar w:top="1440" w:right="1440" w:bottom="1440" w:left="1440" w:header="709" w:footer="708" w:gutter="0"/>
          <w:cols w:space="708"/>
          <w:titlePg/>
          <w:docGrid w:linePitch="360"/>
        </w:sectPr>
      </w:pPr>
    </w:p>
    <w:p w:rsidR="00E97789" w:rsidRPr="00C721AB" w:rsidRDefault="00E97789" w:rsidP="00E97789">
      <w:pPr>
        <w:tabs>
          <w:tab w:val="right" w:pos="9026"/>
        </w:tabs>
        <w:suppressAutoHyphens/>
        <w:ind w:left="567" w:hanging="567"/>
        <w:rPr>
          <w:rFonts w:ascii="Calibri" w:hAnsi="Calibri"/>
          <w:color w:val="000000"/>
          <w:sz w:val="26"/>
          <w:szCs w:val="26"/>
          <w:lang w:val="es-ES_tradnl"/>
        </w:rPr>
      </w:pPr>
      <w:r w:rsidRPr="00C721AB">
        <w:rPr>
          <w:rFonts w:ascii="Calibri" w:hAnsi="Calibri"/>
          <w:b/>
          <w:color w:val="000000"/>
          <w:sz w:val="26"/>
          <w:szCs w:val="26"/>
          <w:lang w:val="es-ES_tradnl"/>
        </w:rPr>
        <w:lastRenderedPageBreak/>
        <w:t xml:space="preserve">Anexo 4a </w:t>
      </w: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rPr>
          <w:rFonts w:asciiTheme="minorHAnsi" w:hAnsiTheme="minorHAnsi"/>
          <w:b/>
          <w:szCs w:val="24"/>
          <w:lang w:val="es-ES_tradnl"/>
        </w:rPr>
      </w:pPr>
      <w:r w:rsidRPr="00C721AB">
        <w:rPr>
          <w:rFonts w:ascii="Calibri" w:hAnsi="Calibri"/>
          <w:b/>
          <w:szCs w:val="24"/>
          <w:lang w:val="es-ES_tradnl"/>
        </w:rPr>
        <w:t xml:space="preserve">Estado del los sitios Ramsar sobre los que existen informes de que han ocurrido, están ocurriendo o es probable que ocurran cambios negativos inducidos por la actividad humana </w:t>
      </w:r>
      <w:r w:rsidRPr="00C721AB">
        <w:rPr>
          <w:rFonts w:asciiTheme="minorHAnsi" w:hAnsiTheme="minorHAnsi"/>
          <w:b/>
          <w:szCs w:val="24"/>
          <w:lang w:val="es-ES_tradnl"/>
        </w:rPr>
        <w:t>(Artículo 3.2)</w:t>
      </w:r>
    </w:p>
    <w:p w:rsidR="00E97789" w:rsidRPr="00C721AB" w:rsidRDefault="00E97789" w:rsidP="00E97789">
      <w:pPr>
        <w:tabs>
          <w:tab w:val="right" w:pos="9026"/>
        </w:tabs>
        <w:suppressAutoHyphens/>
        <w:rPr>
          <w:rFonts w:asciiTheme="minorHAnsi" w:hAnsiTheme="minorHAnsi"/>
          <w:b/>
          <w:color w:val="FF0000"/>
          <w:szCs w:val="24"/>
          <w:lang w:val="es-ES_tradnl"/>
        </w:rPr>
      </w:pPr>
    </w:p>
    <w:p w:rsidR="00E97789" w:rsidRPr="00C721AB" w:rsidRDefault="00E97789" w:rsidP="00E97789">
      <w:pPr>
        <w:tabs>
          <w:tab w:val="right" w:pos="9026"/>
        </w:tabs>
        <w:suppressAutoHyphens/>
        <w:jc w:val="both"/>
        <w:rPr>
          <w:rFonts w:ascii="Calibri" w:hAnsi="Calibri"/>
          <w:b/>
          <w:sz w:val="22"/>
          <w:szCs w:val="22"/>
          <w:lang w:val="es-ES_tradnl"/>
        </w:rPr>
      </w:pPr>
      <w:r w:rsidRPr="00C721AB">
        <w:rPr>
          <w:rFonts w:asciiTheme="minorHAnsi" w:hAnsiTheme="minorHAnsi"/>
          <w:sz w:val="22"/>
          <w:szCs w:val="22"/>
          <w:lang w:val="es-ES_tradnl"/>
        </w:rPr>
        <w:t xml:space="preserve">Expedientes abiertos sobre los que la Secretaría o la Autoridad Administrativa </w:t>
      </w:r>
      <w:proofErr w:type="gramStart"/>
      <w:r w:rsidRPr="00C721AB">
        <w:rPr>
          <w:rFonts w:asciiTheme="minorHAnsi" w:hAnsiTheme="minorHAnsi"/>
          <w:sz w:val="22"/>
          <w:szCs w:val="22"/>
          <w:lang w:val="es-ES_tradnl"/>
        </w:rPr>
        <w:t>recibió</w:t>
      </w:r>
      <w:proofErr w:type="gramEnd"/>
      <w:r w:rsidRPr="00C721AB">
        <w:rPr>
          <w:rFonts w:asciiTheme="minorHAnsi" w:hAnsiTheme="minorHAnsi"/>
          <w:sz w:val="22"/>
          <w:szCs w:val="22"/>
          <w:lang w:val="es-ES_tradnl"/>
        </w:rPr>
        <w:t xml:space="preserve"> la información y la Secretaría ha realizado un seguimiento. Esta lista contiene expedientes abiertos del Artículo 3.2 vigentes hasta la COP11 (inclusive) y expedientes cerrados del Artículo 3.2 desde la COP11.</w:t>
      </w:r>
    </w:p>
    <w:p w:rsidR="00E97789" w:rsidRPr="00C721AB" w:rsidRDefault="00E97789" w:rsidP="00E97789">
      <w:pPr>
        <w:tabs>
          <w:tab w:val="right" w:pos="9026"/>
        </w:tabs>
        <w:suppressAutoHyphens/>
        <w:ind w:left="567" w:hanging="567"/>
        <w:rPr>
          <w:rFonts w:ascii="Calibri" w:hAnsi="Calibri"/>
          <w:b/>
          <w:color w:val="000000"/>
          <w:sz w:val="22"/>
          <w:szCs w:val="22"/>
          <w:lang w:val="es-ES_tradnl"/>
        </w:rPr>
      </w:pPr>
    </w:p>
    <w:tbl>
      <w:tblPr>
        <w:tblStyle w:val="LightList-Accent11"/>
        <w:tblW w:w="14567" w:type="dxa"/>
        <w:tblLayout w:type="fixed"/>
        <w:tblLook w:val="04A0" w:firstRow="1" w:lastRow="0" w:firstColumn="1" w:lastColumn="0" w:noHBand="0" w:noVBand="1"/>
      </w:tblPr>
      <w:tblGrid>
        <w:gridCol w:w="674"/>
        <w:gridCol w:w="1276"/>
        <w:gridCol w:w="1984"/>
        <w:gridCol w:w="1417"/>
        <w:gridCol w:w="1422"/>
        <w:gridCol w:w="1130"/>
        <w:gridCol w:w="2978"/>
        <w:gridCol w:w="2835"/>
        <w:gridCol w:w="851"/>
      </w:tblGrid>
      <w:tr w:rsidR="00E97789" w:rsidRPr="00C721AB" w:rsidTr="00464F75">
        <w:trPr>
          <w:cnfStyle w:val="100000000000" w:firstRow="1" w:lastRow="0" w:firstColumn="0" w:lastColumn="0" w:oddVBand="0" w:evenVBand="0" w:oddHBand="0" w:evenHBand="0" w:firstRowFirstColumn="0" w:firstRowLastColumn="0" w:lastRowFirstColumn="0" w:lastRowLastColumn="0"/>
          <w:cantSplit/>
          <w:trHeight w:val="1200"/>
          <w:tblHeader/>
        </w:trPr>
        <w:tc>
          <w:tcPr>
            <w:cnfStyle w:val="001000000000" w:firstRow="0" w:lastRow="0" w:firstColumn="1" w:lastColumn="0" w:oddVBand="0" w:evenVBand="0" w:oddHBand="0" w:evenHBand="0" w:firstRowFirstColumn="0" w:firstRowLastColumn="0" w:lastRowFirstColumn="0" w:lastRowLastColumn="0"/>
            <w:tcW w:w="674" w:type="dxa"/>
            <w:shd w:val="clear" w:color="auto" w:fill="C6D9F1" w:themeFill="text2" w:themeFillTint="33"/>
            <w:hideMark/>
          </w:tcPr>
          <w:p w:rsidR="00E97789" w:rsidRPr="00C721AB" w:rsidRDefault="00E97789" w:rsidP="00464F75">
            <w:pPr>
              <w:jc w:val="center"/>
              <w:rPr>
                <w:rFonts w:ascii="Calibri" w:hAnsi="Calibri"/>
                <w:color w:val="000000"/>
                <w:sz w:val="22"/>
                <w:szCs w:val="22"/>
                <w:lang w:val="es-ES_tradnl" w:eastAsia="en-GB"/>
              </w:rPr>
            </w:pPr>
            <w:r w:rsidRPr="00C721AB">
              <w:rPr>
                <w:rFonts w:ascii="Calibri" w:hAnsi="Calibri"/>
                <w:color w:val="000000"/>
                <w:sz w:val="22"/>
                <w:szCs w:val="22"/>
                <w:lang w:val="es-ES_tradnl" w:eastAsia="en-GB"/>
              </w:rPr>
              <w:t>Nº del sitio</w:t>
            </w:r>
          </w:p>
        </w:tc>
        <w:tc>
          <w:tcPr>
            <w:tcW w:w="1276" w:type="dxa"/>
            <w:shd w:val="clear" w:color="auto" w:fill="C6D9F1" w:themeFill="text2" w:themeFillTint="33"/>
            <w:hideMark/>
          </w:tcPr>
          <w:p w:rsidR="00E97789" w:rsidRPr="00C721AB" w:rsidRDefault="00E97789" w:rsidP="00464F75">
            <w:pPr>
              <w:ind w:right="-251"/>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Parte Contratante</w:t>
            </w:r>
          </w:p>
        </w:tc>
        <w:tc>
          <w:tcPr>
            <w:tcW w:w="1984"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Nombre del sitio</w:t>
            </w:r>
          </w:p>
        </w:tc>
        <w:tc>
          <w:tcPr>
            <w:tcW w:w="1417"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Fecha de apertura</w:t>
            </w:r>
          </w:p>
        </w:tc>
        <w:tc>
          <w:tcPr>
            <w:tcW w:w="1422"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Fecha de cierre</w:t>
            </w:r>
          </w:p>
        </w:tc>
        <w:tc>
          <w:tcPr>
            <w:tcW w:w="1130"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Registro de Montreux</w:t>
            </w:r>
          </w:p>
        </w:tc>
        <w:tc>
          <w:tcPr>
            <w:tcW w:w="2978"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Breve resumen del problema</w:t>
            </w:r>
          </w:p>
        </w:tc>
        <w:tc>
          <w:tcPr>
            <w:tcW w:w="2835" w:type="dxa"/>
            <w:shd w:val="clear" w:color="auto" w:fill="C6D9F1" w:themeFill="text2" w:themeFillTint="33"/>
            <w:hideMark/>
          </w:tcPr>
          <w:p w:rsidR="00E97789" w:rsidRPr="00C721AB" w:rsidRDefault="00E97789" w:rsidP="00464F75">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Estado a 28 de agosto de 2014</w:t>
            </w:r>
          </w:p>
        </w:tc>
        <w:tc>
          <w:tcPr>
            <w:tcW w:w="851" w:type="dxa"/>
            <w:shd w:val="clear" w:color="auto" w:fill="C6D9F1" w:themeFill="text2" w:themeFillTint="33"/>
            <w:hideMark/>
          </w:tcPr>
          <w:p w:rsidR="00E97789" w:rsidRPr="00C721AB" w:rsidRDefault="00E97789" w:rsidP="00464F75">
            <w:pPr>
              <w:ind w:left="-108"/>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Primer informe por </w:t>
            </w:r>
            <w:r w:rsidRPr="00C721AB">
              <w:rPr>
                <w:rStyle w:val="FootnoteReference"/>
                <w:rFonts w:ascii="Calibri" w:hAnsi="Calibri"/>
                <w:color w:val="000000"/>
                <w:sz w:val="22"/>
                <w:szCs w:val="22"/>
                <w:lang w:val="es-ES_tradnl" w:eastAsia="en-GB"/>
              </w:rPr>
              <w:footnoteReference w:id="8"/>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1290</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Albania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Butrint</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12/10/2009</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Desarrollos urbanísticos, piscifactoría, nueva carretera. Confirmado por la AA.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1598</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Albania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Lake Shkodra and River Buna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14/03/2008</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Desarrollos urbanísticos, eliminación de vegetación. 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Alemania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Wattenmeer, Ostfriesisches Wattenmeer &amp; Dollart</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Planes de represa. MRA 19 (septiembre de 1990)</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2010 para cerrar este expediente. El cambio en las características ecológicas se está tratando activamente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561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Alemania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Mühlenberger Loch</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23/01/2001</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Reducción del sitio debido a la expansión industrial. MRA 46 (septiembre de 2001)</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759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Argentina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de Llancanelo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02/07/2001</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Posible cambio en las características ecológicas debido a actividades petroleras, especies invasoras y desvío de cuenca del Río Grande al río Atuel.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AA está tratando activamente el cambio en las características ecológicas. Última información en Informe Nacional a la COP12.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620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Armenia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Sevan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 orgánica del agua, disminución de poblaciones de peces. Comunicado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septiembre de 2013. La sobrepesca continúa, pero la calidad del agua ha mejorado.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321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984"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The Coorong, lakes Alexandrina and Albert Wetlands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13/05/2007</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sitio se ha deteriorado debido a una sequía prolongada en el río Murray causada por la disminución de las precipitaciones pluviales y la asignación excesiva de agua para la agricultura y el uso urbano.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 AA ha proporcionado actualizaciones de la situación en abril de 2013 y marzo de 2014.</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337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Macquarie Marshes</w:t>
            </w:r>
          </w:p>
        </w:tc>
        <w:tc>
          <w:tcPr>
            <w:tcW w:w="1417"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20/07/2009</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Reducción de la frecuencia de las inundaciones; disminuciones de la diversidad, distribución y salud de importantes comunidades de vegetación de los humedales; desaparición de praderas y colonización por especies de secano.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 estrategia de respuesta se dio a conocer en marzo de 2013 y se está implementando en la actualidad. Última actualización de la AA en marzo de 2014.</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272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Donau-March-Thaya-Auen</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30/06/2005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Planificación de infraestructuras de transporte. </w:t>
            </w:r>
            <w:r w:rsidRPr="00C721AB">
              <w:rPr>
                <w:rFonts w:ascii="Calibri" w:hAnsi="Calibri"/>
                <w:sz w:val="22"/>
                <w:szCs w:val="22"/>
                <w:lang w:val="es-ES_tradnl" w:eastAsia="en-GB"/>
              </w:rPr>
              <w:t>MRA</w:t>
            </w:r>
            <w:r w:rsidRPr="00C721AB">
              <w:rPr>
                <w:rFonts w:ascii="Calibri" w:hAnsi="Calibri"/>
                <w:color w:val="FF0000"/>
                <w:sz w:val="22"/>
                <w:szCs w:val="22"/>
                <w:lang w:val="es-ES_tradnl" w:eastAsia="en-GB"/>
              </w:rPr>
              <w:t xml:space="preserve"> </w:t>
            </w:r>
            <w:r w:rsidRPr="00C721AB">
              <w:rPr>
                <w:rFonts w:ascii="Calibri" w:hAnsi="Calibri"/>
                <w:color w:val="000000"/>
                <w:sz w:val="22"/>
                <w:szCs w:val="22"/>
                <w:lang w:val="es-ES_tradnl" w:eastAsia="en-GB"/>
              </w:rPr>
              <w:t>22 (abril de 1991)</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2010. El posible problema se ha abordado, pero no se ha resuelto; el problema puede aparecer de nuevo o se puede volver más agudo en el futuro.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273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Untere Lobau</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30/06/2005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Canal de navegación planificado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1076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Azerbaiyán</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Ghizil-Agaj</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2001</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327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Bélgica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Schorren van de Beneden Schelde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22/12/1987</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Reducción del nivel freático y eutrofización. MRA 1 (febrero de 1988)</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329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Bélgica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 Ijzerbroeken te Diksmuide en Lo-Renige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30/06/2005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Reducción de la cantidad y calidad del agua.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1562</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Belice</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Sarstoon Temash National Park</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20/05/2009</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Concesión para realizar pruebas sísmicas de petróleo y gas natural.</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visita al país en octubre de 2013.</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1105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Bosnia y Herzegovina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Hutovo Blato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31/08/2010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Una nueva carretera que atraviesa el sitio Ramsar, caza furtiva de aves, desarrollos urbanísticos.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2012. El cambio en las características ecológicas se está abordando parcialmente según FIR actualizada en 2012.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602</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Brasil</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Pantanal Matogrossense State Park</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23/09/2013</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05/09/2014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Amenazas al Pantanal debido a la construcción, planificación y el funcionamiento de 87 represas que podrían </w:t>
            </w:r>
            <w:r w:rsidRPr="00C721AB">
              <w:rPr>
                <w:rFonts w:ascii="Calibri" w:hAnsi="Calibri"/>
                <w:sz w:val="22"/>
                <w:szCs w:val="22"/>
                <w:lang w:val="es-ES_tradnl" w:eastAsia="en-GB"/>
              </w:rPr>
              <w:t>afectar a sus características</w:t>
            </w:r>
            <w:r w:rsidRPr="00C721AB">
              <w:rPr>
                <w:rFonts w:ascii="Calibri" w:hAnsi="Calibri"/>
                <w:color w:val="000000"/>
                <w:sz w:val="22"/>
                <w:szCs w:val="22"/>
                <w:lang w:val="es-ES_tradnl" w:eastAsia="en-GB"/>
              </w:rPr>
              <w:t xml:space="preserve"> ecológicas por un efecto acumulativo.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Última información en Informe Nacional a la COP12.  </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AA trató activamente los temas cerrados.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1270</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Brasil</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Reserva Particular do Patrimonio Natural SESC Pantanal</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23/09/2013</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05/09/2014</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Amenazas al Pantanal debido a la construcción, planificación y el funcionamiento </w:t>
            </w:r>
            <w:r w:rsidRPr="00C721AB">
              <w:rPr>
                <w:rFonts w:ascii="Calibri" w:hAnsi="Calibri"/>
                <w:sz w:val="22"/>
                <w:szCs w:val="22"/>
                <w:lang w:val="es-ES_tradnl" w:eastAsia="en-GB"/>
              </w:rPr>
              <w:t>de 87 represas que podrían afectar a sus características</w:t>
            </w:r>
            <w:r w:rsidRPr="00C721AB">
              <w:rPr>
                <w:rFonts w:ascii="Calibri" w:hAnsi="Calibri"/>
                <w:color w:val="000000"/>
                <w:sz w:val="22"/>
                <w:szCs w:val="22"/>
                <w:lang w:val="es-ES_tradnl" w:eastAsia="en-GB"/>
              </w:rPr>
              <w:t xml:space="preserve"> ecológicas por un efecto acumulativo.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Última información en Informe Nacional a la COP12.  La AA trató activamente los temas cerrados.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1864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Brasil</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Reserva Particular del Patrimonio Natural (RPPN) Fazenda Rio Negro</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23/09/2013</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05/09/2014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Amenazas al Pantanal debido a la construcción, la planificación y el funcionamiento de 87 represas que podrían afectar a sus características ecológicas por un efecto acumulativo.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Última información en Informe Nacional a la COP12.  La AA trató activamente los temas cerrados.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Bulgaria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Srebarna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02/04/1992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Erosión del lecho del río, eutrofización, sucesión de la vegetación. </w:t>
            </w:r>
            <w:r w:rsidRPr="00C721AB">
              <w:rPr>
                <w:rFonts w:ascii="Calibri" w:hAnsi="Calibri"/>
                <w:sz w:val="22"/>
                <w:szCs w:val="22"/>
                <w:lang w:val="es-ES_tradnl" w:eastAsia="en-GB"/>
              </w:rPr>
              <w:t>MRA</w:t>
            </w:r>
            <w:r w:rsidRPr="00C721AB">
              <w:rPr>
                <w:rFonts w:ascii="Calibri" w:hAnsi="Calibri"/>
                <w:color w:val="FF0000"/>
                <w:sz w:val="22"/>
                <w:szCs w:val="22"/>
                <w:lang w:val="es-ES_tradnl" w:eastAsia="en-GB"/>
              </w:rPr>
              <w:t xml:space="preserve"> </w:t>
            </w:r>
            <w:r w:rsidRPr="00C721AB">
              <w:rPr>
                <w:rFonts w:ascii="Calibri" w:hAnsi="Calibri"/>
                <w:color w:val="000000"/>
                <w:sz w:val="22"/>
                <w:szCs w:val="22"/>
                <w:lang w:val="es-ES_tradnl" w:eastAsia="en-GB"/>
              </w:rPr>
              <w:t>28 (abril de 1992). MRA 47 (octubre de 2001)</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una FIR actualizada el 31/10/13. Amenazas en curso. Implementación de iniciativas de conservación y reforestación.</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239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Bulgaria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Durankulak Lake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Parque eólico planificado en el sitio.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2010. Informe sobre nueva amenaza en 2013. EIA realizada, pero el </w:t>
            </w:r>
            <w:r w:rsidRPr="00C721AB">
              <w:rPr>
                <w:rFonts w:ascii="Calibri" w:hAnsi="Calibri"/>
                <w:sz w:val="22"/>
                <w:szCs w:val="22"/>
                <w:lang w:val="es-ES_tradnl" w:eastAsia="en-GB"/>
              </w:rPr>
              <w:t>AEWA</w:t>
            </w:r>
            <w:r w:rsidRPr="00C721AB">
              <w:rPr>
                <w:rFonts w:ascii="Calibri" w:hAnsi="Calibri"/>
                <w:color w:val="000000"/>
                <w:sz w:val="22"/>
                <w:szCs w:val="22"/>
                <w:lang w:val="es-ES_tradnl" w:eastAsia="en-GB"/>
              </w:rPr>
              <w:t xml:space="preserve"> solicitó al Subministerio de Medio Ambiente una revisión de la EIA.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222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Chile</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Carlos Anwandter Sanctuary</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06/10/2006</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Elevada mortalidad de cisnes de cuello negro relacionada con impactos derivados de la descarga de desechos de una fábrica de celulosa aguas arriba.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cambio en las características ecológicas se está tratando activamente. Última información en Informe Nacional a la COP12.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877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 xml:space="preserve">Chile </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Santa Rosa y Negro Francisco</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28/08/2014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highlight w:val="yellow"/>
                <w:lang w:val="es-ES_tradnl" w:eastAsia="en-GB"/>
              </w:rPr>
            </w:pPr>
            <w:r w:rsidRPr="00C721AB">
              <w:rPr>
                <w:rFonts w:ascii="Calibri" w:hAnsi="Calibri"/>
                <w:color w:val="000000"/>
                <w:sz w:val="22"/>
                <w:szCs w:val="22"/>
                <w:lang w:val="es-ES_tradnl" w:eastAsia="en-GB"/>
              </w:rPr>
              <w:t xml:space="preserve">Cambio en las características ecológicas por actividades de minería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cambio en las características ecológicas se está tratando activamente. Última información en Informe Nacional a la COP12.</w:t>
            </w:r>
          </w:p>
        </w:tc>
        <w:tc>
          <w:tcPr>
            <w:tcW w:w="851" w:type="dxa"/>
            <w:noWrap/>
            <w:hideMark/>
          </w:tcPr>
          <w:p w:rsidR="00E97789" w:rsidRPr="00C721AB" w:rsidRDefault="00AB5EEE"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951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Colombia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Sistema Lagunar Ciénaga Grande de Santa Marta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01/09/2004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Desarrollo de una instalación portuaria de usos múltiples en Palermo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Temas cerrados resueltos.   </w:t>
            </w:r>
          </w:p>
        </w:tc>
        <w:tc>
          <w:tcPr>
            <w:tcW w:w="851" w:type="dxa"/>
            <w:noWrap/>
            <w:hideMark/>
          </w:tcPr>
          <w:p w:rsidR="00E97789" w:rsidRPr="00C721AB" w:rsidRDefault="00AB5EEE"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540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Costa Rica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Palo Verde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Cambios en las características ecológicas del </w:t>
            </w:r>
            <w:r w:rsidRPr="00C721AB">
              <w:rPr>
                <w:rFonts w:ascii="Calibri" w:hAnsi="Calibri"/>
                <w:sz w:val="22"/>
                <w:szCs w:val="22"/>
                <w:lang w:val="es-ES_tradnl" w:eastAsia="en-GB"/>
              </w:rPr>
              <w:t>sitio y sobre todo en sus características hidrológicas</w:t>
            </w:r>
            <w:r w:rsidRPr="00C721AB">
              <w:rPr>
                <w:rFonts w:ascii="Calibri" w:hAnsi="Calibri"/>
                <w:color w:val="000000"/>
                <w:sz w:val="22"/>
                <w:szCs w:val="22"/>
                <w:lang w:val="es-ES_tradnl" w:eastAsia="en-GB"/>
              </w:rPr>
              <w:t xml:space="preserve"> debido a actividades agrícolas y ganaderas en los alrededores.</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cambio en las características ecológicas se está tratando activamente.</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811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Costa Rica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Caribe Nordeste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15/11/2010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Cambio en las características ecológicas por canales artificiales abiertos.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marzo de 2014. Seguimiento en curso por la Secretaría en base a las sentencias de la Corte Internacional de Justicia.</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583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Croacia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Kopacki Rit</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29/03/2005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Deforestación, drenaje, caza furtiva. MRA 55 (septiembre de 2005)</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585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Croacia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Delta Neretve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25/06/1905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Planificación de tres centrales hidroeléctricas, proyectos de irrigación</w:t>
            </w:r>
            <w:r w:rsidRPr="00C721AB">
              <w:rPr>
                <w:rFonts w:ascii="Calibri" w:hAnsi="Calibri"/>
                <w:sz w:val="22"/>
                <w:szCs w:val="22"/>
                <w:lang w:val="es-ES_tradnl" w:eastAsia="en-GB"/>
              </w:rPr>
              <w:t>, desarrollos urbanísticos, quema de juncos y cañas, caza ilegal.</w:t>
            </w: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Dinamarca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Ringkøbing Fjord</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12/06/1905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El aumento de la eutrofización conduce a la disminución de </w:t>
            </w:r>
            <w:r w:rsidRPr="00C721AB">
              <w:rPr>
                <w:rFonts w:ascii="Calibri" w:hAnsi="Calibri"/>
                <w:sz w:val="22"/>
                <w:szCs w:val="22"/>
                <w:lang w:val="es-ES_tradnl" w:eastAsia="en-GB"/>
              </w:rPr>
              <w:t>poblaciones de aves acuáticas que hacen escala o</w:t>
            </w:r>
            <w:r w:rsidRPr="00C721AB">
              <w:rPr>
                <w:rFonts w:ascii="Calibri" w:hAnsi="Calibri"/>
                <w:color w:val="000000"/>
                <w:sz w:val="22"/>
                <w:szCs w:val="22"/>
                <w:lang w:val="es-ES_tradnl" w:eastAsia="en-GB"/>
              </w:rPr>
              <w:t xml:space="preserve"> invernan en el sitio. MRA 36 (septiembre de 1996)</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octubre de 2013.</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389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Dinamarca</w:t>
            </w:r>
          </w:p>
        </w:tc>
        <w:tc>
          <w:tcPr>
            <w:tcW w:w="1984"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Heden on Jameson Land (Greenland)</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28/04/2008</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Construcción de carretera, pista y puerto en la zona de muda más importante de la barnacla cariblanca</w:t>
            </w:r>
            <w:r w:rsidRPr="00C721AB">
              <w:rPr>
                <w:rFonts w:ascii="Calibri" w:hAnsi="Calibri"/>
                <w:color w:val="000000"/>
                <w:sz w:val="22"/>
                <w:szCs w:val="22"/>
                <w:lang w:val="es-ES_tradnl" w:eastAsia="en-GB"/>
              </w:rPr>
              <w:t>.</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Confirmado por la AA. MRA 61 (junio de 2009)</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407</w:t>
            </w:r>
          </w:p>
        </w:tc>
        <w:tc>
          <w:tcPr>
            <w:tcW w:w="1276"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Egipto</w:t>
            </w:r>
          </w:p>
        </w:tc>
        <w:tc>
          <w:tcPr>
            <w:tcW w:w="1984"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Bardawil</w:t>
            </w:r>
          </w:p>
        </w:tc>
        <w:tc>
          <w:tcPr>
            <w:tcW w:w="1417"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422"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Efecto del cierre de los canales entre la laguna y el mar.</w:t>
            </w:r>
          </w:p>
        </w:tc>
        <w:tc>
          <w:tcPr>
            <w:tcW w:w="2835"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408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Egipto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Burullis</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1715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Emiratos Árabes Unidos</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Ras al Khor</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15/04/2013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apertura del Business Bay Canal está causando posibles cambios en la salinidad y la hidrodinámica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información adicional en agosto; se están monitoreando las características ecológicas del sitio.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586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Eslovenia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Secovlje salt pans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05/03/2007</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Caza ilegal.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991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Eslovenia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Skocjan Caves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27/04/2007</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Implementación del plan nacional </w:t>
            </w:r>
            <w:r w:rsidRPr="00C721AB">
              <w:rPr>
                <w:rFonts w:ascii="Calibri" w:hAnsi="Calibri"/>
                <w:sz w:val="22"/>
                <w:szCs w:val="22"/>
                <w:lang w:val="es-ES_tradnl" w:eastAsia="en-GB"/>
              </w:rPr>
              <w:t>para la ubicación del suministro</w:t>
            </w:r>
            <w:r w:rsidRPr="00C721AB">
              <w:rPr>
                <w:rFonts w:ascii="Calibri" w:hAnsi="Calibri"/>
                <w:color w:val="000000"/>
                <w:sz w:val="22"/>
                <w:szCs w:val="22"/>
                <w:lang w:val="es-ES_tradnl" w:eastAsia="en-GB"/>
              </w:rPr>
              <w:t xml:space="preserve"> de agua potable. 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234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Doñana</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Agricultura intensiva, construcción </w:t>
            </w:r>
            <w:r w:rsidRPr="00C721AB">
              <w:rPr>
                <w:rFonts w:ascii="Calibri" w:hAnsi="Calibri"/>
                <w:sz w:val="22"/>
                <w:szCs w:val="22"/>
                <w:lang w:val="es-ES_tradnl" w:eastAsia="en-GB"/>
              </w:rPr>
              <w:t>de represas, contaminación</w:t>
            </w:r>
            <w:r w:rsidRPr="00C721AB">
              <w:rPr>
                <w:rFonts w:ascii="Calibri" w:hAnsi="Calibri"/>
                <w:color w:val="000000"/>
                <w:sz w:val="22"/>
                <w:szCs w:val="22"/>
                <w:lang w:val="es-ES_tradnl" w:eastAsia="en-GB"/>
              </w:rPr>
              <w:t xml:space="preserve">, sobrepesca, sobreexplotación de los acuíferos, presiones del turismo, drenaje, explotación de gas y petróleo, </w:t>
            </w:r>
            <w:r w:rsidRPr="00C721AB">
              <w:rPr>
                <w:rFonts w:ascii="Calibri" w:hAnsi="Calibri"/>
                <w:sz w:val="22"/>
                <w:szCs w:val="22"/>
                <w:lang w:val="es-ES_tradnl" w:eastAsia="en-GB"/>
              </w:rPr>
              <w:t>perturbaciones provocadas por la</w:t>
            </w:r>
            <w:r w:rsidRPr="00C721AB">
              <w:rPr>
                <w:rFonts w:ascii="Calibri" w:hAnsi="Calibri"/>
                <w:color w:val="FF0000"/>
                <w:sz w:val="22"/>
                <w:szCs w:val="22"/>
                <w:lang w:val="es-ES_tradnl" w:eastAsia="en-GB"/>
              </w:rPr>
              <w:t xml:space="preserve"> </w:t>
            </w:r>
            <w:r w:rsidRPr="00C721AB">
              <w:rPr>
                <w:rFonts w:ascii="Calibri" w:hAnsi="Calibri"/>
                <w:color w:val="000000"/>
                <w:sz w:val="22"/>
                <w:szCs w:val="22"/>
                <w:lang w:val="es-ES_tradnl" w:eastAsia="en-GB"/>
              </w:rPr>
              <w:t>navegación. Confirmado por la AA. MRA 51 (octubre de 2002). MRA 70 (enero de 2011).</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Informe actualizado de la AA recibido en julio de 2014. Nuevas amenazas </w:t>
            </w:r>
            <w:r w:rsidRPr="00C721AB">
              <w:rPr>
                <w:rFonts w:ascii="Calibri" w:hAnsi="Calibri"/>
                <w:sz w:val="22"/>
                <w:szCs w:val="22"/>
                <w:lang w:val="es-ES_tradnl" w:eastAsia="en-GB"/>
              </w:rPr>
              <w:t>señaladas</w:t>
            </w:r>
            <w:r w:rsidRPr="00C721AB">
              <w:rPr>
                <w:rFonts w:ascii="Calibri" w:hAnsi="Calibri"/>
                <w:color w:val="000000"/>
                <w:sz w:val="22"/>
                <w:szCs w:val="22"/>
                <w:lang w:val="es-ES_tradnl" w:eastAsia="en-GB"/>
              </w:rPr>
              <w:t xml:space="preserve"> en 2013. Nueva MRA planificada para principios de 2015 (en conjunto con el Centro de Patrimonio Mundial)</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235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Las Tablas de Daimiel</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Sobreexplotación del acuífero. El río Guadiana dejó de </w:t>
            </w:r>
            <w:r w:rsidRPr="00C721AB">
              <w:rPr>
                <w:rFonts w:ascii="Calibri" w:hAnsi="Calibri"/>
                <w:sz w:val="22"/>
                <w:szCs w:val="22"/>
                <w:lang w:val="es-ES_tradnl" w:eastAsia="en-GB"/>
              </w:rPr>
              <w:t>fluir</w:t>
            </w:r>
            <w:r w:rsidRPr="00C721AB">
              <w:rPr>
                <w:rFonts w:ascii="Calibri" w:hAnsi="Calibri"/>
                <w:color w:val="000000"/>
                <w:sz w:val="22"/>
                <w:szCs w:val="22"/>
                <w:lang w:val="es-ES_tradnl" w:eastAsia="en-GB"/>
              </w:rPr>
              <w:t xml:space="preserve"> en el sitio Ramsar. Confirmado por la AA. MRA 2 (marzo de 1988)</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marzo de 2014.</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449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S'Albufera de Mallorca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01/04/2009</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Desarrollo de campo de golf.</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Confirmado por la AA. MRA 68 (octubre de 2010)</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2011</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454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Albufera de Valencia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16/03/2004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Desarrollos urbanísticos. Confirmado por la AA. MRA 58 (diciembre de) 2006</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Informe actualizado de la AA recibido en marzo de 2014.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599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y Arenal de Valdoviño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10/01/2012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La operación de drenaje</w:t>
            </w:r>
            <w:r w:rsidRPr="00C721AB">
              <w:rPr>
                <w:rFonts w:ascii="Calibri" w:hAnsi="Calibri"/>
                <w:color w:val="000000"/>
                <w:sz w:val="22"/>
                <w:szCs w:val="22"/>
                <w:lang w:val="es-ES_tradnl" w:eastAsia="en-GB"/>
              </w:rPr>
              <w:t xml:space="preserve"> disminuyó de manera crítica el nivel de agua de la laguna, destrucción de vegetación de dunas debido a presiones humanas.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Informe actualizado de la AA recibido en mayo de 2014.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706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Mar Menor</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26/06/1905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Eutrofización y extracción de agua.</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1262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Saladar de Jandía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30/03/2009</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01/05/2014</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Presiones del turismo.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Cerrado; tema resuelto en 2014. El cambio en las características ecológicas se está </w:t>
            </w:r>
            <w:r w:rsidRPr="00C721AB">
              <w:rPr>
                <w:rFonts w:ascii="Calibri" w:hAnsi="Calibri"/>
                <w:sz w:val="22"/>
                <w:szCs w:val="22"/>
                <w:lang w:val="es-ES_tradnl" w:eastAsia="en-GB"/>
              </w:rPr>
              <w:t>tratando activamente</w:t>
            </w:r>
            <w:r w:rsidRPr="00C721AB">
              <w:rPr>
                <w:rFonts w:ascii="Calibri" w:hAnsi="Calibri"/>
                <w:color w:val="000000"/>
                <w:sz w:val="22"/>
                <w:szCs w:val="22"/>
                <w:lang w:val="es-ES_tradnl" w:eastAsia="en-GB"/>
              </w:rPr>
              <w:t>.</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1264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Txingudi</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11/10/2006</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01/01/2014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Ampliación del aeropuerto. 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Cerrado; tema resuelto en enero de 2014. El proyecto </w:t>
            </w:r>
            <w:r w:rsidRPr="00C721AB">
              <w:rPr>
                <w:rFonts w:ascii="Calibri" w:hAnsi="Calibri"/>
                <w:sz w:val="22"/>
                <w:szCs w:val="22"/>
                <w:lang w:val="es-ES_tradnl" w:eastAsia="en-GB"/>
              </w:rPr>
              <w:t>no recibió la aprobación de la EIA y por</w:t>
            </w:r>
            <w:r w:rsidRPr="00C721AB">
              <w:rPr>
                <w:rFonts w:ascii="Calibri" w:hAnsi="Calibri"/>
                <w:color w:val="000000"/>
                <w:sz w:val="22"/>
                <w:szCs w:val="22"/>
                <w:lang w:val="es-ES_tradnl" w:eastAsia="en-GB"/>
              </w:rPr>
              <w:t xml:space="preserve"> lo tanto fue cancelado.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374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Estados Unidos de América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Everglades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Cambios en los flujos naturales de </w:t>
            </w:r>
            <w:r w:rsidRPr="00C721AB">
              <w:rPr>
                <w:rFonts w:ascii="Calibri" w:hAnsi="Calibri"/>
                <w:sz w:val="22"/>
                <w:szCs w:val="22"/>
                <w:lang w:val="es-ES_tradnl" w:eastAsia="en-GB"/>
              </w:rPr>
              <w:t>agua y el enriquecimiento en nutrientes debido a prácticas agrícolas y</w:t>
            </w:r>
            <w:r w:rsidRPr="00C721AB">
              <w:rPr>
                <w:rFonts w:ascii="Calibri" w:hAnsi="Calibri"/>
                <w:color w:val="000000"/>
                <w:sz w:val="22"/>
                <w:szCs w:val="22"/>
                <w:lang w:val="es-ES_tradnl" w:eastAsia="en-GB"/>
              </w:rPr>
              <w:t xml:space="preserve"> desarrollo en el área circundante.</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Los cambios en las características ecológicas se están tratando activamente.</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2001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Estados Unidos de América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Kakagon and Bad River Sloughs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31/03/2014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Posible construcción de una gran mina a cielo abierto de mineral de </w:t>
            </w:r>
            <w:r w:rsidRPr="00C721AB">
              <w:rPr>
                <w:rFonts w:ascii="Calibri" w:hAnsi="Calibri"/>
                <w:sz w:val="22"/>
                <w:szCs w:val="22"/>
                <w:lang w:val="es-ES_tradnl" w:eastAsia="en-GB"/>
              </w:rPr>
              <w:t>hierro cerca del nacimiento del río Bad.</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Problemas tratados por la AA y el Comité Nacional de Humedales.</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726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Ex República Yugoslava de Macedonia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Prespa Lake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28/03/2006</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Eutrofización, sobreexplotación.</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656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Filipinas</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Olango Island Wildlife Sanctuary (OIWS)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01/08/2012</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Proyecto de recuperación propuesto en la zona costera de Córdova, una isla cercana al santuario.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Discusiones en curso para abordar el problema. Última actualización de la AA en agosto de 2014.</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1010</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Filipinas</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Tubbataha Reefs (Natural Park (TRNP)</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24/01/2013</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2014</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Un buque de la Marina de los Estados Unidos de América (enero de 2013) y un buque pesquero de China (abril de 2013) circularon alrededor del arrecife y dañaron alrededor de 2,3002 y 400002 del arrecife protegido, respectivamente; se prevé proponer este sitio zona marina especialmente sensible.</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Discusiones en curso para abordar el problema. Última actualización de la AA en agosto de 2014. Caso cerrado.</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2124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Filipinas</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Las Piñas-Parañaque Critical Habitat and Ecotourism Area (LPPCHEA)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13/02/2014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Recuperación propuesta de zonas específicas de la bahía de Manila adyacentes al sitio. Se presentaron peticiones para impedir los proyectos de recuperación.</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problema se está tratando activamente. Última actualización de la AA recibida en agosto de 2014.</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893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Georgia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Wetlands of Central Kolkheti</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27/07/2005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terminal petrolera y construcción ferroviaria en el sitio. MRA 54 (agosto de 2005)</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2010</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Lake Vistonis Porto Lagos Lake Ismaris &amp; adjoining lagoons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Escorrentía agrícola, doméstica e industrial, aumento de la salinidad, desarrollos urbanísticos.</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Nestos delta &amp; adjoining lagoons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07/07/1990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Disminución de los niveles de aguas subterráneas.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Lakes Volvi &amp; Koronia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06/07/1990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 derivada de la escorrentía agrícola, doméstica e industrial.</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Axios Ludias Aliakmon delta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La contaminación, una represa y redes de irrigación alteraron considerablemente la hidrología del río.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Amvrakikos gulf</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Aumento de la salinidad y niveles de agua agotados debido a la irrigación.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62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Messolonghi lagoons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07/07/1990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Las obras de construcción cambiaron la hidrología y geomorfología del área, pastoreo excesivo, pesca ilegal, desarrollos urbanísticos, eliminación de desechos.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Kotychi lagoons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Caza ilegal, escorrentía agrícola, contaminación, </w:t>
            </w:r>
            <w:r w:rsidRPr="00C721AB">
              <w:rPr>
                <w:rFonts w:ascii="Calibri" w:hAnsi="Calibri"/>
                <w:sz w:val="22"/>
                <w:szCs w:val="22"/>
                <w:lang w:val="es-ES_tradnl" w:eastAsia="en-GB"/>
              </w:rPr>
              <w:t>sobrepastoreo</w:t>
            </w:r>
            <w:r w:rsidRPr="00C721AB">
              <w:rPr>
                <w:rFonts w:ascii="Calibri" w:hAnsi="Calibri"/>
                <w:color w:val="000000"/>
                <w:sz w:val="22"/>
                <w:szCs w:val="22"/>
                <w:lang w:val="es-ES_tradnl" w:eastAsia="en-GB"/>
              </w:rPr>
              <w:t>.</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2006</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488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Guatemala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del Tigre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Amenaza de extracción de recursos naturales, lo que incluye la tala, actividades relacionadas con el petróleo y la caza, así como asentamiento </w:t>
            </w:r>
            <w:r w:rsidRPr="00C721AB">
              <w:rPr>
                <w:rFonts w:ascii="Calibri" w:hAnsi="Calibri"/>
                <w:sz w:val="22"/>
                <w:szCs w:val="22"/>
                <w:lang w:val="es-ES_tradnl" w:eastAsia="en-GB"/>
              </w:rPr>
              <w:t>desordenado</w:t>
            </w:r>
            <w:r w:rsidRPr="00C721AB">
              <w:rPr>
                <w:rFonts w:ascii="Calibri" w:hAnsi="Calibri"/>
                <w:color w:val="000000"/>
                <w:sz w:val="22"/>
                <w:szCs w:val="22"/>
                <w:lang w:val="es-ES_tradnl" w:eastAsia="en-GB"/>
              </w:rPr>
              <w:t xml:space="preserve"> de las comunidades.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Los cambios en las características ecológicas se están abordando parcialmente. La Secretaría está trabajando con la AA para hacer frente al problema.</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1163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Guinea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Niger-Mafou</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Carta de la AA de solicitud de una MRA, recibida en marzo de 2014. La secretaría solicitó un </w:t>
            </w:r>
            <w:r w:rsidRPr="00C721AB">
              <w:rPr>
                <w:rFonts w:ascii="Calibri" w:hAnsi="Calibri"/>
                <w:sz w:val="22"/>
                <w:szCs w:val="22"/>
                <w:lang w:val="es-ES_tradnl" w:eastAsia="en-GB"/>
              </w:rPr>
              <w:t>estudio documental.</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1164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Guinea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Niger-Niandan-Milo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de solicitud de una MRA, recibida en marzo de 2014. La secretaría solicitó un estudio documental.</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1165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Guinea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Niger Source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de solicitud de una MRA, recibida en marzo de 2014. La secretaría solicitó un estudio documental.</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1166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Guinea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Niger-Tinkisso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de solicitud de una MRA, recibida en marzo de 2014. La secretaría solicitó un estudio documental.</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1167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Guinea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Sankarani-Fié</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de solicitud de una MRA, recibida en marzo de 2014. La secretaría solicitó un estudio documental.</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1168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 xml:space="preserve">Guinea </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Tinkisso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de solicitud de una MRA, recibida en marzo de 2014. La secretaría solicitó un estudio documental.</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722</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Honduras</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Parque Nacional Jeannette Kawas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19/06/2006</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Cambio en las características ecológicas debido a la construcción de infraestructura turística.</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el Informe Nacional a la COP12 (agosto de 2014). La Secretaría está tratando el tema con la AA.</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230</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Keoladeo National Park</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Escasez de agua debido a una disminución de las precipitaciones pluviales durante el monzón y represa aguas arriba que controla el flujo de agua hacia el sitio.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2008</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463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Loktak Lake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2008</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Urmia Lake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05/09/2011</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lago se está secando debido al cambio climático y la gestión deficiente de los recursos hídricos en la cuenca del lago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problema se está tratando activamente; pero todavía estamos esperando una actualización sobre el estado del sitio desde principios de 2014</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Neiriz lakes and Kamjan marshes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Drenaje de agua del sitio; actividades agrícolas</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sobre el estado del sitio desde 2008</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40</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Anzali Mordab (Talab) complex</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31/12/1993</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Cambio de los niveles de agua; aumento de la eutrofización que condujo a la propagación de </w:t>
            </w:r>
            <w:r w:rsidRPr="00C721AB">
              <w:rPr>
                <w:rFonts w:ascii="Calibri" w:hAnsi="Calibri"/>
                <w:i/>
                <w:sz w:val="22"/>
                <w:szCs w:val="22"/>
                <w:lang w:val="es-ES_tradnl" w:eastAsia="en-GB"/>
              </w:rPr>
              <w:t>Phragmites australis</w:t>
            </w:r>
            <w:r w:rsidRPr="00C721AB">
              <w:rPr>
                <w:rFonts w:ascii="Calibri" w:hAnsi="Calibri"/>
                <w:color w:val="000000"/>
                <w:sz w:val="22"/>
                <w:szCs w:val="22"/>
                <w:lang w:val="es-ES_tradnl" w:eastAsia="en-GB"/>
              </w:rPr>
              <w:t>. Además, aumento de la presión de caza.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sobre el estado del sitio desde 2008</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Shadegan Marshes &amp; mudflats of Khor-al Amaya &amp; Khor Musa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16/06/1993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 química; propuesta de drenaje del sitio para desarrollo agrícola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sobre el estado del sitio desde 2008</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42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Hamun -e- Saberi &amp; Hamun - e - Helmand </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sobre el estado del sitio desde 2008</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Hamun-e-Puzak south end</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sobre el estado del sitio desde 2008</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Irán, República Islámica de</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Shurgol, Yadegarlu &amp; Dorgeh Sangi Lakes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problema se está tratando activamente; y estamos esperando una actualización adicional sobre el estado del sitio desde 2010</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1718</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Iraq</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Hawizeh Marsh</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28/04/2010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Cambios en la hidrología debido a la construcción de represas aguas arriba y estructuras de control de aguas; disminución de las precipitaciones pluviales; prospección petrolera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curso; se están tomando medidas para hacer frente al cambio en las características ecológicas</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167</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Islandia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Myvatn-Laxá region</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22/04/2010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Existen planes para construir una nueva represa</w:t>
            </w:r>
            <w:r w:rsidRPr="00C721AB">
              <w:rPr>
                <w:rFonts w:ascii="Calibri" w:hAnsi="Calibri"/>
                <w:color w:val="000000"/>
                <w:sz w:val="22"/>
                <w:szCs w:val="22"/>
                <w:lang w:val="es-ES_tradnl" w:eastAsia="en-GB"/>
              </w:rPr>
              <w:t>, infraestructura de energía geotérmica, desarrollos urbanísticos y presiones turísticas. MRA 76 (agosto de 2013)</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854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Islandia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Gunnafjördur</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22/04/2010</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01/08/2013</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Existen planes para construir una carretera que limitará el flujo de las mareas a través del estuario y las marismas.</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Tema cerrado resuelto en agosto de 2013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Italia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Stagno di Molentargius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22/05/2012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sitio se está secando. En proceso de examen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2011</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190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Italia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Laguna di Marano: Foci dello Stella </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27/01/2009</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erosión de las marismas redujo el número de aves </w:t>
            </w:r>
            <w:r w:rsidRPr="00C721AB">
              <w:rPr>
                <w:rFonts w:ascii="Calibri" w:hAnsi="Calibri"/>
                <w:sz w:val="22"/>
                <w:szCs w:val="22"/>
                <w:lang w:val="es-ES_tradnl" w:eastAsia="en-GB"/>
              </w:rPr>
              <w:t>invernantes</w:t>
            </w:r>
            <w:r w:rsidRPr="00C721AB">
              <w:rPr>
                <w:rFonts w:ascii="Calibri" w:hAnsi="Calibri"/>
                <w:color w:val="000000"/>
                <w:sz w:val="22"/>
                <w:szCs w:val="22"/>
                <w:lang w:val="es-ES_tradnl" w:eastAsia="en-GB"/>
              </w:rPr>
              <w:t>.</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1454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Jamaica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Palisadoes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15/10/2010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Degradación severa y cambios ecológicos adversos debido a la construcción de una autopista</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highlight w:val="yellow"/>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último informe se presentó en el Informe Nacional a la COP12 (agosto de 2014). La Secretaría está tratando el tema con la AA.</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1597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Jamaica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Portland Bight</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19/09/2013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 de una propuesta para construir un puerto de logística/</w:t>
            </w:r>
            <w:r w:rsidRPr="00C721AB">
              <w:rPr>
                <w:rFonts w:ascii="Calibri" w:hAnsi="Calibri"/>
                <w:sz w:val="22"/>
                <w:szCs w:val="22"/>
                <w:lang w:val="es-ES_tradnl" w:eastAsia="en-GB"/>
              </w:rPr>
              <w:t>transbordo por la China Harbour Engineering Company</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último informe se presentó en el Informe Nacional a la COP12 (agosto de 2014). La Secretaría está tratando el tema con la AA.</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2057</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Japón</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Nakaikemi-Shicchi</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17/09/2012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Propuesta de construcción de un proyecto ferroviario a través del sitio </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información adicional en agosto de 2014; se está realizando la EIA. Japón informará sobre los resultados de la EIA en la SC48.</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135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Jordania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Azraq Oasis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oasis se está secando debido al aumento de la captación de agua y la disminución de las precipitaciones pluviales</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highlight w:val="yellow"/>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información adicional en diciembre de 2013. El problema persiste pero se están tomando medidas para abordarlo.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Kazajstán</w:t>
            </w:r>
          </w:p>
        </w:tc>
        <w:tc>
          <w:tcPr>
            <w:tcW w:w="1984"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Lakes of the lower Turgay &amp; Irgyz</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Pre COP11</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Disminución del suministro de agua que </w:t>
            </w:r>
            <w:r w:rsidRPr="00C721AB">
              <w:rPr>
                <w:rFonts w:ascii="Calibri" w:hAnsi="Calibri"/>
                <w:sz w:val="22"/>
                <w:szCs w:val="22"/>
                <w:lang w:val="es-ES_tradnl" w:eastAsia="en-GB"/>
              </w:rPr>
              <w:t>está afectando a la</w:t>
            </w:r>
            <w:r w:rsidRPr="00C721AB">
              <w:rPr>
                <w:rFonts w:ascii="Calibri" w:hAnsi="Calibri"/>
                <w:color w:val="000000"/>
                <w:sz w:val="22"/>
                <w:szCs w:val="22"/>
                <w:lang w:val="es-ES_tradnl" w:eastAsia="en-GB"/>
              </w:rPr>
              <w:t xml:space="preserve"> fauna, a la flora y a los asentamientos humanos que dependen de la misma; las represas a través del río Turgay y sus afluentes cortan el suministro de agua. </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las condiciones del sitio desde 2008.</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1231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Kirguistán</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Issyk-Kul State Reserve with the Lake Issyk-Kul</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12/11/2002</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un informe actualizado de la AA en agosto de 2014; el tema se está tratando activamente.</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1588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Kirguistán</w:t>
            </w:r>
          </w:p>
        </w:tc>
        <w:tc>
          <w:tcPr>
            <w:tcW w:w="1984"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Karatal-Japyryk State Reserve with the lakes Son-Kol and Chatyr-Kol</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01/11/2012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recibió un informe actualizado de la AA en agosto de 2014</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1287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Malasia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Pulau Kukup/ </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10/04/2014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Existe</w:t>
            </w:r>
            <w:r w:rsidRPr="00C721AB">
              <w:rPr>
                <w:rFonts w:ascii="Calibri" w:hAnsi="Calibri"/>
                <w:color w:val="000000"/>
                <w:sz w:val="22"/>
                <w:szCs w:val="22"/>
                <w:lang w:val="es-ES_tradnl" w:eastAsia="en-GB"/>
              </w:rPr>
              <w:t xml:space="preserve"> una propuesta de actividades de transferencia de buque a buque dentro de los límites del puerto Kukup que utilizará superpetroleros como terminales flotantes de almacenamiento de petróleo crudo.</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proyecto está en fase de planificación; aún no se ha realizado una EIA pero está planeada; el Ministerio está monitoreando el progreso del proyecto y dará a conocer más detalles a la Secretaría en cuanto estén disponibles. La última actualización se proporcionó en junio.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1288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Malasia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Sungai Pulai</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10/04/2014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Existe una propuesta de actividades de transferencia de buque a buque dentro de los límites del puerto Kukup que utilizará superpetroleros como terminales flotantes de almacenamiento de crudo.</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proyecto está en fase de planificación; aún no se ha realizado una EIA pero está planeada; el Ministerio está monitoreando el progreso del proyecto y dará a conocer más detalles a la Secretaría en cuanto estén disponibles. La última actualización se proporcionó en junio.</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1289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Malasia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Tanjung Piai</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10/04/2014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Existe una propuesta de actividades de transferencia de buque a buque dentro de los límites del puerto Kukup que utilizará superpetroleros como terminales flotantes de almacenamiento de crudo.</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proyecto está en fase de planificación; aún no se ha realizado una EIA pero está planeada; el Ministerio está monitoreando el progreso del proyecto y dará a conocer más detalles a la Secretaría en cuanto estén disponibles. La última actualización se proporcionó en junio.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869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Malawi</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Chilwa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01/08/2013</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Extracción de minerales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agosto de 2013 se recibió de la AA una carta de solicitud de una MRA. La secretaría solicitó un estudio documental exhaustivo que incluya la movilización de recursos</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732</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México</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Marismas Nacionales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05/08/2014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Construcción del proyecto de hidroeléctrica Las Cruces.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de la AA. Último informe presentado en el Informe Nacional a la COP12.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1346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México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Parque Arrecifal Veracruzano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24/09/2013</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 de una propuesta para ampliar el puerto de Veracruz.</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último informe fue presentado en el Informe Nacional a la COP12. La Secretaría está trabajando con la AA para hacer frente a los problemas. La AA está esperando la decisión de la Corte.</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1351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México</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Playa Tortuguera X'cacel-X'cacelito</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12/04/2011</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del proyecto turístico Punta Carey.</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último informe fue presentado en el Informe Nacional a la COP12.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1921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México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Manglares y Humedales de la Isla de Cozumel</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12/04/2011</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Amenaza por la extracción</w:t>
            </w:r>
            <w:r w:rsidRPr="00C721AB">
              <w:rPr>
                <w:rFonts w:ascii="Calibri" w:hAnsi="Calibri"/>
                <w:color w:val="000000"/>
                <w:sz w:val="22"/>
                <w:szCs w:val="22"/>
                <w:lang w:val="es-ES_tradnl" w:eastAsia="en-GB"/>
              </w:rPr>
              <w:t xml:space="preserve"> de arena y afectación de la población de caracol reina.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Temas cerrados resueltos</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1778</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México</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Cabo Pulmo </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07/09/2011</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17/08/2012</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del proyecto turístico Cabo Cortes</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Temas cerrados resueltos</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784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Montenegro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Skadarsko Jezero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24/12/2009</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 por una planta de aluminio, perturbación de aves y caza furtiva. MRA 56 (octubre de 2005)</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2011</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1850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Nepal</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Mai Phokhari</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02/09/2013</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24/08/2014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Disminución del nivel de agua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Cerrado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1138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Nicaragua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Refugio de Vida Silvestre del Rio San Juan</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30/11/2010</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Proyecto de mejora de la navegación del río San Juan.</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Secretaría está trabajando con la AA para </w:t>
            </w:r>
            <w:r w:rsidRPr="00C721AB">
              <w:rPr>
                <w:rFonts w:ascii="Calibri" w:hAnsi="Calibri"/>
                <w:sz w:val="22"/>
                <w:szCs w:val="22"/>
                <w:lang w:val="es-ES_tradnl" w:eastAsia="en-GB"/>
              </w:rPr>
              <w:t>hacer frente a</w:t>
            </w:r>
            <w:r w:rsidRPr="00C721AB">
              <w:rPr>
                <w:rFonts w:ascii="Calibri" w:hAnsi="Calibri"/>
                <w:color w:val="000000"/>
                <w:sz w:val="22"/>
                <w:szCs w:val="22"/>
                <w:lang w:val="es-ES_tradnl" w:eastAsia="en-GB"/>
              </w:rPr>
              <w:t xml:space="preserve"> los problemas.</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1139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Nicaragua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Sistema de Humedales de la Bahia de Bluefields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15/01/2007</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Posibles cambios en las características ecológicas como consecuencia de la construcción propuesta de </w:t>
            </w:r>
            <w:r w:rsidRPr="00C721AB">
              <w:rPr>
                <w:rFonts w:ascii="Calibri" w:hAnsi="Calibri"/>
                <w:sz w:val="22"/>
                <w:szCs w:val="22"/>
                <w:lang w:val="es-ES_tradnl" w:eastAsia="en-GB"/>
              </w:rPr>
              <w:t>una carretera para todas las condiciones climáticas.</w:t>
            </w: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cambio en las características ecológicas se está tratando parcialmente</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Aakersvika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01/03/2007</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Ampliación de carretera planificada. MRA 56 (abril de 2010)</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2013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307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Nordre Øyeren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20/08/2010</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Ampliación de carretera de dos a cuatro carriles y establecimiento de una tubería para aguas residuales.</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308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Ilene &amp; Pesterødkilen</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21/01/2005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Accidente de contaminación, desarrollos urbanísticos y nuevo sistema de carreteras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802</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Nordre Tyrifjord</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03/03/2013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Planificación de nueva carretera principal y vía férrea.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En espera de actualización de la AA desde 2013.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305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Øra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10/03/2006</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 xml:space="preserve">Accidente de vertido de petróleo. Muerte de aves marinas y patos.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Expediente en proceso de cierre. En espera de carta de la AA 2014.</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306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Kurefjorden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05/04/2005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Vertido desde aeropuerto civil que posiblemente llegará a un arroyo cercano que desemboca en el sitio Ramsar. 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en proceso de cierre. En espera de carta de la AA 2014.</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805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Giske Wetland System </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01/03/2012</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Ampliación del área de seguridad/la cerca alrededor del aeropuerto de Alesund y traslado de la carretera local fuera de la cerca y dentro de la reserva.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Caso ganado. Expediente en proceso de cierre. En espera de carta de la AA 2014.</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809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Noruega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 xml:space="preserve">Froan Nature Reserve &amp; Landscape Protection Area </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19/03/2004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Una piscifactoría podría afectar a las características ecológicas del sitio.</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Confirmado por</w:t>
            </w:r>
            <w:r w:rsidRPr="00C721AB">
              <w:rPr>
                <w:rFonts w:ascii="Calibri" w:hAnsi="Calibri"/>
                <w:color w:val="000000"/>
                <w:sz w:val="22"/>
                <w:szCs w:val="22"/>
                <w:lang w:val="es-ES_tradnl" w:eastAsia="en-GB"/>
              </w:rPr>
              <w:t xml:space="preserve">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581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Países Bajos</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Bargerveen</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un parque eólico junto al sitio Ramsar en turberas drenadas</w:t>
            </w:r>
            <w:r w:rsidRPr="00C721AB">
              <w:rPr>
                <w:rFonts w:ascii="Calibri" w:hAnsi="Calibri"/>
                <w:sz w:val="22"/>
                <w:szCs w:val="22"/>
                <w:lang w:val="es-ES_tradnl" w:eastAsia="en-GB"/>
              </w:rPr>
              <w:t>, caso judicial</w:t>
            </w:r>
            <w:r w:rsidRPr="00C721AB">
              <w:rPr>
                <w:rFonts w:ascii="Calibri" w:hAnsi="Calibri"/>
                <w:color w:val="000000"/>
                <w:sz w:val="22"/>
                <w:szCs w:val="22"/>
                <w:lang w:val="es-ES_tradnl" w:eastAsia="en-GB"/>
              </w:rPr>
              <w:t xml:space="preserve"> en Alemania y la CE.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2005</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99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Pakistán</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Kinjhar (Kalri) Lake</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05/02/2009</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 por desechos industriales del afluente al lago; disminución de las aves acuáticas y el agua no es potable.</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sobre el estado del sitio desde 2009</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101</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Pakistán</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Haleji Lake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14/04/2009</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Plan de construcción de drenaje en la ribera derecha de la desembocadura junto al</w:t>
            </w:r>
            <w:r w:rsidRPr="00C721AB">
              <w:rPr>
                <w:rFonts w:ascii="Calibri" w:hAnsi="Calibri"/>
                <w:color w:val="000000"/>
                <w:sz w:val="22"/>
                <w:szCs w:val="22"/>
                <w:lang w:val="es-ES_tradnl" w:eastAsia="en-GB"/>
              </w:rPr>
              <w:t xml:space="preserve"> sitio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sobre el estado del sitio y el progreso del proyecto desde 2009</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1067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Pakistán</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Jubho Lagoon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18/12/2008</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2009</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1319</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Panamá</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Bahía de Panamá</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26/06/2012</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20/06/2014</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 a las características ecológicas debido a desarrollos humanos.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Temas cerrados resueltos.</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77</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Ouse Washes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18/02/2011</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Problemas de manejo del agua. MRA 49 (noviembre de 2001)</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298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Dee Estuary</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21/11/2007</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Desarrollos industriales y de transporte. Confirmado por la AA. MRA 34 (noviembre de 1994)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 Los cambios en las características ecológicas se están tratando activamente.</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1043</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South East Coast of Jersey</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02/12/2008</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Planes para una nueva carretera y construcción de un </w:t>
            </w:r>
            <w:r w:rsidRPr="00C721AB">
              <w:rPr>
                <w:rFonts w:ascii="Calibri" w:hAnsi="Calibri"/>
                <w:sz w:val="22"/>
                <w:szCs w:val="22"/>
                <w:lang w:val="es-ES_tradnl" w:eastAsia="en-GB"/>
              </w:rPr>
              <w:t>incinerador</w:t>
            </w:r>
            <w:r w:rsidRPr="00C721AB">
              <w:rPr>
                <w:rFonts w:ascii="Calibri" w:hAnsi="Calibri"/>
                <w:color w:val="000000"/>
                <w:sz w:val="22"/>
                <w:szCs w:val="22"/>
                <w:lang w:val="es-ES_tradnl" w:eastAsia="en-GB"/>
              </w:rPr>
              <w:t>.</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Confirmado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1077</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 xml:space="preserve">Reino Unido </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Diego Garcia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08/04/2009</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Descarga de aguas residuales no tratadas, contaminantes peligrosos en la laguna, introducción de </w:t>
            </w:r>
            <w:r w:rsidRPr="00C721AB">
              <w:rPr>
                <w:rFonts w:ascii="Calibri" w:hAnsi="Calibri"/>
                <w:sz w:val="22"/>
                <w:szCs w:val="22"/>
                <w:lang w:val="es-ES_tradnl" w:eastAsia="en-GB"/>
              </w:rPr>
              <w:t>especies invasoras, reducción</w:t>
            </w:r>
            <w:r w:rsidRPr="00C721AB">
              <w:rPr>
                <w:rFonts w:ascii="Calibri" w:hAnsi="Calibri"/>
                <w:color w:val="000000"/>
                <w:sz w:val="22"/>
                <w:szCs w:val="22"/>
                <w:lang w:val="es-ES_tradnl" w:eastAsia="en-GB"/>
              </w:rPr>
              <w:t xml:space="preserve"> de la biomasa en los arrecifes, contaminación </w:t>
            </w:r>
            <w:r w:rsidRPr="00C721AB">
              <w:rPr>
                <w:rFonts w:ascii="Calibri" w:hAnsi="Calibri"/>
                <w:sz w:val="22"/>
                <w:szCs w:val="22"/>
                <w:lang w:val="es-ES_tradnl" w:eastAsia="en-GB"/>
              </w:rPr>
              <w:t>sonora</w:t>
            </w:r>
            <w:r w:rsidRPr="00C721AB">
              <w:rPr>
                <w:rFonts w:ascii="Calibri" w:hAnsi="Calibri"/>
                <w:color w:val="000000"/>
                <w:sz w:val="22"/>
                <w:szCs w:val="22"/>
                <w:lang w:val="es-ES_tradnl" w:eastAsia="en-GB"/>
              </w:rPr>
              <w:t xml:space="preserve"> submarina, sobrepesca.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mayo de 2014. Se han abordado posibles cambios en las características ecológicas.</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494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Checa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Sumava peatlands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01/04/2011</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Cambio de las prácticas de manejo, </w:t>
            </w:r>
            <w:r w:rsidRPr="00C721AB">
              <w:rPr>
                <w:rFonts w:ascii="Calibri" w:hAnsi="Calibri"/>
                <w:sz w:val="22"/>
                <w:szCs w:val="22"/>
                <w:lang w:val="es-ES_tradnl" w:eastAsia="en-GB"/>
              </w:rPr>
              <w:t>reducción de las áreas de no intervención, aumento</w:t>
            </w:r>
            <w:r w:rsidRPr="00C721AB">
              <w:rPr>
                <w:rFonts w:ascii="Calibri" w:hAnsi="Calibri"/>
                <w:color w:val="000000"/>
                <w:sz w:val="22"/>
                <w:szCs w:val="22"/>
                <w:lang w:val="es-ES_tradnl" w:eastAsia="en-GB"/>
              </w:rPr>
              <w:t xml:space="preserve"> de actividades de tala. Confirmado por la AA. MRA 44 (junio de 2001)</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495</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Checa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Trebon fishponds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16/06/1905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Piscicultura intensiva, </w:t>
            </w:r>
            <w:r w:rsidRPr="00C721AB">
              <w:rPr>
                <w:rFonts w:ascii="Calibri" w:hAnsi="Calibri"/>
                <w:sz w:val="22"/>
                <w:szCs w:val="22"/>
                <w:lang w:val="es-ES_tradnl" w:eastAsia="en-GB"/>
              </w:rPr>
              <w:t>eutrofización</w:t>
            </w:r>
            <w:r w:rsidRPr="00C721AB">
              <w:rPr>
                <w:rFonts w:ascii="Calibri" w:hAnsi="Calibri"/>
                <w:color w:val="000000"/>
                <w:sz w:val="22"/>
                <w:szCs w:val="22"/>
                <w:lang w:val="es-ES_tradnl" w:eastAsia="en-GB"/>
              </w:rPr>
              <w:t>, caza, destrucción del hábitat.</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635</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Checa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Floodplain of lower Dyje River</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21/06/1905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Canal de navegación planificado.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 El cambio de las características ecológicas se está tratando activamente.</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638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Checa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Litovelske Pomoravi</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19/06/1905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Sobreexplotación del acuífero, planes para un canal de navegación.</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 El cambio de las características ecológicas se está tratando activamente.</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639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Checa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Poodrí</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21/06/1905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Canal de navegación planificado.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 El cambio de las características ecológicas se está tratando activamente.</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787</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Democrática del Congo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Virunga National Park</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01/03/2014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Plan de prospección petrolera en el parque</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521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Rumania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Danube Delta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18/08/2004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Posibles influencias transfronterizas debido a la reapertura de una vía navegable (Bistroe </w:t>
            </w:r>
            <w:r w:rsidRPr="00C721AB">
              <w:rPr>
                <w:rFonts w:ascii="Calibri" w:hAnsi="Calibri"/>
                <w:sz w:val="22"/>
                <w:szCs w:val="22"/>
                <w:lang w:val="es-ES_tradnl" w:eastAsia="en-GB"/>
              </w:rPr>
              <w:t>channel</w:t>
            </w: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actualizado de la AA recibido en mayo de 2013</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1074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Rumania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Small Island of Braila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28/04/2005</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Obras para mejorar las condiciones de navegación que podrían afectar a las características ecológicas</w:t>
            </w:r>
            <w:r w:rsidRPr="00C721AB">
              <w:rPr>
                <w:rFonts w:ascii="Calibri" w:hAnsi="Calibri"/>
                <w:color w:val="000000"/>
                <w:sz w:val="22"/>
                <w:szCs w:val="22"/>
                <w:lang w:val="es-ES_tradnl" w:eastAsia="en-GB"/>
              </w:rPr>
              <w:t xml:space="preserve"> del sitio.</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2009</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Senegal</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Bassin du Ndiael</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1392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Serbia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Slano Kopovo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01/11/2006</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Déficit de agua debido a actividades de mejora hidrológica y sequía durante varios consecutivos</w:t>
            </w:r>
            <w:r w:rsidRPr="00C721AB">
              <w:rPr>
                <w:rFonts w:ascii="Calibri" w:hAnsi="Calibri"/>
                <w:color w:val="000000"/>
                <w:sz w:val="22"/>
                <w:szCs w:val="22"/>
                <w:lang w:val="es-ES_tradnl" w:eastAsia="en-GB"/>
              </w:rPr>
              <w:t>. Confirmado por la AA.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Informe actualizado de la AA recibido en septiembre de 2013. El cambio en las características ecológicas se está tratando activamente.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1014</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Sierra Leona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Sierra River Estuary</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01/01/2013</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 xml:space="preserve">Desarrollo urbanístico (expansión de Freetown City)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Carta de la AA recibida en enero de 2013 con solicitud de una MRA. La Secretaría solicitó un estudio documental.</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343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Sudáfrica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Blesbokspruit</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06/</w:t>
            </w:r>
            <w:r w:rsidR="00AB5EEE" w:rsidRPr="00C721AB">
              <w:rPr>
                <w:rFonts w:ascii="Calibri" w:hAnsi="Calibri"/>
                <w:color w:val="000000"/>
                <w:sz w:val="22"/>
                <w:szCs w:val="22"/>
                <w:lang w:val="es-ES_tradnl" w:eastAsia="en-GB"/>
              </w:rPr>
              <w:t>05/1996</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Contaminación procedente de las aguas de una mina subterránea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526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Sudáfrica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Orange River Mouth</w:t>
            </w:r>
          </w:p>
        </w:tc>
        <w:tc>
          <w:tcPr>
            <w:tcW w:w="1417" w:type="dxa"/>
            <w:noWrap/>
            <w:hideMark/>
          </w:tcPr>
          <w:p w:rsidR="00E97789" w:rsidRPr="00C721AB" w:rsidRDefault="00AB5EEE"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26/09/1995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948</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Tailandia</w:t>
            </w:r>
          </w:p>
        </w:tc>
        <w:tc>
          <w:tcPr>
            <w:tcW w:w="1984"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Kuan Ki Sian of the Thale Noi Non Hunting Area Wetlands</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20/11/2009</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01/09/2014</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Invasión </w:t>
            </w:r>
            <w:r w:rsidRPr="00C721AB">
              <w:rPr>
                <w:rFonts w:ascii="Calibri" w:hAnsi="Calibri"/>
                <w:sz w:val="22"/>
                <w:szCs w:val="22"/>
                <w:lang w:val="es-ES_tradnl" w:eastAsia="en-GB"/>
              </w:rPr>
              <w:t>de plantaciones de palma de aceite; cambios en la hidrología debido a planes</w:t>
            </w:r>
            <w:r w:rsidRPr="00C721AB">
              <w:rPr>
                <w:rFonts w:ascii="Calibri" w:hAnsi="Calibri"/>
                <w:color w:val="000000"/>
                <w:sz w:val="22"/>
                <w:szCs w:val="22"/>
                <w:lang w:val="es-ES_tradnl" w:eastAsia="en-GB"/>
              </w:rPr>
              <w:t xml:space="preserve"> de riego y drenaje; carretera construida a través del bosque pantanoso; desecación del pantano de turba.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El problema se trató; la </w:t>
            </w:r>
            <w:r w:rsidRPr="00C721AB">
              <w:rPr>
                <w:rFonts w:ascii="Calibri" w:hAnsi="Calibri"/>
                <w:sz w:val="22"/>
                <w:szCs w:val="22"/>
                <w:lang w:val="es-ES_tradnl" w:eastAsia="en-GB"/>
              </w:rPr>
              <w:t>Secretaría visitó el sitio en junio de 2014 y posteriormente se</w:t>
            </w:r>
            <w:r w:rsidRPr="00C721AB">
              <w:rPr>
                <w:rFonts w:ascii="Calibri" w:hAnsi="Calibri"/>
                <w:color w:val="000000"/>
                <w:sz w:val="22"/>
                <w:szCs w:val="22"/>
                <w:lang w:val="es-ES_tradnl" w:eastAsia="en-GB"/>
              </w:rPr>
              <w:t xml:space="preserve"> recibió una respuesta detallada de la AA en septiembre de 2014. Caso cerrado.</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1100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Tailandia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Krabi Estuary</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28/05/2013</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Proyecto de construir una central térmica de </w:t>
            </w:r>
            <w:r w:rsidRPr="00C721AB">
              <w:rPr>
                <w:rFonts w:ascii="Calibri" w:hAnsi="Calibri"/>
                <w:sz w:val="22"/>
                <w:szCs w:val="22"/>
                <w:lang w:val="es-ES_tradnl" w:eastAsia="en-GB"/>
              </w:rPr>
              <w:t>carbón en 2015</w:t>
            </w:r>
            <w:r w:rsidRPr="00C721AB">
              <w:rPr>
                <w:rFonts w:ascii="Calibri" w:hAnsi="Calibri"/>
                <w:color w:val="000000"/>
                <w:sz w:val="22"/>
                <w:szCs w:val="22"/>
                <w:lang w:val="es-ES_tradnl" w:eastAsia="en-GB"/>
              </w:rPr>
              <w:t xml:space="preserve"> en Tambol Pakasai, distrito de Nhua Khlong.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 Secretaría visitó el sitio en junio de 2014, y posteriormente se recibió una respuesta detallada de la AA en septiembre de 2014. Caso cerrado.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736</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Togo</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Reserve de faune de Togodo</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01/01/2014</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represa</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Proyecto de EIA disponible y la Secretaría asesoró y orientó a la AA para su participación en el proceso de validación.</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1496</w:t>
            </w:r>
          </w:p>
        </w:tc>
        <w:tc>
          <w:tcPr>
            <w:tcW w:w="1276" w:type="dxa"/>
            <w:noWrap/>
            <w:hideMark/>
          </w:tcPr>
          <w:p w:rsidR="00E97789" w:rsidRPr="00C721AB" w:rsidRDefault="00B43D37"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Pr>
                <w:rFonts w:ascii="Calibri" w:hAnsi="Calibri"/>
                <w:b/>
                <w:color w:val="000000"/>
                <w:sz w:val="22"/>
                <w:szCs w:val="22"/>
                <w:lang w:val="es-ES_tradnl" w:eastAsia="en-GB"/>
              </w:rPr>
              <w:t>Trinidad y To</w:t>
            </w:r>
            <w:bookmarkStart w:id="0" w:name="_GoBack"/>
            <w:bookmarkEnd w:id="0"/>
            <w:r w:rsidR="00E97789" w:rsidRPr="00C721AB">
              <w:rPr>
                <w:rFonts w:ascii="Calibri" w:hAnsi="Calibri"/>
                <w:b/>
                <w:color w:val="000000"/>
                <w:sz w:val="22"/>
                <w:szCs w:val="22"/>
                <w:lang w:val="es-ES_tradnl" w:eastAsia="en-GB"/>
              </w:rPr>
              <w:t>bago</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Bon Accord Lagoon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04/04/2013</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26/08/2014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Crecimiento comercial y residencial no regulado.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Tema cerrado resuelto</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203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Túnez</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Ichkeul</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659</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Turquía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Seyfe (Seyfe Gölü)</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22/02/2008</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01/07/2012</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Secado, </w:t>
            </w:r>
            <w:r w:rsidRPr="00C721AB">
              <w:rPr>
                <w:rFonts w:ascii="Calibri" w:hAnsi="Calibri"/>
                <w:sz w:val="22"/>
                <w:szCs w:val="22"/>
                <w:lang w:val="es-ES_tradnl" w:eastAsia="en-GB"/>
              </w:rPr>
              <w:t>captación de agua río arriba para fines</w:t>
            </w:r>
            <w:r w:rsidRPr="00C721AB">
              <w:rPr>
                <w:rFonts w:ascii="Calibri" w:hAnsi="Calibri"/>
                <w:color w:val="000000"/>
                <w:sz w:val="22"/>
                <w:szCs w:val="22"/>
                <w:lang w:val="es-ES_tradnl" w:eastAsia="en-GB"/>
              </w:rPr>
              <w:t xml:space="preserve"> de irrigación.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Cerrado; tema resuelto en julio 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944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Turquía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Uluabat</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15/07/2009</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01/07/2012</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 a los hábitats de humedales en conexión con la construcción de la autopista</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Bursa - Balikesir - Izmir.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Cerrado; tema resuelto en julio 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661</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 xml:space="preserve">Turquía </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Sultan Marshes</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27/04/2006</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01/07/2012</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Cambios ecológicos debido a la </w:t>
            </w:r>
            <w:r w:rsidRPr="00C721AB">
              <w:rPr>
                <w:rFonts w:ascii="Calibri" w:hAnsi="Calibri"/>
                <w:sz w:val="22"/>
                <w:szCs w:val="22"/>
                <w:lang w:val="es-ES_tradnl" w:eastAsia="en-GB"/>
              </w:rPr>
              <w:t>intensificación de la agricultura de regadío.</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Cerrado; tema resuelto en julio 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113</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Kyliiske Mouth</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07/07/2003</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01/09/2012</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Apertura de una vía de navegación de aguas profundas en afluente del Bystroe Danube.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septiembre 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756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The Northern Part of the Dniester Liman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15/08/2014</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Proyecto de línea de transmisión de alto voltaje de 330kV que posiblemente atravesaría el sitio Ramsar. </w:t>
            </w:r>
            <w:r w:rsidRPr="00C721AB">
              <w:rPr>
                <w:rFonts w:ascii="Calibri" w:hAnsi="Calibri"/>
                <w:sz w:val="22"/>
                <w:szCs w:val="22"/>
                <w:lang w:val="es-ES_tradnl" w:eastAsia="en-GB"/>
              </w:rPr>
              <w:t>Informado por terceros; en proceso de examen por la AA.</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Informe actualizado de la AA recibido en septiembre de 2014. </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Ubicación de la línea de transmisión por confirmar</w:t>
            </w: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762</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Sasyk Lake</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01/07/2012</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01/09/2012</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La reconexión del lago con el Mar Negro causa posibles</w:t>
            </w:r>
            <w:r w:rsidRPr="00C721AB">
              <w:rPr>
                <w:rFonts w:ascii="Calibri" w:hAnsi="Calibri"/>
                <w:color w:val="000000"/>
                <w:sz w:val="22"/>
                <w:szCs w:val="22"/>
                <w:lang w:val="es-ES_tradnl" w:eastAsia="en-GB"/>
              </w:rPr>
              <w:t xml:space="preserve"> cambios en las características ecológicas.</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septiembre 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766</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Tyligulskyi Liman</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03/07/1905</w:t>
            </w:r>
          </w:p>
        </w:tc>
        <w:tc>
          <w:tcPr>
            <w:tcW w:w="1422"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Recuperación de tierras, contaminación, perturbaciones antropogénicas, cambios</w:t>
            </w:r>
            <w:r w:rsidRPr="00C721AB">
              <w:rPr>
                <w:rFonts w:ascii="Calibri" w:hAnsi="Calibri"/>
                <w:color w:val="000000"/>
                <w:sz w:val="22"/>
                <w:szCs w:val="22"/>
                <w:lang w:val="es-ES_tradnl" w:eastAsia="en-GB"/>
              </w:rPr>
              <w:t xml:space="preserve"> en la hidrología.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767</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Dnipro River Delta</w:t>
            </w:r>
          </w:p>
        </w:tc>
        <w:tc>
          <w:tcPr>
            <w:tcW w:w="1417"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26/04/2012</w:t>
            </w:r>
          </w:p>
        </w:tc>
        <w:tc>
          <w:tcPr>
            <w:tcW w:w="1422"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01/09/2012</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Posible construcción/ampliación de un puerto dentro del sitio Ramsar.</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septiembre de 2012</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768</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984"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Tendrivska Bay and  Yagorlytska Bay</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10/05/2010</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01/09/2012</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Pesca ilegal de gambas a gran escala con fines comerciales</w:t>
            </w:r>
            <w:r w:rsidRPr="00C721AB">
              <w:rPr>
                <w:rFonts w:ascii="Calibri" w:hAnsi="Calibri"/>
                <w:color w:val="000000"/>
                <w:sz w:val="22"/>
                <w:szCs w:val="22"/>
                <w:lang w:val="es-ES_tradnl" w:eastAsia="en-GB"/>
              </w:rPr>
              <w:t xml:space="preserve">. Confirmado por la AA. </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septiembre de 2012</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Otro</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602"/>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394</w:t>
            </w:r>
          </w:p>
        </w:tc>
        <w:tc>
          <w:tcPr>
            <w:tcW w:w="1276"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Uganda</w:t>
            </w:r>
          </w:p>
        </w:tc>
        <w:tc>
          <w:tcPr>
            <w:tcW w:w="1984"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George</w:t>
            </w:r>
          </w:p>
        </w:tc>
        <w:tc>
          <w:tcPr>
            <w:tcW w:w="1417"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422"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1130" w:type="dxa"/>
            <w:noWrap/>
            <w:hideMark/>
          </w:tcPr>
          <w:p w:rsidR="00E97789" w:rsidRPr="00C721AB" w:rsidRDefault="00E97789" w:rsidP="00E977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2835"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85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AA</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74"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290</w:t>
            </w:r>
          </w:p>
        </w:tc>
        <w:tc>
          <w:tcPr>
            <w:tcW w:w="1276"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Uruguay</w:t>
            </w:r>
          </w:p>
        </w:tc>
        <w:tc>
          <w:tcPr>
            <w:tcW w:w="1984"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Bañados del Este y Franja Costera</w:t>
            </w:r>
          </w:p>
        </w:tc>
        <w:tc>
          <w:tcPr>
            <w:tcW w:w="1417"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04/07/1990</w:t>
            </w:r>
          </w:p>
        </w:tc>
        <w:tc>
          <w:tcPr>
            <w:tcW w:w="1422"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28/08/2014</w:t>
            </w:r>
          </w:p>
        </w:tc>
        <w:tc>
          <w:tcPr>
            <w:tcW w:w="1130" w:type="dxa"/>
            <w:noWrap/>
            <w:hideMark/>
          </w:tcPr>
          <w:p w:rsidR="00E97789" w:rsidRPr="00C721AB" w:rsidRDefault="00E97789" w:rsidP="00E977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w:t>
            </w:r>
          </w:p>
        </w:tc>
        <w:tc>
          <w:tcPr>
            <w:tcW w:w="29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w:t>
            </w:r>
            <w:r w:rsidRPr="00C721AB">
              <w:rPr>
                <w:rFonts w:ascii="Calibri" w:hAnsi="Calibri"/>
                <w:sz w:val="22"/>
                <w:szCs w:val="22"/>
                <w:lang w:val="es-ES_tradnl" w:eastAsia="en-GB"/>
              </w:rPr>
              <w:t>modificación de la hidrología de algunas áreas del sitio afecta a la</w:t>
            </w:r>
            <w:r w:rsidRPr="00C721AB">
              <w:rPr>
                <w:rFonts w:ascii="Calibri" w:hAnsi="Calibri"/>
                <w:color w:val="000000"/>
                <w:sz w:val="22"/>
                <w:szCs w:val="22"/>
                <w:lang w:val="es-ES_tradnl" w:eastAsia="en-GB"/>
              </w:rPr>
              <w:t xml:space="preserve"> dinámica natural del sistema y el drenaje de áreas del sitio Ramsar para actividades agrícolas y ganaderas.</w:t>
            </w:r>
          </w:p>
        </w:tc>
        <w:tc>
          <w:tcPr>
            <w:tcW w:w="2835"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Los cambios en las características ecológicas se están tratando activamente. Retirado del Registro de Montreux. </w:t>
            </w:r>
          </w:p>
        </w:tc>
        <w:tc>
          <w:tcPr>
            <w:tcW w:w="85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t>
            </w:r>
          </w:p>
        </w:tc>
      </w:tr>
    </w:tbl>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464F75" w:rsidRDefault="00464F75">
      <w:pPr>
        <w:rPr>
          <w:rFonts w:ascii="Calibri" w:hAnsi="Calibri"/>
          <w:b/>
          <w:color w:val="000000"/>
          <w:sz w:val="26"/>
          <w:szCs w:val="26"/>
          <w:lang w:val="es-ES_tradnl"/>
        </w:rPr>
      </w:pPr>
      <w:r>
        <w:rPr>
          <w:rFonts w:ascii="Calibri" w:hAnsi="Calibri"/>
          <w:b/>
          <w:color w:val="000000"/>
          <w:sz w:val="26"/>
          <w:szCs w:val="26"/>
          <w:lang w:val="es-ES_tradnl"/>
        </w:rPr>
        <w:br w:type="page"/>
      </w:r>
    </w:p>
    <w:p w:rsidR="00E97789" w:rsidRPr="00C721AB" w:rsidRDefault="00E97789" w:rsidP="00E97789">
      <w:pPr>
        <w:tabs>
          <w:tab w:val="right" w:pos="9026"/>
        </w:tabs>
        <w:suppressAutoHyphens/>
        <w:ind w:left="567" w:hanging="567"/>
        <w:rPr>
          <w:rFonts w:ascii="Calibri" w:hAnsi="Calibri"/>
          <w:color w:val="000000"/>
          <w:sz w:val="26"/>
          <w:szCs w:val="26"/>
          <w:lang w:val="es-ES_tradnl"/>
        </w:rPr>
      </w:pPr>
      <w:r w:rsidRPr="00C721AB">
        <w:rPr>
          <w:rFonts w:ascii="Calibri" w:hAnsi="Calibri"/>
          <w:b/>
          <w:color w:val="000000"/>
          <w:sz w:val="26"/>
          <w:szCs w:val="26"/>
          <w:lang w:val="es-ES_tradnl"/>
        </w:rPr>
        <w:lastRenderedPageBreak/>
        <w:t xml:space="preserve">Anexo 4b </w:t>
      </w:r>
    </w:p>
    <w:p w:rsidR="00E97789" w:rsidRPr="00C721AB" w:rsidRDefault="00E97789" w:rsidP="00E97789">
      <w:pPr>
        <w:tabs>
          <w:tab w:val="right" w:pos="9026"/>
        </w:tabs>
        <w:suppressAutoHyphens/>
        <w:ind w:left="567" w:hanging="567"/>
        <w:rPr>
          <w:rFonts w:ascii="Calibri" w:hAnsi="Calibri"/>
          <w:b/>
          <w:color w:val="000000"/>
          <w:sz w:val="26"/>
          <w:szCs w:val="26"/>
          <w:lang w:val="es-ES_tradnl"/>
        </w:rPr>
      </w:pPr>
    </w:p>
    <w:p w:rsidR="00E97789" w:rsidRPr="00C721AB" w:rsidRDefault="00E97789" w:rsidP="00E97789">
      <w:pPr>
        <w:tabs>
          <w:tab w:val="right" w:pos="9026"/>
        </w:tabs>
        <w:suppressAutoHyphens/>
        <w:rPr>
          <w:rFonts w:ascii="Calibri" w:hAnsi="Calibri"/>
          <w:b/>
          <w:color w:val="000000"/>
          <w:szCs w:val="24"/>
          <w:lang w:val="es-ES_tradnl"/>
        </w:rPr>
      </w:pPr>
      <w:r w:rsidRPr="00C721AB">
        <w:rPr>
          <w:rFonts w:ascii="Calibri" w:hAnsi="Calibri"/>
          <w:b/>
          <w:szCs w:val="24"/>
          <w:lang w:val="es-ES_tradnl"/>
        </w:rPr>
        <w:t>Estado del los sitios Ramsar sobre los que existen informes de que han ocurrido, están ocurriendo o es probable que ocurran cambios negativos inducidos por la actividad humana hasta y desde la COP11</w:t>
      </w:r>
    </w:p>
    <w:p w:rsidR="00E97789" w:rsidRPr="00C721AB" w:rsidRDefault="00E97789" w:rsidP="00E97789">
      <w:pPr>
        <w:tabs>
          <w:tab w:val="right" w:pos="9026"/>
        </w:tabs>
        <w:suppressAutoHyphens/>
        <w:ind w:left="567" w:hanging="567"/>
        <w:rPr>
          <w:rFonts w:ascii="Calibri" w:hAnsi="Calibri"/>
          <w:b/>
          <w:color w:val="000000"/>
          <w:szCs w:val="24"/>
          <w:lang w:val="es-ES_tradnl"/>
        </w:rPr>
      </w:pPr>
    </w:p>
    <w:p w:rsidR="00E97789" w:rsidRPr="00C721AB" w:rsidRDefault="00E97789" w:rsidP="00E97789">
      <w:pPr>
        <w:tabs>
          <w:tab w:val="right" w:pos="9026"/>
        </w:tabs>
        <w:suppressAutoHyphens/>
        <w:rPr>
          <w:rFonts w:ascii="Calibri" w:hAnsi="Calibri"/>
          <w:color w:val="000000"/>
          <w:sz w:val="22"/>
          <w:szCs w:val="22"/>
          <w:lang w:val="es-ES_tradnl"/>
        </w:rPr>
      </w:pPr>
      <w:r w:rsidRPr="00C721AB">
        <w:rPr>
          <w:rFonts w:ascii="Calibri" w:hAnsi="Calibri"/>
          <w:color w:val="000000"/>
          <w:sz w:val="22"/>
          <w:szCs w:val="22"/>
          <w:lang w:val="es-ES_tradnl"/>
        </w:rPr>
        <w:t xml:space="preserve">Expedientes abiertos sobre los que la Secretaría recibió información de fuentes distintas de las Partes Contratantes y se ha realizado un monitoreo con las Autoridades Administrativas en cuestión. La inclusión en esta lista no implica que la Conferencia de las Partes Contratantes, la Secretaría o la Parte en cuestión </w:t>
      </w:r>
      <w:proofErr w:type="gramStart"/>
      <w:r w:rsidRPr="00C721AB">
        <w:rPr>
          <w:rFonts w:ascii="Calibri" w:hAnsi="Calibri"/>
          <w:color w:val="000000"/>
          <w:sz w:val="22"/>
          <w:szCs w:val="22"/>
          <w:lang w:val="es-ES_tradnl"/>
        </w:rPr>
        <w:t>considere</w:t>
      </w:r>
      <w:proofErr w:type="gramEnd"/>
      <w:r w:rsidRPr="00C721AB">
        <w:rPr>
          <w:rFonts w:ascii="Calibri" w:hAnsi="Calibri"/>
          <w:color w:val="000000"/>
          <w:sz w:val="22"/>
          <w:szCs w:val="22"/>
          <w:lang w:val="es-ES_tradnl"/>
        </w:rPr>
        <w:t xml:space="preserve"> que ningún sitio en concreto esté experimentando cambios negativos.</w:t>
      </w:r>
    </w:p>
    <w:p w:rsidR="00E97789" w:rsidRPr="00C721AB" w:rsidRDefault="00E97789" w:rsidP="00E97789">
      <w:pPr>
        <w:tabs>
          <w:tab w:val="right" w:pos="9026"/>
        </w:tabs>
        <w:suppressAutoHyphens/>
        <w:ind w:left="567" w:hanging="567"/>
        <w:rPr>
          <w:rFonts w:ascii="Calibri" w:hAnsi="Calibri"/>
          <w:b/>
          <w:color w:val="000000"/>
          <w:sz w:val="22"/>
          <w:szCs w:val="22"/>
          <w:lang w:val="es-ES_tradnl"/>
        </w:rPr>
      </w:pPr>
    </w:p>
    <w:tbl>
      <w:tblPr>
        <w:tblStyle w:val="LightList-Accent11"/>
        <w:tblW w:w="14213" w:type="dxa"/>
        <w:tblInd w:w="-34" w:type="dxa"/>
        <w:tblLook w:val="04A0" w:firstRow="1" w:lastRow="0" w:firstColumn="1" w:lastColumn="0" w:noHBand="0" w:noVBand="1"/>
      </w:tblPr>
      <w:tblGrid>
        <w:gridCol w:w="663"/>
        <w:gridCol w:w="1421"/>
        <w:gridCol w:w="1659"/>
        <w:gridCol w:w="1278"/>
        <w:gridCol w:w="1278"/>
        <w:gridCol w:w="3918"/>
        <w:gridCol w:w="3998"/>
      </w:tblGrid>
      <w:tr w:rsidR="00E97789" w:rsidRPr="00B43D37" w:rsidTr="00464F7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61" w:type="dxa"/>
            <w:shd w:val="clear" w:color="auto" w:fill="C6D9F1" w:themeFill="text2" w:themeFillTint="33"/>
            <w:noWrap/>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Nº del sitio</w:t>
            </w:r>
          </w:p>
        </w:tc>
        <w:tc>
          <w:tcPr>
            <w:tcW w:w="1421"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Parte Contratante</w:t>
            </w:r>
          </w:p>
        </w:tc>
        <w:tc>
          <w:tcPr>
            <w:tcW w:w="1659"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Sitio Ramsar </w:t>
            </w:r>
          </w:p>
        </w:tc>
        <w:tc>
          <w:tcPr>
            <w:tcW w:w="1278"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Fecha de apertura</w:t>
            </w:r>
          </w:p>
        </w:tc>
        <w:tc>
          <w:tcPr>
            <w:tcW w:w="1278"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Fecha de cierre</w:t>
            </w:r>
          </w:p>
        </w:tc>
        <w:tc>
          <w:tcPr>
            <w:tcW w:w="3918"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Breve resumen del problema</w:t>
            </w:r>
          </w:p>
        </w:tc>
        <w:tc>
          <w:tcPr>
            <w:tcW w:w="3998" w:type="dxa"/>
            <w:shd w:val="clear" w:color="auto" w:fill="C6D9F1" w:themeFill="text2" w:themeFillTint="33"/>
            <w:noWrap/>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Estado a 28 de agosto de 2014 </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262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Australia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Barmah Forest</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jul-14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sz w:val="22"/>
                <w:szCs w:val="22"/>
                <w:lang w:val="es-ES_tradnl" w:eastAsia="en-GB"/>
              </w:rPr>
            </w:pPr>
            <w:r w:rsidRPr="00C721AB">
              <w:rPr>
                <w:rFonts w:ascii="Calibri" w:hAnsi="Calibri"/>
                <w:bCs/>
                <w:sz w:val="22"/>
                <w:szCs w:val="22"/>
                <w:lang w:val="es-ES_tradnl" w:eastAsia="en-GB"/>
              </w:rPr>
              <w:t xml:space="preserve">Prueba de entresaca ecológica del </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sz w:val="22"/>
                <w:szCs w:val="22"/>
                <w:lang w:val="es-ES_tradnl" w:eastAsia="en-GB"/>
              </w:rPr>
              <w:t>Red Gum Forest</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(Actualización de la AA recibida el 15 de septiembre de 2014)</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266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65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 xml:space="preserve">Port Phillip Bay &amp; Bellarine Peninsula </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ene-14</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ago-14</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El impacto </w:t>
            </w:r>
            <w:r w:rsidRPr="00C721AB">
              <w:rPr>
                <w:rFonts w:ascii="Calibri" w:hAnsi="Calibri"/>
                <w:sz w:val="22"/>
                <w:szCs w:val="22"/>
                <w:lang w:val="es-ES_tradnl" w:eastAsia="en-GB"/>
              </w:rPr>
              <w:t xml:space="preserve">de la escorrentía de limos procedentes de construcciones cercanas </w:t>
            </w:r>
            <w:r w:rsidRPr="00C721AB">
              <w:rPr>
                <w:rFonts w:ascii="Calibri" w:hAnsi="Calibri"/>
                <w:color w:val="000000"/>
                <w:sz w:val="22"/>
                <w:szCs w:val="22"/>
                <w:lang w:val="es-ES_tradnl" w:eastAsia="en-GB"/>
              </w:rPr>
              <w:t>afecta al lago Connewarre</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La AA respondió el 4 de agosto de 2014. Actualmente el gobierno estatal está tratando </w:t>
            </w:r>
            <w:r w:rsidRPr="00C721AB">
              <w:rPr>
                <w:rFonts w:ascii="Calibri" w:hAnsi="Calibri"/>
                <w:sz w:val="22"/>
                <w:szCs w:val="22"/>
                <w:lang w:val="es-ES_tradnl" w:eastAsia="en-GB"/>
              </w:rPr>
              <w:t>directamente</w:t>
            </w:r>
            <w:r w:rsidRPr="00C721AB">
              <w:rPr>
                <w:rFonts w:ascii="Calibri" w:hAnsi="Calibri"/>
                <w:color w:val="000000"/>
                <w:sz w:val="22"/>
                <w:szCs w:val="22"/>
                <w:lang w:val="es-ES_tradnl" w:eastAsia="en-GB"/>
              </w:rPr>
              <w:t xml:space="preserve"> con terceros. Caso cerrado.</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267</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Western port</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01/11/2010</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Amenaza de la expansión propuesta del puerto de Hastings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268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Western District Lakes</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01/11/2012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Proyecto de parque eólico</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respuesta de la AA desde septiembre de 2014)</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269</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Gippsland Lakes</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30/11/2009</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El dragado de la entrada de los lagos causó un aumento en la salinidad del sitio, </w:t>
            </w:r>
            <w:r w:rsidRPr="00C721AB">
              <w:rPr>
                <w:rFonts w:ascii="Calibri" w:hAnsi="Calibri"/>
                <w:sz w:val="22"/>
                <w:szCs w:val="22"/>
                <w:lang w:val="es-ES_tradnl" w:eastAsia="en-GB"/>
              </w:rPr>
              <w:t>una disminución de los flujos de agua dulce y el aumento de los nutrientes; invasión</w:t>
            </w:r>
            <w:r w:rsidRPr="00C721AB">
              <w:rPr>
                <w:rFonts w:ascii="Calibri" w:hAnsi="Calibri"/>
                <w:color w:val="000000"/>
                <w:sz w:val="22"/>
                <w:szCs w:val="22"/>
                <w:lang w:val="es-ES_tradnl" w:eastAsia="en-GB"/>
              </w:rPr>
              <w:t xml:space="preserve"> de cangrejo verde europeo y especies de algas marinas.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(Actualmente la AA está redactando una respuesta) </w:t>
            </w:r>
          </w:p>
        </w:tc>
      </w:tr>
      <w:tr w:rsidR="00E97789" w:rsidRPr="00C721AB"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482</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Australia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Peel-Yalgorup system</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Dragado desde Pt. Grey hasta Dawesville</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Cut, y también en el puerto deportivo de</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Dawesville Cut</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560</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Bangladesh</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Sundarbans Reserve Forest</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09/06/2011</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Construcción de </w:t>
            </w:r>
            <w:r w:rsidRPr="00C721AB">
              <w:rPr>
                <w:rFonts w:ascii="Calibri" w:hAnsi="Calibri"/>
                <w:sz w:val="22"/>
                <w:szCs w:val="22"/>
                <w:lang w:val="es-ES_tradnl" w:eastAsia="en-GB"/>
              </w:rPr>
              <w:t>central térmica</w:t>
            </w:r>
            <w:r w:rsidRPr="00C721AB">
              <w:rPr>
                <w:rFonts w:ascii="Calibri" w:hAnsi="Calibri"/>
                <w:color w:val="000000"/>
                <w:sz w:val="22"/>
                <w:szCs w:val="22"/>
                <w:lang w:val="es-ES_tradnl" w:eastAsia="en-GB"/>
              </w:rPr>
              <w:t xml:space="preserve"> de carbón a unos 14 kms del sitio; planes para desarrollar una mina de carbón en Phulbari; el carbón extraído se transfiere al </w:t>
            </w:r>
            <w:r w:rsidRPr="00C721AB">
              <w:rPr>
                <w:rFonts w:ascii="Calibri" w:hAnsi="Calibri"/>
                <w:sz w:val="22"/>
                <w:szCs w:val="22"/>
                <w:lang w:val="es-ES_tradnl" w:eastAsia="en-GB"/>
              </w:rPr>
              <w:t>puerto de Mongla (cerca de los Sundarbans) y luego</w:t>
            </w:r>
            <w:r w:rsidRPr="00C721AB">
              <w:rPr>
                <w:rFonts w:ascii="Calibri" w:hAnsi="Calibri"/>
                <w:color w:val="000000"/>
                <w:sz w:val="22"/>
                <w:szCs w:val="22"/>
                <w:lang w:val="es-ES_tradnl" w:eastAsia="en-GB"/>
              </w:rPr>
              <w:t xml:space="preserve"> se transporta a una instalación de recarga externa en el interior del sitio.</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el estado del sitio y sobre el estado del proyecto desde 2011.</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331</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Bélgica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Marais d'Harchies</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26/05/2003</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24/10/2013</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Planta industrial proyectada para tratamiento de fangos. Rechazado por la AA.</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2013. El proyecto no se llevó a cabo.</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1180</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Burundi</w:t>
            </w:r>
          </w:p>
        </w:tc>
        <w:tc>
          <w:tcPr>
            <w:tcW w:w="165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fr-FR" w:eastAsia="en-GB"/>
              </w:rPr>
            </w:pPr>
            <w:r w:rsidRPr="00B43D37">
              <w:rPr>
                <w:rFonts w:ascii="Calibri" w:hAnsi="Calibri"/>
                <w:color w:val="000000"/>
                <w:sz w:val="22"/>
                <w:szCs w:val="22"/>
                <w:lang w:val="fr-FR" w:eastAsia="en-GB"/>
              </w:rPr>
              <w:t>Parc National de la Rusizi</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01/01/2013</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Plantación de caña de azúcar a gran escala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la situación y el estado del humedal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1740</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Congo</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Cayo-Loufoualeba</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2010</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Industria extractiva (minería)</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la situación y el estado del humedal desde 2010. La AA prometió en 2012 transformar las recomendaciones de la MRA en un plan de acción.</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143</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Dinamarca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Nissum Fjord</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17/11/2009</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color w:val="000000"/>
                <w:sz w:val="22"/>
                <w:szCs w:val="22"/>
                <w:lang w:val="es-ES_tradnl" w:eastAsia="en-GB"/>
              </w:rPr>
              <w:t xml:space="preserve">El aumento de la eutrofización conduce a la </w:t>
            </w:r>
            <w:r w:rsidRPr="00C721AB">
              <w:rPr>
                <w:rFonts w:ascii="Calibri" w:hAnsi="Calibri"/>
                <w:sz w:val="22"/>
                <w:szCs w:val="22"/>
                <w:lang w:val="es-ES_tradnl" w:eastAsia="en-GB"/>
              </w:rPr>
              <w:t>disminución de poblaciones de aves acuáticas que hacen escala</w:t>
            </w:r>
            <w:r w:rsidRPr="00C721AB">
              <w:rPr>
                <w:rFonts w:ascii="Calibri" w:hAnsi="Calibri"/>
                <w:color w:val="000000"/>
                <w:sz w:val="22"/>
                <w:szCs w:val="22"/>
                <w:lang w:val="es-ES_tradnl" w:eastAsia="en-GB"/>
              </w:rPr>
              <w:t xml:space="preserve"> o invernan</w:t>
            </w:r>
            <w:r w:rsidRPr="00C721AB">
              <w:rPr>
                <w:rFonts w:ascii="Calibri" w:hAnsi="Calibri"/>
                <w:bCs/>
                <w:color w:val="000000"/>
                <w:sz w:val="22"/>
                <w:szCs w:val="22"/>
                <w:lang w:val="es-ES_tradnl" w:eastAsia="en-GB"/>
              </w:rPr>
              <w:t>.</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proceso de revisión por la AA. Correo electrónico de la AA recibido en octubre de 2013.</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Dinamarca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Ulvedybet &amp; Nibee Bredning</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17/11/2009</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El aumento de la eutrofización conduce a la disminución de poblaciones de aves acuáticas que hacen escala o invernan.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bCs/>
                <w:color w:val="000000"/>
                <w:sz w:val="22"/>
                <w:szCs w:val="22"/>
                <w:lang w:val="es-ES_tradnl" w:eastAsia="en-GB"/>
              </w:rPr>
              <w:t>En proceso de revisión por la AA. Correo electrónico de la AA recibido en octubre 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356</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Dinamarca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Vadehavet</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17/11/2009</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Drenaje e intensificación agrícola, destrucción de praderas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bCs/>
                <w:color w:val="000000"/>
                <w:sz w:val="22"/>
                <w:szCs w:val="22"/>
                <w:lang w:val="es-ES_tradnl" w:eastAsia="en-GB"/>
              </w:rPr>
              <w:t>En proceso de revisión por la AA. Correo electrónico de la AA recibido en octubre de 2013.</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1600</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Eslovenia</w:t>
            </w:r>
          </w:p>
        </w:tc>
        <w:tc>
          <w:tcPr>
            <w:tcW w:w="165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Lake Cerknica and its environ</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22/04/2008</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Contaminación del agua.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2010</w:t>
            </w:r>
          </w:p>
        </w:tc>
      </w:tr>
      <w:tr w:rsidR="00E97789" w:rsidRPr="00C721AB"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452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Complejo Intermareal Umia-O Grove </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20/01/2014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Contaminación por metales</w:t>
            </w:r>
            <w:r w:rsidRPr="00C721AB">
              <w:rPr>
                <w:rFonts w:ascii="Calibri" w:hAnsi="Calibri"/>
                <w:color w:val="000000"/>
                <w:sz w:val="22"/>
                <w:szCs w:val="22"/>
                <w:lang w:val="es-ES_tradnl" w:eastAsia="en-GB"/>
              </w:rPr>
              <w:t xml:space="preserve"> pesados.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proceso de examen por la AA. Aún no está confirmado.</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592</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España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 xml:space="preserve">Aiguamolls de l'Empordà </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10/01/2012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 xml:space="preserve">Destrucción </w:t>
            </w:r>
            <w:r w:rsidRPr="00C721AB">
              <w:rPr>
                <w:rFonts w:ascii="Calibri" w:hAnsi="Calibri"/>
                <w:bCs/>
                <w:sz w:val="22"/>
                <w:szCs w:val="22"/>
                <w:lang w:val="es-ES_tradnl" w:eastAsia="en-GB"/>
              </w:rPr>
              <w:t>de praderas húmedas</w:t>
            </w:r>
            <w:r w:rsidRPr="00C721AB">
              <w:rPr>
                <w:rFonts w:ascii="Calibri" w:hAnsi="Calibri"/>
                <w:bCs/>
                <w:color w:val="000000"/>
                <w:sz w:val="22"/>
                <w:szCs w:val="22"/>
                <w:lang w:val="es-ES_tradnl" w:eastAsia="en-GB"/>
              </w:rPr>
              <w:t xml:space="preserve"> para el cultivo de arroz y sobreexplotación del acuífero.</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espera de actualización de la AA desde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593</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Delta del Ebro</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08/08/2014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 xml:space="preserve">El Plan Hidrológico Nacional podría afectar a las características ecológicas del sitio Ramsar.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proceso de examen por la AA. Aún no está confirmado. En espera de actualización de la AA desde agosto de 2014</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705</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España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Ría del Eo</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19/05/2009</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Posibles </w:t>
            </w:r>
            <w:r w:rsidRPr="00C721AB">
              <w:rPr>
                <w:rFonts w:ascii="Calibri" w:hAnsi="Calibri"/>
                <w:sz w:val="22"/>
                <w:szCs w:val="22"/>
                <w:lang w:val="es-ES_tradnl" w:eastAsia="en-GB"/>
              </w:rPr>
              <w:t>desarrollos urbanísticos.</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proceso de examen por la AA. Aún no está confirmado. En espera de actualización de la AA desde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110</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Kandalaksha Bay</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04/05/2012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Planes para la construcción de una planta de gas dentro del sitio Ramsar.</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2009</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111</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Federación de Rusia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Volga Delta</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16/11/2012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sz w:val="22"/>
                <w:szCs w:val="22"/>
                <w:lang w:val="es-ES_tradnl" w:eastAsia="en-GB"/>
              </w:rPr>
              <w:t>Desarrollo del sector del petróleo</w:t>
            </w:r>
            <w:r w:rsidRPr="00C721AB">
              <w:rPr>
                <w:rFonts w:ascii="Calibri" w:hAnsi="Calibri"/>
                <w:bCs/>
                <w:color w:val="000000"/>
                <w:sz w:val="22"/>
                <w:szCs w:val="22"/>
                <w:lang w:val="es-ES_tradnl" w:eastAsia="en-GB"/>
              </w:rPr>
              <w:t xml:space="preserve"> y gas.</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espera de información de la AA desde  2010.</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674</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 xml:space="preserve">Kuban Delta: Group of limans between rivers Kuban &amp; Protoka. </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30/11/2010</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Explotación de petróleo.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información de la AA desde  marzo de 2013</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675</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Kuban delta: Akhtaro-Grivenskaya group of limans</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30/11/2010</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Explotación de petróleo</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información de la AA desde  marzo 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682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Selenga Delta</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xx/11/08</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Fluctuación artificial de los niveles de agua debido a plantas hidroeléctricas en el lago Baikal.</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2009</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683</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Torey Lakes</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preCOP11</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canal.</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2009</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695</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Moroshechnaya River</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30/01/2007</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Actividades de explotación de petróleo.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2007</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699</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Federación de Rusia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Pskovsko-Chudskaya Lowland</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16/11/2012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Desarrollos urbanísticos, pesca incontrolada, caza y presiones de turismo. Los peces no llegan a los lugares aguas arriba, cambios en las rutas de migración.</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información de la AA desde  noviembre de 2012</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1810</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Francia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Rhin supérieur</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18/04/2012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Desarrollos urbanísticos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54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Grecia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Evros Delta</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24/10/2008</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Falta de una gestión coherente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2006</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461</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India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Wular Lake</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14/02/2014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Desarrollo no planificado y asentamientos humanos ilegales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espera de actualización de la AA desde 2014</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462</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Harike Lake</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14/02/2014</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Reducción en las dimensiones del lago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2014</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464</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Sambhar</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27/04/2009</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sal no autorizada; exceso de bombeo de aguas subterráneas; </w:t>
            </w:r>
            <w:r w:rsidRPr="00C721AB">
              <w:rPr>
                <w:rFonts w:ascii="Calibri" w:hAnsi="Calibri"/>
                <w:sz w:val="22"/>
                <w:szCs w:val="22"/>
                <w:lang w:val="es-ES_tradnl" w:eastAsia="en-GB"/>
              </w:rPr>
              <w:t>construcción propuesta de la mayor planta de generación de energía solar del mundo en las proximidades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2009</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1204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Ashtamudi Lake</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13/06/2012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 Kollam Corporation está vertiendo desechos sólidos a orillas del lago; además</w:t>
            </w:r>
            <w:r w:rsidRPr="00C721AB">
              <w:rPr>
                <w:rFonts w:ascii="Calibri" w:hAnsi="Calibri"/>
                <w:sz w:val="22"/>
                <w:szCs w:val="22"/>
                <w:lang w:val="es-ES_tradnl" w:eastAsia="en-GB"/>
              </w:rPr>
              <w:t>, construcción ilegal</w:t>
            </w:r>
            <w:r w:rsidRPr="00C721AB">
              <w:rPr>
                <w:rFonts w:ascii="Calibri" w:hAnsi="Calibri"/>
                <w:color w:val="000000"/>
                <w:sz w:val="22"/>
                <w:szCs w:val="22"/>
                <w:lang w:val="es-ES_tradnl" w:eastAsia="en-GB"/>
              </w:rPr>
              <w:t xml:space="preserve"> de una planta de tratamiento de desechos sólidos.</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1207</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Deepor Beel</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23/05/2013</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Pesca, sedimentación, construcciones ilegales e invasión; desechos químicos de fábricas vertidos en el humedal (se han encontrado varios peces muertos de diferentes especies). Proyecto de construcción de una línea de ferrocarril junto al Elephant Corridor.</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1208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East Calcutta Wetlands</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27/08/2010</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Amenaza de invasión urbana y aumento de los contaminantes nocivos.</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2009</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1212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Sasthamkotta Lake</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05/05/2013</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Sequía, vertido de desechos y falta de gestión.</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1214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India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Vembanand-Kol</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30/08/2010</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Se </w:t>
            </w:r>
            <w:r w:rsidRPr="00C721AB">
              <w:rPr>
                <w:rFonts w:ascii="Calibri" w:hAnsi="Calibri"/>
                <w:sz w:val="22"/>
                <w:szCs w:val="22"/>
                <w:lang w:val="es-ES_tradnl" w:eastAsia="en-GB"/>
              </w:rPr>
              <w:t>autorizó el comienzo de un proyecto industrial en el sitio Ramsar; el Banyan Tree Resort no cumple la reglamentación ambiental</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415</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Irlanda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Clara Bog</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27/06/2012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turba.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416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Irlanda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Morgan Bog </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27/06/2012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turba.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417</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Irlanda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Raheenmore Bog</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27/06/2012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turba.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846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Irlanda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Lough Corrib</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27/06/2012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turba.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847</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Irlanda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Lough Derravaragh</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27/06/2012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Extracción de turba.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460</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Islandia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Thjörsárver</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22/04/2010</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Planes para una planta de generación de energía hidroeléctrica y una represa.</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desde 2012.</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117</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Italia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Pian di Spagna e Lago Mezzola</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25/07/2012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carretera y centro ambiental en el sitio.</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1856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Kazajstán</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Ural River Delta and adjacent Caspian Sea Coast</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preCOP11</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Construcción de una base de respuesta petrolera</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el estado de este sitio desde 2011</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1478</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Marruecos</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Embouchure de la Moulouya</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2010</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Contaminación</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Informe de la RAM, implementación en curso. Actualización recibida en agosto de 2014.</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1391</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Mozambique</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Marromeux Complex</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2008</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Prospección de petróleo y gas</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Trabajo en curso para abordar el problema. La AA está actualizando la FIR.</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1964</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Mozambique</w:t>
            </w:r>
          </w:p>
        </w:tc>
        <w:tc>
          <w:tcPr>
            <w:tcW w:w="165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Lac Niassa and its Coastal Zone</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Prospección de petróleo</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la situación y el estado del humedal desde 2012</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194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Países Bajos</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Naardermeer</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16/10/2005</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sz w:val="22"/>
                <w:szCs w:val="22"/>
                <w:lang w:val="es-ES_tradnl" w:eastAsia="en-GB"/>
              </w:rPr>
              <w:t>Presiones del desarrollo urbanístico y del  turismo</w:t>
            </w:r>
            <w:r w:rsidRPr="00C721AB">
              <w:rPr>
                <w:rFonts w:ascii="Calibri" w:hAnsi="Calibri"/>
                <w:color w:val="000000"/>
                <w:sz w:val="22"/>
                <w:szCs w:val="22"/>
                <w:lang w:val="es-ES_tradnl" w:eastAsia="en-GB"/>
              </w:rPr>
              <w:t>.</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2005</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289</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Países Bajos</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Waddensea</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17/07/2012</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Desarrollos industriales en la zona. Proyecto de planta de energía eléctrica alimentada por carbón en el límite del sitio Ramsar.</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No se ha recibido respuesta de la AA. En espera de actualización de la AA desde julio de 2013 </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818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Pakistán</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Uchhali Complex Lake</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06/04/2014</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Reconstrucción propuesta de carretera a través del humedal; la recomendación es construir la carretera a un nivel más bajo cuyo impacto sería menor.</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el proyecto propuesto desde 2014</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282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Polonia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Warta Mouth National Park  </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21/07/2014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Proyectos de construcción en las riberas del río causan el drenaje excesivo, escasez de agua y perturbación de las aves.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agosto de 2014</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756</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Polonia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Biebrzanaki National Park (Biebrzanski Park Narodowy)</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27/04/2007</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10/07/2012</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 xml:space="preserve">Proyectos de </w:t>
            </w:r>
            <w:r w:rsidRPr="00C721AB">
              <w:rPr>
                <w:rFonts w:ascii="Calibri" w:hAnsi="Calibri"/>
                <w:bCs/>
                <w:sz w:val="22"/>
                <w:szCs w:val="22"/>
                <w:lang w:val="es-ES_tradnl" w:eastAsia="en-GB"/>
              </w:rPr>
              <w:t xml:space="preserve">construcción </w:t>
            </w:r>
            <w:r w:rsidRPr="00C721AB">
              <w:rPr>
                <w:rFonts w:ascii="Calibri" w:hAnsi="Calibri"/>
                <w:bCs/>
                <w:color w:val="000000"/>
                <w:sz w:val="22"/>
                <w:szCs w:val="22"/>
                <w:lang w:val="es-ES_tradnl" w:eastAsia="en-GB"/>
              </w:rPr>
              <w:t>de carreteras. Rechazados por la AA.</w:t>
            </w:r>
          </w:p>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Expediente cerrado en julio de 2012. La carretera no se construirá.</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212</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Portugal</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Ria Formosa</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11/03/2009</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Nuevo proyecto de complejo turístico cerca del río.  </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2009</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68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Broadland</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05/09/2013</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01/11/2013</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Drenaje y pérdida de </w:t>
            </w:r>
            <w:r w:rsidRPr="00C721AB">
              <w:rPr>
                <w:rFonts w:ascii="Calibri" w:hAnsi="Calibri"/>
                <w:sz w:val="22"/>
                <w:szCs w:val="22"/>
                <w:lang w:val="es-ES_tradnl" w:eastAsia="en-GB"/>
              </w:rPr>
              <w:t>transparencia</w:t>
            </w:r>
            <w:r w:rsidRPr="00C721AB">
              <w:rPr>
                <w:rFonts w:ascii="Calibri" w:hAnsi="Calibri"/>
                <w:color w:val="000000"/>
                <w:sz w:val="22"/>
                <w:szCs w:val="22"/>
                <w:lang w:val="es-ES_tradnl" w:eastAsia="en-GB"/>
              </w:rPr>
              <w:t xml:space="preserve"> del agua del río Thurne después de la repentina disminución de los niveles de agua.</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Rechazado por la AA. Expediente cerrado en noviembre de 2013.   </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926</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Avon Valley</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21/07/2014</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El ecosistema se ha degradado y en consecuencia está disminuyendo el número de aves zancudas.</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proceso de examen por la AA. Aún no está confirmado. En espera de actualización de la AA desde agosto de 2014</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1025</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Reino Unido</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Thames Estuary and Marshes </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23/03/2012</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01/09/2014</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Planes de construcción del aeropuerto de “Boris Island”.</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(Expediente cerrado en septiembre de 2014; el alto costo, los trastornos económicos y aspectos medioambientales volvieron inviable la propuesta.)</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935</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 xml:space="preserve">República Árabe de Siria </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Sabkhat al-Jabbul Nature Reserve</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23/11/2010</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 están vertiendo aguas residuales en el lago.</w:t>
            </w:r>
          </w:p>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sobre la situación y el estado de los humedales desde 2010</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1594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República de Corea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Seocheon Tidal Flat</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29/04/2009</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Propuesta de recuperación de las marismas intermareales</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espera de actualización de la AA desde 2009</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1029</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s-ES_tradnl" w:eastAsia="en-GB"/>
              </w:rPr>
            </w:pPr>
            <w:r w:rsidRPr="00C721AB">
              <w:rPr>
                <w:rFonts w:ascii="Calibri" w:hAnsi="Calibri"/>
                <w:b/>
                <w:bCs/>
                <w:color w:val="000000"/>
                <w:sz w:val="22"/>
                <w:szCs w:val="22"/>
                <w:lang w:val="es-ES_tradnl" w:eastAsia="en-GB"/>
              </w:rPr>
              <w:t>República de Moldova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Lower Prut Lakes</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20/05/2005</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Perforación petrolera cerca del sitio Ramsar.</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2"/>
                <w:szCs w:val="22"/>
                <w:lang w:val="es-ES_tradnl" w:eastAsia="en-GB"/>
              </w:rPr>
            </w:pPr>
            <w:r w:rsidRPr="00C721AB">
              <w:rPr>
                <w:rFonts w:ascii="Calibri" w:hAnsi="Calibri"/>
                <w:bCs/>
                <w:color w:val="000000"/>
                <w:sz w:val="22"/>
                <w:szCs w:val="22"/>
                <w:lang w:val="es-ES_tradnl" w:eastAsia="en-GB"/>
              </w:rPr>
              <w:t>En espera de actualización de la AA desde 2010.</w:t>
            </w:r>
          </w:p>
        </w:tc>
      </w:tr>
      <w:tr w:rsidR="00E97789" w:rsidRPr="00B43D37" w:rsidTr="00464F75">
        <w:trPr>
          <w:cantSplit/>
          <w:trHeight w:val="300"/>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788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República Democrática del Congo</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Parc national des Mangroves</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2009</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lang w:val="es-ES_tradnl" w:eastAsia="en-GB"/>
              </w:rPr>
            </w:pPr>
            <w:r w:rsidRPr="00C721AB">
              <w:rPr>
                <w:rFonts w:ascii="Calibri" w:hAnsi="Calibri"/>
                <w:color w:val="000000"/>
                <w:sz w:val="20"/>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Obra de construcción (puerto)</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actualización de la AA sobre la situación y el estado del humedal desde 2009</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819</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Serbia</w:t>
            </w:r>
          </w:p>
        </w:tc>
        <w:tc>
          <w:tcPr>
            <w:tcW w:w="1659" w:type="dxa"/>
            <w:noWrap/>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Stari Begi/Carska Bara Special Nature Reserve</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29/10/2007</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Construcción de astillero en la zona circundante del sitio Ramsar.</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2010</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888</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Sudáfrica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Seekoeivlei Nature Reserve</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2013</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s-ES_tradnl" w:eastAsia="en-GB"/>
              </w:rPr>
            </w:pPr>
            <w:r w:rsidRPr="00C721AB">
              <w:rPr>
                <w:rFonts w:ascii="Calibri" w:hAnsi="Calibri"/>
                <w:sz w:val="22"/>
                <w:szCs w:val="22"/>
                <w:lang w:val="es-ES_tradnl" w:eastAsia="en-GB"/>
              </w:rPr>
              <w:t>Problema de aguas negras.</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En espera de una actualización de la AA sobre la situación y el estado del humedal desde 2013</w:t>
            </w:r>
          </w:p>
        </w:tc>
      </w:tr>
      <w:tr w:rsidR="00E97789" w:rsidRPr="00B43D37" w:rsidTr="00464F75">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lastRenderedPageBreak/>
              <w:t>945</w:t>
            </w:r>
          </w:p>
        </w:tc>
        <w:tc>
          <w:tcPr>
            <w:tcW w:w="1421"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Turquía</w:t>
            </w:r>
          </w:p>
        </w:tc>
        <w:tc>
          <w:tcPr>
            <w:tcW w:w="1659"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Gediz Delta</w:t>
            </w:r>
          </w:p>
        </w:tc>
        <w:tc>
          <w:tcPr>
            <w:tcW w:w="1278" w:type="dxa"/>
            <w:noWrap/>
            <w:hideMark/>
          </w:tcPr>
          <w:p w:rsidR="00E97789" w:rsidRPr="00C721AB" w:rsidRDefault="00E97789" w:rsidP="00E97789">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05/02/2013</w:t>
            </w:r>
          </w:p>
        </w:tc>
        <w:tc>
          <w:tcPr>
            <w:tcW w:w="127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Desarrollos urbanísticos y proyecto propuesto para la rehabilitación de la bahía y el </w:t>
            </w:r>
            <w:r w:rsidRPr="00C721AB">
              <w:rPr>
                <w:rFonts w:ascii="Calibri" w:hAnsi="Calibri"/>
                <w:sz w:val="22"/>
                <w:szCs w:val="22"/>
                <w:lang w:val="es-ES_tradnl" w:eastAsia="en-GB"/>
              </w:rPr>
              <w:t>puerto de Izmir. Existen planes para acumular materiales dragados en el área costera.</w:t>
            </w:r>
          </w:p>
        </w:tc>
        <w:tc>
          <w:tcPr>
            <w:tcW w:w="3998" w:type="dxa"/>
            <w:noWrap/>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2013</w:t>
            </w:r>
          </w:p>
        </w:tc>
      </w:tr>
      <w:tr w:rsidR="00E97789" w:rsidRPr="00B43D37" w:rsidTr="00464F75">
        <w:trPr>
          <w:cantSplit/>
          <w:trHeight w:val="315"/>
        </w:trPr>
        <w:tc>
          <w:tcPr>
            <w:cnfStyle w:val="001000000000" w:firstRow="0" w:lastRow="0" w:firstColumn="1" w:lastColumn="0" w:oddVBand="0" w:evenVBand="0" w:oddHBand="0" w:evenHBand="0" w:firstRowFirstColumn="0" w:firstRowLastColumn="0" w:lastRowFirstColumn="0" w:lastRowLastColumn="0"/>
            <w:tcW w:w="661" w:type="dxa"/>
            <w:noWrap/>
            <w:hideMark/>
          </w:tcPr>
          <w:p w:rsidR="00E97789" w:rsidRPr="00C721AB" w:rsidRDefault="00E97789" w:rsidP="00E97789">
            <w:pPr>
              <w:jc w:val="right"/>
              <w:rPr>
                <w:rFonts w:ascii="Calibri" w:hAnsi="Calibri"/>
                <w:b w:val="0"/>
                <w:color w:val="000000"/>
                <w:sz w:val="22"/>
                <w:szCs w:val="22"/>
                <w:lang w:val="es-ES_tradnl" w:eastAsia="en-GB"/>
              </w:rPr>
            </w:pPr>
            <w:r w:rsidRPr="00C721AB">
              <w:rPr>
                <w:rFonts w:ascii="Calibri" w:hAnsi="Calibri"/>
                <w:b w:val="0"/>
                <w:color w:val="000000"/>
                <w:sz w:val="22"/>
                <w:szCs w:val="22"/>
                <w:lang w:val="es-ES_tradnl" w:eastAsia="en-GB"/>
              </w:rPr>
              <w:t>764</w:t>
            </w:r>
          </w:p>
        </w:tc>
        <w:tc>
          <w:tcPr>
            <w:tcW w:w="1421"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2"/>
                <w:szCs w:val="22"/>
                <w:lang w:val="es-ES_tradnl" w:eastAsia="en-GB"/>
              </w:rPr>
            </w:pPr>
            <w:r w:rsidRPr="00C721AB">
              <w:rPr>
                <w:rFonts w:ascii="Calibri" w:hAnsi="Calibri"/>
                <w:b/>
                <w:color w:val="000000"/>
                <w:sz w:val="22"/>
                <w:szCs w:val="22"/>
                <w:lang w:val="es-ES_tradnl" w:eastAsia="en-GB"/>
              </w:rPr>
              <w:t>Ucrania</w:t>
            </w:r>
          </w:p>
        </w:tc>
        <w:tc>
          <w:tcPr>
            <w:tcW w:w="1659"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Dnister Turunchuk Crossrivers Area</w:t>
            </w:r>
          </w:p>
        </w:tc>
        <w:tc>
          <w:tcPr>
            <w:tcW w:w="1278" w:type="dxa"/>
            <w:noWrap/>
            <w:hideMark/>
          </w:tcPr>
          <w:p w:rsidR="00E97789" w:rsidRPr="00C721AB" w:rsidRDefault="00E97789" w:rsidP="00E977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05/10/2012</w:t>
            </w:r>
          </w:p>
        </w:tc>
        <w:tc>
          <w:tcPr>
            <w:tcW w:w="127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  </w:t>
            </w:r>
          </w:p>
        </w:tc>
        <w:tc>
          <w:tcPr>
            <w:tcW w:w="391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Planta de generación de energía hidroeléctrica.  </w:t>
            </w:r>
          </w:p>
        </w:tc>
        <w:tc>
          <w:tcPr>
            <w:tcW w:w="3998" w:type="dxa"/>
            <w:noWrap/>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 se ha recibido respuesta de la AA. En espera de actualización de la AA desde 2012</w:t>
            </w:r>
          </w:p>
        </w:tc>
      </w:tr>
    </w:tbl>
    <w:p w:rsidR="00E97789" w:rsidRPr="00C721AB" w:rsidRDefault="00E97789" w:rsidP="00E97789">
      <w:pPr>
        <w:rPr>
          <w:rFonts w:ascii="Arial" w:hAnsi="Arial" w:cs="Arial"/>
          <w:i/>
          <w:lang w:val="es-ES_tradnl"/>
        </w:rPr>
      </w:pPr>
    </w:p>
    <w:p w:rsidR="00E97789" w:rsidRPr="00C721AB" w:rsidRDefault="00E97789" w:rsidP="00E97789">
      <w:pPr>
        <w:tabs>
          <w:tab w:val="right" w:pos="9026"/>
        </w:tabs>
        <w:suppressAutoHyphens/>
        <w:ind w:left="567" w:hanging="567"/>
        <w:jc w:val="center"/>
        <w:rPr>
          <w:rFonts w:ascii="Garamond" w:hAnsi="Garamond"/>
          <w:i/>
          <w:color w:val="000000"/>
          <w:szCs w:val="24"/>
          <w:lang w:val="es-ES_tradnl"/>
        </w:rPr>
        <w:sectPr w:rsidR="00E97789" w:rsidRPr="00C721AB" w:rsidSect="00FA1851">
          <w:footerReference w:type="default" r:id="rId29"/>
          <w:pgSz w:w="16839" w:h="11907" w:orient="landscape" w:code="9"/>
          <w:pgMar w:top="1440" w:right="1440" w:bottom="1440" w:left="1134" w:header="680" w:footer="709" w:gutter="0"/>
          <w:cols w:space="708"/>
          <w:docGrid w:linePitch="360"/>
        </w:sectPr>
      </w:pPr>
    </w:p>
    <w:p w:rsidR="00E97789" w:rsidRPr="00C721AB" w:rsidRDefault="00E97789" w:rsidP="00E97789">
      <w:pPr>
        <w:rPr>
          <w:rFonts w:ascii="Calibri" w:hAnsi="Calibri"/>
          <w:sz w:val="26"/>
          <w:szCs w:val="26"/>
          <w:lang w:val="es-ES_tradnl"/>
        </w:rPr>
      </w:pPr>
      <w:r w:rsidRPr="00C721AB">
        <w:rPr>
          <w:rFonts w:ascii="Calibri" w:hAnsi="Calibri"/>
          <w:b/>
          <w:sz w:val="26"/>
          <w:szCs w:val="26"/>
          <w:lang w:val="es-ES_tradnl"/>
        </w:rPr>
        <w:lastRenderedPageBreak/>
        <w:t>Anexo 5</w:t>
      </w:r>
    </w:p>
    <w:p w:rsidR="00E97789" w:rsidRPr="00C721AB" w:rsidRDefault="00E97789" w:rsidP="00E97789">
      <w:pPr>
        <w:rPr>
          <w:rFonts w:ascii="Calibri" w:hAnsi="Calibri"/>
          <w:sz w:val="26"/>
          <w:szCs w:val="26"/>
          <w:lang w:val="es-ES_tradnl"/>
        </w:rPr>
      </w:pPr>
    </w:p>
    <w:p w:rsidR="00E97789" w:rsidRPr="00C721AB" w:rsidRDefault="00E97789" w:rsidP="00E97789">
      <w:pPr>
        <w:rPr>
          <w:rFonts w:ascii="Calibri" w:hAnsi="Calibri"/>
          <w:b/>
          <w:sz w:val="26"/>
          <w:szCs w:val="26"/>
          <w:lang w:val="es-ES_tradnl"/>
        </w:rPr>
      </w:pPr>
      <w:r w:rsidRPr="00C721AB">
        <w:rPr>
          <w:rFonts w:ascii="Calibri" w:hAnsi="Calibri"/>
          <w:b/>
          <w:sz w:val="26"/>
          <w:szCs w:val="26"/>
          <w:lang w:val="es-ES_tradnl"/>
        </w:rPr>
        <w:t xml:space="preserve">Lista de sitios Ramsar que también son Sitios del Patrimonio Mundial </w:t>
      </w:r>
    </w:p>
    <w:p w:rsidR="00E97789" w:rsidRPr="00C721AB" w:rsidRDefault="00E97789" w:rsidP="00E97789">
      <w:pPr>
        <w:rPr>
          <w:rFonts w:ascii="Calibri" w:hAnsi="Calibri"/>
          <w:b/>
          <w:sz w:val="26"/>
          <w:szCs w:val="26"/>
          <w:lang w:val="es-ES_tradnl"/>
        </w:rPr>
      </w:pPr>
    </w:p>
    <w:tbl>
      <w:tblPr>
        <w:tblStyle w:val="LightList-Accent11"/>
        <w:tblW w:w="9639" w:type="dxa"/>
        <w:tblLook w:val="04A0" w:firstRow="1" w:lastRow="0" w:firstColumn="1" w:lastColumn="0" w:noHBand="0" w:noVBand="1"/>
      </w:tblPr>
      <w:tblGrid>
        <w:gridCol w:w="1782"/>
        <w:gridCol w:w="3723"/>
        <w:gridCol w:w="4134"/>
      </w:tblGrid>
      <w:tr w:rsidR="00E97789" w:rsidRPr="00C721AB" w:rsidTr="00464F7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82" w:type="dxa"/>
            <w:shd w:val="clear" w:color="auto" w:fill="C6D9F1" w:themeFill="text2" w:themeFillTint="33"/>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País</w:t>
            </w:r>
          </w:p>
        </w:tc>
        <w:tc>
          <w:tcPr>
            <w:tcW w:w="3723" w:type="dxa"/>
            <w:shd w:val="clear" w:color="auto" w:fill="C6D9F1" w:themeFill="text2" w:themeFillTint="33"/>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Nombre del sitio Ramsar</w:t>
            </w:r>
          </w:p>
        </w:tc>
        <w:tc>
          <w:tcPr>
            <w:tcW w:w="4134" w:type="dxa"/>
            <w:shd w:val="clear" w:color="auto" w:fill="C6D9F1" w:themeFill="text2" w:themeFillTint="33"/>
            <w:hideMark/>
          </w:tcPr>
          <w:p w:rsidR="00E97789" w:rsidRPr="00C721AB" w:rsidRDefault="00E97789" w:rsidP="00E97789">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Bien del Patrimonio Mundial</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Alemania</w:t>
            </w:r>
          </w:p>
        </w:tc>
        <w:tc>
          <w:tcPr>
            <w:tcW w:w="3723" w:type="dxa"/>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Schleswig-Holstein Wadden Sea and adjacent areas</w:t>
            </w:r>
          </w:p>
        </w:tc>
        <w:tc>
          <w:tcPr>
            <w:tcW w:w="4134"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Alemania</w:t>
            </w:r>
          </w:p>
        </w:tc>
        <w:tc>
          <w:tcPr>
            <w:tcW w:w="3723" w:type="dxa"/>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Wattenmeer, Ostfriesisches Wattenmeer &amp; Dollart</w:t>
            </w:r>
          </w:p>
        </w:tc>
        <w:tc>
          <w:tcPr>
            <w:tcW w:w="4134" w:type="dxa"/>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Alemania</w:t>
            </w:r>
          </w:p>
        </w:tc>
        <w:tc>
          <w:tcPr>
            <w:tcW w:w="3723"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Wattenmeer, Ostfriesisches Wattenmeer &amp; Dollart</w:t>
            </w:r>
          </w:p>
        </w:tc>
        <w:tc>
          <w:tcPr>
            <w:tcW w:w="4134"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Alemania</w:t>
            </w:r>
          </w:p>
        </w:tc>
        <w:tc>
          <w:tcPr>
            <w:tcW w:w="3723" w:type="dxa"/>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Wattenmeer, Jadebusen&amp; westliche Wesermündung</w:t>
            </w:r>
          </w:p>
        </w:tc>
        <w:tc>
          <w:tcPr>
            <w:tcW w:w="4134" w:type="dxa"/>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Alemania</w:t>
            </w:r>
          </w:p>
        </w:tc>
        <w:tc>
          <w:tcPr>
            <w:tcW w:w="3723"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Hamburgishes Wattenmeer</w:t>
            </w:r>
          </w:p>
        </w:tc>
        <w:tc>
          <w:tcPr>
            <w:tcW w:w="4134"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Argelia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 Vallée d'Iherir</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Tassili N'Ajjer</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Argentina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Humedales de Península Valdés</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Península Valdés</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Australia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Kakadu National Park</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Kakadu National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Australia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Great Sandy Strait </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Fraser Island</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Bangladesh</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Sundarbans Reserved Forest</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Sundarbans</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Botswana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Okavango Delta System</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Okavango Delta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Brasil</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Pantanal Matogrossense</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Pantanal Conservation Area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Bulgaria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Srébarna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Srebarna Nature Reserve</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Canadá</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Whooping Crane Summer Range</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Wood Buffalo National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Canadá</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Peace-Athabasca Delta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Wood Buffalo National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Costa Rica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Isla del Coco</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Cocos Island National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Dinamarca</w:t>
            </w:r>
          </w:p>
        </w:tc>
        <w:tc>
          <w:tcPr>
            <w:tcW w:w="3723"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Vadehavet</w:t>
            </w:r>
          </w:p>
        </w:tc>
        <w:tc>
          <w:tcPr>
            <w:tcW w:w="4134" w:type="dxa"/>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Egipto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Wadi El Rayan Protected Area</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Wadi Al-Hitan</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Eslovaquia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Domica</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Caves of Aggtelek Karst and Slovak Karst</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Eslovenia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Skocjanske Jame (Skocjan Caves)</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Skocjan Caves</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España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Doñana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Doñana National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Estados Unidos de América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Everglades National Park</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Everglades</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Federación de Rusia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Selenga Delta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Baikal</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Filipinas</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Tubbataha Reefs Natural Park</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Tubbataha Reefs Natural Park</w:t>
            </w:r>
          </w:p>
        </w:tc>
      </w:tr>
      <w:tr w:rsidR="00E97789" w:rsidRPr="00B43D37" w:rsidTr="00E977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Filipinas</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Puerto Princesa Subterranean River National Park</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Puerto Princesa Subterranean River National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India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Keoladeo National Park</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Keoladeo National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Japón</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Yakushima Nagata-hama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Yakushima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Kazajstán</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Naurzum Lake System</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Saryarka - Steppe and Lakes of Northern Kazakhstan</w:t>
            </w:r>
          </w:p>
        </w:tc>
      </w:tr>
      <w:tr w:rsidR="00E97789" w:rsidRPr="00B43D37"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Mauritania</w:t>
            </w:r>
          </w:p>
        </w:tc>
        <w:tc>
          <w:tcPr>
            <w:tcW w:w="3723"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fr-FR" w:eastAsia="en-GB"/>
              </w:rPr>
            </w:pPr>
            <w:r w:rsidRPr="00B43D37">
              <w:rPr>
                <w:rFonts w:ascii="Calibri" w:hAnsi="Calibri"/>
                <w:color w:val="000000"/>
                <w:sz w:val="22"/>
                <w:szCs w:val="22"/>
                <w:lang w:val="fr-FR" w:eastAsia="en-GB"/>
              </w:rPr>
              <w:t>Parc National du Banc d'Arguin</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fr-FR" w:eastAsia="en-GB"/>
              </w:rPr>
            </w:pPr>
            <w:r w:rsidRPr="00B43D37">
              <w:rPr>
                <w:rFonts w:ascii="Calibri" w:hAnsi="Calibri"/>
                <w:color w:val="000000"/>
                <w:sz w:val="22"/>
                <w:szCs w:val="22"/>
                <w:lang w:val="fr-FR" w:eastAsia="en-GB"/>
              </w:rPr>
              <w:t>Parc National du Banc d'Arguin</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Humedales del Delta del Río Colorado</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lastRenderedPageBreak/>
              <w:t>México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Sian Ka'an</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Sian Ka'an</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Ojo de Liebre</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Whale Sanctuary of El Vizcaíno</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 San Ignacio</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Whale Sanctuary of El Vizcaíno</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Parque Nacional Bahía de Loreto</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Isla San Pedro Mártir</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Parque Nacional Cabo Pulmo</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Sistema Lagunar San Ignacio - Navachiste - Macapule</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trHeight w:val="6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Canal del Infiernillo y esteros del territorio Comcaac (Xepe Coosot)</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México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Lagunas de Santa María-Topolobampo-Ohuira</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Islands and Protected Areas of the Gulf of California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Mongolia</w:t>
            </w:r>
          </w:p>
        </w:tc>
        <w:tc>
          <w:tcPr>
            <w:tcW w:w="3723"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Lake Uvs and its surrounding wetlands</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Uvs Nuur Basin</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Nepal</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Beeshazar and Associated Lakes</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Chitwan National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Nepal</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 xml:space="preserve">Gokyo and associated lakes </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Sagarmatha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Níger</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Parc national du W</w:t>
            </w:r>
          </w:p>
        </w:tc>
        <w:tc>
          <w:tcPr>
            <w:tcW w:w="4134"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W National Park of Niger</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Níger</w:t>
            </w:r>
          </w:p>
        </w:tc>
        <w:tc>
          <w:tcPr>
            <w:tcW w:w="3723"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fr-FR" w:eastAsia="en-GB"/>
              </w:rPr>
            </w:pPr>
            <w:r w:rsidRPr="00B43D37">
              <w:rPr>
                <w:rFonts w:ascii="Calibri" w:hAnsi="Calibri"/>
                <w:color w:val="000000"/>
                <w:sz w:val="22"/>
                <w:szCs w:val="22"/>
                <w:lang w:val="fr-FR" w:eastAsia="en-GB"/>
              </w:rPr>
              <w:t>Gueltas et Oasis de l'Aïr</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Aïr-Ténéré Nature Reserve</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Países Bajos</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Boschplaat</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Países Bajos</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Griend</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The Wadden Sea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República Democrática del Congo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Parc national des Virunga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Virunga National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Reino Unido</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Gough Island</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Gough and Inaccessible Island</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Reino Unido</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Inaccessible Island</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Gough and Inaccessible Island</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República de Corea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1100 Altitude Wetland</w:t>
            </w:r>
          </w:p>
        </w:tc>
        <w:tc>
          <w:tcPr>
            <w:tcW w:w="4134" w:type="dxa"/>
            <w:hideMark/>
          </w:tcPr>
          <w:p w:rsidR="00E97789" w:rsidRPr="00B43D37"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Jeju Volcanic Island and Lava Tubes</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Rumania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Danube Delta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Danube Delta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Rumania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Old Danube-Macin Arm</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Danube Delta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Senegal</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Djoudj</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Djoudj National Bird Sanctuary</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Seychelles</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Aldabra Atoll</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Aldabra Atoll</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Sudáfrica</w:t>
            </w:r>
          </w:p>
        </w:tc>
        <w:tc>
          <w:tcPr>
            <w:tcW w:w="3723" w:type="dxa"/>
            <w:hideMark/>
          </w:tcPr>
          <w:p w:rsidR="00E97789" w:rsidRPr="00B43D37"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n-GB"/>
              </w:rPr>
            </w:pPr>
            <w:r w:rsidRPr="00B43D37">
              <w:rPr>
                <w:rFonts w:ascii="Calibri" w:hAnsi="Calibri"/>
                <w:color w:val="000000"/>
                <w:sz w:val="22"/>
                <w:szCs w:val="22"/>
                <w:lang w:eastAsia="en-GB"/>
              </w:rPr>
              <w:t>Turtle Beaches/Coral Reefs of Tongaland</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iSimangaliso Wetland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Sudáfrica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St. Lucia System</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iSimangaliso Wetland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Sudáfrica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Kosi Bay</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iSimangaliso Wetland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Sudáfrica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Lake Sibaya</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iSimangaliso Wetland Park</w:t>
            </w:r>
          </w:p>
        </w:tc>
      </w:tr>
      <w:tr w:rsidR="009C4908"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9C4908" w:rsidRPr="00C721AB" w:rsidRDefault="009C4908" w:rsidP="009C4908">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Sudáfrica</w:t>
            </w:r>
          </w:p>
        </w:tc>
        <w:tc>
          <w:tcPr>
            <w:tcW w:w="3723" w:type="dxa"/>
            <w:hideMark/>
          </w:tcPr>
          <w:p w:rsidR="009C4908" w:rsidRPr="00C721AB" w:rsidRDefault="009C4908" w:rsidP="009C4908">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326625">
              <w:rPr>
                <w:rFonts w:ascii="Calibri" w:hAnsi="Calibri"/>
                <w:color w:val="000000"/>
                <w:sz w:val="22"/>
                <w:szCs w:val="22"/>
                <w:lang w:eastAsia="en-GB"/>
              </w:rPr>
              <w:t>Natal Drakensberg Park</w:t>
            </w:r>
          </w:p>
        </w:tc>
        <w:tc>
          <w:tcPr>
            <w:tcW w:w="4134" w:type="dxa"/>
            <w:hideMark/>
          </w:tcPr>
          <w:p w:rsidR="009C4908" w:rsidRPr="00C721AB" w:rsidRDefault="009C4908" w:rsidP="009C4908">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507DFC">
              <w:rPr>
                <w:rFonts w:ascii="Calibri" w:hAnsi="Calibri"/>
                <w:color w:val="000000"/>
                <w:sz w:val="22"/>
                <w:szCs w:val="22"/>
                <w:lang w:eastAsia="en-GB"/>
              </w:rPr>
              <w:t>uKhahlamba / Drakensberg Park</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Suecia</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Laidaure</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Laponian Area</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Suecia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Sjaunja</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Laponian Area</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Túnez</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Ichkeul</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Ichkeul National Park</w:t>
            </w:r>
          </w:p>
        </w:tc>
      </w:tr>
      <w:tr w:rsidR="00E97789" w:rsidRPr="00C721AB" w:rsidTr="00E977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Uganda</w:t>
            </w:r>
          </w:p>
        </w:tc>
        <w:tc>
          <w:tcPr>
            <w:tcW w:w="3723"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Rwenzori Mountains Ramsar Site</w:t>
            </w:r>
          </w:p>
        </w:tc>
        <w:tc>
          <w:tcPr>
            <w:tcW w:w="4134" w:type="dxa"/>
            <w:hideMark/>
          </w:tcPr>
          <w:p w:rsidR="00E97789" w:rsidRPr="00C721AB" w:rsidRDefault="00E97789" w:rsidP="00E97789">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Rwenzori Mountains</w:t>
            </w:r>
          </w:p>
        </w:tc>
      </w:tr>
      <w:tr w:rsidR="00E97789" w:rsidRPr="00C721AB" w:rsidTr="00E97789">
        <w:trPr>
          <w:trHeight w:val="300"/>
        </w:trPr>
        <w:tc>
          <w:tcPr>
            <w:cnfStyle w:val="001000000000" w:firstRow="0" w:lastRow="0" w:firstColumn="1" w:lastColumn="0" w:oddVBand="0" w:evenVBand="0" w:oddHBand="0" w:evenHBand="0" w:firstRowFirstColumn="0" w:firstRowLastColumn="0" w:lastRowFirstColumn="0" w:lastRowLastColumn="0"/>
            <w:tcW w:w="1782" w:type="dxa"/>
            <w:hideMark/>
          </w:tcPr>
          <w:p w:rsidR="00E97789" w:rsidRPr="00C721AB" w:rsidRDefault="00E97789" w:rsidP="00E97789">
            <w:pPr>
              <w:rPr>
                <w:rFonts w:ascii="Calibri" w:hAnsi="Calibri"/>
                <w:color w:val="000000"/>
                <w:sz w:val="22"/>
                <w:szCs w:val="22"/>
                <w:lang w:val="es-ES_tradnl" w:eastAsia="en-GB"/>
              </w:rPr>
            </w:pPr>
            <w:r w:rsidRPr="00C721AB">
              <w:rPr>
                <w:rFonts w:ascii="Calibri" w:hAnsi="Calibri"/>
                <w:color w:val="000000"/>
                <w:sz w:val="22"/>
                <w:szCs w:val="22"/>
                <w:lang w:val="es-ES_tradnl" w:eastAsia="en-GB"/>
              </w:rPr>
              <w:t>Yemen</w:t>
            </w:r>
          </w:p>
        </w:tc>
        <w:tc>
          <w:tcPr>
            <w:tcW w:w="3723"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Detwah Lagoon</w:t>
            </w:r>
          </w:p>
        </w:tc>
        <w:tc>
          <w:tcPr>
            <w:tcW w:w="4134" w:type="dxa"/>
            <w:hideMark/>
          </w:tcPr>
          <w:p w:rsidR="00E97789" w:rsidRPr="00C721AB" w:rsidRDefault="00E97789" w:rsidP="00E97789">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ES_tradnl" w:eastAsia="en-GB"/>
              </w:rPr>
            </w:pPr>
            <w:r w:rsidRPr="00C721AB">
              <w:rPr>
                <w:rFonts w:ascii="Calibri" w:hAnsi="Calibri"/>
                <w:color w:val="000000"/>
                <w:sz w:val="22"/>
                <w:szCs w:val="22"/>
                <w:lang w:val="es-ES_tradnl" w:eastAsia="en-GB"/>
              </w:rPr>
              <w:t>Socotra Archipelago</w:t>
            </w:r>
          </w:p>
        </w:tc>
      </w:tr>
    </w:tbl>
    <w:p w:rsidR="00E97789" w:rsidRPr="00C721AB" w:rsidRDefault="00E97789" w:rsidP="00C721AB">
      <w:pPr>
        <w:tabs>
          <w:tab w:val="right" w:pos="9026"/>
        </w:tabs>
        <w:suppressAutoHyphens/>
        <w:rPr>
          <w:rFonts w:ascii="Calibri" w:hAnsi="Calibri"/>
          <w:b/>
          <w:sz w:val="26"/>
          <w:szCs w:val="26"/>
          <w:lang w:val="es-ES_tradnl"/>
        </w:rPr>
      </w:pPr>
    </w:p>
    <w:sectPr w:rsidR="00E97789" w:rsidRPr="00C721AB" w:rsidSect="00F860FE">
      <w:footerReference w:type="default" r:id="rId30"/>
      <w:footerReference w:type="first" r:id="rId31"/>
      <w:pgSz w:w="11907" w:h="16839" w:code="9"/>
      <w:pgMar w:top="1440" w:right="1440" w:bottom="1440" w:left="1440"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2E1" w:rsidRDefault="004322E1" w:rsidP="00BC35F4">
      <w:r>
        <w:separator/>
      </w:r>
    </w:p>
  </w:endnote>
  <w:endnote w:type="continuationSeparator" w:id="0">
    <w:p w:rsidR="004322E1" w:rsidRDefault="004322E1" w:rsidP="00BC3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1D2DFD" w:rsidRDefault="009C4908" w:rsidP="00E97789">
    <w:pPr>
      <w:pStyle w:val="Footer"/>
      <w:tabs>
        <w:tab w:val="clear" w:pos="4680"/>
        <w:tab w:val="clear" w:pos="9360"/>
        <w:tab w:val="left" w:pos="829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1D2DFD">
      <w:rPr>
        <w:rFonts w:asciiTheme="minorHAnsi" w:hAnsiTheme="minorHAnsi"/>
        <w:sz w:val="20"/>
      </w:rPr>
      <w:tab/>
    </w:r>
    <w:r w:rsidRPr="001D2DFD">
      <w:rPr>
        <w:rFonts w:asciiTheme="minorHAnsi" w:hAnsiTheme="minorHAnsi"/>
        <w:sz w:val="20"/>
      </w:rPr>
      <w:tab/>
    </w:r>
    <w:r w:rsidR="007B3737" w:rsidRPr="004C4278">
      <w:rPr>
        <w:rFonts w:asciiTheme="minorHAnsi" w:hAnsiTheme="minorHAnsi"/>
        <w:sz w:val="20"/>
      </w:rPr>
      <w:fldChar w:fldCharType="begin"/>
    </w:r>
    <w:r w:rsidRPr="004C4278">
      <w:rPr>
        <w:rFonts w:asciiTheme="minorHAnsi" w:hAnsiTheme="minorHAnsi"/>
        <w:sz w:val="20"/>
      </w:rPr>
      <w:instrText xml:space="preserve"> PAGE   \* MERGEFORMAT </w:instrText>
    </w:r>
    <w:r w:rsidR="007B3737" w:rsidRPr="004C4278">
      <w:rPr>
        <w:rFonts w:asciiTheme="minorHAnsi" w:hAnsiTheme="minorHAnsi"/>
        <w:sz w:val="20"/>
      </w:rPr>
      <w:fldChar w:fldCharType="separate"/>
    </w:r>
    <w:r w:rsidR="00B43D37">
      <w:rPr>
        <w:rFonts w:asciiTheme="minorHAnsi" w:hAnsiTheme="minorHAnsi"/>
        <w:noProof/>
        <w:sz w:val="20"/>
      </w:rPr>
      <w:t>24</w:t>
    </w:r>
    <w:r w:rsidR="007B3737" w:rsidRPr="004C4278">
      <w:rPr>
        <w:rFonts w:asciiTheme="minorHAnsi" w:hAnsiTheme="minorHAns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1D2DFD" w:rsidRDefault="009C4908" w:rsidP="00E97789">
    <w:pPr>
      <w:pStyle w:val="Footer"/>
      <w:tabs>
        <w:tab w:val="clear" w:pos="4680"/>
        <w:tab w:val="clear" w:pos="9360"/>
        <w:tab w:val="left" w:pos="8292"/>
      </w:tabs>
      <w:rPr>
        <w:rFonts w:asciiTheme="minorHAnsi" w:hAnsiTheme="minorHAnsi"/>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1D2DFD" w:rsidRDefault="009C4908" w:rsidP="00E97789">
    <w:pPr>
      <w:pStyle w:val="Footer"/>
      <w:tabs>
        <w:tab w:val="clear" w:pos="4680"/>
        <w:tab w:val="clear" w:pos="9360"/>
        <w:tab w:val="left" w:pos="829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1D2DFD">
      <w:rPr>
        <w:rFonts w:asciiTheme="minorHAnsi" w:hAnsiTheme="minorHAnsi"/>
        <w:sz w:val="20"/>
      </w:rPr>
      <w:tab/>
    </w:r>
    <w:r w:rsidRPr="001D2DFD">
      <w:rPr>
        <w:rFonts w:asciiTheme="minorHAnsi" w:hAnsiTheme="minorHAnsi"/>
        <w:sz w:val="20"/>
      </w:rPr>
      <w:tab/>
    </w:r>
    <w:r w:rsidR="007B3737" w:rsidRPr="001D2DFD">
      <w:rPr>
        <w:rFonts w:asciiTheme="minorHAnsi" w:hAnsiTheme="minorHAnsi"/>
        <w:sz w:val="20"/>
      </w:rPr>
      <w:fldChar w:fldCharType="begin"/>
    </w:r>
    <w:r w:rsidRPr="001D2DFD">
      <w:rPr>
        <w:rFonts w:asciiTheme="minorHAnsi" w:hAnsiTheme="minorHAnsi"/>
        <w:sz w:val="20"/>
      </w:rPr>
      <w:instrText xml:space="preserve"> PAGE   \* MERGEFORMAT </w:instrText>
    </w:r>
    <w:r w:rsidR="007B3737" w:rsidRPr="001D2DFD">
      <w:rPr>
        <w:rFonts w:asciiTheme="minorHAnsi" w:hAnsiTheme="minorHAnsi"/>
        <w:sz w:val="20"/>
      </w:rPr>
      <w:fldChar w:fldCharType="separate"/>
    </w:r>
    <w:r w:rsidR="00B43D37">
      <w:rPr>
        <w:rFonts w:asciiTheme="minorHAnsi" w:hAnsiTheme="minorHAnsi"/>
        <w:noProof/>
        <w:sz w:val="20"/>
      </w:rPr>
      <w:t>2</w:t>
    </w:r>
    <w:r w:rsidR="007B3737" w:rsidRPr="001D2DFD">
      <w:rPr>
        <w:rFonts w:asciiTheme="minorHAnsi" w:hAnsiTheme="minorHAnsi"/>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1D2DFD" w:rsidRDefault="009C4908" w:rsidP="009C4908">
    <w:pPr>
      <w:pStyle w:val="Footer"/>
      <w:tabs>
        <w:tab w:val="clear" w:pos="4680"/>
        <w:tab w:val="clear" w:pos="9360"/>
        <w:tab w:val="left" w:pos="8292"/>
        <w:tab w:val="left" w:pos="14034"/>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1D2DFD">
      <w:rPr>
        <w:rFonts w:asciiTheme="minorHAnsi" w:hAnsiTheme="minorHAnsi"/>
        <w:sz w:val="20"/>
      </w:rPr>
      <w:tab/>
    </w:r>
    <w:r w:rsidRPr="001D2DFD">
      <w:rPr>
        <w:rFonts w:asciiTheme="minorHAnsi" w:hAnsiTheme="minorHAnsi"/>
        <w:sz w:val="20"/>
      </w:rPr>
      <w:tab/>
    </w:r>
    <w:r w:rsidR="007B3737" w:rsidRPr="004C4278">
      <w:rPr>
        <w:rFonts w:asciiTheme="minorHAnsi" w:hAnsiTheme="minorHAnsi"/>
        <w:sz w:val="20"/>
      </w:rPr>
      <w:fldChar w:fldCharType="begin"/>
    </w:r>
    <w:r w:rsidRPr="004C4278">
      <w:rPr>
        <w:rFonts w:asciiTheme="minorHAnsi" w:hAnsiTheme="minorHAnsi"/>
        <w:sz w:val="20"/>
      </w:rPr>
      <w:instrText xml:space="preserve"> PAGE   \* MERGEFORMAT </w:instrText>
    </w:r>
    <w:r w:rsidR="007B3737" w:rsidRPr="004C4278">
      <w:rPr>
        <w:rFonts w:asciiTheme="minorHAnsi" w:hAnsiTheme="minorHAnsi"/>
        <w:sz w:val="20"/>
      </w:rPr>
      <w:fldChar w:fldCharType="separate"/>
    </w:r>
    <w:r w:rsidR="00B43D37">
      <w:rPr>
        <w:rFonts w:asciiTheme="minorHAnsi" w:hAnsiTheme="minorHAnsi"/>
        <w:noProof/>
        <w:sz w:val="20"/>
      </w:rPr>
      <w:t>51</w:t>
    </w:r>
    <w:r w:rsidR="007B3737" w:rsidRPr="004C4278">
      <w:rPr>
        <w:rFonts w:asciiTheme="minorHAnsi" w:hAnsiTheme="minorHAnsi"/>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E95F01" w:rsidRDefault="009C4908" w:rsidP="00E95F01">
    <w:pPr>
      <w:pStyle w:val="Footer"/>
      <w:tabs>
        <w:tab w:val="clear" w:pos="9360"/>
        <w:tab w:val="right" w:pos="907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sidR="007B3737"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007B3737" w:rsidRPr="00E95F01">
      <w:rPr>
        <w:rFonts w:asciiTheme="minorHAnsi" w:hAnsiTheme="minorHAnsi"/>
        <w:sz w:val="20"/>
      </w:rPr>
      <w:fldChar w:fldCharType="separate"/>
    </w:r>
    <w:r w:rsidR="00B43D37">
      <w:rPr>
        <w:rFonts w:asciiTheme="minorHAnsi" w:hAnsiTheme="minorHAnsi"/>
        <w:noProof/>
        <w:sz w:val="20"/>
      </w:rPr>
      <w:t>64</w:t>
    </w:r>
    <w:r w:rsidR="007B3737" w:rsidRPr="00E95F01">
      <w:rPr>
        <w:rFonts w:asciiTheme="minorHAnsi" w:hAnsiTheme="minorHAnsi"/>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1D2DFD" w:rsidRDefault="009C4908" w:rsidP="00E97789">
    <w:pPr>
      <w:pStyle w:val="Footer"/>
      <w:tabs>
        <w:tab w:val="clear" w:pos="4680"/>
        <w:tab w:val="clear" w:pos="9360"/>
        <w:tab w:val="left" w:pos="8292"/>
      </w:tabs>
      <w:rPr>
        <w:rFonts w:asciiTheme="minorHAnsi" w:hAnsiTheme="minorHAnsi"/>
        <w:sz w:val="20"/>
      </w:rPr>
    </w:pPr>
    <w:r w:rsidRPr="001D2DFD">
      <w:rPr>
        <w:rFonts w:asciiTheme="minorHAnsi" w:hAnsiTheme="minorHAnsi"/>
        <w:sz w:val="20"/>
      </w:rPr>
      <w:t>SC48-21</w:t>
    </w:r>
    <w:r w:rsidRPr="001D2DFD">
      <w:rPr>
        <w:rFonts w:asciiTheme="minorHAnsi" w:hAnsiTheme="minorHAnsi"/>
        <w:sz w:val="20"/>
      </w:rPr>
      <w:tab/>
    </w:r>
    <w:r w:rsidRPr="001D2DFD">
      <w:rPr>
        <w:rFonts w:asciiTheme="minorHAnsi" w:hAnsiTheme="minorHAnsi"/>
        <w:sz w:val="20"/>
      </w:rPr>
      <w:tab/>
    </w:r>
    <w:r w:rsidR="007B3737" w:rsidRPr="001D2DFD">
      <w:rPr>
        <w:rFonts w:asciiTheme="minorHAnsi" w:hAnsiTheme="minorHAnsi"/>
        <w:sz w:val="20"/>
      </w:rPr>
      <w:fldChar w:fldCharType="begin"/>
    </w:r>
    <w:r w:rsidRPr="001D2DFD">
      <w:rPr>
        <w:rFonts w:asciiTheme="minorHAnsi" w:hAnsiTheme="minorHAnsi"/>
        <w:sz w:val="20"/>
      </w:rPr>
      <w:instrText xml:space="preserve"> PAGE   \* MERGEFORMAT </w:instrText>
    </w:r>
    <w:r w:rsidR="007B3737" w:rsidRPr="001D2DFD">
      <w:rPr>
        <w:rFonts w:asciiTheme="minorHAnsi" w:hAnsiTheme="minorHAnsi"/>
        <w:sz w:val="20"/>
      </w:rPr>
      <w:fldChar w:fldCharType="separate"/>
    </w:r>
    <w:r w:rsidR="00B43D37">
      <w:rPr>
        <w:rFonts w:asciiTheme="minorHAnsi" w:hAnsiTheme="minorHAnsi"/>
        <w:noProof/>
        <w:sz w:val="20"/>
      </w:rPr>
      <w:t>63</w:t>
    </w:r>
    <w:r w:rsidR="007B3737" w:rsidRPr="001D2DFD">
      <w:rPr>
        <w:rFonts w:asciiTheme="minorHAnsi" w:hAnsiTheme="minorHAnsi"/>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2E1" w:rsidRDefault="004322E1" w:rsidP="00BC35F4">
      <w:r>
        <w:separator/>
      </w:r>
    </w:p>
  </w:footnote>
  <w:footnote w:type="continuationSeparator" w:id="0">
    <w:p w:rsidR="004322E1" w:rsidRDefault="004322E1" w:rsidP="00BC35F4">
      <w:r>
        <w:continuationSeparator/>
      </w:r>
    </w:p>
  </w:footnote>
  <w:footnote w:id="1">
    <w:p w:rsidR="009C4908" w:rsidRPr="00427CD9" w:rsidRDefault="009C4908" w:rsidP="00E97789">
      <w:pPr>
        <w:pStyle w:val="FootnoteText"/>
        <w:rPr>
          <w:rFonts w:asciiTheme="minorHAnsi" w:hAnsiTheme="minorHAnsi"/>
          <w:noProof/>
          <w:sz w:val="16"/>
          <w:lang w:val="es-ES_tradnl"/>
        </w:rPr>
      </w:pPr>
      <w:r w:rsidRPr="00427CD9">
        <w:rPr>
          <w:rStyle w:val="FootnoteReference"/>
          <w:rFonts w:asciiTheme="minorHAnsi" w:hAnsiTheme="minorHAnsi"/>
        </w:rPr>
        <w:footnoteRef/>
      </w:r>
      <w:r w:rsidRPr="00B43D37">
        <w:rPr>
          <w:rFonts w:asciiTheme="minorHAnsi" w:hAnsiTheme="minorHAnsi"/>
          <w:lang w:val="es-ES"/>
        </w:rPr>
        <w:t xml:space="preserve"> </w:t>
      </w:r>
      <w:r w:rsidRPr="00427CD9">
        <w:rPr>
          <w:rFonts w:asciiTheme="minorHAnsi" w:hAnsiTheme="minorHAnsi"/>
          <w:noProof/>
          <w:sz w:val="16"/>
          <w:lang w:val="es-ES_tradnl"/>
        </w:rPr>
        <w:t xml:space="preserve">INSTA ENÉRGICAMENTE a las Partes dentro de cuyos territorios se encuentran sitios Ramsar respecto de los cuales no se han presentado aún descripciones oficiales, y/o respecto de los que aún no se han presentado mapas apropiados, a que presenten con carácter de urgencia </w:t>
      </w:r>
      <w:r w:rsidRPr="00C4330F">
        <w:rPr>
          <w:rFonts w:asciiTheme="minorHAnsi" w:hAnsiTheme="minorHAnsi"/>
          <w:noProof/>
          <w:sz w:val="16"/>
          <w:lang w:val="es-ES_tradnl"/>
        </w:rPr>
        <w:t>las Fichas Informativas de Ramsar (FIR) y</w:t>
      </w:r>
      <w:r w:rsidRPr="00427CD9">
        <w:rPr>
          <w:rFonts w:asciiTheme="minorHAnsi" w:hAnsiTheme="minorHAnsi"/>
          <w:noProof/>
          <w:sz w:val="16"/>
          <w:lang w:val="es-ES_tradnl"/>
        </w:rPr>
        <w:t>/o los mapas en uno de los idiomas de trabajo oficiales de la Convención, y ENCARGA a la Secretaría de Ramsar que se comunique con las Partes Contratantes enumeradas en el Anexo 1 de esta Resolución y les solicite que lo hagan;</w:t>
      </w:r>
    </w:p>
    <w:p w:rsidR="009C4908" w:rsidRPr="00B43D37" w:rsidRDefault="009C4908" w:rsidP="00E97789">
      <w:pPr>
        <w:pStyle w:val="FootnoteText"/>
        <w:rPr>
          <w:rFonts w:asciiTheme="minorHAnsi" w:hAnsiTheme="minorHAnsi"/>
          <w:lang w:val="es-ES"/>
        </w:rPr>
      </w:pPr>
    </w:p>
  </w:footnote>
  <w:footnote w:id="2">
    <w:p w:rsidR="009C4908" w:rsidRPr="004C4278" w:rsidRDefault="009C4908" w:rsidP="00E97789">
      <w:pPr>
        <w:pStyle w:val="FootnoteText"/>
        <w:rPr>
          <w:rFonts w:asciiTheme="minorHAnsi" w:hAnsiTheme="minorHAnsi"/>
          <w:lang w:val="es-ES_tradnl"/>
        </w:rPr>
      </w:pPr>
      <w:r w:rsidRPr="004C4278">
        <w:rPr>
          <w:rStyle w:val="FootnoteReference"/>
          <w:rFonts w:asciiTheme="minorHAnsi" w:hAnsiTheme="minorHAnsi"/>
          <w:lang w:val="es-ES_tradnl"/>
        </w:rPr>
        <w:footnoteRef/>
      </w:r>
      <w:r w:rsidRPr="004C4278">
        <w:rPr>
          <w:rFonts w:asciiTheme="minorHAnsi" w:hAnsiTheme="minorHAnsi"/>
          <w:lang w:val="es-ES_tradnl"/>
        </w:rPr>
        <w:t xml:space="preserve"> Esta lista incluye XX sitios con fechas anteriores de entrada en vigencia de la designación.</w:t>
      </w:r>
    </w:p>
  </w:footnote>
  <w:footnote w:id="3">
    <w:p w:rsidR="009C4908" w:rsidRPr="00B43D37" w:rsidRDefault="009C4908" w:rsidP="00E97789">
      <w:pPr>
        <w:pStyle w:val="FootnoteText"/>
        <w:rPr>
          <w:rFonts w:asciiTheme="minorHAnsi" w:hAnsiTheme="minorHAnsi"/>
          <w:lang w:val="es-ES"/>
        </w:rPr>
      </w:pPr>
      <w:r w:rsidRPr="004C4278">
        <w:rPr>
          <w:rStyle w:val="FootnoteReference"/>
          <w:rFonts w:asciiTheme="minorHAnsi" w:hAnsiTheme="minorHAnsi"/>
        </w:rPr>
        <w:footnoteRef/>
      </w:r>
      <w:r w:rsidRPr="00B43D37">
        <w:rPr>
          <w:rFonts w:asciiTheme="minorHAnsi" w:hAnsiTheme="minorHAnsi"/>
          <w:lang w:val="es-ES"/>
        </w:rPr>
        <w:t xml:space="preserve"> Esta lista no incluye los sitios para los cuales el examen de la FIR o el mapa están en curso pero aún no se han completado.</w:t>
      </w:r>
    </w:p>
  </w:footnote>
  <w:footnote w:id="4">
    <w:p w:rsidR="009C4908" w:rsidRPr="00B43D37" w:rsidRDefault="009C4908" w:rsidP="00E97789">
      <w:pPr>
        <w:pStyle w:val="FootnoteText"/>
        <w:rPr>
          <w:rFonts w:ascii="Calibri" w:hAnsi="Calibri"/>
          <w:lang w:val="es-ES"/>
        </w:rPr>
      </w:pPr>
      <w:r w:rsidRPr="0094721C">
        <w:rPr>
          <w:rStyle w:val="FootnoteReference"/>
          <w:rFonts w:ascii="Calibri" w:hAnsi="Calibri"/>
        </w:rPr>
        <w:footnoteRef/>
      </w:r>
      <w:r w:rsidRPr="00B43D37">
        <w:rPr>
          <w:rFonts w:ascii="Calibri" w:hAnsi="Calibri"/>
          <w:lang w:val="es-ES"/>
        </w:rPr>
        <w:t xml:space="preserve"> En territorios de ultramar.</w:t>
      </w:r>
    </w:p>
  </w:footnote>
  <w:footnote w:id="5">
    <w:p w:rsidR="009C4908" w:rsidRPr="00822B33" w:rsidRDefault="009C4908" w:rsidP="00E97789">
      <w:pPr>
        <w:pStyle w:val="FootnoteText"/>
        <w:rPr>
          <w:lang w:val="es-ES_tradnl"/>
        </w:rPr>
      </w:pPr>
      <w:r w:rsidRPr="00822B33">
        <w:rPr>
          <w:rStyle w:val="FootnoteReference"/>
          <w:lang w:val="es-ES_tradnl"/>
        </w:rPr>
        <w:footnoteRef/>
      </w:r>
      <w:r w:rsidRPr="00822B33">
        <w:rPr>
          <w:lang w:val="es-ES_tradnl"/>
        </w:rPr>
        <w:t xml:space="preserve"> </w:t>
      </w:r>
      <w:r w:rsidRPr="00F46431">
        <w:rPr>
          <w:rFonts w:asciiTheme="minorHAnsi" w:hAnsiTheme="minorHAnsi"/>
          <w:lang w:val="es-ES_tradnl"/>
        </w:rPr>
        <w:t xml:space="preserve">Sitios de </w:t>
      </w:r>
      <w:r>
        <w:rPr>
          <w:rFonts w:asciiTheme="minorHAnsi" w:hAnsiTheme="minorHAnsi"/>
          <w:lang w:val="es-ES_tradnl"/>
        </w:rPr>
        <w:t>adhesión</w:t>
      </w:r>
      <w:r w:rsidRPr="00F46431">
        <w:rPr>
          <w:rFonts w:asciiTheme="minorHAnsi" w:hAnsiTheme="minorHAnsi"/>
          <w:lang w:val="es-ES_tradnl"/>
        </w:rPr>
        <w:t>, para los que la Parte Contratante está compilando la FIR y el mapa con ayuda y apoyo de la Secretaría de Ramsar.</w:t>
      </w:r>
    </w:p>
    <w:p w:rsidR="009C4908" w:rsidRPr="00B43D37" w:rsidRDefault="009C4908" w:rsidP="00E97789">
      <w:pPr>
        <w:pStyle w:val="FootnoteText"/>
        <w:rPr>
          <w:lang w:val="es-ES"/>
        </w:rPr>
      </w:pPr>
    </w:p>
  </w:footnote>
  <w:footnote w:id="6">
    <w:p w:rsidR="009C4908" w:rsidRPr="00B43D37" w:rsidRDefault="009C4908" w:rsidP="00E97789">
      <w:pPr>
        <w:tabs>
          <w:tab w:val="right" w:pos="9026"/>
        </w:tabs>
        <w:suppressAutoHyphens/>
        <w:rPr>
          <w:rStyle w:val="FootnoteReference"/>
          <w:lang w:val="es-ES"/>
        </w:rPr>
      </w:pPr>
      <w:r w:rsidRPr="00D46466">
        <w:rPr>
          <w:rStyle w:val="FootnoteReference"/>
          <w:rFonts w:ascii="Calibri" w:hAnsi="Calibri"/>
          <w:sz w:val="20"/>
        </w:rPr>
        <w:footnoteRef/>
      </w:r>
      <w:r w:rsidRPr="00B43D37">
        <w:rPr>
          <w:rStyle w:val="FootnoteReference"/>
          <w:rFonts w:ascii="Calibri" w:hAnsi="Calibri"/>
          <w:sz w:val="20"/>
          <w:lang w:val="es-ES"/>
        </w:rPr>
        <w:t xml:space="preserve"> </w:t>
      </w:r>
      <w:r w:rsidRPr="008B12D6">
        <w:rPr>
          <w:rFonts w:ascii="Calibri" w:hAnsi="Calibri"/>
          <w:sz w:val="20"/>
          <w:lang w:val="es-ES_tradnl"/>
        </w:rPr>
        <w:t xml:space="preserve">Las cifras en esta columna se refieren al número de sitios </w:t>
      </w:r>
      <w:r>
        <w:rPr>
          <w:rFonts w:ascii="Calibri" w:hAnsi="Calibri"/>
          <w:sz w:val="20"/>
          <w:lang w:val="es-ES_tradnl"/>
        </w:rPr>
        <w:t>sobre</w:t>
      </w:r>
      <w:r w:rsidRPr="008B12D6">
        <w:rPr>
          <w:rFonts w:ascii="Calibri" w:hAnsi="Calibri"/>
          <w:sz w:val="20"/>
          <w:lang w:val="es-ES_tradnl"/>
        </w:rPr>
        <w:t xml:space="preserve"> los cuales las Autoridades Administrativas han presentado una FIR actualizada que </w:t>
      </w:r>
      <w:r>
        <w:rPr>
          <w:rFonts w:ascii="Calibri" w:hAnsi="Calibri"/>
          <w:sz w:val="20"/>
          <w:lang w:val="es-ES_tradnl"/>
        </w:rPr>
        <w:t>actualmente</w:t>
      </w:r>
      <w:r w:rsidRPr="008B12D6">
        <w:rPr>
          <w:rFonts w:ascii="Calibri" w:hAnsi="Calibri"/>
          <w:sz w:val="20"/>
          <w:lang w:val="es-ES_tradnl"/>
        </w:rPr>
        <w:t xml:space="preserve"> está siendo </w:t>
      </w:r>
      <w:r>
        <w:rPr>
          <w:rFonts w:ascii="Calibri" w:hAnsi="Calibri"/>
          <w:sz w:val="20"/>
          <w:lang w:val="es-ES_tradnl"/>
        </w:rPr>
        <w:t>tramitada</w:t>
      </w:r>
      <w:r w:rsidRPr="008B12D6">
        <w:rPr>
          <w:rFonts w:ascii="Calibri" w:hAnsi="Calibri"/>
          <w:sz w:val="20"/>
          <w:lang w:val="es-ES_tradnl"/>
        </w:rPr>
        <w:t xml:space="preserve"> por la Secretaría y/o </w:t>
      </w:r>
      <w:r>
        <w:rPr>
          <w:rFonts w:ascii="Calibri" w:hAnsi="Calibri"/>
          <w:sz w:val="20"/>
          <w:lang w:val="es-ES_tradnl"/>
        </w:rPr>
        <w:t>sobre</w:t>
      </w:r>
      <w:r w:rsidRPr="008B12D6">
        <w:rPr>
          <w:rFonts w:ascii="Calibri" w:hAnsi="Calibri"/>
          <w:sz w:val="20"/>
          <w:lang w:val="es-ES_tradnl"/>
        </w:rPr>
        <w:t xml:space="preserve"> la cual la Parte Contratante </w:t>
      </w:r>
      <w:r>
        <w:rPr>
          <w:rFonts w:ascii="Calibri" w:hAnsi="Calibri"/>
          <w:sz w:val="20"/>
          <w:lang w:val="es-ES_tradnl"/>
        </w:rPr>
        <w:t>ha solicitado más</w:t>
      </w:r>
      <w:r w:rsidRPr="008B12D6">
        <w:rPr>
          <w:rFonts w:ascii="Calibri" w:hAnsi="Calibri"/>
          <w:sz w:val="20"/>
          <w:lang w:val="es-ES_tradnl"/>
        </w:rPr>
        <w:t xml:space="preserve"> información o </w:t>
      </w:r>
      <w:r>
        <w:rPr>
          <w:rFonts w:ascii="Calibri" w:hAnsi="Calibri"/>
          <w:sz w:val="20"/>
          <w:lang w:val="es-ES_tradnl"/>
        </w:rPr>
        <w:t>aclaraciones</w:t>
      </w:r>
      <w:r w:rsidRPr="008B12D6">
        <w:rPr>
          <w:rStyle w:val="FootnoteReference"/>
          <w:rFonts w:ascii="Calibri" w:hAnsi="Calibri"/>
          <w:sz w:val="20"/>
          <w:vertAlign w:val="baseline"/>
          <w:lang w:val="es-ES_tradnl"/>
        </w:rPr>
        <w:t>.</w:t>
      </w:r>
      <w:r w:rsidRPr="00B43D37">
        <w:rPr>
          <w:rStyle w:val="FootnoteReference"/>
          <w:rFonts w:ascii="Calibri" w:hAnsi="Calibri"/>
          <w:sz w:val="20"/>
          <w:vertAlign w:val="baseline"/>
          <w:lang w:val="es-ES"/>
        </w:rPr>
        <w:t xml:space="preserve"> </w:t>
      </w:r>
    </w:p>
    <w:p w:rsidR="009C4908" w:rsidRPr="00B43D37" w:rsidRDefault="009C4908" w:rsidP="00E97789">
      <w:pPr>
        <w:pStyle w:val="FootnoteText"/>
        <w:rPr>
          <w:lang w:val="es-ES"/>
        </w:rPr>
      </w:pPr>
    </w:p>
  </w:footnote>
  <w:footnote w:id="7">
    <w:p w:rsidR="009C4908" w:rsidRPr="00F46431" w:rsidRDefault="009C4908" w:rsidP="00E97789">
      <w:pPr>
        <w:pStyle w:val="FootnoteText"/>
        <w:rPr>
          <w:rFonts w:asciiTheme="minorHAnsi" w:hAnsiTheme="minorHAnsi"/>
          <w:lang w:val="es-ES_tradnl"/>
        </w:rPr>
      </w:pPr>
      <w:r w:rsidRPr="00F46431">
        <w:rPr>
          <w:rStyle w:val="FootnoteReference"/>
          <w:rFonts w:asciiTheme="minorHAnsi" w:hAnsiTheme="minorHAnsi"/>
          <w:lang w:val="es-ES_tradnl"/>
        </w:rPr>
        <w:footnoteRef/>
      </w:r>
      <w:r w:rsidRPr="00F46431">
        <w:rPr>
          <w:rFonts w:asciiTheme="minorHAnsi" w:hAnsiTheme="minorHAnsi"/>
          <w:lang w:val="es-ES_tradnl"/>
        </w:rPr>
        <w:t xml:space="preserve"> La Parte Contratante ha informado a la Secretaría que actualizará la información sobre sus sitios Ramsar cuando haya entrado en funcionamiento la FIR en su revisión de 2012 adoptada en la COP11.</w:t>
      </w:r>
    </w:p>
  </w:footnote>
  <w:footnote w:id="8">
    <w:p w:rsidR="009C4908" w:rsidRPr="00A70EB3" w:rsidRDefault="009C4908" w:rsidP="00E97789">
      <w:pPr>
        <w:pStyle w:val="FootnoteText"/>
        <w:rPr>
          <w:rFonts w:asciiTheme="minorHAnsi" w:hAnsiTheme="minorHAnsi"/>
          <w:lang w:val="es-ES_tradnl"/>
        </w:rPr>
      </w:pPr>
      <w:r w:rsidRPr="00F37792">
        <w:rPr>
          <w:rStyle w:val="FootnoteReference"/>
          <w:lang w:val="es-ES_tradnl"/>
        </w:rPr>
        <w:footnoteRef/>
      </w:r>
      <w:r w:rsidRPr="00F37792">
        <w:rPr>
          <w:lang w:val="es-ES_tradnl"/>
        </w:rPr>
        <w:t xml:space="preserve"> </w:t>
      </w:r>
      <w:r w:rsidRPr="00A70EB3">
        <w:rPr>
          <w:rFonts w:asciiTheme="minorHAnsi" w:hAnsiTheme="minorHAnsi"/>
          <w:lang w:val="es-ES_tradnl"/>
        </w:rPr>
        <w:t>Otro: primero fue comunicado por terceros y posteriormente fue confirmado por la Autoridad Administrativa</w:t>
      </w:r>
    </w:p>
    <w:p w:rsidR="009C4908" w:rsidRPr="00B43D37" w:rsidRDefault="009C4908" w:rsidP="00E97789">
      <w:pPr>
        <w:pStyle w:val="FootnoteText"/>
        <w:rPr>
          <w:rFonts w:asciiTheme="minorHAnsi" w:hAnsiTheme="minorHAnsi"/>
          <w:lang w:val="es-ES"/>
        </w:rPr>
      </w:pPr>
      <w:r w:rsidRPr="00A70EB3">
        <w:rPr>
          <w:rFonts w:asciiTheme="minorHAnsi" w:hAnsiTheme="minorHAnsi"/>
          <w:lang w:val="es-ES_tradnl"/>
        </w:rPr>
        <w:t xml:space="preserve">  AA: primero fue comunicado por la Autoridad Administrativa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FA1851" w:rsidRDefault="009C4908" w:rsidP="00FA1851">
    <w:pPr>
      <w:keepNext/>
      <w:suppressAutoHyphens/>
      <w:outlineLvl w:val="0"/>
      <w:rPr>
        <w:rFonts w:ascii="Calibri" w:hAnsi="Calibri"/>
        <w:noProof/>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4E1B0C" w:rsidRDefault="009C4908" w:rsidP="004E1B0C">
    <w:pPr>
      <w:keepNext/>
      <w:suppressAutoHyphens/>
      <w:jc w:val="center"/>
      <w:outlineLvl w:val="0"/>
      <w:rPr>
        <w:rFonts w:ascii="Calibri" w:hAnsi="Calibri"/>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908" w:rsidRPr="002650C5" w:rsidRDefault="009C4908" w:rsidP="00FA1851">
    <w:pPr>
      <w:keepNext/>
      <w:suppressAutoHyphens/>
      <w:outlineLvl w:val="0"/>
      <w:rPr>
        <w:rFonts w:asciiTheme="minorHAnsi" w:hAnsiTheme="minorHAns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1E9BCA"/>
    <w:lvl w:ilvl="0">
      <w:numFmt w:val="bullet"/>
      <w:lvlText w:val="*"/>
      <w:lvlJc w:val="left"/>
      <w:pPr>
        <w:ind w:left="0" w:firstLine="0"/>
      </w:pPr>
    </w:lvl>
  </w:abstractNum>
  <w:abstractNum w:abstractNumId="1">
    <w:nsid w:val="08DC1839"/>
    <w:multiLevelType w:val="hybridMultilevel"/>
    <w:tmpl w:val="359E6F86"/>
    <w:lvl w:ilvl="0" w:tplc="90AED71E">
      <w:start w:val="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C75F7"/>
    <w:multiLevelType w:val="hybridMultilevel"/>
    <w:tmpl w:val="37704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23DD0"/>
    <w:multiLevelType w:val="hybridMultilevel"/>
    <w:tmpl w:val="A9F4A7D6"/>
    <w:lvl w:ilvl="0" w:tplc="D2FCC9E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5787F"/>
    <w:multiLevelType w:val="hybridMultilevel"/>
    <w:tmpl w:val="F64C6B36"/>
    <w:lvl w:ilvl="0" w:tplc="9774D72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91410"/>
    <w:multiLevelType w:val="hybridMultilevel"/>
    <w:tmpl w:val="2D44D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A6157"/>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C27530"/>
    <w:multiLevelType w:val="hybridMultilevel"/>
    <w:tmpl w:val="E86070F0"/>
    <w:lvl w:ilvl="0" w:tplc="E0E676E6">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93AF6"/>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908F7"/>
    <w:multiLevelType w:val="hybridMultilevel"/>
    <w:tmpl w:val="4EE882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453366B4"/>
    <w:multiLevelType w:val="hybridMultilevel"/>
    <w:tmpl w:val="990C0552"/>
    <w:lvl w:ilvl="0" w:tplc="24588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50D47"/>
    <w:multiLevelType w:val="hybridMultilevel"/>
    <w:tmpl w:val="2EE69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54410ED3"/>
    <w:multiLevelType w:val="multilevel"/>
    <w:tmpl w:val="37704C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5420F28"/>
    <w:multiLevelType w:val="multilevel"/>
    <w:tmpl w:val="996432E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5847E37"/>
    <w:multiLevelType w:val="hybridMultilevel"/>
    <w:tmpl w:val="996432EA"/>
    <w:lvl w:ilvl="0" w:tplc="0809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6D32549"/>
    <w:multiLevelType w:val="hybridMultilevel"/>
    <w:tmpl w:val="37C6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6B3939"/>
    <w:multiLevelType w:val="hybridMultilevel"/>
    <w:tmpl w:val="8EAA87BA"/>
    <w:lvl w:ilvl="0" w:tplc="FF0272EE">
      <w:start w:val="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2F7469"/>
    <w:multiLevelType w:val="hybridMultilevel"/>
    <w:tmpl w:val="12665692"/>
    <w:lvl w:ilvl="0" w:tplc="F4782614">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5EBD4A6B"/>
    <w:multiLevelType w:val="hybridMultilevel"/>
    <w:tmpl w:val="50F42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A5152E"/>
    <w:multiLevelType w:val="hybridMultilevel"/>
    <w:tmpl w:val="E8687550"/>
    <w:lvl w:ilvl="0" w:tplc="819CB9AE">
      <w:start w:val="11"/>
      <w:numFmt w:val="decimal"/>
      <w:lvlText w:val="%1."/>
      <w:lvlJc w:val="left"/>
      <w:pPr>
        <w:ind w:left="720" w:hanging="360"/>
      </w:pPr>
      <w:rPr>
        <w:rFonts w:asciiTheme="minorHAnsi" w:hAnsiTheme="minorHAnsi" w:cs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317E86"/>
    <w:multiLevelType w:val="multilevel"/>
    <w:tmpl w:val="37704C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B6C5638"/>
    <w:multiLevelType w:val="hybridMultilevel"/>
    <w:tmpl w:val="DCC28EE0"/>
    <w:lvl w:ilvl="0" w:tplc="E95E6FE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3F5E5D"/>
    <w:multiLevelType w:val="hybridMultilevel"/>
    <w:tmpl w:val="604A70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0DD2F11"/>
    <w:multiLevelType w:val="multilevel"/>
    <w:tmpl w:val="EFE610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77BB0D65"/>
    <w:multiLevelType w:val="hybridMultilevel"/>
    <w:tmpl w:val="0936C2A2"/>
    <w:lvl w:ilvl="0" w:tplc="BABE8F6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0"/>
  </w:num>
  <w:num w:numId="4">
    <w:abstractNumId w:val="8"/>
  </w:num>
  <w:num w:numId="5">
    <w:abstractNumId w:val="1"/>
  </w:num>
  <w:num w:numId="6">
    <w:abstractNumId w:val="9"/>
  </w:num>
  <w:num w:numId="7">
    <w:abstractNumId w:val="11"/>
  </w:num>
  <w:num w:numId="8">
    <w:abstractNumId w:val="16"/>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1"/>
  </w:num>
  <w:num w:numId="12">
    <w:abstractNumId w:val="6"/>
  </w:num>
  <w:num w:numId="13">
    <w:abstractNumId w:val="2"/>
  </w:num>
  <w:num w:numId="14">
    <w:abstractNumId w:val="19"/>
  </w:num>
  <w:num w:numId="15">
    <w:abstractNumId w:val="0"/>
    <w:lvlOverride w:ilvl="0">
      <w:lvl w:ilvl="0">
        <w:numFmt w:val="bullet"/>
        <w:lvlText w:val=""/>
        <w:legacy w:legacy="1" w:legacySpace="120" w:legacyIndent="567"/>
        <w:lvlJc w:val="left"/>
        <w:pPr>
          <w:ind w:left="1134" w:hanging="567"/>
        </w:pPr>
        <w:rPr>
          <w:rFonts w:ascii="Symbol" w:hAnsi="Symbol" w:hint="default"/>
        </w:rPr>
      </w:lvl>
    </w:lvlOverride>
  </w:num>
  <w:num w:numId="16">
    <w:abstractNumId w:val="18"/>
  </w:num>
  <w:num w:numId="17">
    <w:abstractNumId w:val="7"/>
  </w:num>
  <w:num w:numId="18">
    <w:abstractNumId w:val="12"/>
  </w:num>
  <w:num w:numId="19">
    <w:abstractNumId w:val="20"/>
  </w:num>
  <w:num w:numId="20">
    <w:abstractNumId w:val="3"/>
  </w:num>
  <w:num w:numId="21">
    <w:abstractNumId w:val="4"/>
  </w:num>
  <w:num w:numId="22">
    <w:abstractNumId w:val="24"/>
  </w:num>
  <w:num w:numId="23">
    <w:abstractNumId w:val="23"/>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oNotTrackFormatting/>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4670"/>
    <w:rsid w:val="000028AE"/>
    <w:rsid w:val="00002E07"/>
    <w:rsid w:val="000038D9"/>
    <w:rsid w:val="00012EAD"/>
    <w:rsid w:val="00013B66"/>
    <w:rsid w:val="000164A2"/>
    <w:rsid w:val="0002020A"/>
    <w:rsid w:val="0002268A"/>
    <w:rsid w:val="00022DE0"/>
    <w:rsid w:val="00023308"/>
    <w:rsid w:val="00023491"/>
    <w:rsid w:val="00024175"/>
    <w:rsid w:val="00025042"/>
    <w:rsid w:val="000261B5"/>
    <w:rsid w:val="000307B2"/>
    <w:rsid w:val="00031CD3"/>
    <w:rsid w:val="00031E78"/>
    <w:rsid w:val="00032F91"/>
    <w:rsid w:val="000337F4"/>
    <w:rsid w:val="000361C6"/>
    <w:rsid w:val="0003723F"/>
    <w:rsid w:val="000421CA"/>
    <w:rsid w:val="000435A0"/>
    <w:rsid w:val="000439E6"/>
    <w:rsid w:val="00044658"/>
    <w:rsid w:val="0004478B"/>
    <w:rsid w:val="000469BF"/>
    <w:rsid w:val="00046F6E"/>
    <w:rsid w:val="00052837"/>
    <w:rsid w:val="000528C8"/>
    <w:rsid w:val="00052BC8"/>
    <w:rsid w:val="0005451E"/>
    <w:rsid w:val="000573C8"/>
    <w:rsid w:val="00057831"/>
    <w:rsid w:val="00063894"/>
    <w:rsid w:val="00064511"/>
    <w:rsid w:val="00064C7B"/>
    <w:rsid w:val="00065348"/>
    <w:rsid w:val="00070057"/>
    <w:rsid w:val="00070359"/>
    <w:rsid w:val="000704DC"/>
    <w:rsid w:val="00070632"/>
    <w:rsid w:val="00072CA0"/>
    <w:rsid w:val="0007402A"/>
    <w:rsid w:val="00074128"/>
    <w:rsid w:val="0007536B"/>
    <w:rsid w:val="0007750D"/>
    <w:rsid w:val="00080A97"/>
    <w:rsid w:val="0008556B"/>
    <w:rsid w:val="000878A5"/>
    <w:rsid w:val="000921F1"/>
    <w:rsid w:val="00096F85"/>
    <w:rsid w:val="000A136D"/>
    <w:rsid w:val="000A22ED"/>
    <w:rsid w:val="000A22F6"/>
    <w:rsid w:val="000A3994"/>
    <w:rsid w:val="000A5439"/>
    <w:rsid w:val="000A5A13"/>
    <w:rsid w:val="000B4F39"/>
    <w:rsid w:val="000B620B"/>
    <w:rsid w:val="000B725A"/>
    <w:rsid w:val="000C07C8"/>
    <w:rsid w:val="000C0BA6"/>
    <w:rsid w:val="000C2F1E"/>
    <w:rsid w:val="000C3B1D"/>
    <w:rsid w:val="000C44DF"/>
    <w:rsid w:val="000C5C01"/>
    <w:rsid w:val="000C69D3"/>
    <w:rsid w:val="000C716A"/>
    <w:rsid w:val="000D2526"/>
    <w:rsid w:val="000D271B"/>
    <w:rsid w:val="000D39B2"/>
    <w:rsid w:val="000E1DF0"/>
    <w:rsid w:val="000E3C87"/>
    <w:rsid w:val="000E59DF"/>
    <w:rsid w:val="000E5EFA"/>
    <w:rsid w:val="000F09A3"/>
    <w:rsid w:val="000F09FD"/>
    <w:rsid w:val="000F4BF2"/>
    <w:rsid w:val="000F6BB9"/>
    <w:rsid w:val="00100799"/>
    <w:rsid w:val="001064B3"/>
    <w:rsid w:val="00106CC6"/>
    <w:rsid w:val="00107029"/>
    <w:rsid w:val="00112D83"/>
    <w:rsid w:val="00122D48"/>
    <w:rsid w:val="00124788"/>
    <w:rsid w:val="00125002"/>
    <w:rsid w:val="001252A6"/>
    <w:rsid w:val="001253D6"/>
    <w:rsid w:val="001260C3"/>
    <w:rsid w:val="00126394"/>
    <w:rsid w:val="001304E3"/>
    <w:rsid w:val="001311BC"/>
    <w:rsid w:val="0013136B"/>
    <w:rsid w:val="00132988"/>
    <w:rsid w:val="00132A96"/>
    <w:rsid w:val="001364D8"/>
    <w:rsid w:val="0014214C"/>
    <w:rsid w:val="001437A9"/>
    <w:rsid w:val="00145672"/>
    <w:rsid w:val="00147D4B"/>
    <w:rsid w:val="001503ED"/>
    <w:rsid w:val="001525FE"/>
    <w:rsid w:val="00152C5C"/>
    <w:rsid w:val="00152D8F"/>
    <w:rsid w:val="00154F65"/>
    <w:rsid w:val="00157E7E"/>
    <w:rsid w:val="00161893"/>
    <w:rsid w:val="00161B95"/>
    <w:rsid w:val="00164325"/>
    <w:rsid w:val="00165AF3"/>
    <w:rsid w:val="00170E76"/>
    <w:rsid w:val="00173E51"/>
    <w:rsid w:val="0017449F"/>
    <w:rsid w:val="001751CB"/>
    <w:rsid w:val="001751F3"/>
    <w:rsid w:val="00176156"/>
    <w:rsid w:val="0017667A"/>
    <w:rsid w:val="0017713F"/>
    <w:rsid w:val="00177F0F"/>
    <w:rsid w:val="00190701"/>
    <w:rsid w:val="00193860"/>
    <w:rsid w:val="00194BA3"/>
    <w:rsid w:val="001A23F0"/>
    <w:rsid w:val="001A25EC"/>
    <w:rsid w:val="001A26B2"/>
    <w:rsid w:val="001A26E0"/>
    <w:rsid w:val="001A56C9"/>
    <w:rsid w:val="001A580E"/>
    <w:rsid w:val="001A5F90"/>
    <w:rsid w:val="001A6260"/>
    <w:rsid w:val="001A646C"/>
    <w:rsid w:val="001A68C2"/>
    <w:rsid w:val="001A7B15"/>
    <w:rsid w:val="001A7B4B"/>
    <w:rsid w:val="001B0DB0"/>
    <w:rsid w:val="001B5499"/>
    <w:rsid w:val="001B6086"/>
    <w:rsid w:val="001B79BD"/>
    <w:rsid w:val="001C021C"/>
    <w:rsid w:val="001C14A8"/>
    <w:rsid w:val="001C1FA7"/>
    <w:rsid w:val="001C423E"/>
    <w:rsid w:val="001C48A7"/>
    <w:rsid w:val="001C53FF"/>
    <w:rsid w:val="001D0747"/>
    <w:rsid w:val="001D0EDC"/>
    <w:rsid w:val="001D2DFD"/>
    <w:rsid w:val="001D3B64"/>
    <w:rsid w:val="001E7BE4"/>
    <w:rsid w:val="001F1159"/>
    <w:rsid w:val="001F64CD"/>
    <w:rsid w:val="001F6A84"/>
    <w:rsid w:val="001F6A97"/>
    <w:rsid w:val="001F6E99"/>
    <w:rsid w:val="002003E1"/>
    <w:rsid w:val="00204301"/>
    <w:rsid w:val="00207742"/>
    <w:rsid w:val="00210E52"/>
    <w:rsid w:val="00215F6E"/>
    <w:rsid w:val="00221D3D"/>
    <w:rsid w:val="002224E8"/>
    <w:rsid w:val="0022349A"/>
    <w:rsid w:val="002253FC"/>
    <w:rsid w:val="00230C5E"/>
    <w:rsid w:val="0023129B"/>
    <w:rsid w:val="002332A9"/>
    <w:rsid w:val="00234872"/>
    <w:rsid w:val="00234C9C"/>
    <w:rsid w:val="00237EF4"/>
    <w:rsid w:val="002467A5"/>
    <w:rsid w:val="002469DE"/>
    <w:rsid w:val="00247743"/>
    <w:rsid w:val="00251703"/>
    <w:rsid w:val="0025542E"/>
    <w:rsid w:val="002612BF"/>
    <w:rsid w:val="00261436"/>
    <w:rsid w:val="00264D23"/>
    <w:rsid w:val="00266C7F"/>
    <w:rsid w:val="0027068D"/>
    <w:rsid w:val="00271C93"/>
    <w:rsid w:val="00272D5B"/>
    <w:rsid w:val="00272E93"/>
    <w:rsid w:val="00273E2D"/>
    <w:rsid w:val="00275D48"/>
    <w:rsid w:val="002771FF"/>
    <w:rsid w:val="00281E90"/>
    <w:rsid w:val="002827B5"/>
    <w:rsid w:val="00283A32"/>
    <w:rsid w:val="00284A89"/>
    <w:rsid w:val="00285409"/>
    <w:rsid w:val="00285F16"/>
    <w:rsid w:val="00286E61"/>
    <w:rsid w:val="00294903"/>
    <w:rsid w:val="00294E06"/>
    <w:rsid w:val="00294E30"/>
    <w:rsid w:val="00295547"/>
    <w:rsid w:val="00297397"/>
    <w:rsid w:val="002A04F4"/>
    <w:rsid w:val="002A67C2"/>
    <w:rsid w:val="002A7290"/>
    <w:rsid w:val="002B021A"/>
    <w:rsid w:val="002B3D46"/>
    <w:rsid w:val="002B3F4F"/>
    <w:rsid w:val="002B4F0B"/>
    <w:rsid w:val="002B5F49"/>
    <w:rsid w:val="002B612A"/>
    <w:rsid w:val="002B6291"/>
    <w:rsid w:val="002B6BEF"/>
    <w:rsid w:val="002C1B2A"/>
    <w:rsid w:val="002C3B50"/>
    <w:rsid w:val="002C49AC"/>
    <w:rsid w:val="002C4BC4"/>
    <w:rsid w:val="002C4CA8"/>
    <w:rsid w:val="002C5825"/>
    <w:rsid w:val="002C7846"/>
    <w:rsid w:val="002D071F"/>
    <w:rsid w:val="002D1104"/>
    <w:rsid w:val="002D2A45"/>
    <w:rsid w:val="002D3F20"/>
    <w:rsid w:val="002D4C86"/>
    <w:rsid w:val="002E04AC"/>
    <w:rsid w:val="002E0897"/>
    <w:rsid w:val="002E0EF3"/>
    <w:rsid w:val="002E262A"/>
    <w:rsid w:val="002E2DAC"/>
    <w:rsid w:val="002E354D"/>
    <w:rsid w:val="002E454D"/>
    <w:rsid w:val="002E59E7"/>
    <w:rsid w:val="002E7AA6"/>
    <w:rsid w:val="002F0384"/>
    <w:rsid w:val="002F2926"/>
    <w:rsid w:val="002F3DDA"/>
    <w:rsid w:val="002F52EA"/>
    <w:rsid w:val="002F539B"/>
    <w:rsid w:val="002F6960"/>
    <w:rsid w:val="003005B8"/>
    <w:rsid w:val="00303087"/>
    <w:rsid w:val="0030308A"/>
    <w:rsid w:val="00303EF3"/>
    <w:rsid w:val="003062BF"/>
    <w:rsid w:val="00315C9B"/>
    <w:rsid w:val="00322C24"/>
    <w:rsid w:val="00323025"/>
    <w:rsid w:val="003239CA"/>
    <w:rsid w:val="003342F5"/>
    <w:rsid w:val="00336398"/>
    <w:rsid w:val="003404B9"/>
    <w:rsid w:val="003406F7"/>
    <w:rsid w:val="00340847"/>
    <w:rsid w:val="003430F7"/>
    <w:rsid w:val="00343C94"/>
    <w:rsid w:val="003443CB"/>
    <w:rsid w:val="00346E0F"/>
    <w:rsid w:val="00347C13"/>
    <w:rsid w:val="003523DD"/>
    <w:rsid w:val="0035376B"/>
    <w:rsid w:val="00356284"/>
    <w:rsid w:val="00361C35"/>
    <w:rsid w:val="00362D21"/>
    <w:rsid w:val="003636B0"/>
    <w:rsid w:val="00363B92"/>
    <w:rsid w:val="00365827"/>
    <w:rsid w:val="003658EE"/>
    <w:rsid w:val="00365BA7"/>
    <w:rsid w:val="00365C1B"/>
    <w:rsid w:val="00366613"/>
    <w:rsid w:val="00371882"/>
    <w:rsid w:val="00374F67"/>
    <w:rsid w:val="003758A0"/>
    <w:rsid w:val="00375F98"/>
    <w:rsid w:val="0037734C"/>
    <w:rsid w:val="00377AA7"/>
    <w:rsid w:val="00382EE0"/>
    <w:rsid w:val="0038644F"/>
    <w:rsid w:val="00390013"/>
    <w:rsid w:val="00390C29"/>
    <w:rsid w:val="00390EB1"/>
    <w:rsid w:val="00392804"/>
    <w:rsid w:val="00394329"/>
    <w:rsid w:val="003947C8"/>
    <w:rsid w:val="00395148"/>
    <w:rsid w:val="00395678"/>
    <w:rsid w:val="003962DC"/>
    <w:rsid w:val="00396CE8"/>
    <w:rsid w:val="003A06C4"/>
    <w:rsid w:val="003A17E9"/>
    <w:rsid w:val="003A2872"/>
    <w:rsid w:val="003A3947"/>
    <w:rsid w:val="003A3A8A"/>
    <w:rsid w:val="003A49A8"/>
    <w:rsid w:val="003A6DC9"/>
    <w:rsid w:val="003A7524"/>
    <w:rsid w:val="003B0017"/>
    <w:rsid w:val="003B5E14"/>
    <w:rsid w:val="003B5FBE"/>
    <w:rsid w:val="003B656B"/>
    <w:rsid w:val="003B7B43"/>
    <w:rsid w:val="003C2096"/>
    <w:rsid w:val="003C2899"/>
    <w:rsid w:val="003C4DD7"/>
    <w:rsid w:val="003C556B"/>
    <w:rsid w:val="003C7410"/>
    <w:rsid w:val="003D1D54"/>
    <w:rsid w:val="003D23CF"/>
    <w:rsid w:val="003D4EFA"/>
    <w:rsid w:val="003D597C"/>
    <w:rsid w:val="003E31B9"/>
    <w:rsid w:val="003E32C3"/>
    <w:rsid w:val="003E32F8"/>
    <w:rsid w:val="003E58DF"/>
    <w:rsid w:val="003E72CA"/>
    <w:rsid w:val="003F07C0"/>
    <w:rsid w:val="003F2DB0"/>
    <w:rsid w:val="003F2ED6"/>
    <w:rsid w:val="003F477F"/>
    <w:rsid w:val="003F49C8"/>
    <w:rsid w:val="003F5A01"/>
    <w:rsid w:val="003F5D38"/>
    <w:rsid w:val="0040440A"/>
    <w:rsid w:val="00404E2D"/>
    <w:rsid w:val="00411885"/>
    <w:rsid w:val="004125C9"/>
    <w:rsid w:val="004148E9"/>
    <w:rsid w:val="00415CA3"/>
    <w:rsid w:val="00415E72"/>
    <w:rsid w:val="004208E5"/>
    <w:rsid w:val="00421C65"/>
    <w:rsid w:val="0042399C"/>
    <w:rsid w:val="00423A97"/>
    <w:rsid w:val="00424553"/>
    <w:rsid w:val="004251F0"/>
    <w:rsid w:val="00425FE7"/>
    <w:rsid w:val="00426543"/>
    <w:rsid w:val="00430CA2"/>
    <w:rsid w:val="00430DC6"/>
    <w:rsid w:val="004312C2"/>
    <w:rsid w:val="00431482"/>
    <w:rsid w:val="004322E1"/>
    <w:rsid w:val="004420BD"/>
    <w:rsid w:val="004434AD"/>
    <w:rsid w:val="00444038"/>
    <w:rsid w:val="00444CB8"/>
    <w:rsid w:val="0044567C"/>
    <w:rsid w:val="00445E94"/>
    <w:rsid w:val="004471D4"/>
    <w:rsid w:val="00450838"/>
    <w:rsid w:val="00460A3A"/>
    <w:rsid w:val="004630F6"/>
    <w:rsid w:val="00464884"/>
    <w:rsid w:val="00464F75"/>
    <w:rsid w:val="00465D92"/>
    <w:rsid w:val="00470258"/>
    <w:rsid w:val="0047175C"/>
    <w:rsid w:val="00472A8F"/>
    <w:rsid w:val="00474391"/>
    <w:rsid w:val="00474D5B"/>
    <w:rsid w:val="004800CE"/>
    <w:rsid w:val="004807A8"/>
    <w:rsid w:val="004827B1"/>
    <w:rsid w:val="0048452B"/>
    <w:rsid w:val="0048501F"/>
    <w:rsid w:val="0048686E"/>
    <w:rsid w:val="0048719E"/>
    <w:rsid w:val="00487F13"/>
    <w:rsid w:val="00490ADC"/>
    <w:rsid w:val="00491378"/>
    <w:rsid w:val="00491EF9"/>
    <w:rsid w:val="00493C49"/>
    <w:rsid w:val="004973AD"/>
    <w:rsid w:val="004A0E70"/>
    <w:rsid w:val="004A1237"/>
    <w:rsid w:val="004A21DF"/>
    <w:rsid w:val="004A4FC6"/>
    <w:rsid w:val="004B02E3"/>
    <w:rsid w:val="004B22B4"/>
    <w:rsid w:val="004B5586"/>
    <w:rsid w:val="004B576C"/>
    <w:rsid w:val="004B6A6E"/>
    <w:rsid w:val="004C3CEB"/>
    <w:rsid w:val="004C5FB2"/>
    <w:rsid w:val="004C6A1C"/>
    <w:rsid w:val="004C7D66"/>
    <w:rsid w:val="004D01D9"/>
    <w:rsid w:val="004D2C1B"/>
    <w:rsid w:val="004D326E"/>
    <w:rsid w:val="004D5391"/>
    <w:rsid w:val="004D6B91"/>
    <w:rsid w:val="004D76A1"/>
    <w:rsid w:val="004E080F"/>
    <w:rsid w:val="004E14FF"/>
    <w:rsid w:val="004E1B0C"/>
    <w:rsid w:val="004E6F81"/>
    <w:rsid w:val="004F188B"/>
    <w:rsid w:val="004F2176"/>
    <w:rsid w:val="004F3AF1"/>
    <w:rsid w:val="004F3F85"/>
    <w:rsid w:val="004F5541"/>
    <w:rsid w:val="00503877"/>
    <w:rsid w:val="005039A2"/>
    <w:rsid w:val="005039FC"/>
    <w:rsid w:val="00504F8F"/>
    <w:rsid w:val="00505C49"/>
    <w:rsid w:val="0050632D"/>
    <w:rsid w:val="00506CE4"/>
    <w:rsid w:val="00507B88"/>
    <w:rsid w:val="00511CDB"/>
    <w:rsid w:val="005133D1"/>
    <w:rsid w:val="00515026"/>
    <w:rsid w:val="005164DC"/>
    <w:rsid w:val="005171E8"/>
    <w:rsid w:val="00517902"/>
    <w:rsid w:val="00523C42"/>
    <w:rsid w:val="005274DB"/>
    <w:rsid w:val="00530213"/>
    <w:rsid w:val="00533E28"/>
    <w:rsid w:val="00534B33"/>
    <w:rsid w:val="005353EB"/>
    <w:rsid w:val="005357E8"/>
    <w:rsid w:val="00540DB7"/>
    <w:rsid w:val="005426F2"/>
    <w:rsid w:val="00542AB4"/>
    <w:rsid w:val="00542E27"/>
    <w:rsid w:val="005459A3"/>
    <w:rsid w:val="005521BC"/>
    <w:rsid w:val="005521DA"/>
    <w:rsid w:val="005522B6"/>
    <w:rsid w:val="005552E3"/>
    <w:rsid w:val="0055545E"/>
    <w:rsid w:val="005555A0"/>
    <w:rsid w:val="00556175"/>
    <w:rsid w:val="005571F5"/>
    <w:rsid w:val="00560872"/>
    <w:rsid w:val="00563F27"/>
    <w:rsid w:val="005642B1"/>
    <w:rsid w:val="00567A49"/>
    <w:rsid w:val="005709F1"/>
    <w:rsid w:val="00574670"/>
    <w:rsid w:val="005757A4"/>
    <w:rsid w:val="0058026E"/>
    <w:rsid w:val="00582130"/>
    <w:rsid w:val="005843C0"/>
    <w:rsid w:val="00584CFF"/>
    <w:rsid w:val="00585649"/>
    <w:rsid w:val="00587F53"/>
    <w:rsid w:val="00592EEA"/>
    <w:rsid w:val="00596B02"/>
    <w:rsid w:val="00596F43"/>
    <w:rsid w:val="005A18EB"/>
    <w:rsid w:val="005A459C"/>
    <w:rsid w:val="005A4C80"/>
    <w:rsid w:val="005A64C4"/>
    <w:rsid w:val="005A6535"/>
    <w:rsid w:val="005A7426"/>
    <w:rsid w:val="005A78FE"/>
    <w:rsid w:val="005A7C20"/>
    <w:rsid w:val="005B18B1"/>
    <w:rsid w:val="005B2F66"/>
    <w:rsid w:val="005B38FA"/>
    <w:rsid w:val="005B47C1"/>
    <w:rsid w:val="005B5450"/>
    <w:rsid w:val="005B55ED"/>
    <w:rsid w:val="005B5E64"/>
    <w:rsid w:val="005C05CE"/>
    <w:rsid w:val="005C06F4"/>
    <w:rsid w:val="005C09F3"/>
    <w:rsid w:val="005C339F"/>
    <w:rsid w:val="005C6626"/>
    <w:rsid w:val="005C6733"/>
    <w:rsid w:val="005C7E7D"/>
    <w:rsid w:val="005D06B7"/>
    <w:rsid w:val="005D20C5"/>
    <w:rsid w:val="005D32BA"/>
    <w:rsid w:val="005D4173"/>
    <w:rsid w:val="005D69A1"/>
    <w:rsid w:val="005D746E"/>
    <w:rsid w:val="005D77BB"/>
    <w:rsid w:val="005E09ED"/>
    <w:rsid w:val="005E26E4"/>
    <w:rsid w:val="005E3ABD"/>
    <w:rsid w:val="005E5674"/>
    <w:rsid w:val="005E72D9"/>
    <w:rsid w:val="005F0846"/>
    <w:rsid w:val="005F095F"/>
    <w:rsid w:val="005F0BF3"/>
    <w:rsid w:val="005F2A38"/>
    <w:rsid w:val="005F407B"/>
    <w:rsid w:val="005F4C87"/>
    <w:rsid w:val="005F5738"/>
    <w:rsid w:val="005F6962"/>
    <w:rsid w:val="005F6C3A"/>
    <w:rsid w:val="00601DDF"/>
    <w:rsid w:val="0060225C"/>
    <w:rsid w:val="00606D0F"/>
    <w:rsid w:val="0060796E"/>
    <w:rsid w:val="006110DE"/>
    <w:rsid w:val="0061245F"/>
    <w:rsid w:val="00612B22"/>
    <w:rsid w:val="0061321A"/>
    <w:rsid w:val="00613276"/>
    <w:rsid w:val="00615923"/>
    <w:rsid w:val="00621746"/>
    <w:rsid w:val="006218AA"/>
    <w:rsid w:val="0062269E"/>
    <w:rsid w:val="00625DF6"/>
    <w:rsid w:val="00633A77"/>
    <w:rsid w:val="00633FFF"/>
    <w:rsid w:val="00634380"/>
    <w:rsid w:val="00634535"/>
    <w:rsid w:val="00635BEE"/>
    <w:rsid w:val="00636661"/>
    <w:rsid w:val="006366D8"/>
    <w:rsid w:val="00637400"/>
    <w:rsid w:val="00642F99"/>
    <w:rsid w:val="0064546A"/>
    <w:rsid w:val="00651A19"/>
    <w:rsid w:val="0065245A"/>
    <w:rsid w:val="00654D7E"/>
    <w:rsid w:val="00655BCF"/>
    <w:rsid w:val="00655FAF"/>
    <w:rsid w:val="00656590"/>
    <w:rsid w:val="00660459"/>
    <w:rsid w:val="00661EF7"/>
    <w:rsid w:val="00662069"/>
    <w:rsid w:val="0066324F"/>
    <w:rsid w:val="006668AD"/>
    <w:rsid w:val="006679D1"/>
    <w:rsid w:val="00676D1D"/>
    <w:rsid w:val="00680CC9"/>
    <w:rsid w:val="00681A9D"/>
    <w:rsid w:val="00682FF8"/>
    <w:rsid w:val="00683A49"/>
    <w:rsid w:val="006846C9"/>
    <w:rsid w:val="00684861"/>
    <w:rsid w:val="00685E19"/>
    <w:rsid w:val="00686839"/>
    <w:rsid w:val="00686994"/>
    <w:rsid w:val="00687923"/>
    <w:rsid w:val="00690596"/>
    <w:rsid w:val="006A2311"/>
    <w:rsid w:val="006A2C30"/>
    <w:rsid w:val="006A3AB1"/>
    <w:rsid w:val="006A3C60"/>
    <w:rsid w:val="006A619B"/>
    <w:rsid w:val="006B2120"/>
    <w:rsid w:val="006B38FC"/>
    <w:rsid w:val="006B3E14"/>
    <w:rsid w:val="006B49F3"/>
    <w:rsid w:val="006B5F5E"/>
    <w:rsid w:val="006B61C1"/>
    <w:rsid w:val="006C0976"/>
    <w:rsid w:val="006C1A8E"/>
    <w:rsid w:val="006C246F"/>
    <w:rsid w:val="006C247A"/>
    <w:rsid w:val="006C3652"/>
    <w:rsid w:val="006C4EB5"/>
    <w:rsid w:val="006C4EF9"/>
    <w:rsid w:val="006D10D9"/>
    <w:rsid w:val="006D23BE"/>
    <w:rsid w:val="006D2EC0"/>
    <w:rsid w:val="006D31F9"/>
    <w:rsid w:val="006D48B2"/>
    <w:rsid w:val="006D7426"/>
    <w:rsid w:val="006E16EE"/>
    <w:rsid w:val="006E1864"/>
    <w:rsid w:val="006E35E4"/>
    <w:rsid w:val="006F06F1"/>
    <w:rsid w:val="006F0A52"/>
    <w:rsid w:val="006F1098"/>
    <w:rsid w:val="006F1DC6"/>
    <w:rsid w:val="006F2C8C"/>
    <w:rsid w:val="006F2D7B"/>
    <w:rsid w:val="006F3611"/>
    <w:rsid w:val="006F418C"/>
    <w:rsid w:val="00701F30"/>
    <w:rsid w:val="00703C82"/>
    <w:rsid w:val="00703DA0"/>
    <w:rsid w:val="00706A33"/>
    <w:rsid w:val="00707374"/>
    <w:rsid w:val="00707A0C"/>
    <w:rsid w:val="007119EB"/>
    <w:rsid w:val="0071250B"/>
    <w:rsid w:val="00712A7D"/>
    <w:rsid w:val="0071327E"/>
    <w:rsid w:val="007136ED"/>
    <w:rsid w:val="007168B6"/>
    <w:rsid w:val="007177F4"/>
    <w:rsid w:val="007201AA"/>
    <w:rsid w:val="0072078B"/>
    <w:rsid w:val="007209DC"/>
    <w:rsid w:val="00724492"/>
    <w:rsid w:val="0072480F"/>
    <w:rsid w:val="0072614A"/>
    <w:rsid w:val="00726CC5"/>
    <w:rsid w:val="007303EE"/>
    <w:rsid w:val="00731420"/>
    <w:rsid w:val="00731513"/>
    <w:rsid w:val="00732B74"/>
    <w:rsid w:val="007331D1"/>
    <w:rsid w:val="00733A46"/>
    <w:rsid w:val="007354AD"/>
    <w:rsid w:val="007366FC"/>
    <w:rsid w:val="00736C2D"/>
    <w:rsid w:val="00740519"/>
    <w:rsid w:val="00740B45"/>
    <w:rsid w:val="00743FD1"/>
    <w:rsid w:val="00745A1D"/>
    <w:rsid w:val="00747529"/>
    <w:rsid w:val="007505CB"/>
    <w:rsid w:val="007517DE"/>
    <w:rsid w:val="007535CC"/>
    <w:rsid w:val="007556FE"/>
    <w:rsid w:val="00756FAF"/>
    <w:rsid w:val="00760BE7"/>
    <w:rsid w:val="007628BB"/>
    <w:rsid w:val="007671C6"/>
    <w:rsid w:val="00767A87"/>
    <w:rsid w:val="007701E4"/>
    <w:rsid w:val="00770299"/>
    <w:rsid w:val="00773F42"/>
    <w:rsid w:val="00774B0C"/>
    <w:rsid w:val="007751AD"/>
    <w:rsid w:val="00776473"/>
    <w:rsid w:val="007772F5"/>
    <w:rsid w:val="00777379"/>
    <w:rsid w:val="007805B6"/>
    <w:rsid w:val="00780A25"/>
    <w:rsid w:val="00780E6E"/>
    <w:rsid w:val="00781E9B"/>
    <w:rsid w:val="00782D6D"/>
    <w:rsid w:val="007847EB"/>
    <w:rsid w:val="00790F41"/>
    <w:rsid w:val="00793165"/>
    <w:rsid w:val="00794916"/>
    <w:rsid w:val="007950E9"/>
    <w:rsid w:val="00795A76"/>
    <w:rsid w:val="00795CFA"/>
    <w:rsid w:val="007A5D86"/>
    <w:rsid w:val="007A62B6"/>
    <w:rsid w:val="007A7858"/>
    <w:rsid w:val="007A7D9E"/>
    <w:rsid w:val="007B0199"/>
    <w:rsid w:val="007B0D2E"/>
    <w:rsid w:val="007B0F09"/>
    <w:rsid w:val="007B3691"/>
    <w:rsid w:val="007B3737"/>
    <w:rsid w:val="007B4FA1"/>
    <w:rsid w:val="007B5417"/>
    <w:rsid w:val="007B5A07"/>
    <w:rsid w:val="007B6C36"/>
    <w:rsid w:val="007B7E59"/>
    <w:rsid w:val="007C1BE3"/>
    <w:rsid w:val="007C5607"/>
    <w:rsid w:val="007C677C"/>
    <w:rsid w:val="007D1F7E"/>
    <w:rsid w:val="007D50BE"/>
    <w:rsid w:val="007E019B"/>
    <w:rsid w:val="007E258C"/>
    <w:rsid w:val="007E263E"/>
    <w:rsid w:val="007E2DC7"/>
    <w:rsid w:val="007E3233"/>
    <w:rsid w:val="007E5F04"/>
    <w:rsid w:val="007E6FFA"/>
    <w:rsid w:val="007E7F75"/>
    <w:rsid w:val="007E7F8B"/>
    <w:rsid w:val="007F15F4"/>
    <w:rsid w:val="007F4623"/>
    <w:rsid w:val="007F64F8"/>
    <w:rsid w:val="007F6E0D"/>
    <w:rsid w:val="00800C3F"/>
    <w:rsid w:val="00802420"/>
    <w:rsid w:val="00804DF8"/>
    <w:rsid w:val="00805790"/>
    <w:rsid w:val="00805F7F"/>
    <w:rsid w:val="00806E8F"/>
    <w:rsid w:val="008074FD"/>
    <w:rsid w:val="008113B8"/>
    <w:rsid w:val="008116C8"/>
    <w:rsid w:val="008129CC"/>
    <w:rsid w:val="00813CA1"/>
    <w:rsid w:val="00814300"/>
    <w:rsid w:val="008147EA"/>
    <w:rsid w:val="008167F1"/>
    <w:rsid w:val="0081693A"/>
    <w:rsid w:val="00816D20"/>
    <w:rsid w:val="00817A76"/>
    <w:rsid w:val="00820B20"/>
    <w:rsid w:val="008231EF"/>
    <w:rsid w:val="008243F2"/>
    <w:rsid w:val="008251B9"/>
    <w:rsid w:val="00825681"/>
    <w:rsid w:val="00825955"/>
    <w:rsid w:val="0082723A"/>
    <w:rsid w:val="008311E1"/>
    <w:rsid w:val="00832ED8"/>
    <w:rsid w:val="00834EF1"/>
    <w:rsid w:val="00835271"/>
    <w:rsid w:val="00835BEE"/>
    <w:rsid w:val="0083793E"/>
    <w:rsid w:val="008423C2"/>
    <w:rsid w:val="00843831"/>
    <w:rsid w:val="00852581"/>
    <w:rsid w:val="00854BFC"/>
    <w:rsid w:val="0085719B"/>
    <w:rsid w:val="00864724"/>
    <w:rsid w:val="00865710"/>
    <w:rsid w:val="008668C9"/>
    <w:rsid w:val="00871850"/>
    <w:rsid w:val="00871DC7"/>
    <w:rsid w:val="00873310"/>
    <w:rsid w:val="0087707E"/>
    <w:rsid w:val="00877E3A"/>
    <w:rsid w:val="00882DD1"/>
    <w:rsid w:val="00884652"/>
    <w:rsid w:val="00892CD1"/>
    <w:rsid w:val="00893757"/>
    <w:rsid w:val="00894592"/>
    <w:rsid w:val="00894690"/>
    <w:rsid w:val="00895ED9"/>
    <w:rsid w:val="00896DF5"/>
    <w:rsid w:val="0089701A"/>
    <w:rsid w:val="008979E2"/>
    <w:rsid w:val="008A0F7D"/>
    <w:rsid w:val="008A6EC7"/>
    <w:rsid w:val="008B121B"/>
    <w:rsid w:val="008B2CFC"/>
    <w:rsid w:val="008B6D7F"/>
    <w:rsid w:val="008C318C"/>
    <w:rsid w:val="008C3C27"/>
    <w:rsid w:val="008C5311"/>
    <w:rsid w:val="008C739A"/>
    <w:rsid w:val="008D0E7A"/>
    <w:rsid w:val="008D1324"/>
    <w:rsid w:val="008D2207"/>
    <w:rsid w:val="008D31C4"/>
    <w:rsid w:val="008D37D8"/>
    <w:rsid w:val="008D411B"/>
    <w:rsid w:val="008D4895"/>
    <w:rsid w:val="008D544E"/>
    <w:rsid w:val="008D78B9"/>
    <w:rsid w:val="008E1DA3"/>
    <w:rsid w:val="008E2DFD"/>
    <w:rsid w:val="008E3120"/>
    <w:rsid w:val="008E3F95"/>
    <w:rsid w:val="008E44A1"/>
    <w:rsid w:val="008E776E"/>
    <w:rsid w:val="008F07FD"/>
    <w:rsid w:val="008F1FA6"/>
    <w:rsid w:val="008F35FF"/>
    <w:rsid w:val="008F37BA"/>
    <w:rsid w:val="008F3D64"/>
    <w:rsid w:val="008F4A76"/>
    <w:rsid w:val="00900E75"/>
    <w:rsid w:val="0090165B"/>
    <w:rsid w:val="0090513F"/>
    <w:rsid w:val="00905AF9"/>
    <w:rsid w:val="009076BF"/>
    <w:rsid w:val="009078E1"/>
    <w:rsid w:val="009119DE"/>
    <w:rsid w:val="0091222D"/>
    <w:rsid w:val="009136B7"/>
    <w:rsid w:val="0091526F"/>
    <w:rsid w:val="009154DF"/>
    <w:rsid w:val="00916D15"/>
    <w:rsid w:val="009200BA"/>
    <w:rsid w:val="009225A0"/>
    <w:rsid w:val="009237D5"/>
    <w:rsid w:val="00924297"/>
    <w:rsid w:val="009254A9"/>
    <w:rsid w:val="009262FF"/>
    <w:rsid w:val="00926447"/>
    <w:rsid w:val="0092754A"/>
    <w:rsid w:val="00931833"/>
    <w:rsid w:val="009331D6"/>
    <w:rsid w:val="00944A84"/>
    <w:rsid w:val="0094658A"/>
    <w:rsid w:val="0094721C"/>
    <w:rsid w:val="00950BE2"/>
    <w:rsid w:val="00951BE6"/>
    <w:rsid w:val="00952BA7"/>
    <w:rsid w:val="0095407D"/>
    <w:rsid w:val="00955261"/>
    <w:rsid w:val="00955CD9"/>
    <w:rsid w:val="00961519"/>
    <w:rsid w:val="00963BBA"/>
    <w:rsid w:val="00964637"/>
    <w:rsid w:val="00965FC2"/>
    <w:rsid w:val="00966851"/>
    <w:rsid w:val="00966F0B"/>
    <w:rsid w:val="0097082B"/>
    <w:rsid w:val="009729EC"/>
    <w:rsid w:val="009752FB"/>
    <w:rsid w:val="00977042"/>
    <w:rsid w:val="009810B0"/>
    <w:rsid w:val="009815BB"/>
    <w:rsid w:val="00982BB9"/>
    <w:rsid w:val="0098603F"/>
    <w:rsid w:val="00987F17"/>
    <w:rsid w:val="0099118E"/>
    <w:rsid w:val="00994A9E"/>
    <w:rsid w:val="00994EB4"/>
    <w:rsid w:val="009951AE"/>
    <w:rsid w:val="00996687"/>
    <w:rsid w:val="00996956"/>
    <w:rsid w:val="00997211"/>
    <w:rsid w:val="00997904"/>
    <w:rsid w:val="00997C5E"/>
    <w:rsid w:val="009A2928"/>
    <w:rsid w:val="009A4E42"/>
    <w:rsid w:val="009A70E8"/>
    <w:rsid w:val="009A7407"/>
    <w:rsid w:val="009B00CA"/>
    <w:rsid w:val="009B0D36"/>
    <w:rsid w:val="009B104F"/>
    <w:rsid w:val="009B23D1"/>
    <w:rsid w:val="009B2963"/>
    <w:rsid w:val="009B296D"/>
    <w:rsid w:val="009B2E38"/>
    <w:rsid w:val="009B35C5"/>
    <w:rsid w:val="009B3E3A"/>
    <w:rsid w:val="009B4328"/>
    <w:rsid w:val="009B6498"/>
    <w:rsid w:val="009C03E6"/>
    <w:rsid w:val="009C089B"/>
    <w:rsid w:val="009C1900"/>
    <w:rsid w:val="009C25E0"/>
    <w:rsid w:val="009C4896"/>
    <w:rsid w:val="009C4908"/>
    <w:rsid w:val="009C5391"/>
    <w:rsid w:val="009C59EE"/>
    <w:rsid w:val="009C5F1C"/>
    <w:rsid w:val="009D11B3"/>
    <w:rsid w:val="009D14F3"/>
    <w:rsid w:val="009D2D7E"/>
    <w:rsid w:val="009D3FCD"/>
    <w:rsid w:val="009D52C5"/>
    <w:rsid w:val="009D5C01"/>
    <w:rsid w:val="009D5D70"/>
    <w:rsid w:val="009D77D2"/>
    <w:rsid w:val="009D7F59"/>
    <w:rsid w:val="009E2669"/>
    <w:rsid w:val="009E5D54"/>
    <w:rsid w:val="009E60E8"/>
    <w:rsid w:val="009E7440"/>
    <w:rsid w:val="009F1FC8"/>
    <w:rsid w:val="009F7D01"/>
    <w:rsid w:val="00A01FEE"/>
    <w:rsid w:val="00A0229D"/>
    <w:rsid w:val="00A0486F"/>
    <w:rsid w:val="00A05204"/>
    <w:rsid w:val="00A07DA2"/>
    <w:rsid w:val="00A12DB4"/>
    <w:rsid w:val="00A16FB0"/>
    <w:rsid w:val="00A17553"/>
    <w:rsid w:val="00A24E56"/>
    <w:rsid w:val="00A25796"/>
    <w:rsid w:val="00A25834"/>
    <w:rsid w:val="00A262C4"/>
    <w:rsid w:val="00A265E3"/>
    <w:rsid w:val="00A339D2"/>
    <w:rsid w:val="00A3452A"/>
    <w:rsid w:val="00A44139"/>
    <w:rsid w:val="00A45425"/>
    <w:rsid w:val="00A46975"/>
    <w:rsid w:val="00A471E5"/>
    <w:rsid w:val="00A51097"/>
    <w:rsid w:val="00A55506"/>
    <w:rsid w:val="00A55698"/>
    <w:rsid w:val="00A55E36"/>
    <w:rsid w:val="00A56CED"/>
    <w:rsid w:val="00A64639"/>
    <w:rsid w:val="00A6511A"/>
    <w:rsid w:val="00A65274"/>
    <w:rsid w:val="00A661F9"/>
    <w:rsid w:val="00A70225"/>
    <w:rsid w:val="00A70BC6"/>
    <w:rsid w:val="00A7385D"/>
    <w:rsid w:val="00A756B1"/>
    <w:rsid w:val="00A775A4"/>
    <w:rsid w:val="00A8081B"/>
    <w:rsid w:val="00A80D26"/>
    <w:rsid w:val="00A813D3"/>
    <w:rsid w:val="00A83C5E"/>
    <w:rsid w:val="00A85DE5"/>
    <w:rsid w:val="00A9055C"/>
    <w:rsid w:val="00A92142"/>
    <w:rsid w:val="00A92818"/>
    <w:rsid w:val="00A9432D"/>
    <w:rsid w:val="00A958BC"/>
    <w:rsid w:val="00A968CF"/>
    <w:rsid w:val="00A96F5F"/>
    <w:rsid w:val="00AA04C4"/>
    <w:rsid w:val="00AA0938"/>
    <w:rsid w:val="00AA466B"/>
    <w:rsid w:val="00AB0646"/>
    <w:rsid w:val="00AB1273"/>
    <w:rsid w:val="00AB1BDD"/>
    <w:rsid w:val="00AB5DAE"/>
    <w:rsid w:val="00AB5EEE"/>
    <w:rsid w:val="00AB60CA"/>
    <w:rsid w:val="00AC0316"/>
    <w:rsid w:val="00AC251F"/>
    <w:rsid w:val="00AC2E82"/>
    <w:rsid w:val="00AC3F3D"/>
    <w:rsid w:val="00AC4201"/>
    <w:rsid w:val="00AC65BB"/>
    <w:rsid w:val="00AC68F1"/>
    <w:rsid w:val="00AC768F"/>
    <w:rsid w:val="00AE0A13"/>
    <w:rsid w:val="00AE1698"/>
    <w:rsid w:val="00AE6EDF"/>
    <w:rsid w:val="00AF0167"/>
    <w:rsid w:val="00AF31D6"/>
    <w:rsid w:val="00AF3B65"/>
    <w:rsid w:val="00AF3C9A"/>
    <w:rsid w:val="00B00148"/>
    <w:rsid w:val="00B00C1E"/>
    <w:rsid w:val="00B00CAA"/>
    <w:rsid w:val="00B039AD"/>
    <w:rsid w:val="00B06293"/>
    <w:rsid w:val="00B0682A"/>
    <w:rsid w:val="00B07566"/>
    <w:rsid w:val="00B15D85"/>
    <w:rsid w:val="00B21889"/>
    <w:rsid w:val="00B21E2C"/>
    <w:rsid w:val="00B24070"/>
    <w:rsid w:val="00B2619B"/>
    <w:rsid w:val="00B32075"/>
    <w:rsid w:val="00B32328"/>
    <w:rsid w:val="00B32619"/>
    <w:rsid w:val="00B366DD"/>
    <w:rsid w:val="00B40D27"/>
    <w:rsid w:val="00B426FA"/>
    <w:rsid w:val="00B42F3B"/>
    <w:rsid w:val="00B432EC"/>
    <w:rsid w:val="00B43D37"/>
    <w:rsid w:val="00B44176"/>
    <w:rsid w:val="00B44DBE"/>
    <w:rsid w:val="00B44EBF"/>
    <w:rsid w:val="00B460B5"/>
    <w:rsid w:val="00B47B76"/>
    <w:rsid w:val="00B5425D"/>
    <w:rsid w:val="00B552F6"/>
    <w:rsid w:val="00B60FA4"/>
    <w:rsid w:val="00B6148C"/>
    <w:rsid w:val="00B655D2"/>
    <w:rsid w:val="00B6562B"/>
    <w:rsid w:val="00B665F4"/>
    <w:rsid w:val="00B669F1"/>
    <w:rsid w:val="00B66BB8"/>
    <w:rsid w:val="00B701AC"/>
    <w:rsid w:val="00B7081B"/>
    <w:rsid w:val="00B73D95"/>
    <w:rsid w:val="00B748BF"/>
    <w:rsid w:val="00B7793C"/>
    <w:rsid w:val="00B80D23"/>
    <w:rsid w:val="00B82765"/>
    <w:rsid w:val="00B8355D"/>
    <w:rsid w:val="00B83622"/>
    <w:rsid w:val="00B8431C"/>
    <w:rsid w:val="00B843FF"/>
    <w:rsid w:val="00B84B29"/>
    <w:rsid w:val="00B84FF3"/>
    <w:rsid w:val="00B8586C"/>
    <w:rsid w:val="00B85BC7"/>
    <w:rsid w:val="00B85F73"/>
    <w:rsid w:val="00B8633A"/>
    <w:rsid w:val="00B92E86"/>
    <w:rsid w:val="00B93F0F"/>
    <w:rsid w:val="00B95B78"/>
    <w:rsid w:val="00B97133"/>
    <w:rsid w:val="00B97AD3"/>
    <w:rsid w:val="00BA19F4"/>
    <w:rsid w:val="00BA5462"/>
    <w:rsid w:val="00BA7D30"/>
    <w:rsid w:val="00BB0E94"/>
    <w:rsid w:val="00BB11C0"/>
    <w:rsid w:val="00BB22D7"/>
    <w:rsid w:val="00BB427E"/>
    <w:rsid w:val="00BB5462"/>
    <w:rsid w:val="00BB6A48"/>
    <w:rsid w:val="00BC060E"/>
    <w:rsid w:val="00BC198A"/>
    <w:rsid w:val="00BC35F4"/>
    <w:rsid w:val="00BC4913"/>
    <w:rsid w:val="00BC5D2D"/>
    <w:rsid w:val="00BC716A"/>
    <w:rsid w:val="00BD1BBC"/>
    <w:rsid w:val="00BD1F59"/>
    <w:rsid w:val="00BD22DD"/>
    <w:rsid w:val="00BD3BF5"/>
    <w:rsid w:val="00BD4673"/>
    <w:rsid w:val="00BD687D"/>
    <w:rsid w:val="00BD736A"/>
    <w:rsid w:val="00BE17D3"/>
    <w:rsid w:val="00BE18A6"/>
    <w:rsid w:val="00BE7641"/>
    <w:rsid w:val="00BF1491"/>
    <w:rsid w:val="00BF340B"/>
    <w:rsid w:val="00BF3B2E"/>
    <w:rsid w:val="00BF428D"/>
    <w:rsid w:val="00BF53BD"/>
    <w:rsid w:val="00BF651A"/>
    <w:rsid w:val="00C03846"/>
    <w:rsid w:val="00C10837"/>
    <w:rsid w:val="00C10E6C"/>
    <w:rsid w:val="00C165ED"/>
    <w:rsid w:val="00C17B05"/>
    <w:rsid w:val="00C2002A"/>
    <w:rsid w:val="00C22369"/>
    <w:rsid w:val="00C23F26"/>
    <w:rsid w:val="00C26B3E"/>
    <w:rsid w:val="00C309DD"/>
    <w:rsid w:val="00C30CF9"/>
    <w:rsid w:val="00C31528"/>
    <w:rsid w:val="00C321C4"/>
    <w:rsid w:val="00C3380E"/>
    <w:rsid w:val="00C353A5"/>
    <w:rsid w:val="00C35CCF"/>
    <w:rsid w:val="00C36539"/>
    <w:rsid w:val="00C37296"/>
    <w:rsid w:val="00C37AF8"/>
    <w:rsid w:val="00C37C3E"/>
    <w:rsid w:val="00C405D3"/>
    <w:rsid w:val="00C40D94"/>
    <w:rsid w:val="00C439C1"/>
    <w:rsid w:val="00C43B76"/>
    <w:rsid w:val="00C4472A"/>
    <w:rsid w:val="00C4617C"/>
    <w:rsid w:val="00C466B8"/>
    <w:rsid w:val="00C46F64"/>
    <w:rsid w:val="00C47068"/>
    <w:rsid w:val="00C501E7"/>
    <w:rsid w:val="00C53757"/>
    <w:rsid w:val="00C539C2"/>
    <w:rsid w:val="00C558E0"/>
    <w:rsid w:val="00C57EA9"/>
    <w:rsid w:val="00C60986"/>
    <w:rsid w:val="00C60CAA"/>
    <w:rsid w:val="00C6562C"/>
    <w:rsid w:val="00C6724E"/>
    <w:rsid w:val="00C67E47"/>
    <w:rsid w:val="00C721AB"/>
    <w:rsid w:val="00C7437E"/>
    <w:rsid w:val="00C749C7"/>
    <w:rsid w:val="00C7559E"/>
    <w:rsid w:val="00C76130"/>
    <w:rsid w:val="00C7754E"/>
    <w:rsid w:val="00C80239"/>
    <w:rsid w:val="00C816C0"/>
    <w:rsid w:val="00C81744"/>
    <w:rsid w:val="00C81DAD"/>
    <w:rsid w:val="00C82B3B"/>
    <w:rsid w:val="00C82CBC"/>
    <w:rsid w:val="00C83BCC"/>
    <w:rsid w:val="00C84051"/>
    <w:rsid w:val="00C8751B"/>
    <w:rsid w:val="00C9124A"/>
    <w:rsid w:val="00C926FF"/>
    <w:rsid w:val="00C94170"/>
    <w:rsid w:val="00C94E63"/>
    <w:rsid w:val="00C952F4"/>
    <w:rsid w:val="00CA20FD"/>
    <w:rsid w:val="00CA7047"/>
    <w:rsid w:val="00CB0D2E"/>
    <w:rsid w:val="00CB2F95"/>
    <w:rsid w:val="00CB31DA"/>
    <w:rsid w:val="00CB3B49"/>
    <w:rsid w:val="00CB3C9A"/>
    <w:rsid w:val="00CB43B5"/>
    <w:rsid w:val="00CB5906"/>
    <w:rsid w:val="00CB65E7"/>
    <w:rsid w:val="00CB68B0"/>
    <w:rsid w:val="00CB782D"/>
    <w:rsid w:val="00CC1D37"/>
    <w:rsid w:val="00CC4FDD"/>
    <w:rsid w:val="00CC60FF"/>
    <w:rsid w:val="00CC723D"/>
    <w:rsid w:val="00CD4296"/>
    <w:rsid w:val="00CD7C6E"/>
    <w:rsid w:val="00CE1BF0"/>
    <w:rsid w:val="00CE2B62"/>
    <w:rsid w:val="00CE46B6"/>
    <w:rsid w:val="00CE4D8C"/>
    <w:rsid w:val="00CE72A8"/>
    <w:rsid w:val="00CE7B90"/>
    <w:rsid w:val="00CF2201"/>
    <w:rsid w:val="00CF34F0"/>
    <w:rsid w:val="00CF52A4"/>
    <w:rsid w:val="00CF539B"/>
    <w:rsid w:val="00D00827"/>
    <w:rsid w:val="00D03063"/>
    <w:rsid w:val="00D040E2"/>
    <w:rsid w:val="00D05044"/>
    <w:rsid w:val="00D13674"/>
    <w:rsid w:val="00D169FE"/>
    <w:rsid w:val="00D22863"/>
    <w:rsid w:val="00D24A26"/>
    <w:rsid w:val="00D24A30"/>
    <w:rsid w:val="00D2595A"/>
    <w:rsid w:val="00D25AC6"/>
    <w:rsid w:val="00D26361"/>
    <w:rsid w:val="00D269FB"/>
    <w:rsid w:val="00D26FA6"/>
    <w:rsid w:val="00D27BC2"/>
    <w:rsid w:val="00D32BED"/>
    <w:rsid w:val="00D3780A"/>
    <w:rsid w:val="00D37D82"/>
    <w:rsid w:val="00D413D6"/>
    <w:rsid w:val="00D4152B"/>
    <w:rsid w:val="00D4316B"/>
    <w:rsid w:val="00D43B62"/>
    <w:rsid w:val="00D45085"/>
    <w:rsid w:val="00D46466"/>
    <w:rsid w:val="00D466AB"/>
    <w:rsid w:val="00D4797D"/>
    <w:rsid w:val="00D50832"/>
    <w:rsid w:val="00D51D04"/>
    <w:rsid w:val="00D53F6F"/>
    <w:rsid w:val="00D55426"/>
    <w:rsid w:val="00D56062"/>
    <w:rsid w:val="00D56F18"/>
    <w:rsid w:val="00D634A4"/>
    <w:rsid w:val="00D64B34"/>
    <w:rsid w:val="00D65729"/>
    <w:rsid w:val="00D672C0"/>
    <w:rsid w:val="00D70059"/>
    <w:rsid w:val="00D70560"/>
    <w:rsid w:val="00D71C93"/>
    <w:rsid w:val="00D7333C"/>
    <w:rsid w:val="00D7406A"/>
    <w:rsid w:val="00D7490E"/>
    <w:rsid w:val="00D75690"/>
    <w:rsid w:val="00D75AFD"/>
    <w:rsid w:val="00D7676E"/>
    <w:rsid w:val="00D8246A"/>
    <w:rsid w:val="00D8305C"/>
    <w:rsid w:val="00D83497"/>
    <w:rsid w:val="00D860EC"/>
    <w:rsid w:val="00D87110"/>
    <w:rsid w:val="00D9305C"/>
    <w:rsid w:val="00D931FA"/>
    <w:rsid w:val="00D94287"/>
    <w:rsid w:val="00D94B0F"/>
    <w:rsid w:val="00D959E9"/>
    <w:rsid w:val="00D95F87"/>
    <w:rsid w:val="00D96485"/>
    <w:rsid w:val="00DA0BE1"/>
    <w:rsid w:val="00DA10FE"/>
    <w:rsid w:val="00DA292C"/>
    <w:rsid w:val="00DA3D2C"/>
    <w:rsid w:val="00DA4B2D"/>
    <w:rsid w:val="00DA56B2"/>
    <w:rsid w:val="00DA60A3"/>
    <w:rsid w:val="00DA6E2B"/>
    <w:rsid w:val="00DA7EA5"/>
    <w:rsid w:val="00DB0A68"/>
    <w:rsid w:val="00DB122B"/>
    <w:rsid w:val="00DB137A"/>
    <w:rsid w:val="00DB13AD"/>
    <w:rsid w:val="00DB1E64"/>
    <w:rsid w:val="00DB3DC6"/>
    <w:rsid w:val="00DB4E75"/>
    <w:rsid w:val="00DB5613"/>
    <w:rsid w:val="00DB70E2"/>
    <w:rsid w:val="00DB7CAE"/>
    <w:rsid w:val="00DC041A"/>
    <w:rsid w:val="00DC1688"/>
    <w:rsid w:val="00DC17B0"/>
    <w:rsid w:val="00DC6EA2"/>
    <w:rsid w:val="00DD2D01"/>
    <w:rsid w:val="00DD3DA6"/>
    <w:rsid w:val="00DD3FBB"/>
    <w:rsid w:val="00DE23DE"/>
    <w:rsid w:val="00DE461A"/>
    <w:rsid w:val="00DE5582"/>
    <w:rsid w:val="00DE5822"/>
    <w:rsid w:val="00DF02BB"/>
    <w:rsid w:val="00DF1555"/>
    <w:rsid w:val="00DF1F38"/>
    <w:rsid w:val="00DF4884"/>
    <w:rsid w:val="00DF61E4"/>
    <w:rsid w:val="00DF6F9A"/>
    <w:rsid w:val="00E00E95"/>
    <w:rsid w:val="00E02369"/>
    <w:rsid w:val="00E04083"/>
    <w:rsid w:val="00E10E5D"/>
    <w:rsid w:val="00E15DE4"/>
    <w:rsid w:val="00E16D11"/>
    <w:rsid w:val="00E16E71"/>
    <w:rsid w:val="00E17D75"/>
    <w:rsid w:val="00E20934"/>
    <w:rsid w:val="00E20F79"/>
    <w:rsid w:val="00E22CCC"/>
    <w:rsid w:val="00E247E5"/>
    <w:rsid w:val="00E25910"/>
    <w:rsid w:val="00E26453"/>
    <w:rsid w:val="00E26534"/>
    <w:rsid w:val="00E3022D"/>
    <w:rsid w:val="00E335D7"/>
    <w:rsid w:val="00E34075"/>
    <w:rsid w:val="00E36494"/>
    <w:rsid w:val="00E36DC2"/>
    <w:rsid w:val="00E37975"/>
    <w:rsid w:val="00E41399"/>
    <w:rsid w:val="00E4182F"/>
    <w:rsid w:val="00E44334"/>
    <w:rsid w:val="00E45793"/>
    <w:rsid w:val="00E45EAE"/>
    <w:rsid w:val="00E47297"/>
    <w:rsid w:val="00E476F7"/>
    <w:rsid w:val="00E53494"/>
    <w:rsid w:val="00E53F3A"/>
    <w:rsid w:val="00E543DA"/>
    <w:rsid w:val="00E55EA7"/>
    <w:rsid w:val="00E571C7"/>
    <w:rsid w:val="00E642C8"/>
    <w:rsid w:val="00E66AD4"/>
    <w:rsid w:val="00E67169"/>
    <w:rsid w:val="00E70CEA"/>
    <w:rsid w:val="00E72A66"/>
    <w:rsid w:val="00E738E2"/>
    <w:rsid w:val="00E75147"/>
    <w:rsid w:val="00E75FA1"/>
    <w:rsid w:val="00E76415"/>
    <w:rsid w:val="00E809C9"/>
    <w:rsid w:val="00E83A1B"/>
    <w:rsid w:val="00E83E79"/>
    <w:rsid w:val="00E85DE5"/>
    <w:rsid w:val="00E87002"/>
    <w:rsid w:val="00E92CA1"/>
    <w:rsid w:val="00E95F01"/>
    <w:rsid w:val="00E97789"/>
    <w:rsid w:val="00EA0187"/>
    <w:rsid w:val="00EA2031"/>
    <w:rsid w:val="00EA3D55"/>
    <w:rsid w:val="00EA727A"/>
    <w:rsid w:val="00EB12FC"/>
    <w:rsid w:val="00EB353C"/>
    <w:rsid w:val="00EB3E0A"/>
    <w:rsid w:val="00EC098C"/>
    <w:rsid w:val="00EC1065"/>
    <w:rsid w:val="00EC2BEA"/>
    <w:rsid w:val="00EC3BEF"/>
    <w:rsid w:val="00EC4294"/>
    <w:rsid w:val="00EC54BB"/>
    <w:rsid w:val="00ED4589"/>
    <w:rsid w:val="00ED4998"/>
    <w:rsid w:val="00ED4D02"/>
    <w:rsid w:val="00ED6724"/>
    <w:rsid w:val="00ED6A2C"/>
    <w:rsid w:val="00EE23FC"/>
    <w:rsid w:val="00EE3C37"/>
    <w:rsid w:val="00EE4EBC"/>
    <w:rsid w:val="00EE65CC"/>
    <w:rsid w:val="00EE740D"/>
    <w:rsid w:val="00EF39DA"/>
    <w:rsid w:val="00EF3E99"/>
    <w:rsid w:val="00EF54DB"/>
    <w:rsid w:val="00EF7553"/>
    <w:rsid w:val="00F01B62"/>
    <w:rsid w:val="00F0445E"/>
    <w:rsid w:val="00F050D0"/>
    <w:rsid w:val="00F050F6"/>
    <w:rsid w:val="00F10E4A"/>
    <w:rsid w:val="00F113C6"/>
    <w:rsid w:val="00F148AB"/>
    <w:rsid w:val="00F14C2F"/>
    <w:rsid w:val="00F15B54"/>
    <w:rsid w:val="00F212A3"/>
    <w:rsid w:val="00F21435"/>
    <w:rsid w:val="00F25554"/>
    <w:rsid w:val="00F26068"/>
    <w:rsid w:val="00F26665"/>
    <w:rsid w:val="00F306F9"/>
    <w:rsid w:val="00F30BC7"/>
    <w:rsid w:val="00F32BA6"/>
    <w:rsid w:val="00F33FDC"/>
    <w:rsid w:val="00F36232"/>
    <w:rsid w:val="00F405FB"/>
    <w:rsid w:val="00F41E6F"/>
    <w:rsid w:val="00F435D0"/>
    <w:rsid w:val="00F47626"/>
    <w:rsid w:val="00F51EC3"/>
    <w:rsid w:val="00F520E4"/>
    <w:rsid w:val="00F55743"/>
    <w:rsid w:val="00F55FCE"/>
    <w:rsid w:val="00F56AEE"/>
    <w:rsid w:val="00F56CD7"/>
    <w:rsid w:val="00F60518"/>
    <w:rsid w:val="00F60F87"/>
    <w:rsid w:val="00F61E7F"/>
    <w:rsid w:val="00F62F54"/>
    <w:rsid w:val="00F63E7C"/>
    <w:rsid w:val="00F6479C"/>
    <w:rsid w:val="00F64DBD"/>
    <w:rsid w:val="00F727B3"/>
    <w:rsid w:val="00F732C6"/>
    <w:rsid w:val="00F75F66"/>
    <w:rsid w:val="00F81C58"/>
    <w:rsid w:val="00F8300B"/>
    <w:rsid w:val="00F860FE"/>
    <w:rsid w:val="00F864CB"/>
    <w:rsid w:val="00F868AE"/>
    <w:rsid w:val="00F87AF2"/>
    <w:rsid w:val="00F87C97"/>
    <w:rsid w:val="00F91AD3"/>
    <w:rsid w:val="00F94D7C"/>
    <w:rsid w:val="00F94F83"/>
    <w:rsid w:val="00F95052"/>
    <w:rsid w:val="00FA0952"/>
    <w:rsid w:val="00FA1816"/>
    <w:rsid w:val="00FA1851"/>
    <w:rsid w:val="00FA73E2"/>
    <w:rsid w:val="00FA77E1"/>
    <w:rsid w:val="00FA7946"/>
    <w:rsid w:val="00FA7C41"/>
    <w:rsid w:val="00FB461B"/>
    <w:rsid w:val="00FB7C88"/>
    <w:rsid w:val="00FB7FDE"/>
    <w:rsid w:val="00FC0274"/>
    <w:rsid w:val="00FD088C"/>
    <w:rsid w:val="00FD2DCC"/>
    <w:rsid w:val="00FD6992"/>
    <w:rsid w:val="00FD73F6"/>
    <w:rsid w:val="00FE0688"/>
    <w:rsid w:val="00FE1C18"/>
    <w:rsid w:val="00FE2499"/>
    <w:rsid w:val="00FE447F"/>
    <w:rsid w:val="00FE56B3"/>
    <w:rsid w:val="00FF0586"/>
    <w:rsid w:val="00FF3A08"/>
    <w:rsid w:val="00FF3BDD"/>
    <w:rsid w:val="00FF5719"/>
    <w:rsid w:val="00FF6269"/>
    <w:rsid w:val="00FF72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4670"/>
    <w:pPr>
      <w:spacing w:after="120"/>
    </w:pPr>
    <w:rPr>
      <w:szCs w:val="24"/>
    </w:rPr>
  </w:style>
  <w:style w:type="character" w:customStyle="1" w:styleId="BodyTextChar">
    <w:name w:val="Body Text Char"/>
    <w:link w:val="BodyText"/>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unhideWhenUsed/>
    <w:rsid w:val="00BC35F4"/>
    <w:rPr>
      <w:sz w:val="20"/>
    </w:rPr>
  </w:style>
  <w:style w:type="character" w:customStyle="1" w:styleId="FootnoteTextChar">
    <w:name w:val="Footnote Text Char"/>
    <w:link w:val="FootnoteText"/>
    <w:uiPriority w:val="99"/>
    <w:rsid w:val="00BC35F4"/>
    <w:rPr>
      <w:rFonts w:ascii="Times New Roman" w:eastAsia="Times New Roman" w:hAnsi="Times New Roman"/>
      <w:lang w:val="en-GB"/>
    </w:rPr>
  </w:style>
  <w:style w:type="character" w:styleId="FootnoteReference">
    <w:name w:val="footnote reference"/>
    <w:uiPriority w:val="99"/>
    <w:semiHidden/>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34"/>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en-GB"/>
    </w:rPr>
  </w:style>
  <w:style w:type="paragraph" w:styleId="Heading2">
    <w:name w:val="heading 2"/>
    <w:basedOn w:val="Normal"/>
    <w:next w:val="Normal"/>
    <w:link w:val="Heading2Char"/>
    <w:uiPriority w:val="9"/>
    <w:semiHidden/>
    <w:unhideWhenUsed/>
    <w:qFormat/>
    <w:rsid w:val="00D0082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4670"/>
    <w:pPr>
      <w:spacing w:after="120"/>
    </w:pPr>
    <w:rPr>
      <w:szCs w:val="24"/>
    </w:rPr>
  </w:style>
  <w:style w:type="character" w:customStyle="1" w:styleId="BodyTextChar">
    <w:name w:val="Body Text Char"/>
    <w:link w:val="BodyText"/>
    <w:rsid w:val="00574670"/>
    <w:rPr>
      <w:rFonts w:ascii="Times New Roman" w:eastAsia="Times New Roman" w:hAnsi="Times New Roman" w:cs="Times New Roman"/>
      <w:sz w:val="24"/>
      <w:szCs w:val="24"/>
    </w:rPr>
  </w:style>
  <w:style w:type="paragraph" w:styleId="NormalWeb">
    <w:name w:val="Normal (Web)"/>
    <w:basedOn w:val="Normal"/>
    <w:uiPriority w:val="99"/>
    <w:semiHidden/>
    <w:unhideWhenUsed/>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unhideWhenUsed/>
    <w:rsid w:val="00283A32"/>
    <w:rPr>
      <w:rFonts w:ascii="Tahoma" w:hAnsi="Tahoma"/>
      <w:sz w:val="16"/>
      <w:szCs w:val="16"/>
    </w:rPr>
  </w:style>
  <w:style w:type="character" w:customStyle="1" w:styleId="BalloonTextChar">
    <w:name w:val="Balloon Text Char"/>
    <w:link w:val="BalloonText"/>
    <w:uiPriority w:val="99"/>
    <w:semiHidden/>
    <w:rsid w:val="00283A32"/>
    <w:rPr>
      <w:rFonts w:ascii="Tahoma" w:eastAsia="Times New Roman" w:hAnsi="Tahoma" w:cs="Tahoma"/>
      <w:sz w:val="16"/>
      <w:szCs w:val="16"/>
      <w:lang w:val="en-GB"/>
    </w:rPr>
  </w:style>
  <w:style w:type="paragraph" w:customStyle="1" w:styleId="Default">
    <w:name w:val="Default"/>
    <w:rsid w:val="00A16FB0"/>
    <w:pPr>
      <w:autoSpaceDE w:val="0"/>
      <w:autoSpaceDN w:val="0"/>
      <w:adjustRightInd w:val="0"/>
    </w:pPr>
    <w:rPr>
      <w:rFonts w:ascii="Garamond" w:hAnsi="Garamond" w:cs="Garamond"/>
      <w:color w:val="000000"/>
      <w:sz w:val="24"/>
      <w:szCs w:val="24"/>
    </w:rPr>
  </w:style>
  <w:style w:type="paragraph" w:styleId="FootnoteText">
    <w:name w:val="footnote text"/>
    <w:basedOn w:val="Normal"/>
    <w:link w:val="FootnoteTextChar"/>
    <w:uiPriority w:val="99"/>
    <w:semiHidden/>
    <w:unhideWhenUsed/>
    <w:rsid w:val="00BC35F4"/>
    <w:rPr>
      <w:sz w:val="20"/>
    </w:rPr>
  </w:style>
  <w:style w:type="character" w:customStyle="1" w:styleId="FootnoteTextChar">
    <w:name w:val="Footnote Text Char"/>
    <w:link w:val="FootnoteText"/>
    <w:uiPriority w:val="99"/>
    <w:semiHidden/>
    <w:rsid w:val="00BC35F4"/>
    <w:rPr>
      <w:rFonts w:ascii="Times New Roman" w:eastAsia="Times New Roman" w:hAnsi="Times New Roman"/>
      <w:lang w:val="en-GB"/>
    </w:rPr>
  </w:style>
  <w:style w:type="character" w:styleId="FootnoteReference">
    <w:name w:val="footnote reference"/>
    <w:uiPriority w:val="99"/>
    <w:semiHidden/>
    <w:unhideWhenUsed/>
    <w:rsid w:val="00BC35F4"/>
    <w:rPr>
      <w:vertAlign w:val="superscript"/>
    </w:rPr>
  </w:style>
  <w:style w:type="paragraph" w:styleId="Header">
    <w:name w:val="header"/>
    <w:basedOn w:val="Normal"/>
    <w:link w:val="HeaderChar"/>
    <w:uiPriority w:val="99"/>
    <w:unhideWhenUsed/>
    <w:rsid w:val="00BF1491"/>
    <w:pPr>
      <w:tabs>
        <w:tab w:val="center" w:pos="4680"/>
        <w:tab w:val="right" w:pos="9360"/>
      </w:tabs>
    </w:pPr>
  </w:style>
  <w:style w:type="character" w:customStyle="1" w:styleId="HeaderChar">
    <w:name w:val="Header Char"/>
    <w:link w:val="Header"/>
    <w:uiPriority w:val="99"/>
    <w:rsid w:val="00BF1491"/>
    <w:rPr>
      <w:rFonts w:ascii="Times New Roman" w:eastAsia="Times New Roman" w:hAnsi="Times New Roman"/>
      <w:sz w:val="24"/>
      <w:lang w:val="en-GB"/>
    </w:rPr>
  </w:style>
  <w:style w:type="paragraph" w:styleId="Footer">
    <w:name w:val="footer"/>
    <w:basedOn w:val="Normal"/>
    <w:link w:val="FooterChar"/>
    <w:uiPriority w:val="99"/>
    <w:unhideWhenUsed/>
    <w:rsid w:val="00BF1491"/>
    <w:pPr>
      <w:tabs>
        <w:tab w:val="center" w:pos="4680"/>
        <w:tab w:val="right" w:pos="9360"/>
      </w:tabs>
    </w:pPr>
  </w:style>
  <w:style w:type="character" w:customStyle="1" w:styleId="FooterChar">
    <w:name w:val="Footer Char"/>
    <w:link w:val="Footer"/>
    <w:uiPriority w:val="99"/>
    <w:rsid w:val="00BF1491"/>
    <w:rPr>
      <w:rFonts w:ascii="Times New Roman" w:eastAsia="Times New Roman" w:hAnsi="Times New Roman"/>
      <w:sz w:val="24"/>
      <w:lang w:val="en-GB"/>
    </w:rPr>
  </w:style>
  <w:style w:type="character" w:styleId="CommentReference">
    <w:name w:val="annotation reference"/>
    <w:uiPriority w:val="99"/>
    <w:semiHidden/>
    <w:unhideWhenUsed/>
    <w:rsid w:val="005A7C20"/>
    <w:rPr>
      <w:sz w:val="16"/>
      <w:szCs w:val="16"/>
    </w:rPr>
  </w:style>
  <w:style w:type="paragraph" w:styleId="CommentText">
    <w:name w:val="annotation text"/>
    <w:basedOn w:val="Normal"/>
    <w:link w:val="CommentTextChar"/>
    <w:uiPriority w:val="99"/>
    <w:semiHidden/>
    <w:unhideWhenUsed/>
    <w:rsid w:val="005A7C20"/>
    <w:rPr>
      <w:sz w:val="20"/>
    </w:rPr>
  </w:style>
  <w:style w:type="character" w:customStyle="1" w:styleId="CommentTextChar">
    <w:name w:val="Comment Text Char"/>
    <w:link w:val="CommentText"/>
    <w:uiPriority w:val="99"/>
    <w:semiHidden/>
    <w:rsid w:val="005A7C2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5A7C20"/>
    <w:rPr>
      <w:b/>
      <w:bCs/>
    </w:rPr>
  </w:style>
  <w:style w:type="character" w:customStyle="1" w:styleId="CommentSubjectChar">
    <w:name w:val="Comment Subject Char"/>
    <w:link w:val="CommentSubject"/>
    <w:uiPriority w:val="99"/>
    <w:semiHidden/>
    <w:rsid w:val="005A7C20"/>
    <w:rPr>
      <w:rFonts w:ascii="Times New Roman" w:eastAsia="Times New Roman" w:hAnsi="Times New Roman"/>
      <w:b/>
      <w:bCs/>
      <w:lang w:val="en-GB"/>
    </w:rPr>
  </w:style>
  <w:style w:type="character" w:styleId="Hyperlink">
    <w:name w:val="Hyperlink"/>
    <w:uiPriority w:val="99"/>
    <w:semiHidden/>
    <w:unhideWhenUsed/>
    <w:rsid w:val="002E0897"/>
    <w:rPr>
      <w:color w:val="0000FF"/>
      <w:u w:val="single"/>
    </w:rPr>
  </w:style>
  <w:style w:type="paragraph" w:styleId="EndnoteText">
    <w:name w:val="endnote text"/>
    <w:basedOn w:val="Normal"/>
    <w:link w:val="EndnoteTextChar"/>
    <w:uiPriority w:val="99"/>
    <w:semiHidden/>
    <w:unhideWhenUsed/>
    <w:rsid w:val="00B32328"/>
    <w:rPr>
      <w:sz w:val="20"/>
    </w:rPr>
  </w:style>
  <w:style w:type="character" w:customStyle="1" w:styleId="EndnoteTextChar">
    <w:name w:val="Endnote Text Char"/>
    <w:link w:val="EndnoteText"/>
    <w:uiPriority w:val="99"/>
    <w:semiHidden/>
    <w:rsid w:val="00B32328"/>
    <w:rPr>
      <w:rFonts w:ascii="Times New Roman" w:eastAsia="Times New Roman" w:hAnsi="Times New Roman"/>
      <w:lang w:eastAsia="en-US"/>
    </w:rPr>
  </w:style>
  <w:style w:type="character" w:styleId="EndnoteReference">
    <w:name w:val="endnote reference"/>
    <w:uiPriority w:val="99"/>
    <w:semiHidden/>
    <w:unhideWhenUsed/>
    <w:rsid w:val="00B32328"/>
    <w:rPr>
      <w:vertAlign w:val="superscript"/>
    </w:rPr>
  </w:style>
  <w:style w:type="table" w:customStyle="1" w:styleId="LightList-Accent11">
    <w:name w:val="Light List - Accent 11"/>
    <w:basedOn w:val="TableNormal"/>
    <w:uiPriority w:val="61"/>
    <w:rsid w:val="00B8431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basedOn w:val="DefaultParagraphFont"/>
    <w:uiPriority w:val="22"/>
    <w:qFormat/>
    <w:rsid w:val="00CB0D2E"/>
    <w:rPr>
      <w:b/>
      <w:bCs/>
    </w:rPr>
  </w:style>
  <w:style w:type="paragraph" w:styleId="ListParagraph">
    <w:name w:val="List Paragraph"/>
    <w:basedOn w:val="Normal"/>
    <w:uiPriority w:val="34"/>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rPr>
  </w:style>
  <w:style w:type="table" w:styleId="TableGrid">
    <w:name w:val="Table Grid"/>
    <w:basedOn w:val="TableNormal"/>
    <w:uiPriority w:val="59"/>
    <w:rsid w:val="004E1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539B"/>
    <w:rPr>
      <w:color w:val="800080"/>
      <w:u w:val="single"/>
    </w:rPr>
  </w:style>
  <w:style w:type="paragraph" w:customStyle="1" w:styleId="xl65">
    <w:name w:val="xl65"/>
    <w:basedOn w:val="Normal"/>
    <w:rsid w:val="002F539B"/>
    <w:pPr>
      <w:spacing w:before="100" w:beforeAutospacing="1" w:after="100" w:afterAutospacing="1"/>
    </w:pPr>
    <w:rPr>
      <w:szCs w:val="24"/>
      <w:lang w:eastAsia="en-GB"/>
    </w:rPr>
  </w:style>
  <w:style w:type="paragraph" w:customStyle="1" w:styleId="xl66">
    <w:name w:val="xl66"/>
    <w:basedOn w:val="Normal"/>
    <w:rsid w:val="002F539B"/>
    <w:pPr>
      <w:spacing w:before="100" w:beforeAutospacing="1" w:after="100" w:afterAutospacing="1"/>
    </w:pPr>
    <w:rPr>
      <w:szCs w:val="24"/>
      <w:lang w:eastAsia="en-GB"/>
    </w:rPr>
  </w:style>
  <w:style w:type="paragraph" w:customStyle="1" w:styleId="xl67">
    <w:name w:val="xl67"/>
    <w:basedOn w:val="Normal"/>
    <w:rsid w:val="002F539B"/>
    <w:pPr>
      <w:spacing w:before="100" w:beforeAutospacing="1" w:after="100" w:afterAutospacing="1"/>
    </w:pPr>
    <w:rPr>
      <w:szCs w:val="24"/>
      <w:lang w:eastAsia="en-GB"/>
    </w:rPr>
  </w:style>
  <w:style w:type="paragraph" w:customStyle="1" w:styleId="xl68">
    <w:name w:val="xl68"/>
    <w:basedOn w:val="Normal"/>
    <w:rsid w:val="002F539B"/>
    <w:pPr>
      <w:shd w:val="clear" w:color="000000" w:fill="00B0F0"/>
      <w:spacing w:before="100" w:beforeAutospacing="1" w:after="100" w:afterAutospacing="1"/>
    </w:pPr>
    <w:rPr>
      <w:szCs w:val="24"/>
      <w:lang w:eastAsia="en-GB"/>
    </w:rPr>
  </w:style>
  <w:style w:type="paragraph" w:customStyle="1" w:styleId="xl69">
    <w:name w:val="xl69"/>
    <w:basedOn w:val="Normal"/>
    <w:rsid w:val="002F539B"/>
    <w:pPr>
      <w:spacing w:before="100" w:beforeAutospacing="1" w:after="100" w:afterAutospacing="1"/>
    </w:pPr>
    <w:rPr>
      <w:szCs w:val="24"/>
      <w:lang w:eastAsia="en-GB"/>
    </w:rPr>
  </w:style>
  <w:style w:type="paragraph" w:customStyle="1" w:styleId="xl70">
    <w:name w:val="xl70"/>
    <w:basedOn w:val="Normal"/>
    <w:rsid w:val="002F539B"/>
    <w:pPr>
      <w:spacing w:before="100" w:beforeAutospacing="1" w:after="100" w:afterAutospacing="1"/>
      <w:jc w:val="right"/>
    </w:pPr>
    <w:rPr>
      <w:szCs w:val="24"/>
      <w:lang w:eastAsia="en-GB"/>
    </w:rPr>
  </w:style>
  <w:style w:type="paragraph" w:customStyle="1" w:styleId="xl71">
    <w:name w:val="xl71"/>
    <w:basedOn w:val="Normal"/>
    <w:rsid w:val="002F539B"/>
    <w:pPr>
      <w:spacing w:before="100" w:beforeAutospacing="1" w:after="100" w:afterAutospacing="1"/>
      <w:jc w:val="right"/>
    </w:pPr>
    <w:rPr>
      <w:szCs w:val="24"/>
      <w:lang w:eastAsia="en-GB"/>
    </w:rPr>
  </w:style>
  <w:style w:type="character" w:customStyle="1" w:styleId="Heading2Char">
    <w:name w:val="Heading 2 Char"/>
    <w:basedOn w:val="DefaultParagraphFont"/>
    <w:link w:val="Heading2"/>
    <w:uiPriority w:val="9"/>
    <w:semiHidden/>
    <w:rsid w:val="00D00827"/>
    <w:rPr>
      <w:rFonts w:asciiTheme="majorHAnsi" w:eastAsiaTheme="majorEastAsia" w:hAnsiTheme="majorHAnsi" w:cstheme="majorBidi"/>
      <w:b/>
      <w:bCs/>
      <w:color w:val="4F81BD" w:themeColor="accent1"/>
      <w:sz w:val="26"/>
      <w:szCs w:val="26"/>
      <w:lang w:val="en-GB"/>
    </w:rPr>
  </w:style>
  <w:style w:type="paragraph" w:customStyle="1" w:styleId="xl64">
    <w:name w:val="xl64"/>
    <w:basedOn w:val="Normal"/>
    <w:rsid w:val="009B0D36"/>
    <w:pPr>
      <w:pBdr>
        <w:top w:val="single" w:sz="8" w:space="0" w:color="4F81BD"/>
        <w:left w:val="single" w:sz="8" w:space="0" w:color="4F81BD"/>
      </w:pBdr>
      <w:shd w:val="clear" w:color="000000" w:fill="4F81BD"/>
      <w:spacing w:before="100" w:beforeAutospacing="1" w:after="100" w:afterAutospacing="1"/>
      <w:textAlignment w:val="center"/>
    </w:pPr>
    <w:rPr>
      <w:rFonts w:ascii="Garamond" w:hAnsi="Garamond"/>
      <w:b/>
      <w:bCs/>
      <w:color w:val="000000"/>
      <w:szCs w:val="24"/>
      <w:lang w:eastAsia="en-GB"/>
    </w:rPr>
  </w:style>
  <w:style w:type="paragraph" w:customStyle="1" w:styleId="xl72">
    <w:name w:val="xl72"/>
    <w:basedOn w:val="Normal"/>
    <w:rsid w:val="009B0D36"/>
    <w:pPr>
      <w:pBdr>
        <w:right w:val="single" w:sz="8" w:space="0" w:color="4F81BD"/>
      </w:pBdr>
      <w:spacing w:before="100" w:beforeAutospacing="1" w:after="100" w:afterAutospacing="1"/>
      <w:jc w:val="center"/>
      <w:textAlignment w:val="center"/>
    </w:pPr>
    <w:rPr>
      <w:rFonts w:ascii="Garamond" w:hAnsi="Garamond"/>
      <w:szCs w:val="24"/>
      <w:lang w:eastAsia="en-GB"/>
    </w:rPr>
  </w:style>
  <w:style w:type="paragraph" w:customStyle="1" w:styleId="xl73">
    <w:name w:val="xl73"/>
    <w:basedOn w:val="Normal"/>
    <w:rsid w:val="009B0D36"/>
    <w:pPr>
      <w:pBdr>
        <w:left w:val="single" w:sz="8" w:space="0" w:color="4F81BD"/>
      </w:pBdr>
      <w:spacing w:before="100" w:beforeAutospacing="1" w:after="100" w:afterAutospacing="1"/>
      <w:textAlignment w:val="center"/>
    </w:pPr>
    <w:rPr>
      <w:color w:val="0000FF"/>
      <w:szCs w:val="24"/>
      <w:u w:val="single"/>
      <w:lang w:eastAsia="en-GB"/>
    </w:rPr>
  </w:style>
  <w:style w:type="paragraph" w:customStyle="1" w:styleId="xl74">
    <w:name w:val="xl74"/>
    <w:basedOn w:val="Normal"/>
    <w:rsid w:val="009B0D36"/>
    <w:pPr>
      <w:pBdr>
        <w:top w:val="single" w:sz="8" w:space="0" w:color="4F81BD"/>
        <w:left w:val="single" w:sz="8" w:space="0" w:color="4F81BD"/>
        <w:bottom w:val="single" w:sz="8" w:space="0" w:color="4F81BD"/>
      </w:pBdr>
      <w:spacing w:before="100" w:beforeAutospacing="1" w:after="100" w:afterAutospacing="1"/>
      <w:textAlignment w:val="center"/>
    </w:pPr>
    <w:rPr>
      <w:color w:val="0000FF"/>
      <w:szCs w:val="24"/>
      <w:u w:val="single"/>
      <w:lang w:eastAsia="en-GB"/>
    </w:rPr>
  </w:style>
  <w:style w:type="paragraph" w:customStyle="1" w:styleId="xl75">
    <w:name w:val="xl75"/>
    <w:basedOn w:val="Normal"/>
    <w:rsid w:val="009B0D36"/>
    <w:pPr>
      <w:pBdr>
        <w:left w:val="single" w:sz="8" w:space="0" w:color="4F81BD"/>
        <w:bottom w:val="single" w:sz="8" w:space="0" w:color="4F81BD"/>
      </w:pBdr>
      <w:spacing w:before="100" w:beforeAutospacing="1" w:after="100" w:afterAutospacing="1"/>
      <w:textAlignment w:val="center"/>
    </w:pPr>
    <w:rPr>
      <w:b/>
      <w:bCs/>
      <w:color w:val="000000"/>
      <w:szCs w:val="24"/>
      <w:lang w:eastAsia="en-GB"/>
    </w:rPr>
  </w:style>
  <w:style w:type="paragraph" w:customStyle="1" w:styleId="xl76">
    <w:name w:val="xl76"/>
    <w:basedOn w:val="Normal"/>
    <w:rsid w:val="009B0D36"/>
    <w:pPr>
      <w:pBdr>
        <w:bottom w:val="single" w:sz="8" w:space="0" w:color="4F81BD"/>
      </w:pBdr>
      <w:spacing w:before="100" w:beforeAutospacing="1" w:after="100" w:afterAutospacing="1"/>
      <w:jc w:val="center"/>
      <w:textAlignment w:val="center"/>
    </w:pPr>
    <w:rPr>
      <w:color w:val="000000"/>
      <w:szCs w:val="24"/>
      <w:lang w:eastAsia="en-GB"/>
    </w:rPr>
  </w:style>
  <w:style w:type="paragraph" w:customStyle="1" w:styleId="xl77">
    <w:name w:val="xl77"/>
    <w:basedOn w:val="Normal"/>
    <w:rsid w:val="009B0D36"/>
    <w:pPr>
      <w:pBdr>
        <w:bottom w:val="single" w:sz="8" w:space="0" w:color="4F81BD"/>
        <w:right w:val="single" w:sz="8" w:space="0" w:color="4F81BD"/>
      </w:pBdr>
      <w:spacing w:before="100" w:beforeAutospacing="1" w:after="100" w:afterAutospacing="1"/>
      <w:jc w:val="center"/>
      <w:textAlignment w:val="center"/>
    </w:pPr>
    <w:rPr>
      <w:rFonts w:ascii="Garamond" w:hAnsi="Garamond"/>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518">
      <w:bodyDiv w:val="1"/>
      <w:marLeft w:val="0"/>
      <w:marRight w:val="0"/>
      <w:marTop w:val="0"/>
      <w:marBottom w:val="0"/>
      <w:divBdr>
        <w:top w:val="none" w:sz="0" w:space="0" w:color="auto"/>
        <w:left w:val="none" w:sz="0" w:space="0" w:color="auto"/>
        <w:bottom w:val="none" w:sz="0" w:space="0" w:color="auto"/>
        <w:right w:val="none" w:sz="0" w:space="0" w:color="auto"/>
      </w:divBdr>
    </w:div>
    <w:div w:id="75371562">
      <w:bodyDiv w:val="1"/>
      <w:marLeft w:val="0"/>
      <w:marRight w:val="0"/>
      <w:marTop w:val="0"/>
      <w:marBottom w:val="0"/>
      <w:divBdr>
        <w:top w:val="none" w:sz="0" w:space="0" w:color="auto"/>
        <w:left w:val="none" w:sz="0" w:space="0" w:color="auto"/>
        <w:bottom w:val="none" w:sz="0" w:space="0" w:color="auto"/>
        <w:right w:val="none" w:sz="0" w:space="0" w:color="auto"/>
      </w:divBdr>
    </w:div>
    <w:div w:id="91513982">
      <w:bodyDiv w:val="1"/>
      <w:marLeft w:val="0"/>
      <w:marRight w:val="0"/>
      <w:marTop w:val="0"/>
      <w:marBottom w:val="0"/>
      <w:divBdr>
        <w:top w:val="none" w:sz="0" w:space="0" w:color="auto"/>
        <w:left w:val="none" w:sz="0" w:space="0" w:color="auto"/>
        <w:bottom w:val="none" w:sz="0" w:space="0" w:color="auto"/>
        <w:right w:val="none" w:sz="0" w:space="0" w:color="auto"/>
      </w:divBdr>
    </w:div>
    <w:div w:id="174225573">
      <w:bodyDiv w:val="1"/>
      <w:marLeft w:val="0"/>
      <w:marRight w:val="0"/>
      <w:marTop w:val="0"/>
      <w:marBottom w:val="0"/>
      <w:divBdr>
        <w:top w:val="none" w:sz="0" w:space="0" w:color="auto"/>
        <w:left w:val="none" w:sz="0" w:space="0" w:color="auto"/>
        <w:bottom w:val="none" w:sz="0" w:space="0" w:color="auto"/>
        <w:right w:val="none" w:sz="0" w:space="0" w:color="auto"/>
      </w:divBdr>
    </w:div>
    <w:div w:id="268392870">
      <w:bodyDiv w:val="1"/>
      <w:marLeft w:val="0"/>
      <w:marRight w:val="0"/>
      <w:marTop w:val="0"/>
      <w:marBottom w:val="0"/>
      <w:divBdr>
        <w:top w:val="none" w:sz="0" w:space="0" w:color="auto"/>
        <w:left w:val="none" w:sz="0" w:space="0" w:color="auto"/>
        <w:bottom w:val="none" w:sz="0" w:space="0" w:color="auto"/>
        <w:right w:val="none" w:sz="0" w:space="0" w:color="auto"/>
      </w:divBdr>
    </w:div>
    <w:div w:id="275795864">
      <w:bodyDiv w:val="1"/>
      <w:marLeft w:val="0"/>
      <w:marRight w:val="0"/>
      <w:marTop w:val="0"/>
      <w:marBottom w:val="0"/>
      <w:divBdr>
        <w:top w:val="none" w:sz="0" w:space="0" w:color="auto"/>
        <w:left w:val="none" w:sz="0" w:space="0" w:color="auto"/>
        <w:bottom w:val="none" w:sz="0" w:space="0" w:color="auto"/>
        <w:right w:val="none" w:sz="0" w:space="0" w:color="auto"/>
      </w:divBdr>
    </w:div>
    <w:div w:id="300306384">
      <w:bodyDiv w:val="1"/>
      <w:marLeft w:val="0"/>
      <w:marRight w:val="0"/>
      <w:marTop w:val="0"/>
      <w:marBottom w:val="0"/>
      <w:divBdr>
        <w:top w:val="none" w:sz="0" w:space="0" w:color="auto"/>
        <w:left w:val="none" w:sz="0" w:space="0" w:color="auto"/>
        <w:bottom w:val="none" w:sz="0" w:space="0" w:color="auto"/>
        <w:right w:val="none" w:sz="0" w:space="0" w:color="auto"/>
      </w:divBdr>
    </w:div>
    <w:div w:id="328602433">
      <w:bodyDiv w:val="1"/>
      <w:marLeft w:val="0"/>
      <w:marRight w:val="0"/>
      <w:marTop w:val="0"/>
      <w:marBottom w:val="0"/>
      <w:divBdr>
        <w:top w:val="none" w:sz="0" w:space="0" w:color="auto"/>
        <w:left w:val="none" w:sz="0" w:space="0" w:color="auto"/>
        <w:bottom w:val="none" w:sz="0" w:space="0" w:color="auto"/>
        <w:right w:val="none" w:sz="0" w:space="0" w:color="auto"/>
      </w:divBdr>
    </w:div>
    <w:div w:id="420108136">
      <w:bodyDiv w:val="1"/>
      <w:marLeft w:val="0"/>
      <w:marRight w:val="0"/>
      <w:marTop w:val="0"/>
      <w:marBottom w:val="0"/>
      <w:divBdr>
        <w:top w:val="none" w:sz="0" w:space="0" w:color="auto"/>
        <w:left w:val="none" w:sz="0" w:space="0" w:color="auto"/>
        <w:bottom w:val="none" w:sz="0" w:space="0" w:color="auto"/>
        <w:right w:val="none" w:sz="0" w:space="0" w:color="auto"/>
      </w:divBdr>
    </w:div>
    <w:div w:id="788159074">
      <w:bodyDiv w:val="1"/>
      <w:marLeft w:val="0"/>
      <w:marRight w:val="0"/>
      <w:marTop w:val="0"/>
      <w:marBottom w:val="0"/>
      <w:divBdr>
        <w:top w:val="none" w:sz="0" w:space="0" w:color="auto"/>
        <w:left w:val="none" w:sz="0" w:space="0" w:color="auto"/>
        <w:bottom w:val="none" w:sz="0" w:space="0" w:color="auto"/>
        <w:right w:val="none" w:sz="0" w:space="0" w:color="auto"/>
      </w:divBdr>
    </w:div>
    <w:div w:id="792284245">
      <w:bodyDiv w:val="1"/>
      <w:marLeft w:val="0"/>
      <w:marRight w:val="0"/>
      <w:marTop w:val="0"/>
      <w:marBottom w:val="0"/>
      <w:divBdr>
        <w:top w:val="none" w:sz="0" w:space="0" w:color="auto"/>
        <w:left w:val="none" w:sz="0" w:space="0" w:color="auto"/>
        <w:bottom w:val="none" w:sz="0" w:space="0" w:color="auto"/>
        <w:right w:val="none" w:sz="0" w:space="0" w:color="auto"/>
      </w:divBdr>
    </w:div>
    <w:div w:id="832720230">
      <w:bodyDiv w:val="1"/>
      <w:marLeft w:val="0"/>
      <w:marRight w:val="0"/>
      <w:marTop w:val="0"/>
      <w:marBottom w:val="0"/>
      <w:divBdr>
        <w:top w:val="none" w:sz="0" w:space="0" w:color="auto"/>
        <w:left w:val="none" w:sz="0" w:space="0" w:color="auto"/>
        <w:bottom w:val="none" w:sz="0" w:space="0" w:color="auto"/>
        <w:right w:val="none" w:sz="0" w:space="0" w:color="auto"/>
      </w:divBdr>
    </w:div>
    <w:div w:id="838424777">
      <w:bodyDiv w:val="1"/>
      <w:marLeft w:val="0"/>
      <w:marRight w:val="0"/>
      <w:marTop w:val="0"/>
      <w:marBottom w:val="0"/>
      <w:divBdr>
        <w:top w:val="none" w:sz="0" w:space="0" w:color="auto"/>
        <w:left w:val="none" w:sz="0" w:space="0" w:color="auto"/>
        <w:bottom w:val="none" w:sz="0" w:space="0" w:color="auto"/>
        <w:right w:val="none" w:sz="0" w:space="0" w:color="auto"/>
      </w:divBdr>
    </w:div>
    <w:div w:id="866992372">
      <w:bodyDiv w:val="1"/>
      <w:marLeft w:val="0"/>
      <w:marRight w:val="0"/>
      <w:marTop w:val="0"/>
      <w:marBottom w:val="0"/>
      <w:divBdr>
        <w:top w:val="none" w:sz="0" w:space="0" w:color="auto"/>
        <w:left w:val="none" w:sz="0" w:space="0" w:color="auto"/>
        <w:bottom w:val="none" w:sz="0" w:space="0" w:color="auto"/>
        <w:right w:val="none" w:sz="0" w:space="0" w:color="auto"/>
      </w:divBdr>
    </w:div>
    <w:div w:id="894662929">
      <w:bodyDiv w:val="1"/>
      <w:marLeft w:val="0"/>
      <w:marRight w:val="0"/>
      <w:marTop w:val="0"/>
      <w:marBottom w:val="0"/>
      <w:divBdr>
        <w:top w:val="none" w:sz="0" w:space="0" w:color="auto"/>
        <w:left w:val="none" w:sz="0" w:space="0" w:color="auto"/>
        <w:bottom w:val="none" w:sz="0" w:space="0" w:color="auto"/>
        <w:right w:val="none" w:sz="0" w:space="0" w:color="auto"/>
      </w:divBdr>
    </w:div>
    <w:div w:id="895822757">
      <w:bodyDiv w:val="1"/>
      <w:marLeft w:val="0"/>
      <w:marRight w:val="0"/>
      <w:marTop w:val="0"/>
      <w:marBottom w:val="0"/>
      <w:divBdr>
        <w:top w:val="none" w:sz="0" w:space="0" w:color="auto"/>
        <w:left w:val="none" w:sz="0" w:space="0" w:color="auto"/>
        <w:bottom w:val="none" w:sz="0" w:space="0" w:color="auto"/>
        <w:right w:val="none" w:sz="0" w:space="0" w:color="auto"/>
      </w:divBdr>
    </w:div>
    <w:div w:id="899946742">
      <w:bodyDiv w:val="1"/>
      <w:marLeft w:val="0"/>
      <w:marRight w:val="0"/>
      <w:marTop w:val="0"/>
      <w:marBottom w:val="0"/>
      <w:divBdr>
        <w:top w:val="none" w:sz="0" w:space="0" w:color="auto"/>
        <w:left w:val="none" w:sz="0" w:space="0" w:color="auto"/>
        <w:bottom w:val="none" w:sz="0" w:space="0" w:color="auto"/>
        <w:right w:val="none" w:sz="0" w:space="0" w:color="auto"/>
      </w:divBdr>
    </w:div>
    <w:div w:id="998852353">
      <w:bodyDiv w:val="1"/>
      <w:marLeft w:val="0"/>
      <w:marRight w:val="0"/>
      <w:marTop w:val="0"/>
      <w:marBottom w:val="0"/>
      <w:divBdr>
        <w:top w:val="none" w:sz="0" w:space="0" w:color="auto"/>
        <w:left w:val="none" w:sz="0" w:space="0" w:color="auto"/>
        <w:bottom w:val="none" w:sz="0" w:space="0" w:color="auto"/>
        <w:right w:val="none" w:sz="0" w:space="0" w:color="auto"/>
      </w:divBdr>
    </w:div>
    <w:div w:id="1023091922">
      <w:bodyDiv w:val="1"/>
      <w:marLeft w:val="0"/>
      <w:marRight w:val="0"/>
      <w:marTop w:val="0"/>
      <w:marBottom w:val="0"/>
      <w:divBdr>
        <w:top w:val="none" w:sz="0" w:space="0" w:color="auto"/>
        <w:left w:val="none" w:sz="0" w:space="0" w:color="auto"/>
        <w:bottom w:val="none" w:sz="0" w:space="0" w:color="auto"/>
        <w:right w:val="none" w:sz="0" w:space="0" w:color="auto"/>
      </w:divBdr>
      <w:divsChild>
        <w:div w:id="117341748">
          <w:marLeft w:val="0"/>
          <w:marRight w:val="0"/>
          <w:marTop w:val="0"/>
          <w:marBottom w:val="0"/>
          <w:divBdr>
            <w:top w:val="none" w:sz="0" w:space="0" w:color="auto"/>
            <w:left w:val="none" w:sz="0" w:space="0" w:color="auto"/>
            <w:bottom w:val="none" w:sz="0" w:space="0" w:color="auto"/>
            <w:right w:val="none" w:sz="0" w:space="0" w:color="auto"/>
          </w:divBdr>
          <w:divsChild>
            <w:div w:id="2015766397">
              <w:marLeft w:val="0"/>
              <w:marRight w:val="0"/>
              <w:marTop w:val="0"/>
              <w:marBottom w:val="0"/>
              <w:divBdr>
                <w:top w:val="none" w:sz="0" w:space="0" w:color="auto"/>
                <w:left w:val="none" w:sz="0" w:space="0" w:color="auto"/>
                <w:bottom w:val="none" w:sz="0" w:space="0" w:color="auto"/>
                <w:right w:val="none" w:sz="0" w:space="0" w:color="auto"/>
              </w:divBdr>
              <w:divsChild>
                <w:div w:id="19865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2701">
      <w:bodyDiv w:val="1"/>
      <w:marLeft w:val="0"/>
      <w:marRight w:val="0"/>
      <w:marTop w:val="0"/>
      <w:marBottom w:val="0"/>
      <w:divBdr>
        <w:top w:val="none" w:sz="0" w:space="0" w:color="auto"/>
        <w:left w:val="none" w:sz="0" w:space="0" w:color="auto"/>
        <w:bottom w:val="none" w:sz="0" w:space="0" w:color="auto"/>
        <w:right w:val="none" w:sz="0" w:space="0" w:color="auto"/>
      </w:divBdr>
    </w:div>
    <w:div w:id="1038623597">
      <w:bodyDiv w:val="1"/>
      <w:marLeft w:val="0"/>
      <w:marRight w:val="0"/>
      <w:marTop w:val="0"/>
      <w:marBottom w:val="0"/>
      <w:divBdr>
        <w:top w:val="none" w:sz="0" w:space="0" w:color="auto"/>
        <w:left w:val="none" w:sz="0" w:space="0" w:color="auto"/>
        <w:bottom w:val="none" w:sz="0" w:space="0" w:color="auto"/>
        <w:right w:val="none" w:sz="0" w:space="0" w:color="auto"/>
      </w:divBdr>
    </w:div>
    <w:div w:id="1130518845">
      <w:bodyDiv w:val="1"/>
      <w:marLeft w:val="0"/>
      <w:marRight w:val="0"/>
      <w:marTop w:val="0"/>
      <w:marBottom w:val="0"/>
      <w:divBdr>
        <w:top w:val="none" w:sz="0" w:space="0" w:color="auto"/>
        <w:left w:val="none" w:sz="0" w:space="0" w:color="auto"/>
        <w:bottom w:val="none" w:sz="0" w:space="0" w:color="auto"/>
        <w:right w:val="none" w:sz="0" w:space="0" w:color="auto"/>
      </w:divBdr>
      <w:divsChild>
        <w:div w:id="1619482001">
          <w:marLeft w:val="0"/>
          <w:marRight w:val="0"/>
          <w:marTop w:val="0"/>
          <w:marBottom w:val="0"/>
          <w:divBdr>
            <w:top w:val="none" w:sz="0" w:space="0" w:color="auto"/>
            <w:left w:val="none" w:sz="0" w:space="0" w:color="auto"/>
            <w:bottom w:val="none" w:sz="0" w:space="0" w:color="auto"/>
            <w:right w:val="none" w:sz="0" w:space="0" w:color="auto"/>
          </w:divBdr>
          <w:divsChild>
            <w:div w:id="1495729909">
              <w:marLeft w:val="0"/>
              <w:marRight w:val="0"/>
              <w:marTop w:val="0"/>
              <w:marBottom w:val="0"/>
              <w:divBdr>
                <w:top w:val="none" w:sz="0" w:space="0" w:color="auto"/>
                <w:left w:val="none" w:sz="0" w:space="0" w:color="auto"/>
                <w:bottom w:val="none" w:sz="0" w:space="0" w:color="auto"/>
                <w:right w:val="none" w:sz="0" w:space="0" w:color="auto"/>
              </w:divBdr>
              <w:divsChild>
                <w:div w:id="6579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6118">
      <w:bodyDiv w:val="1"/>
      <w:marLeft w:val="0"/>
      <w:marRight w:val="0"/>
      <w:marTop w:val="0"/>
      <w:marBottom w:val="0"/>
      <w:divBdr>
        <w:top w:val="none" w:sz="0" w:space="0" w:color="auto"/>
        <w:left w:val="none" w:sz="0" w:space="0" w:color="auto"/>
        <w:bottom w:val="none" w:sz="0" w:space="0" w:color="auto"/>
        <w:right w:val="none" w:sz="0" w:space="0" w:color="auto"/>
      </w:divBdr>
    </w:div>
    <w:div w:id="1215510569">
      <w:bodyDiv w:val="1"/>
      <w:marLeft w:val="0"/>
      <w:marRight w:val="0"/>
      <w:marTop w:val="0"/>
      <w:marBottom w:val="0"/>
      <w:divBdr>
        <w:top w:val="none" w:sz="0" w:space="0" w:color="auto"/>
        <w:left w:val="none" w:sz="0" w:space="0" w:color="auto"/>
        <w:bottom w:val="none" w:sz="0" w:space="0" w:color="auto"/>
        <w:right w:val="none" w:sz="0" w:space="0" w:color="auto"/>
      </w:divBdr>
    </w:div>
    <w:div w:id="1265192568">
      <w:bodyDiv w:val="1"/>
      <w:marLeft w:val="0"/>
      <w:marRight w:val="0"/>
      <w:marTop w:val="0"/>
      <w:marBottom w:val="0"/>
      <w:divBdr>
        <w:top w:val="none" w:sz="0" w:space="0" w:color="auto"/>
        <w:left w:val="none" w:sz="0" w:space="0" w:color="auto"/>
        <w:bottom w:val="none" w:sz="0" w:space="0" w:color="auto"/>
        <w:right w:val="none" w:sz="0" w:space="0" w:color="auto"/>
      </w:divBdr>
    </w:div>
    <w:div w:id="1329476833">
      <w:bodyDiv w:val="1"/>
      <w:marLeft w:val="0"/>
      <w:marRight w:val="0"/>
      <w:marTop w:val="0"/>
      <w:marBottom w:val="0"/>
      <w:divBdr>
        <w:top w:val="none" w:sz="0" w:space="0" w:color="auto"/>
        <w:left w:val="none" w:sz="0" w:space="0" w:color="auto"/>
        <w:bottom w:val="none" w:sz="0" w:space="0" w:color="auto"/>
        <w:right w:val="none" w:sz="0" w:space="0" w:color="auto"/>
      </w:divBdr>
    </w:div>
    <w:div w:id="1533768415">
      <w:bodyDiv w:val="1"/>
      <w:marLeft w:val="0"/>
      <w:marRight w:val="0"/>
      <w:marTop w:val="0"/>
      <w:marBottom w:val="0"/>
      <w:divBdr>
        <w:top w:val="none" w:sz="0" w:space="0" w:color="auto"/>
        <w:left w:val="none" w:sz="0" w:space="0" w:color="auto"/>
        <w:bottom w:val="none" w:sz="0" w:space="0" w:color="auto"/>
        <w:right w:val="none" w:sz="0" w:space="0" w:color="auto"/>
      </w:divBdr>
    </w:div>
    <w:div w:id="1562474555">
      <w:bodyDiv w:val="1"/>
      <w:marLeft w:val="0"/>
      <w:marRight w:val="0"/>
      <w:marTop w:val="0"/>
      <w:marBottom w:val="0"/>
      <w:divBdr>
        <w:top w:val="none" w:sz="0" w:space="0" w:color="auto"/>
        <w:left w:val="none" w:sz="0" w:space="0" w:color="auto"/>
        <w:bottom w:val="none" w:sz="0" w:space="0" w:color="auto"/>
        <w:right w:val="none" w:sz="0" w:space="0" w:color="auto"/>
      </w:divBdr>
    </w:div>
    <w:div w:id="1649094319">
      <w:bodyDiv w:val="1"/>
      <w:marLeft w:val="0"/>
      <w:marRight w:val="0"/>
      <w:marTop w:val="0"/>
      <w:marBottom w:val="0"/>
      <w:divBdr>
        <w:top w:val="none" w:sz="0" w:space="0" w:color="auto"/>
        <w:left w:val="none" w:sz="0" w:space="0" w:color="auto"/>
        <w:bottom w:val="none" w:sz="0" w:space="0" w:color="auto"/>
        <w:right w:val="none" w:sz="0" w:space="0" w:color="auto"/>
      </w:divBdr>
    </w:div>
    <w:div w:id="1662732012">
      <w:bodyDiv w:val="1"/>
      <w:marLeft w:val="0"/>
      <w:marRight w:val="0"/>
      <w:marTop w:val="0"/>
      <w:marBottom w:val="0"/>
      <w:divBdr>
        <w:top w:val="none" w:sz="0" w:space="0" w:color="auto"/>
        <w:left w:val="none" w:sz="0" w:space="0" w:color="auto"/>
        <w:bottom w:val="none" w:sz="0" w:space="0" w:color="auto"/>
        <w:right w:val="none" w:sz="0" w:space="0" w:color="auto"/>
      </w:divBdr>
    </w:div>
    <w:div w:id="1790201478">
      <w:bodyDiv w:val="1"/>
      <w:marLeft w:val="0"/>
      <w:marRight w:val="0"/>
      <w:marTop w:val="0"/>
      <w:marBottom w:val="0"/>
      <w:divBdr>
        <w:top w:val="none" w:sz="0" w:space="0" w:color="auto"/>
        <w:left w:val="none" w:sz="0" w:space="0" w:color="auto"/>
        <w:bottom w:val="none" w:sz="0" w:space="0" w:color="auto"/>
        <w:right w:val="none" w:sz="0" w:space="0" w:color="auto"/>
      </w:divBdr>
    </w:div>
    <w:div w:id="1904026626">
      <w:bodyDiv w:val="1"/>
      <w:marLeft w:val="0"/>
      <w:marRight w:val="0"/>
      <w:marTop w:val="0"/>
      <w:marBottom w:val="0"/>
      <w:divBdr>
        <w:top w:val="none" w:sz="0" w:space="0" w:color="auto"/>
        <w:left w:val="none" w:sz="0" w:space="0" w:color="auto"/>
        <w:bottom w:val="none" w:sz="0" w:space="0" w:color="auto"/>
        <w:right w:val="none" w:sz="0" w:space="0" w:color="auto"/>
      </w:divBdr>
    </w:div>
    <w:div w:id="1945190708">
      <w:bodyDiv w:val="1"/>
      <w:marLeft w:val="0"/>
      <w:marRight w:val="0"/>
      <w:marTop w:val="0"/>
      <w:marBottom w:val="0"/>
      <w:divBdr>
        <w:top w:val="none" w:sz="0" w:space="0" w:color="auto"/>
        <w:left w:val="none" w:sz="0" w:space="0" w:color="auto"/>
        <w:bottom w:val="none" w:sz="0" w:space="0" w:color="auto"/>
        <w:right w:val="none" w:sz="0" w:space="0" w:color="auto"/>
      </w:divBdr>
    </w:div>
    <w:div w:id="1974627510">
      <w:bodyDiv w:val="1"/>
      <w:marLeft w:val="0"/>
      <w:marRight w:val="0"/>
      <w:marTop w:val="0"/>
      <w:marBottom w:val="0"/>
      <w:divBdr>
        <w:top w:val="none" w:sz="0" w:space="0" w:color="auto"/>
        <w:left w:val="none" w:sz="0" w:space="0" w:color="auto"/>
        <w:bottom w:val="none" w:sz="0" w:space="0" w:color="auto"/>
        <w:right w:val="none" w:sz="0" w:space="0" w:color="auto"/>
      </w:divBdr>
    </w:div>
    <w:div w:id="1991326251">
      <w:bodyDiv w:val="1"/>
      <w:marLeft w:val="0"/>
      <w:marRight w:val="0"/>
      <w:marTop w:val="0"/>
      <w:marBottom w:val="0"/>
      <w:divBdr>
        <w:top w:val="none" w:sz="0" w:space="0" w:color="auto"/>
        <w:left w:val="none" w:sz="0" w:space="0" w:color="auto"/>
        <w:bottom w:val="none" w:sz="0" w:space="0" w:color="auto"/>
        <w:right w:val="none" w:sz="0" w:space="0" w:color="auto"/>
      </w:divBdr>
    </w:div>
    <w:div w:id="2063405003">
      <w:bodyDiv w:val="1"/>
      <w:marLeft w:val="0"/>
      <w:marRight w:val="0"/>
      <w:marTop w:val="0"/>
      <w:marBottom w:val="0"/>
      <w:divBdr>
        <w:top w:val="none" w:sz="0" w:space="0" w:color="auto"/>
        <w:left w:val="none" w:sz="0" w:space="0" w:color="auto"/>
        <w:bottom w:val="none" w:sz="0" w:space="0" w:color="auto"/>
        <w:right w:val="none" w:sz="0" w:space="0" w:color="auto"/>
      </w:divBdr>
    </w:div>
    <w:div w:id="20684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1.xml"/><Relationship Id="rId26" Type="http://schemas.openxmlformats.org/officeDocument/2006/relationships/hyperlink" Target="http://en.wikipedia.org/wiki/Dagger_(typography)" TargetMode="Externa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en.wikipedia.org/wiki/Dagger_(typograph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worldheritageoutlook.iucn.org/hom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en.wikipedia.org/wiki/Dagger_(typography)"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en.wikipedia.org/wiki/Dagger_(typography)"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chart" Target="charts/chart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en.wikipedia.org/wiki/Dagger_(typography)" TargetMode="External"/><Relationship Id="rId27" Type="http://schemas.openxmlformats.org/officeDocument/2006/relationships/header" Target="header3.xml"/><Relationship Id="rId30" Type="http://schemas.openxmlformats.org/officeDocument/2006/relationships/footer" Target="footer5.xml"/><Relationship Id="rId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Home\My%20Documents\General\COP12\DRStatusRS\RSdata31Aug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ome\My%20Documents\General\COP12\DRStatusRS\RSdata31Aug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ome\My%20Documents\General\COP12\DRStatusRS\RSdata31Aug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Número acumulado de sitios Ramsar a lo largo de los años</a:t>
            </a:r>
          </a:p>
        </c:rich>
      </c:tx>
      <c:overlay val="0"/>
    </c:title>
    <c:autoTitleDeleted val="0"/>
    <c:plotArea>
      <c:layout/>
      <c:barChart>
        <c:barDir val="col"/>
        <c:grouping val="clustered"/>
        <c:varyColors val="0"/>
        <c:ser>
          <c:idx val="0"/>
          <c:order val="0"/>
          <c:invertIfNegative val="0"/>
          <c:cat>
            <c:strRef>
              <c:f>CumulativeNbperYear!$C$4:$C$44</c:f>
              <c:strCache>
                <c:ptCount val="41"/>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pt idx="39">
                  <c:v>2013</c:v>
                </c:pt>
                <c:pt idx="40">
                  <c:v>2014</c:v>
                </c:pt>
              </c:strCache>
            </c:strRef>
          </c:cat>
          <c:val>
            <c:numRef>
              <c:f>CumulativeNbperYear!$D$4:$D$44</c:f>
              <c:numCache>
                <c:formatCode>General</c:formatCode>
                <c:ptCount val="41"/>
                <c:pt idx="0">
                  <c:v>33</c:v>
                </c:pt>
                <c:pt idx="1">
                  <c:v>65</c:v>
                </c:pt>
                <c:pt idx="2">
                  <c:v>130</c:v>
                </c:pt>
                <c:pt idx="3">
                  <c:v>164</c:v>
                </c:pt>
                <c:pt idx="4">
                  <c:v>173</c:v>
                </c:pt>
                <c:pt idx="5">
                  <c:v>187</c:v>
                </c:pt>
                <c:pt idx="6">
                  <c:v>209</c:v>
                </c:pt>
                <c:pt idx="7">
                  <c:v>226</c:v>
                </c:pt>
                <c:pt idx="8">
                  <c:v>271</c:v>
                </c:pt>
                <c:pt idx="9">
                  <c:v>277</c:v>
                </c:pt>
                <c:pt idx="10">
                  <c:v>293</c:v>
                </c:pt>
                <c:pt idx="11">
                  <c:v>321</c:v>
                </c:pt>
                <c:pt idx="12">
                  <c:v>349</c:v>
                </c:pt>
                <c:pt idx="13">
                  <c:v>373</c:v>
                </c:pt>
                <c:pt idx="14">
                  <c:v>409</c:v>
                </c:pt>
                <c:pt idx="15">
                  <c:v>449</c:v>
                </c:pt>
                <c:pt idx="16">
                  <c:v>502</c:v>
                </c:pt>
                <c:pt idx="17">
                  <c:v>531</c:v>
                </c:pt>
                <c:pt idx="18">
                  <c:v>566</c:v>
                </c:pt>
                <c:pt idx="19">
                  <c:v>634</c:v>
                </c:pt>
                <c:pt idx="20">
                  <c:v>700</c:v>
                </c:pt>
                <c:pt idx="21">
                  <c:v>769</c:v>
                </c:pt>
                <c:pt idx="22">
                  <c:v>864</c:v>
                </c:pt>
                <c:pt idx="23">
                  <c:v>907</c:v>
                </c:pt>
                <c:pt idx="24">
                  <c:v>951</c:v>
                </c:pt>
                <c:pt idx="25">
                  <c:v>997</c:v>
                </c:pt>
                <c:pt idx="26">
                  <c:v>1053</c:v>
                </c:pt>
                <c:pt idx="27">
                  <c:v>1149</c:v>
                </c:pt>
                <c:pt idx="28">
                  <c:v>1267</c:v>
                </c:pt>
                <c:pt idx="29">
                  <c:v>1325</c:v>
                </c:pt>
                <c:pt idx="30">
                  <c:v>1469</c:v>
                </c:pt>
                <c:pt idx="31">
                  <c:v>1583</c:v>
                </c:pt>
                <c:pt idx="32">
                  <c:v>1639</c:v>
                </c:pt>
                <c:pt idx="33">
                  <c:v>1714</c:v>
                </c:pt>
                <c:pt idx="34">
                  <c:v>1835</c:v>
                </c:pt>
                <c:pt idx="35">
                  <c:v>1892</c:v>
                </c:pt>
                <c:pt idx="36">
                  <c:v>1944</c:v>
                </c:pt>
                <c:pt idx="37">
                  <c:v>1996</c:v>
                </c:pt>
                <c:pt idx="38">
                  <c:v>2072</c:v>
                </c:pt>
                <c:pt idx="39">
                  <c:v>2180</c:v>
                </c:pt>
                <c:pt idx="40">
                  <c:v>2188</c:v>
                </c:pt>
              </c:numCache>
            </c:numRef>
          </c:val>
        </c:ser>
        <c:dLbls>
          <c:showLegendKey val="0"/>
          <c:showVal val="0"/>
          <c:showCatName val="0"/>
          <c:showSerName val="0"/>
          <c:showPercent val="0"/>
          <c:showBubbleSize val="0"/>
        </c:dLbls>
        <c:gapWidth val="150"/>
        <c:axId val="179859456"/>
        <c:axId val="179710784"/>
      </c:barChart>
      <c:catAx>
        <c:axId val="179859456"/>
        <c:scaling>
          <c:orientation val="minMax"/>
        </c:scaling>
        <c:delete val="0"/>
        <c:axPos val="b"/>
        <c:majorTickMark val="out"/>
        <c:minorTickMark val="none"/>
        <c:tickLblPos val="nextTo"/>
        <c:crossAx val="179710784"/>
        <c:crosses val="autoZero"/>
        <c:auto val="1"/>
        <c:lblAlgn val="ctr"/>
        <c:lblOffset val="100"/>
        <c:noMultiLvlLbl val="0"/>
      </c:catAx>
      <c:valAx>
        <c:axId val="179710784"/>
        <c:scaling>
          <c:orientation val="minMax"/>
        </c:scaling>
        <c:delete val="0"/>
        <c:axPos val="l"/>
        <c:majorGridlines/>
        <c:numFmt formatCode="General" sourceLinked="1"/>
        <c:majorTickMark val="out"/>
        <c:minorTickMark val="none"/>
        <c:tickLblPos val="nextTo"/>
        <c:crossAx val="1798594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Número de sitios Ramsar con información desactualizada</a:t>
            </a:r>
          </a:p>
        </c:rich>
      </c:tx>
      <c:overlay val="0"/>
    </c:title>
    <c:autoTitleDeleted val="0"/>
    <c:plotArea>
      <c:layout/>
      <c:barChart>
        <c:barDir val="col"/>
        <c:grouping val="clustered"/>
        <c:varyColors val="0"/>
        <c:ser>
          <c:idx val="0"/>
          <c:order val="0"/>
          <c:tx>
            <c:strRef>
              <c:f>Histo_outdated!$A$4</c:f>
              <c:strCache>
                <c:ptCount val="1"/>
                <c:pt idx="0">
                  <c:v>Number of Ramsar Sites</c:v>
                </c:pt>
              </c:strCache>
            </c:strRef>
          </c:tx>
          <c:invertIfNegative val="0"/>
          <c:dLbls>
            <c:dLblPos val="outEnd"/>
            <c:showLegendKey val="0"/>
            <c:showVal val="1"/>
            <c:showCatName val="0"/>
            <c:showSerName val="0"/>
            <c:showPercent val="0"/>
            <c:showBubbleSize val="0"/>
            <c:showLeaderLines val="0"/>
          </c:dLbls>
          <c:cat>
            <c:strRef>
              <c:f>Histo_outdated!$B$2:$D$2</c:f>
              <c:strCache>
                <c:ptCount val="3"/>
                <c:pt idx="0">
                  <c:v>&gt; 6 years</c:v>
                </c:pt>
                <c:pt idx="1">
                  <c:v>&gt;12 years</c:v>
                </c:pt>
                <c:pt idx="2">
                  <c:v>&gt;18 years</c:v>
                </c:pt>
              </c:strCache>
            </c:strRef>
          </c:cat>
          <c:val>
            <c:numRef>
              <c:f>Histo_outdated!$B$4:$D$4</c:f>
              <c:numCache>
                <c:formatCode>General</c:formatCode>
                <c:ptCount val="3"/>
                <c:pt idx="0">
                  <c:v>745</c:v>
                </c:pt>
                <c:pt idx="1">
                  <c:v>540</c:v>
                </c:pt>
                <c:pt idx="2">
                  <c:v>185</c:v>
                </c:pt>
              </c:numCache>
            </c:numRef>
          </c:val>
        </c:ser>
        <c:dLbls>
          <c:showLegendKey val="0"/>
          <c:showVal val="0"/>
          <c:showCatName val="0"/>
          <c:showSerName val="0"/>
          <c:showPercent val="0"/>
          <c:showBubbleSize val="0"/>
        </c:dLbls>
        <c:gapWidth val="150"/>
        <c:axId val="179863040"/>
        <c:axId val="179712512"/>
      </c:barChart>
      <c:catAx>
        <c:axId val="179863040"/>
        <c:scaling>
          <c:orientation val="minMax"/>
        </c:scaling>
        <c:delete val="0"/>
        <c:axPos val="b"/>
        <c:title>
          <c:tx>
            <c:rich>
              <a:bodyPr/>
              <a:lstStyle/>
              <a:p>
                <a:pPr>
                  <a:defRPr/>
                </a:pPr>
                <a:r>
                  <a:rPr lang="en-US" baseline="0">
                    <a:solidFill>
                      <a:sysClr val="windowText" lastClr="000000"/>
                    </a:solidFill>
                  </a:rPr>
                  <a:t>Período transcurrido desde la última actualización de información sobre los sitios</a:t>
                </a:r>
                <a:endParaRPr lang="en-US"/>
              </a:p>
            </c:rich>
          </c:tx>
          <c:overlay val="0"/>
          <c:spPr>
            <a:solidFill>
              <a:schemeClr val="bg1"/>
            </a:solidFill>
          </c:spPr>
        </c:title>
        <c:majorTickMark val="out"/>
        <c:minorTickMark val="none"/>
        <c:tickLblPos val="nextTo"/>
        <c:crossAx val="179712512"/>
        <c:crosses val="autoZero"/>
        <c:auto val="1"/>
        <c:lblAlgn val="ctr"/>
        <c:lblOffset val="100"/>
        <c:noMultiLvlLbl val="0"/>
      </c:catAx>
      <c:valAx>
        <c:axId val="179712512"/>
        <c:scaling>
          <c:orientation val="minMax"/>
        </c:scaling>
        <c:delete val="0"/>
        <c:axPos val="l"/>
        <c:majorGridlines/>
        <c:title>
          <c:tx>
            <c:rich>
              <a:bodyPr rot="-5400000" vert="horz"/>
              <a:lstStyle/>
              <a:p>
                <a:pPr>
                  <a:defRPr/>
                </a:pPr>
                <a:r>
                  <a:rPr lang="en-US"/>
                  <a:t>Número de sitios Ramsar</a:t>
                </a:r>
              </a:p>
            </c:rich>
          </c:tx>
          <c:overlay val="0"/>
        </c:title>
        <c:numFmt formatCode="General" sourceLinked="1"/>
        <c:majorTickMark val="out"/>
        <c:minorTickMark val="none"/>
        <c:tickLblPos val="nextTo"/>
        <c:crossAx val="1798630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Número de sitios Ramsar en el Registro de Montreux a lo largo de los años</a:t>
            </a:r>
          </a:p>
        </c:rich>
      </c:tx>
      <c:overlay val="0"/>
    </c:title>
    <c:autoTitleDeleted val="0"/>
    <c:plotArea>
      <c:layout/>
      <c:lineChart>
        <c:grouping val="standard"/>
        <c:varyColors val="0"/>
        <c:ser>
          <c:idx val="0"/>
          <c:order val="0"/>
          <c:cat>
            <c:numRef>
              <c:f>Pivot_Montreux!$D$3:$D$27</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Pivot_Montreux!$G$3:$G$27</c:f>
              <c:numCache>
                <c:formatCode>General</c:formatCode>
                <c:ptCount val="25"/>
                <c:pt idx="0">
                  <c:v>43</c:v>
                </c:pt>
                <c:pt idx="1">
                  <c:v>42</c:v>
                </c:pt>
                <c:pt idx="2">
                  <c:v>42</c:v>
                </c:pt>
                <c:pt idx="3">
                  <c:v>61</c:v>
                </c:pt>
                <c:pt idx="4">
                  <c:v>62</c:v>
                </c:pt>
                <c:pt idx="5">
                  <c:v>63</c:v>
                </c:pt>
                <c:pt idx="6">
                  <c:v>60</c:v>
                </c:pt>
                <c:pt idx="7">
                  <c:v>60</c:v>
                </c:pt>
                <c:pt idx="8">
                  <c:v>60</c:v>
                </c:pt>
                <c:pt idx="9">
                  <c:v>57</c:v>
                </c:pt>
                <c:pt idx="10">
                  <c:v>55</c:v>
                </c:pt>
                <c:pt idx="11">
                  <c:v>57</c:v>
                </c:pt>
                <c:pt idx="12">
                  <c:v>55</c:v>
                </c:pt>
                <c:pt idx="13">
                  <c:v>52</c:v>
                </c:pt>
                <c:pt idx="14">
                  <c:v>52</c:v>
                </c:pt>
                <c:pt idx="15">
                  <c:v>54</c:v>
                </c:pt>
                <c:pt idx="16">
                  <c:v>55</c:v>
                </c:pt>
                <c:pt idx="17">
                  <c:v>54</c:v>
                </c:pt>
                <c:pt idx="18">
                  <c:v>52</c:v>
                </c:pt>
                <c:pt idx="19">
                  <c:v>47</c:v>
                </c:pt>
                <c:pt idx="20">
                  <c:v>48</c:v>
                </c:pt>
                <c:pt idx="21">
                  <c:v>48</c:v>
                </c:pt>
                <c:pt idx="22">
                  <c:v>48</c:v>
                </c:pt>
                <c:pt idx="23">
                  <c:v>48</c:v>
                </c:pt>
                <c:pt idx="24">
                  <c:v>47</c:v>
                </c:pt>
              </c:numCache>
            </c:numRef>
          </c:val>
          <c:smooth val="0"/>
        </c:ser>
        <c:dLbls>
          <c:showLegendKey val="0"/>
          <c:showVal val="0"/>
          <c:showCatName val="0"/>
          <c:showSerName val="0"/>
          <c:showPercent val="0"/>
          <c:showBubbleSize val="0"/>
        </c:dLbls>
        <c:marker val="1"/>
        <c:smooth val="0"/>
        <c:axId val="179859968"/>
        <c:axId val="179714240"/>
      </c:lineChart>
      <c:catAx>
        <c:axId val="179859968"/>
        <c:scaling>
          <c:orientation val="minMax"/>
        </c:scaling>
        <c:delete val="0"/>
        <c:axPos val="b"/>
        <c:numFmt formatCode="General" sourceLinked="1"/>
        <c:majorTickMark val="out"/>
        <c:minorTickMark val="none"/>
        <c:tickLblPos val="nextTo"/>
        <c:crossAx val="179714240"/>
        <c:crosses val="autoZero"/>
        <c:auto val="1"/>
        <c:lblAlgn val="ctr"/>
        <c:lblOffset val="100"/>
        <c:noMultiLvlLbl val="0"/>
      </c:catAx>
      <c:valAx>
        <c:axId val="179714240"/>
        <c:scaling>
          <c:orientation val="minMax"/>
          <c:min val="35"/>
        </c:scaling>
        <c:delete val="0"/>
        <c:axPos val="l"/>
        <c:majorGridlines/>
        <c:numFmt formatCode="General" sourceLinked="1"/>
        <c:majorTickMark val="out"/>
        <c:minorTickMark val="none"/>
        <c:tickLblPos val="nextTo"/>
        <c:crossAx val="17985996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85B89-1248-4D1D-BA68-425FE2E757EC}">
  <ds:schemaRefs>
    <ds:schemaRef ds:uri="http://schemas.openxmlformats.org/officeDocument/2006/bibliography"/>
  </ds:schemaRefs>
</ds:datastoreItem>
</file>

<file path=customXml/itemProps2.xml><?xml version="1.0" encoding="utf-8"?>
<ds:datastoreItem xmlns:ds="http://schemas.openxmlformats.org/officeDocument/2006/customXml" ds:itemID="{10B5639E-67DC-4C23-95CD-F579D6D36148}">
  <ds:schemaRefs>
    <ds:schemaRef ds:uri="http://schemas.openxmlformats.org/officeDocument/2006/bibliography"/>
  </ds:schemaRefs>
</ds:datastoreItem>
</file>

<file path=customXml/itemProps3.xml><?xml version="1.0" encoding="utf-8"?>
<ds:datastoreItem xmlns:ds="http://schemas.openxmlformats.org/officeDocument/2006/customXml" ds:itemID="{2C2E0EBC-FD30-413A-889B-BA6D73E0A63C}">
  <ds:schemaRefs>
    <ds:schemaRef ds:uri="http://schemas.openxmlformats.org/officeDocument/2006/bibliography"/>
  </ds:schemaRefs>
</ds:datastoreItem>
</file>

<file path=customXml/itemProps4.xml><?xml version="1.0" encoding="utf-8"?>
<ds:datastoreItem xmlns:ds="http://schemas.openxmlformats.org/officeDocument/2006/customXml" ds:itemID="{3A3244D9-3285-485E-A0D1-2ECCDD933266}">
  <ds:schemaRefs>
    <ds:schemaRef ds:uri="http://schemas.openxmlformats.org/officeDocument/2006/bibliography"/>
  </ds:schemaRefs>
</ds:datastoreItem>
</file>

<file path=customXml/itemProps5.xml><?xml version="1.0" encoding="utf-8"?>
<ds:datastoreItem xmlns:ds="http://schemas.openxmlformats.org/officeDocument/2006/customXml" ds:itemID="{AB0150F9-3CEA-40B7-B749-F4DBDC45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14344</Words>
  <Characters>81767</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95920</CharactersWithSpaces>
  <SharedDoc>false</SharedDoc>
  <HLinks>
    <vt:vector size="12" baseType="variant">
      <vt:variant>
        <vt:i4>6619140</vt:i4>
      </vt:variant>
      <vt:variant>
        <vt:i4>6</vt:i4>
      </vt:variant>
      <vt:variant>
        <vt:i4>0</vt:i4>
      </vt:variant>
      <vt:variant>
        <vt:i4>5</vt:i4>
      </vt:variant>
      <vt:variant>
        <vt:lpwstr>http://en.wikipedia.org/wiki/Dagger_(typography)</vt:lpwstr>
      </vt:variant>
      <vt:variant>
        <vt:lpwstr/>
      </vt:variant>
      <vt:variant>
        <vt:i4>6619140</vt:i4>
      </vt:variant>
      <vt:variant>
        <vt:i4>3</vt:i4>
      </vt:variant>
      <vt:variant>
        <vt:i4>0</vt:i4>
      </vt:variant>
      <vt:variant>
        <vt:i4>5</vt:i4>
      </vt:variant>
      <vt:variant>
        <vt:lpwstr>http://en.wikipedia.org/wiki/Dagger_(typography)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RAMSAR\ncd</dc:creator>
  <cp:lastModifiedBy>Ramsar\PowellR</cp:lastModifiedBy>
  <cp:revision>4</cp:revision>
  <cp:lastPrinted>2014-10-10T15:37:00Z</cp:lastPrinted>
  <dcterms:created xsi:type="dcterms:W3CDTF">2015-03-05T16:51:00Z</dcterms:created>
  <dcterms:modified xsi:type="dcterms:W3CDTF">2015-04-02T07:58:00Z</dcterms:modified>
</cp:coreProperties>
</file>