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33" w:rsidRPr="00EA5633" w:rsidRDefault="00EA5633" w:rsidP="00EA5633">
      <w:pPr>
        <w:jc w:val="center"/>
        <w:rPr>
          <w:rFonts w:asciiTheme="minorHAnsi" w:hAnsiTheme="minorHAnsi"/>
          <w:b/>
          <w:sz w:val="25"/>
          <w:szCs w:val="25"/>
          <w:lang w:val="es-ES_tradnl"/>
        </w:rPr>
      </w:pPr>
      <w:r w:rsidRPr="00EA5633">
        <w:rPr>
          <w:rFonts w:asciiTheme="minorHAnsi" w:hAnsiTheme="minorHAnsi"/>
          <w:noProof/>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-187960</wp:posOffset>
            </wp:positionV>
            <wp:extent cx="2219325" cy="955675"/>
            <wp:effectExtent l="19050" t="0" r="9525" b="0"/>
            <wp:wrapSquare wrapText="bothSides"/>
            <wp:docPr id="6"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9325" cy="955675"/>
                    </a:xfrm>
                    <a:prstGeom prst="rect">
                      <a:avLst/>
                    </a:prstGeom>
                    <a:noFill/>
                    <a:ln>
                      <a:noFill/>
                    </a:ln>
                  </pic:spPr>
                </pic:pic>
              </a:graphicData>
            </a:graphic>
          </wp:anchor>
        </w:drawing>
      </w:r>
      <w:r w:rsidRPr="00EA5633">
        <w:rPr>
          <w:rFonts w:asciiTheme="minorHAnsi" w:hAnsiTheme="minorHAnsi"/>
          <w:b/>
          <w:sz w:val="25"/>
          <w:szCs w:val="25"/>
          <w:lang w:val="es-ES_tradnl"/>
        </w:rPr>
        <w:t>12ª Reunión de la Conferencia de las Partes en la Convención sobre los Humedales (Ramsar, Irán, 1971)</w:t>
      </w:r>
    </w:p>
    <w:p w:rsidR="00EA5633" w:rsidRPr="00EA5633" w:rsidRDefault="00EA5633" w:rsidP="00EA5633">
      <w:pPr>
        <w:jc w:val="center"/>
        <w:rPr>
          <w:rFonts w:asciiTheme="minorHAnsi" w:hAnsiTheme="minorHAnsi"/>
          <w:sz w:val="25"/>
          <w:szCs w:val="25"/>
          <w:lang w:val="es-ES_tradnl"/>
        </w:rPr>
      </w:pPr>
    </w:p>
    <w:p w:rsidR="00EA5633" w:rsidRPr="00EA5633" w:rsidRDefault="00EA5633" w:rsidP="00EA5633">
      <w:pPr>
        <w:tabs>
          <w:tab w:val="left" w:pos="3828"/>
        </w:tabs>
        <w:jc w:val="center"/>
        <w:rPr>
          <w:rFonts w:asciiTheme="minorHAnsi" w:hAnsiTheme="minorHAnsi"/>
          <w:b/>
          <w:sz w:val="25"/>
          <w:szCs w:val="25"/>
          <w:lang w:val="es-ES_tradnl"/>
        </w:rPr>
      </w:pPr>
      <w:r w:rsidRPr="00EA5633">
        <w:rPr>
          <w:rFonts w:asciiTheme="minorHAnsi" w:hAnsiTheme="minorHAnsi"/>
          <w:b/>
          <w:sz w:val="25"/>
          <w:szCs w:val="25"/>
          <w:lang w:val="es-ES_tradnl"/>
        </w:rPr>
        <w:t>Punta del Este, Uruguay, 1 a 9 de junio de 2015</w:t>
      </w:r>
    </w:p>
    <w:p w:rsidR="00A60C55" w:rsidRPr="00115A9E" w:rsidRDefault="00A60C55">
      <w:pPr>
        <w:rPr>
          <w:lang w:val="es-ES_tradnl"/>
        </w:rPr>
      </w:pPr>
    </w:p>
    <w:p w:rsidR="00471803" w:rsidRPr="00115A9E" w:rsidRDefault="00471803">
      <w:pPr>
        <w:rPr>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0B2DC5" w:rsidRPr="00115A9E" w:rsidTr="000B2DC5">
        <w:tc>
          <w:tcPr>
            <w:tcW w:w="4528" w:type="dxa"/>
          </w:tcPr>
          <w:p w:rsidR="000B2DC5" w:rsidRPr="00115A9E" w:rsidRDefault="000B2DC5" w:rsidP="000B2DC5">
            <w:pPr>
              <w:rPr>
                <w:rFonts w:asciiTheme="minorHAnsi" w:hAnsiTheme="minorHAnsi"/>
                <w:b/>
                <w:sz w:val="25"/>
                <w:szCs w:val="25"/>
                <w:lang w:val="es-ES_tradnl"/>
              </w:rPr>
            </w:pPr>
          </w:p>
        </w:tc>
        <w:tc>
          <w:tcPr>
            <w:tcW w:w="4602" w:type="dxa"/>
          </w:tcPr>
          <w:p w:rsidR="000B2DC5" w:rsidRPr="00115A9E" w:rsidRDefault="000B2DC5" w:rsidP="00C412ED">
            <w:pPr>
              <w:jc w:val="right"/>
              <w:rPr>
                <w:rFonts w:asciiTheme="minorHAnsi" w:hAnsiTheme="minorHAnsi"/>
                <w:b/>
                <w:sz w:val="25"/>
                <w:szCs w:val="25"/>
                <w:lang w:val="es-ES_tradnl"/>
              </w:rPr>
            </w:pPr>
            <w:r w:rsidRPr="00115A9E">
              <w:rPr>
                <w:rFonts w:asciiTheme="minorHAnsi" w:hAnsiTheme="minorHAnsi"/>
                <w:b/>
                <w:sz w:val="25"/>
                <w:szCs w:val="25"/>
                <w:lang w:val="es-ES_tradnl"/>
              </w:rPr>
              <w:t xml:space="preserve">Ramsar </w:t>
            </w:r>
            <w:r w:rsidR="008A3C79" w:rsidRPr="00115A9E">
              <w:rPr>
                <w:rFonts w:asciiTheme="minorHAnsi" w:hAnsiTheme="minorHAnsi"/>
                <w:b/>
                <w:sz w:val="25"/>
                <w:szCs w:val="25"/>
                <w:lang w:val="es-ES_tradnl"/>
              </w:rPr>
              <w:t>C</w:t>
            </w:r>
            <w:r w:rsidRPr="00115A9E">
              <w:rPr>
                <w:rFonts w:asciiTheme="minorHAnsi" w:hAnsiTheme="minorHAnsi"/>
                <w:b/>
                <w:sz w:val="25"/>
                <w:szCs w:val="25"/>
                <w:lang w:val="es-ES_tradnl"/>
              </w:rPr>
              <w:t xml:space="preserve">OP12 </w:t>
            </w:r>
            <w:r w:rsidR="00C412ED" w:rsidRPr="00115A9E">
              <w:rPr>
                <w:rFonts w:asciiTheme="minorHAnsi" w:hAnsiTheme="minorHAnsi"/>
                <w:b/>
                <w:sz w:val="25"/>
                <w:szCs w:val="25"/>
                <w:lang w:val="es-ES_tradnl"/>
              </w:rPr>
              <w:t>DOC</w:t>
            </w:r>
            <w:r w:rsidR="002551B3" w:rsidRPr="00115A9E">
              <w:rPr>
                <w:rFonts w:asciiTheme="minorHAnsi" w:hAnsiTheme="minorHAnsi"/>
                <w:b/>
                <w:sz w:val="25"/>
                <w:szCs w:val="25"/>
                <w:lang w:val="es-ES_tradnl"/>
              </w:rPr>
              <w:t>.</w:t>
            </w:r>
            <w:r w:rsidR="00994B3E" w:rsidRPr="00115A9E">
              <w:rPr>
                <w:rFonts w:asciiTheme="minorHAnsi" w:hAnsiTheme="minorHAnsi"/>
                <w:b/>
                <w:sz w:val="25"/>
                <w:szCs w:val="25"/>
                <w:lang w:val="es-ES_tradnl"/>
              </w:rPr>
              <w:t>14</w:t>
            </w:r>
          </w:p>
        </w:tc>
      </w:tr>
    </w:tbl>
    <w:p w:rsidR="00471803" w:rsidRPr="00115A9E" w:rsidRDefault="00471803" w:rsidP="00F5103C">
      <w:pPr>
        <w:spacing w:line="240" w:lineRule="exact"/>
        <w:jc w:val="center"/>
        <w:rPr>
          <w:rFonts w:asciiTheme="minorHAnsi" w:eastAsiaTheme="minorHAnsi" w:hAnsiTheme="minorHAnsi" w:cs="Arial"/>
          <w:b/>
          <w:sz w:val="32"/>
          <w:szCs w:val="32"/>
          <w:lang w:val="es-ES_tradnl"/>
        </w:rPr>
      </w:pPr>
    </w:p>
    <w:p w:rsidR="008A3C79" w:rsidRPr="00115A9E" w:rsidRDefault="008A3C79" w:rsidP="00F5103C">
      <w:pPr>
        <w:spacing w:line="240" w:lineRule="exact"/>
        <w:jc w:val="center"/>
        <w:rPr>
          <w:rFonts w:asciiTheme="minorHAnsi" w:eastAsiaTheme="minorHAnsi" w:hAnsiTheme="minorHAnsi" w:cs="Arial"/>
          <w:b/>
          <w:sz w:val="32"/>
          <w:szCs w:val="32"/>
          <w:lang w:val="es-ES_tradnl"/>
        </w:rPr>
      </w:pPr>
    </w:p>
    <w:p w:rsidR="00471803" w:rsidRPr="00F5103C" w:rsidRDefault="00AF675E" w:rsidP="00F5103C">
      <w:pPr>
        <w:jc w:val="center"/>
        <w:rPr>
          <w:rFonts w:asciiTheme="minorHAnsi" w:eastAsiaTheme="minorHAnsi" w:hAnsiTheme="minorHAnsi" w:cs="Arial"/>
          <w:b/>
          <w:sz w:val="28"/>
          <w:szCs w:val="28"/>
        </w:rPr>
      </w:pPr>
      <w:r w:rsidRPr="00F5103C">
        <w:rPr>
          <w:rFonts w:asciiTheme="minorHAnsi" w:eastAsiaTheme="minorHAnsi" w:hAnsiTheme="minorHAnsi" w:cs="Arial"/>
          <w:b/>
          <w:sz w:val="28"/>
          <w:szCs w:val="28"/>
        </w:rPr>
        <w:t>Información de antecedentes sobre cuestiones financieras y presupuestarias</w:t>
      </w:r>
    </w:p>
    <w:p w:rsidR="008A3C79" w:rsidRPr="00115A9E" w:rsidRDefault="008A3C79" w:rsidP="00F5103C">
      <w:pPr>
        <w:spacing w:line="240" w:lineRule="exact"/>
        <w:jc w:val="center"/>
        <w:rPr>
          <w:rFonts w:asciiTheme="minorHAnsi" w:eastAsiaTheme="minorHAnsi" w:hAnsiTheme="minorHAnsi" w:cs="Arial"/>
          <w:b/>
          <w:sz w:val="32"/>
          <w:szCs w:val="32"/>
          <w:lang w:val="es-ES_tradnl"/>
        </w:rPr>
      </w:pPr>
    </w:p>
    <w:p w:rsidR="000B2DC5" w:rsidRPr="00115A9E" w:rsidRDefault="00AF675E" w:rsidP="008A3C79">
      <w:pPr>
        <w:pStyle w:val="ListParagraph"/>
        <w:numPr>
          <w:ilvl w:val="0"/>
          <w:numId w:val="1"/>
        </w:numPr>
        <w:ind w:left="426" w:hanging="426"/>
        <w:rPr>
          <w:rFonts w:asciiTheme="minorHAnsi" w:eastAsia="Batang" w:hAnsiTheme="minorHAnsi"/>
          <w:color w:val="000000"/>
          <w:sz w:val="22"/>
          <w:szCs w:val="22"/>
          <w:lang w:val="es-ES_tradnl" w:eastAsia="ko-KR"/>
        </w:rPr>
      </w:pPr>
      <w:r w:rsidRPr="00115A9E">
        <w:rPr>
          <w:rFonts w:asciiTheme="minorHAnsi" w:hAnsiTheme="minorHAnsi"/>
          <w:color w:val="000000"/>
          <w:sz w:val="22"/>
          <w:szCs w:val="22"/>
          <w:lang w:val="es-ES_tradnl"/>
        </w:rPr>
        <w:t>El Comité Permane</w:t>
      </w:r>
      <w:r w:rsidR="000D6FC1" w:rsidRPr="00115A9E">
        <w:rPr>
          <w:rFonts w:asciiTheme="minorHAnsi" w:hAnsiTheme="minorHAnsi"/>
          <w:color w:val="000000"/>
          <w:sz w:val="22"/>
          <w:szCs w:val="22"/>
          <w:lang w:val="es-ES_tradnl"/>
        </w:rPr>
        <w:t>n</w:t>
      </w:r>
      <w:r w:rsidRPr="00115A9E">
        <w:rPr>
          <w:rFonts w:asciiTheme="minorHAnsi" w:hAnsiTheme="minorHAnsi"/>
          <w:color w:val="000000"/>
          <w:sz w:val="22"/>
          <w:szCs w:val="22"/>
          <w:lang w:val="es-ES_tradnl"/>
        </w:rPr>
        <w:t xml:space="preserve">te, en su </w:t>
      </w:r>
      <w:r w:rsidR="00471803" w:rsidRPr="00115A9E">
        <w:rPr>
          <w:rFonts w:asciiTheme="minorHAnsi" w:hAnsiTheme="minorHAnsi"/>
          <w:color w:val="000000"/>
          <w:sz w:val="22"/>
          <w:szCs w:val="22"/>
          <w:lang w:val="es-ES_tradnl"/>
        </w:rPr>
        <w:t>4</w:t>
      </w:r>
      <w:r w:rsidR="00686074" w:rsidRPr="00115A9E">
        <w:rPr>
          <w:rFonts w:asciiTheme="minorHAnsi" w:hAnsiTheme="minorHAnsi"/>
          <w:color w:val="000000"/>
          <w:sz w:val="22"/>
          <w:szCs w:val="22"/>
          <w:lang w:val="es-ES_tradnl"/>
        </w:rPr>
        <w:t>8</w:t>
      </w:r>
      <w:r w:rsidRPr="00115A9E">
        <w:rPr>
          <w:rFonts w:asciiTheme="minorHAnsi" w:hAnsiTheme="minorHAnsi"/>
          <w:color w:val="000000"/>
          <w:sz w:val="22"/>
          <w:szCs w:val="22"/>
          <w:lang w:val="es-ES_tradnl"/>
        </w:rPr>
        <w:t>ª</w:t>
      </w:r>
      <w:r w:rsidR="00686074" w:rsidRPr="00115A9E">
        <w:rPr>
          <w:rFonts w:asciiTheme="minorHAnsi" w:hAnsiTheme="minorHAnsi"/>
          <w:color w:val="000000"/>
          <w:sz w:val="22"/>
          <w:szCs w:val="22"/>
          <w:lang w:val="es-ES_tradnl"/>
        </w:rPr>
        <w:t xml:space="preserve"> </w:t>
      </w:r>
      <w:r w:rsidRPr="00115A9E">
        <w:rPr>
          <w:rFonts w:asciiTheme="minorHAnsi" w:hAnsiTheme="minorHAnsi"/>
          <w:color w:val="000000"/>
          <w:sz w:val="22"/>
          <w:szCs w:val="22"/>
          <w:lang w:val="es-ES_tradnl"/>
        </w:rPr>
        <w:t xml:space="preserve">reunión </w:t>
      </w:r>
      <w:r w:rsidR="00471803" w:rsidRPr="00115A9E">
        <w:rPr>
          <w:rFonts w:asciiTheme="minorHAnsi" w:hAnsiTheme="minorHAnsi"/>
          <w:color w:val="000000"/>
          <w:sz w:val="22"/>
          <w:szCs w:val="22"/>
          <w:lang w:val="es-ES_tradnl"/>
        </w:rPr>
        <w:t>(SC4</w:t>
      </w:r>
      <w:r w:rsidR="00686074" w:rsidRPr="00115A9E">
        <w:rPr>
          <w:rFonts w:asciiTheme="minorHAnsi" w:hAnsiTheme="minorHAnsi"/>
          <w:color w:val="000000"/>
          <w:sz w:val="22"/>
          <w:szCs w:val="22"/>
          <w:lang w:val="es-ES_tradnl"/>
        </w:rPr>
        <w:t>8</w:t>
      </w:r>
      <w:r w:rsidR="00471803" w:rsidRPr="00115A9E">
        <w:rPr>
          <w:rFonts w:asciiTheme="minorHAnsi" w:hAnsiTheme="minorHAnsi"/>
          <w:color w:val="000000"/>
          <w:sz w:val="22"/>
          <w:szCs w:val="22"/>
          <w:lang w:val="es-ES_tradnl"/>
        </w:rPr>
        <w:t>),</w:t>
      </w:r>
      <w:r w:rsidR="00471803" w:rsidRPr="00115A9E">
        <w:rPr>
          <w:rStyle w:val="Strong"/>
          <w:rFonts w:asciiTheme="minorHAnsi" w:hAnsiTheme="minorHAnsi"/>
          <w:b w:val="0"/>
          <w:sz w:val="22"/>
          <w:szCs w:val="22"/>
          <w:lang w:val="es-ES_tradnl"/>
        </w:rPr>
        <w:t xml:space="preserve"> </w:t>
      </w:r>
      <w:r w:rsidRPr="00115A9E">
        <w:rPr>
          <w:rStyle w:val="Strong"/>
          <w:rFonts w:asciiTheme="minorHAnsi" w:hAnsiTheme="minorHAnsi"/>
          <w:b w:val="0"/>
          <w:sz w:val="22"/>
          <w:szCs w:val="22"/>
          <w:lang w:val="es-ES_tradnl"/>
        </w:rPr>
        <w:t xml:space="preserve">aprobó para su remisión a la </w:t>
      </w:r>
      <w:r w:rsidR="00471803" w:rsidRPr="00115A9E">
        <w:rPr>
          <w:rFonts w:asciiTheme="minorHAnsi" w:hAnsiTheme="minorHAnsi"/>
          <w:sz w:val="22"/>
          <w:szCs w:val="22"/>
          <w:lang w:val="es-ES_tradnl"/>
        </w:rPr>
        <w:t>1</w:t>
      </w:r>
      <w:r w:rsidR="00686074" w:rsidRPr="00115A9E">
        <w:rPr>
          <w:rFonts w:asciiTheme="minorHAnsi" w:hAnsiTheme="minorHAnsi"/>
          <w:sz w:val="22"/>
          <w:szCs w:val="22"/>
          <w:lang w:val="es-ES_tradnl"/>
        </w:rPr>
        <w:t>2</w:t>
      </w:r>
      <w:r w:rsidRPr="00115A9E">
        <w:rPr>
          <w:rFonts w:asciiTheme="minorHAnsi" w:hAnsiTheme="minorHAnsi"/>
          <w:sz w:val="22"/>
          <w:szCs w:val="22"/>
          <w:lang w:val="es-ES_tradnl"/>
        </w:rPr>
        <w:t>ª</w:t>
      </w:r>
      <w:r w:rsidR="00471803" w:rsidRPr="00115A9E">
        <w:rPr>
          <w:rFonts w:asciiTheme="minorHAnsi" w:hAnsiTheme="minorHAnsi"/>
          <w:sz w:val="22"/>
          <w:szCs w:val="22"/>
          <w:lang w:val="es-ES_tradnl"/>
        </w:rPr>
        <w:t xml:space="preserve"> </w:t>
      </w:r>
      <w:r w:rsidRPr="00115A9E">
        <w:rPr>
          <w:rFonts w:asciiTheme="minorHAnsi" w:hAnsiTheme="minorHAnsi"/>
          <w:sz w:val="22"/>
          <w:szCs w:val="22"/>
          <w:lang w:val="es-ES_tradnl"/>
        </w:rPr>
        <w:t>reunión de la Conferencia de las Partes Contratantes un</w:t>
      </w:r>
      <w:r w:rsidR="00421275" w:rsidRPr="00115A9E">
        <w:rPr>
          <w:rFonts w:asciiTheme="minorHAnsi" w:hAnsiTheme="minorHAnsi"/>
          <w:sz w:val="22"/>
          <w:szCs w:val="22"/>
          <w:lang w:val="es-ES_tradnl"/>
        </w:rPr>
        <w:t xml:space="preserve"> </w:t>
      </w:r>
      <w:r w:rsidR="00175EAE" w:rsidRPr="00115A9E">
        <w:rPr>
          <w:rFonts w:asciiTheme="minorHAnsi" w:hAnsiTheme="minorHAnsi"/>
          <w:sz w:val="22"/>
          <w:szCs w:val="22"/>
          <w:lang w:val="es-ES_tradnl"/>
        </w:rPr>
        <w:t>proyecto de Reso</w:t>
      </w:r>
      <w:r w:rsidRPr="00115A9E">
        <w:rPr>
          <w:rFonts w:asciiTheme="minorHAnsi" w:hAnsiTheme="minorHAnsi"/>
          <w:sz w:val="22"/>
          <w:szCs w:val="22"/>
          <w:lang w:val="es-ES_tradnl"/>
        </w:rPr>
        <w:t xml:space="preserve">lución sobre cuestiones financieras y presupuestarias con tres alternativas para el presupuesto correspondiente al trienio </w:t>
      </w:r>
      <w:r w:rsidR="00471803" w:rsidRPr="00115A9E">
        <w:rPr>
          <w:rFonts w:asciiTheme="minorHAnsi" w:hAnsiTheme="minorHAnsi"/>
          <w:sz w:val="22"/>
          <w:szCs w:val="22"/>
          <w:lang w:val="es-ES_tradnl"/>
        </w:rPr>
        <w:t>201</w:t>
      </w:r>
      <w:r w:rsidR="00686074" w:rsidRPr="00115A9E">
        <w:rPr>
          <w:rFonts w:asciiTheme="minorHAnsi" w:hAnsiTheme="minorHAnsi"/>
          <w:sz w:val="22"/>
          <w:szCs w:val="22"/>
          <w:lang w:val="es-ES_tradnl"/>
        </w:rPr>
        <w:t>6</w:t>
      </w:r>
      <w:r w:rsidR="00471803" w:rsidRPr="00115A9E">
        <w:rPr>
          <w:rFonts w:asciiTheme="minorHAnsi" w:hAnsiTheme="minorHAnsi"/>
          <w:sz w:val="22"/>
          <w:szCs w:val="22"/>
          <w:lang w:val="es-ES_tradnl"/>
        </w:rPr>
        <w:t>-201</w:t>
      </w:r>
      <w:r w:rsidR="00686074" w:rsidRPr="00115A9E">
        <w:rPr>
          <w:rFonts w:asciiTheme="minorHAnsi" w:hAnsiTheme="minorHAnsi"/>
          <w:sz w:val="22"/>
          <w:szCs w:val="22"/>
          <w:lang w:val="es-ES_tradnl"/>
        </w:rPr>
        <w:t>8</w:t>
      </w:r>
      <w:r w:rsidR="00471803" w:rsidRPr="00115A9E">
        <w:rPr>
          <w:rFonts w:asciiTheme="minorHAnsi" w:hAnsiTheme="minorHAnsi"/>
          <w:sz w:val="22"/>
          <w:szCs w:val="22"/>
          <w:lang w:val="es-ES_tradnl"/>
        </w:rPr>
        <w:t xml:space="preserve">. </w:t>
      </w:r>
      <w:r w:rsidRPr="00115A9E">
        <w:rPr>
          <w:rFonts w:asciiTheme="minorHAnsi" w:hAnsiTheme="minorHAnsi"/>
          <w:sz w:val="22"/>
          <w:szCs w:val="22"/>
          <w:lang w:val="es-ES_tradnl"/>
        </w:rPr>
        <w:t xml:space="preserve">En sus decisiones </w:t>
      </w:r>
      <w:r w:rsidR="00471803" w:rsidRPr="00115A9E">
        <w:rPr>
          <w:rFonts w:asciiTheme="minorHAnsi" w:hAnsiTheme="minorHAnsi"/>
          <w:sz w:val="22"/>
          <w:szCs w:val="22"/>
          <w:lang w:val="es-ES_tradnl"/>
        </w:rPr>
        <w:t>SC4</w:t>
      </w:r>
      <w:r w:rsidR="00820E5E" w:rsidRPr="00115A9E">
        <w:rPr>
          <w:rFonts w:asciiTheme="minorHAnsi" w:hAnsiTheme="minorHAnsi"/>
          <w:sz w:val="22"/>
          <w:szCs w:val="22"/>
          <w:lang w:val="es-ES_tradnl"/>
        </w:rPr>
        <w:t>8</w:t>
      </w:r>
      <w:r w:rsidR="00471803" w:rsidRPr="00115A9E">
        <w:rPr>
          <w:rFonts w:asciiTheme="minorHAnsi" w:hAnsiTheme="minorHAnsi"/>
          <w:sz w:val="22"/>
          <w:szCs w:val="22"/>
          <w:lang w:val="es-ES_tradnl"/>
        </w:rPr>
        <w:t>-</w:t>
      </w:r>
      <w:r w:rsidR="00820E5E" w:rsidRPr="00115A9E">
        <w:rPr>
          <w:rFonts w:asciiTheme="minorHAnsi" w:hAnsiTheme="minorHAnsi"/>
          <w:sz w:val="22"/>
          <w:szCs w:val="22"/>
          <w:lang w:val="es-ES_tradnl"/>
        </w:rPr>
        <w:t>12</w:t>
      </w:r>
      <w:r w:rsidR="00471803" w:rsidRPr="00115A9E">
        <w:rPr>
          <w:rFonts w:asciiTheme="minorHAnsi" w:hAnsiTheme="minorHAnsi"/>
          <w:sz w:val="22"/>
          <w:szCs w:val="22"/>
          <w:lang w:val="es-ES_tradnl"/>
        </w:rPr>
        <w:t xml:space="preserve"> </w:t>
      </w:r>
      <w:r w:rsidRPr="00115A9E">
        <w:rPr>
          <w:rFonts w:asciiTheme="minorHAnsi" w:hAnsiTheme="minorHAnsi"/>
          <w:sz w:val="22"/>
          <w:szCs w:val="22"/>
          <w:lang w:val="es-ES_tradnl"/>
        </w:rPr>
        <w:t>y SC48</w:t>
      </w:r>
      <w:r w:rsidR="00AB158F" w:rsidRPr="00115A9E">
        <w:rPr>
          <w:rFonts w:asciiTheme="minorHAnsi" w:hAnsiTheme="minorHAnsi"/>
          <w:sz w:val="22"/>
          <w:szCs w:val="22"/>
          <w:lang w:val="es-ES_tradnl"/>
        </w:rPr>
        <w:t>-</w:t>
      </w:r>
      <w:r w:rsidR="00820E5E" w:rsidRPr="00115A9E">
        <w:rPr>
          <w:rFonts w:asciiTheme="minorHAnsi" w:hAnsiTheme="minorHAnsi"/>
          <w:sz w:val="22"/>
          <w:szCs w:val="22"/>
          <w:lang w:val="es-ES_tradnl"/>
        </w:rPr>
        <w:t>17</w:t>
      </w:r>
      <w:r w:rsidR="00471803" w:rsidRPr="00115A9E">
        <w:rPr>
          <w:rFonts w:asciiTheme="minorHAnsi" w:hAnsiTheme="minorHAnsi"/>
          <w:sz w:val="22"/>
          <w:szCs w:val="22"/>
          <w:lang w:val="es-ES_tradnl"/>
        </w:rPr>
        <w:t xml:space="preserve">, </w:t>
      </w:r>
      <w:r w:rsidRPr="00115A9E">
        <w:rPr>
          <w:rFonts w:asciiTheme="minorHAnsi" w:hAnsiTheme="minorHAnsi"/>
          <w:sz w:val="22"/>
          <w:szCs w:val="22"/>
          <w:lang w:val="es-ES_tradnl"/>
        </w:rPr>
        <w:t xml:space="preserve">el Comité aprobó los proyectos de escenarios presupuestarios para </w:t>
      </w:r>
      <w:r w:rsidR="00820E5E" w:rsidRPr="00115A9E">
        <w:rPr>
          <w:rFonts w:asciiTheme="minorHAnsi" w:hAnsiTheme="minorHAnsi"/>
          <w:sz w:val="22"/>
          <w:szCs w:val="22"/>
          <w:lang w:val="es-ES_tradnl"/>
        </w:rPr>
        <w:t>2016</w:t>
      </w:r>
      <w:r w:rsidR="000B2125" w:rsidRPr="00115A9E">
        <w:rPr>
          <w:rFonts w:asciiTheme="minorHAnsi" w:hAnsiTheme="minorHAnsi"/>
          <w:sz w:val="22"/>
          <w:szCs w:val="22"/>
          <w:lang w:val="es-ES_tradnl"/>
        </w:rPr>
        <w:t xml:space="preserve">-2018 </w:t>
      </w:r>
      <w:r w:rsidR="00DA26C9" w:rsidRPr="00115A9E">
        <w:rPr>
          <w:rFonts w:asciiTheme="minorHAnsi" w:hAnsiTheme="minorHAnsi"/>
          <w:sz w:val="22"/>
          <w:szCs w:val="22"/>
          <w:lang w:val="es-ES_tradnl"/>
        </w:rPr>
        <w:t xml:space="preserve">para su presentación </w:t>
      </w:r>
      <w:r w:rsidRPr="00115A9E">
        <w:rPr>
          <w:rFonts w:asciiTheme="minorHAnsi" w:hAnsiTheme="minorHAnsi"/>
          <w:sz w:val="22"/>
          <w:szCs w:val="22"/>
          <w:lang w:val="es-ES_tradnl"/>
        </w:rPr>
        <w:t xml:space="preserve">a la </w:t>
      </w:r>
      <w:r w:rsidR="000B2125" w:rsidRPr="00115A9E">
        <w:rPr>
          <w:rFonts w:asciiTheme="minorHAnsi" w:hAnsiTheme="minorHAnsi"/>
          <w:sz w:val="22"/>
          <w:szCs w:val="22"/>
          <w:lang w:val="es-ES_tradnl"/>
        </w:rPr>
        <w:t xml:space="preserve">COP12 </w:t>
      </w:r>
      <w:r w:rsidRPr="00115A9E">
        <w:rPr>
          <w:rFonts w:asciiTheme="minorHAnsi" w:hAnsiTheme="minorHAnsi"/>
          <w:sz w:val="22"/>
          <w:szCs w:val="22"/>
          <w:lang w:val="es-ES_tradnl"/>
        </w:rPr>
        <w:t>con la información adicional siguiente</w:t>
      </w:r>
      <w:r w:rsidR="006F073B" w:rsidRPr="00115A9E">
        <w:rPr>
          <w:rFonts w:asciiTheme="minorHAnsi" w:hAnsiTheme="minorHAnsi"/>
          <w:sz w:val="22"/>
          <w:szCs w:val="22"/>
          <w:lang w:val="es-ES_tradnl"/>
        </w:rPr>
        <w:t xml:space="preserve">: </w:t>
      </w:r>
      <w:r w:rsidRPr="00115A9E">
        <w:rPr>
          <w:rFonts w:asciiTheme="minorHAnsi" w:hAnsiTheme="minorHAnsi"/>
          <w:sz w:val="22"/>
          <w:szCs w:val="22"/>
          <w:lang w:val="es-ES_tradnl"/>
        </w:rPr>
        <w:t xml:space="preserve">inclusión de una partida presupuestaria sobre “actividades de CECoP” y otra sobre “apoyo al Plan Estratégico” en el presupuesto no básico; </w:t>
      </w:r>
      <w:r w:rsidR="004C227B" w:rsidRPr="00115A9E">
        <w:rPr>
          <w:rFonts w:asciiTheme="minorHAnsi" w:hAnsiTheme="minorHAnsi"/>
          <w:sz w:val="22"/>
          <w:szCs w:val="22"/>
          <w:lang w:val="es-ES_tradnl"/>
        </w:rPr>
        <w:t>prepara</w:t>
      </w:r>
      <w:r w:rsidR="00175EAE" w:rsidRPr="00115A9E">
        <w:rPr>
          <w:rFonts w:asciiTheme="minorHAnsi" w:hAnsiTheme="minorHAnsi"/>
          <w:sz w:val="22"/>
          <w:szCs w:val="22"/>
          <w:lang w:val="es-ES_tradnl"/>
        </w:rPr>
        <w:t>ción de</w:t>
      </w:r>
      <w:r w:rsidR="004C227B" w:rsidRPr="00115A9E">
        <w:rPr>
          <w:rFonts w:asciiTheme="minorHAnsi" w:hAnsiTheme="minorHAnsi"/>
          <w:sz w:val="22"/>
          <w:szCs w:val="22"/>
          <w:lang w:val="es-ES_tradnl"/>
        </w:rPr>
        <w:t xml:space="preserve"> un doc</w:t>
      </w:r>
      <w:r w:rsidR="00A5695E" w:rsidRPr="00115A9E">
        <w:rPr>
          <w:rFonts w:asciiTheme="minorHAnsi" w:hAnsiTheme="minorHAnsi"/>
          <w:sz w:val="22"/>
          <w:szCs w:val="22"/>
          <w:lang w:val="es-ES_tradnl"/>
        </w:rPr>
        <w:t>umento de información que aportara</w:t>
      </w:r>
      <w:r w:rsidR="004C227B" w:rsidRPr="00115A9E">
        <w:rPr>
          <w:rFonts w:asciiTheme="minorHAnsi" w:hAnsiTheme="minorHAnsi"/>
          <w:sz w:val="22"/>
          <w:szCs w:val="22"/>
          <w:lang w:val="es-ES_tradnl"/>
        </w:rPr>
        <w:t xml:space="preserve"> documentación de antecedentes </w:t>
      </w:r>
      <w:r w:rsidR="00A5695E" w:rsidRPr="00115A9E">
        <w:rPr>
          <w:rFonts w:asciiTheme="minorHAnsi" w:hAnsiTheme="minorHAnsi"/>
          <w:sz w:val="22"/>
          <w:szCs w:val="22"/>
          <w:lang w:val="es-ES_tradnl"/>
        </w:rPr>
        <w:t>para justificar todas las partidas del presupuesto no básico</w:t>
      </w:r>
      <w:r w:rsidR="006F073B" w:rsidRPr="00115A9E">
        <w:rPr>
          <w:rFonts w:asciiTheme="minorHAnsi" w:hAnsiTheme="minorHAnsi"/>
          <w:sz w:val="22"/>
          <w:szCs w:val="22"/>
          <w:lang w:val="es-ES_tradnl"/>
        </w:rPr>
        <w:t xml:space="preserve">; </w:t>
      </w:r>
      <w:r w:rsidR="00A5695E" w:rsidRPr="00115A9E">
        <w:rPr>
          <w:rFonts w:asciiTheme="minorHAnsi" w:hAnsiTheme="minorHAnsi"/>
          <w:sz w:val="22"/>
          <w:szCs w:val="22"/>
          <w:lang w:val="es-ES_tradnl"/>
        </w:rPr>
        <w:t>y prepara</w:t>
      </w:r>
      <w:r w:rsidR="00175EAE" w:rsidRPr="00115A9E">
        <w:rPr>
          <w:rFonts w:asciiTheme="minorHAnsi" w:hAnsiTheme="minorHAnsi"/>
          <w:sz w:val="22"/>
          <w:szCs w:val="22"/>
          <w:lang w:val="es-ES_tradnl"/>
        </w:rPr>
        <w:t>ción de</w:t>
      </w:r>
      <w:r w:rsidR="00A5695E" w:rsidRPr="00115A9E">
        <w:rPr>
          <w:rFonts w:asciiTheme="minorHAnsi" w:hAnsiTheme="minorHAnsi"/>
          <w:sz w:val="22"/>
          <w:szCs w:val="22"/>
          <w:lang w:val="es-ES_tradnl"/>
        </w:rPr>
        <w:t xml:space="preserve"> un documento de información que resumiera los costos adicionales para cada Parte con arreglo a los escenarios del presupuesto básico del </w:t>
      </w:r>
      <w:r w:rsidR="006F073B" w:rsidRPr="00115A9E">
        <w:rPr>
          <w:rFonts w:asciiTheme="minorHAnsi" w:hAnsiTheme="minorHAnsi"/>
          <w:sz w:val="22"/>
          <w:szCs w:val="22"/>
          <w:lang w:val="es-ES_tradnl"/>
        </w:rPr>
        <w:t>2</w:t>
      </w:r>
      <w:r w:rsidR="00A5695E" w:rsidRPr="00115A9E">
        <w:rPr>
          <w:rFonts w:asciiTheme="minorHAnsi" w:hAnsiTheme="minorHAnsi"/>
          <w:sz w:val="22"/>
          <w:szCs w:val="22"/>
          <w:lang w:val="es-ES_tradnl"/>
        </w:rPr>
        <w:t> </w:t>
      </w:r>
      <w:r w:rsidR="006F073B" w:rsidRPr="00115A9E">
        <w:rPr>
          <w:rFonts w:asciiTheme="minorHAnsi" w:hAnsiTheme="minorHAnsi"/>
          <w:sz w:val="22"/>
          <w:szCs w:val="22"/>
          <w:lang w:val="es-ES_tradnl"/>
        </w:rPr>
        <w:t xml:space="preserve">% </w:t>
      </w:r>
      <w:r w:rsidR="00A5695E" w:rsidRPr="00115A9E">
        <w:rPr>
          <w:rFonts w:asciiTheme="minorHAnsi" w:hAnsiTheme="minorHAnsi"/>
          <w:sz w:val="22"/>
          <w:szCs w:val="22"/>
          <w:lang w:val="es-ES_tradnl"/>
        </w:rPr>
        <w:t xml:space="preserve">y del </w:t>
      </w:r>
      <w:r w:rsidR="006F073B" w:rsidRPr="00115A9E">
        <w:rPr>
          <w:rFonts w:asciiTheme="minorHAnsi" w:hAnsiTheme="minorHAnsi"/>
          <w:sz w:val="22"/>
          <w:szCs w:val="22"/>
          <w:lang w:val="es-ES_tradnl"/>
        </w:rPr>
        <w:t>4</w:t>
      </w:r>
      <w:r w:rsidR="00A5695E" w:rsidRPr="00115A9E">
        <w:rPr>
          <w:rFonts w:asciiTheme="minorHAnsi" w:hAnsiTheme="minorHAnsi"/>
          <w:sz w:val="22"/>
          <w:szCs w:val="22"/>
          <w:lang w:val="es-ES_tradnl"/>
        </w:rPr>
        <w:t> </w:t>
      </w:r>
      <w:r w:rsidR="006F073B" w:rsidRPr="00115A9E">
        <w:rPr>
          <w:rFonts w:asciiTheme="minorHAnsi" w:hAnsiTheme="minorHAnsi"/>
          <w:sz w:val="22"/>
          <w:szCs w:val="22"/>
          <w:lang w:val="es-ES_tradnl"/>
        </w:rPr>
        <w:t>%.</w:t>
      </w:r>
    </w:p>
    <w:p w:rsidR="000B2DC5" w:rsidRPr="00115A9E" w:rsidRDefault="000B2DC5" w:rsidP="008A3C79">
      <w:pPr>
        <w:pStyle w:val="ListParagraph"/>
        <w:ind w:left="426" w:hanging="426"/>
        <w:rPr>
          <w:rFonts w:asciiTheme="minorHAnsi" w:eastAsia="Batang" w:hAnsiTheme="minorHAnsi"/>
          <w:color w:val="000000"/>
          <w:sz w:val="22"/>
          <w:szCs w:val="22"/>
          <w:lang w:val="es-ES_tradnl" w:eastAsia="ko-KR"/>
        </w:rPr>
      </w:pPr>
    </w:p>
    <w:p w:rsidR="008A3C79" w:rsidRPr="00115A9E" w:rsidRDefault="000D6FC1" w:rsidP="006977EB">
      <w:pPr>
        <w:pStyle w:val="ListParagraph"/>
        <w:numPr>
          <w:ilvl w:val="0"/>
          <w:numId w:val="1"/>
        </w:numPr>
        <w:ind w:left="426" w:hanging="426"/>
        <w:rPr>
          <w:rFonts w:asciiTheme="minorHAnsi" w:eastAsia="Batang" w:hAnsiTheme="minorHAnsi"/>
          <w:color w:val="000000"/>
          <w:sz w:val="22"/>
          <w:szCs w:val="22"/>
          <w:lang w:val="es-ES_tradnl" w:eastAsia="ko-KR"/>
        </w:rPr>
      </w:pPr>
      <w:r w:rsidRPr="00115A9E">
        <w:rPr>
          <w:rFonts w:asciiTheme="minorHAnsi" w:eastAsia="Batang" w:hAnsiTheme="minorHAnsi"/>
          <w:bCs/>
          <w:sz w:val="22"/>
          <w:szCs w:val="22"/>
          <w:lang w:val="es-ES_tradnl" w:eastAsia="ko-KR"/>
        </w:rPr>
        <w:t xml:space="preserve">De conformidad con la </w:t>
      </w:r>
      <w:r w:rsidR="00356899" w:rsidRPr="00115A9E">
        <w:rPr>
          <w:rFonts w:asciiTheme="minorHAnsi" w:eastAsia="Batang" w:hAnsiTheme="minorHAnsi"/>
          <w:bCs/>
          <w:sz w:val="22"/>
          <w:szCs w:val="22"/>
          <w:lang w:val="es-ES_tradnl" w:eastAsia="ko-KR"/>
        </w:rPr>
        <w:t xml:space="preserve">COP11, </w:t>
      </w:r>
      <w:r w:rsidRPr="00115A9E">
        <w:rPr>
          <w:rFonts w:asciiTheme="minorHAnsi" w:eastAsia="Batang" w:hAnsiTheme="minorHAnsi"/>
          <w:bCs/>
          <w:sz w:val="22"/>
          <w:szCs w:val="22"/>
          <w:lang w:val="es-ES_tradnl" w:eastAsia="ko-KR"/>
        </w:rPr>
        <w:t>se</w:t>
      </w:r>
      <w:r w:rsidR="00A00F40" w:rsidRPr="00115A9E">
        <w:rPr>
          <w:rFonts w:asciiTheme="minorHAnsi" w:eastAsia="Batang" w:hAnsiTheme="minorHAnsi"/>
          <w:bCs/>
          <w:sz w:val="22"/>
          <w:szCs w:val="22"/>
          <w:lang w:val="es-ES_tradnl" w:eastAsia="ko-KR"/>
        </w:rPr>
        <w:t xml:space="preserve"> ha</w:t>
      </w:r>
      <w:r w:rsidRPr="00115A9E">
        <w:rPr>
          <w:rFonts w:asciiTheme="minorHAnsi" w:eastAsia="Batang" w:hAnsiTheme="minorHAnsi"/>
          <w:bCs/>
          <w:sz w:val="22"/>
          <w:szCs w:val="22"/>
          <w:lang w:val="es-ES_tradnl" w:eastAsia="ko-KR"/>
        </w:rPr>
        <w:t xml:space="preserve"> preparado un </w:t>
      </w:r>
      <w:r w:rsidR="006977EB" w:rsidRPr="00115A9E">
        <w:rPr>
          <w:rFonts w:asciiTheme="minorHAnsi" w:eastAsia="Batang" w:hAnsiTheme="minorHAnsi"/>
          <w:bCs/>
          <w:sz w:val="22"/>
          <w:szCs w:val="22"/>
          <w:lang w:val="es-ES_tradnl" w:eastAsia="ko-KR"/>
        </w:rPr>
        <w:t>presupuesto c</w:t>
      </w:r>
      <w:r w:rsidRPr="00115A9E">
        <w:rPr>
          <w:rFonts w:asciiTheme="minorHAnsi" w:eastAsia="Batang" w:hAnsiTheme="minorHAnsi"/>
          <w:bCs/>
          <w:sz w:val="22"/>
          <w:szCs w:val="22"/>
          <w:lang w:val="es-ES_tradnl" w:eastAsia="ko-KR"/>
        </w:rPr>
        <w:t>ombinado</w:t>
      </w:r>
      <w:r w:rsidR="006977EB" w:rsidRPr="00115A9E">
        <w:rPr>
          <w:rFonts w:asciiTheme="minorHAnsi" w:eastAsia="Batang" w:hAnsiTheme="minorHAnsi"/>
          <w:bCs/>
          <w:sz w:val="22"/>
          <w:szCs w:val="22"/>
          <w:lang w:val="es-ES_tradnl" w:eastAsia="ko-KR"/>
        </w:rPr>
        <w:t>, que incluye un p</w:t>
      </w:r>
      <w:r w:rsidRPr="00115A9E">
        <w:rPr>
          <w:rFonts w:asciiTheme="minorHAnsi" w:eastAsia="Batang" w:hAnsiTheme="minorHAnsi"/>
          <w:bCs/>
          <w:sz w:val="22"/>
          <w:szCs w:val="22"/>
          <w:lang w:val="es-ES_tradnl" w:eastAsia="ko-KR"/>
        </w:rPr>
        <w:t>resupue</w:t>
      </w:r>
      <w:r w:rsidR="006977EB" w:rsidRPr="00115A9E">
        <w:rPr>
          <w:rFonts w:asciiTheme="minorHAnsi" w:eastAsia="Batang" w:hAnsiTheme="minorHAnsi"/>
          <w:bCs/>
          <w:sz w:val="22"/>
          <w:szCs w:val="22"/>
          <w:lang w:val="es-ES_tradnl" w:eastAsia="ko-KR"/>
        </w:rPr>
        <w:t>sto b</w:t>
      </w:r>
      <w:r w:rsidRPr="00115A9E">
        <w:rPr>
          <w:rFonts w:asciiTheme="minorHAnsi" w:eastAsia="Batang" w:hAnsiTheme="minorHAnsi"/>
          <w:bCs/>
          <w:sz w:val="22"/>
          <w:szCs w:val="22"/>
          <w:lang w:val="es-ES_tradnl" w:eastAsia="ko-KR"/>
        </w:rPr>
        <w:t>ásico financiado con cargo a las contribuciones de las Partes, basadas en</w:t>
      </w:r>
      <w:r w:rsidR="00A00F40"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 escala de cuotas de las Naciones Unidas como en el pasado, y un </w:t>
      </w:r>
      <w:r w:rsidR="006977EB" w:rsidRPr="00115A9E">
        <w:rPr>
          <w:rFonts w:asciiTheme="minorHAnsi" w:eastAsia="Batang" w:hAnsiTheme="minorHAnsi"/>
          <w:bCs/>
          <w:sz w:val="22"/>
          <w:szCs w:val="22"/>
          <w:lang w:val="es-ES_tradnl" w:eastAsia="ko-KR"/>
        </w:rPr>
        <w:t>presupuesto no básico</w:t>
      </w:r>
      <w:r w:rsidRPr="00115A9E">
        <w:rPr>
          <w:rFonts w:asciiTheme="minorHAnsi" w:eastAsia="Batang" w:hAnsiTheme="minorHAnsi"/>
          <w:bCs/>
          <w:sz w:val="22"/>
          <w:szCs w:val="22"/>
          <w:lang w:val="es-ES_tradnl" w:eastAsia="ko-KR"/>
        </w:rPr>
        <w:t xml:space="preserve"> financiado con cargo a contribuciones voluntarias adicionales</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 Secretaría y el Comité Permanente están firmemente convencidos de que la aprobación por la </w:t>
      </w:r>
      <w:r w:rsidR="00471803" w:rsidRPr="00115A9E">
        <w:rPr>
          <w:rFonts w:asciiTheme="minorHAnsi" w:eastAsia="Batang" w:hAnsiTheme="minorHAnsi"/>
          <w:sz w:val="22"/>
          <w:szCs w:val="22"/>
          <w:lang w:val="es-ES_tradnl"/>
        </w:rPr>
        <w:t xml:space="preserve">COP </w:t>
      </w:r>
      <w:r w:rsidRPr="00115A9E">
        <w:rPr>
          <w:rFonts w:asciiTheme="minorHAnsi" w:eastAsia="Batang" w:hAnsiTheme="minorHAnsi"/>
          <w:sz w:val="22"/>
          <w:szCs w:val="22"/>
          <w:lang w:val="es-ES_tradnl"/>
        </w:rPr>
        <w:t xml:space="preserve">de ambos </w:t>
      </w:r>
      <w:r w:rsidR="00A00F40" w:rsidRPr="00115A9E">
        <w:rPr>
          <w:rFonts w:asciiTheme="minorHAnsi" w:eastAsia="Batang" w:hAnsiTheme="minorHAnsi"/>
          <w:sz w:val="22"/>
          <w:szCs w:val="22"/>
          <w:lang w:val="es-ES_tradnl"/>
        </w:rPr>
        <w:t>presupuestos</w:t>
      </w:r>
      <w:r w:rsidRPr="00115A9E">
        <w:rPr>
          <w:rFonts w:asciiTheme="minorHAnsi" w:eastAsia="Batang" w:hAnsiTheme="minorHAnsi"/>
          <w:sz w:val="22"/>
          <w:szCs w:val="22"/>
          <w:lang w:val="es-ES_tradnl"/>
        </w:rPr>
        <w:t xml:space="preserve"> para el trienio </w:t>
      </w:r>
      <w:r w:rsidR="00471803" w:rsidRPr="00115A9E">
        <w:rPr>
          <w:rFonts w:asciiTheme="minorHAnsi" w:eastAsia="Batang" w:hAnsiTheme="minorHAnsi"/>
          <w:sz w:val="22"/>
          <w:szCs w:val="22"/>
          <w:lang w:val="es-ES_tradnl"/>
        </w:rPr>
        <w:t>201</w:t>
      </w:r>
      <w:r w:rsidR="006F073B" w:rsidRPr="00115A9E">
        <w:rPr>
          <w:rFonts w:asciiTheme="minorHAnsi" w:eastAsia="Batang" w:hAnsiTheme="minorHAnsi"/>
          <w:sz w:val="22"/>
          <w:szCs w:val="22"/>
          <w:lang w:val="es-ES_tradnl"/>
        </w:rPr>
        <w:t>6</w:t>
      </w:r>
      <w:r w:rsidR="00471803" w:rsidRPr="00115A9E">
        <w:rPr>
          <w:rFonts w:asciiTheme="minorHAnsi" w:eastAsia="Batang" w:hAnsiTheme="minorHAnsi"/>
          <w:sz w:val="22"/>
          <w:szCs w:val="22"/>
          <w:lang w:val="es-ES_tradnl"/>
        </w:rPr>
        <w:t>-201</w:t>
      </w:r>
      <w:r w:rsidR="006F073B" w:rsidRPr="00115A9E">
        <w:rPr>
          <w:rFonts w:asciiTheme="minorHAnsi" w:eastAsia="Batang" w:hAnsiTheme="minorHAnsi"/>
          <w:sz w:val="22"/>
          <w:szCs w:val="22"/>
          <w:lang w:val="es-ES_tradnl"/>
        </w:rPr>
        <w:t>8</w:t>
      </w:r>
      <w:r w:rsidR="00471803" w:rsidRPr="00115A9E">
        <w:rPr>
          <w:rFonts w:asciiTheme="minorHAnsi" w:eastAsia="Batang" w:hAnsiTheme="minorHAnsi"/>
          <w:sz w:val="22"/>
          <w:szCs w:val="22"/>
          <w:lang w:val="es-ES_tradnl"/>
        </w:rPr>
        <w:t xml:space="preserve"> </w:t>
      </w:r>
      <w:r w:rsidR="004D06C0" w:rsidRPr="00115A9E">
        <w:rPr>
          <w:rFonts w:asciiTheme="minorHAnsi" w:eastAsia="Batang" w:hAnsiTheme="minorHAnsi"/>
          <w:sz w:val="22"/>
          <w:szCs w:val="22"/>
          <w:lang w:val="es-ES_tradnl"/>
        </w:rPr>
        <w:t>será un apoyo positivo</w:t>
      </w:r>
      <w:r w:rsidRPr="00115A9E">
        <w:rPr>
          <w:rFonts w:asciiTheme="minorHAnsi" w:eastAsia="Batang" w:hAnsiTheme="minorHAnsi"/>
          <w:sz w:val="22"/>
          <w:szCs w:val="22"/>
          <w:lang w:val="es-ES_tradnl"/>
        </w:rPr>
        <w:t xml:space="preserve"> </w:t>
      </w:r>
      <w:r w:rsidR="004D06C0" w:rsidRPr="00115A9E">
        <w:rPr>
          <w:rFonts w:asciiTheme="minorHAnsi" w:eastAsia="Batang" w:hAnsiTheme="minorHAnsi"/>
          <w:sz w:val="22"/>
          <w:szCs w:val="22"/>
          <w:lang w:val="es-ES_tradnl"/>
        </w:rPr>
        <w:t xml:space="preserve">para </w:t>
      </w:r>
      <w:r w:rsidRPr="00115A9E">
        <w:rPr>
          <w:rFonts w:asciiTheme="minorHAnsi" w:eastAsia="Batang" w:hAnsiTheme="minorHAnsi"/>
          <w:sz w:val="22"/>
          <w:szCs w:val="22"/>
          <w:lang w:val="es-ES_tradnl"/>
        </w:rPr>
        <w:t xml:space="preserve">los esfuerzos de todas las Partes y los asociados que ejecutan el Plan Estratégico de la Convención </w:t>
      </w:r>
      <w:r w:rsidR="00A00F40" w:rsidRPr="00115A9E">
        <w:rPr>
          <w:rFonts w:asciiTheme="minorHAnsi" w:eastAsia="Batang" w:hAnsiTheme="minorHAnsi"/>
          <w:sz w:val="22"/>
          <w:szCs w:val="22"/>
          <w:lang w:val="es-ES_tradnl"/>
        </w:rPr>
        <w:t>destinados a</w:t>
      </w:r>
      <w:r w:rsidRPr="00115A9E">
        <w:rPr>
          <w:rFonts w:asciiTheme="minorHAnsi" w:eastAsia="Batang" w:hAnsiTheme="minorHAnsi"/>
          <w:sz w:val="22"/>
          <w:szCs w:val="22"/>
          <w:lang w:val="es-ES_tradnl"/>
        </w:rPr>
        <w:t xml:space="preserve"> garantizar la financiación de la Convención de Ramsar y la ejecución de su nuevo Plan Estratégico</w:t>
      </w:r>
      <w:r w:rsidR="00AB158F" w:rsidRPr="00115A9E">
        <w:rPr>
          <w:rFonts w:asciiTheme="minorHAnsi" w:eastAsia="Batang" w:hAnsiTheme="minorHAnsi"/>
          <w:sz w:val="22"/>
          <w:szCs w:val="22"/>
          <w:lang w:val="es-ES_tradnl"/>
        </w:rPr>
        <w:t>.</w:t>
      </w:r>
    </w:p>
    <w:p w:rsidR="008A3C79" w:rsidRPr="00115A9E" w:rsidRDefault="008A3C79" w:rsidP="008A3C79">
      <w:pPr>
        <w:pStyle w:val="ListParagraph"/>
        <w:ind w:left="426" w:hanging="426"/>
        <w:rPr>
          <w:rFonts w:asciiTheme="minorHAnsi" w:hAnsiTheme="minorHAnsi"/>
          <w:sz w:val="22"/>
          <w:szCs w:val="22"/>
          <w:lang w:val="es-ES_tradnl"/>
        </w:rPr>
      </w:pPr>
    </w:p>
    <w:p w:rsidR="00471803" w:rsidRPr="00115A9E" w:rsidRDefault="00423093" w:rsidP="008A3C79">
      <w:pPr>
        <w:pStyle w:val="ListParagraph"/>
        <w:numPr>
          <w:ilvl w:val="0"/>
          <w:numId w:val="1"/>
        </w:numPr>
        <w:ind w:left="426" w:hanging="426"/>
        <w:rPr>
          <w:rFonts w:asciiTheme="minorHAnsi" w:eastAsia="Batang" w:hAnsiTheme="minorHAnsi"/>
          <w:color w:val="000000"/>
          <w:sz w:val="22"/>
          <w:szCs w:val="22"/>
          <w:lang w:val="es-ES_tradnl" w:eastAsia="ko-KR"/>
        </w:rPr>
      </w:pPr>
      <w:r w:rsidRPr="00115A9E">
        <w:rPr>
          <w:rFonts w:asciiTheme="minorHAnsi" w:hAnsiTheme="minorHAnsi"/>
          <w:sz w:val="22"/>
          <w:szCs w:val="22"/>
          <w:lang w:val="es-ES_tradnl"/>
        </w:rPr>
        <w:t xml:space="preserve">En el Anexo </w:t>
      </w:r>
      <w:r w:rsidR="00356899" w:rsidRPr="00115A9E">
        <w:rPr>
          <w:rFonts w:asciiTheme="minorHAnsi" w:hAnsiTheme="minorHAnsi"/>
          <w:sz w:val="22"/>
          <w:szCs w:val="22"/>
          <w:lang w:val="es-ES_tradnl"/>
        </w:rPr>
        <w:t>1</w:t>
      </w:r>
      <w:r w:rsidR="00471803" w:rsidRPr="00115A9E">
        <w:rPr>
          <w:rFonts w:asciiTheme="minorHAnsi" w:hAnsiTheme="minorHAnsi"/>
          <w:sz w:val="22"/>
          <w:szCs w:val="22"/>
          <w:lang w:val="es-ES_tradnl"/>
        </w:rPr>
        <w:t xml:space="preserve"> </w:t>
      </w:r>
      <w:r w:rsidR="00175EAE" w:rsidRPr="00115A9E">
        <w:rPr>
          <w:rFonts w:asciiTheme="minorHAnsi" w:hAnsiTheme="minorHAnsi"/>
          <w:sz w:val="22"/>
          <w:szCs w:val="22"/>
          <w:lang w:val="es-ES_tradnl"/>
        </w:rPr>
        <w:t xml:space="preserve">del </w:t>
      </w:r>
      <w:r w:rsidR="00F56622" w:rsidRPr="00115A9E">
        <w:rPr>
          <w:rFonts w:asciiTheme="minorHAnsi" w:hAnsiTheme="minorHAnsi"/>
          <w:sz w:val="22"/>
          <w:szCs w:val="22"/>
          <w:lang w:val="es-ES_tradnl"/>
        </w:rPr>
        <w:t>p</w:t>
      </w:r>
      <w:r w:rsidR="00175EAE" w:rsidRPr="00115A9E">
        <w:rPr>
          <w:rFonts w:asciiTheme="minorHAnsi" w:hAnsiTheme="minorHAnsi"/>
          <w:sz w:val="22"/>
          <w:szCs w:val="22"/>
          <w:lang w:val="es-ES_tradnl"/>
        </w:rPr>
        <w:t>royecto de Reso</w:t>
      </w:r>
      <w:r w:rsidR="004F4E08" w:rsidRPr="00115A9E">
        <w:rPr>
          <w:rFonts w:asciiTheme="minorHAnsi" w:hAnsiTheme="minorHAnsi"/>
          <w:sz w:val="22"/>
          <w:szCs w:val="22"/>
          <w:lang w:val="es-ES_tradnl"/>
        </w:rPr>
        <w:t>lución sobre cuestiones financieras y p</w:t>
      </w:r>
      <w:r w:rsidRPr="00115A9E">
        <w:rPr>
          <w:rFonts w:asciiTheme="minorHAnsi" w:hAnsiTheme="minorHAnsi"/>
          <w:sz w:val="22"/>
          <w:szCs w:val="22"/>
          <w:lang w:val="es-ES_tradnl"/>
        </w:rPr>
        <w:t xml:space="preserve">resupuestarias </w:t>
      </w:r>
      <w:r w:rsidR="00471803" w:rsidRPr="00115A9E">
        <w:rPr>
          <w:rFonts w:asciiTheme="minorHAnsi" w:hAnsiTheme="minorHAnsi"/>
          <w:sz w:val="22"/>
          <w:szCs w:val="22"/>
          <w:lang w:val="es-ES_tradnl"/>
        </w:rPr>
        <w:t>(DR</w:t>
      </w:r>
      <w:r w:rsidR="0096581C" w:rsidRPr="00115A9E">
        <w:rPr>
          <w:rFonts w:asciiTheme="minorHAnsi" w:hAnsiTheme="minorHAnsi"/>
          <w:sz w:val="22"/>
          <w:szCs w:val="22"/>
          <w:lang w:val="es-ES_tradnl"/>
        </w:rPr>
        <w:t>01</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y del presente documento figura el presupuesto básico para cada uno de los tres escenarios presupuestarios</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En los Anexos </w:t>
      </w:r>
      <w:r w:rsidR="00C55CAA" w:rsidRPr="00115A9E">
        <w:rPr>
          <w:rFonts w:asciiTheme="minorHAnsi" w:hAnsiTheme="minorHAnsi"/>
          <w:sz w:val="22"/>
          <w:szCs w:val="22"/>
          <w:lang w:val="es-ES_tradnl"/>
        </w:rPr>
        <w:t xml:space="preserve">1, </w:t>
      </w:r>
      <w:r w:rsidR="006755E7" w:rsidRPr="00115A9E">
        <w:rPr>
          <w:rFonts w:asciiTheme="minorHAnsi" w:hAnsiTheme="minorHAnsi"/>
          <w:sz w:val="22"/>
          <w:szCs w:val="22"/>
          <w:lang w:val="es-ES_tradnl"/>
        </w:rPr>
        <w:t>3</w:t>
      </w:r>
      <w:r w:rsidR="00C55CAA"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y </w:t>
      </w:r>
      <w:r w:rsidR="006755E7" w:rsidRPr="00115A9E">
        <w:rPr>
          <w:rFonts w:asciiTheme="minorHAnsi" w:hAnsiTheme="minorHAnsi"/>
          <w:sz w:val="22"/>
          <w:szCs w:val="22"/>
          <w:lang w:val="es-ES_tradnl"/>
        </w:rPr>
        <w:t>4</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del presente documento figuran los detalles de los </w:t>
      </w:r>
      <w:r w:rsidR="006977EB" w:rsidRPr="00115A9E">
        <w:rPr>
          <w:rFonts w:asciiTheme="minorHAnsi" w:hAnsiTheme="minorHAnsi"/>
          <w:sz w:val="22"/>
          <w:szCs w:val="22"/>
          <w:lang w:val="es-ES_tradnl"/>
        </w:rPr>
        <w:t>presupuestos b</w:t>
      </w:r>
      <w:r w:rsidR="00B60054" w:rsidRPr="00115A9E">
        <w:rPr>
          <w:rFonts w:asciiTheme="minorHAnsi" w:hAnsiTheme="minorHAnsi"/>
          <w:sz w:val="22"/>
          <w:szCs w:val="22"/>
          <w:lang w:val="es-ES_tradnl"/>
        </w:rPr>
        <w:t xml:space="preserve">ásicos alternativos, las contribuciones necesarias para financiar cada alternativa y la dotación de personal para el apoyo a las actividades entre </w:t>
      </w:r>
      <w:r w:rsidR="00471803" w:rsidRPr="00115A9E">
        <w:rPr>
          <w:rFonts w:asciiTheme="minorHAnsi" w:hAnsiTheme="minorHAnsi"/>
          <w:sz w:val="22"/>
          <w:szCs w:val="22"/>
          <w:lang w:val="es-ES_tradnl"/>
        </w:rPr>
        <w:t>201</w:t>
      </w:r>
      <w:r w:rsidR="006F073B" w:rsidRPr="00115A9E">
        <w:rPr>
          <w:rFonts w:asciiTheme="minorHAnsi" w:hAnsiTheme="minorHAnsi"/>
          <w:sz w:val="22"/>
          <w:szCs w:val="22"/>
          <w:lang w:val="es-ES_tradnl"/>
        </w:rPr>
        <w:t>6</w:t>
      </w:r>
      <w:r w:rsidR="00B60054" w:rsidRPr="00115A9E">
        <w:rPr>
          <w:rFonts w:asciiTheme="minorHAnsi" w:hAnsiTheme="minorHAnsi"/>
          <w:sz w:val="22"/>
          <w:szCs w:val="22"/>
          <w:lang w:val="es-ES_tradnl"/>
        </w:rPr>
        <w:t xml:space="preserve"> y </w:t>
      </w:r>
      <w:r w:rsidR="00471803" w:rsidRPr="00115A9E">
        <w:rPr>
          <w:rFonts w:asciiTheme="minorHAnsi" w:hAnsiTheme="minorHAnsi"/>
          <w:sz w:val="22"/>
          <w:szCs w:val="22"/>
          <w:lang w:val="es-ES_tradnl"/>
        </w:rPr>
        <w:t>201</w:t>
      </w:r>
      <w:r w:rsidR="006F073B" w:rsidRPr="00115A9E">
        <w:rPr>
          <w:rFonts w:asciiTheme="minorHAnsi" w:hAnsiTheme="minorHAnsi"/>
          <w:sz w:val="22"/>
          <w:szCs w:val="22"/>
          <w:lang w:val="es-ES_tradnl"/>
        </w:rPr>
        <w:t>8</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En el Anexo </w:t>
      </w:r>
      <w:r w:rsidR="006755E7" w:rsidRPr="00115A9E">
        <w:rPr>
          <w:rFonts w:asciiTheme="minorHAnsi" w:hAnsiTheme="minorHAnsi"/>
          <w:sz w:val="22"/>
          <w:szCs w:val="22"/>
          <w:lang w:val="es-ES_tradnl"/>
        </w:rPr>
        <w:t xml:space="preserve">2 </w:t>
      </w:r>
      <w:r w:rsidR="00B60054" w:rsidRPr="00115A9E">
        <w:rPr>
          <w:rFonts w:asciiTheme="minorHAnsi" w:hAnsiTheme="minorHAnsi"/>
          <w:sz w:val="22"/>
          <w:szCs w:val="22"/>
          <w:lang w:val="es-ES_tradnl"/>
        </w:rPr>
        <w:t xml:space="preserve">figuran las alternativas para el </w:t>
      </w:r>
      <w:r w:rsidR="006977EB" w:rsidRPr="00115A9E">
        <w:rPr>
          <w:rFonts w:asciiTheme="minorHAnsi" w:eastAsia="Batang" w:hAnsiTheme="minorHAnsi"/>
          <w:bCs/>
          <w:sz w:val="22"/>
          <w:szCs w:val="22"/>
          <w:lang w:val="es-ES_tradnl" w:eastAsia="ko-KR"/>
        </w:rPr>
        <w:t>presupuesto no básico</w:t>
      </w:r>
      <w:r w:rsidR="006755E7" w:rsidRPr="00115A9E">
        <w:rPr>
          <w:rFonts w:asciiTheme="minorHAnsi" w:hAnsiTheme="minorHAnsi"/>
          <w:sz w:val="22"/>
          <w:szCs w:val="22"/>
          <w:lang w:val="es-ES_tradnl"/>
        </w:rPr>
        <w:t>.</w:t>
      </w:r>
    </w:p>
    <w:p w:rsidR="00471803" w:rsidRPr="00115A9E" w:rsidRDefault="00471803" w:rsidP="008A3C79">
      <w:pPr>
        <w:ind w:left="426" w:hanging="426"/>
        <w:rPr>
          <w:rFonts w:asciiTheme="minorHAnsi" w:eastAsia="Batang" w:hAnsiTheme="minorHAnsi"/>
          <w:bCs/>
          <w:sz w:val="22"/>
          <w:szCs w:val="22"/>
          <w:lang w:val="es-ES_tradnl" w:eastAsia="ko-KR"/>
        </w:rPr>
      </w:pPr>
    </w:p>
    <w:p w:rsidR="00471803" w:rsidRPr="00115A9E" w:rsidRDefault="005876AA" w:rsidP="008A3C79">
      <w:pPr>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 xml:space="preserve">Presupuesto </w:t>
      </w:r>
      <w:r w:rsidR="006977EB" w:rsidRPr="00115A9E">
        <w:rPr>
          <w:rFonts w:asciiTheme="minorHAnsi" w:eastAsia="Batang" w:hAnsiTheme="minorHAnsi"/>
          <w:b/>
          <w:bCs/>
          <w:sz w:val="22"/>
          <w:szCs w:val="22"/>
          <w:lang w:val="es-ES_tradnl" w:eastAsia="ko-KR"/>
        </w:rPr>
        <w:t>b</w:t>
      </w:r>
      <w:r w:rsidR="00B60054" w:rsidRPr="00115A9E">
        <w:rPr>
          <w:rFonts w:asciiTheme="minorHAnsi" w:eastAsia="Batang" w:hAnsiTheme="minorHAnsi"/>
          <w:b/>
          <w:bCs/>
          <w:sz w:val="22"/>
          <w:szCs w:val="22"/>
          <w:lang w:val="es-ES_tradnl" w:eastAsia="ko-KR"/>
        </w:rPr>
        <w:t>ásico</w:t>
      </w:r>
    </w:p>
    <w:p w:rsidR="00471803" w:rsidRPr="00115A9E" w:rsidRDefault="00471803" w:rsidP="008A3C79">
      <w:pPr>
        <w:ind w:left="426" w:hanging="426"/>
        <w:rPr>
          <w:rFonts w:asciiTheme="minorHAnsi" w:eastAsia="Batang" w:hAnsiTheme="minorHAnsi"/>
          <w:b/>
          <w:bCs/>
          <w:sz w:val="22"/>
          <w:szCs w:val="22"/>
          <w:lang w:val="es-ES_tradnl" w:eastAsia="ko-KR"/>
        </w:rPr>
      </w:pPr>
    </w:p>
    <w:p w:rsidR="008A3C79" w:rsidRPr="00115A9E" w:rsidRDefault="00B60054"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En el Anexo 5 </w:t>
      </w:r>
      <w:r w:rsidR="00530387" w:rsidRPr="00115A9E">
        <w:rPr>
          <w:rFonts w:asciiTheme="minorHAnsi" w:eastAsia="Batang" w:hAnsiTheme="minorHAnsi"/>
          <w:bCs/>
          <w:sz w:val="22"/>
          <w:szCs w:val="22"/>
          <w:lang w:val="es-ES_tradnl" w:eastAsia="ko-KR"/>
        </w:rPr>
        <w:t xml:space="preserve">adjunto </w:t>
      </w:r>
      <w:r w:rsidR="009813B4" w:rsidRPr="00115A9E">
        <w:rPr>
          <w:rFonts w:asciiTheme="minorHAnsi" w:eastAsia="Batang" w:hAnsiTheme="minorHAnsi"/>
          <w:bCs/>
          <w:sz w:val="22"/>
          <w:szCs w:val="22"/>
          <w:lang w:val="es-ES_tradnl" w:eastAsia="ko-KR"/>
        </w:rPr>
        <w:t xml:space="preserve">figura una breve sinopsis de </w:t>
      </w:r>
      <w:r w:rsidRPr="00115A9E">
        <w:rPr>
          <w:rFonts w:asciiTheme="minorHAnsi" w:eastAsia="Batang" w:hAnsiTheme="minorHAnsi"/>
          <w:bCs/>
          <w:sz w:val="22"/>
          <w:szCs w:val="22"/>
          <w:lang w:val="es-ES_tradnl" w:eastAsia="ko-KR"/>
        </w:rPr>
        <w:t>la f</w:t>
      </w:r>
      <w:r w:rsidR="006977EB" w:rsidRPr="00115A9E">
        <w:rPr>
          <w:rFonts w:asciiTheme="minorHAnsi" w:eastAsia="Batang" w:hAnsiTheme="minorHAnsi"/>
          <w:bCs/>
          <w:sz w:val="22"/>
          <w:szCs w:val="22"/>
          <w:lang w:val="es-ES_tradnl" w:eastAsia="ko-KR"/>
        </w:rPr>
        <w:t>orma en que se ha utilizado el presupuesto b</w:t>
      </w:r>
      <w:r w:rsidRPr="00115A9E">
        <w:rPr>
          <w:rFonts w:asciiTheme="minorHAnsi" w:eastAsia="Batang" w:hAnsiTheme="minorHAnsi"/>
          <w:bCs/>
          <w:sz w:val="22"/>
          <w:szCs w:val="22"/>
          <w:lang w:val="es-ES_tradnl" w:eastAsia="ko-KR"/>
        </w:rPr>
        <w:t xml:space="preserve">ásico establecido en la </w:t>
      </w:r>
      <w:r w:rsidR="00471803" w:rsidRPr="00115A9E">
        <w:rPr>
          <w:rFonts w:asciiTheme="minorHAnsi" w:eastAsia="Batang" w:hAnsiTheme="minorHAnsi"/>
          <w:bCs/>
          <w:sz w:val="22"/>
          <w:szCs w:val="22"/>
          <w:lang w:val="es-ES_tradnl" w:eastAsia="ko-KR"/>
        </w:rPr>
        <w:t>COP1</w:t>
      </w:r>
      <w:r w:rsidR="007F2EBB" w:rsidRPr="00115A9E">
        <w:rPr>
          <w:rFonts w:asciiTheme="minorHAnsi" w:eastAsia="Batang" w:hAnsiTheme="minorHAnsi"/>
          <w:bCs/>
          <w:sz w:val="22"/>
          <w:szCs w:val="22"/>
          <w:lang w:val="es-ES_tradnl" w:eastAsia="ko-KR"/>
        </w:rPr>
        <w:t>1</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Las Partes recordarán que la </w:t>
      </w:r>
      <w:r w:rsidR="00471803" w:rsidRPr="00115A9E">
        <w:rPr>
          <w:rFonts w:asciiTheme="minorHAnsi" w:eastAsia="Batang" w:hAnsiTheme="minorHAnsi"/>
          <w:bCs/>
          <w:sz w:val="22"/>
          <w:szCs w:val="22"/>
          <w:lang w:val="es-ES_tradnl" w:eastAsia="ko-KR"/>
        </w:rPr>
        <w:t>COP1</w:t>
      </w:r>
      <w:r w:rsidR="00F50992" w:rsidRPr="00115A9E">
        <w:rPr>
          <w:rFonts w:asciiTheme="minorHAnsi" w:eastAsia="Batang" w:hAnsiTheme="minorHAnsi"/>
          <w:bCs/>
          <w:sz w:val="22"/>
          <w:szCs w:val="22"/>
          <w:lang w:val="es-ES_tradnl" w:eastAsia="ko-KR"/>
        </w:rPr>
        <w:t>1</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aprobó un incremento anual del </w:t>
      </w:r>
      <w:r w:rsidR="00F50992" w:rsidRPr="00115A9E">
        <w:rPr>
          <w:rFonts w:asciiTheme="minorHAnsi" w:eastAsia="Batang" w:hAnsiTheme="minorHAnsi"/>
          <w:bCs/>
          <w:sz w:val="22"/>
          <w:szCs w:val="22"/>
          <w:lang w:val="es-ES_tradnl" w:eastAsia="ko-KR"/>
        </w:rPr>
        <w:t>0</w:t>
      </w:r>
      <w:r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en las contribuciones de las Partes para </w:t>
      </w:r>
      <w:r w:rsidR="00471803" w:rsidRPr="00115A9E">
        <w:rPr>
          <w:rFonts w:asciiTheme="minorHAnsi" w:eastAsia="Batang" w:hAnsiTheme="minorHAnsi"/>
          <w:bCs/>
          <w:sz w:val="22"/>
          <w:szCs w:val="22"/>
          <w:lang w:val="es-ES_tradnl" w:eastAsia="ko-KR"/>
        </w:rPr>
        <w:t>20</w:t>
      </w:r>
      <w:r w:rsidR="00F50992" w:rsidRPr="00115A9E">
        <w:rPr>
          <w:rFonts w:asciiTheme="minorHAnsi" w:eastAsia="Batang" w:hAnsiTheme="minorHAnsi"/>
          <w:bCs/>
          <w:sz w:val="22"/>
          <w:szCs w:val="22"/>
          <w:lang w:val="es-ES_tradnl" w:eastAsia="ko-KR"/>
        </w:rPr>
        <w:t>13</w:t>
      </w:r>
      <w:r w:rsidR="00471803" w:rsidRPr="00115A9E">
        <w:rPr>
          <w:rFonts w:asciiTheme="minorHAnsi" w:eastAsia="Batang" w:hAnsiTheme="minorHAnsi"/>
          <w:bCs/>
          <w:sz w:val="22"/>
          <w:szCs w:val="22"/>
          <w:lang w:val="es-ES_tradnl" w:eastAsia="ko-KR"/>
        </w:rPr>
        <w:t>-201</w:t>
      </w:r>
      <w:r w:rsidR="00F50992" w:rsidRPr="00115A9E">
        <w:rPr>
          <w:rFonts w:asciiTheme="minorHAnsi" w:eastAsia="Batang" w:hAnsiTheme="minorHAnsi"/>
          <w:bCs/>
          <w:sz w:val="22"/>
          <w:szCs w:val="22"/>
          <w:lang w:val="es-ES_tradnl" w:eastAsia="ko-KR"/>
        </w:rPr>
        <w:t>5</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Se han convenido con el Comité Permanente revisiones anuales de los presupuestos aprobados por la </w:t>
      </w:r>
      <w:r w:rsidR="00471803" w:rsidRPr="00115A9E">
        <w:rPr>
          <w:rFonts w:asciiTheme="minorHAnsi" w:eastAsia="Batang" w:hAnsiTheme="minorHAnsi"/>
          <w:bCs/>
          <w:sz w:val="22"/>
          <w:szCs w:val="22"/>
          <w:lang w:val="es-ES_tradnl" w:eastAsia="ko-KR"/>
        </w:rPr>
        <w:t>COP</w:t>
      </w:r>
      <w:r w:rsidR="00F50992" w:rsidRPr="00115A9E">
        <w:rPr>
          <w:rFonts w:asciiTheme="minorHAnsi" w:eastAsia="Batang" w:hAnsiTheme="minorHAnsi"/>
          <w:bCs/>
          <w:sz w:val="22"/>
          <w:szCs w:val="22"/>
          <w:lang w:val="es-ES_tradnl" w:eastAsia="ko-KR"/>
        </w:rPr>
        <w:t>11</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para </w:t>
      </w:r>
      <w:r w:rsidR="00471803" w:rsidRPr="00115A9E">
        <w:rPr>
          <w:rFonts w:asciiTheme="minorHAnsi" w:eastAsia="Batang" w:hAnsiTheme="minorHAnsi"/>
          <w:bCs/>
          <w:sz w:val="22"/>
          <w:szCs w:val="22"/>
          <w:lang w:val="es-ES_tradnl" w:eastAsia="ko-KR"/>
        </w:rPr>
        <w:t>201</w:t>
      </w:r>
      <w:r w:rsidR="00F50992" w:rsidRPr="00115A9E">
        <w:rPr>
          <w:rFonts w:asciiTheme="minorHAnsi" w:eastAsia="Batang" w:hAnsiTheme="minorHAnsi"/>
          <w:bCs/>
          <w:sz w:val="22"/>
          <w:szCs w:val="22"/>
          <w:lang w:val="es-ES_tradnl" w:eastAsia="ko-KR"/>
        </w:rPr>
        <w:t>4</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y </w:t>
      </w:r>
      <w:r w:rsidR="00471803" w:rsidRPr="00115A9E">
        <w:rPr>
          <w:rFonts w:asciiTheme="minorHAnsi" w:eastAsia="Batang" w:hAnsiTheme="minorHAnsi"/>
          <w:bCs/>
          <w:sz w:val="22"/>
          <w:szCs w:val="22"/>
          <w:lang w:val="es-ES_tradnl" w:eastAsia="ko-KR"/>
        </w:rPr>
        <w:t>201</w:t>
      </w:r>
      <w:r w:rsidR="00F50992" w:rsidRPr="00115A9E">
        <w:rPr>
          <w:rFonts w:asciiTheme="minorHAnsi" w:eastAsia="Batang" w:hAnsiTheme="minorHAnsi"/>
          <w:bCs/>
          <w:sz w:val="22"/>
          <w:szCs w:val="22"/>
          <w:lang w:val="es-ES_tradnl" w:eastAsia="ko-KR"/>
        </w:rPr>
        <w:t>5</w:t>
      </w:r>
      <w:r w:rsidRPr="00115A9E">
        <w:rPr>
          <w:rFonts w:asciiTheme="minorHAnsi" w:eastAsia="Batang" w:hAnsiTheme="minorHAnsi"/>
          <w:bCs/>
          <w:sz w:val="22"/>
          <w:szCs w:val="22"/>
          <w:lang w:val="es-ES_tradnl" w:eastAsia="ko-KR"/>
        </w:rPr>
        <w:t>, con objeto de reflejar la situación real</w:t>
      </w:r>
      <w:r w:rsidR="00471803"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471803" w:rsidRPr="00115A9E" w:rsidRDefault="006977EB"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hAnsiTheme="minorHAnsi"/>
          <w:sz w:val="22"/>
          <w:szCs w:val="22"/>
          <w:lang w:val="es-ES_tradnl"/>
        </w:rPr>
        <w:t>Los tres escenarios del presupuesto b</w:t>
      </w:r>
      <w:r w:rsidR="00B60054" w:rsidRPr="00115A9E">
        <w:rPr>
          <w:rFonts w:asciiTheme="minorHAnsi" w:hAnsiTheme="minorHAnsi"/>
          <w:sz w:val="22"/>
          <w:szCs w:val="22"/>
          <w:lang w:val="es-ES_tradnl"/>
        </w:rPr>
        <w:t xml:space="preserve">ásico para </w:t>
      </w:r>
      <w:r w:rsidR="00471803" w:rsidRPr="00115A9E">
        <w:rPr>
          <w:rFonts w:asciiTheme="minorHAnsi" w:hAnsiTheme="minorHAnsi"/>
          <w:sz w:val="22"/>
          <w:szCs w:val="22"/>
          <w:lang w:val="es-ES_tradnl"/>
        </w:rPr>
        <w:t>201</w:t>
      </w:r>
      <w:r w:rsidR="00D910C1" w:rsidRPr="00115A9E">
        <w:rPr>
          <w:rFonts w:asciiTheme="minorHAnsi" w:hAnsiTheme="minorHAnsi"/>
          <w:sz w:val="22"/>
          <w:szCs w:val="22"/>
          <w:lang w:val="es-ES_tradnl"/>
        </w:rPr>
        <w:t>6</w:t>
      </w:r>
      <w:r w:rsidR="00471803" w:rsidRPr="00115A9E">
        <w:rPr>
          <w:rFonts w:asciiTheme="minorHAnsi" w:hAnsiTheme="minorHAnsi"/>
          <w:sz w:val="22"/>
          <w:szCs w:val="22"/>
          <w:lang w:val="es-ES_tradnl"/>
        </w:rPr>
        <w:t>-201</w:t>
      </w:r>
      <w:r w:rsidR="00D910C1" w:rsidRPr="00115A9E">
        <w:rPr>
          <w:rFonts w:asciiTheme="minorHAnsi" w:hAnsiTheme="minorHAnsi"/>
          <w:sz w:val="22"/>
          <w:szCs w:val="22"/>
          <w:lang w:val="es-ES_tradnl"/>
        </w:rPr>
        <w:t>8</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presentado para su examen por la </w:t>
      </w:r>
      <w:r w:rsidR="00471803" w:rsidRPr="00115A9E">
        <w:rPr>
          <w:rFonts w:asciiTheme="minorHAnsi" w:hAnsiTheme="minorHAnsi"/>
          <w:sz w:val="22"/>
          <w:szCs w:val="22"/>
          <w:lang w:val="es-ES_tradnl"/>
        </w:rPr>
        <w:t>COP1</w:t>
      </w:r>
      <w:r w:rsidR="00D910C1" w:rsidRPr="00115A9E">
        <w:rPr>
          <w:rFonts w:asciiTheme="minorHAnsi" w:hAnsiTheme="minorHAnsi"/>
          <w:sz w:val="22"/>
          <w:szCs w:val="22"/>
          <w:lang w:val="es-ES_tradnl"/>
        </w:rPr>
        <w:t>2</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figuran en el Anexo </w:t>
      </w:r>
      <w:r w:rsidR="00E9458E" w:rsidRPr="00115A9E">
        <w:rPr>
          <w:rFonts w:asciiTheme="minorHAnsi" w:hAnsiTheme="minorHAnsi"/>
          <w:sz w:val="22"/>
          <w:szCs w:val="22"/>
          <w:lang w:val="es-ES_tradnl"/>
        </w:rPr>
        <w:t>1</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En el Anexo </w:t>
      </w:r>
      <w:r w:rsidR="00E9458E" w:rsidRPr="00115A9E">
        <w:rPr>
          <w:rFonts w:asciiTheme="minorHAnsi" w:hAnsiTheme="minorHAnsi"/>
          <w:sz w:val="22"/>
          <w:szCs w:val="22"/>
          <w:lang w:val="es-ES_tradnl"/>
        </w:rPr>
        <w:t>3</w:t>
      </w:r>
      <w:r w:rsidR="00471803" w:rsidRPr="00115A9E">
        <w:rPr>
          <w:rFonts w:asciiTheme="minorHAnsi" w:hAnsiTheme="minorHAnsi"/>
          <w:sz w:val="22"/>
          <w:szCs w:val="22"/>
          <w:lang w:val="es-ES_tradnl"/>
        </w:rPr>
        <w:t xml:space="preserve"> </w:t>
      </w:r>
      <w:r w:rsidR="00B60054" w:rsidRPr="00115A9E">
        <w:rPr>
          <w:rFonts w:asciiTheme="minorHAnsi" w:hAnsiTheme="minorHAnsi"/>
          <w:sz w:val="22"/>
          <w:szCs w:val="22"/>
          <w:lang w:val="es-ES_tradnl"/>
        </w:rPr>
        <w:t xml:space="preserve">se </w:t>
      </w:r>
      <w:r w:rsidR="0090452E" w:rsidRPr="00115A9E">
        <w:rPr>
          <w:rFonts w:asciiTheme="minorHAnsi" w:hAnsiTheme="minorHAnsi"/>
          <w:sz w:val="22"/>
          <w:szCs w:val="22"/>
          <w:lang w:val="es-ES_tradnl"/>
        </w:rPr>
        <w:t>muestran</w:t>
      </w:r>
      <w:r w:rsidR="00B60054" w:rsidRPr="00115A9E">
        <w:rPr>
          <w:rFonts w:asciiTheme="minorHAnsi" w:hAnsiTheme="minorHAnsi"/>
          <w:sz w:val="22"/>
          <w:szCs w:val="22"/>
          <w:lang w:val="es-ES_tradnl"/>
        </w:rPr>
        <w:t xml:space="preserve"> las contribuciones de las Partes para </w:t>
      </w:r>
      <w:r w:rsidR="00B60054" w:rsidRPr="00115A9E">
        <w:rPr>
          <w:rFonts w:asciiTheme="minorHAnsi" w:hAnsiTheme="minorHAnsi"/>
          <w:sz w:val="22"/>
          <w:szCs w:val="22"/>
          <w:lang w:val="es-ES_tradnl"/>
        </w:rPr>
        <w:lastRenderedPageBreak/>
        <w:t>las dos alternativas</w:t>
      </w:r>
      <w:r w:rsidR="0090452E" w:rsidRPr="00115A9E">
        <w:rPr>
          <w:rFonts w:asciiTheme="minorHAnsi" w:hAnsiTheme="minorHAnsi"/>
          <w:sz w:val="22"/>
          <w:szCs w:val="22"/>
          <w:lang w:val="es-ES_tradnl"/>
        </w:rPr>
        <w:t>, en cifras indicativas</w:t>
      </w:r>
      <w:r w:rsidR="00B60054" w:rsidRPr="00115A9E">
        <w:rPr>
          <w:rFonts w:asciiTheme="minorHAnsi" w:hAnsiTheme="minorHAnsi"/>
          <w:sz w:val="22"/>
          <w:szCs w:val="22"/>
          <w:lang w:val="es-ES_tradnl"/>
        </w:rPr>
        <w:t xml:space="preserve"> </w:t>
      </w:r>
      <w:r w:rsidR="00471803" w:rsidRPr="00115A9E">
        <w:rPr>
          <w:rFonts w:asciiTheme="minorHAnsi" w:hAnsiTheme="minorHAnsi"/>
          <w:sz w:val="22"/>
          <w:szCs w:val="22"/>
          <w:lang w:val="es-ES_tradnl"/>
        </w:rPr>
        <w:t>(</w:t>
      </w:r>
      <w:r w:rsidR="00B60054" w:rsidRPr="00115A9E">
        <w:rPr>
          <w:rFonts w:asciiTheme="minorHAnsi" w:hAnsiTheme="minorHAnsi"/>
          <w:sz w:val="22"/>
          <w:szCs w:val="22"/>
          <w:lang w:val="es-ES_tradnl"/>
        </w:rPr>
        <w:t>en la hipótesis de que no haya cambios en la escala de cuotas de las Naciones Unidas ni en el número de Partes Contratantes</w:t>
      </w:r>
      <w:r w:rsidR="00471803" w:rsidRPr="00115A9E">
        <w:rPr>
          <w:rFonts w:asciiTheme="minorHAnsi" w:hAnsiTheme="minorHAnsi"/>
          <w:sz w:val="22"/>
          <w:szCs w:val="22"/>
          <w:lang w:val="es-ES_tradnl"/>
        </w:rPr>
        <w:t>).</w:t>
      </w:r>
    </w:p>
    <w:p w:rsidR="006755E7" w:rsidRPr="00115A9E" w:rsidRDefault="006755E7">
      <w:pPr>
        <w:spacing w:after="200" w:line="276" w:lineRule="auto"/>
        <w:rPr>
          <w:rFonts w:asciiTheme="minorHAnsi" w:eastAsia="Batang" w:hAnsiTheme="minorHAnsi"/>
          <w:b/>
          <w:bCs/>
          <w:sz w:val="22"/>
          <w:szCs w:val="22"/>
          <w:lang w:val="es-ES_tradnl" w:eastAsia="ko-KR"/>
        </w:rPr>
      </w:pPr>
    </w:p>
    <w:p w:rsidR="00471803" w:rsidRPr="00115A9E" w:rsidRDefault="006977EB" w:rsidP="008A3C79">
      <w:pPr>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Presupuesto b</w:t>
      </w:r>
      <w:r w:rsidR="00B60054" w:rsidRPr="00115A9E">
        <w:rPr>
          <w:rFonts w:asciiTheme="minorHAnsi" w:eastAsia="Batang" w:hAnsiTheme="minorHAnsi"/>
          <w:b/>
          <w:bCs/>
          <w:sz w:val="22"/>
          <w:szCs w:val="22"/>
          <w:lang w:val="es-ES_tradnl" w:eastAsia="ko-KR"/>
        </w:rPr>
        <w:t xml:space="preserve">ásico para </w:t>
      </w:r>
      <w:r w:rsidR="00471803" w:rsidRPr="00115A9E">
        <w:rPr>
          <w:rFonts w:asciiTheme="minorHAnsi" w:eastAsia="Batang" w:hAnsiTheme="minorHAnsi"/>
          <w:b/>
          <w:bCs/>
          <w:sz w:val="22"/>
          <w:szCs w:val="22"/>
          <w:lang w:val="es-ES_tradnl" w:eastAsia="ko-KR"/>
        </w:rPr>
        <w:t>201</w:t>
      </w:r>
      <w:r w:rsidR="004B18CA" w:rsidRPr="00115A9E">
        <w:rPr>
          <w:rFonts w:asciiTheme="minorHAnsi" w:eastAsia="Batang" w:hAnsiTheme="minorHAnsi"/>
          <w:b/>
          <w:bCs/>
          <w:sz w:val="22"/>
          <w:szCs w:val="22"/>
          <w:lang w:val="es-ES_tradnl" w:eastAsia="ko-KR"/>
        </w:rPr>
        <w:t>6</w:t>
      </w:r>
      <w:r w:rsidR="00471803" w:rsidRPr="00115A9E">
        <w:rPr>
          <w:rFonts w:asciiTheme="minorHAnsi" w:eastAsia="Batang" w:hAnsiTheme="minorHAnsi"/>
          <w:b/>
          <w:bCs/>
          <w:sz w:val="22"/>
          <w:szCs w:val="22"/>
          <w:lang w:val="es-ES_tradnl" w:eastAsia="ko-KR"/>
        </w:rPr>
        <w:t>-201</w:t>
      </w:r>
      <w:r w:rsidR="00100B92" w:rsidRPr="00115A9E">
        <w:rPr>
          <w:rFonts w:asciiTheme="minorHAnsi" w:eastAsia="Batang" w:hAnsiTheme="minorHAnsi"/>
          <w:b/>
          <w:bCs/>
          <w:sz w:val="22"/>
          <w:szCs w:val="22"/>
          <w:lang w:val="es-ES_tradnl" w:eastAsia="ko-KR"/>
        </w:rPr>
        <w:t>8</w:t>
      </w:r>
      <w:r w:rsidR="00471803" w:rsidRPr="00115A9E">
        <w:rPr>
          <w:rFonts w:asciiTheme="minorHAnsi" w:eastAsia="Batang" w:hAnsiTheme="minorHAnsi"/>
          <w:b/>
          <w:bCs/>
          <w:sz w:val="22"/>
          <w:szCs w:val="22"/>
          <w:lang w:val="es-ES_tradnl" w:eastAsia="ko-KR"/>
        </w:rPr>
        <w:t xml:space="preserve"> – </w:t>
      </w:r>
      <w:r w:rsidR="00B60054" w:rsidRPr="00115A9E">
        <w:rPr>
          <w:rFonts w:asciiTheme="minorHAnsi" w:eastAsia="Batang" w:hAnsiTheme="minorHAnsi"/>
          <w:b/>
          <w:bCs/>
          <w:sz w:val="22"/>
          <w:szCs w:val="22"/>
          <w:lang w:val="es-ES_tradnl" w:eastAsia="ko-KR"/>
        </w:rPr>
        <w:t>Ingresos en concepto de contribuciones</w:t>
      </w:r>
    </w:p>
    <w:p w:rsidR="00471803" w:rsidRPr="00115A9E" w:rsidRDefault="00471803" w:rsidP="008A3C79">
      <w:pPr>
        <w:ind w:left="426" w:hanging="426"/>
        <w:rPr>
          <w:rFonts w:asciiTheme="minorHAnsi" w:eastAsia="Batang" w:hAnsiTheme="minorHAnsi"/>
          <w:b/>
          <w:bCs/>
          <w:sz w:val="22"/>
          <w:szCs w:val="22"/>
          <w:lang w:val="es-ES_tradnl" w:eastAsia="ko-KR"/>
        </w:rPr>
      </w:pPr>
    </w:p>
    <w:p w:rsidR="00471803" w:rsidRPr="00115A9E" w:rsidRDefault="0092006B"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El punto de partida para los presupuestos básicos correspondientes a </w:t>
      </w:r>
      <w:r w:rsidR="00471803" w:rsidRPr="00115A9E">
        <w:rPr>
          <w:rFonts w:asciiTheme="minorHAnsi" w:eastAsia="Batang" w:hAnsiTheme="minorHAnsi"/>
          <w:bCs/>
          <w:sz w:val="22"/>
          <w:szCs w:val="22"/>
          <w:lang w:val="es-ES_tradnl" w:eastAsia="ko-KR"/>
        </w:rPr>
        <w:t>201</w:t>
      </w:r>
      <w:r w:rsidR="004B18CA" w:rsidRPr="00115A9E">
        <w:rPr>
          <w:rFonts w:asciiTheme="minorHAnsi" w:eastAsia="Batang" w:hAnsiTheme="minorHAnsi"/>
          <w:bCs/>
          <w:sz w:val="22"/>
          <w:szCs w:val="22"/>
          <w:lang w:val="es-ES_tradnl" w:eastAsia="ko-KR"/>
        </w:rPr>
        <w:t>6</w:t>
      </w:r>
      <w:r w:rsidR="00471803" w:rsidRPr="00115A9E">
        <w:rPr>
          <w:rFonts w:asciiTheme="minorHAnsi" w:eastAsia="Batang" w:hAnsiTheme="minorHAnsi"/>
          <w:bCs/>
          <w:sz w:val="22"/>
          <w:szCs w:val="22"/>
          <w:lang w:val="es-ES_tradnl" w:eastAsia="ko-KR"/>
        </w:rPr>
        <w:t>-201</w:t>
      </w:r>
      <w:r w:rsidR="004B18CA" w:rsidRPr="00115A9E">
        <w:rPr>
          <w:rFonts w:asciiTheme="minorHAnsi" w:eastAsia="Batang" w:hAnsiTheme="minorHAnsi"/>
          <w:bCs/>
          <w:sz w:val="22"/>
          <w:szCs w:val="22"/>
          <w:lang w:val="es-ES_tradnl" w:eastAsia="ko-KR"/>
        </w:rPr>
        <w:t>8</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son las contribuciones </w:t>
      </w:r>
      <w:r w:rsidR="00ED7D78" w:rsidRPr="00115A9E">
        <w:rPr>
          <w:rFonts w:asciiTheme="minorHAnsi" w:eastAsia="Batang" w:hAnsiTheme="minorHAnsi"/>
          <w:bCs/>
          <w:sz w:val="22"/>
          <w:szCs w:val="22"/>
          <w:lang w:val="es-ES_tradnl" w:eastAsia="ko-KR"/>
        </w:rPr>
        <w:t xml:space="preserve">al presupuesto básico </w:t>
      </w:r>
      <w:r w:rsidRPr="00115A9E">
        <w:rPr>
          <w:rFonts w:asciiTheme="minorHAnsi" w:eastAsia="Batang" w:hAnsiTheme="minorHAnsi"/>
          <w:bCs/>
          <w:sz w:val="22"/>
          <w:szCs w:val="22"/>
          <w:lang w:val="es-ES_tradnl" w:eastAsia="ko-KR"/>
        </w:rPr>
        <w:t xml:space="preserve">de todas las Partes para </w:t>
      </w:r>
      <w:r w:rsidR="00471803" w:rsidRPr="00115A9E">
        <w:rPr>
          <w:rFonts w:asciiTheme="minorHAnsi" w:eastAsia="Batang" w:hAnsiTheme="minorHAnsi"/>
          <w:bCs/>
          <w:sz w:val="22"/>
          <w:szCs w:val="22"/>
          <w:lang w:val="es-ES_tradnl" w:eastAsia="ko-KR"/>
        </w:rPr>
        <w:t>201</w:t>
      </w:r>
      <w:r w:rsidR="004B18CA" w:rsidRPr="00115A9E">
        <w:rPr>
          <w:rFonts w:asciiTheme="minorHAnsi" w:eastAsia="Batang" w:hAnsiTheme="minorHAnsi"/>
          <w:bCs/>
          <w:sz w:val="22"/>
          <w:szCs w:val="22"/>
          <w:lang w:val="es-ES_tradnl" w:eastAsia="ko-KR"/>
        </w:rPr>
        <w:t>5</w:t>
      </w:r>
      <w:r w:rsidR="00ED7D78" w:rsidRPr="00115A9E">
        <w:rPr>
          <w:rFonts w:asciiTheme="minorHAnsi" w:eastAsia="Batang" w:hAnsiTheme="minorHAnsi"/>
          <w:bCs/>
          <w:sz w:val="22"/>
          <w:szCs w:val="22"/>
          <w:lang w:val="es-ES_tradnl" w:eastAsia="ko-KR"/>
        </w:rPr>
        <w:t xml:space="preserve"> </w:t>
      </w:r>
      <w:r w:rsidR="001C5E71" w:rsidRPr="00115A9E">
        <w:rPr>
          <w:rFonts w:asciiTheme="minorHAnsi" w:eastAsia="Batang" w:hAnsiTheme="minorHAnsi"/>
          <w:bCs/>
          <w:sz w:val="22"/>
          <w:szCs w:val="22"/>
          <w:lang w:val="es-ES_tradnl" w:eastAsia="ko-KR"/>
        </w:rPr>
        <w:t xml:space="preserve">aprobadas por </w:t>
      </w:r>
      <w:r w:rsidRPr="00115A9E">
        <w:rPr>
          <w:rFonts w:asciiTheme="minorHAnsi" w:eastAsia="Batang" w:hAnsiTheme="minorHAnsi"/>
          <w:bCs/>
          <w:sz w:val="22"/>
          <w:szCs w:val="22"/>
          <w:lang w:val="es-ES_tradnl" w:eastAsia="ko-KR"/>
        </w:rPr>
        <w:t xml:space="preserve">la </w:t>
      </w:r>
      <w:r w:rsidR="00471803" w:rsidRPr="00115A9E">
        <w:rPr>
          <w:rFonts w:asciiTheme="minorHAnsi" w:eastAsia="Batang" w:hAnsiTheme="minorHAnsi"/>
          <w:bCs/>
          <w:sz w:val="22"/>
          <w:szCs w:val="22"/>
          <w:lang w:val="es-ES_tradnl" w:eastAsia="ko-KR"/>
        </w:rPr>
        <w:t>COP1</w:t>
      </w:r>
      <w:r w:rsidR="004B18CA" w:rsidRPr="00115A9E">
        <w:rPr>
          <w:rFonts w:asciiTheme="minorHAnsi" w:eastAsia="Batang" w:hAnsiTheme="minorHAnsi"/>
          <w:bCs/>
          <w:sz w:val="22"/>
          <w:szCs w:val="22"/>
          <w:lang w:val="es-ES_tradnl" w:eastAsia="ko-KR"/>
        </w:rPr>
        <w:t>1</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El escenario </w:t>
      </w:r>
      <w:r w:rsidR="00471803" w:rsidRPr="00115A9E">
        <w:rPr>
          <w:rFonts w:asciiTheme="minorHAnsi" w:eastAsia="Batang" w:hAnsiTheme="minorHAnsi"/>
          <w:bCs/>
          <w:sz w:val="22"/>
          <w:szCs w:val="22"/>
          <w:lang w:val="es-ES_tradnl" w:eastAsia="ko-KR"/>
        </w:rPr>
        <w:t xml:space="preserve">A </w:t>
      </w:r>
      <w:r w:rsidR="00ED7D78" w:rsidRPr="00115A9E">
        <w:rPr>
          <w:rFonts w:asciiTheme="minorHAnsi" w:eastAsia="Batang" w:hAnsiTheme="minorHAnsi"/>
          <w:bCs/>
          <w:sz w:val="22"/>
          <w:szCs w:val="22"/>
          <w:lang w:val="es-ES_tradnl" w:eastAsia="ko-KR"/>
        </w:rPr>
        <w:t xml:space="preserve">presupone que esas contribuciones </w:t>
      </w:r>
      <w:r w:rsidR="00471803" w:rsidRPr="00115A9E">
        <w:rPr>
          <w:rFonts w:asciiTheme="minorHAnsi" w:eastAsia="Batang" w:hAnsiTheme="minorHAnsi"/>
          <w:bCs/>
          <w:sz w:val="22"/>
          <w:szCs w:val="22"/>
          <w:lang w:val="es-ES_tradnl" w:eastAsia="ko-KR"/>
        </w:rPr>
        <w:t>(</w:t>
      </w:r>
      <w:r w:rsidR="00ED7D78" w:rsidRPr="00115A9E">
        <w:rPr>
          <w:rFonts w:asciiTheme="minorHAnsi" w:eastAsia="Batang" w:hAnsiTheme="minorHAnsi"/>
          <w:bCs/>
          <w:sz w:val="22"/>
          <w:szCs w:val="22"/>
          <w:lang w:val="es-ES_tradnl" w:eastAsia="ko-KR"/>
        </w:rPr>
        <w:t>en su importe total</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no varían para </w:t>
      </w:r>
      <w:r w:rsidR="00471803" w:rsidRPr="00115A9E">
        <w:rPr>
          <w:rFonts w:asciiTheme="minorHAnsi" w:eastAsia="Batang" w:hAnsiTheme="minorHAnsi"/>
          <w:bCs/>
          <w:sz w:val="22"/>
          <w:szCs w:val="22"/>
          <w:lang w:val="es-ES_tradnl" w:eastAsia="ko-KR"/>
        </w:rPr>
        <w:t>201</w:t>
      </w:r>
      <w:r w:rsidR="004B18CA" w:rsidRPr="00115A9E">
        <w:rPr>
          <w:rFonts w:asciiTheme="minorHAnsi" w:eastAsia="Batang" w:hAnsiTheme="minorHAnsi"/>
          <w:bCs/>
          <w:sz w:val="22"/>
          <w:szCs w:val="22"/>
          <w:lang w:val="es-ES_tradnl" w:eastAsia="ko-KR"/>
        </w:rPr>
        <w:t>6</w:t>
      </w:r>
      <w:r w:rsidR="00471803" w:rsidRPr="00115A9E">
        <w:rPr>
          <w:rFonts w:asciiTheme="minorHAnsi" w:eastAsia="Batang" w:hAnsiTheme="minorHAnsi"/>
          <w:bCs/>
          <w:sz w:val="22"/>
          <w:szCs w:val="22"/>
          <w:lang w:val="es-ES_tradnl" w:eastAsia="ko-KR"/>
        </w:rPr>
        <w:t>, 201</w:t>
      </w:r>
      <w:r w:rsidR="004B18CA" w:rsidRPr="00115A9E">
        <w:rPr>
          <w:rFonts w:asciiTheme="minorHAnsi" w:eastAsia="Batang" w:hAnsiTheme="minorHAnsi"/>
          <w:bCs/>
          <w:sz w:val="22"/>
          <w:szCs w:val="22"/>
          <w:lang w:val="es-ES_tradnl" w:eastAsia="ko-KR"/>
        </w:rPr>
        <w:t>7</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y </w:t>
      </w:r>
      <w:r w:rsidR="00471803" w:rsidRPr="00115A9E">
        <w:rPr>
          <w:rFonts w:asciiTheme="minorHAnsi" w:eastAsia="Batang" w:hAnsiTheme="minorHAnsi"/>
          <w:bCs/>
          <w:sz w:val="22"/>
          <w:szCs w:val="22"/>
          <w:lang w:val="es-ES_tradnl" w:eastAsia="ko-KR"/>
        </w:rPr>
        <w:t>201</w:t>
      </w:r>
      <w:r w:rsidR="004B18CA" w:rsidRPr="00115A9E">
        <w:rPr>
          <w:rFonts w:asciiTheme="minorHAnsi" w:eastAsia="Batang" w:hAnsiTheme="minorHAnsi"/>
          <w:bCs/>
          <w:sz w:val="22"/>
          <w:szCs w:val="22"/>
          <w:lang w:val="es-ES_tradnl" w:eastAsia="ko-KR"/>
        </w:rPr>
        <w:t>8</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El escenario </w:t>
      </w:r>
      <w:r w:rsidR="00471803" w:rsidRPr="00115A9E">
        <w:rPr>
          <w:rFonts w:asciiTheme="minorHAnsi" w:eastAsia="Batang" w:hAnsiTheme="minorHAnsi"/>
          <w:bCs/>
          <w:sz w:val="22"/>
          <w:szCs w:val="22"/>
          <w:lang w:val="es-ES_tradnl" w:eastAsia="ko-KR"/>
        </w:rPr>
        <w:t xml:space="preserve">B </w:t>
      </w:r>
      <w:r w:rsidR="00ED7D78" w:rsidRPr="00115A9E">
        <w:rPr>
          <w:rFonts w:asciiTheme="minorHAnsi" w:eastAsia="Batang" w:hAnsiTheme="minorHAnsi"/>
          <w:bCs/>
          <w:sz w:val="22"/>
          <w:szCs w:val="22"/>
          <w:lang w:val="es-ES_tradnl" w:eastAsia="ko-KR"/>
        </w:rPr>
        <w:t xml:space="preserve">se basa en la hipótesis de que esas contribuciones aumentan en un </w:t>
      </w:r>
      <w:r w:rsidR="00471803" w:rsidRPr="00115A9E">
        <w:rPr>
          <w:rFonts w:asciiTheme="minorHAnsi" w:eastAsia="Batang" w:hAnsiTheme="minorHAnsi"/>
          <w:bCs/>
          <w:sz w:val="22"/>
          <w:szCs w:val="22"/>
          <w:lang w:val="es-ES_tradnl" w:eastAsia="ko-KR"/>
        </w:rPr>
        <w:t>2</w:t>
      </w:r>
      <w:r w:rsidR="00ED7D78"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respecto a </w:t>
      </w:r>
      <w:r w:rsidR="004B18CA" w:rsidRPr="00115A9E">
        <w:rPr>
          <w:rFonts w:asciiTheme="minorHAnsi" w:eastAsia="Batang" w:hAnsiTheme="minorHAnsi"/>
          <w:bCs/>
          <w:sz w:val="22"/>
          <w:szCs w:val="22"/>
          <w:lang w:val="es-ES_tradnl" w:eastAsia="ko-KR"/>
        </w:rPr>
        <w:t xml:space="preserve">2015 </w:t>
      </w:r>
      <w:r w:rsidR="00ED7D78" w:rsidRPr="00115A9E">
        <w:rPr>
          <w:rFonts w:asciiTheme="minorHAnsi" w:eastAsia="Batang" w:hAnsiTheme="minorHAnsi"/>
          <w:bCs/>
          <w:sz w:val="22"/>
          <w:szCs w:val="22"/>
          <w:lang w:val="es-ES_tradnl" w:eastAsia="ko-KR"/>
        </w:rPr>
        <w:t>y permanecen sin cambios en cada uno de los tres años</w:t>
      </w:r>
      <w:r w:rsidR="00471803"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En el escenario </w:t>
      </w:r>
      <w:r w:rsidR="004B18CA" w:rsidRPr="00115A9E">
        <w:rPr>
          <w:rFonts w:asciiTheme="minorHAnsi" w:eastAsia="Batang" w:hAnsiTheme="minorHAnsi"/>
          <w:bCs/>
          <w:sz w:val="22"/>
          <w:szCs w:val="22"/>
          <w:lang w:val="es-ES_tradnl" w:eastAsia="ko-KR"/>
        </w:rPr>
        <w:t>C</w:t>
      </w:r>
      <w:r w:rsidR="00ED7D78" w:rsidRPr="00115A9E">
        <w:rPr>
          <w:rFonts w:asciiTheme="minorHAnsi" w:eastAsia="Batang" w:hAnsiTheme="minorHAnsi"/>
          <w:bCs/>
          <w:sz w:val="22"/>
          <w:szCs w:val="22"/>
          <w:lang w:val="es-ES_tradnl" w:eastAsia="ko-KR"/>
        </w:rPr>
        <w:t xml:space="preserve">, las contribuciones aumentan un </w:t>
      </w:r>
      <w:r w:rsidR="004B18CA" w:rsidRPr="00115A9E">
        <w:rPr>
          <w:rFonts w:asciiTheme="minorHAnsi" w:eastAsia="Batang" w:hAnsiTheme="minorHAnsi"/>
          <w:bCs/>
          <w:sz w:val="22"/>
          <w:szCs w:val="22"/>
          <w:lang w:val="es-ES_tradnl" w:eastAsia="ko-KR"/>
        </w:rPr>
        <w:t>4</w:t>
      </w:r>
      <w:r w:rsidR="00ED7D78" w:rsidRPr="00115A9E">
        <w:rPr>
          <w:rFonts w:asciiTheme="minorHAnsi" w:eastAsia="Batang" w:hAnsiTheme="minorHAnsi"/>
          <w:bCs/>
          <w:sz w:val="22"/>
          <w:szCs w:val="22"/>
          <w:lang w:val="es-ES_tradnl" w:eastAsia="ko-KR"/>
        </w:rPr>
        <w:t> </w:t>
      </w:r>
      <w:r w:rsidR="004B18CA" w:rsidRPr="00115A9E">
        <w:rPr>
          <w:rFonts w:asciiTheme="minorHAnsi" w:eastAsia="Batang" w:hAnsiTheme="minorHAnsi"/>
          <w:bCs/>
          <w:sz w:val="22"/>
          <w:szCs w:val="22"/>
          <w:lang w:val="es-ES_tradnl" w:eastAsia="ko-KR"/>
        </w:rPr>
        <w:t xml:space="preserve">% </w:t>
      </w:r>
      <w:r w:rsidR="00ED7D78" w:rsidRPr="00115A9E">
        <w:rPr>
          <w:rFonts w:asciiTheme="minorHAnsi" w:eastAsia="Batang" w:hAnsiTheme="minorHAnsi"/>
          <w:bCs/>
          <w:sz w:val="22"/>
          <w:szCs w:val="22"/>
          <w:lang w:val="es-ES_tradnl" w:eastAsia="ko-KR"/>
        </w:rPr>
        <w:t xml:space="preserve">respecto a </w:t>
      </w:r>
      <w:r w:rsidR="004B18CA" w:rsidRPr="00115A9E">
        <w:rPr>
          <w:rFonts w:asciiTheme="minorHAnsi" w:eastAsia="Batang" w:hAnsiTheme="minorHAnsi"/>
          <w:bCs/>
          <w:sz w:val="22"/>
          <w:szCs w:val="22"/>
          <w:lang w:val="es-ES_tradnl" w:eastAsia="ko-KR"/>
        </w:rPr>
        <w:t xml:space="preserve">2015 </w:t>
      </w:r>
      <w:r w:rsidR="00ED7D78" w:rsidRPr="00115A9E">
        <w:rPr>
          <w:rFonts w:asciiTheme="minorHAnsi" w:eastAsia="Batang" w:hAnsiTheme="minorHAnsi"/>
          <w:bCs/>
          <w:sz w:val="22"/>
          <w:szCs w:val="22"/>
          <w:lang w:val="es-ES_tradnl" w:eastAsia="ko-KR"/>
        </w:rPr>
        <w:t>y permanecen sin cambios en cada uno de los tres años</w:t>
      </w:r>
      <w:r w:rsidR="004B18CA" w:rsidRPr="00115A9E">
        <w:rPr>
          <w:rFonts w:asciiTheme="minorHAnsi" w:eastAsia="Batang" w:hAnsiTheme="minorHAnsi"/>
          <w:bCs/>
          <w:sz w:val="22"/>
          <w:szCs w:val="22"/>
          <w:lang w:val="es-ES_tradnl" w:eastAsia="ko-KR"/>
        </w:rPr>
        <w:t>.</w:t>
      </w:r>
    </w:p>
    <w:p w:rsidR="00471803" w:rsidRPr="00115A9E" w:rsidRDefault="00471803" w:rsidP="008A3C79">
      <w:pPr>
        <w:ind w:left="426" w:hanging="426"/>
        <w:rPr>
          <w:rFonts w:asciiTheme="minorHAnsi" w:eastAsia="Batang" w:hAnsiTheme="minorHAnsi"/>
          <w:b/>
          <w:bCs/>
          <w:sz w:val="22"/>
          <w:szCs w:val="22"/>
          <w:lang w:val="es-ES_tradnl" w:eastAsia="ko-KR"/>
        </w:rPr>
      </w:pPr>
    </w:p>
    <w:p w:rsidR="00471803" w:rsidRPr="00115A9E" w:rsidRDefault="006977EB" w:rsidP="008A3C79">
      <w:pPr>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Presupuesto b</w:t>
      </w:r>
      <w:r w:rsidR="001E1F74" w:rsidRPr="00115A9E">
        <w:rPr>
          <w:rFonts w:asciiTheme="minorHAnsi" w:eastAsia="Batang" w:hAnsiTheme="minorHAnsi"/>
          <w:b/>
          <w:bCs/>
          <w:sz w:val="22"/>
          <w:szCs w:val="22"/>
          <w:lang w:val="es-ES_tradnl" w:eastAsia="ko-KR"/>
        </w:rPr>
        <w:t xml:space="preserve">ásico para </w:t>
      </w:r>
      <w:r w:rsidR="00471803" w:rsidRPr="00115A9E">
        <w:rPr>
          <w:rFonts w:asciiTheme="minorHAnsi" w:eastAsia="Batang" w:hAnsiTheme="minorHAnsi"/>
          <w:b/>
          <w:bCs/>
          <w:sz w:val="22"/>
          <w:szCs w:val="22"/>
          <w:lang w:val="es-ES_tradnl" w:eastAsia="ko-KR"/>
        </w:rPr>
        <w:t>201</w:t>
      </w:r>
      <w:r w:rsidR="00100B92" w:rsidRPr="00115A9E">
        <w:rPr>
          <w:rFonts w:asciiTheme="minorHAnsi" w:eastAsia="Batang" w:hAnsiTheme="minorHAnsi"/>
          <w:b/>
          <w:bCs/>
          <w:sz w:val="22"/>
          <w:szCs w:val="22"/>
          <w:lang w:val="es-ES_tradnl" w:eastAsia="ko-KR"/>
        </w:rPr>
        <w:t>6</w:t>
      </w:r>
      <w:r w:rsidR="00471803" w:rsidRPr="00115A9E">
        <w:rPr>
          <w:rFonts w:asciiTheme="minorHAnsi" w:eastAsia="Batang" w:hAnsiTheme="minorHAnsi"/>
          <w:b/>
          <w:bCs/>
          <w:sz w:val="22"/>
          <w:szCs w:val="22"/>
          <w:lang w:val="es-ES_tradnl" w:eastAsia="ko-KR"/>
        </w:rPr>
        <w:t>-201</w:t>
      </w:r>
      <w:r w:rsidR="00100B92" w:rsidRPr="00115A9E">
        <w:rPr>
          <w:rFonts w:asciiTheme="minorHAnsi" w:eastAsia="Batang" w:hAnsiTheme="minorHAnsi"/>
          <w:b/>
          <w:bCs/>
          <w:sz w:val="22"/>
          <w:szCs w:val="22"/>
          <w:lang w:val="es-ES_tradnl" w:eastAsia="ko-KR"/>
        </w:rPr>
        <w:t>8</w:t>
      </w:r>
      <w:r w:rsidR="00471803" w:rsidRPr="00115A9E">
        <w:rPr>
          <w:rFonts w:asciiTheme="minorHAnsi" w:eastAsia="Batang" w:hAnsiTheme="minorHAnsi"/>
          <w:b/>
          <w:bCs/>
          <w:sz w:val="22"/>
          <w:szCs w:val="22"/>
          <w:lang w:val="es-ES_tradnl" w:eastAsia="ko-KR"/>
        </w:rPr>
        <w:t xml:space="preserve"> – </w:t>
      </w:r>
      <w:r w:rsidR="001E1F74" w:rsidRPr="00115A9E">
        <w:rPr>
          <w:rFonts w:asciiTheme="minorHAnsi" w:eastAsia="Batang" w:hAnsiTheme="minorHAnsi"/>
          <w:b/>
          <w:bCs/>
          <w:sz w:val="22"/>
          <w:szCs w:val="22"/>
          <w:lang w:val="es-ES_tradnl" w:eastAsia="ko-KR"/>
        </w:rPr>
        <w:t>Otros ingresos y gastos</w:t>
      </w:r>
    </w:p>
    <w:p w:rsidR="00471803" w:rsidRPr="00115A9E" w:rsidRDefault="00471803" w:rsidP="008A3C79">
      <w:pPr>
        <w:ind w:left="426" w:hanging="426"/>
        <w:rPr>
          <w:rFonts w:asciiTheme="minorHAnsi" w:eastAsia="Batang" w:hAnsiTheme="minorHAnsi"/>
          <w:b/>
          <w:bCs/>
          <w:sz w:val="22"/>
          <w:szCs w:val="22"/>
          <w:lang w:val="es-ES_tradnl" w:eastAsia="ko-KR"/>
        </w:rPr>
      </w:pPr>
    </w:p>
    <w:p w:rsidR="008A3C79" w:rsidRPr="00115A9E" w:rsidRDefault="00ED7D78"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Todos los demás ingresos y gastos para </w:t>
      </w:r>
      <w:r w:rsidR="00471803" w:rsidRPr="00115A9E">
        <w:rPr>
          <w:rFonts w:asciiTheme="minorHAnsi" w:eastAsia="Batang" w:hAnsiTheme="minorHAnsi"/>
          <w:bCs/>
          <w:sz w:val="22"/>
          <w:szCs w:val="22"/>
          <w:lang w:val="es-ES_tradnl" w:eastAsia="ko-KR"/>
        </w:rPr>
        <w:t>201</w:t>
      </w:r>
      <w:r w:rsidR="00100B92" w:rsidRPr="00115A9E">
        <w:rPr>
          <w:rFonts w:asciiTheme="minorHAnsi" w:eastAsia="Batang" w:hAnsiTheme="minorHAnsi"/>
          <w:bCs/>
          <w:sz w:val="22"/>
          <w:szCs w:val="22"/>
          <w:lang w:val="es-ES_tradnl" w:eastAsia="ko-KR"/>
        </w:rPr>
        <w:t>6</w:t>
      </w:r>
      <w:r w:rsidR="00471803" w:rsidRPr="00115A9E">
        <w:rPr>
          <w:rFonts w:asciiTheme="minorHAnsi" w:eastAsia="Batang" w:hAnsiTheme="minorHAnsi"/>
          <w:bCs/>
          <w:sz w:val="22"/>
          <w:szCs w:val="22"/>
          <w:lang w:val="es-ES_tradnl" w:eastAsia="ko-KR"/>
        </w:rPr>
        <w:t>-201</w:t>
      </w:r>
      <w:r w:rsidR="00100B92" w:rsidRPr="00115A9E">
        <w:rPr>
          <w:rFonts w:asciiTheme="minorHAnsi" w:eastAsia="Batang" w:hAnsiTheme="minorHAnsi"/>
          <w:bCs/>
          <w:sz w:val="22"/>
          <w:szCs w:val="22"/>
          <w:lang w:val="es-ES_tradnl" w:eastAsia="ko-KR"/>
        </w:rPr>
        <w:t>8</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se han recalculado con arreglo a las expectativas actuales, utilizando las limitaciones generales indicadas en el párrafo 6 del presente documento y las orientaciones dadas en las decisiones de la </w:t>
      </w:r>
      <w:r w:rsidR="00471803" w:rsidRPr="00115A9E">
        <w:rPr>
          <w:rFonts w:asciiTheme="minorHAnsi" w:eastAsia="Batang" w:hAnsiTheme="minorHAnsi"/>
          <w:bCs/>
          <w:sz w:val="22"/>
          <w:szCs w:val="22"/>
          <w:lang w:val="es-ES_tradnl" w:eastAsia="ko-KR"/>
        </w:rPr>
        <w:t>SC4</w:t>
      </w:r>
      <w:r w:rsidR="00100B92" w:rsidRPr="00115A9E">
        <w:rPr>
          <w:rFonts w:asciiTheme="minorHAnsi" w:eastAsia="Batang" w:hAnsiTheme="minorHAnsi"/>
          <w:bCs/>
          <w:sz w:val="22"/>
          <w:szCs w:val="22"/>
          <w:lang w:val="es-ES_tradnl" w:eastAsia="ko-KR"/>
        </w:rPr>
        <w:t>8</w:t>
      </w:r>
      <w:r w:rsidR="00E9458E"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Consúltense los detalles en el Anexo </w:t>
      </w:r>
      <w:r w:rsidR="00E9458E" w:rsidRPr="00115A9E">
        <w:rPr>
          <w:rFonts w:asciiTheme="minorHAnsi" w:eastAsia="Batang" w:hAnsiTheme="minorHAnsi"/>
          <w:bCs/>
          <w:sz w:val="22"/>
          <w:szCs w:val="22"/>
          <w:lang w:val="es-ES_tradnl" w:eastAsia="ko-KR"/>
        </w:rPr>
        <w:t>1</w:t>
      </w:r>
      <w:r w:rsidR="00471803"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471803" w:rsidRPr="00115A9E" w:rsidRDefault="00ED7D78"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En los párrafos 9 a 27 del presente documento se explican en detalle l</w:t>
      </w:r>
      <w:r w:rsidR="006977EB" w:rsidRPr="00115A9E">
        <w:rPr>
          <w:rFonts w:asciiTheme="minorHAnsi" w:eastAsia="Batang" w:hAnsiTheme="minorHAnsi"/>
          <w:bCs/>
          <w:sz w:val="22"/>
          <w:szCs w:val="22"/>
          <w:lang w:val="es-ES_tradnl" w:eastAsia="ko-KR"/>
        </w:rPr>
        <w:t>os elementos fundamentales del presupuesto b</w:t>
      </w:r>
      <w:r w:rsidRPr="00115A9E">
        <w:rPr>
          <w:rFonts w:asciiTheme="minorHAnsi" w:eastAsia="Batang" w:hAnsiTheme="minorHAnsi"/>
          <w:bCs/>
          <w:sz w:val="22"/>
          <w:szCs w:val="22"/>
          <w:lang w:val="es-ES_tradnl" w:eastAsia="ko-KR"/>
        </w:rPr>
        <w:t>ásico, comenzando por los elementos que coinciden en las tres versiones del presupuesto y analizando posteriormente los elementos cuyas hipótesis presupuestarias difieren</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El Secretario General considera que </w:t>
      </w:r>
      <w:r w:rsidR="004F4E08" w:rsidRPr="00115A9E">
        <w:rPr>
          <w:rFonts w:asciiTheme="minorHAnsi" w:eastAsia="Batang" w:hAnsiTheme="minorHAnsi"/>
          <w:bCs/>
          <w:sz w:val="22"/>
          <w:szCs w:val="22"/>
          <w:lang w:val="es-ES_tradnl" w:eastAsia="ko-KR"/>
        </w:rPr>
        <w:t xml:space="preserve">no es recomendable elegir la versión A del presupuesto, </w:t>
      </w:r>
      <w:r w:rsidRPr="00115A9E">
        <w:rPr>
          <w:rFonts w:asciiTheme="minorHAnsi" w:eastAsia="Batang" w:hAnsiTheme="minorHAnsi"/>
          <w:bCs/>
          <w:sz w:val="22"/>
          <w:szCs w:val="22"/>
          <w:lang w:val="es-ES_tradnl" w:eastAsia="ko-KR"/>
        </w:rPr>
        <w:t xml:space="preserve">ya que probablemente reducirá la capacidad de la Secretaría durante el trienio </w:t>
      </w:r>
      <w:r w:rsidR="00471803" w:rsidRPr="00115A9E">
        <w:rPr>
          <w:rFonts w:asciiTheme="minorHAnsi" w:eastAsia="Batang" w:hAnsiTheme="minorHAnsi"/>
          <w:bCs/>
          <w:sz w:val="22"/>
          <w:szCs w:val="22"/>
          <w:lang w:val="es-ES_tradnl" w:eastAsia="ko-KR"/>
        </w:rPr>
        <w:t>(</w:t>
      </w:r>
      <w:r w:rsidRPr="00115A9E">
        <w:rPr>
          <w:rFonts w:asciiTheme="minorHAnsi" w:eastAsia="Batang" w:hAnsiTheme="minorHAnsi"/>
          <w:bCs/>
          <w:sz w:val="22"/>
          <w:szCs w:val="22"/>
          <w:lang w:val="es-ES_tradnl" w:eastAsia="ko-KR"/>
        </w:rPr>
        <w:t>véanse los párrafos</w:t>
      </w:r>
      <w:r w:rsidR="001C5E71"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19</w:t>
      </w:r>
      <w:r w:rsidR="001C5E71" w:rsidRPr="00115A9E">
        <w:rPr>
          <w:rFonts w:asciiTheme="minorHAnsi" w:eastAsia="Batang" w:hAnsiTheme="minorHAnsi"/>
          <w:bCs/>
          <w:sz w:val="22"/>
          <w:szCs w:val="22"/>
          <w:lang w:val="es-ES_tradnl" w:eastAsia="ko-KR"/>
        </w:rPr>
        <w:t> </w:t>
      </w:r>
      <w:r w:rsidRPr="00115A9E">
        <w:rPr>
          <w:rFonts w:asciiTheme="minorHAnsi" w:eastAsia="Batang" w:hAnsiTheme="minorHAnsi"/>
          <w:bCs/>
          <w:sz w:val="22"/>
          <w:szCs w:val="22"/>
          <w:lang w:val="es-ES_tradnl" w:eastAsia="ko-KR"/>
        </w:rPr>
        <w:t>a</w:t>
      </w:r>
      <w:r w:rsidR="001C5E71"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22).</w:t>
      </w:r>
    </w:p>
    <w:p w:rsidR="00471803" w:rsidRPr="00115A9E" w:rsidRDefault="00471803" w:rsidP="008A3C79">
      <w:pPr>
        <w:ind w:left="426" w:hanging="426"/>
        <w:rPr>
          <w:rFonts w:asciiTheme="minorHAnsi" w:eastAsia="Batang" w:hAnsiTheme="minorHAnsi"/>
          <w:b/>
          <w:bCs/>
          <w:sz w:val="22"/>
          <w:szCs w:val="22"/>
          <w:lang w:val="es-ES_tradnl" w:eastAsia="ko-KR"/>
        </w:rPr>
      </w:pPr>
    </w:p>
    <w:p w:rsidR="00471803" w:rsidRPr="00115A9E" w:rsidRDefault="006977EB" w:rsidP="008A3C79">
      <w:pPr>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 xml:space="preserve">Hipótesis de gastos del presupuesto </w:t>
      </w:r>
      <w:r w:rsidR="005A6E03" w:rsidRPr="00115A9E">
        <w:rPr>
          <w:rFonts w:asciiTheme="minorHAnsi" w:eastAsia="Batang" w:hAnsiTheme="minorHAnsi"/>
          <w:b/>
          <w:bCs/>
          <w:sz w:val="22"/>
          <w:szCs w:val="22"/>
          <w:lang w:val="es-ES_tradnl" w:eastAsia="ko-KR"/>
        </w:rPr>
        <w:t>básico</w:t>
      </w:r>
      <w:r w:rsidR="00ED7D78" w:rsidRPr="00115A9E">
        <w:rPr>
          <w:rFonts w:asciiTheme="minorHAnsi" w:eastAsia="Batang" w:hAnsiTheme="minorHAnsi"/>
          <w:b/>
          <w:bCs/>
          <w:sz w:val="22"/>
          <w:szCs w:val="22"/>
          <w:lang w:val="es-ES_tradnl" w:eastAsia="ko-KR"/>
        </w:rPr>
        <w:t xml:space="preserve"> coincidentes en los escenarios </w:t>
      </w:r>
      <w:r w:rsidR="00100B92" w:rsidRPr="00115A9E">
        <w:rPr>
          <w:rFonts w:asciiTheme="minorHAnsi" w:eastAsia="Batang" w:hAnsiTheme="minorHAnsi"/>
          <w:b/>
          <w:bCs/>
          <w:sz w:val="22"/>
          <w:szCs w:val="22"/>
          <w:lang w:val="es-ES_tradnl" w:eastAsia="ko-KR"/>
        </w:rPr>
        <w:t xml:space="preserve">A, B </w:t>
      </w:r>
      <w:r w:rsidR="00ED7D78" w:rsidRPr="00115A9E">
        <w:rPr>
          <w:rFonts w:asciiTheme="minorHAnsi" w:eastAsia="Batang" w:hAnsiTheme="minorHAnsi"/>
          <w:b/>
          <w:bCs/>
          <w:sz w:val="22"/>
          <w:szCs w:val="22"/>
          <w:lang w:val="es-ES_tradnl" w:eastAsia="ko-KR"/>
        </w:rPr>
        <w:t xml:space="preserve">y </w:t>
      </w:r>
      <w:r w:rsidR="00100B92" w:rsidRPr="00115A9E">
        <w:rPr>
          <w:rFonts w:asciiTheme="minorHAnsi" w:eastAsia="Batang" w:hAnsiTheme="minorHAnsi"/>
          <w:b/>
          <w:bCs/>
          <w:sz w:val="22"/>
          <w:szCs w:val="22"/>
          <w:lang w:val="es-ES_tradnl" w:eastAsia="ko-KR"/>
        </w:rPr>
        <w:t>C</w:t>
      </w:r>
    </w:p>
    <w:p w:rsidR="00471803" w:rsidRPr="00115A9E" w:rsidRDefault="00471803" w:rsidP="008A3C79">
      <w:pPr>
        <w:ind w:left="426" w:hanging="426"/>
        <w:rPr>
          <w:rFonts w:asciiTheme="minorHAnsi" w:eastAsia="Batang" w:hAnsiTheme="minorHAnsi"/>
          <w:bCs/>
          <w:sz w:val="22"/>
          <w:szCs w:val="22"/>
          <w:lang w:val="es-ES_tradnl" w:eastAsia="ko-KR"/>
        </w:rPr>
      </w:pPr>
    </w:p>
    <w:p w:rsidR="008A3C79" w:rsidRPr="00115A9E" w:rsidRDefault="00751E49"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No se prevén cambios en las disposiciones de acogida de la Secretaría. En los presupuestos se emplea la hipótesis de que la UICN seguirá siendo el organismo de acogida en virtud de la Carta de Acuerdo firmada en </w:t>
      </w:r>
      <w:r w:rsidR="00471803" w:rsidRPr="00115A9E">
        <w:rPr>
          <w:rFonts w:asciiTheme="minorHAnsi" w:eastAsia="Batang" w:hAnsiTheme="minorHAnsi"/>
          <w:bCs/>
          <w:sz w:val="22"/>
          <w:szCs w:val="22"/>
          <w:lang w:val="es-ES_tradnl" w:eastAsia="ko-KR"/>
        </w:rPr>
        <w:t xml:space="preserve">2009. </w:t>
      </w:r>
      <w:r w:rsidRPr="00115A9E">
        <w:rPr>
          <w:rFonts w:asciiTheme="minorHAnsi" w:eastAsia="Batang" w:hAnsiTheme="minorHAnsi"/>
          <w:bCs/>
          <w:sz w:val="22"/>
          <w:szCs w:val="22"/>
          <w:lang w:val="es-ES_tradnl" w:eastAsia="ko-KR"/>
        </w:rPr>
        <w:t>Los cargos se renegocian cada año</w:t>
      </w:r>
      <w:r w:rsidR="00100B92"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En </w:t>
      </w:r>
      <w:r w:rsidR="00C65800" w:rsidRPr="00115A9E">
        <w:rPr>
          <w:rFonts w:asciiTheme="minorHAnsi" w:eastAsia="Batang" w:hAnsiTheme="minorHAnsi"/>
          <w:bCs/>
          <w:sz w:val="22"/>
          <w:szCs w:val="22"/>
          <w:lang w:val="es-ES_tradnl" w:eastAsia="ko-KR"/>
        </w:rPr>
        <w:t xml:space="preserve">2015, </w:t>
      </w:r>
      <w:r w:rsidRPr="00115A9E">
        <w:rPr>
          <w:rFonts w:asciiTheme="minorHAnsi" w:eastAsia="Batang" w:hAnsiTheme="minorHAnsi"/>
          <w:bCs/>
          <w:sz w:val="22"/>
          <w:szCs w:val="22"/>
          <w:lang w:val="es-ES_tradnl" w:eastAsia="ko-KR"/>
        </w:rPr>
        <w:t xml:space="preserve">las negociaciones comenzarán con la Carta de Acuerdo, como solicitaron las Partes </w:t>
      </w:r>
      <w:r w:rsidR="00AB158F" w:rsidRPr="00115A9E">
        <w:rPr>
          <w:rFonts w:asciiTheme="minorHAnsi" w:eastAsia="Batang" w:hAnsiTheme="minorHAnsi"/>
          <w:bCs/>
          <w:sz w:val="22"/>
          <w:szCs w:val="22"/>
          <w:lang w:val="es-ES_tradnl" w:eastAsia="ko-KR"/>
        </w:rPr>
        <w:t>(SC48-17)</w:t>
      </w:r>
      <w:r w:rsidR="00DE1B27" w:rsidRPr="00115A9E">
        <w:rPr>
          <w:rFonts w:asciiTheme="minorHAnsi" w:eastAsia="Batang" w:hAnsiTheme="minorHAnsi"/>
          <w:bCs/>
          <w:sz w:val="22"/>
          <w:szCs w:val="22"/>
          <w:lang w:val="es-ES_tradnl" w:eastAsia="ko-KR"/>
        </w:rPr>
        <w:t xml:space="preserve">. </w:t>
      </w:r>
      <w:r w:rsidR="00E84133" w:rsidRPr="00115A9E">
        <w:rPr>
          <w:rFonts w:asciiTheme="minorHAnsi" w:eastAsia="Batang" w:hAnsiTheme="minorHAnsi"/>
          <w:bCs/>
          <w:sz w:val="22"/>
          <w:szCs w:val="22"/>
          <w:lang w:val="es-ES_tradnl" w:eastAsia="ko-KR"/>
        </w:rPr>
        <w:t>Las deliberaciones incluirán los honorarios en concepto de servicios y tendrán en cuenta lo siguiente</w:t>
      </w:r>
      <w:r w:rsidR="00C65800" w:rsidRPr="00115A9E">
        <w:rPr>
          <w:rFonts w:asciiTheme="minorHAnsi" w:eastAsia="Batang" w:hAnsiTheme="minorHAnsi"/>
          <w:bCs/>
          <w:sz w:val="22"/>
          <w:szCs w:val="22"/>
          <w:lang w:val="es-ES_tradnl" w:eastAsia="ko-KR"/>
        </w:rPr>
        <w:t xml:space="preserve">: i) </w:t>
      </w:r>
      <w:r w:rsidR="00E84133" w:rsidRPr="00115A9E">
        <w:rPr>
          <w:rFonts w:asciiTheme="minorHAnsi" w:eastAsia="Batang" w:hAnsiTheme="minorHAnsi"/>
          <w:bCs/>
          <w:sz w:val="22"/>
          <w:szCs w:val="22"/>
          <w:lang w:val="es-ES_tradnl" w:eastAsia="ko-KR"/>
        </w:rPr>
        <w:t xml:space="preserve">un nuevo sistema contable aplicado por la UICN que ha incrementado el volumen de trabajo para el personal de </w:t>
      </w:r>
      <w:r w:rsidR="00C65800" w:rsidRPr="00115A9E">
        <w:rPr>
          <w:rFonts w:asciiTheme="minorHAnsi" w:eastAsia="Batang" w:hAnsiTheme="minorHAnsi"/>
          <w:bCs/>
          <w:sz w:val="22"/>
          <w:szCs w:val="22"/>
          <w:lang w:val="es-ES_tradnl" w:eastAsia="ko-KR"/>
        </w:rPr>
        <w:t xml:space="preserve">Ramsar, </w:t>
      </w:r>
      <w:r w:rsidR="00E84133" w:rsidRPr="00115A9E">
        <w:rPr>
          <w:rFonts w:asciiTheme="minorHAnsi" w:eastAsia="Batang" w:hAnsiTheme="minorHAnsi"/>
          <w:bCs/>
          <w:sz w:val="22"/>
          <w:szCs w:val="22"/>
          <w:lang w:val="es-ES_tradnl" w:eastAsia="ko-KR"/>
        </w:rPr>
        <w:t xml:space="preserve">y </w:t>
      </w:r>
      <w:r w:rsidR="00C65800" w:rsidRPr="00115A9E">
        <w:rPr>
          <w:rFonts w:asciiTheme="minorHAnsi" w:eastAsia="Batang" w:hAnsiTheme="minorHAnsi"/>
          <w:bCs/>
          <w:sz w:val="22"/>
          <w:szCs w:val="22"/>
          <w:lang w:val="es-ES_tradnl" w:eastAsia="ko-KR"/>
        </w:rPr>
        <w:t xml:space="preserve">ii) </w:t>
      </w:r>
      <w:r w:rsidR="00E84133" w:rsidRPr="00115A9E">
        <w:rPr>
          <w:rFonts w:asciiTheme="minorHAnsi" w:eastAsia="Batang" w:hAnsiTheme="minorHAnsi"/>
          <w:bCs/>
          <w:sz w:val="22"/>
          <w:szCs w:val="22"/>
          <w:lang w:val="es-ES_tradnl" w:eastAsia="ko-KR"/>
        </w:rPr>
        <w:t>el examen de los honorarios en concepto de servicios respecto de los servicios prestados</w:t>
      </w:r>
      <w:r w:rsidR="00C65800" w:rsidRPr="00115A9E">
        <w:rPr>
          <w:rFonts w:asciiTheme="minorHAnsi" w:eastAsia="Batang" w:hAnsiTheme="minorHAnsi"/>
          <w:bCs/>
          <w:sz w:val="22"/>
          <w:szCs w:val="22"/>
          <w:lang w:val="es-ES_tradnl" w:eastAsia="ko-KR"/>
        </w:rPr>
        <w:t xml:space="preserve">. </w:t>
      </w:r>
      <w:r w:rsidR="00E84133" w:rsidRPr="00115A9E">
        <w:rPr>
          <w:rFonts w:asciiTheme="minorHAnsi" w:eastAsia="Batang" w:hAnsiTheme="minorHAnsi"/>
          <w:bCs/>
          <w:sz w:val="22"/>
          <w:szCs w:val="22"/>
          <w:lang w:val="es-ES_tradnl" w:eastAsia="ko-KR"/>
        </w:rPr>
        <w:t>En todos los escenarios se emplea la hipótesis de una reducción de los honorarios en concepto de servicios hasta 540.</w:t>
      </w:r>
      <w:r w:rsidR="00C65800" w:rsidRPr="00115A9E">
        <w:rPr>
          <w:rFonts w:asciiTheme="minorHAnsi" w:eastAsia="Batang" w:hAnsiTheme="minorHAnsi"/>
          <w:bCs/>
          <w:sz w:val="22"/>
          <w:szCs w:val="22"/>
          <w:lang w:val="es-ES_tradnl" w:eastAsia="ko-KR"/>
        </w:rPr>
        <w:t xml:space="preserve">000 </w:t>
      </w:r>
      <w:r w:rsidR="00E84133" w:rsidRPr="00115A9E">
        <w:rPr>
          <w:rFonts w:asciiTheme="minorHAnsi" w:eastAsia="Batang" w:hAnsiTheme="minorHAnsi"/>
          <w:bCs/>
          <w:sz w:val="22"/>
          <w:szCs w:val="22"/>
          <w:lang w:val="es-ES_tradnl" w:eastAsia="ko-KR"/>
        </w:rPr>
        <w:t xml:space="preserve">francos suizos </w:t>
      </w:r>
      <w:r w:rsidR="00C65800" w:rsidRPr="00115A9E">
        <w:rPr>
          <w:rFonts w:asciiTheme="minorHAnsi" w:eastAsia="Batang" w:hAnsiTheme="minorHAnsi"/>
          <w:bCs/>
          <w:sz w:val="22"/>
          <w:szCs w:val="22"/>
          <w:lang w:val="es-ES_tradnl" w:eastAsia="ko-KR"/>
        </w:rPr>
        <w:t>(</w:t>
      </w:r>
      <w:r w:rsidR="00E84133" w:rsidRPr="00115A9E">
        <w:rPr>
          <w:rFonts w:asciiTheme="minorHAnsi" w:eastAsia="Batang" w:hAnsiTheme="minorHAnsi"/>
          <w:bCs/>
          <w:sz w:val="22"/>
          <w:szCs w:val="22"/>
          <w:lang w:val="es-ES_tradnl" w:eastAsia="ko-KR"/>
        </w:rPr>
        <w:t>desde 566.</w:t>
      </w:r>
      <w:r w:rsidR="00C65800" w:rsidRPr="00115A9E">
        <w:rPr>
          <w:rFonts w:asciiTheme="minorHAnsi" w:eastAsia="Batang" w:hAnsiTheme="minorHAnsi"/>
          <w:bCs/>
          <w:sz w:val="22"/>
          <w:szCs w:val="22"/>
          <w:lang w:val="es-ES_tradnl" w:eastAsia="ko-KR"/>
        </w:rPr>
        <w:t xml:space="preserve">000 </w:t>
      </w:r>
      <w:r w:rsidR="00E84133" w:rsidRPr="00115A9E">
        <w:rPr>
          <w:rFonts w:asciiTheme="minorHAnsi" w:eastAsia="Batang" w:hAnsiTheme="minorHAnsi"/>
          <w:bCs/>
          <w:sz w:val="22"/>
          <w:szCs w:val="22"/>
          <w:lang w:val="es-ES_tradnl" w:eastAsia="ko-KR"/>
        </w:rPr>
        <w:t xml:space="preserve">francos suizos en los presupuestos para </w:t>
      </w:r>
      <w:r w:rsidR="00C65800" w:rsidRPr="00115A9E">
        <w:rPr>
          <w:rFonts w:asciiTheme="minorHAnsi" w:eastAsia="Batang" w:hAnsiTheme="minorHAnsi"/>
          <w:bCs/>
          <w:sz w:val="22"/>
          <w:szCs w:val="22"/>
          <w:lang w:val="es-ES_tradnl" w:eastAsia="ko-KR"/>
        </w:rPr>
        <w:t xml:space="preserve">2013-2015). </w:t>
      </w:r>
      <w:r w:rsidR="00E84133" w:rsidRPr="00115A9E">
        <w:rPr>
          <w:rFonts w:asciiTheme="minorHAnsi" w:eastAsia="Batang" w:hAnsiTheme="minorHAnsi"/>
          <w:bCs/>
          <w:sz w:val="22"/>
          <w:szCs w:val="22"/>
          <w:lang w:val="es-ES_tradnl" w:eastAsia="ko-KR"/>
        </w:rPr>
        <w:t xml:space="preserve">Los honorarios en concepto de servicios para </w:t>
      </w:r>
      <w:r w:rsidR="00C65800" w:rsidRPr="00115A9E">
        <w:rPr>
          <w:rFonts w:asciiTheme="minorHAnsi" w:eastAsia="Batang" w:hAnsiTheme="minorHAnsi"/>
          <w:bCs/>
          <w:sz w:val="22"/>
          <w:szCs w:val="22"/>
          <w:lang w:val="es-ES_tradnl" w:eastAsia="ko-KR"/>
        </w:rPr>
        <w:t xml:space="preserve">2016-2018 </w:t>
      </w:r>
      <w:r w:rsidR="00E84133" w:rsidRPr="00115A9E">
        <w:rPr>
          <w:rFonts w:asciiTheme="minorHAnsi" w:eastAsia="Batang" w:hAnsiTheme="minorHAnsi"/>
          <w:bCs/>
          <w:sz w:val="22"/>
          <w:szCs w:val="22"/>
          <w:lang w:val="es-ES_tradnl" w:eastAsia="ko-KR"/>
        </w:rPr>
        <w:t>de 540.</w:t>
      </w:r>
      <w:r w:rsidR="00C65800" w:rsidRPr="00115A9E">
        <w:rPr>
          <w:rFonts w:asciiTheme="minorHAnsi" w:eastAsia="Batang" w:hAnsiTheme="minorHAnsi"/>
          <w:bCs/>
          <w:sz w:val="22"/>
          <w:szCs w:val="22"/>
          <w:lang w:val="es-ES_tradnl" w:eastAsia="ko-KR"/>
        </w:rPr>
        <w:t>000</w:t>
      </w:r>
      <w:r w:rsidR="00E84133" w:rsidRPr="00115A9E">
        <w:rPr>
          <w:rFonts w:asciiTheme="minorHAnsi" w:eastAsia="Batang" w:hAnsiTheme="minorHAnsi"/>
          <w:bCs/>
          <w:sz w:val="22"/>
          <w:szCs w:val="22"/>
          <w:lang w:val="es-ES_tradnl" w:eastAsia="ko-KR"/>
        </w:rPr>
        <w:t xml:space="preserve"> francos suizos representan entre el </w:t>
      </w:r>
      <w:r w:rsidR="002F392C" w:rsidRPr="00115A9E">
        <w:rPr>
          <w:rFonts w:asciiTheme="minorHAnsi" w:eastAsia="Batang" w:hAnsiTheme="minorHAnsi"/>
          <w:bCs/>
          <w:sz w:val="22"/>
          <w:szCs w:val="22"/>
          <w:lang w:val="es-ES_tradnl" w:eastAsia="ko-KR"/>
        </w:rPr>
        <w:t>10</w:t>
      </w:r>
      <w:r w:rsidR="00E84133" w:rsidRPr="00115A9E">
        <w:rPr>
          <w:rFonts w:asciiTheme="minorHAnsi" w:eastAsia="Batang" w:hAnsiTheme="minorHAnsi"/>
          <w:bCs/>
          <w:sz w:val="22"/>
          <w:szCs w:val="22"/>
          <w:lang w:val="es-ES_tradnl" w:eastAsia="ko-KR"/>
        </w:rPr>
        <w:t xml:space="preserve"> % y el </w:t>
      </w:r>
      <w:r w:rsidR="002F392C" w:rsidRPr="00115A9E">
        <w:rPr>
          <w:rFonts w:asciiTheme="minorHAnsi" w:eastAsia="Batang" w:hAnsiTheme="minorHAnsi"/>
          <w:bCs/>
          <w:sz w:val="22"/>
          <w:szCs w:val="22"/>
          <w:lang w:val="es-ES_tradnl" w:eastAsia="ko-KR"/>
        </w:rPr>
        <w:t>11</w:t>
      </w:r>
      <w:r w:rsidR="00E84133" w:rsidRPr="00115A9E">
        <w:rPr>
          <w:rFonts w:asciiTheme="minorHAnsi" w:eastAsia="Batang" w:hAnsiTheme="minorHAnsi"/>
          <w:bCs/>
          <w:sz w:val="22"/>
          <w:szCs w:val="22"/>
          <w:lang w:val="es-ES_tradnl" w:eastAsia="ko-KR"/>
        </w:rPr>
        <w:t> </w:t>
      </w:r>
      <w:r w:rsidR="002F392C" w:rsidRPr="00115A9E">
        <w:rPr>
          <w:rFonts w:asciiTheme="minorHAnsi" w:eastAsia="Batang" w:hAnsiTheme="minorHAnsi"/>
          <w:bCs/>
          <w:sz w:val="22"/>
          <w:szCs w:val="22"/>
          <w:lang w:val="es-ES_tradnl" w:eastAsia="ko-KR"/>
        </w:rPr>
        <w:t xml:space="preserve">% </w:t>
      </w:r>
      <w:r w:rsidR="00E84133" w:rsidRPr="00115A9E">
        <w:rPr>
          <w:rFonts w:asciiTheme="minorHAnsi" w:eastAsia="Batang" w:hAnsiTheme="minorHAnsi"/>
          <w:bCs/>
          <w:sz w:val="22"/>
          <w:szCs w:val="22"/>
          <w:lang w:val="es-ES_tradnl" w:eastAsia="ko-KR"/>
        </w:rPr>
        <w:t>del total</w:t>
      </w:r>
      <w:r w:rsidR="006977EB" w:rsidRPr="00115A9E">
        <w:rPr>
          <w:rFonts w:asciiTheme="minorHAnsi" w:eastAsia="Batang" w:hAnsiTheme="minorHAnsi"/>
          <w:bCs/>
          <w:sz w:val="22"/>
          <w:szCs w:val="22"/>
          <w:lang w:val="es-ES_tradnl" w:eastAsia="ko-KR"/>
        </w:rPr>
        <w:t xml:space="preserve"> de las partidas de gastos del presupuesto b</w:t>
      </w:r>
      <w:r w:rsidR="00E84133" w:rsidRPr="00115A9E">
        <w:rPr>
          <w:rFonts w:asciiTheme="minorHAnsi" w:eastAsia="Batang" w:hAnsiTheme="minorHAnsi"/>
          <w:bCs/>
          <w:sz w:val="22"/>
          <w:szCs w:val="22"/>
          <w:lang w:val="es-ES_tradnl" w:eastAsia="ko-KR"/>
        </w:rPr>
        <w:t xml:space="preserve">ásico y no superan el máximo del </w:t>
      </w:r>
      <w:r w:rsidR="00471803" w:rsidRPr="00115A9E">
        <w:rPr>
          <w:rFonts w:asciiTheme="minorHAnsi" w:eastAsia="Batang" w:hAnsiTheme="minorHAnsi"/>
          <w:bCs/>
          <w:sz w:val="22"/>
          <w:szCs w:val="22"/>
          <w:lang w:val="es-ES_tradnl" w:eastAsia="ko-KR"/>
        </w:rPr>
        <w:t>13</w:t>
      </w:r>
      <w:r w:rsidR="00E84133"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 xml:space="preserve">% </w:t>
      </w:r>
      <w:r w:rsidR="00E84133" w:rsidRPr="00115A9E">
        <w:rPr>
          <w:rFonts w:asciiTheme="minorHAnsi" w:eastAsia="Batang" w:hAnsiTheme="minorHAnsi"/>
          <w:bCs/>
          <w:sz w:val="22"/>
          <w:szCs w:val="22"/>
          <w:lang w:val="es-ES_tradnl" w:eastAsia="ko-KR"/>
        </w:rPr>
        <w:t xml:space="preserve">establecido en la decisión </w:t>
      </w:r>
      <w:r w:rsidR="00471803" w:rsidRPr="00115A9E">
        <w:rPr>
          <w:rFonts w:asciiTheme="minorHAnsi" w:eastAsia="Batang" w:hAnsiTheme="minorHAnsi"/>
          <w:bCs/>
          <w:sz w:val="22"/>
          <w:szCs w:val="22"/>
          <w:lang w:val="es-ES_tradnl" w:eastAsia="ko-KR"/>
        </w:rPr>
        <w:t>SC37-41</w:t>
      </w:r>
      <w:r w:rsidR="00E84133" w:rsidRPr="00115A9E">
        <w:rPr>
          <w:rFonts w:asciiTheme="minorHAnsi" w:eastAsia="Batang" w:hAnsiTheme="minorHAnsi"/>
          <w:bCs/>
          <w:sz w:val="22"/>
          <w:szCs w:val="22"/>
          <w:lang w:val="es-ES_tradnl" w:eastAsia="ko-KR"/>
        </w:rPr>
        <w:t xml:space="preserve"> (2008), que ahora figura en el párrafo </w:t>
      </w:r>
      <w:r w:rsidR="00471803" w:rsidRPr="00115A9E">
        <w:rPr>
          <w:rFonts w:asciiTheme="minorHAnsi" w:eastAsia="Batang" w:hAnsiTheme="minorHAnsi"/>
          <w:bCs/>
          <w:sz w:val="22"/>
          <w:szCs w:val="22"/>
          <w:lang w:val="es-ES_tradnl" w:eastAsia="ko-KR"/>
        </w:rPr>
        <w:t xml:space="preserve">12 </w:t>
      </w:r>
      <w:r w:rsidR="00E84133" w:rsidRPr="00115A9E">
        <w:rPr>
          <w:rFonts w:asciiTheme="minorHAnsi" w:eastAsia="Batang" w:hAnsiTheme="minorHAnsi"/>
          <w:bCs/>
          <w:sz w:val="22"/>
          <w:szCs w:val="22"/>
          <w:lang w:val="es-ES_tradnl" w:eastAsia="ko-KR"/>
        </w:rPr>
        <w:t>de</w:t>
      </w:r>
      <w:r w:rsidR="00175EAE" w:rsidRPr="00115A9E">
        <w:rPr>
          <w:rFonts w:asciiTheme="minorHAnsi" w:eastAsia="Batang" w:hAnsiTheme="minorHAnsi"/>
          <w:bCs/>
          <w:sz w:val="22"/>
          <w:szCs w:val="22"/>
          <w:lang w:val="es-ES_tradnl" w:eastAsia="ko-KR"/>
        </w:rPr>
        <w:t>l</w:t>
      </w:r>
      <w:r w:rsidR="00E84133" w:rsidRPr="00115A9E">
        <w:rPr>
          <w:rFonts w:asciiTheme="minorHAnsi" w:eastAsia="Batang" w:hAnsiTheme="minorHAnsi"/>
          <w:bCs/>
          <w:sz w:val="22"/>
          <w:szCs w:val="22"/>
          <w:lang w:val="es-ES_tradnl" w:eastAsia="ko-KR"/>
        </w:rPr>
        <w:t xml:space="preserve"> </w:t>
      </w:r>
      <w:r w:rsidR="007331FA" w:rsidRPr="00115A9E">
        <w:rPr>
          <w:rFonts w:asciiTheme="minorHAnsi" w:eastAsia="Batang" w:hAnsiTheme="minorHAnsi"/>
          <w:bCs/>
          <w:sz w:val="22"/>
          <w:szCs w:val="22"/>
          <w:lang w:val="es-ES_tradnl" w:eastAsia="ko-KR"/>
        </w:rPr>
        <w:t>p</w:t>
      </w:r>
      <w:r w:rsidR="00175EAE" w:rsidRPr="00115A9E">
        <w:rPr>
          <w:rFonts w:asciiTheme="minorHAnsi" w:eastAsia="Batang" w:hAnsiTheme="minorHAnsi"/>
          <w:bCs/>
          <w:sz w:val="22"/>
          <w:szCs w:val="22"/>
          <w:lang w:val="es-ES_tradnl" w:eastAsia="ko-KR"/>
        </w:rPr>
        <w:t>royecto de Reso</w:t>
      </w:r>
      <w:r w:rsidR="00E84133" w:rsidRPr="00115A9E">
        <w:rPr>
          <w:rFonts w:asciiTheme="minorHAnsi" w:eastAsia="Batang" w:hAnsiTheme="minorHAnsi"/>
          <w:bCs/>
          <w:sz w:val="22"/>
          <w:szCs w:val="22"/>
          <w:lang w:val="es-ES_tradnl" w:eastAsia="ko-KR"/>
        </w:rPr>
        <w:t xml:space="preserve">lución </w:t>
      </w:r>
      <w:r w:rsidR="00471803" w:rsidRPr="00115A9E">
        <w:rPr>
          <w:rFonts w:asciiTheme="minorHAnsi" w:eastAsia="Batang" w:hAnsiTheme="minorHAnsi"/>
          <w:bCs/>
          <w:sz w:val="22"/>
          <w:szCs w:val="22"/>
          <w:lang w:val="es-ES_tradnl" w:eastAsia="ko-KR"/>
        </w:rPr>
        <w:t>COP1</w:t>
      </w:r>
      <w:r w:rsidR="00A26360" w:rsidRPr="00115A9E">
        <w:rPr>
          <w:rFonts w:asciiTheme="minorHAnsi" w:eastAsia="Batang" w:hAnsiTheme="minorHAnsi"/>
          <w:bCs/>
          <w:sz w:val="22"/>
          <w:szCs w:val="22"/>
          <w:lang w:val="es-ES_tradnl" w:eastAsia="ko-KR"/>
        </w:rPr>
        <w:t>2</w:t>
      </w:r>
      <w:r w:rsidR="00471803" w:rsidRPr="00115A9E">
        <w:rPr>
          <w:rFonts w:asciiTheme="minorHAnsi" w:eastAsia="Batang" w:hAnsiTheme="minorHAnsi"/>
          <w:bCs/>
          <w:sz w:val="22"/>
          <w:szCs w:val="22"/>
          <w:lang w:val="es-ES_tradnl" w:eastAsia="ko-KR"/>
        </w:rPr>
        <w:t xml:space="preserve"> DR</w:t>
      </w:r>
      <w:r w:rsidR="005F1C90" w:rsidRPr="00115A9E">
        <w:rPr>
          <w:rFonts w:asciiTheme="minorHAnsi" w:eastAsia="Batang" w:hAnsiTheme="minorHAnsi"/>
          <w:bCs/>
          <w:sz w:val="22"/>
          <w:szCs w:val="22"/>
          <w:lang w:val="es-ES_tradnl" w:eastAsia="ko-KR"/>
        </w:rPr>
        <w:t>1</w:t>
      </w:r>
      <w:r w:rsidR="00471803" w:rsidRPr="00115A9E">
        <w:rPr>
          <w:rFonts w:asciiTheme="minorHAnsi" w:eastAsia="Batang" w:hAnsiTheme="minorHAnsi"/>
          <w:bCs/>
          <w:sz w:val="22"/>
          <w:szCs w:val="22"/>
          <w:lang w:val="es-ES_tradnl" w:eastAsia="ko-KR"/>
        </w:rPr>
        <w:t>.</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8A3C79" w:rsidRPr="00115A9E" w:rsidRDefault="002A36E2"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Dotación de personal</w:t>
      </w:r>
      <w:r w:rsidR="00471803" w:rsidRPr="00115A9E">
        <w:rPr>
          <w:rFonts w:asciiTheme="minorHAnsi" w:eastAsia="Batang" w:hAnsiTheme="minorHAnsi"/>
          <w:bCs/>
          <w:sz w:val="22"/>
          <w:szCs w:val="22"/>
          <w:lang w:val="es-ES_tradnl" w:eastAsia="ko-KR"/>
        </w:rPr>
        <w:t xml:space="preserve">. </w:t>
      </w:r>
      <w:r w:rsidR="006977EB" w:rsidRPr="00115A9E">
        <w:rPr>
          <w:rFonts w:asciiTheme="minorHAnsi" w:eastAsia="Batang" w:hAnsiTheme="minorHAnsi"/>
          <w:bCs/>
          <w:sz w:val="22"/>
          <w:szCs w:val="22"/>
          <w:lang w:val="es-ES_tradnl" w:eastAsia="ko-KR"/>
        </w:rPr>
        <w:t>Los tres escenarios del presupuesto b</w:t>
      </w:r>
      <w:r w:rsidRPr="00115A9E">
        <w:rPr>
          <w:rFonts w:asciiTheme="minorHAnsi" w:eastAsia="Batang" w:hAnsiTheme="minorHAnsi"/>
          <w:bCs/>
          <w:sz w:val="22"/>
          <w:szCs w:val="22"/>
          <w:lang w:val="es-ES_tradnl" w:eastAsia="ko-KR"/>
        </w:rPr>
        <w:t xml:space="preserve">ásico se basan en la continuación de los </w:t>
      </w:r>
      <w:r w:rsidR="00471803" w:rsidRPr="00115A9E">
        <w:rPr>
          <w:rFonts w:asciiTheme="minorHAnsi" w:eastAsia="Batang" w:hAnsiTheme="minorHAnsi"/>
          <w:bCs/>
          <w:sz w:val="22"/>
          <w:szCs w:val="22"/>
          <w:lang w:val="es-ES_tradnl" w:eastAsia="ko-KR"/>
        </w:rPr>
        <w:t>2</w:t>
      </w:r>
      <w:r w:rsidR="00CF7EDF" w:rsidRPr="00115A9E">
        <w:rPr>
          <w:rFonts w:asciiTheme="minorHAnsi" w:eastAsia="Batang" w:hAnsiTheme="minorHAnsi"/>
          <w:bCs/>
          <w:sz w:val="22"/>
          <w:szCs w:val="22"/>
          <w:lang w:val="es-ES_tradnl" w:eastAsia="ko-KR"/>
        </w:rPr>
        <w:t>6</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puestos (24,</w:t>
      </w:r>
      <w:r w:rsidR="00CF7EDF" w:rsidRPr="00115A9E">
        <w:rPr>
          <w:rFonts w:asciiTheme="minorHAnsi" w:eastAsia="Batang" w:hAnsiTheme="minorHAnsi"/>
          <w:bCs/>
          <w:sz w:val="22"/>
          <w:szCs w:val="22"/>
          <w:lang w:val="es-ES_tradnl" w:eastAsia="ko-KR"/>
        </w:rPr>
        <w:t xml:space="preserve">5 </w:t>
      </w:r>
      <w:r w:rsidRPr="00115A9E">
        <w:rPr>
          <w:rFonts w:asciiTheme="minorHAnsi" w:eastAsia="Batang" w:hAnsiTheme="minorHAnsi"/>
          <w:bCs/>
          <w:sz w:val="22"/>
          <w:szCs w:val="22"/>
          <w:lang w:val="es-ES_tradnl" w:eastAsia="ko-KR"/>
        </w:rPr>
        <w:t>equivalentes a tiempo completo</w:t>
      </w:r>
      <w:r w:rsidR="00CF7EDF"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indicados en el Anexo</w:t>
      </w:r>
      <w:r w:rsidR="00471803" w:rsidRPr="00115A9E">
        <w:rPr>
          <w:rFonts w:asciiTheme="minorHAnsi" w:eastAsia="Batang" w:hAnsiTheme="minorHAnsi"/>
          <w:bCs/>
          <w:sz w:val="22"/>
          <w:szCs w:val="22"/>
          <w:lang w:val="es-ES_tradnl" w:eastAsia="ko-KR"/>
        </w:rPr>
        <w:t xml:space="preserve"> </w:t>
      </w:r>
      <w:r w:rsidR="00CF7EDF" w:rsidRPr="00115A9E">
        <w:rPr>
          <w:rFonts w:asciiTheme="minorHAnsi" w:eastAsia="Batang" w:hAnsiTheme="minorHAnsi"/>
          <w:bCs/>
          <w:sz w:val="22"/>
          <w:szCs w:val="22"/>
          <w:lang w:val="es-ES_tradnl" w:eastAsia="ko-KR"/>
        </w:rPr>
        <w:t>4</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En todos los escenario, los gastos en concepto de nómina representan aproximadamente el </w:t>
      </w:r>
      <w:r w:rsidR="00471803" w:rsidRPr="00115A9E">
        <w:rPr>
          <w:rFonts w:asciiTheme="minorHAnsi" w:eastAsia="Batang" w:hAnsiTheme="minorHAnsi"/>
          <w:bCs/>
          <w:sz w:val="22"/>
          <w:szCs w:val="22"/>
          <w:lang w:val="es-ES_tradnl" w:eastAsia="ko-KR"/>
        </w:rPr>
        <w:t>66</w:t>
      </w:r>
      <w:r w:rsidRPr="00115A9E">
        <w:rPr>
          <w:rFonts w:asciiTheme="minorHAnsi" w:eastAsia="Batang" w:hAnsiTheme="minorHAnsi"/>
          <w:bCs/>
          <w:sz w:val="22"/>
          <w:szCs w:val="22"/>
          <w:lang w:val="es-ES_tradnl" w:eastAsia="ko-KR"/>
        </w:rPr>
        <w:t> </w:t>
      </w:r>
      <w:r w:rsidR="00471803" w:rsidRPr="00115A9E">
        <w:rPr>
          <w:rFonts w:asciiTheme="minorHAnsi" w:eastAsia="Batang" w:hAnsiTheme="minorHAnsi"/>
          <w:bCs/>
          <w:sz w:val="22"/>
          <w:szCs w:val="22"/>
          <w:lang w:val="es-ES_tradnl" w:eastAsia="ko-KR"/>
        </w:rPr>
        <w:t xml:space="preserve">% </w:t>
      </w:r>
      <w:r w:rsidR="006977EB" w:rsidRPr="00115A9E">
        <w:rPr>
          <w:rFonts w:asciiTheme="minorHAnsi" w:eastAsia="Batang" w:hAnsiTheme="minorHAnsi"/>
          <w:bCs/>
          <w:sz w:val="22"/>
          <w:szCs w:val="22"/>
          <w:lang w:val="es-ES_tradnl" w:eastAsia="ko-KR"/>
        </w:rPr>
        <w:t>del presupuesto b</w:t>
      </w:r>
      <w:r w:rsidRPr="00115A9E">
        <w:rPr>
          <w:rFonts w:asciiTheme="minorHAnsi" w:eastAsia="Batang" w:hAnsiTheme="minorHAnsi"/>
          <w:bCs/>
          <w:sz w:val="22"/>
          <w:szCs w:val="22"/>
          <w:lang w:val="es-ES_tradnl" w:eastAsia="ko-KR"/>
        </w:rPr>
        <w:t>ásico</w:t>
      </w:r>
      <w:r w:rsidR="00471803"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3E626A"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Otras prestaciones laborales</w:t>
      </w:r>
      <w:r w:rsidR="00D601C4"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La partida correspondiente a otras prestaciones laborales abarca las vacaciones en el país de origen (expatriados), el subsidio para la educación de los hijos y los gastos de reinstalación</w:t>
      </w:r>
      <w:r w:rsidR="001F686A"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Hay ligeras variaciones en la partida “otras prestaciones laborales” para </w:t>
      </w:r>
      <w:r w:rsidRPr="00115A9E">
        <w:rPr>
          <w:rFonts w:asciiTheme="minorHAnsi" w:eastAsia="Batang" w:hAnsiTheme="minorHAnsi"/>
          <w:bCs/>
          <w:sz w:val="22"/>
          <w:szCs w:val="22"/>
          <w:lang w:val="es-ES_tradnl" w:eastAsia="ko-KR"/>
        </w:rPr>
        <w:lastRenderedPageBreak/>
        <w:t>tener en cuenta el aumento de los costos</w:t>
      </w:r>
      <w:r w:rsidR="00D601C4" w:rsidRPr="00115A9E">
        <w:rPr>
          <w:rFonts w:asciiTheme="minorHAnsi" w:eastAsia="Batang" w:hAnsiTheme="minorHAnsi"/>
          <w:bCs/>
          <w:sz w:val="22"/>
          <w:szCs w:val="22"/>
          <w:lang w:val="es-ES_tradnl" w:eastAsia="ko-KR"/>
        </w:rPr>
        <w:t>.</w:t>
      </w:r>
      <w:r w:rsidR="0077158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 excepción es </w:t>
      </w:r>
      <w:r w:rsidR="00B75E31" w:rsidRPr="00115A9E">
        <w:rPr>
          <w:rFonts w:asciiTheme="minorHAnsi" w:eastAsia="Batang" w:hAnsiTheme="minorHAnsi"/>
          <w:bCs/>
          <w:sz w:val="22"/>
          <w:szCs w:val="22"/>
          <w:lang w:val="es-ES_tradnl" w:eastAsia="ko-KR"/>
        </w:rPr>
        <w:t>la partida</w:t>
      </w:r>
      <w:r w:rsidRPr="00115A9E">
        <w:rPr>
          <w:rFonts w:asciiTheme="minorHAnsi" w:eastAsia="Batang" w:hAnsiTheme="minorHAnsi"/>
          <w:bCs/>
          <w:sz w:val="22"/>
          <w:szCs w:val="22"/>
          <w:lang w:val="es-ES_tradnl" w:eastAsia="ko-KR"/>
        </w:rPr>
        <w:t xml:space="preserve"> </w:t>
      </w:r>
      <w:r w:rsidR="00B75E31" w:rsidRPr="00115A9E">
        <w:rPr>
          <w:rFonts w:asciiTheme="minorHAnsi" w:eastAsia="Batang" w:hAnsiTheme="minorHAnsi"/>
          <w:bCs/>
          <w:sz w:val="22"/>
          <w:szCs w:val="22"/>
          <w:lang w:val="es-ES_tradnl" w:eastAsia="ko-KR"/>
        </w:rPr>
        <w:t xml:space="preserve">correspondiente al </w:t>
      </w:r>
      <w:r w:rsidRPr="00115A9E">
        <w:rPr>
          <w:rFonts w:asciiTheme="minorHAnsi" w:eastAsia="Batang" w:hAnsiTheme="minorHAnsi"/>
          <w:bCs/>
          <w:sz w:val="22"/>
          <w:szCs w:val="22"/>
          <w:lang w:val="es-ES_tradnl" w:eastAsia="ko-KR"/>
        </w:rPr>
        <w:t>personal directivo superior, que disminuye en 13.</w:t>
      </w:r>
      <w:r w:rsidR="00771583"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 xml:space="preserve">francos suizos respecto a </w:t>
      </w:r>
      <w:r w:rsidR="00771583" w:rsidRPr="00115A9E">
        <w:rPr>
          <w:rFonts w:asciiTheme="minorHAnsi" w:eastAsia="Batang" w:hAnsiTheme="minorHAnsi"/>
          <w:bCs/>
          <w:sz w:val="22"/>
          <w:szCs w:val="22"/>
          <w:lang w:val="es-ES_tradnl" w:eastAsia="ko-KR"/>
        </w:rPr>
        <w:t xml:space="preserve">2015 </w:t>
      </w:r>
      <w:r w:rsidRPr="00115A9E">
        <w:rPr>
          <w:rFonts w:asciiTheme="minorHAnsi" w:eastAsia="Batang" w:hAnsiTheme="minorHAnsi"/>
          <w:bCs/>
          <w:sz w:val="22"/>
          <w:szCs w:val="22"/>
          <w:lang w:val="es-ES_tradnl" w:eastAsia="ko-KR"/>
        </w:rPr>
        <w:t xml:space="preserve">debido al subsidio abonado en </w:t>
      </w:r>
      <w:r w:rsidR="00771583" w:rsidRPr="00115A9E">
        <w:rPr>
          <w:rFonts w:asciiTheme="minorHAnsi" w:eastAsia="Batang" w:hAnsiTheme="minorHAnsi"/>
          <w:bCs/>
          <w:sz w:val="22"/>
          <w:szCs w:val="22"/>
          <w:lang w:val="es-ES_tradnl" w:eastAsia="ko-KR"/>
        </w:rPr>
        <w:t xml:space="preserve">2015 </w:t>
      </w:r>
      <w:r w:rsidRPr="00115A9E">
        <w:rPr>
          <w:rFonts w:asciiTheme="minorHAnsi" w:eastAsia="Batang" w:hAnsiTheme="minorHAnsi"/>
          <w:bCs/>
          <w:sz w:val="22"/>
          <w:szCs w:val="22"/>
          <w:lang w:val="es-ES_tradnl" w:eastAsia="ko-KR"/>
        </w:rPr>
        <w:t xml:space="preserve">para la reinstalación de la </w:t>
      </w:r>
      <w:r w:rsidR="00B75E31" w:rsidRPr="00115A9E">
        <w:rPr>
          <w:rFonts w:asciiTheme="minorHAnsi" w:eastAsia="Batang" w:hAnsiTheme="minorHAnsi"/>
          <w:bCs/>
          <w:sz w:val="22"/>
          <w:szCs w:val="22"/>
          <w:lang w:val="es-ES_tradnl" w:eastAsia="ko-KR"/>
        </w:rPr>
        <w:t>Secretaria</w:t>
      </w:r>
      <w:r w:rsidRPr="00115A9E">
        <w:rPr>
          <w:rFonts w:asciiTheme="minorHAnsi" w:eastAsia="Batang" w:hAnsiTheme="minorHAnsi"/>
          <w:bCs/>
          <w:sz w:val="22"/>
          <w:szCs w:val="22"/>
          <w:lang w:val="es-ES_tradnl" w:eastAsia="ko-KR"/>
        </w:rPr>
        <w:t xml:space="preserve"> General</w:t>
      </w:r>
      <w:r w:rsidR="00B75E31" w:rsidRPr="00115A9E">
        <w:rPr>
          <w:rFonts w:asciiTheme="minorHAnsi" w:eastAsia="Batang" w:hAnsiTheme="minorHAnsi"/>
          <w:bCs/>
          <w:sz w:val="22"/>
          <w:szCs w:val="22"/>
          <w:lang w:val="es-ES_tradnl" w:eastAsia="ko-KR"/>
        </w:rPr>
        <w:t xml:space="preserve"> Adjunta.</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3E626A"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Viajes</w:t>
      </w:r>
      <w:r w:rsidR="00605A9B" w:rsidRPr="00115A9E">
        <w:rPr>
          <w:rFonts w:asciiTheme="minorHAnsi" w:eastAsia="Batang" w:hAnsiTheme="minorHAnsi"/>
          <w:b/>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El presupuesto en concepto de viajes para el trienio </w:t>
      </w:r>
      <w:r w:rsidR="008E69FC" w:rsidRPr="00115A9E">
        <w:rPr>
          <w:rFonts w:asciiTheme="minorHAnsi" w:eastAsia="Batang" w:hAnsiTheme="minorHAnsi"/>
          <w:bCs/>
          <w:sz w:val="22"/>
          <w:szCs w:val="22"/>
          <w:lang w:val="es-ES_tradnl" w:eastAsia="ko-KR"/>
        </w:rPr>
        <w:t xml:space="preserve">2016-2018 </w:t>
      </w:r>
      <w:r w:rsidRPr="00115A9E">
        <w:rPr>
          <w:rFonts w:asciiTheme="minorHAnsi" w:eastAsia="Batang" w:hAnsiTheme="minorHAnsi"/>
          <w:bCs/>
          <w:sz w:val="22"/>
          <w:szCs w:val="22"/>
          <w:lang w:val="es-ES_tradnl" w:eastAsia="ko-KR"/>
        </w:rPr>
        <w:t>aumenta en 30.</w:t>
      </w:r>
      <w:r w:rsidR="005C566E"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 xml:space="preserve">francos suizos </w:t>
      </w:r>
      <w:r w:rsidR="005C566E" w:rsidRPr="00115A9E">
        <w:rPr>
          <w:rFonts w:asciiTheme="minorHAnsi" w:eastAsia="Batang" w:hAnsiTheme="minorHAnsi"/>
          <w:bCs/>
          <w:sz w:val="22"/>
          <w:szCs w:val="22"/>
          <w:lang w:val="es-ES_tradnl" w:eastAsia="ko-KR"/>
        </w:rPr>
        <w:t>(</w:t>
      </w:r>
      <w:r w:rsidRPr="00115A9E">
        <w:rPr>
          <w:rFonts w:asciiTheme="minorHAnsi" w:eastAsia="Batang" w:hAnsiTheme="minorHAnsi"/>
          <w:bCs/>
          <w:sz w:val="22"/>
          <w:szCs w:val="22"/>
          <w:lang w:val="es-ES_tradnl" w:eastAsia="ko-KR"/>
        </w:rPr>
        <w:t>desde 135.</w:t>
      </w:r>
      <w:r w:rsidR="005C566E"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hasta 165.</w:t>
      </w:r>
      <w:r w:rsidR="005C566E" w:rsidRPr="00115A9E">
        <w:rPr>
          <w:rFonts w:asciiTheme="minorHAnsi" w:eastAsia="Batang" w:hAnsiTheme="minorHAnsi"/>
          <w:bCs/>
          <w:sz w:val="22"/>
          <w:szCs w:val="22"/>
          <w:lang w:val="es-ES_tradnl" w:eastAsia="ko-KR"/>
        </w:rPr>
        <w:t>000</w:t>
      </w:r>
      <w:r w:rsidRPr="00115A9E">
        <w:rPr>
          <w:rFonts w:asciiTheme="minorHAnsi" w:eastAsia="Batang" w:hAnsiTheme="minorHAnsi"/>
          <w:bCs/>
          <w:sz w:val="22"/>
          <w:szCs w:val="22"/>
          <w:lang w:val="es-ES_tradnl" w:eastAsia="ko-KR"/>
        </w:rPr>
        <w:t xml:space="preserve"> francos suizos</w:t>
      </w:r>
      <w:r w:rsidR="00966C8A" w:rsidRPr="00115A9E">
        <w:rPr>
          <w:rFonts w:asciiTheme="minorHAnsi" w:eastAsia="Batang" w:hAnsiTheme="minorHAnsi"/>
          <w:bCs/>
          <w:sz w:val="22"/>
          <w:szCs w:val="22"/>
          <w:lang w:val="es-ES_tradnl" w:eastAsia="ko-KR"/>
        </w:rPr>
        <w:t xml:space="preserve">), como ajuste para el incremento de los costos de viaje y las propuestas de aumento en los presupuestos para viajes del personal directivo superior, </w:t>
      </w:r>
      <w:r w:rsidR="00220787" w:rsidRPr="00115A9E">
        <w:rPr>
          <w:rFonts w:asciiTheme="minorHAnsi" w:eastAsia="Batang" w:hAnsiTheme="minorHAnsi"/>
          <w:bCs/>
          <w:sz w:val="22"/>
          <w:szCs w:val="22"/>
          <w:lang w:val="es-ES_tradnl" w:eastAsia="ko-KR"/>
        </w:rPr>
        <w:t xml:space="preserve">los </w:t>
      </w:r>
      <w:r w:rsidR="00966C8A" w:rsidRPr="00115A9E">
        <w:rPr>
          <w:rFonts w:asciiTheme="minorHAnsi" w:eastAsia="Batang" w:hAnsiTheme="minorHAnsi"/>
          <w:bCs/>
          <w:sz w:val="22"/>
          <w:szCs w:val="22"/>
          <w:lang w:val="es-ES_tradnl" w:eastAsia="ko-KR"/>
        </w:rPr>
        <w:t xml:space="preserve">asesores regionales y </w:t>
      </w:r>
      <w:r w:rsidR="00A84582" w:rsidRPr="00115A9E">
        <w:rPr>
          <w:rFonts w:asciiTheme="minorHAnsi" w:eastAsia="Batang" w:hAnsiTheme="minorHAnsi"/>
          <w:bCs/>
          <w:sz w:val="22"/>
          <w:szCs w:val="22"/>
          <w:lang w:val="es-ES_tradnl" w:eastAsia="ko-KR"/>
        </w:rPr>
        <w:t>el personal de</w:t>
      </w:r>
      <w:r w:rsidR="00220787" w:rsidRPr="00115A9E">
        <w:rPr>
          <w:rFonts w:asciiTheme="minorHAnsi" w:eastAsia="Batang" w:hAnsiTheme="minorHAnsi"/>
          <w:bCs/>
          <w:sz w:val="22"/>
          <w:szCs w:val="22"/>
          <w:lang w:val="es-ES_tradnl" w:eastAsia="ko-KR"/>
        </w:rPr>
        <w:t xml:space="preserve"> </w:t>
      </w:r>
      <w:r w:rsidR="00966C8A" w:rsidRPr="00115A9E">
        <w:rPr>
          <w:rFonts w:asciiTheme="minorHAnsi" w:eastAsia="Batang" w:hAnsiTheme="minorHAnsi"/>
          <w:bCs/>
          <w:sz w:val="22"/>
          <w:szCs w:val="22"/>
          <w:lang w:val="es-ES_tradnl" w:eastAsia="ko-KR"/>
        </w:rPr>
        <w:t>comunicaciones</w:t>
      </w:r>
      <w:r w:rsidR="00EC1284" w:rsidRPr="00115A9E">
        <w:rPr>
          <w:rFonts w:asciiTheme="minorHAnsi" w:eastAsia="Batang" w:hAnsiTheme="minorHAnsi"/>
          <w:bCs/>
          <w:sz w:val="22"/>
          <w:szCs w:val="22"/>
          <w:lang w:val="es-ES_tradnl" w:eastAsia="ko-KR"/>
        </w:rPr>
        <w:t>.</w:t>
      </w:r>
      <w:r w:rsidR="005C566E" w:rsidRPr="00115A9E">
        <w:rPr>
          <w:rFonts w:asciiTheme="minorHAnsi" w:eastAsia="Batang" w:hAnsiTheme="minorHAnsi"/>
          <w:bCs/>
          <w:sz w:val="22"/>
          <w:szCs w:val="22"/>
          <w:lang w:val="es-ES_tradnl" w:eastAsia="ko-KR"/>
        </w:rPr>
        <w:t xml:space="preserve"> </w:t>
      </w:r>
      <w:r w:rsidR="00966C8A" w:rsidRPr="00115A9E">
        <w:rPr>
          <w:rFonts w:asciiTheme="minorHAnsi" w:eastAsia="Batang" w:hAnsiTheme="minorHAnsi"/>
          <w:bCs/>
          <w:sz w:val="22"/>
          <w:szCs w:val="22"/>
          <w:lang w:val="es-ES_tradnl" w:eastAsia="ko-KR"/>
        </w:rPr>
        <w:t xml:space="preserve">Los gastos de viaje constituyen el </w:t>
      </w:r>
      <w:r w:rsidR="005C566E" w:rsidRPr="00115A9E">
        <w:rPr>
          <w:rFonts w:asciiTheme="minorHAnsi" w:eastAsia="Batang" w:hAnsiTheme="minorHAnsi"/>
          <w:bCs/>
          <w:sz w:val="22"/>
          <w:szCs w:val="22"/>
          <w:lang w:val="es-ES_tradnl" w:eastAsia="ko-KR"/>
        </w:rPr>
        <w:t>4</w:t>
      </w:r>
      <w:r w:rsidR="00966C8A" w:rsidRPr="00115A9E">
        <w:rPr>
          <w:rFonts w:asciiTheme="minorHAnsi" w:eastAsia="Batang" w:hAnsiTheme="minorHAnsi"/>
          <w:bCs/>
          <w:sz w:val="22"/>
          <w:szCs w:val="22"/>
          <w:lang w:val="es-ES_tradnl" w:eastAsia="ko-KR"/>
        </w:rPr>
        <w:t> </w:t>
      </w:r>
      <w:r w:rsidR="005C566E" w:rsidRPr="00115A9E">
        <w:rPr>
          <w:rFonts w:asciiTheme="minorHAnsi" w:eastAsia="Batang" w:hAnsiTheme="minorHAnsi"/>
          <w:bCs/>
          <w:sz w:val="22"/>
          <w:szCs w:val="22"/>
          <w:lang w:val="es-ES_tradnl" w:eastAsia="ko-KR"/>
        </w:rPr>
        <w:t xml:space="preserve">% </w:t>
      </w:r>
      <w:r w:rsidR="006977EB" w:rsidRPr="00115A9E">
        <w:rPr>
          <w:rFonts w:asciiTheme="minorHAnsi" w:eastAsia="Batang" w:hAnsiTheme="minorHAnsi"/>
          <w:bCs/>
          <w:sz w:val="22"/>
          <w:szCs w:val="22"/>
          <w:lang w:val="es-ES_tradnl" w:eastAsia="ko-KR"/>
        </w:rPr>
        <w:t>del presupuesto b</w:t>
      </w:r>
      <w:r w:rsidR="00966C8A" w:rsidRPr="00115A9E">
        <w:rPr>
          <w:rFonts w:asciiTheme="minorHAnsi" w:eastAsia="Batang" w:hAnsiTheme="minorHAnsi"/>
          <w:bCs/>
          <w:sz w:val="22"/>
          <w:szCs w:val="22"/>
          <w:lang w:val="es-ES_tradnl" w:eastAsia="ko-KR"/>
        </w:rPr>
        <w:t>ásico</w:t>
      </w:r>
      <w:r w:rsidR="005C566E" w:rsidRPr="00115A9E">
        <w:rPr>
          <w:rFonts w:asciiTheme="minorHAnsi" w:eastAsia="Batang" w:hAnsiTheme="minorHAnsi"/>
          <w:bCs/>
          <w:sz w:val="22"/>
          <w:szCs w:val="22"/>
          <w:lang w:val="es-ES_tradnl" w:eastAsia="ko-KR"/>
        </w:rPr>
        <w:t>.</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966C8A"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SISR</w:t>
      </w:r>
      <w:r w:rsidR="001421C1" w:rsidRPr="00115A9E">
        <w:rPr>
          <w:rFonts w:asciiTheme="minorHAnsi" w:eastAsia="Batang" w:hAnsiTheme="minorHAnsi"/>
          <w:b/>
          <w:bCs/>
          <w:sz w:val="22"/>
          <w:szCs w:val="22"/>
          <w:lang w:val="es-ES_tradnl" w:eastAsia="ko-KR"/>
        </w:rPr>
        <w:t xml:space="preserve"> y apoyo a la </w:t>
      </w:r>
      <w:r w:rsidRPr="00115A9E">
        <w:rPr>
          <w:rFonts w:asciiTheme="minorHAnsi" w:eastAsia="Batang" w:hAnsiTheme="minorHAnsi"/>
          <w:b/>
          <w:bCs/>
          <w:sz w:val="22"/>
          <w:szCs w:val="22"/>
          <w:lang w:val="es-ES_tradnl" w:eastAsia="ko-KR"/>
        </w:rPr>
        <w:t>w</w:t>
      </w:r>
      <w:r w:rsidR="00DE6136" w:rsidRPr="00115A9E">
        <w:rPr>
          <w:rFonts w:asciiTheme="minorHAnsi" w:eastAsia="Batang" w:hAnsiTheme="minorHAnsi"/>
          <w:b/>
          <w:bCs/>
          <w:sz w:val="22"/>
          <w:szCs w:val="22"/>
          <w:lang w:val="es-ES_tradnl" w:eastAsia="ko-KR"/>
        </w:rPr>
        <w:t>eb</w:t>
      </w:r>
      <w:r w:rsidRPr="00115A9E">
        <w:rPr>
          <w:rFonts w:asciiTheme="minorHAnsi" w:eastAsia="Batang" w:hAnsiTheme="minorHAnsi"/>
          <w:b/>
          <w:bCs/>
          <w:sz w:val="22"/>
          <w:szCs w:val="22"/>
          <w:lang w:val="es-ES_tradnl" w:eastAsia="ko-KR"/>
        </w:rPr>
        <w:t xml:space="preserve"> y </w:t>
      </w:r>
      <w:r w:rsidR="001421C1" w:rsidRPr="00115A9E">
        <w:rPr>
          <w:rFonts w:asciiTheme="minorHAnsi" w:eastAsia="Batang" w:hAnsiTheme="minorHAnsi"/>
          <w:b/>
          <w:bCs/>
          <w:sz w:val="22"/>
          <w:szCs w:val="22"/>
          <w:lang w:val="es-ES_tradnl" w:eastAsia="ko-KR"/>
        </w:rPr>
        <w:t xml:space="preserve">la </w:t>
      </w:r>
      <w:r w:rsidRPr="00115A9E">
        <w:rPr>
          <w:rFonts w:asciiTheme="minorHAnsi" w:eastAsia="Batang" w:hAnsiTheme="minorHAnsi"/>
          <w:b/>
          <w:bCs/>
          <w:sz w:val="22"/>
          <w:szCs w:val="22"/>
          <w:lang w:val="es-ES_tradnl" w:eastAsia="ko-KR"/>
        </w:rPr>
        <w:t>tecnología de la información</w:t>
      </w:r>
      <w:r w:rsidR="00DE6136" w:rsidRPr="00115A9E">
        <w:rPr>
          <w:rFonts w:asciiTheme="minorHAnsi" w:eastAsia="Batang" w:hAnsiTheme="minorHAnsi"/>
          <w:bCs/>
          <w:sz w:val="22"/>
          <w:szCs w:val="22"/>
          <w:lang w:val="es-ES_tradnl" w:eastAsia="ko-KR"/>
        </w:rPr>
        <w:t xml:space="preserve">. </w:t>
      </w:r>
      <w:r w:rsidR="00214126" w:rsidRPr="00115A9E">
        <w:rPr>
          <w:rFonts w:asciiTheme="minorHAnsi" w:eastAsia="Batang" w:hAnsiTheme="minorHAnsi"/>
          <w:bCs/>
          <w:sz w:val="22"/>
          <w:szCs w:val="22"/>
          <w:lang w:val="es-ES_tradnl" w:eastAsia="ko-KR"/>
        </w:rPr>
        <w:t>Se establece una reducción del presupuesto anual del SISR de 75.</w:t>
      </w:r>
      <w:r w:rsidR="00DE6136" w:rsidRPr="00115A9E">
        <w:rPr>
          <w:rFonts w:asciiTheme="minorHAnsi" w:eastAsia="Batang" w:hAnsiTheme="minorHAnsi"/>
          <w:bCs/>
          <w:sz w:val="22"/>
          <w:szCs w:val="22"/>
          <w:lang w:val="es-ES_tradnl" w:eastAsia="ko-KR"/>
        </w:rPr>
        <w:t xml:space="preserve">000 </w:t>
      </w:r>
      <w:r w:rsidR="00214126" w:rsidRPr="00115A9E">
        <w:rPr>
          <w:rFonts w:asciiTheme="minorHAnsi" w:eastAsia="Batang" w:hAnsiTheme="minorHAnsi"/>
          <w:bCs/>
          <w:sz w:val="22"/>
          <w:szCs w:val="22"/>
          <w:lang w:val="es-ES_tradnl" w:eastAsia="ko-KR"/>
        </w:rPr>
        <w:t xml:space="preserve">francos suizos respecto al trienio </w:t>
      </w:r>
      <w:r w:rsidR="00DE6136" w:rsidRPr="00115A9E">
        <w:rPr>
          <w:rFonts w:asciiTheme="minorHAnsi" w:eastAsia="Batang" w:hAnsiTheme="minorHAnsi"/>
          <w:bCs/>
          <w:sz w:val="22"/>
          <w:szCs w:val="22"/>
          <w:lang w:val="es-ES_tradnl" w:eastAsia="ko-KR"/>
        </w:rPr>
        <w:t>2013-2015</w:t>
      </w:r>
      <w:r w:rsidR="00DE1B27" w:rsidRPr="00115A9E">
        <w:rPr>
          <w:rFonts w:asciiTheme="minorHAnsi" w:eastAsia="Batang" w:hAnsiTheme="minorHAnsi"/>
          <w:bCs/>
          <w:sz w:val="22"/>
          <w:szCs w:val="22"/>
          <w:lang w:val="es-ES_tradnl" w:eastAsia="ko-KR"/>
        </w:rPr>
        <w:t xml:space="preserve">, </w:t>
      </w:r>
      <w:r w:rsidR="001167EB" w:rsidRPr="00115A9E">
        <w:rPr>
          <w:rFonts w:asciiTheme="minorHAnsi" w:eastAsia="Batang" w:hAnsiTheme="minorHAnsi"/>
          <w:bCs/>
          <w:sz w:val="22"/>
          <w:szCs w:val="22"/>
          <w:lang w:val="es-ES_tradnl" w:eastAsia="ko-KR"/>
        </w:rPr>
        <w:t xml:space="preserve">al tener </w:t>
      </w:r>
      <w:r w:rsidR="00214126" w:rsidRPr="00115A9E">
        <w:rPr>
          <w:rFonts w:asciiTheme="minorHAnsi" w:eastAsia="Batang" w:hAnsiTheme="minorHAnsi"/>
          <w:bCs/>
          <w:sz w:val="22"/>
          <w:szCs w:val="22"/>
          <w:lang w:val="es-ES_tradnl" w:eastAsia="ko-KR"/>
        </w:rPr>
        <w:t xml:space="preserve">en consideración que la inversión aprobada por la </w:t>
      </w:r>
      <w:r w:rsidR="00DE6136" w:rsidRPr="00115A9E">
        <w:rPr>
          <w:rFonts w:asciiTheme="minorHAnsi" w:eastAsia="Batang" w:hAnsiTheme="minorHAnsi"/>
          <w:bCs/>
          <w:sz w:val="22"/>
          <w:szCs w:val="22"/>
          <w:lang w:val="es-ES_tradnl" w:eastAsia="ko-KR"/>
        </w:rPr>
        <w:t xml:space="preserve">COP10 </w:t>
      </w:r>
      <w:r w:rsidR="00414B7E" w:rsidRPr="00115A9E">
        <w:rPr>
          <w:rFonts w:asciiTheme="minorHAnsi" w:eastAsia="Batang" w:hAnsiTheme="minorHAnsi"/>
          <w:bCs/>
          <w:sz w:val="22"/>
          <w:szCs w:val="22"/>
          <w:lang w:val="es-ES_tradnl" w:eastAsia="ko-KR"/>
        </w:rPr>
        <w:t xml:space="preserve">para la remodelación </w:t>
      </w:r>
      <w:r w:rsidR="00214126" w:rsidRPr="00115A9E">
        <w:rPr>
          <w:rFonts w:asciiTheme="minorHAnsi" w:eastAsia="Batang" w:hAnsiTheme="minorHAnsi"/>
          <w:bCs/>
          <w:sz w:val="22"/>
          <w:szCs w:val="22"/>
          <w:lang w:val="es-ES_tradnl" w:eastAsia="ko-KR"/>
        </w:rPr>
        <w:t xml:space="preserve">del SISR </w:t>
      </w:r>
      <w:r w:rsidR="001167EB" w:rsidRPr="00115A9E">
        <w:rPr>
          <w:rFonts w:asciiTheme="minorHAnsi" w:eastAsia="Batang" w:hAnsiTheme="minorHAnsi"/>
          <w:bCs/>
          <w:sz w:val="22"/>
          <w:szCs w:val="22"/>
          <w:lang w:val="es-ES_tradnl" w:eastAsia="ko-KR"/>
        </w:rPr>
        <w:t xml:space="preserve">culminó </w:t>
      </w:r>
      <w:r w:rsidR="00214126" w:rsidRPr="00115A9E">
        <w:rPr>
          <w:rFonts w:asciiTheme="minorHAnsi" w:eastAsia="Batang" w:hAnsiTheme="minorHAnsi"/>
          <w:bCs/>
          <w:sz w:val="22"/>
          <w:szCs w:val="22"/>
          <w:lang w:val="es-ES_tradnl" w:eastAsia="ko-KR"/>
        </w:rPr>
        <w:t xml:space="preserve">finalmente en </w:t>
      </w:r>
      <w:r w:rsidR="00DE6136" w:rsidRPr="00115A9E">
        <w:rPr>
          <w:rFonts w:asciiTheme="minorHAnsi" w:eastAsia="Batang" w:hAnsiTheme="minorHAnsi"/>
          <w:bCs/>
          <w:sz w:val="22"/>
          <w:szCs w:val="22"/>
          <w:lang w:val="es-ES_tradnl" w:eastAsia="ko-KR"/>
        </w:rPr>
        <w:t xml:space="preserve">2015. </w:t>
      </w:r>
      <w:r w:rsidR="001167EB" w:rsidRPr="00115A9E">
        <w:rPr>
          <w:rFonts w:asciiTheme="minorHAnsi" w:eastAsia="Batang" w:hAnsiTheme="minorHAnsi"/>
          <w:bCs/>
          <w:sz w:val="22"/>
          <w:szCs w:val="22"/>
          <w:lang w:val="es-ES_tradnl" w:eastAsia="ko-KR"/>
        </w:rPr>
        <w:t xml:space="preserve">A los costos de apoyo </w:t>
      </w:r>
      <w:r w:rsidR="00E200F2" w:rsidRPr="00115A9E">
        <w:rPr>
          <w:rFonts w:asciiTheme="minorHAnsi" w:eastAsia="Batang" w:hAnsiTheme="minorHAnsi"/>
          <w:bCs/>
          <w:sz w:val="22"/>
          <w:szCs w:val="22"/>
          <w:lang w:val="es-ES_tradnl" w:eastAsia="ko-KR"/>
        </w:rPr>
        <w:t>continuo</w:t>
      </w:r>
      <w:r w:rsidR="001167EB" w:rsidRPr="00115A9E">
        <w:rPr>
          <w:rFonts w:asciiTheme="minorHAnsi" w:eastAsia="Batang" w:hAnsiTheme="minorHAnsi"/>
          <w:bCs/>
          <w:sz w:val="22"/>
          <w:szCs w:val="22"/>
          <w:lang w:val="es-ES_tradnl" w:eastAsia="ko-KR"/>
        </w:rPr>
        <w:t xml:space="preserve"> a la web, de </w:t>
      </w:r>
      <w:r w:rsidR="00DE6136" w:rsidRPr="00115A9E">
        <w:rPr>
          <w:rFonts w:asciiTheme="minorHAnsi" w:eastAsia="Batang" w:hAnsiTheme="minorHAnsi"/>
          <w:bCs/>
          <w:sz w:val="22"/>
          <w:szCs w:val="22"/>
          <w:lang w:val="es-ES_tradnl" w:eastAsia="ko-KR"/>
        </w:rPr>
        <w:t>65</w:t>
      </w:r>
      <w:r w:rsidR="001167EB" w:rsidRPr="00115A9E">
        <w:rPr>
          <w:rFonts w:asciiTheme="minorHAnsi" w:eastAsia="Batang" w:hAnsiTheme="minorHAnsi"/>
          <w:bCs/>
          <w:sz w:val="22"/>
          <w:szCs w:val="22"/>
          <w:lang w:val="es-ES_tradnl" w:eastAsia="ko-KR"/>
        </w:rPr>
        <w:t>.</w:t>
      </w:r>
      <w:r w:rsidR="00471803" w:rsidRPr="00115A9E">
        <w:rPr>
          <w:rFonts w:asciiTheme="minorHAnsi" w:eastAsia="Batang" w:hAnsiTheme="minorHAnsi"/>
          <w:bCs/>
          <w:sz w:val="22"/>
          <w:szCs w:val="22"/>
          <w:lang w:val="es-ES_tradnl" w:eastAsia="ko-KR"/>
        </w:rPr>
        <w:t xml:space="preserve">000 </w:t>
      </w:r>
      <w:r w:rsidR="001167EB" w:rsidRPr="00115A9E">
        <w:rPr>
          <w:rFonts w:asciiTheme="minorHAnsi" w:eastAsia="Batang" w:hAnsiTheme="minorHAnsi"/>
          <w:bCs/>
          <w:sz w:val="22"/>
          <w:szCs w:val="22"/>
          <w:lang w:val="es-ES_tradnl" w:eastAsia="ko-KR"/>
        </w:rPr>
        <w:t>francos suizos anuales, se suma una inversión necesaria prevista en el sitio web del SISR de 10.</w:t>
      </w:r>
      <w:r w:rsidR="00DE6136" w:rsidRPr="00115A9E">
        <w:rPr>
          <w:rFonts w:asciiTheme="minorHAnsi" w:eastAsia="Batang" w:hAnsiTheme="minorHAnsi"/>
          <w:bCs/>
          <w:sz w:val="22"/>
          <w:szCs w:val="22"/>
          <w:lang w:val="es-ES_tradnl" w:eastAsia="ko-KR"/>
        </w:rPr>
        <w:t xml:space="preserve">000 </w:t>
      </w:r>
      <w:r w:rsidR="001167EB" w:rsidRPr="00115A9E">
        <w:rPr>
          <w:rFonts w:asciiTheme="minorHAnsi" w:eastAsia="Batang" w:hAnsiTheme="minorHAnsi"/>
          <w:bCs/>
          <w:sz w:val="22"/>
          <w:szCs w:val="22"/>
          <w:lang w:val="es-ES_tradnl" w:eastAsia="ko-KR"/>
        </w:rPr>
        <w:t xml:space="preserve">francos suizos anuales para cubrir </w:t>
      </w:r>
      <w:r w:rsidR="00E200F2" w:rsidRPr="00115A9E">
        <w:rPr>
          <w:rFonts w:asciiTheme="minorHAnsi" w:eastAsia="Batang" w:hAnsiTheme="minorHAnsi"/>
          <w:bCs/>
          <w:sz w:val="22"/>
          <w:szCs w:val="22"/>
          <w:lang w:val="es-ES_tradnl" w:eastAsia="ko-KR"/>
        </w:rPr>
        <w:t xml:space="preserve">la actualización </w:t>
      </w:r>
      <w:r w:rsidR="001167EB" w:rsidRPr="00115A9E">
        <w:rPr>
          <w:rFonts w:asciiTheme="minorHAnsi" w:eastAsia="Batang" w:hAnsiTheme="minorHAnsi"/>
          <w:bCs/>
          <w:sz w:val="22"/>
          <w:szCs w:val="22"/>
          <w:lang w:val="es-ES_tradnl" w:eastAsia="ko-KR"/>
        </w:rPr>
        <w:t>de sus elementos con objeto de incrementar su visibilidad</w:t>
      </w:r>
      <w:r w:rsidR="00DE6136" w:rsidRPr="00115A9E">
        <w:rPr>
          <w:rFonts w:asciiTheme="minorHAnsi" w:eastAsia="Batang" w:hAnsiTheme="minorHAnsi"/>
          <w:bCs/>
          <w:sz w:val="22"/>
          <w:szCs w:val="22"/>
          <w:lang w:val="es-ES_tradnl" w:eastAsia="ko-KR"/>
        </w:rPr>
        <w:t xml:space="preserve">. </w:t>
      </w:r>
      <w:r w:rsidR="001167EB" w:rsidRPr="00115A9E">
        <w:rPr>
          <w:rFonts w:asciiTheme="minorHAnsi" w:eastAsia="Batang" w:hAnsiTheme="minorHAnsi"/>
          <w:bCs/>
          <w:sz w:val="22"/>
          <w:szCs w:val="22"/>
          <w:lang w:val="es-ES_tradnl" w:eastAsia="ko-KR"/>
        </w:rPr>
        <w:t>El presupuesto de apoyo a la web y la tecnología de la información, de 90.</w:t>
      </w:r>
      <w:r w:rsidR="00DE6136" w:rsidRPr="00115A9E">
        <w:rPr>
          <w:rFonts w:asciiTheme="minorHAnsi" w:eastAsia="Batang" w:hAnsiTheme="minorHAnsi"/>
          <w:bCs/>
          <w:sz w:val="22"/>
          <w:szCs w:val="22"/>
          <w:lang w:val="es-ES_tradnl" w:eastAsia="ko-KR"/>
        </w:rPr>
        <w:t xml:space="preserve">000 </w:t>
      </w:r>
      <w:r w:rsidR="001167EB" w:rsidRPr="00115A9E">
        <w:rPr>
          <w:rFonts w:asciiTheme="minorHAnsi" w:eastAsia="Batang" w:hAnsiTheme="minorHAnsi"/>
          <w:bCs/>
          <w:sz w:val="22"/>
          <w:szCs w:val="22"/>
          <w:lang w:val="es-ES_tradnl" w:eastAsia="ko-KR"/>
        </w:rPr>
        <w:t>francos suizos anuales, consta de dos contratos principales, cuyos costos no experimentarán variaciones, según las previsiones</w:t>
      </w:r>
      <w:r w:rsidR="002237EB" w:rsidRPr="00115A9E">
        <w:rPr>
          <w:rFonts w:asciiTheme="minorHAnsi" w:eastAsia="Batang" w:hAnsiTheme="minorHAnsi"/>
          <w:bCs/>
          <w:sz w:val="22"/>
          <w:szCs w:val="22"/>
          <w:lang w:val="es-ES_tradnl" w:eastAsia="ko-KR"/>
        </w:rPr>
        <w:t>.</w:t>
      </w:r>
    </w:p>
    <w:p w:rsidR="008A3C79" w:rsidRPr="00115A9E" w:rsidRDefault="00E05C7D" w:rsidP="003B495D">
      <w:pPr>
        <w:pStyle w:val="ListParagraph"/>
        <w:tabs>
          <w:tab w:val="left" w:pos="6036"/>
        </w:tabs>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ab/>
      </w:r>
    </w:p>
    <w:p w:rsidR="008A3C79" w:rsidRPr="00115A9E" w:rsidRDefault="001167EB"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Co</w:t>
      </w:r>
      <w:r w:rsidR="00C44BF1" w:rsidRPr="00115A9E">
        <w:rPr>
          <w:rFonts w:asciiTheme="minorHAnsi" w:eastAsia="Batang" w:hAnsiTheme="minorHAnsi"/>
          <w:b/>
          <w:bCs/>
          <w:sz w:val="22"/>
          <w:szCs w:val="22"/>
          <w:lang w:val="es-ES_tradnl" w:eastAsia="ko-KR"/>
        </w:rPr>
        <w:t>munica</w:t>
      </w:r>
      <w:r w:rsidRPr="00115A9E">
        <w:rPr>
          <w:rFonts w:asciiTheme="minorHAnsi" w:eastAsia="Batang" w:hAnsiTheme="minorHAnsi"/>
          <w:b/>
          <w:bCs/>
          <w:sz w:val="22"/>
          <w:szCs w:val="22"/>
          <w:lang w:val="es-ES_tradnl" w:eastAsia="ko-KR"/>
        </w:rPr>
        <w:t>ciones</w:t>
      </w:r>
      <w:r w:rsidR="00C44BF1" w:rsidRPr="00115A9E">
        <w:rPr>
          <w:rFonts w:asciiTheme="minorHAnsi" w:eastAsia="Batang" w:hAnsiTheme="minorHAnsi"/>
          <w:b/>
          <w:bCs/>
          <w:sz w:val="22"/>
          <w:szCs w:val="22"/>
          <w:lang w:val="es-ES_tradnl" w:eastAsia="ko-KR"/>
        </w:rPr>
        <w:t>.</w:t>
      </w:r>
      <w:r w:rsidR="00C44BF1" w:rsidRPr="00115A9E">
        <w:rPr>
          <w:rFonts w:asciiTheme="minorHAnsi" w:eastAsia="Batang" w:hAnsiTheme="minorHAnsi"/>
          <w:bCs/>
          <w:sz w:val="22"/>
          <w:szCs w:val="22"/>
          <w:lang w:val="es-ES_tradnl" w:eastAsia="ko-KR"/>
        </w:rPr>
        <w:t xml:space="preserve"> </w:t>
      </w:r>
      <w:r w:rsidR="00AF675E" w:rsidRPr="00115A9E">
        <w:rPr>
          <w:rFonts w:asciiTheme="minorHAnsi" w:eastAsia="Batang" w:hAnsiTheme="minorHAnsi"/>
          <w:bCs/>
          <w:sz w:val="22"/>
          <w:szCs w:val="22"/>
          <w:lang w:val="es-ES_tradnl" w:eastAsia="ko-KR"/>
        </w:rPr>
        <w:t>Se han reasignado 12.000 francos suizos adicionales por año para “</w:t>
      </w:r>
      <w:r w:rsidR="002237EB" w:rsidRPr="00115A9E">
        <w:rPr>
          <w:rFonts w:asciiTheme="minorHAnsi" w:eastAsia="Batang" w:hAnsiTheme="minorHAnsi"/>
          <w:bCs/>
          <w:sz w:val="22"/>
          <w:szCs w:val="22"/>
          <w:lang w:val="es-ES_tradnl" w:eastAsia="ko-KR"/>
        </w:rPr>
        <w:t>Comunicaciones, traducción, publicaciones y presentación de informes</w:t>
      </w:r>
      <w:r w:rsidR="00AF675E" w:rsidRPr="00115A9E">
        <w:rPr>
          <w:rFonts w:asciiTheme="minorHAnsi" w:eastAsia="Batang" w:hAnsiTheme="minorHAnsi"/>
          <w:bCs/>
          <w:sz w:val="22"/>
          <w:szCs w:val="22"/>
          <w:lang w:val="es-ES_tradnl" w:eastAsia="ko-KR"/>
        </w:rPr>
        <w:t>” a fin de responder a la solicitud de mayor visibilidad y a la importancia de transmitir mensajes fundamentales por medios de comunicación tradicionales y nuevos, y de apoyar los esfuerzos de las Partes y sus necesidades de material (virtual, impreso, películas, videoclips, fotografías, audio) que sea muy atractivo para el público destinatario en distintos idiomas; esto refleja el impulso para aumentar el número de promotores de la Convención e intensificar la cooperación relativa a los humedales</w:t>
      </w:r>
      <w:r w:rsidR="00C44BF1" w:rsidRPr="00115A9E">
        <w:rPr>
          <w:rFonts w:asciiTheme="minorHAnsi" w:eastAsia="Batang" w:hAnsiTheme="minorHAnsi"/>
          <w:bCs/>
          <w:sz w:val="22"/>
          <w:szCs w:val="22"/>
          <w:lang w:val="es-ES_tradnl" w:eastAsia="ko-KR"/>
        </w:rPr>
        <w:t>.</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DF5404"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Iniciativas regionales y GECT</w:t>
      </w:r>
      <w:r w:rsidR="00471803"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Los fondos básicos no experimentan cambios respecto al trienio </w:t>
      </w:r>
      <w:r w:rsidR="00394639" w:rsidRPr="00115A9E">
        <w:rPr>
          <w:rFonts w:asciiTheme="minorHAnsi" w:eastAsia="Batang" w:hAnsiTheme="minorHAnsi"/>
          <w:bCs/>
          <w:sz w:val="22"/>
          <w:szCs w:val="22"/>
          <w:lang w:val="es-ES_tradnl" w:eastAsia="ko-KR"/>
        </w:rPr>
        <w:t xml:space="preserve">2013-2015. </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DF5404"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Traducción del CP</w:t>
      </w:r>
      <w:r w:rsidR="008E69FC" w:rsidRPr="00115A9E">
        <w:rPr>
          <w:rFonts w:asciiTheme="minorHAnsi" w:eastAsia="Batang" w:hAnsiTheme="minorHAnsi"/>
          <w:b/>
          <w:bCs/>
          <w:sz w:val="22"/>
          <w:szCs w:val="22"/>
          <w:lang w:val="es-ES_tradnl" w:eastAsia="ko-KR"/>
        </w:rPr>
        <w:t xml:space="preserve">. </w:t>
      </w:r>
      <w:r w:rsidRPr="00115A9E">
        <w:rPr>
          <w:rFonts w:asciiTheme="minorHAnsi" w:eastAsia="Batang" w:hAnsiTheme="minorHAnsi"/>
          <w:bCs/>
          <w:sz w:val="22"/>
          <w:szCs w:val="22"/>
          <w:lang w:val="es-ES_tradnl" w:eastAsia="ko-KR"/>
        </w:rPr>
        <w:t>Se ha establecido una nueva partida presupuestaria “Traducción del CP”, dotada con 60.</w:t>
      </w:r>
      <w:r w:rsidR="008E69FC"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francos suizos anuales</w:t>
      </w:r>
      <w:r w:rsidR="00F87FDF" w:rsidRPr="00115A9E">
        <w:rPr>
          <w:rFonts w:asciiTheme="minorHAnsi" w:eastAsia="Batang" w:hAnsiTheme="minorHAnsi"/>
          <w:bCs/>
          <w:sz w:val="22"/>
          <w:szCs w:val="22"/>
          <w:lang w:val="es-ES_tradnl" w:eastAsia="ko-KR"/>
        </w:rPr>
        <w:t>,</w:t>
      </w:r>
      <w:r w:rsidR="008E69FC"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para la traducción de los documentos del Comité Permanente al español y al francés, con arreglo a la Decisión </w:t>
      </w:r>
      <w:r w:rsidR="008E69FC" w:rsidRPr="00115A9E">
        <w:rPr>
          <w:rFonts w:asciiTheme="minorHAnsi" w:eastAsia="Batang" w:hAnsiTheme="minorHAnsi"/>
          <w:bCs/>
          <w:sz w:val="22"/>
          <w:szCs w:val="22"/>
          <w:lang w:val="es-ES_tradnl" w:eastAsia="ko-KR"/>
        </w:rPr>
        <w:t xml:space="preserve">SC47-07 </w:t>
      </w:r>
      <w:r w:rsidRPr="00115A9E">
        <w:rPr>
          <w:rFonts w:asciiTheme="minorHAnsi" w:eastAsia="Batang" w:hAnsiTheme="minorHAnsi"/>
          <w:bCs/>
          <w:sz w:val="22"/>
          <w:szCs w:val="22"/>
          <w:lang w:val="es-ES_tradnl" w:eastAsia="ko-KR"/>
        </w:rPr>
        <w:t xml:space="preserve">en lo relativo a la </w:t>
      </w:r>
      <w:r w:rsidR="008E69FC" w:rsidRPr="00115A9E">
        <w:rPr>
          <w:rFonts w:asciiTheme="minorHAnsi" w:eastAsia="Batang" w:hAnsiTheme="minorHAnsi"/>
          <w:bCs/>
          <w:sz w:val="22"/>
          <w:szCs w:val="22"/>
          <w:lang w:val="es-ES_tradnl" w:eastAsia="ko-KR"/>
        </w:rPr>
        <w:t>“</w:t>
      </w:r>
      <w:r w:rsidRPr="00115A9E">
        <w:rPr>
          <w:rFonts w:asciiTheme="minorHAnsi" w:eastAsia="Batang" w:hAnsiTheme="minorHAnsi"/>
          <w:bCs/>
          <w:sz w:val="22"/>
          <w:szCs w:val="22"/>
          <w:lang w:val="es-ES_tradnl" w:eastAsia="ko-KR"/>
        </w:rPr>
        <w:t xml:space="preserve">incorporación de los idiomas de las Naciones Unidas </w:t>
      </w:r>
      <w:r w:rsidR="005C11A9" w:rsidRPr="00115A9E">
        <w:rPr>
          <w:rFonts w:asciiTheme="minorHAnsi" w:eastAsia="Batang" w:hAnsiTheme="minorHAnsi"/>
          <w:bCs/>
          <w:sz w:val="22"/>
          <w:szCs w:val="22"/>
          <w:lang w:val="es-ES_tradnl" w:eastAsia="ko-KR"/>
        </w:rPr>
        <w:t>de</w:t>
      </w:r>
      <w:r w:rsidRPr="00115A9E">
        <w:rPr>
          <w:rFonts w:asciiTheme="minorHAnsi" w:eastAsia="Batang" w:hAnsiTheme="minorHAnsi"/>
          <w:bCs/>
          <w:sz w:val="22"/>
          <w:szCs w:val="22"/>
          <w:lang w:val="es-ES_tradnl" w:eastAsia="ko-KR"/>
        </w:rPr>
        <w:t xml:space="preserve"> conformidad con la Resolución XI.1”.</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6977EB"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Fondo de r</w:t>
      </w:r>
      <w:r w:rsidR="00DF5404" w:rsidRPr="00115A9E">
        <w:rPr>
          <w:rFonts w:asciiTheme="minorHAnsi" w:eastAsia="Batang" w:hAnsiTheme="minorHAnsi"/>
          <w:b/>
          <w:bCs/>
          <w:sz w:val="22"/>
          <w:szCs w:val="22"/>
          <w:lang w:val="es-ES_tradnl" w:eastAsia="ko-KR"/>
        </w:rPr>
        <w:t>eserva</w:t>
      </w:r>
      <w:r w:rsidR="008E69FC"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En</w:t>
      </w:r>
      <w:r w:rsidR="00414B7E" w:rsidRPr="00115A9E">
        <w:rPr>
          <w:rFonts w:asciiTheme="minorHAnsi" w:eastAsia="Batang" w:hAnsiTheme="minorHAnsi"/>
          <w:bCs/>
          <w:sz w:val="22"/>
          <w:szCs w:val="22"/>
          <w:lang w:val="es-ES_tradnl" w:eastAsia="ko-KR"/>
        </w:rPr>
        <w:t xml:space="preserve"> el</w:t>
      </w:r>
      <w:r w:rsidR="00DF5404" w:rsidRPr="00115A9E">
        <w:rPr>
          <w:rFonts w:asciiTheme="minorHAnsi" w:eastAsia="Batang" w:hAnsiTheme="minorHAnsi"/>
          <w:bCs/>
          <w:sz w:val="22"/>
          <w:szCs w:val="22"/>
          <w:lang w:val="es-ES_tradnl" w:eastAsia="ko-KR"/>
        </w:rPr>
        <w:t xml:space="preserve"> </w:t>
      </w:r>
      <w:r w:rsidR="00414B7E" w:rsidRPr="00115A9E">
        <w:rPr>
          <w:rFonts w:asciiTheme="minorHAnsi" w:eastAsia="Batang" w:hAnsiTheme="minorHAnsi"/>
          <w:bCs/>
          <w:sz w:val="22"/>
          <w:szCs w:val="22"/>
          <w:lang w:val="es-ES_tradnl" w:eastAsia="ko-KR"/>
        </w:rPr>
        <w:t xml:space="preserve">párrafo 21.c de </w:t>
      </w:r>
      <w:r w:rsidR="00DF5404" w:rsidRPr="00115A9E">
        <w:rPr>
          <w:rFonts w:asciiTheme="minorHAnsi" w:eastAsia="Batang" w:hAnsiTheme="minorHAnsi"/>
          <w:bCs/>
          <w:sz w:val="22"/>
          <w:szCs w:val="22"/>
          <w:lang w:val="es-ES_tradnl" w:eastAsia="ko-KR"/>
        </w:rPr>
        <w:t xml:space="preserve">la Resolución </w:t>
      </w:r>
      <w:r w:rsidR="008E69FC" w:rsidRPr="00115A9E">
        <w:rPr>
          <w:rFonts w:asciiTheme="minorHAnsi" w:eastAsia="Batang" w:hAnsiTheme="minorHAnsi"/>
          <w:bCs/>
          <w:sz w:val="22"/>
          <w:szCs w:val="22"/>
          <w:lang w:val="es-ES_tradnl" w:eastAsia="ko-KR"/>
        </w:rPr>
        <w:t>XI.2</w:t>
      </w:r>
      <w:r w:rsidR="00414B7E" w:rsidRPr="00115A9E">
        <w:rPr>
          <w:rFonts w:asciiTheme="minorHAnsi" w:eastAsia="Batang" w:hAnsiTheme="minorHAnsi"/>
          <w:bCs/>
          <w:sz w:val="22"/>
          <w:szCs w:val="22"/>
          <w:lang w:val="es-ES_tradnl" w:eastAsia="ko-KR"/>
        </w:rPr>
        <w:t xml:space="preserve"> de la COP11,</w:t>
      </w:r>
      <w:r w:rsidR="008E69FC" w:rsidRPr="00115A9E">
        <w:rPr>
          <w:rFonts w:asciiTheme="minorHAnsi" w:eastAsia="Batang" w:hAnsiTheme="minorHAnsi"/>
          <w:bCs/>
          <w:sz w:val="22"/>
          <w:szCs w:val="22"/>
          <w:lang w:val="es-ES_tradnl" w:eastAsia="ko-KR"/>
        </w:rPr>
        <w:t xml:space="preserve"> </w:t>
      </w:r>
      <w:r w:rsidR="00414B7E" w:rsidRPr="00115A9E">
        <w:rPr>
          <w:rFonts w:asciiTheme="minorHAnsi" w:eastAsia="Batang" w:hAnsiTheme="minorHAnsi"/>
          <w:bCs/>
          <w:sz w:val="22"/>
          <w:szCs w:val="22"/>
          <w:lang w:val="es-ES_tradnl" w:eastAsia="ko-KR"/>
        </w:rPr>
        <w:t>Cuestiones financieras y p</w:t>
      </w:r>
      <w:r w:rsidR="00DF5404" w:rsidRPr="00115A9E">
        <w:rPr>
          <w:rFonts w:asciiTheme="minorHAnsi" w:eastAsia="Batang" w:hAnsiTheme="minorHAnsi"/>
          <w:bCs/>
          <w:sz w:val="22"/>
          <w:szCs w:val="22"/>
          <w:lang w:val="es-ES_tradnl" w:eastAsia="ko-KR"/>
        </w:rPr>
        <w:t>resupuestarias</w:t>
      </w:r>
      <w:r w:rsidR="008E69FC"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 xml:space="preserve">se decidió que el </w:t>
      </w:r>
      <w:r w:rsidRPr="00115A9E">
        <w:rPr>
          <w:rFonts w:asciiTheme="minorHAnsi" w:eastAsia="Batang" w:hAnsiTheme="minorHAnsi"/>
          <w:bCs/>
          <w:sz w:val="22"/>
          <w:szCs w:val="22"/>
          <w:lang w:val="es-ES_tradnl" w:eastAsia="ko-KR"/>
        </w:rPr>
        <w:t>fondo de r</w:t>
      </w:r>
      <w:r w:rsidR="00DF5404" w:rsidRPr="00115A9E">
        <w:rPr>
          <w:rFonts w:asciiTheme="minorHAnsi" w:eastAsia="Batang" w:hAnsiTheme="minorHAnsi"/>
          <w:bCs/>
          <w:sz w:val="22"/>
          <w:szCs w:val="22"/>
          <w:lang w:val="es-ES_tradnl" w:eastAsia="ko-KR"/>
        </w:rPr>
        <w:t xml:space="preserve">eserva sería entre el </w:t>
      </w:r>
      <w:r w:rsidR="008E69FC" w:rsidRPr="00115A9E">
        <w:rPr>
          <w:rFonts w:asciiTheme="minorHAnsi" w:eastAsia="Batang" w:hAnsiTheme="minorHAnsi"/>
          <w:bCs/>
          <w:sz w:val="22"/>
          <w:szCs w:val="22"/>
          <w:lang w:val="es-ES_tradnl" w:eastAsia="ko-KR"/>
        </w:rPr>
        <w:t>6</w:t>
      </w:r>
      <w:r w:rsidR="00DF5404" w:rsidRPr="00115A9E">
        <w:rPr>
          <w:rFonts w:asciiTheme="minorHAnsi" w:eastAsia="Batang" w:hAnsiTheme="minorHAnsi"/>
          <w:bCs/>
          <w:sz w:val="22"/>
          <w:szCs w:val="22"/>
          <w:lang w:val="es-ES_tradnl" w:eastAsia="ko-KR"/>
        </w:rPr>
        <w:t xml:space="preserve"> % y el </w:t>
      </w:r>
      <w:r w:rsidR="008E69FC" w:rsidRPr="00115A9E">
        <w:rPr>
          <w:rFonts w:asciiTheme="minorHAnsi" w:eastAsia="Batang" w:hAnsiTheme="minorHAnsi"/>
          <w:bCs/>
          <w:sz w:val="22"/>
          <w:szCs w:val="22"/>
          <w:lang w:val="es-ES_tradnl" w:eastAsia="ko-KR"/>
        </w:rPr>
        <w:t>15</w:t>
      </w:r>
      <w:r w:rsidR="00DF5404" w:rsidRPr="00115A9E">
        <w:rPr>
          <w:rFonts w:asciiTheme="minorHAnsi" w:eastAsia="Batang" w:hAnsiTheme="minorHAnsi"/>
          <w:bCs/>
          <w:sz w:val="22"/>
          <w:szCs w:val="22"/>
          <w:lang w:val="es-ES_tradnl" w:eastAsia="ko-KR"/>
        </w:rPr>
        <w:t> </w:t>
      </w:r>
      <w:r w:rsidR="008E69FC"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del presupuesto básico anual</w:t>
      </w:r>
      <w:r w:rsidR="008E69FC"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 xml:space="preserve">Dado que asciende al </w:t>
      </w:r>
      <w:r w:rsidR="008E69FC" w:rsidRPr="00115A9E">
        <w:rPr>
          <w:rFonts w:asciiTheme="minorHAnsi" w:eastAsia="Batang" w:hAnsiTheme="minorHAnsi"/>
          <w:bCs/>
          <w:sz w:val="22"/>
          <w:szCs w:val="22"/>
          <w:lang w:val="es-ES_tradnl" w:eastAsia="ko-KR"/>
        </w:rPr>
        <w:t>14</w:t>
      </w:r>
      <w:r w:rsidR="00DF5404" w:rsidRPr="00115A9E">
        <w:rPr>
          <w:rFonts w:asciiTheme="minorHAnsi" w:eastAsia="Batang" w:hAnsiTheme="minorHAnsi"/>
          <w:bCs/>
          <w:sz w:val="22"/>
          <w:szCs w:val="22"/>
          <w:lang w:val="es-ES_tradnl" w:eastAsia="ko-KR"/>
        </w:rPr>
        <w:t> </w:t>
      </w:r>
      <w:r w:rsidR="008E69FC"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 xml:space="preserve">del presupuesto básico anual, no se ha presupuestado ningún crédito de reserva para el trienio </w:t>
      </w:r>
      <w:r w:rsidR="00B86077" w:rsidRPr="00115A9E">
        <w:rPr>
          <w:rFonts w:asciiTheme="minorHAnsi" w:eastAsia="Batang" w:hAnsiTheme="minorHAnsi"/>
          <w:bCs/>
          <w:sz w:val="22"/>
          <w:szCs w:val="22"/>
          <w:lang w:val="es-ES_tradnl" w:eastAsia="ko-KR"/>
        </w:rPr>
        <w:t>2016-2018.</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471803"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Provision</w:t>
      </w:r>
      <w:r w:rsidR="00DF5404" w:rsidRPr="00115A9E">
        <w:rPr>
          <w:rFonts w:asciiTheme="minorHAnsi" w:eastAsia="Batang" w:hAnsiTheme="minorHAnsi"/>
          <w:b/>
          <w:bCs/>
          <w:sz w:val="22"/>
          <w:szCs w:val="22"/>
          <w:lang w:val="es-ES_tradnl" w:eastAsia="ko-KR"/>
        </w:rPr>
        <w:t>e</w:t>
      </w:r>
      <w:r w:rsidRPr="00115A9E">
        <w:rPr>
          <w:rFonts w:asciiTheme="minorHAnsi" w:eastAsia="Batang" w:hAnsiTheme="minorHAnsi"/>
          <w:b/>
          <w:bCs/>
          <w:sz w:val="22"/>
          <w:szCs w:val="22"/>
          <w:lang w:val="es-ES_tradnl" w:eastAsia="ko-KR"/>
        </w:rPr>
        <w:t>s</w:t>
      </w:r>
      <w:r w:rsidR="00394639" w:rsidRPr="00115A9E">
        <w:rPr>
          <w:rFonts w:asciiTheme="minorHAnsi" w:eastAsia="Batang" w:hAnsiTheme="minorHAnsi"/>
          <w:b/>
          <w:bCs/>
          <w:sz w:val="22"/>
          <w:szCs w:val="22"/>
          <w:lang w:val="es-ES_tradnl" w:eastAsia="ko-KR"/>
        </w:rPr>
        <w:t xml:space="preserve">. </w:t>
      </w:r>
      <w:r w:rsidR="00DF5404" w:rsidRPr="00115A9E">
        <w:rPr>
          <w:rFonts w:asciiTheme="minorHAnsi" w:eastAsia="Batang" w:hAnsiTheme="minorHAnsi"/>
          <w:bCs/>
          <w:sz w:val="22"/>
          <w:szCs w:val="22"/>
          <w:lang w:val="es-ES_tradnl" w:eastAsia="ko-KR"/>
        </w:rPr>
        <w:t xml:space="preserve">En el trienio </w:t>
      </w:r>
      <w:r w:rsidR="00394639" w:rsidRPr="00115A9E">
        <w:rPr>
          <w:rFonts w:asciiTheme="minorHAnsi" w:eastAsia="Batang" w:hAnsiTheme="minorHAnsi"/>
          <w:bCs/>
          <w:sz w:val="22"/>
          <w:szCs w:val="22"/>
          <w:lang w:val="es-ES_tradnl" w:eastAsia="ko-KR"/>
        </w:rPr>
        <w:t xml:space="preserve">2013-2015, </w:t>
      </w:r>
      <w:r w:rsidR="00DF5404" w:rsidRPr="00115A9E">
        <w:rPr>
          <w:rFonts w:asciiTheme="minorHAnsi" w:eastAsia="Batang" w:hAnsiTheme="minorHAnsi"/>
          <w:bCs/>
          <w:sz w:val="22"/>
          <w:szCs w:val="22"/>
          <w:lang w:val="es-ES_tradnl" w:eastAsia="ko-KR"/>
        </w:rPr>
        <w:t>se presupuestaron 160.</w:t>
      </w:r>
      <w:r w:rsidR="00394639" w:rsidRPr="00115A9E">
        <w:rPr>
          <w:rFonts w:asciiTheme="minorHAnsi" w:eastAsia="Batang" w:hAnsiTheme="minorHAnsi"/>
          <w:bCs/>
          <w:sz w:val="22"/>
          <w:szCs w:val="22"/>
          <w:lang w:val="es-ES_tradnl" w:eastAsia="ko-KR"/>
        </w:rPr>
        <w:t xml:space="preserve">000 </w:t>
      </w:r>
      <w:r w:rsidR="00DF5404" w:rsidRPr="00115A9E">
        <w:rPr>
          <w:rFonts w:asciiTheme="minorHAnsi" w:eastAsia="Batang" w:hAnsiTheme="minorHAnsi"/>
          <w:bCs/>
          <w:sz w:val="22"/>
          <w:szCs w:val="22"/>
          <w:lang w:val="es-ES_tradnl" w:eastAsia="ko-KR"/>
        </w:rPr>
        <w:t>francos suizos para provisiones</w:t>
      </w:r>
      <w:r w:rsidR="00394639"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reservas</w:t>
      </w:r>
      <w:r w:rsidR="00394639"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 xml:space="preserve">deudas incobrables </w:t>
      </w:r>
      <w:r w:rsidR="00394639" w:rsidRPr="00115A9E">
        <w:rPr>
          <w:rFonts w:asciiTheme="minorHAnsi" w:eastAsia="Batang" w:hAnsiTheme="minorHAnsi"/>
          <w:bCs/>
          <w:sz w:val="22"/>
          <w:szCs w:val="22"/>
          <w:lang w:val="es-ES_tradnl" w:eastAsia="ko-KR"/>
        </w:rPr>
        <w:t>(</w:t>
      </w:r>
      <w:r w:rsidR="00DF5404" w:rsidRPr="00115A9E">
        <w:rPr>
          <w:rFonts w:asciiTheme="minorHAnsi" w:eastAsia="Batang" w:hAnsiTheme="minorHAnsi"/>
          <w:bCs/>
          <w:sz w:val="22"/>
          <w:szCs w:val="22"/>
          <w:lang w:val="es-ES_tradnl" w:eastAsia="ko-KR"/>
        </w:rPr>
        <w:t>contribuciones</w:t>
      </w:r>
      <w:r w:rsidR="00394639" w:rsidRPr="00115A9E">
        <w:rPr>
          <w:rFonts w:asciiTheme="minorHAnsi" w:eastAsia="Batang" w:hAnsiTheme="minorHAnsi"/>
          <w:bCs/>
          <w:sz w:val="22"/>
          <w:szCs w:val="22"/>
          <w:lang w:val="es-ES_tradnl" w:eastAsia="ko-KR"/>
        </w:rPr>
        <w:t>)</w:t>
      </w:r>
      <w:r w:rsidR="00C97F48" w:rsidRPr="00115A9E">
        <w:rPr>
          <w:rFonts w:asciiTheme="minorHAnsi" w:eastAsia="Batang" w:hAnsiTheme="minorHAnsi"/>
          <w:bCs/>
          <w:sz w:val="22"/>
          <w:szCs w:val="22"/>
          <w:lang w:val="es-ES_tradnl" w:eastAsia="ko-KR"/>
        </w:rPr>
        <w:t>,</w:t>
      </w:r>
      <w:r w:rsidR="00394639" w:rsidRPr="00115A9E">
        <w:rPr>
          <w:rFonts w:asciiTheme="minorHAnsi" w:eastAsia="Batang" w:hAnsiTheme="minorHAnsi"/>
          <w:bCs/>
          <w:sz w:val="22"/>
          <w:szCs w:val="22"/>
          <w:lang w:val="es-ES_tradnl" w:eastAsia="ko-KR"/>
        </w:rPr>
        <w:t xml:space="preserve"> </w:t>
      </w:r>
      <w:r w:rsidR="00DF5404" w:rsidRPr="00115A9E">
        <w:rPr>
          <w:rFonts w:asciiTheme="minorHAnsi" w:eastAsia="Batang" w:hAnsiTheme="minorHAnsi"/>
          <w:bCs/>
          <w:sz w:val="22"/>
          <w:szCs w:val="22"/>
          <w:lang w:val="es-ES_tradnl" w:eastAsia="ko-KR"/>
        </w:rPr>
        <w:t>tipos de cambio</w:t>
      </w:r>
      <w:r w:rsidR="00394639" w:rsidRPr="00115A9E">
        <w:rPr>
          <w:rFonts w:asciiTheme="minorHAnsi" w:eastAsia="Batang" w:hAnsiTheme="minorHAnsi"/>
          <w:bCs/>
          <w:sz w:val="22"/>
          <w:szCs w:val="22"/>
          <w:lang w:val="es-ES_tradnl" w:eastAsia="ko-KR"/>
        </w:rPr>
        <w:t xml:space="preserve">, </w:t>
      </w:r>
      <w:r w:rsidR="00B86077" w:rsidRPr="00115A9E">
        <w:rPr>
          <w:rFonts w:asciiTheme="minorHAnsi" w:eastAsia="Batang" w:hAnsiTheme="minorHAnsi"/>
          <w:bCs/>
          <w:sz w:val="22"/>
          <w:szCs w:val="22"/>
          <w:lang w:val="es-ES_tradnl" w:eastAsia="ko-KR"/>
        </w:rPr>
        <w:t>rescisión</w:t>
      </w:r>
      <w:r w:rsidR="00387E68" w:rsidRPr="00115A9E">
        <w:rPr>
          <w:rFonts w:asciiTheme="minorHAnsi" w:eastAsia="Batang" w:hAnsiTheme="minorHAnsi"/>
          <w:bCs/>
          <w:sz w:val="22"/>
          <w:szCs w:val="22"/>
          <w:lang w:val="es-ES_tradnl" w:eastAsia="ko-KR"/>
        </w:rPr>
        <w:t xml:space="preserve"> de nombramiento</w:t>
      </w:r>
      <w:r w:rsidR="00B86077" w:rsidRPr="00115A9E">
        <w:rPr>
          <w:rFonts w:asciiTheme="minorHAnsi" w:eastAsia="Batang" w:hAnsiTheme="minorHAnsi"/>
          <w:bCs/>
          <w:sz w:val="22"/>
          <w:szCs w:val="22"/>
          <w:lang w:val="es-ES_tradnl" w:eastAsia="ko-KR"/>
        </w:rPr>
        <w:t>s</w:t>
      </w:r>
      <w:r w:rsidR="00387E68" w:rsidRPr="00115A9E">
        <w:rPr>
          <w:rFonts w:asciiTheme="minorHAnsi" w:eastAsia="Batang" w:hAnsiTheme="minorHAnsi"/>
          <w:bCs/>
          <w:sz w:val="22"/>
          <w:szCs w:val="22"/>
          <w:lang w:val="es-ES_tradnl" w:eastAsia="ko-KR"/>
        </w:rPr>
        <w:t xml:space="preserve"> y repatriación del personal</w:t>
      </w:r>
      <w:r w:rsidR="00394639" w:rsidRPr="00115A9E">
        <w:rPr>
          <w:rFonts w:asciiTheme="minorHAnsi" w:eastAsia="Batang" w:hAnsiTheme="minorHAnsi"/>
          <w:bCs/>
          <w:sz w:val="22"/>
          <w:szCs w:val="22"/>
          <w:lang w:val="es-ES_tradnl" w:eastAsia="ko-KR"/>
        </w:rPr>
        <w:t xml:space="preserve">. </w:t>
      </w:r>
      <w:r w:rsidR="00387E68" w:rsidRPr="00115A9E">
        <w:rPr>
          <w:rFonts w:asciiTheme="minorHAnsi" w:eastAsia="Batang" w:hAnsiTheme="minorHAnsi"/>
          <w:bCs/>
          <w:sz w:val="22"/>
          <w:szCs w:val="22"/>
          <w:lang w:val="es-ES_tradnl" w:eastAsia="ko-KR"/>
        </w:rPr>
        <w:t>Puesto que los fondos para estas cuentas son suficientes, se considera que una partida de 50.</w:t>
      </w:r>
      <w:r w:rsidR="00C97F48" w:rsidRPr="00115A9E">
        <w:rPr>
          <w:rFonts w:asciiTheme="minorHAnsi" w:eastAsia="Batang" w:hAnsiTheme="minorHAnsi"/>
          <w:bCs/>
          <w:sz w:val="22"/>
          <w:szCs w:val="22"/>
          <w:lang w:val="es-ES_tradnl" w:eastAsia="ko-KR"/>
        </w:rPr>
        <w:t xml:space="preserve">000 </w:t>
      </w:r>
      <w:r w:rsidR="00387E68" w:rsidRPr="00115A9E">
        <w:rPr>
          <w:rFonts w:asciiTheme="minorHAnsi" w:eastAsia="Batang" w:hAnsiTheme="minorHAnsi"/>
          <w:bCs/>
          <w:sz w:val="22"/>
          <w:szCs w:val="22"/>
          <w:lang w:val="es-ES_tradnl" w:eastAsia="ko-KR"/>
        </w:rPr>
        <w:t xml:space="preserve">francos suizos anuales basta para el trienio </w:t>
      </w:r>
      <w:r w:rsidR="00B86077" w:rsidRPr="00115A9E">
        <w:rPr>
          <w:rFonts w:asciiTheme="minorHAnsi" w:eastAsia="Batang" w:hAnsiTheme="minorHAnsi"/>
          <w:bCs/>
          <w:sz w:val="22"/>
          <w:szCs w:val="22"/>
          <w:lang w:val="es-ES_tradnl" w:eastAsia="ko-KR"/>
        </w:rPr>
        <w:t>2016-2018.</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471803" w:rsidRPr="00115A9E" w:rsidRDefault="00387E68"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Oficiales Regionales</w:t>
      </w:r>
      <w:r w:rsidR="00C97F48" w:rsidRPr="00115A9E">
        <w:rPr>
          <w:rFonts w:asciiTheme="minorHAnsi" w:eastAsia="Batang" w:hAnsiTheme="minorHAnsi"/>
          <w:b/>
          <w:bCs/>
          <w:sz w:val="22"/>
          <w:szCs w:val="22"/>
          <w:lang w:val="es-ES_tradnl" w:eastAsia="ko-KR"/>
        </w:rPr>
        <w:t>.</w:t>
      </w:r>
      <w:r w:rsidR="00C97F4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Desde hace tiempo se desea aplicar un plan para contratar Oficiales Regionales o </w:t>
      </w:r>
      <w:r w:rsidR="00B86077" w:rsidRPr="00115A9E">
        <w:rPr>
          <w:rFonts w:asciiTheme="minorHAnsi" w:eastAsia="Batang" w:hAnsiTheme="minorHAnsi"/>
          <w:bCs/>
          <w:sz w:val="22"/>
          <w:szCs w:val="22"/>
          <w:lang w:val="es-ES_tradnl" w:eastAsia="ko-KR"/>
        </w:rPr>
        <w:t xml:space="preserve">bien </w:t>
      </w:r>
      <w:r w:rsidRPr="00115A9E">
        <w:rPr>
          <w:rFonts w:asciiTheme="minorHAnsi" w:eastAsia="Batang" w:hAnsiTheme="minorHAnsi"/>
          <w:bCs/>
          <w:sz w:val="22"/>
          <w:szCs w:val="22"/>
          <w:lang w:val="es-ES_tradnl" w:eastAsia="ko-KR"/>
        </w:rPr>
        <w:t>apoyo adicional para la Unidad de Asociaciones de Colaboración</w:t>
      </w:r>
      <w:r w:rsidR="00733CAB"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En la </w:t>
      </w:r>
      <w:r w:rsidR="00733CAB" w:rsidRPr="00115A9E">
        <w:rPr>
          <w:rFonts w:asciiTheme="minorHAnsi" w:eastAsia="Batang" w:hAnsiTheme="minorHAnsi"/>
          <w:bCs/>
          <w:sz w:val="22"/>
          <w:szCs w:val="22"/>
          <w:lang w:val="es-ES_tradnl" w:eastAsia="ko-KR"/>
        </w:rPr>
        <w:t xml:space="preserve">SC48, </w:t>
      </w:r>
      <w:r w:rsidRPr="00115A9E">
        <w:rPr>
          <w:rFonts w:asciiTheme="minorHAnsi" w:eastAsia="Batang" w:hAnsiTheme="minorHAnsi"/>
          <w:bCs/>
          <w:sz w:val="22"/>
          <w:szCs w:val="22"/>
          <w:lang w:val="es-ES_tradnl" w:eastAsia="ko-KR"/>
        </w:rPr>
        <w:t xml:space="preserve">la decisión </w:t>
      </w:r>
      <w:r w:rsidR="00C97F48" w:rsidRPr="00115A9E">
        <w:rPr>
          <w:rFonts w:asciiTheme="minorHAnsi" w:eastAsia="Batang" w:hAnsiTheme="minorHAnsi"/>
          <w:bCs/>
          <w:sz w:val="22"/>
          <w:szCs w:val="22"/>
          <w:lang w:val="es-ES_tradnl" w:eastAsia="ko-KR"/>
        </w:rPr>
        <w:t>SC48-12</w:t>
      </w:r>
      <w:r w:rsidR="00733CAB"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aprobó un puesto de Oficial Regional (Á</w:t>
      </w:r>
      <w:r w:rsidR="00C97F48" w:rsidRPr="00115A9E">
        <w:rPr>
          <w:rFonts w:asciiTheme="minorHAnsi" w:eastAsia="Batang" w:hAnsiTheme="minorHAnsi"/>
          <w:bCs/>
          <w:sz w:val="22"/>
          <w:szCs w:val="22"/>
          <w:lang w:val="es-ES_tradnl" w:eastAsia="ko-KR"/>
        </w:rPr>
        <w:t xml:space="preserve">frica) </w:t>
      </w:r>
      <w:r w:rsidRPr="00115A9E">
        <w:rPr>
          <w:rFonts w:asciiTheme="minorHAnsi" w:eastAsia="Batang" w:hAnsiTheme="minorHAnsi"/>
          <w:bCs/>
          <w:sz w:val="22"/>
          <w:szCs w:val="22"/>
          <w:lang w:val="es-ES_tradnl" w:eastAsia="ko-KR"/>
        </w:rPr>
        <w:t>sufr</w:t>
      </w:r>
      <w:r w:rsidR="006977EB" w:rsidRPr="00115A9E">
        <w:rPr>
          <w:rFonts w:asciiTheme="minorHAnsi" w:eastAsia="Batang" w:hAnsiTheme="minorHAnsi"/>
          <w:bCs/>
          <w:sz w:val="22"/>
          <w:szCs w:val="22"/>
          <w:lang w:val="es-ES_tradnl" w:eastAsia="ko-KR"/>
        </w:rPr>
        <w:t xml:space="preserve">agado con cargo al </w:t>
      </w:r>
      <w:r w:rsidR="006977EB" w:rsidRPr="00115A9E">
        <w:rPr>
          <w:rFonts w:asciiTheme="minorHAnsi" w:eastAsia="Batang" w:hAnsiTheme="minorHAnsi"/>
          <w:bCs/>
          <w:sz w:val="22"/>
          <w:szCs w:val="22"/>
          <w:lang w:val="es-ES_tradnl" w:eastAsia="ko-KR"/>
        </w:rPr>
        <w:lastRenderedPageBreak/>
        <w:t>presupuesto b</w:t>
      </w:r>
      <w:r w:rsidRPr="00115A9E">
        <w:rPr>
          <w:rFonts w:asciiTheme="minorHAnsi" w:eastAsia="Batang" w:hAnsiTheme="minorHAnsi"/>
          <w:bCs/>
          <w:sz w:val="22"/>
          <w:szCs w:val="22"/>
          <w:lang w:val="es-ES_tradnl" w:eastAsia="ko-KR"/>
        </w:rPr>
        <w:t xml:space="preserve">ásico de </w:t>
      </w:r>
      <w:r w:rsidR="00C97F48" w:rsidRPr="00115A9E">
        <w:rPr>
          <w:rFonts w:asciiTheme="minorHAnsi" w:eastAsia="Batang" w:hAnsiTheme="minorHAnsi"/>
          <w:bCs/>
          <w:sz w:val="22"/>
          <w:szCs w:val="22"/>
          <w:lang w:val="es-ES_tradnl" w:eastAsia="ko-KR"/>
        </w:rPr>
        <w:t>2015</w:t>
      </w:r>
      <w:r w:rsidRPr="00115A9E">
        <w:rPr>
          <w:rFonts w:asciiTheme="minorHAnsi" w:eastAsia="Batang" w:hAnsiTheme="minorHAnsi"/>
          <w:bCs/>
          <w:sz w:val="22"/>
          <w:szCs w:val="22"/>
          <w:lang w:val="es-ES_tradnl" w:eastAsia="ko-KR"/>
        </w:rPr>
        <w:t xml:space="preserve">, puesto que se mantiene durante el trienio </w:t>
      </w:r>
      <w:r w:rsidR="00D601C4" w:rsidRPr="00115A9E">
        <w:rPr>
          <w:rFonts w:asciiTheme="minorHAnsi" w:eastAsia="Batang" w:hAnsiTheme="minorHAnsi"/>
          <w:bCs/>
          <w:sz w:val="22"/>
          <w:szCs w:val="22"/>
          <w:lang w:val="es-ES_tradnl" w:eastAsia="ko-KR"/>
        </w:rPr>
        <w:t>2016-2018.</w:t>
      </w:r>
      <w:r w:rsidR="00733CAB"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El apoyo a la financiación de un Oficial Regional (Á</w:t>
      </w:r>
      <w:r w:rsidR="00733CAB" w:rsidRPr="00115A9E">
        <w:rPr>
          <w:rFonts w:asciiTheme="minorHAnsi" w:eastAsia="Batang" w:hAnsiTheme="minorHAnsi"/>
          <w:bCs/>
          <w:sz w:val="22"/>
          <w:szCs w:val="22"/>
          <w:lang w:val="es-ES_tradnl" w:eastAsia="ko-KR"/>
        </w:rPr>
        <w:t xml:space="preserve">frica) </w:t>
      </w:r>
      <w:r w:rsidRPr="00115A9E">
        <w:rPr>
          <w:rFonts w:asciiTheme="minorHAnsi" w:eastAsia="Batang" w:hAnsiTheme="minorHAnsi"/>
          <w:bCs/>
          <w:sz w:val="22"/>
          <w:szCs w:val="22"/>
          <w:lang w:val="es-ES_tradnl" w:eastAsia="ko-KR"/>
        </w:rPr>
        <w:t>muestra el avance hacia ese objetivo</w:t>
      </w:r>
      <w:r w:rsidR="00733CAB" w:rsidRPr="00115A9E">
        <w:rPr>
          <w:rFonts w:asciiTheme="minorHAnsi" w:eastAsia="Batang" w:hAnsiTheme="minorHAnsi"/>
          <w:bCs/>
          <w:sz w:val="22"/>
          <w:szCs w:val="22"/>
          <w:lang w:val="es-ES_tradnl" w:eastAsia="ko-KR"/>
        </w:rPr>
        <w:t>.</w:t>
      </w:r>
    </w:p>
    <w:p w:rsidR="00471803" w:rsidRPr="00115A9E" w:rsidRDefault="00471803" w:rsidP="008A3C79">
      <w:pPr>
        <w:ind w:left="426" w:hanging="426"/>
        <w:rPr>
          <w:rFonts w:asciiTheme="minorHAnsi" w:eastAsia="Batang" w:hAnsiTheme="minorHAnsi"/>
          <w:b/>
          <w:bCs/>
          <w:sz w:val="22"/>
          <w:szCs w:val="22"/>
          <w:lang w:val="es-ES_tradnl" w:eastAsia="ko-KR"/>
        </w:rPr>
      </w:pPr>
    </w:p>
    <w:p w:rsidR="00471803" w:rsidRPr="00115A9E" w:rsidRDefault="00387E68" w:rsidP="008A3C79">
      <w:pPr>
        <w:ind w:left="426" w:hanging="426"/>
        <w:rPr>
          <w:rFonts w:asciiTheme="minorHAnsi" w:eastAsia="Batang" w:hAnsiTheme="minorHAnsi"/>
          <w:b/>
          <w:bCs/>
          <w:sz w:val="22"/>
          <w:szCs w:val="22"/>
          <w:lang w:val="es-ES_tradnl" w:eastAsia="ko-KR"/>
        </w:rPr>
      </w:pPr>
      <w:r w:rsidRPr="00115A9E">
        <w:rPr>
          <w:rFonts w:asciiTheme="minorHAnsi" w:eastAsia="Batang" w:hAnsiTheme="minorHAnsi"/>
          <w:b/>
          <w:bCs/>
          <w:sz w:val="22"/>
          <w:szCs w:val="22"/>
          <w:lang w:val="es-ES_tradnl" w:eastAsia="ko-KR"/>
        </w:rPr>
        <w:t>Hipótesis de gastos del presupuesto básico que difieren en los escenarios A, B y C</w:t>
      </w:r>
    </w:p>
    <w:p w:rsidR="00471803" w:rsidRPr="00115A9E" w:rsidRDefault="00471803" w:rsidP="008A3C79">
      <w:pPr>
        <w:ind w:left="426" w:hanging="426"/>
        <w:rPr>
          <w:rFonts w:asciiTheme="minorHAnsi" w:eastAsia="Batang" w:hAnsiTheme="minorHAnsi"/>
          <w:b/>
          <w:bCs/>
          <w:sz w:val="22"/>
          <w:szCs w:val="22"/>
          <w:lang w:val="es-ES_tradnl" w:eastAsia="ko-KR"/>
        </w:rPr>
      </w:pPr>
    </w:p>
    <w:p w:rsidR="008A0812" w:rsidRPr="00115A9E" w:rsidRDefault="00387E68"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Resumen de las diferencias principales en los escenarios </w:t>
      </w:r>
      <w:r w:rsidR="008A0812" w:rsidRPr="00115A9E">
        <w:rPr>
          <w:rFonts w:asciiTheme="minorHAnsi" w:eastAsia="Batang" w:hAnsiTheme="minorHAnsi"/>
          <w:bCs/>
          <w:sz w:val="22"/>
          <w:szCs w:val="22"/>
          <w:lang w:val="es-ES_tradnl" w:eastAsia="ko-KR"/>
        </w:rPr>
        <w:t xml:space="preserve">A, B </w:t>
      </w:r>
      <w:r w:rsidRPr="00115A9E">
        <w:rPr>
          <w:rFonts w:asciiTheme="minorHAnsi" w:eastAsia="Batang" w:hAnsiTheme="minorHAnsi"/>
          <w:bCs/>
          <w:sz w:val="22"/>
          <w:szCs w:val="22"/>
          <w:lang w:val="es-ES_tradnl" w:eastAsia="ko-KR"/>
        </w:rPr>
        <w:t xml:space="preserve">y </w:t>
      </w:r>
      <w:r w:rsidR="008A0812" w:rsidRPr="00115A9E">
        <w:rPr>
          <w:rFonts w:asciiTheme="minorHAnsi" w:eastAsia="Batang" w:hAnsiTheme="minorHAnsi"/>
          <w:bCs/>
          <w:sz w:val="22"/>
          <w:szCs w:val="22"/>
          <w:lang w:val="es-ES_tradnl" w:eastAsia="ko-KR"/>
        </w:rPr>
        <w:t>C.</w:t>
      </w:r>
    </w:p>
    <w:p w:rsidR="008A0812" w:rsidRPr="00115A9E" w:rsidRDefault="008A0812" w:rsidP="008A3C79">
      <w:pPr>
        <w:ind w:left="426" w:hanging="426"/>
        <w:rPr>
          <w:rFonts w:asciiTheme="minorHAnsi" w:eastAsia="Batang" w:hAnsiTheme="minorHAnsi"/>
          <w:bCs/>
          <w:sz w:val="22"/>
          <w:szCs w:val="22"/>
          <w:lang w:val="es-ES_tradnl" w:eastAsia="ko-KR"/>
        </w:rPr>
      </w:pPr>
    </w:p>
    <w:p w:rsidR="008A0812" w:rsidRPr="00115A9E" w:rsidRDefault="00497817" w:rsidP="00805569">
      <w:pPr>
        <w:ind w:left="426"/>
        <w:rPr>
          <w:rFonts w:asciiTheme="minorHAnsi" w:eastAsia="Batang" w:hAnsiTheme="minorHAnsi"/>
          <w:bCs/>
          <w:sz w:val="22"/>
          <w:szCs w:val="22"/>
          <w:lang w:val="es-ES_tradnl" w:eastAsia="ko-KR"/>
        </w:rPr>
      </w:pPr>
      <w:r w:rsidRPr="00497817">
        <w:rPr>
          <w:rFonts w:eastAsia="Batang"/>
          <w:szCs w:val="22"/>
        </w:rPr>
        <w:drawing>
          <wp:inline distT="0" distB="0" distL="0" distR="0">
            <wp:extent cx="4102100" cy="13589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102100" cy="1358900"/>
                    </a:xfrm>
                    <a:prstGeom prst="rect">
                      <a:avLst/>
                    </a:prstGeom>
                    <a:noFill/>
                    <a:ln w="9525">
                      <a:noFill/>
                      <a:miter lim="800000"/>
                      <a:headEnd/>
                      <a:tailEnd/>
                    </a:ln>
                  </pic:spPr>
                </pic:pic>
              </a:graphicData>
            </a:graphic>
          </wp:inline>
        </w:drawing>
      </w:r>
    </w:p>
    <w:p w:rsidR="008A0812" w:rsidRDefault="008A0812" w:rsidP="008A3C79">
      <w:pPr>
        <w:ind w:left="426" w:hanging="426"/>
        <w:rPr>
          <w:rFonts w:asciiTheme="minorHAnsi" w:eastAsia="Batang" w:hAnsiTheme="minorHAnsi"/>
          <w:bCs/>
          <w:sz w:val="22"/>
          <w:szCs w:val="22"/>
          <w:lang w:val="es-ES_tradnl" w:eastAsia="ko-KR"/>
        </w:rPr>
      </w:pPr>
    </w:p>
    <w:p w:rsidR="00497817" w:rsidRDefault="00497817" w:rsidP="008A3C79">
      <w:pPr>
        <w:ind w:left="426" w:hanging="426"/>
        <w:rPr>
          <w:rFonts w:asciiTheme="minorHAnsi" w:eastAsia="Batang" w:hAnsiTheme="minorHAnsi"/>
          <w:bCs/>
          <w:sz w:val="22"/>
          <w:szCs w:val="22"/>
          <w:lang w:val="es-ES_tradnl" w:eastAsia="ko-KR"/>
        </w:rPr>
      </w:pPr>
    </w:p>
    <w:p w:rsidR="008A3C79" w:rsidRPr="00115A9E" w:rsidRDefault="0094083C"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 xml:space="preserve">Misiones </w:t>
      </w:r>
      <w:r w:rsidR="007D7768" w:rsidRPr="00115A9E">
        <w:rPr>
          <w:rFonts w:asciiTheme="minorHAnsi" w:eastAsia="Batang" w:hAnsiTheme="minorHAnsi"/>
          <w:b/>
          <w:bCs/>
          <w:sz w:val="22"/>
          <w:szCs w:val="22"/>
          <w:lang w:val="es-ES_tradnl" w:eastAsia="ko-KR"/>
        </w:rPr>
        <w:t xml:space="preserve">Ramsar </w:t>
      </w:r>
      <w:r w:rsidRPr="00115A9E">
        <w:rPr>
          <w:rFonts w:asciiTheme="minorHAnsi" w:eastAsia="Batang" w:hAnsiTheme="minorHAnsi"/>
          <w:b/>
          <w:bCs/>
          <w:sz w:val="22"/>
          <w:szCs w:val="22"/>
          <w:lang w:val="es-ES_tradnl" w:eastAsia="ko-KR"/>
        </w:rPr>
        <w:t>de Asesoramiento</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Las Misiones Ramsar de Asesoramiento se establecen para las Partes que no pueden financiar sus propias misiones, dado que aumentan la necesidad y el reconocimiento del valor de esas misiones en todo el mundo y en todos los entornos geográficos</w:t>
      </w:r>
      <w:r w:rsidR="007B5616" w:rsidRPr="00115A9E">
        <w:rPr>
          <w:rFonts w:asciiTheme="minorHAnsi" w:eastAsia="Batang" w:hAnsiTheme="minorHAnsi"/>
          <w:bCs/>
          <w:sz w:val="22"/>
          <w:szCs w:val="22"/>
          <w:lang w:val="es-ES_tradnl" w:eastAsia="ko-KR"/>
        </w:rPr>
        <w:t>.</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Los </w:t>
      </w:r>
      <w:r w:rsidR="00801B71" w:rsidRPr="00115A9E">
        <w:rPr>
          <w:rFonts w:asciiTheme="minorHAnsi" w:eastAsia="Batang" w:hAnsiTheme="minorHAnsi"/>
          <w:bCs/>
          <w:sz w:val="22"/>
          <w:szCs w:val="22"/>
          <w:lang w:val="es-ES_tradnl" w:eastAsia="ko-KR"/>
        </w:rPr>
        <w:t xml:space="preserve">escenarios </w:t>
      </w:r>
      <w:r w:rsidR="007B5616" w:rsidRPr="00115A9E">
        <w:rPr>
          <w:rFonts w:asciiTheme="minorHAnsi" w:eastAsia="Batang" w:hAnsiTheme="minorHAnsi"/>
          <w:bCs/>
          <w:sz w:val="22"/>
          <w:szCs w:val="22"/>
          <w:lang w:val="es-ES_tradnl" w:eastAsia="ko-KR"/>
        </w:rPr>
        <w:t xml:space="preserve">B </w:t>
      </w:r>
      <w:r w:rsidR="00801B71" w:rsidRPr="00115A9E">
        <w:rPr>
          <w:rFonts w:asciiTheme="minorHAnsi" w:eastAsia="Batang" w:hAnsiTheme="minorHAnsi"/>
          <w:bCs/>
          <w:sz w:val="22"/>
          <w:szCs w:val="22"/>
          <w:lang w:val="es-ES_tradnl" w:eastAsia="ko-KR"/>
        </w:rPr>
        <w:t xml:space="preserve">y </w:t>
      </w:r>
      <w:r w:rsidR="007B5616" w:rsidRPr="00115A9E">
        <w:rPr>
          <w:rFonts w:asciiTheme="minorHAnsi" w:eastAsia="Batang" w:hAnsiTheme="minorHAnsi"/>
          <w:bCs/>
          <w:sz w:val="22"/>
          <w:szCs w:val="22"/>
          <w:lang w:val="es-ES_tradnl" w:eastAsia="ko-KR"/>
        </w:rPr>
        <w:t xml:space="preserve">C </w:t>
      </w:r>
      <w:r w:rsidR="00801B71" w:rsidRPr="00115A9E">
        <w:rPr>
          <w:rFonts w:asciiTheme="minorHAnsi" w:eastAsia="Batang" w:hAnsiTheme="minorHAnsi"/>
          <w:bCs/>
          <w:sz w:val="22"/>
          <w:szCs w:val="22"/>
          <w:lang w:val="es-ES_tradnl" w:eastAsia="ko-KR"/>
        </w:rPr>
        <w:t>del presupuesto básico establecen un modesto incremento de 50.</w:t>
      </w:r>
      <w:r w:rsidR="007B5616" w:rsidRPr="00115A9E">
        <w:rPr>
          <w:rFonts w:asciiTheme="minorHAnsi" w:eastAsia="Batang" w:hAnsiTheme="minorHAnsi"/>
          <w:bCs/>
          <w:sz w:val="22"/>
          <w:szCs w:val="22"/>
          <w:lang w:val="es-ES_tradnl" w:eastAsia="ko-KR"/>
        </w:rPr>
        <w:t xml:space="preserve">000 </w:t>
      </w:r>
      <w:r w:rsidR="00801B71" w:rsidRPr="00115A9E">
        <w:rPr>
          <w:rFonts w:asciiTheme="minorHAnsi" w:eastAsia="Batang" w:hAnsiTheme="minorHAnsi"/>
          <w:bCs/>
          <w:sz w:val="22"/>
          <w:szCs w:val="22"/>
          <w:lang w:val="es-ES_tradnl" w:eastAsia="ko-KR"/>
        </w:rPr>
        <w:t>francos suizos anuales para apoyar las Misiones Ramsar de Asesoramiento</w:t>
      </w:r>
      <w:r w:rsidR="007B5616" w:rsidRPr="00115A9E">
        <w:rPr>
          <w:rFonts w:asciiTheme="minorHAnsi" w:eastAsia="Batang" w:hAnsiTheme="minorHAnsi"/>
          <w:bCs/>
          <w:sz w:val="22"/>
          <w:szCs w:val="22"/>
          <w:lang w:val="es-ES_tradnl" w:eastAsia="ko-KR"/>
        </w:rPr>
        <w:t>.</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8A3C79" w:rsidRPr="00115A9E" w:rsidRDefault="00801B71"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Oficial Regional</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El miembro del personal propuesto en el escenario C es para un Oficial Regional </w:t>
      </w:r>
      <w:r w:rsidR="007D7768" w:rsidRPr="00115A9E">
        <w:rPr>
          <w:rFonts w:asciiTheme="minorHAnsi" w:eastAsia="Batang" w:hAnsiTheme="minorHAnsi"/>
          <w:bCs/>
          <w:sz w:val="22"/>
          <w:szCs w:val="22"/>
          <w:lang w:val="es-ES_tradnl" w:eastAsia="ko-KR"/>
        </w:rPr>
        <w:t>(Am</w:t>
      </w:r>
      <w:r w:rsidRPr="00115A9E">
        <w:rPr>
          <w:rFonts w:asciiTheme="minorHAnsi" w:eastAsia="Batang" w:hAnsiTheme="minorHAnsi"/>
          <w:bCs/>
          <w:sz w:val="22"/>
          <w:szCs w:val="22"/>
          <w:lang w:val="es-ES_tradnl" w:eastAsia="ko-KR"/>
        </w:rPr>
        <w:t>érica</w:t>
      </w:r>
      <w:r w:rsidR="00414B7E" w:rsidRPr="00115A9E">
        <w:rPr>
          <w:rFonts w:asciiTheme="minorHAnsi" w:eastAsia="Batang" w:hAnsiTheme="minorHAnsi"/>
          <w:bCs/>
          <w:sz w:val="22"/>
          <w:szCs w:val="22"/>
          <w:lang w:val="es-ES_tradnl" w:eastAsia="ko-KR"/>
        </w:rPr>
        <w:t>s</w:t>
      </w:r>
      <w:r w:rsidRPr="00115A9E">
        <w:rPr>
          <w:rFonts w:asciiTheme="minorHAnsi" w:eastAsia="Batang" w:hAnsiTheme="minorHAnsi"/>
          <w:bCs/>
          <w:sz w:val="22"/>
          <w:szCs w:val="22"/>
          <w:lang w:val="es-ES_tradnl" w:eastAsia="ko-KR"/>
        </w:rPr>
        <w:t>), que se sumaría a los puestos de Oficial Regional para África y para Oceanía convenidos con anterioridad</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La opción de apoyar a</w:t>
      </w:r>
      <w:r w:rsidR="00414B7E" w:rsidRPr="00115A9E">
        <w:rPr>
          <w:rFonts w:asciiTheme="minorHAnsi" w:eastAsia="Batang" w:hAnsiTheme="minorHAnsi"/>
          <w:bCs/>
          <w:sz w:val="22"/>
          <w:szCs w:val="22"/>
          <w:lang w:val="es-ES_tradnl" w:eastAsia="ko-KR"/>
        </w:rPr>
        <w:t xml:space="preserve"> las</w:t>
      </w:r>
      <w:r w:rsidRPr="00115A9E">
        <w:rPr>
          <w:rFonts w:asciiTheme="minorHAnsi" w:eastAsia="Batang" w:hAnsiTheme="minorHAnsi"/>
          <w:bCs/>
          <w:sz w:val="22"/>
          <w:szCs w:val="22"/>
          <w:lang w:val="es-ES_tradnl" w:eastAsia="ko-KR"/>
        </w:rPr>
        <w:t xml:space="preserve"> América</w:t>
      </w:r>
      <w:r w:rsidR="00414B7E" w:rsidRPr="00115A9E">
        <w:rPr>
          <w:rFonts w:asciiTheme="minorHAnsi" w:eastAsia="Batang" w:hAnsiTheme="minorHAnsi"/>
          <w:bCs/>
          <w:sz w:val="22"/>
          <w:szCs w:val="22"/>
          <w:lang w:val="es-ES_tradnl" w:eastAsia="ko-KR"/>
        </w:rPr>
        <w:t>s responde a la solicitud de la r</w:t>
      </w:r>
      <w:r w:rsidRPr="00115A9E">
        <w:rPr>
          <w:rFonts w:asciiTheme="minorHAnsi" w:eastAsia="Batang" w:hAnsiTheme="minorHAnsi"/>
          <w:bCs/>
          <w:sz w:val="22"/>
          <w:szCs w:val="22"/>
          <w:lang w:val="es-ES_tradnl" w:eastAsia="ko-KR"/>
        </w:rPr>
        <w:t>egión y al aumento de las necesidades de las Partes en materia de apoyo y asesoramiento, junto al aumento constante de las labores relacionadas con los sitios Ramsar y otros humedales, y de las necesidades relativas al nuevo Plan Estratégico</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Este puesto, entre otras cosas, brindará apoyo técnico a las Partes sobre el uso y la actualización del nuevo SISR y sobre el análisis, la investigación y la resolución de expedientes del Artículo </w:t>
      </w:r>
      <w:r w:rsidR="007D7768" w:rsidRPr="00115A9E">
        <w:rPr>
          <w:rFonts w:asciiTheme="minorHAnsi" w:eastAsia="Batang" w:hAnsiTheme="minorHAnsi"/>
          <w:bCs/>
          <w:sz w:val="22"/>
          <w:szCs w:val="22"/>
          <w:lang w:val="es-ES_tradnl" w:eastAsia="ko-KR"/>
        </w:rPr>
        <w:t xml:space="preserve">3.2, </w:t>
      </w:r>
      <w:r w:rsidR="004A1810" w:rsidRPr="00115A9E">
        <w:rPr>
          <w:rFonts w:asciiTheme="minorHAnsi" w:eastAsia="Batang" w:hAnsiTheme="minorHAnsi"/>
          <w:bCs/>
          <w:sz w:val="22"/>
          <w:szCs w:val="22"/>
          <w:lang w:val="es-ES_tradnl" w:eastAsia="ko-KR"/>
        </w:rPr>
        <w:t>además de</w:t>
      </w:r>
      <w:r w:rsidRPr="00115A9E">
        <w:rPr>
          <w:rFonts w:asciiTheme="minorHAnsi" w:eastAsia="Batang" w:hAnsiTheme="minorHAnsi"/>
          <w:bCs/>
          <w:sz w:val="22"/>
          <w:szCs w:val="22"/>
          <w:lang w:val="es-ES_tradnl" w:eastAsia="ko-KR"/>
        </w:rPr>
        <w:t xml:space="preserve"> asistencia para poner en marcha iniciativas regionales y obtener financiación para iniciativas regionales y nacionales</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El escenario </w:t>
      </w:r>
      <w:r w:rsidR="007D7768" w:rsidRPr="00115A9E">
        <w:rPr>
          <w:rFonts w:asciiTheme="minorHAnsi" w:eastAsia="Batang" w:hAnsiTheme="minorHAnsi"/>
          <w:bCs/>
          <w:sz w:val="22"/>
          <w:szCs w:val="22"/>
          <w:lang w:val="es-ES_tradnl" w:eastAsia="ko-KR"/>
        </w:rPr>
        <w:t xml:space="preserve">C </w:t>
      </w:r>
      <w:r w:rsidRPr="00115A9E">
        <w:rPr>
          <w:rFonts w:asciiTheme="minorHAnsi" w:eastAsia="Batang" w:hAnsiTheme="minorHAnsi"/>
          <w:bCs/>
          <w:sz w:val="22"/>
          <w:szCs w:val="22"/>
          <w:lang w:val="es-ES_tradnl" w:eastAsia="ko-KR"/>
        </w:rPr>
        <w:t>es la única opción con financiación suficiente para apoyar el costo de contratación de un miembro del personal</w:t>
      </w:r>
      <w:r w:rsidR="007D7768"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801B71"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 xml:space="preserve">Aumento salarial </w:t>
      </w:r>
      <w:r w:rsidR="00D9789E" w:rsidRPr="00115A9E">
        <w:rPr>
          <w:rFonts w:asciiTheme="minorHAnsi" w:eastAsia="Batang" w:hAnsiTheme="minorHAnsi"/>
          <w:b/>
          <w:bCs/>
          <w:sz w:val="22"/>
          <w:szCs w:val="22"/>
          <w:lang w:val="es-ES_tradnl" w:eastAsia="ko-KR"/>
        </w:rPr>
        <w:t>basado en el mérito</w:t>
      </w:r>
      <w:r w:rsidR="007D7768" w:rsidRPr="00115A9E">
        <w:rPr>
          <w:rFonts w:asciiTheme="minorHAnsi" w:eastAsia="Batang" w:hAnsiTheme="minorHAnsi"/>
          <w:b/>
          <w:bCs/>
          <w:sz w:val="22"/>
          <w:szCs w:val="22"/>
          <w:lang w:val="es-ES_tradnl" w:eastAsia="ko-KR"/>
        </w:rPr>
        <w:t>.</w:t>
      </w:r>
      <w:r w:rsidR="007D7768"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Los sueldos del personal </w:t>
      </w:r>
      <w:r w:rsidR="004B6DA1" w:rsidRPr="00115A9E">
        <w:rPr>
          <w:rFonts w:asciiTheme="minorHAnsi" w:eastAsia="Batang" w:hAnsiTheme="minorHAnsi"/>
          <w:bCs/>
          <w:sz w:val="22"/>
          <w:szCs w:val="22"/>
          <w:lang w:val="es-ES_tradnl" w:eastAsia="ko-KR"/>
        </w:rPr>
        <w:t>no han cambiado</w:t>
      </w:r>
      <w:r w:rsidRPr="00115A9E">
        <w:rPr>
          <w:rFonts w:asciiTheme="minorHAnsi" w:eastAsia="Batang" w:hAnsiTheme="minorHAnsi"/>
          <w:bCs/>
          <w:sz w:val="22"/>
          <w:szCs w:val="22"/>
          <w:lang w:val="es-ES_tradnl" w:eastAsia="ko-KR"/>
        </w:rPr>
        <w:t xml:space="preserve"> desde </w:t>
      </w:r>
      <w:r w:rsidR="007D7768" w:rsidRPr="00115A9E">
        <w:rPr>
          <w:rFonts w:asciiTheme="minorHAnsi" w:eastAsia="Batang" w:hAnsiTheme="minorHAnsi"/>
          <w:bCs/>
          <w:sz w:val="22"/>
          <w:szCs w:val="22"/>
          <w:lang w:val="es-ES_tradnl" w:eastAsia="ko-KR"/>
        </w:rPr>
        <w:t xml:space="preserve">2011. </w:t>
      </w:r>
      <w:r w:rsidRPr="00115A9E">
        <w:rPr>
          <w:rFonts w:asciiTheme="minorHAnsi" w:eastAsia="Batang" w:hAnsiTheme="minorHAnsi"/>
          <w:bCs/>
          <w:sz w:val="22"/>
          <w:szCs w:val="22"/>
          <w:lang w:val="es-ES_tradnl" w:eastAsia="ko-KR"/>
        </w:rPr>
        <w:t>Se necesitan incentivos para retener al personal y compensar a quienes alcanzan el mejor desempeño</w:t>
      </w:r>
      <w:r w:rsidR="0064255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En los escenarios </w:t>
      </w:r>
      <w:r w:rsidR="007B5616" w:rsidRPr="00115A9E">
        <w:rPr>
          <w:rFonts w:asciiTheme="minorHAnsi" w:eastAsia="Batang" w:hAnsiTheme="minorHAnsi"/>
          <w:bCs/>
          <w:sz w:val="22"/>
          <w:szCs w:val="22"/>
          <w:lang w:val="es-ES_tradnl" w:eastAsia="ko-KR"/>
        </w:rPr>
        <w:t>B</w:t>
      </w:r>
      <w:r w:rsidR="0064255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y </w:t>
      </w:r>
      <w:r w:rsidR="007B5616" w:rsidRPr="00115A9E">
        <w:rPr>
          <w:rFonts w:asciiTheme="minorHAnsi" w:eastAsia="Batang" w:hAnsiTheme="minorHAnsi"/>
          <w:bCs/>
          <w:sz w:val="22"/>
          <w:szCs w:val="22"/>
          <w:lang w:val="es-ES_tradnl" w:eastAsia="ko-KR"/>
        </w:rPr>
        <w:t>C</w:t>
      </w:r>
      <w:r w:rsidR="0064255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se presupuestan </w:t>
      </w:r>
      <w:r w:rsidR="00642556" w:rsidRPr="00115A9E">
        <w:rPr>
          <w:rFonts w:asciiTheme="minorHAnsi" w:eastAsia="Batang" w:hAnsiTheme="minorHAnsi"/>
          <w:bCs/>
          <w:sz w:val="22"/>
          <w:szCs w:val="22"/>
          <w:lang w:val="es-ES_tradnl" w:eastAsia="ko-KR"/>
        </w:rPr>
        <w:t>30</w:t>
      </w:r>
      <w:r w:rsidRPr="00115A9E">
        <w:rPr>
          <w:rFonts w:asciiTheme="minorHAnsi" w:eastAsia="Batang" w:hAnsiTheme="minorHAnsi"/>
          <w:bCs/>
          <w:sz w:val="22"/>
          <w:szCs w:val="22"/>
          <w:lang w:val="es-ES_tradnl" w:eastAsia="ko-KR"/>
        </w:rPr>
        <w:t>.</w:t>
      </w:r>
      <w:r w:rsidR="007D7768"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francos suizos para otorgar premios anuales por méritos a 5 o 6 miembros del personal</w:t>
      </w:r>
      <w:r w:rsidR="007D7768"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4B6DA1"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Capacitación</w:t>
      </w:r>
      <w:r w:rsidR="00642556" w:rsidRPr="00115A9E">
        <w:rPr>
          <w:rFonts w:asciiTheme="minorHAnsi" w:eastAsia="Batang" w:hAnsiTheme="minorHAnsi"/>
          <w:b/>
          <w:bCs/>
          <w:sz w:val="22"/>
          <w:szCs w:val="22"/>
          <w:lang w:val="es-ES_tradnl" w:eastAsia="ko-KR"/>
        </w:rPr>
        <w:t>.</w:t>
      </w:r>
      <w:r w:rsidR="0064255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 UICN está empezando a </w:t>
      </w:r>
      <w:r w:rsidR="00EE5741" w:rsidRPr="00115A9E">
        <w:rPr>
          <w:rFonts w:asciiTheme="minorHAnsi" w:eastAsia="Batang" w:hAnsiTheme="minorHAnsi"/>
          <w:bCs/>
          <w:sz w:val="22"/>
          <w:szCs w:val="22"/>
          <w:lang w:val="es-ES_tradnl" w:eastAsia="ko-KR"/>
        </w:rPr>
        <w:t>establecer un presupuesto para la capacitación de su personal y se considera que también deberían abrirse oportunidades para el perfeccionamiento del personal de Ramsar</w:t>
      </w:r>
      <w:r w:rsidR="00642556" w:rsidRPr="00115A9E">
        <w:rPr>
          <w:rFonts w:asciiTheme="minorHAnsi" w:eastAsia="Batang" w:hAnsiTheme="minorHAnsi"/>
          <w:bCs/>
          <w:sz w:val="22"/>
          <w:szCs w:val="22"/>
          <w:lang w:val="es-ES_tradnl" w:eastAsia="ko-KR"/>
        </w:rPr>
        <w:t xml:space="preserve">. </w:t>
      </w:r>
      <w:r w:rsidR="00EE5741" w:rsidRPr="00115A9E">
        <w:rPr>
          <w:rFonts w:asciiTheme="minorHAnsi" w:eastAsia="Batang" w:hAnsiTheme="minorHAnsi"/>
          <w:bCs/>
          <w:sz w:val="22"/>
          <w:szCs w:val="22"/>
          <w:lang w:val="es-ES_tradnl" w:eastAsia="ko-KR"/>
        </w:rPr>
        <w:t xml:space="preserve">La solicitud inicial en este presupuesto serviría para evaluar la demanda de toda la plantilla, pero se admite que el importe es relativamente bajo, si se tiene en cuenta que los principales empleadores invierten </w:t>
      </w:r>
      <w:r w:rsidR="004A1810" w:rsidRPr="00115A9E">
        <w:rPr>
          <w:rFonts w:asciiTheme="minorHAnsi" w:eastAsia="Batang" w:hAnsiTheme="minorHAnsi"/>
          <w:bCs/>
          <w:sz w:val="22"/>
          <w:szCs w:val="22"/>
          <w:lang w:val="es-ES_tradnl" w:eastAsia="ko-KR"/>
        </w:rPr>
        <w:t xml:space="preserve">en capacitación y perfeccionamiento </w:t>
      </w:r>
      <w:r w:rsidR="00EE5741" w:rsidRPr="00115A9E">
        <w:rPr>
          <w:rFonts w:asciiTheme="minorHAnsi" w:eastAsia="Batang" w:hAnsiTheme="minorHAnsi"/>
          <w:bCs/>
          <w:sz w:val="22"/>
          <w:szCs w:val="22"/>
          <w:lang w:val="es-ES_tradnl" w:eastAsia="ko-KR"/>
        </w:rPr>
        <w:t xml:space="preserve">entre el 1,0 % y el 1,5 % de los gastos presupuestados </w:t>
      </w:r>
      <w:r w:rsidR="004A1810" w:rsidRPr="00115A9E">
        <w:rPr>
          <w:rFonts w:asciiTheme="minorHAnsi" w:eastAsia="Batang" w:hAnsiTheme="minorHAnsi"/>
          <w:bCs/>
          <w:sz w:val="22"/>
          <w:szCs w:val="22"/>
          <w:lang w:val="es-ES_tradnl" w:eastAsia="ko-KR"/>
        </w:rPr>
        <w:t>para</w:t>
      </w:r>
      <w:r w:rsidR="00EE5741" w:rsidRPr="00115A9E">
        <w:rPr>
          <w:rFonts w:asciiTheme="minorHAnsi" w:eastAsia="Batang" w:hAnsiTheme="minorHAnsi"/>
          <w:bCs/>
          <w:sz w:val="22"/>
          <w:szCs w:val="22"/>
          <w:lang w:val="es-ES_tradnl" w:eastAsia="ko-KR"/>
        </w:rPr>
        <w:t xml:space="preserve"> </w:t>
      </w:r>
      <w:r w:rsidR="004A1810" w:rsidRPr="00115A9E">
        <w:rPr>
          <w:rFonts w:asciiTheme="minorHAnsi" w:eastAsia="Batang" w:hAnsiTheme="minorHAnsi"/>
          <w:bCs/>
          <w:sz w:val="22"/>
          <w:szCs w:val="22"/>
          <w:lang w:val="es-ES_tradnl" w:eastAsia="ko-KR"/>
        </w:rPr>
        <w:t xml:space="preserve">el </w:t>
      </w:r>
      <w:r w:rsidR="00EE5741" w:rsidRPr="00115A9E">
        <w:rPr>
          <w:rFonts w:asciiTheme="minorHAnsi" w:eastAsia="Batang" w:hAnsiTheme="minorHAnsi"/>
          <w:bCs/>
          <w:sz w:val="22"/>
          <w:szCs w:val="22"/>
          <w:lang w:val="es-ES_tradnl" w:eastAsia="ko-KR"/>
        </w:rPr>
        <w:t>personal</w:t>
      </w:r>
      <w:r w:rsidR="004A1810" w:rsidRPr="00115A9E">
        <w:rPr>
          <w:rFonts w:asciiTheme="minorHAnsi" w:eastAsia="Batang" w:hAnsiTheme="minorHAnsi"/>
          <w:bCs/>
          <w:sz w:val="22"/>
          <w:szCs w:val="22"/>
          <w:lang w:val="es-ES_tradnl" w:eastAsia="ko-KR"/>
        </w:rPr>
        <w:t>.</w:t>
      </w:r>
    </w:p>
    <w:p w:rsidR="008A3C79" w:rsidRPr="00115A9E" w:rsidRDefault="008A3C79" w:rsidP="008A3C79">
      <w:pPr>
        <w:pStyle w:val="ListParagraph"/>
        <w:ind w:left="426" w:hanging="426"/>
        <w:rPr>
          <w:rFonts w:asciiTheme="minorHAnsi" w:eastAsia="Batang" w:hAnsiTheme="minorHAnsi"/>
          <w:b/>
          <w:bCs/>
          <w:sz w:val="22"/>
          <w:szCs w:val="22"/>
          <w:lang w:val="es-ES_tradnl" w:eastAsia="ko-KR"/>
        </w:rPr>
      </w:pPr>
    </w:p>
    <w:p w:rsidR="008A3C79" w:rsidRPr="00115A9E" w:rsidRDefault="00EE5741"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
          <w:bCs/>
          <w:sz w:val="22"/>
          <w:szCs w:val="22"/>
          <w:lang w:val="es-ES_tradnl" w:eastAsia="ko-KR"/>
        </w:rPr>
        <w:t xml:space="preserve">El Secretario General considera que el escenario </w:t>
      </w:r>
      <w:r w:rsidR="00471803" w:rsidRPr="00115A9E">
        <w:rPr>
          <w:rFonts w:asciiTheme="minorHAnsi" w:eastAsia="Batang" w:hAnsiTheme="minorHAnsi"/>
          <w:b/>
          <w:bCs/>
          <w:sz w:val="22"/>
          <w:szCs w:val="22"/>
          <w:lang w:val="es-ES_tradnl" w:eastAsia="ko-KR"/>
        </w:rPr>
        <w:t xml:space="preserve">A </w:t>
      </w:r>
      <w:r w:rsidRPr="00115A9E">
        <w:rPr>
          <w:rFonts w:asciiTheme="minorHAnsi" w:eastAsia="Batang" w:hAnsiTheme="minorHAnsi"/>
          <w:b/>
          <w:bCs/>
          <w:sz w:val="22"/>
          <w:szCs w:val="22"/>
          <w:lang w:val="es-ES_tradnl" w:eastAsia="ko-KR"/>
        </w:rPr>
        <w:t>no es un presupuesto realista, dadas las demandas actuales y previstas para el futuro de las Partes</w:t>
      </w:r>
      <w:r w:rsidR="00471803" w:rsidRPr="00115A9E">
        <w:rPr>
          <w:rFonts w:asciiTheme="minorHAnsi" w:eastAsia="Batang" w:hAnsiTheme="minorHAnsi"/>
          <w:b/>
          <w:bCs/>
          <w:sz w:val="22"/>
          <w:szCs w:val="22"/>
          <w:lang w:val="es-ES_tradnl" w:eastAsia="ko-KR"/>
        </w:rPr>
        <w:t>.</w:t>
      </w:r>
      <w:r w:rsidR="00471803" w:rsidRPr="00115A9E">
        <w:rPr>
          <w:rFonts w:asciiTheme="minorHAnsi" w:eastAsia="Batang" w:hAnsiTheme="minorHAnsi"/>
          <w:bCs/>
          <w:sz w:val="22"/>
          <w:szCs w:val="22"/>
          <w:lang w:val="es-ES_tradnl" w:eastAsia="ko-KR"/>
        </w:rPr>
        <w:t xml:space="preserve"> </w:t>
      </w:r>
      <w:r w:rsidR="00BE5258" w:rsidRPr="00115A9E">
        <w:rPr>
          <w:rFonts w:asciiTheme="minorHAnsi" w:eastAsia="Batang" w:hAnsiTheme="minorHAnsi"/>
          <w:bCs/>
          <w:sz w:val="22"/>
          <w:szCs w:val="22"/>
          <w:lang w:val="es-ES_tradnl" w:eastAsia="ko-KR"/>
        </w:rPr>
        <w:t>Tal como se presenta, el escenario A es el mejor presupuesto posible con unos ingresos de crecimiento cero durante tres años</w:t>
      </w:r>
      <w:r w:rsidR="00471803" w:rsidRPr="00115A9E">
        <w:rPr>
          <w:rFonts w:asciiTheme="minorHAnsi" w:eastAsia="Batang" w:hAnsiTheme="minorHAnsi"/>
          <w:bCs/>
          <w:sz w:val="22"/>
          <w:szCs w:val="22"/>
          <w:lang w:val="es-ES_tradnl" w:eastAsia="ko-KR"/>
        </w:rPr>
        <w:t xml:space="preserve">. </w:t>
      </w:r>
      <w:r w:rsidR="009B47C3" w:rsidRPr="00115A9E">
        <w:rPr>
          <w:rFonts w:asciiTheme="minorHAnsi" w:eastAsia="Batang" w:hAnsiTheme="minorHAnsi"/>
          <w:bCs/>
          <w:sz w:val="22"/>
          <w:szCs w:val="22"/>
          <w:lang w:val="es-ES_tradnl" w:eastAsia="ko-KR"/>
        </w:rPr>
        <w:t xml:space="preserve">No obstante, dado que no prevé aumentos salariales en </w:t>
      </w:r>
      <w:r w:rsidR="00471803" w:rsidRPr="00115A9E">
        <w:rPr>
          <w:rFonts w:asciiTheme="minorHAnsi" w:eastAsia="Batang" w:hAnsiTheme="minorHAnsi"/>
          <w:bCs/>
          <w:sz w:val="22"/>
          <w:szCs w:val="22"/>
          <w:lang w:val="es-ES_tradnl" w:eastAsia="ko-KR"/>
        </w:rPr>
        <w:t>201</w:t>
      </w:r>
      <w:r w:rsidR="00642556" w:rsidRPr="00115A9E">
        <w:rPr>
          <w:rFonts w:asciiTheme="minorHAnsi" w:eastAsia="Batang" w:hAnsiTheme="minorHAnsi"/>
          <w:bCs/>
          <w:sz w:val="22"/>
          <w:szCs w:val="22"/>
          <w:lang w:val="es-ES_tradnl" w:eastAsia="ko-KR"/>
        </w:rPr>
        <w:t>5</w:t>
      </w:r>
      <w:r w:rsidR="00471803" w:rsidRPr="00115A9E">
        <w:rPr>
          <w:rFonts w:asciiTheme="minorHAnsi" w:eastAsia="Batang" w:hAnsiTheme="minorHAnsi"/>
          <w:bCs/>
          <w:sz w:val="22"/>
          <w:szCs w:val="22"/>
          <w:lang w:val="es-ES_tradnl" w:eastAsia="ko-KR"/>
        </w:rPr>
        <w:t xml:space="preserve"> </w:t>
      </w:r>
      <w:r w:rsidR="009B47C3" w:rsidRPr="00115A9E">
        <w:rPr>
          <w:rFonts w:asciiTheme="minorHAnsi" w:eastAsia="Batang" w:hAnsiTheme="minorHAnsi"/>
          <w:bCs/>
          <w:sz w:val="22"/>
          <w:szCs w:val="22"/>
          <w:lang w:val="es-ES_tradnl" w:eastAsia="ko-KR"/>
        </w:rPr>
        <w:t xml:space="preserve">y no admite previsiones de aumento durante otros tres años, ese escenario A tendrá repercusiones muy graves para gestión del </w:t>
      </w:r>
      <w:r w:rsidR="009B47C3" w:rsidRPr="00115A9E">
        <w:rPr>
          <w:rFonts w:asciiTheme="minorHAnsi" w:eastAsia="Batang" w:hAnsiTheme="minorHAnsi"/>
          <w:bCs/>
          <w:sz w:val="22"/>
          <w:szCs w:val="22"/>
          <w:lang w:val="es-ES_tradnl" w:eastAsia="ko-KR"/>
        </w:rPr>
        <w:lastRenderedPageBreak/>
        <w:t>recurso principal de la Secretaría: su personal</w:t>
      </w:r>
      <w:r w:rsidR="00471803" w:rsidRPr="00115A9E">
        <w:rPr>
          <w:rFonts w:asciiTheme="minorHAnsi" w:eastAsia="Batang" w:hAnsiTheme="minorHAnsi"/>
          <w:bCs/>
          <w:sz w:val="22"/>
          <w:szCs w:val="22"/>
          <w:lang w:val="es-ES_tradnl" w:eastAsia="ko-KR"/>
        </w:rPr>
        <w:t xml:space="preserve">. </w:t>
      </w:r>
      <w:r w:rsidR="009B47C3" w:rsidRPr="00115A9E">
        <w:rPr>
          <w:rFonts w:asciiTheme="minorHAnsi" w:eastAsia="Batang" w:hAnsiTheme="minorHAnsi"/>
          <w:bCs/>
          <w:sz w:val="22"/>
          <w:szCs w:val="22"/>
          <w:lang w:val="es-ES_tradnl" w:eastAsia="ko-KR"/>
        </w:rPr>
        <w:t xml:space="preserve">El Secretario General no podrá resistirse al aumento de ciertos costos de nómina, y tanto él como el Comité Permanente tienen pocas opciones </w:t>
      </w:r>
      <w:r w:rsidR="009A1FBC" w:rsidRPr="00115A9E">
        <w:rPr>
          <w:rFonts w:asciiTheme="minorHAnsi" w:eastAsia="Batang" w:hAnsiTheme="minorHAnsi"/>
          <w:bCs/>
          <w:sz w:val="22"/>
          <w:szCs w:val="22"/>
          <w:lang w:val="es-ES_tradnl" w:eastAsia="ko-KR"/>
        </w:rPr>
        <w:t>en cuanto a partidas para ahorrar costos</w:t>
      </w:r>
      <w:r w:rsidR="00471803"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8A3C79" w:rsidRPr="00115A9E" w:rsidRDefault="009A1FBC"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El escenario </w:t>
      </w:r>
      <w:r w:rsidR="00471803" w:rsidRPr="00115A9E">
        <w:rPr>
          <w:rFonts w:asciiTheme="minorHAnsi" w:eastAsia="Batang" w:hAnsiTheme="minorHAnsi"/>
          <w:bCs/>
          <w:sz w:val="22"/>
          <w:szCs w:val="22"/>
          <w:lang w:val="es-ES_tradnl" w:eastAsia="ko-KR"/>
        </w:rPr>
        <w:t xml:space="preserve">B </w:t>
      </w:r>
      <w:r w:rsidRPr="00115A9E">
        <w:rPr>
          <w:rFonts w:asciiTheme="minorHAnsi" w:eastAsia="Batang" w:hAnsiTheme="minorHAnsi"/>
          <w:bCs/>
          <w:sz w:val="22"/>
          <w:szCs w:val="22"/>
          <w:lang w:val="es-ES_tradnl" w:eastAsia="ko-KR"/>
        </w:rPr>
        <w:t xml:space="preserve">otorga al Secretario General un total de </w:t>
      </w:r>
      <w:r w:rsidR="00642556" w:rsidRPr="00115A9E">
        <w:rPr>
          <w:rFonts w:asciiTheme="minorHAnsi" w:eastAsia="Batang" w:hAnsiTheme="minorHAnsi"/>
          <w:bCs/>
          <w:sz w:val="22"/>
          <w:szCs w:val="22"/>
          <w:lang w:val="es-ES_tradnl" w:eastAsia="ko-KR"/>
        </w:rPr>
        <w:t>30</w:t>
      </w:r>
      <w:r w:rsidR="007B5616" w:rsidRPr="00115A9E">
        <w:rPr>
          <w:rFonts w:asciiTheme="minorHAnsi" w:eastAsia="Batang" w:hAnsiTheme="minorHAnsi"/>
          <w:bCs/>
          <w:sz w:val="22"/>
          <w:szCs w:val="22"/>
          <w:lang w:val="es-ES_tradnl" w:eastAsia="ko-KR"/>
        </w:rPr>
        <w:t>6</w:t>
      </w:r>
      <w:r w:rsidRPr="00115A9E">
        <w:rPr>
          <w:rFonts w:asciiTheme="minorHAnsi" w:eastAsia="Batang" w:hAnsiTheme="minorHAnsi"/>
          <w:bCs/>
          <w:sz w:val="22"/>
          <w:szCs w:val="22"/>
          <w:lang w:val="es-ES_tradnl" w:eastAsia="ko-KR"/>
        </w:rPr>
        <w:t>.</w:t>
      </w:r>
      <w:r w:rsidR="00471803"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 xml:space="preserve">francos suizos durante tres años para apoyar las Misiones Ramsar de Asesoramiento y compensar al personal con aumentos salariales </w:t>
      </w:r>
      <w:r w:rsidR="00D9789E" w:rsidRPr="00115A9E">
        <w:rPr>
          <w:rFonts w:asciiTheme="minorHAnsi" w:eastAsia="Batang" w:hAnsiTheme="minorHAnsi"/>
          <w:bCs/>
          <w:sz w:val="22"/>
          <w:szCs w:val="22"/>
          <w:lang w:val="es-ES_tradnl" w:eastAsia="ko-KR"/>
        </w:rPr>
        <w:t>basados en el mérito</w:t>
      </w:r>
      <w:r w:rsidRPr="00115A9E">
        <w:rPr>
          <w:rFonts w:asciiTheme="minorHAnsi" w:eastAsia="Batang" w:hAnsiTheme="minorHAnsi"/>
          <w:bCs/>
          <w:sz w:val="22"/>
          <w:szCs w:val="22"/>
          <w:lang w:val="es-ES_tradnl" w:eastAsia="ko-KR"/>
        </w:rPr>
        <w:t xml:space="preserve"> necesarios desde hace tiempo y con capacitación básica</w:t>
      </w:r>
      <w:r w:rsidR="0064255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No es una cantidad enorme, pero constituye un equilibrio entre la inversión en la Secretaría (personal) y en otros conceptos mediante misiones de asesoramiento</w:t>
      </w:r>
      <w:r w:rsidR="007B561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La Conferencia de las Partes también puede </w:t>
      </w:r>
      <w:r w:rsidR="00631143" w:rsidRPr="00115A9E">
        <w:rPr>
          <w:rFonts w:asciiTheme="minorHAnsi" w:eastAsia="Batang" w:hAnsiTheme="minorHAnsi"/>
          <w:bCs/>
          <w:sz w:val="22"/>
          <w:szCs w:val="22"/>
          <w:lang w:val="es-ES_tradnl" w:eastAsia="ko-KR"/>
        </w:rPr>
        <w:t>decidir</w:t>
      </w:r>
      <w:r w:rsidRPr="00115A9E">
        <w:rPr>
          <w:rFonts w:asciiTheme="minorHAnsi" w:eastAsia="Batang" w:hAnsiTheme="minorHAnsi"/>
          <w:bCs/>
          <w:sz w:val="22"/>
          <w:szCs w:val="22"/>
          <w:lang w:val="es-ES_tradnl" w:eastAsia="ko-KR"/>
        </w:rPr>
        <w:t xml:space="preserve"> que estos incrementos del escenario B se apliquen </w:t>
      </w:r>
      <w:r w:rsidR="00A36EC9" w:rsidRPr="00115A9E">
        <w:rPr>
          <w:rFonts w:asciiTheme="minorHAnsi" w:eastAsia="Batang" w:hAnsiTheme="minorHAnsi"/>
          <w:bCs/>
          <w:sz w:val="22"/>
          <w:szCs w:val="22"/>
          <w:lang w:val="es-ES_tradnl" w:eastAsia="ko-KR"/>
        </w:rPr>
        <w:t>a</w:t>
      </w:r>
      <w:r w:rsidRPr="00115A9E">
        <w:rPr>
          <w:rFonts w:asciiTheme="minorHAnsi" w:eastAsia="Batang" w:hAnsiTheme="minorHAnsi"/>
          <w:bCs/>
          <w:sz w:val="22"/>
          <w:szCs w:val="22"/>
          <w:lang w:val="es-ES_tradnl" w:eastAsia="ko-KR"/>
        </w:rPr>
        <w:t xml:space="preserve"> otras partidas</w:t>
      </w:r>
      <w:r w:rsidR="00471803" w:rsidRPr="00115A9E">
        <w:rPr>
          <w:rFonts w:asciiTheme="minorHAnsi" w:eastAsia="Batang" w:hAnsiTheme="minorHAnsi"/>
          <w:bCs/>
          <w:sz w:val="22"/>
          <w:szCs w:val="22"/>
          <w:lang w:val="es-ES_tradnl" w:eastAsia="ko-KR"/>
        </w:rPr>
        <w:t xml:space="preserve">. </w:t>
      </w:r>
    </w:p>
    <w:p w:rsidR="008A3C79" w:rsidRPr="00115A9E" w:rsidRDefault="008A3C79" w:rsidP="008A3C79">
      <w:pPr>
        <w:pStyle w:val="ListParagraph"/>
        <w:ind w:left="426" w:hanging="426"/>
        <w:rPr>
          <w:rFonts w:asciiTheme="minorHAnsi" w:eastAsia="Batang" w:hAnsiTheme="minorHAnsi"/>
          <w:bCs/>
          <w:sz w:val="22"/>
          <w:szCs w:val="22"/>
          <w:lang w:val="es-ES_tradnl" w:eastAsia="ko-KR"/>
        </w:rPr>
      </w:pPr>
    </w:p>
    <w:p w:rsidR="007B5616" w:rsidRPr="00115A9E" w:rsidRDefault="009A1FBC" w:rsidP="008A3C79">
      <w:pPr>
        <w:pStyle w:val="ListParagraph"/>
        <w:numPr>
          <w:ilvl w:val="0"/>
          <w:numId w:val="1"/>
        </w:numPr>
        <w:ind w:left="426" w:hanging="426"/>
        <w:rPr>
          <w:rFonts w:asciiTheme="minorHAnsi" w:eastAsia="Batang" w:hAnsiTheme="minorHAnsi"/>
          <w:bCs/>
          <w:sz w:val="22"/>
          <w:szCs w:val="22"/>
          <w:lang w:val="es-ES_tradnl" w:eastAsia="ko-KR"/>
        </w:rPr>
      </w:pPr>
      <w:r w:rsidRPr="00115A9E">
        <w:rPr>
          <w:rFonts w:asciiTheme="minorHAnsi" w:eastAsia="Batang" w:hAnsiTheme="minorHAnsi"/>
          <w:bCs/>
          <w:sz w:val="22"/>
          <w:szCs w:val="22"/>
          <w:lang w:val="es-ES_tradnl" w:eastAsia="ko-KR"/>
        </w:rPr>
        <w:t xml:space="preserve">El escenario </w:t>
      </w:r>
      <w:r w:rsidR="007B5616" w:rsidRPr="00115A9E">
        <w:rPr>
          <w:rFonts w:asciiTheme="minorHAnsi" w:eastAsia="Batang" w:hAnsiTheme="minorHAnsi"/>
          <w:bCs/>
          <w:sz w:val="22"/>
          <w:szCs w:val="22"/>
          <w:lang w:val="es-ES_tradnl" w:eastAsia="ko-KR"/>
        </w:rPr>
        <w:t xml:space="preserve">C </w:t>
      </w:r>
      <w:r w:rsidRPr="00115A9E">
        <w:rPr>
          <w:rFonts w:asciiTheme="minorHAnsi" w:eastAsia="Batang" w:hAnsiTheme="minorHAnsi"/>
          <w:bCs/>
          <w:sz w:val="22"/>
          <w:szCs w:val="22"/>
          <w:lang w:val="es-ES_tradnl" w:eastAsia="ko-KR"/>
        </w:rPr>
        <w:t>da al Secretario General un total de 609.</w:t>
      </w:r>
      <w:r w:rsidR="0055686A" w:rsidRPr="00115A9E">
        <w:rPr>
          <w:rFonts w:asciiTheme="minorHAnsi" w:eastAsia="Batang" w:hAnsiTheme="minorHAnsi"/>
          <w:bCs/>
          <w:sz w:val="22"/>
          <w:szCs w:val="22"/>
          <w:lang w:val="es-ES_tradnl" w:eastAsia="ko-KR"/>
        </w:rPr>
        <w:t xml:space="preserve">000 </w:t>
      </w:r>
      <w:r w:rsidRPr="00115A9E">
        <w:rPr>
          <w:rFonts w:asciiTheme="minorHAnsi" w:eastAsia="Batang" w:hAnsiTheme="minorHAnsi"/>
          <w:bCs/>
          <w:sz w:val="22"/>
          <w:szCs w:val="22"/>
          <w:lang w:val="es-ES_tradnl" w:eastAsia="ko-KR"/>
        </w:rPr>
        <w:t>francos suizos durante tres años para lograr una diferencia tangible en el apoyo a la labor de Ramsar mediante un Asesor Regional dedicado para</w:t>
      </w:r>
      <w:r w:rsidR="003B6B04" w:rsidRPr="00115A9E">
        <w:rPr>
          <w:rFonts w:asciiTheme="minorHAnsi" w:eastAsia="Batang" w:hAnsiTheme="minorHAnsi"/>
          <w:bCs/>
          <w:sz w:val="22"/>
          <w:szCs w:val="22"/>
          <w:lang w:val="es-ES_tradnl" w:eastAsia="ko-KR"/>
        </w:rPr>
        <w:t xml:space="preserve"> las</w:t>
      </w:r>
      <w:r w:rsidRPr="00115A9E">
        <w:rPr>
          <w:rFonts w:asciiTheme="minorHAnsi" w:eastAsia="Batang" w:hAnsiTheme="minorHAnsi"/>
          <w:bCs/>
          <w:sz w:val="22"/>
          <w:szCs w:val="22"/>
          <w:lang w:val="es-ES_tradnl" w:eastAsia="ko-KR"/>
        </w:rPr>
        <w:t xml:space="preserve"> América</w:t>
      </w:r>
      <w:r w:rsidR="003B6B04" w:rsidRPr="00115A9E">
        <w:rPr>
          <w:rFonts w:asciiTheme="minorHAnsi" w:eastAsia="Batang" w:hAnsiTheme="minorHAnsi"/>
          <w:bCs/>
          <w:sz w:val="22"/>
          <w:szCs w:val="22"/>
          <w:lang w:val="es-ES_tradnl" w:eastAsia="ko-KR"/>
        </w:rPr>
        <w:t>s</w:t>
      </w:r>
      <w:r w:rsidRPr="00115A9E">
        <w:rPr>
          <w:rFonts w:asciiTheme="minorHAnsi" w:eastAsia="Batang" w:hAnsiTheme="minorHAnsi"/>
          <w:bCs/>
          <w:sz w:val="22"/>
          <w:szCs w:val="22"/>
          <w:lang w:val="es-ES_tradnl" w:eastAsia="ko-KR"/>
        </w:rPr>
        <w:t xml:space="preserve">, Misiones Ramsar de Asesoramiento y compensaciones al personal con aumentos salariales </w:t>
      </w:r>
      <w:r w:rsidR="00D9789E" w:rsidRPr="00115A9E">
        <w:rPr>
          <w:rFonts w:asciiTheme="minorHAnsi" w:eastAsia="Batang" w:hAnsiTheme="minorHAnsi"/>
          <w:bCs/>
          <w:sz w:val="22"/>
          <w:szCs w:val="22"/>
          <w:lang w:val="es-ES_tradnl" w:eastAsia="ko-KR"/>
        </w:rPr>
        <w:t>basados en el mérito</w:t>
      </w:r>
      <w:r w:rsidRPr="00115A9E">
        <w:rPr>
          <w:rFonts w:asciiTheme="minorHAnsi" w:eastAsia="Batang" w:hAnsiTheme="minorHAnsi"/>
          <w:bCs/>
          <w:sz w:val="22"/>
          <w:szCs w:val="22"/>
          <w:lang w:val="es-ES_tradnl" w:eastAsia="ko-KR"/>
        </w:rPr>
        <w:t xml:space="preserve"> necesarios desde hace tiempo</w:t>
      </w:r>
      <w:r w:rsidR="007B5616" w:rsidRPr="00115A9E">
        <w:rPr>
          <w:rFonts w:asciiTheme="minorHAnsi" w:eastAsia="Batang" w:hAnsiTheme="minorHAnsi"/>
          <w:bCs/>
          <w:sz w:val="22"/>
          <w:szCs w:val="22"/>
          <w:lang w:val="es-ES_tradnl" w:eastAsia="ko-KR"/>
        </w:rPr>
        <w:t xml:space="preserve">. </w:t>
      </w:r>
      <w:r w:rsidRPr="00115A9E">
        <w:rPr>
          <w:rFonts w:asciiTheme="minorHAnsi" w:eastAsia="Batang" w:hAnsiTheme="minorHAnsi"/>
          <w:bCs/>
          <w:sz w:val="22"/>
          <w:szCs w:val="22"/>
          <w:lang w:val="es-ES_tradnl" w:eastAsia="ko-KR"/>
        </w:rPr>
        <w:t xml:space="preserve">Como ya se ha mencionado, </w:t>
      </w:r>
      <w:r w:rsidR="00A36EC9" w:rsidRPr="00115A9E">
        <w:rPr>
          <w:rFonts w:asciiTheme="minorHAnsi" w:eastAsia="Batang" w:hAnsiTheme="minorHAnsi"/>
          <w:bCs/>
          <w:sz w:val="22"/>
          <w:szCs w:val="22"/>
          <w:lang w:val="es-ES_tradnl" w:eastAsia="ko-KR"/>
        </w:rPr>
        <w:t xml:space="preserve">existe un plan que se desearía aplicar desde hace tiempo para contratar Oficiales Regionales y el escenario </w:t>
      </w:r>
      <w:r w:rsidR="0055686A" w:rsidRPr="00115A9E">
        <w:rPr>
          <w:rFonts w:asciiTheme="minorHAnsi" w:eastAsia="Batang" w:hAnsiTheme="minorHAnsi"/>
          <w:bCs/>
          <w:sz w:val="22"/>
          <w:szCs w:val="22"/>
          <w:lang w:val="es-ES_tradnl" w:eastAsia="ko-KR"/>
        </w:rPr>
        <w:t xml:space="preserve">C </w:t>
      </w:r>
      <w:r w:rsidR="00A36EC9" w:rsidRPr="00115A9E">
        <w:rPr>
          <w:rFonts w:asciiTheme="minorHAnsi" w:eastAsia="Batang" w:hAnsiTheme="minorHAnsi"/>
          <w:bCs/>
          <w:sz w:val="22"/>
          <w:szCs w:val="22"/>
          <w:lang w:val="es-ES_tradnl" w:eastAsia="ko-KR"/>
        </w:rPr>
        <w:t xml:space="preserve">acercará a </w:t>
      </w:r>
      <w:r w:rsidR="0055686A" w:rsidRPr="00115A9E">
        <w:rPr>
          <w:rFonts w:asciiTheme="minorHAnsi" w:eastAsia="Batang" w:hAnsiTheme="minorHAnsi"/>
          <w:bCs/>
          <w:sz w:val="22"/>
          <w:szCs w:val="22"/>
          <w:lang w:val="es-ES_tradnl" w:eastAsia="ko-KR"/>
        </w:rPr>
        <w:t xml:space="preserve">Ramsar </w:t>
      </w:r>
      <w:r w:rsidR="00A36EC9" w:rsidRPr="00115A9E">
        <w:rPr>
          <w:rFonts w:asciiTheme="minorHAnsi" w:eastAsia="Batang" w:hAnsiTheme="minorHAnsi"/>
          <w:bCs/>
          <w:sz w:val="22"/>
          <w:szCs w:val="22"/>
          <w:lang w:val="es-ES_tradnl" w:eastAsia="ko-KR"/>
        </w:rPr>
        <w:t>un paso más al logro de ese objetivo</w:t>
      </w:r>
      <w:r w:rsidR="0055686A" w:rsidRPr="00115A9E">
        <w:rPr>
          <w:rFonts w:asciiTheme="minorHAnsi" w:eastAsia="Batang" w:hAnsiTheme="minorHAnsi"/>
          <w:bCs/>
          <w:sz w:val="22"/>
          <w:szCs w:val="22"/>
          <w:lang w:val="es-ES_tradnl" w:eastAsia="ko-KR"/>
        </w:rPr>
        <w:t xml:space="preserve">. </w:t>
      </w:r>
      <w:r w:rsidR="00A36EC9" w:rsidRPr="00115A9E">
        <w:rPr>
          <w:rFonts w:asciiTheme="minorHAnsi" w:eastAsia="Batang" w:hAnsiTheme="minorHAnsi"/>
          <w:bCs/>
          <w:sz w:val="22"/>
          <w:szCs w:val="22"/>
          <w:lang w:val="es-ES_tradnl" w:eastAsia="ko-KR"/>
        </w:rPr>
        <w:t xml:space="preserve">Como alternativa, la Conferencia de las Partes puede </w:t>
      </w:r>
      <w:r w:rsidR="003B6B04" w:rsidRPr="00115A9E">
        <w:rPr>
          <w:rFonts w:asciiTheme="minorHAnsi" w:eastAsia="Batang" w:hAnsiTheme="minorHAnsi"/>
          <w:bCs/>
          <w:sz w:val="22"/>
          <w:szCs w:val="22"/>
          <w:lang w:val="es-ES_tradnl" w:eastAsia="ko-KR"/>
        </w:rPr>
        <w:t>decidir</w:t>
      </w:r>
      <w:r w:rsidR="00A36EC9" w:rsidRPr="00115A9E">
        <w:rPr>
          <w:rFonts w:asciiTheme="minorHAnsi" w:eastAsia="Batang" w:hAnsiTheme="minorHAnsi"/>
          <w:bCs/>
          <w:sz w:val="22"/>
          <w:szCs w:val="22"/>
          <w:lang w:val="es-ES_tradnl" w:eastAsia="ko-KR"/>
        </w:rPr>
        <w:t xml:space="preserve"> que esos incrementos del escenario C se apliquen a otras partidas</w:t>
      </w:r>
      <w:r w:rsidR="007B5616" w:rsidRPr="00115A9E">
        <w:rPr>
          <w:rFonts w:asciiTheme="minorHAnsi" w:eastAsia="Batang" w:hAnsiTheme="minorHAnsi"/>
          <w:bCs/>
          <w:sz w:val="22"/>
          <w:szCs w:val="22"/>
          <w:lang w:val="es-ES_tradnl" w:eastAsia="ko-KR"/>
        </w:rPr>
        <w:t xml:space="preserve">. </w:t>
      </w:r>
    </w:p>
    <w:p w:rsidR="00563B46" w:rsidRPr="00115A9E" w:rsidRDefault="00563B46" w:rsidP="00C27A1B">
      <w:pPr>
        <w:rPr>
          <w:rFonts w:asciiTheme="minorHAnsi" w:eastAsia="Batang" w:hAnsiTheme="minorHAnsi"/>
          <w:b/>
          <w:sz w:val="22"/>
          <w:szCs w:val="22"/>
          <w:lang w:val="es-ES_tradnl"/>
        </w:rPr>
      </w:pPr>
    </w:p>
    <w:p w:rsidR="00471803" w:rsidRPr="00115A9E" w:rsidRDefault="006977EB" w:rsidP="00471803">
      <w:pPr>
        <w:pStyle w:val="MGfulltext"/>
        <w:spacing w:after="0"/>
        <w:rPr>
          <w:rFonts w:asciiTheme="minorHAnsi" w:eastAsia="Batang" w:hAnsiTheme="minorHAnsi" w:cs="Times New Roman"/>
          <w:b/>
          <w:sz w:val="22"/>
          <w:szCs w:val="22"/>
          <w:lang w:val="es-ES_tradnl"/>
        </w:rPr>
      </w:pPr>
      <w:r w:rsidRPr="00115A9E">
        <w:rPr>
          <w:rFonts w:asciiTheme="minorHAnsi" w:eastAsia="Batang" w:hAnsiTheme="minorHAnsi" w:cs="Times New Roman"/>
          <w:b/>
          <w:sz w:val="22"/>
          <w:szCs w:val="22"/>
          <w:lang w:val="es-ES_tradnl"/>
        </w:rPr>
        <w:t>Presupuesto no b</w:t>
      </w:r>
      <w:r w:rsidR="00A36EC9" w:rsidRPr="00115A9E">
        <w:rPr>
          <w:rFonts w:asciiTheme="minorHAnsi" w:eastAsia="Batang" w:hAnsiTheme="minorHAnsi" w:cs="Times New Roman"/>
          <w:b/>
          <w:sz w:val="22"/>
          <w:szCs w:val="22"/>
          <w:lang w:val="es-ES_tradnl"/>
        </w:rPr>
        <w:t xml:space="preserve">ásico para </w:t>
      </w:r>
      <w:r w:rsidR="00C412ED" w:rsidRPr="00115A9E">
        <w:rPr>
          <w:rFonts w:asciiTheme="minorHAnsi" w:eastAsia="Batang" w:hAnsiTheme="minorHAnsi" w:cs="Times New Roman"/>
          <w:b/>
          <w:sz w:val="22"/>
          <w:szCs w:val="22"/>
          <w:lang w:val="es-ES_tradnl"/>
        </w:rPr>
        <w:t>2016-2018</w:t>
      </w:r>
    </w:p>
    <w:p w:rsidR="00471803" w:rsidRPr="00115A9E" w:rsidRDefault="00471803" w:rsidP="00471803">
      <w:pPr>
        <w:pStyle w:val="MGfulltext"/>
        <w:spacing w:after="0"/>
        <w:ind w:left="360"/>
        <w:rPr>
          <w:rFonts w:asciiTheme="minorHAnsi" w:eastAsia="Batang" w:hAnsiTheme="minorHAnsi" w:cs="Times New Roman"/>
          <w:b/>
          <w:sz w:val="22"/>
          <w:szCs w:val="22"/>
          <w:lang w:val="es-ES_tradnl"/>
        </w:rPr>
      </w:pPr>
    </w:p>
    <w:p w:rsidR="00471803" w:rsidRPr="00115A9E" w:rsidRDefault="00471803" w:rsidP="00471803">
      <w:pPr>
        <w:pStyle w:val="MGfulltext"/>
        <w:tabs>
          <w:tab w:val="left" w:pos="567"/>
        </w:tabs>
        <w:spacing w:after="0"/>
        <w:ind w:left="567" w:hanging="567"/>
        <w:rPr>
          <w:rFonts w:asciiTheme="minorHAnsi" w:eastAsia="Batang" w:hAnsiTheme="minorHAnsi" w:cs="Times New Roman"/>
          <w:sz w:val="22"/>
          <w:szCs w:val="22"/>
          <w:lang w:val="es-ES_tradnl"/>
        </w:rPr>
      </w:pPr>
      <w:r w:rsidRPr="00115A9E">
        <w:rPr>
          <w:rFonts w:asciiTheme="minorHAnsi" w:eastAsia="Batang" w:hAnsiTheme="minorHAnsi" w:cs="Times New Roman"/>
          <w:sz w:val="22"/>
          <w:szCs w:val="22"/>
          <w:lang w:val="es-ES_tradnl"/>
        </w:rPr>
        <w:t>2</w:t>
      </w:r>
      <w:r w:rsidR="00C412ED" w:rsidRPr="00115A9E">
        <w:rPr>
          <w:rFonts w:asciiTheme="minorHAnsi" w:eastAsia="Batang" w:hAnsiTheme="minorHAnsi" w:cs="Times New Roman"/>
          <w:sz w:val="22"/>
          <w:szCs w:val="22"/>
          <w:lang w:val="es-ES_tradnl"/>
        </w:rPr>
        <w:t>8</w:t>
      </w:r>
      <w:r w:rsidRPr="00115A9E">
        <w:rPr>
          <w:rFonts w:asciiTheme="minorHAnsi" w:eastAsia="Batang" w:hAnsiTheme="minorHAnsi" w:cs="Times New Roman"/>
          <w:sz w:val="22"/>
          <w:szCs w:val="22"/>
          <w:lang w:val="es-ES_tradnl"/>
        </w:rPr>
        <w:t>.</w:t>
      </w:r>
      <w:r w:rsidRPr="00115A9E">
        <w:rPr>
          <w:rFonts w:asciiTheme="minorHAnsi" w:eastAsia="Batang" w:hAnsiTheme="minorHAnsi" w:cs="Times New Roman"/>
          <w:sz w:val="22"/>
          <w:szCs w:val="22"/>
          <w:lang w:val="es-ES_tradnl"/>
        </w:rPr>
        <w:tab/>
      </w:r>
      <w:r w:rsidR="00655391" w:rsidRPr="00115A9E">
        <w:rPr>
          <w:rFonts w:asciiTheme="minorHAnsi" w:eastAsia="Batang" w:hAnsiTheme="minorHAnsi" w:cs="Times New Roman"/>
          <w:sz w:val="22"/>
          <w:szCs w:val="22"/>
          <w:lang w:val="es-ES_tradnl"/>
        </w:rPr>
        <w:t xml:space="preserve">En el Anexo 2 figura un </w:t>
      </w:r>
      <w:r w:rsidR="006977EB" w:rsidRPr="00115A9E">
        <w:rPr>
          <w:rFonts w:asciiTheme="minorHAnsi" w:eastAsia="Batang" w:hAnsiTheme="minorHAnsi"/>
          <w:bCs/>
          <w:sz w:val="22"/>
          <w:szCs w:val="22"/>
          <w:lang w:val="es-ES_tradnl" w:eastAsia="ko-KR"/>
        </w:rPr>
        <w:t xml:space="preserve">presupuesto no básico </w:t>
      </w:r>
      <w:r w:rsidR="00D71CC6" w:rsidRPr="00115A9E">
        <w:rPr>
          <w:rFonts w:asciiTheme="minorHAnsi" w:eastAsia="Batang" w:hAnsiTheme="minorHAnsi" w:cs="Times New Roman"/>
          <w:sz w:val="22"/>
          <w:szCs w:val="22"/>
          <w:lang w:val="es-ES_tradnl"/>
        </w:rPr>
        <w:t>y no provisionado</w:t>
      </w:r>
      <w:r w:rsidRPr="00115A9E">
        <w:rPr>
          <w:rFonts w:asciiTheme="minorHAnsi" w:eastAsia="Batang" w:hAnsiTheme="minorHAnsi" w:cs="Times New Roman"/>
          <w:sz w:val="22"/>
          <w:szCs w:val="22"/>
          <w:lang w:val="es-ES_tradnl"/>
        </w:rPr>
        <w:t>. (</w:t>
      </w:r>
      <w:r w:rsidR="00D71CC6" w:rsidRPr="00115A9E">
        <w:rPr>
          <w:rFonts w:asciiTheme="minorHAnsi" w:eastAsia="Batang" w:hAnsiTheme="minorHAnsi" w:cs="Times New Roman"/>
          <w:sz w:val="22"/>
          <w:szCs w:val="22"/>
          <w:lang w:val="es-ES_tradnl"/>
        </w:rPr>
        <w:t>En el futuro, las alternativas del presupuesto básico y no básico se complementarán en mayor medida</w:t>
      </w:r>
      <w:r w:rsidRPr="00115A9E">
        <w:rPr>
          <w:rFonts w:asciiTheme="minorHAnsi" w:eastAsia="Batang" w:hAnsiTheme="minorHAnsi" w:cs="Times New Roman"/>
          <w:sz w:val="22"/>
          <w:szCs w:val="22"/>
          <w:lang w:val="es-ES_tradnl"/>
        </w:rPr>
        <w:t>.)</w:t>
      </w:r>
    </w:p>
    <w:p w:rsidR="00471803" w:rsidRPr="00115A9E" w:rsidRDefault="00471803" w:rsidP="00471803">
      <w:pPr>
        <w:pStyle w:val="MGfulltext"/>
        <w:tabs>
          <w:tab w:val="left" w:pos="567"/>
        </w:tabs>
        <w:spacing w:after="0"/>
        <w:rPr>
          <w:rFonts w:asciiTheme="minorHAnsi" w:eastAsia="Batang" w:hAnsiTheme="minorHAnsi" w:cs="Times New Roman"/>
          <w:sz w:val="22"/>
          <w:szCs w:val="22"/>
          <w:lang w:val="es-ES_tradnl"/>
        </w:rPr>
      </w:pPr>
    </w:p>
    <w:p w:rsidR="00471803" w:rsidRPr="00115A9E" w:rsidRDefault="00471803" w:rsidP="002E1FF0">
      <w:pPr>
        <w:pStyle w:val="MGfulltext"/>
        <w:tabs>
          <w:tab w:val="left" w:pos="567"/>
        </w:tabs>
        <w:spacing w:after="0"/>
        <w:ind w:left="567" w:hanging="567"/>
        <w:rPr>
          <w:rFonts w:asciiTheme="minorHAnsi" w:eastAsia="Batang" w:hAnsiTheme="minorHAnsi" w:cs="Times New Roman"/>
          <w:sz w:val="22"/>
          <w:szCs w:val="22"/>
          <w:lang w:val="es-ES_tradnl"/>
        </w:rPr>
      </w:pPr>
      <w:r w:rsidRPr="00115A9E">
        <w:rPr>
          <w:rFonts w:asciiTheme="minorHAnsi" w:eastAsia="Batang" w:hAnsiTheme="minorHAnsi" w:cs="Times New Roman"/>
          <w:sz w:val="22"/>
          <w:szCs w:val="22"/>
          <w:lang w:val="es-ES_tradnl"/>
        </w:rPr>
        <w:t>2</w:t>
      </w:r>
      <w:r w:rsidR="00C412ED" w:rsidRPr="00115A9E">
        <w:rPr>
          <w:rFonts w:asciiTheme="minorHAnsi" w:eastAsia="Batang" w:hAnsiTheme="minorHAnsi" w:cs="Times New Roman"/>
          <w:sz w:val="22"/>
          <w:szCs w:val="22"/>
          <w:lang w:val="es-ES_tradnl"/>
        </w:rPr>
        <w:t>9</w:t>
      </w:r>
      <w:r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ab/>
      </w:r>
      <w:r w:rsidR="00AF675E" w:rsidRPr="00115A9E">
        <w:rPr>
          <w:rFonts w:asciiTheme="minorHAnsi" w:eastAsia="Batang" w:hAnsiTheme="minorHAnsi" w:cs="Times New Roman"/>
          <w:sz w:val="22"/>
          <w:szCs w:val="22"/>
          <w:lang w:val="es-ES_tradnl"/>
        </w:rPr>
        <w:t xml:space="preserve">Las partidas de </w:t>
      </w:r>
      <w:r w:rsidR="008B3EA7" w:rsidRPr="00115A9E">
        <w:rPr>
          <w:rFonts w:asciiTheme="minorHAnsi" w:eastAsia="Batang" w:hAnsiTheme="minorHAnsi" w:cs="Times New Roman"/>
          <w:sz w:val="22"/>
          <w:szCs w:val="22"/>
          <w:lang w:val="es-ES_tradnl"/>
        </w:rPr>
        <w:t xml:space="preserve">gastos sufragadas con cargo al </w:t>
      </w:r>
      <w:r w:rsidR="006977EB" w:rsidRPr="00115A9E">
        <w:rPr>
          <w:rFonts w:asciiTheme="minorHAnsi" w:eastAsia="Batang" w:hAnsiTheme="minorHAnsi"/>
          <w:bCs/>
          <w:sz w:val="22"/>
          <w:szCs w:val="22"/>
          <w:lang w:val="es-ES_tradnl" w:eastAsia="ko-KR"/>
        </w:rPr>
        <w:t xml:space="preserve">presupuesto no básico </w:t>
      </w:r>
      <w:r w:rsidR="00AF675E" w:rsidRPr="00115A9E">
        <w:rPr>
          <w:rFonts w:asciiTheme="minorHAnsi" w:eastAsia="Batang" w:hAnsiTheme="minorHAnsi" w:cs="Times New Roman"/>
          <w:sz w:val="22"/>
          <w:szCs w:val="22"/>
          <w:lang w:val="es-ES_tradnl"/>
        </w:rPr>
        <w:t>y no provisionado son las qu</w:t>
      </w:r>
      <w:r w:rsidR="006977EB" w:rsidRPr="00115A9E">
        <w:rPr>
          <w:rFonts w:asciiTheme="minorHAnsi" w:eastAsia="Batang" w:hAnsiTheme="minorHAnsi" w:cs="Times New Roman"/>
          <w:sz w:val="22"/>
          <w:szCs w:val="22"/>
          <w:lang w:val="es-ES_tradnl"/>
        </w:rPr>
        <w:t>e no se financian con cargo al presupuesto b</w:t>
      </w:r>
      <w:r w:rsidR="00AF675E" w:rsidRPr="00115A9E">
        <w:rPr>
          <w:rFonts w:asciiTheme="minorHAnsi" w:eastAsia="Batang" w:hAnsiTheme="minorHAnsi" w:cs="Times New Roman"/>
          <w:sz w:val="22"/>
          <w:szCs w:val="22"/>
          <w:lang w:val="es-ES_tradnl"/>
        </w:rPr>
        <w:t xml:space="preserve">ásico pero se consideran necesarias para la ejecución del Plan Estratégico </w:t>
      </w:r>
      <w:r w:rsidR="004558EC" w:rsidRPr="00115A9E">
        <w:rPr>
          <w:rFonts w:asciiTheme="minorHAnsi" w:eastAsia="Batang" w:hAnsiTheme="minorHAnsi" w:cs="Times New Roman"/>
          <w:sz w:val="22"/>
          <w:szCs w:val="22"/>
          <w:lang w:val="es-ES_tradnl"/>
        </w:rPr>
        <w:t xml:space="preserve">2016-2021 </w:t>
      </w:r>
      <w:r w:rsidR="00AF675E" w:rsidRPr="00115A9E">
        <w:rPr>
          <w:rFonts w:asciiTheme="minorHAnsi" w:eastAsia="Batang" w:hAnsiTheme="minorHAnsi" w:cs="Times New Roman"/>
          <w:sz w:val="22"/>
          <w:szCs w:val="22"/>
          <w:lang w:val="es-ES_tradnl"/>
        </w:rPr>
        <w:t>o exigidas con arreglo a mandatos imperativos establecidos por resoluciones de la COP o decisiones del C</w:t>
      </w:r>
      <w:r w:rsidR="004558EC" w:rsidRPr="00115A9E">
        <w:rPr>
          <w:rFonts w:asciiTheme="minorHAnsi" w:eastAsia="Batang" w:hAnsiTheme="minorHAnsi" w:cs="Times New Roman"/>
          <w:sz w:val="22"/>
          <w:szCs w:val="22"/>
          <w:lang w:val="es-ES_tradnl"/>
        </w:rPr>
        <w:t xml:space="preserve">omité </w:t>
      </w:r>
      <w:r w:rsidR="00AF675E" w:rsidRPr="00115A9E">
        <w:rPr>
          <w:rFonts w:asciiTheme="minorHAnsi" w:eastAsia="Batang" w:hAnsiTheme="minorHAnsi" w:cs="Times New Roman"/>
          <w:sz w:val="22"/>
          <w:szCs w:val="22"/>
          <w:lang w:val="es-ES_tradnl"/>
        </w:rPr>
        <w:t>P</w:t>
      </w:r>
      <w:r w:rsidR="004558EC" w:rsidRPr="00115A9E">
        <w:rPr>
          <w:rFonts w:asciiTheme="minorHAnsi" w:eastAsia="Batang" w:hAnsiTheme="minorHAnsi" w:cs="Times New Roman"/>
          <w:sz w:val="22"/>
          <w:szCs w:val="22"/>
          <w:lang w:val="es-ES_tradnl"/>
        </w:rPr>
        <w:t>ermanente</w:t>
      </w:r>
      <w:r w:rsidR="00AF675E" w:rsidRPr="00115A9E">
        <w:rPr>
          <w:rFonts w:asciiTheme="minorHAnsi" w:eastAsia="Batang" w:hAnsiTheme="minorHAnsi" w:cs="Times New Roman"/>
          <w:sz w:val="22"/>
          <w:szCs w:val="22"/>
          <w:lang w:val="es-ES_tradnl"/>
        </w:rPr>
        <w:t xml:space="preserve"> recientes</w:t>
      </w:r>
      <w:r w:rsidRPr="00115A9E">
        <w:rPr>
          <w:rFonts w:asciiTheme="minorHAnsi" w:eastAsia="Batang" w:hAnsiTheme="minorHAnsi" w:cs="Times New Roman"/>
          <w:sz w:val="22"/>
          <w:szCs w:val="22"/>
          <w:lang w:val="es-ES_tradnl"/>
        </w:rPr>
        <w:t xml:space="preserve">. </w:t>
      </w:r>
      <w:r w:rsidR="003C2510" w:rsidRPr="00115A9E">
        <w:rPr>
          <w:rFonts w:asciiTheme="minorHAnsi" w:eastAsia="Batang" w:hAnsiTheme="minorHAnsi" w:cs="Times New Roman"/>
          <w:sz w:val="22"/>
          <w:szCs w:val="22"/>
          <w:lang w:val="es-ES_tradnl"/>
        </w:rPr>
        <w:t>Se trata de las siguientes</w:t>
      </w:r>
      <w:r w:rsidRPr="00115A9E">
        <w:rPr>
          <w:rFonts w:asciiTheme="minorHAnsi" w:eastAsia="Batang" w:hAnsiTheme="minorHAnsi" w:cs="Times New Roman"/>
          <w:sz w:val="22"/>
          <w:szCs w:val="22"/>
          <w:lang w:val="es-ES_tradnl"/>
        </w:rPr>
        <w:t xml:space="preserve">: </w:t>
      </w:r>
    </w:p>
    <w:p w:rsidR="00C412ED" w:rsidRPr="00115A9E" w:rsidRDefault="00C412ED" w:rsidP="00C412ED">
      <w:pPr>
        <w:pStyle w:val="MGfulltext"/>
        <w:spacing w:after="0"/>
        <w:ind w:left="567" w:hanging="567"/>
        <w:rPr>
          <w:rFonts w:asciiTheme="minorHAnsi" w:eastAsia="Batang" w:hAnsiTheme="minorHAnsi" w:cs="Times New Roman"/>
          <w:sz w:val="22"/>
          <w:szCs w:val="22"/>
          <w:lang w:val="es-ES_tradnl"/>
        </w:rPr>
      </w:pPr>
    </w:p>
    <w:p w:rsidR="00C412ED" w:rsidRPr="00115A9E" w:rsidRDefault="00C412ED"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i/>
          <w:sz w:val="22"/>
          <w:szCs w:val="22"/>
          <w:lang w:val="es-ES_tradnl"/>
        </w:rPr>
        <w:t>Partida presupuestaria A</w:t>
      </w:r>
      <w:r w:rsidRPr="00115A9E">
        <w:rPr>
          <w:rFonts w:asciiTheme="minorHAnsi" w:eastAsia="Batang" w:hAnsiTheme="minorHAnsi"/>
          <w:sz w:val="22"/>
          <w:szCs w:val="22"/>
          <w:lang w:val="es-ES_tradnl"/>
        </w:rPr>
        <w:t xml:space="preserve">: dotación de personal adicional para la Secretaría y de tres Oficiales Regionales desde </w:t>
      </w:r>
      <w:r w:rsidRPr="00115A9E">
        <w:rPr>
          <w:rFonts w:asciiTheme="minorHAnsi" w:eastAsia="Batang" w:hAnsiTheme="minorHAnsi" w:cs="Times New Roman"/>
          <w:sz w:val="22"/>
          <w:szCs w:val="22"/>
          <w:lang w:val="es-ES_tradnl"/>
        </w:rPr>
        <w:t>2014;</w:t>
      </w:r>
    </w:p>
    <w:p w:rsidR="00C412ED" w:rsidRPr="00115A9E" w:rsidRDefault="00C412ED" w:rsidP="00C412ED">
      <w:pPr>
        <w:pStyle w:val="MGfulltext"/>
        <w:spacing w:after="0"/>
        <w:ind w:left="850"/>
        <w:rPr>
          <w:rFonts w:asciiTheme="minorHAnsi" w:eastAsia="Batang" w:hAnsiTheme="minorHAnsi" w:cs="Times New Roman"/>
          <w:sz w:val="22"/>
          <w:szCs w:val="22"/>
          <w:lang w:val="es-ES_tradnl"/>
        </w:rPr>
      </w:pPr>
    </w:p>
    <w:p w:rsidR="00C412ED" w:rsidRPr="00115A9E" w:rsidRDefault="00C412ED"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B</w:t>
      </w:r>
      <w:r w:rsidRPr="00115A9E">
        <w:rPr>
          <w:rFonts w:asciiTheme="minorHAnsi" w:eastAsia="Batang" w:hAnsiTheme="minorHAnsi" w:cs="Times New Roman"/>
          <w:sz w:val="22"/>
          <w:szCs w:val="22"/>
          <w:lang w:val="es-ES_tradnl"/>
        </w:rPr>
        <w:t>: financiación de Misiones Ramsar de Asesoramiento de emergencia para las Partes que no pueden financiar sus propias misiones (Estrategias 2.4, 2.6);</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C412ED" w:rsidP="002E1FF0">
      <w:pPr>
        <w:pStyle w:val="MGfulltext"/>
        <w:numPr>
          <w:ilvl w:val="0"/>
          <w:numId w:val="7"/>
        </w:numPr>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C</w:t>
      </w:r>
      <w:r w:rsidRPr="00115A9E">
        <w:rPr>
          <w:rFonts w:asciiTheme="minorHAnsi" w:eastAsia="Batang" w:hAnsiTheme="minorHAnsi" w:cs="Times New Roman"/>
          <w:sz w:val="22"/>
          <w:szCs w:val="22"/>
          <w:lang w:val="es-ES_tradnl"/>
        </w:rPr>
        <w:t>: costo de un miembro del personal responsable de organizar y facilitar una coalición de gobiernos, el sector privado y la sociedad civil para una Alianza Mundial para la Restauración de los Humedales;</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C412ED"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D</w:t>
      </w:r>
      <w:r w:rsidRPr="00115A9E">
        <w:rPr>
          <w:rFonts w:asciiTheme="minorHAnsi" w:eastAsia="Batang" w:hAnsiTheme="minorHAnsi" w:cs="Times New Roman"/>
          <w:sz w:val="22"/>
          <w:szCs w:val="22"/>
          <w:lang w:val="es-ES_tradnl"/>
        </w:rPr>
        <w:t>: costo de traducción de documentos al árabe (proceso de traducción gradual durante 3 años);</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C412ED"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E</w:t>
      </w:r>
      <w:r w:rsidRPr="00115A9E">
        <w:rPr>
          <w:rFonts w:asciiTheme="minorHAnsi" w:eastAsia="Batang" w:hAnsiTheme="minorHAnsi" w:cs="Times New Roman"/>
          <w:sz w:val="22"/>
          <w:szCs w:val="22"/>
          <w:lang w:val="es-ES_tradnl"/>
        </w:rPr>
        <w:t xml:space="preserve">: </w:t>
      </w:r>
      <w:r w:rsidR="00C51BDC" w:rsidRPr="00115A9E">
        <w:rPr>
          <w:rFonts w:asciiTheme="minorHAnsi" w:eastAsia="Batang" w:hAnsiTheme="minorHAnsi" w:cs="Times New Roman"/>
          <w:sz w:val="22"/>
          <w:szCs w:val="22"/>
          <w:lang w:val="es-ES_tradnl"/>
        </w:rPr>
        <w:t>costo de establecimiento de una red virtual de profesionales de los humedales que requiere un profesional subalterno encargado de gestionar las aportaciones, la gestión de los resultados y la creación de capacidad para la nueva plataforma</w:t>
      </w:r>
      <w:r w:rsidRPr="00115A9E">
        <w:rPr>
          <w:rFonts w:asciiTheme="minorHAnsi" w:eastAsia="Batang" w:hAnsiTheme="minorHAnsi" w:cs="Times New Roman"/>
          <w:sz w:val="22"/>
          <w:szCs w:val="22"/>
          <w:lang w:val="es-ES_tradnl"/>
        </w:rPr>
        <w:t xml:space="preserve">; </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C51BDC"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lastRenderedPageBreak/>
        <w:t xml:space="preserve">Partida presupuestaria </w:t>
      </w:r>
      <w:r w:rsidR="00C412ED" w:rsidRPr="00115A9E">
        <w:rPr>
          <w:rFonts w:asciiTheme="minorHAnsi" w:eastAsia="Batang" w:hAnsiTheme="minorHAnsi" w:cs="Times New Roman"/>
          <w:i/>
          <w:sz w:val="22"/>
          <w:szCs w:val="22"/>
          <w:lang w:val="es-ES_tradnl"/>
        </w:rPr>
        <w:t>F</w:t>
      </w:r>
      <w:r w:rsidR="00C412ED"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ejecución del programa de trabajo del GECT para 2013-2015 (Estrategias 1.1, 1.2, 1.4, 1.5, 1.6, 1.7, 1.9, 2.5, 3.1). Las estimaciones de gastos para la partida presupuestaria E incluyen todas las tareas previstas para 2013-2015, entre ellas el proyecto del Sistema Mundial de Observación de los Humedales (GWOS, por sus siglas en inglés), pero excluyendo el proyecto SISR del punto b) siguiente, que figura en la Categoría 1 del Presupuesto</w:t>
      </w:r>
      <w:r w:rsidR="00C412ED" w:rsidRPr="00115A9E">
        <w:rPr>
          <w:rFonts w:asciiTheme="minorHAnsi" w:eastAsia="Batang" w:hAnsiTheme="minorHAnsi" w:cs="Times New Roman"/>
          <w:sz w:val="22"/>
          <w:szCs w:val="22"/>
          <w:lang w:val="es-ES_tradnl"/>
        </w:rPr>
        <w:t>;</w:t>
      </w:r>
    </w:p>
    <w:p w:rsidR="00C412ED" w:rsidRPr="00115A9E" w:rsidRDefault="00C412ED" w:rsidP="002E1FF0">
      <w:pPr>
        <w:pStyle w:val="MGfulltext"/>
        <w:spacing w:after="0"/>
        <w:rPr>
          <w:rFonts w:asciiTheme="minorHAnsi" w:eastAsia="Batang" w:hAnsiTheme="minorHAnsi" w:cs="Times New Roman"/>
          <w:sz w:val="22"/>
          <w:szCs w:val="22"/>
          <w:lang w:val="es-ES_tradnl"/>
        </w:rPr>
      </w:pPr>
    </w:p>
    <w:p w:rsidR="00C412ED" w:rsidRPr="00115A9E" w:rsidRDefault="00C51BDC"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i/>
          <w:sz w:val="22"/>
          <w:szCs w:val="22"/>
          <w:lang w:val="es-ES_tradnl"/>
        </w:rPr>
        <w:t xml:space="preserve">Partida presupuestaria </w:t>
      </w:r>
      <w:r w:rsidR="00C412ED" w:rsidRPr="00115A9E">
        <w:rPr>
          <w:rFonts w:asciiTheme="minorHAnsi" w:eastAsia="Batang" w:hAnsiTheme="minorHAnsi"/>
          <w:i/>
          <w:sz w:val="22"/>
          <w:szCs w:val="22"/>
          <w:lang w:val="es-ES_tradnl"/>
        </w:rPr>
        <w:t>G</w:t>
      </w:r>
      <w:r w:rsidR="00C412ED" w:rsidRPr="00115A9E">
        <w:rPr>
          <w:rFonts w:asciiTheme="minorHAnsi" w:eastAsia="Batang" w:hAnsiTheme="minorHAnsi"/>
          <w:sz w:val="22"/>
          <w:szCs w:val="22"/>
          <w:lang w:val="es-ES_tradnl"/>
        </w:rPr>
        <w:t xml:space="preserve">: </w:t>
      </w:r>
      <w:r w:rsidRPr="00115A9E">
        <w:rPr>
          <w:rFonts w:asciiTheme="minorHAnsi" w:eastAsia="Batang" w:hAnsiTheme="minorHAnsi"/>
          <w:sz w:val="22"/>
          <w:szCs w:val="22"/>
          <w:lang w:val="es-ES_tradnl"/>
        </w:rPr>
        <w:t>apoyo financiero a las Iniciativas Regionales</w:t>
      </w:r>
      <w:r w:rsidR="00C412ED" w:rsidRPr="00115A9E">
        <w:rPr>
          <w:rFonts w:asciiTheme="minorHAnsi" w:eastAsia="Batang" w:hAnsiTheme="minorHAnsi" w:cs="Times New Roman"/>
          <w:sz w:val="22"/>
          <w:szCs w:val="22"/>
          <w:lang w:val="es-ES_tradnl"/>
        </w:rPr>
        <w:t>;</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C51BDC"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H</w:t>
      </w:r>
      <w:r w:rsidR="00C412ED" w:rsidRPr="00115A9E">
        <w:rPr>
          <w:rFonts w:asciiTheme="minorHAnsi" w:eastAsia="Batang" w:hAnsiTheme="minorHAnsi" w:cs="Times New Roman"/>
          <w:sz w:val="22"/>
          <w:szCs w:val="22"/>
          <w:lang w:val="es-ES_tradnl"/>
        </w:rPr>
        <w:t xml:space="preserve">: </w:t>
      </w:r>
      <w:r w:rsidR="00E03C96" w:rsidRPr="00115A9E">
        <w:rPr>
          <w:rFonts w:asciiTheme="minorHAnsi" w:eastAsia="Batang" w:hAnsiTheme="minorHAnsi" w:cs="Times New Roman"/>
          <w:sz w:val="22"/>
          <w:szCs w:val="22"/>
          <w:lang w:val="es-ES_tradnl"/>
        </w:rPr>
        <w:t xml:space="preserve">aumento de la capacidad del personal para aprovechar la información cartográfica sobre humedales </w:t>
      </w:r>
      <w:r w:rsidR="002A0ACF" w:rsidRPr="00115A9E">
        <w:rPr>
          <w:rFonts w:asciiTheme="minorHAnsi" w:eastAsia="Batang" w:hAnsiTheme="minorHAnsi" w:cs="Times New Roman"/>
          <w:sz w:val="22"/>
          <w:szCs w:val="22"/>
          <w:lang w:val="es-ES_tradnl"/>
        </w:rPr>
        <w:t xml:space="preserve">existente </w:t>
      </w:r>
      <w:r w:rsidR="00E03C96" w:rsidRPr="00115A9E">
        <w:rPr>
          <w:rFonts w:asciiTheme="minorHAnsi" w:eastAsia="Batang" w:hAnsiTheme="minorHAnsi" w:cs="Times New Roman"/>
          <w:sz w:val="22"/>
          <w:szCs w:val="22"/>
          <w:lang w:val="es-ES_tradnl"/>
        </w:rPr>
        <w:t>de la Agencia Japonesa</w:t>
      </w:r>
      <w:r w:rsidR="002E1FF0">
        <w:rPr>
          <w:rFonts w:asciiTheme="minorHAnsi" w:eastAsia="Batang" w:hAnsiTheme="minorHAnsi" w:cs="Times New Roman"/>
          <w:sz w:val="22"/>
          <w:szCs w:val="22"/>
          <w:lang w:val="es-ES_tradnl"/>
        </w:rPr>
        <w:t xml:space="preserve"> de Exploración Aeroespacial</w:t>
      </w:r>
      <w:r w:rsidR="00E03C96" w:rsidRPr="00115A9E">
        <w:rPr>
          <w:rFonts w:asciiTheme="minorHAnsi" w:eastAsia="Batang" w:hAnsiTheme="minorHAnsi" w:cs="Times New Roman"/>
          <w:sz w:val="22"/>
          <w:szCs w:val="22"/>
          <w:lang w:val="es-ES_tradnl"/>
        </w:rPr>
        <w:t>, la Agencia Espacial Europea y otras entidades</w:t>
      </w:r>
      <w:r w:rsidR="00C412ED" w:rsidRPr="00115A9E">
        <w:rPr>
          <w:rFonts w:asciiTheme="minorHAnsi" w:eastAsia="Batang" w:hAnsiTheme="minorHAnsi" w:cs="Times New Roman"/>
          <w:sz w:val="22"/>
          <w:szCs w:val="22"/>
          <w:lang w:val="es-ES_tradnl"/>
        </w:rPr>
        <w:t>;</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E03C96"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I</w:t>
      </w:r>
      <w:r w:rsidR="00C412ED" w:rsidRPr="00115A9E">
        <w:rPr>
          <w:rFonts w:asciiTheme="minorHAnsi" w:eastAsia="Batang" w:hAnsiTheme="minorHAnsi" w:cs="Times New Roman"/>
          <w:sz w:val="22"/>
          <w:szCs w:val="22"/>
          <w:lang w:val="es-ES_tradnl"/>
        </w:rPr>
        <w:t xml:space="preserve">: </w:t>
      </w:r>
      <w:r w:rsidR="009F60E8" w:rsidRPr="00115A9E">
        <w:rPr>
          <w:rFonts w:asciiTheme="minorHAnsi" w:eastAsia="Batang" w:hAnsiTheme="minorHAnsi" w:cs="Times New Roman"/>
          <w:sz w:val="22"/>
          <w:szCs w:val="22"/>
          <w:lang w:val="es-ES_tradnl"/>
        </w:rPr>
        <w:t>nuevo impulso a la apreciación de la cultura, los humedales y los medios de vida</w:t>
      </w:r>
      <w:r w:rsidR="00C412ED" w:rsidRPr="00115A9E">
        <w:rPr>
          <w:rFonts w:asciiTheme="minorHAnsi" w:eastAsia="Batang" w:hAnsiTheme="minorHAnsi" w:cs="Times New Roman"/>
          <w:sz w:val="22"/>
          <w:szCs w:val="22"/>
          <w:lang w:val="es-ES_tradnl"/>
        </w:rPr>
        <w:t xml:space="preserve">. </w:t>
      </w:r>
      <w:r w:rsidR="009F60E8" w:rsidRPr="00115A9E">
        <w:rPr>
          <w:rFonts w:asciiTheme="minorHAnsi" w:eastAsia="Batang" w:hAnsiTheme="minorHAnsi" w:cs="Times New Roman"/>
          <w:sz w:val="22"/>
          <w:szCs w:val="22"/>
          <w:lang w:val="es-ES_tradnl"/>
        </w:rPr>
        <w:t xml:space="preserve">Mediante las Resoluciones </w:t>
      </w:r>
      <w:r w:rsidR="00C412ED" w:rsidRPr="00115A9E">
        <w:rPr>
          <w:rFonts w:asciiTheme="minorHAnsi" w:eastAsia="Batang" w:hAnsiTheme="minorHAnsi" w:cs="Times New Roman"/>
          <w:sz w:val="22"/>
          <w:szCs w:val="22"/>
          <w:lang w:val="es-ES_tradnl"/>
        </w:rPr>
        <w:t xml:space="preserve">VIII.19 (2002) </w:t>
      </w:r>
      <w:r w:rsidR="009F60E8" w:rsidRPr="00115A9E">
        <w:rPr>
          <w:rFonts w:asciiTheme="minorHAnsi" w:eastAsia="Batang" w:hAnsiTheme="minorHAnsi" w:cs="Times New Roman"/>
          <w:sz w:val="22"/>
          <w:szCs w:val="22"/>
          <w:lang w:val="es-ES_tradnl"/>
        </w:rPr>
        <w:t xml:space="preserve">y </w:t>
      </w:r>
      <w:r w:rsidR="00C412ED" w:rsidRPr="00115A9E">
        <w:rPr>
          <w:rFonts w:asciiTheme="minorHAnsi" w:eastAsia="Batang" w:hAnsiTheme="minorHAnsi" w:cs="Times New Roman"/>
          <w:sz w:val="22"/>
          <w:szCs w:val="22"/>
          <w:lang w:val="es-ES_tradnl"/>
        </w:rPr>
        <w:t xml:space="preserve">IX.21 (2005), </w:t>
      </w:r>
      <w:r w:rsidR="009F60E8" w:rsidRPr="00115A9E">
        <w:rPr>
          <w:rFonts w:asciiTheme="minorHAnsi" w:eastAsia="Batang" w:hAnsiTheme="minorHAnsi" w:cs="Times New Roman"/>
          <w:sz w:val="22"/>
          <w:szCs w:val="22"/>
          <w:lang w:val="es-ES_tradnl"/>
        </w:rPr>
        <w:t xml:space="preserve">las Partes Contratantes en la Convención de </w:t>
      </w:r>
      <w:r w:rsidR="00C412ED" w:rsidRPr="00115A9E">
        <w:rPr>
          <w:rFonts w:asciiTheme="minorHAnsi" w:eastAsia="Batang" w:hAnsiTheme="minorHAnsi" w:cs="Times New Roman"/>
          <w:sz w:val="22"/>
          <w:szCs w:val="22"/>
          <w:lang w:val="es-ES_tradnl"/>
        </w:rPr>
        <w:t xml:space="preserve">Ramsar </w:t>
      </w:r>
      <w:r w:rsidR="009F60E8" w:rsidRPr="00115A9E">
        <w:rPr>
          <w:rFonts w:asciiTheme="minorHAnsi" w:eastAsia="Batang" w:hAnsiTheme="minorHAnsi" w:cs="Times New Roman"/>
          <w:sz w:val="22"/>
          <w:szCs w:val="22"/>
          <w:lang w:val="es-ES_tradnl"/>
        </w:rPr>
        <w:t>decidieron fortalecer la función de la cultura para apoyar el uso racional y la cooperación intern</w:t>
      </w:r>
      <w:r w:rsidR="002A0ACF" w:rsidRPr="00115A9E">
        <w:rPr>
          <w:rFonts w:asciiTheme="minorHAnsi" w:eastAsia="Batang" w:hAnsiTheme="minorHAnsi" w:cs="Times New Roman"/>
          <w:sz w:val="22"/>
          <w:szCs w:val="22"/>
          <w:lang w:val="es-ES_tradnl"/>
        </w:rPr>
        <w:t>acional en materia de humedales;</w:t>
      </w:r>
      <w:r w:rsidR="009F60E8" w:rsidRPr="00115A9E">
        <w:rPr>
          <w:rFonts w:asciiTheme="minorHAnsi" w:eastAsia="Batang" w:hAnsiTheme="minorHAnsi" w:cs="Times New Roman"/>
          <w:sz w:val="22"/>
          <w:szCs w:val="22"/>
          <w:lang w:val="es-ES_tradnl"/>
        </w:rPr>
        <w:t xml:space="preserve"> </w:t>
      </w:r>
      <w:r w:rsidR="002A0ACF" w:rsidRPr="00115A9E">
        <w:rPr>
          <w:rFonts w:asciiTheme="minorHAnsi" w:eastAsia="Batang" w:hAnsiTheme="minorHAnsi" w:cs="Times New Roman"/>
          <w:sz w:val="22"/>
          <w:szCs w:val="22"/>
          <w:lang w:val="es-ES_tradnl"/>
        </w:rPr>
        <w:t xml:space="preserve">se cuenta con el apoyo de </w:t>
      </w:r>
      <w:r w:rsidR="009F60E8" w:rsidRPr="00115A9E">
        <w:rPr>
          <w:rFonts w:asciiTheme="minorHAnsi" w:eastAsia="Batang" w:hAnsiTheme="minorHAnsi" w:cs="Times New Roman"/>
          <w:sz w:val="22"/>
          <w:szCs w:val="22"/>
          <w:lang w:val="es-ES_tradnl"/>
        </w:rPr>
        <w:t xml:space="preserve">un Documento de Orientaciones </w:t>
      </w:r>
      <w:r w:rsidR="00C412ED" w:rsidRPr="00115A9E">
        <w:rPr>
          <w:rFonts w:asciiTheme="minorHAnsi" w:eastAsia="Batang" w:hAnsiTheme="minorHAnsi" w:cs="Times New Roman"/>
          <w:sz w:val="22"/>
          <w:szCs w:val="22"/>
          <w:lang w:val="es-ES_tradnl"/>
        </w:rPr>
        <w:t xml:space="preserve">(2008); </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9F60E8"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J</w:t>
      </w:r>
      <w:r w:rsidR="00C412ED"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recursos por valor de 1 millón de francos suizos anuales para dotar el Fondo de Pequeñas Subvenciones y de 400.000 francos suizos para otras subvenciones (1.400.000 francos suizos en total), con objeto de mantener en funcionamiento los tres programas de subvenciones en curso. Como indicaron las Partes en sus deliberaciones durante COP anteriores y en reuniones del Comité Permanente durante el trienio en curso. Esos programas de subvenciones necesitan es</w:t>
      </w:r>
      <w:r w:rsidR="002A0ACF" w:rsidRPr="00115A9E">
        <w:rPr>
          <w:rFonts w:asciiTheme="minorHAnsi" w:eastAsia="Batang" w:hAnsiTheme="minorHAnsi" w:cs="Times New Roman"/>
          <w:sz w:val="22"/>
          <w:szCs w:val="22"/>
          <w:lang w:val="es-ES_tradnl"/>
        </w:rPr>
        <w:t>t</w:t>
      </w:r>
      <w:r w:rsidRPr="00115A9E">
        <w:rPr>
          <w:rFonts w:asciiTheme="minorHAnsi" w:eastAsia="Batang" w:hAnsiTheme="minorHAnsi" w:cs="Times New Roman"/>
          <w:sz w:val="22"/>
          <w:szCs w:val="22"/>
          <w:lang w:val="es-ES_tradnl"/>
        </w:rPr>
        <w:t>a financiación mínima para mantener activos los programas y lograr su funcionamiento eficiente. Los niveles de financiación recientes no permiten que los programas hagan un uso eficiente de los recursos limitados de los solicitantes ni de la Secretaría (las subvenciones apoyan muchas estrategias de 2009-2015, entre ellas la 1.3 y la 5.1)</w:t>
      </w:r>
      <w:r w:rsidR="00C412ED" w:rsidRPr="00115A9E">
        <w:rPr>
          <w:rFonts w:asciiTheme="minorHAnsi" w:eastAsia="Batang" w:hAnsiTheme="minorHAnsi" w:cs="Times New Roman"/>
          <w:sz w:val="22"/>
          <w:szCs w:val="22"/>
          <w:lang w:val="es-ES_tradnl"/>
        </w:rPr>
        <w:t>;</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9F60E8"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w:t>
      </w:r>
      <w:r w:rsidR="00C412ED" w:rsidRPr="00115A9E">
        <w:rPr>
          <w:rFonts w:asciiTheme="minorHAnsi" w:eastAsia="Batang" w:hAnsiTheme="minorHAnsi" w:cs="Times New Roman"/>
          <w:i/>
          <w:sz w:val="22"/>
          <w:szCs w:val="22"/>
          <w:lang w:val="es-ES_tradnl"/>
        </w:rPr>
        <w:t xml:space="preserve"> K</w:t>
      </w:r>
      <w:r w:rsidR="00C412ED"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 xml:space="preserve">elaboración de sistemas de presentación de informes en línea basados en indicadores establecidos para el Cuarto Plan </w:t>
      </w:r>
      <w:r w:rsidRPr="002E1FF0">
        <w:rPr>
          <w:rFonts w:asciiTheme="minorHAnsi" w:eastAsia="Batang" w:hAnsiTheme="minorHAnsi" w:cs="Times New Roman"/>
          <w:sz w:val="22"/>
          <w:szCs w:val="22"/>
          <w:lang w:val="es-ES_tradnl"/>
        </w:rPr>
        <w:t xml:space="preserve">Estratégico </w:t>
      </w:r>
      <w:r w:rsidR="002E1FF0" w:rsidRPr="002E1FF0">
        <w:rPr>
          <w:rFonts w:asciiTheme="minorHAnsi" w:eastAsia="Batang" w:hAnsiTheme="minorHAnsi" w:cs="Times New Roman"/>
          <w:sz w:val="22"/>
          <w:szCs w:val="22"/>
          <w:lang w:val="es-ES_tradnl"/>
        </w:rPr>
        <w:t>(</w:t>
      </w:r>
      <w:r w:rsidR="00C412ED" w:rsidRPr="002E1FF0">
        <w:rPr>
          <w:rFonts w:asciiTheme="minorHAnsi" w:eastAsia="Batang" w:hAnsiTheme="minorHAnsi" w:cs="Times New Roman"/>
          <w:sz w:val="22"/>
          <w:szCs w:val="22"/>
          <w:lang w:val="es-ES_tradnl"/>
        </w:rPr>
        <w:t>2016-</w:t>
      </w:r>
      <w:r w:rsidRPr="002E1FF0">
        <w:rPr>
          <w:rFonts w:asciiTheme="minorHAnsi" w:eastAsia="Batang" w:hAnsiTheme="minorHAnsi" w:cs="Times New Roman"/>
          <w:sz w:val="22"/>
          <w:szCs w:val="22"/>
          <w:lang w:val="es-ES_tradnl"/>
        </w:rPr>
        <w:t>20</w:t>
      </w:r>
      <w:r w:rsidR="00C412ED" w:rsidRPr="002E1FF0">
        <w:rPr>
          <w:rFonts w:asciiTheme="minorHAnsi" w:eastAsia="Batang" w:hAnsiTheme="minorHAnsi" w:cs="Times New Roman"/>
          <w:sz w:val="22"/>
          <w:szCs w:val="22"/>
          <w:lang w:val="es-ES_tradnl"/>
        </w:rPr>
        <w:t>21</w:t>
      </w:r>
      <w:r w:rsidR="002E1FF0" w:rsidRPr="002E1FF0">
        <w:rPr>
          <w:rFonts w:asciiTheme="minorHAnsi" w:eastAsia="Batang" w:hAnsiTheme="minorHAnsi" w:cs="Times New Roman"/>
          <w:sz w:val="22"/>
          <w:szCs w:val="22"/>
          <w:lang w:val="es-ES_tradnl"/>
        </w:rPr>
        <w:t>)</w:t>
      </w:r>
      <w:r w:rsidR="00C412ED" w:rsidRPr="002E1FF0">
        <w:rPr>
          <w:rFonts w:asciiTheme="minorHAnsi" w:eastAsia="Batang" w:hAnsiTheme="minorHAnsi" w:cs="Times New Roman"/>
          <w:sz w:val="22"/>
          <w:szCs w:val="22"/>
          <w:lang w:val="es-ES_tradnl"/>
        </w:rPr>
        <w:t>;</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9F60E8"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L</w:t>
      </w:r>
      <w:r w:rsidR="00C412ED"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organización de un taller de planificación de actividades de CECoP y otras actividades de CECoP en apoyo de las financiadas con cargo al presupuesto básico (Estrategia 4.1)</w:t>
      </w:r>
      <w:r w:rsidR="00C412ED" w:rsidRPr="00115A9E">
        <w:rPr>
          <w:rFonts w:asciiTheme="minorHAnsi" w:eastAsia="Batang" w:hAnsiTheme="minorHAnsi" w:cs="Times New Roman"/>
          <w:sz w:val="22"/>
          <w:szCs w:val="22"/>
          <w:lang w:val="es-ES_tradnl"/>
        </w:rPr>
        <w:t>;</w:t>
      </w:r>
    </w:p>
    <w:p w:rsidR="00C412ED" w:rsidRPr="00115A9E" w:rsidRDefault="00C412ED" w:rsidP="00C412ED">
      <w:pPr>
        <w:pStyle w:val="ListParagraph"/>
        <w:rPr>
          <w:rFonts w:asciiTheme="minorHAnsi" w:eastAsia="Batang" w:hAnsiTheme="minorHAnsi"/>
          <w:sz w:val="22"/>
          <w:szCs w:val="22"/>
          <w:lang w:val="es-ES_tradnl"/>
        </w:rPr>
      </w:pPr>
    </w:p>
    <w:p w:rsidR="00C412ED" w:rsidRPr="00115A9E" w:rsidRDefault="009F60E8" w:rsidP="00C412ED">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M</w:t>
      </w:r>
      <w:r w:rsidR="00C412ED" w:rsidRPr="00115A9E">
        <w:rPr>
          <w:rFonts w:asciiTheme="minorHAnsi" w:eastAsia="Batang" w:hAnsiTheme="minorHAnsi" w:cs="Times New Roman"/>
          <w:sz w:val="22"/>
          <w:szCs w:val="22"/>
          <w:lang w:val="es-ES_tradnl"/>
        </w:rPr>
        <w:t xml:space="preserve">: </w:t>
      </w:r>
      <w:r w:rsidRPr="00115A9E">
        <w:rPr>
          <w:rFonts w:asciiTheme="minorHAnsi" w:eastAsia="Batang" w:hAnsiTheme="minorHAnsi" w:cs="Times New Roman"/>
          <w:sz w:val="22"/>
          <w:szCs w:val="22"/>
          <w:lang w:val="es-ES_tradnl"/>
        </w:rPr>
        <w:t>incremento del apoyo al Día Mundial de los Humedales en 150.000 francos suizos para complementar la contribución de Danone de 250.000 euros, con la preparación y difusión de productos tales como fichas informativas, folletos publicitarios, carteles y otros materiales de CECoP que se podrán personalizar para la promoción del Día Mundial (Estrategia 4.1);</w:t>
      </w:r>
    </w:p>
    <w:p w:rsidR="00C412ED" w:rsidRPr="00115A9E" w:rsidRDefault="00C412ED" w:rsidP="00C412ED">
      <w:pPr>
        <w:pStyle w:val="ListParagraph"/>
        <w:rPr>
          <w:rFonts w:asciiTheme="minorHAnsi" w:eastAsia="Batang" w:hAnsiTheme="minorHAnsi"/>
          <w:sz w:val="22"/>
          <w:szCs w:val="22"/>
          <w:lang w:val="es-ES_tradnl"/>
        </w:rPr>
      </w:pPr>
    </w:p>
    <w:p w:rsidR="00D56B0B" w:rsidRPr="00115A9E" w:rsidRDefault="00E648D1">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 xml:space="preserve">Partida presupuestaria </w:t>
      </w:r>
      <w:r w:rsidR="00C412ED" w:rsidRPr="00115A9E">
        <w:rPr>
          <w:rFonts w:asciiTheme="minorHAnsi" w:eastAsia="Batang" w:hAnsiTheme="minorHAnsi" w:cs="Times New Roman"/>
          <w:i/>
          <w:sz w:val="22"/>
          <w:szCs w:val="22"/>
          <w:lang w:val="es-ES_tradnl"/>
        </w:rPr>
        <w:t>N</w:t>
      </w:r>
      <w:r w:rsidR="00C412ED" w:rsidRPr="00115A9E">
        <w:rPr>
          <w:rFonts w:asciiTheme="minorHAnsi" w:eastAsia="Batang" w:hAnsiTheme="minorHAnsi" w:cs="Times New Roman"/>
          <w:sz w:val="22"/>
          <w:szCs w:val="22"/>
          <w:lang w:val="es-ES_tradnl"/>
        </w:rPr>
        <w:t xml:space="preserve">: </w:t>
      </w:r>
      <w:r w:rsidR="005A3238" w:rsidRPr="00115A9E">
        <w:rPr>
          <w:rFonts w:asciiTheme="minorHAnsi" w:eastAsia="Batang" w:hAnsiTheme="minorHAnsi" w:cs="Times New Roman"/>
          <w:sz w:val="22"/>
          <w:szCs w:val="22"/>
          <w:lang w:val="es-ES_tradnl"/>
        </w:rPr>
        <w:t xml:space="preserve">ampliar la </w:t>
      </w:r>
      <w:r w:rsidR="00C412ED" w:rsidRPr="00115A9E">
        <w:rPr>
          <w:rFonts w:asciiTheme="minorHAnsi" w:eastAsia="Batang" w:hAnsiTheme="minorHAnsi" w:cs="Times New Roman"/>
          <w:sz w:val="22"/>
          <w:szCs w:val="22"/>
          <w:lang w:val="es-ES_tradnl"/>
        </w:rPr>
        <w:t>“</w:t>
      </w:r>
      <w:r w:rsidR="005A3238" w:rsidRPr="00115A9E">
        <w:rPr>
          <w:rFonts w:asciiTheme="minorHAnsi" w:eastAsia="Batang" w:hAnsiTheme="minorHAnsi" w:cs="Times New Roman"/>
          <w:sz w:val="22"/>
          <w:szCs w:val="22"/>
          <w:lang w:val="es-ES_tradnl"/>
        </w:rPr>
        <w:t>Perspectiva del Patrimonio Mundial de la UICN</w:t>
      </w:r>
      <w:r w:rsidR="00C412ED" w:rsidRPr="00115A9E">
        <w:rPr>
          <w:rFonts w:asciiTheme="minorHAnsi" w:eastAsia="Batang" w:hAnsiTheme="minorHAnsi" w:cs="Times New Roman"/>
          <w:sz w:val="22"/>
          <w:szCs w:val="22"/>
          <w:lang w:val="es-ES_tradnl"/>
        </w:rPr>
        <w:t xml:space="preserve">” </w:t>
      </w:r>
      <w:r w:rsidR="005A3238" w:rsidRPr="00115A9E">
        <w:rPr>
          <w:rFonts w:asciiTheme="minorHAnsi" w:eastAsia="Batang" w:hAnsiTheme="minorHAnsi" w:cs="Times New Roman"/>
          <w:sz w:val="22"/>
          <w:szCs w:val="22"/>
          <w:lang w:val="es-ES_tradnl"/>
        </w:rPr>
        <w:t xml:space="preserve">a otros </w:t>
      </w:r>
      <w:r w:rsidR="00C412ED" w:rsidRPr="00115A9E">
        <w:rPr>
          <w:rFonts w:asciiTheme="minorHAnsi" w:eastAsia="Batang" w:hAnsiTheme="minorHAnsi" w:cs="Times New Roman"/>
          <w:sz w:val="22"/>
          <w:szCs w:val="22"/>
          <w:lang w:val="es-ES_tradnl"/>
        </w:rPr>
        <w:t xml:space="preserve">100 </w:t>
      </w:r>
      <w:r w:rsidR="005A3238" w:rsidRPr="00115A9E">
        <w:rPr>
          <w:rFonts w:asciiTheme="minorHAnsi" w:eastAsia="Batang" w:hAnsiTheme="minorHAnsi" w:cs="Times New Roman"/>
          <w:sz w:val="22"/>
          <w:szCs w:val="22"/>
          <w:lang w:val="es-ES_tradnl"/>
        </w:rPr>
        <w:t xml:space="preserve">sitios </w:t>
      </w:r>
      <w:r w:rsidR="00C412ED" w:rsidRPr="00115A9E">
        <w:rPr>
          <w:rFonts w:asciiTheme="minorHAnsi" w:eastAsia="Batang" w:hAnsiTheme="minorHAnsi" w:cs="Times New Roman"/>
          <w:sz w:val="22"/>
          <w:szCs w:val="22"/>
          <w:lang w:val="es-ES_tradnl"/>
        </w:rPr>
        <w:t>(</w:t>
      </w:r>
      <w:r w:rsidR="005A3238" w:rsidRPr="00115A9E">
        <w:rPr>
          <w:rFonts w:asciiTheme="minorHAnsi" w:eastAsia="Batang" w:hAnsiTheme="minorHAnsi" w:cs="Times New Roman"/>
          <w:sz w:val="22"/>
          <w:szCs w:val="22"/>
          <w:lang w:val="es-ES_tradnl"/>
        </w:rPr>
        <w:t xml:space="preserve">como se aprobó en </w:t>
      </w:r>
      <w:r w:rsidR="002E1FF0">
        <w:rPr>
          <w:rFonts w:asciiTheme="minorHAnsi" w:eastAsia="Batang" w:hAnsiTheme="minorHAnsi" w:cs="Times New Roman"/>
          <w:sz w:val="22"/>
          <w:szCs w:val="22"/>
          <w:lang w:val="es-ES_tradnl"/>
        </w:rPr>
        <w:t>el proyecto</w:t>
      </w:r>
      <w:r w:rsidR="005A3238" w:rsidRPr="00115A9E">
        <w:rPr>
          <w:rFonts w:asciiTheme="minorHAnsi" w:eastAsia="Batang" w:hAnsiTheme="minorHAnsi" w:cs="Times New Roman"/>
          <w:sz w:val="22"/>
          <w:szCs w:val="22"/>
          <w:lang w:val="es-ES_tradnl"/>
        </w:rPr>
        <w:t xml:space="preserve"> de Resolución </w:t>
      </w:r>
      <w:r w:rsidR="00D56B0B" w:rsidRPr="00115A9E">
        <w:rPr>
          <w:rFonts w:asciiTheme="minorHAnsi" w:eastAsia="Batang" w:hAnsiTheme="minorHAnsi" w:cs="Times New Roman"/>
          <w:sz w:val="22"/>
          <w:szCs w:val="22"/>
          <w:lang w:val="es-ES_tradnl"/>
        </w:rPr>
        <w:t xml:space="preserve">de la SC48 </w:t>
      </w:r>
      <w:r w:rsidR="005A3238" w:rsidRPr="00115A9E">
        <w:rPr>
          <w:rFonts w:asciiTheme="minorHAnsi" w:eastAsia="Batang" w:hAnsiTheme="minorHAnsi" w:cs="Times New Roman"/>
          <w:sz w:val="22"/>
          <w:szCs w:val="22"/>
          <w:lang w:val="es-ES_tradnl"/>
        </w:rPr>
        <w:t>sobre el estado de los sitios de la Lista Ramsar</w:t>
      </w:r>
      <w:r w:rsidR="00C412ED" w:rsidRPr="00115A9E">
        <w:rPr>
          <w:rFonts w:asciiTheme="minorHAnsi" w:eastAsia="Batang" w:hAnsiTheme="minorHAnsi" w:cs="Times New Roman"/>
          <w:sz w:val="22"/>
          <w:szCs w:val="22"/>
          <w:lang w:val="es-ES_tradnl"/>
        </w:rPr>
        <w:t>);</w:t>
      </w:r>
    </w:p>
    <w:p w:rsidR="00074C08" w:rsidRPr="00115A9E" w:rsidRDefault="00074C08" w:rsidP="00074C08">
      <w:pPr>
        <w:pStyle w:val="MGfulltext"/>
        <w:spacing w:after="0"/>
        <w:rPr>
          <w:rFonts w:asciiTheme="minorHAnsi" w:eastAsia="Batang" w:hAnsiTheme="minorHAnsi" w:cs="Times New Roman"/>
          <w:sz w:val="22"/>
          <w:szCs w:val="22"/>
          <w:lang w:val="es-ES_tradnl"/>
        </w:rPr>
      </w:pPr>
    </w:p>
    <w:p w:rsidR="00074C08" w:rsidRPr="00115A9E" w:rsidRDefault="00D56B0B" w:rsidP="00074C08">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O</w:t>
      </w:r>
      <w:r w:rsidRPr="00115A9E">
        <w:rPr>
          <w:rFonts w:asciiTheme="minorHAnsi" w:eastAsia="Batang" w:hAnsiTheme="minorHAnsi" w:cs="Times New Roman"/>
          <w:sz w:val="22"/>
          <w:szCs w:val="22"/>
          <w:lang w:val="es-ES_tradnl"/>
        </w:rPr>
        <w:t>:</w:t>
      </w:r>
      <w:r w:rsidR="002E1FF0">
        <w:rPr>
          <w:rFonts w:asciiTheme="minorHAnsi" w:eastAsia="Batang" w:hAnsiTheme="minorHAnsi" w:cs="Times New Roman"/>
          <w:sz w:val="22"/>
          <w:szCs w:val="22"/>
          <w:lang w:val="es-ES_tradnl"/>
        </w:rPr>
        <w:t xml:space="preserve"> </w:t>
      </w:r>
      <w:r w:rsidR="002321D6" w:rsidRPr="00115A9E">
        <w:rPr>
          <w:rFonts w:asciiTheme="minorHAnsi" w:eastAsia="Batang" w:hAnsiTheme="minorHAnsi" w:cs="Times New Roman"/>
          <w:sz w:val="22"/>
          <w:szCs w:val="22"/>
          <w:lang w:val="es-ES_tradnl"/>
        </w:rPr>
        <w:t>financiación de reuniones regionales anuales, con un</w:t>
      </w:r>
      <w:r w:rsidR="0084138B" w:rsidRPr="00115A9E">
        <w:rPr>
          <w:rFonts w:asciiTheme="minorHAnsi" w:eastAsia="Batang" w:hAnsiTheme="minorHAnsi" w:cs="Times New Roman"/>
          <w:sz w:val="22"/>
          <w:szCs w:val="22"/>
          <w:lang w:val="es-ES_tradnl"/>
        </w:rPr>
        <w:t>a mayor aportación de fondos</w:t>
      </w:r>
      <w:r w:rsidR="002321D6" w:rsidRPr="00115A9E">
        <w:rPr>
          <w:rFonts w:asciiTheme="minorHAnsi" w:eastAsia="Batang" w:hAnsiTheme="minorHAnsi" w:cs="Times New Roman"/>
          <w:sz w:val="22"/>
          <w:szCs w:val="22"/>
          <w:lang w:val="es-ES_tradnl"/>
        </w:rPr>
        <w:t xml:space="preserve"> durante el año </w:t>
      </w:r>
      <w:r w:rsidR="002E1FF0">
        <w:rPr>
          <w:rFonts w:asciiTheme="minorHAnsi" w:eastAsia="Batang" w:hAnsiTheme="minorHAnsi" w:cs="Times New Roman"/>
          <w:sz w:val="22"/>
          <w:szCs w:val="22"/>
          <w:lang w:val="es-ES_tradnl"/>
        </w:rPr>
        <w:t>previo</w:t>
      </w:r>
      <w:r w:rsidR="002321D6" w:rsidRPr="00115A9E">
        <w:rPr>
          <w:rFonts w:asciiTheme="minorHAnsi" w:eastAsia="Batang" w:hAnsiTheme="minorHAnsi" w:cs="Times New Roman"/>
          <w:sz w:val="22"/>
          <w:szCs w:val="22"/>
          <w:lang w:val="es-ES_tradnl"/>
        </w:rPr>
        <w:t xml:space="preserve"> a la </w:t>
      </w:r>
      <w:r w:rsidR="00471803" w:rsidRPr="00115A9E">
        <w:rPr>
          <w:rFonts w:asciiTheme="minorHAnsi" w:eastAsia="Batang" w:hAnsiTheme="minorHAnsi" w:cs="Times New Roman"/>
          <w:sz w:val="22"/>
          <w:szCs w:val="22"/>
          <w:lang w:val="es-ES_tradnl"/>
        </w:rPr>
        <w:t xml:space="preserve">COP </w:t>
      </w:r>
      <w:r w:rsidR="002321D6" w:rsidRPr="00115A9E">
        <w:rPr>
          <w:rFonts w:asciiTheme="minorHAnsi" w:eastAsia="Batang" w:hAnsiTheme="minorHAnsi" w:cs="Times New Roman"/>
          <w:sz w:val="22"/>
          <w:szCs w:val="22"/>
          <w:lang w:val="es-ES_tradnl"/>
        </w:rPr>
        <w:t xml:space="preserve">con objeto de </w:t>
      </w:r>
      <w:r w:rsidR="0084138B" w:rsidRPr="00115A9E">
        <w:rPr>
          <w:rFonts w:asciiTheme="minorHAnsi" w:eastAsia="Batang" w:hAnsiTheme="minorHAnsi" w:cs="Times New Roman"/>
          <w:sz w:val="22"/>
          <w:szCs w:val="22"/>
          <w:lang w:val="es-ES_tradnl"/>
        </w:rPr>
        <w:t xml:space="preserve">sufragar </w:t>
      </w:r>
      <w:r w:rsidR="002321D6" w:rsidRPr="00115A9E">
        <w:rPr>
          <w:rFonts w:asciiTheme="minorHAnsi" w:eastAsia="Batang" w:hAnsiTheme="minorHAnsi" w:cs="Times New Roman"/>
          <w:sz w:val="22"/>
          <w:szCs w:val="22"/>
          <w:lang w:val="es-ES_tradnl"/>
        </w:rPr>
        <w:t xml:space="preserve">los </w:t>
      </w:r>
      <w:r w:rsidR="0084138B" w:rsidRPr="00115A9E">
        <w:rPr>
          <w:rFonts w:asciiTheme="minorHAnsi" w:eastAsia="Batang" w:hAnsiTheme="minorHAnsi" w:cs="Times New Roman"/>
          <w:sz w:val="22"/>
          <w:szCs w:val="22"/>
          <w:lang w:val="es-ES_tradnl"/>
        </w:rPr>
        <w:t xml:space="preserve">gastos </w:t>
      </w:r>
      <w:r w:rsidR="002321D6" w:rsidRPr="00115A9E">
        <w:rPr>
          <w:rFonts w:asciiTheme="minorHAnsi" w:eastAsia="Batang" w:hAnsiTheme="minorHAnsi" w:cs="Times New Roman"/>
          <w:sz w:val="22"/>
          <w:szCs w:val="22"/>
          <w:lang w:val="es-ES_tradnl"/>
        </w:rPr>
        <w:t xml:space="preserve">de los delegados y de las reuniones </w:t>
      </w:r>
      <w:r w:rsidR="0084138B" w:rsidRPr="00115A9E">
        <w:rPr>
          <w:rFonts w:asciiTheme="minorHAnsi" w:eastAsia="Batang" w:hAnsiTheme="minorHAnsi" w:cs="Times New Roman"/>
          <w:sz w:val="22"/>
          <w:szCs w:val="22"/>
          <w:lang w:val="es-ES_tradnl"/>
        </w:rPr>
        <w:t>relacionad</w:t>
      </w:r>
      <w:r w:rsidR="00074C08" w:rsidRPr="00115A9E">
        <w:rPr>
          <w:rFonts w:asciiTheme="minorHAnsi" w:eastAsia="Batang" w:hAnsiTheme="minorHAnsi" w:cs="Times New Roman"/>
          <w:sz w:val="22"/>
          <w:szCs w:val="22"/>
          <w:lang w:val="es-ES_tradnl"/>
        </w:rPr>
        <w:t>o</w:t>
      </w:r>
      <w:r w:rsidR="0084138B" w:rsidRPr="00115A9E">
        <w:rPr>
          <w:rFonts w:asciiTheme="minorHAnsi" w:eastAsia="Batang" w:hAnsiTheme="minorHAnsi" w:cs="Times New Roman"/>
          <w:sz w:val="22"/>
          <w:szCs w:val="22"/>
          <w:lang w:val="es-ES_tradnl"/>
        </w:rPr>
        <w:t xml:space="preserve">s con las reuniones </w:t>
      </w:r>
      <w:r w:rsidR="002321D6" w:rsidRPr="00115A9E">
        <w:rPr>
          <w:rFonts w:asciiTheme="minorHAnsi" w:eastAsia="Batang" w:hAnsiTheme="minorHAnsi" w:cs="Times New Roman"/>
          <w:sz w:val="22"/>
          <w:szCs w:val="22"/>
          <w:lang w:val="es-ES_tradnl"/>
        </w:rPr>
        <w:t xml:space="preserve">regionales preparatorias </w:t>
      </w:r>
      <w:r w:rsidR="0084138B" w:rsidRPr="00115A9E">
        <w:rPr>
          <w:rFonts w:asciiTheme="minorHAnsi" w:eastAsia="Batang" w:hAnsiTheme="minorHAnsi" w:cs="Times New Roman"/>
          <w:sz w:val="22"/>
          <w:szCs w:val="22"/>
          <w:lang w:val="es-ES_tradnl"/>
        </w:rPr>
        <w:t xml:space="preserve">de </w:t>
      </w:r>
      <w:r w:rsidR="002321D6" w:rsidRPr="00115A9E">
        <w:rPr>
          <w:rFonts w:asciiTheme="minorHAnsi" w:eastAsia="Batang" w:hAnsiTheme="minorHAnsi" w:cs="Times New Roman"/>
          <w:sz w:val="22"/>
          <w:szCs w:val="22"/>
          <w:lang w:val="es-ES_tradnl"/>
        </w:rPr>
        <w:t>la COP</w:t>
      </w:r>
      <w:r w:rsidR="00A82483" w:rsidRPr="00115A9E">
        <w:rPr>
          <w:rFonts w:asciiTheme="minorHAnsi" w:eastAsia="Batang" w:hAnsiTheme="minorHAnsi" w:cs="Times New Roman"/>
          <w:sz w:val="22"/>
          <w:szCs w:val="22"/>
          <w:lang w:val="es-ES_tradnl"/>
        </w:rPr>
        <w:t>;</w:t>
      </w:r>
      <w:r w:rsidR="00471803" w:rsidRPr="00115A9E">
        <w:rPr>
          <w:rFonts w:asciiTheme="minorHAnsi" w:eastAsia="Batang" w:hAnsiTheme="minorHAnsi" w:cs="Times New Roman"/>
          <w:sz w:val="22"/>
          <w:szCs w:val="22"/>
          <w:lang w:val="es-ES_tradnl"/>
        </w:rPr>
        <w:t xml:space="preserve"> </w:t>
      </w:r>
    </w:p>
    <w:p w:rsidR="00D56B0B" w:rsidRPr="00115A9E" w:rsidRDefault="00D56B0B" w:rsidP="00074C08">
      <w:pPr>
        <w:pStyle w:val="MGfulltext"/>
        <w:spacing w:after="0"/>
        <w:rPr>
          <w:rFonts w:asciiTheme="minorHAnsi" w:eastAsia="Batang" w:hAnsiTheme="minorHAnsi" w:cs="Times New Roman"/>
          <w:sz w:val="22"/>
          <w:szCs w:val="22"/>
          <w:lang w:val="es-ES_tradnl"/>
        </w:rPr>
      </w:pPr>
    </w:p>
    <w:p w:rsidR="00074C08" w:rsidRPr="00115A9E" w:rsidRDefault="00D56B0B" w:rsidP="00074C08">
      <w:pPr>
        <w:pStyle w:val="MGfulltext"/>
        <w:numPr>
          <w:ilvl w:val="0"/>
          <w:numId w:val="7"/>
        </w:numPr>
        <w:spacing w:after="0"/>
        <w:ind w:left="850" w:hanging="425"/>
        <w:rPr>
          <w:rFonts w:asciiTheme="minorHAnsi" w:eastAsia="Batang" w:hAnsiTheme="minorHAnsi" w:cs="Times New Roman"/>
          <w:sz w:val="22"/>
          <w:szCs w:val="22"/>
          <w:lang w:val="es-ES_tradnl"/>
        </w:rPr>
      </w:pPr>
      <w:r w:rsidRPr="00115A9E">
        <w:rPr>
          <w:rFonts w:asciiTheme="minorHAnsi" w:eastAsia="Batang" w:hAnsiTheme="minorHAnsi" w:cs="Times New Roman"/>
          <w:i/>
          <w:sz w:val="22"/>
          <w:szCs w:val="22"/>
          <w:lang w:val="es-ES_tradnl"/>
        </w:rPr>
        <w:t>Partida presupuestaria P</w:t>
      </w:r>
      <w:r w:rsidRPr="002E1FF0">
        <w:rPr>
          <w:rFonts w:asciiTheme="minorHAnsi" w:eastAsia="Batang" w:hAnsiTheme="minorHAnsi" w:cs="Times New Roman"/>
          <w:sz w:val="22"/>
          <w:szCs w:val="22"/>
          <w:lang w:val="es-ES_tradnl"/>
        </w:rPr>
        <w:t>:</w:t>
      </w:r>
      <w:r w:rsidRPr="00115A9E">
        <w:rPr>
          <w:rFonts w:asciiTheme="minorHAnsi" w:eastAsia="Batang" w:hAnsiTheme="minorHAnsi" w:cs="Times New Roman"/>
          <w:sz w:val="22"/>
          <w:szCs w:val="22"/>
          <w:lang w:val="es-ES_tradnl"/>
        </w:rPr>
        <w:t xml:space="preserve"> </w:t>
      </w:r>
      <w:r w:rsidR="002321D6" w:rsidRPr="00115A9E">
        <w:rPr>
          <w:rFonts w:asciiTheme="minorHAnsi" w:eastAsia="Batang" w:hAnsiTheme="minorHAnsi" w:cs="Times New Roman"/>
          <w:sz w:val="22"/>
          <w:szCs w:val="22"/>
          <w:lang w:val="es-ES_tradnl"/>
        </w:rPr>
        <w:t>financiación para patrocinar la asistencia</w:t>
      </w:r>
      <w:r w:rsidR="00AD34A4" w:rsidRPr="00115A9E">
        <w:rPr>
          <w:rFonts w:asciiTheme="minorHAnsi" w:eastAsia="Batang" w:hAnsiTheme="minorHAnsi" w:cs="Times New Roman"/>
          <w:sz w:val="22"/>
          <w:szCs w:val="22"/>
          <w:lang w:val="es-ES_tradnl"/>
        </w:rPr>
        <w:t xml:space="preserve"> a la </w:t>
      </w:r>
      <w:r w:rsidR="002E1FF0">
        <w:rPr>
          <w:rFonts w:asciiTheme="minorHAnsi" w:eastAsia="Batang" w:hAnsiTheme="minorHAnsi" w:cs="Times New Roman"/>
          <w:sz w:val="22"/>
          <w:szCs w:val="22"/>
          <w:lang w:val="es-ES_tradnl"/>
        </w:rPr>
        <w:t>COP13</w:t>
      </w:r>
      <w:r w:rsidRPr="00115A9E">
        <w:rPr>
          <w:rFonts w:asciiTheme="minorHAnsi" w:eastAsia="Batang" w:hAnsiTheme="minorHAnsi" w:cs="Times New Roman"/>
          <w:sz w:val="22"/>
          <w:szCs w:val="22"/>
          <w:lang w:val="es-ES_tradnl"/>
        </w:rPr>
        <w:t xml:space="preserve"> </w:t>
      </w:r>
      <w:r w:rsidR="00AD34A4" w:rsidRPr="00115A9E">
        <w:rPr>
          <w:rFonts w:asciiTheme="minorHAnsi" w:eastAsia="Batang" w:hAnsiTheme="minorHAnsi" w:cs="Times New Roman"/>
          <w:sz w:val="22"/>
          <w:szCs w:val="22"/>
          <w:lang w:val="es-ES_tradnl"/>
        </w:rPr>
        <w:t xml:space="preserve">en </w:t>
      </w:r>
      <w:r w:rsidRPr="00115A9E">
        <w:rPr>
          <w:rFonts w:asciiTheme="minorHAnsi" w:eastAsia="Batang" w:hAnsiTheme="minorHAnsi" w:cs="Times New Roman"/>
          <w:sz w:val="22"/>
          <w:szCs w:val="22"/>
          <w:lang w:val="es-ES_tradnl"/>
        </w:rPr>
        <w:t xml:space="preserve">2018 </w:t>
      </w:r>
      <w:r w:rsidR="002321D6" w:rsidRPr="00115A9E">
        <w:rPr>
          <w:rFonts w:asciiTheme="minorHAnsi" w:eastAsia="Batang" w:hAnsiTheme="minorHAnsi" w:cs="Times New Roman"/>
          <w:sz w:val="22"/>
          <w:szCs w:val="22"/>
          <w:lang w:val="es-ES_tradnl"/>
        </w:rPr>
        <w:t xml:space="preserve">de los delegados que cumplan los requisitos </w:t>
      </w:r>
      <w:r w:rsidR="00471803" w:rsidRPr="00115A9E">
        <w:rPr>
          <w:rFonts w:asciiTheme="minorHAnsi" w:eastAsia="Batang" w:hAnsiTheme="minorHAnsi" w:cs="Times New Roman"/>
          <w:sz w:val="22"/>
          <w:szCs w:val="22"/>
          <w:lang w:val="es-ES_tradnl"/>
        </w:rPr>
        <w:t>(</w:t>
      </w:r>
      <w:r w:rsidR="002321D6" w:rsidRPr="00115A9E">
        <w:rPr>
          <w:rFonts w:asciiTheme="minorHAnsi" w:eastAsia="Batang" w:hAnsiTheme="minorHAnsi" w:cs="Times New Roman"/>
          <w:sz w:val="22"/>
          <w:szCs w:val="22"/>
          <w:lang w:val="es-ES_tradnl"/>
        </w:rPr>
        <w:t xml:space="preserve">Estrategias </w:t>
      </w:r>
      <w:r w:rsidR="00471803" w:rsidRPr="00115A9E">
        <w:rPr>
          <w:rFonts w:asciiTheme="minorHAnsi" w:eastAsia="Batang" w:hAnsiTheme="minorHAnsi" w:cs="Times New Roman"/>
          <w:sz w:val="22"/>
          <w:szCs w:val="22"/>
          <w:lang w:val="es-ES_tradnl"/>
        </w:rPr>
        <w:t>3.3, 4.2)</w:t>
      </w:r>
      <w:r w:rsidRPr="00115A9E">
        <w:rPr>
          <w:rFonts w:asciiTheme="minorHAnsi" w:eastAsia="Batang" w:hAnsiTheme="minorHAnsi" w:cs="Times New Roman"/>
          <w:sz w:val="22"/>
          <w:szCs w:val="22"/>
          <w:lang w:val="es-ES_tradnl"/>
        </w:rPr>
        <w:t>.</w:t>
      </w:r>
      <w:r w:rsidR="00074C08" w:rsidRPr="00115A9E">
        <w:rPr>
          <w:rFonts w:asciiTheme="minorHAnsi" w:eastAsia="Batang" w:hAnsiTheme="minorHAnsi" w:cs="Times New Roman"/>
          <w:sz w:val="22"/>
          <w:szCs w:val="22"/>
          <w:lang w:val="es-ES_tradnl"/>
        </w:rPr>
        <w:t xml:space="preserve"> </w:t>
      </w:r>
    </w:p>
    <w:p w:rsidR="00471803" w:rsidRPr="00115A9E" w:rsidRDefault="00471803" w:rsidP="00471803">
      <w:pPr>
        <w:pStyle w:val="MGfulltext"/>
        <w:tabs>
          <w:tab w:val="left" w:pos="567"/>
        </w:tabs>
        <w:spacing w:after="0"/>
        <w:ind w:left="567" w:hanging="567"/>
        <w:rPr>
          <w:rFonts w:asciiTheme="minorHAnsi" w:eastAsia="Batang" w:hAnsiTheme="minorHAnsi" w:cs="Times New Roman"/>
          <w:sz w:val="22"/>
          <w:szCs w:val="22"/>
          <w:lang w:val="es-ES_tradnl"/>
        </w:rPr>
      </w:pPr>
    </w:p>
    <w:p w:rsidR="00471803" w:rsidRPr="00115A9E" w:rsidRDefault="00711134" w:rsidP="00471803">
      <w:pPr>
        <w:pStyle w:val="MGfulltext"/>
        <w:tabs>
          <w:tab w:val="left" w:pos="567"/>
        </w:tabs>
        <w:spacing w:after="0"/>
        <w:ind w:left="567" w:hanging="567"/>
        <w:rPr>
          <w:rFonts w:asciiTheme="minorHAnsi" w:eastAsia="Batang" w:hAnsiTheme="minorHAnsi" w:cs="Times New Roman"/>
          <w:sz w:val="22"/>
          <w:szCs w:val="22"/>
          <w:lang w:val="es-ES_tradnl"/>
        </w:rPr>
      </w:pPr>
      <w:r w:rsidRPr="00115A9E">
        <w:rPr>
          <w:rFonts w:asciiTheme="minorHAnsi" w:eastAsia="Batang" w:hAnsiTheme="minorHAnsi" w:cs="Times New Roman"/>
          <w:sz w:val="22"/>
          <w:szCs w:val="22"/>
          <w:lang w:val="es-ES_tradnl"/>
        </w:rPr>
        <w:t>30</w:t>
      </w:r>
      <w:r w:rsidR="00471803" w:rsidRPr="00115A9E">
        <w:rPr>
          <w:rFonts w:asciiTheme="minorHAnsi" w:eastAsia="Batang" w:hAnsiTheme="minorHAnsi" w:cs="Times New Roman"/>
          <w:sz w:val="22"/>
          <w:szCs w:val="22"/>
          <w:lang w:val="es-ES_tradnl"/>
        </w:rPr>
        <w:t>.</w:t>
      </w:r>
      <w:r w:rsidR="00471803" w:rsidRPr="00115A9E">
        <w:rPr>
          <w:rFonts w:asciiTheme="minorHAnsi" w:eastAsia="Batang" w:hAnsiTheme="minorHAnsi" w:cs="Times New Roman"/>
          <w:sz w:val="22"/>
          <w:szCs w:val="22"/>
          <w:lang w:val="es-ES_tradnl"/>
        </w:rPr>
        <w:tab/>
      </w:r>
      <w:r w:rsidR="00AF675E" w:rsidRPr="00115A9E">
        <w:rPr>
          <w:rFonts w:asciiTheme="minorHAnsi" w:eastAsia="Batang" w:hAnsiTheme="minorHAnsi" w:cs="Times New Roman"/>
          <w:sz w:val="22"/>
          <w:szCs w:val="22"/>
          <w:lang w:val="es-ES_tradnl"/>
        </w:rPr>
        <w:t xml:space="preserve">Se prevé que los ingresos no básicos procedan principalmente de las Partes Contratantes, aunque también se emplea la hipótesis de que aumentarán las contribuciones de entidades que no son Partes Contratantes, </w:t>
      </w:r>
      <w:r w:rsidR="006977EB" w:rsidRPr="00115A9E">
        <w:rPr>
          <w:rFonts w:asciiTheme="minorHAnsi" w:eastAsia="Batang" w:hAnsiTheme="minorHAnsi" w:cs="Times New Roman"/>
          <w:sz w:val="22"/>
          <w:szCs w:val="22"/>
          <w:lang w:val="es-ES_tradnl"/>
        </w:rPr>
        <w:t xml:space="preserve">tales </w:t>
      </w:r>
      <w:r w:rsidR="00861274" w:rsidRPr="00115A9E">
        <w:rPr>
          <w:rFonts w:asciiTheme="minorHAnsi" w:eastAsia="Batang" w:hAnsiTheme="minorHAnsi" w:cs="Times New Roman"/>
          <w:sz w:val="22"/>
          <w:szCs w:val="22"/>
          <w:lang w:val="es-ES_tradnl"/>
        </w:rPr>
        <w:t>como fundaciones</w:t>
      </w:r>
      <w:r w:rsidR="00B57D06" w:rsidRPr="00115A9E">
        <w:rPr>
          <w:rFonts w:asciiTheme="minorHAnsi" w:eastAsia="Batang" w:hAnsiTheme="minorHAnsi" w:cs="Times New Roman"/>
          <w:sz w:val="22"/>
          <w:szCs w:val="22"/>
          <w:lang w:val="es-ES_tradnl"/>
        </w:rPr>
        <w:t xml:space="preserve">, particulares y </w:t>
      </w:r>
      <w:r w:rsidR="00AF675E" w:rsidRPr="00115A9E">
        <w:rPr>
          <w:rFonts w:asciiTheme="minorHAnsi" w:eastAsia="Batang" w:hAnsiTheme="minorHAnsi" w:cs="Times New Roman"/>
          <w:sz w:val="22"/>
          <w:szCs w:val="22"/>
          <w:lang w:val="es-ES_tradnl"/>
        </w:rPr>
        <w:t>el sector privado</w:t>
      </w:r>
      <w:r w:rsidR="00471803" w:rsidRPr="00115A9E">
        <w:rPr>
          <w:rFonts w:asciiTheme="minorHAnsi" w:eastAsia="Batang" w:hAnsiTheme="minorHAnsi" w:cs="Times New Roman"/>
          <w:sz w:val="22"/>
          <w:szCs w:val="22"/>
          <w:lang w:val="es-ES_tradnl"/>
        </w:rPr>
        <w:t xml:space="preserve">. </w:t>
      </w:r>
    </w:p>
    <w:p w:rsidR="00471803" w:rsidRPr="00115A9E" w:rsidRDefault="00471803" w:rsidP="00471803">
      <w:pPr>
        <w:pStyle w:val="MGfulltext"/>
        <w:tabs>
          <w:tab w:val="left" w:pos="567"/>
        </w:tabs>
        <w:spacing w:after="0"/>
        <w:ind w:left="567" w:hanging="567"/>
        <w:rPr>
          <w:rFonts w:asciiTheme="minorHAnsi" w:eastAsia="Batang" w:hAnsiTheme="minorHAnsi" w:cs="Times New Roman"/>
          <w:sz w:val="22"/>
          <w:szCs w:val="22"/>
          <w:lang w:val="es-ES_tradnl"/>
        </w:rPr>
      </w:pPr>
    </w:p>
    <w:p w:rsidR="00471803" w:rsidRPr="00115A9E" w:rsidRDefault="00B57D06" w:rsidP="00C27A1B">
      <w:pPr>
        <w:pStyle w:val="MGfulltext"/>
        <w:tabs>
          <w:tab w:val="left" w:pos="567"/>
        </w:tabs>
        <w:spacing w:after="0"/>
        <w:ind w:left="567" w:hanging="567"/>
        <w:rPr>
          <w:rFonts w:asciiTheme="minorHAnsi" w:eastAsia="Batang" w:hAnsiTheme="minorHAnsi" w:cs="Times New Roman"/>
          <w:b/>
          <w:sz w:val="22"/>
          <w:szCs w:val="22"/>
          <w:lang w:val="es-ES_tradnl"/>
        </w:rPr>
      </w:pPr>
      <w:r w:rsidRPr="00115A9E">
        <w:rPr>
          <w:rFonts w:asciiTheme="minorHAnsi" w:eastAsia="Batang" w:hAnsiTheme="minorHAnsi" w:cs="Times New Roman"/>
          <w:b/>
          <w:sz w:val="22"/>
          <w:szCs w:val="22"/>
          <w:lang w:val="es-ES_tradnl"/>
        </w:rPr>
        <w:t>Otras observaciones</w:t>
      </w:r>
    </w:p>
    <w:p w:rsidR="00471803" w:rsidRPr="00115A9E" w:rsidRDefault="00471803" w:rsidP="00471803">
      <w:pPr>
        <w:tabs>
          <w:tab w:val="left" w:pos="567"/>
        </w:tabs>
        <w:ind w:left="567" w:hanging="567"/>
        <w:rPr>
          <w:rFonts w:asciiTheme="minorHAnsi" w:hAnsiTheme="minorHAnsi"/>
          <w:sz w:val="22"/>
          <w:szCs w:val="22"/>
          <w:lang w:val="es-ES_tradnl"/>
        </w:rPr>
      </w:pPr>
    </w:p>
    <w:p w:rsidR="00471803" w:rsidRPr="00115A9E" w:rsidRDefault="00711134" w:rsidP="00471803">
      <w:pPr>
        <w:tabs>
          <w:tab w:val="left" w:pos="567"/>
        </w:tabs>
        <w:ind w:left="567" w:hanging="567"/>
        <w:rPr>
          <w:rFonts w:asciiTheme="minorHAnsi" w:hAnsiTheme="minorHAnsi"/>
          <w:sz w:val="22"/>
          <w:szCs w:val="22"/>
          <w:lang w:val="es-ES_tradnl"/>
        </w:rPr>
      </w:pPr>
      <w:r w:rsidRPr="00115A9E">
        <w:rPr>
          <w:rFonts w:asciiTheme="minorHAnsi" w:hAnsiTheme="minorHAnsi"/>
          <w:sz w:val="22"/>
          <w:szCs w:val="22"/>
          <w:lang w:val="es-ES_tradnl"/>
        </w:rPr>
        <w:t>31</w:t>
      </w:r>
      <w:r w:rsidR="00471803" w:rsidRPr="00115A9E">
        <w:rPr>
          <w:rFonts w:asciiTheme="minorHAnsi" w:hAnsiTheme="minorHAnsi"/>
          <w:sz w:val="22"/>
          <w:szCs w:val="22"/>
          <w:lang w:val="es-ES_tradnl"/>
        </w:rPr>
        <w:t>.</w:t>
      </w:r>
      <w:r w:rsidR="00471803" w:rsidRPr="00115A9E">
        <w:rPr>
          <w:rFonts w:asciiTheme="minorHAnsi" w:hAnsiTheme="minorHAnsi"/>
          <w:sz w:val="22"/>
          <w:szCs w:val="22"/>
          <w:lang w:val="es-ES_tradnl"/>
        </w:rPr>
        <w:tab/>
      </w:r>
      <w:r w:rsidR="00067848" w:rsidRPr="00115A9E">
        <w:rPr>
          <w:rFonts w:asciiTheme="minorHAnsi" w:hAnsiTheme="minorHAnsi"/>
          <w:sz w:val="22"/>
          <w:szCs w:val="22"/>
          <w:lang w:val="es-ES_tradnl"/>
        </w:rPr>
        <w:t xml:space="preserve">La presentación y la aprobación por la </w:t>
      </w:r>
      <w:r w:rsidR="00471803" w:rsidRPr="00115A9E">
        <w:rPr>
          <w:rFonts w:asciiTheme="minorHAnsi" w:hAnsiTheme="minorHAnsi"/>
          <w:sz w:val="22"/>
          <w:szCs w:val="22"/>
          <w:lang w:val="es-ES_tradnl"/>
        </w:rPr>
        <w:t xml:space="preserve">COP </w:t>
      </w:r>
      <w:r w:rsidR="006977EB" w:rsidRPr="00115A9E">
        <w:rPr>
          <w:rFonts w:asciiTheme="minorHAnsi" w:hAnsiTheme="minorHAnsi"/>
          <w:sz w:val="22"/>
          <w:szCs w:val="22"/>
          <w:lang w:val="es-ES_tradnl"/>
        </w:rPr>
        <w:t>de un presupuesto c</w:t>
      </w:r>
      <w:r w:rsidR="00067848" w:rsidRPr="00115A9E">
        <w:rPr>
          <w:rFonts w:asciiTheme="minorHAnsi" w:hAnsiTheme="minorHAnsi"/>
          <w:sz w:val="22"/>
          <w:szCs w:val="22"/>
          <w:lang w:val="es-ES_tradnl"/>
        </w:rPr>
        <w:t xml:space="preserve">ombinado </w:t>
      </w:r>
      <w:r w:rsidR="00471803" w:rsidRPr="00115A9E">
        <w:rPr>
          <w:rFonts w:asciiTheme="minorHAnsi" w:hAnsiTheme="minorHAnsi"/>
          <w:sz w:val="22"/>
          <w:szCs w:val="22"/>
          <w:lang w:val="es-ES_tradnl"/>
        </w:rPr>
        <w:t>(</w:t>
      </w:r>
      <w:r w:rsidR="00E023C5" w:rsidRPr="00115A9E">
        <w:rPr>
          <w:rFonts w:asciiTheme="minorHAnsi" w:hAnsiTheme="minorHAnsi"/>
          <w:sz w:val="22"/>
          <w:szCs w:val="22"/>
          <w:lang w:val="es-ES_tradnl"/>
        </w:rPr>
        <w:t>con un elemento B</w:t>
      </w:r>
      <w:r w:rsidR="00067848" w:rsidRPr="00115A9E">
        <w:rPr>
          <w:rFonts w:asciiTheme="minorHAnsi" w:hAnsiTheme="minorHAnsi"/>
          <w:sz w:val="22"/>
          <w:szCs w:val="22"/>
          <w:lang w:val="es-ES_tradnl"/>
        </w:rPr>
        <w:t>ás</w:t>
      </w:r>
      <w:r w:rsidR="006977EB" w:rsidRPr="00115A9E">
        <w:rPr>
          <w:rFonts w:asciiTheme="minorHAnsi" w:hAnsiTheme="minorHAnsi"/>
          <w:sz w:val="22"/>
          <w:szCs w:val="22"/>
          <w:lang w:val="es-ES_tradnl"/>
        </w:rPr>
        <w:t>ico provisionado y un elemento no b</w:t>
      </w:r>
      <w:r w:rsidR="00067848" w:rsidRPr="00115A9E">
        <w:rPr>
          <w:rFonts w:asciiTheme="minorHAnsi" w:hAnsiTheme="minorHAnsi"/>
          <w:sz w:val="22"/>
          <w:szCs w:val="22"/>
          <w:lang w:val="es-ES_tradnl"/>
        </w:rPr>
        <w:t>ásico y no provisionado</w:t>
      </w:r>
      <w:r w:rsidR="00471803" w:rsidRPr="00115A9E">
        <w:rPr>
          <w:rFonts w:asciiTheme="minorHAnsi" w:hAnsiTheme="minorHAnsi"/>
          <w:sz w:val="22"/>
          <w:szCs w:val="22"/>
          <w:lang w:val="es-ES_tradnl"/>
        </w:rPr>
        <w:t xml:space="preserve">) </w:t>
      </w:r>
      <w:r w:rsidR="00067848" w:rsidRPr="00115A9E">
        <w:rPr>
          <w:rFonts w:asciiTheme="minorHAnsi" w:hAnsiTheme="minorHAnsi"/>
          <w:sz w:val="22"/>
          <w:szCs w:val="22"/>
          <w:lang w:val="es-ES_tradnl"/>
        </w:rPr>
        <w:t>apoyarían el crecimiento de la Convención y ayudarían a las Partes y a la Secretaría en sus esfuerzos por movilizar los recursos y ajustar mejor el Plan Estratégico al Plan Financiero</w:t>
      </w:r>
      <w:r w:rsidR="00471803" w:rsidRPr="00115A9E">
        <w:rPr>
          <w:rFonts w:asciiTheme="minorHAnsi" w:hAnsiTheme="minorHAnsi"/>
          <w:sz w:val="22"/>
          <w:szCs w:val="22"/>
          <w:lang w:val="es-ES_tradnl"/>
        </w:rPr>
        <w:t xml:space="preserve">. </w:t>
      </w:r>
      <w:r w:rsidR="00067848" w:rsidRPr="00115A9E">
        <w:rPr>
          <w:rFonts w:asciiTheme="minorHAnsi" w:hAnsiTheme="minorHAnsi"/>
          <w:sz w:val="22"/>
          <w:szCs w:val="22"/>
          <w:lang w:val="es-ES_tradnl"/>
        </w:rPr>
        <w:t xml:space="preserve">Los recursos pueden proceder de distintas fuentes y los presupuestos pueden revisarse para cambiar las prioridades con el tiempo, pero en las difíciles circunstancias financieras actuales, es útil contar con un compromiso a mediano plazo para </w:t>
      </w:r>
      <w:r w:rsidR="00471803" w:rsidRPr="00115A9E">
        <w:rPr>
          <w:rFonts w:asciiTheme="minorHAnsi" w:hAnsiTheme="minorHAnsi"/>
          <w:sz w:val="22"/>
          <w:szCs w:val="22"/>
          <w:lang w:val="es-ES_tradnl"/>
        </w:rPr>
        <w:t>201</w:t>
      </w:r>
      <w:r w:rsidR="00C44BF1" w:rsidRPr="00115A9E">
        <w:rPr>
          <w:rFonts w:asciiTheme="minorHAnsi" w:hAnsiTheme="minorHAnsi"/>
          <w:sz w:val="22"/>
          <w:szCs w:val="22"/>
          <w:lang w:val="es-ES_tradnl"/>
        </w:rPr>
        <w:t>6</w:t>
      </w:r>
      <w:r w:rsidR="00471803" w:rsidRPr="00115A9E">
        <w:rPr>
          <w:rFonts w:asciiTheme="minorHAnsi" w:hAnsiTheme="minorHAnsi"/>
          <w:sz w:val="22"/>
          <w:szCs w:val="22"/>
          <w:lang w:val="es-ES_tradnl"/>
        </w:rPr>
        <w:t>-201</w:t>
      </w:r>
      <w:r w:rsidR="00C44BF1" w:rsidRPr="00115A9E">
        <w:rPr>
          <w:rFonts w:asciiTheme="minorHAnsi" w:hAnsiTheme="minorHAnsi"/>
          <w:sz w:val="22"/>
          <w:szCs w:val="22"/>
          <w:lang w:val="es-ES_tradnl"/>
        </w:rPr>
        <w:t>8</w:t>
      </w:r>
      <w:r w:rsidR="00471803" w:rsidRPr="00115A9E">
        <w:rPr>
          <w:rFonts w:asciiTheme="minorHAnsi" w:hAnsiTheme="minorHAnsi"/>
          <w:sz w:val="22"/>
          <w:szCs w:val="22"/>
          <w:lang w:val="es-ES_tradnl"/>
        </w:rPr>
        <w:t xml:space="preserve"> </w:t>
      </w:r>
      <w:r w:rsidR="006977EB" w:rsidRPr="00115A9E">
        <w:rPr>
          <w:rFonts w:asciiTheme="minorHAnsi" w:hAnsiTheme="minorHAnsi"/>
          <w:sz w:val="22"/>
          <w:szCs w:val="22"/>
          <w:lang w:val="es-ES_tradnl"/>
        </w:rPr>
        <w:t>mediante un presupuesto c</w:t>
      </w:r>
      <w:r w:rsidR="00067848" w:rsidRPr="00115A9E">
        <w:rPr>
          <w:rFonts w:asciiTheme="minorHAnsi" w:hAnsiTheme="minorHAnsi"/>
          <w:sz w:val="22"/>
          <w:szCs w:val="22"/>
          <w:lang w:val="es-ES_tradnl"/>
        </w:rPr>
        <w:t>ombinado para apoyar los gastos básicos y más actividades de desarrollo</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El hecho de contar con un presupuesto de financiación voluntaria aprobado por las Partes será un gran apoyo para las actividades de recaudación de fondos de la Convención.</w:t>
      </w:r>
    </w:p>
    <w:p w:rsidR="00471803" w:rsidRPr="00115A9E" w:rsidRDefault="00471803" w:rsidP="00471803">
      <w:pPr>
        <w:rPr>
          <w:rFonts w:asciiTheme="minorHAnsi" w:hAnsiTheme="minorHAnsi"/>
          <w:sz w:val="22"/>
          <w:szCs w:val="22"/>
          <w:lang w:val="es-ES_tradnl"/>
        </w:rPr>
      </w:pPr>
    </w:p>
    <w:p w:rsidR="00471803" w:rsidRPr="00115A9E" w:rsidRDefault="00711134" w:rsidP="00471803">
      <w:pPr>
        <w:ind w:left="567" w:hanging="567"/>
        <w:rPr>
          <w:rFonts w:asciiTheme="minorHAnsi" w:hAnsiTheme="minorHAnsi"/>
          <w:sz w:val="22"/>
          <w:szCs w:val="22"/>
          <w:lang w:val="es-ES_tradnl"/>
        </w:rPr>
      </w:pPr>
      <w:r w:rsidRPr="00115A9E">
        <w:rPr>
          <w:rFonts w:asciiTheme="minorHAnsi" w:hAnsiTheme="minorHAnsi"/>
          <w:sz w:val="22"/>
          <w:szCs w:val="22"/>
          <w:lang w:val="es-ES_tradnl"/>
        </w:rPr>
        <w:t>32</w:t>
      </w:r>
      <w:r w:rsidR="00471803" w:rsidRPr="00115A9E">
        <w:rPr>
          <w:rFonts w:asciiTheme="minorHAnsi" w:hAnsiTheme="minorHAnsi"/>
          <w:sz w:val="22"/>
          <w:szCs w:val="22"/>
          <w:lang w:val="es-ES_tradnl"/>
        </w:rPr>
        <w:t>.</w:t>
      </w:r>
      <w:r w:rsidR="00471803" w:rsidRPr="00115A9E">
        <w:rPr>
          <w:rFonts w:asciiTheme="minorHAnsi" w:hAnsiTheme="minorHAnsi"/>
          <w:sz w:val="22"/>
          <w:szCs w:val="22"/>
          <w:lang w:val="es-ES_tradnl"/>
        </w:rPr>
        <w:tab/>
      </w:r>
      <w:r w:rsidR="000323A6" w:rsidRPr="00115A9E">
        <w:rPr>
          <w:rFonts w:asciiTheme="minorHAnsi" w:hAnsiTheme="minorHAnsi"/>
          <w:sz w:val="22"/>
          <w:szCs w:val="22"/>
          <w:lang w:val="es-ES_tradnl"/>
        </w:rPr>
        <w:t>El compromiso de las Partes de abonar las contribuciones en mora podría liberar importantes recursos adicionales</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 xml:space="preserve">A </w:t>
      </w:r>
      <w:r w:rsidR="00471803" w:rsidRPr="00115A9E">
        <w:rPr>
          <w:rFonts w:asciiTheme="minorHAnsi" w:hAnsiTheme="minorHAnsi"/>
          <w:sz w:val="22"/>
          <w:szCs w:val="22"/>
          <w:lang w:val="es-ES_tradnl"/>
        </w:rPr>
        <w:t xml:space="preserve">31 </w:t>
      </w:r>
      <w:r w:rsidR="000323A6" w:rsidRPr="00115A9E">
        <w:rPr>
          <w:rFonts w:asciiTheme="minorHAnsi" w:hAnsiTheme="minorHAnsi"/>
          <w:sz w:val="22"/>
          <w:szCs w:val="22"/>
          <w:lang w:val="es-ES_tradnl"/>
        </w:rPr>
        <w:t xml:space="preserve">de diciembre de </w:t>
      </w:r>
      <w:r w:rsidR="00471803" w:rsidRPr="00115A9E">
        <w:rPr>
          <w:rFonts w:asciiTheme="minorHAnsi" w:hAnsiTheme="minorHAnsi"/>
          <w:sz w:val="22"/>
          <w:szCs w:val="22"/>
          <w:lang w:val="es-ES_tradnl"/>
        </w:rPr>
        <w:t>201</w:t>
      </w:r>
      <w:r w:rsidR="00C44BF1" w:rsidRPr="00115A9E">
        <w:rPr>
          <w:rFonts w:asciiTheme="minorHAnsi" w:hAnsiTheme="minorHAnsi"/>
          <w:sz w:val="22"/>
          <w:szCs w:val="22"/>
          <w:lang w:val="es-ES_tradnl"/>
        </w:rPr>
        <w:t>4</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 xml:space="preserve">las contribuciones pendientes de pago correspondientes a </w:t>
      </w:r>
      <w:r w:rsidR="00471803" w:rsidRPr="00115A9E">
        <w:rPr>
          <w:rFonts w:asciiTheme="minorHAnsi" w:hAnsiTheme="minorHAnsi"/>
          <w:sz w:val="22"/>
          <w:szCs w:val="22"/>
          <w:lang w:val="es-ES_tradnl"/>
        </w:rPr>
        <w:t>201</w:t>
      </w:r>
      <w:r w:rsidR="004A73F0" w:rsidRPr="00115A9E">
        <w:rPr>
          <w:rFonts w:asciiTheme="minorHAnsi" w:hAnsiTheme="minorHAnsi"/>
          <w:sz w:val="22"/>
          <w:szCs w:val="22"/>
          <w:lang w:val="es-ES_tradnl"/>
        </w:rPr>
        <w:t>4</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 xml:space="preserve">y ejercicios anteriores </w:t>
      </w:r>
      <w:r w:rsidR="00B2323B" w:rsidRPr="00115A9E">
        <w:rPr>
          <w:rFonts w:asciiTheme="minorHAnsi" w:hAnsiTheme="minorHAnsi"/>
          <w:sz w:val="22"/>
          <w:szCs w:val="22"/>
          <w:lang w:val="es-ES_tradnl"/>
        </w:rPr>
        <w:t>superaban los</w:t>
      </w:r>
      <w:r w:rsidR="000323A6" w:rsidRPr="00115A9E">
        <w:rPr>
          <w:rFonts w:asciiTheme="minorHAnsi" w:hAnsiTheme="minorHAnsi"/>
          <w:sz w:val="22"/>
          <w:szCs w:val="22"/>
          <w:lang w:val="es-ES_tradnl"/>
        </w:rPr>
        <w:t xml:space="preserve"> </w:t>
      </w:r>
      <w:r w:rsidR="004A73F0" w:rsidRPr="00115A9E">
        <w:rPr>
          <w:rFonts w:asciiTheme="minorHAnsi" w:hAnsiTheme="minorHAnsi"/>
          <w:sz w:val="22"/>
          <w:szCs w:val="22"/>
          <w:lang w:val="es-ES_tradnl"/>
        </w:rPr>
        <w:t>915</w:t>
      </w:r>
      <w:r w:rsidR="000323A6" w:rsidRPr="00115A9E">
        <w:rPr>
          <w:rFonts w:asciiTheme="minorHAnsi" w:hAnsiTheme="minorHAnsi"/>
          <w:sz w:val="22"/>
          <w:szCs w:val="22"/>
          <w:lang w:val="es-ES_tradnl"/>
        </w:rPr>
        <w:t>.</w:t>
      </w:r>
      <w:r w:rsidR="00471803" w:rsidRPr="00115A9E">
        <w:rPr>
          <w:rFonts w:asciiTheme="minorHAnsi" w:hAnsiTheme="minorHAnsi"/>
          <w:sz w:val="22"/>
          <w:szCs w:val="22"/>
          <w:lang w:val="es-ES_tradnl"/>
        </w:rPr>
        <w:t>000</w:t>
      </w:r>
      <w:r w:rsidR="000323A6" w:rsidRPr="00115A9E">
        <w:rPr>
          <w:rFonts w:asciiTheme="minorHAnsi" w:hAnsiTheme="minorHAnsi"/>
          <w:sz w:val="22"/>
          <w:szCs w:val="22"/>
          <w:lang w:val="es-ES_tradnl"/>
        </w:rPr>
        <w:t xml:space="preserve"> francos suizos</w:t>
      </w:r>
      <w:r w:rsidR="00471803" w:rsidRPr="00115A9E">
        <w:rPr>
          <w:rFonts w:asciiTheme="minorHAnsi" w:hAnsiTheme="minorHAnsi"/>
          <w:sz w:val="22"/>
          <w:szCs w:val="22"/>
          <w:lang w:val="es-ES_tradnl"/>
        </w:rPr>
        <w:t xml:space="preserve">, </w:t>
      </w:r>
      <w:r w:rsidR="006C4C42" w:rsidRPr="00115A9E">
        <w:rPr>
          <w:rFonts w:asciiTheme="minorHAnsi" w:hAnsiTheme="minorHAnsi"/>
          <w:sz w:val="22"/>
          <w:szCs w:val="22"/>
          <w:lang w:val="es-ES_tradnl"/>
        </w:rPr>
        <w:t>es decir,</w:t>
      </w:r>
      <w:r w:rsidR="000323A6" w:rsidRPr="00115A9E">
        <w:rPr>
          <w:rFonts w:asciiTheme="minorHAnsi" w:hAnsiTheme="minorHAnsi"/>
          <w:sz w:val="22"/>
          <w:szCs w:val="22"/>
          <w:lang w:val="es-ES_tradnl"/>
        </w:rPr>
        <w:t xml:space="preserve"> más del </w:t>
      </w:r>
      <w:r w:rsidR="004A73F0" w:rsidRPr="00115A9E">
        <w:rPr>
          <w:rFonts w:asciiTheme="minorHAnsi" w:hAnsiTheme="minorHAnsi"/>
          <w:sz w:val="22"/>
          <w:szCs w:val="22"/>
          <w:lang w:val="es-ES_tradnl"/>
        </w:rPr>
        <w:t>24</w:t>
      </w:r>
      <w:r w:rsidR="000323A6" w:rsidRPr="00115A9E">
        <w:rPr>
          <w:rFonts w:asciiTheme="minorHAnsi" w:hAnsiTheme="minorHAnsi"/>
          <w:sz w:val="22"/>
          <w:szCs w:val="22"/>
          <w:lang w:val="es-ES_tradnl"/>
        </w:rPr>
        <w:t> </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de los ingresos de ese año</w:t>
      </w:r>
      <w:r w:rsidR="00471803" w:rsidRPr="00115A9E">
        <w:rPr>
          <w:rFonts w:asciiTheme="minorHAnsi" w:hAnsiTheme="minorHAnsi"/>
          <w:sz w:val="22"/>
          <w:szCs w:val="22"/>
          <w:lang w:val="es-ES_tradnl"/>
        </w:rPr>
        <w:t xml:space="preserve">. </w:t>
      </w:r>
      <w:r w:rsidR="000323A6" w:rsidRPr="00115A9E">
        <w:rPr>
          <w:rFonts w:asciiTheme="minorHAnsi" w:hAnsiTheme="minorHAnsi"/>
          <w:sz w:val="22"/>
          <w:szCs w:val="22"/>
          <w:lang w:val="es-ES_tradnl"/>
        </w:rPr>
        <w:t>En el documento COP12 DOC.15 figura más información sobre las contribuciones pendientes de pago</w:t>
      </w:r>
      <w:r w:rsidR="00471803" w:rsidRPr="00115A9E">
        <w:rPr>
          <w:rFonts w:asciiTheme="minorHAnsi" w:hAnsiTheme="minorHAnsi"/>
          <w:sz w:val="22"/>
          <w:szCs w:val="22"/>
          <w:lang w:val="es-ES_tradnl"/>
        </w:rPr>
        <w:t>.</w:t>
      </w:r>
    </w:p>
    <w:p w:rsidR="00471803" w:rsidRPr="00115A9E" w:rsidRDefault="00471803" w:rsidP="00471803">
      <w:pPr>
        <w:ind w:left="567" w:hanging="567"/>
        <w:rPr>
          <w:rFonts w:asciiTheme="minorHAnsi" w:hAnsiTheme="minorHAnsi"/>
          <w:sz w:val="22"/>
          <w:szCs w:val="22"/>
          <w:lang w:val="es-ES_tradnl"/>
        </w:rPr>
      </w:pPr>
    </w:p>
    <w:p w:rsidR="00471803" w:rsidRPr="00115A9E" w:rsidRDefault="00471803" w:rsidP="00471803">
      <w:pPr>
        <w:ind w:left="567" w:hanging="567"/>
        <w:rPr>
          <w:rFonts w:asciiTheme="minorHAnsi" w:hAnsiTheme="minorHAnsi"/>
          <w:sz w:val="22"/>
          <w:szCs w:val="22"/>
          <w:lang w:val="es-ES_tradnl"/>
        </w:rPr>
      </w:pPr>
      <w:r w:rsidRPr="00115A9E">
        <w:rPr>
          <w:rFonts w:asciiTheme="minorHAnsi" w:hAnsiTheme="minorHAnsi"/>
          <w:sz w:val="22"/>
          <w:szCs w:val="22"/>
          <w:lang w:val="es-ES_tradnl"/>
        </w:rPr>
        <w:t>3</w:t>
      </w:r>
      <w:r w:rsidR="00711134" w:rsidRPr="00115A9E">
        <w:rPr>
          <w:rFonts w:asciiTheme="minorHAnsi" w:hAnsiTheme="minorHAnsi"/>
          <w:sz w:val="22"/>
          <w:szCs w:val="22"/>
          <w:lang w:val="es-ES_tradnl"/>
        </w:rPr>
        <w:t>3</w:t>
      </w:r>
      <w:r w:rsidRPr="00115A9E">
        <w:rPr>
          <w:rFonts w:asciiTheme="minorHAnsi" w:hAnsiTheme="minorHAnsi"/>
          <w:sz w:val="22"/>
          <w:szCs w:val="22"/>
          <w:lang w:val="es-ES_tradnl"/>
        </w:rPr>
        <w:t>.</w:t>
      </w:r>
      <w:r w:rsidRPr="00115A9E">
        <w:rPr>
          <w:rFonts w:asciiTheme="minorHAnsi" w:hAnsiTheme="minorHAnsi"/>
          <w:sz w:val="22"/>
          <w:szCs w:val="22"/>
          <w:lang w:val="es-ES_tradnl"/>
        </w:rPr>
        <w:tab/>
      </w:r>
      <w:r w:rsidR="00AF675E" w:rsidRPr="00115A9E">
        <w:rPr>
          <w:rFonts w:asciiTheme="minorHAnsi" w:hAnsiTheme="minorHAnsi"/>
          <w:sz w:val="22"/>
          <w:szCs w:val="22"/>
          <w:lang w:val="es-ES_tradnl"/>
        </w:rPr>
        <w:t>El presupuesto básico actual de la Convención no sufraga adecuadamente el perfeccionamiento del personal y de la tecnología. No existe presupuesto para la capacitación y el perfeccionamiento del personal de la Secretaría (excepto en el escenario del 2</w:t>
      </w:r>
      <w:r w:rsidR="006C4C42" w:rsidRPr="00115A9E">
        <w:rPr>
          <w:rFonts w:asciiTheme="minorHAnsi" w:hAnsiTheme="minorHAnsi"/>
          <w:sz w:val="22"/>
          <w:szCs w:val="22"/>
          <w:lang w:val="es-ES_tradnl"/>
        </w:rPr>
        <w:t> </w:t>
      </w:r>
      <w:r w:rsidR="00AF675E" w:rsidRPr="00115A9E">
        <w:rPr>
          <w:rFonts w:asciiTheme="minorHAnsi" w:hAnsiTheme="minorHAnsi"/>
          <w:sz w:val="22"/>
          <w:szCs w:val="22"/>
          <w:lang w:val="es-ES_tradnl"/>
        </w:rPr>
        <w:t>% [B]) y el importe se considera reducido en comparación con otras organizaciones, que tienden a destinar a ese concepto un 1,5</w:t>
      </w:r>
      <w:r w:rsidR="006C4C42" w:rsidRPr="00115A9E">
        <w:rPr>
          <w:rFonts w:asciiTheme="minorHAnsi" w:hAnsiTheme="minorHAnsi"/>
          <w:sz w:val="22"/>
          <w:szCs w:val="22"/>
          <w:lang w:val="es-ES_tradnl"/>
        </w:rPr>
        <w:t> </w:t>
      </w:r>
      <w:r w:rsidR="00AF675E" w:rsidRPr="00115A9E">
        <w:rPr>
          <w:rFonts w:asciiTheme="minorHAnsi" w:hAnsiTheme="minorHAnsi"/>
          <w:sz w:val="22"/>
          <w:szCs w:val="22"/>
          <w:lang w:val="es-ES_tradnl"/>
        </w:rPr>
        <w:t xml:space="preserve">% de los gastos de personal </w:t>
      </w:r>
      <w:r w:rsidR="006C4C42" w:rsidRPr="00115A9E">
        <w:rPr>
          <w:rFonts w:asciiTheme="minorHAnsi" w:hAnsiTheme="minorHAnsi"/>
          <w:sz w:val="22"/>
          <w:szCs w:val="22"/>
          <w:lang w:val="es-ES_tradnl"/>
        </w:rPr>
        <w:t>por persona y año</w:t>
      </w:r>
      <w:r w:rsidR="00AF675E" w:rsidRPr="00115A9E">
        <w:rPr>
          <w:rFonts w:asciiTheme="minorHAnsi" w:hAnsiTheme="minorHAnsi"/>
          <w:sz w:val="22"/>
          <w:szCs w:val="22"/>
          <w:lang w:val="es-ES_tradnl"/>
        </w:rPr>
        <w:t>. Sin embargo, la UICN también está comenzando a invertir en la capacitación y nosotros analizaremos la cuestión durante el trienio</w:t>
      </w:r>
      <w:r w:rsidR="00C44BF1" w:rsidRPr="00115A9E">
        <w:rPr>
          <w:rFonts w:asciiTheme="minorHAnsi" w:hAnsiTheme="minorHAnsi"/>
          <w:sz w:val="22"/>
          <w:szCs w:val="22"/>
          <w:lang w:val="es-ES_tradnl"/>
        </w:rPr>
        <w:t>.</w:t>
      </w:r>
    </w:p>
    <w:p w:rsidR="00C44BF1" w:rsidRPr="00115A9E" w:rsidRDefault="00C44BF1" w:rsidP="00471803">
      <w:pPr>
        <w:ind w:left="567" w:hanging="567"/>
        <w:rPr>
          <w:rFonts w:asciiTheme="minorHAnsi" w:hAnsiTheme="minorHAnsi"/>
          <w:sz w:val="22"/>
          <w:szCs w:val="22"/>
          <w:lang w:val="es-ES_tradnl"/>
        </w:rPr>
      </w:pPr>
    </w:p>
    <w:p w:rsidR="00C44BF1" w:rsidRPr="00115A9E" w:rsidRDefault="00C44BF1" w:rsidP="00471803">
      <w:pPr>
        <w:ind w:left="567" w:hanging="567"/>
        <w:rPr>
          <w:rFonts w:asciiTheme="minorHAnsi" w:hAnsiTheme="minorHAnsi"/>
          <w:sz w:val="22"/>
          <w:szCs w:val="22"/>
          <w:lang w:val="es-ES_tradnl"/>
        </w:rPr>
      </w:pPr>
      <w:r w:rsidRPr="00115A9E">
        <w:rPr>
          <w:rFonts w:asciiTheme="minorHAnsi" w:hAnsiTheme="minorHAnsi"/>
          <w:sz w:val="22"/>
          <w:szCs w:val="22"/>
          <w:lang w:val="es-ES_tradnl"/>
        </w:rPr>
        <w:t>3</w:t>
      </w:r>
      <w:r w:rsidR="00711134" w:rsidRPr="00115A9E">
        <w:rPr>
          <w:rFonts w:asciiTheme="minorHAnsi" w:hAnsiTheme="minorHAnsi"/>
          <w:sz w:val="22"/>
          <w:szCs w:val="22"/>
          <w:lang w:val="es-ES_tradnl"/>
        </w:rPr>
        <w:t>4</w:t>
      </w:r>
      <w:r w:rsidRPr="00115A9E">
        <w:rPr>
          <w:rFonts w:asciiTheme="minorHAnsi" w:hAnsiTheme="minorHAnsi"/>
          <w:sz w:val="22"/>
          <w:szCs w:val="22"/>
          <w:lang w:val="es-ES_tradnl"/>
        </w:rPr>
        <w:t>.</w:t>
      </w:r>
      <w:r w:rsidRPr="00115A9E">
        <w:rPr>
          <w:rFonts w:asciiTheme="minorHAnsi" w:hAnsiTheme="minorHAnsi"/>
          <w:sz w:val="22"/>
          <w:szCs w:val="22"/>
          <w:lang w:val="es-ES_tradnl"/>
        </w:rPr>
        <w:tab/>
      </w:r>
      <w:r w:rsidR="00AF675E" w:rsidRPr="00115A9E">
        <w:rPr>
          <w:rFonts w:asciiTheme="minorHAnsi" w:hAnsiTheme="minorHAnsi"/>
          <w:sz w:val="22"/>
          <w:szCs w:val="22"/>
          <w:lang w:val="es-ES_tradnl"/>
        </w:rPr>
        <w:t>Todavía no existe un gran plan de equipamiento en materia de tecnología. Las bases de datos requieren inversiones importantes y periódicas; las plataformas y herramientas fundamentales de comunicaciones se han de renovar o sustituir cada período de 3 a 5 años. La Secretaría, en calidad de depositaria de la información, necesita tecnologías de gestión de documentos muy eficient</w:t>
      </w:r>
      <w:r w:rsidR="00344148" w:rsidRPr="00115A9E">
        <w:rPr>
          <w:rFonts w:asciiTheme="minorHAnsi" w:hAnsiTheme="minorHAnsi"/>
          <w:sz w:val="22"/>
          <w:szCs w:val="22"/>
          <w:lang w:val="es-ES_tradnl"/>
        </w:rPr>
        <w:t>es como apoyo a sus actividades</w:t>
      </w:r>
      <w:r w:rsidR="00AF675E" w:rsidRPr="00115A9E">
        <w:rPr>
          <w:rFonts w:asciiTheme="minorHAnsi" w:hAnsiTheme="minorHAnsi"/>
          <w:sz w:val="22"/>
          <w:szCs w:val="22"/>
          <w:lang w:val="es-ES_tradnl"/>
        </w:rPr>
        <w:t xml:space="preserve"> y también es crucial para la misión de la Convención brindar acceso a datos sobre humedales en distintos formatos. Si bien el acuerdo de Ramsar con la UICN soluciona el mantenimiento de la tecnología de la información, las necesidades internas y externas de la UICN en términos de comunicación y documentación, así como sus prioridades, son algo distintas de las de Ramsar. La inclusión en la dotación de personal de un Oficial de Tecnologías de la Información no solucionará la necesidad de tener en consideración una inversión superior en tecnología para la COP13 o antes. En las propuestas presupuestarias para 2016-2018, la importancia principal no se asigna al personal de tecnologías de la información ni a las inversiones en tecnología, sino al apoyo a las actividades locales, nacionales y regionales sobre el terreno</w:t>
      </w:r>
      <w:r w:rsidR="00344148" w:rsidRPr="00115A9E">
        <w:rPr>
          <w:rFonts w:asciiTheme="minorHAnsi" w:hAnsiTheme="minorHAnsi"/>
          <w:sz w:val="22"/>
          <w:szCs w:val="22"/>
          <w:lang w:val="es-ES_tradnl"/>
        </w:rPr>
        <w:t>.</w:t>
      </w:r>
    </w:p>
    <w:p w:rsidR="00F230D5" w:rsidRDefault="00F230D5">
      <w:pPr>
        <w:spacing w:after="200" w:line="276" w:lineRule="auto"/>
        <w:rPr>
          <w:rFonts w:asciiTheme="minorHAnsi" w:hAnsiTheme="minorHAnsi" w:cs="Arial"/>
          <w:b/>
          <w:szCs w:val="24"/>
        </w:rPr>
      </w:pPr>
      <w:r>
        <w:rPr>
          <w:rFonts w:asciiTheme="minorHAnsi" w:hAnsiTheme="minorHAnsi" w:cs="Arial"/>
          <w:b/>
          <w:szCs w:val="24"/>
        </w:rPr>
        <w:br w:type="page"/>
      </w:r>
    </w:p>
    <w:p w:rsidR="00F230D5" w:rsidRDefault="00074C08">
      <w:pPr>
        <w:rPr>
          <w:lang w:val="es-ES_tradnl"/>
        </w:rPr>
      </w:pPr>
      <w:r w:rsidRPr="00701BB7">
        <w:rPr>
          <w:rFonts w:asciiTheme="minorHAnsi" w:hAnsiTheme="minorHAnsi" w:cs="Arial"/>
          <w:b/>
          <w:szCs w:val="24"/>
        </w:rPr>
        <w:lastRenderedPageBreak/>
        <w:t>Anexo 1: Escenarios del Presupuesto Básico para 2016-2018</w:t>
      </w:r>
      <w:r w:rsidRPr="00115A9E">
        <w:rPr>
          <w:lang w:val="es-ES_tradnl"/>
        </w:rPr>
        <w:t xml:space="preserve"> </w:t>
      </w:r>
    </w:p>
    <w:p w:rsidR="00F230D5" w:rsidRDefault="00F230D5">
      <w:pPr>
        <w:rPr>
          <w:noProof/>
        </w:rPr>
      </w:pPr>
      <w:r w:rsidRPr="00F230D5">
        <w:drawing>
          <wp:anchor distT="0" distB="0" distL="114300" distR="114300" simplePos="0" relativeHeight="251660288" behindDoc="0" locked="0" layoutInCell="1" allowOverlap="1">
            <wp:simplePos x="0" y="0"/>
            <wp:positionH relativeFrom="column">
              <wp:posOffset>19050</wp:posOffset>
            </wp:positionH>
            <wp:positionV relativeFrom="paragraph">
              <wp:posOffset>196850</wp:posOffset>
            </wp:positionV>
            <wp:extent cx="5835650" cy="8468995"/>
            <wp:effectExtent l="19050" t="0" r="0" b="0"/>
            <wp:wrapTopAndBottom/>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35650" cy="8468995"/>
                    </a:xfrm>
                    <a:prstGeom prst="rect">
                      <a:avLst/>
                    </a:prstGeom>
                    <a:noFill/>
                    <a:ln w="9525">
                      <a:noFill/>
                      <a:miter lim="800000"/>
                      <a:headEnd/>
                      <a:tailEnd/>
                    </a:ln>
                  </pic:spPr>
                </pic:pic>
              </a:graphicData>
            </a:graphic>
          </wp:anchor>
        </w:drawing>
      </w:r>
    </w:p>
    <w:p w:rsidR="005447E8" w:rsidRPr="00115A9E" w:rsidRDefault="00BC1A1D">
      <w:pPr>
        <w:rPr>
          <w:lang w:val="es-ES_tradnl"/>
        </w:rPr>
      </w:pPr>
      <w:r w:rsidRPr="00BC1A1D">
        <w:lastRenderedPageBreak/>
        <w:drawing>
          <wp:inline distT="0" distB="0" distL="0" distR="0">
            <wp:extent cx="5732145" cy="8663760"/>
            <wp:effectExtent l="19050" t="0" r="190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32145" cy="8663760"/>
                    </a:xfrm>
                    <a:prstGeom prst="rect">
                      <a:avLst/>
                    </a:prstGeom>
                    <a:noFill/>
                    <a:ln w="9525">
                      <a:noFill/>
                      <a:miter lim="800000"/>
                      <a:headEnd/>
                      <a:tailEnd/>
                    </a:ln>
                  </pic:spPr>
                </pic:pic>
              </a:graphicData>
            </a:graphic>
          </wp:inline>
        </w:drawing>
      </w:r>
    </w:p>
    <w:p w:rsidR="00C677D2" w:rsidRDefault="00BC1A1D">
      <w:pPr>
        <w:rPr>
          <w:rFonts w:asciiTheme="minorHAnsi" w:hAnsiTheme="minorHAnsi" w:cs="Arial"/>
          <w:b/>
          <w:szCs w:val="24"/>
        </w:rPr>
      </w:pPr>
      <w:r w:rsidRPr="00BC1A1D">
        <w:lastRenderedPageBreak/>
        <w:drawing>
          <wp:inline distT="0" distB="0" distL="0" distR="0">
            <wp:extent cx="5662812" cy="8441473"/>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664796" cy="8444431"/>
                    </a:xfrm>
                    <a:prstGeom prst="rect">
                      <a:avLst/>
                    </a:prstGeom>
                    <a:noFill/>
                    <a:ln w="9525">
                      <a:noFill/>
                      <a:miter lim="800000"/>
                      <a:headEnd/>
                      <a:tailEnd/>
                    </a:ln>
                  </pic:spPr>
                </pic:pic>
              </a:graphicData>
            </a:graphic>
          </wp:inline>
        </w:drawing>
      </w:r>
      <w:r w:rsidR="008F7C5B" w:rsidRPr="00115A9E">
        <w:rPr>
          <w:lang w:val="es-ES_tradnl"/>
        </w:rPr>
        <w:br w:type="page"/>
      </w:r>
      <w:r w:rsidR="00074C08" w:rsidRPr="00701BB7">
        <w:rPr>
          <w:rFonts w:asciiTheme="minorHAnsi" w:hAnsiTheme="minorHAnsi" w:cs="Arial"/>
          <w:b/>
          <w:szCs w:val="24"/>
        </w:rPr>
        <w:lastRenderedPageBreak/>
        <w:t>Anexo 2: Escenarios del Presupuesto No Básico para 2016-2018</w:t>
      </w:r>
    </w:p>
    <w:p w:rsidR="00701BB7" w:rsidRDefault="00701BB7">
      <w:pPr>
        <w:rPr>
          <w:rFonts w:asciiTheme="minorHAnsi" w:hAnsiTheme="minorHAnsi" w:cs="Arial"/>
          <w:b/>
          <w:szCs w:val="24"/>
        </w:rPr>
      </w:pPr>
    </w:p>
    <w:tbl>
      <w:tblPr>
        <w:tblW w:w="9073" w:type="dxa"/>
        <w:tblInd w:w="-34" w:type="dxa"/>
        <w:tblLook w:val="04A0"/>
      </w:tblPr>
      <w:tblGrid>
        <w:gridCol w:w="5954"/>
        <w:gridCol w:w="1559"/>
        <w:gridCol w:w="1560"/>
      </w:tblGrid>
      <w:tr w:rsidR="00EA2934" w:rsidRPr="00EA2934" w:rsidTr="00EA2934">
        <w:tc>
          <w:tcPr>
            <w:tcW w:w="5954" w:type="dxa"/>
            <w:tcBorders>
              <w:top w:val="single" w:sz="8" w:space="0" w:color="000000"/>
              <w:left w:val="single" w:sz="8" w:space="0" w:color="000000"/>
              <w:bottom w:val="single" w:sz="4" w:space="0" w:color="auto"/>
              <w:right w:val="single" w:sz="8" w:space="0" w:color="000000"/>
            </w:tcBorders>
            <w:shd w:val="clear" w:color="auto" w:fill="auto"/>
            <w:hideMark/>
          </w:tcPr>
          <w:p w:rsidR="00EA2934" w:rsidRPr="00EA2934" w:rsidRDefault="00EA2934" w:rsidP="00EA2934">
            <w:pPr>
              <w:jc w:val="center"/>
              <w:rPr>
                <w:rFonts w:asciiTheme="minorHAnsi" w:hAnsiTheme="minorHAnsi"/>
                <w:b/>
                <w:bCs/>
                <w:color w:val="000000"/>
                <w:sz w:val="20"/>
                <w:lang w:val="es-ES_tradnl"/>
              </w:rPr>
            </w:pPr>
            <w:r w:rsidRPr="00EA2934">
              <w:rPr>
                <w:rFonts w:asciiTheme="minorHAnsi" w:hAnsiTheme="minorHAnsi"/>
                <w:b/>
                <w:bCs/>
                <w:color w:val="000000"/>
                <w:sz w:val="20"/>
                <w:lang w:val="es-ES_tradnl"/>
              </w:rPr>
              <w:t>FONDOS NO BÁSICOS PARA 2016-2018</w:t>
            </w:r>
          </w:p>
        </w:tc>
        <w:tc>
          <w:tcPr>
            <w:tcW w:w="1559" w:type="dxa"/>
            <w:tcBorders>
              <w:top w:val="single" w:sz="8" w:space="0" w:color="000000"/>
              <w:left w:val="single" w:sz="8" w:space="0" w:color="000000"/>
              <w:bottom w:val="single" w:sz="4" w:space="0" w:color="auto"/>
              <w:right w:val="single" w:sz="8" w:space="0" w:color="000000"/>
            </w:tcBorders>
            <w:shd w:val="clear" w:color="auto" w:fill="auto"/>
            <w:hideMark/>
          </w:tcPr>
          <w:p w:rsidR="00EA2934" w:rsidRPr="00EA2934" w:rsidRDefault="00EA2934" w:rsidP="00287A3A">
            <w:pPr>
              <w:jc w:val="center"/>
              <w:rPr>
                <w:rFonts w:asciiTheme="minorHAnsi" w:hAnsiTheme="minorHAnsi"/>
                <w:b/>
                <w:bCs/>
                <w:color w:val="000000"/>
                <w:sz w:val="20"/>
                <w:lang w:val="es-ES_tradnl"/>
              </w:rPr>
            </w:pPr>
            <w:r w:rsidRPr="00EA2934">
              <w:rPr>
                <w:rFonts w:asciiTheme="minorHAnsi" w:hAnsiTheme="minorHAnsi"/>
                <w:b/>
                <w:bCs/>
                <w:color w:val="000000"/>
                <w:sz w:val="20"/>
                <w:lang w:val="es-ES_tradnl"/>
              </w:rPr>
              <w:t>Partida del presupuesto no básico</w:t>
            </w:r>
          </w:p>
        </w:tc>
        <w:tc>
          <w:tcPr>
            <w:tcW w:w="1560" w:type="dxa"/>
            <w:tcBorders>
              <w:top w:val="single" w:sz="8" w:space="0" w:color="000000"/>
              <w:left w:val="nil"/>
              <w:bottom w:val="single" w:sz="4" w:space="0" w:color="auto"/>
              <w:right w:val="single" w:sz="8" w:space="0" w:color="000000"/>
            </w:tcBorders>
            <w:shd w:val="clear" w:color="auto" w:fill="auto"/>
            <w:hideMark/>
          </w:tcPr>
          <w:p w:rsidR="00EA2934" w:rsidRPr="00EA2934" w:rsidRDefault="00EA2934" w:rsidP="00287A3A">
            <w:pPr>
              <w:jc w:val="center"/>
              <w:rPr>
                <w:rFonts w:asciiTheme="minorHAnsi" w:hAnsiTheme="minorHAnsi"/>
                <w:b/>
                <w:bCs/>
                <w:color w:val="000000"/>
                <w:sz w:val="20"/>
                <w:lang w:val="es-ES_tradnl"/>
              </w:rPr>
            </w:pPr>
            <w:r w:rsidRPr="00EA2934">
              <w:rPr>
                <w:rFonts w:asciiTheme="minorHAnsi" w:hAnsiTheme="minorHAnsi"/>
                <w:b/>
                <w:bCs/>
                <w:color w:val="000000"/>
                <w:sz w:val="20"/>
                <w:lang w:val="es-ES_tradnl"/>
              </w:rPr>
              <w:t>Necesidades de financiación para tres años</w:t>
            </w:r>
          </w:p>
        </w:tc>
      </w:tr>
      <w:tr w:rsidR="00EA2934" w:rsidRPr="00DA5CE4" w:rsidTr="00EA2934">
        <w:trPr>
          <w:trHeight w:val="293"/>
        </w:trPr>
        <w:tc>
          <w:tcPr>
            <w:tcW w:w="595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 xml:space="preserve">1. Costo de tres Oficiales Regionales para apoyar a las Partes que solicitan asesoramiento sobre: actualizaciones sobre sitios y el SISR, expedientes del Artículo 3.2, iniciativas regionales, supervisión de proyectos, movilización de recursos, indicadores, etc. </w:t>
            </w:r>
          </w:p>
        </w:tc>
        <w:tc>
          <w:tcPr>
            <w:tcW w:w="1559"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A</w:t>
            </w:r>
          </w:p>
        </w:tc>
        <w:tc>
          <w:tcPr>
            <w:tcW w:w="156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900.000</w:t>
            </w:r>
          </w:p>
        </w:tc>
      </w:tr>
      <w:tr w:rsidR="00EA2934" w:rsidRPr="00DA5CE4" w:rsidTr="00EA2934">
        <w:trPr>
          <w:trHeight w:val="293"/>
        </w:trPr>
        <w:tc>
          <w:tcPr>
            <w:tcW w:w="5954" w:type="dxa"/>
            <w:vMerge/>
            <w:tcBorders>
              <w:top w:val="nil"/>
              <w:left w:val="single" w:sz="8" w:space="0" w:color="000000"/>
              <w:bottom w:val="single" w:sz="8" w:space="0" w:color="000000"/>
              <w:right w:val="single" w:sz="8" w:space="0" w:color="000000"/>
            </w:tcBorders>
            <w:vAlign w:val="center"/>
            <w:hideMark/>
          </w:tcPr>
          <w:p w:rsidR="00EA2934" w:rsidRPr="00EA2934" w:rsidRDefault="00EA2934" w:rsidP="00EA2934">
            <w:pPr>
              <w:rPr>
                <w:rFonts w:asciiTheme="minorHAnsi" w:hAnsiTheme="minorHAnsi"/>
                <w:color w:val="000000"/>
                <w:sz w:val="20"/>
                <w:lang w:val="es-ES_tradnl"/>
              </w:rPr>
            </w:pPr>
          </w:p>
        </w:tc>
        <w:tc>
          <w:tcPr>
            <w:tcW w:w="1559" w:type="dxa"/>
            <w:vMerge/>
            <w:tcBorders>
              <w:top w:val="nil"/>
              <w:left w:val="single" w:sz="8" w:space="0" w:color="000000"/>
              <w:bottom w:val="single" w:sz="8" w:space="0" w:color="000000"/>
              <w:right w:val="single" w:sz="8" w:space="0" w:color="000000"/>
            </w:tcBorders>
            <w:vAlign w:val="center"/>
            <w:hideMark/>
          </w:tcPr>
          <w:p w:rsidR="00EA2934" w:rsidRPr="00EA2934" w:rsidRDefault="00EA2934" w:rsidP="00287A3A">
            <w:pPr>
              <w:rPr>
                <w:rFonts w:asciiTheme="minorHAnsi" w:hAnsiTheme="minorHAnsi"/>
                <w:color w:val="000000"/>
                <w:sz w:val="20"/>
                <w:lang w:val="es-ES_tradnl"/>
              </w:rPr>
            </w:pPr>
          </w:p>
        </w:tc>
        <w:tc>
          <w:tcPr>
            <w:tcW w:w="1560" w:type="dxa"/>
            <w:vMerge/>
            <w:tcBorders>
              <w:top w:val="nil"/>
              <w:left w:val="single" w:sz="8" w:space="0" w:color="000000"/>
              <w:bottom w:val="single" w:sz="8" w:space="0" w:color="000000"/>
              <w:right w:val="single" w:sz="8" w:space="0" w:color="000000"/>
            </w:tcBorders>
            <w:vAlign w:val="center"/>
            <w:hideMark/>
          </w:tcPr>
          <w:p w:rsidR="00EA2934" w:rsidRPr="00EA2934" w:rsidRDefault="00EA2934" w:rsidP="00287A3A">
            <w:pPr>
              <w:rPr>
                <w:rFonts w:asciiTheme="minorHAnsi" w:hAnsiTheme="minorHAnsi"/>
                <w:color w:val="000000"/>
                <w:sz w:val="20"/>
                <w:lang w:val="es-ES_tradnl"/>
              </w:rPr>
            </w:pP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2. Misiones Ramsar de Asesoramiento para Partes que necesitan asistencia</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B</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620.000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3. Apoyo al establecimiento de una Alianza Mundial para la Restauración de los Humedales, que facilita el apoyo dedicado a proyectos con arreglo a los objetivos del Cuarto Plan Estratégico mediante el apoyo de las alianzas y las Partes</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C</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500.000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4. Apoyo para introducir el idioma árabe en todos los aspectos del sitio web, el SISR, los medios de comunicación, las publicaciones y el apoyo para las Partes de habla árabe</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D</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1.400.000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5. Establecimiento de contactos con profesionales del sector de los humedales y funcionamiento de una red virtual para ellos, a fin de ayudar a difundir material específico, crear capacidad, intercambiar experiencias e intensificar el flujo de información entre países y personas</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E</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360.000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 xml:space="preserve">6. Apoyo al nuevo programa de trabajo del GECT para 2016-2018 con provisiones para el examen de los procesos y productos del Grupo y el ajuste a la nueva estrategia, y para la prestación de asesoramiento técnico adaptado en respuesta a las necesidades que se hayan determinado </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F</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750.000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7. Apoyo a Redes y Centros de Iniciativas Regionales. Financiación de sus actividades prioritarias</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G</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820.000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8. Mayor nivel de colaboración con GlobWetlands, la NASA, la JAXA y la ESA a fin de aportar los beneficios de la observación de la Tierra y la participación de los ciudadanos a las Partes y utilizar los progresos vigentes para aprovechar las nuevas mejoras de los conjuntos de datos y la disponibilidad de macrodatos</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H</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350.000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9. Apoyo y cofinanciación para el desarrollo de la Red de Cultura de Ramsar y esfuerzos más amplios para un mayor aprecio de “Humedales, Cultura y Medios de Vida”, que inicialmente cuenta con el apoyo de la Fundación Mava</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I</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400.000</w:t>
            </w:r>
          </w:p>
        </w:tc>
      </w:tr>
      <w:tr w:rsidR="00EA2934" w:rsidRPr="00DA5CE4" w:rsidTr="00EA2934">
        <w:tc>
          <w:tcPr>
            <w:tcW w:w="5954" w:type="dxa"/>
            <w:tcBorders>
              <w:top w:val="nil"/>
              <w:left w:val="single" w:sz="8" w:space="0" w:color="000000"/>
              <w:bottom w:val="single" w:sz="4" w:space="0" w:color="auto"/>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 xml:space="preserve">10. Dotación de recursos por valor de 700.000 francos suizos anuales para el Fondo de Pequeñas Subvenciones destinado a la protección y el uso racional de los humedales </w:t>
            </w:r>
          </w:p>
        </w:tc>
        <w:tc>
          <w:tcPr>
            <w:tcW w:w="1559" w:type="dxa"/>
            <w:tcBorders>
              <w:top w:val="nil"/>
              <w:left w:val="nil"/>
              <w:bottom w:val="single" w:sz="4" w:space="0" w:color="auto"/>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J</w:t>
            </w:r>
          </w:p>
        </w:tc>
        <w:tc>
          <w:tcPr>
            <w:tcW w:w="1560" w:type="dxa"/>
            <w:tcBorders>
              <w:top w:val="nil"/>
              <w:left w:val="nil"/>
              <w:bottom w:val="single" w:sz="4" w:space="0" w:color="auto"/>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2.100.000</w:t>
            </w:r>
          </w:p>
        </w:tc>
      </w:tr>
      <w:tr w:rsidR="00EA2934" w:rsidRPr="00DA5CE4" w:rsidTr="00EA293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11. Elaboración de sistemas de presentación de informes en línea e indicadores para el Cuarto Plan Estratégico de Ramsar (2016-2021)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K</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230.000</w:t>
            </w:r>
          </w:p>
        </w:tc>
      </w:tr>
      <w:tr w:rsidR="00EA2934" w:rsidRPr="00DA5CE4" w:rsidTr="00EA293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12.  Programa CECoP de Ramsar (2016-2021 )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L</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600.000</w:t>
            </w:r>
          </w:p>
        </w:tc>
      </w:tr>
      <w:tr w:rsidR="00EA2934" w:rsidRPr="00DA5CE4" w:rsidTr="00EA2934">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13. Día Mundial de los Humedales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M</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150.000</w:t>
            </w:r>
          </w:p>
        </w:tc>
      </w:tr>
      <w:tr w:rsidR="00EA2934" w:rsidRPr="00DA5CE4" w:rsidTr="00EA2934">
        <w:tc>
          <w:tcPr>
            <w:tcW w:w="5954" w:type="dxa"/>
            <w:tcBorders>
              <w:top w:val="single" w:sz="4" w:space="0" w:color="auto"/>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b/>
                <w:color w:val="000000"/>
                <w:sz w:val="20"/>
                <w:lang w:val="es-ES_tradnl"/>
              </w:rPr>
            </w:pPr>
            <w:r w:rsidRPr="00EA2934">
              <w:rPr>
                <w:rFonts w:asciiTheme="minorHAnsi" w:hAnsiTheme="minorHAnsi"/>
                <w:color w:val="000000"/>
                <w:sz w:val="20"/>
                <w:lang w:val="es-ES_tradnl"/>
              </w:rPr>
              <w:t xml:space="preserve">14.  Elaboración de un informe ”Perspectiva de los sitios Ramsar”, similar al informe </w:t>
            </w:r>
            <w:r w:rsidRPr="00EA2934">
              <w:rPr>
                <w:rFonts w:asciiTheme="minorHAnsi" w:hAnsiTheme="minorHAnsi"/>
                <w:i/>
                <w:color w:val="000000"/>
                <w:sz w:val="20"/>
                <w:lang w:val="es-ES_tradnl"/>
              </w:rPr>
              <w:t xml:space="preserve">IUCN Conservation Outlook, </w:t>
            </w:r>
            <w:r w:rsidRPr="00EA2934">
              <w:rPr>
                <w:rFonts w:asciiTheme="minorHAnsi" w:hAnsiTheme="minorHAnsi"/>
                <w:color w:val="000000"/>
                <w:sz w:val="20"/>
                <w:lang w:val="es-ES_tradnl"/>
              </w:rPr>
              <w:t>de reciente publicación</w:t>
            </w:r>
          </w:p>
        </w:tc>
        <w:tc>
          <w:tcPr>
            <w:tcW w:w="1559" w:type="dxa"/>
            <w:tcBorders>
              <w:top w:val="single" w:sz="4" w:space="0" w:color="auto"/>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N</w:t>
            </w:r>
          </w:p>
        </w:tc>
        <w:tc>
          <w:tcPr>
            <w:tcW w:w="1560" w:type="dxa"/>
            <w:tcBorders>
              <w:top w:val="single" w:sz="4" w:space="0" w:color="auto"/>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225.000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vAlign w:val="bottom"/>
            <w:hideMark/>
          </w:tcPr>
          <w:p w:rsidR="00EA2934" w:rsidRPr="00EA2934" w:rsidRDefault="00EA2934" w:rsidP="00EA2934">
            <w:pPr>
              <w:rPr>
                <w:rFonts w:asciiTheme="minorHAnsi" w:hAnsiTheme="minorHAnsi"/>
                <w:b/>
                <w:bCs/>
                <w:color w:val="000000"/>
                <w:sz w:val="20"/>
                <w:lang w:val="es-ES_tradnl"/>
              </w:rPr>
            </w:pPr>
            <w:r w:rsidRPr="00EA2934">
              <w:rPr>
                <w:rFonts w:asciiTheme="minorHAnsi" w:hAnsiTheme="minorHAnsi"/>
                <w:b/>
                <w:bCs/>
                <w:color w:val="000000"/>
                <w:sz w:val="20"/>
                <w:lang w:val="es-ES_tradnl"/>
              </w:rPr>
              <w:t>GASTOS DE LA COP 13</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 </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 </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15.  Costos de las reuniones regionales previas a la COP con participación íntegra en apoyo de los delegados y costos de las reuniones preparatorias para la COP13</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O</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650.000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color w:val="000000"/>
                <w:sz w:val="20"/>
                <w:lang w:val="es-ES_tradnl"/>
              </w:rPr>
            </w:pPr>
            <w:r w:rsidRPr="00EA2934">
              <w:rPr>
                <w:rFonts w:asciiTheme="minorHAnsi" w:hAnsiTheme="minorHAnsi"/>
                <w:color w:val="000000"/>
                <w:sz w:val="20"/>
                <w:lang w:val="es-ES_tradnl"/>
              </w:rPr>
              <w:t>16.  Patrocinio para la asistencia a la COP13, en 2018, de delegados que cumplan los requisitos</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P</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color w:val="000000"/>
                <w:sz w:val="20"/>
                <w:lang w:val="es-ES_tradnl"/>
              </w:rPr>
            </w:pPr>
            <w:r w:rsidRPr="00EA2934">
              <w:rPr>
                <w:rFonts w:asciiTheme="minorHAnsi" w:hAnsiTheme="minorHAnsi"/>
                <w:color w:val="000000"/>
                <w:sz w:val="20"/>
                <w:lang w:val="es-ES_tradnl"/>
              </w:rPr>
              <w:t>600.000</w:t>
            </w:r>
          </w:p>
        </w:tc>
      </w:tr>
      <w:tr w:rsidR="00EA2934" w:rsidRPr="00DA5CE4" w:rsidTr="00EA2934">
        <w:tc>
          <w:tcPr>
            <w:tcW w:w="5954" w:type="dxa"/>
            <w:tcBorders>
              <w:top w:val="nil"/>
              <w:left w:val="single" w:sz="8" w:space="0" w:color="000000"/>
              <w:bottom w:val="single" w:sz="8" w:space="0" w:color="000000"/>
              <w:right w:val="single" w:sz="8" w:space="0" w:color="000000"/>
            </w:tcBorders>
            <w:shd w:val="clear" w:color="auto" w:fill="auto"/>
            <w:hideMark/>
          </w:tcPr>
          <w:p w:rsidR="00EA2934" w:rsidRPr="00EA2934" w:rsidRDefault="00EA2934" w:rsidP="00EA2934">
            <w:pPr>
              <w:rPr>
                <w:rFonts w:asciiTheme="minorHAnsi" w:hAnsiTheme="minorHAnsi"/>
                <w:b/>
                <w:bCs/>
                <w:color w:val="000000"/>
                <w:sz w:val="20"/>
                <w:lang w:val="es-ES_tradnl"/>
              </w:rPr>
            </w:pPr>
            <w:r w:rsidRPr="00EA2934">
              <w:rPr>
                <w:rFonts w:asciiTheme="minorHAnsi" w:hAnsiTheme="minorHAnsi"/>
                <w:b/>
                <w:bCs/>
                <w:color w:val="000000"/>
                <w:sz w:val="20"/>
                <w:lang w:val="es-ES_tradnl"/>
              </w:rPr>
              <w:t xml:space="preserve">TOTAL </w:t>
            </w:r>
          </w:p>
        </w:tc>
        <w:tc>
          <w:tcPr>
            <w:tcW w:w="1559"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b/>
                <w:bCs/>
                <w:color w:val="000000"/>
                <w:sz w:val="20"/>
                <w:lang w:val="es-ES_tradnl"/>
              </w:rPr>
            </w:pPr>
            <w:r w:rsidRPr="00EA2934">
              <w:rPr>
                <w:rFonts w:asciiTheme="minorHAnsi" w:hAnsiTheme="minorHAnsi"/>
                <w:b/>
                <w:bCs/>
                <w:color w:val="000000"/>
                <w:sz w:val="20"/>
                <w:lang w:val="es-ES_tradnl"/>
              </w:rPr>
              <w:t>CHF</w:t>
            </w:r>
          </w:p>
        </w:tc>
        <w:tc>
          <w:tcPr>
            <w:tcW w:w="1560" w:type="dxa"/>
            <w:tcBorders>
              <w:top w:val="nil"/>
              <w:left w:val="nil"/>
              <w:bottom w:val="single" w:sz="8" w:space="0" w:color="000000"/>
              <w:right w:val="single" w:sz="8" w:space="0" w:color="000000"/>
            </w:tcBorders>
            <w:shd w:val="clear" w:color="auto" w:fill="auto"/>
            <w:hideMark/>
          </w:tcPr>
          <w:p w:rsidR="00EA2934" w:rsidRPr="00EA2934" w:rsidRDefault="00EA2934" w:rsidP="00287A3A">
            <w:pPr>
              <w:jc w:val="center"/>
              <w:rPr>
                <w:rFonts w:asciiTheme="minorHAnsi" w:hAnsiTheme="minorHAnsi"/>
                <w:b/>
                <w:bCs/>
                <w:color w:val="000000"/>
                <w:sz w:val="20"/>
                <w:lang w:val="es-ES_tradnl"/>
              </w:rPr>
            </w:pPr>
            <w:r w:rsidRPr="00EA2934">
              <w:rPr>
                <w:rFonts w:asciiTheme="minorHAnsi" w:hAnsiTheme="minorHAnsi"/>
                <w:b/>
                <w:bCs/>
                <w:color w:val="000000"/>
                <w:sz w:val="20"/>
                <w:lang w:val="es-ES_tradnl"/>
              </w:rPr>
              <w:t>10.655.000</w:t>
            </w:r>
          </w:p>
        </w:tc>
      </w:tr>
    </w:tbl>
    <w:p w:rsidR="000125BC" w:rsidRPr="00115A9E" w:rsidRDefault="000125BC">
      <w:pPr>
        <w:rPr>
          <w:lang w:val="es-ES_tradnl"/>
        </w:rPr>
      </w:pPr>
    </w:p>
    <w:p w:rsidR="005F1C90" w:rsidRPr="00115A9E" w:rsidRDefault="005F1C90">
      <w:pPr>
        <w:rPr>
          <w:lang w:val="es-ES_tradnl"/>
        </w:rPr>
      </w:pPr>
    </w:p>
    <w:p w:rsidR="00701BB7" w:rsidRDefault="00074C08" w:rsidP="00701BB7">
      <w:pPr>
        <w:pStyle w:val="Header"/>
        <w:rPr>
          <w:rFonts w:asciiTheme="minorHAnsi" w:hAnsiTheme="minorHAnsi" w:cs="Arial"/>
          <w:b/>
          <w:szCs w:val="24"/>
        </w:rPr>
      </w:pPr>
      <w:r w:rsidRPr="00701BB7">
        <w:rPr>
          <w:rFonts w:asciiTheme="minorHAnsi" w:hAnsiTheme="minorHAnsi" w:cs="Arial"/>
          <w:b/>
          <w:szCs w:val="24"/>
        </w:rPr>
        <w:t>Anexo 3: Contribuciones de las Partes Contratantes para 2016-2018 en los Escenarios A, B y C, y variación respecto a 2015</w:t>
      </w:r>
    </w:p>
    <w:p w:rsidR="00287A3A" w:rsidRDefault="00287A3A" w:rsidP="00701BB7">
      <w:pPr>
        <w:pStyle w:val="Header"/>
        <w:rPr>
          <w:rFonts w:asciiTheme="minorHAnsi" w:hAnsiTheme="minorHAnsi" w:cs="Arial"/>
          <w:b/>
          <w:szCs w:val="24"/>
        </w:rPr>
      </w:pPr>
    </w:p>
    <w:p w:rsidR="00FA72AF" w:rsidRDefault="00287A3A" w:rsidP="00820027">
      <w:pPr>
        <w:rPr>
          <w:lang w:val="es-ES_tradnl"/>
        </w:rPr>
      </w:pPr>
      <w:r w:rsidRPr="00287A3A">
        <w:drawing>
          <wp:inline distT="0" distB="0" distL="0" distR="0">
            <wp:extent cx="5606360" cy="7895063"/>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605467" cy="7893805"/>
                    </a:xfrm>
                    <a:prstGeom prst="rect">
                      <a:avLst/>
                    </a:prstGeom>
                    <a:noFill/>
                    <a:ln w="9525">
                      <a:noFill/>
                      <a:miter lim="800000"/>
                      <a:headEnd/>
                      <a:tailEnd/>
                    </a:ln>
                  </pic:spPr>
                </pic:pic>
              </a:graphicData>
            </a:graphic>
          </wp:inline>
        </w:drawing>
      </w:r>
    </w:p>
    <w:p w:rsidR="00287A3A" w:rsidRDefault="006055E6" w:rsidP="00820027">
      <w:pPr>
        <w:rPr>
          <w:lang w:val="es-ES_tradnl"/>
        </w:rPr>
      </w:pPr>
      <w:r w:rsidRPr="006055E6">
        <w:lastRenderedPageBreak/>
        <w:drawing>
          <wp:inline distT="0" distB="0" distL="0" distR="0">
            <wp:extent cx="5621077" cy="8302352"/>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622282" cy="8304132"/>
                    </a:xfrm>
                    <a:prstGeom prst="rect">
                      <a:avLst/>
                    </a:prstGeom>
                    <a:noFill/>
                    <a:ln w="9525">
                      <a:noFill/>
                      <a:miter lim="800000"/>
                      <a:headEnd/>
                      <a:tailEnd/>
                    </a:ln>
                  </pic:spPr>
                </pic:pic>
              </a:graphicData>
            </a:graphic>
          </wp:inline>
        </w:drawing>
      </w:r>
    </w:p>
    <w:p w:rsidR="00287A3A" w:rsidRPr="00115A9E" w:rsidRDefault="00287A3A" w:rsidP="00820027">
      <w:pPr>
        <w:rPr>
          <w:lang w:val="es-ES_tradnl"/>
        </w:rPr>
      </w:pPr>
    </w:p>
    <w:p w:rsidR="00820027" w:rsidRPr="00115A9E" w:rsidRDefault="006055E6" w:rsidP="00820027">
      <w:pPr>
        <w:rPr>
          <w:lang w:val="es-ES_tradnl"/>
        </w:rPr>
      </w:pPr>
      <w:r w:rsidRPr="006055E6">
        <w:lastRenderedPageBreak/>
        <w:drawing>
          <wp:inline distT="0" distB="0" distL="0" distR="0">
            <wp:extent cx="5605187" cy="8259745"/>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602643" cy="8255996"/>
                    </a:xfrm>
                    <a:prstGeom prst="rect">
                      <a:avLst/>
                    </a:prstGeom>
                    <a:noFill/>
                    <a:ln w="9525">
                      <a:noFill/>
                      <a:miter lim="800000"/>
                      <a:headEnd/>
                      <a:tailEnd/>
                    </a:ln>
                  </pic:spPr>
                </pic:pic>
              </a:graphicData>
            </a:graphic>
          </wp:inline>
        </w:drawing>
      </w:r>
    </w:p>
    <w:p w:rsidR="00BD41CF" w:rsidRDefault="00BD41CF">
      <w:pPr>
        <w:spacing w:after="200" w:line="276" w:lineRule="auto"/>
        <w:rPr>
          <w:rFonts w:asciiTheme="minorHAnsi" w:hAnsiTheme="minorHAnsi" w:cs="Arial"/>
          <w:b/>
          <w:szCs w:val="24"/>
        </w:rPr>
      </w:pPr>
      <w:r>
        <w:rPr>
          <w:rFonts w:asciiTheme="minorHAnsi" w:hAnsiTheme="minorHAnsi" w:cs="Arial"/>
          <w:b/>
          <w:szCs w:val="24"/>
        </w:rPr>
        <w:br w:type="page"/>
      </w:r>
    </w:p>
    <w:p w:rsidR="00FE4B05" w:rsidRPr="00701BB7" w:rsidRDefault="005B657B" w:rsidP="00701BB7">
      <w:pPr>
        <w:pStyle w:val="Header"/>
        <w:rPr>
          <w:rFonts w:asciiTheme="minorHAnsi" w:hAnsiTheme="minorHAnsi" w:cs="Arial"/>
          <w:b/>
          <w:szCs w:val="24"/>
        </w:rPr>
      </w:pPr>
      <w:r w:rsidRPr="00701BB7">
        <w:rPr>
          <w:rFonts w:asciiTheme="minorHAnsi" w:hAnsiTheme="minorHAnsi" w:cs="Arial"/>
          <w:b/>
          <w:szCs w:val="24"/>
        </w:rPr>
        <w:t>An</w:t>
      </w:r>
      <w:r w:rsidR="00FE4B05" w:rsidRPr="00701BB7">
        <w:rPr>
          <w:rFonts w:asciiTheme="minorHAnsi" w:hAnsiTheme="minorHAnsi" w:cs="Arial"/>
          <w:b/>
          <w:szCs w:val="24"/>
        </w:rPr>
        <w:t>ex</w:t>
      </w:r>
      <w:r w:rsidRPr="00701BB7">
        <w:rPr>
          <w:rFonts w:asciiTheme="minorHAnsi" w:hAnsiTheme="minorHAnsi" w:cs="Arial"/>
          <w:b/>
          <w:szCs w:val="24"/>
        </w:rPr>
        <w:t>o 4:</w:t>
      </w:r>
      <w:r w:rsidR="00FE4B05" w:rsidRPr="00701BB7">
        <w:rPr>
          <w:rFonts w:asciiTheme="minorHAnsi" w:hAnsiTheme="minorHAnsi" w:cs="Arial"/>
          <w:b/>
          <w:szCs w:val="24"/>
        </w:rPr>
        <w:t xml:space="preserve"> </w:t>
      </w:r>
      <w:r w:rsidRPr="00701BB7">
        <w:rPr>
          <w:rFonts w:asciiTheme="minorHAnsi" w:hAnsiTheme="minorHAnsi" w:cs="Arial"/>
          <w:b/>
          <w:szCs w:val="24"/>
        </w:rPr>
        <w:t>Puestos del personal a febrero de 2015</w:t>
      </w:r>
    </w:p>
    <w:p w:rsidR="00FE4B05" w:rsidRPr="00701BB7" w:rsidRDefault="00FE4B05" w:rsidP="00701BB7">
      <w:pPr>
        <w:pStyle w:val="Header"/>
        <w:rPr>
          <w:rFonts w:asciiTheme="minorHAnsi" w:hAnsiTheme="minorHAnsi" w:cs="Arial"/>
          <w:b/>
          <w:szCs w:val="24"/>
        </w:rPr>
      </w:pPr>
    </w:p>
    <w:p w:rsidR="00FE4B05" w:rsidRPr="00115A9E" w:rsidRDefault="006055E6" w:rsidP="00820027">
      <w:pPr>
        <w:rPr>
          <w:sz w:val="28"/>
          <w:szCs w:val="28"/>
          <w:lang w:val="es-ES_tradnl"/>
        </w:rPr>
      </w:pPr>
      <w:r w:rsidRPr="006055E6">
        <w:rPr>
          <w:szCs w:val="28"/>
        </w:rPr>
        <w:drawing>
          <wp:inline distT="0" distB="0" distL="0" distR="0">
            <wp:extent cx="5732145" cy="5486302"/>
            <wp:effectExtent l="19050" t="0" r="1905"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732145" cy="5486302"/>
                    </a:xfrm>
                    <a:prstGeom prst="rect">
                      <a:avLst/>
                    </a:prstGeom>
                    <a:noFill/>
                    <a:ln w="9525">
                      <a:noFill/>
                      <a:miter lim="800000"/>
                      <a:headEnd/>
                      <a:tailEnd/>
                    </a:ln>
                  </pic:spPr>
                </pic:pic>
              </a:graphicData>
            </a:graphic>
          </wp:inline>
        </w:drawing>
      </w:r>
    </w:p>
    <w:p w:rsidR="00C55CAA" w:rsidRPr="00115A9E" w:rsidRDefault="00C55CAA" w:rsidP="00820027">
      <w:pPr>
        <w:rPr>
          <w:sz w:val="28"/>
          <w:szCs w:val="28"/>
          <w:lang w:val="es-ES_tradnl"/>
        </w:rPr>
      </w:pPr>
    </w:p>
    <w:p w:rsidR="00C55CAA" w:rsidRPr="00115A9E" w:rsidRDefault="00C55CAA" w:rsidP="00820027">
      <w:pPr>
        <w:rPr>
          <w:sz w:val="28"/>
          <w:szCs w:val="28"/>
          <w:lang w:val="es-ES_tradnl"/>
        </w:rPr>
      </w:pPr>
    </w:p>
    <w:p w:rsidR="00C55CAA" w:rsidRPr="00115A9E" w:rsidRDefault="00C55CAA">
      <w:pPr>
        <w:spacing w:after="200" w:line="276" w:lineRule="auto"/>
        <w:rPr>
          <w:sz w:val="28"/>
          <w:szCs w:val="28"/>
          <w:lang w:val="es-ES_tradnl"/>
        </w:rPr>
      </w:pPr>
      <w:r w:rsidRPr="00115A9E">
        <w:rPr>
          <w:sz w:val="28"/>
          <w:szCs w:val="28"/>
          <w:lang w:val="es-ES_tradnl"/>
        </w:rPr>
        <w:br w:type="page"/>
      </w:r>
    </w:p>
    <w:p w:rsidR="00C55CAA" w:rsidRPr="00701BB7" w:rsidRDefault="00C55CAA" w:rsidP="00701BB7">
      <w:pPr>
        <w:rPr>
          <w:rFonts w:asciiTheme="minorHAnsi" w:hAnsiTheme="minorHAnsi" w:cs="Arial"/>
          <w:b/>
          <w:szCs w:val="24"/>
        </w:rPr>
      </w:pPr>
      <w:r w:rsidRPr="00701BB7">
        <w:rPr>
          <w:rFonts w:asciiTheme="minorHAnsi" w:hAnsiTheme="minorHAnsi" w:cs="Arial"/>
          <w:b/>
          <w:szCs w:val="24"/>
        </w:rPr>
        <w:lastRenderedPageBreak/>
        <w:t>A</w:t>
      </w:r>
      <w:r w:rsidR="005B657B" w:rsidRPr="00701BB7">
        <w:rPr>
          <w:rFonts w:asciiTheme="minorHAnsi" w:hAnsiTheme="minorHAnsi" w:cs="Arial"/>
          <w:b/>
          <w:szCs w:val="24"/>
        </w:rPr>
        <w:t>n</w:t>
      </w:r>
      <w:r w:rsidRPr="00701BB7">
        <w:rPr>
          <w:rFonts w:asciiTheme="minorHAnsi" w:hAnsiTheme="minorHAnsi" w:cs="Arial"/>
          <w:b/>
          <w:szCs w:val="24"/>
        </w:rPr>
        <w:t>ex</w:t>
      </w:r>
      <w:r w:rsidR="005B657B" w:rsidRPr="00701BB7">
        <w:rPr>
          <w:rFonts w:asciiTheme="minorHAnsi" w:hAnsiTheme="minorHAnsi" w:cs="Arial"/>
          <w:b/>
          <w:szCs w:val="24"/>
        </w:rPr>
        <w:t>o</w:t>
      </w:r>
      <w:r w:rsidRPr="00701BB7">
        <w:rPr>
          <w:rFonts w:asciiTheme="minorHAnsi" w:hAnsiTheme="minorHAnsi" w:cs="Arial"/>
          <w:b/>
          <w:szCs w:val="24"/>
        </w:rPr>
        <w:t xml:space="preserve"> 5: </w:t>
      </w:r>
      <w:r w:rsidR="00A66315" w:rsidRPr="00701BB7">
        <w:rPr>
          <w:rFonts w:asciiTheme="minorHAnsi" w:hAnsiTheme="minorHAnsi" w:cs="Arial"/>
          <w:b/>
          <w:szCs w:val="24"/>
        </w:rPr>
        <w:t>Sinopsis de los result</w:t>
      </w:r>
      <w:r w:rsidR="00984B2C" w:rsidRPr="00701BB7">
        <w:rPr>
          <w:rFonts w:asciiTheme="minorHAnsi" w:hAnsiTheme="minorHAnsi" w:cs="Arial"/>
          <w:b/>
          <w:szCs w:val="24"/>
        </w:rPr>
        <w:t>ados financieros – P</w:t>
      </w:r>
      <w:r w:rsidR="006977EB" w:rsidRPr="00701BB7">
        <w:rPr>
          <w:rFonts w:asciiTheme="minorHAnsi" w:hAnsiTheme="minorHAnsi" w:cs="Arial"/>
          <w:b/>
          <w:szCs w:val="24"/>
        </w:rPr>
        <w:t>resupuesto b</w:t>
      </w:r>
      <w:r w:rsidR="00A66315" w:rsidRPr="00701BB7">
        <w:rPr>
          <w:rFonts w:asciiTheme="minorHAnsi" w:hAnsiTheme="minorHAnsi" w:cs="Arial"/>
          <w:b/>
          <w:szCs w:val="24"/>
        </w:rPr>
        <w:t xml:space="preserve">ásico, 2013-2014 y Presupuesto aprobado para </w:t>
      </w:r>
      <w:r w:rsidRPr="00701BB7">
        <w:rPr>
          <w:rFonts w:asciiTheme="minorHAnsi" w:hAnsiTheme="minorHAnsi" w:cs="Arial"/>
          <w:b/>
          <w:szCs w:val="24"/>
        </w:rPr>
        <w:t>2015 (SC48)</w:t>
      </w:r>
    </w:p>
    <w:p w:rsidR="00C55CAA" w:rsidRPr="00115A9E" w:rsidRDefault="00C55CAA" w:rsidP="00C55CAA">
      <w:pPr>
        <w:rPr>
          <w:sz w:val="28"/>
          <w:szCs w:val="28"/>
          <w:lang w:val="es-ES_tradnl"/>
        </w:rPr>
      </w:pPr>
    </w:p>
    <w:p w:rsidR="00C55CAA" w:rsidRPr="00115A9E" w:rsidRDefault="000D5AB7" w:rsidP="00820027">
      <w:pPr>
        <w:rPr>
          <w:sz w:val="28"/>
          <w:szCs w:val="28"/>
          <w:lang w:val="es-ES_tradnl"/>
        </w:rPr>
      </w:pPr>
      <w:r w:rsidRPr="000D5AB7">
        <w:rPr>
          <w:szCs w:val="28"/>
        </w:rPr>
        <w:drawing>
          <wp:inline distT="0" distB="0" distL="0" distR="0">
            <wp:extent cx="5732145" cy="4256848"/>
            <wp:effectExtent l="19050" t="0" r="1905"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5732145" cy="4256848"/>
                    </a:xfrm>
                    <a:prstGeom prst="rect">
                      <a:avLst/>
                    </a:prstGeom>
                    <a:noFill/>
                    <a:ln w="9525">
                      <a:noFill/>
                      <a:miter lim="800000"/>
                      <a:headEnd/>
                      <a:tailEnd/>
                    </a:ln>
                  </pic:spPr>
                </pic:pic>
              </a:graphicData>
            </a:graphic>
          </wp:inline>
        </w:drawing>
      </w:r>
    </w:p>
    <w:sectPr w:rsidR="00C55CAA" w:rsidRPr="00115A9E" w:rsidSect="00BD41CF">
      <w:footerReference w:type="default" r:id="rId18"/>
      <w:pgSz w:w="11907" w:h="16839"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E6" w:rsidRDefault="006055E6" w:rsidP="00DC5A58">
      <w:r>
        <w:separator/>
      </w:r>
    </w:p>
  </w:endnote>
  <w:endnote w:type="continuationSeparator" w:id="0">
    <w:p w:rsidR="006055E6" w:rsidRDefault="006055E6" w:rsidP="00DC5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CF" w:rsidRPr="00BD41CF" w:rsidRDefault="00BD41CF" w:rsidP="00BD41CF">
    <w:pPr>
      <w:pStyle w:val="Header"/>
      <w:ind w:right="-45"/>
      <w:rPr>
        <w:rFonts w:asciiTheme="minorHAnsi" w:hAnsiTheme="minorHAnsi"/>
        <w:sz w:val="20"/>
      </w:rPr>
    </w:pPr>
    <w:r w:rsidRPr="00A673F6">
      <w:rPr>
        <w:rFonts w:asciiTheme="minorHAnsi" w:hAnsiTheme="minorHAnsi"/>
        <w:sz w:val="20"/>
      </w:rPr>
      <w:t xml:space="preserve">Ramsar </w:t>
    </w:r>
    <w:r w:rsidRPr="004C3423">
      <w:rPr>
        <w:rFonts w:asciiTheme="minorHAnsi" w:hAnsiTheme="minorHAnsi"/>
        <w:sz w:val="20"/>
      </w:rPr>
      <w:t>COP12 DOC.</w:t>
    </w:r>
    <w:r>
      <w:rPr>
        <w:rFonts w:asciiTheme="minorHAnsi" w:hAnsiTheme="minorHAnsi"/>
        <w:sz w:val="20"/>
      </w:rPr>
      <w:t>14</w:t>
    </w:r>
    <w:r w:rsidRPr="00A673F6">
      <w:rPr>
        <w:rFonts w:asciiTheme="minorHAnsi" w:hAnsiTheme="minorHAnsi"/>
        <w:sz w:val="20"/>
      </w:rPr>
      <w:tab/>
    </w:r>
    <w:r w:rsidRPr="00A673F6">
      <w:rPr>
        <w:rFonts w:asciiTheme="minorHAnsi" w:hAnsiTheme="minorHAnsi"/>
        <w:sz w:val="20"/>
      </w:rPr>
      <w:tab/>
    </w:r>
    <w:r>
      <w:rPr>
        <w:rStyle w:val="PageNumber"/>
        <w:rFonts w:asciiTheme="minorHAnsi" w:hAnsiTheme="minorHAnsi"/>
        <w:sz w:val="20"/>
      </w:rPr>
      <w:fldChar w:fldCharType="begin"/>
    </w:r>
    <w:r>
      <w:rPr>
        <w:rStyle w:val="PageNumber"/>
        <w:rFonts w:asciiTheme="minorHAnsi" w:hAnsiTheme="minorHAnsi"/>
        <w:sz w:val="20"/>
      </w:rPr>
      <w:instrText xml:space="preserve"> PAGE  \* Arabic </w:instrText>
    </w:r>
    <w:r>
      <w:rPr>
        <w:rStyle w:val="PageNumber"/>
        <w:rFonts w:asciiTheme="minorHAnsi" w:hAnsiTheme="minorHAnsi"/>
        <w:sz w:val="20"/>
      </w:rPr>
      <w:fldChar w:fldCharType="separate"/>
    </w:r>
    <w:r>
      <w:rPr>
        <w:rStyle w:val="PageNumber"/>
        <w:rFonts w:asciiTheme="minorHAnsi" w:hAnsiTheme="minorHAnsi"/>
        <w:noProof/>
        <w:sz w:val="20"/>
      </w:rPr>
      <w:t>14</w:t>
    </w:r>
    <w:r>
      <w:rPr>
        <w:rStyle w:val="PageNumbe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E6" w:rsidRDefault="006055E6" w:rsidP="00DC5A58">
      <w:r>
        <w:separator/>
      </w:r>
    </w:p>
  </w:footnote>
  <w:footnote w:type="continuationSeparator" w:id="0">
    <w:p w:rsidR="006055E6" w:rsidRDefault="006055E6" w:rsidP="00DC5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9C7"/>
    <w:multiLevelType w:val="hybridMultilevel"/>
    <w:tmpl w:val="C0586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35C54"/>
    <w:multiLevelType w:val="hybridMultilevel"/>
    <w:tmpl w:val="BAFE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B0767"/>
    <w:multiLevelType w:val="hybridMultilevel"/>
    <w:tmpl w:val="6C50B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233B"/>
    <w:multiLevelType w:val="hybridMultilevel"/>
    <w:tmpl w:val="80E8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24436"/>
    <w:multiLevelType w:val="hybridMultilevel"/>
    <w:tmpl w:val="DC2C4578"/>
    <w:lvl w:ilvl="0" w:tplc="583C7D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5887C07"/>
    <w:multiLevelType w:val="hybridMultilevel"/>
    <w:tmpl w:val="DF48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7725EC"/>
    <w:multiLevelType w:val="hybridMultilevel"/>
    <w:tmpl w:val="0F5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40EF6"/>
    <w:rsid w:val="000125BC"/>
    <w:rsid w:val="0002435D"/>
    <w:rsid w:val="000323A6"/>
    <w:rsid w:val="00040EF6"/>
    <w:rsid w:val="0006107A"/>
    <w:rsid w:val="00067848"/>
    <w:rsid w:val="00074C08"/>
    <w:rsid w:val="0008140F"/>
    <w:rsid w:val="00087806"/>
    <w:rsid w:val="000B2125"/>
    <w:rsid w:val="000B2DC5"/>
    <w:rsid w:val="000D0D48"/>
    <w:rsid w:val="000D5AB7"/>
    <w:rsid w:val="000D6FC1"/>
    <w:rsid w:val="000E5922"/>
    <w:rsid w:val="00100B92"/>
    <w:rsid w:val="00115A9E"/>
    <w:rsid w:val="001167EB"/>
    <w:rsid w:val="00134C83"/>
    <w:rsid w:val="001421C1"/>
    <w:rsid w:val="00175EAE"/>
    <w:rsid w:val="00191B7F"/>
    <w:rsid w:val="001C5E71"/>
    <w:rsid w:val="001D64E9"/>
    <w:rsid w:val="001E1F74"/>
    <w:rsid w:val="001F686A"/>
    <w:rsid w:val="002019A6"/>
    <w:rsid w:val="00211C97"/>
    <w:rsid w:val="00212BCA"/>
    <w:rsid w:val="00214126"/>
    <w:rsid w:val="00220787"/>
    <w:rsid w:val="00222AC0"/>
    <w:rsid w:val="002237EB"/>
    <w:rsid w:val="002321D6"/>
    <w:rsid w:val="002551B3"/>
    <w:rsid w:val="00287069"/>
    <w:rsid w:val="00287A3A"/>
    <w:rsid w:val="002A0ACF"/>
    <w:rsid w:val="002A36E2"/>
    <w:rsid w:val="002B1B12"/>
    <w:rsid w:val="002C30C9"/>
    <w:rsid w:val="002E1FF0"/>
    <w:rsid w:val="002F2912"/>
    <w:rsid w:val="002F392C"/>
    <w:rsid w:val="00344148"/>
    <w:rsid w:val="003552A7"/>
    <w:rsid w:val="00356899"/>
    <w:rsid w:val="00364C3A"/>
    <w:rsid w:val="00374BA1"/>
    <w:rsid w:val="00380789"/>
    <w:rsid w:val="003857BF"/>
    <w:rsid w:val="00387E68"/>
    <w:rsid w:val="00394639"/>
    <w:rsid w:val="003B495D"/>
    <w:rsid w:val="003B6B04"/>
    <w:rsid w:val="003C2510"/>
    <w:rsid w:val="003E626A"/>
    <w:rsid w:val="003F6441"/>
    <w:rsid w:val="004136E8"/>
    <w:rsid w:val="00414B7E"/>
    <w:rsid w:val="00421275"/>
    <w:rsid w:val="00423093"/>
    <w:rsid w:val="0043227C"/>
    <w:rsid w:val="004558EC"/>
    <w:rsid w:val="00471803"/>
    <w:rsid w:val="00497817"/>
    <w:rsid w:val="004A1810"/>
    <w:rsid w:val="004A1837"/>
    <w:rsid w:val="004A4601"/>
    <w:rsid w:val="004A73F0"/>
    <w:rsid w:val="004B18CA"/>
    <w:rsid w:val="004B2EDB"/>
    <w:rsid w:val="004B6DA1"/>
    <w:rsid w:val="004C227B"/>
    <w:rsid w:val="004D06C0"/>
    <w:rsid w:val="004D103E"/>
    <w:rsid w:val="004F4E08"/>
    <w:rsid w:val="004F65C7"/>
    <w:rsid w:val="00501AD0"/>
    <w:rsid w:val="005174C9"/>
    <w:rsid w:val="00530387"/>
    <w:rsid w:val="0053466F"/>
    <w:rsid w:val="00535F9C"/>
    <w:rsid w:val="005447E8"/>
    <w:rsid w:val="0055686A"/>
    <w:rsid w:val="00563B46"/>
    <w:rsid w:val="0058324D"/>
    <w:rsid w:val="005876AA"/>
    <w:rsid w:val="00594423"/>
    <w:rsid w:val="005A3238"/>
    <w:rsid w:val="005A6E03"/>
    <w:rsid w:val="005B657B"/>
    <w:rsid w:val="005C0376"/>
    <w:rsid w:val="005C11A9"/>
    <w:rsid w:val="005C4809"/>
    <w:rsid w:val="005C566E"/>
    <w:rsid w:val="005E4415"/>
    <w:rsid w:val="005F1C90"/>
    <w:rsid w:val="005F794B"/>
    <w:rsid w:val="006055E6"/>
    <w:rsid w:val="00605A9B"/>
    <w:rsid w:val="00631143"/>
    <w:rsid w:val="00642556"/>
    <w:rsid w:val="00655391"/>
    <w:rsid w:val="006755E7"/>
    <w:rsid w:val="00686074"/>
    <w:rsid w:val="00686F58"/>
    <w:rsid w:val="006977EB"/>
    <w:rsid w:val="006C3299"/>
    <w:rsid w:val="006C4C42"/>
    <w:rsid w:val="006F073B"/>
    <w:rsid w:val="00701BB7"/>
    <w:rsid w:val="00711134"/>
    <w:rsid w:val="00713BDA"/>
    <w:rsid w:val="007331FA"/>
    <w:rsid w:val="00733CAB"/>
    <w:rsid w:val="007349E2"/>
    <w:rsid w:val="00751E49"/>
    <w:rsid w:val="00767D51"/>
    <w:rsid w:val="00771583"/>
    <w:rsid w:val="00782022"/>
    <w:rsid w:val="00785A15"/>
    <w:rsid w:val="007B5616"/>
    <w:rsid w:val="007D0B37"/>
    <w:rsid w:val="007D7768"/>
    <w:rsid w:val="007F2EBB"/>
    <w:rsid w:val="00801B71"/>
    <w:rsid w:val="00805569"/>
    <w:rsid w:val="00820027"/>
    <w:rsid w:val="00820E5E"/>
    <w:rsid w:val="0084138B"/>
    <w:rsid w:val="00861274"/>
    <w:rsid w:val="008A0812"/>
    <w:rsid w:val="008A3C79"/>
    <w:rsid w:val="008B3EA7"/>
    <w:rsid w:val="008D318E"/>
    <w:rsid w:val="008D5BE7"/>
    <w:rsid w:val="008E69FC"/>
    <w:rsid w:val="008F7C5B"/>
    <w:rsid w:val="0090452E"/>
    <w:rsid w:val="00913EC9"/>
    <w:rsid w:val="0092006B"/>
    <w:rsid w:val="00926E87"/>
    <w:rsid w:val="0094083C"/>
    <w:rsid w:val="0096581C"/>
    <w:rsid w:val="00965882"/>
    <w:rsid w:val="00966C8A"/>
    <w:rsid w:val="00975A2C"/>
    <w:rsid w:val="009813B4"/>
    <w:rsid w:val="00984962"/>
    <w:rsid w:val="00984B2C"/>
    <w:rsid w:val="00994B3E"/>
    <w:rsid w:val="009A1FBC"/>
    <w:rsid w:val="009B14D2"/>
    <w:rsid w:val="009B47C3"/>
    <w:rsid w:val="009E43BF"/>
    <w:rsid w:val="009F60E8"/>
    <w:rsid w:val="00A00F40"/>
    <w:rsid w:val="00A151E7"/>
    <w:rsid w:val="00A22067"/>
    <w:rsid w:val="00A23AFB"/>
    <w:rsid w:val="00A26360"/>
    <w:rsid w:val="00A36EC9"/>
    <w:rsid w:val="00A5695E"/>
    <w:rsid w:val="00A60C55"/>
    <w:rsid w:val="00A66315"/>
    <w:rsid w:val="00A82483"/>
    <w:rsid w:val="00A84582"/>
    <w:rsid w:val="00A9492A"/>
    <w:rsid w:val="00AB1172"/>
    <w:rsid w:val="00AB158F"/>
    <w:rsid w:val="00AD34A4"/>
    <w:rsid w:val="00AE77BA"/>
    <w:rsid w:val="00AF675E"/>
    <w:rsid w:val="00B04046"/>
    <w:rsid w:val="00B2323B"/>
    <w:rsid w:val="00B428E8"/>
    <w:rsid w:val="00B57D06"/>
    <w:rsid w:val="00B60054"/>
    <w:rsid w:val="00B75E31"/>
    <w:rsid w:val="00B8451A"/>
    <w:rsid w:val="00B86077"/>
    <w:rsid w:val="00BC1A1D"/>
    <w:rsid w:val="00BC2206"/>
    <w:rsid w:val="00BD266A"/>
    <w:rsid w:val="00BD41CF"/>
    <w:rsid w:val="00BE5258"/>
    <w:rsid w:val="00C00F68"/>
    <w:rsid w:val="00C27A1B"/>
    <w:rsid w:val="00C412ED"/>
    <w:rsid w:val="00C44BF1"/>
    <w:rsid w:val="00C50318"/>
    <w:rsid w:val="00C51BDC"/>
    <w:rsid w:val="00C55CAA"/>
    <w:rsid w:val="00C65800"/>
    <w:rsid w:val="00C677D2"/>
    <w:rsid w:val="00C97F48"/>
    <w:rsid w:val="00CB16D1"/>
    <w:rsid w:val="00CF7EDF"/>
    <w:rsid w:val="00D33413"/>
    <w:rsid w:val="00D345EB"/>
    <w:rsid w:val="00D41DE1"/>
    <w:rsid w:val="00D56B0B"/>
    <w:rsid w:val="00D601C4"/>
    <w:rsid w:val="00D703EB"/>
    <w:rsid w:val="00D7043C"/>
    <w:rsid w:val="00D70CBD"/>
    <w:rsid w:val="00D71CC6"/>
    <w:rsid w:val="00D910C1"/>
    <w:rsid w:val="00D925B0"/>
    <w:rsid w:val="00D9789E"/>
    <w:rsid w:val="00DA26C9"/>
    <w:rsid w:val="00DA42B8"/>
    <w:rsid w:val="00DC5A58"/>
    <w:rsid w:val="00DE1B27"/>
    <w:rsid w:val="00DE6136"/>
    <w:rsid w:val="00DF5404"/>
    <w:rsid w:val="00E023C5"/>
    <w:rsid w:val="00E03C96"/>
    <w:rsid w:val="00E05C7D"/>
    <w:rsid w:val="00E200F2"/>
    <w:rsid w:val="00E21D3C"/>
    <w:rsid w:val="00E648D1"/>
    <w:rsid w:val="00E84133"/>
    <w:rsid w:val="00E910B1"/>
    <w:rsid w:val="00E9458E"/>
    <w:rsid w:val="00EA2934"/>
    <w:rsid w:val="00EA5633"/>
    <w:rsid w:val="00EC1284"/>
    <w:rsid w:val="00EC6EF6"/>
    <w:rsid w:val="00ED7D78"/>
    <w:rsid w:val="00EE5741"/>
    <w:rsid w:val="00F230D5"/>
    <w:rsid w:val="00F412F1"/>
    <w:rsid w:val="00F50992"/>
    <w:rsid w:val="00F5103C"/>
    <w:rsid w:val="00F56622"/>
    <w:rsid w:val="00F76A3D"/>
    <w:rsid w:val="00F81462"/>
    <w:rsid w:val="00F87FDF"/>
    <w:rsid w:val="00FA72AF"/>
    <w:rsid w:val="00FB4872"/>
    <w:rsid w:val="00FC0D69"/>
    <w:rsid w:val="00FE4B05"/>
    <w:rsid w:val="00FF1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23"/>
    <w:rPr>
      <w:rFonts w:ascii="Tahoma" w:hAnsi="Tahoma" w:cs="Tahoma"/>
      <w:sz w:val="16"/>
      <w:szCs w:val="16"/>
    </w:rPr>
  </w:style>
  <w:style w:type="character" w:customStyle="1" w:styleId="BalloonTextChar">
    <w:name w:val="Balloon Text Char"/>
    <w:basedOn w:val="DefaultParagraphFont"/>
    <w:link w:val="BalloonText"/>
    <w:uiPriority w:val="99"/>
    <w:semiHidden/>
    <w:rsid w:val="00594423"/>
    <w:rPr>
      <w:rFonts w:ascii="Tahoma" w:eastAsia="Times New Roman" w:hAnsi="Tahoma" w:cs="Tahoma"/>
      <w:sz w:val="16"/>
      <w:szCs w:val="16"/>
    </w:rPr>
  </w:style>
  <w:style w:type="character" w:styleId="Strong">
    <w:name w:val="Strong"/>
    <w:basedOn w:val="DefaultParagraphFont"/>
    <w:qFormat/>
    <w:rsid w:val="00471803"/>
    <w:rPr>
      <w:b/>
      <w:bCs/>
    </w:rPr>
  </w:style>
  <w:style w:type="paragraph" w:customStyle="1" w:styleId="MGfulltext">
    <w:name w:val="MG_fulltext"/>
    <w:basedOn w:val="Normal"/>
    <w:link w:val="MGfulltextChar"/>
    <w:qFormat/>
    <w:rsid w:val="00471803"/>
    <w:pPr>
      <w:spacing w:after="120"/>
    </w:pPr>
    <w:rPr>
      <w:rFonts w:ascii="Arial" w:hAnsi="Arial" w:cs="Arial"/>
      <w:szCs w:val="24"/>
    </w:rPr>
  </w:style>
  <w:style w:type="character" w:customStyle="1" w:styleId="MGfulltextChar">
    <w:name w:val="MG_fulltext Char"/>
    <w:basedOn w:val="DefaultParagraphFont"/>
    <w:link w:val="MGfulltext"/>
    <w:rsid w:val="00471803"/>
    <w:rPr>
      <w:rFonts w:ascii="Arial" w:eastAsia="Times New Roman" w:hAnsi="Arial" w:cs="Arial"/>
      <w:sz w:val="24"/>
      <w:szCs w:val="24"/>
    </w:rPr>
  </w:style>
  <w:style w:type="paragraph" w:styleId="Header">
    <w:name w:val="header"/>
    <w:basedOn w:val="Normal"/>
    <w:link w:val="HeaderChar"/>
    <w:uiPriority w:val="99"/>
    <w:unhideWhenUsed/>
    <w:rsid w:val="00DC5A58"/>
    <w:pPr>
      <w:tabs>
        <w:tab w:val="center" w:pos="4513"/>
        <w:tab w:val="right" w:pos="9026"/>
      </w:tabs>
    </w:pPr>
  </w:style>
  <w:style w:type="character" w:customStyle="1" w:styleId="HeaderChar">
    <w:name w:val="Header Char"/>
    <w:basedOn w:val="DefaultParagraphFont"/>
    <w:link w:val="Header"/>
    <w:uiPriority w:val="99"/>
    <w:rsid w:val="00DC5A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5A58"/>
    <w:pPr>
      <w:tabs>
        <w:tab w:val="center" w:pos="4513"/>
        <w:tab w:val="right" w:pos="9026"/>
      </w:tabs>
    </w:pPr>
  </w:style>
  <w:style w:type="character" w:customStyle="1" w:styleId="FooterChar">
    <w:name w:val="Footer Char"/>
    <w:basedOn w:val="DefaultParagraphFont"/>
    <w:link w:val="Footer"/>
    <w:uiPriority w:val="99"/>
    <w:rsid w:val="00DC5A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00B92"/>
    <w:rPr>
      <w:sz w:val="16"/>
      <w:szCs w:val="16"/>
    </w:rPr>
  </w:style>
  <w:style w:type="paragraph" w:styleId="CommentText">
    <w:name w:val="annotation text"/>
    <w:basedOn w:val="Normal"/>
    <w:link w:val="CommentTextChar"/>
    <w:uiPriority w:val="99"/>
    <w:semiHidden/>
    <w:unhideWhenUsed/>
    <w:rsid w:val="00100B92"/>
    <w:rPr>
      <w:sz w:val="20"/>
    </w:rPr>
  </w:style>
  <w:style w:type="character" w:customStyle="1" w:styleId="CommentTextChar">
    <w:name w:val="Comment Text Char"/>
    <w:basedOn w:val="DefaultParagraphFont"/>
    <w:link w:val="CommentText"/>
    <w:uiPriority w:val="99"/>
    <w:semiHidden/>
    <w:rsid w:val="00100B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0B92"/>
    <w:rPr>
      <w:b/>
      <w:bCs/>
    </w:rPr>
  </w:style>
  <w:style w:type="character" w:customStyle="1" w:styleId="CommentSubjectChar">
    <w:name w:val="Comment Subject Char"/>
    <w:basedOn w:val="CommentTextChar"/>
    <w:link w:val="CommentSubject"/>
    <w:uiPriority w:val="99"/>
    <w:semiHidden/>
    <w:rsid w:val="00100B92"/>
    <w:rPr>
      <w:rFonts w:ascii="Times New Roman" w:eastAsia="Times New Roman" w:hAnsi="Times New Roman" w:cs="Times New Roman"/>
      <w:b/>
      <w:bCs/>
      <w:sz w:val="20"/>
      <w:szCs w:val="20"/>
    </w:rPr>
  </w:style>
  <w:style w:type="paragraph" w:styleId="ListParagraph">
    <w:name w:val="List Paragraph"/>
    <w:basedOn w:val="Normal"/>
    <w:uiPriority w:val="34"/>
    <w:qFormat/>
    <w:rsid w:val="000B2DC5"/>
    <w:pPr>
      <w:ind w:left="720"/>
      <w:contextualSpacing/>
    </w:pPr>
  </w:style>
  <w:style w:type="character" w:styleId="PageNumber">
    <w:name w:val="page number"/>
    <w:basedOn w:val="DefaultParagraphFont"/>
    <w:rsid w:val="00EA56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3"/>
    <w:pPr>
      <w:spacing w:after="0" w:line="240" w:lineRule="auto"/>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4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423"/>
    <w:rPr>
      <w:rFonts w:ascii="Tahoma" w:eastAsia="Times New Roman" w:hAnsi="Tahoma" w:cs="Tahoma"/>
      <w:sz w:val="16"/>
      <w:szCs w:val="16"/>
    </w:rPr>
  </w:style>
  <w:style w:type="character" w:styleId="Textoennegrita">
    <w:name w:val="Strong"/>
    <w:basedOn w:val="Fuentedeprrafopredeter"/>
    <w:qFormat/>
    <w:rsid w:val="00471803"/>
    <w:rPr>
      <w:b/>
      <w:bCs/>
    </w:rPr>
  </w:style>
  <w:style w:type="paragraph" w:customStyle="1" w:styleId="MGfulltext">
    <w:name w:val="MG_fulltext"/>
    <w:basedOn w:val="Normal"/>
    <w:link w:val="MGfulltextChar"/>
    <w:qFormat/>
    <w:rsid w:val="00471803"/>
    <w:pPr>
      <w:spacing w:after="120"/>
    </w:pPr>
    <w:rPr>
      <w:rFonts w:ascii="Arial" w:hAnsi="Arial" w:cs="Arial"/>
      <w:szCs w:val="24"/>
    </w:rPr>
  </w:style>
  <w:style w:type="character" w:customStyle="1" w:styleId="MGfulltextChar">
    <w:name w:val="MG_fulltext Char"/>
    <w:basedOn w:val="Fuentedeprrafopredeter"/>
    <w:link w:val="MGfulltext"/>
    <w:rsid w:val="00471803"/>
    <w:rPr>
      <w:rFonts w:ascii="Arial" w:eastAsia="Times New Roman" w:hAnsi="Arial" w:cs="Arial"/>
      <w:sz w:val="24"/>
      <w:szCs w:val="24"/>
    </w:rPr>
  </w:style>
  <w:style w:type="paragraph" w:styleId="Encabezado">
    <w:name w:val="header"/>
    <w:basedOn w:val="Normal"/>
    <w:link w:val="EncabezadoCar"/>
    <w:uiPriority w:val="99"/>
    <w:unhideWhenUsed/>
    <w:rsid w:val="00DC5A58"/>
    <w:pPr>
      <w:tabs>
        <w:tab w:val="center" w:pos="4513"/>
        <w:tab w:val="right" w:pos="9026"/>
      </w:tabs>
    </w:pPr>
  </w:style>
  <w:style w:type="character" w:customStyle="1" w:styleId="EncabezadoCar">
    <w:name w:val="Encabezado Car"/>
    <w:basedOn w:val="Fuentedeprrafopredeter"/>
    <w:link w:val="Encabezado"/>
    <w:uiPriority w:val="99"/>
    <w:rsid w:val="00DC5A58"/>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DC5A58"/>
    <w:pPr>
      <w:tabs>
        <w:tab w:val="center" w:pos="4513"/>
        <w:tab w:val="right" w:pos="9026"/>
      </w:tabs>
    </w:pPr>
  </w:style>
  <w:style w:type="character" w:customStyle="1" w:styleId="PiedepginaCar">
    <w:name w:val="Pie de página Car"/>
    <w:basedOn w:val="Fuentedeprrafopredeter"/>
    <w:link w:val="Piedepgina"/>
    <w:uiPriority w:val="99"/>
    <w:rsid w:val="00DC5A58"/>
    <w:rPr>
      <w:rFonts w:ascii="Times New Roman" w:eastAsia="Times New Roman" w:hAnsi="Times New Roman" w:cs="Times New Roman"/>
      <w:sz w:val="24"/>
      <w:szCs w:val="20"/>
    </w:rPr>
  </w:style>
  <w:style w:type="character" w:styleId="Refdecomentario">
    <w:name w:val="annotation reference"/>
    <w:basedOn w:val="Fuentedeprrafopredeter"/>
    <w:uiPriority w:val="99"/>
    <w:semiHidden/>
    <w:unhideWhenUsed/>
    <w:rsid w:val="00100B92"/>
    <w:rPr>
      <w:sz w:val="16"/>
      <w:szCs w:val="16"/>
    </w:rPr>
  </w:style>
  <w:style w:type="paragraph" w:styleId="Textocomentario">
    <w:name w:val="annotation text"/>
    <w:basedOn w:val="Normal"/>
    <w:link w:val="TextocomentarioCar"/>
    <w:uiPriority w:val="99"/>
    <w:semiHidden/>
    <w:unhideWhenUsed/>
    <w:rsid w:val="00100B92"/>
    <w:rPr>
      <w:sz w:val="20"/>
    </w:rPr>
  </w:style>
  <w:style w:type="character" w:customStyle="1" w:styleId="TextocomentarioCar">
    <w:name w:val="Texto comentario Car"/>
    <w:basedOn w:val="Fuentedeprrafopredeter"/>
    <w:link w:val="Textocomentario"/>
    <w:uiPriority w:val="99"/>
    <w:semiHidden/>
    <w:rsid w:val="00100B9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00B92"/>
    <w:rPr>
      <w:b/>
      <w:bCs/>
    </w:rPr>
  </w:style>
  <w:style w:type="character" w:customStyle="1" w:styleId="AsuntodelcomentarioCar">
    <w:name w:val="Asunto del comentario Car"/>
    <w:basedOn w:val="TextocomentarioCar"/>
    <w:link w:val="Asuntodelcomentario"/>
    <w:uiPriority w:val="99"/>
    <w:semiHidden/>
    <w:rsid w:val="00100B92"/>
    <w:rPr>
      <w:rFonts w:ascii="Times New Roman" w:eastAsia="Times New Roman" w:hAnsi="Times New Roman" w:cs="Times New Roman"/>
      <w:b/>
      <w:bCs/>
      <w:sz w:val="20"/>
      <w:szCs w:val="20"/>
    </w:rPr>
  </w:style>
  <w:style w:type="paragraph" w:styleId="Prrafodelista">
    <w:name w:val="List Paragraph"/>
    <w:basedOn w:val="Normal"/>
    <w:uiPriority w:val="34"/>
    <w:qFormat/>
    <w:rsid w:val="000B2DC5"/>
    <w:pPr>
      <w:ind w:left="720"/>
      <w:contextualSpacing/>
    </w:pPr>
  </w:style>
</w:styles>
</file>

<file path=word/webSettings.xml><?xml version="1.0" encoding="utf-8"?>
<w:webSettings xmlns:r="http://schemas.openxmlformats.org/officeDocument/2006/relationships" xmlns:w="http://schemas.openxmlformats.org/wordprocessingml/2006/main">
  <w:divs>
    <w:div w:id="261111102">
      <w:bodyDiv w:val="1"/>
      <w:marLeft w:val="0"/>
      <w:marRight w:val="0"/>
      <w:marTop w:val="0"/>
      <w:marBottom w:val="0"/>
      <w:divBdr>
        <w:top w:val="none" w:sz="0" w:space="0" w:color="auto"/>
        <w:left w:val="none" w:sz="0" w:space="0" w:color="auto"/>
        <w:bottom w:val="none" w:sz="0" w:space="0" w:color="auto"/>
        <w:right w:val="none" w:sz="0" w:space="0" w:color="auto"/>
      </w:divBdr>
    </w:div>
    <w:div w:id="275646084">
      <w:bodyDiv w:val="1"/>
      <w:marLeft w:val="0"/>
      <w:marRight w:val="0"/>
      <w:marTop w:val="0"/>
      <w:marBottom w:val="0"/>
      <w:divBdr>
        <w:top w:val="none" w:sz="0" w:space="0" w:color="auto"/>
        <w:left w:val="none" w:sz="0" w:space="0" w:color="auto"/>
        <w:bottom w:val="none" w:sz="0" w:space="0" w:color="auto"/>
        <w:right w:val="none" w:sz="0" w:space="0" w:color="auto"/>
      </w:divBdr>
    </w:div>
    <w:div w:id="422261069">
      <w:bodyDiv w:val="1"/>
      <w:marLeft w:val="0"/>
      <w:marRight w:val="0"/>
      <w:marTop w:val="0"/>
      <w:marBottom w:val="0"/>
      <w:divBdr>
        <w:top w:val="none" w:sz="0" w:space="0" w:color="auto"/>
        <w:left w:val="none" w:sz="0" w:space="0" w:color="auto"/>
        <w:bottom w:val="none" w:sz="0" w:space="0" w:color="auto"/>
        <w:right w:val="none" w:sz="0" w:space="0" w:color="auto"/>
      </w:divBdr>
    </w:div>
    <w:div w:id="580453044">
      <w:bodyDiv w:val="1"/>
      <w:marLeft w:val="0"/>
      <w:marRight w:val="0"/>
      <w:marTop w:val="0"/>
      <w:marBottom w:val="0"/>
      <w:divBdr>
        <w:top w:val="none" w:sz="0" w:space="0" w:color="auto"/>
        <w:left w:val="none" w:sz="0" w:space="0" w:color="auto"/>
        <w:bottom w:val="none" w:sz="0" w:space="0" w:color="auto"/>
        <w:right w:val="none" w:sz="0" w:space="0" w:color="auto"/>
      </w:divBdr>
    </w:div>
    <w:div w:id="859780724">
      <w:bodyDiv w:val="1"/>
      <w:marLeft w:val="0"/>
      <w:marRight w:val="0"/>
      <w:marTop w:val="0"/>
      <w:marBottom w:val="0"/>
      <w:divBdr>
        <w:top w:val="none" w:sz="0" w:space="0" w:color="auto"/>
        <w:left w:val="none" w:sz="0" w:space="0" w:color="auto"/>
        <w:bottom w:val="none" w:sz="0" w:space="0" w:color="auto"/>
        <w:right w:val="none" w:sz="0" w:space="0" w:color="auto"/>
      </w:divBdr>
    </w:div>
    <w:div w:id="996110104">
      <w:bodyDiv w:val="1"/>
      <w:marLeft w:val="0"/>
      <w:marRight w:val="0"/>
      <w:marTop w:val="0"/>
      <w:marBottom w:val="0"/>
      <w:divBdr>
        <w:top w:val="none" w:sz="0" w:space="0" w:color="auto"/>
        <w:left w:val="none" w:sz="0" w:space="0" w:color="auto"/>
        <w:bottom w:val="none" w:sz="0" w:space="0" w:color="auto"/>
        <w:right w:val="none" w:sz="0" w:space="0" w:color="auto"/>
      </w:divBdr>
    </w:div>
    <w:div w:id="1181356369">
      <w:bodyDiv w:val="1"/>
      <w:marLeft w:val="0"/>
      <w:marRight w:val="0"/>
      <w:marTop w:val="0"/>
      <w:marBottom w:val="0"/>
      <w:divBdr>
        <w:top w:val="none" w:sz="0" w:space="0" w:color="auto"/>
        <w:left w:val="none" w:sz="0" w:space="0" w:color="auto"/>
        <w:bottom w:val="none" w:sz="0" w:space="0" w:color="auto"/>
        <w:right w:val="none" w:sz="0" w:space="0" w:color="auto"/>
      </w:divBdr>
    </w:div>
    <w:div w:id="1436514604">
      <w:bodyDiv w:val="1"/>
      <w:marLeft w:val="0"/>
      <w:marRight w:val="0"/>
      <w:marTop w:val="0"/>
      <w:marBottom w:val="0"/>
      <w:divBdr>
        <w:top w:val="none" w:sz="0" w:space="0" w:color="auto"/>
        <w:left w:val="none" w:sz="0" w:space="0" w:color="auto"/>
        <w:bottom w:val="none" w:sz="0" w:space="0" w:color="auto"/>
        <w:right w:val="none" w:sz="0" w:space="0" w:color="auto"/>
      </w:divBdr>
    </w:div>
    <w:div w:id="1505436714">
      <w:bodyDiv w:val="1"/>
      <w:marLeft w:val="0"/>
      <w:marRight w:val="0"/>
      <w:marTop w:val="0"/>
      <w:marBottom w:val="0"/>
      <w:divBdr>
        <w:top w:val="none" w:sz="0" w:space="0" w:color="auto"/>
        <w:left w:val="none" w:sz="0" w:space="0" w:color="auto"/>
        <w:bottom w:val="none" w:sz="0" w:space="0" w:color="auto"/>
        <w:right w:val="none" w:sz="0" w:space="0" w:color="auto"/>
      </w:divBdr>
    </w:div>
    <w:div w:id="1650555655">
      <w:bodyDiv w:val="1"/>
      <w:marLeft w:val="0"/>
      <w:marRight w:val="0"/>
      <w:marTop w:val="0"/>
      <w:marBottom w:val="0"/>
      <w:divBdr>
        <w:top w:val="none" w:sz="0" w:space="0" w:color="auto"/>
        <w:left w:val="none" w:sz="0" w:space="0" w:color="auto"/>
        <w:bottom w:val="none" w:sz="0" w:space="0" w:color="auto"/>
        <w:right w:val="none" w:sz="0" w:space="0" w:color="auto"/>
      </w:divBdr>
    </w:div>
    <w:div w:id="1707634716">
      <w:bodyDiv w:val="1"/>
      <w:marLeft w:val="0"/>
      <w:marRight w:val="0"/>
      <w:marTop w:val="0"/>
      <w:marBottom w:val="0"/>
      <w:divBdr>
        <w:top w:val="none" w:sz="0" w:space="0" w:color="auto"/>
        <w:left w:val="none" w:sz="0" w:space="0" w:color="auto"/>
        <w:bottom w:val="none" w:sz="0" w:space="0" w:color="auto"/>
        <w:right w:val="none" w:sz="0" w:space="0" w:color="auto"/>
      </w:divBdr>
    </w:div>
    <w:div w:id="1743916030">
      <w:bodyDiv w:val="1"/>
      <w:marLeft w:val="0"/>
      <w:marRight w:val="0"/>
      <w:marTop w:val="0"/>
      <w:marBottom w:val="0"/>
      <w:divBdr>
        <w:top w:val="none" w:sz="0" w:space="0" w:color="auto"/>
        <w:left w:val="none" w:sz="0" w:space="0" w:color="auto"/>
        <w:bottom w:val="none" w:sz="0" w:space="0" w:color="auto"/>
        <w:right w:val="none" w:sz="0" w:space="0" w:color="auto"/>
      </w:divBdr>
    </w:div>
    <w:div w:id="20259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7366-863C-4BB2-87D9-7CCDFFA7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Ramsar\BarsinO</dc:creator>
  <cp:lastModifiedBy>Ramsar\JenningsE</cp:lastModifiedBy>
  <cp:revision>3</cp:revision>
  <dcterms:created xsi:type="dcterms:W3CDTF">2015-04-07T14:21:00Z</dcterms:created>
  <dcterms:modified xsi:type="dcterms:W3CDTF">2015-04-07T14:23:00Z</dcterms:modified>
</cp:coreProperties>
</file>