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F" w:rsidRPr="00C71FB1" w:rsidRDefault="00EA73BF" w:rsidP="00EA73BF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bookmarkStart w:id="0" w:name="OLE_LINK1"/>
      <w:r w:rsidRPr="00C71FB1">
        <w:rPr>
          <w:rFonts w:asciiTheme="minorHAnsi" w:hAnsiTheme="minorHAnsi"/>
          <w:noProof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-162560</wp:posOffset>
            </wp:positionV>
            <wp:extent cx="2219325" cy="955675"/>
            <wp:effectExtent l="19050" t="0" r="9525" b="0"/>
            <wp:wrapSquare wrapText="bothSides"/>
            <wp:docPr id="8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FB1">
        <w:rPr>
          <w:rFonts w:asciiTheme="minorHAnsi" w:hAnsiTheme="minorHAnsi"/>
          <w:b/>
          <w:sz w:val="25"/>
          <w:szCs w:val="25"/>
          <w:lang w:val="es-ES_tradnl"/>
        </w:rPr>
        <w:t>1</w:t>
      </w:r>
      <w:r w:rsidR="0006639B" w:rsidRPr="00C71FB1">
        <w:rPr>
          <w:rFonts w:asciiTheme="minorHAnsi" w:hAnsiTheme="minorHAnsi"/>
          <w:b/>
          <w:sz w:val="25"/>
          <w:szCs w:val="25"/>
          <w:lang w:val="es-ES_tradnl"/>
        </w:rPr>
        <w:t>2ª Reunión de la Conferencia de las Partes en la Convención sobre los Humedales</w:t>
      </w:r>
      <w:r w:rsidRPr="00C71FB1">
        <w:rPr>
          <w:rFonts w:asciiTheme="minorHAnsi" w:hAnsiTheme="minorHAnsi"/>
          <w:b/>
          <w:sz w:val="25"/>
          <w:szCs w:val="25"/>
          <w:lang w:val="es-ES_tradnl"/>
        </w:rPr>
        <w:t xml:space="preserve"> (Ramsar, Ir</w:t>
      </w:r>
      <w:r w:rsidR="0006639B" w:rsidRPr="00C71FB1">
        <w:rPr>
          <w:rFonts w:asciiTheme="minorHAnsi" w:hAnsiTheme="minorHAnsi"/>
          <w:b/>
          <w:sz w:val="25"/>
          <w:szCs w:val="25"/>
          <w:lang w:val="es-ES_tradnl"/>
        </w:rPr>
        <w:t>á</w:t>
      </w:r>
      <w:r w:rsidRPr="00C71FB1">
        <w:rPr>
          <w:rFonts w:asciiTheme="minorHAnsi" w:hAnsiTheme="minorHAnsi"/>
          <w:b/>
          <w:sz w:val="25"/>
          <w:szCs w:val="25"/>
          <w:lang w:val="es-ES_tradnl"/>
        </w:rPr>
        <w:t>n, 1971)</w:t>
      </w:r>
    </w:p>
    <w:p w:rsidR="00EA73BF" w:rsidRPr="00C71FB1" w:rsidRDefault="00EA73BF" w:rsidP="00EA73BF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:rsidR="00EA73BF" w:rsidRPr="00C71FB1" w:rsidRDefault="00EA73BF" w:rsidP="00EA73BF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C71FB1">
        <w:rPr>
          <w:rFonts w:asciiTheme="minorHAnsi" w:hAnsiTheme="minorHAnsi"/>
          <w:b/>
          <w:sz w:val="25"/>
          <w:szCs w:val="25"/>
          <w:lang w:val="es-ES_tradnl"/>
        </w:rPr>
        <w:t>Punta del Este, Uruguay, 1</w:t>
      </w:r>
      <w:r w:rsidR="0006639B" w:rsidRPr="00C71FB1">
        <w:rPr>
          <w:rFonts w:asciiTheme="minorHAnsi" w:hAnsiTheme="minorHAnsi"/>
          <w:b/>
          <w:sz w:val="25"/>
          <w:szCs w:val="25"/>
          <w:lang w:val="es-ES_tradnl"/>
        </w:rPr>
        <w:t xml:space="preserve"> al </w:t>
      </w:r>
      <w:r w:rsidRPr="00C71FB1">
        <w:rPr>
          <w:rFonts w:asciiTheme="minorHAnsi" w:hAnsiTheme="minorHAnsi"/>
          <w:b/>
          <w:sz w:val="25"/>
          <w:szCs w:val="25"/>
          <w:lang w:val="es-ES_tradnl"/>
        </w:rPr>
        <w:t xml:space="preserve">9 </w:t>
      </w:r>
      <w:r w:rsidR="0006639B" w:rsidRPr="00C71FB1">
        <w:rPr>
          <w:rFonts w:asciiTheme="minorHAnsi" w:hAnsiTheme="minorHAnsi"/>
          <w:b/>
          <w:sz w:val="25"/>
          <w:szCs w:val="25"/>
          <w:lang w:val="es-ES_tradnl"/>
        </w:rPr>
        <w:t xml:space="preserve">de junio de </w:t>
      </w:r>
      <w:r w:rsidRPr="00C71FB1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bookmarkEnd w:id="0"/>
    <w:p w:rsidR="00EA73BF" w:rsidRPr="00C71FB1" w:rsidRDefault="00EA73BF" w:rsidP="00EA73BF">
      <w:pPr>
        <w:rPr>
          <w:rFonts w:asciiTheme="minorHAnsi" w:hAnsiTheme="minorHAnsi"/>
          <w:lang w:val="es-ES_tradnl"/>
        </w:rPr>
      </w:pPr>
    </w:p>
    <w:p w:rsidR="00EA73BF" w:rsidRPr="00C71FB1" w:rsidRDefault="00EA73BF" w:rsidP="00EA73BF">
      <w:pPr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EA73BF" w:rsidRPr="00C71FB1" w:rsidTr="00EA73BF">
        <w:tc>
          <w:tcPr>
            <w:tcW w:w="4528" w:type="dxa"/>
          </w:tcPr>
          <w:p w:rsidR="00EA73BF" w:rsidRPr="00C71FB1" w:rsidRDefault="00EA73BF" w:rsidP="0006639B">
            <w:pPr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</w:p>
        </w:tc>
        <w:tc>
          <w:tcPr>
            <w:tcW w:w="4602" w:type="dxa"/>
          </w:tcPr>
          <w:p w:rsidR="00EA73BF" w:rsidRPr="00C71FB1" w:rsidRDefault="00EA73BF" w:rsidP="00EA73BF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C71FB1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DR8</w:t>
            </w:r>
          </w:p>
        </w:tc>
      </w:tr>
    </w:tbl>
    <w:p w:rsidR="00B322D4" w:rsidRPr="00C71FB1" w:rsidRDefault="00B322D4" w:rsidP="001A3A66">
      <w:pPr>
        <w:keepNext/>
        <w:tabs>
          <w:tab w:val="left" w:pos="8264"/>
        </w:tabs>
        <w:jc w:val="center"/>
        <w:outlineLvl w:val="0"/>
        <w:rPr>
          <w:rFonts w:ascii="Calibri" w:hAnsi="Calibri"/>
          <w:b/>
          <w:sz w:val="28"/>
          <w:szCs w:val="28"/>
          <w:lang w:val="es-ES_tradnl"/>
        </w:rPr>
      </w:pPr>
    </w:p>
    <w:p w:rsidR="00FC16A3" w:rsidRPr="00C71FB1" w:rsidRDefault="0006639B" w:rsidP="001A3A66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</w:pPr>
      <w:r w:rsidRPr="00C71FB1"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  <w:t xml:space="preserve">Proyecto de Resolución </w:t>
      </w:r>
      <w:r w:rsidR="00200675" w:rsidRPr="00C71FB1"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  <w:t>XII.</w:t>
      </w:r>
      <w:r w:rsidR="00EA73BF" w:rsidRPr="00C71FB1"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  <w:t>8</w:t>
      </w:r>
    </w:p>
    <w:p w:rsidR="00FC16A3" w:rsidRPr="00C71FB1" w:rsidRDefault="00FC16A3" w:rsidP="001A3A66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</w:pPr>
    </w:p>
    <w:p w:rsidR="0006639B" w:rsidRPr="00C71FB1" w:rsidRDefault="0006639B" w:rsidP="001A3A66">
      <w:pPr>
        <w:pStyle w:val="BodyText"/>
        <w:spacing w:after="0"/>
        <w:ind w:right="-46"/>
        <w:jc w:val="center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Theme="minorHAnsi" w:hAnsiTheme="minorHAnsi"/>
          <w:b/>
          <w:bCs/>
          <w:sz w:val="28"/>
          <w:szCs w:val="28"/>
          <w:lang w:val="es-ES_tradnl" w:eastAsia="el-GR"/>
        </w:rPr>
        <w:t xml:space="preserve">Iniciativas regionales para </w:t>
      </w:r>
      <w:r w:rsidR="00B04697" w:rsidRPr="00C71FB1">
        <w:rPr>
          <w:rFonts w:asciiTheme="minorHAnsi" w:hAnsiTheme="minorHAnsi"/>
          <w:b/>
          <w:bCs/>
          <w:sz w:val="28"/>
          <w:szCs w:val="28"/>
          <w:lang w:val="es-ES_tradnl" w:eastAsia="el-GR"/>
        </w:rPr>
        <w:t xml:space="preserve">2016-2018 </w:t>
      </w:r>
      <w:r w:rsidRPr="00C71FB1">
        <w:rPr>
          <w:rFonts w:asciiTheme="minorHAnsi" w:hAnsiTheme="minorHAnsi"/>
          <w:b/>
          <w:bCs/>
          <w:sz w:val="28"/>
          <w:szCs w:val="28"/>
          <w:lang w:val="es-ES_tradnl" w:eastAsia="el-GR"/>
        </w:rPr>
        <w:t>en el marco de la Convención de Ramsar</w:t>
      </w:r>
    </w:p>
    <w:p w:rsidR="0006639B" w:rsidRPr="001A3A66" w:rsidRDefault="0006639B" w:rsidP="0006639B">
      <w:pPr>
        <w:pStyle w:val="BodyText"/>
        <w:tabs>
          <w:tab w:val="left" w:pos="1028"/>
        </w:tabs>
        <w:spacing w:after="0"/>
        <w:ind w:right="476"/>
        <w:rPr>
          <w:rFonts w:ascii="Calibri" w:hAnsi="Calibri"/>
          <w:sz w:val="28"/>
          <w:szCs w:val="28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RECORDANDO que las iniciativas regionales en el marco de la Convención de Ramsar, entre las que se incluyen centros de capacitación y creación de capacidad o redes que facilitan la cooperación, tienen por objeto servir de medios operativos para brindar un apoyo eficaz con miras a mejorar la aplicación de la Convención y su Plan Estratégico en regiones geográficas concretas, por medio de la cooperación internacional en cuestiones de interés común relativas a los humedales;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9637C2" w:rsidP="0006639B">
      <w:pPr>
        <w:numPr>
          <w:ilvl w:val="0"/>
          <w:numId w:val="41"/>
        </w:num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  <w:r w:rsidRPr="00C71FB1">
        <w:rPr>
          <w:rFonts w:ascii="Calibri" w:hAnsi="Calibri"/>
          <w:lang w:val="es-ES_tradnl"/>
        </w:rPr>
        <w:t>OBSERVANDO</w:t>
      </w:r>
      <w:r w:rsidR="0006639B" w:rsidRPr="00C71FB1">
        <w:rPr>
          <w:rFonts w:ascii="Calibri" w:hAnsi="Calibri"/>
          <w:lang w:val="es-ES_tradnl"/>
        </w:rPr>
        <w:t xml:space="preserve"> que los </w:t>
      </w:r>
      <w:r w:rsidR="0006639B" w:rsidRPr="00C71FB1">
        <w:rPr>
          <w:rFonts w:ascii="Calibri" w:hAnsi="Calibri"/>
          <w:i/>
          <w:lang w:val="es-ES_tradnl"/>
        </w:rPr>
        <w:t xml:space="preserve">Lineamientos para la cooperación internacional con arreglo a la Convención de Ramsar </w:t>
      </w:r>
      <w:r w:rsidR="0006639B" w:rsidRPr="00C71FB1">
        <w:rPr>
          <w:rFonts w:ascii="Calibri" w:hAnsi="Calibri"/>
          <w:lang w:val="es-ES_tradnl"/>
        </w:rPr>
        <w:t>(Resolución VII.19, 1999) proporcionan el marco adecuado para promover la colaboración internacional entre las Partes Contratantes y otros asociados;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RECORDANDO TAMBIÉN que las Partes Contratantes reconocieron la importancia que revisten las iniciativas regionales para la promoción de los objetivos de la Convención en la Resolución VIII.30 (2002) y posteriormente a través de las Resoluciones IX.7 (2005), X.6 (2008) y XI.5 (2012), y apoyaron una serie de iniciativas regionales considerando que realizan su actividad en el marco de la Convención durante el período 2013-2015;</w:t>
      </w:r>
    </w:p>
    <w:p w:rsidR="0006639B" w:rsidRPr="00C71FB1" w:rsidRDefault="0006639B" w:rsidP="0006639B">
      <w:pPr>
        <w:pStyle w:val="BodyText"/>
        <w:spacing w:after="0"/>
        <w:ind w:left="426" w:right="237"/>
        <w:rPr>
          <w:rFonts w:ascii="Calibri" w:hAnsi="Calibri"/>
          <w:sz w:val="22"/>
          <w:szCs w:val="22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RECORDANDO ASIMISMO que en la Resolución X.6 (2008) se adoptaron los </w:t>
      </w:r>
      <w:r w:rsidRPr="00C71FB1">
        <w:rPr>
          <w:rFonts w:ascii="Calibri" w:hAnsi="Calibri"/>
          <w:i/>
          <w:sz w:val="22"/>
          <w:szCs w:val="22"/>
          <w:lang w:val="es-ES_tradnl"/>
        </w:rPr>
        <w:t xml:space="preserve">Lineamientos Operativos para 2009-2012 destinados a las iniciativas regionales en el marco de la Convención sobre los Humedales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para apoyar la aplicación de la Convención, y que esos </w:t>
      </w:r>
      <w:r w:rsidRPr="00C71FB1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Pr="00C71FB1">
        <w:rPr>
          <w:rFonts w:ascii="Calibri" w:hAnsi="Calibri"/>
          <w:sz w:val="22"/>
          <w:szCs w:val="22"/>
          <w:lang w:val="es-ES_tradnl"/>
        </w:rPr>
        <w:t xml:space="preserve">, tal y como fueron enmendados posteriormente por el Comité Permanente para el trienio 2013-2015, sirven de referencia para evaluar el funcionamiento y la eficacia de las Iniciativas Regionales, reemplazando a las </w:t>
      </w:r>
      <w:r w:rsidRPr="00C71FB1">
        <w:rPr>
          <w:rFonts w:ascii="Calibri" w:hAnsi="Calibri"/>
          <w:i/>
          <w:sz w:val="22"/>
          <w:szCs w:val="22"/>
          <w:lang w:val="es-ES_tradnl"/>
        </w:rPr>
        <w:t xml:space="preserve">Orientaciones para promover iniciativas regionales en el marco de la Convención sobre los Humedales </w:t>
      </w:r>
      <w:r w:rsidRPr="00C71FB1">
        <w:rPr>
          <w:rFonts w:ascii="Calibri" w:hAnsi="Calibri"/>
          <w:sz w:val="22"/>
          <w:szCs w:val="22"/>
          <w:lang w:val="es-ES_tradnl"/>
        </w:rPr>
        <w:t>contenidas en un anexo de la Resolución VIII.30;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9637C2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OBSERVANDO</w:t>
      </w:r>
      <w:r w:rsidR="0006639B" w:rsidRPr="00C71FB1">
        <w:rPr>
          <w:rFonts w:ascii="Calibri" w:hAnsi="Calibri"/>
          <w:sz w:val="22"/>
          <w:szCs w:val="22"/>
          <w:lang w:val="es-ES_tradnl"/>
        </w:rPr>
        <w:t xml:space="preserve"> que entre 2013 y 2015 el Comité Permanente aprobó una serie de iniciativas regionales en funcionamiento que cumplían plenamente los </w:t>
      </w:r>
      <w:r w:rsidR="0006639B" w:rsidRPr="00C71FB1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="0006639B" w:rsidRPr="00C71FB1">
        <w:rPr>
          <w:rFonts w:ascii="Calibri" w:hAnsi="Calibri"/>
          <w:sz w:val="22"/>
          <w:szCs w:val="22"/>
          <w:lang w:val="es-ES_tradnl"/>
        </w:rPr>
        <w:t xml:space="preserve"> y observó que en esos años muchas iniciativas habían realizado progresos considerables, según se desprendía de los informes anuales que presentaron durante esos años; y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TENIENDO EN CUENTA la experiencia adquirida durante los años de funcionamiento de esas Iniciativas Regionales, la aplicación de los </w:t>
      </w:r>
      <w:r w:rsidRPr="00C71FB1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Pr="00C71FB1">
        <w:rPr>
          <w:rFonts w:ascii="Calibri" w:hAnsi="Calibri"/>
          <w:sz w:val="22"/>
          <w:szCs w:val="22"/>
          <w:lang w:val="es-ES_tradnl"/>
        </w:rPr>
        <w:t xml:space="preserve"> para seleccionar y apoyar las Iniciativas, y las conclusiones extraídas del examen de su eficacia;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spacing w:after="0"/>
        <w:ind w:right="237"/>
        <w:jc w:val="center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LA CONFERENCIA DE LAS PARTES CONTRATANTES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lastRenderedPageBreak/>
        <w:t>REAFIRMA la eficacia de la cooperación regional mediante redes y centros para apoyar una mejor aplicación de la Convención y su Plan Estratégico;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APRUEBA que los </w:t>
      </w:r>
      <w:r w:rsidRPr="00C71FB1">
        <w:rPr>
          <w:rFonts w:ascii="Calibri" w:hAnsi="Calibri"/>
          <w:i/>
          <w:sz w:val="22"/>
          <w:szCs w:val="22"/>
          <w:lang w:val="es-ES_tradnl"/>
        </w:rPr>
        <w:t xml:space="preserve">Lineamientos Operativos destinados a las Iniciativas Regionales para apoyar la aplicación de la Convención, </w:t>
      </w:r>
      <w:r w:rsidRPr="00C71FB1">
        <w:rPr>
          <w:rFonts w:ascii="Calibri" w:hAnsi="Calibri"/>
          <w:sz w:val="22"/>
          <w:szCs w:val="22"/>
          <w:lang w:val="es-ES_tradnl"/>
        </w:rPr>
        <w:t>según fueron adoptados</w:t>
      </w:r>
      <w:r w:rsidRPr="00C71FB1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Pr="00C71FB1">
        <w:rPr>
          <w:rFonts w:ascii="Calibri" w:hAnsi="Calibri"/>
          <w:sz w:val="22"/>
          <w:szCs w:val="22"/>
          <w:lang w:val="es-ES_tradnl"/>
        </w:rPr>
        <w:t>para 2013-2015 a través de la Decisión SC46-28 del Comité Permanente y publicados en el sitio web de Ramsar, sigan siendo válidos y se utilicen durante el período 2016-2018;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ENCARGA</w:t>
      </w:r>
      <w:r w:rsidRPr="00C71FB1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Pr="00C71FB1">
        <w:rPr>
          <w:rFonts w:ascii="Calibri" w:hAnsi="Calibri"/>
          <w:sz w:val="22"/>
          <w:szCs w:val="22"/>
          <w:lang w:val="es-ES_tradnl"/>
        </w:rPr>
        <w:t>a todas las iniciativas regionales apoyadas por la Convención que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 </w:t>
      </w:r>
      <w:r w:rsidR="009637C2" w:rsidRPr="00C71FB1">
        <w:rPr>
          <w:rFonts w:ascii="Calibri" w:hAnsi="Calibri"/>
          <w:sz w:val="22"/>
          <w:szCs w:val="22"/>
          <w:lang w:val="es-ES_tradnl"/>
        </w:rPr>
        <w:t>sigan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 presentando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al Comité Permanente informes anuales sobre sus progresos y actividades, y en concreto sobre su éxito en el cumplimiento de los </w:t>
      </w:r>
      <w:r w:rsidRPr="00C71FB1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Pr="00C71FB1">
        <w:rPr>
          <w:rFonts w:ascii="Calibri" w:hAnsi="Calibri"/>
          <w:sz w:val="22"/>
          <w:szCs w:val="22"/>
          <w:lang w:val="es-ES_tradnl"/>
        </w:rPr>
        <w:t>, así como planes anuales con arreglo al calendario y el formato adoptados por el Comité Permanente;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ENCARGA al Comité Permanente que continúe evaluando cada año, a partir de los informes presentados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 y siguiendo</w:t>
      </w:r>
      <w:r w:rsidR="00E325B8" w:rsidRPr="00C71FB1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el formato adoptado a través de la Decisión SC41-21 del Comité Permanente, </w:t>
      </w:r>
      <w:r w:rsidRPr="00C71FB1">
        <w:rPr>
          <w:rFonts w:ascii="Calibri" w:hAnsi="Calibri"/>
          <w:sz w:val="22"/>
          <w:szCs w:val="22"/>
          <w:lang w:val="es-ES_tradnl"/>
        </w:rPr>
        <w:t>en qué medida las iniciativas regionales siguen satisfaciendo las normas establecidas en los Lineamientos Operativos y contribuyendo a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 la aplicación de la Convención</w:t>
      </w:r>
      <w:r w:rsidRPr="00C71FB1">
        <w:rPr>
          <w:rFonts w:ascii="Calibri" w:hAnsi="Calibri"/>
          <w:sz w:val="22"/>
          <w:szCs w:val="22"/>
          <w:lang w:val="es-ES_tradnl"/>
        </w:rPr>
        <w:t>;</w:t>
      </w:r>
    </w:p>
    <w:p w:rsidR="0006639B" w:rsidRPr="00C71FB1" w:rsidRDefault="0006639B" w:rsidP="0006639B">
      <w:pPr>
        <w:rPr>
          <w:rFonts w:ascii="Calibri" w:hAnsi="Calibri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DESTACA la importancia de que las iniciativas regionales establezcan estructuras de gobernanza 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y de financiación </w:t>
      </w:r>
      <w:r w:rsidRPr="00C71FB1">
        <w:rPr>
          <w:rFonts w:ascii="Calibri" w:hAnsi="Calibri"/>
          <w:sz w:val="22"/>
          <w:szCs w:val="22"/>
          <w:lang w:val="es-ES_tradnl"/>
        </w:rPr>
        <w:t>que sean transparentes, responsables y representativas de todas las partes pertinentes, incluidos los organismos gubernamentales y las organizaciones no gubernamentales.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E325B8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 w:cs="Garamond"/>
          <w:sz w:val="22"/>
          <w:szCs w:val="22"/>
          <w:lang w:val="es-ES_tradnl"/>
        </w:rPr>
        <w:t>DECIDE</w:t>
      </w:r>
      <w:r w:rsidR="0006639B" w:rsidRPr="00C71FB1">
        <w:rPr>
          <w:rFonts w:ascii="Calibri" w:hAnsi="Calibri" w:cs="Garamond"/>
          <w:sz w:val="22"/>
          <w:szCs w:val="22"/>
          <w:lang w:val="es-ES_tradnl"/>
        </w:rPr>
        <w:t xml:space="preserve"> incluir apoyo financiero en la partida del presupuesto básico de la Convención “Apoyo a iniciativas regionales”, </w:t>
      </w:r>
      <w:r w:rsidRPr="00C71FB1">
        <w:rPr>
          <w:rFonts w:ascii="Calibri" w:hAnsi="Calibri" w:cs="Garamond"/>
          <w:sz w:val="22"/>
          <w:szCs w:val="22"/>
          <w:lang w:val="es-ES_tradnl"/>
        </w:rPr>
        <w:t>indicada en la Resolución XII.1</w:t>
      </w:r>
      <w:r w:rsidR="0006639B" w:rsidRPr="00C71FB1">
        <w:rPr>
          <w:rFonts w:ascii="Calibri" w:hAnsi="Calibri" w:cs="Garamond"/>
          <w:sz w:val="22"/>
          <w:szCs w:val="22"/>
          <w:lang w:val="es-ES_tradnl"/>
        </w:rPr>
        <w:t xml:space="preserve"> sobre asuntos financieros y presupuestarios, para apoyar las actividades de puesta en marcha de iniciativas regionales en funcionamiento durante el período</w:t>
      </w:r>
      <w:r w:rsidR="0006639B" w:rsidRPr="00C71FB1">
        <w:rPr>
          <w:rFonts w:ascii="Calibri" w:hAnsi="Calibri"/>
          <w:sz w:val="22"/>
          <w:szCs w:val="22"/>
          <w:lang w:val="es-ES_tradnl"/>
        </w:rPr>
        <w:t xml:space="preserve"> 2016-2018 que cumplan plenamente los </w:t>
      </w:r>
      <w:r w:rsidR="0006639B" w:rsidRPr="00C71FB1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="0006639B" w:rsidRPr="00C71FB1">
        <w:rPr>
          <w:rFonts w:ascii="Calibri" w:hAnsi="Calibri"/>
          <w:sz w:val="22"/>
          <w:szCs w:val="22"/>
          <w:lang w:val="es-ES_tradnl"/>
        </w:rPr>
        <w:t>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DECIDE 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ADEMÁS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que los niveles de apoyo financiero </w:t>
      </w:r>
      <w:r w:rsidRPr="00C71FB1">
        <w:rPr>
          <w:rFonts w:ascii="Calibri" w:hAnsi="Calibri" w:cs="Garamond"/>
          <w:sz w:val="22"/>
          <w:szCs w:val="22"/>
          <w:lang w:val="es-ES_tradnl"/>
        </w:rPr>
        <w:t xml:space="preserve">destinado a las </w:t>
      </w:r>
      <w:r w:rsidRPr="00C71FB1">
        <w:rPr>
          <w:rFonts w:ascii="Calibri" w:hAnsi="Calibri"/>
          <w:sz w:val="22"/>
          <w:szCs w:val="22"/>
          <w:lang w:val="es-ES_tradnl"/>
        </w:rPr>
        <w:t>iniciativas regionales con cargo al presupuesto básico de la Convención para los años 2016, 2017 y 2018 los determine el Comité Permanente cada año, basándose en los planes de trabajo actualizados que se deben presentar en el for</w:t>
      </w:r>
      <w:r w:rsidR="009637C2" w:rsidRPr="00C71FB1">
        <w:rPr>
          <w:rFonts w:ascii="Calibri" w:hAnsi="Calibri"/>
          <w:sz w:val="22"/>
          <w:szCs w:val="22"/>
          <w:lang w:val="es-ES_tradnl"/>
        </w:rPr>
        <w:t>mato y el calendario requeridos</w:t>
      </w:r>
      <w:r w:rsidRPr="00C71FB1">
        <w:rPr>
          <w:rFonts w:ascii="Calibri" w:hAnsi="Calibri"/>
          <w:sz w:val="22"/>
          <w:szCs w:val="22"/>
          <w:lang w:val="es-ES_tradnl"/>
        </w:rPr>
        <w:t xml:space="preserve"> y </w:t>
      </w:r>
      <w:r w:rsidR="009637C2" w:rsidRPr="00C71FB1">
        <w:rPr>
          <w:rFonts w:ascii="Calibri" w:hAnsi="Calibri"/>
          <w:sz w:val="22"/>
          <w:szCs w:val="22"/>
          <w:lang w:val="es-ES_tradnl"/>
        </w:rPr>
        <w:t>teniendo en cuenta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 </w:t>
      </w:r>
      <w:r w:rsidRPr="00C71FB1">
        <w:rPr>
          <w:rFonts w:ascii="Calibri" w:hAnsi="Calibri"/>
          <w:sz w:val="22"/>
          <w:szCs w:val="22"/>
          <w:lang w:val="es-ES_tradnl"/>
        </w:rPr>
        <w:t>las recomendaciones concretas del Subgrupo de Finanzas;</w:t>
      </w:r>
    </w:p>
    <w:p w:rsidR="0006639B" w:rsidRPr="00C71FB1" w:rsidRDefault="0006639B" w:rsidP="0006639B">
      <w:pPr>
        <w:pStyle w:val="ListParagraph"/>
        <w:rPr>
          <w:rFonts w:ascii="Calibri" w:hAnsi="Calibri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INSTA ENCARECIDAMENTE a las iniciativas regionales que reciben apoyo financiero inicial con cargo al presupuesto básico a que utilicen parte de dicho apoyo para tratar de encontrar financiación sostenible a largo plazo procedente de otras fuentes, particularmente durante el segundo trienio en el que son candidatas a recibir dicho apoyo;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ALIENTA a las Partes Contratantes y a otros posibles donantes a apoyar las iniciativas region</w:t>
      </w:r>
      <w:r w:rsidR="00C71FB1">
        <w:rPr>
          <w:rFonts w:ascii="Calibri" w:hAnsi="Calibri"/>
          <w:sz w:val="22"/>
          <w:szCs w:val="22"/>
          <w:lang w:val="es-ES_tradnl"/>
        </w:rPr>
        <w:t>ales, independientemente de si e</w:t>
      </w:r>
      <w:r w:rsidRPr="00C71FB1">
        <w:rPr>
          <w:rFonts w:ascii="Calibri" w:hAnsi="Calibri"/>
          <w:sz w:val="22"/>
          <w:szCs w:val="22"/>
          <w:lang w:val="es-ES_tradnl"/>
        </w:rPr>
        <w:t>stas también reciben financiación con cargo al presupuesto básico de la Convención, e INSTA a las Partes Contratantes pertenecientes a la región geográfica de una iniciativa regional que aún no lo hayan hecho a que proporcionen cartas oficiales de apoyo y ayuda financiera;</w:t>
      </w:r>
    </w:p>
    <w:p w:rsidR="0006639B" w:rsidRPr="00C71FB1" w:rsidRDefault="0006639B" w:rsidP="0006639B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ENCARGA</w:t>
      </w:r>
      <w:r w:rsidRPr="00C71FB1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a las iniciativas regionales que se </w:t>
      </w:r>
      <w:r w:rsidR="00E325B8" w:rsidRPr="00C71FB1">
        <w:rPr>
          <w:rFonts w:ascii="Calibri" w:hAnsi="Calibri"/>
          <w:sz w:val="22"/>
          <w:szCs w:val="22"/>
          <w:lang w:val="es-ES_tradnl"/>
        </w:rPr>
        <w:t>publiciten</w:t>
      </w:r>
      <w:r w:rsidR="00E325B8" w:rsidRPr="00C71FB1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como medios operativos para apoyar la aplicación de los objetivos de la Convención de Ramsar, 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además de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las Autoridades Administrativas de Ramsar en el plano nacional y 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de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la Secretaría </w:t>
      </w:r>
      <w:r w:rsidR="00E325B8" w:rsidRPr="00C71FB1">
        <w:rPr>
          <w:rFonts w:ascii="Calibri" w:hAnsi="Calibri"/>
          <w:sz w:val="22"/>
          <w:szCs w:val="22"/>
          <w:lang w:val="es-ES_tradnl"/>
        </w:rPr>
        <w:t>de Ramsar en el plano mundial</w:t>
      </w:r>
      <w:r w:rsidRPr="00C71FB1">
        <w:rPr>
          <w:rFonts w:ascii="Calibri" w:hAnsi="Calibri"/>
          <w:sz w:val="22"/>
          <w:szCs w:val="22"/>
          <w:lang w:val="es-ES_tradnl"/>
        </w:rPr>
        <w:t>;</w:t>
      </w:r>
    </w:p>
    <w:p w:rsidR="0006639B" w:rsidRPr="00C71FB1" w:rsidRDefault="0006639B" w:rsidP="0006639B">
      <w:pPr>
        <w:ind w:right="237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C71FB1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PIDE</w:t>
      </w:r>
      <w:r w:rsidR="00E325B8" w:rsidRPr="00C71FB1">
        <w:rPr>
          <w:rFonts w:ascii="Calibri" w:hAnsi="Calibri"/>
          <w:sz w:val="22"/>
          <w:szCs w:val="22"/>
          <w:lang w:val="es-ES_tradnl"/>
        </w:rPr>
        <w:t xml:space="preserve"> a las iniciativas regionales</w:t>
      </w:r>
      <w:r w:rsidR="0006639B" w:rsidRPr="00C71FB1">
        <w:rPr>
          <w:rFonts w:ascii="Calibri" w:hAnsi="Calibri"/>
          <w:sz w:val="22"/>
          <w:szCs w:val="22"/>
          <w:lang w:val="es-ES_tradnl"/>
        </w:rPr>
        <w:t xml:space="preserve"> que mantengan contactos e intercambios activos y periódicos con la Secretaría para garantizar que se apliquen los lineamientos globales de Ramsar y que los objetivos estratégicos y operativos de las iniciativas regionales estén en plena consonancia con el Pl</w:t>
      </w:r>
      <w:r w:rsidR="00E325B8" w:rsidRPr="00C71FB1">
        <w:rPr>
          <w:rFonts w:ascii="Calibri" w:hAnsi="Calibri"/>
          <w:sz w:val="22"/>
          <w:szCs w:val="22"/>
          <w:lang w:val="es-ES_tradnl"/>
        </w:rPr>
        <w:t>an Estratégico de la Convención</w:t>
      </w:r>
      <w:r w:rsidR="00F36119" w:rsidRPr="00C71FB1">
        <w:rPr>
          <w:rFonts w:ascii="Calibri" w:hAnsi="Calibri"/>
          <w:sz w:val="22"/>
          <w:szCs w:val="22"/>
          <w:lang w:val="es-ES_tradnl"/>
        </w:rPr>
        <w:t>, y ALIENTA a la Secretaría a que apoye y proporcione asesoramiento a las iniciativas regionales, en la medida de sus posibilidades, a fin de reforzar su capacidad y efectividad</w:t>
      </w:r>
      <w:r w:rsidR="008330CA" w:rsidRPr="00C71FB1">
        <w:rPr>
          <w:rFonts w:ascii="Calibri" w:hAnsi="Calibri"/>
          <w:sz w:val="22"/>
          <w:szCs w:val="22"/>
          <w:lang w:val="es-ES_tradnl"/>
        </w:rPr>
        <w:t>;</w:t>
      </w:r>
    </w:p>
    <w:p w:rsidR="0006639B" w:rsidRPr="00C71FB1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:rsidR="0006639B" w:rsidRPr="00C71FB1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INSTA a los </w:t>
      </w:r>
      <w:r w:rsidR="00E325B8" w:rsidRPr="00C71FB1">
        <w:rPr>
          <w:rFonts w:ascii="Calibri" w:hAnsi="Calibri"/>
          <w:sz w:val="22"/>
          <w:szCs w:val="22"/>
          <w:lang w:val="es-ES_tradnl"/>
        </w:rPr>
        <w:t>miembros</w:t>
      </w:r>
      <w:r w:rsidR="00E61C34" w:rsidRPr="00C71FB1">
        <w:rPr>
          <w:rFonts w:ascii="Calibri" w:hAnsi="Calibri"/>
          <w:sz w:val="22"/>
          <w:szCs w:val="22"/>
          <w:lang w:val="es-ES_tradnl"/>
        </w:rPr>
        <w:t xml:space="preserve"> y a los Coordinadores N</w:t>
      </w:r>
      <w:r w:rsidR="00E325B8" w:rsidRPr="00C71FB1">
        <w:rPr>
          <w:rFonts w:ascii="Calibri" w:hAnsi="Calibri"/>
          <w:sz w:val="22"/>
          <w:szCs w:val="22"/>
          <w:lang w:val="es-ES_tradnl"/>
        </w:rPr>
        <w:t>acionales</w:t>
      </w:r>
      <w:r w:rsidR="00E61C34" w:rsidRPr="00C71FB1">
        <w:rPr>
          <w:rFonts w:ascii="Calibri" w:hAnsi="Calibri"/>
          <w:sz w:val="22"/>
          <w:szCs w:val="22"/>
          <w:lang w:val="es-ES_tradnl"/>
        </w:rPr>
        <w:t xml:space="preserve"> del GECT </w:t>
      </w:r>
      <w:r w:rsidRPr="00C71FB1">
        <w:rPr>
          <w:rFonts w:ascii="Calibri" w:hAnsi="Calibri"/>
          <w:sz w:val="22"/>
          <w:szCs w:val="22"/>
          <w:lang w:val="es-ES_tradnl"/>
        </w:rPr>
        <w:t>a que apliquen experiencias de iniciativas regionales en su trabajo;</w:t>
      </w:r>
    </w:p>
    <w:p w:rsidR="0006639B" w:rsidRPr="00C71FB1" w:rsidRDefault="0006639B" w:rsidP="0006639B">
      <w:pPr>
        <w:ind w:right="237"/>
        <w:jc w:val="left"/>
        <w:rPr>
          <w:rFonts w:ascii="Calibri" w:eastAsia="Garamond" w:hAnsi="Calibri" w:cs="Garamond"/>
          <w:lang w:val="es-ES_tradnl"/>
        </w:rPr>
      </w:pPr>
    </w:p>
    <w:p w:rsidR="00BC09E3" w:rsidRPr="00C71FB1" w:rsidRDefault="00B64CF9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PIDE</w:t>
      </w:r>
      <w:r w:rsidR="00BC09E3" w:rsidRPr="00C71FB1">
        <w:rPr>
          <w:rFonts w:ascii="Calibri" w:hAnsi="Calibri"/>
          <w:sz w:val="22"/>
          <w:szCs w:val="22"/>
          <w:lang w:val="es-ES_tradnl"/>
        </w:rPr>
        <w:t xml:space="preserve"> al Comité Permanente que evalúe el funcionamiento de las iniciativas regionales </w:t>
      </w:r>
      <w:r w:rsidR="00E61C34" w:rsidRPr="00C71FB1">
        <w:rPr>
          <w:rFonts w:ascii="Calibri" w:hAnsi="Calibri"/>
          <w:sz w:val="22"/>
          <w:szCs w:val="22"/>
          <w:lang w:val="es-ES_tradnl"/>
        </w:rPr>
        <w:t xml:space="preserve">de </w:t>
      </w:r>
      <w:r w:rsidR="00BC09E3" w:rsidRPr="00C71FB1">
        <w:rPr>
          <w:rFonts w:ascii="Calibri" w:hAnsi="Calibri"/>
          <w:sz w:val="22"/>
          <w:szCs w:val="22"/>
          <w:lang w:val="es-ES_tradnl"/>
        </w:rPr>
        <w:t>Ramsar en relación con los Lineamientos Operativos y el Plan Estratégico de Ramsar para 2016-2021, solicitando el apoyo del Grupo de supervisión de las actividades de CECoP cuando proceda;</w:t>
      </w:r>
    </w:p>
    <w:p w:rsidR="00BC09E3" w:rsidRPr="00C71FB1" w:rsidRDefault="00BC09E3" w:rsidP="00BC09E3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:rsidR="00BC09E3" w:rsidRPr="00C71FB1" w:rsidRDefault="00BC09E3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 xml:space="preserve">ALIENTA a las Partes Contratantes e INVITA a las organizaciones internacionales y a los acuerdos multilaterales regionales y subregionales a que identifiquen </w:t>
      </w:r>
      <w:r w:rsidR="00B64CF9" w:rsidRPr="00C71FB1">
        <w:rPr>
          <w:rFonts w:ascii="Calibri" w:hAnsi="Calibri"/>
          <w:sz w:val="22"/>
          <w:szCs w:val="22"/>
          <w:lang w:val="es-ES_tradnl"/>
        </w:rPr>
        <w:t xml:space="preserve">organismos de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cuencas </w:t>
      </w:r>
      <w:r w:rsidR="00B64CF9" w:rsidRPr="00C71FB1">
        <w:rPr>
          <w:rFonts w:ascii="Calibri" w:hAnsi="Calibri"/>
          <w:sz w:val="22"/>
          <w:szCs w:val="22"/>
          <w:lang w:val="es-ES_tradnl"/>
        </w:rPr>
        <w:t xml:space="preserve">fluviales o </w:t>
      </w:r>
      <w:r w:rsidRPr="00C71FB1">
        <w:rPr>
          <w:rFonts w:ascii="Calibri" w:hAnsi="Calibri"/>
          <w:sz w:val="22"/>
          <w:szCs w:val="22"/>
          <w:lang w:val="es-ES_tradnl"/>
        </w:rPr>
        <w:t xml:space="preserve">aguas subterráneas </w:t>
      </w:r>
      <w:r w:rsidR="00B64CF9" w:rsidRPr="00C71FB1">
        <w:rPr>
          <w:rFonts w:ascii="Calibri" w:hAnsi="Calibri"/>
          <w:sz w:val="22"/>
          <w:szCs w:val="22"/>
          <w:lang w:val="es-ES_tradnl"/>
        </w:rPr>
        <w:t xml:space="preserve">transfronterizas </w:t>
      </w:r>
      <w:r w:rsidRPr="00C71FB1">
        <w:rPr>
          <w:rFonts w:ascii="Calibri" w:hAnsi="Calibri"/>
          <w:sz w:val="22"/>
          <w:szCs w:val="22"/>
          <w:lang w:val="es-ES_tradnl"/>
        </w:rPr>
        <w:t>para su posible inclusión entre las iniciativas regionales; y</w:t>
      </w:r>
    </w:p>
    <w:p w:rsidR="00BC09E3" w:rsidRPr="00C71FB1" w:rsidRDefault="00BC09E3" w:rsidP="00BC09E3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:rsidR="00F36119" w:rsidRPr="00C71FB1" w:rsidRDefault="00F36119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C71FB1">
        <w:rPr>
          <w:rFonts w:ascii="Calibri" w:hAnsi="Calibri"/>
          <w:sz w:val="22"/>
          <w:szCs w:val="22"/>
          <w:lang w:val="es-ES_tradnl"/>
        </w:rPr>
        <w:t>ENCARGA al Comité Permanente que prepare un informe resumido de sus evaluaciones anuales en el que examine</w:t>
      </w:r>
      <w:bookmarkStart w:id="1" w:name="_GoBack"/>
      <w:bookmarkEnd w:id="1"/>
      <w:r w:rsidRPr="00C71FB1">
        <w:rPr>
          <w:rFonts w:ascii="Calibri" w:hAnsi="Calibri"/>
          <w:sz w:val="22"/>
          <w:szCs w:val="22"/>
          <w:lang w:val="es-ES_tradnl"/>
        </w:rPr>
        <w:t xml:space="preserve"> las actividades y los logros de las iniciativas regionales durante el período 2016-2018 para someterlo a la consideración de las Partes Contratantes en la 13ª reunión de la Confere</w:t>
      </w:r>
      <w:r w:rsidR="008330CA" w:rsidRPr="00C71FB1">
        <w:rPr>
          <w:rFonts w:ascii="Calibri" w:hAnsi="Calibri"/>
          <w:sz w:val="22"/>
          <w:szCs w:val="22"/>
          <w:lang w:val="es-ES_tradnl"/>
        </w:rPr>
        <w:t>ncia de las Partes Contratantes.</w:t>
      </w:r>
    </w:p>
    <w:p w:rsidR="00F36119" w:rsidRPr="00C71FB1" w:rsidRDefault="00F36119" w:rsidP="00F36119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sectPr w:rsidR="00F36119" w:rsidRPr="00C71FB1" w:rsidSect="009152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B1" w:rsidRDefault="00C71FB1" w:rsidP="0006525B">
      <w:r>
        <w:separator/>
      </w:r>
    </w:p>
  </w:endnote>
  <w:endnote w:type="continuationSeparator" w:id="0">
    <w:p w:rsidR="00C71FB1" w:rsidRDefault="00C71FB1" w:rsidP="0006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B1" w:rsidRPr="00915228" w:rsidRDefault="00C71FB1" w:rsidP="00C302F4">
    <w:pPr>
      <w:pStyle w:val="Footer"/>
      <w:tabs>
        <w:tab w:val="clear" w:pos="8306"/>
        <w:tab w:val="right" w:pos="9072"/>
      </w:tabs>
    </w:pPr>
    <w:r>
      <w:rPr>
        <w:rFonts w:asciiTheme="minorHAnsi" w:hAnsiTheme="minorHAnsi" w:cs="Calibri"/>
        <w:noProof/>
      </w:rPr>
      <w:t>Ramsar COP12 DR8</w:t>
    </w:r>
    <w:r>
      <w:rPr>
        <w:rFonts w:asciiTheme="minorHAnsi" w:hAnsiTheme="minorHAnsi" w:cs="Calibri"/>
        <w:noProof/>
      </w:rPr>
      <w:tab/>
    </w:r>
    <w:r>
      <w:rPr>
        <w:rFonts w:asciiTheme="minorHAnsi" w:hAnsiTheme="minorHAnsi" w:cs="Calibri"/>
        <w:noProof/>
      </w:rPr>
      <w:tab/>
    </w:r>
    <w:r w:rsidR="00934988" w:rsidRPr="00915228">
      <w:rPr>
        <w:rFonts w:asciiTheme="minorHAnsi" w:hAnsiTheme="minorHAnsi" w:cs="Calibri"/>
        <w:noProof/>
      </w:rPr>
      <w:fldChar w:fldCharType="begin"/>
    </w:r>
    <w:r w:rsidRPr="00915228">
      <w:rPr>
        <w:rFonts w:asciiTheme="minorHAnsi" w:hAnsiTheme="minorHAnsi" w:cs="Calibri"/>
        <w:noProof/>
      </w:rPr>
      <w:instrText xml:space="preserve"> PAGE   \* MERGEFORMAT </w:instrText>
    </w:r>
    <w:r w:rsidR="00934988" w:rsidRPr="00915228">
      <w:rPr>
        <w:rFonts w:asciiTheme="minorHAnsi" w:hAnsiTheme="minorHAnsi" w:cs="Calibri"/>
        <w:noProof/>
      </w:rPr>
      <w:fldChar w:fldCharType="separate"/>
    </w:r>
    <w:r w:rsidR="005704BE">
      <w:rPr>
        <w:rFonts w:asciiTheme="minorHAnsi" w:hAnsiTheme="minorHAnsi" w:cs="Calibri"/>
        <w:noProof/>
      </w:rPr>
      <w:t>2</w:t>
    </w:r>
    <w:r w:rsidR="00934988" w:rsidRPr="00915228">
      <w:rPr>
        <w:rFonts w:asciiTheme="minorHAnsi" w:hAnsiTheme="minorHAnsi" w:cs="Calibr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B1" w:rsidRDefault="00C71FB1" w:rsidP="0006525B">
      <w:r>
        <w:separator/>
      </w:r>
    </w:p>
  </w:footnote>
  <w:footnote w:type="continuationSeparator" w:id="0">
    <w:p w:rsidR="00C71FB1" w:rsidRDefault="00C71FB1" w:rsidP="0006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B1" w:rsidRPr="007D33A5" w:rsidRDefault="00C71FB1" w:rsidP="00710AF9">
    <w:pPr>
      <w:spacing w:line="14" w:lineRule="auto"/>
      <w:ind w:right="662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45D"/>
    <w:multiLevelType w:val="hybridMultilevel"/>
    <w:tmpl w:val="F17A67E2"/>
    <w:lvl w:ilvl="0" w:tplc="D302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30DE"/>
    <w:multiLevelType w:val="hybridMultilevel"/>
    <w:tmpl w:val="F47E4C0A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25B"/>
    <w:multiLevelType w:val="hybridMultilevel"/>
    <w:tmpl w:val="CC823A98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4F0A"/>
    <w:multiLevelType w:val="hybridMultilevel"/>
    <w:tmpl w:val="E8A0E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217B"/>
    <w:multiLevelType w:val="hybridMultilevel"/>
    <w:tmpl w:val="0946063C"/>
    <w:lvl w:ilvl="0" w:tplc="84A8C3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22F"/>
    <w:multiLevelType w:val="hybridMultilevel"/>
    <w:tmpl w:val="9774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1A2C"/>
    <w:multiLevelType w:val="hybridMultilevel"/>
    <w:tmpl w:val="DEB2D574"/>
    <w:lvl w:ilvl="0" w:tplc="8A321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1FE2"/>
    <w:multiLevelType w:val="hybridMultilevel"/>
    <w:tmpl w:val="8F96D53A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207E"/>
    <w:multiLevelType w:val="hybridMultilevel"/>
    <w:tmpl w:val="7138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2F3"/>
    <w:multiLevelType w:val="hybridMultilevel"/>
    <w:tmpl w:val="7FAA402E"/>
    <w:lvl w:ilvl="0" w:tplc="B5D66F1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6598C"/>
    <w:multiLevelType w:val="hybridMultilevel"/>
    <w:tmpl w:val="7A9E9D50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E50"/>
    <w:multiLevelType w:val="hybridMultilevel"/>
    <w:tmpl w:val="44D4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571"/>
    <w:multiLevelType w:val="hybridMultilevel"/>
    <w:tmpl w:val="6E62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5627D"/>
    <w:multiLevelType w:val="hybridMultilevel"/>
    <w:tmpl w:val="533E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B13"/>
    <w:multiLevelType w:val="hybridMultilevel"/>
    <w:tmpl w:val="92600C76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67E49"/>
    <w:multiLevelType w:val="hybridMultilevel"/>
    <w:tmpl w:val="C85E45C2"/>
    <w:lvl w:ilvl="0" w:tplc="1E0611B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802"/>
    <w:multiLevelType w:val="hybridMultilevel"/>
    <w:tmpl w:val="A64E6B0C"/>
    <w:lvl w:ilvl="0" w:tplc="1ED08326">
      <w:start w:val="1"/>
      <w:numFmt w:val="upperLetter"/>
      <w:lvlText w:val="%1)"/>
      <w:lvlJc w:val="left"/>
      <w:pPr>
        <w:ind w:left="720" w:hanging="360"/>
      </w:pPr>
      <w:rPr>
        <w:rFonts w:ascii="Garamond" w:eastAsia="Calibri" w:hAnsi="Garamond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71CB"/>
    <w:multiLevelType w:val="hybridMultilevel"/>
    <w:tmpl w:val="4086D4C0"/>
    <w:lvl w:ilvl="0" w:tplc="4656CEEE">
      <w:start w:val="15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BC2706"/>
    <w:multiLevelType w:val="hybridMultilevel"/>
    <w:tmpl w:val="E1F62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5955"/>
    <w:multiLevelType w:val="hybridMultilevel"/>
    <w:tmpl w:val="332EC292"/>
    <w:lvl w:ilvl="0" w:tplc="C882CE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1072DA"/>
    <w:multiLevelType w:val="hybridMultilevel"/>
    <w:tmpl w:val="D6D436D4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03EF2"/>
    <w:multiLevelType w:val="hybridMultilevel"/>
    <w:tmpl w:val="62001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BE1"/>
    <w:multiLevelType w:val="hybridMultilevel"/>
    <w:tmpl w:val="A01E4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6525"/>
    <w:multiLevelType w:val="hybridMultilevel"/>
    <w:tmpl w:val="9696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847AD"/>
    <w:multiLevelType w:val="hybridMultilevel"/>
    <w:tmpl w:val="A8CE5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86168"/>
    <w:multiLevelType w:val="hybridMultilevel"/>
    <w:tmpl w:val="21DAF070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A2C16"/>
    <w:multiLevelType w:val="hybridMultilevel"/>
    <w:tmpl w:val="A0D21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4082"/>
    <w:multiLevelType w:val="hybridMultilevel"/>
    <w:tmpl w:val="FD9CEFB0"/>
    <w:lvl w:ilvl="0" w:tplc="E724E776">
      <w:start w:val="1"/>
      <w:numFmt w:val="decimal"/>
      <w:lvlText w:val="%1."/>
      <w:lvlJc w:val="left"/>
      <w:pPr>
        <w:ind w:left="1027" w:hanging="567"/>
        <w:jc w:val="right"/>
      </w:pPr>
      <w:rPr>
        <w:rFonts w:ascii="Garamond" w:eastAsia="Garamond" w:hAnsi="Garamond" w:hint="default"/>
        <w:spacing w:val="-3"/>
        <w:w w:val="99"/>
        <w:sz w:val="24"/>
        <w:szCs w:val="24"/>
      </w:rPr>
    </w:lvl>
    <w:lvl w:ilvl="1" w:tplc="4D5894B2">
      <w:start w:val="1"/>
      <w:numFmt w:val="bullet"/>
      <w:lvlText w:val="•"/>
      <w:lvlJc w:val="left"/>
      <w:pPr>
        <w:ind w:left="1881" w:hanging="567"/>
      </w:pPr>
      <w:rPr>
        <w:rFonts w:hint="default"/>
      </w:rPr>
    </w:lvl>
    <w:lvl w:ilvl="2" w:tplc="FDC0521C">
      <w:start w:val="1"/>
      <w:numFmt w:val="bullet"/>
      <w:lvlText w:val="•"/>
      <w:lvlJc w:val="left"/>
      <w:pPr>
        <w:ind w:left="2735" w:hanging="567"/>
      </w:pPr>
      <w:rPr>
        <w:rFonts w:hint="default"/>
      </w:rPr>
    </w:lvl>
    <w:lvl w:ilvl="3" w:tplc="5C545532">
      <w:start w:val="1"/>
      <w:numFmt w:val="bullet"/>
      <w:lvlText w:val="•"/>
      <w:lvlJc w:val="left"/>
      <w:pPr>
        <w:ind w:left="3589" w:hanging="567"/>
      </w:pPr>
      <w:rPr>
        <w:rFonts w:hint="default"/>
      </w:rPr>
    </w:lvl>
    <w:lvl w:ilvl="4" w:tplc="F05482BE">
      <w:start w:val="1"/>
      <w:numFmt w:val="bullet"/>
      <w:lvlText w:val="•"/>
      <w:lvlJc w:val="left"/>
      <w:pPr>
        <w:ind w:left="4443" w:hanging="567"/>
      </w:pPr>
      <w:rPr>
        <w:rFonts w:hint="default"/>
      </w:rPr>
    </w:lvl>
    <w:lvl w:ilvl="5" w:tplc="541401DA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6CD0E33A">
      <w:start w:val="1"/>
      <w:numFmt w:val="bullet"/>
      <w:lvlText w:val="•"/>
      <w:lvlJc w:val="left"/>
      <w:pPr>
        <w:ind w:left="6152" w:hanging="567"/>
      </w:pPr>
      <w:rPr>
        <w:rFonts w:hint="default"/>
      </w:rPr>
    </w:lvl>
    <w:lvl w:ilvl="7" w:tplc="E24297BA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315E6CAC">
      <w:start w:val="1"/>
      <w:numFmt w:val="bullet"/>
      <w:lvlText w:val="•"/>
      <w:lvlJc w:val="left"/>
      <w:pPr>
        <w:ind w:left="7860" w:hanging="567"/>
      </w:pPr>
      <w:rPr>
        <w:rFonts w:hint="default"/>
      </w:rPr>
    </w:lvl>
  </w:abstractNum>
  <w:abstractNum w:abstractNumId="29">
    <w:nsid w:val="590320D5"/>
    <w:multiLevelType w:val="hybridMultilevel"/>
    <w:tmpl w:val="A2B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C7120"/>
    <w:multiLevelType w:val="hybridMultilevel"/>
    <w:tmpl w:val="72E434C8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A06F7"/>
    <w:multiLevelType w:val="hybridMultilevel"/>
    <w:tmpl w:val="BB22A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D01B7"/>
    <w:multiLevelType w:val="hybridMultilevel"/>
    <w:tmpl w:val="F8E29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556FD"/>
    <w:multiLevelType w:val="hybridMultilevel"/>
    <w:tmpl w:val="5FE67336"/>
    <w:lvl w:ilvl="0" w:tplc="A760BD3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F71E4"/>
    <w:multiLevelType w:val="hybridMultilevel"/>
    <w:tmpl w:val="D5C6AE24"/>
    <w:lvl w:ilvl="0" w:tplc="35100476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A4308"/>
    <w:multiLevelType w:val="hybridMultilevel"/>
    <w:tmpl w:val="77DCC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F4AF4"/>
    <w:multiLevelType w:val="hybridMultilevel"/>
    <w:tmpl w:val="9202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D595C"/>
    <w:multiLevelType w:val="hybridMultilevel"/>
    <w:tmpl w:val="CC1E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A2C18"/>
    <w:multiLevelType w:val="hybridMultilevel"/>
    <w:tmpl w:val="65EA333C"/>
    <w:lvl w:ilvl="0" w:tplc="323EFFE4">
      <w:start w:val="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0417A"/>
    <w:multiLevelType w:val="hybridMultilevel"/>
    <w:tmpl w:val="44667FF2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55DCF"/>
    <w:multiLevelType w:val="hybridMultilevel"/>
    <w:tmpl w:val="318E6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30673"/>
    <w:multiLevelType w:val="hybridMultilevel"/>
    <w:tmpl w:val="1158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20"/>
  </w:num>
  <w:num w:numId="5">
    <w:abstractNumId w:val="39"/>
  </w:num>
  <w:num w:numId="6">
    <w:abstractNumId w:val="10"/>
  </w:num>
  <w:num w:numId="7">
    <w:abstractNumId w:val="33"/>
  </w:num>
  <w:num w:numId="8">
    <w:abstractNumId w:val="3"/>
  </w:num>
  <w:num w:numId="9">
    <w:abstractNumId w:val="27"/>
  </w:num>
  <w:num w:numId="10">
    <w:abstractNumId w:val="11"/>
  </w:num>
  <w:num w:numId="11">
    <w:abstractNumId w:val="24"/>
  </w:num>
  <w:num w:numId="12">
    <w:abstractNumId w:val="37"/>
  </w:num>
  <w:num w:numId="13">
    <w:abstractNumId w:val="9"/>
  </w:num>
  <w:num w:numId="14">
    <w:abstractNumId w:val="18"/>
  </w:num>
  <w:num w:numId="15">
    <w:abstractNumId w:val="38"/>
  </w:num>
  <w:num w:numId="16">
    <w:abstractNumId w:val="5"/>
  </w:num>
  <w:num w:numId="17">
    <w:abstractNumId w:val="40"/>
  </w:num>
  <w:num w:numId="18">
    <w:abstractNumId w:val="17"/>
  </w:num>
  <w:num w:numId="19">
    <w:abstractNumId w:val="16"/>
  </w:num>
  <w:num w:numId="20">
    <w:abstractNumId w:val="22"/>
  </w:num>
  <w:num w:numId="21">
    <w:abstractNumId w:val="23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31"/>
  </w:num>
  <w:num w:numId="27">
    <w:abstractNumId w:val="32"/>
  </w:num>
  <w:num w:numId="28">
    <w:abstractNumId w:val="36"/>
  </w:num>
  <w:num w:numId="29">
    <w:abstractNumId w:val="29"/>
  </w:num>
  <w:num w:numId="30">
    <w:abstractNumId w:val="26"/>
  </w:num>
  <w:num w:numId="31">
    <w:abstractNumId w:val="7"/>
  </w:num>
  <w:num w:numId="32">
    <w:abstractNumId w:val="41"/>
  </w:num>
  <w:num w:numId="33">
    <w:abstractNumId w:val="34"/>
  </w:num>
  <w:num w:numId="34">
    <w:abstractNumId w:val="2"/>
  </w:num>
  <w:num w:numId="35">
    <w:abstractNumId w:val="1"/>
  </w:num>
  <w:num w:numId="36">
    <w:abstractNumId w:val="28"/>
  </w:num>
  <w:num w:numId="37">
    <w:abstractNumId w:val="12"/>
  </w:num>
  <w:num w:numId="38">
    <w:abstractNumId w:val="35"/>
  </w:num>
  <w:num w:numId="39">
    <w:abstractNumId w:val="6"/>
  </w:num>
  <w:num w:numId="40">
    <w:abstractNumId w:val="13"/>
  </w:num>
  <w:num w:numId="41">
    <w:abstractNumId w:val="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3553"/>
    <w:rsid w:val="00007D3F"/>
    <w:rsid w:val="000140D3"/>
    <w:rsid w:val="000179B5"/>
    <w:rsid w:val="00023DBB"/>
    <w:rsid w:val="00024E11"/>
    <w:rsid w:val="000272E0"/>
    <w:rsid w:val="000370F0"/>
    <w:rsid w:val="0005074F"/>
    <w:rsid w:val="000547E7"/>
    <w:rsid w:val="00060BA9"/>
    <w:rsid w:val="000620EE"/>
    <w:rsid w:val="00062F42"/>
    <w:rsid w:val="0006525B"/>
    <w:rsid w:val="0006639B"/>
    <w:rsid w:val="00066FB3"/>
    <w:rsid w:val="000736D9"/>
    <w:rsid w:val="00085AFB"/>
    <w:rsid w:val="00087230"/>
    <w:rsid w:val="000875BA"/>
    <w:rsid w:val="00087B48"/>
    <w:rsid w:val="00096C3C"/>
    <w:rsid w:val="000A7B3D"/>
    <w:rsid w:val="000B0A7C"/>
    <w:rsid w:val="000C003A"/>
    <w:rsid w:val="000C2483"/>
    <w:rsid w:val="000C624B"/>
    <w:rsid w:val="000C6485"/>
    <w:rsid w:val="000D539D"/>
    <w:rsid w:val="000D5B66"/>
    <w:rsid w:val="000D6969"/>
    <w:rsid w:val="000E23FD"/>
    <w:rsid w:val="000E3E75"/>
    <w:rsid w:val="000E4B96"/>
    <w:rsid w:val="000E6750"/>
    <w:rsid w:val="000E752D"/>
    <w:rsid w:val="001018B2"/>
    <w:rsid w:val="00102CF4"/>
    <w:rsid w:val="00104AC8"/>
    <w:rsid w:val="00107C91"/>
    <w:rsid w:val="0011090E"/>
    <w:rsid w:val="0011513B"/>
    <w:rsid w:val="001178B2"/>
    <w:rsid w:val="00120333"/>
    <w:rsid w:val="00121BC1"/>
    <w:rsid w:val="001256CD"/>
    <w:rsid w:val="00126E40"/>
    <w:rsid w:val="001305DA"/>
    <w:rsid w:val="001307F6"/>
    <w:rsid w:val="00135112"/>
    <w:rsid w:val="00142FD6"/>
    <w:rsid w:val="00151700"/>
    <w:rsid w:val="00151C4C"/>
    <w:rsid w:val="001521F3"/>
    <w:rsid w:val="00154B0A"/>
    <w:rsid w:val="00164652"/>
    <w:rsid w:val="00164E24"/>
    <w:rsid w:val="001662CA"/>
    <w:rsid w:val="00166A1E"/>
    <w:rsid w:val="00171902"/>
    <w:rsid w:val="0017214A"/>
    <w:rsid w:val="0017269D"/>
    <w:rsid w:val="001925F0"/>
    <w:rsid w:val="001A00C2"/>
    <w:rsid w:val="001A3A66"/>
    <w:rsid w:val="001A3CC8"/>
    <w:rsid w:val="001A4D6F"/>
    <w:rsid w:val="001A5246"/>
    <w:rsid w:val="001A68EC"/>
    <w:rsid w:val="001B1531"/>
    <w:rsid w:val="001D0C23"/>
    <w:rsid w:val="001D16D4"/>
    <w:rsid w:val="001D6E57"/>
    <w:rsid w:val="001D7C15"/>
    <w:rsid w:val="001E29BA"/>
    <w:rsid w:val="001E2D83"/>
    <w:rsid w:val="001F14AB"/>
    <w:rsid w:val="00200675"/>
    <w:rsid w:val="00220F22"/>
    <w:rsid w:val="00224927"/>
    <w:rsid w:val="00226BCD"/>
    <w:rsid w:val="002339A8"/>
    <w:rsid w:val="00235C7E"/>
    <w:rsid w:val="002363EB"/>
    <w:rsid w:val="00243C6A"/>
    <w:rsid w:val="00253F3D"/>
    <w:rsid w:val="00256F27"/>
    <w:rsid w:val="00257341"/>
    <w:rsid w:val="00264FC2"/>
    <w:rsid w:val="002726ED"/>
    <w:rsid w:val="0027558E"/>
    <w:rsid w:val="00276B0B"/>
    <w:rsid w:val="002871CC"/>
    <w:rsid w:val="00293B98"/>
    <w:rsid w:val="00293F19"/>
    <w:rsid w:val="0029417E"/>
    <w:rsid w:val="00294F2B"/>
    <w:rsid w:val="00294F51"/>
    <w:rsid w:val="00296164"/>
    <w:rsid w:val="002978CF"/>
    <w:rsid w:val="002A544C"/>
    <w:rsid w:val="002A6A84"/>
    <w:rsid w:val="002B0670"/>
    <w:rsid w:val="002B5AA1"/>
    <w:rsid w:val="002B62F3"/>
    <w:rsid w:val="002B6618"/>
    <w:rsid w:val="002C1F84"/>
    <w:rsid w:val="002C3CEF"/>
    <w:rsid w:val="002C4353"/>
    <w:rsid w:val="002C4F06"/>
    <w:rsid w:val="002C720E"/>
    <w:rsid w:val="002D41BA"/>
    <w:rsid w:val="002D49F4"/>
    <w:rsid w:val="002D4C79"/>
    <w:rsid w:val="002E3F17"/>
    <w:rsid w:val="002E4C11"/>
    <w:rsid w:val="002E5E6D"/>
    <w:rsid w:val="002F18D6"/>
    <w:rsid w:val="0030777E"/>
    <w:rsid w:val="00311EB0"/>
    <w:rsid w:val="0031252B"/>
    <w:rsid w:val="00315D0E"/>
    <w:rsid w:val="0033352D"/>
    <w:rsid w:val="00334970"/>
    <w:rsid w:val="003449C8"/>
    <w:rsid w:val="0034601A"/>
    <w:rsid w:val="0034708F"/>
    <w:rsid w:val="00347CF1"/>
    <w:rsid w:val="0035437C"/>
    <w:rsid w:val="003552FB"/>
    <w:rsid w:val="00355F5B"/>
    <w:rsid w:val="003568E2"/>
    <w:rsid w:val="00362105"/>
    <w:rsid w:val="00363533"/>
    <w:rsid w:val="003635D7"/>
    <w:rsid w:val="00376788"/>
    <w:rsid w:val="00380083"/>
    <w:rsid w:val="003820D3"/>
    <w:rsid w:val="0038401F"/>
    <w:rsid w:val="00392F97"/>
    <w:rsid w:val="00393DEB"/>
    <w:rsid w:val="00394FEF"/>
    <w:rsid w:val="003B21A8"/>
    <w:rsid w:val="003B2E86"/>
    <w:rsid w:val="003B3373"/>
    <w:rsid w:val="003B5775"/>
    <w:rsid w:val="003C4126"/>
    <w:rsid w:val="003C727E"/>
    <w:rsid w:val="003D02D7"/>
    <w:rsid w:val="003D2FD0"/>
    <w:rsid w:val="003E284D"/>
    <w:rsid w:val="003E7E5C"/>
    <w:rsid w:val="003F0905"/>
    <w:rsid w:val="003F0BA3"/>
    <w:rsid w:val="00405009"/>
    <w:rsid w:val="00407631"/>
    <w:rsid w:val="00415717"/>
    <w:rsid w:val="004168F4"/>
    <w:rsid w:val="00420305"/>
    <w:rsid w:val="00421BED"/>
    <w:rsid w:val="004264A9"/>
    <w:rsid w:val="00433C64"/>
    <w:rsid w:val="00435FCB"/>
    <w:rsid w:val="004372C6"/>
    <w:rsid w:val="00437D6D"/>
    <w:rsid w:val="00441E16"/>
    <w:rsid w:val="00443D79"/>
    <w:rsid w:val="00444569"/>
    <w:rsid w:val="00444876"/>
    <w:rsid w:val="00447B89"/>
    <w:rsid w:val="00450075"/>
    <w:rsid w:val="00456368"/>
    <w:rsid w:val="00462508"/>
    <w:rsid w:val="00465E95"/>
    <w:rsid w:val="004704D4"/>
    <w:rsid w:val="004847B6"/>
    <w:rsid w:val="004854F4"/>
    <w:rsid w:val="004861AC"/>
    <w:rsid w:val="0049085A"/>
    <w:rsid w:val="00491BB5"/>
    <w:rsid w:val="00492E40"/>
    <w:rsid w:val="00495467"/>
    <w:rsid w:val="004A51C2"/>
    <w:rsid w:val="004A7025"/>
    <w:rsid w:val="004B031D"/>
    <w:rsid w:val="004B1ECB"/>
    <w:rsid w:val="004C73A4"/>
    <w:rsid w:val="004D0E23"/>
    <w:rsid w:val="004D14D9"/>
    <w:rsid w:val="004D48B1"/>
    <w:rsid w:val="004D583A"/>
    <w:rsid w:val="004E3CB8"/>
    <w:rsid w:val="004E43D8"/>
    <w:rsid w:val="004E4F5B"/>
    <w:rsid w:val="004F6597"/>
    <w:rsid w:val="004F6B19"/>
    <w:rsid w:val="004F72AE"/>
    <w:rsid w:val="005001A2"/>
    <w:rsid w:val="005010BD"/>
    <w:rsid w:val="00502414"/>
    <w:rsid w:val="00503BC4"/>
    <w:rsid w:val="00504BD0"/>
    <w:rsid w:val="00505FEB"/>
    <w:rsid w:val="00512FAE"/>
    <w:rsid w:val="00514738"/>
    <w:rsid w:val="00514BDF"/>
    <w:rsid w:val="00516FC4"/>
    <w:rsid w:val="00523C7A"/>
    <w:rsid w:val="00541FE3"/>
    <w:rsid w:val="005604C2"/>
    <w:rsid w:val="005704BE"/>
    <w:rsid w:val="0057065A"/>
    <w:rsid w:val="00572F9D"/>
    <w:rsid w:val="0058129F"/>
    <w:rsid w:val="0059064A"/>
    <w:rsid w:val="00590FAD"/>
    <w:rsid w:val="00591BF0"/>
    <w:rsid w:val="005950DA"/>
    <w:rsid w:val="005956F7"/>
    <w:rsid w:val="00596D88"/>
    <w:rsid w:val="005A1A29"/>
    <w:rsid w:val="005A1B90"/>
    <w:rsid w:val="005A6C24"/>
    <w:rsid w:val="005A78CF"/>
    <w:rsid w:val="005A7C86"/>
    <w:rsid w:val="005B1219"/>
    <w:rsid w:val="005B4461"/>
    <w:rsid w:val="005B7A68"/>
    <w:rsid w:val="005C0A6B"/>
    <w:rsid w:val="005C0FC6"/>
    <w:rsid w:val="005C1DEC"/>
    <w:rsid w:val="005C2BCE"/>
    <w:rsid w:val="005C3F42"/>
    <w:rsid w:val="005C48CD"/>
    <w:rsid w:val="005C4F50"/>
    <w:rsid w:val="005C5DFA"/>
    <w:rsid w:val="005D04A5"/>
    <w:rsid w:val="005D2CF8"/>
    <w:rsid w:val="005E355B"/>
    <w:rsid w:val="005F05F9"/>
    <w:rsid w:val="005F2FD4"/>
    <w:rsid w:val="005F49DB"/>
    <w:rsid w:val="00604CE2"/>
    <w:rsid w:val="00610003"/>
    <w:rsid w:val="006144E9"/>
    <w:rsid w:val="00620734"/>
    <w:rsid w:val="00631D82"/>
    <w:rsid w:val="00632A3F"/>
    <w:rsid w:val="00633F83"/>
    <w:rsid w:val="00634D0D"/>
    <w:rsid w:val="00642411"/>
    <w:rsid w:val="006501E4"/>
    <w:rsid w:val="006520E9"/>
    <w:rsid w:val="006551E8"/>
    <w:rsid w:val="00656720"/>
    <w:rsid w:val="006604D8"/>
    <w:rsid w:val="00662A45"/>
    <w:rsid w:val="006655CE"/>
    <w:rsid w:val="006673BA"/>
    <w:rsid w:val="00670DCD"/>
    <w:rsid w:val="006746F5"/>
    <w:rsid w:val="00674DF5"/>
    <w:rsid w:val="006A17FD"/>
    <w:rsid w:val="006A2848"/>
    <w:rsid w:val="006A5751"/>
    <w:rsid w:val="006B5BBF"/>
    <w:rsid w:val="006C081F"/>
    <w:rsid w:val="006C2D3B"/>
    <w:rsid w:val="006C3820"/>
    <w:rsid w:val="006D0AD8"/>
    <w:rsid w:val="006D0CC5"/>
    <w:rsid w:val="006D5BC9"/>
    <w:rsid w:val="006E11F7"/>
    <w:rsid w:val="006E49A1"/>
    <w:rsid w:val="006E7D6E"/>
    <w:rsid w:val="006F05B3"/>
    <w:rsid w:val="006F074B"/>
    <w:rsid w:val="006F62D7"/>
    <w:rsid w:val="006F6BBA"/>
    <w:rsid w:val="00700EFC"/>
    <w:rsid w:val="0070391E"/>
    <w:rsid w:val="00705006"/>
    <w:rsid w:val="00706364"/>
    <w:rsid w:val="00710AF9"/>
    <w:rsid w:val="007146BD"/>
    <w:rsid w:val="00723068"/>
    <w:rsid w:val="007240C1"/>
    <w:rsid w:val="007309ED"/>
    <w:rsid w:val="00735943"/>
    <w:rsid w:val="00746D1B"/>
    <w:rsid w:val="00747385"/>
    <w:rsid w:val="00752A4A"/>
    <w:rsid w:val="00753845"/>
    <w:rsid w:val="007572F6"/>
    <w:rsid w:val="00761317"/>
    <w:rsid w:val="007624AA"/>
    <w:rsid w:val="00763A42"/>
    <w:rsid w:val="0076474A"/>
    <w:rsid w:val="007649D5"/>
    <w:rsid w:val="00775917"/>
    <w:rsid w:val="007829F6"/>
    <w:rsid w:val="007841D8"/>
    <w:rsid w:val="007A165A"/>
    <w:rsid w:val="007A535B"/>
    <w:rsid w:val="007A7807"/>
    <w:rsid w:val="007B2D47"/>
    <w:rsid w:val="007B3A5C"/>
    <w:rsid w:val="007C506D"/>
    <w:rsid w:val="007C56A2"/>
    <w:rsid w:val="007D33A5"/>
    <w:rsid w:val="007D3CC4"/>
    <w:rsid w:val="007D4BA6"/>
    <w:rsid w:val="007E12E7"/>
    <w:rsid w:val="007E2AF8"/>
    <w:rsid w:val="007E7847"/>
    <w:rsid w:val="007E7B1F"/>
    <w:rsid w:val="007F14FA"/>
    <w:rsid w:val="007F278C"/>
    <w:rsid w:val="007F58CC"/>
    <w:rsid w:val="007F5A20"/>
    <w:rsid w:val="007F627D"/>
    <w:rsid w:val="007F7F8A"/>
    <w:rsid w:val="00800E74"/>
    <w:rsid w:val="0080731C"/>
    <w:rsid w:val="00810C0C"/>
    <w:rsid w:val="00821523"/>
    <w:rsid w:val="008330CA"/>
    <w:rsid w:val="008345B8"/>
    <w:rsid w:val="008420A8"/>
    <w:rsid w:val="0084251A"/>
    <w:rsid w:val="00846AD9"/>
    <w:rsid w:val="00846AE1"/>
    <w:rsid w:val="00850A8B"/>
    <w:rsid w:val="00860A3B"/>
    <w:rsid w:val="008636CA"/>
    <w:rsid w:val="008648C9"/>
    <w:rsid w:val="00866A49"/>
    <w:rsid w:val="0087536C"/>
    <w:rsid w:val="00877CD2"/>
    <w:rsid w:val="00884BF0"/>
    <w:rsid w:val="008920C3"/>
    <w:rsid w:val="00893B0E"/>
    <w:rsid w:val="00894020"/>
    <w:rsid w:val="0089583D"/>
    <w:rsid w:val="00897638"/>
    <w:rsid w:val="008A1B6B"/>
    <w:rsid w:val="008B18FD"/>
    <w:rsid w:val="008B20DE"/>
    <w:rsid w:val="008B3B87"/>
    <w:rsid w:val="008B4615"/>
    <w:rsid w:val="008B7E48"/>
    <w:rsid w:val="008C0DB2"/>
    <w:rsid w:val="008C7EAF"/>
    <w:rsid w:val="008D422A"/>
    <w:rsid w:val="008D52EA"/>
    <w:rsid w:val="008D774F"/>
    <w:rsid w:val="008E550C"/>
    <w:rsid w:val="008E5E29"/>
    <w:rsid w:val="008E7C28"/>
    <w:rsid w:val="009005FB"/>
    <w:rsid w:val="00901E40"/>
    <w:rsid w:val="00902CD4"/>
    <w:rsid w:val="00911CC1"/>
    <w:rsid w:val="00915228"/>
    <w:rsid w:val="00915A7F"/>
    <w:rsid w:val="00916B6F"/>
    <w:rsid w:val="0091713E"/>
    <w:rsid w:val="00917285"/>
    <w:rsid w:val="009229CE"/>
    <w:rsid w:val="009253F6"/>
    <w:rsid w:val="00930827"/>
    <w:rsid w:val="00934988"/>
    <w:rsid w:val="0093536A"/>
    <w:rsid w:val="00944A2C"/>
    <w:rsid w:val="009472A8"/>
    <w:rsid w:val="009526B7"/>
    <w:rsid w:val="009545B0"/>
    <w:rsid w:val="00954DAA"/>
    <w:rsid w:val="00955660"/>
    <w:rsid w:val="009559B9"/>
    <w:rsid w:val="00955AC3"/>
    <w:rsid w:val="00960CB4"/>
    <w:rsid w:val="009637C2"/>
    <w:rsid w:val="009662C1"/>
    <w:rsid w:val="0096744B"/>
    <w:rsid w:val="00976199"/>
    <w:rsid w:val="009808A0"/>
    <w:rsid w:val="00981BC9"/>
    <w:rsid w:val="00983192"/>
    <w:rsid w:val="00992B9F"/>
    <w:rsid w:val="009932EE"/>
    <w:rsid w:val="009951C1"/>
    <w:rsid w:val="00995B45"/>
    <w:rsid w:val="009A1038"/>
    <w:rsid w:val="009A3251"/>
    <w:rsid w:val="009B4E19"/>
    <w:rsid w:val="009B5E77"/>
    <w:rsid w:val="009B6919"/>
    <w:rsid w:val="009C1089"/>
    <w:rsid w:val="009C38EA"/>
    <w:rsid w:val="009C7B59"/>
    <w:rsid w:val="009D3600"/>
    <w:rsid w:val="009D6192"/>
    <w:rsid w:val="009D74E6"/>
    <w:rsid w:val="009E2CD7"/>
    <w:rsid w:val="009E5255"/>
    <w:rsid w:val="009F0BC6"/>
    <w:rsid w:val="009F4B19"/>
    <w:rsid w:val="009F634E"/>
    <w:rsid w:val="00A02A9A"/>
    <w:rsid w:val="00A11216"/>
    <w:rsid w:val="00A121AB"/>
    <w:rsid w:val="00A133FC"/>
    <w:rsid w:val="00A15B3E"/>
    <w:rsid w:val="00A26AC5"/>
    <w:rsid w:val="00A326CB"/>
    <w:rsid w:val="00A342DD"/>
    <w:rsid w:val="00A37FE8"/>
    <w:rsid w:val="00A40D83"/>
    <w:rsid w:val="00A533C2"/>
    <w:rsid w:val="00A61133"/>
    <w:rsid w:val="00A61EDE"/>
    <w:rsid w:val="00A62881"/>
    <w:rsid w:val="00A664C3"/>
    <w:rsid w:val="00A812C6"/>
    <w:rsid w:val="00A87FA2"/>
    <w:rsid w:val="00A926E3"/>
    <w:rsid w:val="00A927B4"/>
    <w:rsid w:val="00A93B8C"/>
    <w:rsid w:val="00AA34C0"/>
    <w:rsid w:val="00AA4A1D"/>
    <w:rsid w:val="00AA4C5E"/>
    <w:rsid w:val="00AA7E7A"/>
    <w:rsid w:val="00AB15B2"/>
    <w:rsid w:val="00AB36A9"/>
    <w:rsid w:val="00AB75A7"/>
    <w:rsid w:val="00AC47B5"/>
    <w:rsid w:val="00AC4E3A"/>
    <w:rsid w:val="00AC646D"/>
    <w:rsid w:val="00AD60B1"/>
    <w:rsid w:val="00AE29D0"/>
    <w:rsid w:val="00B00684"/>
    <w:rsid w:val="00B006C5"/>
    <w:rsid w:val="00B04697"/>
    <w:rsid w:val="00B05FFA"/>
    <w:rsid w:val="00B1200E"/>
    <w:rsid w:val="00B21A4E"/>
    <w:rsid w:val="00B23DEA"/>
    <w:rsid w:val="00B322D4"/>
    <w:rsid w:val="00B45530"/>
    <w:rsid w:val="00B5114C"/>
    <w:rsid w:val="00B57F2B"/>
    <w:rsid w:val="00B60685"/>
    <w:rsid w:val="00B64CF9"/>
    <w:rsid w:val="00B65471"/>
    <w:rsid w:val="00B704F5"/>
    <w:rsid w:val="00B70747"/>
    <w:rsid w:val="00B73CE1"/>
    <w:rsid w:val="00B74A42"/>
    <w:rsid w:val="00B7759B"/>
    <w:rsid w:val="00B80A16"/>
    <w:rsid w:val="00B86860"/>
    <w:rsid w:val="00B87DFC"/>
    <w:rsid w:val="00B90876"/>
    <w:rsid w:val="00B97EFC"/>
    <w:rsid w:val="00BB0F67"/>
    <w:rsid w:val="00BB5094"/>
    <w:rsid w:val="00BC09E3"/>
    <w:rsid w:val="00BC13FA"/>
    <w:rsid w:val="00BC175F"/>
    <w:rsid w:val="00BC1B4A"/>
    <w:rsid w:val="00BD06EF"/>
    <w:rsid w:val="00BD0C92"/>
    <w:rsid w:val="00BD25EA"/>
    <w:rsid w:val="00BD4FAF"/>
    <w:rsid w:val="00BD7014"/>
    <w:rsid w:val="00BE2CEC"/>
    <w:rsid w:val="00BE45B3"/>
    <w:rsid w:val="00BF3C89"/>
    <w:rsid w:val="00C01831"/>
    <w:rsid w:val="00C023D6"/>
    <w:rsid w:val="00C046C8"/>
    <w:rsid w:val="00C07C0A"/>
    <w:rsid w:val="00C07D36"/>
    <w:rsid w:val="00C11715"/>
    <w:rsid w:val="00C12BB0"/>
    <w:rsid w:val="00C140F6"/>
    <w:rsid w:val="00C2167C"/>
    <w:rsid w:val="00C22BE4"/>
    <w:rsid w:val="00C251CE"/>
    <w:rsid w:val="00C27E43"/>
    <w:rsid w:val="00C302F4"/>
    <w:rsid w:val="00C3296B"/>
    <w:rsid w:val="00C36F32"/>
    <w:rsid w:val="00C373A6"/>
    <w:rsid w:val="00C41C7D"/>
    <w:rsid w:val="00C46714"/>
    <w:rsid w:val="00C500C5"/>
    <w:rsid w:val="00C5049C"/>
    <w:rsid w:val="00C64984"/>
    <w:rsid w:val="00C71FB1"/>
    <w:rsid w:val="00C77800"/>
    <w:rsid w:val="00C80F9A"/>
    <w:rsid w:val="00C8168D"/>
    <w:rsid w:val="00C853B2"/>
    <w:rsid w:val="00C86F5D"/>
    <w:rsid w:val="00CA35C0"/>
    <w:rsid w:val="00CA7A0C"/>
    <w:rsid w:val="00CB0B28"/>
    <w:rsid w:val="00CB1FCC"/>
    <w:rsid w:val="00CB427E"/>
    <w:rsid w:val="00CB4EFC"/>
    <w:rsid w:val="00CC2086"/>
    <w:rsid w:val="00CC41D1"/>
    <w:rsid w:val="00CC72DB"/>
    <w:rsid w:val="00CD0815"/>
    <w:rsid w:val="00CD4241"/>
    <w:rsid w:val="00CD56F8"/>
    <w:rsid w:val="00CD6466"/>
    <w:rsid w:val="00CE575B"/>
    <w:rsid w:val="00CE659D"/>
    <w:rsid w:val="00CF7E1A"/>
    <w:rsid w:val="00D0270A"/>
    <w:rsid w:val="00D15989"/>
    <w:rsid w:val="00D16FBF"/>
    <w:rsid w:val="00D23553"/>
    <w:rsid w:val="00D24395"/>
    <w:rsid w:val="00D24FAF"/>
    <w:rsid w:val="00D255C3"/>
    <w:rsid w:val="00D25ED1"/>
    <w:rsid w:val="00D25F1A"/>
    <w:rsid w:val="00D30B51"/>
    <w:rsid w:val="00D30F17"/>
    <w:rsid w:val="00D42554"/>
    <w:rsid w:val="00D4285B"/>
    <w:rsid w:val="00D42D7B"/>
    <w:rsid w:val="00D43F57"/>
    <w:rsid w:val="00D44B0C"/>
    <w:rsid w:val="00D4566A"/>
    <w:rsid w:val="00D518BD"/>
    <w:rsid w:val="00D52684"/>
    <w:rsid w:val="00D532E0"/>
    <w:rsid w:val="00D568E6"/>
    <w:rsid w:val="00D60C74"/>
    <w:rsid w:val="00D6219E"/>
    <w:rsid w:val="00D62D5A"/>
    <w:rsid w:val="00D7241F"/>
    <w:rsid w:val="00D72A40"/>
    <w:rsid w:val="00D73544"/>
    <w:rsid w:val="00D771C9"/>
    <w:rsid w:val="00D84FA2"/>
    <w:rsid w:val="00D90FA7"/>
    <w:rsid w:val="00D9229E"/>
    <w:rsid w:val="00D93BEE"/>
    <w:rsid w:val="00D97072"/>
    <w:rsid w:val="00D97920"/>
    <w:rsid w:val="00DA4E52"/>
    <w:rsid w:val="00DB18EE"/>
    <w:rsid w:val="00DB1B83"/>
    <w:rsid w:val="00DB76DA"/>
    <w:rsid w:val="00DC2EA0"/>
    <w:rsid w:val="00DD02A0"/>
    <w:rsid w:val="00DD1E09"/>
    <w:rsid w:val="00DE1AA4"/>
    <w:rsid w:val="00DE6D77"/>
    <w:rsid w:val="00DE7BB3"/>
    <w:rsid w:val="00DE7EDF"/>
    <w:rsid w:val="00E023B8"/>
    <w:rsid w:val="00E11E32"/>
    <w:rsid w:val="00E15618"/>
    <w:rsid w:val="00E1723C"/>
    <w:rsid w:val="00E255D3"/>
    <w:rsid w:val="00E325B8"/>
    <w:rsid w:val="00E33511"/>
    <w:rsid w:val="00E37319"/>
    <w:rsid w:val="00E43EA0"/>
    <w:rsid w:val="00E47BA3"/>
    <w:rsid w:val="00E545C0"/>
    <w:rsid w:val="00E57CBB"/>
    <w:rsid w:val="00E601E2"/>
    <w:rsid w:val="00E61C34"/>
    <w:rsid w:val="00E64D59"/>
    <w:rsid w:val="00E75DE0"/>
    <w:rsid w:val="00E779D9"/>
    <w:rsid w:val="00E82524"/>
    <w:rsid w:val="00E82B7A"/>
    <w:rsid w:val="00E90A3D"/>
    <w:rsid w:val="00E90BB4"/>
    <w:rsid w:val="00E952E0"/>
    <w:rsid w:val="00E958A6"/>
    <w:rsid w:val="00EA15FC"/>
    <w:rsid w:val="00EA21C7"/>
    <w:rsid w:val="00EA3E4D"/>
    <w:rsid w:val="00EA73BF"/>
    <w:rsid w:val="00EA79A2"/>
    <w:rsid w:val="00EB197D"/>
    <w:rsid w:val="00ED02F1"/>
    <w:rsid w:val="00ED17B7"/>
    <w:rsid w:val="00ED2D1E"/>
    <w:rsid w:val="00ED324A"/>
    <w:rsid w:val="00ED6B43"/>
    <w:rsid w:val="00EE018E"/>
    <w:rsid w:val="00EE0A90"/>
    <w:rsid w:val="00EE477B"/>
    <w:rsid w:val="00EE7711"/>
    <w:rsid w:val="00EF430E"/>
    <w:rsid w:val="00EF529B"/>
    <w:rsid w:val="00EF70C8"/>
    <w:rsid w:val="00F01546"/>
    <w:rsid w:val="00F111D7"/>
    <w:rsid w:val="00F118CC"/>
    <w:rsid w:val="00F202A5"/>
    <w:rsid w:val="00F30EEE"/>
    <w:rsid w:val="00F32645"/>
    <w:rsid w:val="00F32BE7"/>
    <w:rsid w:val="00F340DB"/>
    <w:rsid w:val="00F36119"/>
    <w:rsid w:val="00F36DBA"/>
    <w:rsid w:val="00F41ABA"/>
    <w:rsid w:val="00F6080B"/>
    <w:rsid w:val="00F61719"/>
    <w:rsid w:val="00F65103"/>
    <w:rsid w:val="00F66F46"/>
    <w:rsid w:val="00F677C9"/>
    <w:rsid w:val="00F71645"/>
    <w:rsid w:val="00F747E3"/>
    <w:rsid w:val="00F7776C"/>
    <w:rsid w:val="00F861D7"/>
    <w:rsid w:val="00F8626F"/>
    <w:rsid w:val="00F9501B"/>
    <w:rsid w:val="00FA03D5"/>
    <w:rsid w:val="00FA7A71"/>
    <w:rsid w:val="00FB446A"/>
    <w:rsid w:val="00FB6751"/>
    <w:rsid w:val="00FC07F8"/>
    <w:rsid w:val="00FC16A3"/>
    <w:rsid w:val="00FC648D"/>
    <w:rsid w:val="00FC6FE4"/>
    <w:rsid w:val="00FC77D3"/>
    <w:rsid w:val="00FD2432"/>
    <w:rsid w:val="00FD2D12"/>
    <w:rsid w:val="00FE2F09"/>
    <w:rsid w:val="00FE4608"/>
    <w:rsid w:val="00FE6A36"/>
    <w:rsid w:val="00FF2C84"/>
    <w:rsid w:val="00FF3534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Ttulo1">
    <w:name w:val="heading 1"/>
    <w:basedOn w:val="Normal"/>
    <w:link w:val="Ttulo1C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Textodecuerpo2">
    <w:name w:val="Body Text 2"/>
    <w:basedOn w:val="Normal"/>
    <w:link w:val="Textodecuerpo2C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Textodecuerpo2Car">
    <w:name w:val="Body Text 2 Char"/>
    <w:link w:val="Textodecuerpo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Encabezado">
    <w:name w:val="header"/>
    <w:basedOn w:val="Normal"/>
    <w:link w:val="EncabezadoC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Header Char"/>
    <w:link w:val="Encabezado"/>
    <w:uiPriority w:val="99"/>
    <w:locked/>
    <w:rsid w:val="0006525B"/>
    <w:rPr>
      <w:rFonts w:ascii="Tahoma" w:hAnsi="Tahoma" w:cs="Times New Roman"/>
    </w:rPr>
  </w:style>
  <w:style w:type="paragraph" w:styleId="Piedepgina">
    <w:name w:val="footer"/>
    <w:basedOn w:val="Normal"/>
    <w:link w:val="PiedepginaC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edepginaCar">
    <w:name w:val="Footer Char"/>
    <w:link w:val="Piedepgina"/>
    <w:uiPriority w:val="99"/>
    <w:locked/>
    <w:rsid w:val="0006525B"/>
    <w:rPr>
      <w:rFonts w:ascii="Tahoma" w:hAnsi="Tahoma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47BA3"/>
    <w:rPr>
      <w:sz w:val="16"/>
      <w:szCs w:val="20"/>
    </w:rPr>
  </w:style>
  <w:style w:type="character" w:customStyle="1" w:styleId="TextodegloboCar">
    <w:name w:val="Balloon Text Char"/>
    <w:link w:val="Textodeglobo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Refdecomentario">
    <w:name w:val="annotation reference"/>
    <w:uiPriority w:val="99"/>
    <w:semiHidden/>
    <w:rsid w:val="007C50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C506D"/>
    <w:rPr>
      <w:sz w:val="20"/>
      <w:szCs w:val="20"/>
    </w:rPr>
  </w:style>
  <w:style w:type="character" w:customStyle="1" w:styleId="TextocomentarioCar">
    <w:name w:val="Comment Text Char"/>
    <w:link w:val="Textocomentario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C506D"/>
    <w:rPr>
      <w:b/>
    </w:rPr>
  </w:style>
  <w:style w:type="character" w:customStyle="1" w:styleId="AsuntodelcomentarioCar">
    <w:name w:val="Comment Subject Char"/>
    <w:link w:val="Asuntodelcomentario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Textodecuerpo">
    <w:name w:val="Body Text"/>
    <w:basedOn w:val="Normal"/>
    <w:link w:val="TextodecuerpoC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xtodecuerpoCar">
    <w:name w:val="Body Text Char"/>
    <w:link w:val="Textodecuerpo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3820D3"/>
  </w:style>
  <w:style w:type="paragraph" w:styleId="Revisi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ipervnculo">
    <w:name w:val="Hyperlink"/>
    <w:uiPriority w:val="99"/>
    <w:unhideWhenUsed/>
    <w:rsid w:val="000C624B"/>
    <w:rPr>
      <w:color w:val="0000FF"/>
      <w:u w:val="single"/>
    </w:rPr>
  </w:style>
  <w:style w:type="character" w:customStyle="1" w:styleId="Ttulo1Car">
    <w:name w:val="Heading 1 Char"/>
    <w:link w:val="Ttulo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80A4-D4B0-F542-9A0B-B98833ACA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49CA4-9A96-4564-89F6-BF4D21D9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3</cp:revision>
  <cp:lastPrinted>2014-10-10T15:38:00Z</cp:lastPrinted>
  <dcterms:created xsi:type="dcterms:W3CDTF">2015-02-24T17:09:00Z</dcterms:created>
  <dcterms:modified xsi:type="dcterms:W3CDTF">2015-02-27T12:34:00Z</dcterms:modified>
</cp:coreProperties>
</file>