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836BB3" w14:textId="77777777" w:rsidR="00542AE9" w:rsidRPr="00542AE9" w:rsidRDefault="00542AE9" w:rsidP="00542AE9">
      <w:pPr>
        <w:ind w:right="17"/>
        <w:jc w:val="center"/>
        <w:outlineLvl w:val="0"/>
        <w:rPr>
          <w:rFonts w:asciiTheme="majorHAnsi" w:eastAsia="Times New Roman" w:hAnsiTheme="majorHAnsi" w:cstheme="majorHAnsi"/>
          <w:b/>
          <w:bCs/>
          <w:lang w:val="en-GB"/>
        </w:rPr>
      </w:pPr>
      <w:r w:rsidRPr="00542AE9">
        <w:rPr>
          <w:rFonts w:asciiTheme="majorHAnsi" w:eastAsia="Times New Roman" w:hAnsiTheme="majorHAnsi" w:cstheme="majorHAnsi"/>
          <w:b/>
          <w:bCs/>
          <w:lang w:val="en-GB"/>
        </w:rPr>
        <w:t>14th Meeting of the Conference of the Contracting Parties</w:t>
      </w:r>
    </w:p>
    <w:p w14:paraId="49C771CB" w14:textId="77777777" w:rsidR="00542AE9" w:rsidRPr="00542AE9" w:rsidRDefault="00542AE9" w:rsidP="00542AE9">
      <w:pPr>
        <w:ind w:right="17"/>
        <w:jc w:val="center"/>
        <w:outlineLvl w:val="0"/>
        <w:rPr>
          <w:rFonts w:asciiTheme="majorHAnsi" w:eastAsia="Times New Roman" w:hAnsiTheme="majorHAnsi" w:cstheme="majorHAnsi"/>
          <w:b/>
          <w:bCs/>
          <w:lang w:val="en-GB"/>
        </w:rPr>
      </w:pPr>
      <w:r w:rsidRPr="00542AE9">
        <w:rPr>
          <w:rFonts w:asciiTheme="majorHAnsi" w:eastAsia="Times New Roman" w:hAnsiTheme="majorHAnsi" w:cstheme="majorHAnsi"/>
          <w:b/>
          <w:bCs/>
          <w:lang w:val="en-GB"/>
        </w:rPr>
        <w:t>to the Ramsar Convention on Wetlands</w:t>
      </w:r>
    </w:p>
    <w:p w14:paraId="03654254" w14:textId="77777777" w:rsidR="00542AE9" w:rsidRPr="00542AE9" w:rsidRDefault="00542AE9" w:rsidP="00542AE9">
      <w:pPr>
        <w:ind w:right="17"/>
        <w:jc w:val="center"/>
        <w:outlineLvl w:val="0"/>
        <w:rPr>
          <w:rFonts w:asciiTheme="majorHAnsi" w:eastAsia="Times New Roman" w:hAnsiTheme="majorHAnsi" w:cstheme="majorHAnsi"/>
          <w:b/>
          <w:bCs/>
          <w:lang w:val="en-GB"/>
        </w:rPr>
      </w:pPr>
    </w:p>
    <w:p w14:paraId="5EAE523A" w14:textId="77777777" w:rsidR="00542AE9" w:rsidRPr="00542AE9" w:rsidRDefault="00542AE9" w:rsidP="00542AE9">
      <w:pPr>
        <w:ind w:right="17"/>
        <w:jc w:val="center"/>
        <w:outlineLvl w:val="0"/>
        <w:rPr>
          <w:rFonts w:asciiTheme="majorHAnsi" w:eastAsia="Times New Roman" w:hAnsiTheme="majorHAnsi" w:cstheme="majorHAnsi"/>
          <w:b/>
          <w:bCs/>
          <w:lang w:val="en-GB"/>
        </w:rPr>
      </w:pPr>
      <w:r w:rsidRPr="00542AE9">
        <w:rPr>
          <w:rFonts w:asciiTheme="majorHAnsi" w:eastAsia="Times New Roman" w:hAnsiTheme="majorHAnsi" w:cstheme="majorHAnsi"/>
          <w:b/>
          <w:bCs/>
          <w:lang w:val="en-GB"/>
        </w:rPr>
        <w:t>“Wetlands Actions for People and Nature”</w:t>
      </w:r>
    </w:p>
    <w:p w14:paraId="0ACAC69B" w14:textId="21A1863D" w:rsidR="00C50F56" w:rsidRPr="00542AE9" w:rsidRDefault="00542AE9" w:rsidP="00542AE9">
      <w:pPr>
        <w:ind w:right="17"/>
        <w:jc w:val="center"/>
        <w:outlineLvl w:val="0"/>
        <w:rPr>
          <w:rFonts w:asciiTheme="majorHAnsi" w:eastAsia="Times New Roman" w:hAnsiTheme="majorHAnsi" w:cstheme="majorHAnsi"/>
          <w:b/>
          <w:bCs/>
          <w:lang w:val="en-GB"/>
        </w:rPr>
      </w:pPr>
      <w:r w:rsidRPr="00542AE9">
        <w:rPr>
          <w:rFonts w:asciiTheme="majorHAnsi" w:eastAsia="Times New Roman" w:hAnsiTheme="majorHAnsi" w:cstheme="majorHAnsi"/>
          <w:b/>
          <w:bCs/>
          <w:lang w:val="en-GB"/>
        </w:rPr>
        <w:t>Wuhan, China and Geneva, Switzerland, 5-13 November 2022</w:t>
      </w:r>
    </w:p>
    <w:p w14:paraId="4CA7A5B4" w14:textId="77777777" w:rsidR="00542AE9" w:rsidRPr="00542AE9" w:rsidRDefault="00542AE9" w:rsidP="00542AE9">
      <w:pPr>
        <w:ind w:right="17"/>
        <w:jc w:val="center"/>
        <w:outlineLvl w:val="0"/>
        <w:rPr>
          <w:rFonts w:asciiTheme="majorHAnsi" w:eastAsia="Times New Roman" w:hAnsiTheme="majorHAnsi" w:cstheme="majorHAnsi"/>
          <w:b/>
          <w:bCs/>
        </w:rPr>
      </w:pPr>
    </w:p>
    <w:tbl>
      <w:tblPr>
        <w:tblW w:w="9360" w:type="dxa"/>
        <w:tblInd w:w="-67" w:type="dxa"/>
        <w:tblBorders>
          <w:top w:val="single" w:sz="4" w:space="0" w:color="auto"/>
          <w:left w:val="single" w:sz="4" w:space="0" w:color="auto"/>
          <w:bottom w:val="single" w:sz="4" w:space="0" w:color="auto"/>
          <w:right w:val="single" w:sz="4" w:space="0" w:color="auto"/>
          <w:insideH w:val="single" w:sz="4" w:space="0" w:color="auto"/>
        </w:tblBorders>
        <w:tblCellMar>
          <w:top w:w="85" w:type="dxa"/>
          <w:left w:w="113" w:type="dxa"/>
          <w:bottom w:w="85" w:type="dxa"/>
          <w:right w:w="113" w:type="dxa"/>
        </w:tblCellMar>
        <w:tblLook w:val="04A0" w:firstRow="1" w:lastRow="0" w:firstColumn="1" w:lastColumn="0" w:noHBand="0" w:noVBand="1"/>
      </w:tblPr>
      <w:tblGrid>
        <w:gridCol w:w="4708"/>
        <w:gridCol w:w="4652"/>
      </w:tblGrid>
      <w:tr w:rsidR="00C50F56" w:rsidRPr="00542AE9" w14:paraId="778891CD" w14:textId="77777777" w:rsidTr="00D7748F">
        <w:tc>
          <w:tcPr>
            <w:tcW w:w="4708" w:type="dxa"/>
          </w:tcPr>
          <w:p w14:paraId="2031E082" w14:textId="77777777" w:rsidR="00C50F56" w:rsidRPr="007D0D4B" w:rsidRDefault="00C50F56" w:rsidP="004C3670">
            <w:pPr>
              <w:ind w:right="17"/>
              <w:jc w:val="center"/>
              <w:outlineLvl w:val="0"/>
              <w:rPr>
                <w:rFonts w:asciiTheme="majorHAnsi" w:eastAsia="Times New Roman" w:hAnsiTheme="majorHAnsi" w:cstheme="majorHAnsi"/>
                <w:b/>
                <w:bCs/>
                <w:sz w:val="22"/>
                <w:szCs w:val="22"/>
                <w:lang w:val="en-GB"/>
              </w:rPr>
            </w:pPr>
          </w:p>
        </w:tc>
        <w:tc>
          <w:tcPr>
            <w:tcW w:w="4652" w:type="dxa"/>
          </w:tcPr>
          <w:p w14:paraId="347E978B" w14:textId="2EE742C0" w:rsidR="00C50F56" w:rsidRPr="00542AE9" w:rsidRDefault="00C50F56" w:rsidP="009C1141">
            <w:pPr>
              <w:ind w:right="67"/>
              <w:jc w:val="right"/>
              <w:outlineLvl w:val="0"/>
              <w:rPr>
                <w:rFonts w:asciiTheme="majorHAnsi" w:eastAsia="Times New Roman" w:hAnsiTheme="majorHAnsi" w:cstheme="majorHAnsi"/>
                <w:b/>
                <w:bCs/>
                <w:lang w:val="en-GB"/>
              </w:rPr>
            </w:pPr>
            <w:r w:rsidRPr="00542AE9">
              <w:rPr>
                <w:rFonts w:asciiTheme="majorHAnsi" w:eastAsia="Times New Roman" w:hAnsiTheme="majorHAnsi" w:cstheme="majorHAnsi"/>
                <w:b/>
                <w:bCs/>
                <w:lang w:val="en-GB"/>
              </w:rPr>
              <w:t>Ramsar COP1</w:t>
            </w:r>
            <w:r w:rsidR="003A593D" w:rsidRPr="00542AE9">
              <w:rPr>
                <w:rFonts w:asciiTheme="majorHAnsi" w:eastAsia="Times New Roman" w:hAnsiTheme="majorHAnsi" w:cstheme="majorHAnsi"/>
                <w:b/>
                <w:bCs/>
                <w:lang w:val="en-GB"/>
              </w:rPr>
              <w:t>4</w:t>
            </w:r>
            <w:r w:rsidRPr="00542AE9">
              <w:rPr>
                <w:rFonts w:asciiTheme="majorHAnsi" w:eastAsia="Times New Roman" w:hAnsiTheme="majorHAnsi" w:cstheme="majorHAnsi"/>
                <w:b/>
                <w:bCs/>
                <w:lang w:val="en-GB"/>
              </w:rPr>
              <w:t xml:space="preserve"> Doc.</w:t>
            </w:r>
            <w:r w:rsidR="009C1141" w:rsidRPr="00542AE9">
              <w:rPr>
                <w:rFonts w:asciiTheme="majorHAnsi" w:eastAsia="Times New Roman" w:hAnsiTheme="majorHAnsi" w:cstheme="majorHAnsi"/>
                <w:b/>
                <w:bCs/>
                <w:lang w:val="en-GB"/>
              </w:rPr>
              <w:t>11</w:t>
            </w:r>
          </w:p>
        </w:tc>
      </w:tr>
    </w:tbl>
    <w:p w14:paraId="4D4E4B4D" w14:textId="3B247AF0" w:rsidR="00C50F56" w:rsidRDefault="00C50F56" w:rsidP="004C3670">
      <w:pPr>
        <w:rPr>
          <w:rFonts w:asciiTheme="majorHAnsi" w:hAnsiTheme="majorHAnsi"/>
          <w:b/>
          <w:sz w:val="22"/>
          <w:szCs w:val="22"/>
          <w:lang w:val="en-GB"/>
        </w:rPr>
      </w:pPr>
    </w:p>
    <w:p w14:paraId="018D1A30" w14:textId="77777777" w:rsidR="00542AE9" w:rsidRPr="007D0D4B" w:rsidRDefault="00542AE9" w:rsidP="004C3670">
      <w:pPr>
        <w:rPr>
          <w:rFonts w:asciiTheme="majorHAnsi" w:hAnsiTheme="majorHAnsi"/>
          <w:b/>
          <w:sz w:val="22"/>
          <w:szCs w:val="22"/>
          <w:lang w:val="en-GB"/>
        </w:rPr>
      </w:pPr>
    </w:p>
    <w:p w14:paraId="6C79032B" w14:textId="7DD98BA1" w:rsidR="005825FD" w:rsidRPr="00E32C50" w:rsidRDefault="005825FD" w:rsidP="004C3670">
      <w:pPr>
        <w:autoSpaceDE w:val="0"/>
        <w:autoSpaceDN w:val="0"/>
        <w:adjustRightInd w:val="0"/>
        <w:ind w:right="288"/>
        <w:jc w:val="center"/>
        <w:rPr>
          <w:rFonts w:asciiTheme="majorHAnsi" w:hAnsiTheme="majorHAnsi" w:cs="Calibri"/>
          <w:b/>
          <w:bCs/>
          <w:sz w:val="28"/>
          <w:szCs w:val="28"/>
        </w:rPr>
      </w:pPr>
      <w:r w:rsidRPr="00E32C50">
        <w:rPr>
          <w:rFonts w:asciiTheme="majorHAnsi" w:hAnsiTheme="majorHAnsi"/>
          <w:b/>
          <w:bCs/>
          <w:color w:val="000000"/>
          <w:sz w:val="28"/>
          <w:szCs w:val="28"/>
        </w:rPr>
        <w:t>Report o</w:t>
      </w:r>
      <w:r w:rsidR="00805542" w:rsidRPr="00E32C50">
        <w:rPr>
          <w:rFonts w:asciiTheme="majorHAnsi" w:hAnsiTheme="majorHAnsi"/>
          <w:b/>
          <w:bCs/>
          <w:color w:val="000000"/>
          <w:sz w:val="28"/>
          <w:szCs w:val="28"/>
        </w:rPr>
        <w:t>n implementation of the CEPA Programme</w:t>
      </w:r>
      <w:r w:rsidR="00C64326" w:rsidRPr="00E32C50">
        <w:rPr>
          <w:rFonts w:asciiTheme="majorHAnsi" w:hAnsiTheme="majorHAnsi"/>
          <w:b/>
          <w:bCs/>
          <w:color w:val="000000"/>
          <w:sz w:val="28"/>
          <w:szCs w:val="28"/>
        </w:rPr>
        <w:t xml:space="preserve"> 201</w:t>
      </w:r>
      <w:r w:rsidR="003A593D">
        <w:rPr>
          <w:rFonts w:asciiTheme="majorHAnsi" w:hAnsiTheme="majorHAnsi"/>
          <w:b/>
          <w:bCs/>
          <w:color w:val="000000"/>
          <w:sz w:val="28"/>
          <w:szCs w:val="28"/>
        </w:rPr>
        <w:t>6</w:t>
      </w:r>
      <w:r w:rsidR="00C64326" w:rsidRPr="00E32C50">
        <w:rPr>
          <w:rFonts w:asciiTheme="majorHAnsi" w:hAnsiTheme="majorHAnsi"/>
          <w:b/>
          <w:bCs/>
          <w:color w:val="000000"/>
          <w:sz w:val="28"/>
          <w:szCs w:val="28"/>
        </w:rPr>
        <w:t>-20</w:t>
      </w:r>
      <w:r w:rsidR="003A593D">
        <w:rPr>
          <w:rFonts w:asciiTheme="majorHAnsi" w:hAnsiTheme="majorHAnsi"/>
          <w:b/>
          <w:bCs/>
          <w:color w:val="000000"/>
          <w:sz w:val="28"/>
          <w:szCs w:val="28"/>
        </w:rPr>
        <w:t>24</w:t>
      </w:r>
    </w:p>
    <w:p w14:paraId="797B7770" w14:textId="77777777" w:rsidR="005825FD" w:rsidRPr="007D0D4B" w:rsidRDefault="005825FD" w:rsidP="004C3670">
      <w:pPr>
        <w:autoSpaceDE w:val="0"/>
        <w:autoSpaceDN w:val="0"/>
        <w:adjustRightInd w:val="0"/>
        <w:ind w:right="288"/>
        <w:rPr>
          <w:rFonts w:asciiTheme="majorHAnsi" w:hAnsiTheme="majorHAnsi" w:cs="Calibri"/>
          <w:b/>
          <w:bCs/>
          <w:sz w:val="22"/>
          <w:szCs w:val="22"/>
        </w:rPr>
      </w:pPr>
    </w:p>
    <w:p w14:paraId="78C0075B" w14:textId="77777777" w:rsidR="00C50F56" w:rsidRPr="007D0D4B" w:rsidRDefault="00C50F56" w:rsidP="004C3670">
      <w:pPr>
        <w:autoSpaceDE w:val="0"/>
        <w:autoSpaceDN w:val="0"/>
        <w:adjustRightInd w:val="0"/>
        <w:ind w:right="288"/>
        <w:rPr>
          <w:rFonts w:asciiTheme="majorHAnsi" w:hAnsiTheme="majorHAnsi" w:cs="Calibri"/>
          <w:b/>
          <w:bCs/>
          <w:sz w:val="22"/>
          <w:szCs w:val="22"/>
        </w:rPr>
      </w:pPr>
    </w:p>
    <w:p w14:paraId="15FE2855" w14:textId="77777777" w:rsidR="00C64326" w:rsidRPr="00C64326" w:rsidRDefault="00C64326" w:rsidP="00A4794E">
      <w:pPr>
        <w:autoSpaceDE w:val="0"/>
        <w:autoSpaceDN w:val="0"/>
        <w:adjustRightInd w:val="0"/>
        <w:rPr>
          <w:rFonts w:asciiTheme="majorHAnsi" w:hAnsiTheme="majorHAnsi" w:cs="Calibri"/>
          <w:bCs/>
          <w:sz w:val="22"/>
          <w:szCs w:val="22"/>
          <w:u w:val="single"/>
        </w:rPr>
      </w:pPr>
      <w:r w:rsidRPr="00C64326">
        <w:rPr>
          <w:rFonts w:asciiTheme="majorHAnsi" w:hAnsiTheme="majorHAnsi" w:cs="Calibri"/>
          <w:bCs/>
          <w:sz w:val="22"/>
          <w:szCs w:val="22"/>
          <w:u w:val="single"/>
        </w:rPr>
        <w:t>Summary</w:t>
      </w:r>
    </w:p>
    <w:p w14:paraId="16704F2D" w14:textId="77777777" w:rsidR="00013A20" w:rsidRDefault="00013A20" w:rsidP="00A4794E">
      <w:pPr>
        <w:pStyle w:val="BodyText"/>
        <w:widowControl/>
        <w:tabs>
          <w:tab w:val="left" w:pos="544"/>
        </w:tabs>
        <w:ind w:left="425" w:hanging="425"/>
        <w:rPr>
          <w:rFonts w:asciiTheme="majorHAnsi" w:hAnsiTheme="majorHAnsi"/>
        </w:rPr>
      </w:pPr>
    </w:p>
    <w:p w14:paraId="525DFBCD" w14:textId="0F269D3F" w:rsidR="00C64326" w:rsidRPr="00C64326" w:rsidRDefault="00013A20" w:rsidP="00A4794E">
      <w:pPr>
        <w:pStyle w:val="BodyText"/>
        <w:widowControl/>
        <w:tabs>
          <w:tab w:val="left" w:pos="544"/>
        </w:tabs>
        <w:ind w:left="425" w:hanging="425"/>
        <w:rPr>
          <w:rFonts w:asciiTheme="majorHAnsi" w:hAnsiTheme="majorHAnsi" w:cs="Times New Roman"/>
          <w:lang w:val="en-AU"/>
        </w:rPr>
      </w:pPr>
      <w:r>
        <w:rPr>
          <w:rFonts w:asciiTheme="majorHAnsi" w:hAnsiTheme="majorHAnsi"/>
        </w:rPr>
        <w:t>1.</w:t>
      </w:r>
      <w:r>
        <w:rPr>
          <w:rFonts w:asciiTheme="majorHAnsi" w:hAnsiTheme="majorHAnsi"/>
        </w:rPr>
        <w:tab/>
      </w:r>
      <w:r w:rsidR="00C64326" w:rsidRPr="00C64326">
        <w:rPr>
          <w:rFonts w:asciiTheme="majorHAnsi" w:hAnsiTheme="majorHAnsi"/>
        </w:rPr>
        <w:t>This</w:t>
      </w:r>
      <w:r w:rsidR="00C64326" w:rsidRPr="00C64326">
        <w:rPr>
          <w:rFonts w:asciiTheme="majorHAnsi" w:hAnsiTheme="majorHAnsi" w:cs="Times New Roman"/>
          <w:lang w:val="en-AU"/>
        </w:rPr>
        <w:t xml:space="preserve"> paper provides both a review of progress in implementing the </w:t>
      </w:r>
      <w:r w:rsidR="002B6886">
        <w:t>Programme on communication, capacity building, education, participation and awareness (</w:t>
      </w:r>
      <w:r w:rsidR="00C64326" w:rsidRPr="00C64326">
        <w:rPr>
          <w:rFonts w:asciiTheme="majorHAnsi" w:hAnsiTheme="majorHAnsi" w:cs="Times New Roman"/>
          <w:lang w:val="en-AU"/>
        </w:rPr>
        <w:t>CEPA</w:t>
      </w:r>
      <w:r w:rsidR="002B6886">
        <w:rPr>
          <w:rFonts w:asciiTheme="majorHAnsi" w:hAnsiTheme="majorHAnsi" w:cs="Times New Roman"/>
          <w:lang w:val="en-AU"/>
        </w:rPr>
        <w:t>)</w:t>
      </w:r>
      <w:r w:rsidR="00C64326" w:rsidRPr="00C64326">
        <w:rPr>
          <w:rFonts w:asciiTheme="majorHAnsi" w:hAnsiTheme="majorHAnsi" w:cs="Times New Roman"/>
          <w:lang w:val="en-AU"/>
        </w:rPr>
        <w:t xml:space="preserve"> during the 201</w:t>
      </w:r>
      <w:r w:rsidR="0048681A">
        <w:rPr>
          <w:rFonts w:asciiTheme="majorHAnsi" w:hAnsiTheme="majorHAnsi" w:cs="Times New Roman"/>
          <w:lang w:val="en-AU"/>
        </w:rPr>
        <w:t>9</w:t>
      </w:r>
      <w:r w:rsidR="00C64326" w:rsidRPr="00C64326">
        <w:rPr>
          <w:rFonts w:asciiTheme="majorHAnsi" w:hAnsiTheme="majorHAnsi" w:cs="Times New Roman"/>
          <w:lang w:val="en-AU"/>
        </w:rPr>
        <w:t>-20</w:t>
      </w:r>
      <w:r w:rsidR="0048681A">
        <w:rPr>
          <w:rFonts w:asciiTheme="majorHAnsi" w:hAnsiTheme="majorHAnsi" w:cs="Times New Roman"/>
          <w:lang w:val="en-AU"/>
        </w:rPr>
        <w:t>22 period</w:t>
      </w:r>
      <w:r w:rsidR="00C64326" w:rsidRPr="00C64326">
        <w:rPr>
          <w:rFonts w:asciiTheme="majorHAnsi" w:hAnsiTheme="majorHAnsi" w:cs="Times New Roman"/>
          <w:lang w:val="en-AU"/>
        </w:rPr>
        <w:t xml:space="preserve"> and recommendations by the CEPA Oversight Panel on </w:t>
      </w:r>
      <w:r w:rsidR="0048681A">
        <w:rPr>
          <w:rFonts w:asciiTheme="majorHAnsi" w:hAnsiTheme="majorHAnsi" w:cs="Times New Roman"/>
          <w:lang w:val="en-AU"/>
        </w:rPr>
        <w:t>a</w:t>
      </w:r>
      <w:r w:rsidR="00C64326" w:rsidRPr="00C64326">
        <w:rPr>
          <w:rFonts w:asciiTheme="majorHAnsi" w:hAnsiTheme="majorHAnsi" w:cs="Times New Roman"/>
          <w:lang w:val="en-AU"/>
        </w:rPr>
        <w:t xml:space="preserve"> new approach to CEPA implementation.</w:t>
      </w:r>
    </w:p>
    <w:p w14:paraId="50778250" w14:textId="77777777" w:rsidR="00013A20" w:rsidRDefault="00013A20" w:rsidP="00A4794E">
      <w:pPr>
        <w:pStyle w:val="BodyText"/>
        <w:widowControl/>
        <w:tabs>
          <w:tab w:val="left" w:pos="544"/>
        </w:tabs>
        <w:ind w:left="425" w:hanging="425"/>
        <w:rPr>
          <w:rFonts w:asciiTheme="majorHAnsi" w:hAnsiTheme="majorHAnsi" w:cs="Times New Roman"/>
          <w:lang w:val="en-AU"/>
        </w:rPr>
      </w:pPr>
    </w:p>
    <w:p w14:paraId="7A91C6C7" w14:textId="04238FF2" w:rsidR="00C64326" w:rsidRPr="00C64326" w:rsidRDefault="00013A20" w:rsidP="00A4794E">
      <w:pPr>
        <w:pStyle w:val="BodyText"/>
        <w:widowControl/>
        <w:ind w:left="425" w:hanging="425"/>
        <w:rPr>
          <w:rFonts w:asciiTheme="majorHAnsi" w:hAnsiTheme="majorHAnsi" w:cs="Times New Roman"/>
          <w:lang w:val="en-AU"/>
        </w:rPr>
      </w:pPr>
      <w:r>
        <w:rPr>
          <w:rFonts w:asciiTheme="majorHAnsi" w:hAnsiTheme="majorHAnsi" w:cs="Times New Roman"/>
          <w:lang w:val="en-AU"/>
        </w:rPr>
        <w:t>2.</w:t>
      </w:r>
      <w:r>
        <w:rPr>
          <w:rFonts w:asciiTheme="majorHAnsi" w:hAnsiTheme="majorHAnsi" w:cs="Times New Roman"/>
          <w:lang w:val="en-AU"/>
        </w:rPr>
        <w:tab/>
      </w:r>
      <w:r w:rsidR="002D6FBD">
        <w:rPr>
          <w:rFonts w:asciiTheme="majorHAnsi" w:hAnsiTheme="majorHAnsi" w:cs="Times New Roman"/>
          <w:lang w:val="en-AU"/>
        </w:rPr>
        <w:t>During</w:t>
      </w:r>
      <w:r w:rsidR="00C64326" w:rsidRPr="00C64326">
        <w:rPr>
          <w:rFonts w:asciiTheme="majorHAnsi" w:hAnsiTheme="majorHAnsi" w:cs="Times New Roman"/>
          <w:lang w:val="en-AU"/>
        </w:rPr>
        <w:t xml:space="preserve"> the </w:t>
      </w:r>
      <w:r w:rsidR="002D6FBD">
        <w:rPr>
          <w:rFonts w:asciiTheme="majorHAnsi" w:hAnsiTheme="majorHAnsi" w:cs="Times New Roman"/>
          <w:lang w:val="en-AU"/>
        </w:rPr>
        <w:t>reporting period 2019</w:t>
      </w:r>
      <w:r w:rsidR="002B6886">
        <w:rPr>
          <w:rFonts w:asciiTheme="majorHAnsi" w:hAnsiTheme="majorHAnsi" w:cs="Times New Roman"/>
          <w:lang w:val="en-AU"/>
        </w:rPr>
        <w:t>-</w:t>
      </w:r>
      <w:r w:rsidR="002D6FBD">
        <w:rPr>
          <w:rFonts w:asciiTheme="majorHAnsi" w:hAnsiTheme="majorHAnsi" w:cs="Times New Roman"/>
          <w:lang w:val="en-AU"/>
        </w:rPr>
        <w:t>2022</w:t>
      </w:r>
      <w:r w:rsidR="00C64326" w:rsidRPr="00C64326">
        <w:rPr>
          <w:rFonts w:asciiTheme="majorHAnsi" w:hAnsiTheme="majorHAnsi" w:cs="Times New Roman"/>
          <w:lang w:val="en-AU"/>
        </w:rPr>
        <w:t xml:space="preserve">, significant activity has been undertaken against the nine goals of the CEPA Programme, with achievements in </w:t>
      </w:r>
      <w:r w:rsidR="002D6FBD">
        <w:rPr>
          <w:rFonts w:asciiTheme="majorHAnsi" w:hAnsiTheme="majorHAnsi" w:cs="Times New Roman"/>
          <w:lang w:val="en-AU"/>
        </w:rPr>
        <w:t>increasing visibility and awareness of wetlands</w:t>
      </w:r>
      <w:r w:rsidR="00C64326" w:rsidRPr="00C64326">
        <w:rPr>
          <w:rFonts w:asciiTheme="majorHAnsi" w:hAnsiTheme="majorHAnsi" w:cs="Times New Roman"/>
          <w:lang w:val="en-AU"/>
        </w:rPr>
        <w:t>, support and capacity</w:t>
      </w:r>
      <w:r w:rsidR="002B6886">
        <w:rPr>
          <w:rFonts w:asciiTheme="majorHAnsi" w:hAnsiTheme="majorHAnsi" w:cs="Times New Roman"/>
          <w:lang w:val="en-AU"/>
        </w:rPr>
        <w:t xml:space="preserve"> </w:t>
      </w:r>
      <w:r w:rsidR="00C64326" w:rsidRPr="00C64326">
        <w:rPr>
          <w:rFonts w:asciiTheme="majorHAnsi" w:hAnsiTheme="majorHAnsi" w:cs="Times New Roman"/>
          <w:lang w:val="en-AU"/>
        </w:rPr>
        <w:t xml:space="preserve">building for site managers, engaging new stakeholders, </w:t>
      </w:r>
      <w:r w:rsidR="002D6FBD">
        <w:rPr>
          <w:rFonts w:asciiTheme="majorHAnsi" w:hAnsiTheme="majorHAnsi" w:cs="Times New Roman"/>
          <w:lang w:val="en-AU"/>
        </w:rPr>
        <w:t xml:space="preserve">leveraging </w:t>
      </w:r>
      <w:r w:rsidR="00C64326" w:rsidRPr="00C64326">
        <w:rPr>
          <w:rFonts w:asciiTheme="majorHAnsi" w:hAnsiTheme="majorHAnsi" w:cs="Times New Roman"/>
          <w:lang w:val="en-AU"/>
        </w:rPr>
        <w:t>World Wetlands Day and other campaigns</w:t>
      </w:r>
      <w:r w:rsidR="002B6886">
        <w:rPr>
          <w:rFonts w:asciiTheme="majorHAnsi" w:hAnsiTheme="majorHAnsi" w:cs="Times New Roman"/>
          <w:lang w:val="en-AU"/>
        </w:rPr>
        <w:t>,</w:t>
      </w:r>
      <w:r w:rsidR="00C64326" w:rsidRPr="00C64326">
        <w:rPr>
          <w:rFonts w:asciiTheme="majorHAnsi" w:hAnsiTheme="majorHAnsi" w:cs="Times New Roman"/>
          <w:lang w:val="en-AU"/>
        </w:rPr>
        <w:t xml:space="preserve"> and </w:t>
      </w:r>
      <w:r w:rsidR="002D6FBD">
        <w:rPr>
          <w:rFonts w:asciiTheme="majorHAnsi" w:hAnsiTheme="majorHAnsi" w:cs="Times New Roman"/>
          <w:lang w:val="en-AU"/>
        </w:rPr>
        <w:t xml:space="preserve">the availability of </w:t>
      </w:r>
      <w:r w:rsidR="00C64326" w:rsidRPr="00C64326">
        <w:rPr>
          <w:rFonts w:asciiTheme="majorHAnsi" w:hAnsiTheme="majorHAnsi" w:cs="Times New Roman"/>
          <w:lang w:val="en-AU"/>
        </w:rPr>
        <w:t>a variety of promotional a</w:t>
      </w:r>
      <w:r w:rsidR="00310344">
        <w:rPr>
          <w:rFonts w:asciiTheme="majorHAnsi" w:hAnsiTheme="majorHAnsi" w:cs="Times New Roman"/>
          <w:lang w:val="en-AU"/>
        </w:rPr>
        <w:t>nd educational materials.</w:t>
      </w:r>
    </w:p>
    <w:p w14:paraId="084710EC" w14:textId="77777777" w:rsidR="00013A20" w:rsidRDefault="00013A20" w:rsidP="00A4794E">
      <w:pPr>
        <w:pStyle w:val="BodyText"/>
        <w:widowControl/>
        <w:tabs>
          <w:tab w:val="left" w:pos="544"/>
        </w:tabs>
        <w:ind w:left="425" w:hanging="425"/>
        <w:rPr>
          <w:rFonts w:asciiTheme="majorHAnsi" w:hAnsiTheme="majorHAnsi"/>
        </w:rPr>
      </w:pPr>
    </w:p>
    <w:p w14:paraId="4583C24B" w14:textId="05EEE706" w:rsidR="00C64326" w:rsidRPr="00C64326" w:rsidRDefault="6E36AE80" w:rsidP="00A4794E">
      <w:pPr>
        <w:pStyle w:val="BodyText"/>
        <w:widowControl/>
        <w:tabs>
          <w:tab w:val="left" w:pos="544"/>
        </w:tabs>
        <w:ind w:left="425" w:hanging="425"/>
        <w:rPr>
          <w:rFonts w:asciiTheme="majorHAnsi" w:hAnsiTheme="majorHAnsi" w:cs="Times New Roman"/>
          <w:lang w:val="en-AU"/>
        </w:rPr>
      </w:pPr>
      <w:r w:rsidRPr="74A5F004">
        <w:rPr>
          <w:rFonts w:asciiTheme="majorHAnsi" w:hAnsiTheme="majorHAnsi"/>
        </w:rPr>
        <w:t>3.</w:t>
      </w:r>
      <w:r w:rsidR="00013A20">
        <w:tab/>
      </w:r>
      <w:r w:rsidR="00C64326" w:rsidRPr="74A5F004">
        <w:rPr>
          <w:rFonts w:asciiTheme="majorHAnsi" w:hAnsiTheme="majorHAnsi"/>
        </w:rPr>
        <w:t>Recommendations</w:t>
      </w:r>
      <w:r w:rsidR="00C64326" w:rsidRPr="74A5F004">
        <w:rPr>
          <w:rFonts w:asciiTheme="majorHAnsi" w:hAnsiTheme="majorHAnsi" w:cs="Times New Roman"/>
          <w:lang w:val="en-AU"/>
        </w:rPr>
        <w:t xml:space="preserve"> on a new approach to CEPA have been developed to inform a </w:t>
      </w:r>
      <w:r w:rsidR="002B6886">
        <w:rPr>
          <w:rFonts w:asciiTheme="majorHAnsi" w:hAnsiTheme="majorHAnsi" w:cs="Times New Roman"/>
          <w:lang w:val="en-AU"/>
        </w:rPr>
        <w:t>d</w:t>
      </w:r>
      <w:r w:rsidR="002B6886" w:rsidRPr="74A5F004">
        <w:rPr>
          <w:rFonts w:asciiTheme="majorHAnsi" w:hAnsiTheme="majorHAnsi" w:cs="Times New Roman"/>
          <w:lang w:val="en-AU"/>
        </w:rPr>
        <w:t xml:space="preserve">raft </w:t>
      </w:r>
      <w:r w:rsidR="002B6886">
        <w:rPr>
          <w:rFonts w:asciiTheme="majorHAnsi" w:hAnsiTheme="majorHAnsi" w:cs="Times New Roman"/>
          <w:lang w:val="en-AU"/>
        </w:rPr>
        <w:t>r</w:t>
      </w:r>
      <w:r w:rsidR="002B6886" w:rsidRPr="74A5F004">
        <w:rPr>
          <w:rFonts w:asciiTheme="majorHAnsi" w:hAnsiTheme="majorHAnsi" w:cs="Times New Roman"/>
          <w:lang w:val="en-AU"/>
        </w:rPr>
        <w:t xml:space="preserve">esolution </w:t>
      </w:r>
      <w:r w:rsidR="00C64326" w:rsidRPr="74A5F004">
        <w:rPr>
          <w:rFonts w:asciiTheme="majorHAnsi" w:hAnsiTheme="majorHAnsi" w:cs="Times New Roman"/>
          <w:lang w:val="en-AU"/>
        </w:rPr>
        <w:t>for</w:t>
      </w:r>
      <w:r w:rsidR="002B6886" w:rsidRPr="002B6886">
        <w:t xml:space="preserve"> </w:t>
      </w:r>
      <w:r w:rsidR="002B6886">
        <w:t xml:space="preserve">the </w:t>
      </w:r>
      <w:r w:rsidR="002B6886" w:rsidRPr="002B6886">
        <w:rPr>
          <w:rFonts w:asciiTheme="majorHAnsi" w:hAnsiTheme="majorHAnsi" w:cs="Times New Roman"/>
          <w:lang w:val="en-AU"/>
        </w:rPr>
        <w:t>14th Meeting of the Conference of the Contracting Parties</w:t>
      </w:r>
      <w:r w:rsidR="00C64326" w:rsidRPr="74A5F004">
        <w:rPr>
          <w:rFonts w:asciiTheme="majorHAnsi" w:hAnsiTheme="majorHAnsi" w:cs="Times New Roman"/>
          <w:lang w:val="en-AU"/>
        </w:rPr>
        <w:t xml:space="preserve"> </w:t>
      </w:r>
      <w:r w:rsidR="002B6886">
        <w:rPr>
          <w:rFonts w:asciiTheme="majorHAnsi" w:hAnsiTheme="majorHAnsi" w:cs="Times New Roman"/>
          <w:lang w:val="en-AU"/>
        </w:rPr>
        <w:t>(</w:t>
      </w:r>
      <w:r w:rsidR="00C64326" w:rsidRPr="74A5F004">
        <w:rPr>
          <w:rFonts w:asciiTheme="majorHAnsi" w:hAnsiTheme="majorHAnsi" w:cs="Times New Roman"/>
          <w:lang w:val="en-AU"/>
        </w:rPr>
        <w:t>COP14</w:t>
      </w:r>
      <w:r w:rsidR="002B6886">
        <w:rPr>
          <w:rFonts w:asciiTheme="majorHAnsi" w:hAnsiTheme="majorHAnsi" w:cs="Times New Roman"/>
          <w:lang w:val="en-AU"/>
        </w:rPr>
        <w:t>)</w:t>
      </w:r>
      <w:r w:rsidR="00C64326" w:rsidRPr="74A5F004">
        <w:rPr>
          <w:rFonts w:asciiTheme="majorHAnsi" w:hAnsiTheme="majorHAnsi" w:cs="Times New Roman"/>
          <w:lang w:val="en-AU"/>
        </w:rPr>
        <w:t xml:space="preserve"> on the future of CEPA and to provide input to the review of the Ramsar Strategic Plan, and the broader approach to implementation </w:t>
      </w:r>
      <w:r w:rsidR="274018BD" w:rsidRPr="74A5F004">
        <w:rPr>
          <w:rFonts w:asciiTheme="majorHAnsi" w:hAnsiTheme="majorHAnsi" w:cs="Times New Roman"/>
          <w:lang w:val="en-AU"/>
        </w:rPr>
        <w:t xml:space="preserve">of the Convention </w:t>
      </w:r>
      <w:r w:rsidR="00C64326" w:rsidRPr="74A5F004">
        <w:rPr>
          <w:rFonts w:asciiTheme="majorHAnsi" w:hAnsiTheme="majorHAnsi" w:cs="Times New Roman"/>
          <w:lang w:val="en-AU"/>
        </w:rPr>
        <w:t>beyond 2024.</w:t>
      </w:r>
    </w:p>
    <w:p w14:paraId="02F33967" w14:textId="77777777" w:rsidR="00013A20" w:rsidRPr="00011870" w:rsidRDefault="00013A20" w:rsidP="00011870">
      <w:pPr>
        <w:rPr>
          <w:rFonts w:asciiTheme="majorHAnsi" w:eastAsiaTheme="majorEastAsia" w:hAnsiTheme="majorHAnsi" w:cstheme="majorBidi"/>
          <w:bCs/>
          <w:iCs/>
          <w:sz w:val="22"/>
          <w:szCs w:val="22"/>
          <w:lang w:val="en-AU"/>
        </w:rPr>
      </w:pPr>
    </w:p>
    <w:p w14:paraId="313E345E" w14:textId="77777777" w:rsidR="00C64326" w:rsidRPr="00C64326" w:rsidRDefault="00C64326" w:rsidP="00A4794E">
      <w:pPr>
        <w:autoSpaceDE w:val="0"/>
        <w:autoSpaceDN w:val="0"/>
        <w:adjustRightInd w:val="0"/>
        <w:rPr>
          <w:rFonts w:asciiTheme="majorHAnsi" w:hAnsiTheme="majorHAnsi" w:cs="Calibri"/>
          <w:bCs/>
          <w:sz w:val="22"/>
          <w:szCs w:val="22"/>
          <w:u w:val="single"/>
        </w:rPr>
      </w:pPr>
      <w:r w:rsidRPr="00C64326">
        <w:rPr>
          <w:rFonts w:asciiTheme="majorHAnsi" w:hAnsiTheme="majorHAnsi" w:cs="Calibri"/>
          <w:bCs/>
          <w:sz w:val="22"/>
          <w:szCs w:val="22"/>
          <w:u w:val="single"/>
        </w:rPr>
        <w:t>Introduction</w:t>
      </w:r>
    </w:p>
    <w:p w14:paraId="47EDCA1B" w14:textId="77777777" w:rsidR="00013A20" w:rsidRDefault="00013A20" w:rsidP="00A4794E">
      <w:pPr>
        <w:pStyle w:val="BodyText"/>
        <w:widowControl/>
        <w:tabs>
          <w:tab w:val="left" w:pos="544"/>
        </w:tabs>
        <w:ind w:left="0" w:firstLine="0"/>
        <w:rPr>
          <w:rFonts w:asciiTheme="majorHAnsi" w:hAnsiTheme="majorHAnsi"/>
        </w:rPr>
      </w:pPr>
    </w:p>
    <w:p w14:paraId="3A6BCBE5" w14:textId="57060746" w:rsidR="00C64326" w:rsidRPr="00C64326" w:rsidRDefault="002D6FBD" w:rsidP="00A4794E">
      <w:pPr>
        <w:pStyle w:val="BodyText"/>
        <w:widowControl/>
        <w:tabs>
          <w:tab w:val="left" w:pos="544"/>
        </w:tabs>
        <w:ind w:left="425" w:hanging="425"/>
        <w:rPr>
          <w:rFonts w:asciiTheme="majorHAnsi" w:hAnsiTheme="majorHAnsi" w:cs="Times New Roman"/>
          <w:lang w:val="en-AU"/>
        </w:rPr>
      </w:pPr>
      <w:r>
        <w:rPr>
          <w:rFonts w:asciiTheme="majorHAnsi" w:hAnsiTheme="majorHAnsi"/>
        </w:rPr>
        <w:t>4</w:t>
      </w:r>
      <w:r w:rsidR="00207F77">
        <w:rPr>
          <w:rFonts w:asciiTheme="majorHAnsi" w:hAnsiTheme="majorHAnsi"/>
        </w:rPr>
        <w:t>.</w:t>
      </w:r>
      <w:r w:rsidR="00207F77">
        <w:rPr>
          <w:rFonts w:asciiTheme="majorHAnsi" w:hAnsiTheme="majorHAnsi"/>
        </w:rPr>
        <w:tab/>
      </w:r>
      <w:r w:rsidR="00C64326" w:rsidRPr="00C64326">
        <w:rPr>
          <w:rFonts w:asciiTheme="majorHAnsi" w:hAnsiTheme="majorHAnsi"/>
        </w:rPr>
        <w:t>Communication</w:t>
      </w:r>
      <w:r w:rsidR="00C64326" w:rsidRPr="00C64326">
        <w:rPr>
          <w:rFonts w:asciiTheme="majorHAnsi" w:hAnsiTheme="majorHAnsi" w:cs="Times New Roman"/>
          <w:lang w:val="en-AU"/>
        </w:rPr>
        <w:t xml:space="preserve">, capacity-building, education, participation and awareness (CEPA) activities have a long history within the Convention evolving from the Outreach Programme in 1999 to the CEPA </w:t>
      </w:r>
      <w:r w:rsidR="002B6886">
        <w:rPr>
          <w:rFonts w:asciiTheme="majorHAnsi" w:hAnsiTheme="majorHAnsi" w:cs="Times New Roman"/>
          <w:lang w:val="en-AU"/>
        </w:rPr>
        <w:t>P</w:t>
      </w:r>
      <w:r w:rsidR="00C64326" w:rsidRPr="00C64326">
        <w:rPr>
          <w:rFonts w:asciiTheme="majorHAnsi" w:hAnsiTheme="majorHAnsi" w:cs="Times New Roman"/>
          <w:lang w:val="en-AU"/>
        </w:rPr>
        <w:t xml:space="preserve">rogramme of 2009-2015 and the current 2016-2024 </w:t>
      </w:r>
      <w:r w:rsidR="002B6886">
        <w:rPr>
          <w:rFonts w:asciiTheme="majorHAnsi" w:hAnsiTheme="majorHAnsi" w:cs="Times New Roman"/>
          <w:lang w:val="en-AU"/>
        </w:rPr>
        <w:t>P</w:t>
      </w:r>
      <w:r w:rsidR="00C64326" w:rsidRPr="00C64326">
        <w:rPr>
          <w:rFonts w:asciiTheme="majorHAnsi" w:hAnsiTheme="majorHAnsi" w:cs="Times New Roman"/>
          <w:lang w:val="en-AU"/>
        </w:rPr>
        <w:t>rogramme.</w:t>
      </w:r>
    </w:p>
    <w:p w14:paraId="55A30727" w14:textId="77777777" w:rsidR="00207F77" w:rsidRDefault="00207F77" w:rsidP="00A4794E">
      <w:pPr>
        <w:pStyle w:val="BodyText"/>
        <w:widowControl/>
        <w:tabs>
          <w:tab w:val="left" w:pos="544"/>
        </w:tabs>
        <w:ind w:left="425" w:hanging="425"/>
        <w:rPr>
          <w:rFonts w:asciiTheme="majorHAnsi" w:hAnsiTheme="majorHAnsi"/>
        </w:rPr>
      </w:pPr>
    </w:p>
    <w:p w14:paraId="5479F08C" w14:textId="6ECDDD41" w:rsidR="00C64326" w:rsidRPr="00C64326" w:rsidRDefault="002D6FBD" w:rsidP="00A4794E">
      <w:pPr>
        <w:pStyle w:val="BodyText"/>
        <w:widowControl/>
        <w:tabs>
          <w:tab w:val="left" w:pos="544"/>
        </w:tabs>
        <w:ind w:left="425" w:hanging="425"/>
        <w:rPr>
          <w:rFonts w:asciiTheme="majorHAnsi" w:hAnsiTheme="majorHAnsi" w:cs="Times New Roman"/>
          <w:lang w:val="en-AU"/>
        </w:rPr>
      </w:pPr>
      <w:r>
        <w:rPr>
          <w:rFonts w:asciiTheme="majorHAnsi" w:hAnsiTheme="majorHAnsi"/>
        </w:rPr>
        <w:t>5</w:t>
      </w:r>
      <w:r w:rsidR="00207F77">
        <w:rPr>
          <w:rFonts w:asciiTheme="majorHAnsi" w:hAnsiTheme="majorHAnsi"/>
        </w:rPr>
        <w:t>.</w:t>
      </w:r>
      <w:r w:rsidR="00207F77">
        <w:rPr>
          <w:rFonts w:asciiTheme="majorHAnsi" w:hAnsiTheme="majorHAnsi"/>
        </w:rPr>
        <w:tab/>
      </w:r>
      <w:r w:rsidR="00C64326" w:rsidRPr="00C64326">
        <w:rPr>
          <w:rFonts w:asciiTheme="majorHAnsi" w:hAnsiTheme="majorHAnsi"/>
        </w:rPr>
        <w:t>Resolutions</w:t>
      </w:r>
      <w:r w:rsidR="00C64326" w:rsidRPr="00C64326">
        <w:rPr>
          <w:rFonts w:asciiTheme="majorHAnsi" w:hAnsiTheme="majorHAnsi" w:cs="Times New Roman"/>
          <w:lang w:val="en-AU"/>
        </w:rPr>
        <w:t xml:space="preserve"> of the</w:t>
      </w:r>
      <w:r w:rsidR="00081929">
        <w:rPr>
          <w:rFonts w:asciiTheme="majorHAnsi" w:hAnsiTheme="majorHAnsi" w:cs="Times New Roman"/>
          <w:lang w:val="en-AU"/>
        </w:rPr>
        <w:t xml:space="preserve"> </w:t>
      </w:r>
      <w:r w:rsidR="00C64326" w:rsidRPr="00C64326">
        <w:rPr>
          <w:rFonts w:asciiTheme="majorHAnsi" w:hAnsiTheme="majorHAnsi" w:cs="Times New Roman"/>
          <w:lang w:val="en-AU"/>
        </w:rPr>
        <w:t>Convention</w:t>
      </w:r>
      <w:r w:rsidR="00081929">
        <w:rPr>
          <w:rFonts w:asciiTheme="majorHAnsi" w:hAnsiTheme="majorHAnsi" w:cs="Times New Roman"/>
          <w:lang w:val="en-AU"/>
        </w:rPr>
        <w:t xml:space="preserve"> on Wetlands</w:t>
      </w:r>
      <w:r w:rsidR="00C64326" w:rsidRPr="00C64326">
        <w:rPr>
          <w:rFonts w:asciiTheme="majorHAnsi" w:hAnsiTheme="majorHAnsi" w:cs="Times New Roman"/>
          <w:lang w:val="en-AU"/>
        </w:rPr>
        <w:t xml:space="preserve"> (including Resolutions VII.9, X.8 and XII.9) show a clear recognition by Contracting Parties of the important role of CEPA in the implementation of the Convention and its Strategic Plan, by engaging, enlisting and enabling people to act for the conservation and wise use of wetlands.</w:t>
      </w:r>
    </w:p>
    <w:p w14:paraId="0A9D19D3" w14:textId="77777777" w:rsidR="00207F77" w:rsidRDefault="00207F77" w:rsidP="00A4794E">
      <w:pPr>
        <w:pStyle w:val="BodyText"/>
        <w:widowControl/>
        <w:tabs>
          <w:tab w:val="left" w:pos="544"/>
        </w:tabs>
        <w:ind w:left="425" w:hanging="425"/>
        <w:rPr>
          <w:rFonts w:asciiTheme="majorHAnsi" w:hAnsiTheme="majorHAnsi"/>
        </w:rPr>
      </w:pPr>
    </w:p>
    <w:p w14:paraId="650E1B53" w14:textId="39C7EA9B" w:rsidR="00C64326" w:rsidRPr="00C64326" w:rsidRDefault="002D6FBD" w:rsidP="00A4794E">
      <w:pPr>
        <w:pStyle w:val="BodyText"/>
        <w:widowControl/>
        <w:tabs>
          <w:tab w:val="left" w:pos="544"/>
        </w:tabs>
        <w:ind w:left="425" w:hanging="425"/>
        <w:rPr>
          <w:rFonts w:asciiTheme="majorHAnsi" w:hAnsiTheme="majorHAnsi" w:cs="Times New Roman"/>
          <w:lang w:val="en-AU"/>
        </w:rPr>
      </w:pPr>
      <w:r>
        <w:rPr>
          <w:rFonts w:asciiTheme="majorHAnsi" w:hAnsiTheme="majorHAnsi"/>
        </w:rPr>
        <w:t>6</w:t>
      </w:r>
      <w:r w:rsidR="00207F77">
        <w:rPr>
          <w:rFonts w:asciiTheme="majorHAnsi" w:hAnsiTheme="majorHAnsi"/>
        </w:rPr>
        <w:t>.</w:t>
      </w:r>
      <w:r w:rsidR="00207F77">
        <w:rPr>
          <w:rFonts w:asciiTheme="majorHAnsi" w:hAnsiTheme="majorHAnsi"/>
        </w:rPr>
        <w:tab/>
      </w:r>
      <w:r w:rsidR="00C64326" w:rsidRPr="00C64326">
        <w:rPr>
          <w:rFonts w:asciiTheme="majorHAnsi" w:hAnsiTheme="majorHAnsi"/>
        </w:rPr>
        <w:t>A</w:t>
      </w:r>
      <w:r w:rsidR="00C64326" w:rsidRPr="00C64326">
        <w:rPr>
          <w:rFonts w:asciiTheme="majorHAnsi" w:hAnsiTheme="majorHAnsi" w:cs="Times New Roman"/>
          <w:lang w:val="en-AU"/>
        </w:rPr>
        <w:t xml:space="preserve">t </w:t>
      </w:r>
      <w:r w:rsidR="002B6886">
        <w:rPr>
          <w:rFonts w:asciiTheme="majorHAnsi" w:hAnsiTheme="majorHAnsi"/>
        </w:rPr>
        <w:t>COP12</w:t>
      </w:r>
      <w:r w:rsidR="00C64326" w:rsidRPr="00C64326">
        <w:rPr>
          <w:rFonts w:asciiTheme="majorHAnsi" w:hAnsiTheme="majorHAnsi" w:cs="Times New Roman"/>
          <w:lang w:val="en-AU"/>
        </w:rPr>
        <w:t xml:space="preserve"> in 2015, the Contracting Parties approved a new CEPA Programme for 2016-2024, through </w:t>
      </w:r>
      <w:hyperlink r:id="rId11" w:history="1">
        <w:r w:rsidR="00C64326" w:rsidRPr="00C64326">
          <w:rPr>
            <w:rFonts w:asciiTheme="majorHAnsi" w:hAnsiTheme="majorHAnsi" w:cs="Times New Roman"/>
            <w:lang w:val="en-AU"/>
          </w:rPr>
          <w:t>Resolution XII.9</w:t>
        </w:r>
      </w:hyperlink>
      <w:r w:rsidR="00C64326" w:rsidRPr="00C64326">
        <w:rPr>
          <w:rFonts w:asciiTheme="majorHAnsi" w:hAnsiTheme="majorHAnsi" w:cs="Times New Roman"/>
          <w:lang w:val="en-AU"/>
        </w:rPr>
        <w:t>. The Programme includes nine CEPA goals and 43 targets.</w:t>
      </w:r>
    </w:p>
    <w:p w14:paraId="0478E1EF" w14:textId="77777777" w:rsidR="00207F77" w:rsidRDefault="00207F77" w:rsidP="00A4794E">
      <w:pPr>
        <w:pStyle w:val="BodyText"/>
        <w:widowControl/>
        <w:tabs>
          <w:tab w:val="left" w:pos="544"/>
        </w:tabs>
        <w:ind w:left="425" w:hanging="425"/>
        <w:rPr>
          <w:rFonts w:asciiTheme="majorHAnsi" w:hAnsiTheme="majorHAnsi"/>
        </w:rPr>
      </w:pPr>
    </w:p>
    <w:p w14:paraId="693B31A4" w14:textId="074A075C" w:rsidR="00C64326" w:rsidRPr="00C64326" w:rsidRDefault="002D6FBD" w:rsidP="00A4794E">
      <w:pPr>
        <w:pStyle w:val="BodyText"/>
        <w:widowControl/>
        <w:tabs>
          <w:tab w:val="left" w:pos="544"/>
        </w:tabs>
        <w:ind w:left="425" w:hanging="425"/>
        <w:rPr>
          <w:rFonts w:asciiTheme="majorHAnsi" w:hAnsiTheme="majorHAnsi" w:cs="Times New Roman"/>
          <w:lang w:val="en-AU"/>
        </w:rPr>
      </w:pPr>
      <w:r>
        <w:rPr>
          <w:rFonts w:asciiTheme="majorHAnsi" w:hAnsiTheme="majorHAnsi"/>
        </w:rPr>
        <w:t>7</w:t>
      </w:r>
      <w:r w:rsidR="00207F77">
        <w:rPr>
          <w:rFonts w:asciiTheme="majorHAnsi" w:hAnsiTheme="majorHAnsi"/>
        </w:rPr>
        <w:t>.</w:t>
      </w:r>
      <w:r w:rsidR="00207F77">
        <w:rPr>
          <w:rFonts w:asciiTheme="majorHAnsi" w:hAnsiTheme="majorHAnsi"/>
        </w:rPr>
        <w:tab/>
      </w:r>
      <w:r w:rsidR="00C64326" w:rsidRPr="00C64326">
        <w:rPr>
          <w:rFonts w:asciiTheme="majorHAnsi" w:hAnsiTheme="majorHAnsi"/>
        </w:rPr>
        <w:t>Responsibilities</w:t>
      </w:r>
      <w:r w:rsidR="00C64326" w:rsidRPr="00C64326">
        <w:rPr>
          <w:rFonts w:asciiTheme="majorHAnsi" w:hAnsiTheme="majorHAnsi" w:cs="Times New Roman"/>
          <w:lang w:val="en-AU"/>
        </w:rPr>
        <w:t xml:space="preserve"> for implementation are shared between Contracting Parties, the Secretariat</w:t>
      </w:r>
      <w:r w:rsidR="00081929">
        <w:rPr>
          <w:rFonts w:asciiTheme="majorHAnsi" w:hAnsiTheme="majorHAnsi" w:cs="Times New Roman"/>
          <w:lang w:val="en-AU"/>
        </w:rPr>
        <w:t xml:space="preserve"> of the Convention</w:t>
      </w:r>
      <w:r w:rsidR="00C64326" w:rsidRPr="00C64326">
        <w:rPr>
          <w:rFonts w:asciiTheme="majorHAnsi" w:hAnsiTheme="majorHAnsi" w:cs="Times New Roman"/>
          <w:lang w:val="en-AU"/>
        </w:rPr>
        <w:t>, the Convention’s International Organization Partners (IOPs), NGOs, community‐based organizations and other stakeholders. Contracting Parties are the key implementers of the CEPA Programme, working through their National Focal Points, CEPA Focal Points, community-based organi</w:t>
      </w:r>
      <w:r w:rsidR="005E0B7A">
        <w:rPr>
          <w:rFonts w:asciiTheme="majorHAnsi" w:hAnsiTheme="majorHAnsi" w:cs="Times New Roman"/>
          <w:lang w:val="en-AU"/>
        </w:rPr>
        <w:t>z</w:t>
      </w:r>
      <w:r w:rsidR="00C64326" w:rsidRPr="00C64326">
        <w:rPr>
          <w:rFonts w:asciiTheme="majorHAnsi" w:hAnsiTheme="majorHAnsi" w:cs="Times New Roman"/>
          <w:lang w:val="en-AU"/>
        </w:rPr>
        <w:t xml:space="preserve">ations, Ramsar Regional Initiatives and wetland education </w:t>
      </w:r>
      <w:r w:rsidR="00C64326" w:rsidRPr="00C64326">
        <w:rPr>
          <w:rFonts w:asciiTheme="majorHAnsi" w:hAnsiTheme="majorHAnsi" w:cs="Times New Roman"/>
          <w:lang w:val="en-AU"/>
        </w:rPr>
        <w:lastRenderedPageBreak/>
        <w:t>centres. Contracting Parties are invited to formulate CEPA National Action Plans to identify priority CEPA activities, and to report on their progress through National Reports to the COPs.</w:t>
      </w:r>
    </w:p>
    <w:p w14:paraId="4F4D5908" w14:textId="77777777" w:rsidR="00207F77" w:rsidRDefault="00207F77" w:rsidP="00A4794E">
      <w:pPr>
        <w:pStyle w:val="BodyText"/>
        <w:widowControl/>
        <w:tabs>
          <w:tab w:val="left" w:pos="544"/>
        </w:tabs>
        <w:ind w:left="425" w:hanging="425"/>
        <w:rPr>
          <w:rFonts w:asciiTheme="majorHAnsi" w:hAnsiTheme="majorHAnsi" w:cs="Times New Roman"/>
          <w:lang w:val="en-AU"/>
        </w:rPr>
      </w:pPr>
    </w:p>
    <w:p w14:paraId="1EEC4F66" w14:textId="4D638A29" w:rsidR="00C64326" w:rsidRPr="00C64326" w:rsidRDefault="002D6FBD" w:rsidP="00A4794E">
      <w:pPr>
        <w:pStyle w:val="BodyText"/>
        <w:widowControl/>
        <w:tabs>
          <w:tab w:val="left" w:pos="544"/>
        </w:tabs>
        <w:ind w:left="425" w:hanging="425"/>
        <w:rPr>
          <w:rFonts w:asciiTheme="majorHAnsi" w:hAnsiTheme="majorHAnsi" w:cs="Times New Roman"/>
          <w:lang w:val="en-AU"/>
        </w:rPr>
      </w:pPr>
      <w:r>
        <w:rPr>
          <w:rFonts w:asciiTheme="majorHAnsi" w:hAnsiTheme="majorHAnsi" w:cs="Times New Roman"/>
          <w:lang w:val="en-AU"/>
        </w:rPr>
        <w:t>8</w:t>
      </w:r>
      <w:r w:rsidR="004C3670">
        <w:rPr>
          <w:rFonts w:asciiTheme="majorHAnsi" w:hAnsiTheme="majorHAnsi" w:cs="Times New Roman"/>
          <w:lang w:val="en-AU"/>
        </w:rPr>
        <w:t>.</w:t>
      </w:r>
      <w:r w:rsidR="004C3670">
        <w:rPr>
          <w:rFonts w:asciiTheme="majorHAnsi" w:hAnsiTheme="majorHAnsi" w:cs="Times New Roman"/>
          <w:lang w:val="en-AU"/>
        </w:rPr>
        <w:tab/>
      </w:r>
      <w:r w:rsidR="00C64326" w:rsidRPr="00C64326">
        <w:rPr>
          <w:rFonts w:asciiTheme="majorHAnsi" w:hAnsiTheme="majorHAnsi" w:cs="Times New Roman"/>
          <w:lang w:val="en-AU"/>
        </w:rPr>
        <w:t xml:space="preserve">The Secretariat supports CEPA implementation, and developed a CEPA Action Plan </w:t>
      </w:r>
      <w:r w:rsidR="00FE7014">
        <w:rPr>
          <w:rFonts w:asciiTheme="majorHAnsi" w:hAnsiTheme="majorHAnsi" w:cs="Times New Roman"/>
          <w:lang w:val="en-AU"/>
        </w:rPr>
        <w:t xml:space="preserve">for </w:t>
      </w:r>
      <w:r w:rsidR="00C64326" w:rsidRPr="00C64326">
        <w:rPr>
          <w:rFonts w:asciiTheme="majorHAnsi" w:hAnsiTheme="majorHAnsi" w:cs="Times New Roman"/>
          <w:lang w:val="en-AU"/>
        </w:rPr>
        <w:t>2016 to 2018 to guide its actions.</w:t>
      </w:r>
      <w:r w:rsidR="001E664B">
        <w:rPr>
          <w:rFonts w:asciiTheme="majorHAnsi" w:hAnsiTheme="majorHAnsi" w:cs="Times New Roman"/>
          <w:lang w:val="en-AU"/>
        </w:rPr>
        <w:t xml:space="preserve"> </w:t>
      </w:r>
      <w:r w:rsidR="00C64326" w:rsidRPr="00C64326">
        <w:rPr>
          <w:rFonts w:asciiTheme="majorHAnsi" w:hAnsiTheme="majorHAnsi" w:cs="Times New Roman"/>
          <w:lang w:val="en-AU"/>
        </w:rPr>
        <w:t xml:space="preserve">The Plan was reviewed to improve its focus and, at </w:t>
      </w:r>
      <w:r w:rsidR="00FE7014">
        <w:rPr>
          <w:rFonts w:asciiTheme="majorHAnsi" w:hAnsiTheme="majorHAnsi" w:cs="Times New Roman"/>
          <w:lang w:val="en-AU"/>
        </w:rPr>
        <w:t xml:space="preserve">the 53rd meeting of the </w:t>
      </w:r>
      <w:r w:rsidR="00C64326" w:rsidRPr="00C64326">
        <w:rPr>
          <w:rFonts w:asciiTheme="majorHAnsi" w:hAnsiTheme="majorHAnsi" w:cs="Times New Roman"/>
          <w:lang w:val="en-AU"/>
        </w:rPr>
        <w:t xml:space="preserve">Standing Committee </w:t>
      </w:r>
      <w:r w:rsidR="00FE7014">
        <w:rPr>
          <w:rFonts w:asciiTheme="majorHAnsi" w:hAnsiTheme="majorHAnsi" w:cs="Times New Roman"/>
          <w:lang w:val="en-AU"/>
        </w:rPr>
        <w:t>(SC</w:t>
      </w:r>
      <w:r w:rsidR="00C64326" w:rsidRPr="00C64326">
        <w:rPr>
          <w:rFonts w:asciiTheme="majorHAnsi" w:hAnsiTheme="majorHAnsi" w:cs="Times New Roman"/>
          <w:lang w:val="en-AU"/>
        </w:rPr>
        <w:t>53</w:t>
      </w:r>
      <w:r w:rsidR="00FE7014">
        <w:rPr>
          <w:rFonts w:asciiTheme="majorHAnsi" w:hAnsiTheme="majorHAnsi" w:cs="Times New Roman"/>
          <w:lang w:val="en-AU"/>
        </w:rPr>
        <w:t>)</w:t>
      </w:r>
      <w:r w:rsidR="00C64326" w:rsidRPr="00C64326">
        <w:rPr>
          <w:rFonts w:asciiTheme="majorHAnsi" w:hAnsiTheme="majorHAnsi" w:cs="Times New Roman"/>
          <w:lang w:val="en-AU"/>
        </w:rPr>
        <w:t xml:space="preserve">, a </w:t>
      </w:r>
      <w:hyperlink r:id="rId12" w:history="1">
        <w:r w:rsidR="00C64326" w:rsidRPr="007D0D4B">
          <w:rPr>
            <w:rFonts w:asciiTheme="majorHAnsi" w:hAnsiTheme="majorHAnsi" w:cs="Times New Roman"/>
            <w:color w:val="0000FF"/>
            <w:u w:val="single"/>
            <w:lang w:val="en-AU"/>
          </w:rPr>
          <w:t>report on progress in implementing the Action Plan</w:t>
        </w:r>
      </w:hyperlink>
      <w:r w:rsidR="00C64326" w:rsidRPr="00C64326">
        <w:rPr>
          <w:rFonts w:asciiTheme="majorHAnsi" w:hAnsiTheme="majorHAnsi" w:cs="Times New Roman"/>
          <w:lang w:val="en-AU"/>
        </w:rPr>
        <w:t xml:space="preserve"> was published.</w:t>
      </w:r>
      <w:r w:rsidR="001E664B">
        <w:rPr>
          <w:rFonts w:asciiTheme="majorHAnsi" w:hAnsiTheme="majorHAnsi" w:cs="Times New Roman"/>
          <w:lang w:val="en-AU"/>
        </w:rPr>
        <w:t xml:space="preserve"> </w:t>
      </w:r>
      <w:r w:rsidR="00C64326" w:rsidRPr="00C64326">
        <w:rPr>
          <w:rFonts w:asciiTheme="majorHAnsi" w:hAnsiTheme="majorHAnsi" w:cs="Times New Roman"/>
          <w:lang w:val="en-AU"/>
        </w:rPr>
        <w:t>Moving towards a more cohesive approach, the CEPA Action Plan was integrated into the Secretariat’s annual and triennial work plans.</w:t>
      </w:r>
    </w:p>
    <w:p w14:paraId="519C50B1" w14:textId="77777777" w:rsidR="004C3670" w:rsidRDefault="004C3670" w:rsidP="00A4794E">
      <w:pPr>
        <w:pStyle w:val="BodyText"/>
        <w:widowControl/>
        <w:tabs>
          <w:tab w:val="left" w:pos="544"/>
        </w:tabs>
        <w:ind w:left="425" w:hanging="425"/>
        <w:rPr>
          <w:rFonts w:asciiTheme="majorHAnsi" w:hAnsiTheme="majorHAnsi"/>
        </w:rPr>
      </w:pPr>
    </w:p>
    <w:p w14:paraId="6AAEC854" w14:textId="22343B22" w:rsidR="00C64326" w:rsidRDefault="002D6FBD" w:rsidP="00A4794E">
      <w:pPr>
        <w:pStyle w:val="BodyText"/>
        <w:widowControl/>
        <w:tabs>
          <w:tab w:val="left" w:pos="544"/>
        </w:tabs>
        <w:ind w:left="425" w:hanging="425"/>
        <w:rPr>
          <w:rFonts w:asciiTheme="majorHAnsi" w:hAnsiTheme="majorHAnsi" w:cs="Times New Roman"/>
          <w:lang w:val="en-AU"/>
        </w:rPr>
      </w:pPr>
      <w:r>
        <w:rPr>
          <w:rFonts w:asciiTheme="majorHAnsi" w:hAnsiTheme="majorHAnsi"/>
        </w:rPr>
        <w:t>9</w:t>
      </w:r>
      <w:r w:rsidR="004C3670">
        <w:rPr>
          <w:rFonts w:asciiTheme="majorHAnsi" w:hAnsiTheme="majorHAnsi"/>
        </w:rPr>
        <w:t>.</w:t>
      </w:r>
      <w:r w:rsidR="004C3670">
        <w:rPr>
          <w:rFonts w:asciiTheme="majorHAnsi" w:hAnsiTheme="majorHAnsi"/>
        </w:rPr>
        <w:tab/>
      </w:r>
      <w:r w:rsidR="00FE7014">
        <w:rPr>
          <w:rFonts w:asciiTheme="majorHAnsi" w:hAnsiTheme="majorHAnsi" w:cs="Times New Roman"/>
          <w:lang w:val="en-AU"/>
        </w:rPr>
        <w:t xml:space="preserve">The </w:t>
      </w:r>
      <w:r w:rsidR="00FE7014">
        <w:rPr>
          <w:rFonts w:asciiTheme="majorHAnsi" w:hAnsiTheme="majorHAnsi"/>
        </w:rPr>
        <w:t>IOPs</w:t>
      </w:r>
      <w:r w:rsidR="00C64326" w:rsidRPr="00C64326">
        <w:rPr>
          <w:rFonts w:asciiTheme="majorHAnsi" w:hAnsiTheme="majorHAnsi" w:cs="Times New Roman"/>
          <w:lang w:val="en-AU"/>
        </w:rPr>
        <w:t xml:space="preserve"> (Birdlife International, the International Water Management Institute, IUCN, Wetlands International, Wildfowl </w:t>
      </w:r>
      <w:r w:rsidR="00FE7014">
        <w:rPr>
          <w:rFonts w:asciiTheme="majorHAnsi" w:hAnsiTheme="majorHAnsi" w:cs="Times New Roman"/>
          <w:lang w:val="en-AU"/>
        </w:rPr>
        <w:t>&amp;</w:t>
      </w:r>
      <w:r w:rsidR="00FE7014" w:rsidRPr="00C64326">
        <w:rPr>
          <w:rFonts w:asciiTheme="majorHAnsi" w:hAnsiTheme="majorHAnsi" w:cs="Times New Roman"/>
          <w:lang w:val="en-AU"/>
        </w:rPr>
        <w:t xml:space="preserve"> </w:t>
      </w:r>
      <w:r w:rsidR="00C64326" w:rsidRPr="00C64326">
        <w:rPr>
          <w:rFonts w:asciiTheme="majorHAnsi" w:hAnsiTheme="majorHAnsi" w:cs="Times New Roman"/>
          <w:lang w:val="en-AU"/>
        </w:rPr>
        <w:t xml:space="preserve">Wetlands Trust and </w:t>
      </w:r>
      <w:r w:rsidR="00FE7014">
        <w:rPr>
          <w:rFonts w:asciiTheme="majorHAnsi" w:hAnsiTheme="majorHAnsi" w:cs="Times New Roman"/>
          <w:lang w:val="en-AU"/>
        </w:rPr>
        <w:t>WWF</w:t>
      </w:r>
      <w:r w:rsidR="00C64326" w:rsidRPr="00C64326">
        <w:rPr>
          <w:rFonts w:asciiTheme="majorHAnsi" w:hAnsiTheme="majorHAnsi" w:cs="Times New Roman"/>
          <w:lang w:val="en-AU"/>
        </w:rPr>
        <w:t>) have been active in promoting the Convention and implementing the</w:t>
      </w:r>
      <w:r w:rsidR="00081929">
        <w:rPr>
          <w:rFonts w:asciiTheme="majorHAnsi" w:hAnsiTheme="majorHAnsi" w:cs="Times New Roman"/>
          <w:lang w:val="en-AU"/>
        </w:rPr>
        <w:t xml:space="preserve"> </w:t>
      </w:r>
      <w:r w:rsidR="00C64326" w:rsidRPr="00C64326">
        <w:rPr>
          <w:rFonts w:asciiTheme="majorHAnsi" w:hAnsiTheme="majorHAnsi" w:cs="Times New Roman"/>
          <w:lang w:val="en-AU"/>
        </w:rPr>
        <w:t>Strategic Plan</w:t>
      </w:r>
      <w:r w:rsidR="00081929">
        <w:rPr>
          <w:rFonts w:asciiTheme="majorHAnsi" w:hAnsiTheme="majorHAnsi" w:cs="Times New Roman"/>
          <w:lang w:val="en-AU"/>
        </w:rPr>
        <w:t xml:space="preserve"> of the Convention</w:t>
      </w:r>
      <w:r w:rsidR="00C64326" w:rsidRPr="00C64326">
        <w:rPr>
          <w:rFonts w:asciiTheme="majorHAnsi" w:hAnsiTheme="majorHAnsi" w:cs="Times New Roman"/>
          <w:lang w:val="en-AU"/>
        </w:rPr>
        <w:t>.</w:t>
      </w:r>
    </w:p>
    <w:p w14:paraId="7BD26217" w14:textId="77777777" w:rsidR="004C3670" w:rsidRPr="00C64326" w:rsidRDefault="004C3670" w:rsidP="00A4794E">
      <w:pPr>
        <w:pStyle w:val="BodyText"/>
        <w:widowControl/>
        <w:tabs>
          <w:tab w:val="left" w:pos="544"/>
        </w:tabs>
        <w:ind w:left="425" w:hanging="425"/>
        <w:rPr>
          <w:rFonts w:asciiTheme="majorHAnsi" w:hAnsiTheme="majorHAnsi" w:cs="Times New Roman"/>
          <w:lang w:val="en-AU"/>
        </w:rPr>
      </w:pPr>
    </w:p>
    <w:p w14:paraId="4E483B45" w14:textId="02FDC838" w:rsidR="00C64326" w:rsidRPr="00C64326" w:rsidRDefault="004C3670" w:rsidP="00A4794E">
      <w:pPr>
        <w:pStyle w:val="BodyText"/>
        <w:widowControl/>
        <w:tabs>
          <w:tab w:val="left" w:pos="544"/>
        </w:tabs>
        <w:ind w:left="425" w:hanging="425"/>
        <w:rPr>
          <w:rFonts w:asciiTheme="majorHAnsi" w:hAnsiTheme="majorHAnsi" w:cs="Times New Roman"/>
          <w:lang w:val="en-AU"/>
        </w:rPr>
      </w:pPr>
      <w:r>
        <w:rPr>
          <w:rFonts w:asciiTheme="majorHAnsi" w:hAnsiTheme="majorHAnsi" w:cs="Times New Roman"/>
          <w:lang w:val="en-AU"/>
        </w:rPr>
        <w:t>1</w:t>
      </w:r>
      <w:r w:rsidR="002D6FBD">
        <w:rPr>
          <w:rFonts w:asciiTheme="majorHAnsi" w:hAnsiTheme="majorHAnsi" w:cs="Times New Roman"/>
          <w:lang w:val="en-AU"/>
        </w:rPr>
        <w:t>0</w:t>
      </w:r>
      <w:r>
        <w:rPr>
          <w:rFonts w:asciiTheme="majorHAnsi" w:hAnsiTheme="majorHAnsi" w:cs="Times New Roman"/>
          <w:lang w:val="en-AU"/>
        </w:rPr>
        <w:t>.</w:t>
      </w:r>
      <w:r>
        <w:rPr>
          <w:rFonts w:asciiTheme="majorHAnsi" w:hAnsiTheme="majorHAnsi" w:cs="Times New Roman"/>
          <w:lang w:val="en-AU"/>
        </w:rPr>
        <w:tab/>
      </w:r>
      <w:r w:rsidR="00C64326" w:rsidRPr="00C64326">
        <w:rPr>
          <w:rFonts w:asciiTheme="majorHAnsi" w:hAnsiTheme="majorHAnsi" w:cs="Times New Roman"/>
          <w:lang w:val="en-AU"/>
        </w:rPr>
        <w:t xml:space="preserve">The CEPA Oversight Panel was established in 2006 (by </w:t>
      </w:r>
      <w:r w:rsidR="00FE7014">
        <w:rPr>
          <w:rFonts w:asciiTheme="majorHAnsi" w:hAnsiTheme="majorHAnsi" w:cs="Times New Roman"/>
          <w:lang w:val="en-AU"/>
        </w:rPr>
        <w:t>SC</w:t>
      </w:r>
      <w:r w:rsidR="00C64326" w:rsidRPr="00C64326">
        <w:rPr>
          <w:rFonts w:asciiTheme="majorHAnsi" w:hAnsiTheme="majorHAnsi" w:cs="Times New Roman"/>
          <w:lang w:val="en-AU"/>
        </w:rPr>
        <w:t xml:space="preserve">34, following Resolution IX.18) to monitor and report on CEPA issues at the national level within the Convention and the progress of implementation of the CEPA Programme. </w:t>
      </w:r>
      <w:r w:rsidR="002D6FBD">
        <w:rPr>
          <w:rFonts w:asciiTheme="majorHAnsi" w:hAnsiTheme="majorHAnsi" w:cs="Times New Roman"/>
          <w:lang w:val="en-AU"/>
        </w:rPr>
        <w:t>The CEPA Oversight Panel has been active in overseeing implementation of CEPA activities</w:t>
      </w:r>
      <w:r w:rsidR="00A2177E">
        <w:rPr>
          <w:rFonts w:asciiTheme="majorHAnsi" w:hAnsiTheme="majorHAnsi" w:cs="Times New Roman"/>
          <w:lang w:val="en-AU"/>
        </w:rPr>
        <w:t xml:space="preserve"> and</w:t>
      </w:r>
      <w:r w:rsidR="00FE7014">
        <w:rPr>
          <w:rFonts w:asciiTheme="majorHAnsi" w:hAnsiTheme="majorHAnsi" w:cs="Times New Roman"/>
          <w:lang w:val="en-AU"/>
        </w:rPr>
        <w:t xml:space="preserve"> </w:t>
      </w:r>
      <w:r w:rsidR="002D6FBD">
        <w:rPr>
          <w:rFonts w:asciiTheme="majorHAnsi" w:hAnsiTheme="majorHAnsi" w:cs="Times New Roman"/>
          <w:lang w:val="en-AU"/>
        </w:rPr>
        <w:t>informing the new approach to CEPA</w:t>
      </w:r>
      <w:r w:rsidR="00A2177E">
        <w:rPr>
          <w:rFonts w:asciiTheme="majorHAnsi" w:hAnsiTheme="majorHAnsi" w:cs="Times New Roman"/>
          <w:lang w:val="en-AU"/>
        </w:rPr>
        <w:t xml:space="preserve"> and</w:t>
      </w:r>
      <w:r w:rsidR="00226A55">
        <w:rPr>
          <w:rFonts w:asciiTheme="majorHAnsi" w:hAnsiTheme="majorHAnsi" w:cs="Times New Roman"/>
          <w:lang w:val="en-AU"/>
        </w:rPr>
        <w:t xml:space="preserve"> </w:t>
      </w:r>
      <w:r w:rsidR="00DD1BC9">
        <w:rPr>
          <w:rFonts w:asciiTheme="majorHAnsi" w:hAnsiTheme="majorHAnsi" w:cs="Times New Roman"/>
          <w:lang w:val="en-AU"/>
        </w:rPr>
        <w:t xml:space="preserve">new </w:t>
      </w:r>
      <w:r w:rsidR="00226A55">
        <w:rPr>
          <w:rFonts w:asciiTheme="majorHAnsi" w:hAnsiTheme="majorHAnsi" w:cs="Times New Roman"/>
          <w:lang w:val="en-AU"/>
        </w:rPr>
        <w:t>governance for the Panel.</w:t>
      </w:r>
    </w:p>
    <w:p w14:paraId="0A48936C" w14:textId="77777777" w:rsidR="004C3670" w:rsidRDefault="004C3670" w:rsidP="00A4794E">
      <w:pPr>
        <w:pStyle w:val="BodyText"/>
        <w:widowControl/>
        <w:tabs>
          <w:tab w:val="left" w:pos="544"/>
        </w:tabs>
        <w:ind w:left="425" w:hanging="425"/>
        <w:rPr>
          <w:rFonts w:asciiTheme="majorHAnsi" w:hAnsiTheme="majorHAnsi" w:cs="Times New Roman"/>
          <w:lang w:val="en-AU"/>
        </w:rPr>
      </w:pPr>
    </w:p>
    <w:p w14:paraId="4416B077" w14:textId="6CC6F149" w:rsidR="00C64326" w:rsidRDefault="004C3670" w:rsidP="00A4794E">
      <w:pPr>
        <w:pStyle w:val="BodyText"/>
        <w:widowControl/>
        <w:tabs>
          <w:tab w:val="left" w:pos="544"/>
        </w:tabs>
        <w:ind w:left="425" w:hanging="425"/>
        <w:rPr>
          <w:rFonts w:asciiTheme="majorHAnsi" w:hAnsiTheme="majorHAnsi" w:cs="Times New Roman"/>
          <w:lang w:val="en-AU"/>
        </w:rPr>
      </w:pPr>
      <w:r>
        <w:rPr>
          <w:rFonts w:asciiTheme="majorHAnsi" w:hAnsiTheme="majorHAnsi" w:cs="Times New Roman"/>
          <w:lang w:val="en-AU"/>
        </w:rPr>
        <w:t>1</w:t>
      </w:r>
      <w:r w:rsidR="002D6FBD">
        <w:rPr>
          <w:rFonts w:asciiTheme="majorHAnsi" w:hAnsiTheme="majorHAnsi" w:cs="Times New Roman"/>
          <w:lang w:val="en-AU"/>
        </w:rPr>
        <w:t>1</w:t>
      </w:r>
      <w:r>
        <w:rPr>
          <w:rFonts w:asciiTheme="majorHAnsi" w:hAnsiTheme="majorHAnsi" w:cs="Times New Roman"/>
          <w:lang w:val="en-AU"/>
        </w:rPr>
        <w:t>.</w:t>
      </w:r>
      <w:r>
        <w:rPr>
          <w:rFonts w:asciiTheme="majorHAnsi" w:hAnsiTheme="majorHAnsi" w:cs="Times New Roman"/>
          <w:lang w:val="en-AU"/>
        </w:rPr>
        <w:tab/>
      </w:r>
      <w:r w:rsidR="00C64326" w:rsidRPr="00C64326">
        <w:rPr>
          <w:rFonts w:asciiTheme="majorHAnsi" w:hAnsiTheme="majorHAnsi" w:cs="Times New Roman"/>
          <w:lang w:val="en-AU"/>
        </w:rPr>
        <w:t xml:space="preserve">The Secretariat and the </w:t>
      </w:r>
      <w:r w:rsidR="00081929">
        <w:rPr>
          <w:rFonts w:asciiTheme="majorHAnsi" w:hAnsiTheme="majorHAnsi" w:cs="Times New Roman"/>
          <w:lang w:val="en-AU"/>
        </w:rPr>
        <w:t xml:space="preserve">Chair of the </w:t>
      </w:r>
      <w:r w:rsidR="00C64326" w:rsidRPr="00C64326">
        <w:rPr>
          <w:rFonts w:asciiTheme="majorHAnsi" w:hAnsiTheme="majorHAnsi" w:cs="Times New Roman"/>
          <w:lang w:val="en-AU"/>
        </w:rPr>
        <w:t>CEPA Oversight Panel have provided input to this report.</w:t>
      </w:r>
    </w:p>
    <w:p w14:paraId="1D4C5507" w14:textId="77777777" w:rsidR="004C3670" w:rsidRPr="00C64326" w:rsidRDefault="004C3670" w:rsidP="00A4794E">
      <w:pPr>
        <w:pStyle w:val="BodyText"/>
        <w:widowControl/>
        <w:tabs>
          <w:tab w:val="left" w:pos="544"/>
        </w:tabs>
        <w:ind w:left="425" w:hanging="425"/>
        <w:rPr>
          <w:rFonts w:asciiTheme="majorHAnsi" w:hAnsiTheme="majorHAnsi" w:cs="Times New Roman"/>
          <w:lang w:val="en-AU"/>
        </w:rPr>
      </w:pPr>
    </w:p>
    <w:p w14:paraId="357C9C5F" w14:textId="1F31A933" w:rsidR="00C64326" w:rsidRPr="00C64326" w:rsidRDefault="00C64326" w:rsidP="00A4794E">
      <w:pPr>
        <w:autoSpaceDE w:val="0"/>
        <w:autoSpaceDN w:val="0"/>
        <w:adjustRightInd w:val="0"/>
        <w:rPr>
          <w:rFonts w:asciiTheme="majorHAnsi" w:hAnsiTheme="majorHAnsi" w:cs="Calibri"/>
          <w:bCs/>
          <w:sz w:val="22"/>
          <w:szCs w:val="22"/>
          <w:u w:val="single"/>
        </w:rPr>
      </w:pPr>
      <w:r w:rsidRPr="00C64326">
        <w:rPr>
          <w:rFonts w:asciiTheme="majorHAnsi" w:hAnsiTheme="majorHAnsi" w:cs="Calibri"/>
          <w:bCs/>
          <w:sz w:val="22"/>
          <w:szCs w:val="22"/>
          <w:u w:val="single"/>
        </w:rPr>
        <w:t>CEPA achievements during 201</w:t>
      </w:r>
      <w:r w:rsidR="00081929">
        <w:rPr>
          <w:rFonts w:asciiTheme="majorHAnsi" w:hAnsiTheme="majorHAnsi" w:cs="Calibri"/>
          <w:bCs/>
          <w:sz w:val="22"/>
          <w:szCs w:val="22"/>
          <w:u w:val="single"/>
        </w:rPr>
        <w:t>9</w:t>
      </w:r>
      <w:r w:rsidRPr="00C64326">
        <w:rPr>
          <w:rFonts w:asciiTheme="majorHAnsi" w:hAnsiTheme="majorHAnsi" w:cs="Calibri"/>
          <w:bCs/>
          <w:sz w:val="22"/>
          <w:szCs w:val="22"/>
          <w:u w:val="single"/>
        </w:rPr>
        <w:t>-20</w:t>
      </w:r>
      <w:r w:rsidR="00081929">
        <w:rPr>
          <w:rFonts w:asciiTheme="majorHAnsi" w:hAnsiTheme="majorHAnsi" w:cs="Calibri"/>
          <w:bCs/>
          <w:sz w:val="22"/>
          <w:szCs w:val="22"/>
          <w:u w:val="single"/>
        </w:rPr>
        <w:t>22</w:t>
      </w:r>
    </w:p>
    <w:p w14:paraId="41784043" w14:textId="77777777" w:rsidR="004C3670" w:rsidRDefault="004C3670" w:rsidP="00A4794E">
      <w:pPr>
        <w:pStyle w:val="BodyText"/>
        <w:widowControl/>
        <w:tabs>
          <w:tab w:val="left" w:pos="544"/>
        </w:tabs>
        <w:ind w:left="425" w:hanging="425"/>
        <w:rPr>
          <w:rFonts w:asciiTheme="majorHAnsi" w:hAnsiTheme="majorHAnsi"/>
        </w:rPr>
      </w:pPr>
    </w:p>
    <w:p w14:paraId="0887CBDF" w14:textId="079DCC4E" w:rsidR="00C64326" w:rsidRDefault="004C3670" w:rsidP="00A4794E">
      <w:pPr>
        <w:pStyle w:val="BodyText"/>
        <w:widowControl/>
        <w:tabs>
          <w:tab w:val="left" w:pos="544"/>
        </w:tabs>
        <w:ind w:left="425" w:hanging="425"/>
        <w:rPr>
          <w:rFonts w:asciiTheme="majorHAnsi" w:hAnsiTheme="majorHAnsi" w:cs="Times New Roman"/>
          <w:lang w:val="en-AU"/>
        </w:rPr>
      </w:pPr>
      <w:r>
        <w:rPr>
          <w:rFonts w:asciiTheme="majorHAnsi" w:hAnsiTheme="majorHAnsi"/>
        </w:rPr>
        <w:t>1</w:t>
      </w:r>
      <w:r w:rsidR="002D6FBD">
        <w:rPr>
          <w:rFonts w:asciiTheme="majorHAnsi" w:hAnsiTheme="majorHAnsi"/>
        </w:rPr>
        <w:t>2</w:t>
      </w:r>
      <w:r>
        <w:rPr>
          <w:rFonts w:asciiTheme="majorHAnsi" w:hAnsiTheme="majorHAnsi"/>
        </w:rPr>
        <w:t>.</w:t>
      </w:r>
      <w:r>
        <w:rPr>
          <w:rFonts w:asciiTheme="majorHAnsi" w:hAnsiTheme="majorHAnsi"/>
        </w:rPr>
        <w:tab/>
      </w:r>
      <w:r w:rsidR="00C64326" w:rsidRPr="00C64326">
        <w:rPr>
          <w:rFonts w:asciiTheme="majorHAnsi" w:hAnsiTheme="majorHAnsi"/>
        </w:rPr>
        <w:t>The</w:t>
      </w:r>
      <w:r w:rsidR="00C64326" w:rsidRPr="00C64326">
        <w:rPr>
          <w:rFonts w:asciiTheme="majorHAnsi" w:hAnsiTheme="majorHAnsi" w:cs="Times New Roman"/>
          <w:lang w:val="en-AU"/>
        </w:rPr>
        <w:t xml:space="preserve"> following </w:t>
      </w:r>
      <w:r w:rsidR="002D6FBD">
        <w:rPr>
          <w:rFonts w:asciiTheme="majorHAnsi" w:hAnsiTheme="majorHAnsi" w:cs="Times New Roman"/>
          <w:lang w:val="en-AU"/>
        </w:rPr>
        <w:t>review</w:t>
      </w:r>
      <w:r w:rsidR="00C64326" w:rsidRPr="00C64326">
        <w:rPr>
          <w:rFonts w:asciiTheme="majorHAnsi" w:hAnsiTheme="majorHAnsi" w:cs="Times New Roman"/>
          <w:lang w:val="en-AU"/>
        </w:rPr>
        <w:t xml:space="preserve"> of progress in implementing the CEPA Programme draws on an analysis of Contracting Parties’ National Reports to COP1</w:t>
      </w:r>
      <w:r w:rsidR="00081929">
        <w:rPr>
          <w:rFonts w:asciiTheme="majorHAnsi" w:hAnsiTheme="majorHAnsi" w:cs="Times New Roman"/>
          <w:lang w:val="en-AU"/>
        </w:rPr>
        <w:t>4</w:t>
      </w:r>
      <w:r w:rsidR="00C64326" w:rsidRPr="00C64326">
        <w:rPr>
          <w:rFonts w:asciiTheme="majorHAnsi" w:hAnsiTheme="majorHAnsi" w:cs="Times New Roman"/>
          <w:lang w:val="en-AU"/>
        </w:rPr>
        <w:t xml:space="preserve"> and </w:t>
      </w:r>
      <w:r w:rsidR="002D6FBD">
        <w:rPr>
          <w:rFonts w:asciiTheme="majorHAnsi" w:hAnsiTheme="majorHAnsi" w:cs="Times New Roman"/>
          <w:lang w:val="en-AU"/>
        </w:rPr>
        <w:t xml:space="preserve">information provided to the Secretariat from stakeholders supporting the CEPA </w:t>
      </w:r>
      <w:r w:rsidR="00FE7014">
        <w:rPr>
          <w:rFonts w:asciiTheme="majorHAnsi" w:hAnsiTheme="majorHAnsi" w:cs="Times New Roman"/>
          <w:lang w:val="en-AU"/>
        </w:rPr>
        <w:t>P</w:t>
      </w:r>
      <w:r w:rsidR="002D6FBD">
        <w:rPr>
          <w:rFonts w:asciiTheme="majorHAnsi" w:hAnsiTheme="majorHAnsi" w:cs="Times New Roman"/>
          <w:lang w:val="en-AU"/>
        </w:rPr>
        <w:t>rogramme.</w:t>
      </w:r>
    </w:p>
    <w:p w14:paraId="3EFEF9DA" w14:textId="56C4074C" w:rsidR="003A5887" w:rsidRDefault="003A5887" w:rsidP="00A4794E">
      <w:pPr>
        <w:pStyle w:val="BodyText"/>
        <w:widowControl/>
        <w:tabs>
          <w:tab w:val="left" w:pos="544"/>
        </w:tabs>
        <w:ind w:left="425" w:hanging="425"/>
        <w:rPr>
          <w:rFonts w:asciiTheme="majorHAnsi" w:hAnsiTheme="majorHAnsi" w:cs="Times New Roman"/>
          <w:lang w:val="en-AU"/>
        </w:rPr>
      </w:pPr>
    </w:p>
    <w:p w14:paraId="3958C60D" w14:textId="4BB38116" w:rsidR="003A5887" w:rsidRDefault="003A5887" w:rsidP="00A4794E">
      <w:pPr>
        <w:pStyle w:val="BodyText"/>
        <w:widowControl/>
        <w:tabs>
          <w:tab w:val="left" w:pos="544"/>
        </w:tabs>
        <w:ind w:left="425" w:hanging="425"/>
        <w:rPr>
          <w:rFonts w:asciiTheme="majorHAnsi" w:hAnsiTheme="majorHAnsi" w:cs="Times New Roman"/>
          <w:lang w:val="en-AU"/>
        </w:rPr>
      </w:pPr>
      <w:r>
        <w:rPr>
          <w:rFonts w:asciiTheme="majorHAnsi" w:hAnsiTheme="majorHAnsi" w:cs="Times New Roman"/>
          <w:lang w:val="en-AU"/>
        </w:rPr>
        <w:t>13.</w:t>
      </w:r>
      <w:r>
        <w:rPr>
          <w:rFonts w:asciiTheme="majorHAnsi" w:hAnsiTheme="majorHAnsi" w:cs="Times New Roman"/>
          <w:lang w:val="en-AU"/>
        </w:rPr>
        <w:tab/>
        <w:t>The National Reports provide the following information on the implementation of the CEPA Programme</w:t>
      </w:r>
      <w:r w:rsidR="001E664B">
        <w:rPr>
          <w:rFonts w:asciiTheme="majorHAnsi" w:hAnsiTheme="majorHAnsi" w:cs="Times New Roman"/>
          <w:lang w:val="en-AU"/>
        </w:rPr>
        <w:t>:</w:t>
      </w:r>
    </w:p>
    <w:p w14:paraId="25CEAEA2" w14:textId="77777777" w:rsidR="00A4794E" w:rsidRDefault="00A4794E" w:rsidP="00A4794E">
      <w:pPr>
        <w:pStyle w:val="BodyText"/>
        <w:widowControl/>
        <w:tabs>
          <w:tab w:val="left" w:pos="544"/>
        </w:tabs>
        <w:ind w:left="425" w:hanging="425"/>
        <w:rPr>
          <w:rFonts w:asciiTheme="majorHAnsi" w:hAnsiTheme="majorHAnsi" w:cs="Times New Roman"/>
          <w:lang w:val="en-AU"/>
        </w:rPr>
      </w:pPr>
    </w:p>
    <w:p w14:paraId="51E37BA8" w14:textId="0C378080" w:rsidR="003A5887" w:rsidRDefault="003A5887" w:rsidP="00A4794E">
      <w:pPr>
        <w:numPr>
          <w:ilvl w:val="0"/>
          <w:numId w:val="1"/>
        </w:numPr>
        <w:ind w:left="851" w:hanging="425"/>
        <w:contextualSpacing/>
        <w:rPr>
          <w:rFonts w:asciiTheme="majorHAnsi" w:eastAsia="Calibri" w:hAnsiTheme="majorHAnsi" w:cs="Times New Roman"/>
          <w:sz w:val="22"/>
          <w:szCs w:val="22"/>
          <w:lang w:val="en-AU"/>
        </w:rPr>
      </w:pPr>
      <w:r w:rsidRPr="00C64326">
        <w:rPr>
          <w:rFonts w:asciiTheme="majorHAnsi" w:eastAsia="Calibri" w:hAnsiTheme="majorHAnsi" w:cs="Times New Roman"/>
          <w:sz w:val="22"/>
          <w:szCs w:val="22"/>
          <w:lang w:val="en-AU"/>
        </w:rPr>
        <w:t xml:space="preserve">Action </w:t>
      </w:r>
      <w:r w:rsidRPr="0056148E">
        <w:rPr>
          <w:rFonts w:asciiTheme="majorHAnsi" w:eastAsia="Calibri" w:hAnsiTheme="majorHAnsi" w:cs="Times New Roman"/>
          <w:sz w:val="22"/>
          <w:szCs w:val="22"/>
          <w:lang w:val="en-AU"/>
        </w:rPr>
        <w:t>plans for wetland CEPA are in place in 35% of Contracting Parties (a 45% change from the 24% reported at COP13).</w:t>
      </w:r>
      <w:r w:rsidR="001E664B">
        <w:rPr>
          <w:rFonts w:asciiTheme="majorHAnsi" w:eastAsia="Calibri" w:hAnsiTheme="majorHAnsi" w:cs="Times New Roman"/>
          <w:sz w:val="22"/>
          <w:szCs w:val="22"/>
          <w:lang w:val="en-AU"/>
        </w:rPr>
        <w:t xml:space="preserve"> </w:t>
      </w:r>
      <w:r w:rsidRPr="0056148E">
        <w:rPr>
          <w:rFonts w:asciiTheme="majorHAnsi" w:eastAsia="Calibri" w:hAnsiTheme="majorHAnsi" w:cs="Times New Roman"/>
          <w:sz w:val="22"/>
          <w:szCs w:val="22"/>
          <w:lang w:val="en-AU"/>
        </w:rPr>
        <w:t>This Improvement in CEPA planning at the national level is likely to contribute to a better focus on key priorities.</w:t>
      </w:r>
    </w:p>
    <w:p w14:paraId="41B12467" w14:textId="77777777" w:rsidR="00A4794E" w:rsidRPr="0056148E" w:rsidRDefault="00A4794E" w:rsidP="00A4794E">
      <w:pPr>
        <w:contextualSpacing/>
        <w:rPr>
          <w:rFonts w:asciiTheme="majorHAnsi" w:eastAsia="Calibri" w:hAnsiTheme="majorHAnsi" w:cs="Times New Roman"/>
          <w:sz w:val="22"/>
          <w:szCs w:val="22"/>
          <w:lang w:val="en-AU"/>
        </w:rPr>
      </w:pPr>
    </w:p>
    <w:p w14:paraId="1F0BCD66" w14:textId="429079FA" w:rsidR="003A5887" w:rsidRDefault="003A5887" w:rsidP="00A4794E">
      <w:pPr>
        <w:numPr>
          <w:ilvl w:val="0"/>
          <w:numId w:val="1"/>
        </w:numPr>
        <w:ind w:left="851" w:hanging="425"/>
        <w:contextualSpacing/>
        <w:rPr>
          <w:rFonts w:asciiTheme="majorHAnsi" w:eastAsia="Calibri" w:hAnsiTheme="majorHAnsi" w:cs="Times New Roman"/>
          <w:sz w:val="22"/>
          <w:szCs w:val="22"/>
          <w:lang w:val="en-AU"/>
        </w:rPr>
      </w:pPr>
      <w:r w:rsidRPr="0056148E">
        <w:rPr>
          <w:rFonts w:asciiTheme="majorHAnsi" w:eastAsia="Calibri" w:hAnsiTheme="majorHAnsi" w:cs="Times New Roman"/>
          <w:sz w:val="22"/>
          <w:szCs w:val="22"/>
          <w:lang w:val="en-AU"/>
        </w:rPr>
        <w:t xml:space="preserve">Sixty-one percent of Parties report that communication mechanisms are in place to share Convention guidance and information with site managers, focal points </w:t>
      </w:r>
      <w:r w:rsidR="001E664B">
        <w:rPr>
          <w:rFonts w:asciiTheme="majorHAnsi" w:eastAsia="Calibri" w:hAnsiTheme="majorHAnsi" w:cs="Times New Roman"/>
          <w:sz w:val="22"/>
          <w:szCs w:val="22"/>
          <w:lang w:val="en-AU"/>
        </w:rPr>
        <w:t xml:space="preserve">of other multilateral environmental agreements (MEAs) </w:t>
      </w:r>
      <w:r w:rsidRPr="0056148E">
        <w:rPr>
          <w:rFonts w:asciiTheme="majorHAnsi" w:eastAsia="Calibri" w:hAnsiTheme="majorHAnsi" w:cs="Times New Roman"/>
          <w:sz w:val="22"/>
          <w:szCs w:val="22"/>
          <w:lang w:val="en-AU"/>
        </w:rPr>
        <w:t>and other ministries, departments and agencies.</w:t>
      </w:r>
      <w:r w:rsidR="001E664B">
        <w:rPr>
          <w:rFonts w:asciiTheme="majorHAnsi" w:eastAsia="Calibri" w:hAnsiTheme="majorHAnsi" w:cs="Times New Roman"/>
          <w:sz w:val="22"/>
          <w:szCs w:val="22"/>
          <w:lang w:val="en-AU"/>
        </w:rPr>
        <w:t xml:space="preserve"> </w:t>
      </w:r>
      <w:r w:rsidRPr="0056148E">
        <w:rPr>
          <w:rFonts w:asciiTheme="majorHAnsi" w:eastAsia="Calibri" w:hAnsiTheme="majorHAnsi" w:cs="Times New Roman"/>
          <w:sz w:val="22"/>
          <w:szCs w:val="22"/>
          <w:lang w:val="en-AU"/>
        </w:rPr>
        <w:t>This figure</w:t>
      </w:r>
      <w:r w:rsidR="001E664B">
        <w:rPr>
          <w:rFonts w:asciiTheme="majorHAnsi" w:eastAsia="Calibri" w:hAnsiTheme="majorHAnsi" w:cs="Times New Roman"/>
          <w:sz w:val="22"/>
          <w:szCs w:val="22"/>
          <w:lang w:val="en-AU"/>
        </w:rPr>
        <w:t>,</w:t>
      </w:r>
      <w:r w:rsidRPr="0056148E">
        <w:rPr>
          <w:rFonts w:asciiTheme="majorHAnsi" w:eastAsia="Calibri" w:hAnsiTheme="majorHAnsi" w:cs="Times New Roman"/>
          <w:sz w:val="22"/>
          <w:szCs w:val="22"/>
          <w:lang w:val="en-AU"/>
        </w:rPr>
        <w:t xml:space="preserve"> while improved from 50% at COP13</w:t>
      </w:r>
      <w:r w:rsidR="001E664B">
        <w:rPr>
          <w:rFonts w:asciiTheme="majorHAnsi" w:eastAsia="Calibri" w:hAnsiTheme="majorHAnsi" w:cs="Times New Roman"/>
          <w:sz w:val="22"/>
          <w:szCs w:val="22"/>
          <w:lang w:val="en-AU"/>
        </w:rPr>
        <w:t>,</w:t>
      </w:r>
      <w:r w:rsidRPr="0056148E">
        <w:rPr>
          <w:rFonts w:asciiTheme="majorHAnsi" w:eastAsia="Calibri" w:hAnsiTheme="majorHAnsi" w:cs="Times New Roman"/>
          <w:sz w:val="22"/>
          <w:szCs w:val="22"/>
          <w:lang w:val="en-AU"/>
        </w:rPr>
        <w:t xml:space="preserve"> remains concerning, as such mechanisms are critical to support site managers in their management of wetlands of international importance, and to engage relevant agencies in understanding and implementing the Convention.</w:t>
      </w:r>
    </w:p>
    <w:p w14:paraId="50977D22" w14:textId="77777777" w:rsidR="00A4794E" w:rsidRPr="0056148E" w:rsidRDefault="00A4794E" w:rsidP="00A4794E">
      <w:pPr>
        <w:contextualSpacing/>
        <w:rPr>
          <w:rFonts w:asciiTheme="majorHAnsi" w:eastAsia="Calibri" w:hAnsiTheme="majorHAnsi" w:cs="Times New Roman"/>
          <w:sz w:val="22"/>
          <w:szCs w:val="22"/>
          <w:lang w:val="en-AU"/>
        </w:rPr>
      </w:pPr>
    </w:p>
    <w:p w14:paraId="22D39514" w14:textId="5FAFE679" w:rsidR="003A5887" w:rsidRDefault="003A5887" w:rsidP="00A4794E">
      <w:pPr>
        <w:numPr>
          <w:ilvl w:val="0"/>
          <w:numId w:val="1"/>
        </w:numPr>
        <w:ind w:left="851" w:hanging="425"/>
        <w:contextualSpacing/>
        <w:rPr>
          <w:rFonts w:asciiTheme="majorHAnsi" w:eastAsia="Calibri" w:hAnsiTheme="majorHAnsi" w:cs="Times New Roman"/>
          <w:sz w:val="22"/>
          <w:szCs w:val="22"/>
          <w:lang w:val="en-AU"/>
        </w:rPr>
      </w:pPr>
      <w:r w:rsidRPr="0056148E">
        <w:rPr>
          <w:rFonts w:asciiTheme="majorHAnsi" w:eastAsia="Calibri" w:hAnsiTheme="majorHAnsi" w:cs="Times New Roman"/>
          <w:sz w:val="22"/>
          <w:szCs w:val="22"/>
          <w:lang w:val="en-AU"/>
        </w:rPr>
        <w:t>Regarding operational cross-sectoral national Ramsar/wetland committees, a decrease has been reported over time, from 63% at COP12, 49% at COP13 and 46% in this</w:t>
      </w:r>
      <w:r w:rsidRPr="00C64326">
        <w:rPr>
          <w:rFonts w:asciiTheme="majorHAnsi" w:eastAsia="Calibri" w:hAnsiTheme="majorHAnsi" w:cs="Times New Roman"/>
          <w:sz w:val="22"/>
          <w:szCs w:val="22"/>
          <w:lang w:val="en-AU"/>
        </w:rPr>
        <w:t xml:space="preserve"> reporting period.</w:t>
      </w:r>
      <w:r w:rsidR="001E664B">
        <w:rPr>
          <w:rFonts w:asciiTheme="majorHAnsi" w:eastAsia="Calibri" w:hAnsiTheme="majorHAnsi" w:cs="Times New Roman"/>
          <w:sz w:val="22"/>
          <w:szCs w:val="22"/>
          <w:lang w:val="en-AU"/>
        </w:rPr>
        <w:t xml:space="preserve"> </w:t>
      </w:r>
      <w:r w:rsidRPr="00C64326">
        <w:rPr>
          <w:rFonts w:asciiTheme="majorHAnsi" w:eastAsia="Calibri" w:hAnsiTheme="majorHAnsi" w:cs="Times New Roman"/>
          <w:sz w:val="22"/>
          <w:szCs w:val="22"/>
          <w:lang w:val="en-AU"/>
        </w:rPr>
        <w:t>This is also of concern, as these committees are an important tool to integrate wetland conservation and wise use into national policy considerations, and ensure decision-making takes account of the ecological services provided by wetlands.</w:t>
      </w:r>
      <w:r w:rsidR="001E664B">
        <w:rPr>
          <w:rFonts w:asciiTheme="majorHAnsi" w:eastAsia="Calibri" w:hAnsiTheme="majorHAnsi" w:cs="Times New Roman"/>
          <w:sz w:val="22"/>
          <w:szCs w:val="22"/>
          <w:lang w:val="en-AU"/>
        </w:rPr>
        <w:t xml:space="preserve"> </w:t>
      </w:r>
      <w:r w:rsidRPr="00C64326">
        <w:rPr>
          <w:rFonts w:asciiTheme="majorHAnsi" w:eastAsia="Calibri" w:hAnsiTheme="majorHAnsi" w:cs="Times New Roman"/>
          <w:sz w:val="22"/>
          <w:szCs w:val="22"/>
          <w:lang w:val="en-AU"/>
        </w:rPr>
        <w:t>In particular, Targets 1 and 13 of the Strategic Plan encourage Contracting Parties to feature wetland benefits in national/local policies and plans relating to key sectors, and to enhance the sustainability of key sectors when they affect wetlands.</w:t>
      </w:r>
    </w:p>
    <w:p w14:paraId="3685324E" w14:textId="77777777" w:rsidR="004C3670" w:rsidRDefault="004C3670" w:rsidP="00A4794E">
      <w:pPr>
        <w:pStyle w:val="BodyText"/>
        <w:widowControl/>
        <w:tabs>
          <w:tab w:val="left" w:pos="544"/>
        </w:tabs>
        <w:ind w:left="0" w:firstLine="0"/>
        <w:rPr>
          <w:rFonts w:asciiTheme="majorHAnsi" w:hAnsiTheme="majorHAnsi" w:cs="Times New Roman"/>
          <w:lang w:val="en-AU"/>
        </w:rPr>
      </w:pPr>
    </w:p>
    <w:p w14:paraId="5CA4D7F1" w14:textId="1952D51B" w:rsidR="00C64326" w:rsidRDefault="004C3670" w:rsidP="00A4794E">
      <w:pPr>
        <w:pStyle w:val="BodyText"/>
        <w:widowControl/>
        <w:ind w:left="425" w:hanging="425"/>
        <w:rPr>
          <w:rFonts w:asciiTheme="majorHAnsi" w:hAnsiTheme="majorHAnsi" w:cs="Times New Roman"/>
          <w:lang w:val="en-AU"/>
        </w:rPr>
      </w:pPr>
      <w:r>
        <w:rPr>
          <w:rFonts w:asciiTheme="majorHAnsi" w:hAnsiTheme="majorHAnsi" w:cs="Times New Roman"/>
          <w:lang w:val="en-AU"/>
        </w:rPr>
        <w:lastRenderedPageBreak/>
        <w:t>1</w:t>
      </w:r>
      <w:r w:rsidR="000970FD">
        <w:rPr>
          <w:rFonts w:asciiTheme="majorHAnsi" w:hAnsiTheme="majorHAnsi" w:cs="Times New Roman"/>
          <w:lang w:val="en-AU"/>
        </w:rPr>
        <w:t>4</w:t>
      </w:r>
      <w:r>
        <w:rPr>
          <w:rFonts w:asciiTheme="majorHAnsi" w:hAnsiTheme="majorHAnsi" w:cs="Times New Roman"/>
          <w:lang w:val="en-AU"/>
        </w:rPr>
        <w:t>.</w:t>
      </w:r>
      <w:r>
        <w:rPr>
          <w:rFonts w:asciiTheme="majorHAnsi" w:hAnsiTheme="majorHAnsi" w:cs="Times New Roman"/>
          <w:lang w:val="en-AU"/>
        </w:rPr>
        <w:tab/>
      </w:r>
      <w:r w:rsidR="002D6FBD">
        <w:rPr>
          <w:rFonts w:asciiTheme="majorHAnsi" w:hAnsiTheme="majorHAnsi" w:cs="Times New Roman"/>
          <w:lang w:val="en-AU"/>
        </w:rPr>
        <w:t>For</w:t>
      </w:r>
      <w:r w:rsidR="00C64326" w:rsidRPr="00C64326">
        <w:rPr>
          <w:rFonts w:asciiTheme="majorHAnsi" w:hAnsiTheme="majorHAnsi" w:cs="Times New Roman"/>
          <w:lang w:val="en-AU"/>
        </w:rPr>
        <w:t xml:space="preserve"> the nine Goals of the CEPA Programme 2016-2024, </w:t>
      </w:r>
      <w:r w:rsidR="002D6FBD">
        <w:rPr>
          <w:rFonts w:asciiTheme="majorHAnsi" w:hAnsiTheme="majorHAnsi" w:cs="Times New Roman"/>
          <w:lang w:val="en-AU"/>
        </w:rPr>
        <w:t>the following actions and accomplishments are noted for</w:t>
      </w:r>
      <w:r w:rsidR="00354FE0">
        <w:rPr>
          <w:rFonts w:asciiTheme="majorHAnsi" w:hAnsiTheme="majorHAnsi" w:cs="Times New Roman"/>
          <w:lang w:val="en-AU"/>
        </w:rPr>
        <w:t xml:space="preserve"> the</w:t>
      </w:r>
      <w:r w:rsidR="002D6FBD">
        <w:rPr>
          <w:rFonts w:asciiTheme="majorHAnsi" w:hAnsiTheme="majorHAnsi" w:cs="Times New Roman"/>
          <w:lang w:val="en-AU"/>
        </w:rPr>
        <w:t xml:space="preserve"> 2018-2022 reporting period.</w:t>
      </w:r>
    </w:p>
    <w:p w14:paraId="07827058" w14:textId="77777777" w:rsidR="004C3670" w:rsidRPr="00C64326" w:rsidRDefault="004C3670" w:rsidP="00A4794E">
      <w:pPr>
        <w:pStyle w:val="BodyText"/>
        <w:widowControl/>
        <w:tabs>
          <w:tab w:val="left" w:pos="544"/>
        </w:tabs>
        <w:ind w:left="425" w:hanging="425"/>
        <w:rPr>
          <w:rFonts w:asciiTheme="majorHAnsi" w:hAnsiTheme="majorHAnsi" w:cs="Times New Roman"/>
          <w:lang w:val="en-AU"/>
        </w:rPr>
      </w:pPr>
    </w:p>
    <w:p w14:paraId="3AFD1FA7" w14:textId="430110F6" w:rsidR="00C64326" w:rsidRDefault="00C64326" w:rsidP="00D7748F">
      <w:pPr>
        <w:ind w:firstLine="425"/>
        <w:rPr>
          <w:rFonts w:asciiTheme="majorHAnsi" w:eastAsia="Calibri" w:hAnsiTheme="majorHAnsi" w:cs="Times New Roman"/>
          <w:i/>
          <w:sz w:val="22"/>
          <w:szCs w:val="22"/>
          <w:lang w:val="en-AU"/>
        </w:rPr>
      </w:pPr>
      <w:r w:rsidRPr="00C64326">
        <w:rPr>
          <w:rFonts w:asciiTheme="majorHAnsi" w:eastAsia="Calibri" w:hAnsiTheme="majorHAnsi" w:cs="Times New Roman"/>
          <w:i/>
          <w:sz w:val="22"/>
          <w:szCs w:val="22"/>
          <w:lang w:val="en-AU"/>
        </w:rPr>
        <w:t>Goal 1 – Leadership, institutional support and networks</w:t>
      </w:r>
    </w:p>
    <w:p w14:paraId="1AF47CDE" w14:textId="77777777" w:rsidR="00A4794E" w:rsidRPr="00A4794E" w:rsidRDefault="00A4794E" w:rsidP="00A4794E">
      <w:pPr>
        <w:rPr>
          <w:rFonts w:asciiTheme="majorHAnsi" w:eastAsia="Calibri" w:hAnsiTheme="majorHAnsi" w:cs="Times New Roman"/>
          <w:sz w:val="22"/>
          <w:szCs w:val="22"/>
          <w:lang w:val="en-AU"/>
        </w:rPr>
      </w:pPr>
    </w:p>
    <w:p w14:paraId="287F3BE4" w14:textId="4792FE5A" w:rsidR="00F20F62" w:rsidRDefault="00C64326" w:rsidP="00D7748F">
      <w:pPr>
        <w:numPr>
          <w:ilvl w:val="0"/>
          <w:numId w:val="1"/>
        </w:numPr>
        <w:ind w:left="851" w:hanging="426"/>
        <w:contextualSpacing/>
        <w:rPr>
          <w:rFonts w:asciiTheme="majorHAnsi" w:eastAsia="Calibri" w:hAnsiTheme="majorHAnsi" w:cs="Times New Roman"/>
          <w:sz w:val="22"/>
          <w:szCs w:val="22"/>
          <w:lang w:val="en-AU"/>
        </w:rPr>
      </w:pPr>
      <w:r w:rsidRPr="74A5F004">
        <w:rPr>
          <w:rFonts w:asciiTheme="majorHAnsi" w:eastAsia="Calibri" w:hAnsiTheme="majorHAnsi" w:cs="Times New Roman"/>
          <w:sz w:val="22"/>
          <w:szCs w:val="22"/>
          <w:lang w:val="en-AU"/>
        </w:rPr>
        <w:t xml:space="preserve">The Secretariat and Contracting Parties raised the visibility of </w:t>
      </w:r>
      <w:r w:rsidR="2489E320" w:rsidRPr="74A5F004">
        <w:rPr>
          <w:rFonts w:asciiTheme="majorHAnsi" w:eastAsia="Calibri" w:hAnsiTheme="majorHAnsi" w:cs="Times New Roman"/>
          <w:sz w:val="22"/>
          <w:szCs w:val="22"/>
          <w:lang w:val="en-AU"/>
        </w:rPr>
        <w:t>the Convention</w:t>
      </w:r>
      <w:r w:rsidRPr="74A5F004">
        <w:rPr>
          <w:rFonts w:asciiTheme="majorHAnsi" w:eastAsia="Calibri" w:hAnsiTheme="majorHAnsi" w:cs="Times New Roman"/>
          <w:sz w:val="22"/>
          <w:szCs w:val="22"/>
          <w:lang w:val="en-AU"/>
        </w:rPr>
        <w:t xml:space="preserve"> and improved engagement in strategic policy processes, through contributions to indicators for Sustainable Development Goals</w:t>
      </w:r>
      <w:r w:rsidR="4AFE1158" w:rsidRPr="74A5F004">
        <w:rPr>
          <w:rFonts w:asciiTheme="majorHAnsi" w:eastAsia="Calibri" w:hAnsiTheme="majorHAnsi" w:cs="Times New Roman"/>
          <w:sz w:val="22"/>
          <w:szCs w:val="22"/>
          <w:lang w:val="en-AU"/>
        </w:rPr>
        <w:t>.</w:t>
      </w:r>
      <w:r w:rsidR="54E6B574" w:rsidRPr="74A5F004">
        <w:rPr>
          <w:rFonts w:asciiTheme="majorHAnsi" w:eastAsia="Calibri" w:hAnsiTheme="majorHAnsi" w:cs="Times New Roman"/>
          <w:sz w:val="22"/>
          <w:szCs w:val="22"/>
          <w:lang w:val="en-AU"/>
        </w:rPr>
        <w:t xml:space="preserve"> </w:t>
      </w:r>
      <w:r w:rsidR="76A47B8E" w:rsidRPr="74A5F004">
        <w:rPr>
          <w:rFonts w:asciiTheme="majorHAnsi" w:eastAsia="Calibri" w:hAnsiTheme="majorHAnsi" w:cs="Times New Roman"/>
          <w:sz w:val="22"/>
          <w:szCs w:val="22"/>
          <w:lang w:val="en-AU"/>
        </w:rPr>
        <w:t>Highlights include</w:t>
      </w:r>
      <w:r w:rsidR="4D106E05" w:rsidRPr="74A5F004">
        <w:rPr>
          <w:rFonts w:asciiTheme="majorHAnsi" w:eastAsia="Calibri" w:hAnsiTheme="majorHAnsi" w:cs="Times New Roman"/>
          <w:sz w:val="22"/>
          <w:szCs w:val="22"/>
          <w:lang w:val="en-AU"/>
        </w:rPr>
        <w:t>d</w:t>
      </w:r>
      <w:r w:rsidR="76A47B8E" w:rsidRPr="74A5F004">
        <w:rPr>
          <w:rFonts w:asciiTheme="majorHAnsi" w:eastAsia="Calibri" w:hAnsiTheme="majorHAnsi" w:cs="Times New Roman"/>
          <w:sz w:val="22"/>
          <w:szCs w:val="22"/>
          <w:lang w:val="en-AU"/>
        </w:rPr>
        <w:t xml:space="preserve"> </w:t>
      </w:r>
      <w:r w:rsidR="701EAC04" w:rsidRPr="74A5F004">
        <w:rPr>
          <w:rFonts w:asciiTheme="majorHAnsi" w:eastAsia="Calibri" w:hAnsiTheme="majorHAnsi" w:cs="Times New Roman"/>
          <w:sz w:val="22"/>
          <w:szCs w:val="22"/>
          <w:lang w:val="en-AU"/>
        </w:rPr>
        <w:t>participat</w:t>
      </w:r>
      <w:r w:rsidR="0DF97257" w:rsidRPr="74A5F004">
        <w:rPr>
          <w:rFonts w:asciiTheme="majorHAnsi" w:eastAsia="Calibri" w:hAnsiTheme="majorHAnsi" w:cs="Times New Roman"/>
          <w:sz w:val="22"/>
          <w:szCs w:val="22"/>
          <w:lang w:val="en-AU"/>
        </w:rPr>
        <w:t>ion</w:t>
      </w:r>
      <w:r w:rsidR="701EAC04" w:rsidRPr="74A5F004">
        <w:rPr>
          <w:rFonts w:asciiTheme="majorHAnsi" w:eastAsia="Calibri" w:hAnsiTheme="majorHAnsi" w:cs="Times New Roman"/>
          <w:sz w:val="22"/>
          <w:szCs w:val="22"/>
          <w:lang w:val="en-AU"/>
        </w:rPr>
        <w:t xml:space="preserve"> in</w:t>
      </w:r>
      <w:r w:rsidR="50E4EF6C" w:rsidRPr="74A5F004">
        <w:rPr>
          <w:rFonts w:asciiTheme="majorHAnsi" w:eastAsia="Calibri" w:hAnsiTheme="majorHAnsi" w:cs="Times New Roman"/>
          <w:sz w:val="22"/>
          <w:szCs w:val="22"/>
          <w:lang w:val="en-AU"/>
        </w:rPr>
        <w:t>:</w:t>
      </w:r>
    </w:p>
    <w:p w14:paraId="43461C09" w14:textId="2ADF619D" w:rsidR="003E5348" w:rsidRDefault="00F20F62" w:rsidP="00D7748F">
      <w:pPr>
        <w:numPr>
          <w:ilvl w:val="0"/>
          <w:numId w:val="11"/>
        </w:numPr>
        <w:ind w:left="1276" w:hanging="425"/>
        <w:contextualSpacing/>
        <w:rPr>
          <w:rFonts w:asciiTheme="majorHAnsi" w:eastAsia="Calibri" w:hAnsiTheme="majorHAnsi" w:cs="Times New Roman"/>
          <w:sz w:val="22"/>
          <w:szCs w:val="22"/>
          <w:lang w:val="en-AU"/>
        </w:rPr>
      </w:pPr>
      <w:r>
        <w:rPr>
          <w:rFonts w:asciiTheme="majorHAnsi" w:eastAsia="Calibri" w:hAnsiTheme="majorHAnsi" w:cs="Times New Roman"/>
          <w:sz w:val="22"/>
          <w:szCs w:val="22"/>
          <w:lang w:val="en-AU"/>
        </w:rPr>
        <w:t>The</w:t>
      </w:r>
      <w:r w:rsidR="00940E96" w:rsidRPr="00CB65CB">
        <w:rPr>
          <w:rFonts w:asciiTheme="majorHAnsi" w:eastAsia="Calibri" w:hAnsiTheme="majorHAnsi" w:cs="Times New Roman"/>
          <w:sz w:val="22"/>
          <w:szCs w:val="22"/>
          <w:lang w:val="en-AU"/>
        </w:rPr>
        <w:t xml:space="preserve"> 8</w:t>
      </w:r>
      <w:r w:rsidR="0098609A" w:rsidRPr="00CB65CB">
        <w:rPr>
          <w:rFonts w:asciiTheme="majorHAnsi" w:eastAsia="Calibri" w:hAnsiTheme="majorHAnsi" w:cs="Times New Roman"/>
          <w:sz w:val="22"/>
          <w:szCs w:val="22"/>
          <w:lang w:val="en-AU"/>
        </w:rPr>
        <w:t>th</w:t>
      </w:r>
      <w:r w:rsidR="00354FE0">
        <w:rPr>
          <w:rFonts w:asciiTheme="majorHAnsi" w:eastAsia="Calibri" w:hAnsiTheme="majorHAnsi" w:cs="Times New Roman"/>
          <w:sz w:val="22"/>
          <w:szCs w:val="22"/>
          <w:lang w:val="en-AU"/>
        </w:rPr>
        <w:t>,</w:t>
      </w:r>
      <w:r w:rsidR="0098609A" w:rsidRPr="00CB65CB">
        <w:rPr>
          <w:rFonts w:asciiTheme="majorHAnsi" w:eastAsia="Calibri" w:hAnsiTheme="majorHAnsi" w:cs="Times New Roman"/>
          <w:sz w:val="22"/>
          <w:szCs w:val="22"/>
          <w:lang w:val="en-AU"/>
        </w:rPr>
        <w:t xml:space="preserve"> </w:t>
      </w:r>
      <w:r w:rsidR="00940E96" w:rsidRPr="00CB65CB">
        <w:rPr>
          <w:rFonts w:asciiTheme="majorHAnsi" w:eastAsia="Calibri" w:hAnsiTheme="majorHAnsi" w:cs="Times New Roman"/>
          <w:sz w:val="22"/>
          <w:szCs w:val="22"/>
          <w:lang w:val="en-AU"/>
        </w:rPr>
        <w:t>10th</w:t>
      </w:r>
      <w:r w:rsidR="00354FE0">
        <w:rPr>
          <w:rFonts w:asciiTheme="majorHAnsi" w:eastAsia="Calibri" w:hAnsiTheme="majorHAnsi" w:cs="Times New Roman"/>
          <w:sz w:val="22"/>
          <w:szCs w:val="22"/>
          <w:lang w:val="en-AU"/>
        </w:rPr>
        <w:t>,</w:t>
      </w:r>
      <w:r w:rsidR="00940E96" w:rsidRPr="00CB65CB">
        <w:rPr>
          <w:rFonts w:asciiTheme="majorHAnsi" w:eastAsia="Calibri" w:hAnsiTheme="majorHAnsi" w:cs="Times New Roman"/>
          <w:sz w:val="22"/>
          <w:szCs w:val="22"/>
          <w:lang w:val="en-AU"/>
        </w:rPr>
        <w:t xml:space="preserve"> and 12th meetings of the Inter-Agency and Expert Group on Sustainable Development Goal Indicators</w:t>
      </w:r>
      <w:r w:rsidR="00C756DB">
        <w:rPr>
          <w:rFonts w:asciiTheme="majorHAnsi" w:eastAsia="Calibri" w:hAnsiTheme="majorHAnsi" w:cs="Times New Roman"/>
          <w:sz w:val="22"/>
          <w:szCs w:val="22"/>
          <w:lang w:val="en-AU"/>
        </w:rPr>
        <w:t xml:space="preserve"> (2018, 2019, 2022)</w:t>
      </w:r>
    </w:p>
    <w:p w14:paraId="6606AD33" w14:textId="2513A4A1" w:rsidR="006E0AE9" w:rsidRDefault="003E5348" w:rsidP="00D7748F">
      <w:pPr>
        <w:numPr>
          <w:ilvl w:val="0"/>
          <w:numId w:val="11"/>
        </w:numPr>
        <w:ind w:left="1276" w:hanging="425"/>
        <w:contextualSpacing/>
        <w:rPr>
          <w:rFonts w:asciiTheme="majorHAnsi" w:eastAsia="Calibri" w:hAnsiTheme="majorHAnsi" w:cs="Times New Roman"/>
          <w:sz w:val="22"/>
          <w:szCs w:val="22"/>
          <w:lang w:val="en-AU"/>
        </w:rPr>
      </w:pPr>
      <w:r>
        <w:rPr>
          <w:rFonts w:asciiTheme="majorHAnsi" w:eastAsia="Calibri" w:hAnsiTheme="majorHAnsi" w:cs="Times New Roman"/>
          <w:sz w:val="22"/>
          <w:szCs w:val="22"/>
          <w:lang w:val="en-AU"/>
        </w:rPr>
        <w:t>T</w:t>
      </w:r>
      <w:r w:rsidR="0063435A">
        <w:rPr>
          <w:rFonts w:asciiTheme="majorHAnsi" w:eastAsia="Calibri" w:hAnsiTheme="majorHAnsi" w:cs="Times New Roman"/>
          <w:sz w:val="22"/>
          <w:szCs w:val="22"/>
          <w:lang w:val="en-AU"/>
        </w:rPr>
        <w:t>he</w:t>
      </w:r>
      <w:r w:rsidR="00CB65CB">
        <w:rPr>
          <w:rFonts w:asciiTheme="majorHAnsi" w:eastAsia="Calibri" w:hAnsiTheme="majorHAnsi" w:cs="Times New Roman"/>
          <w:sz w:val="22"/>
          <w:szCs w:val="22"/>
          <w:lang w:val="en-AU"/>
        </w:rPr>
        <w:t xml:space="preserve"> </w:t>
      </w:r>
      <w:r w:rsidR="00867596">
        <w:rPr>
          <w:rFonts w:asciiTheme="majorHAnsi" w:eastAsia="Calibri" w:hAnsiTheme="majorHAnsi" w:cs="Times New Roman"/>
          <w:sz w:val="22"/>
          <w:szCs w:val="22"/>
          <w:lang w:val="en-AU"/>
        </w:rPr>
        <w:t xml:space="preserve">SDG Summit (September 2019) </w:t>
      </w:r>
    </w:p>
    <w:p w14:paraId="451E0C42" w14:textId="61EC91F2" w:rsidR="00C30EC4" w:rsidRDefault="00F8687A" w:rsidP="00D7748F">
      <w:pPr>
        <w:numPr>
          <w:ilvl w:val="0"/>
          <w:numId w:val="11"/>
        </w:numPr>
        <w:ind w:left="1276" w:hanging="425"/>
        <w:contextualSpacing/>
        <w:rPr>
          <w:rFonts w:asciiTheme="majorHAnsi" w:eastAsia="Calibri" w:hAnsiTheme="majorHAnsi" w:cs="Times New Roman"/>
          <w:sz w:val="22"/>
          <w:szCs w:val="22"/>
          <w:lang w:val="en-AU"/>
        </w:rPr>
      </w:pPr>
      <w:r>
        <w:rPr>
          <w:rFonts w:asciiTheme="majorHAnsi" w:eastAsia="Calibri" w:hAnsiTheme="majorHAnsi" w:cs="Times New Roman"/>
          <w:sz w:val="22"/>
          <w:szCs w:val="22"/>
          <w:lang w:val="en-AU"/>
        </w:rPr>
        <w:t xml:space="preserve">The </w:t>
      </w:r>
      <w:r w:rsidR="003D7A71">
        <w:rPr>
          <w:rFonts w:asciiTheme="majorHAnsi" w:eastAsia="Calibri" w:hAnsiTheme="majorHAnsi" w:cs="Times New Roman"/>
          <w:sz w:val="22"/>
          <w:szCs w:val="22"/>
          <w:lang w:val="en-AU"/>
        </w:rPr>
        <w:t>13</w:t>
      </w:r>
      <w:r w:rsidR="0098609A" w:rsidRPr="00CB65CB">
        <w:rPr>
          <w:rFonts w:asciiTheme="majorHAnsi" w:eastAsia="Calibri" w:hAnsiTheme="majorHAnsi" w:cs="Times New Roman"/>
          <w:sz w:val="22"/>
          <w:szCs w:val="22"/>
          <w:lang w:val="en-AU"/>
        </w:rPr>
        <w:t>th</w:t>
      </w:r>
      <w:r w:rsidR="003D7A71">
        <w:rPr>
          <w:rFonts w:asciiTheme="majorHAnsi" w:eastAsia="Calibri" w:hAnsiTheme="majorHAnsi" w:cs="Times New Roman"/>
          <w:sz w:val="22"/>
          <w:szCs w:val="22"/>
          <w:lang w:val="en-AU"/>
        </w:rPr>
        <w:t xml:space="preserve"> </w:t>
      </w:r>
      <w:r w:rsidR="0040188F">
        <w:rPr>
          <w:rFonts w:asciiTheme="majorHAnsi" w:eastAsia="Calibri" w:hAnsiTheme="majorHAnsi" w:cs="Times New Roman"/>
          <w:sz w:val="22"/>
          <w:szCs w:val="22"/>
          <w:lang w:val="en-AU"/>
        </w:rPr>
        <w:t>and 14</w:t>
      </w:r>
      <w:r w:rsidR="0098609A" w:rsidRPr="00CB65CB">
        <w:rPr>
          <w:rFonts w:asciiTheme="majorHAnsi" w:eastAsia="Calibri" w:hAnsiTheme="majorHAnsi" w:cs="Times New Roman"/>
          <w:sz w:val="22"/>
          <w:szCs w:val="22"/>
          <w:lang w:val="en-AU"/>
        </w:rPr>
        <w:t>th</w:t>
      </w:r>
      <w:r w:rsidR="0040188F">
        <w:rPr>
          <w:rFonts w:asciiTheme="majorHAnsi" w:eastAsia="Calibri" w:hAnsiTheme="majorHAnsi" w:cs="Times New Roman"/>
          <w:sz w:val="22"/>
          <w:szCs w:val="22"/>
          <w:lang w:val="en-AU"/>
        </w:rPr>
        <w:t xml:space="preserve"> </w:t>
      </w:r>
      <w:r w:rsidR="00DE7671">
        <w:rPr>
          <w:rFonts w:asciiTheme="majorHAnsi" w:eastAsia="Calibri" w:hAnsiTheme="majorHAnsi" w:cs="Times New Roman"/>
          <w:sz w:val="22"/>
          <w:szCs w:val="22"/>
          <w:lang w:val="en-AU"/>
        </w:rPr>
        <w:t>meeting</w:t>
      </w:r>
      <w:r w:rsidR="0040188F">
        <w:rPr>
          <w:rFonts w:asciiTheme="majorHAnsi" w:eastAsia="Calibri" w:hAnsiTheme="majorHAnsi" w:cs="Times New Roman"/>
          <w:sz w:val="22"/>
          <w:szCs w:val="22"/>
          <w:lang w:val="en-AU"/>
        </w:rPr>
        <w:t>s</w:t>
      </w:r>
      <w:r w:rsidR="003D7A71">
        <w:rPr>
          <w:rFonts w:asciiTheme="majorHAnsi" w:eastAsia="Calibri" w:hAnsiTheme="majorHAnsi" w:cs="Times New Roman"/>
          <w:sz w:val="22"/>
          <w:szCs w:val="22"/>
          <w:lang w:val="en-AU"/>
        </w:rPr>
        <w:t xml:space="preserve"> of the </w:t>
      </w:r>
      <w:r w:rsidR="001A2196">
        <w:rPr>
          <w:rFonts w:asciiTheme="majorHAnsi" w:eastAsia="Calibri" w:hAnsiTheme="majorHAnsi" w:cs="Times New Roman"/>
          <w:sz w:val="22"/>
          <w:szCs w:val="22"/>
          <w:lang w:val="en-AU"/>
        </w:rPr>
        <w:t>L</w:t>
      </w:r>
      <w:r w:rsidR="001A2196" w:rsidRPr="00C64326">
        <w:rPr>
          <w:rFonts w:asciiTheme="majorHAnsi" w:eastAsia="Calibri" w:hAnsiTheme="majorHAnsi" w:cs="Times New Roman"/>
          <w:sz w:val="22"/>
          <w:szCs w:val="22"/>
          <w:lang w:val="en-AU"/>
        </w:rPr>
        <w:t>iaison Group of Biodiversity-related Conventions</w:t>
      </w:r>
      <w:r w:rsidR="00D22507">
        <w:rPr>
          <w:rFonts w:asciiTheme="majorHAnsi" w:eastAsia="Calibri" w:hAnsiTheme="majorHAnsi" w:cs="Times New Roman"/>
          <w:sz w:val="22"/>
          <w:szCs w:val="22"/>
          <w:lang w:val="en-AU"/>
        </w:rPr>
        <w:t xml:space="preserve"> (2018</w:t>
      </w:r>
      <w:r w:rsidR="00F05A78">
        <w:rPr>
          <w:rFonts w:asciiTheme="majorHAnsi" w:eastAsia="Calibri" w:hAnsiTheme="majorHAnsi" w:cs="Times New Roman"/>
          <w:sz w:val="22"/>
          <w:szCs w:val="22"/>
          <w:lang w:val="en-AU"/>
        </w:rPr>
        <w:t xml:space="preserve">, </w:t>
      </w:r>
      <w:r w:rsidR="0040188F">
        <w:rPr>
          <w:rFonts w:asciiTheme="majorHAnsi" w:eastAsia="Calibri" w:hAnsiTheme="majorHAnsi" w:cs="Times New Roman"/>
          <w:sz w:val="22"/>
          <w:szCs w:val="22"/>
          <w:lang w:val="en-AU"/>
        </w:rPr>
        <w:t>2021</w:t>
      </w:r>
      <w:r w:rsidR="00D22507">
        <w:rPr>
          <w:rFonts w:asciiTheme="majorHAnsi" w:eastAsia="Calibri" w:hAnsiTheme="majorHAnsi" w:cs="Times New Roman"/>
          <w:sz w:val="22"/>
          <w:szCs w:val="22"/>
          <w:lang w:val="en-AU"/>
        </w:rPr>
        <w:t>)</w:t>
      </w:r>
    </w:p>
    <w:p w14:paraId="79CA7891" w14:textId="1A260F98" w:rsidR="00993921" w:rsidRPr="00993921" w:rsidRDefault="005F0A7E" w:rsidP="00D7748F">
      <w:pPr>
        <w:numPr>
          <w:ilvl w:val="0"/>
          <w:numId w:val="11"/>
        </w:numPr>
        <w:ind w:left="1276" w:hanging="425"/>
        <w:contextualSpacing/>
        <w:rPr>
          <w:rFonts w:asciiTheme="majorHAnsi" w:eastAsia="Calibri" w:hAnsiTheme="majorHAnsi" w:cs="Times New Roman"/>
          <w:sz w:val="22"/>
          <w:szCs w:val="22"/>
          <w:lang w:val="en-AU"/>
        </w:rPr>
      </w:pPr>
      <w:r>
        <w:rPr>
          <w:rFonts w:asciiTheme="majorHAnsi" w:eastAsia="Calibri" w:hAnsiTheme="majorHAnsi" w:cs="Times New Roman"/>
          <w:sz w:val="22"/>
          <w:szCs w:val="22"/>
          <w:lang w:val="en-AU"/>
        </w:rPr>
        <w:t xml:space="preserve">The </w:t>
      </w:r>
      <w:r w:rsidR="00993921" w:rsidRPr="00C30EC4">
        <w:rPr>
          <w:rFonts w:asciiTheme="majorHAnsi" w:eastAsia="Calibri" w:hAnsiTheme="majorHAnsi" w:cs="Times New Roman"/>
          <w:sz w:val="22"/>
          <w:szCs w:val="22"/>
          <w:lang w:val="en-AU"/>
        </w:rPr>
        <w:t>24</w:t>
      </w:r>
      <w:r w:rsidR="00950696">
        <w:rPr>
          <w:rFonts w:asciiTheme="majorHAnsi" w:eastAsia="Calibri" w:hAnsiTheme="majorHAnsi" w:cs="Times New Roman"/>
          <w:sz w:val="22"/>
          <w:szCs w:val="22"/>
          <w:lang w:val="en-AU"/>
        </w:rPr>
        <w:t>th</w:t>
      </w:r>
      <w:r w:rsidR="00993921" w:rsidRPr="00C30EC4">
        <w:rPr>
          <w:rFonts w:asciiTheme="majorHAnsi" w:eastAsia="Calibri" w:hAnsiTheme="majorHAnsi" w:cs="Times New Roman"/>
          <w:sz w:val="22"/>
          <w:szCs w:val="22"/>
          <w:lang w:val="en-AU"/>
        </w:rPr>
        <w:t>, 25</w:t>
      </w:r>
      <w:r w:rsidR="006D342C">
        <w:rPr>
          <w:rFonts w:asciiTheme="majorHAnsi" w:eastAsia="Calibri" w:hAnsiTheme="majorHAnsi" w:cs="Times New Roman"/>
          <w:sz w:val="22"/>
          <w:szCs w:val="22"/>
          <w:lang w:val="en-AU"/>
        </w:rPr>
        <w:t>th</w:t>
      </w:r>
      <w:r w:rsidR="00993921" w:rsidRPr="00C30EC4">
        <w:rPr>
          <w:rFonts w:asciiTheme="majorHAnsi" w:eastAsia="Calibri" w:hAnsiTheme="majorHAnsi" w:cs="Times New Roman"/>
          <w:sz w:val="22"/>
          <w:szCs w:val="22"/>
          <w:lang w:val="en-AU"/>
        </w:rPr>
        <w:t xml:space="preserve"> and 26</w:t>
      </w:r>
      <w:r w:rsidR="004F3024" w:rsidRPr="00CB65CB">
        <w:rPr>
          <w:rFonts w:asciiTheme="majorHAnsi" w:eastAsia="Calibri" w:hAnsiTheme="majorHAnsi" w:cs="Times New Roman"/>
          <w:sz w:val="22"/>
          <w:szCs w:val="22"/>
          <w:lang w:val="en-AU"/>
        </w:rPr>
        <w:t>th</w:t>
      </w:r>
      <w:r w:rsidR="006D342C">
        <w:rPr>
          <w:rFonts w:asciiTheme="majorHAnsi" w:eastAsia="Calibri" w:hAnsiTheme="majorHAnsi" w:cs="Times New Roman"/>
          <w:sz w:val="22"/>
          <w:szCs w:val="22"/>
          <w:lang w:val="en-AU"/>
        </w:rPr>
        <w:t xml:space="preserve"> meetings of the Conference of the Parties to the UNFCCC</w:t>
      </w:r>
      <w:r w:rsidR="00993921">
        <w:rPr>
          <w:rFonts w:asciiTheme="majorHAnsi" w:eastAsia="Calibri" w:hAnsiTheme="majorHAnsi" w:cs="Times New Roman"/>
          <w:sz w:val="22"/>
          <w:szCs w:val="22"/>
          <w:lang w:val="en-AU"/>
        </w:rPr>
        <w:t xml:space="preserve"> (2018, 2019, 2021)</w:t>
      </w:r>
    </w:p>
    <w:p w14:paraId="112EAE70" w14:textId="30B84929" w:rsidR="00C30EC4" w:rsidRDefault="00950696" w:rsidP="00D7748F">
      <w:pPr>
        <w:numPr>
          <w:ilvl w:val="0"/>
          <w:numId w:val="11"/>
        </w:numPr>
        <w:ind w:left="1276" w:hanging="425"/>
        <w:contextualSpacing/>
        <w:rPr>
          <w:rFonts w:asciiTheme="majorHAnsi" w:eastAsia="Calibri" w:hAnsiTheme="majorHAnsi" w:cs="Times New Roman"/>
          <w:sz w:val="22"/>
          <w:szCs w:val="22"/>
          <w:lang w:val="en-AU"/>
        </w:rPr>
      </w:pPr>
      <w:r>
        <w:rPr>
          <w:rFonts w:asciiTheme="majorHAnsi" w:eastAsia="Calibri" w:hAnsiTheme="majorHAnsi" w:cs="Times New Roman"/>
          <w:sz w:val="22"/>
          <w:szCs w:val="22"/>
          <w:lang w:val="en-AU"/>
        </w:rPr>
        <w:t xml:space="preserve">The </w:t>
      </w:r>
      <w:r w:rsidR="00C93FDC">
        <w:rPr>
          <w:rFonts w:asciiTheme="majorHAnsi" w:eastAsia="Calibri" w:hAnsiTheme="majorHAnsi" w:cs="Times New Roman"/>
          <w:sz w:val="22"/>
          <w:szCs w:val="22"/>
          <w:lang w:val="en-AU"/>
        </w:rPr>
        <w:t>13</w:t>
      </w:r>
      <w:r w:rsidR="00955C2C" w:rsidRPr="00CB65CB">
        <w:rPr>
          <w:rFonts w:asciiTheme="majorHAnsi" w:eastAsia="Calibri" w:hAnsiTheme="majorHAnsi" w:cs="Times New Roman"/>
          <w:sz w:val="22"/>
          <w:szCs w:val="22"/>
          <w:lang w:val="en-AU"/>
        </w:rPr>
        <w:t>th</w:t>
      </w:r>
      <w:r w:rsidR="00C93FDC">
        <w:rPr>
          <w:rFonts w:asciiTheme="majorHAnsi" w:eastAsia="Calibri" w:hAnsiTheme="majorHAnsi" w:cs="Times New Roman"/>
          <w:sz w:val="22"/>
          <w:szCs w:val="22"/>
          <w:lang w:val="en-AU"/>
        </w:rPr>
        <w:t xml:space="preserve"> meeting of the Conference of the Parties to the Convention on Migratory Species (February 2020)</w:t>
      </w:r>
    </w:p>
    <w:p w14:paraId="6087F61D" w14:textId="22500AB9" w:rsidR="00AE1057" w:rsidRDefault="009F09D0" w:rsidP="00D7748F">
      <w:pPr>
        <w:numPr>
          <w:ilvl w:val="0"/>
          <w:numId w:val="11"/>
        </w:numPr>
        <w:ind w:left="1276" w:hanging="425"/>
        <w:contextualSpacing/>
        <w:rPr>
          <w:rFonts w:asciiTheme="majorHAnsi" w:eastAsia="Calibri" w:hAnsiTheme="majorHAnsi" w:cs="Times New Roman"/>
          <w:sz w:val="22"/>
          <w:szCs w:val="22"/>
          <w:lang w:val="en-AU"/>
        </w:rPr>
      </w:pPr>
      <w:r>
        <w:rPr>
          <w:rFonts w:asciiTheme="majorHAnsi" w:eastAsia="Calibri" w:hAnsiTheme="majorHAnsi" w:cs="Times New Roman"/>
          <w:sz w:val="22"/>
          <w:szCs w:val="22"/>
          <w:lang w:val="en-AU"/>
        </w:rPr>
        <w:t xml:space="preserve">The </w:t>
      </w:r>
      <w:r w:rsidR="00035880" w:rsidRPr="00C30EC4">
        <w:rPr>
          <w:rFonts w:asciiTheme="majorHAnsi" w:eastAsia="Calibri" w:hAnsiTheme="majorHAnsi" w:cs="Times New Roman"/>
          <w:sz w:val="22"/>
          <w:szCs w:val="22"/>
          <w:lang w:val="en-AU"/>
        </w:rPr>
        <w:t>14</w:t>
      </w:r>
      <w:r w:rsidR="001E46D6" w:rsidRPr="00CB65CB">
        <w:rPr>
          <w:rFonts w:asciiTheme="majorHAnsi" w:eastAsia="Calibri" w:hAnsiTheme="majorHAnsi" w:cs="Times New Roman"/>
          <w:sz w:val="22"/>
          <w:szCs w:val="22"/>
          <w:lang w:val="en-AU"/>
        </w:rPr>
        <w:t>th</w:t>
      </w:r>
      <w:r w:rsidR="00C472CD" w:rsidRPr="00D7748F">
        <w:rPr>
          <w:rFonts w:asciiTheme="majorHAnsi" w:eastAsia="Calibri" w:hAnsiTheme="majorHAnsi" w:cs="Times New Roman"/>
          <w:sz w:val="22"/>
          <w:szCs w:val="22"/>
          <w:lang w:val="en-AU"/>
        </w:rPr>
        <w:t xml:space="preserve"> </w:t>
      </w:r>
      <w:r w:rsidR="00C472CD">
        <w:rPr>
          <w:rFonts w:asciiTheme="majorHAnsi" w:eastAsia="Calibri" w:hAnsiTheme="majorHAnsi" w:cs="Times New Roman"/>
          <w:sz w:val="22"/>
          <w:szCs w:val="22"/>
          <w:lang w:val="en-AU"/>
        </w:rPr>
        <w:t>meeting of the Conference of the Parties to the UNCCD</w:t>
      </w:r>
      <w:r w:rsidR="00035880" w:rsidRPr="00C30EC4">
        <w:rPr>
          <w:rFonts w:asciiTheme="majorHAnsi" w:eastAsia="Calibri" w:hAnsiTheme="majorHAnsi" w:cs="Times New Roman"/>
          <w:sz w:val="22"/>
          <w:szCs w:val="22"/>
          <w:lang w:val="en-AU"/>
        </w:rPr>
        <w:t xml:space="preserve"> (September 2019)</w:t>
      </w:r>
    </w:p>
    <w:p w14:paraId="349128D4" w14:textId="3A2B559F" w:rsidR="00AE1057" w:rsidRDefault="00BE2207" w:rsidP="00D7748F">
      <w:pPr>
        <w:numPr>
          <w:ilvl w:val="0"/>
          <w:numId w:val="11"/>
        </w:numPr>
        <w:ind w:left="1276" w:hanging="425"/>
        <w:contextualSpacing/>
        <w:rPr>
          <w:rFonts w:asciiTheme="majorHAnsi" w:eastAsia="Calibri" w:hAnsiTheme="majorHAnsi" w:cs="Times New Roman"/>
          <w:sz w:val="22"/>
          <w:szCs w:val="22"/>
          <w:lang w:val="en-AU"/>
        </w:rPr>
      </w:pPr>
      <w:r>
        <w:rPr>
          <w:rFonts w:asciiTheme="majorHAnsi" w:eastAsia="Calibri" w:hAnsiTheme="majorHAnsi" w:cs="Times New Roman"/>
          <w:sz w:val="22"/>
          <w:szCs w:val="22"/>
          <w:lang w:val="en-AU"/>
        </w:rPr>
        <w:t xml:space="preserve">The </w:t>
      </w:r>
      <w:r w:rsidR="00FD322C">
        <w:rPr>
          <w:rFonts w:asciiTheme="majorHAnsi" w:eastAsia="Calibri" w:hAnsiTheme="majorHAnsi" w:cs="Times New Roman"/>
          <w:sz w:val="22"/>
          <w:szCs w:val="22"/>
          <w:lang w:val="en-AU"/>
        </w:rPr>
        <w:t>4</w:t>
      </w:r>
      <w:r w:rsidR="00AA44B3" w:rsidRPr="00CB65CB">
        <w:rPr>
          <w:rFonts w:asciiTheme="majorHAnsi" w:eastAsia="Calibri" w:hAnsiTheme="majorHAnsi" w:cs="Times New Roman"/>
          <w:sz w:val="22"/>
          <w:szCs w:val="22"/>
          <w:lang w:val="en-AU"/>
        </w:rPr>
        <w:t>th</w:t>
      </w:r>
      <w:r w:rsidR="00FD322C">
        <w:rPr>
          <w:rFonts w:asciiTheme="majorHAnsi" w:eastAsia="Calibri" w:hAnsiTheme="majorHAnsi" w:cs="Times New Roman"/>
          <w:sz w:val="22"/>
          <w:szCs w:val="22"/>
          <w:lang w:val="en-AU"/>
        </w:rPr>
        <w:t xml:space="preserve"> and 5</w:t>
      </w:r>
      <w:r w:rsidR="00AA44B3" w:rsidRPr="00CB65CB">
        <w:rPr>
          <w:rFonts w:asciiTheme="majorHAnsi" w:eastAsia="Calibri" w:hAnsiTheme="majorHAnsi" w:cs="Times New Roman"/>
          <w:sz w:val="22"/>
          <w:szCs w:val="22"/>
          <w:lang w:val="en-AU"/>
        </w:rPr>
        <w:t>th</w:t>
      </w:r>
      <w:r w:rsidR="00FD322C">
        <w:rPr>
          <w:rFonts w:asciiTheme="majorHAnsi" w:eastAsia="Calibri" w:hAnsiTheme="majorHAnsi" w:cs="Times New Roman"/>
          <w:sz w:val="22"/>
          <w:szCs w:val="22"/>
          <w:lang w:val="en-AU"/>
        </w:rPr>
        <w:t xml:space="preserve"> meetings of the </w:t>
      </w:r>
      <w:r w:rsidR="003B482A" w:rsidRPr="00C30EC4">
        <w:rPr>
          <w:rFonts w:asciiTheme="majorHAnsi" w:eastAsia="Calibri" w:hAnsiTheme="majorHAnsi" w:cs="Times New Roman"/>
          <w:sz w:val="22"/>
          <w:szCs w:val="22"/>
          <w:lang w:val="en-AU"/>
        </w:rPr>
        <w:t>UN Environment Assembly</w:t>
      </w:r>
      <w:r w:rsidR="002966AA">
        <w:rPr>
          <w:rFonts w:asciiTheme="majorHAnsi" w:eastAsia="Calibri" w:hAnsiTheme="majorHAnsi" w:cs="Times New Roman"/>
          <w:sz w:val="22"/>
          <w:szCs w:val="22"/>
          <w:lang w:val="en-AU"/>
        </w:rPr>
        <w:t xml:space="preserve"> (2019, 2022)</w:t>
      </w:r>
    </w:p>
    <w:p w14:paraId="6154BCDE" w14:textId="6CE1D07B" w:rsidR="00AE1057" w:rsidRDefault="00AE1057" w:rsidP="00D7748F">
      <w:pPr>
        <w:numPr>
          <w:ilvl w:val="0"/>
          <w:numId w:val="11"/>
        </w:numPr>
        <w:ind w:left="1276" w:hanging="425"/>
        <w:contextualSpacing/>
        <w:rPr>
          <w:rFonts w:asciiTheme="majorHAnsi" w:eastAsia="Calibri" w:hAnsiTheme="majorHAnsi" w:cs="Times New Roman"/>
          <w:sz w:val="22"/>
          <w:szCs w:val="22"/>
          <w:lang w:val="en-AU"/>
        </w:rPr>
      </w:pPr>
      <w:r>
        <w:rPr>
          <w:rFonts w:asciiTheme="majorHAnsi" w:eastAsia="Calibri" w:hAnsiTheme="majorHAnsi" w:cs="Times New Roman"/>
          <w:sz w:val="22"/>
          <w:szCs w:val="22"/>
          <w:lang w:val="en-AU"/>
        </w:rPr>
        <w:t>IUCN Wo</w:t>
      </w:r>
      <w:r w:rsidR="001C2CAC">
        <w:rPr>
          <w:rFonts w:asciiTheme="majorHAnsi" w:eastAsia="Calibri" w:hAnsiTheme="majorHAnsi" w:cs="Times New Roman"/>
          <w:sz w:val="22"/>
          <w:szCs w:val="22"/>
          <w:lang w:val="en-AU"/>
        </w:rPr>
        <w:t>rld Conservation Congress (2021)</w:t>
      </w:r>
    </w:p>
    <w:p w14:paraId="073C03FB" w14:textId="77777777" w:rsidR="00624D6A" w:rsidRDefault="00624D6A" w:rsidP="00D7748F">
      <w:pPr>
        <w:numPr>
          <w:ilvl w:val="0"/>
          <w:numId w:val="11"/>
        </w:numPr>
        <w:ind w:left="1276" w:hanging="425"/>
        <w:contextualSpacing/>
        <w:rPr>
          <w:rFonts w:asciiTheme="majorHAnsi" w:eastAsia="Calibri" w:hAnsiTheme="majorHAnsi" w:cs="Times New Roman"/>
          <w:sz w:val="22"/>
          <w:szCs w:val="22"/>
          <w:lang w:val="en-AU"/>
        </w:rPr>
      </w:pPr>
      <w:r>
        <w:rPr>
          <w:rFonts w:asciiTheme="majorHAnsi" w:eastAsia="Calibri" w:hAnsiTheme="majorHAnsi" w:cs="Times New Roman"/>
          <w:sz w:val="22"/>
          <w:szCs w:val="22"/>
          <w:lang w:val="en-AU"/>
        </w:rPr>
        <w:t>The 15th</w:t>
      </w:r>
      <w:r w:rsidRPr="00D7748F">
        <w:rPr>
          <w:rFonts w:asciiTheme="majorHAnsi" w:eastAsia="Calibri" w:hAnsiTheme="majorHAnsi" w:cs="Times New Roman"/>
          <w:sz w:val="22"/>
          <w:szCs w:val="22"/>
          <w:lang w:val="en-AU"/>
        </w:rPr>
        <w:t xml:space="preserve"> </w:t>
      </w:r>
      <w:r>
        <w:rPr>
          <w:rFonts w:asciiTheme="majorHAnsi" w:eastAsia="Calibri" w:hAnsiTheme="majorHAnsi" w:cs="Times New Roman"/>
          <w:sz w:val="22"/>
          <w:szCs w:val="22"/>
          <w:lang w:val="en-AU"/>
        </w:rPr>
        <w:t>meeting of the Conference of the Parties to the CBD (Part 1);</w:t>
      </w:r>
    </w:p>
    <w:p w14:paraId="02E99059" w14:textId="26BD437C" w:rsidR="00BD68C4" w:rsidRDefault="00126734" w:rsidP="00D7748F">
      <w:pPr>
        <w:numPr>
          <w:ilvl w:val="0"/>
          <w:numId w:val="11"/>
        </w:numPr>
        <w:ind w:left="1276" w:hanging="425"/>
        <w:contextualSpacing/>
        <w:rPr>
          <w:rFonts w:asciiTheme="majorHAnsi" w:eastAsia="Calibri" w:hAnsiTheme="majorHAnsi" w:cs="Times New Roman"/>
          <w:sz w:val="22"/>
          <w:szCs w:val="22"/>
          <w:lang w:val="en-AU"/>
        </w:rPr>
      </w:pPr>
      <w:r w:rsidRPr="00C30EC4">
        <w:rPr>
          <w:rFonts w:asciiTheme="majorHAnsi" w:eastAsia="Calibri" w:hAnsiTheme="majorHAnsi" w:cs="Times New Roman"/>
          <w:sz w:val="22"/>
          <w:szCs w:val="22"/>
          <w:lang w:val="en-AU"/>
        </w:rPr>
        <w:t>Open-ended Working Group</w:t>
      </w:r>
      <w:r w:rsidR="00E97044" w:rsidRPr="00C30EC4">
        <w:rPr>
          <w:rFonts w:asciiTheme="majorHAnsi" w:eastAsia="Calibri" w:hAnsiTheme="majorHAnsi" w:cs="Times New Roman"/>
          <w:sz w:val="22"/>
          <w:szCs w:val="22"/>
          <w:lang w:val="en-AU"/>
        </w:rPr>
        <w:t>s</w:t>
      </w:r>
      <w:r w:rsidRPr="00C30EC4">
        <w:rPr>
          <w:rFonts w:asciiTheme="majorHAnsi" w:eastAsia="Calibri" w:hAnsiTheme="majorHAnsi" w:cs="Times New Roman"/>
          <w:sz w:val="22"/>
          <w:szCs w:val="22"/>
          <w:lang w:val="en-AU"/>
        </w:rPr>
        <w:t xml:space="preserve"> on the Post-2020 Global Biodiversity Framework and meetings of the Subsidiary Body on Scientific, Technical and Technological Advice and </w:t>
      </w:r>
      <w:r w:rsidR="00B71144" w:rsidRPr="00C30EC4">
        <w:rPr>
          <w:rFonts w:asciiTheme="majorHAnsi" w:eastAsia="Calibri" w:hAnsiTheme="majorHAnsi" w:cs="Times New Roman"/>
          <w:sz w:val="22"/>
          <w:szCs w:val="22"/>
          <w:lang w:val="en-AU"/>
        </w:rPr>
        <w:t>S</w:t>
      </w:r>
      <w:r w:rsidR="00B71144">
        <w:rPr>
          <w:rFonts w:asciiTheme="majorHAnsi" w:eastAsia="Calibri" w:hAnsiTheme="majorHAnsi" w:cs="Times New Roman"/>
          <w:sz w:val="22"/>
          <w:szCs w:val="22"/>
          <w:lang w:val="en-AU"/>
        </w:rPr>
        <w:t xml:space="preserve">ubsidiary </w:t>
      </w:r>
      <w:r w:rsidRPr="00C30EC4">
        <w:rPr>
          <w:rFonts w:asciiTheme="majorHAnsi" w:eastAsia="Calibri" w:hAnsiTheme="majorHAnsi" w:cs="Times New Roman"/>
          <w:sz w:val="22"/>
          <w:szCs w:val="22"/>
          <w:lang w:val="en-AU"/>
        </w:rPr>
        <w:t>B</w:t>
      </w:r>
      <w:r w:rsidR="00B71144">
        <w:rPr>
          <w:rFonts w:asciiTheme="majorHAnsi" w:eastAsia="Calibri" w:hAnsiTheme="majorHAnsi" w:cs="Times New Roman"/>
          <w:sz w:val="22"/>
          <w:szCs w:val="22"/>
          <w:lang w:val="en-AU"/>
        </w:rPr>
        <w:t xml:space="preserve">ody on </w:t>
      </w:r>
      <w:r w:rsidRPr="00C30EC4">
        <w:rPr>
          <w:rFonts w:asciiTheme="majorHAnsi" w:eastAsia="Calibri" w:hAnsiTheme="majorHAnsi" w:cs="Times New Roman"/>
          <w:sz w:val="22"/>
          <w:szCs w:val="22"/>
          <w:lang w:val="en-AU"/>
        </w:rPr>
        <w:t>I</w:t>
      </w:r>
      <w:r w:rsidR="00B71144">
        <w:rPr>
          <w:rFonts w:asciiTheme="majorHAnsi" w:eastAsia="Calibri" w:hAnsiTheme="majorHAnsi" w:cs="Times New Roman"/>
          <w:sz w:val="22"/>
          <w:szCs w:val="22"/>
          <w:lang w:val="en-AU"/>
        </w:rPr>
        <w:t>mplementation</w:t>
      </w:r>
      <w:r w:rsidRPr="00C30EC4">
        <w:rPr>
          <w:rFonts w:asciiTheme="majorHAnsi" w:eastAsia="Calibri" w:hAnsiTheme="majorHAnsi" w:cs="Times New Roman"/>
          <w:sz w:val="22"/>
          <w:szCs w:val="22"/>
          <w:lang w:val="en-AU"/>
        </w:rPr>
        <w:t xml:space="preserve"> </w:t>
      </w:r>
      <w:r w:rsidR="008F681A">
        <w:rPr>
          <w:rFonts w:asciiTheme="majorHAnsi" w:eastAsia="Calibri" w:hAnsiTheme="majorHAnsi" w:cs="Times New Roman"/>
          <w:sz w:val="22"/>
          <w:szCs w:val="22"/>
          <w:lang w:val="en-AU"/>
        </w:rPr>
        <w:t>(</w:t>
      </w:r>
      <w:r w:rsidR="00BC6778">
        <w:rPr>
          <w:rFonts w:asciiTheme="majorHAnsi" w:eastAsia="Calibri" w:hAnsiTheme="majorHAnsi" w:cs="Times New Roman"/>
          <w:sz w:val="22"/>
          <w:szCs w:val="22"/>
          <w:lang w:val="en-AU"/>
        </w:rPr>
        <w:t>2019-</w:t>
      </w:r>
      <w:r w:rsidRPr="00C30EC4">
        <w:rPr>
          <w:rFonts w:asciiTheme="majorHAnsi" w:eastAsia="Calibri" w:hAnsiTheme="majorHAnsi" w:cs="Times New Roman"/>
          <w:sz w:val="22"/>
          <w:szCs w:val="22"/>
          <w:lang w:val="en-AU"/>
        </w:rPr>
        <w:t>2022</w:t>
      </w:r>
      <w:r w:rsidR="008F681A">
        <w:rPr>
          <w:rFonts w:asciiTheme="majorHAnsi" w:eastAsia="Calibri" w:hAnsiTheme="majorHAnsi" w:cs="Times New Roman"/>
          <w:sz w:val="22"/>
          <w:szCs w:val="22"/>
          <w:lang w:val="en-AU"/>
        </w:rPr>
        <w:t>)</w:t>
      </w:r>
    </w:p>
    <w:p w14:paraId="26D74354" w14:textId="3271B6F5" w:rsidR="00CB65CB" w:rsidRPr="00C30EC4" w:rsidRDefault="00A45C3E" w:rsidP="00D7748F">
      <w:pPr>
        <w:numPr>
          <w:ilvl w:val="0"/>
          <w:numId w:val="11"/>
        </w:numPr>
        <w:ind w:left="1276" w:hanging="425"/>
        <w:contextualSpacing/>
        <w:rPr>
          <w:rFonts w:asciiTheme="majorHAnsi" w:eastAsia="Calibri" w:hAnsiTheme="majorHAnsi" w:cs="Times New Roman"/>
          <w:sz w:val="22"/>
          <w:szCs w:val="22"/>
          <w:lang w:val="en-AU"/>
        </w:rPr>
      </w:pPr>
      <w:r>
        <w:rPr>
          <w:rFonts w:asciiTheme="majorHAnsi" w:eastAsia="Calibri" w:hAnsiTheme="majorHAnsi" w:cs="Times New Roman"/>
          <w:sz w:val="22"/>
          <w:szCs w:val="22"/>
          <w:lang w:val="en-AU"/>
        </w:rPr>
        <w:t xml:space="preserve">The </w:t>
      </w:r>
      <w:r w:rsidR="00BD68C4">
        <w:rPr>
          <w:rFonts w:asciiTheme="majorHAnsi" w:eastAsia="Calibri" w:hAnsiTheme="majorHAnsi" w:cs="Times New Roman"/>
          <w:sz w:val="22"/>
          <w:szCs w:val="22"/>
          <w:lang w:val="en-AU"/>
        </w:rPr>
        <w:t xml:space="preserve">UN </w:t>
      </w:r>
      <w:r w:rsidR="00A47C0D" w:rsidRPr="00C30EC4">
        <w:rPr>
          <w:rFonts w:asciiTheme="majorHAnsi" w:eastAsia="Calibri" w:hAnsiTheme="majorHAnsi" w:cs="Times New Roman"/>
          <w:sz w:val="22"/>
          <w:szCs w:val="22"/>
          <w:lang w:val="en-AU"/>
        </w:rPr>
        <w:t>Oceans Conference (June 2022)</w:t>
      </w:r>
      <w:r w:rsidR="003C0B23">
        <w:rPr>
          <w:rFonts w:asciiTheme="majorHAnsi" w:eastAsia="Calibri" w:hAnsiTheme="majorHAnsi" w:cs="Times New Roman"/>
          <w:sz w:val="22"/>
          <w:szCs w:val="22"/>
          <w:lang w:val="en-AU"/>
        </w:rPr>
        <w:t>.</w:t>
      </w:r>
    </w:p>
    <w:p w14:paraId="5E6EB74B" w14:textId="77777777" w:rsidR="00BB13FC" w:rsidRPr="00011870" w:rsidRDefault="00BB13FC" w:rsidP="00011870">
      <w:pPr>
        <w:rPr>
          <w:rFonts w:asciiTheme="majorHAnsi" w:eastAsiaTheme="majorEastAsia" w:hAnsiTheme="majorHAnsi" w:cstheme="majorBidi"/>
          <w:bCs/>
          <w:iCs/>
          <w:sz w:val="22"/>
          <w:szCs w:val="22"/>
          <w:lang w:val="en-AU"/>
        </w:rPr>
      </w:pPr>
    </w:p>
    <w:p w14:paraId="68670809" w14:textId="17D22B75" w:rsidR="00C64326" w:rsidRPr="00C64326" w:rsidRDefault="00C64326" w:rsidP="00D7748F">
      <w:pPr>
        <w:numPr>
          <w:ilvl w:val="0"/>
          <w:numId w:val="1"/>
        </w:numPr>
        <w:ind w:left="851" w:hanging="426"/>
        <w:contextualSpacing/>
        <w:rPr>
          <w:rFonts w:asciiTheme="majorHAnsi" w:eastAsia="Calibri" w:hAnsiTheme="majorHAnsi" w:cs="Times New Roman"/>
          <w:sz w:val="22"/>
          <w:szCs w:val="22"/>
          <w:lang w:val="en-AU"/>
        </w:rPr>
      </w:pPr>
      <w:bookmarkStart w:id="0" w:name="_Hlk111457907"/>
      <w:r w:rsidRPr="00C64326">
        <w:rPr>
          <w:rFonts w:asciiTheme="majorHAnsi" w:eastAsia="Calibri" w:hAnsiTheme="majorHAnsi" w:cs="Times New Roman"/>
          <w:sz w:val="22"/>
          <w:szCs w:val="22"/>
          <w:lang w:val="en-AU"/>
        </w:rPr>
        <w:t xml:space="preserve">The visibility of the Convention is raised thanks to InforMEA, the United Nations Information Portal on Multilateral Environmental Agreements. The portal currently includes 17 MEAs from 12 Secretariats. It is open to observers involved in MEA information and data management. The InforMEA Portal presents Convention </w:t>
      </w:r>
      <w:r w:rsidR="00081929">
        <w:rPr>
          <w:rFonts w:asciiTheme="majorHAnsi" w:eastAsia="Calibri" w:hAnsiTheme="majorHAnsi" w:cs="Times New Roman"/>
          <w:sz w:val="22"/>
          <w:szCs w:val="22"/>
          <w:lang w:val="en-AU"/>
        </w:rPr>
        <w:t xml:space="preserve">on Wetlands </w:t>
      </w:r>
      <w:r w:rsidRPr="00C64326">
        <w:rPr>
          <w:rFonts w:asciiTheme="majorHAnsi" w:eastAsia="Calibri" w:hAnsiTheme="majorHAnsi" w:cs="Times New Roman"/>
          <w:sz w:val="22"/>
          <w:szCs w:val="22"/>
          <w:lang w:val="en-AU"/>
        </w:rPr>
        <w:t xml:space="preserve">COP decisions and </w:t>
      </w:r>
      <w:r w:rsidR="00A45C3E">
        <w:rPr>
          <w:rFonts w:asciiTheme="majorHAnsi" w:eastAsia="Calibri" w:hAnsiTheme="majorHAnsi" w:cs="Times New Roman"/>
          <w:sz w:val="22"/>
          <w:szCs w:val="22"/>
          <w:lang w:val="en-AU"/>
        </w:rPr>
        <w:t>R</w:t>
      </w:r>
      <w:r w:rsidRPr="00C64326">
        <w:rPr>
          <w:rFonts w:asciiTheme="majorHAnsi" w:eastAsia="Calibri" w:hAnsiTheme="majorHAnsi" w:cs="Times New Roman"/>
          <w:sz w:val="22"/>
          <w:szCs w:val="22"/>
          <w:lang w:val="en-AU"/>
        </w:rPr>
        <w:t xml:space="preserve">esolutions, country membership, national focal points, national reports and Ramsar Sites (see </w:t>
      </w:r>
      <w:hyperlink r:id="rId13" w:history="1">
        <w:r w:rsidR="00011870" w:rsidRPr="00C3306F">
          <w:rPr>
            <w:rStyle w:val="Hyperlink"/>
            <w:rFonts w:asciiTheme="majorHAnsi" w:eastAsia="Calibri" w:hAnsiTheme="majorHAnsi" w:cs="Times New Roman"/>
            <w:sz w:val="22"/>
            <w:szCs w:val="22"/>
            <w:lang w:val="en-AU"/>
          </w:rPr>
          <w:t>www.informea.org/en/treaties/ramsar</w:t>
        </w:r>
      </w:hyperlink>
      <w:r w:rsidRPr="00C64326">
        <w:rPr>
          <w:rFonts w:asciiTheme="majorHAnsi" w:eastAsia="Calibri" w:hAnsiTheme="majorHAnsi" w:cs="Times New Roman"/>
          <w:sz w:val="22"/>
          <w:szCs w:val="22"/>
          <w:lang w:val="en-AU"/>
        </w:rPr>
        <w:t xml:space="preserve">). The InforMEA learning platform includes a popular introductory course on </w:t>
      </w:r>
      <w:r w:rsidR="00081929">
        <w:rPr>
          <w:rFonts w:asciiTheme="majorHAnsi" w:eastAsia="Calibri" w:hAnsiTheme="majorHAnsi" w:cs="Times New Roman"/>
          <w:sz w:val="22"/>
          <w:szCs w:val="22"/>
          <w:lang w:val="en-AU"/>
        </w:rPr>
        <w:t>the Convention</w:t>
      </w:r>
      <w:r w:rsidR="00D26AFC">
        <w:rPr>
          <w:rFonts w:asciiTheme="majorHAnsi" w:eastAsia="Calibri" w:hAnsiTheme="majorHAnsi" w:cs="Times New Roman"/>
          <w:sz w:val="22"/>
          <w:szCs w:val="22"/>
          <w:lang w:val="en-AU"/>
        </w:rPr>
        <w:t xml:space="preserve"> </w:t>
      </w:r>
      <w:r w:rsidR="004D7005">
        <w:rPr>
          <w:rFonts w:asciiTheme="majorHAnsi" w:eastAsia="Calibri" w:hAnsiTheme="majorHAnsi" w:cs="Times New Roman"/>
          <w:sz w:val="22"/>
          <w:szCs w:val="22"/>
          <w:lang w:val="en-AU"/>
        </w:rPr>
        <w:t>in which 1,773 people enrolled, with 1,001 receiving certificates of completion d</w:t>
      </w:r>
      <w:r w:rsidR="00D26AFC">
        <w:rPr>
          <w:rFonts w:asciiTheme="majorHAnsi" w:eastAsia="Calibri" w:hAnsiTheme="majorHAnsi" w:cs="Times New Roman"/>
          <w:sz w:val="22"/>
          <w:szCs w:val="22"/>
          <w:lang w:val="en-AU"/>
        </w:rPr>
        <w:t>uring the reporting period</w:t>
      </w:r>
      <w:r w:rsidRPr="4FDB7465">
        <w:rPr>
          <w:rFonts w:asciiTheme="majorHAnsi" w:eastAsia="Calibri" w:hAnsiTheme="majorHAnsi" w:cstheme="majorBidi"/>
          <w:sz w:val="22"/>
          <w:szCs w:val="22"/>
          <w:lang w:val="en-AU"/>
        </w:rPr>
        <w:t xml:space="preserve">. </w:t>
      </w:r>
      <w:r w:rsidR="002B7332" w:rsidRPr="4FDB7465">
        <w:rPr>
          <w:rFonts w:asciiTheme="majorHAnsi" w:eastAsia="Times New Roman" w:hAnsiTheme="majorHAnsi" w:cstheme="majorBidi"/>
          <w:sz w:val="22"/>
          <w:szCs w:val="22"/>
        </w:rPr>
        <w:t xml:space="preserve">The Secretariat is in the process of updating and expanding course content, with a new introductory course on the Convention to be made available on the platform as well as on the Convention on Wetlands website in the last quarter </w:t>
      </w:r>
      <w:r w:rsidR="00A45C3E">
        <w:rPr>
          <w:rFonts w:asciiTheme="majorHAnsi" w:eastAsia="Times New Roman" w:hAnsiTheme="majorHAnsi" w:cstheme="majorBidi"/>
          <w:sz w:val="22"/>
          <w:szCs w:val="22"/>
        </w:rPr>
        <w:t xml:space="preserve">of </w:t>
      </w:r>
      <w:r w:rsidR="002B7332" w:rsidRPr="4FDB7465">
        <w:rPr>
          <w:rFonts w:asciiTheme="majorHAnsi" w:eastAsia="Times New Roman" w:hAnsiTheme="majorHAnsi" w:cstheme="majorBidi"/>
          <w:sz w:val="22"/>
          <w:szCs w:val="22"/>
        </w:rPr>
        <w:t>2022.</w:t>
      </w:r>
    </w:p>
    <w:bookmarkEnd w:id="0"/>
    <w:p w14:paraId="1BD34DAB" w14:textId="77777777" w:rsidR="00EB0248" w:rsidRDefault="00EB0248" w:rsidP="00A4794E">
      <w:pPr>
        <w:contextualSpacing/>
        <w:rPr>
          <w:rFonts w:asciiTheme="majorHAnsi" w:eastAsia="Calibri" w:hAnsiTheme="majorHAnsi" w:cs="Times New Roman"/>
          <w:sz w:val="22"/>
          <w:szCs w:val="22"/>
          <w:lang w:val="en-AU"/>
        </w:rPr>
      </w:pPr>
    </w:p>
    <w:p w14:paraId="64C7EF59" w14:textId="446A9FAE" w:rsidR="00C64326" w:rsidRDefault="00C64326" w:rsidP="00D7748F">
      <w:pPr>
        <w:ind w:left="426"/>
        <w:rPr>
          <w:rFonts w:asciiTheme="majorHAnsi" w:eastAsia="Calibri" w:hAnsiTheme="majorHAnsi" w:cs="Times New Roman"/>
          <w:i/>
          <w:sz w:val="22"/>
          <w:szCs w:val="22"/>
          <w:lang w:val="en-AU"/>
        </w:rPr>
      </w:pPr>
      <w:r w:rsidRPr="00C64326">
        <w:rPr>
          <w:rFonts w:asciiTheme="majorHAnsi" w:eastAsia="Calibri" w:hAnsiTheme="majorHAnsi" w:cs="Times New Roman"/>
          <w:i/>
          <w:sz w:val="22"/>
          <w:szCs w:val="22"/>
          <w:lang w:val="en-AU"/>
        </w:rPr>
        <w:t>Goal 2 – Integration of CEPA into Convention activities</w:t>
      </w:r>
    </w:p>
    <w:p w14:paraId="497CA449" w14:textId="77777777" w:rsidR="00A4794E" w:rsidRPr="00A4794E" w:rsidRDefault="00A4794E" w:rsidP="00A4794E">
      <w:pPr>
        <w:rPr>
          <w:rFonts w:asciiTheme="majorHAnsi" w:eastAsia="Calibri" w:hAnsiTheme="majorHAnsi" w:cs="Times New Roman"/>
          <w:sz w:val="22"/>
          <w:szCs w:val="22"/>
          <w:lang w:val="en-AU"/>
        </w:rPr>
      </w:pPr>
    </w:p>
    <w:p w14:paraId="679213BF" w14:textId="7BF0A183" w:rsidR="00A4794E" w:rsidRPr="00A4794E" w:rsidRDefault="00C64326" w:rsidP="00D7748F">
      <w:pPr>
        <w:numPr>
          <w:ilvl w:val="0"/>
          <w:numId w:val="3"/>
        </w:numPr>
        <w:ind w:left="851" w:hanging="426"/>
        <w:contextualSpacing/>
        <w:rPr>
          <w:rFonts w:asciiTheme="majorHAnsi" w:eastAsia="Calibri" w:hAnsiTheme="majorHAnsi" w:cs="Times New Roman"/>
          <w:sz w:val="22"/>
          <w:szCs w:val="22"/>
          <w:lang w:val="en-AU"/>
        </w:rPr>
      </w:pPr>
      <w:r w:rsidRPr="00C64326">
        <w:rPr>
          <w:rFonts w:asciiTheme="majorHAnsi" w:eastAsia="Calibri" w:hAnsiTheme="majorHAnsi" w:cs="Times New Roman"/>
          <w:sz w:val="22"/>
          <w:szCs w:val="22"/>
          <w:lang w:val="en-AU"/>
        </w:rPr>
        <w:t>CEPA is an integral part of implementation</w:t>
      </w:r>
      <w:r w:rsidR="00151BE9">
        <w:rPr>
          <w:rFonts w:asciiTheme="majorHAnsi" w:eastAsia="Calibri" w:hAnsiTheme="majorHAnsi" w:cs="Times New Roman"/>
          <w:sz w:val="22"/>
          <w:szCs w:val="22"/>
          <w:lang w:val="en-AU"/>
        </w:rPr>
        <w:t xml:space="preserve"> of the Convention</w:t>
      </w:r>
      <w:r w:rsidRPr="00C64326">
        <w:rPr>
          <w:rFonts w:asciiTheme="majorHAnsi" w:eastAsia="Calibri" w:hAnsiTheme="majorHAnsi" w:cs="Times New Roman"/>
          <w:sz w:val="22"/>
          <w:szCs w:val="22"/>
          <w:lang w:val="en-AU"/>
        </w:rPr>
        <w:t>, playing a key role in promoting the values of wetlands, in engaging wetland managers and the broader community in wetland conservation and wise use, in building capacity to understand and manage wetlands and address emerging issues, and in reporting locally and globally on progress.</w:t>
      </w:r>
    </w:p>
    <w:p w14:paraId="086B90AD" w14:textId="77777777" w:rsidR="00A4794E" w:rsidRDefault="00A4794E" w:rsidP="00310344">
      <w:pPr>
        <w:contextualSpacing/>
        <w:rPr>
          <w:rFonts w:asciiTheme="majorHAnsi" w:eastAsia="Calibri" w:hAnsiTheme="majorHAnsi" w:cs="Times New Roman"/>
          <w:sz w:val="22"/>
          <w:szCs w:val="22"/>
          <w:lang w:val="en-AU"/>
        </w:rPr>
      </w:pPr>
    </w:p>
    <w:p w14:paraId="67B69787" w14:textId="0C70F76F" w:rsidR="00C64326" w:rsidRPr="00C64326" w:rsidRDefault="00C64326" w:rsidP="00D7748F">
      <w:pPr>
        <w:numPr>
          <w:ilvl w:val="0"/>
          <w:numId w:val="3"/>
        </w:numPr>
        <w:ind w:left="851" w:hanging="426"/>
        <w:contextualSpacing/>
        <w:rPr>
          <w:rFonts w:asciiTheme="majorHAnsi" w:eastAsia="Calibri" w:hAnsiTheme="majorHAnsi" w:cs="Times New Roman"/>
          <w:sz w:val="22"/>
          <w:szCs w:val="22"/>
          <w:lang w:val="en-AU"/>
        </w:rPr>
      </w:pPr>
      <w:r w:rsidRPr="00C64326">
        <w:rPr>
          <w:rFonts w:asciiTheme="majorHAnsi" w:eastAsia="Calibri" w:hAnsiTheme="majorHAnsi" w:cs="Times New Roman"/>
          <w:sz w:val="22"/>
          <w:szCs w:val="22"/>
          <w:lang w:val="en-AU"/>
        </w:rPr>
        <w:t xml:space="preserve">The </w:t>
      </w:r>
      <w:r w:rsidR="00151BE9">
        <w:rPr>
          <w:rFonts w:asciiTheme="majorHAnsi" w:eastAsia="Calibri" w:hAnsiTheme="majorHAnsi" w:cs="Times New Roman"/>
          <w:sz w:val="22"/>
          <w:szCs w:val="22"/>
          <w:lang w:val="en-AU"/>
        </w:rPr>
        <w:t xml:space="preserve">Convention </w:t>
      </w:r>
      <w:r w:rsidRPr="00C64326">
        <w:rPr>
          <w:rFonts w:asciiTheme="majorHAnsi" w:eastAsia="Calibri" w:hAnsiTheme="majorHAnsi" w:cs="Times New Roman"/>
          <w:sz w:val="22"/>
          <w:szCs w:val="22"/>
          <w:lang w:val="en-AU"/>
        </w:rPr>
        <w:t xml:space="preserve">website is an important element of </w:t>
      </w:r>
      <w:r w:rsidR="00151BE9">
        <w:rPr>
          <w:rFonts w:asciiTheme="majorHAnsi" w:eastAsia="Calibri" w:hAnsiTheme="majorHAnsi" w:cs="Times New Roman"/>
          <w:sz w:val="22"/>
          <w:szCs w:val="22"/>
          <w:lang w:val="en-AU"/>
        </w:rPr>
        <w:t>Convention</w:t>
      </w:r>
      <w:r w:rsidRPr="00C64326">
        <w:rPr>
          <w:rFonts w:asciiTheme="majorHAnsi" w:eastAsia="Calibri" w:hAnsiTheme="majorHAnsi" w:cs="Times New Roman"/>
          <w:sz w:val="22"/>
          <w:szCs w:val="22"/>
          <w:lang w:val="en-AU"/>
        </w:rPr>
        <w:t xml:space="preserve"> implementation, including </w:t>
      </w:r>
      <w:r w:rsidR="00151BE9">
        <w:rPr>
          <w:rFonts w:asciiTheme="majorHAnsi" w:eastAsia="Calibri" w:hAnsiTheme="majorHAnsi" w:cs="Times New Roman"/>
          <w:sz w:val="22"/>
          <w:szCs w:val="22"/>
          <w:lang w:val="en-AU"/>
        </w:rPr>
        <w:t>making publicly available the</w:t>
      </w:r>
      <w:r w:rsidRPr="00C64326">
        <w:rPr>
          <w:rFonts w:asciiTheme="majorHAnsi" w:eastAsia="Calibri" w:hAnsiTheme="majorHAnsi" w:cs="Times New Roman"/>
          <w:sz w:val="22"/>
          <w:szCs w:val="22"/>
          <w:lang w:val="en-AU"/>
        </w:rPr>
        <w:t xml:space="preserve"> decisions and information from Convention meetings, holding data on Ramsar sites (in the Ramsar Site Information Service), disseminating scientific and technical material and promoting Ramsar sites and wetland news stories. </w:t>
      </w:r>
      <w:r w:rsidR="008A2B06">
        <w:rPr>
          <w:rFonts w:asciiTheme="majorHAnsi" w:eastAsia="Calibri" w:hAnsiTheme="majorHAnsi" w:cs="Times New Roman"/>
          <w:sz w:val="22"/>
          <w:szCs w:val="22"/>
          <w:lang w:val="en-AU"/>
        </w:rPr>
        <w:t xml:space="preserve">Visitors to the Convention website totalled </w:t>
      </w:r>
      <w:r w:rsidR="00BF734F">
        <w:rPr>
          <w:rFonts w:asciiTheme="majorHAnsi" w:eastAsia="Calibri" w:hAnsiTheme="majorHAnsi" w:cs="Times New Roman"/>
          <w:sz w:val="22"/>
          <w:szCs w:val="22"/>
          <w:lang w:val="en-AU"/>
        </w:rPr>
        <w:t>1.2 million</w:t>
      </w:r>
      <w:r w:rsidR="001C5F25">
        <w:rPr>
          <w:rFonts w:asciiTheme="majorHAnsi" w:eastAsia="Calibri" w:hAnsiTheme="majorHAnsi" w:cs="Times New Roman"/>
          <w:sz w:val="22"/>
          <w:szCs w:val="22"/>
          <w:lang w:val="en-AU"/>
        </w:rPr>
        <w:t xml:space="preserve"> </w:t>
      </w:r>
      <w:r w:rsidR="00BF734F">
        <w:rPr>
          <w:rFonts w:asciiTheme="majorHAnsi" w:eastAsia="Calibri" w:hAnsiTheme="majorHAnsi" w:cs="Times New Roman"/>
          <w:sz w:val="22"/>
          <w:szCs w:val="22"/>
          <w:lang w:val="en-AU"/>
        </w:rPr>
        <w:t xml:space="preserve">over the </w:t>
      </w:r>
      <w:r w:rsidR="00A62274">
        <w:rPr>
          <w:rFonts w:asciiTheme="majorHAnsi" w:eastAsia="Calibri" w:hAnsiTheme="majorHAnsi" w:cs="Times New Roman"/>
          <w:sz w:val="22"/>
          <w:szCs w:val="22"/>
          <w:lang w:val="en-AU"/>
        </w:rPr>
        <w:t>reporting period</w:t>
      </w:r>
      <w:r w:rsidR="001C5F25">
        <w:rPr>
          <w:rFonts w:asciiTheme="majorHAnsi" w:eastAsia="Calibri" w:hAnsiTheme="majorHAnsi" w:cs="Times New Roman"/>
          <w:sz w:val="22"/>
          <w:szCs w:val="22"/>
          <w:lang w:val="en-AU"/>
        </w:rPr>
        <w:t>.</w:t>
      </w:r>
    </w:p>
    <w:p w14:paraId="0FC07344" w14:textId="77777777" w:rsidR="00A4794E" w:rsidRDefault="00A4794E" w:rsidP="00D7748F">
      <w:pPr>
        <w:ind w:left="851"/>
        <w:contextualSpacing/>
        <w:rPr>
          <w:rFonts w:asciiTheme="majorHAnsi" w:eastAsia="Calibri" w:hAnsiTheme="majorHAnsi" w:cs="Times New Roman"/>
          <w:sz w:val="22"/>
          <w:szCs w:val="22"/>
          <w:lang w:val="en-AU"/>
        </w:rPr>
      </w:pPr>
    </w:p>
    <w:p w14:paraId="62E00FA6" w14:textId="48132FD1" w:rsidR="00C64326" w:rsidRDefault="00C64326" w:rsidP="00D7748F">
      <w:pPr>
        <w:numPr>
          <w:ilvl w:val="0"/>
          <w:numId w:val="3"/>
        </w:numPr>
        <w:ind w:left="851" w:hanging="426"/>
        <w:contextualSpacing/>
        <w:rPr>
          <w:rFonts w:asciiTheme="majorHAnsi" w:eastAsia="Calibri" w:hAnsiTheme="majorHAnsi" w:cs="Times New Roman"/>
          <w:sz w:val="22"/>
          <w:szCs w:val="22"/>
          <w:lang w:val="en-AU"/>
        </w:rPr>
      </w:pPr>
      <w:r w:rsidRPr="00C64326">
        <w:rPr>
          <w:rFonts w:asciiTheme="majorHAnsi" w:eastAsia="Calibri" w:hAnsiTheme="majorHAnsi" w:cs="Times New Roman"/>
          <w:sz w:val="22"/>
          <w:szCs w:val="22"/>
          <w:lang w:val="en-AU"/>
        </w:rPr>
        <w:t xml:space="preserve">The </w:t>
      </w:r>
      <w:r w:rsidR="00E77E59">
        <w:rPr>
          <w:rFonts w:asciiTheme="majorHAnsi" w:eastAsia="Calibri" w:hAnsiTheme="majorHAnsi" w:cs="Times New Roman"/>
          <w:sz w:val="22"/>
          <w:szCs w:val="22"/>
          <w:lang w:val="en-AU"/>
        </w:rPr>
        <w:t>Convention on Wetlands</w:t>
      </w:r>
      <w:r w:rsidRPr="00C64326">
        <w:rPr>
          <w:rFonts w:asciiTheme="majorHAnsi" w:eastAsia="Calibri" w:hAnsiTheme="majorHAnsi" w:cs="Times New Roman"/>
          <w:sz w:val="22"/>
          <w:szCs w:val="22"/>
          <w:lang w:val="en-AU"/>
        </w:rPr>
        <w:t xml:space="preserve"> Newsletter,</w:t>
      </w:r>
      <w:r w:rsidR="00A2177E">
        <w:rPr>
          <w:rFonts w:asciiTheme="majorHAnsi" w:eastAsia="Calibri" w:hAnsiTheme="majorHAnsi" w:cs="Times New Roman"/>
          <w:sz w:val="22"/>
          <w:szCs w:val="22"/>
          <w:lang w:val="en-AU"/>
        </w:rPr>
        <w:t xml:space="preserve"> published biannually</w:t>
      </w:r>
      <w:r w:rsidR="00A4794E">
        <w:rPr>
          <w:rFonts w:asciiTheme="majorHAnsi" w:eastAsia="Calibri" w:hAnsiTheme="majorHAnsi" w:cs="Times New Roman"/>
          <w:sz w:val="22"/>
          <w:szCs w:val="22"/>
          <w:lang w:val="en-AU"/>
        </w:rPr>
        <w:t>, p</w:t>
      </w:r>
      <w:r w:rsidRPr="00C64326">
        <w:rPr>
          <w:rFonts w:asciiTheme="majorHAnsi" w:eastAsia="Calibri" w:hAnsiTheme="majorHAnsi" w:cs="Times New Roman"/>
          <w:sz w:val="22"/>
          <w:szCs w:val="22"/>
          <w:lang w:val="en-AU"/>
        </w:rPr>
        <w:t>rovid</w:t>
      </w:r>
      <w:r w:rsidR="00E77E59">
        <w:rPr>
          <w:rFonts w:asciiTheme="majorHAnsi" w:eastAsia="Calibri" w:hAnsiTheme="majorHAnsi" w:cs="Times New Roman"/>
          <w:sz w:val="22"/>
          <w:szCs w:val="22"/>
          <w:lang w:val="en-AU"/>
        </w:rPr>
        <w:t>es</w:t>
      </w:r>
      <w:r w:rsidRPr="00C64326">
        <w:rPr>
          <w:rFonts w:asciiTheme="majorHAnsi" w:eastAsia="Calibri" w:hAnsiTheme="majorHAnsi" w:cs="Times New Roman"/>
          <w:sz w:val="22"/>
          <w:szCs w:val="22"/>
          <w:lang w:val="en-AU"/>
        </w:rPr>
        <w:t xml:space="preserve"> a regular means of communication between the Secretariat and the Contracting Parties</w:t>
      </w:r>
      <w:r w:rsidR="00E77E59">
        <w:rPr>
          <w:rFonts w:asciiTheme="majorHAnsi" w:eastAsia="Calibri" w:hAnsiTheme="majorHAnsi" w:cs="Times New Roman"/>
          <w:sz w:val="22"/>
          <w:szCs w:val="22"/>
          <w:lang w:val="en-AU"/>
        </w:rPr>
        <w:t>.</w:t>
      </w:r>
    </w:p>
    <w:p w14:paraId="6E0EE232" w14:textId="77777777" w:rsidR="006347EB" w:rsidRDefault="006347EB" w:rsidP="00A4794E">
      <w:pPr>
        <w:contextualSpacing/>
        <w:rPr>
          <w:rFonts w:asciiTheme="majorHAnsi" w:eastAsia="Calibri" w:hAnsiTheme="majorHAnsi" w:cs="Times New Roman"/>
          <w:sz w:val="22"/>
          <w:szCs w:val="22"/>
          <w:lang w:val="en-AU"/>
        </w:rPr>
      </w:pPr>
    </w:p>
    <w:p w14:paraId="48C54BF0" w14:textId="64D107BB" w:rsidR="00C64326" w:rsidRDefault="00C64326" w:rsidP="00D7748F">
      <w:pPr>
        <w:ind w:left="426"/>
        <w:rPr>
          <w:rFonts w:asciiTheme="majorHAnsi" w:eastAsia="Calibri" w:hAnsiTheme="majorHAnsi" w:cs="Times New Roman"/>
          <w:i/>
          <w:sz w:val="22"/>
          <w:szCs w:val="22"/>
          <w:lang w:val="en-AU"/>
        </w:rPr>
      </w:pPr>
      <w:r w:rsidRPr="00C64326">
        <w:rPr>
          <w:rFonts w:asciiTheme="majorHAnsi" w:eastAsia="Calibri" w:hAnsiTheme="majorHAnsi" w:cs="Times New Roman"/>
          <w:i/>
          <w:sz w:val="22"/>
          <w:szCs w:val="22"/>
          <w:lang w:val="en-AU"/>
        </w:rPr>
        <w:t>Goal 3 – Support on wise use for Ramsar site and other wetland managers</w:t>
      </w:r>
      <w:r w:rsidRPr="00C64326">
        <w:rPr>
          <w:rFonts w:asciiTheme="majorHAnsi" w:eastAsia="Calibri" w:hAnsiTheme="majorHAnsi" w:cs="Times New Roman"/>
          <w:i/>
          <w:sz w:val="22"/>
          <w:szCs w:val="22"/>
          <w:lang w:val="en-AU"/>
        </w:rPr>
        <w:br/>
        <w:t>Goal 4 – Capacity-building</w:t>
      </w:r>
    </w:p>
    <w:p w14:paraId="1B954B97" w14:textId="77777777" w:rsidR="00A4794E" w:rsidRPr="00A4794E" w:rsidRDefault="00A4794E" w:rsidP="00A4794E">
      <w:pPr>
        <w:rPr>
          <w:rFonts w:asciiTheme="majorHAnsi" w:eastAsia="Calibri" w:hAnsiTheme="majorHAnsi" w:cs="Times New Roman"/>
          <w:sz w:val="22"/>
          <w:szCs w:val="22"/>
          <w:lang w:val="en-AU"/>
        </w:rPr>
      </w:pPr>
    </w:p>
    <w:p w14:paraId="51BDBD0E" w14:textId="38BD2CA9" w:rsidR="00195649" w:rsidRDefault="00C64326" w:rsidP="00D7748F">
      <w:pPr>
        <w:numPr>
          <w:ilvl w:val="0"/>
          <w:numId w:val="2"/>
        </w:numPr>
        <w:ind w:left="851" w:hanging="426"/>
        <w:contextualSpacing/>
        <w:rPr>
          <w:rFonts w:asciiTheme="majorHAnsi" w:eastAsia="Calibri" w:hAnsiTheme="majorHAnsi" w:cs="Times New Roman"/>
          <w:sz w:val="22"/>
          <w:szCs w:val="22"/>
          <w:lang w:val="en-AU"/>
        </w:rPr>
      </w:pPr>
      <w:r w:rsidRPr="00C64326">
        <w:rPr>
          <w:rFonts w:asciiTheme="majorHAnsi" w:eastAsia="Calibri" w:hAnsiTheme="majorHAnsi" w:cs="Times New Roman"/>
          <w:sz w:val="22"/>
          <w:szCs w:val="22"/>
          <w:lang w:val="en-AU"/>
        </w:rPr>
        <w:t xml:space="preserve">The Secretariat strengthened its role in providing support to </w:t>
      </w:r>
      <w:r w:rsidR="00195649">
        <w:rPr>
          <w:rFonts w:asciiTheme="majorHAnsi" w:eastAsia="Calibri" w:hAnsiTheme="majorHAnsi" w:cs="Times New Roman"/>
          <w:sz w:val="22"/>
          <w:szCs w:val="22"/>
          <w:lang w:val="en-AU"/>
        </w:rPr>
        <w:t xml:space="preserve">strengthening the </w:t>
      </w:r>
      <w:r w:rsidRPr="00C64326">
        <w:rPr>
          <w:rFonts w:asciiTheme="majorHAnsi" w:eastAsia="Calibri" w:hAnsiTheme="majorHAnsi" w:cs="Times New Roman"/>
          <w:sz w:val="22"/>
          <w:szCs w:val="22"/>
          <w:lang w:val="en-AU"/>
        </w:rPr>
        <w:t xml:space="preserve">capacity </w:t>
      </w:r>
      <w:r w:rsidR="00195649">
        <w:rPr>
          <w:rFonts w:asciiTheme="majorHAnsi" w:eastAsia="Calibri" w:hAnsiTheme="majorHAnsi" w:cs="Times New Roman"/>
          <w:sz w:val="22"/>
          <w:szCs w:val="22"/>
          <w:lang w:val="en-AU"/>
        </w:rPr>
        <w:t>of</w:t>
      </w:r>
      <w:r w:rsidRPr="00C64326">
        <w:rPr>
          <w:rFonts w:asciiTheme="majorHAnsi" w:eastAsia="Calibri" w:hAnsiTheme="majorHAnsi" w:cs="Times New Roman"/>
          <w:sz w:val="22"/>
          <w:szCs w:val="22"/>
          <w:lang w:val="en-AU"/>
        </w:rPr>
        <w:t xml:space="preserve"> individual Contracting Parties through </w:t>
      </w:r>
      <w:r w:rsidR="00195649">
        <w:rPr>
          <w:rFonts w:asciiTheme="majorHAnsi" w:eastAsia="Calibri" w:hAnsiTheme="majorHAnsi" w:cs="Times New Roman"/>
          <w:sz w:val="22"/>
          <w:szCs w:val="22"/>
          <w:lang w:val="en-AU"/>
        </w:rPr>
        <w:t xml:space="preserve">the provision of </w:t>
      </w:r>
      <w:r w:rsidRPr="00C64326">
        <w:rPr>
          <w:rFonts w:asciiTheme="majorHAnsi" w:eastAsia="Calibri" w:hAnsiTheme="majorHAnsi" w:cs="Times New Roman"/>
          <w:sz w:val="22"/>
          <w:szCs w:val="22"/>
          <w:lang w:val="en-AU"/>
        </w:rPr>
        <w:t>a variety of materials</w:t>
      </w:r>
      <w:r w:rsidR="00195649">
        <w:rPr>
          <w:rFonts w:asciiTheme="majorHAnsi" w:eastAsia="Calibri" w:hAnsiTheme="majorHAnsi" w:cs="Times New Roman"/>
          <w:sz w:val="22"/>
          <w:szCs w:val="22"/>
          <w:lang w:val="en-AU"/>
        </w:rPr>
        <w:t xml:space="preserve">, </w:t>
      </w:r>
      <w:r w:rsidRPr="00C64326">
        <w:rPr>
          <w:rFonts w:asciiTheme="majorHAnsi" w:eastAsia="Calibri" w:hAnsiTheme="majorHAnsi" w:cs="Times New Roman"/>
          <w:sz w:val="22"/>
          <w:szCs w:val="22"/>
          <w:lang w:val="en-AU"/>
        </w:rPr>
        <w:t xml:space="preserve">tools, </w:t>
      </w:r>
      <w:r w:rsidR="00195649">
        <w:rPr>
          <w:rFonts w:asciiTheme="majorHAnsi" w:eastAsia="Calibri" w:hAnsiTheme="majorHAnsi" w:cs="Times New Roman"/>
          <w:sz w:val="22"/>
          <w:szCs w:val="22"/>
          <w:lang w:val="en-AU"/>
        </w:rPr>
        <w:t xml:space="preserve">trainings and webinars. </w:t>
      </w:r>
      <w:r w:rsidR="00D76AA4" w:rsidRPr="00D76AA4">
        <w:rPr>
          <w:rFonts w:asciiTheme="majorHAnsi" w:eastAsia="Calibri" w:hAnsiTheme="majorHAnsi" w:cs="Times New Roman"/>
          <w:sz w:val="22"/>
          <w:szCs w:val="22"/>
          <w:lang w:val="en-AU"/>
        </w:rPr>
        <w:t>During the reporting period</w:t>
      </w:r>
      <w:r w:rsidR="00272F49">
        <w:rPr>
          <w:rFonts w:asciiTheme="majorHAnsi" w:eastAsia="Calibri" w:hAnsiTheme="majorHAnsi" w:cs="Times New Roman"/>
          <w:sz w:val="22"/>
          <w:szCs w:val="22"/>
          <w:lang w:val="en-AU"/>
        </w:rPr>
        <w:t>, the Secretariat organized the following webinar</w:t>
      </w:r>
      <w:r w:rsidR="00117F49">
        <w:rPr>
          <w:rFonts w:asciiTheme="majorHAnsi" w:eastAsia="Calibri" w:hAnsiTheme="majorHAnsi" w:cs="Times New Roman"/>
          <w:sz w:val="22"/>
          <w:szCs w:val="22"/>
          <w:lang w:val="en-AU"/>
        </w:rPr>
        <w:t>s</w:t>
      </w:r>
      <w:r w:rsidR="00272F49">
        <w:rPr>
          <w:rFonts w:asciiTheme="majorHAnsi" w:eastAsia="Calibri" w:hAnsiTheme="majorHAnsi" w:cs="Times New Roman"/>
          <w:sz w:val="22"/>
          <w:szCs w:val="22"/>
          <w:lang w:val="en-AU"/>
        </w:rPr>
        <w:t xml:space="preserve">: </w:t>
      </w:r>
    </w:p>
    <w:p w14:paraId="331A3B94" w14:textId="5040B92A" w:rsidR="00385FB2" w:rsidRDefault="00385FB2" w:rsidP="00D7748F">
      <w:pPr>
        <w:pStyle w:val="paragraph"/>
        <w:numPr>
          <w:ilvl w:val="0"/>
          <w:numId w:val="7"/>
        </w:numPr>
        <w:spacing w:before="0" w:beforeAutospacing="0" w:after="0" w:afterAutospacing="0"/>
        <w:ind w:left="1276" w:hanging="425"/>
        <w:textAlignment w:val="baseline"/>
        <w:rPr>
          <w:rFonts w:ascii="Calibri" w:hAnsi="Calibri" w:cs="Calibri"/>
          <w:sz w:val="22"/>
          <w:szCs w:val="22"/>
        </w:rPr>
      </w:pPr>
      <w:r>
        <w:rPr>
          <w:rStyle w:val="normaltextrun"/>
          <w:rFonts w:ascii="Calibri" w:hAnsi="Calibri" w:cs="Calibri"/>
          <w:sz w:val="22"/>
          <w:szCs w:val="22"/>
        </w:rPr>
        <w:t>“How to Access Green Climate Fund (GCF) for the Conservation of Wetlands”</w:t>
      </w:r>
      <w:r w:rsidR="007D684D">
        <w:rPr>
          <w:rStyle w:val="eop"/>
          <w:rFonts w:ascii="Calibri" w:hAnsi="Calibri" w:cs="Calibri"/>
          <w:sz w:val="22"/>
          <w:szCs w:val="22"/>
        </w:rPr>
        <w:t xml:space="preserve"> (</w:t>
      </w:r>
      <w:r w:rsidR="007D684D">
        <w:rPr>
          <w:rStyle w:val="normaltextrun"/>
          <w:rFonts w:ascii="Calibri" w:hAnsi="Calibri" w:cs="Calibri"/>
          <w:sz w:val="22"/>
          <w:szCs w:val="22"/>
        </w:rPr>
        <w:t>March 2020)</w:t>
      </w:r>
    </w:p>
    <w:p w14:paraId="106C775B" w14:textId="2078993A" w:rsidR="00385FB2" w:rsidRDefault="00385FB2" w:rsidP="00D7748F">
      <w:pPr>
        <w:pStyle w:val="paragraph"/>
        <w:numPr>
          <w:ilvl w:val="0"/>
          <w:numId w:val="7"/>
        </w:numPr>
        <w:spacing w:before="0" w:beforeAutospacing="0" w:after="0" w:afterAutospacing="0"/>
        <w:ind w:left="1276" w:hanging="425"/>
        <w:textAlignment w:val="baseline"/>
        <w:rPr>
          <w:rFonts w:ascii="Calibri" w:hAnsi="Calibri" w:cs="Calibri"/>
          <w:sz w:val="22"/>
          <w:szCs w:val="22"/>
        </w:rPr>
      </w:pPr>
      <w:r>
        <w:rPr>
          <w:rStyle w:val="normaltextrun"/>
          <w:rFonts w:ascii="Calibri" w:hAnsi="Calibri" w:cs="Calibri"/>
          <w:sz w:val="22"/>
          <w:szCs w:val="22"/>
        </w:rPr>
        <w:t>“Guidance on utilizing Earth observation as a tool for wetland management, provided for Eastern and Southern African parties”</w:t>
      </w:r>
      <w:r>
        <w:rPr>
          <w:rStyle w:val="eop"/>
          <w:rFonts w:ascii="Calibri" w:hAnsi="Calibri" w:cs="Calibri"/>
          <w:sz w:val="22"/>
          <w:szCs w:val="22"/>
        </w:rPr>
        <w:t> </w:t>
      </w:r>
      <w:r w:rsidR="00F1142B">
        <w:rPr>
          <w:rStyle w:val="normaltextrun"/>
          <w:rFonts w:ascii="Calibri" w:hAnsi="Calibri" w:cs="Calibri"/>
          <w:sz w:val="22"/>
          <w:szCs w:val="22"/>
        </w:rPr>
        <w:t>(September 2020)</w:t>
      </w:r>
    </w:p>
    <w:p w14:paraId="5FD73E15" w14:textId="77777777" w:rsidR="00834D56" w:rsidRDefault="00385FB2" w:rsidP="00D7748F">
      <w:pPr>
        <w:pStyle w:val="paragraph"/>
        <w:numPr>
          <w:ilvl w:val="0"/>
          <w:numId w:val="7"/>
        </w:numPr>
        <w:spacing w:before="0" w:beforeAutospacing="0" w:after="0" w:afterAutospacing="0"/>
        <w:ind w:left="1276" w:hanging="425"/>
        <w:textAlignment w:val="baseline"/>
        <w:rPr>
          <w:rStyle w:val="normaltextrun"/>
          <w:rFonts w:ascii="Calibri" w:hAnsi="Calibri" w:cs="Calibri"/>
          <w:sz w:val="22"/>
          <w:szCs w:val="22"/>
        </w:rPr>
      </w:pPr>
      <w:r>
        <w:rPr>
          <w:rStyle w:val="normaltextrun"/>
          <w:rFonts w:ascii="Calibri" w:hAnsi="Calibri" w:cs="Calibri"/>
          <w:sz w:val="22"/>
          <w:szCs w:val="22"/>
        </w:rPr>
        <w:t xml:space="preserve">“Grant Writing: How to write effective project proposals” </w:t>
      </w:r>
      <w:r w:rsidR="00910A33">
        <w:rPr>
          <w:rStyle w:val="normaltextrun"/>
          <w:rFonts w:ascii="Calibri" w:hAnsi="Calibri" w:cs="Calibri"/>
          <w:sz w:val="22"/>
          <w:szCs w:val="22"/>
        </w:rPr>
        <w:t>(September and October 2020)</w:t>
      </w:r>
    </w:p>
    <w:p w14:paraId="4C1A4077" w14:textId="0A0AEA9D" w:rsidR="00707013" w:rsidRPr="00834D56" w:rsidRDefault="00707013" w:rsidP="00D7748F">
      <w:pPr>
        <w:pStyle w:val="paragraph"/>
        <w:numPr>
          <w:ilvl w:val="0"/>
          <w:numId w:val="7"/>
        </w:numPr>
        <w:spacing w:before="0" w:beforeAutospacing="0" w:after="0" w:afterAutospacing="0"/>
        <w:ind w:left="1276" w:hanging="425"/>
        <w:textAlignment w:val="baseline"/>
        <w:rPr>
          <w:rFonts w:ascii="Calibri" w:hAnsi="Calibri" w:cs="Calibri"/>
          <w:sz w:val="22"/>
          <w:szCs w:val="22"/>
        </w:rPr>
      </w:pPr>
      <w:r w:rsidRPr="00834D56">
        <w:rPr>
          <w:rFonts w:ascii="Calibri" w:hAnsi="Calibri" w:cs="Calibri"/>
          <w:sz w:val="22"/>
          <w:szCs w:val="22"/>
        </w:rPr>
        <w:t xml:space="preserve">“Preparation of National Reports to COP14” (November 2020) </w:t>
      </w:r>
    </w:p>
    <w:p w14:paraId="5C06E449" w14:textId="107B0306" w:rsidR="00834D56" w:rsidRDefault="00385FB2" w:rsidP="00D7748F">
      <w:pPr>
        <w:pStyle w:val="paragraph"/>
        <w:numPr>
          <w:ilvl w:val="0"/>
          <w:numId w:val="7"/>
        </w:numPr>
        <w:spacing w:before="0" w:beforeAutospacing="0" w:after="0" w:afterAutospacing="0"/>
        <w:ind w:left="1276" w:hanging="425"/>
        <w:textAlignment w:val="baseline"/>
        <w:rPr>
          <w:rFonts w:ascii="Calibri" w:hAnsi="Calibri" w:cs="Calibri"/>
          <w:sz w:val="22"/>
          <w:szCs w:val="22"/>
        </w:rPr>
      </w:pPr>
      <w:r w:rsidRPr="00834D56">
        <w:rPr>
          <w:rStyle w:val="normaltextrun"/>
          <w:rFonts w:ascii="Calibri" w:hAnsi="Calibri" w:cs="Calibri"/>
          <w:sz w:val="22"/>
          <w:szCs w:val="22"/>
        </w:rPr>
        <w:t>“Wetlands as Nature-based Solutions (NbS) for Nationally Determined Contributions (NDCs)” (</w:t>
      </w:r>
      <w:r w:rsidR="0047289C" w:rsidRPr="00834D56">
        <w:rPr>
          <w:rStyle w:val="normaltextrun"/>
          <w:rFonts w:ascii="Calibri" w:hAnsi="Calibri" w:cs="Calibri"/>
          <w:sz w:val="22"/>
          <w:szCs w:val="22"/>
        </w:rPr>
        <w:t>December 2020</w:t>
      </w:r>
      <w:r w:rsidRPr="00834D56">
        <w:rPr>
          <w:rStyle w:val="normaltextrun"/>
          <w:rFonts w:ascii="Calibri" w:hAnsi="Calibri" w:cs="Calibri"/>
          <w:sz w:val="22"/>
          <w:szCs w:val="22"/>
        </w:rPr>
        <w:t>)</w:t>
      </w:r>
      <w:r w:rsidRPr="00834D56">
        <w:rPr>
          <w:rStyle w:val="eop"/>
          <w:rFonts w:ascii="Calibri" w:hAnsi="Calibri" w:cs="Calibri"/>
          <w:sz w:val="22"/>
          <w:szCs w:val="22"/>
        </w:rPr>
        <w:t> </w:t>
      </w:r>
    </w:p>
    <w:p w14:paraId="364F90DE" w14:textId="422289CB" w:rsidR="00834D56" w:rsidRDefault="00385FB2" w:rsidP="00D7748F">
      <w:pPr>
        <w:pStyle w:val="paragraph"/>
        <w:numPr>
          <w:ilvl w:val="0"/>
          <w:numId w:val="7"/>
        </w:numPr>
        <w:spacing w:before="0" w:beforeAutospacing="0" w:after="0" w:afterAutospacing="0"/>
        <w:ind w:left="1276" w:hanging="425"/>
        <w:textAlignment w:val="baseline"/>
        <w:rPr>
          <w:rStyle w:val="normaltextrun"/>
          <w:rFonts w:ascii="Calibri" w:hAnsi="Calibri" w:cs="Calibri"/>
          <w:sz w:val="22"/>
          <w:szCs w:val="22"/>
        </w:rPr>
      </w:pPr>
      <w:r w:rsidRPr="00834D56">
        <w:rPr>
          <w:rStyle w:val="normaltextrun"/>
          <w:rFonts w:ascii="Calibri" w:hAnsi="Calibri" w:cs="Calibri"/>
          <w:sz w:val="22"/>
          <w:szCs w:val="22"/>
        </w:rPr>
        <w:t xml:space="preserve">“Training </w:t>
      </w:r>
      <w:r w:rsidRPr="00834D56">
        <w:rPr>
          <w:rStyle w:val="findhit"/>
          <w:rFonts w:ascii="Calibri" w:hAnsi="Calibri" w:cs="Calibri"/>
          <w:sz w:val="22"/>
          <w:szCs w:val="22"/>
        </w:rPr>
        <w:t>Webinar</w:t>
      </w:r>
      <w:r w:rsidR="00A45C3E">
        <w:rPr>
          <w:rStyle w:val="normaltextrun"/>
          <w:rFonts w:ascii="Calibri" w:hAnsi="Calibri" w:cs="Calibri"/>
          <w:sz w:val="22"/>
          <w:szCs w:val="22"/>
        </w:rPr>
        <w:t>:</w:t>
      </w:r>
      <w:r w:rsidRPr="00834D56">
        <w:rPr>
          <w:rStyle w:val="normaltextrun"/>
          <w:rFonts w:ascii="Calibri" w:hAnsi="Calibri" w:cs="Calibri"/>
          <w:sz w:val="22"/>
          <w:szCs w:val="22"/>
        </w:rPr>
        <w:t xml:space="preserve"> Preparation of Draft Resolutions for COP14” (</w:t>
      </w:r>
      <w:r w:rsidR="001E538D" w:rsidRPr="00834D56">
        <w:rPr>
          <w:rStyle w:val="normaltextrun"/>
          <w:rFonts w:ascii="Calibri" w:hAnsi="Calibri" w:cs="Calibri"/>
          <w:sz w:val="22"/>
          <w:szCs w:val="22"/>
        </w:rPr>
        <w:t>March 2021)</w:t>
      </w:r>
    </w:p>
    <w:p w14:paraId="35D464A2" w14:textId="77777777" w:rsidR="009F62AE" w:rsidRDefault="00834D56" w:rsidP="00D7748F">
      <w:pPr>
        <w:pStyle w:val="paragraph"/>
        <w:numPr>
          <w:ilvl w:val="0"/>
          <w:numId w:val="7"/>
        </w:numPr>
        <w:spacing w:before="0" w:beforeAutospacing="0" w:after="0" w:afterAutospacing="0"/>
        <w:ind w:left="1276" w:hanging="425"/>
        <w:textAlignment w:val="baseline"/>
        <w:rPr>
          <w:rStyle w:val="normaltextrun"/>
          <w:rFonts w:ascii="Calibri" w:hAnsi="Calibri" w:cs="Calibri"/>
          <w:sz w:val="22"/>
          <w:szCs w:val="22"/>
        </w:rPr>
      </w:pPr>
      <w:r w:rsidRPr="00834D56">
        <w:rPr>
          <w:rStyle w:val="normaltextrun"/>
          <w:rFonts w:ascii="Calibri" w:hAnsi="Calibri" w:cs="Calibri"/>
          <w:sz w:val="22"/>
          <w:szCs w:val="22"/>
        </w:rPr>
        <w:t xml:space="preserve">“Training </w:t>
      </w:r>
      <w:r w:rsidRPr="00834D56">
        <w:rPr>
          <w:rStyle w:val="findhit"/>
          <w:rFonts w:ascii="Calibri" w:hAnsi="Calibri" w:cs="Calibri"/>
          <w:sz w:val="22"/>
          <w:szCs w:val="22"/>
        </w:rPr>
        <w:t>Webinar</w:t>
      </w:r>
      <w:r w:rsidRPr="00834D56">
        <w:rPr>
          <w:rStyle w:val="normaltextrun"/>
          <w:rFonts w:ascii="Calibri" w:hAnsi="Calibri" w:cs="Calibri"/>
          <w:sz w:val="22"/>
          <w:szCs w:val="22"/>
        </w:rPr>
        <w:t>: Mainstreaming Gender under the Convention on Wetlands” (March 2021</w:t>
      </w:r>
      <w:r w:rsidR="009F62AE">
        <w:rPr>
          <w:rStyle w:val="normaltextrun"/>
          <w:rFonts w:ascii="Calibri" w:hAnsi="Calibri" w:cs="Calibri"/>
          <w:sz w:val="22"/>
          <w:szCs w:val="22"/>
        </w:rPr>
        <w:t>)</w:t>
      </w:r>
    </w:p>
    <w:p w14:paraId="6B7A3E58" w14:textId="77777777" w:rsidR="009F62AE" w:rsidRDefault="009F62AE" w:rsidP="00D7748F">
      <w:pPr>
        <w:pStyle w:val="paragraph"/>
        <w:numPr>
          <w:ilvl w:val="0"/>
          <w:numId w:val="7"/>
        </w:numPr>
        <w:spacing w:before="0" w:beforeAutospacing="0" w:after="0" w:afterAutospacing="0"/>
        <w:ind w:left="1276" w:hanging="425"/>
        <w:textAlignment w:val="baseline"/>
        <w:rPr>
          <w:rStyle w:val="normaltextrun"/>
          <w:rFonts w:ascii="Calibri" w:hAnsi="Calibri" w:cs="Calibri"/>
          <w:sz w:val="22"/>
          <w:szCs w:val="22"/>
        </w:rPr>
      </w:pPr>
      <w:r w:rsidRPr="009F62AE">
        <w:rPr>
          <w:rStyle w:val="normaltextrun"/>
          <w:rFonts w:ascii="Calibri" w:hAnsi="Calibri" w:cs="Calibri"/>
          <w:sz w:val="22"/>
          <w:szCs w:val="22"/>
        </w:rPr>
        <w:t>“Wetlands: Key Enablers for a Resilient and Sustainable Recovery” (July 2021)</w:t>
      </w:r>
    </w:p>
    <w:p w14:paraId="09DFC55F" w14:textId="77777777" w:rsidR="009F62AE" w:rsidRDefault="009F62AE" w:rsidP="00D7748F">
      <w:pPr>
        <w:pStyle w:val="paragraph"/>
        <w:numPr>
          <w:ilvl w:val="0"/>
          <w:numId w:val="7"/>
        </w:numPr>
        <w:spacing w:before="0" w:beforeAutospacing="0" w:after="0" w:afterAutospacing="0"/>
        <w:ind w:left="1276" w:hanging="425"/>
        <w:textAlignment w:val="baseline"/>
        <w:rPr>
          <w:rFonts w:ascii="Calibri" w:hAnsi="Calibri" w:cs="Calibri"/>
          <w:sz w:val="22"/>
          <w:szCs w:val="22"/>
        </w:rPr>
      </w:pPr>
      <w:r w:rsidRPr="009F62AE">
        <w:rPr>
          <w:rStyle w:val="normaltextrun"/>
          <w:rFonts w:ascii="Calibri" w:hAnsi="Calibri" w:cs="Calibri"/>
          <w:sz w:val="22"/>
          <w:szCs w:val="22"/>
        </w:rPr>
        <w:t>“Connecting for Wetlands Action: An Intergenerational Dialogue” (October 2021)</w:t>
      </w:r>
    </w:p>
    <w:p w14:paraId="493CF536" w14:textId="77777777" w:rsidR="009F62AE" w:rsidRDefault="009F62AE" w:rsidP="00D7748F">
      <w:pPr>
        <w:pStyle w:val="paragraph"/>
        <w:numPr>
          <w:ilvl w:val="0"/>
          <w:numId w:val="7"/>
        </w:numPr>
        <w:spacing w:before="0" w:beforeAutospacing="0" w:after="0" w:afterAutospacing="0"/>
        <w:ind w:left="1276" w:hanging="425"/>
        <w:textAlignment w:val="baseline"/>
        <w:rPr>
          <w:rStyle w:val="normaltextrun"/>
          <w:rFonts w:ascii="Calibri" w:hAnsi="Calibri" w:cs="Calibri"/>
          <w:sz w:val="22"/>
          <w:szCs w:val="22"/>
        </w:rPr>
      </w:pPr>
      <w:r w:rsidRPr="009F62AE">
        <w:rPr>
          <w:rStyle w:val="normaltextrun"/>
          <w:rFonts w:ascii="Calibri" w:hAnsi="Calibri" w:cs="Calibri"/>
          <w:sz w:val="22"/>
          <w:szCs w:val="22"/>
        </w:rPr>
        <w:t>“Financing Mechanisms for Freshwater Ecosystems” (December 2021)</w:t>
      </w:r>
    </w:p>
    <w:p w14:paraId="43830D23" w14:textId="3C0F0F10" w:rsidR="009F62AE" w:rsidRDefault="009F62AE" w:rsidP="00D7748F">
      <w:pPr>
        <w:pStyle w:val="paragraph"/>
        <w:numPr>
          <w:ilvl w:val="0"/>
          <w:numId w:val="7"/>
        </w:numPr>
        <w:spacing w:before="0" w:beforeAutospacing="0" w:after="0" w:afterAutospacing="0"/>
        <w:ind w:left="1276" w:hanging="425"/>
        <w:textAlignment w:val="baseline"/>
        <w:rPr>
          <w:rFonts w:ascii="Calibri" w:hAnsi="Calibri" w:cs="Calibri"/>
          <w:sz w:val="22"/>
          <w:szCs w:val="22"/>
        </w:rPr>
      </w:pPr>
      <w:r w:rsidRPr="009F62AE">
        <w:rPr>
          <w:rStyle w:val="normaltextrun"/>
          <w:rFonts w:ascii="Calibri" w:hAnsi="Calibri" w:cs="Calibri"/>
          <w:sz w:val="22"/>
          <w:szCs w:val="22"/>
        </w:rPr>
        <w:t>“Acting for Wetlands: Challenges and Opportunities” (January 2022)</w:t>
      </w:r>
    </w:p>
    <w:p w14:paraId="67F47875" w14:textId="77777777" w:rsidR="009F62AE" w:rsidRDefault="009F62AE" w:rsidP="00D7748F">
      <w:pPr>
        <w:pStyle w:val="paragraph"/>
        <w:numPr>
          <w:ilvl w:val="0"/>
          <w:numId w:val="7"/>
        </w:numPr>
        <w:spacing w:before="0" w:beforeAutospacing="0" w:after="0" w:afterAutospacing="0"/>
        <w:ind w:left="1276" w:hanging="425"/>
        <w:textAlignment w:val="baseline"/>
        <w:rPr>
          <w:rFonts w:ascii="Calibri" w:hAnsi="Calibri" w:cs="Calibri"/>
          <w:sz w:val="22"/>
          <w:szCs w:val="22"/>
        </w:rPr>
      </w:pPr>
      <w:r w:rsidRPr="009F62AE">
        <w:rPr>
          <w:rStyle w:val="normaltextrun"/>
          <w:rFonts w:ascii="Calibri" w:hAnsi="Calibri" w:cs="Calibri"/>
          <w:sz w:val="22"/>
          <w:szCs w:val="22"/>
        </w:rPr>
        <w:t xml:space="preserve">“Training </w:t>
      </w:r>
      <w:r w:rsidRPr="009F62AE">
        <w:rPr>
          <w:rStyle w:val="findhit"/>
          <w:rFonts w:ascii="Calibri" w:hAnsi="Calibri" w:cs="Calibri"/>
          <w:sz w:val="22"/>
          <w:szCs w:val="22"/>
        </w:rPr>
        <w:t>Webinar</w:t>
      </w:r>
      <w:r w:rsidRPr="009F62AE">
        <w:rPr>
          <w:rStyle w:val="normaltextrun"/>
          <w:rFonts w:ascii="Calibri" w:hAnsi="Calibri" w:cs="Calibri"/>
          <w:sz w:val="22"/>
          <w:szCs w:val="22"/>
        </w:rPr>
        <w:t xml:space="preserve"> on Nagao Wetland Fund 2022”</w:t>
      </w:r>
      <w:r w:rsidRPr="009F62AE">
        <w:rPr>
          <w:rStyle w:val="eop"/>
          <w:rFonts w:ascii="Calibri" w:hAnsi="Calibri" w:cs="Calibri"/>
          <w:sz w:val="22"/>
          <w:szCs w:val="22"/>
        </w:rPr>
        <w:t> (February 2022)</w:t>
      </w:r>
    </w:p>
    <w:p w14:paraId="1FF7202D" w14:textId="229A82F1" w:rsidR="009F62AE" w:rsidRDefault="009F62AE" w:rsidP="00D7748F">
      <w:pPr>
        <w:pStyle w:val="paragraph"/>
        <w:numPr>
          <w:ilvl w:val="0"/>
          <w:numId w:val="7"/>
        </w:numPr>
        <w:spacing w:before="0" w:beforeAutospacing="0" w:after="0" w:afterAutospacing="0"/>
        <w:ind w:left="1276" w:hanging="425"/>
        <w:textAlignment w:val="baseline"/>
        <w:rPr>
          <w:rStyle w:val="normaltextrun"/>
          <w:rFonts w:ascii="Calibri" w:hAnsi="Calibri" w:cs="Calibri"/>
          <w:sz w:val="22"/>
          <w:szCs w:val="22"/>
        </w:rPr>
      </w:pPr>
      <w:r w:rsidRPr="009F62AE">
        <w:rPr>
          <w:rStyle w:val="normaltextrun"/>
          <w:rFonts w:ascii="Calibri" w:hAnsi="Calibri" w:cs="Calibri"/>
          <w:sz w:val="22"/>
          <w:szCs w:val="22"/>
        </w:rPr>
        <w:t>“Wetlands and Climate Change: Actions to protect blue carbon ecosystems and peatlands for mitigation and adaptation” (May 2022)</w:t>
      </w:r>
    </w:p>
    <w:p w14:paraId="1C9E1093" w14:textId="6279A522" w:rsidR="00105745" w:rsidRPr="009F62AE" w:rsidRDefault="00105745" w:rsidP="00D7748F">
      <w:pPr>
        <w:pStyle w:val="paragraph"/>
        <w:numPr>
          <w:ilvl w:val="0"/>
          <w:numId w:val="7"/>
        </w:numPr>
        <w:spacing w:before="0" w:beforeAutospacing="0" w:after="0" w:afterAutospacing="0"/>
        <w:ind w:left="1276" w:hanging="425"/>
        <w:textAlignment w:val="baseline"/>
        <w:rPr>
          <w:rFonts w:ascii="Calibri" w:hAnsi="Calibri" w:cs="Calibri"/>
          <w:sz w:val="22"/>
          <w:szCs w:val="22"/>
        </w:rPr>
      </w:pPr>
      <w:r>
        <w:rPr>
          <w:rStyle w:val="normaltextrun"/>
          <w:rFonts w:ascii="Calibri" w:hAnsi="Calibri" w:cs="Calibri"/>
          <w:sz w:val="22"/>
          <w:szCs w:val="22"/>
        </w:rPr>
        <w:t>“Wetlands and Agriculture</w:t>
      </w:r>
      <w:r w:rsidR="006053F7">
        <w:rPr>
          <w:rStyle w:val="normaltextrun"/>
          <w:rFonts w:ascii="Calibri" w:hAnsi="Calibri" w:cs="Calibri"/>
          <w:sz w:val="22"/>
          <w:szCs w:val="22"/>
        </w:rPr>
        <w:t>: Transformative actions for sustainable agricultural practices and the wise use of wetlands</w:t>
      </w:r>
      <w:r>
        <w:rPr>
          <w:rStyle w:val="normaltextrun"/>
          <w:rFonts w:ascii="Calibri" w:hAnsi="Calibri" w:cs="Calibri"/>
          <w:sz w:val="22"/>
          <w:szCs w:val="22"/>
        </w:rPr>
        <w:t>” (July 2022).</w:t>
      </w:r>
    </w:p>
    <w:p w14:paraId="7ABC972C" w14:textId="77777777" w:rsidR="00385FB2" w:rsidRPr="00385FB2" w:rsidRDefault="00385FB2" w:rsidP="00A4794E">
      <w:pPr>
        <w:contextualSpacing/>
        <w:rPr>
          <w:rFonts w:asciiTheme="majorHAnsi" w:eastAsia="Calibri" w:hAnsiTheme="majorHAnsi" w:cs="Times New Roman"/>
          <w:sz w:val="22"/>
          <w:szCs w:val="22"/>
          <w:lang w:val="en-GB"/>
        </w:rPr>
      </w:pPr>
    </w:p>
    <w:p w14:paraId="7DA050FC" w14:textId="5750A40F" w:rsidR="00C64326" w:rsidRPr="00C64326" w:rsidRDefault="00C64326" w:rsidP="00D7748F">
      <w:pPr>
        <w:numPr>
          <w:ilvl w:val="0"/>
          <w:numId w:val="2"/>
        </w:numPr>
        <w:ind w:left="851" w:hanging="426"/>
        <w:contextualSpacing/>
        <w:rPr>
          <w:rFonts w:asciiTheme="majorHAnsi" w:eastAsia="Calibri" w:hAnsiTheme="majorHAnsi" w:cs="Times New Roman"/>
          <w:sz w:val="22"/>
          <w:szCs w:val="22"/>
          <w:lang w:val="en-AU"/>
        </w:rPr>
      </w:pPr>
      <w:r w:rsidRPr="00C64326">
        <w:rPr>
          <w:rFonts w:asciiTheme="majorHAnsi" w:eastAsia="Calibri" w:hAnsiTheme="majorHAnsi" w:cs="Times New Roman"/>
          <w:sz w:val="22"/>
          <w:szCs w:val="22"/>
          <w:lang w:val="en-AU"/>
        </w:rPr>
        <w:t xml:space="preserve">Information on </w:t>
      </w:r>
      <w:r w:rsidR="00A45C3E">
        <w:rPr>
          <w:rFonts w:asciiTheme="majorHAnsi" w:eastAsia="Calibri" w:hAnsiTheme="majorHAnsi" w:cs="Times New Roman"/>
          <w:sz w:val="22"/>
          <w:szCs w:val="22"/>
          <w:lang w:val="en-AU"/>
        </w:rPr>
        <w:t>Ramsar S</w:t>
      </w:r>
      <w:r w:rsidRPr="00C64326">
        <w:rPr>
          <w:rFonts w:asciiTheme="majorHAnsi" w:eastAsia="Calibri" w:hAnsiTheme="majorHAnsi" w:cs="Times New Roman"/>
          <w:sz w:val="22"/>
          <w:szCs w:val="22"/>
          <w:lang w:val="en-AU"/>
        </w:rPr>
        <w:t>ites continued to be uploaded to the Ramsar Site Information Service.</w:t>
      </w:r>
      <w:r w:rsidR="001E664B">
        <w:rPr>
          <w:rFonts w:asciiTheme="majorHAnsi" w:eastAsia="Calibri" w:hAnsiTheme="majorHAnsi" w:cs="Times New Roman"/>
          <w:sz w:val="22"/>
          <w:szCs w:val="22"/>
          <w:lang w:val="en-AU"/>
        </w:rPr>
        <w:t xml:space="preserve"> </w:t>
      </w:r>
      <w:r w:rsidRPr="00C64326">
        <w:rPr>
          <w:rFonts w:asciiTheme="majorHAnsi" w:eastAsia="Calibri" w:hAnsiTheme="majorHAnsi" w:cs="Times New Roman"/>
          <w:sz w:val="22"/>
          <w:szCs w:val="22"/>
          <w:lang w:val="en-AU"/>
        </w:rPr>
        <w:t xml:space="preserve">A training manual and videos were </w:t>
      </w:r>
      <w:r w:rsidR="00195649">
        <w:rPr>
          <w:rFonts w:asciiTheme="majorHAnsi" w:eastAsia="Calibri" w:hAnsiTheme="majorHAnsi" w:cs="Times New Roman"/>
          <w:sz w:val="22"/>
          <w:szCs w:val="22"/>
          <w:lang w:val="en-AU"/>
        </w:rPr>
        <w:t>produced as well as yearly online training sessions for compilers provided in the thr</w:t>
      </w:r>
      <w:r w:rsidR="00310344">
        <w:rPr>
          <w:rFonts w:asciiTheme="majorHAnsi" w:eastAsia="Calibri" w:hAnsiTheme="majorHAnsi" w:cs="Times New Roman"/>
          <w:sz w:val="22"/>
          <w:szCs w:val="22"/>
          <w:lang w:val="en-AU"/>
        </w:rPr>
        <w:t>ee languages of the Convention.</w:t>
      </w:r>
    </w:p>
    <w:p w14:paraId="3916FEC9" w14:textId="77777777" w:rsidR="00A4794E" w:rsidRDefault="00A4794E" w:rsidP="00310344">
      <w:pPr>
        <w:contextualSpacing/>
        <w:rPr>
          <w:rFonts w:asciiTheme="majorHAnsi" w:eastAsia="Calibri" w:hAnsiTheme="majorHAnsi" w:cs="Times New Roman"/>
          <w:sz w:val="22"/>
          <w:szCs w:val="22"/>
          <w:lang w:val="en-AU"/>
        </w:rPr>
      </w:pPr>
    </w:p>
    <w:p w14:paraId="4A7F9C02" w14:textId="07828D3D" w:rsidR="00A4794E" w:rsidRDefault="00C64326" w:rsidP="00310344">
      <w:pPr>
        <w:numPr>
          <w:ilvl w:val="0"/>
          <w:numId w:val="2"/>
        </w:numPr>
        <w:ind w:left="851" w:hanging="426"/>
        <w:contextualSpacing/>
        <w:rPr>
          <w:rFonts w:asciiTheme="majorHAnsi" w:eastAsia="Calibri" w:hAnsiTheme="majorHAnsi" w:cs="Times New Roman"/>
          <w:sz w:val="22"/>
          <w:szCs w:val="22"/>
          <w:lang w:val="en-AU"/>
        </w:rPr>
      </w:pPr>
      <w:r w:rsidRPr="00C64326">
        <w:rPr>
          <w:rFonts w:asciiTheme="majorHAnsi" w:eastAsia="Calibri" w:hAnsiTheme="majorHAnsi" w:cs="Times New Roman"/>
          <w:sz w:val="22"/>
          <w:szCs w:val="22"/>
          <w:lang w:val="en-AU"/>
        </w:rPr>
        <w:t xml:space="preserve">A Ramsar Sites </w:t>
      </w:r>
      <w:r w:rsidR="00A45C3E">
        <w:rPr>
          <w:rFonts w:asciiTheme="majorHAnsi" w:eastAsia="Calibri" w:hAnsiTheme="majorHAnsi" w:cs="Times New Roman"/>
          <w:sz w:val="22"/>
          <w:szCs w:val="22"/>
          <w:lang w:val="en-AU"/>
        </w:rPr>
        <w:t>m</w:t>
      </w:r>
      <w:r w:rsidR="00A45C3E" w:rsidRPr="00C64326">
        <w:rPr>
          <w:rFonts w:asciiTheme="majorHAnsi" w:eastAsia="Calibri" w:hAnsiTheme="majorHAnsi" w:cs="Times New Roman"/>
          <w:sz w:val="22"/>
          <w:szCs w:val="22"/>
          <w:lang w:val="en-AU"/>
        </w:rPr>
        <w:t xml:space="preserve">anagement </w:t>
      </w:r>
      <w:r w:rsidRPr="00C64326">
        <w:rPr>
          <w:rFonts w:asciiTheme="majorHAnsi" w:eastAsia="Calibri" w:hAnsiTheme="majorHAnsi" w:cs="Times New Roman"/>
          <w:sz w:val="22"/>
          <w:szCs w:val="22"/>
          <w:lang w:val="en-AU"/>
        </w:rPr>
        <w:t xml:space="preserve">toolkit, </w:t>
      </w:r>
      <w:r w:rsidRPr="00C64326">
        <w:rPr>
          <w:rFonts w:asciiTheme="majorHAnsi" w:eastAsia="Calibri" w:hAnsiTheme="majorHAnsi" w:cs="Times New Roman"/>
          <w:sz w:val="22"/>
          <w:szCs w:val="22"/>
          <w:lang w:val="en"/>
        </w:rPr>
        <w:t>providing guidance to site managers on the key steps and components involved in managing a Ramsar Site,</w:t>
      </w:r>
      <w:r w:rsidR="009D54A6">
        <w:rPr>
          <w:rFonts w:asciiTheme="majorHAnsi" w:eastAsia="Calibri" w:hAnsiTheme="majorHAnsi" w:cs="Times New Roman"/>
          <w:sz w:val="22"/>
          <w:szCs w:val="22"/>
          <w:lang w:val="en"/>
        </w:rPr>
        <w:t xml:space="preserve"> has been</w:t>
      </w:r>
      <w:r w:rsidRPr="00C64326">
        <w:rPr>
          <w:rFonts w:asciiTheme="majorHAnsi" w:eastAsia="Calibri" w:hAnsiTheme="majorHAnsi" w:cs="Times New Roman"/>
          <w:sz w:val="22"/>
          <w:szCs w:val="22"/>
          <w:lang w:val="en-AU"/>
        </w:rPr>
        <w:t xml:space="preserve"> developed with the Secretariat and published online, at: </w:t>
      </w:r>
      <w:hyperlink r:id="rId14" w:history="1">
        <w:r w:rsidRPr="007D0D4B">
          <w:rPr>
            <w:rFonts w:asciiTheme="majorHAnsi" w:eastAsia="Calibri" w:hAnsiTheme="majorHAnsi" w:cs="Times New Roman"/>
            <w:color w:val="0000FF"/>
            <w:sz w:val="22"/>
            <w:szCs w:val="22"/>
            <w:u w:val="single"/>
            <w:lang w:val="en-AU"/>
          </w:rPr>
          <w:t>https://www.ramsar.org/resources/ramsar-sites-management-toolkit</w:t>
        </w:r>
      </w:hyperlink>
      <w:r w:rsidR="00310344" w:rsidRPr="00310344">
        <w:rPr>
          <w:rFonts w:asciiTheme="majorHAnsi" w:eastAsia="Calibri" w:hAnsiTheme="majorHAnsi" w:cs="Times New Roman"/>
          <w:sz w:val="22"/>
          <w:szCs w:val="22"/>
          <w:lang w:val="en-AU"/>
        </w:rPr>
        <w:t>.</w:t>
      </w:r>
    </w:p>
    <w:p w14:paraId="367111D6" w14:textId="77777777" w:rsidR="00310344" w:rsidRPr="00310344" w:rsidRDefault="00310344" w:rsidP="00310344">
      <w:pPr>
        <w:contextualSpacing/>
        <w:rPr>
          <w:rFonts w:asciiTheme="majorHAnsi" w:eastAsia="Calibri" w:hAnsiTheme="majorHAnsi" w:cs="Times New Roman"/>
          <w:sz w:val="22"/>
          <w:szCs w:val="22"/>
          <w:lang w:val="en-AU"/>
        </w:rPr>
      </w:pPr>
    </w:p>
    <w:p w14:paraId="31D1D1A3" w14:textId="33CF551E" w:rsidR="00C64326" w:rsidRPr="00C64326" w:rsidRDefault="00C64326" w:rsidP="00D7748F">
      <w:pPr>
        <w:numPr>
          <w:ilvl w:val="0"/>
          <w:numId w:val="2"/>
        </w:numPr>
        <w:ind w:left="851" w:hanging="426"/>
        <w:contextualSpacing/>
        <w:rPr>
          <w:rFonts w:asciiTheme="majorHAnsi" w:eastAsia="Calibri" w:hAnsiTheme="majorHAnsi" w:cs="Times New Roman"/>
          <w:sz w:val="22"/>
          <w:szCs w:val="22"/>
          <w:lang w:val="en-AU"/>
        </w:rPr>
      </w:pPr>
      <w:r w:rsidRPr="00C64326">
        <w:rPr>
          <w:rFonts w:asciiTheme="majorHAnsi" w:eastAsia="Calibri" w:hAnsiTheme="majorHAnsi" w:cs="Times New Roman"/>
          <w:sz w:val="22"/>
          <w:szCs w:val="22"/>
          <w:lang w:val="en-AU"/>
        </w:rPr>
        <w:t>The Secretariat produced a number of wetland publications which wer</w:t>
      </w:r>
      <w:r w:rsidR="004013C8">
        <w:rPr>
          <w:rFonts w:asciiTheme="majorHAnsi" w:eastAsia="Calibri" w:hAnsiTheme="majorHAnsi" w:cs="Times New Roman"/>
          <w:sz w:val="22"/>
          <w:szCs w:val="22"/>
          <w:lang w:val="en-AU"/>
        </w:rPr>
        <w:t>e disseminated to Contracting Parties and other interested entities</w:t>
      </w:r>
      <w:r w:rsidR="00A45C3E">
        <w:rPr>
          <w:rFonts w:asciiTheme="majorHAnsi" w:eastAsia="Calibri" w:hAnsiTheme="majorHAnsi" w:cs="Times New Roman"/>
          <w:sz w:val="22"/>
          <w:szCs w:val="22"/>
          <w:lang w:val="en-AU"/>
        </w:rPr>
        <w:t>,</w:t>
      </w:r>
      <w:r w:rsidR="004013C8">
        <w:rPr>
          <w:rFonts w:asciiTheme="majorHAnsi" w:eastAsia="Calibri" w:hAnsiTheme="majorHAnsi" w:cs="Times New Roman"/>
          <w:sz w:val="22"/>
          <w:szCs w:val="22"/>
          <w:lang w:val="en-AU"/>
        </w:rPr>
        <w:t xml:space="preserve"> </w:t>
      </w:r>
      <w:r w:rsidRPr="00C64326">
        <w:rPr>
          <w:rFonts w:asciiTheme="majorHAnsi" w:eastAsia="Calibri" w:hAnsiTheme="majorHAnsi" w:cs="Times New Roman"/>
          <w:sz w:val="22"/>
          <w:szCs w:val="22"/>
          <w:lang w:val="en-AU"/>
        </w:rPr>
        <w:t xml:space="preserve">and </w:t>
      </w:r>
      <w:r w:rsidRPr="00650A9D">
        <w:rPr>
          <w:rFonts w:asciiTheme="majorHAnsi" w:eastAsia="Calibri" w:hAnsiTheme="majorHAnsi" w:cs="Times New Roman"/>
          <w:sz w:val="22"/>
          <w:szCs w:val="22"/>
          <w:lang w:val="en-AU"/>
        </w:rPr>
        <w:t xml:space="preserve">produced </w:t>
      </w:r>
      <w:r w:rsidR="00CE014B" w:rsidRPr="00650A9D">
        <w:rPr>
          <w:rFonts w:asciiTheme="majorHAnsi" w:eastAsia="Calibri" w:hAnsiTheme="majorHAnsi" w:cs="Times New Roman"/>
          <w:sz w:val="22"/>
          <w:szCs w:val="22"/>
          <w:lang w:val="en-AU"/>
        </w:rPr>
        <w:t>42</w:t>
      </w:r>
      <w:r w:rsidRPr="00650A9D">
        <w:rPr>
          <w:rFonts w:asciiTheme="majorHAnsi" w:eastAsia="Calibri" w:hAnsiTheme="majorHAnsi" w:cs="Times New Roman"/>
          <w:sz w:val="22"/>
          <w:szCs w:val="22"/>
          <w:lang w:val="en-AU"/>
        </w:rPr>
        <w:t xml:space="preserve"> videos </w:t>
      </w:r>
      <w:r w:rsidR="004013C8" w:rsidRPr="00650A9D">
        <w:rPr>
          <w:rFonts w:asciiTheme="majorHAnsi" w:eastAsia="Calibri" w:hAnsiTheme="majorHAnsi" w:cs="Times New Roman"/>
          <w:sz w:val="22"/>
          <w:szCs w:val="22"/>
          <w:lang w:val="en-AU"/>
        </w:rPr>
        <w:t>on</w:t>
      </w:r>
      <w:r w:rsidR="004013C8">
        <w:rPr>
          <w:rFonts w:asciiTheme="majorHAnsi" w:eastAsia="Calibri" w:hAnsiTheme="majorHAnsi" w:cs="Times New Roman"/>
          <w:sz w:val="22"/>
          <w:szCs w:val="22"/>
          <w:lang w:val="en-AU"/>
        </w:rPr>
        <w:t xml:space="preserve"> different wetland-related topics</w:t>
      </w:r>
      <w:r w:rsidR="00D057E6">
        <w:rPr>
          <w:rFonts w:asciiTheme="majorHAnsi" w:eastAsia="Calibri" w:hAnsiTheme="majorHAnsi" w:cs="Times New Roman"/>
          <w:sz w:val="22"/>
          <w:szCs w:val="22"/>
          <w:lang w:val="en-AU"/>
        </w:rPr>
        <w:t>.</w:t>
      </w:r>
    </w:p>
    <w:p w14:paraId="291BB56B" w14:textId="77777777" w:rsidR="00A4794E" w:rsidRDefault="00A4794E" w:rsidP="00310344">
      <w:pPr>
        <w:contextualSpacing/>
        <w:rPr>
          <w:rFonts w:asciiTheme="majorHAnsi" w:eastAsia="Calibri" w:hAnsiTheme="majorHAnsi" w:cs="Times New Roman"/>
          <w:sz w:val="22"/>
          <w:szCs w:val="22"/>
          <w:lang w:val="en-AU"/>
        </w:rPr>
      </w:pPr>
    </w:p>
    <w:p w14:paraId="596436AD" w14:textId="68B0B35B" w:rsidR="00C64326" w:rsidRPr="00C64326" w:rsidRDefault="00C64326" w:rsidP="00D7748F">
      <w:pPr>
        <w:numPr>
          <w:ilvl w:val="0"/>
          <w:numId w:val="2"/>
        </w:numPr>
        <w:ind w:left="851" w:hanging="426"/>
        <w:contextualSpacing/>
        <w:rPr>
          <w:rFonts w:asciiTheme="majorHAnsi" w:eastAsia="Calibri" w:hAnsiTheme="majorHAnsi" w:cs="Times New Roman"/>
          <w:sz w:val="22"/>
          <w:szCs w:val="22"/>
          <w:lang w:val="en-AU"/>
        </w:rPr>
      </w:pPr>
      <w:r w:rsidRPr="595E0486">
        <w:rPr>
          <w:rFonts w:asciiTheme="majorHAnsi" w:eastAsia="Calibri" w:hAnsiTheme="majorHAnsi" w:cs="Times New Roman"/>
          <w:sz w:val="22"/>
          <w:szCs w:val="22"/>
          <w:lang w:val="en-AU"/>
        </w:rPr>
        <w:t>Nominations were sought for the Ramsar Wetland Conservation Awards which will be presented at COP1</w:t>
      </w:r>
      <w:r w:rsidR="004013C8" w:rsidRPr="595E0486">
        <w:rPr>
          <w:rFonts w:asciiTheme="majorHAnsi" w:eastAsia="Calibri" w:hAnsiTheme="majorHAnsi" w:cs="Times New Roman"/>
          <w:sz w:val="22"/>
          <w:szCs w:val="22"/>
          <w:lang w:val="en-AU"/>
        </w:rPr>
        <w:t>4</w:t>
      </w:r>
      <w:r w:rsidRPr="595E0486">
        <w:rPr>
          <w:rFonts w:asciiTheme="majorHAnsi" w:eastAsia="Calibri" w:hAnsiTheme="majorHAnsi" w:cs="Times New Roman"/>
          <w:sz w:val="22"/>
          <w:szCs w:val="22"/>
          <w:lang w:val="en-AU"/>
        </w:rPr>
        <w:t xml:space="preserve"> to </w:t>
      </w:r>
      <w:r w:rsidR="00A45C3E" w:rsidRPr="595E0486">
        <w:rPr>
          <w:rFonts w:asciiTheme="majorHAnsi" w:eastAsia="Calibri" w:hAnsiTheme="majorHAnsi" w:cs="Times New Roman"/>
          <w:sz w:val="22"/>
          <w:szCs w:val="22"/>
          <w:lang w:val="en-AU"/>
        </w:rPr>
        <w:t>recogni</w:t>
      </w:r>
      <w:r w:rsidR="00A45C3E">
        <w:rPr>
          <w:rFonts w:asciiTheme="majorHAnsi" w:eastAsia="Calibri" w:hAnsiTheme="majorHAnsi" w:cs="Times New Roman"/>
          <w:sz w:val="22"/>
          <w:szCs w:val="22"/>
          <w:lang w:val="en-AU"/>
        </w:rPr>
        <w:t>z</w:t>
      </w:r>
      <w:r w:rsidR="00A45C3E" w:rsidRPr="595E0486">
        <w:rPr>
          <w:rFonts w:asciiTheme="majorHAnsi" w:eastAsia="Calibri" w:hAnsiTheme="majorHAnsi" w:cs="Times New Roman"/>
          <w:sz w:val="22"/>
          <w:szCs w:val="22"/>
          <w:lang w:val="en-AU"/>
        </w:rPr>
        <w:t xml:space="preserve">e </w:t>
      </w:r>
      <w:r w:rsidRPr="595E0486">
        <w:rPr>
          <w:rFonts w:asciiTheme="majorHAnsi" w:eastAsia="Calibri" w:hAnsiTheme="majorHAnsi" w:cs="Times New Roman"/>
          <w:sz w:val="22"/>
          <w:szCs w:val="22"/>
          <w:lang w:val="en-AU"/>
        </w:rPr>
        <w:t>and honour the achievements of individuals, organi</w:t>
      </w:r>
      <w:r w:rsidR="005E0B7A">
        <w:rPr>
          <w:rFonts w:asciiTheme="majorHAnsi" w:eastAsia="Calibri" w:hAnsiTheme="majorHAnsi" w:cs="Times New Roman"/>
          <w:sz w:val="22"/>
          <w:szCs w:val="22"/>
          <w:lang w:val="en-AU"/>
        </w:rPr>
        <w:t>z</w:t>
      </w:r>
      <w:r w:rsidRPr="595E0486">
        <w:rPr>
          <w:rFonts w:asciiTheme="majorHAnsi" w:eastAsia="Calibri" w:hAnsiTheme="majorHAnsi" w:cs="Times New Roman"/>
          <w:sz w:val="22"/>
          <w:szCs w:val="22"/>
          <w:lang w:val="en-AU"/>
        </w:rPr>
        <w:t>ations and governments around the world for the conservation and wise use of wetlands.</w:t>
      </w:r>
      <w:r w:rsidR="001E664B">
        <w:rPr>
          <w:rFonts w:asciiTheme="majorHAnsi" w:eastAsia="Calibri" w:hAnsiTheme="majorHAnsi" w:cs="Times New Roman"/>
          <w:sz w:val="22"/>
          <w:szCs w:val="22"/>
          <w:lang w:val="en-AU"/>
        </w:rPr>
        <w:t xml:space="preserve"> </w:t>
      </w:r>
      <w:r w:rsidRPr="595E0486">
        <w:rPr>
          <w:rFonts w:asciiTheme="majorHAnsi" w:eastAsia="Calibri" w:hAnsiTheme="majorHAnsi" w:cs="Times New Roman"/>
          <w:sz w:val="22"/>
          <w:szCs w:val="22"/>
          <w:lang w:val="en-AU"/>
        </w:rPr>
        <w:t xml:space="preserve">The Danone Group </w:t>
      </w:r>
      <w:r w:rsidR="004013C8" w:rsidRPr="595E0486">
        <w:rPr>
          <w:rFonts w:asciiTheme="majorHAnsi" w:eastAsia="Calibri" w:hAnsiTheme="majorHAnsi" w:cs="Times New Roman"/>
          <w:sz w:val="22"/>
          <w:szCs w:val="22"/>
          <w:lang w:val="en-AU"/>
        </w:rPr>
        <w:t xml:space="preserve">has </w:t>
      </w:r>
      <w:r w:rsidRPr="595E0486">
        <w:rPr>
          <w:rFonts w:asciiTheme="majorHAnsi" w:eastAsia="Calibri" w:hAnsiTheme="majorHAnsi" w:cs="Times New Roman"/>
          <w:sz w:val="22"/>
          <w:szCs w:val="22"/>
          <w:lang w:val="en-AU"/>
        </w:rPr>
        <w:t>offered an Evian Special Prize of USD 10,000 in each category.</w:t>
      </w:r>
    </w:p>
    <w:p w14:paraId="00FFF25D" w14:textId="77777777" w:rsidR="00A4794E" w:rsidRPr="00011870" w:rsidRDefault="00A4794E" w:rsidP="00310344">
      <w:pPr>
        <w:rPr>
          <w:rFonts w:asciiTheme="majorHAnsi" w:eastAsiaTheme="majorEastAsia" w:hAnsiTheme="majorHAnsi" w:cstheme="majorBidi"/>
          <w:bCs/>
          <w:iCs/>
          <w:sz w:val="22"/>
          <w:szCs w:val="22"/>
          <w:lang w:val="en-AU"/>
        </w:rPr>
      </w:pPr>
    </w:p>
    <w:p w14:paraId="6E60B131" w14:textId="3B20A9EA" w:rsidR="595E0486" w:rsidRPr="00310344" w:rsidRDefault="595E0486" w:rsidP="00D7748F">
      <w:pPr>
        <w:numPr>
          <w:ilvl w:val="0"/>
          <w:numId w:val="2"/>
        </w:numPr>
        <w:ind w:left="851" w:hanging="426"/>
        <w:contextualSpacing/>
        <w:rPr>
          <w:rFonts w:asciiTheme="majorHAnsi" w:eastAsiaTheme="majorEastAsia" w:hAnsiTheme="majorHAnsi" w:cstheme="majorBidi"/>
          <w:iCs/>
          <w:sz w:val="22"/>
          <w:szCs w:val="22"/>
          <w:lang w:val="en-AU"/>
        </w:rPr>
      </w:pPr>
      <w:r w:rsidRPr="595E0486">
        <w:rPr>
          <w:rFonts w:asciiTheme="majorHAnsi" w:eastAsiaTheme="majorEastAsia" w:hAnsiTheme="majorHAnsi" w:cstheme="majorBidi"/>
          <w:sz w:val="22"/>
          <w:szCs w:val="22"/>
          <w:lang w:val="en-AU"/>
        </w:rPr>
        <w:t xml:space="preserve">Ramsar Regional Initiatives </w:t>
      </w:r>
      <w:r w:rsidR="00A45C3E">
        <w:rPr>
          <w:rFonts w:asciiTheme="majorHAnsi" w:eastAsiaTheme="majorEastAsia" w:hAnsiTheme="majorHAnsi" w:cstheme="majorBidi"/>
          <w:sz w:val="22"/>
          <w:szCs w:val="22"/>
          <w:lang w:val="en-AU"/>
        </w:rPr>
        <w:t xml:space="preserve">(RRIs) </w:t>
      </w:r>
      <w:r w:rsidRPr="595E0486">
        <w:rPr>
          <w:rFonts w:asciiTheme="majorHAnsi" w:eastAsiaTheme="majorEastAsia" w:hAnsiTheme="majorHAnsi" w:cstheme="majorBidi"/>
          <w:sz w:val="22"/>
          <w:szCs w:val="22"/>
          <w:lang w:val="en-AU"/>
        </w:rPr>
        <w:t xml:space="preserve">continued to support the implementation of the Convention through various CEPA activities. During 2019-2022 many RRIs developed CEPA </w:t>
      </w:r>
      <w:r w:rsidR="00A45C3E">
        <w:rPr>
          <w:rFonts w:asciiTheme="majorHAnsi" w:eastAsiaTheme="majorEastAsia" w:hAnsiTheme="majorHAnsi" w:cstheme="majorBidi"/>
          <w:sz w:val="22"/>
          <w:szCs w:val="22"/>
          <w:lang w:val="en-AU"/>
        </w:rPr>
        <w:t>a</w:t>
      </w:r>
      <w:r w:rsidR="00A45C3E" w:rsidRPr="595E0486">
        <w:rPr>
          <w:rFonts w:asciiTheme="majorHAnsi" w:eastAsiaTheme="majorEastAsia" w:hAnsiTheme="majorHAnsi" w:cstheme="majorBidi"/>
          <w:sz w:val="22"/>
          <w:szCs w:val="22"/>
          <w:lang w:val="en-AU"/>
        </w:rPr>
        <w:t xml:space="preserve">ction </w:t>
      </w:r>
      <w:r w:rsidR="00A45C3E">
        <w:rPr>
          <w:rFonts w:asciiTheme="majorHAnsi" w:eastAsiaTheme="majorEastAsia" w:hAnsiTheme="majorHAnsi" w:cstheme="majorBidi"/>
          <w:sz w:val="22"/>
          <w:szCs w:val="22"/>
          <w:lang w:val="en-AU"/>
        </w:rPr>
        <w:t>p</w:t>
      </w:r>
      <w:r w:rsidR="00A45C3E" w:rsidRPr="595E0486">
        <w:rPr>
          <w:rFonts w:asciiTheme="majorHAnsi" w:eastAsiaTheme="majorEastAsia" w:hAnsiTheme="majorHAnsi" w:cstheme="majorBidi"/>
          <w:sz w:val="22"/>
          <w:szCs w:val="22"/>
          <w:lang w:val="en-AU"/>
        </w:rPr>
        <w:t xml:space="preserve">lans </w:t>
      </w:r>
      <w:r w:rsidRPr="595E0486">
        <w:rPr>
          <w:rFonts w:asciiTheme="majorHAnsi" w:eastAsiaTheme="majorEastAsia" w:hAnsiTheme="majorHAnsi" w:cstheme="majorBidi"/>
          <w:sz w:val="22"/>
          <w:szCs w:val="22"/>
          <w:lang w:val="en-AU"/>
        </w:rPr>
        <w:t>and reported on their implementation. Key activities included WWD events, training and capacity-building program</w:t>
      </w:r>
      <w:r w:rsidR="00A45C3E">
        <w:rPr>
          <w:rFonts w:asciiTheme="majorHAnsi" w:eastAsiaTheme="majorEastAsia" w:hAnsiTheme="majorHAnsi" w:cstheme="majorBidi"/>
          <w:sz w:val="22"/>
          <w:szCs w:val="22"/>
          <w:lang w:val="en-AU"/>
        </w:rPr>
        <w:t>me</w:t>
      </w:r>
      <w:r w:rsidRPr="595E0486">
        <w:rPr>
          <w:rFonts w:asciiTheme="majorHAnsi" w:eastAsiaTheme="majorEastAsia" w:hAnsiTheme="majorHAnsi" w:cstheme="majorBidi"/>
          <w:sz w:val="22"/>
          <w:szCs w:val="22"/>
          <w:lang w:val="en-AU"/>
        </w:rPr>
        <w:t>s targeting wetland managers</w:t>
      </w:r>
      <w:r w:rsidR="00A45C3E">
        <w:rPr>
          <w:rFonts w:asciiTheme="majorHAnsi" w:eastAsiaTheme="majorEastAsia" w:hAnsiTheme="majorHAnsi" w:cstheme="majorBidi"/>
          <w:sz w:val="22"/>
          <w:szCs w:val="22"/>
          <w:lang w:val="en-AU"/>
        </w:rPr>
        <w:t>,</w:t>
      </w:r>
      <w:r w:rsidRPr="595E0486">
        <w:rPr>
          <w:rFonts w:asciiTheme="majorHAnsi" w:eastAsiaTheme="majorEastAsia" w:hAnsiTheme="majorHAnsi" w:cstheme="majorBidi"/>
          <w:sz w:val="22"/>
          <w:szCs w:val="22"/>
          <w:lang w:val="en-AU"/>
        </w:rPr>
        <w:t xml:space="preserve"> and the production of communication materials. Details are available in RRI </w:t>
      </w:r>
      <w:r w:rsidR="00A45C3E">
        <w:rPr>
          <w:rFonts w:asciiTheme="majorHAnsi" w:eastAsiaTheme="majorEastAsia" w:hAnsiTheme="majorHAnsi" w:cstheme="majorBidi"/>
          <w:sz w:val="22"/>
          <w:szCs w:val="22"/>
          <w:lang w:val="en-AU"/>
        </w:rPr>
        <w:t>a</w:t>
      </w:r>
      <w:r w:rsidR="00A45C3E" w:rsidRPr="595E0486">
        <w:rPr>
          <w:rFonts w:asciiTheme="majorHAnsi" w:eastAsiaTheme="majorEastAsia" w:hAnsiTheme="majorHAnsi" w:cstheme="majorBidi"/>
          <w:sz w:val="22"/>
          <w:szCs w:val="22"/>
          <w:lang w:val="en-AU"/>
        </w:rPr>
        <w:t xml:space="preserve">nnual </w:t>
      </w:r>
      <w:r w:rsidR="00A45C3E">
        <w:rPr>
          <w:rFonts w:asciiTheme="majorHAnsi" w:eastAsiaTheme="majorEastAsia" w:hAnsiTheme="majorHAnsi" w:cstheme="majorBidi"/>
          <w:sz w:val="22"/>
          <w:szCs w:val="22"/>
          <w:lang w:val="en-AU"/>
        </w:rPr>
        <w:t>r</w:t>
      </w:r>
      <w:r w:rsidR="00A45C3E" w:rsidRPr="595E0486">
        <w:rPr>
          <w:rFonts w:asciiTheme="majorHAnsi" w:eastAsiaTheme="majorEastAsia" w:hAnsiTheme="majorHAnsi" w:cstheme="majorBidi"/>
          <w:sz w:val="22"/>
          <w:szCs w:val="22"/>
          <w:lang w:val="en-AU"/>
        </w:rPr>
        <w:t xml:space="preserve">eports </w:t>
      </w:r>
      <w:r w:rsidRPr="595E0486">
        <w:rPr>
          <w:rFonts w:asciiTheme="majorHAnsi" w:eastAsiaTheme="majorEastAsia" w:hAnsiTheme="majorHAnsi" w:cstheme="majorBidi"/>
          <w:sz w:val="22"/>
          <w:szCs w:val="22"/>
          <w:lang w:val="en-AU"/>
        </w:rPr>
        <w:t>and various Secretariat reports on RRI</w:t>
      </w:r>
      <w:r w:rsidR="00A45C3E">
        <w:rPr>
          <w:rFonts w:asciiTheme="majorHAnsi" w:eastAsiaTheme="majorEastAsia" w:hAnsiTheme="majorHAnsi" w:cstheme="majorBidi"/>
          <w:sz w:val="22"/>
          <w:szCs w:val="22"/>
          <w:lang w:val="en-AU"/>
        </w:rPr>
        <w:t>s</w:t>
      </w:r>
      <w:r w:rsidRPr="595E0486">
        <w:rPr>
          <w:rFonts w:asciiTheme="majorHAnsi" w:eastAsiaTheme="majorEastAsia" w:hAnsiTheme="majorHAnsi" w:cstheme="majorBidi"/>
          <w:sz w:val="22"/>
          <w:szCs w:val="22"/>
          <w:lang w:val="en-AU"/>
        </w:rPr>
        <w:t xml:space="preserve"> to the Standing Committee (SC57-59).</w:t>
      </w:r>
    </w:p>
    <w:p w14:paraId="1DE7428C" w14:textId="6FF51233" w:rsidR="595E0486" w:rsidRDefault="595E0486" w:rsidP="00310344">
      <w:pPr>
        <w:rPr>
          <w:rFonts w:asciiTheme="majorHAnsi" w:eastAsiaTheme="majorEastAsia" w:hAnsiTheme="majorHAnsi" w:cstheme="majorBidi"/>
          <w:sz w:val="22"/>
          <w:szCs w:val="22"/>
          <w:lang w:val="en-AU"/>
        </w:rPr>
      </w:pPr>
    </w:p>
    <w:p w14:paraId="1DA6280A" w14:textId="305C530D" w:rsidR="595E0486" w:rsidRDefault="595E0486" w:rsidP="00D7748F">
      <w:pPr>
        <w:ind w:left="851"/>
        <w:rPr>
          <w:rFonts w:asciiTheme="majorHAnsi" w:eastAsiaTheme="majorEastAsia" w:hAnsiTheme="majorHAnsi" w:cstheme="majorBidi"/>
          <w:sz w:val="22"/>
          <w:szCs w:val="22"/>
          <w:lang w:val="en-AU"/>
        </w:rPr>
      </w:pPr>
      <w:r w:rsidRPr="595E0486">
        <w:rPr>
          <w:rFonts w:asciiTheme="majorHAnsi" w:eastAsiaTheme="majorEastAsia" w:hAnsiTheme="majorHAnsi" w:cstheme="majorBidi"/>
          <w:sz w:val="22"/>
          <w:szCs w:val="22"/>
          <w:lang w:val="en-AU"/>
        </w:rPr>
        <w:t>Key highlights of achievements during this period include:</w:t>
      </w:r>
    </w:p>
    <w:p w14:paraId="12791E06" w14:textId="7261AAA0" w:rsidR="595E0486" w:rsidRDefault="595E0486" w:rsidP="00A4794E">
      <w:pPr>
        <w:rPr>
          <w:rFonts w:asciiTheme="majorHAnsi" w:eastAsiaTheme="majorEastAsia" w:hAnsiTheme="majorHAnsi" w:cstheme="majorBidi"/>
          <w:sz w:val="22"/>
          <w:szCs w:val="22"/>
          <w:lang w:val="en-AU"/>
        </w:rPr>
      </w:pPr>
    </w:p>
    <w:p w14:paraId="5E9D1BC2" w14:textId="4B26FEFF" w:rsidR="595E0486" w:rsidRPr="00310344" w:rsidRDefault="595E0486" w:rsidP="00D7748F">
      <w:pPr>
        <w:pStyle w:val="ListParagraph"/>
        <w:numPr>
          <w:ilvl w:val="1"/>
          <w:numId w:val="2"/>
        </w:numPr>
        <w:ind w:left="1276" w:hanging="425"/>
        <w:rPr>
          <w:rFonts w:asciiTheme="majorHAnsi" w:eastAsiaTheme="majorEastAsia" w:hAnsiTheme="majorHAnsi" w:cstheme="majorBidi"/>
          <w:b/>
          <w:bCs/>
          <w:iCs/>
          <w:sz w:val="22"/>
          <w:szCs w:val="22"/>
          <w:lang w:val="en-AU"/>
        </w:rPr>
      </w:pPr>
      <w:r w:rsidRPr="595E0486">
        <w:rPr>
          <w:rFonts w:asciiTheme="majorHAnsi" w:eastAsiaTheme="majorEastAsia" w:hAnsiTheme="majorHAnsi" w:cstheme="majorBidi"/>
          <w:b/>
          <w:bCs/>
          <w:sz w:val="22"/>
          <w:szCs w:val="22"/>
          <w:lang w:val="en-AU"/>
        </w:rPr>
        <w:t xml:space="preserve">Ramsar Centre for </w:t>
      </w:r>
      <w:r w:rsidRPr="00310344">
        <w:rPr>
          <w:rFonts w:asciiTheme="majorHAnsi" w:eastAsiaTheme="majorEastAsia" w:hAnsiTheme="majorHAnsi" w:cstheme="majorBidi"/>
          <w:b/>
          <w:bCs/>
          <w:sz w:val="22"/>
          <w:szCs w:val="22"/>
          <w:lang w:val="en-AU"/>
        </w:rPr>
        <w:t xml:space="preserve">Eastern Africa </w:t>
      </w:r>
      <w:r w:rsidRPr="00310344">
        <w:rPr>
          <w:rFonts w:asciiTheme="majorHAnsi" w:eastAsiaTheme="majorEastAsia" w:hAnsiTheme="majorHAnsi" w:cstheme="majorBidi"/>
          <w:sz w:val="22"/>
          <w:szCs w:val="22"/>
          <w:lang w:val="en-AU"/>
        </w:rPr>
        <w:t xml:space="preserve">– finalized its CEPA Action Plan, created a website, supported the Earth observation toolbox distribution and conducted a capacity needs assessment on wise use principles for Parties. Completed training for Parties on using earth observation data for wetland monitoring and published a policy brief on the subject matter and SDG 6.6.1 reporting. </w:t>
      </w:r>
    </w:p>
    <w:p w14:paraId="32115594" w14:textId="77777777" w:rsidR="00011870" w:rsidRPr="00310344" w:rsidRDefault="00011870" w:rsidP="00310344">
      <w:pPr>
        <w:rPr>
          <w:rFonts w:asciiTheme="majorHAnsi" w:eastAsiaTheme="majorEastAsia" w:hAnsiTheme="majorHAnsi" w:cstheme="majorBidi"/>
          <w:bCs/>
          <w:iCs/>
          <w:sz w:val="22"/>
          <w:szCs w:val="22"/>
          <w:lang w:val="en-AU"/>
        </w:rPr>
      </w:pPr>
    </w:p>
    <w:p w14:paraId="0514DD2A" w14:textId="263184EB" w:rsidR="595E0486" w:rsidRPr="00310344" w:rsidRDefault="595E0486" w:rsidP="00D7748F">
      <w:pPr>
        <w:pStyle w:val="ListParagraph"/>
        <w:numPr>
          <w:ilvl w:val="1"/>
          <w:numId w:val="2"/>
        </w:numPr>
        <w:ind w:left="1276" w:hanging="425"/>
        <w:rPr>
          <w:rFonts w:asciiTheme="majorHAnsi" w:eastAsiaTheme="majorEastAsia" w:hAnsiTheme="majorHAnsi" w:cstheme="majorBidi"/>
          <w:b/>
          <w:bCs/>
          <w:iCs/>
          <w:sz w:val="22"/>
          <w:szCs w:val="22"/>
          <w:lang w:val="en-AU"/>
        </w:rPr>
      </w:pPr>
      <w:r w:rsidRPr="00310344">
        <w:rPr>
          <w:rFonts w:asciiTheme="majorHAnsi" w:eastAsiaTheme="majorEastAsia" w:hAnsiTheme="majorHAnsi" w:cstheme="majorBidi"/>
          <w:b/>
          <w:bCs/>
          <w:sz w:val="22"/>
          <w:szCs w:val="22"/>
          <w:lang w:val="en-AU"/>
        </w:rPr>
        <w:t>Ramsar Regional Initiative for West African Coastal Zone Wetlands</w:t>
      </w:r>
      <w:r w:rsidRPr="00310344">
        <w:rPr>
          <w:rFonts w:asciiTheme="majorHAnsi" w:eastAsiaTheme="majorEastAsia" w:hAnsiTheme="majorHAnsi" w:cstheme="majorBidi"/>
          <w:sz w:val="22"/>
          <w:szCs w:val="22"/>
          <w:lang w:val="en-AU"/>
        </w:rPr>
        <w:t xml:space="preserve"> – organized a governing board meeting in which 12 countries participated.</w:t>
      </w:r>
    </w:p>
    <w:p w14:paraId="54C500CA" w14:textId="77777777" w:rsidR="00011870" w:rsidRPr="00310344" w:rsidRDefault="00011870" w:rsidP="00310344">
      <w:pPr>
        <w:rPr>
          <w:rFonts w:asciiTheme="majorHAnsi" w:eastAsiaTheme="majorEastAsia" w:hAnsiTheme="majorHAnsi" w:cstheme="majorBidi"/>
          <w:bCs/>
          <w:iCs/>
          <w:sz w:val="22"/>
          <w:szCs w:val="22"/>
          <w:lang w:val="en-AU"/>
        </w:rPr>
      </w:pPr>
    </w:p>
    <w:p w14:paraId="27E2D883" w14:textId="09B8C5C0" w:rsidR="595E0486" w:rsidRPr="00310344" w:rsidRDefault="595E0486" w:rsidP="00D7748F">
      <w:pPr>
        <w:pStyle w:val="ListParagraph"/>
        <w:numPr>
          <w:ilvl w:val="1"/>
          <w:numId w:val="2"/>
        </w:numPr>
        <w:ind w:left="1276" w:hanging="425"/>
        <w:rPr>
          <w:rFonts w:asciiTheme="majorHAnsi" w:eastAsiaTheme="majorEastAsia" w:hAnsiTheme="majorHAnsi" w:cstheme="majorBidi"/>
          <w:b/>
          <w:bCs/>
          <w:iCs/>
          <w:sz w:val="22"/>
          <w:szCs w:val="22"/>
          <w:lang w:val="en-AU"/>
        </w:rPr>
      </w:pPr>
      <w:r w:rsidRPr="00310344">
        <w:rPr>
          <w:rFonts w:asciiTheme="majorHAnsi" w:eastAsiaTheme="majorEastAsia" w:hAnsiTheme="majorHAnsi" w:cstheme="majorBidi"/>
          <w:b/>
          <w:bCs/>
          <w:sz w:val="22"/>
          <w:szCs w:val="22"/>
          <w:lang w:val="en-AU"/>
        </w:rPr>
        <w:t>Ramsar Regional Initiative for the Niger River Basin</w:t>
      </w:r>
      <w:r w:rsidRPr="00310344">
        <w:rPr>
          <w:rFonts w:asciiTheme="majorHAnsi" w:eastAsiaTheme="majorEastAsia" w:hAnsiTheme="majorHAnsi" w:cstheme="majorBidi"/>
          <w:sz w:val="22"/>
          <w:szCs w:val="22"/>
          <w:lang w:val="en-AU"/>
        </w:rPr>
        <w:t xml:space="preserve"> – trained national focal points on </w:t>
      </w:r>
      <w:r w:rsidR="00915C00" w:rsidRPr="00310344">
        <w:rPr>
          <w:rFonts w:asciiTheme="majorHAnsi" w:eastAsiaTheme="majorEastAsia" w:hAnsiTheme="majorHAnsi" w:cstheme="majorBidi"/>
          <w:sz w:val="22"/>
          <w:szCs w:val="22"/>
          <w:lang w:val="en-AU"/>
        </w:rPr>
        <w:t xml:space="preserve">the </w:t>
      </w:r>
      <w:r w:rsidRPr="00310344">
        <w:rPr>
          <w:rFonts w:asciiTheme="majorHAnsi" w:eastAsiaTheme="majorEastAsia" w:hAnsiTheme="majorHAnsi" w:cstheme="majorBidi"/>
          <w:sz w:val="22"/>
          <w:szCs w:val="22"/>
          <w:lang w:val="en-AU"/>
        </w:rPr>
        <w:t xml:space="preserve">United Nations Office for Project Services (UNOPS) project development process and facilitated the translation and publication of statutes and Rules of Procedures of the organization into English. </w:t>
      </w:r>
    </w:p>
    <w:p w14:paraId="4D00CCF0" w14:textId="77777777" w:rsidR="00011870" w:rsidRPr="00310344" w:rsidRDefault="00011870" w:rsidP="00310344">
      <w:pPr>
        <w:rPr>
          <w:rFonts w:asciiTheme="majorHAnsi" w:eastAsiaTheme="majorEastAsia" w:hAnsiTheme="majorHAnsi" w:cstheme="majorBidi"/>
          <w:bCs/>
          <w:iCs/>
          <w:sz w:val="22"/>
          <w:szCs w:val="22"/>
          <w:lang w:val="en-AU"/>
        </w:rPr>
      </w:pPr>
    </w:p>
    <w:p w14:paraId="10531257" w14:textId="0CFE3F04" w:rsidR="595E0486" w:rsidRPr="00310344" w:rsidRDefault="595E0486" w:rsidP="00D7748F">
      <w:pPr>
        <w:pStyle w:val="ListParagraph"/>
        <w:numPr>
          <w:ilvl w:val="1"/>
          <w:numId w:val="2"/>
        </w:numPr>
        <w:ind w:left="1276" w:hanging="425"/>
        <w:rPr>
          <w:rFonts w:asciiTheme="majorHAnsi" w:eastAsiaTheme="majorEastAsia" w:hAnsiTheme="majorHAnsi" w:cstheme="majorBidi"/>
          <w:b/>
          <w:bCs/>
          <w:iCs/>
          <w:sz w:val="22"/>
          <w:szCs w:val="22"/>
          <w:lang w:val="en-AU"/>
        </w:rPr>
      </w:pPr>
      <w:r w:rsidRPr="00310344">
        <w:rPr>
          <w:rFonts w:asciiTheme="majorHAnsi" w:eastAsiaTheme="majorEastAsia" w:hAnsiTheme="majorHAnsi" w:cstheme="majorBidi"/>
          <w:b/>
          <w:bCs/>
          <w:sz w:val="22"/>
          <w:szCs w:val="22"/>
          <w:lang w:val="en-AU"/>
        </w:rPr>
        <w:t xml:space="preserve">Ramsar Regional Initiative for the Senegal River Basin </w:t>
      </w:r>
      <w:r w:rsidRPr="00310344">
        <w:rPr>
          <w:rFonts w:asciiTheme="majorHAnsi" w:eastAsiaTheme="majorEastAsia" w:hAnsiTheme="majorHAnsi" w:cstheme="majorBidi"/>
          <w:sz w:val="22"/>
          <w:szCs w:val="22"/>
          <w:lang w:val="en-AU"/>
        </w:rPr>
        <w:t>– developed a Wetlands Charter for the institution. It sponsored a study on conflicts and water resource use in the Senegal River Basin.</w:t>
      </w:r>
    </w:p>
    <w:p w14:paraId="10C4248B" w14:textId="77777777" w:rsidR="00011870" w:rsidRPr="00310344" w:rsidRDefault="00011870" w:rsidP="00310344">
      <w:pPr>
        <w:rPr>
          <w:rFonts w:asciiTheme="majorHAnsi" w:eastAsiaTheme="majorEastAsia" w:hAnsiTheme="majorHAnsi" w:cstheme="majorBidi"/>
          <w:bCs/>
          <w:iCs/>
          <w:sz w:val="22"/>
          <w:szCs w:val="22"/>
          <w:lang w:val="en-AU"/>
        </w:rPr>
      </w:pPr>
    </w:p>
    <w:p w14:paraId="651D1FB7" w14:textId="1CB8CCBE" w:rsidR="595E0486" w:rsidRPr="00310344" w:rsidRDefault="595E0486" w:rsidP="00D7748F">
      <w:pPr>
        <w:pStyle w:val="ListParagraph"/>
        <w:numPr>
          <w:ilvl w:val="1"/>
          <w:numId w:val="2"/>
        </w:numPr>
        <w:ind w:left="1276" w:hanging="425"/>
        <w:rPr>
          <w:rFonts w:asciiTheme="majorHAnsi" w:eastAsiaTheme="majorEastAsia" w:hAnsiTheme="majorHAnsi" w:cstheme="majorBidi"/>
          <w:b/>
          <w:bCs/>
          <w:iCs/>
          <w:sz w:val="22"/>
          <w:szCs w:val="22"/>
          <w:lang w:val="en-AU"/>
        </w:rPr>
      </w:pPr>
      <w:r w:rsidRPr="00310344">
        <w:rPr>
          <w:rFonts w:asciiTheme="majorHAnsi" w:eastAsiaTheme="majorEastAsia" w:hAnsiTheme="majorHAnsi" w:cstheme="majorBidi"/>
          <w:b/>
          <w:bCs/>
          <w:sz w:val="22"/>
          <w:szCs w:val="22"/>
          <w:lang w:val="en-AU"/>
        </w:rPr>
        <w:t>Regional Initiative for the Conservation and Wise Use of the Plata River Basin</w:t>
      </w:r>
      <w:r w:rsidRPr="00310344">
        <w:rPr>
          <w:rFonts w:asciiTheme="majorHAnsi" w:eastAsiaTheme="majorEastAsia" w:hAnsiTheme="majorHAnsi" w:cstheme="majorBidi"/>
          <w:sz w:val="22"/>
          <w:szCs w:val="22"/>
          <w:lang w:val="en-AU"/>
        </w:rPr>
        <w:t xml:space="preserve"> – conducted training projects for Paraguay and Bolivia.</w:t>
      </w:r>
    </w:p>
    <w:p w14:paraId="78934BDE" w14:textId="77777777" w:rsidR="00011870" w:rsidRPr="00310344" w:rsidRDefault="00011870" w:rsidP="00310344">
      <w:pPr>
        <w:rPr>
          <w:rFonts w:asciiTheme="majorHAnsi" w:eastAsiaTheme="majorEastAsia" w:hAnsiTheme="majorHAnsi" w:cstheme="majorBidi"/>
          <w:bCs/>
          <w:iCs/>
          <w:sz w:val="22"/>
          <w:szCs w:val="22"/>
          <w:lang w:val="en-AU"/>
        </w:rPr>
      </w:pPr>
    </w:p>
    <w:p w14:paraId="528237AD" w14:textId="7CBAE13A" w:rsidR="595E0486" w:rsidRPr="00310344" w:rsidRDefault="595E0486" w:rsidP="00D7748F">
      <w:pPr>
        <w:pStyle w:val="ListParagraph"/>
        <w:numPr>
          <w:ilvl w:val="1"/>
          <w:numId w:val="2"/>
        </w:numPr>
        <w:ind w:left="1276" w:hanging="425"/>
        <w:rPr>
          <w:rFonts w:asciiTheme="majorHAnsi" w:eastAsiaTheme="majorEastAsia" w:hAnsiTheme="majorHAnsi" w:cstheme="majorBidi"/>
          <w:b/>
          <w:bCs/>
          <w:iCs/>
          <w:sz w:val="22"/>
          <w:szCs w:val="22"/>
          <w:lang w:val="en-AU"/>
        </w:rPr>
      </w:pPr>
      <w:r w:rsidRPr="00310344">
        <w:rPr>
          <w:rFonts w:asciiTheme="majorHAnsi" w:eastAsiaTheme="majorEastAsia" w:hAnsiTheme="majorHAnsi" w:cstheme="majorBidi"/>
          <w:b/>
          <w:bCs/>
          <w:sz w:val="22"/>
          <w:szCs w:val="22"/>
          <w:lang w:val="en-AU"/>
        </w:rPr>
        <w:t>Regional Initiative for the Integral Management and Wise Use of Mangroves and Coral Reefs</w:t>
      </w:r>
      <w:r w:rsidRPr="00310344">
        <w:rPr>
          <w:rFonts w:asciiTheme="majorHAnsi" w:eastAsiaTheme="majorEastAsia" w:hAnsiTheme="majorHAnsi" w:cstheme="majorBidi"/>
          <w:sz w:val="22"/>
          <w:szCs w:val="22"/>
          <w:lang w:val="en-AU"/>
        </w:rPr>
        <w:t xml:space="preserve"> – implemented a capacity building project titled </w:t>
      </w:r>
      <w:r w:rsidR="006763A5" w:rsidRPr="00310344">
        <w:rPr>
          <w:rFonts w:asciiTheme="majorHAnsi" w:eastAsiaTheme="majorEastAsia" w:hAnsiTheme="majorHAnsi" w:cstheme="majorBidi"/>
          <w:sz w:val="22"/>
          <w:szCs w:val="22"/>
          <w:lang w:val="en-AU"/>
        </w:rPr>
        <w:t>“</w:t>
      </w:r>
      <w:r w:rsidRPr="00310344">
        <w:rPr>
          <w:rFonts w:asciiTheme="majorHAnsi" w:eastAsiaTheme="majorEastAsia" w:hAnsiTheme="majorHAnsi" w:cstheme="majorBidi"/>
          <w:sz w:val="22"/>
          <w:szCs w:val="22"/>
          <w:lang w:val="en-AU"/>
        </w:rPr>
        <w:t xml:space="preserve">Regional </w:t>
      </w:r>
      <w:r w:rsidR="006763A5" w:rsidRPr="00310344">
        <w:rPr>
          <w:rFonts w:asciiTheme="majorHAnsi" w:eastAsiaTheme="majorEastAsia" w:hAnsiTheme="majorHAnsi" w:cstheme="majorBidi"/>
          <w:sz w:val="22"/>
          <w:szCs w:val="22"/>
          <w:lang w:val="en-AU"/>
        </w:rPr>
        <w:t xml:space="preserve">blue carbon” </w:t>
      </w:r>
      <w:r w:rsidRPr="00310344">
        <w:rPr>
          <w:rFonts w:asciiTheme="majorHAnsi" w:eastAsiaTheme="majorEastAsia" w:hAnsiTheme="majorHAnsi" w:cstheme="majorBidi"/>
          <w:sz w:val="22"/>
          <w:szCs w:val="22"/>
          <w:lang w:val="en-AU"/>
        </w:rPr>
        <w:t>in 2021.</w:t>
      </w:r>
    </w:p>
    <w:p w14:paraId="653292E6" w14:textId="77777777" w:rsidR="00011870" w:rsidRPr="00310344" w:rsidRDefault="00011870" w:rsidP="00310344">
      <w:pPr>
        <w:rPr>
          <w:rFonts w:asciiTheme="majorHAnsi" w:eastAsiaTheme="majorEastAsia" w:hAnsiTheme="majorHAnsi" w:cstheme="majorBidi"/>
          <w:bCs/>
          <w:iCs/>
          <w:sz w:val="22"/>
          <w:szCs w:val="22"/>
          <w:lang w:val="en-AU"/>
        </w:rPr>
      </w:pPr>
    </w:p>
    <w:p w14:paraId="1114447E" w14:textId="099EF6B9" w:rsidR="595E0486" w:rsidRPr="00310344" w:rsidRDefault="595E0486" w:rsidP="00D7748F">
      <w:pPr>
        <w:pStyle w:val="ListParagraph"/>
        <w:numPr>
          <w:ilvl w:val="1"/>
          <w:numId w:val="2"/>
        </w:numPr>
        <w:ind w:left="1276" w:hanging="425"/>
        <w:rPr>
          <w:rFonts w:asciiTheme="majorHAnsi" w:eastAsiaTheme="majorEastAsia" w:hAnsiTheme="majorHAnsi" w:cstheme="majorBidi"/>
          <w:b/>
          <w:bCs/>
          <w:iCs/>
          <w:sz w:val="22"/>
          <w:szCs w:val="22"/>
          <w:lang w:val="en-AU"/>
        </w:rPr>
      </w:pPr>
      <w:r w:rsidRPr="00310344">
        <w:rPr>
          <w:rFonts w:asciiTheme="majorHAnsi" w:eastAsiaTheme="majorEastAsia" w:hAnsiTheme="majorHAnsi" w:cstheme="majorBidi"/>
          <w:b/>
          <w:bCs/>
          <w:sz w:val="22"/>
          <w:szCs w:val="22"/>
          <w:lang w:val="en-AU"/>
        </w:rPr>
        <w:t xml:space="preserve">Mediterranean Wetlands Ramsar Regional Initiative </w:t>
      </w:r>
      <w:r w:rsidRPr="00310344">
        <w:rPr>
          <w:rFonts w:asciiTheme="majorHAnsi" w:eastAsiaTheme="majorEastAsia" w:hAnsiTheme="majorHAnsi" w:cstheme="majorBidi"/>
          <w:sz w:val="22"/>
          <w:szCs w:val="22"/>
          <w:lang w:val="en-AU"/>
        </w:rPr>
        <w:t>– has a specific CEPA programme and successfully operated MedWet Academy</w:t>
      </w:r>
      <w:r w:rsidR="00293643" w:rsidRPr="00310344">
        <w:rPr>
          <w:rFonts w:asciiTheme="majorHAnsi" w:eastAsiaTheme="majorEastAsia" w:hAnsiTheme="majorHAnsi" w:cstheme="majorBidi"/>
          <w:sz w:val="22"/>
          <w:szCs w:val="22"/>
          <w:lang w:val="en-AU"/>
        </w:rPr>
        <w:t>,</w:t>
      </w:r>
      <w:r w:rsidRPr="00310344">
        <w:rPr>
          <w:rFonts w:asciiTheme="majorHAnsi" w:eastAsiaTheme="majorEastAsia" w:hAnsiTheme="majorHAnsi" w:cstheme="majorBidi"/>
          <w:sz w:val="22"/>
          <w:szCs w:val="22"/>
          <w:lang w:val="en-AU"/>
        </w:rPr>
        <w:t xml:space="preserve"> a </w:t>
      </w:r>
      <w:r w:rsidR="00293643" w:rsidRPr="00310344">
        <w:rPr>
          <w:rFonts w:asciiTheme="majorHAnsi" w:eastAsiaTheme="majorEastAsia" w:hAnsiTheme="majorHAnsi" w:cstheme="majorBidi"/>
          <w:sz w:val="22"/>
          <w:szCs w:val="22"/>
          <w:lang w:val="en-AU"/>
        </w:rPr>
        <w:t>three-</w:t>
      </w:r>
      <w:r w:rsidRPr="00310344">
        <w:rPr>
          <w:rFonts w:asciiTheme="majorHAnsi" w:eastAsiaTheme="majorEastAsia" w:hAnsiTheme="majorHAnsi" w:cstheme="majorBidi"/>
          <w:sz w:val="22"/>
          <w:szCs w:val="22"/>
          <w:lang w:val="en-AU"/>
        </w:rPr>
        <w:t>year training program</w:t>
      </w:r>
      <w:r w:rsidR="00293643" w:rsidRPr="00310344">
        <w:rPr>
          <w:rFonts w:asciiTheme="majorHAnsi" w:eastAsiaTheme="majorEastAsia" w:hAnsiTheme="majorHAnsi" w:cstheme="majorBidi"/>
          <w:sz w:val="22"/>
          <w:szCs w:val="22"/>
          <w:lang w:val="en-AU"/>
        </w:rPr>
        <w:t>me</w:t>
      </w:r>
      <w:r w:rsidRPr="00310344">
        <w:rPr>
          <w:rFonts w:asciiTheme="majorHAnsi" w:eastAsiaTheme="majorEastAsia" w:hAnsiTheme="majorHAnsi" w:cstheme="majorBidi"/>
          <w:sz w:val="22"/>
          <w:szCs w:val="22"/>
          <w:lang w:val="en-AU"/>
        </w:rPr>
        <w:t xml:space="preserve"> for wetland managers</w:t>
      </w:r>
      <w:r w:rsidR="00293643" w:rsidRPr="00310344">
        <w:rPr>
          <w:rFonts w:asciiTheme="majorHAnsi" w:eastAsiaTheme="majorEastAsia" w:hAnsiTheme="majorHAnsi" w:cstheme="majorBidi"/>
          <w:sz w:val="22"/>
          <w:szCs w:val="22"/>
          <w:lang w:val="en-AU"/>
        </w:rPr>
        <w:t>,</w:t>
      </w:r>
      <w:r w:rsidRPr="00310344">
        <w:rPr>
          <w:rFonts w:asciiTheme="majorHAnsi" w:eastAsiaTheme="majorEastAsia" w:hAnsiTheme="majorHAnsi" w:cstheme="majorBidi"/>
          <w:sz w:val="22"/>
          <w:szCs w:val="22"/>
          <w:lang w:val="en-AU"/>
        </w:rPr>
        <w:t xml:space="preserve"> as well as promoting wetland activities through communication campaigns, webinars, its newsletter, website and social media. MedWet has been coordinating WWD activities throughout the Mediterranean basin since 2020, compiling lists of all events</w:t>
      </w:r>
      <w:r w:rsidR="00293643" w:rsidRPr="00310344">
        <w:rPr>
          <w:rFonts w:asciiTheme="majorHAnsi" w:eastAsiaTheme="majorEastAsia" w:hAnsiTheme="majorHAnsi" w:cstheme="majorBidi"/>
          <w:sz w:val="22"/>
          <w:szCs w:val="22"/>
          <w:lang w:val="en-AU"/>
        </w:rPr>
        <w:t>,</w:t>
      </w:r>
      <w:r w:rsidRPr="00310344">
        <w:rPr>
          <w:rFonts w:asciiTheme="majorHAnsi" w:eastAsiaTheme="majorEastAsia" w:hAnsiTheme="majorHAnsi" w:cstheme="majorBidi"/>
          <w:sz w:val="22"/>
          <w:szCs w:val="22"/>
          <w:lang w:val="en-AU"/>
        </w:rPr>
        <w:t xml:space="preserve"> and it launched in 2022 a call for awareness-raising projects, out of which the 35 best ones were provided with financial support. Since 2020, MedWet </w:t>
      </w:r>
      <w:r w:rsidR="00293643" w:rsidRPr="00310344">
        <w:rPr>
          <w:rFonts w:asciiTheme="majorHAnsi" w:eastAsiaTheme="majorEastAsia" w:hAnsiTheme="majorHAnsi" w:cstheme="majorBidi"/>
          <w:sz w:val="22"/>
          <w:szCs w:val="22"/>
          <w:lang w:val="en-AU"/>
        </w:rPr>
        <w:t xml:space="preserve">has been </w:t>
      </w:r>
      <w:r w:rsidRPr="00310344">
        <w:rPr>
          <w:rFonts w:asciiTheme="majorHAnsi" w:eastAsiaTheme="majorEastAsia" w:hAnsiTheme="majorHAnsi" w:cstheme="majorBidi"/>
          <w:sz w:val="22"/>
          <w:szCs w:val="22"/>
          <w:lang w:val="en-AU"/>
        </w:rPr>
        <w:t>translating Ramsar’s awareness tools into Arabic for wider distribution.</w:t>
      </w:r>
    </w:p>
    <w:p w14:paraId="51DD30A6" w14:textId="77777777" w:rsidR="00011870" w:rsidRPr="00310344" w:rsidRDefault="00011870" w:rsidP="00310344">
      <w:pPr>
        <w:rPr>
          <w:rFonts w:asciiTheme="majorHAnsi" w:eastAsiaTheme="majorEastAsia" w:hAnsiTheme="majorHAnsi" w:cstheme="majorBidi"/>
          <w:bCs/>
          <w:iCs/>
          <w:sz w:val="22"/>
          <w:szCs w:val="22"/>
          <w:lang w:val="en-AU"/>
        </w:rPr>
      </w:pPr>
    </w:p>
    <w:p w14:paraId="2AF5068E" w14:textId="425597A8" w:rsidR="595E0486" w:rsidRPr="00310344" w:rsidRDefault="595E0486" w:rsidP="00D7748F">
      <w:pPr>
        <w:pStyle w:val="ListParagraph"/>
        <w:numPr>
          <w:ilvl w:val="1"/>
          <w:numId w:val="2"/>
        </w:numPr>
        <w:ind w:left="1276" w:hanging="425"/>
        <w:rPr>
          <w:rFonts w:asciiTheme="majorHAnsi" w:eastAsiaTheme="majorEastAsia" w:hAnsiTheme="majorHAnsi" w:cstheme="majorBidi"/>
          <w:b/>
          <w:bCs/>
          <w:iCs/>
          <w:sz w:val="22"/>
          <w:szCs w:val="22"/>
          <w:lang w:val="en-AU"/>
        </w:rPr>
      </w:pPr>
      <w:r w:rsidRPr="00310344">
        <w:rPr>
          <w:rFonts w:asciiTheme="majorHAnsi" w:eastAsiaTheme="majorEastAsia" w:hAnsiTheme="majorHAnsi" w:cstheme="majorBidi"/>
          <w:b/>
          <w:bCs/>
          <w:sz w:val="22"/>
          <w:szCs w:val="22"/>
          <w:lang w:val="en-AU"/>
        </w:rPr>
        <w:t>Carpathian Wetland Ramsar Regional Initiative</w:t>
      </w:r>
      <w:r w:rsidRPr="00310344">
        <w:rPr>
          <w:rFonts w:asciiTheme="majorHAnsi" w:eastAsiaTheme="majorEastAsia" w:hAnsiTheme="majorHAnsi" w:cstheme="majorBidi"/>
          <w:sz w:val="22"/>
          <w:szCs w:val="22"/>
          <w:lang w:val="en-AU"/>
        </w:rPr>
        <w:t xml:space="preserve"> – has been operating its regional wetland centre and developed </w:t>
      </w:r>
      <w:r w:rsidR="004F17B4" w:rsidRPr="00310344">
        <w:rPr>
          <w:rFonts w:asciiTheme="majorHAnsi" w:eastAsiaTheme="majorEastAsia" w:hAnsiTheme="majorHAnsi" w:cstheme="majorBidi"/>
          <w:sz w:val="22"/>
          <w:szCs w:val="22"/>
          <w:lang w:val="en-AU"/>
        </w:rPr>
        <w:t xml:space="preserve">a </w:t>
      </w:r>
      <w:r w:rsidRPr="00310344">
        <w:rPr>
          <w:rFonts w:asciiTheme="majorHAnsi" w:eastAsiaTheme="majorEastAsia" w:hAnsiTheme="majorHAnsi" w:cstheme="majorBidi"/>
          <w:sz w:val="22"/>
          <w:szCs w:val="22"/>
          <w:lang w:val="en-AU"/>
        </w:rPr>
        <w:t>training program</w:t>
      </w:r>
      <w:r w:rsidR="004F17B4" w:rsidRPr="00310344">
        <w:rPr>
          <w:rFonts w:asciiTheme="majorHAnsi" w:eastAsiaTheme="majorEastAsia" w:hAnsiTheme="majorHAnsi" w:cstheme="majorBidi"/>
          <w:sz w:val="22"/>
          <w:szCs w:val="22"/>
          <w:lang w:val="en-AU"/>
        </w:rPr>
        <w:t>me</w:t>
      </w:r>
      <w:r w:rsidRPr="00310344">
        <w:rPr>
          <w:rFonts w:asciiTheme="majorHAnsi" w:eastAsiaTheme="majorEastAsia" w:hAnsiTheme="majorHAnsi" w:cstheme="majorBidi"/>
          <w:sz w:val="22"/>
          <w:szCs w:val="22"/>
          <w:lang w:val="en-AU"/>
        </w:rPr>
        <w:t xml:space="preserve"> on wetland management and restoration. It has published information booklets on </w:t>
      </w:r>
      <w:r w:rsidR="004F17B4" w:rsidRPr="00310344">
        <w:rPr>
          <w:rFonts w:asciiTheme="majorHAnsi" w:eastAsiaTheme="majorEastAsia" w:hAnsiTheme="majorHAnsi" w:cstheme="majorBidi"/>
          <w:sz w:val="22"/>
          <w:szCs w:val="22"/>
          <w:lang w:val="en-AU"/>
        </w:rPr>
        <w:t xml:space="preserve">the Initiative </w:t>
      </w:r>
      <w:r w:rsidRPr="00310344">
        <w:rPr>
          <w:rFonts w:asciiTheme="majorHAnsi" w:eastAsiaTheme="majorEastAsia" w:hAnsiTheme="majorHAnsi" w:cstheme="majorBidi"/>
          <w:sz w:val="22"/>
          <w:szCs w:val="22"/>
          <w:lang w:val="en-AU"/>
        </w:rPr>
        <w:t xml:space="preserve">and </w:t>
      </w:r>
      <w:r w:rsidR="004F17B4" w:rsidRPr="00310344">
        <w:rPr>
          <w:rFonts w:asciiTheme="majorHAnsi" w:eastAsiaTheme="majorEastAsia" w:hAnsiTheme="majorHAnsi" w:cstheme="majorBidi"/>
          <w:sz w:val="22"/>
          <w:szCs w:val="22"/>
          <w:lang w:val="en-AU"/>
        </w:rPr>
        <w:t xml:space="preserve">on </w:t>
      </w:r>
      <w:r w:rsidRPr="00310344">
        <w:rPr>
          <w:rFonts w:asciiTheme="majorHAnsi" w:eastAsiaTheme="majorEastAsia" w:hAnsiTheme="majorHAnsi" w:cstheme="majorBidi"/>
          <w:sz w:val="22"/>
          <w:szCs w:val="22"/>
          <w:lang w:val="en-AU"/>
        </w:rPr>
        <w:t xml:space="preserve">Carpathian wetlands as </w:t>
      </w:r>
      <w:r w:rsidR="00011870" w:rsidRPr="00310344">
        <w:rPr>
          <w:rFonts w:asciiTheme="majorHAnsi" w:eastAsiaTheme="majorEastAsia" w:hAnsiTheme="majorHAnsi" w:cstheme="majorBidi"/>
          <w:sz w:val="22"/>
          <w:szCs w:val="22"/>
          <w:lang w:val="en-AU"/>
        </w:rPr>
        <w:t>well as translating guidelines.</w:t>
      </w:r>
    </w:p>
    <w:p w14:paraId="4D9CE6F8" w14:textId="77777777" w:rsidR="00011870" w:rsidRPr="00310344" w:rsidRDefault="00011870" w:rsidP="00310344">
      <w:pPr>
        <w:rPr>
          <w:rFonts w:asciiTheme="majorHAnsi" w:eastAsiaTheme="majorEastAsia" w:hAnsiTheme="majorHAnsi" w:cstheme="majorBidi"/>
          <w:bCs/>
          <w:iCs/>
          <w:sz w:val="22"/>
          <w:szCs w:val="22"/>
          <w:lang w:val="en-AU"/>
        </w:rPr>
      </w:pPr>
    </w:p>
    <w:p w14:paraId="1F782A39" w14:textId="70B8AACF" w:rsidR="595E0486" w:rsidRPr="00310344" w:rsidRDefault="595E0486" w:rsidP="00D7748F">
      <w:pPr>
        <w:pStyle w:val="ListParagraph"/>
        <w:numPr>
          <w:ilvl w:val="1"/>
          <w:numId w:val="2"/>
        </w:numPr>
        <w:ind w:left="1276" w:hanging="425"/>
        <w:rPr>
          <w:rFonts w:asciiTheme="majorHAnsi" w:eastAsiaTheme="majorEastAsia" w:hAnsiTheme="majorHAnsi" w:cstheme="majorBidi"/>
          <w:b/>
          <w:bCs/>
          <w:iCs/>
          <w:sz w:val="22"/>
          <w:szCs w:val="22"/>
          <w:lang w:val="en-AU"/>
        </w:rPr>
      </w:pPr>
      <w:r w:rsidRPr="00310344">
        <w:rPr>
          <w:rFonts w:asciiTheme="majorHAnsi" w:eastAsiaTheme="majorEastAsia" w:hAnsiTheme="majorHAnsi" w:cstheme="majorBidi"/>
          <w:b/>
          <w:bCs/>
          <w:sz w:val="22"/>
          <w:szCs w:val="22"/>
          <w:lang w:val="en-AU"/>
        </w:rPr>
        <w:lastRenderedPageBreak/>
        <w:t>Nordic-Baltic Wetlands Ramsar Regional Initiative</w:t>
      </w:r>
      <w:r w:rsidRPr="00310344">
        <w:rPr>
          <w:rFonts w:asciiTheme="majorHAnsi" w:eastAsiaTheme="majorEastAsia" w:hAnsiTheme="majorHAnsi" w:cstheme="majorBidi"/>
          <w:sz w:val="22"/>
          <w:szCs w:val="22"/>
          <w:lang w:val="en-AU"/>
        </w:rPr>
        <w:t xml:space="preserve"> – </w:t>
      </w:r>
      <w:r w:rsidR="00A2177E" w:rsidRPr="00310344">
        <w:rPr>
          <w:rFonts w:asciiTheme="majorHAnsi" w:eastAsiaTheme="majorEastAsia" w:hAnsiTheme="majorHAnsi" w:cstheme="majorBidi"/>
          <w:sz w:val="22"/>
          <w:szCs w:val="22"/>
          <w:lang w:val="en-AU"/>
        </w:rPr>
        <w:t xml:space="preserve">countries within the initiative have organized WWD events and maintained </w:t>
      </w:r>
      <w:r w:rsidRPr="00310344">
        <w:rPr>
          <w:rFonts w:asciiTheme="majorHAnsi" w:eastAsiaTheme="majorEastAsia" w:hAnsiTheme="majorHAnsi" w:cstheme="majorBidi"/>
          <w:sz w:val="22"/>
          <w:szCs w:val="22"/>
          <w:lang w:val="en-AU"/>
        </w:rPr>
        <w:t>information websites.</w:t>
      </w:r>
    </w:p>
    <w:p w14:paraId="777DCAD9" w14:textId="77777777" w:rsidR="00011870" w:rsidRPr="00310344" w:rsidRDefault="00011870" w:rsidP="00310344">
      <w:pPr>
        <w:rPr>
          <w:rFonts w:asciiTheme="majorHAnsi" w:eastAsiaTheme="majorEastAsia" w:hAnsiTheme="majorHAnsi" w:cstheme="majorBidi"/>
          <w:bCs/>
          <w:iCs/>
          <w:sz w:val="22"/>
          <w:szCs w:val="22"/>
          <w:lang w:val="en-AU"/>
        </w:rPr>
      </w:pPr>
    </w:p>
    <w:p w14:paraId="6682A663" w14:textId="6A9DA777" w:rsidR="595E0486" w:rsidRPr="00310344" w:rsidRDefault="595E0486" w:rsidP="00D7748F">
      <w:pPr>
        <w:pStyle w:val="ListParagraph"/>
        <w:numPr>
          <w:ilvl w:val="1"/>
          <w:numId w:val="2"/>
        </w:numPr>
        <w:ind w:left="1276" w:hanging="425"/>
        <w:rPr>
          <w:rFonts w:asciiTheme="majorHAnsi" w:eastAsiaTheme="majorEastAsia" w:hAnsiTheme="majorHAnsi" w:cstheme="majorBidi"/>
          <w:b/>
          <w:bCs/>
          <w:iCs/>
          <w:sz w:val="22"/>
          <w:szCs w:val="22"/>
          <w:lang w:val="en-AU"/>
        </w:rPr>
      </w:pPr>
      <w:r w:rsidRPr="00310344">
        <w:rPr>
          <w:rFonts w:asciiTheme="majorHAnsi" w:eastAsiaTheme="majorEastAsia" w:hAnsiTheme="majorHAnsi" w:cstheme="majorBidi"/>
          <w:b/>
          <w:bCs/>
          <w:sz w:val="22"/>
          <w:szCs w:val="22"/>
          <w:lang w:val="en-AU"/>
        </w:rPr>
        <w:t>Ramsar Regional Initiative on Black and Azov Seas Coastal Wetlands</w:t>
      </w:r>
      <w:r w:rsidRPr="00310344">
        <w:rPr>
          <w:rFonts w:asciiTheme="majorHAnsi" w:eastAsiaTheme="majorEastAsia" w:hAnsiTheme="majorHAnsi" w:cstheme="majorBidi"/>
          <w:sz w:val="22"/>
          <w:szCs w:val="22"/>
          <w:lang w:val="en-AU"/>
        </w:rPr>
        <w:t xml:space="preserve"> – has created web</w:t>
      </w:r>
      <w:r w:rsidR="00405E53" w:rsidRPr="00310344">
        <w:rPr>
          <w:rFonts w:asciiTheme="majorHAnsi" w:eastAsiaTheme="majorEastAsia" w:hAnsiTheme="majorHAnsi" w:cstheme="majorBidi"/>
          <w:sz w:val="22"/>
          <w:szCs w:val="22"/>
          <w:lang w:val="en-AU"/>
        </w:rPr>
        <w:t xml:space="preserve"> </w:t>
      </w:r>
      <w:r w:rsidRPr="00310344">
        <w:rPr>
          <w:rFonts w:asciiTheme="majorHAnsi" w:eastAsiaTheme="majorEastAsia" w:hAnsiTheme="majorHAnsi" w:cstheme="majorBidi"/>
          <w:sz w:val="22"/>
          <w:szCs w:val="22"/>
          <w:lang w:val="en-AU"/>
        </w:rPr>
        <w:t>resources and organized several public awareness activities e.g. WWD activities, activities</w:t>
      </w:r>
      <w:r w:rsidR="006A63FF" w:rsidRPr="00310344">
        <w:rPr>
          <w:rFonts w:asciiTheme="majorHAnsi" w:eastAsiaTheme="majorEastAsia" w:hAnsiTheme="majorHAnsi" w:cstheme="majorBidi"/>
          <w:sz w:val="22"/>
          <w:szCs w:val="22"/>
          <w:lang w:val="en-AU"/>
        </w:rPr>
        <w:t xml:space="preserve"> on restoration of the Danube Delta</w:t>
      </w:r>
      <w:r w:rsidRPr="00310344">
        <w:rPr>
          <w:rFonts w:asciiTheme="majorHAnsi" w:eastAsiaTheme="majorEastAsia" w:hAnsiTheme="majorHAnsi" w:cstheme="majorBidi"/>
          <w:sz w:val="22"/>
          <w:szCs w:val="22"/>
          <w:lang w:val="en-AU"/>
        </w:rPr>
        <w:t>.</w:t>
      </w:r>
    </w:p>
    <w:p w14:paraId="3BC2787D" w14:textId="77777777" w:rsidR="00011870" w:rsidRPr="00310344" w:rsidRDefault="00011870" w:rsidP="00310344">
      <w:pPr>
        <w:rPr>
          <w:rFonts w:asciiTheme="majorHAnsi" w:eastAsiaTheme="majorEastAsia" w:hAnsiTheme="majorHAnsi" w:cstheme="majorBidi"/>
          <w:bCs/>
          <w:iCs/>
          <w:sz w:val="22"/>
          <w:szCs w:val="22"/>
          <w:lang w:val="en-AU"/>
        </w:rPr>
      </w:pPr>
    </w:p>
    <w:p w14:paraId="552EA02E" w14:textId="0D98A3C5" w:rsidR="595E0486" w:rsidRPr="00310344" w:rsidRDefault="595E0486" w:rsidP="00D7748F">
      <w:pPr>
        <w:pStyle w:val="ListParagraph"/>
        <w:numPr>
          <w:ilvl w:val="1"/>
          <w:numId w:val="2"/>
        </w:numPr>
        <w:ind w:left="1276" w:hanging="425"/>
        <w:rPr>
          <w:rFonts w:asciiTheme="majorHAnsi" w:eastAsiaTheme="majorEastAsia" w:hAnsiTheme="majorHAnsi" w:cstheme="majorBidi"/>
          <w:b/>
          <w:bCs/>
          <w:iCs/>
          <w:sz w:val="22"/>
          <w:szCs w:val="22"/>
          <w:lang w:val="en-AU"/>
        </w:rPr>
      </w:pPr>
      <w:r w:rsidRPr="00310344">
        <w:rPr>
          <w:rFonts w:asciiTheme="majorHAnsi" w:eastAsiaTheme="majorEastAsia" w:hAnsiTheme="majorHAnsi" w:cstheme="majorBidi"/>
          <w:b/>
          <w:bCs/>
          <w:sz w:val="22"/>
          <w:szCs w:val="22"/>
          <w:lang w:val="en-AU"/>
        </w:rPr>
        <w:t>Ramsar Regional Centre – East Asia</w:t>
      </w:r>
      <w:r w:rsidRPr="00310344">
        <w:rPr>
          <w:rFonts w:asciiTheme="majorHAnsi" w:eastAsiaTheme="majorEastAsia" w:hAnsiTheme="majorHAnsi" w:cstheme="majorBidi"/>
          <w:sz w:val="22"/>
          <w:szCs w:val="22"/>
          <w:lang w:val="en-AU"/>
        </w:rPr>
        <w:t xml:space="preserve"> – provides multiple training programme</w:t>
      </w:r>
      <w:r w:rsidR="004F17B4" w:rsidRPr="00310344">
        <w:rPr>
          <w:rFonts w:asciiTheme="majorHAnsi" w:eastAsiaTheme="majorEastAsia" w:hAnsiTheme="majorHAnsi" w:cstheme="majorBidi"/>
          <w:sz w:val="22"/>
          <w:szCs w:val="22"/>
          <w:lang w:val="en-AU"/>
        </w:rPr>
        <w:t>s</w:t>
      </w:r>
      <w:r w:rsidRPr="00310344">
        <w:rPr>
          <w:rFonts w:asciiTheme="majorHAnsi" w:eastAsiaTheme="majorEastAsia" w:hAnsiTheme="majorHAnsi" w:cstheme="majorBidi"/>
          <w:sz w:val="22"/>
          <w:szCs w:val="22"/>
          <w:lang w:val="en-AU"/>
        </w:rPr>
        <w:t xml:space="preserve"> for wetland managers as well as developing training modules. It operates </w:t>
      </w:r>
      <w:r w:rsidR="004F17B4" w:rsidRPr="00310344">
        <w:rPr>
          <w:rFonts w:asciiTheme="majorHAnsi" w:eastAsiaTheme="majorEastAsia" w:hAnsiTheme="majorHAnsi" w:cstheme="majorBidi"/>
          <w:sz w:val="22"/>
          <w:szCs w:val="22"/>
          <w:lang w:val="en-AU"/>
        </w:rPr>
        <w:t xml:space="preserve">a </w:t>
      </w:r>
      <w:r w:rsidRPr="00310344">
        <w:rPr>
          <w:rFonts w:asciiTheme="majorHAnsi" w:eastAsiaTheme="majorEastAsia" w:hAnsiTheme="majorHAnsi" w:cstheme="majorBidi"/>
          <w:sz w:val="22"/>
          <w:szCs w:val="22"/>
          <w:lang w:val="en-AU"/>
        </w:rPr>
        <w:t xml:space="preserve">website, web magazine, and developed contents for social media such as YouTube. </w:t>
      </w:r>
    </w:p>
    <w:p w14:paraId="591FBC03" w14:textId="77777777" w:rsidR="00011870" w:rsidRPr="00310344" w:rsidRDefault="00011870" w:rsidP="00310344">
      <w:pPr>
        <w:rPr>
          <w:rFonts w:asciiTheme="majorHAnsi" w:eastAsiaTheme="majorEastAsia" w:hAnsiTheme="majorHAnsi" w:cstheme="majorBidi"/>
          <w:bCs/>
          <w:iCs/>
          <w:sz w:val="22"/>
          <w:szCs w:val="22"/>
          <w:lang w:val="en-AU"/>
        </w:rPr>
      </w:pPr>
    </w:p>
    <w:p w14:paraId="1031C8DE" w14:textId="6C00BD11" w:rsidR="595E0486" w:rsidRPr="00310344" w:rsidRDefault="595E0486" w:rsidP="00D7748F">
      <w:pPr>
        <w:pStyle w:val="ListParagraph"/>
        <w:numPr>
          <w:ilvl w:val="1"/>
          <w:numId w:val="2"/>
        </w:numPr>
        <w:ind w:left="1276" w:hanging="425"/>
        <w:rPr>
          <w:rFonts w:asciiTheme="majorHAnsi" w:eastAsiaTheme="majorEastAsia" w:hAnsiTheme="majorHAnsi" w:cstheme="majorBidi"/>
          <w:b/>
          <w:bCs/>
          <w:iCs/>
          <w:sz w:val="22"/>
          <w:szCs w:val="22"/>
          <w:lang w:val="en-AU"/>
        </w:rPr>
      </w:pPr>
      <w:r w:rsidRPr="00310344">
        <w:rPr>
          <w:rFonts w:asciiTheme="majorHAnsi" w:eastAsiaTheme="majorEastAsia" w:hAnsiTheme="majorHAnsi" w:cstheme="majorBidi"/>
          <w:b/>
          <w:bCs/>
          <w:sz w:val="22"/>
          <w:szCs w:val="22"/>
          <w:lang w:val="en-AU"/>
        </w:rPr>
        <w:t>East Asian-Australasian Flyway Partnership</w:t>
      </w:r>
      <w:r w:rsidRPr="00310344">
        <w:rPr>
          <w:rFonts w:asciiTheme="majorHAnsi" w:eastAsiaTheme="majorEastAsia" w:hAnsiTheme="majorHAnsi" w:cstheme="majorBidi"/>
          <w:sz w:val="22"/>
          <w:szCs w:val="22"/>
          <w:lang w:val="en-AU"/>
        </w:rPr>
        <w:t xml:space="preserve"> – organized 100 webinars, operates a resource webpage for site managers, cases studies, training manual, provides small grant in celebration of the World Migratory Bird Day, Youth Think Tank Competition and Civil Walking Festival to promote awareness.</w:t>
      </w:r>
    </w:p>
    <w:p w14:paraId="736233BA" w14:textId="77777777" w:rsidR="00011870" w:rsidRPr="00310344" w:rsidRDefault="00011870" w:rsidP="00310344">
      <w:pPr>
        <w:rPr>
          <w:rFonts w:asciiTheme="majorHAnsi" w:eastAsiaTheme="majorEastAsia" w:hAnsiTheme="majorHAnsi" w:cstheme="majorBidi"/>
          <w:bCs/>
          <w:iCs/>
          <w:sz w:val="22"/>
          <w:szCs w:val="22"/>
          <w:lang w:val="en-AU"/>
        </w:rPr>
      </w:pPr>
    </w:p>
    <w:p w14:paraId="3B17FF91" w14:textId="3811C3B4" w:rsidR="595E0486" w:rsidRPr="00310344" w:rsidRDefault="595E0486" w:rsidP="00D7748F">
      <w:pPr>
        <w:pStyle w:val="ListParagraph"/>
        <w:numPr>
          <w:ilvl w:val="1"/>
          <w:numId w:val="2"/>
        </w:numPr>
        <w:ind w:left="1276" w:hanging="425"/>
        <w:rPr>
          <w:rFonts w:asciiTheme="majorHAnsi" w:eastAsiaTheme="majorEastAsia" w:hAnsiTheme="majorHAnsi" w:cstheme="majorBidi"/>
          <w:b/>
          <w:bCs/>
          <w:iCs/>
          <w:sz w:val="22"/>
          <w:szCs w:val="22"/>
          <w:lang w:val="en-AU"/>
        </w:rPr>
      </w:pPr>
      <w:r w:rsidRPr="00310344">
        <w:rPr>
          <w:rFonts w:asciiTheme="majorHAnsi" w:eastAsiaTheme="majorEastAsia" w:hAnsiTheme="majorHAnsi" w:cstheme="majorBidi"/>
          <w:b/>
          <w:bCs/>
          <w:sz w:val="22"/>
          <w:szCs w:val="22"/>
          <w:lang w:val="en-AU"/>
        </w:rPr>
        <w:t>Ramsar Regional Centre - Central and West Asia</w:t>
      </w:r>
      <w:r w:rsidRPr="00310344">
        <w:rPr>
          <w:rFonts w:asciiTheme="majorHAnsi" w:eastAsiaTheme="majorEastAsia" w:hAnsiTheme="majorHAnsi" w:cstheme="majorBidi"/>
          <w:sz w:val="22"/>
          <w:szCs w:val="22"/>
          <w:lang w:val="en-AU"/>
        </w:rPr>
        <w:t xml:space="preserve"> – has conducted virtual training workshops and organized WWD activities</w:t>
      </w:r>
    </w:p>
    <w:p w14:paraId="1A6EEA10" w14:textId="77777777" w:rsidR="00011870" w:rsidRPr="00310344" w:rsidRDefault="00011870" w:rsidP="00310344">
      <w:pPr>
        <w:rPr>
          <w:rFonts w:asciiTheme="majorHAnsi" w:eastAsiaTheme="majorEastAsia" w:hAnsiTheme="majorHAnsi" w:cstheme="majorBidi"/>
          <w:bCs/>
          <w:iCs/>
          <w:sz w:val="22"/>
          <w:szCs w:val="22"/>
          <w:lang w:val="en-AU"/>
        </w:rPr>
      </w:pPr>
    </w:p>
    <w:p w14:paraId="14183E49" w14:textId="481F1E23" w:rsidR="595E0486" w:rsidRPr="00310344" w:rsidRDefault="595E0486" w:rsidP="00D7748F">
      <w:pPr>
        <w:pStyle w:val="ListParagraph"/>
        <w:numPr>
          <w:ilvl w:val="1"/>
          <w:numId w:val="2"/>
        </w:numPr>
        <w:ind w:left="1276" w:hanging="425"/>
        <w:rPr>
          <w:rFonts w:asciiTheme="majorHAnsi" w:eastAsiaTheme="majorEastAsia" w:hAnsiTheme="majorHAnsi" w:cstheme="majorBidi"/>
          <w:b/>
          <w:bCs/>
          <w:iCs/>
          <w:sz w:val="22"/>
          <w:szCs w:val="22"/>
          <w:lang w:val="en-AU"/>
        </w:rPr>
      </w:pPr>
      <w:r w:rsidRPr="00310344">
        <w:rPr>
          <w:rFonts w:asciiTheme="majorHAnsi" w:eastAsiaTheme="majorEastAsia" w:hAnsiTheme="majorHAnsi" w:cstheme="majorBidi"/>
          <w:b/>
          <w:bCs/>
          <w:sz w:val="22"/>
          <w:szCs w:val="22"/>
          <w:lang w:val="en-AU"/>
        </w:rPr>
        <w:t xml:space="preserve">Ramsar Regional Initiative for Central Asia </w:t>
      </w:r>
      <w:r w:rsidRPr="00310344">
        <w:rPr>
          <w:rFonts w:asciiTheme="majorHAnsi" w:eastAsiaTheme="majorEastAsia" w:hAnsiTheme="majorHAnsi" w:cstheme="majorBidi"/>
          <w:sz w:val="22"/>
          <w:szCs w:val="22"/>
          <w:lang w:val="en-AU"/>
        </w:rPr>
        <w:t>– has organized WWD events, developed Communication Strategy and conducted eco-tourism assessment of a wetland site in its member countries.</w:t>
      </w:r>
    </w:p>
    <w:p w14:paraId="6CD4012D" w14:textId="77777777" w:rsidR="00011870" w:rsidRPr="00310344" w:rsidRDefault="00011870" w:rsidP="00310344">
      <w:pPr>
        <w:rPr>
          <w:rFonts w:asciiTheme="majorHAnsi" w:eastAsiaTheme="majorEastAsia" w:hAnsiTheme="majorHAnsi" w:cstheme="majorBidi"/>
          <w:bCs/>
          <w:iCs/>
          <w:sz w:val="22"/>
          <w:szCs w:val="22"/>
          <w:lang w:val="en-AU"/>
        </w:rPr>
      </w:pPr>
    </w:p>
    <w:p w14:paraId="25C1C43C" w14:textId="58654B87" w:rsidR="595E0486" w:rsidRPr="00310344" w:rsidRDefault="595E0486" w:rsidP="00D7748F">
      <w:pPr>
        <w:pStyle w:val="ListParagraph"/>
        <w:numPr>
          <w:ilvl w:val="1"/>
          <w:numId w:val="2"/>
        </w:numPr>
        <w:ind w:left="1276" w:hanging="425"/>
        <w:rPr>
          <w:rFonts w:asciiTheme="majorHAnsi" w:eastAsiaTheme="majorEastAsia" w:hAnsiTheme="majorHAnsi" w:cstheme="majorBidi"/>
          <w:b/>
          <w:bCs/>
          <w:iCs/>
          <w:sz w:val="22"/>
          <w:szCs w:val="22"/>
          <w:lang w:val="en-AU"/>
        </w:rPr>
      </w:pPr>
      <w:r w:rsidRPr="00310344">
        <w:rPr>
          <w:rFonts w:asciiTheme="majorHAnsi" w:eastAsiaTheme="majorEastAsia" w:hAnsiTheme="majorHAnsi" w:cstheme="majorBidi"/>
          <w:b/>
          <w:bCs/>
          <w:sz w:val="22"/>
          <w:szCs w:val="22"/>
          <w:lang w:val="en-AU"/>
        </w:rPr>
        <w:t>Indo-Burma Ramsar Regional Initiative</w:t>
      </w:r>
      <w:r w:rsidRPr="00310344">
        <w:rPr>
          <w:rFonts w:asciiTheme="majorHAnsi" w:eastAsiaTheme="majorEastAsia" w:hAnsiTheme="majorHAnsi" w:cstheme="majorBidi"/>
          <w:sz w:val="22"/>
          <w:szCs w:val="22"/>
          <w:lang w:val="en-AU"/>
        </w:rPr>
        <w:t xml:space="preserve"> – organized technical workshop for capacity building, organized WWD Day and developed communication outputs for IBBRI.</w:t>
      </w:r>
    </w:p>
    <w:p w14:paraId="7858CA73" w14:textId="77777777" w:rsidR="00A14A02" w:rsidRPr="00C64326" w:rsidRDefault="00A14A02" w:rsidP="00A4794E">
      <w:pPr>
        <w:contextualSpacing/>
        <w:rPr>
          <w:rFonts w:asciiTheme="majorHAnsi" w:eastAsia="Calibri" w:hAnsiTheme="majorHAnsi" w:cs="Times New Roman"/>
          <w:sz w:val="22"/>
          <w:szCs w:val="22"/>
          <w:lang w:val="en-AU"/>
        </w:rPr>
      </w:pPr>
    </w:p>
    <w:p w14:paraId="5803C305" w14:textId="68585DFA" w:rsidR="00C64326" w:rsidRDefault="00C64326" w:rsidP="00D7748F">
      <w:pPr>
        <w:ind w:left="426"/>
        <w:rPr>
          <w:rFonts w:asciiTheme="majorHAnsi" w:eastAsia="Calibri" w:hAnsiTheme="majorHAnsi" w:cs="Times New Roman"/>
          <w:i/>
          <w:sz w:val="22"/>
          <w:szCs w:val="22"/>
          <w:lang w:val="en-AU"/>
        </w:rPr>
      </w:pPr>
      <w:r w:rsidRPr="00C64326">
        <w:rPr>
          <w:rFonts w:asciiTheme="majorHAnsi" w:eastAsia="Calibri" w:hAnsiTheme="majorHAnsi" w:cs="Times New Roman"/>
          <w:i/>
          <w:sz w:val="22"/>
          <w:szCs w:val="22"/>
          <w:lang w:val="en-AU"/>
        </w:rPr>
        <w:t>Goal 5 – Multi-stakeholder participation</w:t>
      </w:r>
    </w:p>
    <w:p w14:paraId="211A3E87" w14:textId="77777777" w:rsidR="00D7748F" w:rsidRPr="00D7748F" w:rsidRDefault="00D7748F" w:rsidP="00D7748F">
      <w:pPr>
        <w:rPr>
          <w:rFonts w:asciiTheme="majorHAnsi" w:eastAsia="Calibri" w:hAnsiTheme="majorHAnsi" w:cs="Times New Roman"/>
          <w:sz w:val="22"/>
          <w:szCs w:val="22"/>
          <w:lang w:val="en-AU"/>
        </w:rPr>
      </w:pPr>
    </w:p>
    <w:p w14:paraId="235D68DD" w14:textId="7E85193B" w:rsidR="00C64326" w:rsidRDefault="00C64326" w:rsidP="00D7748F">
      <w:pPr>
        <w:numPr>
          <w:ilvl w:val="0"/>
          <w:numId w:val="2"/>
        </w:numPr>
        <w:ind w:left="851" w:hanging="425"/>
        <w:contextualSpacing/>
        <w:rPr>
          <w:rFonts w:asciiTheme="majorHAnsi" w:eastAsia="Calibri" w:hAnsiTheme="majorHAnsi" w:cs="Times New Roman"/>
          <w:sz w:val="22"/>
          <w:szCs w:val="22"/>
          <w:lang w:val="en-AU"/>
        </w:rPr>
      </w:pPr>
      <w:r w:rsidRPr="00C64326">
        <w:rPr>
          <w:rFonts w:asciiTheme="majorHAnsi" w:eastAsia="Calibri" w:hAnsiTheme="majorHAnsi" w:cs="Times New Roman"/>
          <w:sz w:val="22"/>
          <w:szCs w:val="22"/>
          <w:lang w:val="en-AU"/>
        </w:rPr>
        <w:t>A number of initiatives, many reflecting the World Wetlands Day themes, were undertaken to engage additional sectors in wetland conservation and wise use.</w:t>
      </w:r>
    </w:p>
    <w:p w14:paraId="5325DCE6" w14:textId="77777777" w:rsidR="0057293F" w:rsidRPr="00C64326" w:rsidRDefault="0057293F" w:rsidP="0057293F">
      <w:pPr>
        <w:contextualSpacing/>
        <w:rPr>
          <w:rFonts w:asciiTheme="majorHAnsi" w:eastAsia="Calibri" w:hAnsiTheme="majorHAnsi" w:cs="Times New Roman"/>
          <w:sz w:val="22"/>
          <w:szCs w:val="22"/>
          <w:lang w:val="en-AU"/>
        </w:rPr>
      </w:pPr>
    </w:p>
    <w:p w14:paraId="518CBC27" w14:textId="1F9AE6E6" w:rsidR="00C64326" w:rsidRPr="00C64326" w:rsidRDefault="004013C8" w:rsidP="00D7748F">
      <w:pPr>
        <w:numPr>
          <w:ilvl w:val="0"/>
          <w:numId w:val="2"/>
        </w:numPr>
        <w:ind w:left="851" w:hanging="425"/>
        <w:contextualSpacing/>
        <w:rPr>
          <w:rFonts w:asciiTheme="majorHAnsi" w:eastAsia="Calibri" w:hAnsiTheme="majorHAnsi" w:cs="Times New Roman"/>
          <w:sz w:val="22"/>
          <w:szCs w:val="22"/>
          <w:lang w:val="en-AU"/>
        </w:rPr>
      </w:pPr>
      <w:r>
        <w:rPr>
          <w:rFonts w:asciiTheme="majorHAnsi" w:eastAsia="Calibri" w:hAnsiTheme="majorHAnsi" w:cs="Times New Roman"/>
          <w:sz w:val="22"/>
          <w:szCs w:val="22"/>
          <w:lang w:val="en-AU"/>
        </w:rPr>
        <w:t>IOP</w:t>
      </w:r>
      <w:r w:rsidR="00C64326" w:rsidRPr="00C64326">
        <w:rPr>
          <w:rFonts w:asciiTheme="majorHAnsi" w:eastAsia="Calibri" w:hAnsiTheme="majorHAnsi" w:cs="Times New Roman"/>
          <w:sz w:val="22"/>
          <w:szCs w:val="22"/>
          <w:lang w:val="en-AU"/>
        </w:rPr>
        <w:t>s continued to play an important role in promoting awareness and engagement of people in wetland conservation and wise use.</w:t>
      </w:r>
    </w:p>
    <w:p w14:paraId="1F1B0427" w14:textId="2E076CDD" w:rsidR="00C64326" w:rsidRDefault="004013C8" w:rsidP="00D7748F">
      <w:pPr>
        <w:numPr>
          <w:ilvl w:val="1"/>
          <w:numId w:val="2"/>
        </w:numPr>
        <w:ind w:left="1276" w:hanging="425"/>
        <w:contextualSpacing/>
        <w:rPr>
          <w:rFonts w:asciiTheme="majorHAnsi" w:eastAsia="Calibri" w:hAnsiTheme="majorHAnsi" w:cs="Times New Roman"/>
          <w:sz w:val="22"/>
          <w:szCs w:val="22"/>
          <w:lang w:val="en-AU"/>
        </w:rPr>
      </w:pPr>
      <w:r>
        <w:rPr>
          <w:rFonts w:asciiTheme="majorHAnsi" w:eastAsia="Calibri" w:hAnsiTheme="majorHAnsi" w:cs="Times New Roman"/>
          <w:sz w:val="22"/>
          <w:szCs w:val="22"/>
          <w:lang w:val="en-AU"/>
        </w:rPr>
        <w:t xml:space="preserve">WWT </w:t>
      </w:r>
    </w:p>
    <w:p w14:paraId="6DE824D6" w14:textId="74BD7002" w:rsidR="004013C8" w:rsidRDefault="004013C8" w:rsidP="00D7748F">
      <w:pPr>
        <w:numPr>
          <w:ilvl w:val="1"/>
          <w:numId w:val="2"/>
        </w:numPr>
        <w:ind w:left="1276" w:hanging="425"/>
        <w:contextualSpacing/>
        <w:rPr>
          <w:rFonts w:asciiTheme="majorHAnsi" w:eastAsia="Calibri" w:hAnsiTheme="majorHAnsi" w:cs="Times New Roman"/>
          <w:sz w:val="22"/>
          <w:szCs w:val="22"/>
          <w:lang w:val="en-AU"/>
        </w:rPr>
      </w:pPr>
      <w:r>
        <w:rPr>
          <w:rFonts w:asciiTheme="majorHAnsi" w:eastAsia="Calibri" w:hAnsiTheme="majorHAnsi" w:cs="Times New Roman"/>
          <w:sz w:val="22"/>
          <w:szCs w:val="22"/>
          <w:lang w:val="en-AU"/>
        </w:rPr>
        <w:t>IUCN</w:t>
      </w:r>
    </w:p>
    <w:p w14:paraId="227EFEE1" w14:textId="58866315" w:rsidR="004013C8" w:rsidRDefault="004013C8" w:rsidP="00D7748F">
      <w:pPr>
        <w:numPr>
          <w:ilvl w:val="1"/>
          <w:numId w:val="2"/>
        </w:numPr>
        <w:ind w:left="1276" w:hanging="425"/>
        <w:contextualSpacing/>
        <w:rPr>
          <w:rFonts w:asciiTheme="majorHAnsi" w:eastAsia="Calibri" w:hAnsiTheme="majorHAnsi" w:cs="Times New Roman"/>
          <w:sz w:val="22"/>
          <w:szCs w:val="22"/>
          <w:lang w:val="en-AU"/>
        </w:rPr>
      </w:pPr>
      <w:r>
        <w:rPr>
          <w:rFonts w:asciiTheme="majorHAnsi" w:eastAsia="Calibri" w:hAnsiTheme="majorHAnsi" w:cs="Times New Roman"/>
          <w:sz w:val="22"/>
          <w:szCs w:val="22"/>
          <w:lang w:val="en-AU"/>
        </w:rPr>
        <w:t xml:space="preserve">Birdlife </w:t>
      </w:r>
    </w:p>
    <w:p w14:paraId="36940588" w14:textId="22C8D52E" w:rsidR="004013C8" w:rsidRDefault="004013C8" w:rsidP="00D7748F">
      <w:pPr>
        <w:numPr>
          <w:ilvl w:val="1"/>
          <w:numId w:val="2"/>
        </w:numPr>
        <w:ind w:left="1276" w:hanging="425"/>
        <w:contextualSpacing/>
        <w:rPr>
          <w:rFonts w:asciiTheme="majorHAnsi" w:eastAsia="Calibri" w:hAnsiTheme="majorHAnsi" w:cs="Times New Roman"/>
          <w:sz w:val="22"/>
          <w:szCs w:val="22"/>
          <w:lang w:val="en-AU"/>
        </w:rPr>
      </w:pPr>
      <w:r>
        <w:rPr>
          <w:rFonts w:asciiTheme="majorHAnsi" w:eastAsia="Calibri" w:hAnsiTheme="majorHAnsi" w:cs="Times New Roman"/>
          <w:sz w:val="22"/>
          <w:szCs w:val="22"/>
          <w:lang w:val="en-AU"/>
        </w:rPr>
        <w:t>Wetlands International</w:t>
      </w:r>
    </w:p>
    <w:p w14:paraId="0DA7192F" w14:textId="3D3662E4" w:rsidR="004013C8" w:rsidRDefault="002617F3" w:rsidP="00D7748F">
      <w:pPr>
        <w:numPr>
          <w:ilvl w:val="1"/>
          <w:numId w:val="2"/>
        </w:numPr>
        <w:ind w:left="1276" w:hanging="425"/>
        <w:contextualSpacing/>
        <w:rPr>
          <w:rFonts w:asciiTheme="majorHAnsi" w:eastAsia="Calibri" w:hAnsiTheme="majorHAnsi" w:cs="Times New Roman"/>
          <w:sz w:val="22"/>
          <w:szCs w:val="22"/>
          <w:lang w:val="en-AU"/>
        </w:rPr>
      </w:pPr>
      <w:r>
        <w:rPr>
          <w:rFonts w:asciiTheme="majorHAnsi" w:eastAsia="Calibri" w:hAnsiTheme="majorHAnsi" w:cs="Times New Roman"/>
          <w:sz w:val="22"/>
          <w:szCs w:val="22"/>
          <w:lang w:val="en-AU"/>
        </w:rPr>
        <w:t>IWMI</w:t>
      </w:r>
    </w:p>
    <w:p w14:paraId="73E98334" w14:textId="4904C393" w:rsidR="004013C8" w:rsidRDefault="00310344" w:rsidP="00310344">
      <w:pPr>
        <w:numPr>
          <w:ilvl w:val="1"/>
          <w:numId w:val="2"/>
        </w:numPr>
        <w:ind w:left="1276" w:hanging="425"/>
        <w:contextualSpacing/>
        <w:rPr>
          <w:rFonts w:asciiTheme="majorHAnsi" w:eastAsia="Calibri" w:hAnsiTheme="majorHAnsi" w:cs="Times New Roman"/>
          <w:sz w:val="22"/>
          <w:szCs w:val="22"/>
          <w:lang w:val="en-AU"/>
        </w:rPr>
      </w:pPr>
      <w:r>
        <w:rPr>
          <w:rFonts w:asciiTheme="majorHAnsi" w:eastAsia="Calibri" w:hAnsiTheme="majorHAnsi" w:cs="Times New Roman"/>
          <w:sz w:val="22"/>
          <w:szCs w:val="22"/>
          <w:lang w:val="en-AU"/>
        </w:rPr>
        <w:t>WWF</w:t>
      </w:r>
    </w:p>
    <w:p w14:paraId="292D5604" w14:textId="77777777" w:rsidR="00310344" w:rsidRPr="00310344" w:rsidRDefault="00310344" w:rsidP="00310344">
      <w:pPr>
        <w:contextualSpacing/>
        <w:rPr>
          <w:rFonts w:asciiTheme="majorHAnsi" w:eastAsia="Calibri" w:hAnsiTheme="majorHAnsi" w:cs="Times New Roman"/>
          <w:sz w:val="22"/>
          <w:szCs w:val="22"/>
          <w:lang w:val="en-AU"/>
        </w:rPr>
      </w:pPr>
    </w:p>
    <w:p w14:paraId="0A3D7245" w14:textId="688F918A" w:rsidR="00C64326" w:rsidRPr="00C64326" w:rsidRDefault="004013C8" w:rsidP="00A4794E">
      <w:pPr>
        <w:numPr>
          <w:ilvl w:val="0"/>
          <w:numId w:val="2"/>
        </w:numPr>
        <w:contextualSpacing/>
        <w:rPr>
          <w:rFonts w:asciiTheme="majorHAnsi" w:eastAsia="Calibri" w:hAnsiTheme="majorHAnsi" w:cs="Times New Roman"/>
          <w:sz w:val="22"/>
          <w:szCs w:val="22"/>
          <w:lang w:val="en-AU"/>
        </w:rPr>
      </w:pPr>
      <w:r>
        <w:rPr>
          <w:rFonts w:asciiTheme="majorHAnsi" w:eastAsia="Calibri" w:hAnsiTheme="majorHAnsi" w:cs="Times New Roman"/>
          <w:sz w:val="22"/>
          <w:szCs w:val="22"/>
          <w:lang w:val="en-AU"/>
        </w:rPr>
        <w:t>During the reporting period nominations for the Wetland City Accreditation scheme were received</w:t>
      </w:r>
      <w:r w:rsidR="006A63FF">
        <w:rPr>
          <w:rFonts w:asciiTheme="majorHAnsi" w:eastAsia="Calibri" w:hAnsiTheme="majorHAnsi" w:cs="Times New Roman"/>
          <w:sz w:val="22"/>
          <w:szCs w:val="22"/>
          <w:lang w:val="en-AU"/>
        </w:rPr>
        <w:t>,</w:t>
      </w:r>
      <w:r>
        <w:rPr>
          <w:rFonts w:asciiTheme="majorHAnsi" w:eastAsia="Calibri" w:hAnsiTheme="majorHAnsi" w:cs="Times New Roman"/>
          <w:sz w:val="22"/>
          <w:szCs w:val="22"/>
          <w:lang w:val="en-AU"/>
        </w:rPr>
        <w:t xml:space="preserve"> with 25 new cities being designated with the status at COP14. </w:t>
      </w:r>
      <w:r w:rsidR="00C64326" w:rsidRPr="00C64326">
        <w:rPr>
          <w:rFonts w:asciiTheme="majorHAnsi" w:eastAsia="Calibri" w:hAnsiTheme="majorHAnsi" w:cs="Times New Roman"/>
          <w:sz w:val="22"/>
          <w:szCs w:val="22"/>
          <w:lang w:val="en-AU"/>
        </w:rPr>
        <w:t>Th</w:t>
      </w:r>
      <w:r>
        <w:rPr>
          <w:rFonts w:asciiTheme="majorHAnsi" w:eastAsia="Calibri" w:hAnsiTheme="majorHAnsi" w:cs="Times New Roman"/>
          <w:sz w:val="22"/>
          <w:szCs w:val="22"/>
          <w:lang w:val="en-AU"/>
        </w:rPr>
        <w:t>e scheme</w:t>
      </w:r>
      <w:r w:rsidR="00C64326" w:rsidRPr="00C64326">
        <w:rPr>
          <w:rFonts w:asciiTheme="majorHAnsi" w:eastAsia="Calibri" w:hAnsiTheme="majorHAnsi" w:cs="Times New Roman"/>
          <w:sz w:val="22"/>
          <w:szCs w:val="22"/>
          <w:lang w:val="en-AU"/>
        </w:rPr>
        <w:t xml:space="preserve"> has </w:t>
      </w:r>
      <w:r>
        <w:rPr>
          <w:rFonts w:asciiTheme="majorHAnsi" w:eastAsia="Calibri" w:hAnsiTheme="majorHAnsi" w:cs="Times New Roman"/>
          <w:sz w:val="22"/>
          <w:szCs w:val="22"/>
          <w:lang w:val="en-AU"/>
        </w:rPr>
        <w:t>been well received</w:t>
      </w:r>
      <w:r w:rsidR="00C64326" w:rsidRPr="00C64326">
        <w:rPr>
          <w:rFonts w:asciiTheme="majorHAnsi" w:eastAsia="Calibri" w:hAnsiTheme="majorHAnsi" w:cs="Times New Roman"/>
          <w:sz w:val="22"/>
          <w:szCs w:val="22"/>
          <w:lang w:val="en-AU"/>
        </w:rPr>
        <w:t xml:space="preserve"> with a broad international response, engagement from many parties, and the profile of the Convention lifted across the many nominating cities.</w:t>
      </w:r>
      <w:r w:rsidR="001E664B">
        <w:rPr>
          <w:rFonts w:asciiTheme="majorHAnsi" w:eastAsia="Calibri" w:hAnsiTheme="majorHAnsi" w:cs="Times New Roman"/>
          <w:sz w:val="22"/>
          <w:szCs w:val="22"/>
          <w:lang w:val="en-AU"/>
        </w:rPr>
        <w:t xml:space="preserve"> </w:t>
      </w:r>
      <w:r w:rsidR="00C64326" w:rsidRPr="00C64326">
        <w:rPr>
          <w:rFonts w:asciiTheme="majorHAnsi" w:eastAsia="Calibri" w:hAnsiTheme="majorHAnsi" w:cs="Times New Roman"/>
          <w:sz w:val="22"/>
          <w:szCs w:val="22"/>
          <w:lang w:val="en-AU"/>
        </w:rPr>
        <w:t>Successful cities will be a</w:t>
      </w:r>
      <w:r>
        <w:rPr>
          <w:rFonts w:asciiTheme="majorHAnsi" w:eastAsia="Calibri" w:hAnsiTheme="majorHAnsi" w:cs="Times New Roman"/>
          <w:sz w:val="22"/>
          <w:szCs w:val="22"/>
          <w:lang w:val="en-AU"/>
        </w:rPr>
        <w:t>cknowledged</w:t>
      </w:r>
      <w:r w:rsidR="00C64326" w:rsidRPr="00C64326">
        <w:rPr>
          <w:rFonts w:asciiTheme="majorHAnsi" w:eastAsia="Calibri" w:hAnsiTheme="majorHAnsi" w:cs="Times New Roman"/>
          <w:sz w:val="22"/>
          <w:szCs w:val="22"/>
          <w:lang w:val="en-AU"/>
        </w:rPr>
        <w:t xml:space="preserve"> at COP1</w:t>
      </w:r>
      <w:r>
        <w:rPr>
          <w:rFonts w:asciiTheme="majorHAnsi" w:eastAsia="Calibri" w:hAnsiTheme="majorHAnsi" w:cs="Times New Roman"/>
          <w:sz w:val="22"/>
          <w:szCs w:val="22"/>
          <w:lang w:val="en-AU"/>
        </w:rPr>
        <w:t>4 and a side event to share learnings and best practices from accredited cities has been proposed</w:t>
      </w:r>
      <w:r w:rsidR="00C64326" w:rsidRPr="00C64326">
        <w:rPr>
          <w:rFonts w:asciiTheme="majorHAnsi" w:eastAsia="Calibri" w:hAnsiTheme="majorHAnsi" w:cs="Times New Roman"/>
          <w:sz w:val="22"/>
          <w:szCs w:val="22"/>
          <w:lang w:val="en-AU"/>
        </w:rPr>
        <w:t>.</w:t>
      </w:r>
    </w:p>
    <w:p w14:paraId="3F2F73D7" w14:textId="77777777" w:rsidR="00CE4463" w:rsidRPr="00C64326" w:rsidRDefault="00CE4463" w:rsidP="00A4794E">
      <w:pPr>
        <w:contextualSpacing/>
        <w:rPr>
          <w:rFonts w:asciiTheme="majorHAnsi" w:eastAsia="Calibri" w:hAnsiTheme="majorHAnsi" w:cs="Times New Roman"/>
          <w:sz w:val="22"/>
          <w:szCs w:val="22"/>
          <w:lang w:val="en-AU"/>
        </w:rPr>
      </w:pPr>
    </w:p>
    <w:p w14:paraId="5400032F" w14:textId="2123A763" w:rsidR="00C64326" w:rsidRDefault="00C64326" w:rsidP="0057293F">
      <w:pPr>
        <w:keepNext/>
        <w:ind w:firstLine="360"/>
        <w:rPr>
          <w:rFonts w:asciiTheme="majorHAnsi" w:eastAsia="Calibri" w:hAnsiTheme="majorHAnsi" w:cs="Times New Roman"/>
          <w:i/>
          <w:sz w:val="22"/>
          <w:szCs w:val="22"/>
          <w:lang w:val="en-AU"/>
        </w:rPr>
      </w:pPr>
      <w:r w:rsidRPr="00C64326">
        <w:rPr>
          <w:rFonts w:asciiTheme="majorHAnsi" w:eastAsia="Calibri" w:hAnsiTheme="majorHAnsi" w:cs="Times New Roman"/>
          <w:i/>
          <w:sz w:val="22"/>
          <w:szCs w:val="22"/>
          <w:lang w:val="en-AU"/>
        </w:rPr>
        <w:t>Goal 6 – Programmes and campaigns to promote wetlands</w:t>
      </w:r>
    </w:p>
    <w:p w14:paraId="6FD94DC4" w14:textId="77777777" w:rsidR="0057293F" w:rsidRPr="0057293F" w:rsidRDefault="0057293F" w:rsidP="0057293F">
      <w:pPr>
        <w:keepNext/>
        <w:rPr>
          <w:rFonts w:asciiTheme="majorHAnsi" w:eastAsia="Calibri" w:hAnsiTheme="majorHAnsi" w:cs="Times New Roman"/>
          <w:sz w:val="22"/>
          <w:szCs w:val="22"/>
          <w:lang w:val="en-AU"/>
        </w:rPr>
      </w:pPr>
    </w:p>
    <w:p w14:paraId="75D625DE" w14:textId="63242044" w:rsidR="00AB6F60" w:rsidRDefault="00AB6F60" w:rsidP="00D7748F">
      <w:pPr>
        <w:numPr>
          <w:ilvl w:val="0"/>
          <w:numId w:val="4"/>
        </w:numPr>
        <w:ind w:left="851" w:hanging="425"/>
        <w:contextualSpacing/>
        <w:rPr>
          <w:rFonts w:asciiTheme="majorHAnsi" w:eastAsia="Times New Roman" w:hAnsiTheme="majorHAnsi" w:cstheme="majorHAnsi"/>
          <w:sz w:val="22"/>
          <w:szCs w:val="22"/>
          <w:lang w:val="en-AU"/>
        </w:rPr>
      </w:pPr>
      <w:r w:rsidRPr="00A36674">
        <w:rPr>
          <w:rFonts w:asciiTheme="majorHAnsi" w:eastAsia="Times New Roman" w:hAnsiTheme="majorHAnsi" w:cstheme="majorHAnsi"/>
          <w:sz w:val="22"/>
          <w:szCs w:val="22"/>
          <w:lang w:val="en-AU"/>
        </w:rPr>
        <w:t xml:space="preserve">World Wetlands Day (WWD) celebrations continue to focus attention on important wetland issues. Themes during the reporting period included; Wetlands and climate </w:t>
      </w:r>
      <w:r w:rsidRPr="00A36674">
        <w:rPr>
          <w:rFonts w:asciiTheme="majorHAnsi" w:eastAsia="Times New Roman" w:hAnsiTheme="majorHAnsi" w:cstheme="majorHAnsi"/>
          <w:sz w:val="22"/>
          <w:szCs w:val="22"/>
          <w:lang w:val="en-AU"/>
        </w:rPr>
        <w:lastRenderedPageBreak/>
        <w:t>change (2019), Wetlands and biodiversity (2020), Wetlands and water (2021), Wetlands action for people</w:t>
      </w:r>
      <w:r w:rsidR="0057293F">
        <w:rPr>
          <w:rFonts w:asciiTheme="majorHAnsi" w:eastAsia="Times New Roman" w:hAnsiTheme="majorHAnsi" w:cstheme="majorHAnsi"/>
          <w:sz w:val="22"/>
          <w:szCs w:val="22"/>
          <w:lang w:val="en-AU"/>
        </w:rPr>
        <w:t xml:space="preserve"> and nature (2022).</w:t>
      </w:r>
    </w:p>
    <w:p w14:paraId="72B83143" w14:textId="77777777" w:rsidR="0057293F" w:rsidRPr="00A36674" w:rsidRDefault="0057293F" w:rsidP="0057293F">
      <w:pPr>
        <w:contextualSpacing/>
        <w:rPr>
          <w:rFonts w:asciiTheme="majorHAnsi" w:eastAsia="Times New Roman" w:hAnsiTheme="majorHAnsi" w:cstheme="majorHAnsi"/>
          <w:sz w:val="22"/>
          <w:szCs w:val="22"/>
          <w:lang w:val="en-AU"/>
        </w:rPr>
      </w:pPr>
    </w:p>
    <w:p w14:paraId="3377BCAC" w14:textId="6AE0AF75" w:rsidR="00AB6F60" w:rsidRDefault="00FB45B2" w:rsidP="00D7748F">
      <w:pPr>
        <w:numPr>
          <w:ilvl w:val="0"/>
          <w:numId w:val="4"/>
        </w:numPr>
        <w:ind w:left="851" w:hanging="425"/>
        <w:contextualSpacing/>
        <w:rPr>
          <w:rFonts w:asciiTheme="majorHAnsi" w:eastAsia="Times New Roman" w:hAnsiTheme="majorHAnsi" w:cstheme="majorHAnsi"/>
          <w:sz w:val="22"/>
          <w:szCs w:val="22"/>
          <w:lang w:val="en-AU"/>
        </w:rPr>
      </w:pPr>
      <w:r>
        <w:rPr>
          <w:rFonts w:asciiTheme="majorHAnsi" w:eastAsia="Times New Roman" w:hAnsiTheme="majorHAnsi" w:cstheme="majorHAnsi"/>
          <w:sz w:val="22"/>
          <w:szCs w:val="22"/>
          <w:lang w:val="en-AU"/>
        </w:rPr>
        <w:t>In September of 2021</w:t>
      </w:r>
      <w:r w:rsidR="00AB6F60" w:rsidRPr="00A36674">
        <w:rPr>
          <w:rFonts w:asciiTheme="majorHAnsi" w:eastAsia="Times New Roman" w:hAnsiTheme="majorHAnsi" w:cstheme="majorHAnsi"/>
          <w:sz w:val="22"/>
          <w:szCs w:val="22"/>
          <w:lang w:val="en-AU"/>
        </w:rPr>
        <w:t xml:space="preserve"> </w:t>
      </w:r>
      <w:r w:rsidR="008C1109" w:rsidRPr="00A36674">
        <w:rPr>
          <w:rFonts w:asciiTheme="majorHAnsi" w:eastAsia="Times New Roman" w:hAnsiTheme="majorHAnsi" w:cstheme="majorHAnsi"/>
          <w:sz w:val="22"/>
          <w:szCs w:val="22"/>
          <w:lang w:val="en-AU"/>
        </w:rPr>
        <w:t xml:space="preserve">World Wetlands </w:t>
      </w:r>
      <w:r w:rsidR="008C1109">
        <w:rPr>
          <w:rFonts w:asciiTheme="majorHAnsi" w:eastAsia="Times New Roman" w:hAnsiTheme="majorHAnsi" w:cstheme="majorHAnsi"/>
          <w:sz w:val="22"/>
          <w:szCs w:val="22"/>
          <w:lang w:val="en-AU"/>
        </w:rPr>
        <w:t>D</w:t>
      </w:r>
      <w:r w:rsidR="00AB6F60" w:rsidRPr="00A36674">
        <w:rPr>
          <w:rFonts w:asciiTheme="majorHAnsi" w:eastAsia="Times New Roman" w:hAnsiTheme="majorHAnsi" w:cstheme="majorHAnsi"/>
          <w:sz w:val="22"/>
          <w:szCs w:val="22"/>
          <w:lang w:val="en-AU"/>
        </w:rPr>
        <w:t xml:space="preserve">ay was recognized </w:t>
      </w:r>
      <w:r>
        <w:rPr>
          <w:rFonts w:asciiTheme="majorHAnsi" w:eastAsia="Times New Roman" w:hAnsiTheme="majorHAnsi" w:cstheme="majorHAnsi"/>
          <w:sz w:val="22"/>
          <w:szCs w:val="22"/>
          <w:lang w:val="en-AU"/>
        </w:rPr>
        <w:t xml:space="preserve">as an official UN day </w:t>
      </w:r>
      <w:r w:rsidR="00AB6F60" w:rsidRPr="00A36674">
        <w:rPr>
          <w:rFonts w:asciiTheme="majorHAnsi" w:eastAsia="Times New Roman" w:hAnsiTheme="majorHAnsi" w:cstheme="majorHAnsi"/>
          <w:sz w:val="22"/>
          <w:szCs w:val="22"/>
          <w:lang w:val="en-AU"/>
        </w:rPr>
        <w:t xml:space="preserve">by UN </w:t>
      </w:r>
      <w:r w:rsidR="006A63FF">
        <w:rPr>
          <w:rFonts w:asciiTheme="majorHAnsi" w:eastAsia="Times New Roman" w:hAnsiTheme="majorHAnsi" w:cstheme="majorHAnsi"/>
          <w:sz w:val="22"/>
          <w:szCs w:val="22"/>
          <w:lang w:val="en-AU"/>
        </w:rPr>
        <w:t xml:space="preserve">General Assembly </w:t>
      </w:r>
      <w:r w:rsidR="00AB6F60" w:rsidRPr="00A36674">
        <w:rPr>
          <w:rFonts w:asciiTheme="majorHAnsi" w:eastAsia="Times New Roman" w:hAnsiTheme="majorHAnsi" w:cstheme="majorHAnsi"/>
          <w:sz w:val="22"/>
          <w:szCs w:val="22"/>
          <w:lang w:val="en-AU"/>
        </w:rPr>
        <w:t xml:space="preserve">Resolution </w:t>
      </w:r>
      <w:hyperlink r:id="rId15" w:history="1">
        <w:r w:rsidR="00AB6F60" w:rsidRPr="00A36674">
          <w:rPr>
            <w:rStyle w:val="Hyperlink"/>
            <w:rFonts w:asciiTheme="majorHAnsi" w:eastAsia="Times New Roman" w:hAnsiTheme="majorHAnsi" w:cstheme="majorHAnsi"/>
            <w:sz w:val="22"/>
            <w:szCs w:val="22"/>
            <w:lang w:val="en-AU"/>
          </w:rPr>
          <w:t>75/317</w:t>
        </w:r>
      </w:hyperlink>
      <w:r w:rsidR="0057293F">
        <w:rPr>
          <w:rFonts w:asciiTheme="majorHAnsi" w:eastAsia="Times New Roman" w:hAnsiTheme="majorHAnsi" w:cstheme="majorHAnsi"/>
          <w:sz w:val="22"/>
          <w:szCs w:val="22"/>
          <w:lang w:val="en-AU"/>
        </w:rPr>
        <w:t>.</w:t>
      </w:r>
    </w:p>
    <w:p w14:paraId="50CA477D" w14:textId="77777777" w:rsidR="0057293F" w:rsidRPr="00A36674" w:rsidRDefault="0057293F" w:rsidP="0057293F">
      <w:pPr>
        <w:contextualSpacing/>
        <w:rPr>
          <w:rFonts w:asciiTheme="majorHAnsi" w:eastAsia="Times New Roman" w:hAnsiTheme="majorHAnsi" w:cstheme="majorHAnsi"/>
          <w:sz w:val="22"/>
          <w:szCs w:val="22"/>
          <w:lang w:val="en-AU"/>
        </w:rPr>
      </w:pPr>
    </w:p>
    <w:p w14:paraId="138DD240" w14:textId="0A6DACCF" w:rsidR="00AB6F60" w:rsidRDefault="00FB45B2" w:rsidP="00D7748F">
      <w:pPr>
        <w:numPr>
          <w:ilvl w:val="0"/>
          <w:numId w:val="4"/>
        </w:numPr>
        <w:ind w:left="851" w:hanging="425"/>
        <w:contextualSpacing/>
        <w:rPr>
          <w:rFonts w:asciiTheme="majorHAnsi" w:eastAsia="Times New Roman" w:hAnsiTheme="majorHAnsi" w:cstheme="majorHAnsi"/>
          <w:sz w:val="22"/>
          <w:szCs w:val="22"/>
          <w:lang w:val="en-AU"/>
        </w:rPr>
      </w:pPr>
      <w:r>
        <w:rPr>
          <w:rFonts w:asciiTheme="majorHAnsi" w:eastAsia="Times New Roman" w:hAnsiTheme="majorHAnsi" w:cstheme="majorHAnsi"/>
          <w:sz w:val="22"/>
          <w:szCs w:val="22"/>
          <w:lang w:val="en-AU"/>
        </w:rPr>
        <w:t>For WWD</w:t>
      </w:r>
      <w:r w:rsidR="00AB6F60" w:rsidRPr="00A36674">
        <w:rPr>
          <w:rFonts w:asciiTheme="majorHAnsi" w:eastAsia="Times New Roman" w:hAnsiTheme="majorHAnsi" w:cstheme="majorHAnsi"/>
          <w:sz w:val="22"/>
          <w:szCs w:val="22"/>
          <w:lang w:val="en-AU"/>
        </w:rPr>
        <w:t xml:space="preserve"> 2022 there were </w:t>
      </w:r>
      <w:r>
        <w:rPr>
          <w:rFonts w:asciiTheme="majorHAnsi" w:eastAsia="Times New Roman" w:hAnsiTheme="majorHAnsi" w:cstheme="majorHAnsi"/>
          <w:sz w:val="22"/>
          <w:szCs w:val="22"/>
          <w:lang w:val="en-AU"/>
        </w:rPr>
        <w:t>1,</w:t>
      </w:r>
      <w:r w:rsidR="00AB6F60" w:rsidRPr="00A36674">
        <w:rPr>
          <w:rFonts w:asciiTheme="majorHAnsi" w:eastAsia="Times New Roman" w:hAnsiTheme="majorHAnsi" w:cstheme="majorHAnsi"/>
          <w:sz w:val="22"/>
          <w:szCs w:val="22"/>
          <w:lang w:val="en-AU"/>
        </w:rPr>
        <w:t xml:space="preserve">591 registered </w:t>
      </w:r>
      <w:r>
        <w:rPr>
          <w:rFonts w:asciiTheme="majorHAnsi" w:eastAsia="Times New Roman" w:hAnsiTheme="majorHAnsi" w:cstheme="majorHAnsi"/>
          <w:sz w:val="22"/>
          <w:szCs w:val="22"/>
          <w:lang w:val="en-AU"/>
        </w:rPr>
        <w:t>events from 86 countries</w:t>
      </w:r>
      <w:r w:rsidR="00AB6F60" w:rsidRPr="00A36674">
        <w:rPr>
          <w:rFonts w:asciiTheme="majorHAnsi" w:eastAsia="Times New Roman" w:hAnsiTheme="majorHAnsi" w:cstheme="majorHAnsi"/>
          <w:sz w:val="22"/>
          <w:szCs w:val="22"/>
          <w:lang w:val="en-AU"/>
        </w:rPr>
        <w:t xml:space="preserve">, more than 3,000 online web articles mentioning WWD and 436 million social media posts </w:t>
      </w:r>
      <w:r w:rsidR="00B569D2">
        <w:rPr>
          <w:rFonts w:asciiTheme="majorHAnsi" w:eastAsia="Times New Roman" w:hAnsiTheme="majorHAnsi" w:cstheme="majorHAnsi"/>
          <w:sz w:val="22"/>
          <w:szCs w:val="22"/>
          <w:lang w:val="en-AU"/>
        </w:rPr>
        <w:t>with</w:t>
      </w:r>
      <w:r w:rsidR="00AB6F60" w:rsidRPr="00A36674">
        <w:rPr>
          <w:rFonts w:asciiTheme="majorHAnsi" w:eastAsia="Times New Roman" w:hAnsiTheme="majorHAnsi" w:cstheme="majorHAnsi"/>
          <w:sz w:val="22"/>
          <w:szCs w:val="22"/>
          <w:lang w:val="en-AU"/>
        </w:rPr>
        <w:t xml:space="preserve"> a potential reach of 3.5 billion people.</w:t>
      </w:r>
    </w:p>
    <w:p w14:paraId="7BBDCD72" w14:textId="77777777" w:rsidR="0057293F" w:rsidRPr="00A36674" w:rsidRDefault="0057293F" w:rsidP="0057293F">
      <w:pPr>
        <w:ind w:left="426"/>
        <w:contextualSpacing/>
        <w:rPr>
          <w:rFonts w:asciiTheme="majorHAnsi" w:eastAsia="Times New Roman" w:hAnsiTheme="majorHAnsi" w:cstheme="majorHAnsi"/>
          <w:sz w:val="22"/>
          <w:szCs w:val="22"/>
          <w:lang w:val="en-AU"/>
        </w:rPr>
      </w:pPr>
    </w:p>
    <w:p w14:paraId="42C7AAD4" w14:textId="44B95CAD" w:rsidR="00AB6F60" w:rsidRDefault="006A63FF" w:rsidP="00D7748F">
      <w:pPr>
        <w:numPr>
          <w:ilvl w:val="0"/>
          <w:numId w:val="4"/>
        </w:numPr>
        <w:ind w:left="851" w:hanging="425"/>
        <w:contextualSpacing/>
        <w:rPr>
          <w:rFonts w:asciiTheme="majorHAnsi" w:eastAsia="Times New Roman" w:hAnsiTheme="majorHAnsi" w:cstheme="majorHAnsi"/>
          <w:sz w:val="22"/>
          <w:szCs w:val="22"/>
          <w:lang w:val="en-AU"/>
        </w:rPr>
      </w:pPr>
      <w:r>
        <w:rPr>
          <w:rFonts w:asciiTheme="majorHAnsi" w:eastAsia="Times New Roman" w:hAnsiTheme="majorHAnsi" w:cstheme="majorHAnsi"/>
          <w:sz w:val="22"/>
          <w:szCs w:val="22"/>
          <w:lang w:val="en-AU"/>
        </w:rPr>
        <w:t>The n</w:t>
      </w:r>
      <w:r w:rsidR="00AB6F60" w:rsidRPr="00A36674">
        <w:rPr>
          <w:rFonts w:asciiTheme="majorHAnsi" w:eastAsia="Times New Roman" w:hAnsiTheme="majorHAnsi" w:cstheme="majorHAnsi"/>
          <w:sz w:val="22"/>
          <w:szCs w:val="22"/>
          <w:lang w:val="en-AU"/>
        </w:rPr>
        <w:t xml:space="preserve">umber of visits to the WWD website </w:t>
      </w:r>
      <w:r>
        <w:rPr>
          <w:rFonts w:asciiTheme="majorHAnsi" w:eastAsia="Times New Roman" w:hAnsiTheme="majorHAnsi" w:cstheme="majorHAnsi"/>
          <w:sz w:val="22"/>
          <w:szCs w:val="22"/>
          <w:lang w:val="en-AU"/>
        </w:rPr>
        <w:t xml:space="preserve">was </w:t>
      </w:r>
      <w:r w:rsidR="00AB6F60" w:rsidRPr="00A36674">
        <w:rPr>
          <w:rFonts w:asciiTheme="majorHAnsi" w:eastAsia="Times New Roman" w:hAnsiTheme="majorHAnsi" w:cstheme="majorHAnsi"/>
          <w:sz w:val="22"/>
          <w:szCs w:val="22"/>
          <w:lang w:val="en-AU"/>
        </w:rPr>
        <w:t>48,000 in 2021, but increased significantly to 73,000 in 2022.</w:t>
      </w:r>
      <w:r w:rsidR="001E664B">
        <w:rPr>
          <w:rFonts w:asciiTheme="majorHAnsi" w:eastAsia="Times New Roman" w:hAnsiTheme="majorHAnsi" w:cstheme="majorHAnsi"/>
          <w:sz w:val="22"/>
          <w:szCs w:val="22"/>
          <w:lang w:val="en-AU"/>
        </w:rPr>
        <w:t xml:space="preserve"> </w:t>
      </w:r>
      <w:r w:rsidR="00AB6F60" w:rsidRPr="00A36674">
        <w:rPr>
          <w:rFonts w:asciiTheme="majorHAnsi" w:eastAsia="Times New Roman" w:hAnsiTheme="majorHAnsi" w:cstheme="majorHAnsi"/>
          <w:sz w:val="22"/>
          <w:szCs w:val="22"/>
          <w:lang w:val="en-AU"/>
        </w:rPr>
        <w:t>Parties are to be congratulated on their efforts in lifting the profile of the Convention throug</w:t>
      </w:r>
      <w:r w:rsidR="00310344">
        <w:rPr>
          <w:rFonts w:asciiTheme="majorHAnsi" w:eastAsia="Times New Roman" w:hAnsiTheme="majorHAnsi" w:cstheme="majorHAnsi"/>
          <w:sz w:val="22"/>
          <w:szCs w:val="22"/>
          <w:lang w:val="en-AU"/>
        </w:rPr>
        <w:t>h these many successful events.</w:t>
      </w:r>
    </w:p>
    <w:p w14:paraId="516B8CB2" w14:textId="77777777" w:rsidR="0057293F" w:rsidRPr="00A36674" w:rsidRDefault="0057293F" w:rsidP="0057293F">
      <w:pPr>
        <w:contextualSpacing/>
        <w:rPr>
          <w:rFonts w:asciiTheme="majorHAnsi" w:eastAsia="Times New Roman" w:hAnsiTheme="majorHAnsi" w:cstheme="majorHAnsi"/>
          <w:sz w:val="22"/>
          <w:szCs w:val="22"/>
          <w:lang w:val="en-AU"/>
        </w:rPr>
      </w:pPr>
    </w:p>
    <w:p w14:paraId="00F16F18" w14:textId="6D16D6AD" w:rsidR="00AB6F60" w:rsidRDefault="00AB6F60" w:rsidP="00D7748F">
      <w:pPr>
        <w:numPr>
          <w:ilvl w:val="0"/>
          <w:numId w:val="4"/>
        </w:numPr>
        <w:ind w:left="851" w:hanging="425"/>
        <w:contextualSpacing/>
        <w:rPr>
          <w:rFonts w:asciiTheme="majorHAnsi" w:eastAsia="Times New Roman" w:hAnsiTheme="majorHAnsi" w:cstheme="majorBidi"/>
          <w:sz w:val="22"/>
          <w:szCs w:val="22"/>
          <w:lang w:val="en-AU"/>
        </w:rPr>
      </w:pPr>
      <w:r w:rsidRPr="4FDB7465">
        <w:rPr>
          <w:rFonts w:asciiTheme="majorHAnsi" w:eastAsia="Times New Roman" w:hAnsiTheme="majorHAnsi" w:cstheme="majorBidi"/>
          <w:sz w:val="22"/>
          <w:szCs w:val="22"/>
          <w:lang w:val="en-AU"/>
        </w:rPr>
        <w:t xml:space="preserve">A total of 91% of countries reported holding </w:t>
      </w:r>
      <w:r w:rsidR="006A63FF">
        <w:rPr>
          <w:rFonts w:asciiTheme="majorHAnsi" w:eastAsia="Times New Roman" w:hAnsiTheme="majorHAnsi" w:cstheme="majorBidi"/>
          <w:sz w:val="22"/>
          <w:szCs w:val="22"/>
          <w:lang w:val="en-AU"/>
        </w:rPr>
        <w:t xml:space="preserve">WWD </w:t>
      </w:r>
      <w:r w:rsidRPr="4FDB7465">
        <w:rPr>
          <w:rFonts w:asciiTheme="majorHAnsi" w:eastAsia="Times New Roman" w:hAnsiTheme="majorHAnsi" w:cstheme="majorBidi"/>
          <w:sz w:val="22"/>
          <w:szCs w:val="22"/>
          <w:lang w:val="en-AU"/>
        </w:rPr>
        <w:t>activities during the reporting period.</w:t>
      </w:r>
      <w:r w:rsidR="001E664B">
        <w:rPr>
          <w:rFonts w:asciiTheme="majorHAnsi" w:eastAsia="Times New Roman" w:hAnsiTheme="majorHAnsi" w:cstheme="majorBidi"/>
          <w:sz w:val="22"/>
          <w:szCs w:val="22"/>
          <w:lang w:val="en-AU"/>
        </w:rPr>
        <w:t xml:space="preserve"> </w:t>
      </w:r>
      <w:r w:rsidRPr="4FDB7465">
        <w:rPr>
          <w:rFonts w:asciiTheme="majorHAnsi" w:eastAsia="Times New Roman" w:hAnsiTheme="majorHAnsi" w:cstheme="majorBidi"/>
          <w:sz w:val="22"/>
          <w:szCs w:val="22"/>
          <w:lang w:val="en-AU"/>
        </w:rPr>
        <w:t>This is also reflected in the strong numbers of events reported on the event map hel</w:t>
      </w:r>
      <w:r w:rsidR="0057293F">
        <w:rPr>
          <w:rFonts w:asciiTheme="majorHAnsi" w:eastAsia="Times New Roman" w:hAnsiTheme="majorHAnsi" w:cstheme="majorBidi"/>
          <w:sz w:val="22"/>
          <w:szCs w:val="22"/>
          <w:lang w:val="en-AU"/>
        </w:rPr>
        <w:t>d on the Secretariat’s website.</w:t>
      </w:r>
    </w:p>
    <w:p w14:paraId="45BDDA3D" w14:textId="77777777" w:rsidR="0057293F" w:rsidRPr="00A36674" w:rsidRDefault="0057293F" w:rsidP="0057293F">
      <w:pPr>
        <w:contextualSpacing/>
        <w:rPr>
          <w:rFonts w:asciiTheme="majorHAnsi" w:eastAsia="Times New Roman" w:hAnsiTheme="majorHAnsi" w:cstheme="majorBidi"/>
          <w:sz w:val="22"/>
          <w:szCs w:val="22"/>
          <w:lang w:val="en-AU"/>
        </w:rPr>
      </w:pPr>
    </w:p>
    <w:p w14:paraId="79B3C9DD" w14:textId="3A61EC96" w:rsidR="00AB6F60" w:rsidRPr="00A36674" w:rsidRDefault="00AB6F60" w:rsidP="00D7748F">
      <w:pPr>
        <w:pStyle w:val="ListParagraph"/>
        <w:numPr>
          <w:ilvl w:val="0"/>
          <w:numId w:val="5"/>
        </w:numPr>
        <w:ind w:left="851" w:hanging="425"/>
        <w:rPr>
          <w:rFonts w:asciiTheme="majorHAnsi" w:hAnsiTheme="majorHAnsi" w:cstheme="majorHAnsi"/>
          <w:sz w:val="22"/>
          <w:szCs w:val="22"/>
          <w:lang w:val="en-AU"/>
        </w:rPr>
      </w:pPr>
      <w:r w:rsidRPr="00A36674">
        <w:rPr>
          <w:rFonts w:asciiTheme="majorHAnsi" w:hAnsiTheme="majorHAnsi" w:cstheme="majorHAnsi"/>
          <w:sz w:val="22"/>
          <w:szCs w:val="22"/>
          <w:lang w:val="en-AU"/>
        </w:rPr>
        <w:t>The number of events registered on the map of events across the reporting period are as follows</w:t>
      </w:r>
      <w:r w:rsidR="0057293F">
        <w:rPr>
          <w:rFonts w:asciiTheme="majorHAnsi" w:hAnsiTheme="majorHAnsi" w:cstheme="majorHAnsi"/>
          <w:sz w:val="22"/>
          <w:szCs w:val="22"/>
          <w:lang w:val="en-AU"/>
        </w:rPr>
        <w:t>:</w:t>
      </w:r>
    </w:p>
    <w:p w14:paraId="015422D1" w14:textId="4185F3FC" w:rsidR="00AB6F60" w:rsidRPr="00A36674" w:rsidRDefault="00AB6F60" w:rsidP="00D7748F">
      <w:pPr>
        <w:pStyle w:val="ListParagraph"/>
        <w:numPr>
          <w:ilvl w:val="0"/>
          <w:numId w:val="12"/>
        </w:numPr>
        <w:ind w:left="1276" w:hanging="425"/>
        <w:rPr>
          <w:rFonts w:asciiTheme="majorHAnsi" w:hAnsiTheme="majorHAnsi" w:cstheme="majorHAnsi"/>
          <w:sz w:val="22"/>
          <w:szCs w:val="22"/>
          <w:lang w:val="en-AU"/>
        </w:rPr>
      </w:pPr>
      <w:r w:rsidRPr="00A36674">
        <w:rPr>
          <w:rFonts w:asciiTheme="majorHAnsi" w:hAnsiTheme="majorHAnsi" w:cstheme="majorHAnsi"/>
          <w:sz w:val="22"/>
          <w:szCs w:val="22"/>
          <w:lang w:val="en-AU"/>
        </w:rPr>
        <w:t>1</w:t>
      </w:r>
      <w:r w:rsidR="0057293F">
        <w:rPr>
          <w:rFonts w:asciiTheme="majorHAnsi" w:hAnsiTheme="majorHAnsi" w:cstheme="majorHAnsi"/>
          <w:sz w:val="22"/>
          <w:szCs w:val="22"/>
          <w:lang w:val="en-AU"/>
        </w:rPr>
        <w:t>,</w:t>
      </w:r>
      <w:r w:rsidRPr="00A36674">
        <w:rPr>
          <w:rFonts w:asciiTheme="majorHAnsi" w:hAnsiTheme="majorHAnsi" w:cstheme="majorHAnsi"/>
          <w:sz w:val="22"/>
          <w:szCs w:val="22"/>
          <w:lang w:val="en-AU"/>
        </w:rPr>
        <w:t>495 events in 108 countries in 2019</w:t>
      </w:r>
    </w:p>
    <w:p w14:paraId="13C86566" w14:textId="2727A7F6" w:rsidR="00AB6F60" w:rsidRPr="00A36674" w:rsidRDefault="00AB6F60" w:rsidP="00D7748F">
      <w:pPr>
        <w:pStyle w:val="ListParagraph"/>
        <w:numPr>
          <w:ilvl w:val="0"/>
          <w:numId w:val="12"/>
        </w:numPr>
        <w:ind w:left="1276" w:hanging="425"/>
        <w:rPr>
          <w:rFonts w:asciiTheme="majorHAnsi" w:hAnsiTheme="majorHAnsi" w:cstheme="majorHAnsi"/>
          <w:sz w:val="22"/>
          <w:szCs w:val="22"/>
          <w:lang w:val="en-AU"/>
        </w:rPr>
      </w:pPr>
      <w:r w:rsidRPr="00A36674">
        <w:rPr>
          <w:rFonts w:asciiTheme="majorHAnsi" w:hAnsiTheme="majorHAnsi" w:cstheme="majorHAnsi"/>
          <w:sz w:val="22"/>
          <w:szCs w:val="22"/>
          <w:lang w:val="en-AU"/>
        </w:rPr>
        <w:t>1,595 events in 85 countries</w:t>
      </w:r>
      <w:r w:rsidR="00310344">
        <w:rPr>
          <w:rFonts w:asciiTheme="majorHAnsi" w:hAnsiTheme="majorHAnsi" w:cstheme="majorHAnsi"/>
          <w:sz w:val="22"/>
          <w:szCs w:val="22"/>
          <w:lang w:val="en-AU"/>
        </w:rPr>
        <w:t xml:space="preserve"> </w:t>
      </w:r>
      <w:r w:rsidRPr="00A36674">
        <w:rPr>
          <w:rFonts w:asciiTheme="majorHAnsi" w:hAnsiTheme="majorHAnsi" w:cstheme="majorHAnsi"/>
          <w:sz w:val="22"/>
          <w:szCs w:val="22"/>
          <w:lang w:val="en-AU"/>
        </w:rPr>
        <w:t>in 2020</w:t>
      </w:r>
    </w:p>
    <w:p w14:paraId="09E6B9C0" w14:textId="77777777" w:rsidR="00AB6F60" w:rsidRPr="00A36674" w:rsidRDefault="00AB6F60" w:rsidP="00D7748F">
      <w:pPr>
        <w:pStyle w:val="ListParagraph"/>
        <w:numPr>
          <w:ilvl w:val="0"/>
          <w:numId w:val="12"/>
        </w:numPr>
        <w:ind w:left="1276" w:hanging="425"/>
        <w:rPr>
          <w:rFonts w:asciiTheme="majorHAnsi" w:hAnsiTheme="majorHAnsi" w:cstheme="majorHAnsi"/>
          <w:sz w:val="22"/>
          <w:szCs w:val="22"/>
          <w:lang w:val="en-AU"/>
        </w:rPr>
      </w:pPr>
      <w:r w:rsidRPr="00A36674">
        <w:rPr>
          <w:rFonts w:asciiTheme="majorHAnsi" w:hAnsiTheme="majorHAnsi" w:cstheme="majorHAnsi"/>
          <w:sz w:val="22"/>
          <w:szCs w:val="22"/>
          <w:lang w:val="en-AU"/>
        </w:rPr>
        <w:t>1,139 events in 82 countries in 2021</w:t>
      </w:r>
    </w:p>
    <w:p w14:paraId="7370A27F" w14:textId="5ACA4900" w:rsidR="00AB6F60" w:rsidRDefault="00AB6F60" w:rsidP="00D7748F">
      <w:pPr>
        <w:pStyle w:val="ListParagraph"/>
        <w:numPr>
          <w:ilvl w:val="0"/>
          <w:numId w:val="12"/>
        </w:numPr>
        <w:ind w:left="1276" w:hanging="425"/>
        <w:rPr>
          <w:rFonts w:asciiTheme="majorHAnsi" w:hAnsiTheme="majorHAnsi" w:cstheme="majorHAnsi"/>
          <w:sz w:val="22"/>
          <w:szCs w:val="22"/>
          <w:lang w:val="en-AU"/>
        </w:rPr>
      </w:pPr>
      <w:r w:rsidRPr="00A36674">
        <w:rPr>
          <w:rFonts w:asciiTheme="majorHAnsi" w:hAnsiTheme="majorHAnsi" w:cstheme="majorHAnsi"/>
          <w:sz w:val="22"/>
          <w:szCs w:val="22"/>
          <w:lang w:val="en-AU"/>
        </w:rPr>
        <w:t>1,591 events in 86 countries in 2022</w:t>
      </w:r>
    </w:p>
    <w:p w14:paraId="1D5F7ADD" w14:textId="77777777" w:rsidR="0057293F" w:rsidRPr="0057293F" w:rsidRDefault="0057293F" w:rsidP="0057293F">
      <w:pPr>
        <w:rPr>
          <w:rFonts w:asciiTheme="majorHAnsi" w:hAnsiTheme="majorHAnsi" w:cstheme="majorHAnsi"/>
          <w:sz w:val="22"/>
          <w:szCs w:val="22"/>
          <w:lang w:val="en-AU"/>
        </w:rPr>
      </w:pPr>
    </w:p>
    <w:p w14:paraId="7CEF84EA" w14:textId="36FD62FE" w:rsidR="00AB6F60" w:rsidRDefault="00AB6F60" w:rsidP="00D7748F">
      <w:pPr>
        <w:pStyle w:val="ListParagraph"/>
        <w:numPr>
          <w:ilvl w:val="0"/>
          <w:numId w:val="8"/>
        </w:numPr>
        <w:ind w:left="851" w:hanging="425"/>
        <w:rPr>
          <w:rFonts w:asciiTheme="majorHAnsi" w:eastAsia="Times New Roman" w:hAnsiTheme="majorHAnsi" w:cstheme="majorBidi"/>
          <w:sz w:val="22"/>
          <w:szCs w:val="22"/>
          <w:lang w:val="en-GB"/>
        </w:rPr>
      </w:pPr>
      <w:r w:rsidRPr="007F0205">
        <w:rPr>
          <w:rFonts w:asciiTheme="majorHAnsi" w:eastAsia="Times New Roman" w:hAnsiTheme="majorHAnsi" w:cstheme="majorBidi"/>
          <w:sz w:val="22"/>
          <w:szCs w:val="22"/>
          <w:lang w:val="en-GB"/>
        </w:rPr>
        <w:t>Danone continues to provide funding support for World Wetlands Day.</w:t>
      </w:r>
    </w:p>
    <w:p w14:paraId="31CB7AE6" w14:textId="77777777" w:rsidR="0057293F" w:rsidRPr="0057293F" w:rsidRDefault="0057293F" w:rsidP="0057293F">
      <w:pPr>
        <w:rPr>
          <w:rFonts w:asciiTheme="majorHAnsi" w:eastAsia="Times New Roman" w:hAnsiTheme="majorHAnsi" w:cstheme="majorBidi"/>
          <w:sz w:val="22"/>
          <w:szCs w:val="22"/>
          <w:lang w:val="en-GB"/>
        </w:rPr>
      </w:pPr>
    </w:p>
    <w:p w14:paraId="391C9D36" w14:textId="144D2962" w:rsidR="00C10773" w:rsidRDefault="00BF4803" w:rsidP="00D7748F">
      <w:pPr>
        <w:pStyle w:val="ListParagraph"/>
        <w:numPr>
          <w:ilvl w:val="0"/>
          <w:numId w:val="8"/>
        </w:numPr>
        <w:ind w:left="851" w:hanging="425"/>
        <w:rPr>
          <w:rFonts w:asciiTheme="majorHAnsi" w:eastAsia="Times New Roman" w:hAnsiTheme="majorHAnsi" w:cstheme="majorBidi"/>
          <w:sz w:val="22"/>
          <w:szCs w:val="22"/>
          <w:lang w:val="en-AU"/>
        </w:rPr>
      </w:pPr>
      <w:r w:rsidRPr="5219CE21">
        <w:rPr>
          <w:rFonts w:asciiTheme="majorHAnsi" w:eastAsia="Times New Roman" w:hAnsiTheme="majorHAnsi" w:cstheme="majorBidi"/>
          <w:sz w:val="22"/>
          <w:szCs w:val="22"/>
          <w:lang w:val="en-GB"/>
        </w:rPr>
        <w:t xml:space="preserve">To mark the Convention’s </w:t>
      </w:r>
      <w:r w:rsidRPr="006A63FF">
        <w:rPr>
          <w:rFonts w:asciiTheme="majorHAnsi" w:eastAsia="Times New Roman" w:hAnsiTheme="majorHAnsi" w:cstheme="majorBidi"/>
          <w:sz w:val="22"/>
          <w:szCs w:val="22"/>
          <w:lang w:val="en-GB"/>
        </w:rPr>
        <w:t>50</w:t>
      </w:r>
      <w:r w:rsidRPr="006763A5">
        <w:rPr>
          <w:rFonts w:asciiTheme="majorHAnsi" w:eastAsia="Times New Roman" w:hAnsiTheme="majorHAnsi" w:cstheme="majorBidi"/>
          <w:sz w:val="22"/>
          <w:szCs w:val="22"/>
          <w:lang w:val="en-GB"/>
        </w:rPr>
        <w:t>th</w:t>
      </w:r>
      <w:r w:rsidRPr="5219CE21">
        <w:rPr>
          <w:rFonts w:asciiTheme="majorHAnsi" w:eastAsia="Times New Roman" w:hAnsiTheme="majorHAnsi" w:cstheme="majorBidi"/>
          <w:sz w:val="22"/>
          <w:szCs w:val="22"/>
          <w:lang w:val="en-GB"/>
        </w:rPr>
        <w:t xml:space="preserve"> anniversary</w:t>
      </w:r>
      <w:r w:rsidR="002E1492" w:rsidRPr="5219CE21">
        <w:rPr>
          <w:rFonts w:asciiTheme="majorHAnsi" w:eastAsia="Times New Roman" w:hAnsiTheme="majorHAnsi" w:cstheme="majorBidi"/>
          <w:sz w:val="22"/>
          <w:szCs w:val="22"/>
          <w:lang w:val="en-GB"/>
        </w:rPr>
        <w:t xml:space="preserve"> in 2021</w:t>
      </w:r>
      <w:r w:rsidR="0053533F" w:rsidRPr="5219CE21">
        <w:rPr>
          <w:rFonts w:asciiTheme="majorHAnsi" w:eastAsia="Times New Roman" w:hAnsiTheme="majorHAnsi" w:cstheme="majorBidi"/>
          <w:sz w:val="22"/>
          <w:szCs w:val="22"/>
          <w:lang w:val="en-GB"/>
        </w:rPr>
        <w:t xml:space="preserve">, the Secretariat designed a </w:t>
      </w:r>
      <w:r w:rsidR="002E1492" w:rsidRPr="5219CE21">
        <w:rPr>
          <w:rFonts w:asciiTheme="majorHAnsi" w:eastAsia="Times New Roman" w:hAnsiTheme="majorHAnsi" w:cstheme="majorBidi"/>
          <w:sz w:val="22"/>
          <w:szCs w:val="22"/>
          <w:lang w:val="en-GB"/>
        </w:rPr>
        <w:t xml:space="preserve">year-long </w:t>
      </w:r>
      <w:r w:rsidR="0053533F" w:rsidRPr="5219CE21">
        <w:rPr>
          <w:rFonts w:asciiTheme="majorHAnsi" w:eastAsia="Times New Roman" w:hAnsiTheme="majorHAnsi" w:cstheme="majorBidi"/>
          <w:sz w:val="22"/>
          <w:szCs w:val="22"/>
          <w:lang w:val="en-GB"/>
        </w:rPr>
        <w:t xml:space="preserve">communications campaign </w:t>
      </w:r>
      <w:r w:rsidR="002E1492" w:rsidRPr="5219CE21">
        <w:rPr>
          <w:rFonts w:asciiTheme="majorHAnsi" w:eastAsia="Times New Roman" w:hAnsiTheme="majorHAnsi" w:cstheme="majorBidi"/>
          <w:sz w:val="22"/>
          <w:szCs w:val="22"/>
          <w:lang w:val="en-GB"/>
        </w:rPr>
        <w:t>to engage and activate partners and stakeholders to conserve, protect and restore wetlands.</w:t>
      </w:r>
      <w:r w:rsidR="00D010C3" w:rsidRPr="5219CE21">
        <w:rPr>
          <w:rFonts w:asciiTheme="majorHAnsi" w:eastAsia="Times New Roman" w:hAnsiTheme="majorHAnsi" w:cstheme="majorBidi"/>
          <w:sz w:val="22"/>
          <w:szCs w:val="22"/>
          <w:lang w:val="en-GB"/>
        </w:rPr>
        <w:t xml:space="preserve"> </w:t>
      </w:r>
      <w:r w:rsidR="005E585A" w:rsidRPr="5219CE21">
        <w:rPr>
          <w:rFonts w:asciiTheme="majorHAnsi" w:eastAsia="Times New Roman" w:hAnsiTheme="majorHAnsi" w:cstheme="majorBidi"/>
          <w:sz w:val="22"/>
          <w:szCs w:val="22"/>
          <w:lang w:val="en-AU"/>
        </w:rPr>
        <w:t xml:space="preserve">The </w:t>
      </w:r>
      <w:r w:rsidR="001D2764" w:rsidRPr="5219CE21">
        <w:rPr>
          <w:rFonts w:asciiTheme="majorHAnsi" w:eastAsia="Times New Roman" w:hAnsiTheme="majorHAnsi" w:cstheme="majorBidi"/>
          <w:sz w:val="22"/>
          <w:szCs w:val="22"/>
          <w:lang w:val="en-AU"/>
        </w:rPr>
        <w:t xml:space="preserve">Secretariat launched the </w:t>
      </w:r>
      <w:r w:rsidR="009A5A65" w:rsidRPr="5219CE21">
        <w:rPr>
          <w:rFonts w:asciiTheme="majorHAnsi" w:eastAsia="Times New Roman" w:hAnsiTheme="majorHAnsi" w:cstheme="majorBidi"/>
          <w:sz w:val="22"/>
          <w:szCs w:val="22"/>
          <w:lang w:val="en-AU"/>
        </w:rPr>
        <w:t xml:space="preserve">Convention’s </w:t>
      </w:r>
      <w:r w:rsidR="005E585A" w:rsidRPr="5219CE21">
        <w:rPr>
          <w:rFonts w:asciiTheme="majorHAnsi" w:eastAsia="Times New Roman" w:hAnsiTheme="majorHAnsi" w:cstheme="majorBidi"/>
          <w:sz w:val="22"/>
          <w:szCs w:val="22"/>
          <w:lang w:val="en-AU"/>
        </w:rPr>
        <w:t xml:space="preserve">50th Anniversary campaign in March 2021, following World Wetlands Day. A suite of campaign materials was </w:t>
      </w:r>
      <w:r w:rsidR="00FE7B3A" w:rsidRPr="5219CE21">
        <w:rPr>
          <w:rFonts w:asciiTheme="majorHAnsi" w:eastAsia="Times New Roman" w:hAnsiTheme="majorHAnsi" w:cstheme="majorBidi"/>
          <w:sz w:val="22"/>
          <w:szCs w:val="22"/>
          <w:lang w:val="en-AU"/>
        </w:rPr>
        <w:t>shared with</w:t>
      </w:r>
      <w:r w:rsidR="005E585A" w:rsidRPr="5219CE21">
        <w:rPr>
          <w:rFonts w:asciiTheme="majorHAnsi" w:eastAsia="Times New Roman" w:hAnsiTheme="majorHAnsi" w:cstheme="majorBidi"/>
          <w:sz w:val="22"/>
          <w:szCs w:val="22"/>
          <w:lang w:val="en-AU"/>
        </w:rPr>
        <w:t xml:space="preserve"> Parties </w:t>
      </w:r>
      <w:r w:rsidR="00CB276F" w:rsidRPr="5219CE21">
        <w:rPr>
          <w:rFonts w:asciiTheme="majorHAnsi" w:eastAsia="Times New Roman" w:hAnsiTheme="majorHAnsi" w:cstheme="majorBidi"/>
          <w:sz w:val="22"/>
          <w:szCs w:val="22"/>
          <w:lang w:val="en-AU"/>
        </w:rPr>
        <w:t>including a campaign website,</w:t>
      </w:r>
      <w:r w:rsidR="005E585A" w:rsidRPr="5219CE21">
        <w:rPr>
          <w:rFonts w:asciiTheme="majorHAnsi" w:eastAsia="Times New Roman" w:hAnsiTheme="majorHAnsi" w:cstheme="majorBidi"/>
          <w:sz w:val="22"/>
          <w:szCs w:val="22"/>
          <w:lang w:val="en-AU"/>
        </w:rPr>
        <w:t xml:space="preserve"> 50th Anniversary logo, video, brand guidelines, social media toolkit</w:t>
      </w:r>
      <w:r w:rsidR="001C735E" w:rsidRPr="5219CE21">
        <w:rPr>
          <w:rFonts w:asciiTheme="majorHAnsi" w:eastAsia="Times New Roman" w:hAnsiTheme="majorHAnsi" w:cstheme="majorBidi"/>
          <w:sz w:val="22"/>
          <w:szCs w:val="22"/>
          <w:lang w:val="en-AU"/>
        </w:rPr>
        <w:t xml:space="preserve"> and fa</w:t>
      </w:r>
      <w:r w:rsidR="001E0066" w:rsidRPr="5219CE21">
        <w:rPr>
          <w:rFonts w:asciiTheme="majorHAnsi" w:eastAsia="Times New Roman" w:hAnsiTheme="majorHAnsi" w:cstheme="majorBidi"/>
          <w:sz w:val="22"/>
          <w:szCs w:val="22"/>
          <w:lang w:val="en-AU"/>
        </w:rPr>
        <w:t>ct sheet</w:t>
      </w:r>
      <w:r w:rsidR="008E76DB" w:rsidRPr="5219CE21">
        <w:rPr>
          <w:rFonts w:asciiTheme="majorHAnsi" w:eastAsia="Times New Roman" w:hAnsiTheme="majorHAnsi" w:cstheme="majorBidi"/>
          <w:sz w:val="22"/>
          <w:szCs w:val="22"/>
          <w:lang w:val="en-AU"/>
        </w:rPr>
        <w:t xml:space="preserve"> series </w:t>
      </w:r>
      <w:r w:rsidR="001E0066" w:rsidRPr="5219CE21">
        <w:rPr>
          <w:rFonts w:asciiTheme="majorHAnsi" w:eastAsia="Times New Roman" w:hAnsiTheme="majorHAnsi" w:cstheme="majorBidi"/>
          <w:sz w:val="22"/>
          <w:szCs w:val="22"/>
          <w:lang w:val="en-AU"/>
        </w:rPr>
        <w:t>on wetland values</w:t>
      </w:r>
      <w:r w:rsidR="005E585A" w:rsidRPr="5219CE21">
        <w:rPr>
          <w:rFonts w:asciiTheme="majorHAnsi" w:eastAsia="Times New Roman" w:hAnsiTheme="majorHAnsi" w:cstheme="majorBidi"/>
          <w:sz w:val="22"/>
          <w:szCs w:val="22"/>
          <w:lang w:val="en-AU"/>
        </w:rPr>
        <w:t>. All campaign resources were available in English, French and Spanish.</w:t>
      </w:r>
    </w:p>
    <w:p w14:paraId="6F395C3B" w14:textId="77777777" w:rsidR="0057293F" w:rsidRPr="0057293F" w:rsidRDefault="0057293F" w:rsidP="0057293F">
      <w:pPr>
        <w:rPr>
          <w:rFonts w:asciiTheme="majorHAnsi" w:eastAsia="Times New Roman" w:hAnsiTheme="majorHAnsi" w:cstheme="majorBidi"/>
          <w:sz w:val="22"/>
          <w:szCs w:val="22"/>
          <w:lang w:val="en-AU"/>
        </w:rPr>
      </w:pPr>
    </w:p>
    <w:p w14:paraId="02956513" w14:textId="59BE1892" w:rsidR="00AB6F60" w:rsidRDefault="005E585A" w:rsidP="00D7748F">
      <w:pPr>
        <w:pStyle w:val="ListParagraph"/>
        <w:numPr>
          <w:ilvl w:val="0"/>
          <w:numId w:val="8"/>
        </w:numPr>
        <w:ind w:left="851" w:hanging="425"/>
        <w:rPr>
          <w:rFonts w:asciiTheme="majorHAnsi" w:eastAsia="Times New Roman" w:hAnsiTheme="majorHAnsi" w:cstheme="majorBidi"/>
          <w:sz w:val="22"/>
          <w:szCs w:val="22"/>
          <w:lang w:val="en-AU"/>
        </w:rPr>
      </w:pPr>
      <w:r w:rsidRPr="5219CE21">
        <w:rPr>
          <w:rFonts w:asciiTheme="majorHAnsi" w:eastAsia="Times New Roman" w:hAnsiTheme="majorHAnsi" w:cstheme="majorBidi"/>
          <w:sz w:val="22"/>
          <w:szCs w:val="22"/>
          <w:lang w:val="en-AU"/>
        </w:rPr>
        <w:t xml:space="preserve">The </w:t>
      </w:r>
      <w:r w:rsidR="006A63FF">
        <w:rPr>
          <w:rFonts w:asciiTheme="majorHAnsi" w:eastAsia="Times New Roman" w:hAnsiTheme="majorHAnsi" w:cstheme="majorBidi"/>
          <w:sz w:val="22"/>
          <w:szCs w:val="22"/>
          <w:lang w:val="en-AU"/>
        </w:rPr>
        <w:t>50th A</w:t>
      </w:r>
      <w:r w:rsidR="00996EE9" w:rsidRPr="5219CE21">
        <w:rPr>
          <w:rFonts w:asciiTheme="majorHAnsi" w:eastAsia="Times New Roman" w:hAnsiTheme="majorHAnsi" w:cstheme="majorBidi"/>
          <w:sz w:val="22"/>
          <w:szCs w:val="22"/>
          <w:lang w:val="en-AU"/>
        </w:rPr>
        <w:t xml:space="preserve">nniversary </w:t>
      </w:r>
      <w:r w:rsidRPr="5219CE21">
        <w:rPr>
          <w:rFonts w:asciiTheme="majorHAnsi" w:eastAsia="Times New Roman" w:hAnsiTheme="majorHAnsi" w:cstheme="majorBidi"/>
          <w:sz w:val="22"/>
          <w:szCs w:val="22"/>
          <w:lang w:val="en-AU"/>
        </w:rPr>
        <w:t xml:space="preserve">campaign highlighted </w:t>
      </w:r>
      <w:r w:rsidR="007004C2" w:rsidRPr="5219CE21">
        <w:rPr>
          <w:rFonts w:asciiTheme="majorHAnsi" w:eastAsia="Times New Roman" w:hAnsiTheme="majorHAnsi" w:cstheme="majorBidi"/>
          <w:sz w:val="22"/>
          <w:szCs w:val="22"/>
          <w:lang w:val="en-AU"/>
        </w:rPr>
        <w:t>the importance of wetlands</w:t>
      </w:r>
      <w:r w:rsidR="00F940C6" w:rsidRPr="5219CE21">
        <w:rPr>
          <w:rFonts w:asciiTheme="majorHAnsi" w:eastAsia="Times New Roman" w:hAnsiTheme="majorHAnsi" w:cstheme="majorBidi"/>
          <w:sz w:val="22"/>
          <w:szCs w:val="22"/>
          <w:lang w:val="en-AU"/>
        </w:rPr>
        <w:t xml:space="preserve"> </w:t>
      </w:r>
      <w:r w:rsidR="0078342B" w:rsidRPr="5219CE21">
        <w:rPr>
          <w:rFonts w:asciiTheme="majorHAnsi" w:eastAsia="Times New Roman" w:hAnsiTheme="majorHAnsi" w:cstheme="majorBidi"/>
          <w:sz w:val="22"/>
          <w:szCs w:val="22"/>
          <w:lang w:val="en-AU"/>
        </w:rPr>
        <w:t>to</w:t>
      </w:r>
      <w:r w:rsidR="007004C2" w:rsidRPr="5219CE21">
        <w:rPr>
          <w:rFonts w:asciiTheme="majorHAnsi" w:eastAsia="Times New Roman" w:hAnsiTheme="majorHAnsi" w:cstheme="majorBidi"/>
          <w:sz w:val="22"/>
          <w:szCs w:val="22"/>
          <w:lang w:val="en-AU"/>
        </w:rPr>
        <w:t xml:space="preserve"> </w:t>
      </w:r>
      <w:r w:rsidRPr="5219CE21">
        <w:rPr>
          <w:rFonts w:asciiTheme="majorHAnsi" w:eastAsia="Times New Roman" w:hAnsiTheme="majorHAnsi" w:cstheme="majorBidi"/>
          <w:sz w:val="22"/>
          <w:szCs w:val="22"/>
          <w:lang w:val="en-AU"/>
        </w:rPr>
        <w:t xml:space="preserve">key international days throughout 2021, </w:t>
      </w:r>
      <w:r w:rsidR="00457767" w:rsidRPr="5219CE21">
        <w:rPr>
          <w:rFonts w:asciiTheme="majorHAnsi" w:eastAsia="Times New Roman" w:hAnsiTheme="majorHAnsi" w:cstheme="majorBidi"/>
          <w:sz w:val="22"/>
          <w:szCs w:val="22"/>
          <w:lang w:val="en-AU"/>
        </w:rPr>
        <w:t>including</w:t>
      </w:r>
      <w:r w:rsidRPr="5219CE21">
        <w:rPr>
          <w:rFonts w:asciiTheme="majorHAnsi" w:eastAsia="Times New Roman" w:hAnsiTheme="majorHAnsi" w:cstheme="majorBidi"/>
          <w:sz w:val="22"/>
          <w:szCs w:val="22"/>
          <w:lang w:val="en-AU"/>
        </w:rPr>
        <w:t xml:space="preserve"> World Water Day (22 March), International Day for Biological Diversity (22 May), World Ocean Day (8 June), International Youth Day (12 August), and International Day for Disaster Risk Reduction (13 October). Overall engagement and participation of</w:t>
      </w:r>
      <w:r w:rsidR="005447CF" w:rsidRPr="5219CE21">
        <w:rPr>
          <w:rFonts w:asciiTheme="majorHAnsi" w:eastAsia="Times New Roman" w:hAnsiTheme="majorHAnsi" w:cstheme="majorBidi"/>
          <w:sz w:val="22"/>
          <w:szCs w:val="22"/>
          <w:lang w:val="en-AU"/>
        </w:rPr>
        <w:t xml:space="preserve"> </w:t>
      </w:r>
      <w:r w:rsidRPr="5219CE21">
        <w:rPr>
          <w:rFonts w:asciiTheme="majorHAnsi" w:eastAsia="Times New Roman" w:hAnsiTheme="majorHAnsi" w:cstheme="majorBidi"/>
          <w:sz w:val="22"/>
          <w:szCs w:val="22"/>
          <w:lang w:val="en-AU"/>
        </w:rPr>
        <w:t xml:space="preserve">stakeholders in the campaign was strong. </w:t>
      </w:r>
      <w:r w:rsidR="00880BC4" w:rsidRPr="5219CE21">
        <w:rPr>
          <w:rFonts w:asciiTheme="majorHAnsi" w:eastAsia="Times New Roman" w:hAnsiTheme="majorHAnsi" w:cstheme="majorBidi"/>
          <w:sz w:val="22"/>
          <w:szCs w:val="22"/>
          <w:lang w:val="en-AU"/>
        </w:rPr>
        <w:t>S</w:t>
      </w:r>
      <w:r w:rsidRPr="5219CE21">
        <w:rPr>
          <w:rFonts w:asciiTheme="majorHAnsi" w:eastAsia="Times New Roman" w:hAnsiTheme="majorHAnsi" w:cstheme="majorBidi"/>
          <w:sz w:val="22"/>
          <w:szCs w:val="22"/>
          <w:lang w:val="en-AU"/>
        </w:rPr>
        <w:t xml:space="preserve">ocial media analytics show 4,869 instances of the campaign hashtag being used on Twitter and Instagram posts with a reach of 32 million viewers across all regions. </w:t>
      </w:r>
      <w:r w:rsidR="007C1886" w:rsidRPr="5219CE21">
        <w:rPr>
          <w:rFonts w:asciiTheme="majorHAnsi" w:eastAsia="Times New Roman" w:hAnsiTheme="majorHAnsi" w:cstheme="majorBidi"/>
          <w:sz w:val="22"/>
          <w:szCs w:val="22"/>
          <w:lang w:val="en-AU"/>
        </w:rPr>
        <w:t>Page visits to the campaign website totalled 40,000.</w:t>
      </w:r>
    </w:p>
    <w:p w14:paraId="31035DBE" w14:textId="77777777" w:rsidR="0057293F" w:rsidRPr="0057293F" w:rsidRDefault="0057293F" w:rsidP="0057293F">
      <w:pPr>
        <w:rPr>
          <w:rFonts w:asciiTheme="majorHAnsi" w:eastAsia="Times New Roman" w:hAnsiTheme="majorHAnsi" w:cstheme="majorBidi"/>
          <w:sz w:val="22"/>
          <w:szCs w:val="22"/>
          <w:lang w:val="en-AU"/>
        </w:rPr>
      </w:pPr>
    </w:p>
    <w:p w14:paraId="0B73E22A" w14:textId="169F534C" w:rsidR="00C64326" w:rsidRDefault="00C64326" w:rsidP="00D7748F">
      <w:pPr>
        <w:numPr>
          <w:ilvl w:val="0"/>
          <w:numId w:val="1"/>
        </w:numPr>
        <w:ind w:left="851" w:hanging="425"/>
        <w:contextualSpacing/>
        <w:rPr>
          <w:rFonts w:asciiTheme="majorHAnsi" w:eastAsia="Calibri" w:hAnsiTheme="majorHAnsi" w:cs="Times New Roman"/>
          <w:sz w:val="22"/>
          <w:szCs w:val="22"/>
          <w:lang w:val="en-AU"/>
        </w:rPr>
      </w:pPr>
      <w:r w:rsidRPr="00C64326">
        <w:rPr>
          <w:rFonts w:asciiTheme="majorHAnsi" w:eastAsia="Calibri" w:hAnsiTheme="majorHAnsi" w:cs="Times New Roman"/>
          <w:sz w:val="22"/>
          <w:szCs w:val="22"/>
          <w:lang w:val="en-AU"/>
        </w:rPr>
        <w:t xml:space="preserve">There has been widespread activity on other campaigns, programmes and projects relating to wetland CEPA, </w:t>
      </w:r>
      <w:r w:rsidRPr="0056148E">
        <w:rPr>
          <w:rFonts w:asciiTheme="majorHAnsi" w:eastAsia="Calibri" w:hAnsiTheme="majorHAnsi" w:cs="Times New Roman"/>
          <w:sz w:val="22"/>
          <w:szCs w:val="22"/>
          <w:lang w:val="en-AU"/>
        </w:rPr>
        <w:t xml:space="preserve">with </w:t>
      </w:r>
      <w:r w:rsidR="00AE20A6" w:rsidRPr="0056148E">
        <w:rPr>
          <w:rFonts w:asciiTheme="majorHAnsi" w:eastAsia="Calibri" w:hAnsiTheme="majorHAnsi" w:cs="Times New Roman"/>
          <w:sz w:val="22"/>
          <w:szCs w:val="22"/>
          <w:lang w:val="en-AU"/>
        </w:rPr>
        <w:t>87%</w:t>
      </w:r>
      <w:r w:rsidRPr="0056148E">
        <w:rPr>
          <w:rFonts w:asciiTheme="majorHAnsi" w:eastAsia="Calibri" w:hAnsiTheme="majorHAnsi" w:cs="Times New Roman"/>
          <w:sz w:val="22"/>
          <w:szCs w:val="22"/>
          <w:lang w:val="en-AU"/>
        </w:rPr>
        <w:t xml:space="preserve"> of countries reporting such initiatives over the </w:t>
      </w:r>
      <w:r w:rsidR="008F51F6" w:rsidRPr="0056148E">
        <w:rPr>
          <w:rFonts w:asciiTheme="majorHAnsi" w:eastAsia="Calibri" w:hAnsiTheme="majorHAnsi" w:cs="Times New Roman"/>
          <w:sz w:val="22"/>
          <w:szCs w:val="22"/>
          <w:lang w:val="en-AU"/>
        </w:rPr>
        <w:t>reporting period</w:t>
      </w:r>
      <w:r w:rsidRPr="0056148E">
        <w:rPr>
          <w:rFonts w:asciiTheme="majorHAnsi" w:eastAsia="Calibri" w:hAnsiTheme="majorHAnsi" w:cs="Times New Roman"/>
          <w:sz w:val="22"/>
          <w:szCs w:val="22"/>
          <w:lang w:val="en-AU"/>
        </w:rPr>
        <w:t>.</w:t>
      </w:r>
      <w:r w:rsidR="001E664B">
        <w:rPr>
          <w:rFonts w:asciiTheme="majorHAnsi" w:eastAsia="Calibri" w:hAnsiTheme="majorHAnsi" w:cs="Times New Roman"/>
          <w:sz w:val="22"/>
          <w:szCs w:val="22"/>
          <w:lang w:val="en-AU"/>
        </w:rPr>
        <w:t xml:space="preserve"> </w:t>
      </w:r>
      <w:r w:rsidRPr="0056148E">
        <w:rPr>
          <w:rFonts w:asciiTheme="majorHAnsi" w:eastAsia="Calibri" w:hAnsiTheme="majorHAnsi" w:cs="Times New Roman"/>
          <w:sz w:val="22"/>
          <w:szCs w:val="22"/>
          <w:lang w:val="en-AU"/>
        </w:rPr>
        <w:t>These have included making use of other</w:t>
      </w:r>
      <w:r w:rsidRPr="00C64326">
        <w:rPr>
          <w:rFonts w:asciiTheme="majorHAnsi" w:eastAsia="Calibri" w:hAnsiTheme="majorHAnsi" w:cs="Times New Roman"/>
          <w:sz w:val="22"/>
          <w:szCs w:val="22"/>
          <w:lang w:val="en-AU"/>
        </w:rPr>
        <w:t xml:space="preserve"> international days, such as World Environment Day, World Migratory Bird Day and World Turtles Day, to support global campaigns and draw attention to national and local situations.</w:t>
      </w:r>
    </w:p>
    <w:p w14:paraId="12CD5EBA" w14:textId="77777777" w:rsidR="0057293F" w:rsidRPr="00C64326" w:rsidRDefault="0057293F" w:rsidP="0057293F">
      <w:pPr>
        <w:contextualSpacing/>
        <w:rPr>
          <w:rFonts w:asciiTheme="majorHAnsi" w:eastAsia="Calibri" w:hAnsiTheme="majorHAnsi" w:cs="Times New Roman"/>
          <w:sz w:val="22"/>
          <w:szCs w:val="22"/>
          <w:lang w:val="en-AU"/>
        </w:rPr>
      </w:pPr>
    </w:p>
    <w:p w14:paraId="77B81BA7" w14:textId="34CE8AAD" w:rsidR="00C64326" w:rsidRDefault="00C64326" w:rsidP="00D7748F">
      <w:pPr>
        <w:numPr>
          <w:ilvl w:val="0"/>
          <w:numId w:val="1"/>
        </w:numPr>
        <w:ind w:left="851" w:hanging="425"/>
        <w:contextualSpacing/>
        <w:rPr>
          <w:rFonts w:asciiTheme="majorHAnsi" w:eastAsia="Calibri" w:hAnsiTheme="majorHAnsi" w:cs="Times New Roman"/>
          <w:sz w:val="22"/>
          <w:szCs w:val="22"/>
          <w:lang w:val="en-AU"/>
        </w:rPr>
      </w:pPr>
      <w:r w:rsidRPr="00C64326">
        <w:rPr>
          <w:rFonts w:asciiTheme="majorHAnsi" w:eastAsia="Calibri" w:hAnsiTheme="majorHAnsi" w:cs="Times New Roman"/>
          <w:sz w:val="22"/>
          <w:szCs w:val="22"/>
          <w:lang w:val="en-AU"/>
        </w:rPr>
        <w:lastRenderedPageBreak/>
        <w:t xml:space="preserve">Contracting Parties </w:t>
      </w:r>
      <w:r w:rsidR="006A5559">
        <w:rPr>
          <w:rFonts w:asciiTheme="majorHAnsi" w:eastAsia="Calibri" w:hAnsiTheme="majorHAnsi" w:cs="Times New Roman"/>
          <w:sz w:val="22"/>
          <w:szCs w:val="22"/>
          <w:lang w:val="en-AU"/>
        </w:rPr>
        <w:t>have undertaken</w:t>
      </w:r>
      <w:r w:rsidRPr="00C64326">
        <w:rPr>
          <w:rFonts w:asciiTheme="majorHAnsi" w:eastAsia="Calibri" w:hAnsiTheme="majorHAnsi" w:cs="Times New Roman"/>
          <w:sz w:val="22"/>
          <w:szCs w:val="22"/>
          <w:lang w:val="en-AU"/>
        </w:rPr>
        <w:t xml:space="preserve"> a variety of activities, which demonstrate effective approaches to engage and build capacity across a wide range of stakeholders and sectors.</w:t>
      </w:r>
      <w:r w:rsidR="001E664B">
        <w:rPr>
          <w:rFonts w:asciiTheme="majorHAnsi" w:eastAsia="Calibri" w:hAnsiTheme="majorHAnsi" w:cs="Times New Roman"/>
          <w:sz w:val="22"/>
          <w:szCs w:val="22"/>
          <w:lang w:val="en-AU"/>
        </w:rPr>
        <w:t xml:space="preserve"> </w:t>
      </w:r>
      <w:r w:rsidRPr="00C64326">
        <w:rPr>
          <w:rFonts w:asciiTheme="majorHAnsi" w:eastAsia="Calibri" w:hAnsiTheme="majorHAnsi" w:cs="Times New Roman"/>
          <w:sz w:val="22"/>
          <w:szCs w:val="22"/>
          <w:lang w:val="en-AU"/>
        </w:rPr>
        <w:t xml:space="preserve">Examples are at </w:t>
      </w:r>
      <w:r w:rsidRPr="00DD3949">
        <w:rPr>
          <w:rFonts w:asciiTheme="majorHAnsi" w:eastAsia="Calibri" w:hAnsiTheme="majorHAnsi" w:cs="Times New Roman"/>
          <w:b/>
          <w:sz w:val="22"/>
          <w:szCs w:val="22"/>
          <w:lang w:val="en-AU"/>
        </w:rPr>
        <w:t>Annex A</w:t>
      </w:r>
      <w:r w:rsidRPr="00C64326">
        <w:rPr>
          <w:rFonts w:asciiTheme="majorHAnsi" w:eastAsia="Calibri" w:hAnsiTheme="majorHAnsi" w:cs="Times New Roman"/>
          <w:sz w:val="22"/>
          <w:szCs w:val="22"/>
          <w:lang w:val="en-AU"/>
        </w:rPr>
        <w:t>.</w:t>
      </w:r>
    </w:p>
    <w:p w14:paraId="386A5051" w14:textId="77777777" w:rsidR="0057293F" w:rsidRPr="00C64326" w:rsidRDefault="0057293F" w:rsidP="0057293F">
      <w:pPr>
        <w:contextualSpacing/>
        <w:rPr>
          <w:rFonts w:asciiTheme="majorHAnsi" w:eastAsia="Calibri" w:hAnsiTheme="majorHAnsi" w:cs="Times New Roman"/>
          <w:sz w:val="22"/>
          <w:szCs w:val="22"/>
          <w:lang w:val="en-AU"/>
        </w:rPr>
      </w:pPr>
    </w:p>
    <w:p w14:paraId="6D09D0EC" w14:textId="0F4FB28F" w:rsidR="00C64326" w:rsidRDefault="00C64326" w:rsidP="00D7748F">
      <w:pPr>
        <w:numPr>
          <w:ilvl w:val="0"/>
          <w:numId w:val="1"/>
        </w:numPr>
        <w:ind w:left="851" w:hanging="425"/>
        <w:contextualSpacing/>
        <w:rPr>
          <w:rFonts w:asciiTheme="majorHAnsi" w:eastAsia="Calibri" w:hAnsiTheme="majorHAnsi" w:cs="Times New Roman"/>
          <w:sz w:val="22"/>
          <w:szCs w:val="22"/>
          <w:lang w:val="en-AU"/>
        </w:rPr>
      </w:pPr>
      <w:r w:rsidRPr="00C64326">
        <w:rPr>
          <w:rFonts w:asciiTheme="majorHAnsi" w:eastAsia="Calibri" w:hAnsiTheme="majorHAnsi" w:cs="Times New Roman"/>
          <w:sz w:val="22"/>
          <w:szCs w:val="22"/>
          <w:lang w:val="en-AU"/>
        </w:rPr>
        <w:t>The Secretariat continued its communication outreach through social media (Twitter, Facebook and Instagram)</w:t>
      </w:r>
      <w:r w:rsidR="001C534E">
        <w:rPr>
          <w:rFonts w:asciiTheme="majorHAnsi" w:eastAsia="Calibri" w:hAnsiTheme="majorHAnsi" w:cs="Times New Roman"/>
          <w:sz w:val="22"/>
          <w:szCs w:val="22"/>
          <w:lang w:val="en-AU"/>
        </w:rPr>
        <w:t>. Social media impressions topped 76 million for the reporting period</w:t>
      </w:r>
      <w:r w:rsidR="001D318B">
        <w:rPr>
          <w:rFonts w:asciiTheme="majorHAnsi" w:eastAsia="Calibri" w:hAnsiTheme="majorHAnsi" w:cs="Times New Roman"/>
          <w:sz w:val="22"/>
          <w:szCs w:val="22"/>
          <w:lang w:val="en-AU"/>
        </w:rPr>
        <w:t>,</w:t>
      </w:r>
      <w:r w:rsidRPr="00C64326">
        <w:rPr>
          <w:rFonts w:asciiTheme="majorHAnsi" w:eastAsia="Calibri" w:hAnsiTheme="majorHAnsi" w:cs="Times New Roman"/>
          <w:sz w:val="22"/>
          <w:szCs w:val="22"/>
          <w:lang w:val="en-AU"/>
        </w:rPr>
        <w:t xml:space="preserve"> a </w:t>
      </w:r>
      <w:r w:rsidR="00446332">
        <w:rPr>
          <w:rFonts w:asciiTheme="majorHAnsi" w:eastAsia="Calibri" w:hAnsiTheme="majorHAnsi" w:cs="Times New Roman"/>
          <w:sz w:val="22"/>
          <w:szCs w:val="22"/>
          <w:lang w:val="en-AU"/>
        </w:rPr>
        <w:t>74%</w:t>
      </w:r>
      <w:r w:rsidRPr="00C64326">
        <w:rPr>
          <w:rFonts w:asciiTheme="majorHAnsi" w:eastAsia="Calibri" w:hAnsiTheme="majorHAnsi" w:cs="Times New Roman"/>
          <w:sz w:val="22"/>
          <w:szCs w:val="22"/>
          <w:lang w:val="en-AU"/>
        </w:rPr>
        <w:t xml:space="preserve"> increase </w:t>
      </w:r>
      <w:r w:rsidR="0081225B">
        <w:rPr>
          <w:rFonts w:asciiTheme="majorHAnsi" w:eastAsia="Calibri" w:hAnsiTheme="majorHAnsi" w:cs="Times New Roman"/>
          <w:sz w:val="22"/>
          <w:szCs w:val="22"/>
          <w:lang w:val="en-AU"/>
        </w:rPr>
        <w:t>from the</w:t>
      </w:r>
      <w:r w:rsidR="00B52035">
        <w:rPr>
          <w:rFonts w:asciiTheme="majorHAnsi" w:eastAsia="Calibri" w:hAnsiTheme="majorHAnsi" w:cs="Times New Roman"/>
          <w:sz w:val="22"/>
          <w:szCs w:val="22"/>
          <w:lang w:val="en-AU"/>
        </w:rPr>
        <w:t xml:space="preserve"> last tri</w:t>
      </w:r>
      <w:r w:rsidR="00B3586E">
        <w:rPr>
          <w:rFonts w:asciiTheme="majorHAnsi" w:eastAsia="Calibri" w:hAnsiTheme="majorHAnsi" w:cs="Times New Roman"/>
          <w:sz w:val="22"/>
          <w:szCs w:val="22"/>
          <w:lang w:val="en-AU"/>
        </w:rPr>
        <w:t>ennium</w:t>
      </w:r>
      <w:r w:rsidRPr="00C64326">
        <w:rPr>
          <w:rFonts w:asciiTheme="majorHAnsi" w:eastAsia="Calibri" w:hAnsiTheme="majorHAnsi" w:cs="Times New Roman"/>
          <w:sz w:val="22"/>
          <w:szCs w:val="22"/>
          <w:lang w:val="en-AU"/>
        </w:rPr>
        <w:t>.</w:t>
      </w:r>
    </w:p>
    <w:p w14:paraId="61580644" w14:textId="77777777" w:rsidR="00EC7A4B" w:rsidRPr="00C64326" w:rsidRDefault="00EC7A4B" w:rsidP="00A4794E">
      <w:pPr>
        <w:contextualSpacing/>
        <w:rPr>
          <w:rFonts w:asciiTheme="majorHAnsi" w:eastAsia="Calibri" w:hAnsiTheme="majorHAnsi" w:cs="Times New Roman"/>
          <w:sz w:val="22"/>
          <w:szCs w:val="22"/>
          <w:lang w:val="en-AU"/>
        </w:rPr>
      </w:pPr>
    </w:p>
    <w:p w14:paraId="2CA0E64C" w14:textId="122A5ED7" w:rsidR="00C64326" w:rsidRDefault="00C64326" w:rsidP="00D7748F">
      <w:pPr>
        <w:ind w:left="426"/>
        <w:rPr>
          <w:rFonts w:asciiTheme="majorHAnsi" w:eastAsia="Calibri" w:hAnsiTheme="majorHAnsi" w:cs="Times New Roman"/>
          <w:i/>
          <w:sz w:val="22"/>
          <w:szCs w:val="22"/>
          <w:lang w:val="en-AU"/>
        </w:rPr>
      </w:pPr>
      <w:bookmarkStart w:id="1" w:name="_Hlk111460682"/>
      <w:r w:rsidRPr="00C64326">
        <w:rPr>
          <w:rFonts w:asciiTheme="majorHAnsi" w:eastAsia="Calibri" w:hAnsiTheme="majorHAnsi" w:cs="Times New Roman"/>
          <w:i/>
          <w:sz w:val="22"/>
          <w:szCs w:val="22"/>
          <w:lang w:val="en-AU"/>
        </w:rPr>
        <w:t>Goal 7 – Wetland education centres</w:t>
      </w:r>
    </w:p>
    <w:p w14:paraId="7E85085D" w14:textId="77777777" w:rsidR="0057293F" w:rsidRPr="00310344" w:rsidRDefault="0057293F" w:rsidP="00310344">
      <w:pPr>
        <w:rPr>
          <w:rFonts w:asciiTheme="majorHAnsi" w:eastAsia="Calibri" w:hAnsiTheme="majorHAnsi" w:cs="Times New Roman"/>
          <w:sz w:val="22"/>
          <w:szCs w:val="22"/>
          <w:lang w:val="en-AU"/>
        </w:rPr>
      </w:pPr>
    </w:p>
    <w:p w14:paraId="0369498A" w14:textId="64A6AC86" w:rsidR="00E971E4" w:rsidRPr="0057293F" w:rsidRDefault="00E971E4" w:rsidP="00D7748F">
      <w:pPr>
        <w:numPr>
          <w:ilvl w:val="0"/>
          <w:numId w:val="1"/>
        </w:numPr>
        <w:ind w:left="851" w:hanging="425"/>
        <w:contextualSpacing/>
        <w:rPr>
          <w:rFonts w:asciiTheme="majorHAnsi" w:eastAsia="Times New Roman" w:hAnsiTheme="majorHAnsi" w:cstheme="majorHAnsi"/>
          <w:sz w:val="22"/>
          <w:szCs w:val="22"/>
          <w:lang w:val="en-AU"/>
        </w:rPr>
      </w:pPr>
      <w:r w:rsidRPr="00E67D7D">
        <w:rPr>
          <w:rFonts w:asciiTheme="majorHAnsi" w:eastAsia="Times New Roman" w:hAnsiTheme="majorHAnsi" w:cstheme="majorHAnsi"/>
          <w:sz w:val="22"/>
          <w:szCs w:val="22"/>
          <w:lang w:val="en-AU"/>
        </w:rPr>
        <w:t xml:space="preserve">The </w:t>
      </w:r>
      <w:r w:rsidR="004D6D01" w:rsidRPr="004D6D01">
        <w:rPr>
          <w:rFonts w:asciiTheme="majorHAnsi" w:eastAsia="Times New Roman" w:hAnsiTheme="majorHAnsi" w:cstheme="majorHAnsi"/>
          <w:sz w:val="22"/>
          <w:szCs w:val="22"/>
          <w:lang w:val="en-AU"/>
        </w:rPr>
        <w:t xml:space="preserve">Wetlands Link International </w:t>
      </w:r>
      <w:r w:rsidR="004D6D01">
        <w:rPr>
          <w:rFonts w:asciiTheme="majorHAnsi" w:eastAsia="Times New Roman" w:hAnsiTheme="majorHAnsi" w:cstheme="majorHAnsi"/>
          <w:sz w:val="22"/>
          <w:szCs w:val="22"/>
          <w:lang w:val="en-AU"/>
        </w:rPr>
        <w:t>(</w:t>
      </w:r>
      <w:r w:rsidRPr="00E67D7D">
        <w:rPr>
          <w:rFonts w:asciiTheme="majorHAnsi" w:eastAsia="Times New Roman" w:hAnsiTheme="majorHAnsi" w:cstheme="majorHAnsi"/>
          <w:sz w:val="22"/>
          <w:szCs w:val="22"/>
          <w:lang w:val="en-AU"/>
        </w:rPr>
        <w:t>WLI</w:t>
      </w:r>
      <w:r w:rsidR="004D6D01">
        <w:rPr>
          <w:rFonts w:asciiTheme="majorHAnsi" w:eastAsia="Times New Roman" w:hAnsiTheme="majorHAnsi" w:cstheme="majorHAnsi"/>
          <w:sz w:val="22"/>
          <w:szCs w:val="22"/>
          <w:lang w:val="en-AU"/>
        </w:rPr>
        <w:t>)</w:t>
      </w:r>
      <w:r w:rsidRPr="00E67D7D">
        <w:rPr>
          <w:rFonts w:asciiTheme="majorHAnsi" w:eastAsia="Times New Roman" w:hAnsiTheme="majorHAnsi" w:cstheme="majorHAnsi"/>
          <w:sz w:val="22"/>
          <w:szCs w:val="22"/>
          <w:lang w:val="en-AU"/>
        </w:rPr>
        <w:t xml:space="preserve"> </w:t>
      </w:r>
      <w:r w:rsidRPr="00E67D7D">
        <w:rPr>
          <w:rFonts w:asciiTheme="majorHAnsi" w:eastAsia="Times New Roman" w:hAnsiTheme="majorHAnsi" w:cstheme="majorHAnsi"/>
          <w:sz w:val="22"/>
          <w:szCs w:val="22"/>
          <w:lang w:val="en"/>
        </w:rPr>
        <w:t>network of centres is an effective mechanism to link wetland education centres and provide an opportunity for sharing experiences, materials and innovative education and engagement ideas in support of CEPA.</w:t>
      </w:r>
      <w:r w:rsidR="001E664B">
        <w:rPr>
          <w:rFonts w:asciiTheme="majorHAnsi" w:eastAsia="Times New Roman" w:hAnsiTheme="majorHAnsi" w:cstheme="majorHAnsi"/>
          <w:sz w:val="22"/>
          <w:szCs w:val="22"/>
          <w:lang w:val="en"/>
        </w:rPr>
        <w:t xml:space="preserve"> </w:t>
      </w:r>
      <w:r w:rsidRPr="00E67D7D">
        <w:rPr>
          <w:rFonts w:asciiTheme="majorHAnsi" w:eastAsia="Times New Roman" w:hAnsiTheme="majorHAnsi" w:cstheme="majorHAnsi"/>
          <w:sz w:val="22"/>
          <w:szCs w:val="22"/>
          <w:lang w:val="en"/>
        </w:rPr>
        <w:t xml:space="preserve">WLI has over 350 member centres and has established several regional networks, including in the East Atlantic Flyway (Migratory Birds for People), WLI in the Americas and the newly launched WLI Asia-Oceania, run through the Ramsar Regional Centre East Asia. WLI celebrated its </w:t>
      </w:r>
      <w:r w:rsidRPr="006A5559">
        <w:rPr>
          <w:rFonts w:asciiTheme="majorHAnsi" w:eastAsia="Times New Roman" w:hAnsiTheme="majorHAnsi" w:cstheme="majorHAnsi"/>
          <w:sz w:val="22"/>
          <w:szCs w:val="22"/>
          <w:lang w:val="en"/>
        </w:rPr>
        <w:t>30th</w:t>
      </w:r>
      <w:r w:rsidRPr="00E67D7D">
        <w:rPr>
          <w:rFonts w:asciiTheme="majorHAnsi" w:eastAsia="Times New Roman" w:hAnsiTheme="majorHAnsi" w:cstheme="majorHAnsi"/>
          <w:sz w:val="22"/>
          <w:szCs w:val="22"/>
          <w:lang w:val="en"/>
        </w:rPr>
        <w:t xml:space="preserve"> anniversary in 2020, producing an educational wall map for its members, collecting project case studies, distributing commemorative pin badges and launching the new Star Wetland </w:t>
      </w:r>
      <w:r w:rsidR="002617F3">
        <w:rPr>
          <w:rFonts w:asciiTheme="majorHAnsi" w:eastAsia="Times New Roman" w:hAnsiTheme="majorHAnsi" w:cstheme="majorHAnsi"/>
          <w:sz w:val="22"/>
          <w:szCs w:val="22"/>
          <w:lang w:val="en"/>
        </w:rPr>
        <w:t xml:space="preserve">Centre </w:t>
      </w:r>
      <w:r w:rsidRPr="00E67D7D">
        <w:rPr>
          <w:rFonts w:asciiTheme="majorHAnsi" w:eastAsia="Times New Roman" w:hAnsiTheme="majorHAnsi" w:cstheme="majorHAnsi"/>
          <w:sz w:val="22"/>
          <w:szCs w:val="22"/>
          <w:lang w:val="en"/>
        </w:rPr>
        <w:t>Awards, to celebrate best practice in wetland education centres.</w:t>
      </w:r>
    </w:p>
    <w:p w14:paraId="675A5E2C" w14:textId="77777777" w:rsidR="0057293F" w:rsidRPr="00E67D7D" w:rsidRDefault="0057293F" w:rsidP="00310344">
      <w:pPr>
        <w:contextualSpacing/>
        <w:rPr>
          <w:rFonts w:asciiTheme="majorHAnsi" w:eastAsia="Times New Roman" w:hAnsiTheme="majorHAnsi" w:cstheme="majorHAnsi"/>
          <w:sz w:val="22"/>
          <w:szCs w:val="22"/>
          <w:lang w:val="en-AU"/>
        </w:rPr>
      </w:pPr>
    </w:p>
    <w:p w14:paraId="7936D765" w14:textId="4B79774B" w:rsidR="00E971E4" w:rsidRDefault="00E971E4" w:rsidP="00D7748F">
      <w:pPr>
        <w:numPr>
          <w:ilvl w:val="0"/>
          <w:numId w:val="1"/>
        </w:numPr>
        <w:ind w:left="851" w:hanging="425"/>
        <w:contextualSpacing/>
        <w:rPr>
          <w:rFonts w:asciiTheme="majorHAnsi" w:eastAsia="Times New Roman" w:hAnsiTheme="majorHAnsi" w:cstheme="majorHAnsi"/>
          <w:sz w:val="22"/>
          <w:szCs w:val="22"/>
          <w:lang w:val="en-AU"/>
        </w:rPr>
      </w:pPr>
      <w:r w:rsidRPr="00E67D7D">
        <w:rPr>
          <w:rFonts w:asciiTheme="majorHAnsi" w:eastAsia="Times New Roman" w:hAnsiTheme="majorHAnsi" w:cstheme="majorHAnsi"/>
          <w:sz w:val="22"/>
          <w:szCs w:val="22"/>
          <w:lang w:val="en-AU"/>
        </w:rPr>
        <w:t>Wetland education centres undertook a variety of World Wetland Day and other activities to engage their local communities.</w:t>
      </w:r>
      <w:r w:rsidR="001E664B">
        <w:rPr>
          <w:rFonts w:asciiTheme="majorHAnsi" w:eastAsia="Times New Roman" w:hAnsiTheme="majorHAnsi" w:cstheme="majorHAnsi"/>
          <w:sz w:val="22"/>
          <w:szCs w:val="22"/>
          <w:lang w:val="en-AU"/>
        </w:rPr>
        <w:t xml:space="preserve"> </w:t>
      </w:r>
      <w:r w:rsidRPr="00E67D7D">
        <w:rPr>
          <w:rFonts w:asciiTheme="majorHAnsi" w:eastAsia="Times New Roman" w:hAnsiTheme="majorHAnsi" w:cstheme="majorHAnsi"/>
          <w:sz w:val="22"/>
          <w:szCs w:val="22"/>
          <w:lang w:val="en-AU"/>
        </w:rPr>
        <w:t>Details of many of these events were uploaded to the Secretariat’s World Wetlands Day online map and register of events. WLI also celebrated the World Migratory Birds Day theme through work with local sites and school activities.</w:t>
      </w:r>
    </w:p>
    <w:p w14:paraId="67E136D2" w14:textId="77777777" w:rsidR="00354FE0" w:rsidRPr="00E67D7D" w:rsidRDefault="00354FE0" w:rsidP="00354FE0">
      <w:pPr>
        <w:contextualSpacing/>
        <w:rPr>
          <w:rFonts w:asciiTheme="majorHAnsi" w:eastAsia="Times New Roman" w:hAnsiTheme="majorHAnsi" w:cstheme="majorHAnsi"/>
          <w:sz w:val="22"/>
          <w:szCs w:val="22"/>
          <w:lang w:val="en-AU"/>
        </w:rPr>
      </w:pPr>
    </w:p>
    <w:p w14:paraId="47F23A99" w14:textId="25CCD0DA" w:rsidR="00E971E4" w:rsidRPr="00E67D7D" w:rsidRDefault="00E971E4" w:rsidP="00354FE0">
      <w:pPr>
        <w:numPr>
          <w:ilvl w:val="0"/>
          <w:numId w:val="1"/>
        </w:numPr>
        <w:ind w:left="851" w:hanging="425"/>
        <w:contextualSpacing/>
        <w:rPr>
          <w:rFonts w:asciiTheme="majorHAnsi" w:eastAsia="Times New Roman" w:hAnsiTheme="majorHAnsi" w:cstheme="majorHAnsi"/>
          <w:sz w:val="22"/>
          <w:szCs w:val="22"/>
          <w:lang w:val="en-AU"/>
        </w:rPr>
      </w:pPr>
      <w:r w:rsidRPr="00E67D7D">
        <w:rPr>
          <w:rFonts w:asciiTheme="majorHAnsi" w:eastAsia="Times New Roman" w:hAnsiTheme="majorHAnsi" w:cstheme="majorHAnsi"/>
          <w:sz w:val="22"/>
          <w:szCs w:val="22"/>
          <w:lang w:val="en-AU"/>
        </w:rPr>
        <w:t xml:space="preserve">WLI also held its annual webinar with input from local partners, celebrated the </w:t>
      </w:r>
      <w:r w:rsidRPr="006A5559">
        <w:rPr>
          <w:rFonts w:asciiTheme="majorHAnsi" w:eastAsia="Times New Roman" w:hAnsiTheme="majorHAnsi" w:cstheme="majorHAnsi"/>
          <w:sz w:val="22"/>
          <w:szCs w:val="22"/>
          <w:lang w:val="en-AU"/>
        </w:rPr>
        <w:t>8</w:t>
      </w:r>
      <w:r w:rsidRPr="00DD3949">
        <w:rPr>
          <w:rFonts w:asciiTheme="majorHAnsi" w:eastAsia="Times New Roman" w:hAnsiTheme="majorHAnsi" w:cstheme="majorHAnsi"/>
          <w:sz w:val="22"/>
          <w:szCs w:val="22"/>
          <w:lang w:val="en-AU"/>
        </w:rPr>
        <w:t>th</w:t>
      </w:r>
      <w:r w:rsidRPr="00E67D7D">
        <w:rPr>
          <w:rFonts w:asciiTheme="majorHAnsi" w:eastAsia="Times New Roman" w:hAnsiTheme="majorHAnsi" w:cstheme="majorHAnsi"/>
          <w:sz w:val="22"/>
          <w:szCs w:val="22"/>
          <w:lang w:val="en-AU"/>
        </w:rPr>
        <w:t xml:space="preserve"> WLI Asia meeting in the Philippines in July 2022, and supports flyway CEPA initiatives through AEWA and the East Asia </w:t>
      </w:r>
      <w:r w:rsidR="003474AE">
        <w:rPr>
          <w:rFonts w:asciiTheme="majorHAnsi" w:eastAsia="Times New Roman" w:hAnsiTheme="majorHAnsi" w:cstheme="majorHAnsi"/>
          <w:sz w:val="22"/>
          <w:szCs w:val="22"/>
          <w:lang w:val="en-AU"/>
        </w:rPr>
        <w:t>Australasia Flyway Partnership.</w:t>
      </w:r>
    </w:p>
    <w:bookmarkEnd w:id="1"/>
    <w:p w14:paraId="6A7CD9FA" w14:textId="77777777" w:rsidR="00723164" w:rsidRPr="00C64326" w:rsidRDefault="00723164" w:rsidP="00A4794E">
      <w:pPr>
        <w:contextualSpacing/>
        <w:rPr>
          <w:rFonts w:asciiTheme="majorHAnsi" w:eastAsia="Calibri" w:hAnsiTheme="majorHAnsi" w:cs="Times New Roman"/>
          <w:sz w:val="22"/>
          <w:szCs w:val="22"/>
          <w:lang w:val="en-AU"/>
        </w:rPr>
      </w:pPr>
    </w:p>
    <w:p w14:paraId="64A8A046" w14:textId="6982877C" w:rsidR="00C64326" w:rsidRDefault="00C64326" w:rsidP="00D7748F">
      <w:pPr>
        <w:ind w:left="426"/>
        <w:rPr>
          <w:rFonts w:asciiTheme="majorHAnsi" w:eastAsia="Calibri" w:hAnsiTheme="majorHAnsi" w:cs="Times New Roman"/>
          <w:i/>
          <w:sz w:val="22"/>
          <w:szCs w:val="22"/>
          <w:lang w:val="en-AU"/>
        </w:rPr>
      </w:pPr>
      <w:r w:rsidRPr="00C64326">
        <w:rPr>
          <w:rFonts w:asciiTheme="majorHAnsi" w:eastAsia="Calibri" w:hAnsiTheme="majorHAnsi" w:cs="Times New Roman"/>
          <w:i/>
          <w:sz w:val="22"/>
          <w:szCs w:val="22"/>
          <w:lang w:val="en-AU"/>
        </w:rPr>
        <w:t>Goal 8 – Education materials</w:t>
      </w:r>
    </w:p>
    <w:p w14:paraId="4F948C64" w14:textId="77777777" w:rsidR="00354FE0" w:rsidRPr="00354FE0" w:rsidRDefault="00354FE0" w:rsidP="00354FE0">
      <w:pPr>
        <w:rPr>
          <w:rFonts w:asciiTheme="majorHAnsi" w:eastAsia="Calibri" w:hAnsiTheme="majorHAnsi" w:cs="Times New Roman"/>
          <w:sz w:val="22"/>
          <w:szCs w:val="22"/>
          <w:lang w:val="en-AU"/>
        </w:rPr>
      </w:pPr>
    </w:p>
    <w:p w14:paraId="34198AFA" w14:textId="636FF180" w:rsidR="00C64326" w:rsidRPr="00C64326" w:rsidRDefault="002A35E5" w:rsidP="00D7748F">
      <w:pPr>
        <w:numPr>
          <w:ilvl w:val="0"/>
          <w:numId w:val="2"/>
        </w:numPr>
        <w:ind w:left="851" w:hanging="425"/>
        <w:contextualSpacing/>
        <w:rPr>
          <w:rFonts w:asciiTheme="majorHAnsi" w:eastAsia="Calibri" w:hAnsiTheme="majorHAnsi" w:cs="Times New Roman"/>
          <w:sz w:val="22"/>
          <w:szCs w:val="22"/>
          <w:lang w:val="en-AU"/>
        </w:rPr>
      </w:pPr>
      <w:r>
        <w:rPr>
          <w:rFonts w:asciiTheme="majorHAnsi" w:eastAsia="Calibri" w:hAnsiTheme="majorHAnsi" w:cs="Times New Roman"/>
          <w:sz w:val="22"/>
          <w:szCs w:val="22"/>
          <w:lang w:val="en-AU"/>
        </w:rPr>
        <w:t>Convention on Wetlands</w:t>
      </w:r>
      <w:r w:rsidR="00C64326" w:rsidRPr="00C64326">
        <w:rPr>
          <w:rFonts w:asciiTheme="majorHAnsi" w:eastAsia="Calibri" w:hAnsiTheme="majorHAnsi" w:cs="Times New Roman"/>
          <w:sz w:val="22"/>
          <w:szCs w:val="22"/>
          <w:lang w:val="en-AU"/>
        </w:rPr>
        <w:t xml:space="preserve"> publications </w:t>
      </w:r>
      <w:r w:rsidR="00975BB5">
        <w:rPr>
          <w:rFonts w:asciiTheme="majorHAnsi" w:eastAsia="Calibri" w:hAnsiTheme="majorHAnsi" w:cs="Times New Roman"/>
          <w:sz w:val="22"/>
          <w:szCs w:val="22"/>
          <w:lang w:val="en-AU"/>
        </w:rPr>
        <w:t xml:space="preserve">launched </w:t>
      </w:r>
      <w:r w:rsidR="00C64326" w:rsidRPr="00C64326">
        <w:rPr>
          <w:rFonts w:asciiTheme="majorHAnsi" w:eastAsia="Calibri" w:hAnsiTheme="majorHAnsi" w:cs="Times New Roman"/>
          <w:sz w:val="22"/>
          <w:szCs w:val="22"/>
          <w:lang w:val="en-AU"/>
        </w:rPr>
        <w:t xml:space="preserve">during the </w:t>
      </w:r>
      <w:r w:rsidR="00AF4DED">
        <w:rPr>
          <w:rFonts w:asciiTheme="majorHAnsi" w:eastAsia="Calibri" w:hAnsiTheme="majorHAnsi" w:cs="Times New Roman"/>
          <w:sz w:val="22"/>
          <w:szCs w:val="22"/>
          <w:lang w:val="en-AU"/>
        </w:rPr>
        <w:t>reporting period</w:t>
      </w:r>
      <w:r w:rsidR="00C64326" w:rsidRPr="00C64326">
        <w:rPr>
          <w:rFonts w:asciiTheme="majorHAnsi" w:eastAsia="Calibri" w:hAnsiTheme="majorHAnsi" w:cs="Times New Roman"/>
          <w:sz w:val="22"/>
          <w:szCs w:val="22"/>
          <w:lang w:val="en-AU"/>
        </w:rPr>
        <w:t xml:space="preserve"> included:</w:t>
      </w:r>
    </w:p>
    <w:p w14:paraId="20EF5CE0" w14:textId="23E3E1B7" w:rsidR="00471BA3" w:rsidRDefault="000E18FD" w:rsidP="00D7748F">
      <w:pPr>
        <w:numPr>
          <w:ilvl w:val="1"/>
          <w:numId w:val="2"/>
        </w:numPr>
        <w:ind w:left="1276" w:hanging="425"/>
        <w:rPr>
          <w:rFonts w:asciiTheme="majorHAnsi" w:eastAsia="Calibri" w:hAnsiTheme="majorHAnsi" w:cs="Times New Roman"/>
          <w:sz w:val="22"/>
          <w:szCs w:val="22"/>
          <w:lang w:val="en-AU"/>
        </w:rPr>
      </w:pPr>
      <w:r w:rsidRPr="00DD3949">
        <w:rPr>
          <w:rFonts w:asciiTheme="majorHAnsi" w:eastAsia="Calibri" w:hAnsiTheme="majorHAnsi" w:cs="Times New Roman"/>
          <w:i/>
          <w:sz w:val="22"/>
          <w:szCs w:val="22"/>
          <w:lang w:val="en-AU"/>
        </w:rPr>
        <w:t>Guidance on mainstreaming gender under the Ramsar Convention on Wetlands</w:t>
      </w:r>
      <w:r>
        <w:rPr>
          <w:rFonts w:asciiTheme="majorHAnsi" w:eastAsia="Calibri" w:hAnsiTheme="majorHAnsi" w:cs="Times New Roman"/>
          <w:sz w:val="22"/>
          <w:szCs w:val="22"/>
          <w:lang w:val="en-AU"/>
        </w:rPr>
        <w:t xml:space="preserve"> (2021)</w:t>
      </w:r>
    </w:p>
    <w:p w14:paraId="5143A363" w14:textId="4EE2301C" w:rsidR="00650A9D" w:rsidRDefault="00650A9D" w:rsidP="00D7748F">
      <w:pPr>
        <w:numPr>
          <w:ilvl w:val="1"/>
          <w:numId w:val="2"/>
        </w:numPr>
        <w:ind w:left="1276" w:hanging="425"/>
        <w:rPr>
          <w:rFonts w:asciiTheme="majorHAnsi" w:eastAsia="Calibri" w:hAnsiTheme="majorHAnsi" w:cs="Times New Roman"/>
          <w:sz w:val="22"/>
          <w:szCs w:val="22"/>
          <w:lang w:val="en-AU"/>
        </w:rPr>
      </w:pPr>
      <w:r>
        <w:rPr>
          <w:rFonts w:asciiTheme="majorHAnsi" w:eastAsia="Calibri" w:hAnsiTheme="majorHAnsi" w:cs="Times New Roman"/>
          <w:sz w:val="22"/>
          <w:szCs w:val="22"/>
          <w:lang w:val="en-AU"/>
        </w:rPr>
        <w:t xml:space="preserve">Factsheet – </w:t>
      </w:r>
      <w:r w:rsidRPr="00DD3949">
        <w:rPr>
          <w:rFonts w:asciiTheme="majorHAnsi" w:eastAsia="Calibri" w:hAnsiTheme="majorHAnsi" w:cs="Times New Roman"/>
          <w:i/>
          <w:sz w:val="22"/>
          <w:szCs w:val="22"/>
          <w:lang w:val="en-AU"/>
        </w:rPr>
        <w:t>Wetlands restoration: unlocking the untapped potential of the Earth’s most valuable ecosystem</w:t>
      </w:r>
      <w:r w:rsidR="000E18FD">
        <w:rPr>
          <w:rFonts w:asciiTheme="majorHAnsi" w:eastAsia="Calibri" w:hAnsiTheme="majorHAnsi" w:cs="Times New Roman"/>
          <w:sz w:val="22"/>
          <w:szCs w:val="22"/>
          <w:lang w:val="en-AU"/>
        </w:rPr>
        <w:t xml:space="preserve"> (2021)</w:t>
      </w:r>
    </w:p>
    <w:p w14:paraId="7F047309" w14:textId="7D2D091B" w:rsidR="00650A9D" w:rsidRDefault="00650A9D" w:rsidP="00D7748F">
      <w:pPr>
        <w:numPr>
          <w:ilvl w:val="1"/>
          <w:numId w:val="2"/>
        </w:numPr>
        <w:ind w:left="1276" w:hanging="425"/>
        <w:rPr>
          <w:rFonts w:asciiTheme="majorHAnsi" w:eastAsia="Calibri" w:hAnsiTheme="majorHAnsi" w:cs="Times New Roman"/>
          <w:sz w:val="22"/>
          <w:szCs w:val="22"/>
          <w:lang w:val="en-AU"/>
        </w:rPr>
      </w:pPr>
      <w:r>
        <w:rPr>
          <w:rFonts w:asciiTheme="majorHAnsi" w:eastAsia="Calibri" w:hAnsiTheme="majorHAnsi" w:cs="Times New Roman"/>
          <w:sz w:val="22"/>
          <w:szCs w:val="22"/>
          <w:lang w:val="en-AU"/>
        </w:rPr>
        <w:t xml:space="preserve">Factsheet – </w:t>
      </w:r>
      <w:r w:rsidRPr="00DD3949">
        <w:rPr>
          <w:rFonts w:asciiTheme="majorHAnsi" w:eastAsia="Calibri" w:hAnsiTheme="majorHAnsi" w:cs="Times New Roman"/>
          <w:i/>
          <w:sz w:val="22"/>
          <w:szCs w:val="22"/>
          <w:lang w:val="en-AU"/>
        </w:rPr>
        <w:t>Restoring drained peatlands: now an environmental imperative</w:t>
      </w:r>
      <w:r w:rsidR="000E18FD">
        <w:rPr>
          <w:rFonts w:asciiTheme="majorHAnsi" w:eastAsia="Calibri" w:hAnsiTheme="majorHAnsi" w:cs="Times New Roman"/>
          <w:sz w:val="22"/>
          <w:szCs w:val="22"/>
          <w:lang w:val="en-AU"/>
        </w:rPr>
        <w:t xml:space="preserve"> (2021)</w:t>
      </w:r>
    </w:p>
    <w:p w14:paraId="7BFD003A" w14:textId="77777777" w:rsidR="000E18FD" w:rsidRDefault="00650A9D" w:rsidP="00D7748F">
      <w:pPr>
        <w:numPr>
          <w:ilvl w:val="1"/>
          <w:numId w:val="2"/>
        </w:numPr>
        <w:ind w:left="1276" w:hanging="425"/>
        <w:rPr>
          <w:rFonts w:asciiTheme="majorHAnsi" w:eastAsia="Calibri" w:hAnsiTheme="majorHAnsi" w:cs="Times New Roman"/>
          <w:sz w:val="22"/>
          <w:szCs w:val="22"/>
          <w:lang w:val="en-AU"/>
        </w:rPr>
      </w:pPr>
      <w:r>
        <w:rPr>
          <w:rFonts w:asciiTheme="majorHAnsi" w:eastAsia="Calibri" w:hAnsiTheme="majorHAnsi" w:cs="Times New Roman"/>
          <w:sz w:val="22"/>
          <w:szCs w:val="22"/>
          <w:lang w:val="en-AU"/>
        </w:rPr>
        <w:t xml:space="preserve">Factsheet – </w:t>
      </w:r>
      <w:r w:rsidRPr="00DD3949">
        <w:rPr>
          <w:rFonts w:asciiTheme="majorHAnsi" w:eastAsia="Calibri" w:hAnsiTheme="majorHAnsi" w:cs="Times New Roman"/>
          <w:i/>
          <w:sz w:val="22"/>
          <w:szCs w:val="22"/>
          <w:lang w:val="en-AU"/>
        </w:rPr>
        <w:t xml:space="preserve">Realizing the full potential of marine and coastal wetlands: </w:t>
      </w:r>
      <w:r w:rsidR="000E18FD" w:rsidRPr="00DD3949">
        <w:rPr>
          <w:rFonts w:asciiTheme="majorHAnsi" w:eastAsia="Calibri" w:hAnsiTheme="majorHAnsi" w:cs="Times New Roman"/>
          <w:i/>
          <w:sz w:val="22"/>
          <w:szCs w:val="22"/>
          <w:lang w:val="en-AU"/>
        </w:rPr>
        <w:t>why their restoration matters</w:t>
      </w:r>
      <w:r w:rsidR="000E18FD">
        <w:rPr>
          <w:rFonts w:asciiTheme="majorHAnsi" w:eastAsia="Calibri" w:hAnsiTheme="majorHAnsi" w:cs="Times New Roman"/>
          <w:sz w:val="22"/>
          <w:szCs w:val="22"/>
          <w:lang w:val="en-AU"/>
        </w:rPr>
        <w:t xml:space="preserve"> (2021)</w:t>
      </w:r>
    </w:p>
    <w:p w14:paraId="5717D3B7" w14:textId="213EAAFC" w:rsidR="00650A9D" w:rsidRDefault="000E18FD" w:rsidP="00D7748F">
      <w:pPr>
        <w:numPr>
          <w:ilvl w:val="1"/>
          <w:numId w:val="2"/>
        </w:numPr>
        <w:ind w:left="1276" w:hanging="425"/>
        <w:rPr>
          <w:rFonts w:asciiTheme="majorHAnsi" w:eastAsia="Calibri" w:hAnsiTheme="majorHAnsi" w:cs="Times New Roman"/>
          <w:sz w:val="22"/>
          <w:szCs w:val="22"/>
          <w:lang w:val="en-AU"/>
        </w:rPr>
      </w:pPr>
      <w:r w:rsidRPr="000E18FD">
        <w:rPr>
          <w:rFonts w:asciiTheme="majorHAnsi" w:eastAsia="Calibri" w:hAnsiTheme="majorHAnsi" w:cs="Times New Roman"/>
          <w:sz w:val="22"/>
          <w:szCs w:val="22"/>
          <w:lang w:val="en-AU"/>
        </w:rPr>
        <w:t xml:space="preserve">Brochure – </w:t>
      </w:r>
      <w:r w:rsidRPr="00DD3949">
        <w:rPr>
          <w:rFonts w:asciiTheme="majorHAnsi" w:eastAsia="Calibri" w:hAnsiTheme="majorHAnsi" w:cs="Times New Roman"/>
          <w:i/>
          <w:sz w:val="22"/>
          <w:szCs w:val="22"/>
          <w:lang w:val="en-AU"/>
        </w:rPr>
        <w:t xml:space="preserve">Ramsar Advisory Mission: Help for Contracting Parties to the Convention on Wetlands </w:t>
      </w:r>
      <w:r>
        <w:rPr>
          <w:rFonts w:asciiTheme="majorHAnsi" w:eastAsia="Calibri" w:hAnsiTheme="majorHAnsi" w:cs="Times New Roman"/>
          <w:sz w:val="22"/>
          <w:szCs w:val="22"/>
          <w:lang w:val="en-AU"/>
        </w:rPr>
        <w:t>(2021)</w:t>
      </w:r>
    </w:p>
    <w:p w14:paraId="7C323D37" w14:textId="77777777" w:rsidR="00354FE0" w:rsidRPr="000E18FD" w:rsidRDefault="00354FE0" w:rsidP="00354FE0">
      <w:pPr>
        <w:rPr>
          <w:rFonts w:asciiTheme="majorHAnsi" w:eastAsia="Calibri" w:hAnsiTheme="majorHAnsi" w:cs="Times New Roman"/>
          <w:sz w:val="22"/>
          <w:szCs w:val="22"/>
          <w:lang w:val="en-AU"/>
        </w:rPr>
      </w:pPr>
    </w:p>
    <w:p w14:paraId="1DDE6325" w14:textId="7EEC3D40" w:rsidR="00AF4DED" w:rsidRDefault="004B02A5" w:rsidP="00D7748F">
      <w:pPr>
        <w:numPr>
          <w:ilvl w:val="0"/>
          <w:numId w:val="2"/>
        </w:numPr>
        <w:ind w:left="851" w:hanging="425"/>
        <w:rPr>
          <w:rFonts w:asciiTheme="majorHAnsi" w:eastAsia="Calibri" w:hAnsiTheme="majorHAnsi" w:cs="Times New Roman"/>
          <w:sz w:val="22"/>
          <w:szCs w:val="22"/>
          <w:lang w:val="en-AU"/>
        </w:rPr>
      </w:pPr>
      <w:r>
        <w:rPr>
          <w:rFonts w:asciiTheme="majorHAnsi" w:eastAsia="Calibri" w:hAnsiTheme="majorHAnsi" w:cs="Times New Roman"/>
          <w:sz w:val="22"/>
          <w:szCs w:val="22"/>
          <w:lang w:val="en-AU"/>
        </w:rPr>
        <w:t>The Secretariat produced</w:t>
      </w:r>
      <w:r w:rsidR="00AF4DED">
        <w:rPr>
          <w:rFonts w:asciiTheme="majorHAnsi" w:eastAsia="Calibri" w:hAnsiTheme="majorHAnsi" w:cs="Times New Roman"/>
          <w:sz w:val="22"/>
          <w:szCs w:val="22"/>
          <w:lang w:val="en-AU"/>
        </w:rPr>
        <w:t xml:space="preserve"> educational videos</w:t>
      </w:r>
      <w:r>
        <w:rPr>
          <w:rFonts w:asciiTheme="majorHAnsi" w:eastAsia="Calibri" w:hAnsiTheme="majorHAnsi" w:cs="Times New Roman"/>
          <w:sz w:val="22"/>
          <w:szCs w:val="22"/>
          <w:lang w:val="en-AU"/>
        </w:rPr>
        <w:t xml:space="preserve"> on wetlands’ values</w:t>
      </w:r>
      <w:r w:rsidR="00AF4DED">
        <w:rPr>
          <w:rFonts w:asciiTheme="majorHAnsi" w:eastAsia="Calibri" w:hAnsiTheme="majorHAnsi" w:cs="Times New Roman"/>
          <w:sz w:val="22"/>
          <w:szCs w:val="22"/>
          <w:lang w:val="en-AU"/>
        </w:rPr>
        <w:t xml:space="preserve"> </w:t>
      </w:r>
      <w:r>
        <w:rPr>
          <w:rFonts w:asciiTheme="majorHAnsi" w:eastAsia="Calibri" w:hAnsiTheme="majorHAnsi" w:cs="Times New Roman"/>
          <w:sz w:val="22"/>
          <w:szCs w:val="22"/>
          <w:lang w:val="en-AU"/>
        </w:rPr>
        <w:t>in English, French and Spanish during the reporting period, including:</w:t>
      </w:r>
    </w:p>
    <w:p w14:paraId="3037750C" w14:textId="2C213261" w:rsidR="00AF4DED" w:rsidRPr="006A5559" w:rsidRDefault="009D2CD1" w:rsidP="00D7748F">
      <w:pPr>
        <w:numPr>
          <w:ilvl w:val="1"/>
          <w:numId w:val="2"/>
        </w:numPr>
        <w:ind w:left="1276" w:hanging="425"/>
        <w:rPr>
          <w:rFonts w:asciiTheme="majorHAnsi" w:eastAsia="Calibri" w:hAnsiTheme="majorHAnsi" w:cs="Times New Roman"/>
          <w:i/>
          <w:sz w:val="22"/>
          <w:szCs w:val="22"/>
          <w:lang w:val="en-AU"/>
        </w:rPr>
      </w:pPr>
      <w:r w:rsidRPr="006A5559">
        <w:rPr>
          <w:rFonts w:asciiTheme="majorHAnsi" w:eastAsia="Calibri" w:hAnsiTheme="majorHAnsi" w:cs="Times New Roman"/>
          <w:i/>
          <w:sz w:val="22"/>
          <w:szCs w:val="22"/>
          <w:lang w:val="en-AU"/>
        </w:rPr>
        <w:t xml:space="preserve">Wetlands: </w:t>
      </w:r>
      <w:r w:rsidR="004D6D01" w:rsidRPr="006A5559">
        <w:rPr>
          <w:rFonts w:asciiTheme="majorHAnsi" w:eastAsia="Calibri" w:hAnsiTheme="majorHAnsi" w:cs="Times New Roman"/>
          <w:i/>
          <w:sz w:val="22"/>
          <w:szCs w:val="22"/>
          <w:lang w:val="en-AU"/>
        </w:rPr>
        <w:t>R</w:t>
      </w:r>
      <w:r w:rsidRPr="006A5559">
        <w:rPr>
          <w:rFonts w:asciiTheme="majorHAnsi" w:eastAsia="Calibri" w:hAnsiTheme="majorHAnsi" w:cs="Times New Roman"/>
          <w:i/>
          <w:sz w:val="22"/>
          <w:szCs w:val="22"/>
          <w:lang w:val="en-AU"/>
        </w:rPr>
        <w:t>ich ecosystems</w:t>
      </w:r>
    </w:p>
    <w:p w14:paraId="14CE2051" w14:textId="7BF100AA" w:rsidR="009D2CD1" w:rsidRPr="006A5559" w:rsidRDefault="009D2CD1" w:rsidP="00D7748F">
      <w:pPr>
        <w:numPr>
          <w:ilvl w:val="1"/>
          <w:numId w:val="2"/>
        </w:numPr>
        <w:ind w:left="1276" w:hanging="425"/>
        <w:rPr>
          <w:rFonts w:asciiTheme="majorHAnsi" w:eastAsia="Calibri" w:hAnsiTheme="majorHAnsi" w:cs="Times New Roman"/>
          <w:i/>
          <w:sz w:val="22"/>
          <w:szCs w:val="22"/>
          <w:lang w:val="en-AU"/>
        </w:rPr>
      </w:pPr>
      <w:r w:rsidRPr="006A5559">
        <w:rPr>
          <w:rFonts w:asciiTheme="majorHAnsi" w:eastAsia="Calibri" w:hAnsiTheme="majorHAnsi" w:cs="Times New Roman"/>
          <w:i/>
          <w:sz w:val="22"/>
          <w:szCs w:val="22"/>
          <w:lang w:val="en-AU"/>
        </w:rPr>
        <w:t>Wetlands: Powerful nature</w:t>
      </w:r>
      <w:r w:rsidR="004B02A5" w:rsidRPr="006A5559">
        <w:rPr>
          <w:rFonts w:asciiTheme="majorHAnsi" w:eastAsia="Calibri" w:hAnsiTheme="majorHAnsi" w:cs="Times New Roman"/>
          <w:i/>
          <w:sz w:val="22"/>
          <w:szCs w:val="22"/>
          <w:lang w:val="en-AU"/>
        </w:rPr>
        <w:t>-</w:t>
      </w:r>
      <w:r w:rsidRPr="006A5559">
        <w:rPr>
          <w:rFonts w:asciiTheme="majorHAnsi" w:eastAsia="Calibri" w:hAnsiTheme="majorHAnsi" w:cs="Times New Roman"/>
          <w:i/>
          <w:sz w:val="22"/>
          <w:szCs w:val="22"/>
          <w:lang w:val="en-AU"/>
        </w:rPr>
        <w:t>based solutions</w:t>
      </w:r>
    </w:p>
    <w:p w14:paraId="502C0326" w14:textId="07669958" w:rsidR="009D2CD1" w:rsidRPr="006A5559" w:rsidRDefault="00E96280" w:rsidP="00D7748F">
      <w:pPr>
        <w:numPr>
          <w:ilvl w:val="1"/>
          <w:numId w:val="2"/>
        </w:numPr>
        <w:ind w:left="1276" w:hanging="425"/>
        <w:rPr>
          <w:rFonts w:asciiTheme="majorHAnsi" w:eastAsia="Calibri" w:hAnsiTheme="majorHAnsi" w:cs="Times New Roman"/>
          <w:i/>
          <w:sz w:val="22"/>
          <w:szCs w:val="22"/>
          <w:lang w:val="en-AU"/>
        </w:rPr>
      </w:pPr>
      <w:r w:rsidRPr="006A5559">
        <w:rPr>
          <w:rFonts w:asciiTheme="majorHAnsi" w:eastAsia="Calibri" w:hAnsiTheme="majorHAnsi" w:cs="Times New Roman"/>
          <w:i/>
          <w:sz w:val="22"/>
          <w:szCs w:val="22"/>
          <w:lang w:val="en-AU"/>
        </w:rPr>
        <w:t>Convention on Wetlands: The Value of wetlands</w:t>
      </w:r>
    </w:p>
    <w:p w14:paraId="00FF4116" w14:textId="2BFE5030" w:rsidR="00E96280" w:rsidRPr="006A5559" w:rsidRDefault="007C5E9F" w:rsidP="00D7748F">
      <w:pPr>
        <w:numPr>
          <w:ilvl w:val="1"/>
          <w:numId w:val="2"/>
        </w:numPr>
        <w:ind w:left="1276" w:hanging="425"/>
        <w:rPr>
          <w:rFonts w:asciiTheme="majorHAnsi" w:eastAsia="Calibri" w:hAnsiTheme="majorHAnsi" w:cs="Times New Roman"/>
          <w:i/>
          <w:sz w:val="22"/>
          <w:szCs w:val="22"/>
          <w:lang w:val="en-AU"/>
        </w:rPr>
      </w:pPr>
      <w:r w:rsidRPr="006A5559">
        <w:rPr>
          <w:rFonts w:asciiTheme="majorHAnsi" w:eastAsia="Calibri" w:hAnsiTheme="majorHAnsi" w:cs="Times New Roman"/>
          <w:i/>
          <w:sz w:val="22"/>
          <w:szCs w:val="22"/>
          <w:lang w:val="en-AU"/>
        </w:rPr>
        <w:t>World Wetlands Day 2021: Water, wetlands and life are inseparable</w:t>
      </w:r>
    </w:p>
    <w:p w14:paraId="25ECDA86" w14:textId="77777777" w:rsidR="00723164" w:rsidRDefault="00723164" w:rsidP="00A4794E">
      <w:pPr>
        <w:contextualSpacing/>
        <w:rPr>
          <w:rFonts w:asciiTheme="majorHAnsi" w:eastAsia="Calibri" w:hAnsiTheme="majorHAnsi" w:cs="Times New Roman"/>
          <w:sz w:val="22"/>
          <w:szCs w:val="22"/>
          <w:lang w:val="en-AU"/>
        </w:rPr>
      </w:pPr>
    </w:p>
    <w:p w14:paraId="4A4256C0" w14:textId="590F2C84" w:rsidR="00A102DC" w:rsidRDefault="00A102DC" w:rsidP="003474AE">
      <w:pPr>
        <w:keepNext/>
        <w:ind w:left="425"/>
        <w:rPr>
          <w:rFonts w:asciiTheme="majorHAnsi" w:hAnsiTheme="majorHAnsi" w:cstheme="majorHAnsi"/>
          <w:i/>
          <w:iCs/>
          <w:color w:val="000000"/>
          <w:sz w:val="22"/>
          <w:szCs w:val="22"/>
          <w:lang w:val="en-AU"/>
        </w:rPr>
      </w:pPr>
      <w:r w:rsidRPr="00A102DC">
        <w:rPr>
          <w:rFonts w:asciiTheme="majorHAnsi" w:hAnsiTheme="majorHAnsi" w:cstheme="majorHAnsi"/>
          <w:i/>
          <w:iCs/>
          <w:color w:val="000000"/>
          <w:sz w:val="22"/>
          <w:szCs w:val="22"/>
          <w:lang w:val="en-AU"/>
        </w:rPr>
        <w:lastRenderedPageBreak/>
        <w:t>Goal 9 – Development and communication of STRP materials</w:t>
      </w:r>
    </w:p>
    <w:p w14:paraId="362BA0A4" w14:textId="77777777" w:rsidR="00354FE0" w:rsidRPr="00A102DC" w:rsidRDefault="00354FE0" w:rsidP="003474AE">
      <w:pPr>
        <w:keepNext/>
        <w:ind w:left="425"/>
        <w:rPr>
          <w:rFonts w:asciiTheme="majorHAnsi" w:hAnsiTheme="majorHAnsi" w:cstheme="majorHAnsi"/>
          <w:color w:val="000000"/>
          <w:sz w:val="22"/>
          <w:szCs w:val="22"/>
        </w:rPr>
      </w:pPr>
    </w:p>
    <w:p w14:paraId="6E06F364" w14:textId="77777777" w:rsidR="00A102DC" w:rsidRPr="00A102DC" w:rsidRDefault="00A102DC" w:rsidP="0057293F">
      <w:pPr>
        <w:numPr>
          <w:ilvl w:val="0"/>
          <w:numId w:val="9"/>
        </w:numPr>
        <w:tabs>
          <w:tab w:val="clear" w:pos="720"/>
        </w:tabs>
        <w:ind w:left="851" w:hanging="425"/>
        <w:rPr>
          <w:rFonts w:asciiTheme="majorHAnsi" w:eastAsia="Times New Roman" w:hAnsiTheme="majorHAnsi" w:cstheme="majorHAnsi"/>
          <w:color w:val="000000"/>
          <w:sz w:val="22"/>
          <w:szCs w:val="22"/>
        </w:rPr>
      </w:pPr>
      <w:r w:rsidRPr="00A102DC">
        <w:rPr>
          <w:rFonts w:asciiTheme="majorHAnsi" w:eastAsia="Times New Roman" w:hAnsiTheme="majorHAnsi" w:cstheme="majorHAnsi"/>
          <w:color w:val="000000"/>
          <w:sz w:val="22"/>
          <w:szCs w:val="22"/>
          <w:lang w:val="en-AU"/>
        </w:rPr>
        <w:t>During the reporting period the Scientific and Technical Review Panel (STRP) finalized the following outputs, pursuant to the requests of Contracting Parties, as reflected in its work plan: </w:t>
      </w:r>
    </w:p>
    <w:p w14:paraId="1BB435E5" w14:textId="77777777" w:rsidR="00A102DC" w:rsidRPr="00A102DC" w:rsidRDefault="00A102DC" w:rsidP="0057293F">
      <w:pPr>
        <w:numPr>
          <w:ilvl w:val="1"/>
          <w:numId w:val="9"/>
        </w:numPr>
        <w:tabs>
          <w:tab w:val="clear" w:pos="1440"/>
        </w:tabs>
        <w:ind w:left="1276" w:hanging="425"/>
        <w:rPr>
          <w:rFonts w:asciiTheme="majorHAnsi" w:eastAsia="Times New Roman" w:hAnsiTheme="majorHAnsi" w:cstheme="majorHAnsi"/>
          <w:color w:val="000000"/>
          <w:sz w:val="22"/>
          <w:szCs w:val="22"/>
        </w:rPr>
      </w:pPr>
      <w:r w:rsidRPr="006A5559">
        <w:rPr>
          <w:rFonts w:asciiTheme="majorHAnsi" w:eastAsia="Times New Roman" w:hAnsiTheme="majorHAnsi" w:cstheme="majorHAnsi"/>
          <w:i/>
          <w:color w:val="000000"/>
          <w:sz w:val="22"/>
          <w:szCs w:val="22"/>
          <w:lang w:val="en-AU"/>
        </w:rPr>
        <w:t>Global Wetland Outlook: Special Edition 2021</w:t>
      </w:r>
      <w:r w:rsidRPr="00A102DC">
        <w:rPr>
          <w:rFonts w:asciiTheme="majorHAnsi" w:eastAsia="Times New Roman" w:hAnsiTheme="majorHAnsi" w:cstheme="majorHAnsi"/>
          <w:color w:val="000000"/>
          <w:sz w:val="22"/>
          <w:szCs w:val="22"/>
          <w:lang w:val="en-AU"/>
        </w:rPr>
        <w:t>; </w:t>
      </w:r>
    </w:p>
    <w:p w14:paraId="6B8461B0" w14:textId="77777777" w:rsidR="00A102DC" w:rsidRPr="00A102DC" w:rsidRDefault="00A102DC" w:rsidP="0057293F">
      <w:pPr>
        <w:numPr>
          <w:ilvl w:val="1"/>
          <w:numId w:val="9"/>
        </w:numPr>
        <w:tabs>
          <w:tab w:val="clear" w:pos="1440"/>
        </w:tabs>
        <w:ind w:left="1276" w:hanging="425"/>
        <w:rPr>
          <w:rFonts w:asciiTheme="majorHAnsi" w:eastAsia="Times New Roman" w:hAnsiTheme="majorHAnsi" w:cstheme="majorHAnsi"/>
          <w:color w:val="000000"/>
          <w:sz w:val="22"/>
          <w:szCs w:val="22"/>
        </w:rPr>
      </w:pPr>
      <w:r w:rsidRPr="00A102DC">
        <w:rPr>
          <w:rFonts w:asciiTheme="majorHAnsi" w:eastAsia="Times New Roman" w:hAnsiTheme="majorHAnsi" w:cstheme="majorHAnsi"/>
          <w:color w:val="000000"/>
          <w:sz w:val="22"/>
          <w:szCs w:val="22"/>
          <w:lang w:val="en-AU"/>
        </w:rPr>
        <w:t xml:space="preserve">Policy Brief No.5: </w:t>
      </w:r>
      <w:r w:rsidRPr="006A5559">
        <w:rPr>
          <w:rFonts w:asciiTheme="majorHAnsi" w:eastAsia="Times New Roman" w:hAnsiTheme="majorHAnsi" w:cstheme="majorHAnsi"/>
          <w:i/>
          <w:color w:val="000000"/>
          <w:sz w:val="22"/>
          <w:szCs w:val="22"/>
          <w:lang w:val="en-AU"/>
        </w:rPr>
        <w:t>Restoring drained peatlands: A necessary step to achieve global climate goals</w:t>
      </w:r>
      <w:r w:rsidRPr="00A102DC">
        <w:rPr>
          <w:rFonts w:asciiTheme="majorHAnsi" w:eastAsia="Times New Roman" w:hAnsiTheme="majorHAnsi" w:cstheme="majorHAnsi"/>
          <w:color w:val="000000"/>
          <w:sz w:val="22"/>
          <w:szCs w:val="22"/>
          <w:lang w:val="en-AU"/>
        </w:rPr>
        <w:t>; </w:t>
      </w:r>
    </w:p>
    <w:p w14:paraId="50A4926D" w14:textId="77777777" w:rsidR="00A102DC" w:rsidRPr="00A102DC" w:rsidRDefault="00A102DC" w:rsidP="0057293F">
      <w:pPr>
        <w:numPr>
          <w:ilvl w:val="1"/>
          <w:numId w:val="9"/>
        </w:numPr>
        <w:tabs>
          <w:tab w:val="clear" w:pos="1440"/>
        </w:tabs>
        <w:ind w:left="1276" w:hanging="425"/>
        <w:rPr>
          <w:rFonts w:asciiTheme="majorHAnsi" w:eastAsia="Times New Roman" w:hAnsiTheme="majorHAnsi" w:cstheme="majorHAnsi"/>
          <w:color w:val="000000"/>
          <w:sz w:val="22"/>
          <w:szCs w:val="22"/>
        </w:rPr>
      </w:pPr>
      <w:r w:rsidRPr="00A102DC">
        <w:rPr>
          <w:rFonts w:asciiTheme="majorHAnsi" w:eastAsia="Times New Roman" w:hAnsiTheme="majorHAnsi" w:cstheme="majorHAnsi"/>
          <w:color w:val="000000"/>
          <w:sz w:val="22"/>
          <w:szCs w:val="22"/>
          <w:lang w:val="en-AU"/>
        </w:rPr>
        <w:t xml:space="preserve">Policy Brief No.6: </w:t>
      </w:r>
      <w:r w:rsidRPr="006A5559">
        <w:rPr>
          <w:rFonts w:asciiTheme="majorHAnsi" w:eastAsia="Times New Roman" w:hAnsiTheme="majorHAnsi" w:cstheme="majorHAnsi"/>
          <w:i/>
          <w:color w:val="000000"/>
          <w:sz w:val="22"/>
          <w:szCs w:val="22"/>
          <w:lang w:val="en-AU"/>
        </w:rPr>
        <w:t>Transforming agriculture to sustain people and wetlands</w:t>
      </w:r>
      <w:r w:rsidRPr="00A102DC">
        <w:rPr>
          <w:rFonts w:asciiTheme="majorHAnsi" w:eastAsia="Times New Roman" w:hAnsiTheme="majorHAnsi" w:cstheme="majorHAnsi"/>
          <w:color w:val="000000"/>
          <w:sz w:val="22"/>
          <w:szCs w:val="22"/>
          <w:lang w:val="en-AU"/>
        </w:rPr>
        <w:t>; </w:t>
      </w:r>
    </w:p>
    <w:p w14:paraId="5492323E" w14:textId="1233D28B" w:rsidR="00A102DC" w:rsidRPr="00A102DC" w:rsidRDefault="00A102DC" w:rsidP="0057293F">
      <w:pPr>
        <w:numPr>
          <w:ilvl w:val="1"/>
          <w:numId w:val="9"/>
        </w:numPr>
        <w:tabs>
          <w:tab w:val="clear" w:pos="1440"/>
        </w:tabs>
        <w:ind w:left="1276" w:hanging="425"/>
        <w:rPr>
          <w:rFonts w:asciiTheme="majorHAnsi" w:eastAsia="Times New Roman" w:hAnsiTheme="majorHAnsi" w:cstheme="majorHAnsi"/>
          <w:color w:val="000000"/>
          <w:sz w:val="22"/>
          <w:szCs w:val="22"/>
        </w:rPr>
      </w:pPr>
      <w:r w:rsidRPr="00A102DC">
        <w:rPr>
          <w:rFonts w:asciiTheme="majorHAnsi" w:eastAsia="Times New Roman" w:hAnsiTheme="majorHAnsi" w:cstheme="majorHAnsi"/>
          <w:color w:val="000000"/>
          <w:sz w:val="22"/>
          <w:szCs w:val="22"/>
          <w:lang w:val="en-AU"/>
        </w:rPr>
        <w:t xml:space="preserve">Briefing Note No.11: </w:t>
      </w:r>
      <w:r w:rsidRPr="006A5559">
        <w:rPr>
          <w:rFonts w:asciiTheme="majorHAnsi" w:eastAsia="Times New Roman" w:hAnsiTheme="majorHAnsi" w:cstheme="majorHAnsi"/>
          <w:i/>
          <w:color w:val="000000"/>
          <w:sz w:val="22"/>
          <w:szCs w:val="22"/>
          <w:lang w:val="en-AU"/>
        </w:rPr>
        <w:t>Practical peatland restoration</w:t>
      </w:r>
      <w:r w:rsidRPr="00A102DC">
        <w:rPr>
          <w:rFonts w:asciiTheme="majorHAnsi" w:eastAsia="Times New Roman" w:hAnsiTheme="majorHAnsi" w:cstheme="majorHAnsi"/>
          <w:color w:val="000000"/>
          <w:sz w:val="22"/>
          <w:szCs w:val="22"/>
          <w:lang w:val="en-AU"/>
        </w:rPr>
        <w:t>;</w:t>
      </w:r>
    </w:p>
    <w:p w14:paraId="079E5BC7" w14:textId="77777777" w:rsidR="00A102DC" w:rsidRPr="00A102DC" w:rsidRDefault="00A102DC" w:rsidP="0057293F">
      <w:pPr>
        <w:numPr>
          <w:ilvl w:val="1"/>
          <w:numId w:val="9"/>
        </w:numPr>
        <w:tabs>
          <w:tab w:val="clear" w:pos="1440"/>
        </w:tabs>
        <w:ind w:left="1276" w:hanging="425"/>
        <w:rPr>
          <w:rFonts w:asciiTheme="majorHAnsi" w:eastAsia="Times New Roman" w:hAnsiTheme="majorHAnsi" w:cstheme="majorHAnsi"/>
          <w:color w:val="000000"/>
          <w:sz w:val="22"/>
          <w:szCs w:val="22"/>
        </w:rPr>
      </w:pPr>
      <w:r w:rsidRPr="00A102DC">
        <w:rPr>
          <w:rFonts w:asciiTheme="majorHAnsi" w:eastAsia="Times New Roman" w:hAnsiTheme="majorHAnsi" w:cstheme="majorHAnsi"/>
          <w:color w:val="000000"/>
          <w:sz w:val="22"/>
          <w:szCs w:val="22"/>
          <w:lang w:val="en-AU"/>
        </w:rPr>
        <w:t xml:space="preserve">Briefing Note No.12: </w:t>
      </w:r>
      <w:r w:rsidRPr="006A5559">
        <w:rPr>
          <w:rFonts w:asciiTheme="majorHAnsi" w:eastAsia="Times New Roman" w:hAnsiTheme="majorHAnsi" w:cstheme="majorHAnsi"/>
          <w:i/>
          <w:color w:val="000000"/>
          <w:sz w:val="22"/>
          <w:szCs w:val="22"/>
          <w:lang w:val="en-AU"/>
        </w:rPr>
        <w:t>The contribution of blue carbon ecosystems to climate change mitigation</w:t>
      </w:r>
      <w:r w:rsidRPr="00A102DC">
        <w:rPr>
          <w:rFonts w:asciiTheme="majorHAnsi" w:eastAsia="Times New Roman" w:hAnsiTheme="majorHAnsi" w:cstheme="majorHAnsi"/>
          <w:color w:val="000000"/>
          <w:sz w:val="22"/>
          <w:szCs w:val="22"/>
          <w:lang w:val="en-AU"/>
        </w:rPr>
        <w:t>; </w:t>
      </w:r>
    </w:p>
    <w:p w14:paraId="6133A04E" w14:textId="77777777" w:rsidR="00A102DC" w:rsidRPr="00A102DC" w:rsidRDefault="00A102DC" w:rsidP="0057293F">
      <w:pPr>
        <w:numPr>
          <w:ilvl w:val="1"/>
          <w:numId w:val="9"/>
        </w:numPr>
        <w:tabs>
          <w:tab w:val="clear" w:pos="1440"/>
        </w:tabs>
        <w:ind w:left="1276" w:hanging="425"/>
        <w:rPr>
          <w:rFonts w:asciiTheme="majorHAnsi" w:eastAsia="Times New Roman" w:hAnsiTheme="majorHAnsi" w:cstheme="majorHAnsi"/>
          <w:color w:val="000000"/>
          <w:sz w:val="22"/>
          <w:szCs w:val="22"/>
        </w:rPr>
      </w:pPr>
      <w:r w:rsidRPr="00A102DC">
        <w:rPr>
          <w:rFonts w:asciiTheme="majorHAnsi" w:eastAsia="Times New Roman" w:hAnsiTheme="majorHAnsi" w:cstheme="majorHAnsi"/>
          <w:color w:val="000000"/>
          <w:sz w:val="22"/>
          <w:szCs w:val="22"/>
          <w:lang w:val="en-AU"/>
        </w:rPr>
        <w:t xml:space="preserve">Briefing Note No.13: </w:t>
      </w:r>
      <w:r w:rsidRPr="006A5559">
        <w:rPr>
          <w:rFonts w:asciiTheme="majorHAnsi" w:eastAsia="Times New Roman" w:hAnsiTheme="majorHAnsi" w:cstheme="majorHAnsi"/>
          <w:i/>
          <w:color w:val="000000"/>
          <w:sz w:val="22"/>
          <w:szCs w:val="22"/>
          <w:lang w:val="en-AU"/>
        </w:rPr>
        <w:t>Wetlands and agriculture: impacts of farming practices and pathways to sustainability</w:t>
      </w:r>
      <w:r w:rsidRPr="00A102DC">
        <w:rPr>
          <w:rFonts w:asciiTheme="majorHAnsi" w:eastAsia="Times New Roman" w:hAnsiTheme="majorHAnsi" w:cstheme="majorHAnsi"/>
          <w:color w:val="000000"/>
          <w:sz w:val="22"/>
          <w:szCs w:val="22"/>
          <w:lang w:val="en-AU"/>
        </w:rPr>
        <w:t>; </w:t>
      </w:r>
    </w:p>
    <w:p w14:paraId="1499C753" w14:textId="7E7A8210" w:rsidR="00A102DC" w:rsidRPr="00354FE0" w:rsidRDefault="00A102DC" w:rsidP="0057293F">
      <w:pPr>
        <w:numPr>
          <w:ilvl w:val="1"/>
          <w:numId w:val="9"/>
        </w:numPr>
        <w:tabs>
          <w:tab w:val="clear" w:pos="1440"/>
        </w:tabs>
        <w:ind w:left="1276" w:hanging="425"/>
        <w:rPr>
          <w:rFonts w:asciiTheme="majorHAnsi" w:eastAsia="Times New Roman" w:hAnsiTheme="majorHAnsi" w:cstheme="majorHAnsi"/>
          <w:color w:val="000000"/>
          <w:sz w:val="22"/>
          <w:szCs w:val="22"/>
        </w:rPr>
      </w:pPr>
      <w:r w:rsidRPr="00A102DC">
        <w:rPr>
          <w:rFonts w:asciiTheme="majorHAnsi" w:eastAsia="Times New Roman" w:hAnsiTheme="majorHAnsi" w:cstheme="majorHAnsi"/>
          <w:color w:val="000000"/>
          <w:sz w:val="22"/>
          <w:szCs w:val="22"/>
          <w:lang w:val="en-AU"/>
        </w:rPr>
        <w:t xml:space="preserve">Technical Report No.11: </w:t>
      </w:r>
      <w:r w:rsidRPr="006A5559">
        <w:rPr>
          <w:rFonts w:asciiTheme="majorHAnsi" w:eastAsia="Times New Roman" w:hAnsiTheme="majorHAnsi" w:cstheme="majorHAnsi"/>
          <w:i/>
          <w:color w:val="000000"/>
          <w:sz w:val="22"/>
          <w:szCs w:val="22"/>
          <w:lang w:val="en-AU"/>
        </w:rPr>
        <w:t>Global guidelines for peatland rewetting and restoration</w:t>
      </w:r>
      <w:r w:rsidRPr="00A102DC">
        <w:rPr>
          <w:rFonts w:asciiTheme="majorHAnsi" w:eastAsia="Times New Roman" w:hAnsiTheme="majorHAnsi" w:cstheme="majorHAnsi"/>
          <w:color w:val="000000"/>
          <w:sz w:val="22"/>
          <w:szCs w:val="22"/>
          <w:lang w:val="en-AU"/>
        </w:rPr>
        <w:t>.</w:t>
      </w:r>
    </w:p>
    <w:p w14:paraId="3CDC8B43" w14:textId="77777777" w:rsidR="00354FE0" w:rsidRPr="00A102DC" w:rsidRDefault="00354FE0" w:rsidP="00354FE0">
      <w:pPr>
        <w:rPr>
          <w:rFonts w:asciiTheme="majorHAnsi" w:eastAsia="Times New Roman" w:hAnsiTheme="majorHAnsi" w:cstheme="majorHAnsi"/>
          <w:color w:val="000000"/>
          <w:sz w:val="22"/>
          <w:szCs w:val="22"/>
        </w:rPr>
      </w:pPr>
    </w:p>
    <w:p w14:paraId="6A807FB6" w14:textId="6E78C149" w:rsidR="00A102DC" w:rsidRPr="00354FE0" w:rsidRDefault="00A102DC" w:rsidP="0057293F">
      <w:pPr>
        <w:numPr>
          <w:ilvl w:val="0"/>
          <w:numId w:val="9"/>
        </w:numPr>
        <w:tabs>
          <w:tab w:val="clear" w:pos="720"/>
        </w:tabs>
        <w:ind w:left="851" w:hanging="425"/>
        <w:rPr>
          <w:rFonts w:asciiTheme="majorHAnsi" w:eastAsia="Times New Roman" w:hAnsiTheme="majorHAnsi" w:cstheme="majorHAnsi"/>
          <w:color w:val="000000"/>
          <w:sz w:val="22"/>
          <w:szCs w:val="22"/>
        </w:rPr>
      </w:pPr>
      <w:r w:rsidRPr="00A102DC">
        <w:rPr>
          <w:rFonts w:asciiTheme="majorHAnsi" w:eastAsia="Times New Roman" w:hAnsiTheme="majorHAnsi" w:cstheme="majorHAnsi"/>
          <w:color w:val="000000"/>
          <w:sz w:val="22"/>
          <w:szCs w:val="22"/>
          <w:lang w:val="en-AU"/>
        </w:rPr>
        <w:t>The Secretariat worked closely with the STRP Chair to ensure the products were appropriate for target audiences and supported by strong, targeted outreach plans. </w:t>
      </w:r>
    </w:p>
    <w:p w14:paraId="299C06C1" w14:textId="77777777" w:rsidR="00354FE0" w:rsidRPr="00A102DC" w:rsidRDefault="00354FE0" w:rsidP="003474AE">
      <w:pPr>
        <w:rPr>
          <w:rFonts w:asciiTheme="majorHAnsi" w:eastAsia="Times New Roman" w:hAnsiTheme="majorHAnsi" w:cstheme="majorHAnsi"/>
          <w:color w:val="000000"/>
          <w:sz w:val="22"/>
          <w:szCs w:val="22"/>
        </w:rPr>
      </w:pPr>
    </w:p>
    <w:p w14:paraId="770CD335" w14:textId="7A416054" w:rsidR="00354FE0" w:rsidRPr="003474AE" w:rsidRDefault="00A102DC" w:rsidP="003474AE">
      <w:pPr>
        <w:numPr>
          <w:ilvl w:val="1"/>
          <w:numId w:val="9"/>
        </w:numPr>
        <w:tabs>
          <w:tab w:val="clear" w:pos="1440"/>
        </w:tabs>
        <w:ind w:left="1276" w:hanging="425"/>
        <w:rPr>
          <w:rFonts w:asciiTheme="majorHAnsi" w:eastAsia="Times New Roman" w:hAnsiTheme="majorHAnsi" w:cstheme="majorHAnsi"/>
          <w:color w:val="000000"/>
          <w:sz w:val="22"/>
          <w:szCs w:val="22"/>
        </w:rPr>
      </w:pPr>
      <w:r w:rsidRPr="00A102DC">
        <w:rPr>
          <w:rFonts w:asciiTheme="majorHAnsi" w:eastAsia="Times New Roman" w:hAnsiTheme="majorHAnsi" w:cstheme="majorHAnsi"/>
          <w:color w:val="000000"/>
          <w:sz w:val="22"/>
          <w:szCs w:val="22"/>
          <w:lang w:val="en-AU"/>
        </w:rPr>
        <w:t xml:space="preserve">The </w:t>
      </w:r>
      <w:r w:rsidRPr="006A5559">
        <w:rPr>
          <w:rFonts w:asciiTheme="majorHAnsi" w:eastAsia="Times New Roman" w:hAnsiTheme="majorHAnsi" w:cstheme="majorHAnsi"/>
          <w:i/>
          <w:color w:val="000000"/>
          <w:sz w:val="22"/>
          <w:szCs w:val="22"/>
          <w:lang w:val="en-AU"/>
        </w:rPr>
        <w:t xml:space="preserve">Global Wetland Outlook: Special Edition 2021 </w:t>
      </w:r>
      <w:r w:rsidRPr="00A102DC">
        <w:rPr>
          <w:rFonts w:asciiTheme="majorHAnsi" w:eastAsia="Times New Roman" w:hAnsiTheme="majorHAnsi" w:cstheme="majorHAnsi"/>
          <w:color w:val="000000"/>
          <w:sz w:val="22"/>
          <w:szCs w:val="22"/>
          <w:lang w:val="en-AU"/>
        </w:rPr>
        <w:t xml:space="preserve">was launched as part of the </w:t>
      </w:r>
      <w:r w:rsidRPr="006A5559">
        <w:rPr>
          <w:rFonts w:asciiTheme="majorHAnsi" w:eastAsia="Times New Roman" w:hAnsiTheme="majorHAnsi" w:cstheme="majorHAnsi"/>
          <w:color w:val="000000"/>
          <w:sz w:val="22"/>
          <w:szCs w:val="22"/>
          <w:lang w:val="en-AU"/>
        </w:rPr>
        <w:t>50th</w:t>
      </w:r>
      <w:r w:rsidR="006A5559">
        <w:rPr>
          <w:rFonts w:asciiTheme="majorHAnsi" w:eastAsia="Times New Roman" w:hAnsiTheme="majorHAnsi" w:cstheme="majorHAnsi"/>
          <w:color w:val="000000"/>
          <w:sz w:val="22"/>
          <w:szCs w:val="22"/>
          <w:lang w:val="en-AU"/>
        </w:rPr>
        <w:t> A</w:t>
      </w:r>
      <w:r w:rsidRPr="00A102DC">
        <w:rPr>
          <w:rFonts w:asciiTheme="majorHAnsi" w:eastAsia="Times New Roman" w:hAnsiTheme="majorHAnsi" w:cstheme="majorHAnsi"/>
          <w:color w:val="000000"/>
          <w:sz w:val="22"/>
          <w:szCs w:val="22"/>
          <w:lang w:val="en-AU"/>
        </w:rPr>
        <w:t xml:space="preserve">nniversary campaign. The report was launched with a revised microsite, news story, press release, key messages and social media campaign. An op-ed relating to the </w:t>
      </w:r>
      <w:r w:rsidRPr="006A5559">
        <w:rPr>
          <w:rFonts w:asciiTheme="majorHAnsi" w:eastAsia="Times New Roman" w:hAnsiTheme="majorHAnsi" w:cstheme="majorHAnsi"/>
          <w:i/>
          <w:color w:val="000000"/>
          <w:sz w:val="22"/>
          <w:szCs w:val="22"/>
          <w:lang w:val="en-AU"/>
        </w:rPr>
        <w:t>Global Wetland Outlook</w:t>
      </w:r>
      <w:r w:rsidRPr="00A102DC">
        <w:rPr>
          <w:rFonts w:asciiTheme="majorHAnsi" w:eastAsia="Times New Roman" w:hAnsiTheme="majorHAnsi" w:cstheme="majorHAnsi"/>
          <w:color w:val="000000"/>
          <w:sz w:val="22"/>
          <w:szCs w:val="22"/>
          <w:lang w:val="en-AU"/>
        </w:rPr>
        <w:t xml:space="preserve"> authored by the Secretary General was published on 20 December by the Thompson Reuters Foundation.</w:t>
      </w:r>
    </w:p>
    <w:p w14:paraId="39195F0B" w14:textId="77777777" w:rsidR="003474AE" w:rsidRPr="003474AE" w:rsidRDefault="003474AE" w:rsidP="003474AE">
      <w:pPr>
        <w:rPr>
          <w:rFonts w:asciiTheme="majorHAnsi" w:eastAsia="Times New Roman" w:hAnsiTheme="majorHAnsi" w:cstheme="majorHAnsi"/>
          <w:color w:val="000000"/>
          <w:sz w:val="22"/>
          <w:szCs w:val="22"/>
        </w:rPr>
      </w:pPr>
    </w:p>
    <w:p w14:paraId="2C2D955B" w14:textId="13047014" w:rsidR="00A102DC" w:rsidRPr="00A102DC" w:rsidRDefault="00A102DC" w:rsidP="0057293F">
      <w:pPr>
        <w:numPr>
          <w:ilvl w:val="1"/>
          <w:numId w:val="9"/>
        </w:numPr>
        <w:tabs>
          <w:tab w:val="clear" w:pos="1440"/>
        </w:tabs>
        <w:ind w:left="1276" w:hanging="425"/>
        <w:rPr>
          <w:rFonts w:asciiTheme="majorHAnsi" w:eastAsia="Times New Roman" w:hAnsiTheme="majorHAnsi" w:cstheme="majorHAnsi"/>
          <w:color w:val="000000"/>
          <w:sz w:val="22"/>
          <w:szCs w:val="22"/>
        </w:rPr>
      </w:pPr>
      <w:r w:rsidRPr="00A102DC">
        <w:rPr>
          <w:rFonts w:asciiTheme="majorHAnsi" w:eastAsia="Times New Roman" w:hAnsiTheme="majorHAnsi" w:cstheme="majorHAnsi"/>
          <w:color w:val="000000"/>
          <w:sz w:val="22"/>
          <w:szCs w:val="22"/>
        </w:rPr>
        <w:t xml:space="preserve">To launch the STRP Policy Briefs, Briefing Notes and Technical Reports, the Secretariat developed an online social media toolkit with key messages, tiles and proposed posts and shared </w:t>
      </w:r>
      <w:r w:rsidR="006A5559">
        <w:rPr>
          <w:rFonts w:asciiTheme="majorHAnsi" w:eastAsia="Times New Roman" w:hAnsiTheme="majorHAnsi" w:cstheme="majorHAnsi"/>
          <w:color w:val="000000"/>
          <w:sz w:val="22"/>
          <w:szCs w:val="22"/>
        </w:rPr>
        <w:t xml:space="preserve">it </w:t>
      </w:r>
      <w:r w:rsidRPr="00A102DC">
        <w:rPr>
          <w:rFonts w:asciiTheme="majorHAnsi" w:eastAsia="Times New Roman" w:hAnsiTheme="majorHAnsi" w:cstheme="majorHAnsi"/>
          <w:color w:val="000000"/>
          <w:sz w:val="22"/>
          <w:szCs w:val="22"/>
        </w:rPr>
        <w:t xml:space="preserve">actively with Parties, networks and partners. The Secretariat also organized webinars on </w:t>
      </w:r>
      <w:r w:rsidR="00C17509">
        <w:rPr>
          <w:rFonts w:asciiTheme="majorHAnsi" w:eastAsia="Times New Roman" w:hAnsiTheme="majorHAnsi" w:cstheme="majorHAnsi"/>
          <w:color w:val="000000"/>
          <w:sz w:val="22"/>
          <w:szCs w:val="22"/>
        </w:rPr>
        <w:t>“</w:t>
      </w:r>
      <w:r w:rsidRPr="00A102DC">
        <w:rPr>
          <w:rFonts w:asciiTheme="majorHAnsi" w:eastAsia="Times New Roman" w:hAnsiTheme="majorHAnsi" w:cstheme="majorHAnsi"/>
          <w:color w:val="000000"/>
          <w:sz w:val="22"/>
          <w:szCs w:val="22"/>
        </w:rPr>
        <w:t xml:space="preserve">Wetlands and </w:t>
      </w:r>
      <w:r w:rsidR="00C17509" w:rsidRPr="00C17509">
        <w:rPr>
          <w:rFonts w:asciiTheme="majorHAnsi" w:eastAsia="Times New Roman" w:hAnsiTheme="majorHAnsi" w:cstheme="majorHAnsi"/>
          <w:color w:val="000000"/>
          <w:sz w:val="22"/>
          <w:szCs w:val="22"/>
        </w:rPr>
        <w:t>climate change</w:t>
      </w:r>
      <w:r w:rsidR="00C17509">
        <w:rPr>
          <w:rFonts w:asciiTheme="majorHAnsi" w:eastAsia="Times New Roman" w:hAnsiTheme="majorHAnsi" w:cstheme="majorHAnsi"/>
          <w:color w:val="000000"/>
          <w:sz w:val="22"/>
          <w:szCs w:val="22"/>
        </w:rPr>
        <w:t>”</w:t>
      </w:r>
      <w:r w:rsidRPr="00A102DC">
        <w:rPr>
          <w:rFonts w:asciiTheme="majorHAnsi" w:eastAsia="Times New Roman" w:hAnsiTheme="majorHAnsi" w:cstheme="majorHAnsi"/>
          <w:color w:val="000000"/>
          <w:sz w:val="22"/>
          <w:szCs w:val="22"/>
        </w:rPr>
        <w:t xml:space="preserve"> and on </w:t>
      </w:r>
      <w:r w:rsidR="00C17509">
        <w:rPr>
          <w:rFonts w:asciiTheme="majorHAnsi" w:eastAsia="Times New Roman" w:hAnsiTheme="majorHAnsi" w:cstheme="majorHAnsi"/>
          <w:color w:val="000000"/>
          <w:sz w:val="22"/>
          <w:szCs w:val="22"/>
        </w:rPr>
        <w:t>“</w:t>
      </w:r>
      <w:r w:rsidRPr="00A102DC">
        <w:rPr>
          <w:rFonts w:asciiTheme="majorHAnsi" w:eastAsia="Times New Roman" w:hAnsiTheme="majorHAnsi" w:cstheme="majorHAnsi"/>
          <w:color w:val="000000"/>
          <w:sz w:val="22"/>
          <w:szCs w:val="22"/>
        </w:rPr>
        <w:t xml:space="preserve">Agriculture and </w:t>
      </w:r>
      <w:r w:rsidR="00C17509" w:rsidRPr="00A102DC">
        <w:rPr>
          <w:rFonts w:asciiTheme="majorHAnsi" w:eastAsia="Times New Roman" w:hAnsiTheme="majorHAnsi" w:cstheme="majorHAnsi"/>
          <w:color w:val="000000"/>
          <w:sz w:val="22"/>
          <w:szCs w:val="22"/>
        </w:rPr>
        <w:t>w</w:t>
      </w:r>
      <w:r w:rsidRPr="00A102DC">
        <w:rPr>
          <w:rFonts w:asciiTheme="majorHAnsi" w:eastAsia="Times New Roman" w:hAnsiTheme="majorHAnsi" w:cstheme="majorHAnsi"/>
          <w:color w:val="000000"/>
          <w:sz w:val="22"/>
          <w:szCs w:val="22"/>
        </w:rPr>
        <w:t>etlands</w:t>
      </w:r>
      <w:r w:rsidR="00C17509">
        <w:rPr>
          <w:rFonts w:asciiTheme="majorHAnsi" w:eastAsia="Times New Roman" w:hAnsiTheme="majorHAnsi" w:cstheme="majorHAnsi"/>
          <w:color w:val="000000"/>
          <w:sz w:val="22"/>
          <w:szCs w:val="22"/>
        </w:rPr>
        <w:t>”</w:t>
      </w:r>
      <w:r w:rsidRPr="00A102DC">
        <w:rPr>
          <w:rFonts w:asciiTheme="majorHAnsi" w:eastAsia="Times New Roman" w:hAnsiTheme="majorHAnsi" w:cstheme="majorHAnsi"/>
          <w:color w:val="000000"/>
          <w:sz w:val="22"/>
          <w:szCs w:val="22"/>
        </w:rPr>
        <w:t xml:space="preserve"> to disseminate the STRP outputs. The webinars were conducted in the thr</w:t>
      </w:r>
      <w:r w:rsidR="003474AE">
        <w:rPr>
          <w:rFonts w:asciiTheme="majorHAnsi" w:eastAsia="Times New Roman" w:hAnsiTheme="majorHAnsi" w:cstheme="majorHAnsi"/>
          <w:color w:val="000000"/>
          <w:sz w:val="22"/>
          <w:szCs w:val="22"/>
        </w:rPr>
        <w:t>ee languages of the Convention.</w:t>
      </w:r>
    </w:p>
    <w:p w14:paraId="33B6FA5C" w14:textId="5DB4F0EA" w:rsidR="00354FE0" w:rsidRDefault="00354FE0" w:rsidP="00354FE0">
      <w:pPr>
        <w:contextualSpacing/>
        <w:rPr>
          <w:rFonts w:ascii="Calibri" w:eastAsia="Times New Roman" w:hAnsi="Calibri" w:cs="Calibri"/>
          <w:lang w:val="en-AU"/>
        </w:rPr>
      </w:pPr>
    </w:p>
    <w:p w14:paraId="018B1741" w14:textId="77777777" w:rsidR="003474AE" w:rsidRPr="00354FE0" w:rsidRDefault="003474AE" w:rsidP="00354FE0">
      <w:pPr>
        <w:contextualSpacing/>
        <w:rPr>
          <w:rFonts w:ascii="Calibri" w:eastAsia="Times New Roman" w:hAnsi="Calibri" w:cs="Calibri"/>
          <w:lang w:val="en-AU"/>
        </w:rPr>
      </w:pPr>
    </w:p>
    <w:p w14:paraId="39D42395" w14:textId="77777777" w:rsidR="00C64326" w:rsidRPr="00C64326" w:rsidRDefault="00C64326" w:rsidP="00A4794E">
      <w:pPr>
        <w:autoSpaceDE w:val="0"/>
        <w:autoSpaceDN w:val="0"/>
        <w:adjustRightInd w:val="0"/>
        <w:rPr>
          <w:rFonts w:asciiTheme="majorHAnsi" w:hAnsiTheme="majorHAnsi" w:cs="Calibri"/>
          <w:bCs/>
          <w:sz w:val="22"/>
          <w:szCs w:val="22"/>
          <w:u w:val="single"/>
        </w:rPr>
      </w:pPr>
      <w:r w:rsidRPr="00C64326">
        <w:rPr>
          <w:rFonts w:asciiTheme="majorHAnsi" w:hAnsiTheme="majorHAnsi" w:cs="Calibri"/>
          <w:bCs/>
          <w:sz w:val="22"/>
          <w:szCs w:val="22"/>
          <w:u w:val="single"/>
        </w:rPr>
        <w:t>A new approach on advising and supporting CEPA in the Convention</w:t>
      </w:r>
    </w:p>
    <w:p w14:paraId="291E4BD8" w14:textId="77777777" w:rsidR="004C5BF4" w:rsidRDefault="004C5BF4" w:rsidP="00A4794E">
      <w:pPr>
        <w:pStyle w:val="BodyText"/>
        <w:widowControl/>
        <w:tabs>
          <w:tab w:val="left" w:pos="544"/>
        </w:tabs>
        <w:ind w:left="0" w:firstLine="0"/>
        <w:rPr>
          <w:rFonts w:asciiTheme="majorHAnsi" w:hAnsiTheme="majorHAnsi" w:cs="Times New Roman"/>
          <w:lang w:val="en-AU"/>
        </w:rPr>
      </w:pPr>
    </w:p>
    <w:p w14:paraId="4ABC86B2" w14:textId="36B9E19A" w:rsidR="00534BD3" w:rsidRDefault="002D6FBD" w:rsidP="00354FE0">
      <w:pPr>
        <w:pStyle w:val="BodyText"/>
        <w:widowControl/>
        <w:ind w:left="425" w:hanging="425"/>
      </w:pPr>
      <w:r>
        <w:rPr>
          <w:rFonts w:asciiTheme="majorHAnsi" w:hAnsiTheme="majorHAnsi" w:cs="Times New Roman"/>
          <w:lang w:val="en-AU"/>
        </w:rPr>
        <w:t>1</w:t>
      </w:r>
      <w:r w:rsidR="000970FD">
        <w:rPr>
          <w:rFonts w:asciiTheme="majorHAnsi" w:hAnsiTheme="majorHAnsi" w:cs="Times New Roman"/>
          <w:lang w:val="en-AU"/>
        </w:rPr>
        <w:t>5</w:t>
      </w:r>
      <w:r w:rsidR="004C5BF4">
        <w:rPr>
          <w:rFonts w:asciiTheme="majorHAnsi" w:hAnsiTheme="majorHAnsi" w:cs="Times New Roman"/>
          <w:lang w:val="en-AU"/>
        </w:rPr>
        <w:t>.</w:t>
      </w:r>
      <w:r w:rsidR="004C5BF4">
        <w:rPr>
          <w:rFonts w:asciiTheme="majorHAnsi" w:hAnsiTheme="majorHAnsi" w:cs="Times New Roman"/>
          <w:lang w:val="en-AU"/>
        </w:rPr>
        <w:tab/>
      </w:r>
      <w:r w:rsidR="00534BD3">
        <w:t xml:space="preserve">Resolution XIII.5 </w:t>
      </w:r>
      <w:r w:rsidR="00905B43" w:rsidRPr="00535F78">
        <w:rPr>
          <w:rFonts w:asciiTheme="majorHAnsi" w:hAnsiTheme="majorHAnsi" w:cs="Times New Roman"/>
          <w:lang w:val="en-AU"/>
        </w:rPr>
        <w:t>on</w:t>
      </w:r>
      <w:r w:rsidR="00905B43" w:rsidRPr="00C64326">
        <w:rPr>
          <w:rFonts w:asciiTheme="majorHAnsi" w:hAnsiTheme="majorHAnsi" w:cs="Times New Roman"/>
          <w:lang w:val="en-AU"/>
        </w:rPr>
        <w:t xml:space="preserve"> </w:t>
      </w:r>
      <w:r w:rsidR="00905B43" w:rsidRPr="00DD3949">
        <w:rPr>
          <w:rFonts w:asciiTheme="majorHAnsi" w:hAnsiTheme="majorHAnsi" w:cs="Times New Roman"/>
          <w:i/>
          <w:lang w:val="en-AU"/>
        </w:rPr>
        <w:t>Review of the fourth Strategic Plan of the Ramsar Convention</w:t>
      </w:r>
      <w:r w:rsidR="00905B43">
        <w:t xml:space="preserve"> </w:t>
      </w:r>
      <w:r w:rsidR="00534BD3">
        <w:t>instructed the CEPA Oversight Panel</w:t>
      </w:r>
      <w:r w:rsidR="00534BD3" w:rsidRPr="00DF5550">
        <w:t xml:space="preserve"> to</w:t>
      </w:r>
      <w:r w:rsidR="00534BD3">
        <w:t>, at SC59, “</w:t>
      </w:r>
      <w:r w:rsidR="00534BD3" w:rsidRPr="00DF5550">
        <w:t xml:space="preserve">present its </w:t>
      </w:r>
      <w:r w:rsidR="00534BD3">
        <w:t xml:space="preserve">proposed </w:t>
      </w:r>
      <w:r w:rsidR="00534BD3" w:rsidRPr="00DF5550">
        <w:t xml:space="preserve">new approach </w:t>
      </w:r>
      <w:r w:rsidR="00534BD3">
        <w:t>and</w:t>
      </w:r>
      <w:r w:rsidR="00534BD3" w:rsidRPr="00DF5550">
        <w:t xml:space="preserve"> a draft </w:t>
      </w:r>
      <w:r w:rsidR="00534BD3">
        <w:t>r</w:t>
      </w:r>
      <w:r w:rsidR="00534BD3" w:rsidRPr="00DF5550">
        <w:t>esolution</w:t>
      </w:r>
      <w:r w:rsidR="00534BD3">
        <w:t xml:space="preserve"> on this subject to be submitted to COP14; and FURTHER INSTRUCTS the Standing Committee to take this matter further, for decision at COP14”</w:t>
      </w:r>
      <w:r w:rsidR="00905B43">
        <w:t>.</w:t>
      </w:r>
      <w:r w:rsidR="00534BD3">
        <w:t xml:space="preserve"> This new approach was to take into account the work already carried out by the Panel and the Working Group</w:t>
      </w:r>
      <w:r w:rsidR="00534BD3" w:rsidRPr="00967BF0">
        <w:t xml:space="preserve"> on CEPA Implementation</w:t>
      </w:r>
      <w:r w:rsidR="00534BD3">
        <w:t xml:space="preserve">, incorporate the advice of the </w:t>
      </w:r>
      <w:r w:rsidR="00534BD3" w:rsidRPr="00967BF0">
        <w:t xml:space="preserve">STRP </w:t>
      </w:r>
      <w:r w:rsidR="00534BD3">
        <w:t>and complement the work of the Strategic Plan Working Group.</w:t>
      </w:r>
    </w:p>
    <w:p w14:paraId="2EFC7765" w14:textId="77777777" w:rsidR="00534BD3" w:rsidRDefault="00534BD3" w:rsidP="00354FE0">
      <w:pPr>
        <w:pStyle w:val="BodyText"/>
        <w:widowControl/>
        <w:ind w:left="425" w:hanging="425"/>
        <w:rPr>
          <w:rFonts w:asciiTheme="majorHAnsi" w:hAnsiTheme="majorHAnsi" w:cs="Times New Roman"/>
        </w:rPr>
      </w:pPr>
    </w:p>
    <w:p w14:paraId="0124408A" w14:textId="7727E32A" w:rsidR="00C64326" w:rsidRPr="00C64326" w:rsidRDefault="002D6FBD" w:rsidP="00354FE0">
      <w:pPr>
        <w:pStyle w:val="BodyText"/>
        <w:widowControl/>
        <w:ind w:left="425" w:hanging="425"/>
        <w:rPr>
          <w:rFonts w:asciiTheme="majorHAnsi" w:hAnsiTheme="majorHAnsi" w:cs="Times New Roman"/>
          <w:lang w:val="en-AU"/>
        </w:rPr>
      </w:pPr>
      <w:r>
        <w:rPr>
          <w:rFonts w:asciiTheme="majorHAnsi" w:hAnsiTheme="majorHAnsi" w:cs="Times New Roman"/>
          <w:lang w:val="en-AU"/>
        </w:rPr>
        <w:t>1</w:t>
      </w:r>
      <w:r w:rsidR="000970FD">
        <w:rPr>
          <w:rFonts w:asciiTheme="majorHAnsi" w:hAnsiTheme="majorHAnsi" w:cs="Times New Roman"/>
          <w:lang w:val="en-AU"/>
        </w:rPr>
        <w:t>6</w:t>
      </w:r>
      <w:r w:rsidR="009E6950">
        <w:rPr>
          <w:rFonts w:asciiTheme="majorHAnsi" w:hAnsiTheme="majorHAnsi" w:cs="Times New Roman"/>
          <w:lang w:val="en-AU"/>
        </w:rPr>
        <w:t>.</w:t>
      </w:r>
      <w:r w:rsidR="00354FE0">
        <w:rPr>
          <w:rFonts w:asciiTheme="majorHAnsi" w:hAnsiTheme="majorHAnsi" w:cs="Times New Roman"/>
          <w:lang w:val="en-AU"/>
        </w:rPr>
        <w:tab/>
      </w:r>
      <w:r w:rsidR="009E6950">
        <w:rPr>
          <w:rFonts w:asciiTheme="majorHAnsi" w:hAnsiTheme="majorHAnsi" w:cs="Times New Roman"/>
          <w:lang w:val="en-AU"/>
        </w:rPr>
        <w:t xml:space="preserve">Further, </w:t>
      </w:r>
      <w:r w:rsidR="00534BD3" w:rsidRPr="00535F78">
        <w:rPr>
          <w:rFonts w:asciiTheme="majorHAnsi" w:hAnsiTheme="majorHAnsi" w:cs="Times New Roman"/>
          <w:lang w:val="en-AU"/>
        </w:rPr>
        <w:t>Resolution XIII.</w:t>
      </w:r>
      <w:r w:rsidR="00805A26">
        <w:rPr>
          <w:rFonts w:asciiTheme="majorHAnsi" w:hAnsiTheme="majorHAnsi" w:cs="Times New Roman"/>
          <w:lang w:val="en-AU"/>
        </w:rPr>
        <w:t>5</w:t>
      </w:r>
      <w:r w:rsidR="00C64326" w:rsidRPr="00C64326">
        <w:rPr>
          <w:rFonts w:asciiTheme="majorHAnsi" w:hAnsiTheme="majorHAnsi" w:cs="Times New Roman"/>
          <w:lang w:val="en-AU"/>
        </w:rPr>
        <w:t xml:space="preserve"> instructs the CEPA Oversight Panel to review the implementation of the CEPA Programme, coordinate its efforts with the Strategic Plan Working Group, and report to </w:t>
      </w:r>
      <w:r w:rsidR="00905B43">
        <w:rPr>
          <w:rFonts w:asciiTheme="majorHAnsi" w:hAnsiTheme="majorHAnsi" w:cs="Times New Roman"/>
          <w:lang w:val="en-AU"/>
        </w:rPr>
        <w:t>SC</w:t>
      </w:r>
      <w:r w:rsidR="00C64326" w:rsidRPr="00C64326">
        <w:rPr>
          <w:rFonts w:asciiTheme="majorHAnsi" w:hAnsiTheme="majorHAnsi" w:cs="Times New Roman"/>
          <w:lang w:val="en-AU"/>
        </w:rPr>
        <w:t>58 on the results, which will then be considered at COP14.</w:t>
      </w:r>
    </w:p>
    <w:p w14:paraId="492983F6" w14:textId="77777777" w:rsidR="004C5BF4" w:rsidRDefault="004C5BF4" w:rsidP="00354FE0">
      <w:pPr>
        <w:pStyle w:val="BodyText"/>
        <w:widowControl/>
        <w:ind w:left="425" w:hanging="425"/>
        <w:rPr>
          <w:rFonts w:asciiTheme="majorHAnsi" w:hAnsiTheme="majorHAnsi" w:cs="Times New Roman"/>
          <w:lang w:val="en-AU"/>
        </w:rPr>
      </w:pPr>
    </w:p>
    <w:p w14:paraId="4F4D03DF" w14:textId="14FC7192" w:rsidR="009E6950" w:rsidRDefault="008D5F2E" w:rsidP="00354FE0">
      <w:pPr>
        <w:pStyle w:val="BodyText"/>
        <w:widowControl/>
        <w:ind w:left="425" w:hanging="425"/>
      </w:pPr>
      <w:r>
        <w:rPr>
          <w:rFonts w:asciiTheme="majorHAnsi" w:hAnsiTheme="majorHAnsi" w:cs="Times New Roman"/>
          <w:lang w:val="en-AU"/>
        </w:rPr>
        <w:t>1</w:t>
      </w:r>
      <w:r w:rsidR="000970FD">
        <w:rPr>
          <w:rFonts w:asciiTheme="majorHAnsi" w:hAnsiTheme="majorHAnsi" w:cs="Times New Roman"/>
          <w:lang w:val="en-AU"/>
        </w:rPr>
        <w:t>7</w:t>
      </w:r>
      <w:r w:rsidR="004C5BF4">
        <w:rPr>
          <w:rFonts w:asciiTheme="majorHAnsi" w:hAnsiTheme="majorHAnsi" w:cs="Times New Roman"/>
          <w:lang w:val="en-AU"/>
        </w:rPr>
        <w:t>.</w:t>
      </w:r>
      <w:r w:rsidR="004C5BF4">
        <w:rPr>
          <w:rFonts w:asciiTheme="majorHAnsi" w:hAnsiTheme="majorHAnsi" w:cs="Times New Roman"/>
          <w:lang w:val="en-AU"/>
        </w:rPr>
        <w:tab/>
      </w:r>
      <w:r w:rsidR="009E6950">
        <w:rPr>
          <w:rFonts w:asciiTheme="majorHAnsi" w:hAnsiTheme="majorHAnsi" w:cs="Times New Roman"/>
          <w:lang w:val="en-AU"/>
        </w:rPr>
        <w:t>In response, t</w:t>
      </w:r>
      <w:r w:rsidR="00C64326" w:rsidRPr="00C64326">
        <w:rPr>
          <w:rFonts w:asciiTheme="majorHAnsi" w:hAnsiTheme="majorHAnsi" w:cs="Times New Roman"/>
          <w:lang w:val="en-AU"/>
        </w:rPr>
        <w:t xml:space="preserve">he </w:t>
      </w:r>
      <w:r w:rsidR="00534BD3">
        <w:rPr>
          <w:rFonts w:asciiTheme="majorHAnsi" w:hAnsiTheme="majorHAnsi" w:cs="Times New Roman"/>
          <w:lang w:val="en-AU"/>
        </w:rPr>
        <w:t xml:space="preserve">CEPA Oversight Panel </w:t>
      </w:r>
      <w:r w:rsidR="009E6950">
        <w:rPr>
          <w:rFonts w:asciiTheme="majorHAnsi" w:hAnsiTheme="majorHAnsi" w:cs="Times New Roman"/>
          <w:lang w:val="en-AU"/>
        </w:rPr>
        <w:t xml:space="preserve">undertook a survey </w:t>
      </w:r>
      <w:r w:rsidR="00FB61F0">
        <w:t>in late</w:t>
      </w:r>
      <w:r w:rsidR="009E6950">
        <w:t xml:space="preserve"> 2019 in the context of considering a new approach to CEPA, to get input about priorities for change, and what elements of the existing CEPA Programme should be retained. Results of the survey are presented in </w:t>
      </w:r>
      <w:r w:rsidR="009E6950" w:rsidRPr="00EF3827">
        <w:rPr>
          <w:b/>
        </w:rPr>
        <w:t xml:space="preserve">Annex </w:t>
      </w:r>
      <w:r w:rsidR="00C84870">
        <w:rPr>
          <w:b/>
        </w:rPr>
        <w:t>B</w:t>
      </w:r>
      <w:r w:rsidR="009E6950">
        <w:t>.</w:t>
      </w:r>
    </w:p>
    <w:p w14:paraId="39C0B0FB" w14:textId="30525ABC" w:rsidR="009E6950" w:rsidRDefault="009E6950" w:rsidP="00354FE0">
      <w:pPr>
        <w:pStyle w:val="BodyText"/>
        <w:widowControl/>
        <w:ind w:left="425" w:hanging="425"/>
      </w:pPr>
    </w:p>
    <w:p w14:paraId="21787341" w14:textId="3994FDA1" w:rsidR="009E6950" w:rsidRDefault="008D5F2E" w:rsidP="00354FE0">
      <w:pPr>
        <w:pStyle w:val="NoSpacing"/>
      </w:pPr>
      <w:r>
        <w:t>1</w:t>
      </w:r>
      <w:r w:rsidR="000970FD">
        <w:t>8</w:t>
      </w:r>
      <w:r w:rsidR="009E6950">
        <w:t>.</w:t>
      </w:r>
      <w:r w:rsidR="009E6950">
        <w:tab/>
        <w:t>The CEPA Oversight Panel has discussed the findings of the survey in the context of Resolution XIII.5 and the advice provided to COP13 by the former Oversight Panel, and synthesi</w:t>
      </w:r>
      <w:r w:rsidR="005E0B7A">
        <w:t>z</w:t>
      </w:r>
      <w:r w:rsidR="009E6950">
        <w:t>ed these points into a set of broad recommendations</w:t>
      </w:r>
      <w:r w:rsidR="00535F78">
        <w:t xml:space="preserve"> to</w:t>
      </w:r>
      <w:r w:rsidR="009E6950">
        <w:t xml:space="preserve"> shape the new CEPA progra</w:t>
      </w:r>
      <w:r w:rsidR="003474AE">
        <w:t>mme. These recommendations are:</w:t>
      </w:r>
    </w:p>
    <w:p w14:paraId="64502393" w14:textId="7171B71C" w:rsidR="009E6950" w:rsidRDefault="009E6950" w:rsidP="00A4794E">
      <w:pPr>
        <w:pStyle w:val="NoSpacing"/>
      </w:pPr>
    </w:p>
    <w:p w14:paraId="3DE1EFED" w14:textId="73E552F3" w:rsidR="0030613E" w:rsidRDefault="009E6950" w:rsidP="00A4794E">
      <w:pPr>
        <w:pStyle w:val="NoSpacing"/>
        <w:ind w:left="850"/>
      </w:pPr>
      <w:r>
        <w:t>1.</w:t>
      </w:r>
      <w:r w:rsidR="00354FE0">
        <w:tab/>
      </w:r>
      <w:r>
        <w:t>A reduced set of activities clearly linked to the Strategic Plan</w:t>
      </w:r>
      <w:r w:rsidR="00905B43">
        <w:t>.</w:t>
      </w:r>
    </w:p>
    <w:p w14:paraId="5D15081E" w14:textId="6D186B96" w:rsidR="0030613E" w:rsidRDefault="009E6950" w:rsidP="00905B43">
      <w:pPr>
        <w:pStyle w:val="NoSpacing"/>
        <w:ind w:left="1276"/>
      </w:pPr>
      <w:r>
        <w:t xml:space="preserve"> </w:t>
      </w:r>
      <w:r w:rsidR="00905B43">
        <w:t>-</w:t>
      </w:r>
      <w:r w:rsidR="00905B43">
        <w:tab/>
      </w:r>
      <w:r>
        <w:t>The effort should be focused on a smaller number of high-pr</w:t>
      </w:r>
      <w:r w:rsidR="003474AE">
        <w:t>iority activities.</w:t>
      </w:r>
    </w:p>
    <w:p w14:paraId="280BE47F" w14:textId="7206C7EF" w:rsidR="0030613E" w:rsidRDefault="0030613E" w:rsidP="00905B43">
      <w:pPr>
        <w:pStyle w:val="NoSpacing"/>
        <w:ind w:left="1276"/>
      </w:pPr>
      <w:r>
        <w:t xml:space="preserve"> </w:t>
      </w:r>
      <w:r w:rsidR="00905B43">
        <w:t>-</w:t>
      </w:r>
      <w:r w:rsidR="00905B43">
        <w:tab/>
      </w:r>
      <w:r w:rsidR="009E6950">
        <w:t xml:space="preserve">CEPA activities should be incorporated into the Strategic Plan, but with a separate CEPA document providing </w:t>
      </w:r>
      <w:r w:rsidR="003474AE">
        <w:t>supporting guidance, as needed.</w:t>
      </w:r>
    </w:p>
    <w:p w14:paraId="7C06DE93" w14:textId="77777777" w:rsidR="0030613E" w:rsidRDefault="0030613E" w:rsidP="003474AE">
      <w:pPr>
        <w:pStyle w:val="NoSpacing"/>
      </w:pPr>
    </w:p>
    <w:p w14:paraId="3E483D75" w14:textId="35D1DA49" w:rsidR="0030613E" w:rsidRDefault="009E6950" w:rsidP="00A4794E">
      <w:pPr>
        <w:pStyle w:val="NoSpacing"/>
        <w:ind w:left="850"/>
      </w:pPr>
      <w:r>
        <w:t>2.</w:t>
      </w:r>
      <w:r w:rsidR="00354FE0">
        <w:tab/>
      </w:r>
      <w:r>
        <w:t>Make CEPA more strategic, integrated and effective</w:t>
      </w:r>
      <w:r w:rsidR="00905B43">
        <w:t>.</w:t>
      </w:r>
    </w:p>
    <w:p w14:paraId="36901F38" w14:textId="68810DCC" w:rsidR="0030613E" w:rsidRDefault="00905B43" w:rsidP="00905B43">
      <w:pPr>
        <w:pStyle w:val="NoSpacing"/>
        <w:ind w:left="1276"/>
      </w:pPr>
      <w:r>
        <w:t>-</w:t>
      </w:r>
      <w:r>
        <w:tab/>
      </w:r>
      <w:r w:rsidR="009E6950">
        <w:t>The CEPA Programme would better support and strengthen the Strategic Plan if integrated into it. The next Strategic Plan should include both stand-alone CEPA</w:t>
      </w:r>
      <w:r w:rsidR="003474AE">
        <w:t xml:space="preserve"> activities, and CEPA elements.</w:t>
      </w:r>
    </w:p>
    <w:p w14:paraId="05C00A88" w14:textId="1DE3EB82" w:rsidR="0030613E" w:rsidRDefault="00905B43" w:rsidP="00905B43">
      <w:pPr>
        <w:pStyle w:val="NoSpacing"/>
        <w:ind w:left="1276"/>
      </w:pPr>
      <w:r>
        <w:t>-</w:t>
      </w:r>
      <w:r>
        <w:tab/>
      </w:r>
      <w:r w:rsidR="009E6950">
        <w:t>In general, CEPA activities and CEPA elements should be integrated in planning and activities of the Convention (locally, nationally, inte</w:t>
      </w:r>
      <w:r w:rsidR="003474AE">
        <w:t>rnationally) where appropriate.</w:t>
      </w:r>
    </w:p>
    <w:p w14:paraId="0FD4C5BA" w14:textId="77777777" w:rsidR="0030613E" w:rsidRDefault="0030613E" w:rsidP="003474AE">
      <w:pPr>
        <w:pStyle w:val="NoSpacing"/>
      </w:pPr>
    </w:p>
    <w:p w14:paraId="76F1066B" w14:textId="57669AD2" w:rsidR="0030613E" w:rsidRDefault="009E6950" w:rsidP="00A4794E">
      <w:pPr>
        <w:pStyle w:val="NoSpacing"/>
        <w:ind w:left="850"/>
      </w:pPr>
      <w:r>
        <w:t>3.</w:t>
      </w:r>
      <w:r w:rsidR="00354FE0">
        <w:tab/>
      </w:r>
      <w:r>
        <w:t>Work to support focal points, and build more networks and partnerships</w:t>
      </w:r>
      <w:r w:rsidR="00905B43">
        <w:t>.</w:t>
      </w:r>
    </w:p>
    <w:p w14:paraId="3BCDCC1D" w14:textId="6D7C9C64" w:rsidR="0030613E" w:rsidRDefault="009E6950" w:rsidP="00354FE0">
      <w:pPr>
        <w:pStyle w:val="NoSpacing"/>
        <w:ind w:left="1276"/>
      </w:pPr>
      <w:r>
        <w:t>-</w:t>
      </w:r>
      <w:r w:rsidR="00354FE0">
        <w:tab/>
      </w:r>
      <w:r>
        <w:t>National Focal Points and CEPA National Focal Points are considered important to ensure a coordinated and strategic national approach to Ramsar implementation. Contracting Parties should ensure that the Focal Points are informed about their responsibilities. The CEPA Focal Points should be recognized as the key implementers of CEPA and should be provided with adequate tools and trainin</w:t>
      </w:r>
      <w:r w:rsidR="00C10DA4">
        <w:t>g opportunities when necessary.</w:t>
      </w:r>
    </w:p>
    <w:p w14:paraId="13BB8449" w14:textId="55D47B99" w:rsidR="0030613E" w:rsidRDefault="009E6950" w:rsidP="00354FE0">
      <w:pPr>
        <w:pStyle w:val="NoSpacing"/>
        <w:ind w:left="1276"/>
      </w:pPr>
      <w:r>
        <w:t>-</w:t>
      </w:r>
      <w:r w:rsidR="00354FE0">
        <w:tab/>
      </w:r>
      <w:r>
        <w:t>Encourage Contracting Parties with similar CEPA needs to co-operate on CEPA activities. Such co-operation can include exchange of experiences of CEPA campaigns as well as working cooperatively to produce communication material and translating them into languages as needed by the Contracting Parties involved. Contracting Parties should also be encouraged to coordinate with the</w:t>
      </w:r>
      <w:r w:rsidR="00C10DA4">
        <w:t>ir focal points for other MEAs.</w:t>
      </w:r>
    </w:p>
    <w:p w14:paraId="61C36B1F" w14:textId="3A500024" w:rsidR="0030613E" w:rsidRDefault="009E6950" w:rsidP="00354FE0">
      <w:pPr>
        <w:pStyle w:val="NoSpacing"/>
        <w:ind w:left="1276"/>
      </w:pPr>
      <w:r>
        <w:t>-</w:t>
      </w:r>
      <w:r w:rsidR="00354FE0">
        <w:tab/>
      </w:r>
      <w:r>
        <w:t>The Secretariat should seek opportunities to build networks and partnerships at the international level, including with other MEAs, in order to identify opportunities for common or complementary CEPA activities and to bring relevant tools, resources, and prac</w:t>
      </w:r>
      <w:r w:rsidR="00C10DA4">
        <w:t>tices to Contracting Parties.</w:t>
      </w:r>
    </w:p>
    <w:p w14:paraId="1F7A579B" w14:textId="64EF7D80" w:rsidR="0030613E" w:rsidRDefault="009E6950" w:rsidP="00354FE0">
      <w:pPr>
        <w:pStyle w:val="NoSpacing"/>
        <w:ind w:left="1276"/>
      </w:pPr>
      <w:r>
        <w:t>-</w:t>
      </w:r>
      <w:r w:rsidR="00354FE0">
        <w:tab/>
      </w:r>
      <w:r>
        <w:t>The Contracting Parties should increase engagement with other sectors, consistent with priorities identified in the strategic plan at the national level. Messaging should be tailored to emphasize themes that matter to the t</w:t>
      </w:r>
      <w:r w:rsidR="00C10DA4">
        <w:t>arget audience.</w:t>
      </w:r>
    </w:p>
    <w:p w14:paraId="6BE1017F" w14:textId="77777777" w:rsidR="0030613E" w:rsidRDefault="0030613E" w:rsidP="00C10DA4">
      <w:pPr>
        <w:pStyle w:val="NoSpacing"/>
      </w:pPr>
    </w:p>
    <w:p w14:paraId="203859E0" w14:textId="3ABC27B2" w:rsidR="00741D51" w:rsidRDefault="009E6950" w:rsidP="00A4794E">
      <w:pPr>
        <w:pStyle w:val="NoSpacing"/>
        <w:ind w:left="850"/>
      </w:pPr>
      <w:r>
        <w:t>4.</w:t>
      </w:r>
      <w:r w:rsidR="00354FE0">
        <w:tab/>
      </w:r>
      <w:r>
        <w:t>Strategic support</w:t>
      </w:r>
      <w:r w:rsidR="00741D51">
        <w:t xml:space="preserve"> by the Secretariat.</w:t>
      </w:r>
    </w:p>
    <w:p w14:paraId="4442CFBC" w14:textId="0CDD9E1D" w:rsidR="0030613E" w:rsidRDefault="009E6950" w:rsidP="00741D51">
      <w:pPr>
        <w:pStyle w:val="NoSpacing"/>
        <w:ind w:left="1276"/>
      </w:pPr>
      <w:r>
        <w:t>-</w:t>
      </w:r>
      <w:r w:rsidR="00741D51">
        <w:tab/>
      </w:r>
      <w:r>
        <w:t>The Secretariat to provide advice and information to Contracting Parties, for example introduction materials about Ramsar CEPA work for new CEPA NFPs and CEPA NGO FPs and sharing good</w:t>
      </w:r>
      <w:r w:rsidR="00C10DA4">
        <w:t xml:space="preserve"> examples from other countries.</w:t>
      </w:r>
    </w:p>
    <w:p w14:paraId="6A4A7AB9" w14:textId="245FFFDD" w:rsidR="0030613E" w:rsidRDefault="009E6950" w:rsidP="00354FE0">
      <w:pPr>
        <w:pStyle w:val="NoSpacing"/>
        <w:ind w:left="1276"/>
      </w:pPr>
      <w:r>
        <w:t>-</w:t>
      </w:r>
      <w:r w:rsidR="00354FE0">
        <w:tab/>
      </w:r>
      <w:r>
        <w:t>The Secretariat to revise the handbook on Wetland CEPA from 2010. The revised version probably needs to reflect the new CEPA approach, include other changes in the Convention since 2010, and include new content on social media, how to enhance networking e</w:t>
      </w:r>
      <w:r w:rsidR="00C10DA4">
        <w:t>tc.</w:t>
      </w:r>
    </w:p>
    <w:p w14:paraId="3F8F8E9B" w14:textId="4A24BD7B" w:rsidR="0030613E" w:rsidRDefault="009E6950" w:rsidP="00354FE0">
      <w:pPr>
        <w:pStyle w:val="NoSpacing"/>
        <w:ind w:left="1276"/>
      </w:pPr>
      <w:r>
        <w:t>-</w:t>
      </w:r>
      <w:r w:rsidR="00354FE0">
        <w:tab/>
      </w:r>
      <w:r>
        <w:t>The Secretariat to provide opportunities for the CEPA NFPs to learn more about CEPA tools. This can take place in conjunction with other relevant meeting, such as COPs or regional meetings as appropr</w:t>
      </w:r>
      <w:r w:rsidR="00C10DA4">
        <w:t>iate, or via on-line resources.</w:t>
      </w:r>
    </w:p>
    <w:p w14:paraId="44712C9C" w14:textId="77777777" w:rsidR="008D5F2E" w:rsidRDefault="008D5F2E" w:rsidP="00C10DA4">
      <w:pPr>
        <w:pStyle w:val="NoSpacing"/>
      </w:pPr>
    </w:p>
    <w:p w14:paraId="7942FFD3" w14:textId="434B0FF7" w:rsidR="0030613E" w:rsidRDefault="009E6950" w:rsidP="00DD3949">
      <w:pPr>
        <w:pStyle w:val="NoSpacing"/>
        <w:keepNext/>
        <w:ind w:left="850"/>
      </w:pPr>
      <w:r>
        <w:lastRenderedPageBreak/>
        <w:t>5.</w:t>
      </w:r>
      <w:r w:rsidR="00354FE0">
        <w:tab/>
      </w:r>
      <w:r>
        <w:t>More efficient governance</w:t>
      </w:r>
      <w:r w:rsidR="00C10DA4">
        <w:t xml:space="preserve"> of the Ramsar global CEPA work</w:t>
      </w:r>
      <w:r w:rsidR="00741D51">
        <w:t>.</w:t>
      </w:r>
    </w:p>
    <w:p w14:paraId="056F6EFF" w14:textId="003E8CB8" w:rsidR="0030613E" w:rsidRDefault="009E6950" w:rsidP="00354FE0">
      <w:pPr>
        <w:pStyle w:val="NoSpacing"/>
        <w:ind w:left="1276"/>
      </w:pPr>
      <w:r>
        <w:t>-</w:t>
      </w:r>
      <w:r w:rsidR="00354FE0">
        <w:tab/>
      </w:r>
      <w:r>
        <w:t>Better described work task (separating what may be mandatory and what may be voluntary) for t</w:t>
      </w:r>
      <w:r w:rsidR="00C10DA4">
        <w:t>he Ramsar CEPA working group/-s</w:t>
      </w:r>
    </w:p>
    <w:p w14:paraId="28D109BF" w14:textId="224303F9" w:rsidR="0030613E" w:rsidRDefault="009E6950" w:rsidP="00354FE0">
      <w:pPr>
        <w:pStyle w:val="NoSpacing"/>
        <w:ind w:left="1276"/>
      </w:pPr>
      <w:r>
        <w:t>-</w:t>
      </w:r>
      <w:r w:rsidR="00354FE0">
        <w:tab/>
      </w:r>
      <w:r>
        <w:t>Better way of composing and establishing the Ramsar CEPA working group/-s - Modus operandi f</w:t>
      </w:r>
      <w:r w:rsidR="00C10DA4">
        <w:t>or Ramsar CEPA working group/-s</w:t>
      </w:r>
    </w:p>
    <w:p w14:paraId="7E467817" w14:textId="4D51A504" w:rsidR="009E6950" w:rsidRDefault="009E6950" w:rsidP="00354FE0">
      <w:pPr>
        <w:pStyle w:val="NoSpacing"/>
        <w:ind w:left="1276"/>
      </w:pPr>
      <w:r>
        <w:t>-</w:t>
      </w:r>
      <w:r w:rsidR="00354FE0">
        <w:tab/>
      </w:r>
      <w:r>
        <w:t>Better sharing of workload, also engaging more Contracting Parties</w:t>
      </w:r>
    </w:p>
    <w:p w14:paraId="31F3550C" w14:textId="77777777" w:rsidR="004C5BF4" w:rsidRDefault="004C5BF4" w:rsidP="00A4794E">
      <w:pPr>
        <w:pStyle w:val="BodyText"/>
        <w:widowControl/>
        <w:tabs>
          <w:tab w:val="left" w:pos="544"/>
        </w:tabs>
        <w:ind w:left="0" w:firstLine="0"/>
        <w:rPr>
          <w:rFonts w:asciiTheme="majorHAnsi" w:hAnsiTheme="majorHAnsi" w:cs="Times New Roman"/>
          <w:lang w:val="en-AU"/>
        </w:rPr>
      </w:pPr>
    </w:p>
    <w:p w14:paraId="5F55400E" w14:textId="438B0465" w:rsidR="004C5BF4" w:rsidRPr="00C64326" w:rsidRDefault="008D5F2E" w:rsidP="00A4794E">
      <w:pPr>
        <w:pStyle w:val="BodyText"/>
        <w:widowControl/>
        <w:tabs>
          <w:tab w:val="left" w:pos="544"/>
        </w:tabs>
        <w:ind w:left="425" w:hanging="425"/>
        <w:rPr>
          <w:rFonts w:asciiTheme="majorHAnsi" w:hAnsiTheme="majorHAnsi" w:cs="Times New Roman"/>
          <w:lang w:val="en-AU"/>
        </w:rPr>
      </w:pPr>
      <w:r>
        <w:rPr>
          <w:rFonts w:asciiTheme="majorHAnsi" w:hAnsiTheme="majorHAnsi" w:cs="Times New Roman"/>
          <w:lang w:val="en-AU"/>
        </w:rPr>
        <w:t>1</w:t>
      </w:r>
      <w:r w:rsidR="000970FD">
        <w:rPr>
          <w:rFonts w:asciiTheme="majorHAnsi" w:hAnsiTheme="majorHAnsi" w:cs="Times New Roman"/>
          <w:lang w:val="en-AU"/>
        </w:rPr>
        <w:t>9</w:t>
      </w:r>
      <w:r w:rsidR="004C5BF4">
        <w:rPr>
          <w:rFonts w:asciiTheme="majorHAnsi" w:hAnsiTheme="majorHAnsi" w:cs="Times New Roman"/>
          <w:lang w:val="en-AU"/>
        </w:rPr>
        <w:t>.</w:t>
      </w:r>
      <w:r w:rsidR="004C5BF4">
        <w:rPr>
          <w:rFonts w:asciiTheme="majorHAnsi" w:hAnsiTheme="majorHAnsi" w:cs="Times New Roman"/>
          <w:lang w:val="en-AU"/>
        </w:rPr>
        <w:tab/>
      </w:r>
      <w:r w:rsidR="00C64326" w:rsidRPr="00C64326">
        <w:rPr>
          <w:rFonts w:asciiTheme="majorHAnsi" w:hAnsiTheme="majorHAnsi" w:cs="Times New Roman"/>
          <w:lang w:val="en-AU"/>
        </w:rPr>
        <w:t>Th</w:t>
      </w:r>
      <w:r w:rsidR="009E6950">
        <w:rPr>
          <w:rFonts w:asciiTheme="majorHAnsi" w:hAnsiTheme="majorHAnsi" w:cs="Times New Roman"/>
          <w:lang w:val="en-AU"/>
        </w:rPr>
        <w:t>ese recommendations have been incorporated into a draft resolution on the new CEPA approach (COP14.</w:t>
      </w:r>
      <w:r w:rsidR="00741D51">
        <w:rPr>
          <w:rFonts w:asciiTheme="majorHAnsi" w:hAnsiTheme="majorHAnsi" w:cs="Times New Roman"/>
          <w:lang w:val="en-AU"/>
        </w:rPr>
        <w:t>D</w:t>
      </w:r>
      <w:r w:rsidR="009E6950">
        <w:rPr>
          <w:rFonts w:asciiTheme="majorHAnsi" w:hAnsiTheme="majorHAnsi" w:cs="Times New Roman"/>
          <w:lang w:val="en-AU"/>
        </w:rPr>
        <w:t>oc.18.10) for consideration by the COP.</w:t>
      </w:r>
    </w:p>
    <w:p w14:paraId="095660C6" w14:textId="78A60E90" w:rsidR="00C64326" w:rsidRPr="007D0D4B" w:rsidRDefault="00C64326" w:rsidP="004C3670">
      <w:pPr>
        <w:rPr>
          <w:rFonts w:asciiTheme="majorHAnsi" w:eastAsia="Calibri" w:hAnsiTheme="majorHAnsi"/>
          <w:sz w:val="22"/>
          <w:szCs w:val="22"/>
        </w:rPr>
      </w:pPr>
      <w:r w:rsidRPr="007D0D4B">
        <w:rPr>
          <w:rFonts w:asciiTheme="majorHAnsi" w:hAnsiTheme="majorHAnsi"/>
          <w:sz w:val="22"/>
          <w:szCs w:val="22"/>
        </w:rPr>
        <w:br w:type="page"/>
      </w:r>
    </w:p>
    <w:p w14:paraId="1874589C" w14:textId="372CE672" w:rsidR="00C64326" w:rsidRPr="00E32C50" w:rsidRDefault="00E32C50" w:rsidP="00E32C50">
      <w:pPr>
        <w:rPr>
          <w:rFonts w:asciiTheme="majorHAnsi" w:hAnsiTheme="majorHAnsi"/>
          <w:b/>
        </w:rPr>
      </w:pPr>
      <w:r w:rsidRPr="00E32C50">
        <w:rPr>
          <w:rFonts w:asciiTheme="majorHAnsi" w:hAnsiTheme="majorHAnsi"/>
          <w:b/>
        </w:rPr>
        <w:lastRenderedPageBreak/>
        <w:t xml:space="preserve">Annex </w:t>
      </w:r>
      <w:r w:rsidR="00C64326" w:rsidRPr="00E32C50">
        <w:rPr>
          <w:rFonts w:asciiTheme="majorHAnsi" w:hAnsiTheme="majorHAnsi"/>
          <w:b/>
        </w:rPr>
        <w:t>A</w:t>
      </w:r>
    </w:p>
    <w:p w14:paraId="42781178" w14:textId="4F4A3D80" w:rsidR="00C64326" w:rsidRDefault="00C64326" w:rsidP="00E32C50">
      <w:pPr>
        <w:rPr>
          <w:rFonts w:asciiTheme="majorHAnsi" w:hAnsiTheme="majorHAnsi"/>
          <w:b/>
        </w:rPr>
      </w:pPr>
      <w:r w:rsidRPr="00E32C50">
        <w:rPr>
          <w:rFonts w:asciiTheme="majorHAnsi" w:hAnsiTheme="majorHAnsi"/>
          <w:b/>
        </w:rPr>
        <w:t xml:space="preserve">Campaigns, programmes and projects by Contracting Parties </w:t>
      </w:r>
      <w:r w:rsidR="00E32C50" w:rsidRPr="00E32C50">
        <w:rPr>
          <w:rFonts w:asciiTheme="majorHAnsi" w:hAnsiTheme="majorHAnsi"/>
          <w:b/>
        </w:rPr>
        <w:t xml:space="preserve">relating to wetland CEPA </w:t>
      </w:r>
      <w:r w:rsidRPr="00E32C50">
        <w:rPr>
          <w:rFonts w:asciiTheme="majorHAnsi" w:hAnsiTheme="majorHAnsi"/>
          <w:b/>
        </w:rPr>
        <w:t xml:space="preserve">during the </w:t>
      </w:r>
      <w:r w:rsidR="00542AE9">
        <w:rPr>
          <w:rFonts w:asciiTheme="majorHAnsi" w:hAnsiTheme="majorHAnsi"/>
          <w:b/>
        </w:rPr>
        <w:t>2018-2022 reporting period</w:t>
      </w:r>
    </w:p>
    <w:p w14:paraId="33F5EBD1" w14:textId="42ED617C" w:rsidR="00F252BE" w:rsidRDefault="00F252BE" w:rsidP="00E32C50">
      <w:pPr>
        <w:rPr>
          <w:rFonts w:asciiTheme="majorHAnsi" w:hAnsiTheme="majorHAnsi"/>
          <w:b/>
        </w:rPr>
      </w:pPr>
    </w:p>
    <w:p w14:paraId="27C1AA50" w14:textId="77777777" w:rsidR="00F252BE" w:rsidRPr="00E32C50" w:rsidRDefault="00F252BE" w:rsidP="00E32C50">
      <w:pPr>
        <w:rPr>
          <w:rFonts w:asciiTheme="majorHAnsi" w:hAnsiTheme="majorHAnsi"/>
          <w:b/>
        </w:rPr>
      </w:pPr>
    </w:p>
    <w:p w14:paraId="0B5020EF" w14:textId="77777777" w:rsidR="00542AE9" w:rsidRPr="006053B2" w:rsidRDefault="00542AE9" w:rsidP="006053B2">
      <w:pPr>
        <w:numPr>
          <w:ilvl w:val="0"/>
          <w:numId w:val="1"/>
        </w:numPr>
        <w:ind w:left="426" w:hanging="426"/>
        <w:rPr>
          <w:rFonts w:asciiTheme="majorHAnsi" w:hAnsiTheme="majorHAnsi" w:cstheme="majorHAnsi"/>
          <w:sz w:val="22"/>
          <w:szCs w:val="22"/>
        </w:rPr>
      </w:pPr>
      <w:r w:rsidRPr="006053B2">
        <w:rPr>
          <w:rFonts w:asciiTheme="majorHAnsi" w:hAnsiTheme="majorHAnsi" w:cstheme="majorHAnsi"/>
          <w:sz w:val="22"/>
          <w:szCs w:val="22"/>
        </w:rPr>
        <w:t>In Albania, the results of the International Wintering Waterfowl Census are presented to celebrate World Wetlands Day.</w:t>
      </w:r>
    </w:p>
    <w:p w14:paraId="1C0C16D1" w14:textId="77777777" w:rsidR="00542AE9" w:rsidRPr="006053B2" w:rsidRDefault="00542AE9" w:rsidP="006053B2">
      <w:pPr>
        <w:ind w:left="426" w:hanging="426"/>
        <w:rPr>
          <w:rFonts w:asciiTheme="majorHAnsi" w:hAnsiTheme="majorHAnsi" w:cstheme="majorHAnsi"/>
          <w:sz w:val="22"/>
          <w:szCs w:val="22"/>
        </w:rPr>
      </w:pPr>
    </w:p>
    <w:p w14:paraId="16D406ED" w14:textId="5E62FE05" w:rsidR="00542AE9" w:rsidRPr="006053B2" w:rsidRDefault="00542AE9" w:rsidP="006053B2">
      <w:pPr>
        <w:numPr>
          <w:ilvl w:val="0"/>
          <w:numId w:val="1"/>
        </w:numPr>
        <w:ind w:left="426" w:hanging="426"/>
        <w:rPr>
          <w:rFonts w:asciiTheme="majorHAnsi" w:hAnsiTheme="majorHAnsi" w:cstheme="majorHAnsi"/>
          <w:sz w:val="22"/>
          <w:szCs w:val="22"/>
        </w:rPr>
      </w:pPr>
      <w:r w:rsidRPr="006053B2">
        <w:rPr>
          <w:rFonts w:asciiTheme="majorHAnsi" w:hAnsiTheme="majorHAnsi" w:cstheme="majorHAnsi"/>
          <w:sz w:val="22"/>
          <w:szCs w:val="22"/>
        </w:rPr>
        <w:t xml:space="preserve">In Algeria, programmes are carried out to raise public awareness on the benefits of wetlands throughout the year in arid regions, through activities such as blue classes, educational visits, conferences and field trips </w:t>
      </w:r>
      <w:r w:rsidR="005E0B7A" w:rsidRPr="006053B2">
        <w:rPr>
          <w:rFonts w:asciiTheme="majorHAnsi" w:hAnsiTheme="majorHAnsi" w:cstheme="majorHAnsi"/>
          <w:sz w:val="22"/>
          <w:szCs w:val="22"/>
        </w:rPr>
        <w:t>organi</w:t>
      </w:r>
      <w:r w:rsidR="005E0B7A">
        <w:rPr>
          <w:rFonts w:asciiTheme="majorHAnsi" w:hAnsiTheme="majorHAnsi" w:cstheme="majorHAnsi"/>
          <w:sz w:val="22"/>
          <w:szCs w:val="22"/>
        </w:rPr>
        <w:t>z</w:t>
      </w:r>
      <w:r w:rsidR="005E0B7A" w:rsidRPr="006053B2">
        <w:rPr>
          <w:rFonts w:asciiTheme="majorHAnsi" w:hAnsiTheme="majorHAnsi" w:cstheme="majorHAnsi"/>
          <w:sz w:val="22"/>
          <w:szCs w:val="22"/>
        </w:rPr>
        <w:t xml:space="preserve">ed </w:t>
      </w:r>
      <w:r w:rsidRPr="006053B2">
        <w:rPr>
          <w:rFonts w:asciiTheme="majorHAnsi" w:hAnsiTheme="majorHAnsi" w:cstheme="majorHAnsi"/>
          <w:sz w:val="22"/>
          <w:szCs w:val="22"/>
        </w:rPr>
        <w:t xml:space="preserve">by universities and research centres. </w:t>
      </w:r>
    </w:p>
    <w:p w14:paraId="5F1A7203" w14:textId="77777777" w:rsidR="00542AE9" w:rsidRPr="006053B2" w:rsidRDefault="00542AE9" w:rsidP="006053B2">
      <w:pPr>
        <w:ind w:left="426" w:hanging="426"/>
        <w:rPr>
          <w:rFonts w:asciiTheme="majorHAnsi" w:hAnsiTheme="majorHAnsi" w:cstheme="majorHAnsi"/>
          <w:sz w:val="22"/>
          <w:szCs w:val="22"/>
        </w:rPr>
      </w:pPr>
    </w:p>
    <w:p w14:paraId="1494B49C" w14:textId="77777777" w:rsidR="00542AE9" w:rsidRPr="006053B2" w:rsidRDefault="00542AE9" w:rsidP="006053B2">
      <w:pPr>
        <w:numPr>
          <w:ilvl w:val="0"/>
          <w:numId w:val="1"/>
        </w:numPr>
        <w:ind w:left="426" w:hanging="426"/>
        <w:rPr>
          <w:rFonts w:asciiTheme="majorHAnsi" w:hAnsiTheme="majorHAnsi" w:cstheme="majorHAnsi"/>
          <w:sz w:val="22"/>
          <w:szCs w:val="22"/>
        </w:rPr>
      </w:pPr>
      <w:r w:rsidRPr="006053B2">
        <w:rPr>
          <w:rFonts w:asciiTheme="majorHAnsi" w:hAnsiTheme="majorHAnsi" w:cstheme="majorHAnsi"/>
          <w:sz w:val="22"/>
          <w:szCs w:val="22"/>
        </w:rPr>
        <w:t>In Antigua and Barbuda, World Wetlands Day activities have included social media postings, interviews with local media outlets and facilitated field trips to wetlands around the islands.</w:t>
      </w:r>
    </w:p>
    <w:p w14:paraId="6A450D11" w14:textId="77777777" w:rsidR="00542AE9" w:rsidRPr="006053B2" w:rsidRDefault="00542AE9" w:rsidP="006053B2">
      <w:pPr>
        <w:ind w:left="426" w:hanging="426"/>
        <w:rPr>
          <w:rFonts w:asciiTheme="majorHAnsi" w:hAnsiTheme="majorHAnsi" w:cstheme="majorHAnsi"/>
          <w:sz w:val="22"/>
          <w:szCs w:val="22"/>
        </w:rPr>
      </w:pPr>
    </w:p>
    <w:p w14:paraId="73EB07F6" w14:textId="09E32668" w:rsidR="00542AE9" w:rsidRPr="006053B2" w:rsidRDefault="00542AE9" w:rsidP="006053B2">
      <w:pPr>
        <w:numPr>
          <w:ilvl w:val="0"/>
          <w:numId w:val="1"/>
        </w:numPr>
        <w:ind w:left="426" w:hanging="426"/>
        <w:rPr>
          <w:rFonts w:asciiTheme="majorHAnsi" w:hAnsiTheme="majorHAnsi" w:cstheme="majorHAnsi"/>
          <w:sz w:val="22"/>
          <w:szCs w:val="22"/>
        </w:rPr>
      </w:pPr>
      <w:r w:rsidRPr="006053B2">
        <w:rPr>
          <w:rFonts w:asciiTheme="majorHAnsi" w:hAnsiTheme="majorHAnsi" w:cstheme="majorHAnsi"/>
          <w:sz w:val="22"/>
          <w:szCs w:val="22"/>
        </w:rPr>
        <w:t xml:space="preserve">In Australia, World Wetlands Day activities annually focus on the theme carried out by state, territory and local governments, as well as a variety of community organizations. Australian Government activities included the publication of an annual online Wetlands Australia magazine supplemented by videos, fact sheets, brochures, displays and social media postings. </w:t>
      </w:r>
    </w:p>
    <w:p w14:paraId="20C1FD3E" w14:textId="3922D179" w:rsidR="00542AE9" w:rsidRPr="006053B2" w:rsidRDefault="00542AE9" w:rsidP="006053B2">
      <w:pPr>
        <w:ind w:left="426" w:hanging="426"/>
        <w:rPr>
          <w:rFonts w:asciiTheme="majorHAnsi" w:hAnsiTheme="majorHAnsi" w:cstheme="majorHAnsi"/>
          <w:sz w:val="22"/>
          <w:szCs w:val="22"/>
        </w:rPr>
      </w:pPr>
    </w:p>
    <w:p w14:paraId="4D1D00B3" w14:textId="77777777" w:rsidR="00542AE9" w:rsidRPr="006053B2" w:rsidRDefault="00542AE9" w:rsidP="006053B2">
      <w:pPr>
        <w:numPr>
          <w:ilvl w:val="0"/>
          <w:numId w:val="1"/>
        </w:numPr>
        <w:ind w:left="426" w:hanging="426"/>
        <w:rPr>
          <w:rFonts w:asciiTheme="majorHAnsi" w:hAnsiTheme="majorHAnsi" w:cstheme="majorHAnsi"/>
          <w:sz w:val="22"/>
          <w:szCs w:val="22"/>
        </w:rPr>
      </w:pPr>
      <w:r w:rsidRPr="006053B2">
        <w:rPr>
          <w:rFonts w:asciiTheme="majorHAnsi" w:hAnsiTheme="majorHAnsi" w:cstheme="majorHAnsi"/>
          <w:sz w:val="22"/>
          <w:szCs w:val="22"/>
        </w:rPr>
        <w:t>In Bangladesh, World Wetlands Day is celebrated by the MoEFCC, IUCN, NGOs and youth clubs. The Department of Environment, Forest Department and IUCN also observed other important days such as World Environment Day, World Migratory Bird Day and World Wildlife Day, to raise awareness on wetlands role in the conservation of wildlife and their habitats.</w:t>
      </w:r>
    </w:p>
    <w:p w14:paraId="6CB0B050" w14:textId="77777777" w:rsidR="00542AE9" w:rsidRPr="006053B2" w:rsidRDefault="00542AE9" w:rsidP="006053B2">
      <w:pPr>
        <w:ind w:left="426" w:hanging="426"/>
        <w:rPr>
          <w:rFonts w:asciiTheme="majorHAnsi" w:hAnsiTheme="majorHAnsi" w:cstheme="majorHAnsi"/>
          <w:sz w:val="22"/>
          <w:szCs w:val="22"/>
        </w:rPr>
      </w:pPr>
    </w:p>
    <w:p w14:paraId="5168CC5F" w14:textId="5CA47FC7" w:rsidR="00542AE9" w:rsidRPr="006053B2" w:rsidRDefault="00542AE9" w:rsidP="006053B2">
      <w:pPr>
        <w:numPr>
          <w:ilvl w:val="0"/>
          <w:numId w:val="1"/>
        </w:numPr>
        <w:ind w:left="426" w:hanging="426"/>
        <w:rPr>
          <w:rFonts w:asciiTheme="majorHAnsi" w:hAnsiTheme="majorHAnsi" w:cstheme="majorHAnsi"/>
          <w:sz w:val="22"/>
          <w:szCs w:val="22"/>
        </w:rPr>
      </w:pPr>
      <w:r w:rsidRPr="006053B2">
        <w:rPr>
          <w:rFonts w:asciiTheme="majorHAnsi" w:hAnsiTheme="majorHAnsi" w:cstheme="majorHAnsi"/>
          <w:sz w:val="22"/>
          <w:szCs w:val="22"/>
        </w:rPr>
        <w:t xml:space="preserve">In Belgium, the implementation of the Birds Directive has helped gain greater exposure on wetland conservation. Each year at the Ramsar site of </w:t>
      </w:r>
      <w:r w:rsidR="00D045E3">
        <w:rPr>
          <w:rFonts w:asciiTheme="majorHAnsi" w:hAnsiTheme="majorHAnsi" w:cstheme="majorHAnsi"/>
          <w:sz w:val="22"/>
          <w:szCs w:val="22"/>
        </w:rPr>
        <w:t>“</w:t>
      </w:r>
      <w:r w:rsidR="00D045E3" w:rsidRPr="006053B2">
        <w:rPr>
          <w:rFonts w:asciiTheme="majorHAnsi" w:hAnsiTheme="majorHAnsi" w:cstheme="majorHAnsi"/>
          <w:sz w:val="22"/>
          <w:szCs w:val="22"/>
        </w:rPr>
        <w:t xml:space="preserve">la </w:t>
      </w:r>
      <w:r w:rsidRPr="006053B2">
        <w:rPr>
          <w:rFonts w:asciiTheme="majorHAnsi" w:hAnsiTheme="majorHAnsi" w:cstheme="majorHAnsi"/>
          <w:sz w:val="22"/>
          <w:szCs w:val="22"/>
        </w:rPr>
        <w:t>Vallée de la Haute</w:t>
      </w:r>
      <w:r w:rsidR="00D045E3">
        <w:rPr>
          <w:rFonts w:asciiTheme="majorHAnsi" w:hAnsiTheme="majorHAnsi" w:cstheme="majorHAnsi"/>
          <w:sz w:val="22"/>
          <w:szCs w:val="22"/>
        </w:rPr>
        <w:t>-</w:t>
      </w:r>
      <w:r w:rsidRPr="006053B2">
        <w:rPr>
          <w:rFonts w:asciiTheme="majorHAnsi" w:hAnsiTheme="majorHAnsi" w:cstheme="majorHAnsi"/>
          <w:sz w:val="22"/>
          <w:szCs w:val="22"/>
        </w:rPr>
        <w:t>S</w:t>
      </w:r>
      <w:r w:rsidR="00D045E3">
        <w:rPr>
          <w:rFonts w:asciiTheme="majorHAnsi" w:hAnsiTheme="majorHAnsi" w:cstheme="majorHAnsi"/>
          <w:sz w:val="22"/>
          <w:szCs w:val="22"/>
        </w:rPr>
        <w:t>û</w:t>
      </w:r>
      <w:r w:rsidRPr="006053B2">
        <w:rPr>
          <w:rFonts w:asciiTheme="majorHAnsi" w:hAnsiTheme="majorHAnsi" w:cstheme="majorHAnsi"/>
          <w:sz w:val="22"/>
          <w:szCs w:val="22"/>
        </w:rPr>
        <w:t>re</w:t>
      </w:r>
      <w:r w:rsidR="00D045E3">
        <w:rPr>
          <w:rFonts w:asciiTheme="majorHAnsi" w:hAnsiTheme="majorHAnsi" w:cstheme="majorHAnsi"/>
          <w:sz w:val="22"/>
          <w:szCs w:val="22"/>
        </w:rPr>
        <w:t>”</w:t>
      </w:r>
      <w:r w:rsidR="00D045E3" w:rsidRPr="006053B2">
        <w:rPr>
          <w:rFonts w:asciiTheme="majorHAnsi" w:hAnsiTheme="majorHAnsi" w:cstheme="majorHAnsi"/>
          <w:sz w:val="22"/>
          <w:szCs w:val="22"/>
        </w:rPr>
        <w:t xml:space="preserve">, </w:t>
      </w:r>
      <w:r w:rsidRPr="006053B2">
        <w:rPr>
          <w:rFonts w:asciiTheme="majorHAnsi" w:hAnsiTheme="majorHAnsi" w:cstheme="majorHAnsi"/>
          <w:sz w:val="22"/>
          <w:szCs w:val="22"/>
        </w:rPr>
        <w:t xml:space="preserve">activities take place by the Parc Regional de la Vallée de la </w:t>
      </w:r>
      <w:r w:rsidR="00D045E3" w:rsidRPr="006053B2">
        <w:rPr>
          <w:rFonts w:asciiTheme="majorHAnsi" w:hAnsiTheme="majorHAnsi" w:cstheme="majorHAnsi"/>
          <w:sz w:val="22"/>
          <w:szCs w:val="22"/>
        </w:rPr>
        <w:t>Haute</w:t>
      </w:r>
      <w:r w:rsidR="00D045E3">
        <w:rPr>
          <w:rFonts w:asciiTheme="majorHAnsi" w:hAnsiTheme="majorHAnsi" w:cstheme="majorHAnsi"/>
          <w:sz w:val="22"/>
          <w:szCs w:val="22"/>
        </w:rPr>
        <w:t>-</w:t>
      </w:r>
      <w:r w:rsidR="00D045E3" w:rsidRPr="006053B2">
        <w:rPr>
          <w:rFonts w:asciiTheme="majorHAnsi" w:hAnsiTheme="majorHAnsi" w:cstheme="majorHAnsi"/>
          <w:sz w:val="22"/>
          <w:szCs w:val="22"/>
        </w:rPr>
        <w:t>S</w:t>
      </w:r>
      <w:r w:rsidR="00D045E3">
        <w:rPr>
          <w:rFonts w:asciiTheme="majorHAnsi" w:hAnsiTheme="majorHAnsi" w:cstheme="majorHAnsi"/>
          <w:sz w:val="22"/>
          <w:szCs w:val="22"/>
        </w:rPr>
        <w:t>û</w:t>
      </w:r>
      <w:r w:rsidR="00D045E3" w:rsidRPr="006053B2">
        <w:rPr>
          <w:rFonts w:asciiTheme="majorHAnsi" w:hAnsiTheme="majorHAnsi" w:cstheme="majorHAnsi"/>
          <w:sz w:val="22"/>
          <w:szCs w:val="22"/>
        </w:rPr>
        <w:t>re</w:t>
      </w:r>
      <w:r w:rsidR="00D045E3" w:rsidRPr="006053B2" w:rsidDel="00D045E3">
        <w:rPr>
          <w:rFonts w:asciiTheme="majorHAnsi" w:hAnsiTheme="majorHAnsi" w:cstheme="majorHAnsi"/>
          <w:sz w:val="22"/>
          <w:szCs w:val="22"/>
        </w:rPr>
        <w:t xml:space="preserve"> </w:t>
      </w:r>
      <w:r w:rsidRPr="006053B2">
        <w:rPr>
          <w:rFonts w:asciiTheme="majorHAnsi" w:hAnsiTheme="majorHAnsi" w:cstheme="majorHAnsi"/>
          <w:sz w:val="22"/>
          <w:szCs w:val="22"/>
        </w:rPr>
        <w:t xml:space="preserve">with similar events in the Flemish regions (such as guided tours) </w:t>
      </w:r>
      <w:r w:rsidR="00D045E3" w:rsidRPr="006053B2">
        <w:rPr>
          <w:rFonts w:asciiTheme="majorHAnsi" w:hAnsiTheme="majorHAnsi" w:cstheme="majorHAnsi"/>
          <w:sz w:val="22"/>
          <w:szCs w:val="22"/>
        </w:rPr>
        <w:t>organi</w:t>
      </w:r>
      <w:r w:rsidR="00D045E3">
        <w:rPr>
          <w:rFonts w:asciiTheme="majorHAnsi" w:hAnsiTheme="majorHAnsi" w:cstheme="majorHAnsi"/>
          <w:sz w:val="22"/>
          <w:szCs w:val="22"/>
        </w:rPr>
        <w:t>z</w:t>
      </w:r>
      <w:r w:rsidR="00D045E3" w:rsidRPr="006053B2">
        <w:rPr>
          <w:rFonts w:asciiTheme="majorHAnsi" w:hAnsiTheme="majorHAnsi" w:cstheme="majorHAnsi"/>
          <w:sz w:val="22"/>
          <w:szCs w:val="22"/>
        </w:rPr>
        <w:t xml:space="preserve">ed </w:t>
      </w:r>
      <w:r w:rsidRPr="006053B2">
        <w:rPr>
          <w:rFonts w:asciiTheme="majorHAnsi" w:hAnsiTheme="majorHAnsi" w:cstheme="majorHAnsi"/>
          <w:sz w:val="22"/>
          <w:szCs w:val="22"/>
        </w:rPr>
        <w:t xml:space="preserve">(sometimes by NGOs) related to water birds. </w:t>
      </w:r>
    </w:p>
    <w:p w14:paraId="3C753426" w14:textId="77777777" w:rsidR="00542AE9" w:rsidRPr="006053B2" w:rsidRDefault="00542AE9" w:rsidP="006053B2">
      <w:pPr>
        <w:ind w:left="426" w:hanging="426"/>
        <w:rPr>
          <w:rFonts w:asciiTheme="majorHAnsi" w:hAnsiTheme="majorHAnsi" w:cstheme="majorHAnsi"/>
          <w:sz w:val="22"/>
          <w:szCs w:val="22"/>
        </w:rPr>
      </w:pPr>
    </w:p>
    <w:p w14:paraId="775E7543" w14:textId="77777777" w:rsidR="00542AE9" w:rsidRPr="006053B2" w:rsidRDefault="00542AE9" w:rsidP="006053B2">
      <w:pPr>
        <w:numPr>
          <w:ilvl w:val="0"/>
          <w:numId w:val="1"/>
        </w:numPr>
        <w:ind w:left="426" w:hanging="426"/>
        <w:rPr>
          <w:rFonts w:asciiTheme="majorHAnsi" w:hAnsiTheme="majorHAnsi" w:cstheme="majorHAnsi"/>
          <w:sz w:val="22"/>
          <w:szCs w:val="22"/>
        </w:rPr>
      </w:pPr>
      <w:r w:rsidRPr="006053B2">
        <w:rPr>
          <w:rFonts w:asciiTheme="majorHAnsi" w:hAnsiTheme="majorHAnsi" w:cstheme="majorHAnsi"/>
          <w:sz w:val="22"/>
          <w:szCs w:val="22"/>
        </w:rPr>
        <w:t>In Benin, World Wetlands Day is honoured through actions bringing together the Ministry of the Environment and its technical departments, non-governmental organizations, associations for the management of community areas for the conservation of biodiversity and the designated national authority of the Convention "ABE”. NGOs conduct campaigns to raise awareness of the importance of wetlands (BEES NGO, Nature Tropicale)</w:t>
      </w:r>
    </w:p>
    <w:p w14:paraId="7DC574E9" w14:textId="77777777" w:rsidR="00542AE9" w:rsidRPr="006053B2" w:rsidRDefault="00542AE9" w:rsidP="006053B2">
      <w:pPr>
        <w:ind w:left="426" w:hanging="426"/>
        <w:rPr>
          <w:rFonts w:asciiTheme="majorHAnsi" w:hAnsiTheme="majorHAnsi" w:cstheme="majorHAnsi"/>
          <w:sz w:val="22"/>
          <w:szCs w:val="22"/>
        </w:rPr>
      </w:pPr>
    </w:p>
    <w:p w14:paraId="1B230C4D" w14:textId="77777777" w:rsidR="00542AE9" w:rsidRPr="006053B2" w:rsidRDefault="00542AE9" w:rsidP="006053B2">
      <w:pPr>
        <w:numPr>
          <w:ilvl w:val="0"/>
          <w:numId w:val="1"/>
        </w:numPr>
        <w:ind w:left="426" w:hanging="426"/>
        <w:rPr>
          <w:rFonts w:asciiTheme="majorHAnsi" w:hAnsiTheme="majorHAnsi" w:cstheme="majorHAnsi"/>
          <w:sz w:val="22"/>
          <w:szCs w:val="22"/>
        </w:rPr>
      </w:pPr>
      <w:r w:rsidRPr="006053B2">
        <w:rPr>
          <w:rFonts w:asciiTheme="majorHAnsi" w:hAnsiTheme="majorHAnsi" w:cstheme="majorHAnsi"/>
          <w:sz w:val="22"/>
          <w:szCs w:val="22"/>
        </w:rPr>
        <w:t>In Botswana, World Wetlands Day is marked through events led by the Government, the Ministry of Environment and the Natural Resources Conservation and Tourism office.</w:t>
      </w:r>
    </w:p>
    <w:p w14:paraId="2A9BB0FA" w14:textId="77777777" w:rsidR="00542AE9" w:rsidRPr="006053B2" w:rsidRDefault="00542AE9" w:rsidP="006053B2">
      <w:pPr>
        <w:ind w:left="426" w:hanging="426"/>
        <w:rPr>
          <w:rFonts w:asciiTheme="majorHAnsi" w:hAnsiTheme="majorHAnsi" w:cstheme="majorHAnsi"/>
          <w:sz w:val="22"/>
          <w:szCs w:val="22"/>
        </w:rPr>
      </w:pPr>
    </w:p>
    <w:p w14:paraId="31E139D8" w14:textId="45C6D67C" w:rsidR="00542AE9" w:rsidRPr="006053B2" w:rsidRDefault="00542AE9" w:rsidP="006053B2">
      <w:pPr>
        <w:numPr>
          <w:ilvl w:val="0"/>
          <w:numId w:val="1"/>
        </w:numPr>
        <w:ind w:left="426" w:hanging="426"/>
        <w:rPr>
          <w:rFonts w:asciiTheme="majorHAnsi" w:hAnsiTheme="majorHAnsi" w:cstheme="majorHAnsi"/>
          <w:sz w:val="22"/>
          <w:szCs w:val="22"/>
        </w:rPr>
      </w:pPr>
      <w:r w:rsidRPr="006053B2">
        <w:rPr>
          <w:rFonts w:asciiTheme="majorHAnsi" w:hAnsiTheme="majorHAnsi" w:cstheme="majorHAnsi"/>
          <w:sz w:val="22"/>
          <w:szCs w:val="22"/>
        </w:rPr>
        <w:t xml:space="preserve">In Brazil, World Wetlands Day themes are promoted on the Ministry of Environment website. Several newspapers and other media (blogs, websites, etc.) </w:t>
      </w:r>
      <w:r w:rsidR="00D045E3" w:rsidRPr="006053B2">
        <w:rPr>
          <w:rFonts w:asciiTheme="majorHAnsi" w:hAnsiTheme="majorHAnsi" w:cstheme="majorHAnsi"/>
          <w:sz w:val="22"/>
          <w:szCs w:val="22"/>
        </w:rPr>
        <w:t>publici</w:t>
      </w:r>
      <w:r w:rsidR="00D045E3">
        <w:rPr>
          <w:rFonts w:asciiTheme="majorHAnsi" w:hAnsiTheme="majorHAnsi" w:cstheme="majorHAnsi"/>
          <w:sz w:val="22"/>
          <w:szCs w:val="22"/>
        </w:rPr>
        <w:t>z</w:t>
      </w:r>
      <w:r w:rsidR="00D045E3" w:rsidRPr="006053B2">
        <w:rPr>
          <w:rFonts w:asciiTheme="majorHAnsi" w:hAnsiTheme="majorHAnsi" w:cstheme="majorHAnsi"/>
          <w:sz w:val="22"/>
          <w:szCs w:val="22"/>
        </w:rPr>
        <w:t xml:space="preserve">e </w:t>
      </w:r>
      <w:r w:rsidRPr="006053B2">
        <w:rPr>
          <w:rFonts w:asciiTheme="majorHAnsi" w:hAnsiTheme="majorHAnsi" w:cstheme="majorHAnsi"/>
          <w:sz w:val="22"/>
          <w:szCs w:val="22"/>
        </w:rPr>
        <w:t xml:space="preserve">the day. Events are also </w:t>
      </w:r>
      <w:r w:rsidR="005E0B7A" w:rsidRPr="006053B2">
        <w:rPr>
          <w:rFonts w:asciiTheme="majorHAnsi" w:hAnsiTheme="majorHAnsi" w:cstheme="majorHAnsi"/>
          <w:sz w:val="22"/>
          <w:szCs w:val="22"/>
        </w:rPr>
        <w:t>organi</w:t>
      </w:r>
      <w:r w:rsidR="005E0B7A">
        <w:rPr>
          <w:rFonts w:asciiTheme="majorHAnsi" w:hAnsiTheme="majorHAnsi" w:cstheme="majorHAnsi"/>
          <w:sz w:val="22"/>
          <w:szCs w:val="22"/>
        </w:rPr>
        <w:t>z</w:t>
      </w:r>
      <w:r w:rsidR="005E0B7A" w:rsidRPr="006053B2">
        <w:rPr>
          <w:rFonts w:asciiTheme="majorHAnsi" w:hAnsiTheme="majorHAnsi" w:cstheme="majorHAnsi"/>
          <w:sz w:val="22"/>
          <w:szCs w:val="22"/>
        </w:rPr>
        <w:t>ed</w:t>
      </w:r>
      <w:r w:rsidRPr="006053B2">
        <w:rPr>
          <w:rFonts w:asciiTheme="majorHAnsi" w:hAnsiTheme="majorHAnsi" w:cstheme="majorHAnsi"/>
          <w:sz w:val="22"/>
          <w:szCs w:val="22"/>
        </w:rPr>
        <w:t xml:space="preserve">, involving debates, hikes on Ramsar </w:t>
      </w:r>
      <w:r w:rsidR="00D045E3">
        <w:rPr>
          <w:rFonts w:asciiTheme="majorHAnsi" w:hAnsiTheme="majorHAnsi" w:cstheme="majorHAnsi"/>
          <w:sz w:val="22"/>
          <w:szCs w:val="22"/>
        </w:rPr>
        <w:t>S</w:t>
      </w:r>
      <w:r w:rsidRPr="006053B2">
        <w:rPr>
          <w:rFonts w:asciiTheme="majorHAnsi" w:hAnsiTheme="majorHAnsi" w:cstheme="majorHAnsi"/>
          <w:sz w:val="22"/>
          <w:szCs w:val="22"/>
        </w:rPr>
        <w:t xml:space="preserve">ites and various other activities involving educational institutions and several NGOs operating in the country, thus maintaining long-term environmental educational campaigns. </w:t>
      </w:r>
    </w:p>
    <w:p w14:paraId="2874D0D6" w14:textId="77777777" w:rsidR="00542AE9" w:rsidRPr="006053B2" w:rsidRDefault="00542AE9" w:rsidP="006053B2">
      <w:pPr>
        <w:ind w:left="426" w:hanging="426"/>
        <w:rPr>
          <w:rFonts w:asciiTheme="majorHAnsi" w:hAnsiTheme="majorHAnsi" w:cstheme="majorHAnsi"/>
          <w:sz w:val="22"/>
          <w:szCs w:val="22"/>
        </w:rPr>
      </w:pPr>
    </w:p>
    <w:p w14:paraId="247C7284" w14:textId="781F2038" w:rsidR="00542AE9" w:rsidRPr="006053B2" w:rsidRDefault="00542AE9" w:rsidP="006053B2">
      <w:pPr>
        <w:numPr>
          <w:ilvl w:val="0"/>
          <w:numId w:val="1"/>
        </w:numPr>
        <w:ind w:left="426" w:hanging="426"/>
        <w:rPr>
          <w:rFonts w:asciiTheme="majorHAnsi" w:hAnsiTheme="majorHAnsi" w:cstheme="majorHAnsi"/>
          <w:sz w:val="22"/>
          <w:szCs w:val="22"/>
        </w:rPr>
      </w:pPr>
      <w:r w:rsidRPr="006053B2">
        <w:rPr>
          <w:rFonts w:asciiTheme="majorHAnsi" w:hAnsiTheme="majorHAnsi" w:cstheme="majorHAnsi"/>
          <w:sz w:val="22"/>
          <w:szCs w:val="22"/>
        </w:rPr>
        <w:t xml:space="preserve">In Bulgaria, World Wetlands Day is celebrated via campaigns across the country, </w:t>
      </w:r>
      <w:r w:rsidR="00D045E3" w:rsidRPr="006053B2">
        <w:rPr>
          <w:rFonts w:asciiTheme="majorHAnsi" w:hAnsiTheme="majorHAnsi" w:cstheme="majorHAnsi"/>
          <w:sz w:val="22"/>
          <w:szCs w:val="22"/>
        </w:rPr>
        <w:t>organi</w:t>
      </w:r>
      <w:r w:rsidR="00D045E3">
        <w:rPr>
          <w:rFonts w:asciiTheme="majorHAnsi" w:hAnsiTheme="majorHAnsi" w:cstheme="majorHAnsi"/>
          <w:sz w:val="22"/>
          <w:szCs w:val="22"/>
        </w:rPr>
        <w:t>z</w:t>
      </w:r>
      <w:r w:rsidR="00D045E3" w:rsidRPr="006053B2">
        <w:rPr>
          <w:rFonts w:asciiTheme="majorHAnsi" w:hAnsiTheme="majorHAnsi" w:cstheme="majorHAnsi"/>
          <w:sz w:val="22"/>
          <w:szCs w:val="22"/>
        </w:rPr>
        <w:t xml:space="preserve">ed </w:t>
      </w:r>
      <w:r w:rsidRPr="006053B2">
        <w:rPr>
          <w:rFonts w:asciiTheme="majorHAnsi" w:hAnsiTheme="majorHAnsi" w:cstheme="majorHAnsi"/>
          <w:sz w:val="22"/>
          <w:szCs w:val="22"/>
        </w:rPr>
        <w:t>by the regional structures of the Ministry of Environment and Water and directed to kindergartens, schools and universities. This includes open lessons, exhibitions, presentations and activities of different environmental school clubs involving competitions and birdwatching tours.</w:t>
      </w:r>
    </w:p>
    <w:p w14:paraId="60B18917" w14:textId="497002A5" w:rsidR="00542AE9" w:rsidRPr="006053B2" w:rsidRDefault="00542AE9" w:rsidP="006053B2">
      <w:pPr>
        <w:ind w:left="426" w:hanging="426"/>
        <w:rPr>
          <w:rFonts w:asciiTheme="majorHAnsi" w:hAnsiTheme="majorHAnsi" w:cstheme="majorHAnsi"/>
          <w:sz w:val="22"/>
          <w:szCs w:val="22"/>
        </w:rPr>
      </w:pPr>
    </w:p>
    <w:p w14:paraId="15E524FA" w14:textId="3E4557C7" w:rsidR="00542AE9" w:rsidRPr="006053B2" w:rsidRDefault="00542AE9" w:rsidP="006053B2">
      <w:pPr>
        <w:numPr>
          <w:ilvl w:val="0"/>
          <w:numId w:val="1"/>
        </w:numPr>
        <w:ind w:left="426" w:hanging="426"/>
        <w:rPr>
          <w:rFonts w:asciiTheme="majorHAnsi" w:hAnsiTheme="majorHAnsi" w:cstheme="majorHAnsi"/>
          <w:sz w:val="22"/>
          <w:szCs w:val="22"/>
        </w:rPr>
      </w:pPr>
      <w:r w:rsidRPr="006053B2">
        <w:rPr>
          <w:rFonts w:asciiTheme="majorHAnsi" w:hAnsiTheme="majorHAnsi" w:cstheme="majorHAnsi"/>
          <w:sz w:val="22"/>
          <w:szCs w:val="22"/>
        </w:rPr>
        <w:lastRenderedPageBreak/>
        <w:t xml:space="preserve">In Cambodia, World Wetlands Day is commemorated annually through inviting site managers, other MEA national focal points and relevant departments for the wetland-related meetings or workshops. Other CEPA activities were </w:t>
      </w:r>
      <w:r w:rsidR="00FD616B" w:rsidRPr="006053B2">
        <w:rPr>
          <w:rFonts w:asciiTheme="majorHAnsi" w:hAnsiTheme="majorHAnsi" w:cstheme="majorHAnsi"/>
          <w:sz w:val="22"/>
          <w:szCs w:val="22"/>
        </w:rPr>
        <w:t>organi</w:t>
      </w:r>
      <w:r w:rsidR="00FD616B">
        <w:rPr>
          <w:rFonts w:asciiTheme="majorHAnsi" w:hAnsiTheme="majorHAnsi" w:cstheme="majorHAnsi"/>
          <w:sz w:val="22"/>
          <w:szCs w:val="22"/>
        </w:rPr>
        <w:t>z</w:t>
      </w:r>
      <w:r w:rsidR="00FD616B" w:rsidRPr="006053B2">
        <w:rPr>
          <w:rFonts w:asciiTheme="majorHAnsi" w:hAnsiTheme="majorHAnsi" w:cstheme="majorHAnsi"/>
          <w:sz w:val="22"/>
          <w:szCs w:val="22"/>
        </w:rPr>
        <w:t xml:space="preserve">ed </w:t>
      </w:r>
      <w:r w:rsidRPr="006053B2">
        <w:rPr>
          <w:rFonts w:asciiTheme="majorHAnsi" w:hAnsiTheme="majorHAnsi" w:cstheme="majorHAnsi"/>
          <w:sz w:val="22"/>
          <w:szCs w:val="22"/>
        </w:rPr>
        <w:t>in the form of exhibitions, fairs, wetland festivals and celebrations of World Migratory Birds Day.</w:t>
      </w:r>
    </w:p>
    <w:p w14:paraId="12C85AB2" w14:textId="77777777" w:rsidR="00542AE9" w:rsidRPr="006053B2" w:rsidRDefault="00542AE9" w:rsidP="006053B2">
      <w:pPr>
        <w:ind w:left="426" w:hanging="426"/>
        <w:rPr>
          <w:rFonts w:asciiTheme="majorHAnsi" w:hAnsiTheme="majorHAnsi" w:cstheme="majorHAnsi"/>
          <w:sz w:val="22"/>
          <w:szCs w:val="22"/>
        </w:rPr>
      </w:pPr>
    </w:p>
    <w:p w14:paraId="2B4C2A45" w14:textId="4A4B9D1D" w:rsidR="00542AE9" w:rsidRPr="006053B2" w:rsidRDefault="00542AE9" w:rsidP="006053B2">
      <w:pPr>
        <w:numPr>
          <w:ilvl w:val="0"/>
          <w:numId w:val="1"/>
        </w:numPr>
        <w:ind w:left="426" w:hanging="426"/>
        <w:rPr>
          <w:rFonts w:asciiTheme="majorHAnsi" w:hAnsiTheme="majorHAnsi" w:cstheme="majorHAnsi"/>
          <w:sz w:val="22"/>
          <w:szCs w:val="22"/>
        </w:rPr>
      </w:pPr>
      <w:r w:rsidRPr="006053B2">
        <w:rPr>
          <w:rFonts w:asciiTheme="majorHAnsi" w:hAnsiTheme="majorHAnsi" w:cstheme="majorHAnsi"/>
          <w:sz w:val="22"/>
          <w:szCs w:val="22"/>
        </w:rPr>
        <w:t xml:space="preserve">In Cameroon, ceremonies centred on the theme of the year are </w:t>
      </w:r>
      <w:r w:rsidR="00FD616B" w:rsidRPr="006053B2">
        <w:rPr>
          <w:rFonts w:asciiTheme="majorHAnsi" w:hAnsiTheme="majorHAnsi" w:cstheme="majorHAnsi"/>
          <w:sz w:val="22"/>
          <w:szCs w:val="22"/>
        </w:rPr>
        <w:t>organi</w:t>
      </w:r>
      <w:r w:rsidR="00FD616B">
        <w:rPr>
          <w:rFonts w:asciiTheme="majorHAnsi" w:hAnsiTheme="majorHAnsi" w:cstheme="majorHAnsi"/>
          <w:sz w:val="22"/>
          <w:szCs w:val="22"/>
        </w:rPr>
        <w:t>z</w:t>
      </w:r>
      <w:r w:rsidR="00FD616B" w:rsidRPr="006053B2">
        <w:rPr>
          <w:rFonts w:asciiTheme="majorHAnsi" w:hAnsiTheme="majorHAnsi" w:cstheme="majorHAnsi"/>
          <w:sz w:val="22"/>
          <w:szCs w:val="22"/>
        </w:rPr>
        <w:t>ed</w:t>
      </w:r>
      <w:r w:rsidRPr="006053B2">
        <w:rPr>
          <w:rFonts w:asciiTheme="majorHAnsi" w:hAnsiTheme="majorHAnsi" w:cstheme="majorHAnsi"/>
          <w:sz w:val="22"/>
          <w:szCs w:val="22"/>
        </w:rPr>
        <w:t>. This provides an opportunity for the Ministry to increase awareness through the news outlets, posters and fun/recreational activities led by well-known local comedians. Cameroon Radio Television (CRTV) has set up a focus with a set of frequent productions showing the wealth and national potential of wetlands.</w:t>
      </w:r>
    </w:p>
    <w:p w14:paraId="6F608FEE" w14:textId="291A9CE7" w:rsidR="00542AE9" w:rsidRPr="006053B2" w:rsidRDefault="00542AE9" w:rsidP="006053B2">
      <w:pPr>
        <w:ind w:left="426" w:hanging="426"/>
        <w:rPr>
          <w:rFonts w:asciiTheme="majorHAnsi" w:hAnsiTheme="majorHAnsi" w:cstheme="majorHAnsi"/>
          <w:sz w:val="22"/>
          <w:szCs w:val="22"/>
        </w:rPr>
      </w:pPr>
    </w:p>
    <w:p w14:paraId="667E9798" w14:textId="51D74676" w:rsidR="00542AE9" w:rsidRPr="006053B2" w:rsidRDefault="00542AE9" w:rsidP="006053B2">
      <w:pPr>
        <w:numPr>
          <w:ilvl w:val="0"/>
          <w:numId w:val="1"/>
        </w:numPr>
        <w:ind w:left="426" w:hanging="426"/>
        <w:rPr>
          <w:rFonts w:asciiTheme="majorHAnsi" w:hAnsiTheme="majorHAnsi" w:cstheme="majorHAnsi"/>
          <w:sz w:val="22"/>
          <w:szCs w:val="22"/>
        </w:rPr>
      </w:pPr>
      <w:r w:rsidRPr="006053B2">
        <w:rPr>
          <w:rFonts w:asciiTheme="majorHAnsi" w:hAnsiTheme="majorHAnsi" w:cstheme="majorHAnsi"/>
          <w:sz w:val="22"/>
          <w:szCs w:val="22"/>
        </w:rPr>
        <w:t xml:space="preserve">In the Central African Republic, and with the support of WWF, broadcasts were made on national radio and television in addition to </w:t>
      </w:r>
      <w:r w:rsidR="00FD616B" w:rsidRPr="006053B2">
        <w:rPr>
          <w:rFonts w:asciiTheme="majorHAnsi" w:hAnsiTheme="majorHAnsi" w:cstheme="majorHAnsi"/>
          <w:sz w:val="22"/>
          <w:szCs w:val="22"/>
        </w:rPr>
        <w:t>organi</w:t>
      </w:r>
      <w:r w:rsidR="00FD616B">
        <w:rPr>
          <w:rFonts w:asciiTheme="majorHAnsi" w:hAnsiTheme="majorHAnsi" w:cstheme="majorHAnsi"/>
          <w:sz w:val="22"/>
          <w:szCs w:val="22"/>
        </w:rPr>
        <w:t>z</w:t>
      </w:r>
      <w:r w:rsidR="00FD616B" w:rsidRPr="006053B2">
        <w:rPr>
          <w:rFonts w:asciiTheme="majorHAnsi" w:hAnsiTheme="majorHAnsi" w:cstheme="majorHAnsi"/>
          <w:sz w:val="22"/>
          <w:szCs w:val="22"/>
        </w:rPr>
        <w:t xml:space="preserve">ed </w:t>
      </w:r>
      <w:r w:rsidRPr="006053B2">
        <w:rPr>
          <w:rFonts w:asciiTheme="majorHAnsi" w:hAnsiTheme="majorHAnsi" w:cstheme="majorHAnsi"/>
          <w:sz w:val="22"/>
          <w:szCs w:val="22"/>
        </w:rPr>
        <w:t>public debates on migratory birds. Bandoleers and T-shirts are distributed to participants and the press.</w:t>
      </w:r>
    </w:p>
    <w:p w14:paraId="218A7F0F" w14:textId="77777777" w:rsidR="00542AE9" w:rsidRPr="006053B2" w:rsidRDefault="00542AE9" w:rsidP="006053B2">
      <w:pPr>
        <w:ind w:left="426" w:hanging="426"/>
        <w:rPr>
          <w:rFonts w:asciiTheme="majorHAnsi" w:hAnsiTheme="majorHAnsi" w:cstheme="majorHAnsi"/>
          <w:sz w:val="22"/>
          <w:szCs w:val="22"/>
        </w:rPr>
      </w:pPr>
    </w:p>
    <w:p w14:paraId="593917F2" w14:textId="77777777" w:rsidR="00542AE9" w:rsidRPr="006053B2" w:rsidRDefault="00542AE9" w:rsidP="006053B2">
      <w:pPr>
        <w:numPr>
          <w:ilvl w:val="0"/>
          <w:numId w:val="1"/>
        </w:numPr>
        <w:ind w:left="426" w:hanging="426"/>
        <w:rPr>
          <w:rFonts w:asciiTheme="majorHAnsi" w:hAnsiTheme="majorHAnsi" w:cstheme="majorHAnsi"/>
          <w:sz w:val="22"/>
          <w:szCs w:val="22"/>
        </w:rPr>
      </w:pPr>
      <w:r w:rsidRPr="006053B2">
        <w:rPr>
          <w:rFonts w:asciiTheme="majorHAnsi" w:hAnsiTheme="majorHAnsi" w:cstheme="majorHAnsi"/>
          <w:sz w:val="22"/>
          <w:szCs w:val="22"/>
        </w:rPr>
        <w:t xml:space="preserve">In China, the main event for celebrating World Wetlands Day 2018 unfolded at the Haizhu National Wetland Park in the city of Guangzhou, Guangdong Province. The event was presided over by Mr. Wang Zhigao, then Director General of the former Center for Wetland Management of the State Forestry Administration (SFA). </w:t>
      </w:r>
    </w:p>
    <w:p w14:paraId="7E589346" w14:textId="77777777" w:rsidR="00542AE9" w:rsidRPr="006053B2" w:rsidRDefault="00542AE9" w:rsidP="006053B2">
      <w:pPr>
        <w:ind w:left="426" w:hanging="426"/>
        <w:rPr>
          <w:rFonts w:asciiTheme="majorHAnsi" w:hAnsiTheme="majorHAnsi" w:cstheme="majorHAnsi"/>
          <w:sz w:val="22"/>
          <w:szCs w:val="22"/>
        </w:rPr>
      </w:pPr>
    </w:p>
    <w:p w14:paraId="2716E801" w14:textId="4AB71068" w:rsidR="00542AE9" w:rsidRPr="006053B2" w:rsidRDefault="00542AE9" w:rsidP="006053B2">
      <w:pPr>
        <w:numPr>
          <w:ilvl w:val="0"/>
          <w:numId w:val="1"/>
        </w:numPr>
        <w:ind w:left="426" w:hanging="426"/>
        <w:rPr>
          <w:rFonts w:asciiTheme="majorHAnsi" w:hAnsiTheme="majorHAnsi" w:cstheme="majorHAnsi"/>
          <w:sz w:val="22"/>
          <w:szCs w:val="22"/>
        </w:rPr>
      </w:pPr>
      <w:r w:rsidRPr="006053B2">
        <w:rPr>
          <w:rFonts w:asciiTheme="majorHAnsi" w:hAnsiTheme="majorHAnsi" w:cstheme="majorHAnsi"/>
          <w:sz w:val="22"/>
          <w:szCs w:val="22"/>
        </w:rPr>
        <w:t xml:space="preserve">In Colombia, the commemoration of World Wetlands Day is carried out annually through a series of educational events, workshops, forums, exchange of experiences, cycle walks, etc. </w:t>
      </w:r>
      <w:r w:rsidR="00FD616B">
        <w:rPr>
          <w:rFonts w:asciiTheme="majorHAnsi" w:hAnsiTheme="majorHAnsi" w:cstheme="majorHAnsi"/>
          <w:sz w:val="22"/>
          <w:szCs w:val="22"/>
        </w:rPr>
        <w:t>in which</w:t>
      </w:r>
      <w:r w:rsidR="00FD616B" w:rsidRPr="006053B2">
        <w:rPr>
          <w:rFonts w:asciiTheme="majorHAnsi" w:hAnsiTheme="majorHAnsi" w:cstheme="majorHAnsi"/>
          <w:sz w:val="22"/>
          <w:szCs w:val="22"/>
        </w:rPr>
        <w:t xml:space="preserve"> </w:t>
      </w:r>
      <w:r w:rsidRPr="006053B2">
        <w:rPr>
          <w:rFonts w:asciiTheme="majorHAnsi" w:hAnsiTheme="majorHAnsi" w:cstheme="majorHAnsi"/>
          <w:sz w:val="22"/>
          <w:szCs w:val="22"/>
        </w:rPr>
        <w:t xml:space="preserve">regional actors of institutional, community and productive sectors participate. </w:t>
      </w:r>
    </w:p>
    <w:p w14:paraId="0ED84727" w14:textId="6A33E0C8" w:rsidR="00542AE9" w:rsidRPr="006053B2" w:rsidRDefault="00542AE9" w:rsidP="006053B2">
      <w:pPr>
        <w:ind w:left="426" w:hanging="426"/>
        <w:rPr>
          <w:rFonts w:asciiTheme="majorHAnsi" w:hAnsiTheme="majorHAnsi" w:cstheme="majorHAnsi"/>
          <w:sz w:val="22"/>
          <w:szCs w:val="22"/>
        </w:rPr>
      </w:pPr>
    </w:p>
    <w:p w14:paraId="1A2E5BE4" w14:textId="6BFD4311" w:rsidR="00542AE9" w:rsidRPr="006053B2" w:rsidRDefault="00542AE9" w:rsidP="006053B2">
      <w:pPr>
        <w:numPr>
          <w:ilvl w:val="0"/>
          <w:numId w:val="1"/>
        </w:numPr>
        <w:ind w:left="426" w:hanging="426"/>
        <w:rPr>
          <w:rFonts w:asciiTheme="majorHAnsi" w:hAnsiTheme="majorHAnsi" w:cstheme="majorHAnsi"/>
          <w:sz w:val="22"/>
          <w:szCs w:val="22"/>
        </w:rPr>
      </w:pPr>
      <w:r w:rsidRPr="006053B2">
        <w:rPr>
          <w:rFonts w:asciiTheme="majorHAnsi" w:hAnsiTheme="majorHAnsi" w:cstheme="majorHAnsi"/>
          <w:sz w:val="22"/>
          <w:szCs w:val="22"/>
        </w:rPr>
        <w:t xml:space="preserve">In </w:t>
      </w:r>
      <w:r w:rsidR="00FD616B" w:rsidRPr="006053B2">
        <w:rPr>
          <w:rFonts w:asciiTheme="majorHAnsi" w:hAnsiTheme="majorHAnsi" w:cstheme="majorHAnsi"/>
          <w:sz w:val="22"/>
          <w:szCs w:val="22"/>
        </w:rPr>
        <w:t>C</w:t>
      </w:r>
      <w:r w:rsidR="00FD616B">
        <w:rPr>
          <w:rFonts w:asciiTheme="majorHAnsi" w:hAnsiTheme="majorHAnsi" w:cstheme="majorHAnsi"/>
          <w:sz w:val="22"/>
          <w:szCs w:val="22"/>
        </w:rPr>
        <w:t>ô</w:t>
      </w:r>
      <w:r w:rsidR="00FD616B" w:rsidRPr="006053B2">
        <w:rPr>
          <w:rFonts w:asciiTheme="majorHAnsi" w:hAnsiTheme="majorHAnsi" w:cstheme="majorHAnsi"/>
          <w:sz w:val="22"/>
          <w:szCs w:val="22"/>
        </w:rPr>
        <w:t xml:space="preserve">te </w:t>
      </w:r>
      <w:r w:rsidRPr="006053B2">
        <w:rPr>
          <w:rFonts w:asciiTheme="majorHAnsi" w:hAnsiTheme="majorHAnsi" w:cstheme="majorHAnsi"/>
          <w:sz w:val="22"/>
          <w:szCs w:val="22"/>
        </w:rPr>
        <w:t xml:space="preserve">d’Ivoire, combined awareness raising sessions and a field trip took place with the AEWA National Focal Point for school children in the town of Adiaké focusing primarily on the importance of wetlands and water birds in 2018. </w:t>
      </w:r>
    </w:p>
    <w:p w14:paraId="7F88008F" w14:textId="77777777" w:rsidR="00542AE9" w:rsidRPr="006053B2" w:rsidRDefault="00542AE9" w:rsidP="006053B2">
      <w:pPr>
        <w:ind w:left="426" w:hanging="426"/>
        <w:rPr>
          <w:rFonts w:asciiTheme="majorHAnsi" w:hAnsiTheme="majorHAnsi" w:cstheme="majorHAnsi"/>
          <w:sz w:val="22"/>
          <w:szCs w:val="22"/>
        </w:rPr>
      </w:pPr>
    </w:p>
    <w:p w14:paraId="1F8A59C6" w14:textId="7AEBEAAE" w:rsidR="00542AE9" w:rsidRPr="006053B2" w:rsidRDefault="00542AE9" w:rsidP="006053B2">
      <w:pPr>
        <w:numPr>
          <w:ilvl w:val="0"/>
          <w:numId w:val="1"/>
        </w:numPr>
        <w:ind w:left="426" w:hanging="426"/>
        <w:rPr>
          <w:rFonts w:asciiTheme="majorHAnsi" w:hAnsiTheme="majorHAnsi" w:cstheme="majorHAnsi"/>
          <w:sz w:val="22"/>
          <w:szCs w:val="22"/>
        </w:rPr>
      </w:pPr>
      <w:r w:rsidRPr="006053B2">
        <w:rPr>
          <w:rFonts w:asciiTheme="majorHAnsi" w:hAnsiTheme="majorHAnsi" w:cstheme="majorHAnsi"/>
          <w:sz w:val="22"/>
          <w:szCs w:val="22"/>
        </w:rPr>
        <w:t xml:space="preserve">In Croatia, special public events are </w:t>
      </w:r>
      <w:r w:rsidR="00FD616B" w:rsidRPr="006053B2">
        <w:rPr>
          <w:rFonts w:asciiTheme="majorHAnsi" w:hAnsiTheme="majorHAnsi" w:cstheme="majorHAnsi"/>
          <w:sz w:val="22"/>
          <w:szCs w:val="22"/>
        </w:rPr>
        <w:t>organi</w:t>
      </w:r>
      <w:r w:rsidR="00FD616B">
        <w:rPr>
          <w:rFonts w:asciiTheme="majorHAnsi" w:hAnsiTheme="majorHAnsi" w:cstheme="majorHAnsi"/>
          <w:sz w:val="22"/>
          <w:szCs w:val="22"/>
        </w:rPr>
        <w:t>z</w:t>
      </w:r>
      <w:r w:rsidR="00FD616B" w:rsidRPr="006053B2">
        <w:rPr>
          <w:rFonts w:asciiTheme="majorHAnsi" w:hAnsiTheme="majorHAnsi" w:cstheme="majorHAnsi"/>
          <w:sz w:val="22"/>
          <w:szCs w:val="22"/>
        </w:rPr>
        <w:t xml:space="preserve">ed </w:t>
      </w:r>
      <w:r w:rsidRPr="006053B2">
        <w:rPr>
          <w:rFonts w:asciiTheme="majorHAnsi" w:hAnsiTheme="majorHAnsi" w:cstheme="majorHAnsi"/>
          <w:sz w:val="22"/>
          <w:szCs w:val="22"/>
        </w:rPr>
        <w:t>on World Wetlands Day in addition to presentations, lectures, exhibitions, field visits and art competitions for children. These reflect the importance and given theme of the respective year.</w:t>
      </w:r>
    </w:p>
    <w:p w14:paraId="1423321C" w14:textId="05DECF45" w:rsidR="00542AE9" w:rsidRPr="006053B2" w:rsidRDefault="00542AE9" w:rsidP="006053B2">
      <w:pPr>
        <w:ind w:left="426" w:hanging="426"/>
        <w:rPr>
          <w:rFonts w:asciiTheme="majorHAnsi" w:hAnsiTheme="majorHAnsi" w:cstheme="majorHAnsi"/>
          <w:sz w:val="22"/>
          <w:szCs w:val="22"/>
        </w:rPr>
      </w:pPr>
    </w:p>
    <w:p w14:paraId="25460D1A" w14:textId="47971B1C" w:rsidR="00542AE9" w:rsidRPr="006053B2" w:rsidRDefault="00542AE9" w:rsidP="006053B2">
      <w:pPr>
        <w:numPr>
          <w:ilvl w:val="0"/>
          <w:numId w:val="1"/>
        </w:numPr>
        <w:ind w:left="426" w:hanging="426"/>
        <w:rPr>
          <w:rFonts w:asciiTheme="majorHAnsi" w:hAnsiTheme="majorHAnsi" w:cstheme="majorHAnsi"/>
          <w:sz w:val="22"/>
          <w:szCs w:val="22"/>
        </w:rPr>
      </w:pPr>
      <w:r w:rsidRPr="006053B2">
        <w:rPr>
          <w:rFonts w:asciiTheme="majorHAnsi" w:hAnsiTheme="majorHAnsi" w:cstheme="majorHAnsi"/>
          <w:sz w:val="22"/>
          <w:szCs w:val="22"/>
        </w:rPr>
        <w:t>In the Dominican Republic, the Ministry of Environment and NGOs work in collaboration to support educational institutions by giving talks in schools, colleges and universities in the localities where the commemoration events are hosted.</w:t>
      </w:r>
    </w:p>
    <w:p w14:paraId="0B716961" w14:textId="77777777" w:rsidR="00542AE9" w:rsidRPr="006053B2" w:rsidRDefault="00542AE9" w:rsidP="006053B2">
      <w:pPr>
        <w:ind w:left="426" w:hanging="426"/>
        <w:rPr>
          <w:rFonts w:asciiTheme="majorHAnsi" w:hAnsiTheme="majorHAnsi" w:cstheme="majorHAnsi"/>
          <w:sz w:val="22"/>
          <w:szCs w:val="22"/>
        </w:rPr>
      </w:pPr>
    </w:p>
    <w:p w14:paraId="18E453EE" w14:textId="77777777" w:rsidR="00542AE9" w:rsidRPr="006053B2" w:rsidRDefault="00542AE9" w:rsidP="006053B2">
      <w:pPr>
        <w:numPr>
          <w:ilvl w:val="0"/>
          <w:numId w:val="1"/>
        </w:numPr>
        <w:ind w:left="426" w:hanging="426"/>
        <w:rPr>
          <w:rFonts w:asciiTheme="majorHAnsi" w:hAnsiTheme="majorHAnsi" w:cstheme="majorHAnsi"/>
          <w:sz w:val="22"/>
          <w:szCs w:val="22"/>
        </w:rPr>
      </w:pPr>
      <w:r w:rsidRPr="006053B2">
        <w:rPr>
          <w:rFonts w:asciiTheme="majorHAnsi" w:hAnsiTheme="majorHAnsi" w:cstheme="majorHAnsi"/>
          <w:sz w:val="22"/>
          <w:szCs w:val="22"/>
        </w:rPr>
        <w:t xml:space="preserve">In Ecuador, a wide variety of activities and events are held at national level to celebrate World Wetlands Day throughout the month of February. NGOs, environmental clubs and state institutions all participate. Events such as forums, symposiums, etc. related to wetlands are also held throughout the year. </w:t>
      </w:r>
    </w:p>
    <w:p w14:paraId="0A7492F4" w14:textId="77777777" w:rsidR="00542AE9" w:rsidRPr="006053B2" w:rsidRDefault="00542AE9" w:rsidP="006053B2">
      <w:pPr>
        <w:ind w:left="426" w:hanging="426"/>
        <w:rPr>
          <w:rFonts w:asciiTheme="majorHAnsi" w:hAnsiTheme="majorHAnsi" w:cstheme="majorHAnsi"/>
          <w:sz w:val="22"/>
          <w:szCs w:val="22"/>
        </w:rPr>
      </w:pPr>
    </w:p>
    <w:p w14:paraId="353644AD" w14:textId="5F43EEA9" w:rsidR="00542AE9" w:rsidRPr="006053B2" w:rsidRDefault="00542AE9" w:rsidP="006053B2">
      <w:pPr>
        <w:numPr>
          <w:ilvl w:val="0"/>
          <w:numId w:val="1"/>
        </w:numPr>
        <w:ind w:left="426" w:hanging="426"/>
        <w:rPr>
          <w:rFonts w:asciiTheme="majorHAnsi" w:hAnsiTheme="majorHAnsi" w:cstheme="majorHAnsi"/>
          <w:sz w:val="22"/>
          <w:szCs w:val="22"/>
        </w:rPr>
      </w:pPr>
      <w:r w:rsidRPr="006053B2">
        <w:rPr>
          <w:rFonts w:asciiTheme="majorHAnsi" w:hAnsiTheme="majorHAnsi" w:cstheme="majorHAnsi"/>
          <w:sz w:val="22"/>
          <w:szCs w:val="22"/>
        </w:rPr>
        <w:t xml:space="preserve">In El Salvador, the World Wetlands Day activities are scheduled at Ramsar </w:t>
      </w:r>
      <w:r w:rsidR="00FD616B">
        <w:rPr>
          <w:rFonts w:asciiTheme="majorHAnsi" w:hAnsiTheme="majorHAnsi" w:cstheme="majorHAnsi"/>
          <w:sz w:val="22"/>
          <w:szCs w:val="22"/>
        </w:rPr>
        <w:t>S</w:t>
      </w:r>
      <w:r w:rsidRPr="006053B2">
        <w:rPr>
          <w:rFonts w:asciiTheme="majorHAnsi" w:hAnsiTheme="majorHAnsi" w:cstheme="majorHAnsi"/>
          <w:sz w:val="22"/>
          <w:szCs w:val="22"/>
        </w:rPr>
        <w:t xml:space="preserve">ites by the MARN, local governments and environmental units with different local actors related to each Ramsar </w:t>
      </w:r>
      <w:r w:rsidR="00FD616B">
        <w:rPr>
          <w:rFonts w:asciiTheme="majorHAnsi" w:hAnsiTheme="majorHAnsi" w:cstheme="majorHAnsi"/>
          <w:sz w:val="22"/>
          <w:szCs w:val="22"/>
        </w:rPr>
        <w:t>S</w:t>
      </w:r>
      <w:r w:rsidRPr="006053B2">
        <w:rPr>
          <w:rFonts w:asciiTheme="majorHAnsi" w:hAnsiTheme="majorHAnsi" w:cstheme="majorHAnsi"/>
          <w:sz w:val="22"/>
          <w:szCs w:val="22"/>
        </w:rPr>
        <w:t>ite involved. This serves to reflect on the goods and services that wetlands provide, as well as reinforcing the guidelines of the Convention.</w:t>
      </w:r>
    </w:p>
    <w:p w14:paraId="7DF576DD" w14:textId="77777777" w:rsidR="00542AE9" w:rsidRPr="006053B2" w:rsidRDefault="00542AE9" w:rsidP="006053B2">
      <w:pPr>
        <w:ind w:left="426" w:hanging="426"/>
        <w:rPr>
          <w:rFonts w:asciiTheme="majorHAnsi" w:hAnsiTheme="majorHAnsi" w:cstheme="majorHAnsi"/>
          <w:sz w:val="22"/>
          <w:szCs w:val="22"/>
        </w:rPr>
      </w:pPr>
    </w:p>
    <w:p w14:paraId="4CDDEA34" w14:textId="4C27AFF9" w:rsidR="00542AE9" w:rsidRPr="006053B2" w:rsidRDefault="00542AE9" w:rsidP="006053B2">
      <w:pPr>
        <w:numPr>
          <w:ilvl w:val="0"/>
          <w:numId w:val="1"/>
        </w:numPr>
        <w:ind w:left="426" w:hanging="426"/>
        <w:rPr>
          <w:rFonts w:asciiTheme="majorHAnsi" w:hAnsiTheme="majorHAnsi" w:cstheme="majorHAnsi"/>
          <w:sz w:val="22"/>
          <w:szCs w:val="22"/>
        </w:rPr>
      </w:pPr>
      <w:r w:rsidRPr="006053B2">
        <w:rPr>
          <w:rFonts w:asciiTheme="majorHAnsi" w:hAnsiTheme="majorHAnsi" w:cstheme="majorHAnsi"/>
          <w:sz w:val="22"/>
          <w:szCs w:val="22"/>
        </w:rPr>
        <w:t xml:space="preserve">In Estonia, during 2018 and 2020, conferences </w:t>
      </w:r>
      <w:r w:rsidR="00FD616B" w:rsidRPr="006053B2">
        <w:rPr>
          <w:rFonts w:asciiTheme="majorHAnsi" w:hAnsiTheme="majorHAnsi" w:cstheme="majorHAnsi"/>
          <w:sz w:val="22"/>
          <w:szCs w:val="22"/>
        </w:rPr>
        <w:t>organi</w:t>
      </w:r>
      <w:r w:rsidR="00FD616B">
        <w:rPr>
          <w:rFonts w:asciiTheme="majorHAnsi" w:hAnsiTheme="majorHAnsi" w:cstheme="majorHAnsi"/>
          <w:sz w:val="22"/>
          <w:szCs w:val="22"/>
        </w:rPr>
        <w:t>z</w:t>
      </w:r>
      <w:r w:rsidR="00FD616B" w:rsidRPr="006053B2">
        <w:rPr>
          <w:rFonts w:asciiTheme="majorHAnsi" w:hAnsiTheme="majorHAnsi" w:cstheme="majorHAnsi"/>
          <w:sz w:val="22"/>
          <w:szCs w:val="22"/>
        </w:rPr>
        <w:t xml:space="preserve">ed </w:t>
      </w:r>
      <w:r w:rsidRPr="006053B2">
        <w:rPr>
          <w:rFonts w:asciiTheme="majorHAnsi" w:hAnsiTheme="majorHAnsi" w:cstheme="majorHAnsi"/>
          <w:sz w:val="22"/>
          <w:szCs w:val="22"/>
        </w:rPr>
        <w:t>and supported by WWF Estonia, Estonian Wetland Society, Estonian Ministry of Environment and Environmental Board were held. 200 attendees were present, in-person and virtually.</w:t>
      </w:r>
    </w:p>
    <w:p w14:paraId="4AB10691" w14:textId="678B7468" w:rsidR="00542AE9" w:rsidRPr="006053B2" w:rsidRDefault="00542AE9" w:rsidP="006053B2">
      <w:pPr>
        <w:ind w:left="426" w:hanging="426"/>
        <w:rPr>
          <w:rFonts w:asciiTheme="majorHAnsi" w:hAnsiTheme="majorHAnsi" w:cstheme="majorHAnsi"/>
          <w:sz w:val="22"/>
          <w:szCs w:val="22"/>
        </w:rPr>
      </w:pPr>
    </w:p>
    <w:p w14:paraId="0455CA9C" w14:textId="3E829514" w:rsidR="00542AE9" w:rsidRPr="006053B2" w:rsidRDefault="00542AE9" w:rsidP="006053B2">
      <w:pPr>
        <w:numPr>
          <w:ilvl w:val="0"/>
          <w:numId w:val="1"/>
        </w:numPr>
        <w:ind w:left="426" w:hanging="426"/>
        <w:rPr>
          <w:rFonts w:asciiTheme="majorHAnsi" w:hAnsiTheme="majorHAnsi" w:cstheme="majorHAnsi"/>
          <w:sz w:val="22"/>
          <w:szCs w:val="22"/>
        </w:rPr>
      </w:pPr>
      <w:r w:rsidRPr="006053B2">
        <w:rPr>
          <w:rFonts w:asciiTheme="majorHAnsi" w:hAnsiTheme="majorHAnsi" w:cstheme="majorHAnsi"/>
          <w:sz w:val="22"/>
          <w:szCs w:val="22"/>
        </w:rPr>
        <w:lastRenderedPageBreak/>
        <w:t xml:space="preserve">In France, World Wetlands Day is </w:t>
      </w:r>
      <w:r w:rsidR="005E0B7A" w:rsidRPr="006053B2">
        <w:rPr>
          <w:rFonts w:asciiTheme="majorHAnsi" w:hAnsiTheme="majorHAnsi" w:cstheme="majorHAnsi"/>
          <w:sz w:val="22"/>
          <w:szCs w:val="22"/>
        </w:rPr>
        <w:t>organi</w:t>
      </w:r>
      <w:r w:rsidR="005E0B7A">
        <w:rPr>
          <w:rFonts w:asciiTheme="majorHAnsi" w:hAnsiTheme="majorHAnsi" w:cstheme="majorHAnsi"/>
          <w:sz w:val="22"/>
          <w:szCs w:val="22"/>
        </w:rPr>
        <w:t>z</w:t>
      </w:r>
      <w:r w:rsidR="005E0B7A" w:rsidRPr="006053B2">
        <w:rPr>
          <w:rFonts w:asciiTheme="majorHAnsi" w:hAnsiTheme="majorHAnsi" w:cstheme="majorHAnsi"/>
          <w:sz w:val="22"/>
          <w:szCs w:val="22"/>
        </w:rPr>
        <w:t xml:space="preserve">ed </w:t>
      </w:r>
      <w:r w:rsidRPr="006053B2">
        <w:rPr>
          <w:rFonts w:asciiTheme="majorHAnsi" w:hAnsiTheme="majorHAnsi" w:cstheme="majorHAnsi"/>
          <w:sz w:val="22"/>
          <w:szCs w:val="22"/>
        </w:rPr>
        <w:t>by a national steering committee bringing together all the networks of natural area managers and environmental education stakeholders, and benefits from a national launch day with media coverage. Numerous communication and awareness-raising actions (seminars, competitions, training courses, exhibitions) are carried out by the Ministry and its public establishments.</w:t>
      </w:r>
    </w:p>
    <w:p w14:paraId="6A4A85A8" w14:textId="77777777" w:rsidR="00542AE9" w:rsidRPr="006053B2" w:rsidRDefault="00542AE9" w:rsidP="006053B2">
      <w:pPr>
        <w:ind w:left="426" w:hanging="426"/>
        <w:rPr>
          <w:rFonts w:asciiTheme="majorHAnsi" w:hAnsiTheme="majorHAnsi" w:cstheme="majorHAnsi"/>
          <w:sz w:val="22"/>
          <w:szCs w:val="22"/>
        </w:rPr>
      </w:pPr>
    </w:p>
    <w:p w14:paraId="47F666B5" w14:textId="28F51684" w:rsidR="00542AE9" w:rsidRPr="006053B2" w:rsidRDefault="00542AE9" w:rsidP="006053B2">
      <w:pPr>
        <w:numPr>
          <w:ilvl w:val="0"/>
          <w:numId w:val="1"/>
        </w:numPr>
        <w:ind w:left="426" w:hanging="426"/>
        <w:rPr>
          <w:rFonts w:asciiTheme="majorHAnsi" w:hAnsiTheme="majorHAnsi" w:cstheme="majorHAnsi"/>
          <w:sz w:val="22"/>
          <w:szCs w:val="22"/>
        </w:rPr>
      </w:pPr>
      <w:r w:rsidRPr="006053B2">
        <w:rPr>
          <w:rFonts w:asciiTheme="majorHAnsi" w:hAnsiTheme="majorHAnsi" w:cstheme="majorHAnsi"/>
          <w:sz w:val="22"/>
          <w:szCs w:val="22"/>
        </w:rPr>
        <w:t xml:space="preserve">In Georgia, </w:t>
      </w:r>
      <w:r w:rsidR="00E56A58">
        <w:rPr>
          <w:rFonts w:asciiTheme="majorHAnsi" w:hAnsiTheme="majorHAnsi" w:cstheme="majorHAnsi"/>
          <w:sz w:val="22"/>
          <w:szCs w:val="22"/>
        </w:rPr>
        <w:t>a</w:t>
      </w:r>
      <w:r w:rsidR="00E56A58" w:rsidRPr="006053B2">
        <w:rPr>
          <w:rFonts w:asciiTheme="majorHAnsi" w:hAnsiTheme="majorHAnsi" w:cstheme="majorHAnsi"/>
          <w:sz w:val="22"/>
          <w:szCs w:val="22"/>
        </w:rPr>
        <w:t xml:space="preserve"> </w:t>
      </w:r>
      <w:r w:rsidR="00E56A58">
        <w:rPr>
          <w:rFonts w:asciiTheme="majorHAnsi" w:hAnsiTheme="majorHAnsi" w:cstheme="majorHAnsi"/>
          <w:sz w:val="22"/>
          <w:szCs w:val="22"/>
        </w:rPr>
        <w:t>c</w:t>
      </w:r>
      <w:r w:rsidR="00E56A58" w:rsidRPr="006053B2">
        <w:rPr>
          <w:rFonts w:asciiTheme="majorHAnsi" w:hAnsiTheme="majorHAnsi" w:cstheme="majorHAnsi"/>
          <w:sz w:val="22"/>
          <w:szCs w:val="22"/>
        </w:rPr>
        <w:t xml:space="preserve">onference </w:t>
      </w:r>
      <w:r w:rsidRPr="006053B2">
        <w:rPr>
          <w:rFonts w:asciiTheme="majorHAnsi" w:hAnsiTheme="majorHAnsi" w:cstheme="majorHAnsi"/>
          <w:sz w:val="22"/>
          <w:szCs w:val="22"/>
        </w:rPr>
        <w:t>for school students was held during 2019 at the administrative Centre of Kobuleti Protected Areas (Ispani mire). Students prepared presentations focused solely on the services that wetlands provide.</w:t>
      </w:r>
    </w:p>
    <w:p w14:paraId="52CEFE14" w14:textId="77777777" w:rsidR="00542AE9" w:rsidRPr="006053B2" w:rsidRDefault="00542AE9" w:rsidP="006053B2">
      <w:pPr>
        <w:ind w:left="426" w:hanging="426"/>
        <w:rPr>
          <w:rFonts w:asciiTheme="majorHAnsi" w:hAnsiTheme="majorHAnsi" w:cstheme="majorHAnsi"/>
          <w:sz w:val="22"/>
          <w:szCs w:val="22"/>
        </w:rPr>
      </w:pPr>
    </w:p>
    <w:p w14:paraId="69F61450" w14:textId="5D6D9454" w:rsidR="00542AE9" w:rsidRPr="006053B2" w:rsidRDefault="00542AE9" w:rsidP="006053B2">
      <w:pPr>
        <w:numPr>
          <w:ilvl w:val="0"/>
          <w:numId w:val="1"/>
        </w:numPr>
        <w:ind w:left="426" w:hanging="426"/>
        <w:rPr>
          <w:rFonts w:asciiTheme="majorHAnsi" w:hAnsiTheme="majorHAnsi" w:cstheme="majorHAnsi"/>
          <w:sz w:val="22"/>
          <w:szCs w:val="22"/>
        </w:rPr>
      </w:pPr>
      <w:r w:rsidRPr="006053B2">
        <w:rPr>
          <w:rFonts w:asciiTheme="majorHAnsi" w:hAnsiTheme="majorHAnsi" w:cstheme="majorHAnsi"/>
          <w:sz w:val="22"/>
          <w:szCs w:val="22"/>
        </w:rPr>
        <w:t>In Germany, selected Ramsar Sites have been organi</w:t>
      </w:r>
      <w:r w:rsidR="005E0B7A">
        <w:rPr>
          <w:rFonts w:asciiTheme="majorHAnsi" w:hAnsiTheme="majorHAnsi" w:cstheme="majorHAnsi"/>
          <w:sz w:val="22"/>
          <w:szCs w:val="22"/>
        </w:rPr>
        <w:t>z</w:t>
      </w:r>
      <w:r w:rsidRPr="006053B2">
        <w:rPr>
          <w:rFonts w:asciiTheme="majorHAnsi" w:hAnsiTheme="majorHAnsi" w:cstheme="majorHAnsi"/>
          <w:sz w:val="22"/>
          <w:szCs w:val="22"/>
        </w:rPr>
        <w:t xml:space="preserve">ing events for many years, some of which have a local theme and are relevant to the Convention. Examples include events on the Upper Rhine, where a specialist annual conference to mark World Wetlands Day is hosted in alternate years by France and Germany, addressing current issues in the French-German Site ‘Rhin Supérieur’. </w:t>
      </w:r>
    </w:p>
    <w:p w14:paraId="2076331B" w14:textId="77777777" w:rsidR="00542AE9" w:rsidRPr="006053B2" w:rsidRDefault="00542AE9" w:rsidP="006053B2">
      <w:pPr>
        <w:ind w:left="426" w:hanging="426"/>
        <w:rPr>
          <w:rFonts w:asciiTheme="majorHAnsi" w:hAnsiTheme="majorHAnsi" w:cstheme="majorHAnsi"/>
          <w:sz w:val="22"/>
          <w:szCs w:val="22"/>
        </w:rPr>
      </w:pPr>
    </w:p>
    <w:p w14:paraId="719357D1" w14:textId="77777777" w:rsidR="00542AE9" w:rsidRPr="006053B2" w:rsidRDefault="00542AE9" w:rsidP="006053B2">
      <w:pPr>
        <w:numPr>
          <w:ilvl w:val="0"/>
          <w:numId w:val="1"/>
        </w:numPr>
        <w:ind w:left="426" w:hanging="426"/>
        <w:rPr>
          <w:rFonts w:asciiTheme="majorHAnsi" w:hAnsiTheme="majorHAnsi" w:cstheme="majorHAnsi"/>
          <w:sz w:val="22"/>
          <w:szCs w:val="22"/>
        </w:rPr>
      </w:pPr>
      <w:r w:rsidRPr="006053B2">
        <w:rPr>
          <w:rFonts w:asciiTheme="majorHAnsi" w:hAnsiTheme="majorHAnsi" w:cstheme="majorHAnsi"/>
          <w:sz w:val="22"/>
          <w:szCs w:val="22"/>
        </w:rPr>
        <w:t>In Guatemala, CONAP, together with various NGOs and partners, plan activities to commemorate World Wetlands Day throughout the country, using different platforms to convey the message to the population about the importance of wetlands.</w:t>
      </w:r>
    </w:p>
    <w:p w14:paraId="3C9CD1EE" w14:textId="77777777" w:rsidR="00542AE9" w:rsidRPr="006053B2" w:rsidRDefault="00542AE9" w:rsidP="006053B2">
      <w:pPr>
        <w:ind w:left="426" w:hanging="426"/>
        <w:rPr>
          <w:rFonts w:asciiTheme="majorHAnsi" w:hAnsiTheme="majorHAnsi" w:cstheme="majorHAnsi"/>
          <w:sz w:val="22"/>
          <w:szCs w:val="22"/>
        </w:rPr>
      </w:pPr>
    </w:p>
    <w:p w14:paraId="672E6B9A" w14:textId="77777777" w:rsidR="00542AE9" w:rsidRPr="006053B2" w:rsidRDefault="00542AE9" w:rsidP="006053B2">
      <w:pPr>
        <w:numPr>
          <w:ilvl w:val="0"/>
          <w:numId w:val="1"/>
        </w:numPr>
        <w:ind w:left="426" w:hanging="426"/>
        <w:rPr>
          <w:rFonts w:asciiTheme="majorHAnsi" w:hAnsiTheme="majorHAnsi" w:cstheme="majorHAnsi"/>
          <w:sz w:val="22"/>
          <w:szCs w:val="22"/>
        </w:rPr>
      </w:pPr>
      <w:r w:rsidRPr="006053B2">
        <w:rPr>
          <w:rFonts w:asciiTheme="majorHAnsi" w:hAnsiTheme="majorHAnsi" w:cstheme="majorHAnsi"/>
          <w:sz w:val="22"/>
          <w:szCs w:val="22"/>
        </w:rPr>
        <w:t xml:space="preserve">In Honduras, the Bay Islands, World Wetlands Day and World Oceans Day are celebrated annually. Traditionally, this is conducted by raising awareness of the importance of wetlands in communities, schools and colleges; through talks, reforestation, clean-ups and competitions. </w:t>
      </w:r>
    </w:p>
    <w:p w14:paraId="7AE2F278" w14:textId="77777777" w:rsidR="00542AE9" w:rsidRPr="006053B2" w:rsidRDefault="00542AE9" w:rsidP="006053B2">
      <w:pPr>
        <w:ind w:left="426" w:hanging="426"/>
        <w:rPr>
          <w:rFonts w:asciiTheme="majorHAnsi" w:hAnsiTheme="majorHAnsi" w:cstheme="majorHAnsi"/>
          <w:sz w:val="22"/>
          <w:szCs w:val="22"/>
        </w:rPr>
      </w:pPr>
    </w:p>
    <w:p w14:paraId="6F7CEBA3" w14:textId="673F98FD" w:rsidR="00542AE9" w:rsidRPr="006053B2" w:rsidRDefault="00542AE9" w:rsidP="006053B2">
      <w:pPr>
        <w:numPr>
          <w:ilvl w:val="0"/>
          <w:numId w:val="1"/>
        </w:numPr>
        <w:ind w:left="426" w:hanging="426"/>
        <w:rPr>
          <w:rFonts w:asciiTheme="majorHAnsi" w:hAnsiTheme="majorHAnsi" w:cstheme="majorHAnsi"/>
          <w:sz w:val="22"/>
          <w:szCs w:val="22"/>
        </w:rPr>
      </w:pPr>
      <w:r w:rsidRPr="006053B2">
        <w:rPr>
          <w:rFonts w:asciiTheme="majorHAnsi" w:hAnsiTheme="majorHAnsi" w:cstheme="majorHAnsi"/>
          <w:sz w:val="22"/>
          <w:szCs w:val="22"/>
        </w:rPr>
        <w:t xml:space="preserve">In Hungary, the Wild Goose Festival is held annually at Lake Tata (Ramsar </w:t>
      </w:r>
      <w:r w:rsidR="00E56A58">
        <w:rPr>
          <w:rFonts w:asciiTheme="majorHAnsi" w:hAnsiTheme="majorHAnsi" w:cstheme="majorHAnsi"/>
          <w:sz w:val="22"/>
          <w:szCs w:val="22"/>
        </w:rPr>
        <w:t>S</w:t>
      </w:r>
      <w:r w:rsidR="00E56A58" w:rsidRPr="006053B2">
        <w:rPr>
          <w:rFonts w:asciiTheme="majorHAnsi" w:hAnsiTheme="majorHAnsi" w:cstheme="majorHAnsi"/>
          <w:sz w:val="22"/>
          <w:szCs w:val="22"/>
        </w:rPr>
        <w:t>ite</w:t>
      </w:r>
      <w:r w:rsidRPr="006053B2">
        <w:rPr>
          <w:rFonts w:asciiTheme="majorHAnsi" w:hAnsiTheme="majorHAnsi" w:cstheme="majorHAnsi"/>
          <w:sz w:val="22"/>
          <w:szCs w:val="22"/>
        </w:rPr>
        <w:t xml:space="preserve">). 7,000-14,000 visitors usually attend during the festival. Activities include presentations on wetland values, an eco-market, a bird race as well as the spectacular flight of thousands of geese towards the lake at dusk. </w:t>
      </w:r>
    </w:p>
    <w:p w14:paraId="2668CAC5" w14:textId="77777777" w:rsidR="00542AE9" w:rsidRPr="006053B2" w:rsidRDefault="00542AE9" w:rsidP="006053B2">
      <w:pPr>
        <w:ind w:left="426" w:hanging="426"/>
        <w:rPr>
          <w:rFonts w:asciiTheme="majorHAnsi" w:hAnsiTheme="majorHAnsi" w:cstheme="majorHAnsi"/>
          <w:sz w:val="22"/>
          <w:szCs w:val="22"/>
        </w:rPr>
      </w:pPr>
    </w:p>
    <w:p w14:paraId="1D37B977" w14:textId="2E8E0A77" w:rsidR="00542AE9" w:rsidRPr="006053B2" w:rsidRDefault="00542AE9" w:rsidP="006053B2">
      <w:pPr>
        <w:numPr>
          <w:ilvl w:val="0"/>
          <w:numId w:val="1"/>
        </w:numPr>
        <w:ind w:left="426" w:hanging="426"/>
        <w:rPr>
          <w:rFonts w:asciiTheme="majorHAnsi" w:hAnsiTheme="majorHAnsi" w:cstheme="majorHAnsi"/>
          <w:sz w:val="22"/>
          <w:szCs w:val="22"/>
        </w:rPr>
      </w:pPr>
      <w:r w:rsidRPr="006053B2">
        <w:rPr>
          <w:rFonts w:asciiTheme="majorHAnsi" w:hAnsiTheme="majorHAnsi" w:cstheme="majorHAnsi"/>
          <w:sz w:val="22"/>
          <w:szCs w:val="22"/>
        </w:rPr>
        <w:t xml:space="preserve">In India, the Ministry supports World Wetlands Day celebrations. In 2019, the WWD was held at Bhitarkanika, Odisha and in Sur Sarovar (Keetham) at Agra, Uttar Pradesh </w:t>
      </w:r>
      <w:r w:rsidR="00E56A58">
        <w:rPr>
          <w:rFonts w:asciiTheme="majorHAnsi" w:hAnsiTheme="majorHAnsi" w:cstheme="majorHAnsi"/>
          <w:sz w:val="22"/>
          <w:szCs w:val="22"/>
        </w:rPr>
        <w:t xml:space="preserve">the </w:t>
      </w:r>
      <w:r w:rsidRPr="006053B2">
        <w:rPr>
          <w:rFonts w:asciiTheme="majorHAnsi" w:hAnsiTheme="majorHAnsi" w:cstheme="majorHAnsi"/>
          <w:sz w:val="22"/>
          <w:szCs w:val="22"/>
        </w:rPr>
        <w:t xml:space="preserve">following year. A virtual event was held in 2021. </w:t>
      </w:r>
    </w:p>
    <w:p w14:paraId="7DD2D228" w14:textId="77777777" w:rsidR="00542AE9" w:rsidRPr="006053B2" w:rsidRDefault="00542AE9" w:rsidP="006053B2">
      <w:pPr>
        <w:ind w:left="426" w:hanging="426"/>
        <w:rPr>
          <w:rFonts w:asciiTheme="majorHAnsi" w:hAnsiTheme="majorHAnsi" w:cstheme="majorHAnsi"/>
          <w:sz w:val="22"/>
          <w:szCs w:val="22"/>
        </w:rPr>
      </w:pPr>
    </w:p>
    <w:p w14:paraId="1BD5571F" w14:textId="0DDD038C" w:rsidR="00542AE9" w:rsidRPr="006053B2" w:rsidRDefault="00542AE9" w:rsidP="006053B2">
      <w:pPr>
        <w:numPr>
          <w:ilvl w:val="0"/>
          <w:numId w:val="1"/>
        </w:numPr>
        <w:ind w:left="426" w:hanging="426"/>
        <w:rPr>
          <w:rFonts w:asciiTheme="majorHAnsi" w:hAnsiTheme="majorHAnsi" w:cstheme="majorHAnsi"/>
          <w:sz w:val="22"/>
          <w:szCs w:val="22"/>
        </w:rPr>
      </w:pPr>
      <w:r w:rsidRPr="006053B2">
        <w:rPr>
          <w:rFonts w:asciiTheme="majorHAnsi" w:hAnsiTheme="majorHAnsi" w:cstheme="majorHAnsi"/>
          <w:sz w:val="22"/>
          <w:szCs w:val="22"/>
        </w:rPr>
        <w:t xml:space="preserve">In Iran, an official ceremony is held on World Wetlands Day alongside one of the country's most important wetlands with the presence of local, national and international officials. This ceremony was held in 2020 near the Zarivar wetland of Kordestan province which was registered as a Ramsar </w:t>
      </w:r>
      <w:r w:rsidR="00A12D9B">
        <w:rPr>
          <w:rFonts w:asciiTheme="majorHAnsi" w:hAnsiTheme="majorHAnsi" w:cstheme="majorHAnsi"/>
          <w:sz w:val="22"/>
          <w:szCs w:val="22"/>
        </w:rPr>
        <w:t>S</w:t>
      </w:r>
      <w:r w:rsidRPr="006053B2">
        <w:rPr>
          <w:rFonts w:asciiTheme="majorHAnsi" w:hAnsiTheme="majorHAnsi" w:cstheme="majorHAnsi"/>
          <w:sz w:val="22"/>
          <w:szCs w:val="22"/>
        </w:rPr>
        <w:t>ite in 2019. In addition, other local events have been held in provinces by the General Directorate and the Provincial Bureau of the Environment and local NGOs.</w:t>
      </w:r>
    </w:p>
    <w:p w14:paraId="627C0D36" w14:textId="77777777" w:rsidR="00542AE9" w:rsidRPr="006053B2" w:rsidRDefault="00542AE9" w:rsidP="006053B2">
      <w:pPr>
        <w:ind w:left="426" w:hanging="426"/>
        <w:rPr>
          <w:rFonts w:asciiTheme="majorHAnsi" w:hAnsiTheme="majorHAnsi" w:cstheme="majorHAnsi"/>
          <w:sz w:val="22"/>
          <w:szCs w:val="22"/>
        </w:rPr>
      </w:pPr>
    </w:p>
    <w:p w14:paraId="4C13BF5C" w14:textId="72DDB8F8" w:rsidR="00542AE9" w:rsidRPr="006053B2" w:rsidRDefault="00542AE9" w:rsidP="006053B2">
      <w:pPr>
        <w:numPr>
          <w:ilvl w:val="0"/>
          <w:numId w:val="1"/>
        </w:numPr>
        <w:ind w:left="426" w:hanging="426"/>
        <w:rPr>
          <w:rFonts w:asciiTheme="majorHAnsi" w:hAnsiTheme="majorHAnsi" w:cstheme="majorHAnsi"/>
          <w:sz w:val="22"/>
          <w:szCs w:val="22"/>
        </w:rPr>
      </w:pPr>
      <w:r w:rsidRPr="006053B2">
        <w:rPr>
          <w:rFonts w:asciiTheme="majorHAnsi" w:hAnsiTheme="majorHAnsi" w:cstheme="majorHAnsi"/>
          <w:sz w:val="22"/>
          <w:szCs w:val="22"/>
        </w:rPr>
        <w:t xml:space="preserve">In Iraq, events have been staged annually by the CRIMW since 2011 focused on the slogan of the </w:t>
      </w:r>
      <w:r w:rsidR="00A12D9B">
        <w:rPr>
          <w:rFonts w:asciiTheme="majorHAnsi" w:hAnsiTheme="majorHAnsi" w:cstheme="majorHAnsi"/>
          <w:sz w:val="22"/>
          <w:szCs w:val="22"/>
        </w:rPr>
        <w:t>C</w:t>
      </w:r>
      <w:r w:rsidRPr="006053B2">
        <w:rPr>
          <w:rFonts w:asciiTheme="majorHAnsi" w:hAnsiTheme="majorHAnsi" w:cstheme="majorHAnsi"/>
          <w:sz w:val="22"/>
          <w:szCs w:val="22"/>
        </w:rPr>
        <w:t xml:space="preserve">onvention for each year and with wide-ranging participation from various groups. Promotional festivals for traditional industries, in addition to promotional activities and events were held during the last three years by CRIMW. </w:t>
      </w:r>
    </w:p>
    <w:p w14:paraId="2CA11818" w14:textId="77777777" w:rsidR="00542AE9" w:rsidRPr="006053B2" w:rsidRDefault="00542AE9" w:rsidP="006053B2">
      <w:pPr>
        <w:ind w:left="426" w:hanging="426"/>
        <w:rPr>
          <w:rFonts w:asciiTheme="majorHAnsi" w:hAnsiTheme="majorHAnsi" w:cstheme="majorHAnsi"/>
          <w:sz w:val="22"/>
          <w:szCs w:val="22"/>
        </w:rPr>
      </w:pPr>
    </w:p>
    <w:p w14:paraId="3B262B3C" w14:textId="47BF42DD" w:rsidR="00542AE9" w:rsidRPr="006053B2" w:rsidRDefault="00542AE9" w:rsidP="006053B2">
      <w:pPr>
        <w:numPr>
          <w:ilvl w:val="0"/>
          <w:numId w:val="1"/>
        </w:numPr>
        <w:ind w:left="426" w:hanging="426"/>
        <w:rPr>
          <w:rFonts w:asciiTheme="majorHAnsi" w:hAnsiTheme="majorHAnsi" w:cstheme="majorHAnsi"/>
          <w:sz w:val="22"/>
          <w:szCs w:val="22"/>
        </w:rPr>
      </w:pPr>
      <w:r w:rsidRPr="006053B2">
        <w:rPr>
          <w:rFonts w:asciiTheme="majorHAnsi" w:hAnsiTheme="majorHAnsi" w:cstheme="majorHAnsi"/>
          <w:sz w:val="22"/>
          <w:szCs w:val="22"/>
        </w:rPr>
        <w:t xml:space="preserve">In Ireland, a website was created to provide information on the implementation of Committee actions </w:t>
      </w:r>
      <w:r w:rsidR="00A12D9B">
        <w:rPr>
          <w:rFonts w:asciiTheme="majorHAnsi" w:hAnsiTheme="majorHAnsi" w:cstheme="majorHAnsi"/>
          <w:sz w:val="22"/>
          <w:szCs w:val="22"/>
        </w:rPr>
        <w:t xml:space="preserve">for </w:t>
      </w:r>
      <w:r w:rsidRPr="006053B2">
        <w:rPr>
          <w:rFonts w:asciiTheme="majorHAnsi" w:hAnsiTheme="majorHAnsi" w:cstheme="majorHAnsi"/>
          <w:sz w:val="22"/>
          <w:szCs w:val="22"/>
        </w:rPr>
        <w:t>Irish wetlands. The Community Wetlands Handbook was produced by the Community Wetlands Forum (CWF) as part of a small-scale study funded by the EPA under its IRWC remit.</w:t>
      </w:r>
      <w:r w:rsidR="001E664B">
        <w:rPr>
          <w:rFonts w:asciiTheme="majorHAnsi" w:hAnsiTheme="majorHAnsi" w:cstheme="majorHAnsi"/>
          <w:sz w:val="22"/>
          <w:szCs w:val="22"/>
        </w:rPr>
        <w:t xml:space="preserve"> </w:t>
      </w:r>
    </w:p>
    <w:p w14:paraId="6062432A" w14:textId="1CE1CC18" w:rsidR="00542AE9" w:rsidRPr="006053B2" w:rsidRDefault="00542AE9" w:rsidP="006053B2">
      <w:pPr>
        <w:ind w:left="426" w:hanging="426"/>
        <w:rPr>
          <w:rFonts w:asciiTheme="majorHAnsi" w:hAnsiTheme="majorHAnsi" w:cstheme="majorHAnsi"/>
          <w:sz w:val="22"/>
          <w:szCs w:val="22"/>
        </w:rPr>
      </w:pPr>
    </w:p>
    <w:p w14:paraId="34B79A38" w14:textId="6E2EADF0" w:rsidR="00542AE9" w:rsidRPr="006053B2" w:rsidRDefault="00542AE9" w:rsidP="006053B2">
      <w:pPr>
        <w:numPr>
          <w:ilvl w:val="0"/>
          <w:numId w:val="1"/>
        </w:numPr>
        <w:ind w:left="426" w:hanging="426"/>
        <w:rPr>
          <w:rFonts w:asciiTheme="majorHAnsi" w:hAnsiTheme="majorHAnsi" w:cstheme="majorHAnsi"/>
          <w:sz w:val="22"/>
          <w:szCs w:val="22"/>
        </w:rPr>
      </w:pPr>
      <w:r w:rsidRPr="006053B2">
        <w:rPr>
          <w:rFonts w:asciiTheme="majorHAnsi" w:hAnsiTheme="majorHAnsi" w:cstheme="majorHAnsi"/>
          <w:sz w:val="22"/>
          <w:szCs w:val="22"/>
        </w:rPr>
        <w:t xml:space="preserve">In Jamaica, Birdlife Jamaica, NEPA and Birds Caribbean coordinated with Caribbean Water Bird Centres during World Wetlands Day 2017. Institute of Jamaica </w:t>
      </w:r>
      <w:r w:rsidR="00A12D9B">
        <w:rPr>
          <w:rFonts w:asciiTheme="majorHAnsi" w:hAnsiTheme="majorHAnsi" w:cstheme="majorHAnsi"/>
          <w:sz w:val="22"/>
          <w:szCs w:val="22"/>
        </w:rPr>
        <w:t>(</w:t>
      </w:r>
      <w:r w:rsidRPr="006053B2">
        <w:rPr>
          <w:rFonts w:asciiTheme="majorHAnsi" w:hAnsiTheme="majorHAnsi" w:cstheme="majorHAnsi"/>
          <w:sz w:val="22"/>
          <w:szCs w:val="22"/>
        </w:rPr>
        <w:t>IOJ</w:t>
      </w:r>
      <w:r w:rsidR="00A12D9B">
        <w:rPr>
          <w:rFonts w:asciiTheme="majorHAnsi" w:hAnsiTheme="majorHAnsi" w:cstheme="majorHAnsi"/>
          <w:sz w:val="22"/>
          <w:szCs w:val="22"/>
        </w:rPr>
        <w:t>)</w:t>
      </w:r>
      <w:r w:rsidRPr="006053B2">
        <w:rPr>
          <w:rFonts w:asciiTheme="majorHAnsi" w:hAnsiTheme="majorHAnsi" w:cstheme="majorHAnsi"/>
          <w:sz w:val="22"/>
          <w:szCs w:val="22"/>
        </w:rPr>
        <w:t xml:space="preserve"> led activities that included </w:t>
      </w:r>
      <w:r w:rsidRPr="006053B2">
        <w:rPr>
          <w:rFonts w:asciiTheme="majorHAnsi" w:hAnsiTheme="majorHAnsi" w:cstheme="majorHAnsi"/>
          <w:sz w:val="22"/>
          <w:szCs w:val="22"/>
        </w:rPr>
        <w:lastRenderedPageBreak/>
        <w:t>school outreach, tours, presentations to communities and schools. Social media was also used for greater outreach.</w:t>
      </w:r>
    </w:p>
    <w:p w14:paraId="02A428C5" w14:textId="77777777" w:rsidR="00542AE9" w:rsidRPr="006053B2" w:rsidRDefault="00542AE9" w:rsidP="006053B2">
      <w:pPr>
        <w:ind w:left="426" w:hanging="426"/>
        <w:rPr>
          <w:rFonts w:asciiTheme="majorHAnsi" w:hAnsiTheme="majorHAnsi" w:cstheme="majorHAnsi"/>
          <w:sz w:val="22"/>
          <w:szCs w:val="22"/>
        </w:rPr>
      </w:pPr>
    </w:p>
    <w:p w14:paraId="6EBCB98C" w14:textId="3B86B483" w:rsidR="00542AE9" w:rsidRPr="006053B2" w:rsidRDefault="00542AE9" w:rsidP="006053B2">
      <w:pPr>
        <w:numPr>
          <w:ilvl w:val="0"/>
          <w:numId w:val="1"/>
        </w:numPr>
        <w:ind w:left="426" w:hanging="426"/>
        <w:rPr>
          <w:rFonts w:asciiTheme="majorHAnsi" w:hAnsiTheme="majorHAnsi" w:cstheme="majorHAnsi"/>
          <w:sz w:val="22"/>
          <w:szCs w:val="22"/>
        </w:rPr>
      </w:pPr>
      <w:r w:rsidRPr="006053B2">
        <w:rPr>
          <w:rFonts w:asciiTheme="majorHAnsi" w:hAnsiTheme="majorHAnsi" w:cstheme="majorHAnsi"/>
          <w:sz w:val="22"/>
          <w:szCs w:val="22"/>
        </w:rPr>
        <w:t xml:space="preserve">In Japan, a </w:t>
      </w:r>
      <w:r w:rsidR="00A12D9B">
        <w:rPr>
          <w:rFonts w:asciiTheme="majorHAnsi" w:hAnsiTheme="majorHAnsi" w:cstheme="majorHAnsi"/>
          <w:sz w:val="22"/>
          <w:szCs w:val="22"/>
        </w:rPr>
        <w:t>l</w:t>
      </w:r>
      <w:r w:rsidR="00A12D9B" w:rsidRPr="006053B2">
        <w:rPr>
          <w:rFonts w:asciiTheme="majorHAnsi" w:hAnsiTheme="majorHAnsi" w:cstheme="majorHAnsi"/>
          <w:sz w:val="22"/>
          <w:szCs w:val="22"/>
        </w:rPr>
        <w:t xml:space="preserve">iaison </w:t>
      </w:r>
      <w:r w:rsidR="00A12D9B">
        <w:rPr>
          <w:rFonts w:asciiTheme="majorHAnsi" w:hAnsiTheme="majorHAnsi" w:cstheme="majorHAnsi"/>
          <w:sz w:val="22"/>
          <w:szCs w:val="22"/>
        </w:rPr>
        <w:t>c</w:t>
      </w:r>
      <w:r w:rsidR="00A12D9B" w:rsidRPr="006053B2">
        <w:rPr>
          <w:rFonts w:asciiTheme="majorHAnsi" w:hAnsiTheme="majorHAnsi" w:cstheme="majorHAnsi"/>
          <w:sz w:val="22"/>
          <w:szCs w:val="22"/>
        </w:rPr>
        <w:t xml:space="preserve">onference </w:t>
      </w:r>
      <w:r w:rsidRPr="006053B2">
        <w:rPr>
          <w:rFonts w:asciiTheme="majorHAnsi" w:hAnsiTheme="majorHAnsi" w:cstheme="majorHAnsi"/>
          <w:sz w:val="22"/>
          <w:szCs w:val="22"/>
        </w:rPr>
        <w:t>is hosted amongst the relevant ministries and agencies for the Ramsar Convention to regularly share information and exchange views among the Ministry of the Environment, Ministry of Agriculture, Forestry and Fisheries, Ministry of Land, Infrastructure, Transport and Tourism offices and NGOs.</w:t>
      </w:r>
    </w:p>
    <w:p w14:paraId="5927219A" w14:textId="77777777" w:rsidR="00542AE9" w:rsidRPr="006053B2" w:rsidRDefault="00542AE9" w:rsidP="006053B2">
      <w:pPr>
        <w:ind w:left="426" w:hanging="426"/>
        <w:rPr>
          <w:rFonts w:asciiTheme="majorHAnsi" w:hAnsiTheme="majorHAnsi" w:cstheme="majorHAnsi"/>
          <w:sz w:val="22"/>
          <w:szCs w:val="22"/>
        </w:rPr>
      </w:pPr>
    </w:p>
    <w:p w14:paraId="4D40F786" w14:textId="77777777" w:rsidR="00542AE9" w:rsidRPr="006053B2" w:rsidRDefault="00542AE9" w:rsidP="006053B2">
      <w:pPr>
        <w:numPr>
          <w:ilvl w:val="0"/>
          <w:numId w:val="1"/>
        </w:numPr>
        <w:ind w:left="426" w:hanging="426"/>
        <w:rPr>
          <w:rFonts w:asciiTheme="majorHAnsi" w:hAnsiTheme="majorHAnsi" w:cstheme="majorHAnsi"/>
          <w:sz w:val="22"/>
          <w:szCs w:val="22"/>
        </w:rPr>
      </w:pPr>
      <w:r w:rsidRPr="006053B2">
        <w:rPr>
          <w:rFonts w:asciiTheme="majorHAnsi" w:hAnsiTheme="majorHAnsi" w:cstheme="majorHAnsi"/>
          <w:sz w:val="22"/>
          <w:szCs w:val="22"/>
        </w:rPr>
        <w:t>In Kenya, WWD is celebrated every year in Kenya led by the Government in partnership with the local communities, NGOs, CBOs and civil society organizations. A number of build-up activities are undertaken to raise awareness on the importance of wetlands. The most recent events have been held at Enapuyapui swamp in Mau Forest complex Nakuru county and Sabaki Estuary at the Coast, Kilifi County.</w:t>
      </w:r>
    </w:p>
    <w:p w14:paraId="50649CB5" w14:textId="77777777" w:rsidR="00542AE9" w:rsidRPr="006053B2" w:rsidRDefault="00542AE9" w:rsidP="006053B2">
      <w:pPr>
        <w:ind w:left="426" w:hanging="426"/>
        <w:rPr>
          <w:rFonts w:asciiTheme="majorHAnsi" w:hAnsiTheme="majorHAnsi" w:cstheme="majorHAnsi"/>
          <w:sz w:val="22"/>
          <w:szCs w:val="22"/>
        </w:rPr>
      </w:pPr>
    </w:p>
    <w:p w14:paraId="3EDC9B1A" w14:textId="39C7D974" w:rsidR="00542AE9" w:rsidRPr="006053B2" w:rsidRDefault="00542AE9" w:rsidP="006053B2">
      <w:pPr>
        <w:numPr>
          <w:ilvl w:val="0"/>
          <w:numId w:val="1"/>
        </w:numPr>
        <w:ind w:left="426" w:hanging="426"/>
        <w:rPr>
          <w:rFonts w:asciiTheme="majorHAnsi" w:hAnsiTheme="majorHAnsi" w:cstheme="majorHAnsi"/>
          <w:sz w:val="22"/>
          <w:szCs w:val="22"/>
        </w:rPr>
      </w:pPr>
      <w:r w:rsidRPr="006053B2">
        <w:rPr>
          <w:rFonts w:asciiTheme="majorHAnsi" w:hAnsiTheme="majorHAnsi" w:cstheme="majorHAnsi"/>
          <w:sz w:val="22"/>
          <w:szCs w:val="22"/>
        </w:rPr>
        <w:t xml:space="preserve">In Kuwait, clean-up campaigns are </w:t>
      </w:r>
      <w:r w:rsidR="005E0B7A" w:rsidRPr="006053B2">
        <w:rPr>
          <w:rFonts w:asciiTheme="majorHAnsi" w:hAnsiTheme="majorHAnsi" w:cstheme="majorHAnsi"/>
          <w:sz w:val="22"/>
          <w:szCs w:val="22"/>
        </w:rPr>
        <w:t>organi</w:t>
      </w:r>
      <w:r w:rsidR="005E0B7A">
        <w:rPr>
          <w:rFonts w:asciiTheme="majorHAnsi" w:hAnsiTheme="majorHAnsi" w:cstheme="majorHAnsi"/>
          <w:sz w:val="22"/>
          <w:szCs w:val="22"/>
        </w:rPr>
        <w:t>z</w:t>
      </w:r>
      <w:r w:rsidR="005E0B7A" w:rsidRPr="006053B2">
        <w:rPr>
          <w:rFonts w:asciiTheme="majorHAnsi" w:hAnsiTheme="majorHAnsi" w:cstheme="majorHAnsi"/>
          <w:sz w:val="22"/>
          <w:szCs w:val="22"/>
        </w:rPr>
        <w:t xml:space="preserve">ed </w:t>
      </w:r>
      <w:r w:rsidRPr="006053B2">
        <w:rPr>
          <w:rFonts w:asciiTheme="majorHAnsi" w:hAnsiTheme="majorHAnsi" w:cstheme="majorHAnsi"/>
          <w:sz w:val="22"/>
          <w:szCs w:val="22"/>
        </w:rPr>
        <w:t>by the Government as well as NGOs at different sites. Educational television series assist in highlighting coastal sites in Kuwait.</w:t>
      </w:r>
    </w:p>
    <w:p w14:paraId="30371BFF" w14:textId="77777777" w:rsidR="00542AE9" w:rsidRPr="006053B2" w:rsidRDefault="00542AE9" w:rsidP="006053B2">
      <w:pPr>
        <w:ind w:left="426" w:hanging="426"/>
        <w:rPr>
          <w:rFonts w:asciiTheme="majorHAnsi" w:hAnsiTheme="majorHAnsi" w:cstheme="majorHAnsi"/>
          <w:sz w:val="22"/>
          <w:szCs w:val="22"/>
        </w:rPr>
      </w:pPr>
    </w:p>
    <w:p w14:paraId="4D39E086" w14:textId="4258FB7E" w:rsidR="00542AE9" w:rsidRPr="006053B2" w:rsidRDefault="00542AE9" w:rsidP="006053B2">
      <w:pPr>
        <w:numPr>
          <w:ilvl w:val="0"/>
          <w:numId w:val="1"/>
        </w:numPr>
        <w:ind w:left="426" w:hanging="426"/>
        <w:rPr>
          <w:rFonts w:asciiTheme="majorHAnsi" w:hAnsiTheme="majorHAnsi" w:cstheme="majorHAnsi"/>
          <w:sz w:val="22"/>
          <w:szCs w:val="22"/>
        </w:rPr>
      </w:pPr>
      <w:r w:rsidRPr="006053B2">
        <w:rPr>
          <w:rFonts w:asciiTheme="majorHAnsi" w:hAnsiTheme="majorHAnsi" w:cstheme="majorHAnsi"/>
          <w:sz w:val="22"/>
          <w:szCs w:val="22"/>
        </w:rPr>
        <w:t xml:space="preserve">In Latvia, most Convention-branded activities were </w:t>
      </w:r>
      <w:r w:rsidR="005E0B7A" w:rsidRPr="006053B2">
        <w:rPr>
          <w:rFonts w:asciiTheme="majorHAnsi" w:hAnsiTheme="majorHAnsi" w:cstheme="majorHAnsi"/>
          <w:sz w:val="22"/>
          <w:szCs w:val="22"/>
        </w:rPr>
        <w:t>organi</w:t>
      </w:r>
      <w:r w:rsidR="005E0B7A">
        <w:rPr>
          <w:rFonts w:asciiTheme="majorHAnsi" w:hAnsiTheme="majorHAnsi" w:cstheme="majorHAnsi"/>
          <w:sz w:val="22"/>
          <w:szCs w:val="22"/>
        </w:rPr>
        <w:t>z</w:t>
      </w:r>
      <w:r w:rsidR="005E0B7A" w:rsidRPr="006053B2">
        <w:rPr>
          <w:rFonts w:asciiTheme="majorHAnsi" w:hAnsiTheme="majorHAnsi" w:cstheme="majorHAnsi"/>
          <w:sz w:val="22"/>
          <w:szCs w:val="22"/>
        </w:rPr>
        <w:t xml:space="preserve">ed </w:t>
      </w:r>
      <w:r w:rsidRPr="006053B2">
        <w:rPr>
          <w:rFonts w:asciiTheme="majorHAnsi" w:hAnsiTheme="majorHAnsi" w:cstheme="majorHAnsi"/>
          <w:sz w:val="22"/>
          <w:szCs w:val="22"/>
        </w:rPr>
        <w:t xml:space="preserve">by the Nature Conservation Agency and Latvian Museum of Natural History. Various types of presentations, lectures, hiking trips, bicycle tours, green afternoons, creative lessons, workshops, reeds sculpture festivals, TV stories and interactive games have taken place all over the country, particularly in schools, museums, libraries and municipalities around Ramsar </w:t>
      </w:r>
      <w:r w:rsidR="00A12D9B">
        <w:rPr>
          <w:rFonts w:asciiTheme="majorHAnsi" w:hAnsiTheme="majorHAnsi" w:cstheme="majorHAnsi"/>
          <w:sz w:val="22"/>
          <w:szCs w:val="22"/>
        </w:rPr>
        <w:t>S</w:t>
      </w:r>
      <w:r w:rsidR="00A12D9B" w:rsidRPr="006053B2">
        <w:rPr>
          <w:rFonts w:asciiTheme="majorHAnsi" w:hAnsiTheme="majorHAnsi" w:cstheme="majorHAnsi"/>
          <w:sz w:val="22"/>
          <w:szCs w:val="22"/>
        </w:rPr>
        <w:t>ites</w:t>
      </w:r>
      <w:r w:rsidRPr="006053B2">
        <w:rPr>
          <w:rFonts w:asciiTheme="majorHAnsi" w:hAnsiTheme="majorHAnsi" w:cstheme="majorHAnsi"/>
          <w:sz w:val="22"/>
          <w:szCs w:val="22"/>
        </w:rPr>
        <w:t>.</w:t>
      </w:r>
    </w:p>
    <w:p w14:paraId="40675B2F" w14:textId="77777777" w:rsidR="00542AE9" w:rsidRPr="006053B2" w:rsidRDefault="00542AE9" w:rsidP="006053B2">
      <w:pPr>
        <w:ind w:left="426" w:hanging="426"/>
        <w:rPr>
          <w:rFonts w:asciiTheme="majorHAnsi" w:hAnsiTheme="majorHAnsi" w:cstheme="majorHAnsi"/>
          <w:sz w:val="22"/>
          <w:szCs w:val="22"/>
        </w:rPr>
      </w:pPr>
    </w:p>
    <w:p w14:paraId="5821E022" w14:textId="6AB4F21A" w:rsidR="00542AE9" w:rsidRPr="006053B2" w:rsidRDefault="00542AE9" w:rsidP="006053B2">
      <w:pPr>
        <w:numPr>
          <w:ilvl w:val="0"/>
          <w:numId w:val="1"/>
        </w:numPr>
        <w:ind w:left="426" w:hanging="426"/>
        <w:rPr>
          <w:rFonts w:asciiTheme="majorHAnsi" w:hAnsiTheme="majorHAnsi" w:cstheme="majorHAnsi"/>
          <w:sz w:val="22"/>
          <w:szCs w:val="22"/>
        </w:rPr>
      </w:pPr>
      <w:r w:rsidRPr="006053B2">
        <w:rPr>
          <w:rFonts w:asciiTheme="majorHAnsi" w:hAnsiTheme="majorHAnsi" w:cstheme="majorHAnsi"/>
          <w:sz w:val="22"/>
          <w:szCs w:val="22"/>
        </w:rPr>
        <w:t xml:space="preserve">In Malaysia, the CEPA programme has been continuously conducted in schools and villages over the past </w:t>
      </w:r>
      <w:r w:rsidR="00A12D9B">
        <w:rPr>
          <w:rFonts w:asciiTheme="majorHAnsi" w:hAnsiTheme="majorHAnsi" w:cstheme="majorHAnsi"/>
          <w:sz w:val="22"/>
          <w:szCs w:val="22"/>
        </w:rPr>
        <w:t>three</w:t>
      </w:r>
      <w:r w:rsidR="00A12D9B" w:rsidRPr="006053B2">
        <w:rPr>
          <w:rFonts w:asciiTheme="majorHAnsi" w:hAnsiTheme="majorHAnsi" w:cstheme="majorHAnsi"/>
          <w:sz w:val="22"/>
          <w:szCs w:val="22"/>
        </w:rPr>
        <w:t xml:space="preserve"> </w:t>
      </w:r>
      <w:r w:rsidRPr="006053B2">
        <w:rPr>
          <w:rFonts w:asciiTheme="majorHAnsi" w:hAnsiTheme="majorHAnsi" w:cstheme="majorHAnsi"/>
          <w:sz w:val="22"/>
          <w:szCs w:val="22"/>
        </w:rPr>
        <w:t>years. A community-based Mangrove Restoration and Awareness Program has also been developed.</w:t>
      </w:r>
    </w:p>
    <w:p w14:paraId="26A04BD3" w14:textId="77777777" w:rsidR="00542AE9" w:rsidRPr="006053B2" w:rsidRDefault="00542AE9" w:rsidP="006053B2">
      <w:pPr>
        <w:ind w:left="426" w:hanging="426"/>
        <w:rPr>
          <w:rFonts w:asciiTheme="majorHAnsi" w:hAnsiTheme="majorHAnsi" w:cstheme="majorHAnsi"/>
          <w:sz w:val="22"/>
          <w:szCs w:val="22"/>
        </w:rPr>
      </w:pPr>
    </w:p>
    <w:p w14:paraId="6E899E76" w14:textId="3AB8CDC6" w:rsidR="00542AE9" w:rsidRPr="006053B2" w:rsidRDefault="00542AE9" w:rsidP="006053B2">
      <w:pPr>
        <w:numPr>
          <w:ilvl w:val="0"/>
          <w:numId w:val="1"/>
        </w:numPr>
        <w:ind w:left="426" w:hanging="426"/>
        <w:rPr>
          <w:rFonts w:asciiTheme="majorHAnsi" w:hAnsiTheme="majorHAnsi" w:cstheme="majorHAnsi"/>
          <w:sz w:val="22"/>
          <w:szCs w:val="22"/>
        </w:rPr>
      </w:pPr>
      <w:r w:rsidRPr="006053B2">
        <w:rPr>
          <w:rFonts w:asciiTheme="majorHAnsi" w:hAnsiTheme="majorHAnsi" w:cstheme="majorHAnsi"/>
          <w:sz w:val="22"/>
          <w:szCs w:val="22"/>
        </w:rPr>
        <w:t xml:space="preserve">In Morocco, World Wetlands Day is celebrated annually in collaboration with relevant partners. Waterfowl and wetlands days are held in partnership with GREPOM. Several other events at regional level are also </w:t>
      </w:r>
      <w:r w:rsidR="005E0B7A" w:rsidRPr="006053B2">
        <w:rPr>
          <w:rFonts w:asciiTheme="majorHAnsi" w:hAnsiTheme="majorHAnsi" w:cstheme="majorHAnsi"/>
          <w:sz w:val="22"/>
          <w:szCs w:val="22"/>
        </w:rPr>
        <w:t>organi</w:t>
      </w:r>
      <w:r w:rsidR="005E0B7A">
        <w:rPr>
          <w:rFonts w:asciiTheme="majorHAnsi" w:hAnsiTheme="majorHAnsi" w:cstheme="majorHAnsi"/>
          <w:sz w:val="22"/>
          <w:szCs w:val="22"/>
        </w:rPr>
        <w:t>z</w:t>
      </w:r>
      <w:r w:rsidR="005E0B7A" w:rsidRPr="006053B2">
        <w:rPr>
          <w:rFonts w:asciiTheme="majorHAnsi" w:hAnsiTheme="majorHAnsi" w:cstheme="majorHAnsi"/>
          <w:sz w:val="22"/>
          <w:szCs w:val="22"/>
        </w:rPr>
        <w:t xml:space="preserve">ed </w:t>
      </w:r>
      <w:r w:rsidRPr="006053B2">
        <w:rPr>
          <w:rFonts w:asciiTheme="majorHAnsi" w:hAnsiTheme="majorHAnsi" w:cstheme="majorHAnsi"/>
          <w:sz w:val="22"/>
          <w:szCs w:val="22"/>
        </w:rPr>
        <w:t>with local universities on the theme of wetlands.</w:t>
      </w:r>
    </w:p>
    <w:p w14:paraId="49917D52" w14:textId="0E15BD82" w:rsidR="00542AE9" w:rsidRPr="006053B2" w:rsidRDefault="00542AE9" w:rsidP="006053B2">
      <w:pPr>
        <w:ind w:left="426" w:hanging="426"/>
        <w:rPr>
          <w:rFonts w:asciiTheme="majorHAnsi" w:hAnsiTheme="majorHAnsi" w:cstheme="majorHAnsi"/>
          <w:sz w:val="22"/>
          <w:szCs w:val="22"/>
        </w:rPr>
      </w:pPr>
    </w:p>
    <w:p w14:paraId="6D819D56" w14:textId="77777777" w:rsidR="00542AE9" w:rsidRPr="006053B2" w:rsidRDefault="00542AE9" w:rsidP="006053B2">
      <w:pPr>
        <w:numPr>
          <w:ilvl w:val="0"/>
          <w:numId w:val="1"/>
        </w:numPr>
        <w:ind w:left="426" w:hanging="426"/>
        <w:rPr>
          <w:rFonts w:asciiTheme="majorHAnsi" w:hAnsiTheme="majorHAnsi" w:cstheme="majorHAnsi"/>
          <w:sz w:val="22"/>
          <w:szCs w:val="22"/>
        </w:rPr>
      </w:pPr>
      <w:r w:rsidRPr="006053B2">
        <w:rPr>
          <w:rFonts w:asciiTheme="majorHAnsi" w:hAnsiTheme="majorHAnsi" w:cstheme="majorHAnsi"/>
          <w:sz w:val="22"/>
          <w:szCs w:val="22"/>
        </w:rPr>
        <w:t>In Peru, at the local site level, outreach campaigns on the importance and values of wetlands are carried out.</w:t>
      </w:r>
    </w:p>
    <w:p w14:paraId="207DD153" w14:textId="77777777" w:rsidR="00542AE9" w:rsidRPr="006053B2" w:rsidRDefault="00542AE9" w:rsidP="006053B2">
      <w:pPr>
        <w:ind w:left="426" w:hanging="426"/>
        <w:rPr>
          <w:rFonts w:asciiTheme="majorHAnsi" w:hAnsiTheme="majorHAnsi" w:cstheme="majorHAnsi"/>
          <w:sz w:val="22"/>
          <w:szCs w:val="22"/>
        </w:rPr>
      </w:pPr>
    </w:p>
    <w:p w14:paraId="15D411FB" w14:textId="77777777" w:rsidR="00542AE9" w:rsidRPr="006053B2" w:rsidRDefault="00542AE9" w:rsidP="006053B2">
      <w:pPr>
        <w:numPr>
          <w:ilvl w:val="0"/>
          <w:numId w:val="1"/>
        </w:numPr>
        <w:ind w:left="426" w:hanging="426"/>
        <w:rPr>
          <w:rFonts w:asciiTheme="majorHAnsi" w:hAnsiTheme="majorHAnsi" w:cstheme="majorHAnsi"/>
          <w:sz w:val="22"/>
          <w:szCs w:val="22"/>
        </w:rPr>
      </w:pPr>
      <w:r w:rsidRPr="006053B2">
        <w:rPr>
          <w:rFonts w:asciiTheme="majorHAnsi" w:hAnsiTheme="majorHAnsi" w:cstheme="majorHAnsi"/>
          <w:sz w:val="22"/>
          <w:szCs w:val="22"/>
        </w:rPr>
        <w:t xml:space="preserve">In the Philippines, in support of the Presidential Proclamation No. 74 s. 1999 declaring February 2 of every year as National Wetlands Day, activities geared towards promotion of the wise use of wetlands are pursued by both the Government and Non-Government sectors of the country. </w:t>
      </w:r>
    </w:p>
    <w:p w14:paraId="511E834E" w14:textId="77777777" w:rsidR="006053B2" w:rsidRPr="006053B2" w:rsidRDefault="006053B2" w:rsidP="006053B2">
      <w:pPr>
        <w:ind w:left="426" w:hanging="426"/>
        <w:rPr>
          <w:rFonts w:asciiTheme="majorHAnsi" w:hAnsiTheme="majorHAnsi" w:cstheme="majorHAnsi"/>
          <w:sz w:val="22"/>
          <w:szCs w:val="22"/>
        </w:rPr>
      </w:pPr>
    </w:p>
    <w:p w14:paraId="6C5FFA64" w14:textId="5EBB0835" w:rsidR="00542AE9" w:rsidRPr="006053B2" w:rsidRDefault="00542AE9" w:rsidP="006053B2">
      <w:pPr>
        <w:numPr>
          <w:ilvl w:val="0"/>
          <w:numId w:val="1"/>
        </w:numPr>
        <w:ind w:left="426" w:hanging="426"/>
        <w:rPr>
          <w:rFonts w:asciiTheme="majorHAnsi" w:hAnsiTheme="majorHAnsi" w:cstheme="majorHAnsi"/>
          <w:sz w:val="22"/>
          <w:szCs w:val="22"/>
        </w:rPr>
      </w:pPr>
      <w:r w:rsidRPr="006053B2">
        <w:rPr>
          <w:rFonts w:asciiTheme="majorHAnsi" w:hAnsiTheme="majorHAnsi" w:cstheme="majorHAnsi"/>
          <w:sz w:val="22"/>
          <w:szCs w:val="22"/>
        </w:rPr>
        <w:t xml:space="preserve">In Portugal, World Wetlands Day has been celebrated through a diverse set of activities (e.g. workshops, guided tours and educational activities) and promoted by several entities (the administration, non-governmental organizations, universities, municipalities, among others). The programme consists of events </w:t>
      </w:r>
      <w:r w:rsidR="005E0B7A" w:rsidRPr="006053B2">
        <w:rPr>
          <w:rFonts w:asciiTheme="majorHAnsi" w:hAnsiTheme="majorHAnsi" w:cstheme="majorHAnsi"/>
          <w:sz w:val="22"/>
          <w:szCs w:val="22"/>
        </w:rPr>
        <w:t>organi</w:t>
      </w:r>
      <w:r w:rsidR="005E0B7A">
        <w:rPr>
          <w:rFonts w:asciiTheme="majorHAnsi" w:hAnsiTheme="majorHAnsi" w:cstheme="majorHAnsi"/>
          <w:sz w:val="22"/>
          <w:szCs w:val="22"/>
        </w:rPr>
        <w:t>z</w:t>
      </w:r>
      <w:r w:rsidR="005E0B7A" w:rsidRPr="006053B2">
        <w:rPr>
          <w:rFonts w:asciiTheme="majorHAnsi" w:hAnsiTheme="majorHAnsi" w:cstheme="majorHAnsi"/>
          <w:sz w:val="22"/>
          <w:szCs w:val="22"/>
        </w:rPr>
        <w:t xml:space="preserve">ed </w:t>
      </w:r>
      <w:r w:rsidRPr="006053B2">
        <w:rPr>
          <w:rFonts w:asciiTheme="majorHAnsi" w:hAnsiTheme="majorHAnsi" w:cstheme="majorHAnsi"/>
          <w:sz w:val="22"/>
          <w:szCs w:val="22"/>
        </w:rPr>
        <w:t>by both Government and Non-Governmental Organizations.</w:t>
      </w:r>
    </w:p>
    <w:p w14:paraId="3915CDC8" w14:textId="77777777" w:rsidR="00542AE9" w:rsidRPr="006053B2" w:rsidRDefault="00542AE9" w:rsidP="006053B2">
      <w:pPr>
        <w:ind w:left="426" w:hanging="426"/>
        <w:rPr>
          <w:rFonts w:asciiTheme="majorHAnsi" w:hAnsiTheme="majorHAnsi" w:cstheme="majorHAnsi"/>
          <w:sz w:val="22"/>
          <w:szCs w:val="22"/>
        </w:rPr>
      </w:pPr>
    </w:p>
    <w:p w14:paraId="14844A73" w14:textId="77777777" w:rsidR="00542AE9" w:rsidRPr="006053B2" w:rsidRDefault="00542AE9" w:rsidP="006053B2">
      <w:pPr>
        <w:numPr>
          <w:ilvl w:val="0"/>
          <w:numId w:val="1"/>
        </w:numPr>
        <w:ind w:left="426" w:hanging="426"/>
        <w:rPr>
          <w:rFonts w:asciiTheme="majorHAnsi" w:hAnsiTheme="majorHAnsi" w:cstheme="majorHAnsi"/>
          <w:sz w:val="22"/>
          <w:szCs w:val="22"/>
        </w:rPr>
      </w:pPr>
      <w:r w:rsidRPr="006053B2">
        <w:rPr>
          <w:rFonts w:asciiTheme="majorHAnsi" w:hAnsiTheme="majorHAnsi" w:cstheme="majorHAnsi"/>
          <w:sz w:val="22"/>
          <w:szCs w:val="22"/>
        </w:rPr>
        <w:t>In Rwanda, World Wetlands Day was celebrated through a guided high-level tour in the wetlands of Kigali.</w:t>
      </w:r>
    </w:p>
    <w:p w14:paraId="3228DA9F" w14:textId="77777777" w:rsidR="00542AE9" w:rsidRPr="006053B2" w:rsidRDefault="00542AE9" w:rsidP="006053B2">
      <w:pPr>
        <w:ind w:left="426" w:hanging="426"/>
        <w:rPr>
          <w:rFonts w:asciiTheme="majorHAnsi" w:hAnsiTheme="majorHAnsi" w:cstheme="majorHAnsi"/>
          <w:sz w:val="22"/>
          <w:szCs w:val="22"/>
        </w:rPr>
      </w:pPr>
    </w:p>
    <w:p w14:paraId="6457CC1E" w14:textId="77777777" w:rsidR="00542AE9" w:rsidRPr="006053B2" w:rsidRDefault="00542AE9" w:rsidP="006053B2">
      <w:pPr>
        <w:numPr>
          <w:ilvl w:val="0"/>
          <w:numId w:val="1"/>
        </w:numPr>
        <w:ind w:left="426" w:hanging="426"/>
        <w:rPr>
          <w:rFonts w:asciiTheme="majorHAnsi" w:hAnsiTheme="majorHAnsi" w:cstheme="majorHAnsi"/>
          <w:sz w:val="22"/>
          <w:szCs w:val="22"/>
        </w:rPr>
      </w:pPr>
      <w:r w:rsidRPr="006053B2">
        <w:rPr>
          <w:rFonts w:asciiTheme="majorHAnsi" w:hAnsiTheme="majorHAnsi" w:cstheme="majorHAnsi"/>
          <w:sz w:val="22"/>
          <w:szCs w:val="22"/>
        </w:rPr>
        <w:t>In Saint Lucia, the Forestry Division celebrates and promotes World Wetlands Day with tree planting initiatives and school visits to wetlands.</w:t>
      </w:r>
    </w:p>
    <w:p w14:paraId="173E8A3F" w14:textId="77777777" w:rsidR="00542AE9" w:rsidRPr="006053B2" w:rsidRDefault="00542AE9" w:rsidP="006053B2">
      <w:pPr>
        <w:ind w:left="426" w:hanging="426"/>
        <w:rPr>
          <w:rFonts w:asciiTheme="majorHAnsi" w:hAnsiTheme="majorHAnsi" w:cstheme="majorHAnsi"/>
          <w:sz w:val="22"/>
          <w:szCs w:val="22"/>
        </w:rPr>
      </w:pPr>
    </w:p>
    <w:p w14:paraId="554A4337" w14:textId="7950C347" w:rsidR="00542AE9" w:rsidRPr="006053B2" w:rsidRDefault="00542AE9" w:rsidP="006053B2">
      <w:pPr>
        <w:numPr>
          <w:ilvl w:val="0"/>
          <w:numId w:val="1"/>
        </w:numPr>
        <w:ind w:left="426" w:hanging="426"/>
        <w:rPr>
          <w:rFonts w:asciiTheme="majorHAnsi" w:hAnsiTheme="majorHAnsi" w:cstheme="majorHAnsi"/>
          <w:sz w:val="22"/>
          <w:szCs w:val="22"/>
        </w:rPr>
      </w:pPr>
      <w:r w:rsidRPr="006053B2">
        <w:rPr>
          <w:rFonts w:asciiTheme="majorHAnsi" w:hAnsiTheme="majorHAnsi" w:cstheme="majorHAnsi"/>
          <w:sz w:val="22"/>
          <w:szCs w:val="22"/>
        </w:rPr>
        <w:lastRenderedPageBreak/>
        <w:t xml:space="preserve">In South Africa, 33 primary schools within Vhembe and Waterberg District Municipalities were visited one week prior to the WWD 2020 event commemoration </w:t>
      </w:r>
      <w:r w:rsidR="00A12D9B">
        <w:rPr>
          <w:rFonts w:asciiTheme="majorHAnsi" w:hAnsiTheme="majorHAnsi" w:cstheme="majorHAnsi"/>
          <w:sz w:val="22"/>
          <w:szCs w:val="22"/>
        </w:rPr>
        <w:t xml:space="preserve">to </w:t>
      </w:r>
      <w:r w:rsidRPr="006053B2">
        <w:rPr>
          <w:rFonts w:asciiTheme="majorHAnsi" w:hAnsiTheme="majorHAnsi" w:cstheme="majorHAnsi"/>
          <w:sz w:val="22"/>
          <w:szCs w:val="22"/>
        </w:rPr>
        <w:t xml:space="preserve">draw awareness </w:t>
      </w:r>
      <w:r w:rsidR="00A12D9B">
        <w:rPr>
          <w:rFonts w:asciiTheme="majorHAnsi" w:hAnsiTheme="majorHAnsi" w:cstheme="majorHAnsi"/>
          <w:sz w:val="22"/>
          <w:szCs w:val="22"/>
        </w:rPr>
        <w:t>to</w:t>
      </w:r>
      <w:r w:rsidR="00A12D9B" w:rsidRPr="006053B2">
        <w:rPr>
          <w:rFonts w:asciiTheme="majorHAnsi" w:hAnsiTheme="majorHAnsi" w:cstheme="majorHAnsi"/>
          <w:sz w:val="22"/>
          <w:szCs w:val="22"/>
        </w:rPr>
        <w:t xml:space="preserve"> </w:t>
      </w:r>
      <w:r w:rsidRPr="006053B2">
        <w:rPr>
          <w:rFonts w:asciiTheme="majorHAnsi" w:hAnsiTheme="majorHAnsi" w:cstheme="majorHAnsi"/>
          <w:sz w:val="22"/>
          <w:szCs w:val="22"/>
        </w:rPr>
        <w:t xml:space="preserve">the campaigns. </w:t>
      </w:r>
    </w:p>
    <w:p w14:paraId="5BEE157C" w14:textId="2DA9A612" w:rsidR="00542AE9" w:rsidRPr="006053B2" w:rsidRDefault="00542AE9" w:rsidP="006053B2">
      <w:pPr>
        <w:ind w:left="426" w:hanging="426"/>
        <w:rPr>
          <w:rFonts w:asciiTheme="majorHAnsi" w:hAnsiTheme="majorHAnsi" w:cstheme="majorHAnsi"/>
          <w:sz w:val="22"/>
          <w:szCs w:val="22"/>
        </w:rPr>
      </w:pPr>
    </w:p>
    <w:p w14:paraId="57BB1AE6" w14:textId="77777777" w:rsidR="00542AE9" w:rsidRPr="006053B2" w:rsidRDefault="00542AE9" w:rsidP="006053B2">
      <w:pPr>
        <w:numPr>
          <w:ilvl w:val="0"/>
          <w:numId w:val="1"/>
        </w:numPr>
        <w:ind w:left="426" w:hanging="426"/>
        <w:rPr>
          <w:rFonts w:asciiTheme="majorHAnsi" w:hAnsiTheme="majorHAnsi" w:cstheme="majorHAnsi"/>
          <w:sz w:val="22"/>
          <w:szCs w:val="22"/>
        </w:rPr>
      </w:pPr>
      <w:r w:rsidRPr="006053B2">
        <w:rPr>
          <w:rFonts w:asciiTheme="majorHAnsi" w:hAnsiTheme="majorHAnsi" w:cstheme="majorHAnsi"/>
          <w:sz w:val="22"/>
          <w:szCs w:val="22"/>
        </w:rPr>
        <w:t xml:space="preserve">In Suriname, the CEPA focal point visits schools to inform school children on the importance of wetlands to people. Information is also provided on wildlife and the ecosystem benefits/services provided by wetlands. </w:t>
      </w:r>
    </w:p>
    <w:p w14:paraId="4003D620" w14:textId="77777777" w:rsidR="00542AE9" w:rsidRPr="006053B2" w:rsidRDefault="00542AE9" w:rsidP="006053B2">
      <w:pPr>
        <w:ind w:left="426" w:hanging="426"/>
        <w:rPr>
          <w:rFonts w:asciiTheme="majorHAnsi" w:hAnsiTheme="majorHAnsi" w:cstheme="majorHAnsi"/>
          <w:sz w:val="22"/>
          <w:szCs w:val="22"/>
        </w:rPr>
      </w:pPr>
    </w:p>
    <w:p w14:paraId="5228F0D7" w14:textId="1180B124" w:rsidR="00542AE9" w:rsidRPr="006053B2" w:rsidRDefault="00542AE9" w:rsidP="006053B2">
      <w:pPr>
        <w:numPr>
          <w:ilvl w:val="0"/>
          <w:numId w:val="1"/>
        </w:numPr>
        <w:ind w:left="426" w:hanging="426"/>
        <w:rPr>
          <w:rFonts w:asciiTheme="majorHAnsi" w:hAnsiTheme="majorHAnsi" w:cstheme="majorHAnsi"/>
          <w:sz w:val="22"/>
          <w:szCs w:val="22"/>
        </w:rPr>
      </w:pPr>
      <w:r w:rsidRPr="006053B2">
        <w:rPr>
          <w:rFonts w:asciiTheme="majorHAnsi" w:hAnsiTheme="majorHAnsi" w:cstheme="majorHAnsi"/>
          <w:sz w:val="22"/>
          <w:szCs w:val="22"/>
        </w:rPr>
        <w:t>In Sweden, regular events have been held covering wetlands at or in the same week as World Wetlands Day on topics such as peatlands, restoration and greenhouse gases. There was also a large CEPA campaign included in the wetland restoration programme.</w:t>
      </w:r>
    </w:p>
    <w:p w14:paraId="07AC4758" w14:textId="77777777" w:rsidR="00542AE9" w:rsidRPr="006053B2" w:rsidRDefault="00542AE9" w:rsidP="006053B2">
      <w:pPr>
        <w:ind w:left="426" w:hanging="426"/>
        <w:rPr>
          <w:rFonts w:asciiTheme="majorHAnsi" w:hAnsiTheme="majorHAnsi" w:cstheme="majorHAnsi"/>
          <w:sz w:val="22"/>
          <w:szCs w:val="22"/>
        </w:rPr>
      </w:pPr>
    </w:p>
    <w:p w14:paraId="7739A945" w14:textId="2C4BB893" w:rsidR="00542AE9" w:rsidRPr="006053B2" w:rsidRDefault="00542AE9" w:rsidP="006053B2">
      <w:pPr>
        <w:numPr>
          <w:ilvl w:val="0"/>
          <w:numId w:val="1"/>
        </w:numPr>
        <w:ind w:left="426" w:hanging="426"/>
        <w:rPr>
          <w:rFonts w:asciiTheme="majorHAnsi" w:hAnsiTheme="majorHAnsi" w:cstheme="majorHAnsi"/>
          <w:sz w:val="22"/>
          <w:szCs w:val="22"/>
        </w:rPr>
      </w:pPr>
      <w:r w:rsidRPr="006053B2">
        <w:rPr>
          <w:rFonts w:asciiTheme="majorHAnsi" w:hAnsiTheme="majorHAnsi" w:cstheme="majorHAnsi"/>
          <w:sz w:val="22"/>
          <w:szCs w:val="22"/>
        </w:rPr>
        <w:t xml:space="preserve">In Switzerland, NGOs, the scientific community, national and subnational authorities </w:t>
      </w:r>
      <w:r w:rsidR="005E0B7A" w:rsidRPr="006053B2">
        <w:rPr>
          <w:rFonts w:asciiTheme="majorHAnsi" w:hAnsiTheme="majorHAnsi" w:cstheme="majorHAnsi"/>
          <w:sz w:val="22"/>
          <w:szCs w:val="22"/>
        </w:rPr>
        <w:t>organi</w:t>
      </w:r>
      <w:r w:rsidR="005E0B7A">
        <w:rPr>
          <w:rFonts w:asciiTheme="majorHAnsi" w:hAnsiTheme="majorHAnsi" w:cstheme="majorHAnsi"/>
          <w:sz w:val="22"/>
          <w:szCs w:val="22"/>
        </w:rPr>
        <w:t>z</w:t>
      </w:r>
      <w:r w:rsidR="005E0B7A" w:rsidRPr="006053B2">
        <w:rPr>
          <w:rFonts w:asciiTheme="majorHAnsi" w:hAnsiTheme="majorHAnsi" w:cstheme="majorHAnsi"/>
          <w:sz w:val="22"/>
          <w:szCs w:val="22"/>
        </w:rPr>
        <w:t xml:space="preserve">e </w:t>
      </w:r>
      <w:r w:rsidRPr="006053B2">
        <w:rPr>
          <w:rFonts w:asciiTheme="majorHAnsi" w:hAnsiTheme="majorHAnsi" w:cstheme="majorHAnsi"/>
          <w:sz w:val="22"/>
          <w:szCs w:val="22"/>
        </w:rPr>
        <w:t xml:space="preserve">the “Festival for Nature” during which many activities related to biodiversity are presented. The Festival takes place annually in May. The festival usually includes activities specifically related to the Convention, though is intended to promote awareness </w:t>
      </w:r>
      <w:r w:rsidR="001D269F">
        <w:rPr>
          <w:rFonts w:asciiTheme="majorHAnsi" w:hAnsiTheme="majorHAnsi" w:cstheme="majorHAnsi"/>
          <w:sz w:val="22"/>
          <w:szCs w:val="22"/>
        </w:rPr>
        <w:t>of</w:t>
      </w:r>
      <w:r w:rsidR="001D269F" w:rsidRPr="006053B2">
        <w:rPr>
          <w:rFonts w:asciiTheme="majorHAnsi" w:hAnsiTheme="majorHAnsi" w:cstheme="majorHAnsi"/>
          <w:sz w:val="22"/>
          <w:szCs w:val="22"/>
        </w:rPr>
        <w:t xml:space="preserve"> </w:t>
      </w:r>
      <w:r w:rsidRPr="006053B2">
        <w:rPr>
          <w:rFonts w:asciiTheme="majorHAnsi" w:hAnsiTheme="majorHAnsi" w:cstheme="majorHAnsi"/>
          <w:sz w:val="22"/>
          <w:szCs w:val="22"/>
        </w:rPr>
        <w:t>biodiversity primarily.</w:t>
      </w:r>
    </w:p>
    <w:p w14:paraId="7A1FC602" w14:textId="77777777" w:rsidR="00542AE9" w:rsidRPr="006053B2" w:rsidRDefault="00542AE9" w:rsidP="006053B2">
      <w:pPr>
        <w:ind w:left="426" w:hanging="426"/>
        <w:rPr>
          <w:rFonts w:asciiTheme="majorHAnsi" w:hAnsiTheme="majorHAnsi" w:cstheme="majorHAnsi"/>
          <w:sz w:val="22"/>
          <w:szCs w:val="22"/>
        </w:rPr>
      </w:pPr>
    </w:p>
    <w:p w14:paraId="2FFC2401" w14:textId="19879BCD" w:rsidR="00542AE9" w:rsidRPr="006053B2" w:rsidRDefault="00542AE9" w:rsidP="006053B2">
      <w:pPr>
        <w:numPr>
          <w:ilvl w:val="0"/>
          <w:numId w:val="1"/>
        </w:numPr>
        <w:ind w:left="426" w:hanging="426"/>
        <w:rPr>
          <w:rFonts w:asciiTheme="majorHAnsi" w:hAnsiTheme="majorHAnsi" w:cstheme="majorHAnsi"/>
          <w:sz w:val="22"/>
          <w:szCs w:val="22"/>
        </w:rPr>
      </w:pPr>
      <w:r w:rsidRPr="006053B2">
        <w:rPr>
          <w:rFonts w:asciiTheme="majorHAnsi" w:hAnsiTheme="majorHAnsi" w:cstheme="majorHAnsi"/>
          <w:sz w:val="22"/>
          <w:szCs w:val="22"/>
        </w:rPr>
        <w:t xml:space="preserve">In Thailand, ONEP has implemented activities under the topic “Wetlands and biodiversity” at Samut Prakan Province for 300 participants representing Governmental and NGOs, local administrative organizations, educational institutions, the private sector and the general public. Each year several organizations also </w:t>
      </w:r>
      <w:r w:rsidR="005E0B7A" w:rsidRPr="006053B2">
        <w:rPr>
          <w:rFonts w:asciiTheme="majorHAnsi" w:hAnsiTheme="majorHAnsi" w:cstheme="majorHAnsi"/>
          <w:sz w:val="22"/>
          <w:szCs w:val="22"/>
        </w:rPr>
        <w:t>organi</w:t>
      </w:r>
      <w:r w:rsidR="005E0B7A">
        <w:rPr>
          <w:rFonts w:asciiTheme="majorHAnsi" w:hAnsiTheme="majorHAnsi" w:cstheme="majorHAnsi"/>
          <w:sz w:val="22"/>
          <w:szCs w:val="22"/>
        </w:rPr>
        <w:t>z</w:t>
      </w:r>
      <w:r w:rsidR="005E0B7A" w:rsidRPr="006053B2">
        <w:rPr>
          <w:rFonts w:asciiTheme="majorHAnsi" w:hAnsiTheme="majorHAnsi" w:cstheme="majorHAnsi"/>
          <w:sz w:val="22"/>
          <w:szCs w:val="22"/>
        </w:rPr>
        <w:t xml:space="preserve">e </w:t>
      </w:r>
      <w:r w:rsidRPr="006053B2">
        <w:rPr>
          <w:rFonts w:asciiTheme="majorHAnsi" w:hAnsiTheme="majorHAnsi" w:cstheme="majorHAnsi"/>
          <w:sz w:val="22"/>
          <w:szCs w:val="22"/>
        </w:rPr>
        <w:t>related activites, such as Botanical Garden Organization, Walairukhavej Botanical Research Institute of Mahasarakham University, RECOFTC, and Phrachomklao Na Wa Ko Prachuap Khiri Khan Science Park visits.</w:t>
      </w:r>
    </w:p>
    <w:p w14:paraId="07CAD513" w14:textId="6A9D9073" w:rsidR="00542AE9" w:rsidRPr="006053B2" w:rsidRDefault="00542AE9" w:rsidP="006053B2">
      <w:pPr>
        <w:ind w:left="426" w:hanging="426"/>
        <w:rPr>
          <w:rFonts w:asciiTheme="majorHAnsi" w:hAnsiTheme="majorHAnsi" w:cstheme="majorHAnsi"/>
          <w:sz w:val="22"/>
          <w:szCs w:val="22"/>
        </w:rPr>
      </w:pPr>
    </w:p>
    <w:p w14:paraId="0B5CDE19" w14:textId="7B5DDE4A" w:rsidR="00542AE9" w:rsidRPr="006053B2" w:rsidRDefault="00542AE9" w:rsidP="006053B2">
      <w:pPr>
        <w:numPr>
          <w:ilvl w:val="0"/>
          <w:numId w:val="1"/>
        </w:numPr>
        <w:ind w:left="426" w:hanging="426"/>
        <w:rPr>
          <w:rFonts w:asciiTheme="majorHAnsi" w:hAnsiTheme="majorHAnsi" w:cstheme="majorHAnsi"/>
          <w:sz w:val="22"/>
          <w:szCs w:val="22"/>
        </w:rPr>
      </w:pPr>
      <w:r w:rsidRPr="006053B2">
        <w:rPr>
          <w:rFonts w:asciiTheme="majorHAnsi" w:hAnsiTheme="majorHAnsi" w:cstheme="majorHAnsi"/>
          <w:sz w:val="22"/>
          <w:szCs w:val="22"/>
        </w:rPr>
        <w:t xml:space="preserve">In </w:t>
      </w:r>
      <w:bookmarkStart w:id="2" w:name="_GoBack"/>
      <w:r w:rsidR="00036B81" w:rsidRPr="00271BBA">
        <w:rPr>
          <w:rFonts w:asciiTheme="majorHAnsi" w:hAnsiTheme="majorHAnsi"/>
          <w:sz w:val="22"/>
        </w:rPr>
        <w:t>Türkiye</w:t>
      </w:r>
      <w:bookmarkEnd w:id="2"/>
      <w:r w:rsidRPr="006053B2">
        <w:rPr>
          <w:rFonts w:asciiTheme="majorHAnsi" w:hAnsiTheme="majorHAnsi" w:cstheme="majorHAnsi"/>
          <w:sz w:val="22"/>
          <w:szCs w:val="22"/>
        </w:rPr>
        <w:t>, during 2019 and 2020 an advertisement campaign was designed by a dishwashing detergent trademark with the support of the Ministry. The purpose of the campaign was to save water and wetlands by minimi</w:t>
      </w:r>
      <w:r w:rsidR="005E0B7A">
        <w:rPr>
          <w:rFonts w:asciiTheme="majorHAnsi" w:hAnsiTheme="majorHAnsi" w:cstheme="majorHAnsi"/>
          <w:sz w:val="22"/>
          <w:szCs w:val="22"/>
        </w:rPr>
        <w:t>z</w:t>
      </w:r>
      <w:r w:rsidRPr="006053B2">
        <w:rPr>
          <w:rFonts w:asciiTheme="majorHAnsi" w:hAnsiTheme="majorHAnsi" w:cstheme="majorHAnsi"/>
          <w:sz w:val="22"/>
          <w:szCs w:val="22"/>
        </w:rPr>
        <w:t>ing the use of both and was developed at the Burdur Lake and Kuyucuk Lake Ramsar Sites.</w:t>
      </w:r>
    </w:p>
    <w:p w14:paraId="7D4E2956" w14:textId="5549AA34" w:rsidR="00542AE9" w:rsidRPr="006053B2" w:rsidRDefault="00542AE9" w:rsidP="006053B2">
      <w:pPr>
        <w:ind w:left="426" w:hanging="426"/>
        <w:rPr>
          <w:rFonts w:asciiTheme="majorHAnsi" w:hAnsiTheme="majorHAnsi" w:cstheme="majorHAnsi"/>
          <w:sz w:val="22"/>
          <w:szCs w:val="22"/>
        </w:rPr>
      </w:pPr>
    </w:p>
    <w:p w14:paraId="3A94BD22" w14:textId="3E55992F" w:rsidR="00542AE9" w:rsidRPr="006053B2" w:rsidRDefault="00542AE9" w:rsidP="006053B2">
      <w:pPr>
        <w:numPr>
          <w:ilvl w:val="0"/>
          <w:numId w:val="1"/>
        </w:numPr>
        <w:ind w:left="426" w:hanging="426"/>
        <w:rPr>
          <w:rFonts w:asciiTheme="majorHAnsi" w:hAnsiTheme="majorHAnsi" w:cstheme="majorHAnsi"/>
          <w:sz w:val="22"/>
          <w:szCs w:val="22"/>
        </w:rPr>
      </w:pPr>
      <w:r w:rsidRPr="006053B2">
        <w:rPr>
          <w:rFonts w:asciiTheme="majorHAnsi" w:hAnsiTheme="majorHAnsi" w:cstheme="majorHAnsi"/>
          <w:sz w:val="22"/>
          <w:szCs w:val="22"/>
        </w:rPr>
        <w:t xml:space="preserve">In Ukraine, protected areas administrations regularly </w:t>
      </w:r>
      <w:r w:rsidR="005E0B7A" w:rsidRPr="006053B2">
        <w:rPr>
          <w:rFonts w:asciiTheme="majorHAnsi" w:hAnsiTheme="majorHAnsi" w:cstheme="majorHAnsi"/>
          <w:sz w:val="22"/>
          <w:szCs w:val="22"/>
        </w:rPr>
        <w:t>organi</w:t>
      </w:r>
      <w:r w:rsidR="005E0B7A">
        <w:rPr>
          <w:rFonts w:asciiTheme="majorHAnsi" w:hAnsiTheme="majorHAnsi" w:cstheme="majorHAnsi"/>
          <w:sz w:val="22"/>
          <w:szCs w:val="22"/>
        </w:rPr>
        <w:t>z</w:t>
      </w:r>
      <w:r w:rsidR="005E0B7A" w:rsidRPr="006053B2">
        <w:rPr>
          <w:rFonts w:asciiTheme="majorHAnsi" w:hAnsiTheme="majorHAnsi" w:cstheme="majorHAnsi"/>
          <w:sz w:val="22"/>
          <w:szCs w:val="22"/>
        </w:rPr>
        <w:t xml:space="preserve">e </w:t>
      </w:r>
      <w:r w:rsidRPr="006053B2">
        <w:rPr>
          <w:rFonts w:asciiTheme="majorHAnsi" w:hAnsiTheme="majorHAnsi" w:cstheme="majorHAnsi"/>
          <w:sz w:val="22"/>
          <w:szCs w:val="22"/>
        </w:rPr>
        <w:t>eco-educational initiatives aimed at raising awareness of the values of nature and wetlands whilst involving local people and visitors into the conservation of wetlands. The nationwide celebrations which are The Day of Birds, celebration of Midsummer's Day and Fisherman's Day. Specific regions hold their own festivals, such as, Marine Day, Day of the Dniester and Dnipro Day.</w:t>
      </w:r>
    </w:p>
    <w:p w14:paraId="7728829C" w14:textId="77777777" w:rsidR="00542AE9" w:rsidRPr="006053B2" w:rsidRDefault="00542AE9" w:rsidP="006053B2">
      <w:pPr>
        <w:ind w:left="426" w:hanging="426"/>
        <w:rPr>
          <w:rFonts w:asciiTheme="majorHAnsi" w:hAnsiTheme="majorHAnsi" w:cstheme="majorHAnsi"/>
          <w:sz w:val="22"/>
          <w:szCs w:val="22"/>
        </w:rPr>
      </w:pPr>
    </w:p>
    <w:p w14:paraId="6827A2E4" w14:textId="74E2800F" w:rsidR="00542AE9" w:rsidRPr="006053B2" w:rsidRDefault="00542AE9" w:rsidP="006053B2">
      <w:pPr>
        <w:numPr>
          <w:ilvl w:val="0"/>
          <w:numId w:val="1"/>
        </w:numPr>
        <w:ind w:left="426" w:hanging="426"/>
        <w:rPr>
          <w:rFonts w:asciiTheme="majorHAnsi" w:hAnsiTheme="majorHAnsi" w:cstheme="majorHAnsi"/>
          <w:sz w:val="22"/>
          <w:szCs w:val="22"/>
        </w:rPr>
      </w:pPr>
      <w:r w:rsidRPr="006053B2">
        <w:rPr>
          <w:rFonts w:asciiTheme="majorHAnsi" w:hAnsiTheme="majorHAnsi" w:cstheme="majorHAnsi"/>
          <w:sz w:val="22"/>
          <w:szCs w:val="22"/>
        </w:rPr>
        <w:t xml:space="preserve">In the United Arab Emirates, the celebration of World Wetlands Day is in line with the Dubai Municipality's efforts to strengthen strategic plans and pillars of environmental protection and sustainability of natural resources. The celebration was </w:t>
      </w:r>
      <w:r w:rsidR="005E0B7A" w:rsidRPr="006053B2">
        <w:rPr>
          <w:rFonts w:asciiTheme="majorHAnsi" w:hAnsiTheme="majorHAnsi" w:cstheme="majorHAnsi"/>
          <w:sz w:val="22"/>
          <w:szCs w:val="22"/>
        </w:rPr>
        <w:t>organi</w:t>
      </w:r>
      <w:r w:rsidR="005E0B7A">
        <w:rPr>
          <w:rFonts w:asciiTheme="majorHAnsi" w:hAnsiTheme="majorHAnsi" w:cstheme="majorHAnsi"/>
          <w:sz w:val="22"/>
          <w:szCs w:val="22"/>
        </w:rPr>
        <w:t>z</w:t>
      </w:r>
      <w:r w:rsidR="005E0B7A" w:rsidRPr="006053B2">
        <w:rPr>
          <w:rFonts w:asciiTheme="majorHAnsi" w:hAnsiTheme="majorHAnsi" w:cstheme="majorHAnsi"/>
          <w:sz w:val="22"/>
          <w:szCs w:val="22"/>
        </w:rPr>
        <w:t xml:space="preserve">ed </w:t>
      </w:r>
      <w:r w:rsidRPr="006053B2">
        <w:rPr>
          <w:rFonts w:asciiTheme="majorHAnsi" w:hAnsiTheme="majorHAnsi" w:cstheme="majorHAnsi"/>
          <w:sz w:val="22"/>
          <w:szCs w:val="22"/>
        </w:rPr>
        <w:t xml:space="preserve">at Jabal Ali Wetland Sanctuary in which 400 participants attended taking part in planting mangrove saplings inside the sanctuary. </w:t>
      </w:r>
    </w:p>
    <w:p w14:paraId="53A0E75C" w14:textId="77777777" w:rsidR="00542AE9" w:rsidRPr="006053B2" w:rsidRDefault="00542AE9" w:rsidP="006053B2">
      <w:pPr>
        <w:ind w:left="426" w:hanging="426"/>
        <w:rPr>
          <w:rFonts w:asciiTheme="majorHAnsi" w:hAnsiTheme="majorHAnsi" w:cstheme="majorHAnsi"/>
          <w:sz w:val="22"/>
          <w:szCs w:val="22"/>
        </w:rPr>
      </w:pPr>
    </w:p>
    <w:p w14:paraId="5ED888CA" w14:textId="77777777" w:rsidR="00542AE9" w:rsidRPr="006053B2" w:rsidRDefault="00542AE9" w:rsidP="006053B2">
      <w:pPr>
        <w:numPr>
          <w:ilvl w:val="0"/>
          <w:numId w:val="1"/>
        </w:numPr>
        <w:ind w:left="426" w:hanging="426"/>
        <w:rPr>
          <w:rFonts w:asciiTheme="majorHAnsi" w:hAnsiTheme="majorHAnsi" w:cstheme="majorHAnsi"/>
          <w:sz w:val="22"/>
          <w:szCs w:val="22"/>
        </w:rPr>
      </w:pPr>
      <w:r w:rsidRPr="006053B2">
        <w:rPr>
          <w:rFonts w:asciiTheme="majorHAnsi" w:hAnsiTheme="majorHAnsi" w:cstheme="majorHAnsi"/>
          <w:sz w:val="22"/>
          <w:szCs w:val="22"/>
        </w:rPr>
        <w:t xml:space="preserve">In the United Kingdom of Great Britain and Northern Ireland, public awareness raising has been undertaken by the Alderney Wildlife Trust in collaboration with Visit Alderney, including citizen science research projects and educational programmes. Walks, tours and boat trips are available to visitors and islanders helping to fund conservation. </w:t>
      </w:r>
    </w:p>
    <w:p w14:paraId="34049B74" w14:textId="77777777" w:rsidR="00542AE9" w:rsidRPr="006053B2" w:rsidRDefault="00542AE9" w:rsidP="006053B2">
      <w:pPr>
        <w:ind w:left="426" w:hanging="426"/>
        <w:rPr>
          <w:rFonts w:asciiTheme="majorHAnsi" w:hAnsiTheme="majorHAnsi" w:cstheme="majorHAnsi"/>
          <w:sz w:val="22"/>
          <w:szCs w:val="22"/>
        </w:rPr>
      </w:pPr>
    </w:p>
    <w:p w14:paraId="10BA76AF" w14:textId="156BD447" w:rsidR="00C84870" w:rsidRPr="006053B2" w:rsidRDefault="00542AE9" w:rsidP="00D7748F">
      <w:pPr>
        <w:numPr>
          <w:ilvl w:val="0"/>
          <w:numId w:val="1"/>
        </w:numPr>
        <w:ind w:left="426" w:hanging="426"/>
        <w:rPr>
          <w:rFonts w:asciiTheme="majorHAnsi" w:hAnsiTheme="majorHAnsi" w:cstheme="majorHAnsi"/>
          <w:b/>
          <w:sz w:val="22"/>
          <w:szCs w:val="22"/>
        </w:rPr>
      </w:pPr>
      <w:r w:rsidRPr="006053B2">
        <w:rPr>
          <w:rFonts w:asciiTheme="majorHAnsi" w:hAnsiTheme="majorHAnsi" w:cstheme="majorHAnsi"/>
          <w:sz w:val="22"/>
          <w:szCs w:val="22"/>
        </w:rPr>
        <w:t>In the United States of America, campaigns, programmes, and projects to raise awareness of the importance of wetlands have been carried out. The Wisconsin Wetlands Association hosted a virtual “Wetland Coffee Break” series to shed light on wetlands issues. The Departments of State and Interior use social media platforms to focus on the benefits of protecting these resources.</w:t>
      </w:r>
      <w:r w:rsidR="00C84870" w:rsidRPr="006053B2">
        <w:rPr>
          <w:rFonts w:asciiTheme="majorHAnsi" w:hAnsiTheme="majorHAnsi" w:cstheme="majorHAnsi"/>
          <w:b/>
          <w:sz w:val="22"/>
          <w:szCs w:val="22"/>
        </w:rPr>
        <w:br w:type="page"/>
      </w:r>
    </w:p>
    <w:p w14:paraId="4A3754F1" w14:textId="758F2CE6" w:rsidR="00C64326" w:rsidRPr="00EE3868" w:rsidRDefault="00E32C50" w:rsidP="006053B2">
      <w:pPr>
        <w:rPr>
          <w:rFonts w:asciiTheme="majorHAnsi" w:hAnsiTheme="majorHAnsi" w:cstheme="majorHAnsi"/>
          <w:b/>
        </w:rPr>
      </w:pPr>
      <w:r w:rsidRPr="00EE3868">
        <w:rPr>
          <w:rFonts w:asciiTheme="majorHAnsi" w:hAnsiTheme="majorHAnsi" w:cstheme="majorHAnsi"/>
          <w:b/>
        </w:rPr>
        <w:lastRenderedPageBreak/>
        <w:t xml:space="preserve">Annex </w:t>
      </w:r>
      <w:r w:rsidR="00C64326" w:rsidRPr="00EE3868">
        <w:rPr>
          <w:rFonts w:asciiTheme="majorHAnsi" w:hAnsiTheme="majorHAnsi" w:cstheme="majorHAnsi"/>
          <w:b/>
        </w:rPr>
        <w:t>B</w:t>
      </w:r>
    </w:p>
    <w:p w14:paraId="6B4D01A2" w14:textId="7281D70C" w:rsidR="00C84870" w:rsidRPr="00EE3868" w:rsidRDefault="00C84870" w:rsidP="006053B2">
      <w:pPr>
        <w:rPr>
          <w:rFonts w:asciiTheme="majorHAnsi" w:hAnsiTheme="majorHAnsi" w:cstheme="majorHAnsi"/>
          <w:b/>
        </w:rPr>
      </w:pPr>
      <w:r w:rsidRPr="00EE3868">
        <w:rPr>
          <w:rFonts w:asciiTheme="majorHAnsi" w:hAnsiTheme="majorHAnsi" w:cstheme="majorHAnsi"/>
          <w:b/>
        </w:rPr>
        <w:t xml:space="preserve">A short compilation of the results </w:t>
      </w:r>
      <w:r w:rsidR="00685E2D">
        <w:rPr>
          <w:rFonts w:asciiTheme="majorHAnsi" w:hAnsiTheme="majorHAnsi" w:cstheme="majorHAnsi"/>
          <w:b/>
        </w:rPr>
        <w:t>of</w:t>
      </w:r>
      <w:r w:rsidR="00685E2D" w:rsidRPr="00EE3868">
        <w:rPr>
          <w:rFonts w:asciiTheme="majorHAnsi" w:hAnsiTheme="majorHAnsi" w:cstheme="majorHAnsi"/>
          <w:b/>
        </w:rPr>
        <w:t xml:space="preserve"> </w:t>
      </w:r>
      <w:r w:rsidRPr="00EE3868">
        <w:rPr>
          <w:rFonts w:asciiTheme="majorHAnsi" w:hAnsiTheme="majorHAnsi" w:cstheme="majorHAnsi"/>
          <w:b/>
        </w:rPr>
        <w:t xml:space="preserve">the </w:t>
      </w:r>
      <w:r w:rsidR="00685E2D" w:rsidRPr="00EE3868">
        <w:rPr>
          <w:rFonts w:asciiTheme="majorHAnsi" w:hAnsiTheme="majorHAnsi" w:cstheme="majorHAnsi"/>
          <w:b/>
        </w:rPr>
        <w:t>November 2019</w:t>
      </w:r>
      <w:r w:rsidR="00685E2D">
        <w:rPr>
          <w:rFonts w:asciiTheme="majorHAnsi" w:hAnsiTheme="majorHAnsi" w:cstheme="majorHAnsi"/>
          <w:b/>
        </w:rPr>
        <w:t xml:space="preserve"> </w:t>
      </w:r>
      <w:r w:rsidRPr="00EE3868">
        <w:rPr>
          <w:rFonts w:asciiTheme="majorHAnsi" w:hAnsiTheme="majorHAnsi" w:cstheme="majorHAnsi"/>
          <w:b/>
        </w:rPr>
        <w:t xml:space="preserve">survey about CEPA </w:t>
      </w:r>
    </w:p>
    <w:p w14:paraId="04449C0A" w14:textId="75D150D7" w:rsidR="00C84870" w:rsidRDefault="00C84870" w:rsidP="006053B2">
      <w:pPr>
        <w:rPr>
          <w:rFonts w:asciiTheme="majorHAnsi" w:hAnsiTheme="majorHAnsi" w:cstheme="majorHAnsi"/>
          <w:b/>
          <w:sz w:val="22"/>
          <w:szCs w:val="22"/>
        </w:rPr>
      </w:pPr>
    </w:p>
    <w:p w14:paraId="7A1734D3" w14:textId="77777777" w:rsidR="00F252BE" w:rsidRPr="006053B2" w:rsidRDefault="00F252BE" w:rsidP="006053B2">
      <w:pPr>
        <w:rPr>
          <w:rFonts w:asciiTheme="majorHAnsi" w:hAnsiTheme="majorHAnsi" w:cstheme="majorHAnsi"/>
          <w:b/>
          <w:sz w:val="22"/>
          <w:szCs w:val="22"/>
        </w:rPr>
      </w:pPr>
    </w:p>
    <w:p w14:paraId="5722EC98" w14:textId="7A23DEA4" w:rsidR="00C84870" w:rsidRPr="006053B2" w:rsidRDefault="00C84870" w:rsidP="006053B2">
      <w:pPr>
        <w:rPr>
          <w:rFonts w:asciiTheme="majorHAnsi" w:hAnsiTheme="majorHAnsi" w:cstheme="majorHAnsi"/>
          <w:i/>
          <w:sz w:val="22"/>
          <w:szCs w:val="22"/>
        </w:rPr>
      </w:pPr>
      <w:r w:rsidRPr="006053B2">
        <w:rPr>
          <w:rFonts w:asciiTheme="majorHAnsi" w:hAnsiTheme="majorHAnsi" w:cstheme="majorHAnsi"/>
          <w:i/>
          <w:sz w:val="22"/>
          <w:szCs w:val="22"/>
        </w:rPr>
        <w:t xml:space="preserve">The </w:t>
      </w:r>
      <w:r w:rsidR="00685E2D">
        <w:rPr>
          <w:rFonts w:asciiTheme="majorHAnsi" w:hAnsiTheme="majorHAnsi" w:cstheme="majorHAnsi"/>
          <w:i/>
          <w:sz w:val="22"/>
          <w:szCs w:val="22"/>
        </w:rPr>
        <w:t>s</w:t>
      </w:r>
      <w:r w:rsidR="00685E2D" w:rsidRPr="006053B2">
        <w:rPr>
          <w:rFonts w:asciiTheme="majorHAnsi" w:hAnsiTheme="majorHAnsi" w:cstheme="majorHAnsi"/>
          <w:i/>
          <w:sz w:val="22"/>
          <w:szCs w:val="22"/>
        </w:rPr>
        <w:t>urvey</w:t>
      </w:r>
    </w:p>
    <w:p w14:paraId="71DB6F90" w14:textId="77777777" w:rsidR="00C84870" w:rsidRPr="006053B2" w:rsidRDefault="00C84870" w:rsidP="006053B2">
      <w:pPr>
        <w:rPr>
          <w:rFonts w:asciiTheme="majorHAnsi" w:hAnsiTheme="majorHAnsi" w:cstheme="majorHAnsi"/>
          <w:sz w:val="22"/>
          <w:szCs w:val="22"/>
        </w:rPr>
      </w:pPr>
      <w:r w:rsidRPr="006053B2">
        <w:rPr>
          <w:rFonts w:asciiTheme="majorHAnsi" w:hAnsiTheme="majorHAnsi" w:cstheme="majorHAnsi"/>
          <w:sz w:val="22"/>
          <w:szCs w:val="22"/>
        </w:rPr>
        <w:t xml:space="preserve">In October 2019 the CEPA Oversight Panel conducted a survey of the thoughts and experiences of National Focal Points, CEPA Government Focal Points and CEPA NGO Focal Points on a new approach to CEPA, based on the recommendations from the CEPA Oversight Panel 2015-2018. There were questions seeking free text responses, but also questions with suggested choices, mostly indicating to what level the respondents agreed with different statements or to choose the most important among suggested choices. </w:t>
      </w:r>
    </w:p>
    <w:p w14:paraId="0A53DA2E" w14:textId="77777777" w:rsidR="00C84870" w:rsidRPr="006053B2" w:rsidRDefault="00C84870" w:rsidP="006053B2">
      <w:pPr>
        <w:rPr>
          <w:rFonts w:asciiTheme="majorHAnsi" w:hAnsiTheme="majorHAnsi" w:cstheme="majorHAnsi"/>
          <w:sz w:val="22"/>
          <w:szCs w:val="22"/>
        </w:rPr>
      </w:pPr>
    </w:p>
    <w:p w14:paraId="4DE5DBB8" w14:textId="77777777" w:rsidR="00C84870" w:rsidRPr="006053B2" w:rsidRDefault="00C84870" w:rsidP="006053B2">
      <w:pPr>
        <w:rPr>
          <w:rFonts w:asciiTheme="majorHAnsi" w:hAnsiTheme="majorHAnsi" w:cstheme="majorHAnsi"/>
          <w:sz w:val="22"/>
          <w:szCs w:val="22"/>
        </w:rPr>
      </w:pPr>
      <w:r w:rsidRPr="006053B2">
        <w:rPr>
          <w:rFonts w:asciiTheme="majorHAnsi" w:hAnsiTheme="majorHAnsi" w:cstheme="majorHAnsi"/>
          <w:sz w:val="22"/>
          <w:szCs w:val="22"/>
        </w:rPr>
        <w:t xml:space="preserve">In the questions where the respondents chose to what level they agreed with a statement on a scale from 1 to 5, where 5 is thinking something is “very useful”, “very likely” etc., and 1 is thinking that something is not at all useful or likely, they also had the opportunity to answer “I don’t know”. For such questions it has been possible to calculate weighted averages. In the text below the support for suggestions among the respondents are described according to the weighted average. </w:t>
      </w:r>
    </w:p>
    <w:p w14:paraId="062B06DA" w14:textId="77777777" w:rsidR="00C84870" w:rsidRPr="006053B2" w:rsidRDefault="00C84870" w:rsidP="006053B2">
      <w:pPr>
        <w:rPr>
          <w:rFonts w:asciiTheme="majorHAnsi" w:hAnsiTheme="majorHAnsi" w:cstheme="majorHAnsi"/>
          <w:sz w:val="22"/>
          <w:szCs w:val="22"/>
        </w:rPr>
      </w:pPr>
    </w:p>
    <w:p w14:paraId="3BB286FA" w14:textId="77777777" w:rsidR="00C84870" w:rsidRPr="006053B2" w:rsidRDefault="00C84870" w:rsidP="006053B2">
      <w:pPr>
        <w:rPr>
          <w:rFonts w:asciiTheme="majorHAnsi" w:hAnsiTheme="majorHAnsi" w:cstheme="majorHAnsi"/>
          <w:sz w:val="22"/>
          <w:szCs w:val="22"/>
        </w:rPr>
      </w:pPr>
      <w:r w:rsidRPr="006053B2">
        <w:rPr>
          <w:rFonts w:asciiTheme="majorHAnsi" w:hAnsiTheme="majorHAnsi" w:cstheme="majorHAnsi"/>
          <w:sz w:val="22"/>
          <w:szCs w:val="22"/>
        </w:rPr>
        <w:t xml:space="preserve">An average of 3.0 – 3.4 is considered to be a weak majority, 3.5 – 3.9 a clear majority, 4.0 – 4.4 a strong majority and 4.5 – 5.0 a very strong majority. </w:t>
      </w:r>
    </w:p>
    <w:p w14:paraId="4AF0FDFC" w14:textId="77777777" w:rsidR="00C84870" w:rsidRPr="006053B2" w:rsidRDefault="00C84870" w:rsidP="006053B2">
      <w:pPr>
        <w:rPr>
          <w:rFonts w:asciiTheme="majorHAnsi" w:hAnsiTheme="majorHAnsi" w:cstheme="majorHAnsi"/>
          <w:sz w:val="22"/>
          <w:szCs w:val="22"/>
        </w:rPr>
      </w:pPr>
    </w:p>
    <w:p w14:paraId="1A4C8C3C" w14:textId="77777777" w:rsidR="00C84870" w:rsidRPr="006053B2" w:rsidRDefault="00C84870" w:rsidP="006053B2">
      <w:pPr>
        <w:rPr>
          <w:rFonts w:asciiTheme="majorHAnsi" w:hAnsiTheme="majorHAnsi" w:cstheme="majorHAnsi"/>
          <w:b/>
          <w:sz w:val="22"/>
          <w:szCs w:val="22"/>
        </w:rPr>
      </w:pPr>
      <w:r w:rsidRPr="006053B2">
        <w:rPr>
          <w:rFonts w:asciiTheme="majorHAnsi" w:hAnsiTheme="majorHAnsi" w:cstheme="majorHAnsi"/>
          <w:sz w:val="22"/>
          <w:szCs w:val="22"/>
        </w:rPr>
        <w:t>The results from the survey have been guiding the CEPA Oversight Panel. This is a short compilation of the results.</w:t>
      </w:r>
    </w:p>
    <w:p w14:paraId="05AC8B8E" w14:textId="77777777" w:rsidR="00C84870" w:rsidRPr="006053B2" w:rsidRDefault="00C84870" w:rsidP="006053B2">
      <w:pPr>
        <w:rPr>
          <w:rFonts w:asciiTheme="majorHAnsi" w:hAnsiTheme="majorHAnsi" w:cstheme="majorHAnsi"/>
          <w:i/>
          <w:sz w:val="22"/>
          <w:szCs w:val="22"/>
        </w:rPr>
      </w:pPr>
    </w:p>
    <w:p w14:paraId="47726B13" w14:textId="77777777" w:rsidR="00C84870" w:rsidRPr="006053B2" w:rsidRDefault="00C84870" w:rsidP="006053B2">
      <w:pPr>
        <w:rPr>
          <w:rFonts w:asciiTheme="majorHAnsi" w:hAnsiTheme="majorHAnsi" w:cstheme="majorHAnsi"/>
          <w:i/>
          <w:sz w:val="22"/>
          <w:szCs w:val="22"/>
        </w:rPr>
      </w:pPr>
      <w:r w:rsidRPr="006053B2">
        <w:rPr>
          <w:rFonts w:asciiTheme="majorHAnsi" w:hAnsiTheme="majorHAnsi" w:cstheme="majorHAnsi"/>
          <w:i/>
          <w:sz w:val="22"/>
          <w:szCs w:val="22"/>
        </w:rPr>
        <w:t>The respondents</w:t>
      </w:r>
    </w:p>
    <w:p w14:paraId="0B82A35A" w14:textId="77777777" w:rsidR="00C84870" w:rsidRPr="006053B2" w:rsidRDefault="00C84870" w:rsidP="006053B2">
      <w:pPr>
        <w:rPr>
          <w:rFonts w:asciiTheme="majorHAnsi" w:hAnsiTheme="majorHAnsi" w:cstheme="majorHAnsi"/>
          <w:sz w:val="22"/>
          <w:szCs w:val="22"/>
        </w:rPr>
      </w:pPr>
      <w:r w:rsidRPr="006053B2">
        <w:rPr>
          <w:rFonts w:asciiTheme="majorHAnsi" w:hAnsiTheme="majorHAnsi" w:cstheme="majorHAnsi"/>
          <w:sz w:val="22"/>
          <w:szCs w:val="22"/>
        </w:rPr>
        <w:t xml:space="preserve">The survey received 64 responses. There was an equal representation from the three NFP groups. More than 65% of the respondents have worked with CEPA issues for more than five years. All Ramsar regions are represented in the answers. </w:t>
      </w:r>
    </w:p>
    <w:p w14:paraId="2DC1794E" w14:textId="77777777" w:rsidR="00C84870" w:rsidRPr="006053B2" w:rsidRDefault="00C84870" w:rsidP="006053B2">
      <w:pPr>
        <w:rPr>
          <w:rFonts w:asciiTheme="majorHAnsi" w:hAnsiTheme="majorHAnsi" w:cstheme="majorHAnsi"/>
          <w:sz w:val="22"/>
          <w:szCs w:val="22"/>
        </w:rPr>
      </w:pPr>
    </w:p>
    <w:p w14:paraId="7257755B" w14:textId="0FAF7407" w:rsidR="00C84870" w:rsidRPr="006053B2" w:rsidRDefault="00C84870" w:rsidP="006053B2">
      <w:pPr>
        <w:rPr>
          <w:rFonts w:asciiTheme="majorHAnsi" w:hAnsiTheme="majorHAnsi" w:cstheme="majorHAnsi"/>
          <w:sz w:val="22"/>
          <w:szCs w:val="22"/>
        </w:rPr>
      </w:pPr>
      <w:r w:rsidRPr="006053B2">
        <w:rPr>
          <w:rFonts w:asciiTheme="majorHAnsi" w:hAnsiTheme="majorHAnsi" w:cstheme="majorHAnsi"/>
          <w:sz w:val="22"/>
          <w:szCs w:val="22"/>
        </w:rPr>
        <w:t>When it comes to representation in the actual answers, they vary from 4% from North America to 33% from Africa. When including all that could answer in a region the results vary from 6% for Latin America and the Caribbean to 22% for North America.</w:t>
      </w:r>
    </w:p>
    <w:p w14:paraId="203E23F7" w14:textId="77777777" w:rsidR="00C84870" w:rsidRPr="006053B2" w:rsidRDefault="00C84870" w:rsidP="006053B2">
      <w:pPr>
        <w:rPr>
          <w:rFonts w:asciiTheme="majorHAnsi" w:hAnsiTheme="majorHAnsi" w:cstheme="majorHAnsi"/>
          <w:sz w:val="22"/>
          <w:szCs w:val="22"/>
        </w:rPr>
      </w:pPr>
    </w:p>
    <w:tbl>
      <w:tblPr>
        <w:tblStyle w:val="TableGrid"/>
        <w:tblW w:w="9606" w:type="dxa"/>
        <w:tblLook w:val="04A0" w:firstRow="1" w:lastRow="0" w:firstColumn="1" w:lastColumn="0" w:noHBand="0" w:noVBand="1"/>
      </w:tblPr>
      <w:tblGrid>
        <w:gridCol w:w="2660"/>
        <w:gridCol w:w="2693"/>
        <w:gridCol w:w="4253"/>
      </w:tblGrid>
      <w:tr w:rsidR="00C84870" w:rsidRPr="006053B2" w14:paraId="4E4FD120" w14:textId="77777777" w:rsidTr="00D7748F">
        <w:tc>
          <w:tcPr>
            <w:tcW w:w="2660" w:type="dxa"/>
          </w:tcPr>
          <w:p w14:paraId="0AF6709C" w14:textId="77777777" w:rsidR="00C84870" w:rsidRPr="006053B2" w:rsidRDefault="00C84870" w:rsidP="006053B2">
            <w:pPr>
              <w:ind w:left="0" w:firstLine="0"/>
              <w:rPr>
                <w:rFonts w:asciiTheme="majorHAnsi" w:hAnsiTheme="majorHAnsi" w:cstheme="majorHAnsi"/>
                <w:b/>
              </w:rPr>
            </w:pPr>
            <w:r w:rsidRPr="006053B2">
              <w:rPr>
                <w:rFonts w:asciiTheme="majorHAnsi" w:hAnsiTheme="majorHAnsi" w:cstheme="majorHAnsi"/>
                <w:b/>
              </w:rPr>
              <w:t>Region</w:t>
            </w:r>
          </w:p>
        </w:tc>
        <w:tc>
          <w:tcPr>
            <w:tcW w:w="2693" w:type="dxa"/>
          </w:tcPr>
          <w:p w14:paraId="2B4AB4CA" w14:textId="77777777" w:rsidR="00C84870" w:rsidRPr="006053B2" w:rsidRDefault="00C84870" w:rsidP="006053B2">
            <w:pPr>
              <w:ind w:left="0" w:firstLine="0"/>
              <w:rPr>
                <w:rFonts w:asciiTheme="majorHAnsi" w:hAnsiTheme="majorHAnsi" w:cstheme="majorHAnsi"/>
                <w:b/>
              </w:rPr>
            </w:pPr>
            <w:r w:rsidRPr="006053B2">
              <w:rPr>
                <w:rFonts w:asciiTheme="majorHAnsi" w:hAnsiTheme="majorHAnsi" w:cstheme="majorHAnsi"/>
                <w:b/>
              </w:rPr>
              <w:t>Regional representation of the total answers in %</w:t>
            </w:r>
          </w:p>
        </w:tc>
        <w:tc>
          <w:tcPr>
            <w:tcW w:w="4253" w:type="dxa"/>
          </w:tcPr>
          <w:p w14:paraId="6C0671FC" w14:textId="77777777" w:rsidR="00C84870" w:rsidRPr="006053B2" w:rsidRDefault="00C84870" w:rsidP="006053B2">
            <w:pPr>
              <w:ind w:left="0" w:firstLine="0"/>
              <w:rPr>
                <w:rFonts w:asciiTheme="majorHAnsi" w:hAnsiTheme="majorHAnsi" w:cstheme="majorHAnsi"/>
                <w:b/>
              </w:rPr>
            </w:pPr>
            <w:r w:rsidRPr="006053B2">
              <w:rPr>
                <w:rFonts w:asciiTheme="majorHAnsi" w:hAnsiTheme="majorHAnsi" w:cstheme="majorHAnsi"/>
                <w:b/>
              </w:rPr>
              <w:t>Regional response (response/total number of countries per region* 3 roles) in %</w:t>
            </w:r>
          </w:p>
        </w:tc>
      </w:tr>
      <w:tr w:rsidR="00C84870" w:rsidRPr="006053B2" w14:paraId="459F304B" w14:textId="77777777" w:rsidTr="00D7748F">
        <w:tc>
          <w:tcPr>
            <w:tcW w:w="2660" w:type="dxa"/>
          </w:tcPr>
          <w:p w14:paraId="671686C6" w14:textId="77777777" w:rsidR="00C84870" w:rsidRPr="006053B2" w:rsidRDefault="00C84870" w:rsidP="006053B2">
            <w:pPr>
              <w:rPr>
                <w:rFonts w:asciiTheme="majorHAnsi" w:hAnsiTheme="majorHAnsi" w:cstheme="majorHAnsi"/>
              </w:rPr>
            </w:pPr>
            <w:r w:rsidRPr="006053B2">
              <w:rPr>
                <w:rFonts w:asciiTheme="majorHAnsi" w:hAnsiTheme="majorHAnsi" w:cstheme="majorHAnsi"/>
              </w:rPr>
              <w:t>Africa</w:t>
            </w:r>
          </w:p>
        </w:tc>
        <w:tc>
          <w:tcPr>
            <w:tcW w:w="2693" w:type="dxa"/>
          </w:tcPr>
          <w:p w14:paraId="663D4513" w14:textId="77777777" w:rsidR="00C84870" w:rsidRPr="006053B2" w:rsidRDefault="00C84870" w:rsidP="006053B2">
            <w:pPr>
              <w:rPr>
                <w:rFonts w:asciiTheme="majorHAnsi" w:hAnsiTheme="majorHAnsi" w:cstheme="majorHAnsi"/>
              </w:rPr>
            </w:pPr>
            <w:r w:rsidRPr="006053B2">
              <w:rPr>
                <w:rFonts w:asciiTheme="majorHAnsi" w:hAnsiTheme="majorHAnsi" w:cstheme="majorHAnsi"/>
              </w:rPr>
              <w:t>33</w:t>
            </w:r>
          </w:p>
        </w:tc>
        <w:tc>
          <w:tcPr>
            <w:tcW w:w="4253" w:type="dxa"/>
          </w:tcPr>
          <w:p w14:paraId="578FE05D" w14:textId="77777777" w:rsidR="00C84870" w:rsidRPr="006053B2" w:rsidRDefault="00C84870" w:rsidP="006053B2">
            <w:pPr>
              <w:rPr>
                <w:rFonts w:asciiTheme="majorHAnsi" w:hAnsiTheme="majorHAnsi" w:cstheme="majorHAnsi"/>
              </w:rPr>
            </w:pPr>
            <w:r w:rsidRPr="006053B2">
              <w:rPr>
                <w:rFonts w:asciiTheme="majorHAnsi" w:hAnsiTheme="majorHAnsi" w:cstheme="majorHAnsi"/>
              </w:rPr>
              <w:t>13</w:t>
            </w:r>
          </w:p>
        </w:tc>
      </w:tr>
      <w:tr w:rsidR="00C84870" w:rsidRPr="006053B2" w14:paraId="52EF8A2A" w14:textId="77777777" w:rsidTr="00D7748F">
        <w:tc>
          <w:tcPr>
            <w:tcW w:w="2660" w:type="dxa"/>
          </w:tcPr>
          <w:p w14:paraId="070C854A" w14:textId="77777777" w:rsidR="00C84870" w:rsidRPr="006053B2" w:rsidRDefault="00C84870" w:rsidP="006053B2">
            <w:pPr>
              <w:rPr>
                <w:rFonts w:asciiTheme="majorHAnsi" w:hAnsiTheme="majorHAnsi" w:cstheme="majorHAnsi"/>
              </w:rPr>
            </w:pPr>
            <w:r w:rsidRPr="006053B2">
              <w:rPr>
                <w:rFonts w:asciiTheme="majorHAnsi" w:hAnsiTheme="majorHAnsi" w:cstheme="majorHAnsi"/>
              </w:rPr>
              <w:t>Asia</w:t>
            </w:r>
          </w:p>
        </w:tc>
        <w:tc>
          <w:tcPr>
            <w:tcW w:w="2693" w:type="dxa"/>
          </w:tcPr>
          <w:p w14:paraId="06622BC6" w14:textId="77777777" w:rsidR="00C84870" w:rsidRPr="006053B2" w:rsidRDefault="00C84870" w:rsidP="006053B2">
            <w:pPr>
              <w:rPr>
                <w:rFonts w:asciiTheme="majorHAnsi" w:hAnsiTheme="majorHAnsi" w:cstheme="majorHAnsi"/>
              </w:rPr>
            </w:pPr>
            <w:r w:rsidRPr="006053B2">
              <w:rPr>
                <w:rFonts w:asciiTheme="majorHAnsi" w:hAnsiTheme="majorHAnsi" w:cstheme="majorHAnsi"/>
              </w:rPr>
              <w:t>22</w:t>
            </w:r>
          </w:p>
        </w:tc>
        <w:tc>
          <w:tcPr>
            <w:tcW w:w="4253" w:type="dxa"/>
          </w:tcPr>
          <w:p w14:paraId="7F35EDC5" w14:textId="77777777" w:rsidR="00C84870" w:rsidRPr="006053B2" w:rsidRDefault="00C84870" w:rsidP="006053B2">
            <w:pPr>
              <w:rPr>
                <w:rFonts w:asciiTheme="majorHAnsi" w:hAnsiTheme="majorHAnsi" w:cstheme="majorHAnsi"/>
              </w:rPr>
            </w:pPr>
            <w:r w:rsidRPr="006053B2">
              <w:rPr>
                <w:rFonts w:asciiTheme="majorHAnsi" w:hAnsiTheme="majorHAnsi" w:cstheme="majorHAnsi"/>
              </w:rPr>
              <w:t>14</w:t>
            </w:r>
          </w:p>
        </w:tc>
      </w:tr>
      <w:tr w:rsidR="00C84870" w:rsidRPr="006053B2" w14:paraId="532ED60E" w14:textId="77777777" w:rsidTr="00D7748F">
        <w:tc>
          <w:tcPr>
            <w:tcW w:w="2660" w:type="dxa"/>
          </w:tcPr>
          <w:p w14:paraId="4A9440CD" w14:textId="77777777" w:rsidR="00C84870" w:rsidRPr="006053B2" w:rsidRDefault="00C84870" w:rsidP="006053B2">
            <w:pPr>
              <w:rPr>
                <w:rFonts w:asciiTheme="majorHAnsi" w:hAnsiTheme="majorHAnsi" w:cstheme="majorHAnsi"/>
              </w:rPr>
            </w:pPr>
            <w:r w:rsidRPr="006053B2">
              <w:rPr>
                <w:rFonts w:asciiTheme="majorHAnsi" w:hAnsiTheme="majorHAnsi" w:cstheme="majorHAnsi"/>
              </w:rPr>
              <w:t>Europe</w:t>
            </w:r>
          </w:p>
        </w:tc>
        <w:tc>
          <w:tcPr>
            <w:tcW w:w="2693" w:type="dxa"/>
          </w:tcPr>
          <w:p w14:paraId="3486E69E" w14:textId="77777777" w:rsidR="00C84870" w:rsidRPr="006053B2" w:rsidRDefault="00C84870" w:rsidP="006053B2">
            <w:pPr>
              <w:rPr>
                <w:rFonts w:asciiTheme="majorHAnsi" w:hAnsiTheme="majorHAnsi" w:cstheme="majorHAnsi"/>
              </w:rPr>
            </w:pPr>
            <w:r w:rsidRPr="006053B2">
              <w:rPr>
                <w:rFonts w:asciiTheme="majorHAnsi" w:hAnsiTheme="majorHAnsi" w:cstheme="majorHAnsi"/>
              </w:rPr>
              <w:t>28</w:t>
            </w:r>
          </w:p>
        </w:tc>
        <w:tc>
          <w:tcPr>
            <w:tcW w:w="4253" w:type="dxa"/>
          </w:tcPr>
          <w:p w14:paraId="364A15B0" w14:textId="77777777" w:rsidR="00C84870" w:rsidRPr="006053B2" w:rsidRDefault="00C84870" w:rsidP="006053B2">
            <w:pPr>
              <w:rPr>
                <w:rFonts w:asciiTheme="majorHAnsi" w:hAnsiTheme="majorHAnsi" w:cstheme="majorHAnsi"/>
              </w:rPr>
            </w:pPr>
            <w:r w:rsidRPr="006053B2">
              <w:rPr>
                <w:rFonts w:asciiTheme="majorHAnsi" w:hAnsiTheme="majorHAnsi" w:cstheme="majorHAnsi"/>
              </w:rPr>
              <w:t>12</w:t>
            </w:r>
          </w:p>
        </w:tc>
      </w:tr>
      <w:tr w:rsidR="00C84870" w:rsidRPr="006053B2" w14:paraId="2665FBEB" w14:textId="77777777" w:rsidTr="00D7748F">
        <w:tc>
          <w:tcPr>
            <w:tcW w:w="2660" w:type="dxa"/>
          </w:tcPr>
          <w:p w14:paraId="46D6BE1D" w14:textId="77777777" w:rsidR="00C84870" w:rsidRPr="006053B2" w:rsidRDefault="00C84870" w:rsidP="006053B2">
            <w:pPr>
              <w:rPr>
                <w:rFonts w:asciiTheme="majorHAnsi" w:hAnsiTheme="majorHAnsi" w:cstheme="majorHAnsi"/>
              </w:rPr>
            </w:pPr>
            <w:r w:rsidRPr="006053B2">
              <w:rPr>
                <w:rFonts w:asciiTheme="majorHAnsi" w:hAnsiTheme="majorHAnsi" w:cstheme="majorHAnsi"/>
              </w:rPr>
              <w:t>Latin America &amp; Caribbean</w:t>
            </w:r>
          </w:p>
        </w:tc>
        <w:tc>
          <w:tcPr>
            <w:tcW w:w="2693" w:type="dxa"/>
          </w:tcPr>
          <w:p w14:paraId="37482F02" w14:textId="77777777" w:rsidR="00C84870" w:rsidRPr="006053B2" w:rsidRDefault="00C84870" w:rsidP="006053B2">
            <w:pPr>
              <w:rPr>
                <w:rFonts w:asciiTheme="majorHAnsi" w:hAnsiTheme="majorHAnsi" w:cstheme="majorHAnsi"/>
              </w:rPr>
            </w:pPr>
            <w:r w:rsidRPr="006053B2">
              <w:rPr>
                <w:rFonts w:asciiTheme="majorHAnsi" w:hAnsiTheme="majorHAnsi" w:cstheme="majorHAnsi"/>
              </w:rPr>
              <w:t>8</w:t>
            </w:r>
          </w:p>
        </w:tc>
        <w:tc>
          <w:tcPr>
            <w:tcW w:w="4253" w:type="dxa"/>
          </w:tcPr>
          <w:p w14:paraId="67403CB6" w14:textId="77777777" w:rsidR="00C84870" w:rsidRPr="006053B2" w:rsidRDefault="00C84870" w:rsidP="006053B2">
            <w:pPr>
              <w:rPr>
                <w:rFonts w:asciiTheme="majorHAnsi" w:hAnsiTheme="majorHAnsi" w:cstheme="majorHAnsi"/>
              </w:rPr>
            </w:pPr>
            <w:r w:rsidRPr="006053B2">
              <w:rPr>
                <w:rFonts w:asciiTheme="majorHAnsi" w:hAnsiTheme="majorHAnsi" w:cstheme="majorHAnsi"/>
              </w:rPr>
              <w:t>6</w:t>
            </w:r>
          </w:p>
        </w:tc>
      </w:tr>
      <w:tr w:rsidR="00C84870" w:rsidRPr="006053B2" w14:paraId="706CB650" w14:textId="77777777" w:rsidTr="00D7748F">
        <w:tc>
          <w:tcPr>
            <w:tcW w:w="2660" w:type="dxa"/>
          </w:tcPr>
          <w:p w14:paraId="317E2C21" w14:textId="77777777" w:rsidR="00C84870" w:rsidRPr="006053B2" w:rsidRDefault="00C84870" w:rsidP="006053B2">
            <w:pPr>
              <w:rPr>
                <w:rFonts w:asciiTheme="majorHAnsi" w:hAnsiTheme="majorHAnsi" w:cstheme="majorHAnsi"/>
              </w:rPr>
            </w:pPr>
            <w:r w:rsidRPr="006053B2">
              <w:rPr>
                <w:rFonts w:asciiTheme="majorHAnsi" w:hAnsiTheme="majorHAnsi" w:cstheme="majorHAnsi"/>
              </w:rPr>
              <w:t>North America</w:t>
            </w:r>
          </w:p>
        </w:tc>
        <w:tc>
          <w:tcPr>
            <w:tcW w:w="2693" w:type="dxa"/>
          </w:tcPr>
          <w:p w14:paraId="506FCBF3" w14:textId="77777777" w:rsidR="00C84870" w:rsidRPr="006053B2" w:rsidRDefault="00C84870" w:rsidP="006053B2">
            <w:pPr>
              <w:rPr>
                <w:rFonts w:asciiTheme="majorHAnsi" w:hAnsiTheme="majorHAnsi" w:cstheme="majorHAnsi"/>
              </w:rPr>
            </w:pPr>
            <w:r w:rsidRPr="006053B2">
              <w:rPr>
                <w:rFonts w:asciiTheme="majorHAnsi" w:hAnsiTheme="majorHAnsi" w:cstheme="majorHAnsi"/>
              </w:rPr>
              <w:t>3</w:t>
            </w:r>
          </w:p>
        </w:tc>
        <w:tc>
          <w:tcPr>
            <w:tcW w:w="4253" w:type="dxa"/>
          </w:tcPr>
          <w:p w14:paraId="6BEFFA92" w14:textId="77777777" w:rsidR="00C84870" w:rsidRPr="006053B2" w:rsidRDefault="00C84870" w:rsidP="006053B2">
            <w:pPr>
              <w:rPr>
                <w:rFonts w:asciiTheme="majorHAnsi" w:hAnsiTheme="majorHAnsi" w:cstheme="majorHAnsi"/>
              </w:rPr>
            </w:pPr>
            <w:r w:rsidRPr="006053B2">
              <w:rPr>
                <w:rFonts w:asciiTheme="majorHAnsi" w:hAnsiTheme="majorHAnsi" w:cstheme="majorHAnsi"/>
              </w:rPr>
              <w:t>22</w:t>
            </w:r>
          </w:p>
        </w:tc>
      </w:tr>
      <w:tr w:rsidR="00C84870" w:rsidRPr="006053B2" w14:paraId="79F97E7B" w14:textId="77777777" w:rsidTr="00D7748F">
        <w:tc>
          <w:tcPr>
            <w:tcW w:w="2660" w:type="dxa"/>
          </w:tcPr>
          <w:p w14:paraId="159AFDE5" w14:textId="77777777" w:rsidR="00C84870" w:rsidRPr="006053B2" w:rsidRDefault="00C84870" w:rsidP="006053B2">
            <w:pPr>
              <w:rPr>
                <w:rFonts w:asciiTheme="majorHAnsi" w:hAnsiTheme="majorHAnsi" w:cstheme="majorHAnsi"/>
              </w:rPr>
            </w:pPr>
            <w:r w:rsidRPr="006053B2">
              <w:rPr>
                <w:rFonts w:asciiTheme="majorHAnsi" w:hAnsiTheme="majorHAnsi" w:cstheme="majorHAnsi"/>
              </w:rPr>
              <w:t>Oceania</w:t>
            </w:r>
          </w:p>
        </w:tc>
        <w:tc>
          <w:tcPr>
            <w:tcW w:w="2693" w:type="dxa"/>
          </w:tcPr>
          <w:p w14:paraId="760B0425" w14:textId="77777777" w:rsidR="00C84870" w:rsidRPr="006053B2" w:rsidRDefault="00C84870" w:rsidP="006053B2">
            <w:pPr>
              <w:rPr>
                <w:rFonts w:asciiTheme="majorHAnsi" w:hAnsiTheme="majorHAnsi" w:cstheme="majorHAnsi"/>
              </w:rPr>
            </w:pPr>
            <w:r w:rsidRPr="006053B2">
              <w:rPr>
                <w:rFonts w:asciiTheme="majorHAnsi" w:hAnsiTheme="majorHAnsi" w:cstheme="majorHAnsi"/>
              </w:rPr>
              <w:t>6</w:t>
            </w:r>
          </w:p>
        </w:tc>
        <w:tc>
          <w:tcPr>
            <w:tcW w:w="4253" w:type="dxa"/>
          </w:tcPr>
          <w:p w14:paraId="1FAAE3FF" w14:textId="77777777" w:rsidR="00C84870" w:rsidRPr="006053B2" w:rsidRDefault="00C84870" w:rsidP="006053B2">
            <w:pPr>
              <w:rPr>
                <w:rFonts w:asciiTheme="majorHAnsi" w:hAnsiTheme="majorHAnsi" w:cstheme="majorHAnsi"/>
              </w:rPr>
            </w:pPr>
            <w:r w:rsidRPr="006053B2">
              <w:rPr>
                <w:rFonts w:asciiTheme="majorHAnsi" w:hAnsiTheme="majorHAnsi" w:cstheme="majorHAnsi"/>
              </w:rPr>
              <w:t>17</w:t>
            </w:r>
          </w:p>
        </w:tc>
      </w:tr>
    </w:tbl>
    <w:p w14:paraId="18C95AF0" w14:textId="15A0C029" w:rsidR="00C84870" w:rsidRPr="00C10DA4" w:rsidRDefault="00C84870" w:rsidP="006053B2">
      <w:pPr>
        <w:rPr>
          <w:rFonts w:asciiTheme="majorHAnsi" w:hAnsiTheme="majorHAnsi" w:cstheme="majorHAnsi"/>
          <w:b/>
          <w:sz w:val="22"/>
          <w:szCs w:val="22"/>
          <w:u w:val="single"/>
        </w:rPr>
      </w:pPr>
    </w:p>
    <w:p w14:paraId="52F8AC9A" w14:textId="77777777" w:rsidR="00685E2D" w:rsidRPr="00C10DA4" w:rsidRDefault="00685E2D" w:rsidP="006053B2">
      <w:pPr>
        <w:rPr>
          <w:rFonts w:asciiTheme="majorHAnsi" w:hAnsiTheme="majorHAnsi" w:cstheme="majorHAnsi"/>
          <w:b/>
          <w:sz w:val="22"/>
          <w:szCs w:val="22"/>
          <w:u w:val="single"/>
        </w:rPr>
      </w:pPr>
    </w:p>
    <w:p w14:paraId="7FB25877" w14:textId="77777777" w:rsidR="00C84870" w:rsidRPr="006053B2" w:rsidRDefault="00C84870" w:rsidP="006053B2">
      <w:pPr>
        <w:rPr>
          <w:rFonts w:asciiTheme="majorHAnsi" w:hAnsiTheme="majorHAnsi" w:cstheme="majorHAnsi"/>
          <w:b/>
          <w:i/>
          <w:sz w:val="22"/>
          <w:szCs w:val="22"/>
          <w:u w:val="single"/>
        </w:rPr>
      </w:pPr>
      <w:r w:rsidRPr="006053B2">
        <w:rPr>
          <w:rFonts w:asciiTheme="majorHAnsi" w:hAnsiTheme="majorHAnsi" w:cstheme="majorHAnsi"/>
          <w:b/>
          <w:i/>
          <w:sz w:val="22"/>
          <w:szCs w:val="22"/>
          <w:u w:val="single"/>
        </w:rPr>
        <w:t>Analysis</w:t>
      </w:r>
    </w:p>
    <w:p w14:paraId="77F8BEAB" w14:textId="77777777" w:rsidR="00C84870" w:rsidRPr="006053B2" w:rsidRDefault="00C84870" w:rsidP="006053B2">
      <w:pPr>
        <w:rPr>
          <w:rFonts w:asciiTheme="majorHAnsi" w:hAnsiTheme="majorHAnsi" w:cstheme="majorHAnsi"/>
          <w:b/>
          <w:sz w:val="22"/>
          <w:szCs w:val="22"/>
        </w:rPr>
      </w:pPr>
    </w:p>
    <w:p w14:paraId="1CB7A6A0" w14:textId="7A9EE62C" w:rsidR="00C84870" w:rsidRDefault="00C84870" w:rsidP="006053B2">
      <w:pPr>
        <w:rPr>
          <w:rFonts w:asciiTheme="majorHAnsi" w:hAnsiTheme="majorHAnsi" w:cstheme="majorHAnsi"/>
          <w:sz w:val="22"/>
          <w:szCs w:val="22"/>
        </w:rPr>
      </w:pPr>
      <w:r w:rsidRPr="006053B2">
        <w:rPr>
          <w:rFonts w:asciiTheme="majorHAnsi" w:hAnsiTheme="majorHAnsi" w:cstheme="majorHAnsi"/>
          <w:b/>
          <w:sz w:val="22"/>
          <w:szCs w:val="22"/>
        </w:rPr>
        <w:t>1. Reduce the number of CEPA goals</w:t>
      </w:r>
      <w:r w:rsidRPr="006053B2">
        <w:rPr>
          <w:rFonts w:asciiTheme="majorHAnsi" w:hAnsiTheme="majorHAnsi" w:cstheme="majorHAnsi"/>
          <w:sz w:val="22"/>
          <w:szCs w:val="22"/>
        </w:rPr>
        <w:t xml:space="preserve"> </w:t>
      </w:r>
    </w:p>
    <w:p w14:paraId="3CF13087" w14:textId="77777777" w:rsidR="00685E2D" w:rsidRPr="006053B2" w:rsidRDefault="00685E2D" w:rsidP="006053B2">
      <w:pPr>
        <w:rPr>
          <w:rFonts w:asciiTheme="majorHAnsi" w:hAnsiTheme="majorHAnsi" w:cstheme="majorHAnsi"/>
          <w:sz w:val="22"/>
          <w:szCs w:val="22"/>
        </w:rPr>
      </w:pPr>
    </w:p>
    <w:p w14:paraId="4C800F62" w14:textId="532F1A08" w:rsidR="00C84870" w:rsidRPr="006053B2" w:rsidRDefault="00C84870" w:rsidP="006053B2">
      <w:pPr>
        <w:rPr>
          <w:rFonts w:asciiTheme="majorHAnsi" w:hAnsiTheme="majorHAnsi" w:cstheme="majorHAnsi"/>
          <w:sz w:val="22"/>
          <w:szCs w:val="22"/>
        </w:rPr>
      </w:pPr>
      <w:r w:rsidRPr="006053B2">
        <w:rPr>
          <w:rFonts w:asciiTheme="majorHAnsi" w:hAnsiTheme="majorHAnsi" w:cstheme="majorHAnsi"/>
          <w:sz w:val="22"/>
          <w:szCs w:val="22"/>
        </w:rPr>
        <w:t>A weak majority of the respondents think a reduction of the number of goals for CEPA will result in a more effective CEPA implementation.</w:t>
      </w:r>
      <w:r w:rsidR="001E664B">
        <w:rPr>
          <w:rFonts w:asciiTheme="majorHAnsi" w:hAnsiTheme="majorHAnsi" w:cstheme="majorHAnsi"/>
          <w:sz w:val="22"/>
          <w:szCs w:val="22"/>
        </w:rPr>
        <w:t xml:space="preserve"> </w:t>
      </w:r>
    </w:p>
    <w:p w14:paraId="67DAF279" w14:textId="77777777" w:rsidR="00C84870" w:rsidRPr="006053B2" w:rsidRDefault="00C84870" w:rsidP="006053B2">
      <w:pPr>
        <w:rPr>
          <w:rFonts w:asciiTheme="majorHAnsi" w:hAnsiTheme="majorHAnsi" w:cstheme="majorHAnsi"/>
          <w:b/>
          <w:sz w:val="22"/>
          <w:szCs w:val="22"/>
        </w:rPr>
      </w:pPr>
    </w:p>
    <w:p w14:paraId="5594FDEC" w14:textId="02475FDE" w:rsidR="00C84870" w:rsidRDefault="00C10DA4" w:rsidP="00B12DD9">
      <w:pPr>
        <w:keepNext/>
        <w:rPr>
          <w:rFonts w:asciiTheme="majorHAnsi" w:hAnsiTheme="majorHAnsi" w:cstheme="majorHAnsi"/>
          <w:b/>
          <w:sz w:val="22"/>
          <w:szCs w:val="22"/>
        </w:rPr>
      </w:pPr>
      <w:r>
        <w:rPr>
          <w:rFonts w:asciiTheme="majorHAnsi" w:hAnsiTheme="majorHAnsi" w:cstheme="majorHAnsi"/>
          <w:b/>
          <w:sz w:val="22"/>
          <w:szCs w:val="22"/>
        </w:rPr>
        <w:lastRenderedPageBreak/>
        <w:t>2. Build an evaluation strategy</w:t>
      </w:r>
    </w:p>
    <w:p w14:paraId="36B4CBC2" w14:textId="77777777" w:rsidR="00685E2D" w:rsidRPr="006053B2" w:rsidRDefault="00685E2D" w:rsidP="00B12DD9">
      <w:pPr>
        <w:keepNext/>
        <w:rPr>
          <w:rFonts w:asciiTheme="majorHAnsi" w:hAnsiTheme="majorHAnsi" w:cstheme="majorHAnsi"/>
          <w:sz w:val="22"/>
          <w:szCs w:val="22"/>
        </w:rPr>
      </w:pPr>
    </w:p>
    <w:p w14:paraId="4FDE2B23" w14:textId="77777777" w:rsidR="00C84870" w:rsidRPr="006053B2" w:rsidRDefault="00C84870" w:rsidP="006053B2">
      <w:pPr>
        <w:rPr>
          <w:rFonts w:asciiTheme="majorHAnsi" w:hAnsiTheme="majorHAnsi" w:cstheme="majorHAnsi"/>
          <w:sz w:val="22"/>
          <w:szCs w:val="22"/>
        </w:rPr>
      </w:pPr>
      <w:r w:rsidRPr="006053B2">
        <w:rPr>
          <w:rFonts w:asciiTheme="majorHAnsi" w:hAnsiTheme="majorHAnsi" w:cstheme="majorHAnsi"/>
          <w:sz w:val="22"/>
          <w:szCs w:val="22"/>
        </w:rPr>
        <w:t>A clear majority of the respondents think that it would be useful to build a strategy for evaluating the effectiveness of CEPA measures.</w:t>
      </w:r>
    </w:p>
    <w:p w14:paraId="02E50769" w14:textId="77777777" w:rsidR="00CC2072" w:rsidRDefault="00CC2072" w:rsidP="006053B2">
      <w:pPr>
        <w:rPr>
          <w:rFonts w:asciiTheme="majorHAnsi" w:hAnsiTheme="majorHAnsi" w:cstheme="majorHAnsi"/>
          <w:sz w:val="22"/>
          <w:szCs w:val="22"/>
          <w:u w:val="single"/>
        </w:rPr>
      </w:pPr>
    </w:p>
    <w:p w14:paraId="72BDF9DF" w14:textId="4A8C49E5" w:rsidR="00C84870" w:rsidRPr="006053B2" w:rsidRDefault="00C84870" w:rsidP="006053B2">
      <w:pPr>
        <w:rPr>
          <w:rFonts w:asciiTheme="majorHAnsi" w:hAnsiTheme="majorHAnsi" w:cstheme="majorHAnsi"/>
          <w:sz w:val="22"/>
          <w:szCs w:val="22"/>
          <w:u w:val="single"/>
        </w:rPr>
      </w:pPr>
      <w:r w:rsidRPr="006053B2">
        <w:rPr>
          <w:rFonts w:asciiTheme="majorHAnsi" w:hAnsiTheme="majorHAnsi" w:cstheme="majorHAnsi"/>
          <w:sz w:val="22"/>
          <w:szCs w:val="22"/>
          <w:u w:val="single"/>
        </w:rPr>
        <w:t>T</w:t>
      </w:r>
      <w:r w:rsidR="00C10DA4">
        <w:rPr>
          <w:rFonts w:asciiTheme="majorHAnsi" w:hAnsiTheme="majorHAnsi" w:cstheme="majorHAnsi"/>
          <w:sz w:val="22"/>
          <w:szCs w:val="22"/>
          <w:u w:val="single"/>
        </w:rPr>
        <w:t>he negative responses included:</w:t>
      </w:r>
    </w:p>
    <w:p w14:paraId="7D27E30F" w14:textId="51067E98" w:rsidR="00C84870" w:rsidRPr="00B12DD9" w:rsidRDefault="00C84870" w:rsidP="00B12DD9">
      <w:pPr>
        <w:pStyle w:val="ListParagraph"/>
        <w:numPr>
          <w:ilvl w:val="0"/>
          <w:numId w:val="14"/>
        </w:numPr>
        <w:ind w:left="426" w:hanging="426"/>
        <w:rPr>
          <w:rFonts w:asciiTheme="majorHAnsi" w:hAnsiTheme="majorHAnsi" w:cstheme="majorHAnsi"/>
          <w:sz w:val="22"/>
          <w:szCs w:val="22"/>
        </w:rPr>
      </w:pPr>
      <w:r w:rsidRPr="00B12DD9">
        <w:rPr>
          <w:rFonts w:asciiTheme="majorHAnsi" w:hAnsiTheme="majorHAnsi" w:cstheme="majorHAnsi"/>
          <w:sz w:val="22"/>
          <w:szCs w:val="22"/>
        </w:rPr>
        <w:t>Evaluation is stealing resources from other activities</w:t>
      </w:r>
    </w:p>
    <w:p w14:paraId="7E3EAACF" w14:textId="01337752" w:rsidR="00C84870" w:rsidRPr="00B12DD9" w:rsidRDefault="00C84870" w:rsidP="00B12DD9">
      <w:pPr>
        <w:pStyle w:val="ListParagraph"/>
        <w:numPr>
          <w:ilvl w:val="0"/>
          <w:numId w:val="14"/>
        </w:numPr>
        <w:ind w:left="426" w:hanging="426"/>
        <w:rPr>
          <w:rFonts w:asciiTheme="majorHAnsi" w:hAnsiTheme="majorHAnsi" w:cstheme="majorHAnsi"/>
          <w:sz w:val="22"/>
          <w:szCs w:val="22"/>
        </w:rPr>
      </w:pPr>
      <w:r w:rsidRPr="00B12DD9">
        <w:rPr>
          <w:rFonts w:asciiTheme="majorHAnsi" w:hAnsiTheme="majorHAnsi" w:cstheme="majorHAnsi"/>
          <w:sz w:val="22"/>
          <w:szCs w:val="22"/>
        </w:rPr>
        <w:t>Reduce all kinds of reporting</w:t>
      </w:r>
    </w:p>
    <w:p w14:paraId="452BCAD9" w14:textId="2E75400F" w:rsidR="00C84870" w:rsidRPr="00B12DD9" w:rsidRDefault="00C84870" w:rsidP="00B12DD9">
      <w:pPr>
        <w:pStyle w:val="ListParagraph"/>
        <w:numPr>
          <w:ilvl w:val="0"/>
          <w:numId w:val="14"/>
        </w:numPr>
        <w:ind w:left="426" w:hanging="426"/>
        <w:rPr>
          <w:rFonts w:asciiTheme="majorHAnsi" w:hAnsiTheme="majorHAnsi" w:cstheme="majorHAnsi"/>
          <w:sz w:val="22"/>
          <w:szCs w:val="22"/>
        </w:rPr>
      </w:pPr>
      <w:r w:rsidRPr="00B12DD9">
        <w:rPr>
          <w:rFonts w:asciiTheme="majorHAnsi" w:hAnsiTheme="majorHAnsi" w:cstheme="majorHAnsi"/>
          <w:sz w:val="22"/>
          <w:szCs w:val="22"/>
        </w:rPr>
        <w:t xml:space="preserve">Difficulties in measuring actual impact on wetlands achieved by CEPA activities </w:t>
      </w:r>
    </w:p>
    <w:p w14:paraId="3C11C637" w14:textId="77777777" w:rsidR="00C84870" w:rsidRPr="006053B2" w:rsidRDefault="00C84870" w:rsidP="006053B2">
      <w:pPr>
        <w:rPr>
          <w:rFonts w:asciiTheme="majorHAnsi" w:hAnsiTheme="majorHAnsi" w:cstheme="majorHAnsi"/>
          <w:sz w:val="22"/>
          <w:szCs w:val="22"/>
        </w:rPr>
      </w:pPr>
    </w:p>
    <w:p w14:paraId="10EE0E97" w14:textId="77777777" w:rsidR="00C84870" w:rsidRPr="006053B2" w:rsidRDefault="00C84870" w:rsidP="006053B2">
      <w:pPr>
        <w:rPr>
          <w:rFonts w:asciiTheme="majorHAnsi" w:hAnsiTheme="majorHAnsi" w:cstheme="majorHAnsi"/>
          <w:sz w:val="22"/>
          <w:szCs w:val="22"/>
          <w:u w:val="single"/>
        </w:rPr>
      </w:pPr>
      <w:r w:rsidRPr="006053B2">
        <w:rPr>
          <w:rFonts w:asciiTheme="majorHAnsi" w:hAnsiTheme="majorHAnsi" w:cstheme="majorHAnsi"/>
          <w:sz w:val="22"/>
          <w:szCs w:val="22"/>
          <w:u w:val="single"/>
        </w:rPr>
        <w:t>If we are to build a strategy for evaluation, the respondents suggest that:</w:t>
      </w:r>
    </w:p>
    <w:p w14:paraId="17B26BD5" w14:textId="63274CED" w:rsidR="00C84870" w:rsidRPr="006053B2" w:rsidRDefault="00C84870" w:rsidP="00B12DD9">
      <w:pPr>
        <w:pStyle w:val="ListParagraph"/>
        <w:numPr>
          <w:ilvl w:val="0"/>
          <w:numId w:val="14"/>
        </w:numPr>
        <w:ind w:left="426" w:hanging="426"/>
        <w:rPr>
          <w:rFonts w:asciiTheme="majorHAnsi" w:hAnsiTheme="majorHAnsi" w:cstheme="majorHAnsi"/>
          <w:sz w:val="22"/>
          <w:szCs w:val="22"/>
        </w:rPr>
      </w:pPr>
      <w:r w:rsidRPr="006053B2">
        <w:rPr>
          <w:rFonts w:asciiTheme="majorHAnsi" w:hAnsiTheme="majorHAnsi" w:cstheme="majorHAnsi"/>
          <w:sz w:val="22"/>
          <w:szCs w:val="22"/>
        </w:rPr>
        <w:t>It should be integrated in the National Report</w:t>
      </w:r>
    </w:p>
    <w:p w14:paraId="32DF8DF7" w14:textId="75BEFE64" w:rsidR="00C84870" w:rsidRPr="006053B2" w:rsidRDefault="00C84870" w:rsidP="00B12DD9">
      <w:pPr>
        <w:pStyle w:val="ListParagraph"/>
        <w:numPr>
          <w:ilvl w:val="0"/>
          <w:numId w:val="14"/>
        </w:numPr>
        <w:ind w:left="426" w:hanging="426"/>
        <w:rPr>
          <w:rFonts w:asciiTheme="majorHAnsi" w:hAnsiTheme="majorHAnsi" w:cstheme="majorHAnsi"/>
          <w:sz w:val="22"/>
          <w:szCs w:val="22"/>
        </w:rPr>
      </w:pPr>
      <w:r w:rsidRPr="006053B2">
        <w:rPr>
          <w:rFonts w:asciiTheme="majorHAnsi" w:hAnsiTheme="majorHAnsi" w:cstheme="majorHAnsi"/>
          <w:sz w:val="22"/>
          <w:szCs w:val="22"/>
        </w:rPr>
        <w:t>Every country needs to have its own indicators</w:t>
      </w:r>
    </w:p>
    <w:p w14:paraId="4556106D" w14:textId="3B324634" w:rsidR="00C84870" w:rsidRPr="006053B2" w:rsidRDefault="00C84870" w:rsidP="00B12DD9">
      <w:pPr>
        <w:pStyle w:val="ListParagraph"/>
        <w:numPr>
          <w:ilvl w:val="0"/>
          <w:numId w:val="14"/>
        </w:numPr>
        <w:ind w:left="426" w:hanging="426"/>
        <w:rPr>
          <w:rFonts w:asciiTheme="majorHAnsi" w:hAnsiTheme="majorHAnsi" w:cstheme="majorHAnsi"/>
          <w:sz w:val="22"/>
          <w:szCs w:val="22"/>
        </w:rPr>
      </w:pPr>
      <w:r w:rsidRPr="006053B2">
        <w:rPr>
          <w:rFonts w:asciiTheme="majorHAnsi" w:hAnsiTheme="majorHAnsi" w:cstheme="majorHAnsi"/>
          <w:sz w:val="22"/>
          <w:szCs w:val="22"/>
        </w:rPr>
        <w:t xml:space="preserve">It should be better aligned with other reporting </w:t>
      </w:r>
    </w:p>
    <w:p w14:paraId="11C0FB52" w14:textId="77777777" w:rsidR="00C84870" w:rsidRPr="006053B2" w:rsidRDefault="00C84870" w:rsidP="006053B2">
      <w:pPr>
        <w:rPr>
          <w:rFonts w:asciiTheme="majorHAnsi" w:hAnsiTheme="majorHAnsi" w:cstheme="majorHAnsi"/>
          <w:b/>
          <w:sz w:val="22"/>
          <w:szCs w:val="22"/>
        </w:rPr>
      </w:pPr>
    </w:p>
    <w:p w14:paraId="33762479" w14:textId="77777777" w:rsidR="00C84870" w:rsidRPr="006053B2" w:rsidRDefault="00C84870" w:rsidP="006053B2">
      <w:pPr>
        <w:rPr>
          <w:rFonts w:asciiTheme="majorHAnsi" w:hAnsiTheme="majorHAnsi" w:cstheme="majorHAnsi"/>
          <w:b/>
          <w:sz w:val="22"/>
          <w:szCs w:val="22"/>
        </w:rPr>
      </w:pPr>
      <w:r w:rsidRPr="006053B2">
        <w:rPr>
          <w:rFonts w:asciiTheme="majorHAnsi" w:hAnsiTheme="majorHAnsi" w:cstheme="majorHAnsi"/>
          <w:b/>
          <w:sz w:val="22"/>
          <w:szCs w:val="22"/>
        </w:rPr>
        <w:t>3. Make CEPA more strategic, integrated and effective</w:t>
      </w:r>
    </w:p>
    <w:p w14:paraId="56620BD3" w14:textId="77777777" w:rsidR="00C84870" w:rsidRPr="006053B2" w:rsidRDefault="00C84870" w:rsidP="006053B2">
      <w:pPr>
        <w:rPr>
          <w:rFonts w:asciiTheme="majorHAnsi" w:hAnsiTheme="majorHAnsi" w:cstheme="majorHAnsi"/>
          <w:b/>
          <w:sz w:val="22"/>
          <w:szCs w:val="22"/>
        </w:rPr>
      </w:pPr>
    </w:p>
    <w:p w14:paraId="0A6C7DA4" w14:textId="26B05441" w:rsidR="00C84870" w:rsidRPr="006053B2" w:rsidRDefault="00C84870" w:rsidP="006053B2">
      <w:pPr>
        <w:rPr>
          <w:rFonts w:asciiTheme="majorHAnsi" w:hAnsiTheme="majorHAnsi" w:cstheme="majorHAnsi"/>
          <w:sz w:val="22"/>
          <w:szCs w:val="22"/>
          <w:u w:val="single"/>
        </w:rPr>
      </w:pPr>
      <w:r w:rsidRPr="006053B2">
        <w:rPr>
          <w:rFonts w:asciiTheme="majorHAnsi" w:hAnsiTheme="majorHAnsi" w:cstheme="majorHAnsi"/>
          <w:sz w:val="22"/>
          <w:szCs w:val="22"/>
          <w:u w:val="single"/>
        </w:rPr>
        <w:t xml:space="preserve">Examples from the respondents on </w:t>
      </w:r>
      <w:r w:rsidR="00C10DA4">
        <w:rPr>
          <w:rFonts w:asciiTheme="majorHAnsi" w:hAnsiTheme="majorHAnsi" w:cstheme="majorHAnsi"/>
          <w:sz w:val="22"/>
          <w:szCs w:val="22"/>
          <w:u w:val="single"/>
        </w:rPr>
        <w:t>how to work more strategically:</w:t>
      </w:r>
    </w:p>
    <w:p w14:paraId="7F1CA3D6" w14:textId="12C1119B" w:rsidR="00C84870" w:rsidRPr="006053B2" w:rsidRDefault="00C84870" w:rsidP="00B12DD9">
      <w:pPr>
        <w:pStyle w:val="ListParagraph"/>
        <w:numPr>
          <w:ilvl w:val="0"/>
          <w:numId w:val="14"/>
        </w:numPr>
        <w:ind w:left="426" w:hanging="426"/>
        <w:rPr>
          <w:rFonts w:asciiTheme="majorHAnsi" w:hAnsiTheme="majorHAnsi" w:cstheme="majorHAnsi"/>
          <w:sz w:val="22"/>
          <w:szCs w:val="22"/>
        </w:rPr>
      </w:pPr>
      <w:r w:rsidRPr="006053B2">
        <w:rPr>
          <w:rFonts w:asciiTheme="majorHAnsi" w:hAnsiTheme="majorHAnsi" w:cstheme="majorHAnsi"/>
          <w:sz w:val="22"/>
          <w:szCs w:val="22"/>
        </w:rPr>
        <w:t xml:space="preserve">Integrate CEPA into the Ramsar </w:t>
      </w:r>
      <w:r w:rsidR="00CC2072">
        <w:rPr>
          <w:rFonts w:asciiTheme="majorHAnsi" w:hAnsiTheme="majorHAnsi" w:cstheme="majorHAnsi"/>
          <w:sz w:val="22"/>
          <w:szCs w:val="22"/>
        </w:rPr>
        <w:t>S</w:t>
      </w:r>
      <w:r w:rsidR="00CC2072" w:rsidRPr="006053B2">
        <w:rPr>
          <w:rFonts w:asciiTheme="majorHAnsi" w:hAnsiTheme="majorHAnsi" w:cstheme="majorHAnsi"/>
          <w:sz w:val="22"/>
          <w:szCs w:val="22"/>
        </w:rPr>
        <w:t xml:space="preserve">trategic </w:t>
      </w:r>
      <w:r w:rsidR="00CC2072">
        <w:rPr>
          <w:rFonts w:asciiTheme="majorHAnsi" w:hAnsiTheme="majorHAnsi" w:cstheme="majorHAnsi"/>
          <w:sz w:val="22"/>
          <w:szCs w:val="22"/>
        </w:rPr>
        <w:t>P</w:t>
      </w:r>
      <w:r w:rsidR="00CC2072" w:rsidRPr="006053B2">
        <w:rPr>
          <w:rFonts w:asciiTheme="majorHAnsi" w:hAnsiTheme="majorHAnsi" w:cstheme="majorHAnsi"/>
          <w:sz w:val="22"/>
          <w:szCs w:val="22"/>
        </w:rPr>
        <w:t xml:space="preserve">lan </w:t>
      </w:r>
    </w:p>
    <w:p w14:paraId="08C64FD7" w14:textId="525B764C" w:rsidR="00C84870" w:rsidRPr="006053B2" w:rsidRDefault="00C84870" w:rsidP="00B12DD9">
      <w:pPr>
        <w:pStyle w:val="ListParagraph"/>
        <w:numPr>
          <w:ilvl w:val="0"/>
          <w:numId w:val="14"/>
        </w:numPr>
        <w:ind w:left="426" w:hanging="426"/>
        <w:rPr>
          <w:rFonts w:asciiTheme="majorHAnsi" w:hAnsiTheme="majorHAnsi" w:cstheme="majorHAnsi"/>
          <w:sz w:val="22"/>
          <w:szCs w:val="22"/>
        </w:rPr>
      </w:pPr>
      <w:r w:rsidRPr="006053B2">
        <w:rPr>
          <w:rFonts w:asciiTheme="majorHAnsi" w:hAnsiTheme="majorHAnsi" w:cstheme="majorHAnsi"/>
          <w:sz w:val="22"/>
          <w:szCs w:val="22"/>
        </w:rPr>
        <w:t>Work together with other conventions/international work, especially CBD and IPBES</w:t>
      </w:r>
    </w:p>
    <w:p w14:paraId="3AF1B1C3" w14:textId="19D62232" w:rsidR="00C84870" w:rsidRPr="006053B2" w:rsidRDefault="00C84870" w:rsidP="00B12DD9">
      <w:pPr>
        <w:pStyle w:val="ListParagraph"/>
        <w:numPr>
          <w:ilvl w:val="0"/>
          <w:numId w:val="14"/>
        </w:numPr>
        <w:ind w:left="426" w:hanging="426"/>
        <w:rPr>
          <w:rFonts w:asciiTheme="majorHAnsi" w:hAnsiTheme="majorHAnsi" w:cstheme="majorHAnsi"/>
          <w:sz w:val="22"/>
          <w:szCs w:val="22"/>
        </w:rPr>
      </w:pPr>
      <w:r w:rsidRPr="006053B2">
        <w:rPr>
          <w:rFonts w:asciiTheme="majorHAnsi" w:hAnsiTheme="majorHAnsi" w:cstheme="majorHAnsi"/>
          <w:sz w:val="22"/>
          <w:szCs w:val="22"/>
        </w:rPr>
        <w:t xml:space="preserve">Use new technology (webinars, social media, exchange on-line) </w:t>
      </w:r>
    </w:p>
    <w:p w14:paraId="653D6AB1" w14:textId="46EA90CF" w:rsidR="00C84870" w:rsidRPr="006053B2" w:rsidRDefault="00C84870" w:rsidP="00B12DD9">
      <w:pPr>
        <w:pStyle w:val="ListParagraph"/>
        <w:numPr>
          <w:ilvl w:val="0"/>
          <w:numId w:val="14"/>
        </w:numPr>
        <w:ind w:left="426" w:hanging="426"/>
        <w:rPr>
          <w:rFonts w:asciiTheme="majorHAnsi" w:hAnsiTheme="majorHAnsi" w:cstheme="majorHAnsi"/>
          <w:sz w:val="22"/>
          <w:szCs w:val="22"/>
        </w:rPr>
      </w:pPr>
      <w:r w:rsidRPr="006053B2">
        <w:rPr>
          <w:rFonts w:asciiTheme="majorHAnsi" w:hAnsiTheme="majorHAnsi" w:cstheme="majorHAnsi"/>
          <w:sz w:val="22"/>
          <w:szCs w:val="22"/>
        </w:rPr>
        <w:t>CEPA programmes covering several countries with similar conditions and issues</w:t>
      </w:r>
    </w:p>
    <w:p w14:paraId="0032F4E0" w14:textId="2FC23B54" w:rsidR="00C84870" w:rsidRPr="006053B2" w:rsidRDefault="00C84870" w:rsidP="00B12DD9">
      <w:pPr>
        <w:pStyle w:val="ListParagraph"/>
        <w:numPr>
          <w:ilvl w:val="0"/>
          <w:numId w:val="14"/>
        </w:numPr>
        <w:ind w:left="426" w:hanging="426"/>
        <w:rPr>
          <w:rFonts w:asciiTheme="majorHAnsi" w:hAnsiTheme="majorHAnsi" w:cstheme="majorHAnsi"/>
          <w:sz w:val="22"/>
          <w:szCs w:val="22"/>
        </w:rPr>
      </w:pPr>
      <w:r w:rsidRPr="006053B2">
        <w:rPr>
          <w:rFonts w:asciiTheme="majorHAnsi" w:hAnsiTheme="majorHAnsi" w:cstheme="majorHAnsi"/>
          <w:sz w:val="22"/>
          <w:szCs w:val="22"/>
        </w:rPr>
        <w:t>Investigate where there are gaps in the CEPA</w:t>
      </w:r>
    </w:p>
    <w:p w14:paraId="3DE8F06B" w14:textId="496ACF18" w:rsidR="00C84870" w:rsidRPr="006053B2" w:rsidRDefault="00C84870" w:rsidP="00B12DD9">
      <w:pPr>
        <w:pStyle w:val="ListParagraph"/>
        <w:numPr>
          <w:ilvl w:val="0"/>
          <w:numId w:val="14"/>
        </w:numPr>
        <w:ind w:left="426" w:hanging="426"/>
        <w:rPr>
          <w:rFonts w:asciiTheme="majorHAnsi" w:hAnsiTheme="majorHAnsi" w:cstheme="majorHAnsi"/>
          <w:sz w:val="22"/>
          <w:szCs w:val="22"/>
        </w:rPr>
      </w:pPr>
      <w:r w:rsidRPr="006053B2">
        <w:rPr>
          <w:rFonts w:asciiTheme="majorHAnsi" w:hAnsiTheme="majorHAnsi" w:cstheme="majorHAnsi"/>
          <w:sz w:val="22"/>
          <w:szCs w:val="22"/>
        </w:rPr>
        <w:t>CEPA programme should focus on the future and possible solutions</w:t>
      </w:r>
    </w:p>
    <w:p w14:paraId="2C5C17CF" w14:textId="2197B3CC" w:rsidR="00C84870" w:rsidRPr="006053B2" w:rsidRDefault="00C84870" w:rsidP="00B12DD9">
      <w:pPr>
        <w:pStyle w:val="ListParagraph"/>
        <w:numPr>
          <w:ilvl w:val="0"/>
          <w:numId w:val="14"/>
        </w:numPr>
        <w:ind w:left="426" w:hanging="426"/>
        <w:rPr>
          <w:rFonts w:asciiTheme="majorHAnsi" w:hAnsiTheme="majorHAnsi" w:cstheme="majorHAnsi"/>
          <w:sz w:val="22"/>
          <w:szCs w:val="22"/>
        </w:rPr>
      </w:pPr>
      <w:r w:rsidRPr="006053B2">
        <w:rPr>
          <w:rFonts w:asciiTheme="majorHAnsi" w:hAnsiTheme="majorHAnsi" w:cstheme="majorHAnsi"/>
          <w:sz w:val="22"/>
          <w:szCs w:val="22"/>
        </w:rPr>
        <w:t>More training at national level</w:t>
      </w:r>
    </w:p>
    <w:p w14:paraId="640A2761" w14:textId="53D9580C" w:rsidR="00C84870" w:rsidRPr="006053B2" w:rsidRDefault="00C84870" w:rsidP="00B12DD9">
      <w:pPr>
        <w:pStyle w:val="ListParagraph"/>
        <w:numPr>
          <w:ilvl w:val="0"/>
          <w:numId w:val="14"/>
        </w:numPr>
        <w:ind w:left="426" w:hanging="426"/>
        <w:rPr>
          <w:rFonts w:asciiTheme="majorHAnsi" w:hAnsiTheme="majorHAnsi" w:cstheme="majorHAnsi"/>
          <w:sz w:val="22"/>
          <w:szCs w:val="22"/>
        </w:rPr>
      </w:pPr>
      <w:r w:rsidRPr="006053B2">
        <w:rPr>
          <w:rFonts w:asciiTheme="majorHAnsi" w:hAnsiTheme="majorHAnsi" w:cstheme="majorHAnsi"/>
          <w:sz w:val="22"/>
          <w:szCs w:val="22"/>
        </w:rPr>
        <w:t xml:space="preserve">Share experiences in CEPA networks, create place for CEPA issues at regional level </w:t>
      </w:r>
    </w:p>
    <w:p w14:paraId="7495A381" w14:textId="5413B460" w:rsidR="00C84870" w:rsidRPr="006053B2" w:rsidRDefault="00C84870" w:rsidP="00B12DD9">
      <w:pPr>
        <w:pStyle w:val="ListParagraph"/>
        <w:numPr>
          <w:ilvl w:val="0"/>
          <w:numId w:val="14"/>
        </w:numPr>
        <w:ind w:left="426" w:hanging="426"/>
        <w:rPr>
          <w:rFonts w:asciiTheme="majorHAnsi" w:hAnsiTheme="majorHAnsi" w:cstheme="majorHAnsi"/>
          <w:sz w:val="22"/>
          <w:szCs w:val="22"/>
        </w:rPr>
      </w:pPr>
      <w:r w:rsidRPr="006053B2">
        <w:rPr>
          <w:rFonts w:asciiTheme="majorHAnsi" w:hAnsiTheme="majorHAnsi" w:cstheme="majorHAnsi"/>
          <w:sz w:val="22"/>
          <w:szCs w:val="22"/>
        </w:rPr>
        <w:t>Provide guidance to CEPA FPs</w:t>
      </w:r>
    </w:p>
    <w:p w14:paraId="2BAE81F4" w14:textId="5D7ED98D" w:rsidR="00C84870" w:rsidRPr="006053B2" w:rsidRDefault="00C84870" w:rsidP="00B12DD9">
      <w:pPr>
        <w:pStyle w:val="ListParagraph"/>
        <w:numPr>
          <w:ilvl w:val="0"/>
          <w:numId w:val="14"/>
        </w:numPr>
        <w:ind w:left="426" w:hanging="426"/>
        <w:rPr>
          <w:rFonts w:asciiTheme="majorHAnsi" w:hAnsiTheme="majorHAnsi" w:cstheme="majorHAnsi"/>
          <w:sz w:val="22"/>
          <w:szCs w:val="22"/>
        </w:rPr>
      </w:pPr>
      <w:r w:rsidRPr="006053B2">
        <w:rPr>
          <w:rFonts w:asciiTheme="majorHAnsi" w:hAnsiTheme="majorHAnsi" w:cstheme="majorHAnsi"/>
          <w:sz w:val="22"/>
          <w:szCs w:val="22"/>
        </w:rPr>
        <w:t>Prioriti</w:t>
      </w:r>
      <w:r w:rsidR="005E0B7A">
        <w:rPr>
          <w:rFonts w:asciiTheme="majorHAnsi" w:hAnsiTheme="majorHAnsi" w:cstheme="majorHAnsi"/>
          <w:sz w:val="22"/>
          <w:szCs w:val="22"/>
        </w:rPr>
        <w:t>z</w:t>
      </w:r>
      <w:r w:rsidRPr="006053B2">
        <w:rPr>
          <w:rFonts w:asciiTheme="majorHAnsi" w:hAnsiTheme="majorHAnsi" w:cstheme="majorHAnsi"/>
          <w:sz w:val="22"/>
          <w:szCs w:val="22"/>
        </w:rPr>
        <w:t>e messages and target audiences</w:t>
      </w:r>
    </w:p>
    <w:p w14:paraId="60BC2B4E" w14:textId="666CE69D" w:rsidR="00C84870" w:rsidRPr="006053B2" w:rsidRDefault="00C84870" w:rsidP="00B12DD9">
      <w:pPr>
        <w:pStyle w:val="ListParagraph"/>
        <w:numPr>
          <w:ilvl w:val="0"/>
          <w:numId w:val="14"/>
        </w:numPr>
        <w:ind w:left="426" w:hanging="426"/>
        <w:rPr>
          <w:rFonts w:asciiTheme="majorHAnsi" w:hAnsiTheme="majorHAnsi" w:cstheme="majorHAnsi"/>
          <w:sz w:val="22"/>
          <w:szCs w:val="22"/>
        </w:rPr>
      </w:pPr>
      <w:r w:rsidRPr="006053B2">
        <w:rPr>
          <w:rFonts w:asciiTheme="majorHAnsi" w:hAnsiTheme="majorHAnsi" w:cstheme="majorHAnsi"/>
          <w:sz w:val="22"/>
          <w:szCs w:val="22"/>
        </w:rPr>
        <w:t>Bottom up approach, having local CEPA activities</w:t>
      </w:r>
      <w:r w:rsidRPr="006053B2">
        <w:rPr>
          <w:rFonts w:asciiTheme="majorHAnsi" w:hAnsiTheme="majorHAnsi" w:cstheme="majorHAnsi"/>
          <w:sz w:val="22"/>
          <w:szCs w:val="22"/>
        </w:rPr>
        <w:tab/>
      </w:r>
    </w:p>
    <w:p w14:paraId="2DD63BFC" w14:textId="77777777" w:rsidR="00C84870" w:rsidRPr="006053B2" w:rsidRDefault="00C84870" w:rsidP="006053B2">
      <w:pPr>
        <w:tabs>
          <w:tab w:val="left" w:pos="2835"/>
        </w:tabs>
        <w:rPr>
          <w:rFonts w:asciiTheme="majorHAnsi" w:hAnsiTheme="majorHAnsi" w:cstheme="majorHAnsi"/>
          <w:sz w:val="22"/>
          <w:szCs w:val="22"/>
        </w:rPr>
      </w:pPr>
    </w:p>
    <w:p w14:paraId="0EC7F490" w14:textId="77777777" w:rsidR="00C84870" w:rsidRPr="006053B2" w:rsidRDefault="00C84870" w:rsidP="006053B2">
      <w:pPr>
        <w:rPr>
          <w:rFonts w:asciiTheme="majorHAnsi" w:hAnsiTheme="majorHAnsi" w:cstheme="majorHAnsi"/>
          <w:sz w:val="22"/>
          <w:szCs w:val="22"/>
          <w:u w:val="single"/>
        </w:rPr>
      </w:pPr>
      <w:r w:rsidRPr="006053B2">
        <w:rPr>
          <w:rFonts w:asciiTheme="majorHAnsi" w:hAnsiTheme="majorHAnsi" w:cstheme="majorHAnsi"/>
          <w:sz w:val="22"/>
          <w:szCs w:val="22"/>
          <w:u w:val="single"/>
        </w:rPr>
        <w:t>Better integrate the CEPA work into other activities of the Convention and national activities:</w:t>
      </w:r>
    </w:p>
    <w:p w14:paraId="27FDECC4" w14:textId="77777777" w:rsidR="00C84870" w:rsidRPr="006053B2" w:rsidRDefault="00C84870" w:rsidP="006053B2">
      <w:pPr>
        <w:rPr>
          <w:rFonts w:asciiTheme="majorHAnsi" w:hAnsiTheme="majorHAnsi" w:cstheme="majorHAnsi"/>
          <w:sz w:val="22"/>
          <w:szCs w:val="22"/>
          <w:u w:val="single"/>
        </w:rPr>
      </w:pPr>
    </w:p>
    <w:p w14:paraId="5370D45F" w14:textId="77777777" w:rsidR="00C84870" w:rsidRPr="006053B2" w:rsidRDefault="00C84870" w:rsidP="006053B2">
      <w:pPr>
        <w:rPr>
          <w:rFonts w:asciiTheme="majorHAnsi" w:hAnsiTheme="majorHAnsi" w:cstheme="majorHAnsi"/>
          <w:i/>
          <w:sz w:val="22"/>
          <w:szCs w:val="22"/>
        </w:rPr>
      </w:pPr>
      <w:r w:rsidRPr="006053B2">
        <w:rPr>
          <w:rFonts w:asciiTheme="majorHAnsi" w:hAnsiTheme="majorHAnsi" w:cstheme="majorHAnsi"/>
          <w:i/>
          <w:sz w:val="22"/>
          <w:szCs w:val="22"/>
        </w:rPr>
        <w:t>Convention level:</w:t>
      </w:r>
    </w:p>
    <w:p w14:paraId="2A90310E" w14:textId="7AD8008E" w:rsidR="00C84870" w:rsidRPr="006053B2" w:rsidRDefault="00C84870" w:rsidP="00B12DD9">
      <w:pPr>
        <w:pStyle w:val="ListParagraph"/>
        <w:numPr>
          <w:ilvl w:val="0"/>
          <w:numId w:val="14"/>
        </w:numPr>
        <w:ind w:left="426" w:hanging="426"/>
        <w:rPr>
          <w:rFonts w:asciiTheme="majorHAnsi" w:hAnsiTheme="majorHAnsi" w:cstheme="majorHAnsi"/>
          <w:sz w:val="22"/>
          <w:szCs w:val="22"/>
        </w:rPr>
      </w:pPr>
      <w:r w:rsidRPr="006053B2">
        <w:rPr>
          <w:rFonts w:asciiTheme="majorHAnsi" w:hAnsiTheme="majorHAnsi" w:cstheme="majorHAnsi"/>
          <w:sz w:val="22"/>
          <w:szCs w:val="22"/>
        </w:rPr>
        <w:t>All activities by the Convention including Resolutions should integrate CEPA activities</w:t>
      </w:r>
    </w:p>
    <w:p w14:paraId="78B6B92E" w14:textId="6F125920" w:rsidR="00C84870" w:rsidRPr="006053B2" w:rsidRDefault="00C84870" w:rsidP="00B12DD9">
      <w:pPr>
        <w:pStyle w:val="ListParagraph"/>
        <w:numPr>
          <w:ilvl w:val="0"/>
          <w:numId w:val="14"/>
        </w:numPr>
        <w:ind w:left="426" w:hanging="426"/>
        <w:rPr>
          <w:rFonts w:asciiTheme="majorHAnsi" w:hAnsiTheme="majorHAnsi" w:cstheme="majorHAnsi"/>
          <w:sz w:val="22"/>
          <w:szCs w:val="22"/>
        </w:rPr>
      </w:pPr>
      <w:r w:rsidRPr="006053B2">
        <w:rPr>
          <w:rFonts w:asciiTheme="majorHAnsi" w:hAnsiTheme="majorHAnsi" w:cstheme="majorHAnsi"/>
          <w:sz w:val="22"/>
          <w:szCs w:val="22"/>
        </w:rPr>
        <w:t>Larger Convention CEPA activities should be adopted at the COP or S</w:t>
      </w:r>
      <w:r w:rsidR="00CC2072">
        <w:rPr>
          <w:rFonts w:asciiTheme="majorHAnsi" w:hAnsiTheme="majorHAnsi" w:cstheme="majorHAnsi"/>
          <w:sz w:val="22"/>
          <w:szCs w:val="22"/>
        </w:rPr>
        <w:t xml:space="preserve">tanding </w:t>
      </w:r>
      <w:r w:rsidRPr="006053B2">
        <w:rPr>
          <w:rFonts w:asciiTheme="majorHAnsi" w:hAnsiTheme="majorHAnsi" w:cstheme="majorHAnsi"/>
          <w:sz w:val="22"/>
          <w:szCs w:val="22"/>
        </w:rPr>
        <w:t>C</w:t>
      </w:r>
      <w:r w:rsidR="00CC2072">
        <w:rPr>
          <w:rFonts w:asciiTheme="majorHAnsi" w:hAnsiTheme="majorHAnsi" w:cstheme="majorHAnsi"/>
          <w:sz w:val="22"/>
          <w:szCs w:val="22"/>
        </w:rPr>
        <w:t>ommittee</w:t>
      </w:r>
    </w:p>
    <w:p w14:paraId="14EB0469" w14:textId="76C41918" w:rsidR="00C84870" w:rsidRPr="006053B2" w:rsidRDefault="00C84870" w:rsidP="00B12DD9">
      <w:pPr>
        <w:pStyle w:val="ListParagraph"/>
        <w:numPr>
          <w:ilvl w:val="0"/>
          <w:numId w:val="14"/>
        </w:numPr>
        <w:ind w:left="426" w:hanging="426"/>
        <w:rPr>
          <w:rFonts w:asciiTheme="majorHAnsi" w:hAnsiTheme="majorHAnsi" w:cstheme="majorHAnsi"/>
          <w:sz w:val="22"/>
          <w:szCs w:val="22"/>
        </w:rPr>
      </w:pPr>
      <w:r w:rsidRPr="006053B2">
        <w:rPr>
          <w:rFonts w:asciiTheme="majorHAnsi" w:hAnsiTheme="majorHAnsi" w:cstheme="majorHAnsi"/>
          <w:sz w:val="22"/>
          <w:szCs w:val="22"/>
        </w:rPr>
        <w:t>Integrate the CEPA programme into the Strategic Plan</w:t>
      </w:r>
    </w:p>
    <w:p w14:paraId="1714FCCD" w14:textId="5C039591" w:rsidR="00C84870" w:rsidRPr="006053B2" w:rsidRDefault="00C84870" w:rsidP="00B12DD9">
      <w:pPr>
        <w:pStyle w:val="ListParagraph"/>
        <w:numPr>
          <w:ilvl w:val="0"/>
          <w:numId w:val="14"/>
        </w:numPr>
        <w:ind w:left="426" w:hanging="426"/>
        <w:rPr>
          <w:rFonts w:asciiTheme="majorHAnsi" w:hAnsiTheme="majorHAnsi" w:cstheme="majorHAnsi"/>
          <w:sz w:val="22"/>
          <w:szCs w:val="22"/>
        </w:rPr>
      </w:pPr>
      <w:r w:rsidRPr="006053B2">
        <w:rPr>
          <w:rFonts w:asciiTheme="majorHAnsi" w:hAnsiTheme="majorHAnsi" w:cstheme="majorHAnsi"/>
          <w:sz w:val="22"/>
          <w:szCs w:val="22"/>
        </w:rPr>
        <w:t>Joining CBD and other international fora in common activities</w:t>
      </w:r>
    </w:p>
    <w:p w14:paraId="1B32F0FC" w14:textId="108DD297" w:rsidR="00C84870" w:rsidRPr="006053B2" w:rsidRDefault="00C84870" w:rsidP="00B12DD9">
      <w:pPr>
        <w:pStyle w:val="ListParagraph"/>
        <w:numPr>
          <w:ilvl w:val="0"/>
          <w:numId w:val="14"/>
        </w:numPr>
        <w:ind w:left="426" w:hanging="426"/>
        <w:rPr>
          <w:rFonts w:asciiTheme="majorHAnsi" w:hAnsiTheme="majorHAnsi" w:cstheme="majorHAnsi"/>
          <w:sz w:val="22"/>
          <w:szCs w:val="22"/>
        </w:rPr>
      </w:pPr>
      <w:r w:rsidRPr="006053B2">
        <w:rPr>
          <w:rFonts w:asciiTheme="majorHAnsi" w:hAnsiTheme="majorHAnsi" w:cstheme="majorHAnsi"/>
          <w:sz w:val="22"/>
          <w:szCs w:val="22"/>
        </w:rPr>
        <w:t>Leadership from the Secretariat is needed</w:t>
      </w:r>
    </w:p>
    <w:p w14:paraId="0C53A2FB" w14:textId="77777777" w:rsidR="00C84870" w:rsidRPr="006053B2" w:rsidRDefault="00C84870" w:rsidP="006053B2">
      <w:pPr>
        <w:rPr>
          <w:rFonts w:asciiTheme="majorHAnsi" w:hAnsiTheme="majorHAnsi" w:cstheme="majorHAnsi"/>
          <w:i/>
          <w:sz w:val="22"/>
          <w:szCs w:val="22"/>
        </w:rPr>
      </w:pPr>
    </w:p>
    <w:p w14:paraId="7FA029D5" w14:textId="77777777" w:rsidR="00C84870" w:rsidRPr="006053B2" w:rsidRDefault="00C84870" w:rsidP="006053B2">
      <w:pPr>
        <w:rPr>
          <w:rFonts w:asciiTheme="majorHAnsi" w:hAnsiTheme="majorHAnsi" w:cstheme="majorHAnsi"/>
          <w:sz w:val="22"/>
          <w:szCs w:val="22"/>
          <w:u w:val="single"/>
        </w:rPr>
      </w:pPr>
      <w:r w:rsidRPr="006053B2">
        <w:rPr>
          <w:rFonts w:asciiTheme="majorHAnsi" w:hAnsiTheme="majorHAnsi" w:cstheme="majorHAnsi"/>
          <w:i/>
          <w:sz w:val="22"/>
          <w:szCs w:val="22"/>
        </w:rPr>
        <w:t>International co-operation:</w:t>
      </w:r>
    </w:p>
    <w:p w14:paraId="3E71C87D" w14:textId="2BD4A873" w:rsidR="00C84870" w:rsidRPr="00B12DD9" w:rsidRDefault="00C84870" w:rsidP="00B12DD9">
      <w:pPr>
        <w:pStyle w:val="ListParagraph"/>
        <w:numPr>
          <w:ilvl w:val="0"/>
          <w:numId w:val="14"/>
        </w:numPr>
        <w:ind w:left="426" w:hanging="426"/>
        <w:rPr>
          <w:rFonts w:asciiTheme="majorHAnsi" w:hAnsiTheme="majorHAnsi" w:cstheme="majorHAnsi"/>
          <w:sz w:val="22"/>
          <w:szCs w:val="22"/>
        </w:rPr>
      </w:pPr>
      <w:r w:rsidRPr="006053B2">
        <w:rPr>
          <w:rFonts w:asciiTheme="majorHAnsi" w:hAnsiTheme="majorHAnsi" w:cstheme="majorHAnsi"/>
          <w:sz w:val="22"/>
          <w:szCs w:val="22"/>
        </w:rPr>
        <w:t>Stronger networks for sharing ideas and best practices among CEPA focal points, wetland managers and CEPA practitioners - for example regionally-focused webinars</w:t>
      </w:r>
    </w:p>
    <w:p w14:paraId="2E2543D8" w14:textId="77777777" w:rsidR="00C84870" w:rsidRPr="006053B2" w:rsidRDefault="00C84870" w:rsidP="006053B2">
      <w:pPr>
        <w:rPr>
          <w:rFonts w:asciiTheme="majorHAnsi" w:hAnsiTheme="majorHAnsi" w:cstheme="majorHAnsi"/>
          <w:i/>
          <w:sz w:val="22"/>
          <w:szCs w:val="22"/>
        </w:rPr>
      </w:pPr>
    </w:p>
    <w:p w14:paraId="66A8868A" w14:textId="77777777" w:rsidR="00C84870" w:rsidRPr="006053B2" w:rsidRDefault="00C84870" w:rsidP="006053B2">
      <w:pPr>
        <w:rPr>
          <w:rFonts w:asciiTheme="majorHAnsi" w:hAnsiTheme="majorHAnsi" w:cstheme="majorHAnsi"/>
          <w:i/>
          <w:sz w:val="22"/>
          <w:szCs w:val="22"/>
        </w:rPr>
      </w:pPr>
      <w:r w:rsidRPr="006053B2">
        <w:rPr>
          <w:rFonts w:asciiTheme="majorHAnsi" w:hAnsiTheme="majorHAnsi" w:cstheme="majorHAnsi"/>
          <w:i/>
          <w:sz w:val="22"/>
          <w:szCs w:val="22"/>
        </w:rPr>
        <w:t>Nationally:</w:t>
      </w:r>
    </w:p>
    <w:p w14:paraId="6A3E4A80" w14:textId="184F0318" w:rsidR="00C84870" w:rsidRPr="006053B2" w:rsidRDefault="00C84870" w:rsidP="00B12DD9">
      <w:pPr>
        <w:pStyle w:val="ListParagraph"/>
        <w:numPr>
          <w:ilvl w:val="0"/>
          <w:numId w:val="14"/>
        </w:numPr>
        <w:ind w:left="426" w:hanging="426"/>
        <w:rPr>
          <w:rFonts w:asciiTheme="majorHAnsi" w:hAnsiTheme="majorHAnsi" w:cstheme="majorHAnsi"/>
          <w:sz w:val="22"/>
          <w:szCs w:val="22"/>
        </w:rPr>
      </w:pPr>
      <w:r w:rsidRPr="006053B2">
        <w:rPr>
          <w:rFonts w:asciiTheme="majorHAnsi" w:hAnsiTheme="majorHAnsi" w:cstheme="majorHAnsi"/>
          <w:sz w:val="22"/>
          <w:szCs w:val="22"/>
        </w:rPr>
        <w:t>All wetland activities nationally should integrate CEPA activities</w:t>
      </w:r>
    </w:p>
    <w:p w14:paraId="72BCFFB1" w14:textId="2A3675DA" w:rsidR="00C84870" w:rsidRPr="006053B2" w:rsidRDefault="00C84870" w:rsidP="00B12DD9">
      <w:pPr>
        <w:pStyle w:val="ListParagraph"/>
        <w:numPr>
          <w:ilvl w:val="0"/>
          <w:numId w:val="14"/>
        </w:numPr>
        <w:ind w:left="426" w:hanging="426"/>
        <w:rPr>
          <w:rFonts w:asciiTheme="majorHAnsi" w:hAnsiTheme="majorHAnsi" w:cstheme="majorHAnsi"/>
          <w:sz w:val="22"/>
          <w:szCs w:val="22"/>
        </w:rPr>
      </w:pPr>
      <w:r w:rsidRPr="006053B2">
        <w:rPr>
          <w:rFonts w:asciiTheme="majorHAnsi" w:hAnsiTheme="majorHAnsi" w:cstheme="majorHAnsi"/>
          <w:sz w:val="22"/>
          <w:szCs w:val="22"/>
        </w:rPr>
        <w:t>Integrate CEPA programme into national plans, education etc.</w:t>
      </w:r>
    </w:p>
    <w:p w14:paraId="57AA186B" w14:textId="065406A3" w:rsidR="00C84870" w:rsidRPr="006053B2" w:rsidRDefault="00C84870" w:rsidP="00B12DD9">
      <w:pPr>
        <w:pStyle w:val="ListParagraph"/>
        <w:numPr>
          <w:ilvl w:val="0"/>
          <w:numId w:val="14"/>
        </w:numPr>
        <w:ind w:left="426" w:hanging="426"/>
        <w:rPr>
          <w:rFonts w:asciiTheme="majorHAnsi" w:hAnsiTheme="majorHAnsi" w:cstheme="majorHAnsi"/>
          <w:sz w:val="22"/>
          <w:szCs w:val="22"/>
        </w:rPr>
      </w:pPr>
      <w:r w:rsidRPr="006053B2">
        <w:rPr>
          <w:rFonts w:asciiTheme="majorHAnsi" w:hAnsiTheme="majorHAnsi" w:cstheme="majorHAnsi"/>
          <w:sz w:val="22"/>
          <w:szCs w:val="22"/>
        </w:rPr>
        <w:t>National context for identifying useful tools and methods etc. is necessary</w:t>
      </w:r>
    </w:p>
    <w:p w14:paraId="3377A919" w14:textId="114D258F" w:rsidR="00C84870" w:rsidRPr="006053B2" w:rsidRDefault="00C84870" w:rsidP="00B12DD9">
      <w:pPr>
        <w:pStyle w:val="ListParagraph"/>
        <w:numPr>
          <w:ilvl w:val="0"/>
          <w:numId w:val="14"/>
        </w:numPr>
        <w:ind w:left="426" w:hanging="426"/>
        <w:rPr>
          <w:rFonts w:asciiTheme="majorHAnsi" w:hAnsiTheme="majorHAnsi" w:cstheme="majorHAnsi"/>
          <w:sz w:val="22"/>
          <w:szCs w:val="22"/>
        </w:rPr>
      </w:pPr>
      <w:r w:rsidRPr="006053B2">
        <w:rPr>
          <w:rFonts w:asciiTheme="majorHAnsi" w:hAnsiTheme="majorHAnsi" w:cstheme="majorHAnsi"/>
          <w:sz w:val="22"/>
          <w:szCs w:val="22"/>
        </w:rPr>
        <w:t xml:space="preserve">Interaction/cooperation between CEPA </w:t>
      </w:r>
      <w:r w:rsidR="00CC2072" w:rsidRPr="006053B2">
        <w:rPr>
          <w:rFonts w:asciiTheme="majorHAnsi" w:hAnsiTheme="majorHAnsi" w:cstheme="majorHAnsi"/>
          <w:sz w:val="22"/>
          <w:szCs w:val="22"/>
        </w:rPr>
        <w:t xml:space="preserve">National Focal Points </w:t>
      </w:r>
      <w:r w:rsidRPr="006053B2">
        <w:rPr>
          <w:rFonts w:asciiTheme="majorHAnsi" w:hAnsiTheme="majorHAnsi" w:cstheme="majorHAnsi"/>
          <w:sz w:val="22"/>
          <w:szCs w:val="22"/>
        </w:rPr>
        <w:t>and national Ramsar Committee</w:t>
      </w:r>
    </w:p>
    <w:p w14:paraId="109EF0F6" w14:textId="762C3E10" w:rsidR="00C84870" w:rsidRPr="006053B2" w:rsidRDefault="00C84870" w:rsidP="00B12DD9">
      <w:pPr>
        <w:pStyle w:val="ListParagraph"/>
        <w:numPr>
          <w:ilvl w:val="0"/>
          <w:numId w:val="14"/>
        </w:numPr>
        <w:ind w:left="426" w:hanging="426"/>
        <w:rPr>
          <w:rFonts w:asciiTheme="majorHAnsi" w:hAnsiTheme="majorHAnsi" w:cstheme="majorHAnsi"/>
          <w:sz w:val="22"/>
          <w:szCs w:val="22"/>
        </w:rPr>
      </w:pPr>
      <w:r w:rsidRPr="006053B2">
        <w:rPr>
          <w:rFonts w:asciiTheme="majorHAnsi" w:hAnsiTheme="majorHAnsi" w:cstheme="majorHAnsi"/>
          <w:sz w:val="22"/>
          <w:szCs w:val="22"/>
        </w:rPr>
        <w:t>National co-operation with implementation of other MEAs</w:t>
      </w:r>
    </w:p>
    <w:p w14:paraId="3C8ECEC8" w14:textId="1A55E367" w:rsidR="00C84870" w:rsidRPr="006053B2" w:rsidRDefault="00C84870" w:rsidP="00B12DD9">
      <w:pPr>
        <w:pStyle w:val="ListParagraph"/>
        <w:numPr>
          <w:ilvl w:val="0"/>
          <w:numId w:val="14"/>
        </w:numPr>
        <w:ind w:left="426" w:hanging="426"/>
        <w:rPr>
          <w:rFonts w:asciiTheme="majorHAnsi" w:hAnsiTheme="majorHAnsi" w:cstheme="majorHAnsi"/>
          <w:sz w:val="22"/>
          <w:szCs w:val="22"/>
        </w:rPr>
      </w:pPr>
      <w:r w:rsidRPr="006053B2">
        <w:rPr>
          <w:rFonts w:asciiTheme="majorHAnsi" w:hAnsiTheme="majorHAnsi" w:cstheme="majorHAnsi"/>
          <w:sz w:val="22"/>
          <w:szCs w:val="22"/>
        </w:rPr>
        <w:t>World Wetlands Day is one of the best tools</w:t>
      </w:r>
    </w:p>
    <w:p w14:paraId="799642B8" w14:textId="77777777" w:rsidR="00685E2D" w:rsidRDefault="00685E2D" w:rsidP="006053B2">
      <w:pPr>
        <w:keepNext/>
        <w:keepLines/>
        <w:rPr>
          <w:rFonts w:asciiTheme="majorHAnsi" w:hAnsiTheme="majorHAnsi" w:cstheme="majorHAnsi"/>
          <w:sz w:val="22"/>
          <w:szCs w:val="22"/>
          <w:u w:val="single"/>
        </w:rPr>
      </w:pPr>
    </w:p>
    <w:p w14:paraId="7E9A5E21" w14:textId="0C8230C9" w:rsidR="00C84870" w:rsidRPr="006053B2" w:rsidRDefault="00C84870" w:rsidP="006053B2">
      <w:pPr>
        <w:keepNext/>
        <w:keepLines/>
        <w:rPr>
          <w:rFonts w:asciiTheme="majorHAnsi" w:hAnsiTheme="majorHAnsi" w:cstheme="majorHAnsi"/>
          <w:sz w:val="22"/>
          <w:szCs w:val="22"/>
          <w:u w:val="single"/>
        </w:rPr>
      </w:pPr>
      <w:r w:rsidRPr="006053B2">
        <w:rPr>
          <w:rFonts w:asciiTheme="majorHAnsi" w:hAnsiTheme="majorHAnsi" w:cstheme="majorHAnsi"/>
          <w:sz w:val="22"/>
          <w:szCs w:val="22"/>
          <w:u w:val="single"/>
        </w:rPr>
        <w:t>How to make the work more effective:</w:t>
      </w:r>
    </w:p>
    <w:p w14:paraId="031A058A" w14:textId="77777777" w:rsidR="00C84870" w:rsidRPr="006053B2" w:rsidRDefault="00C84870" w:rsidP="006053B2">
      <w:pPr>
        <w:keepNext/>
        <w:keepLines/>
        <w:rPr>
          <w:rFonts w:asciiTheme="majorHAnsi" w:hAnsiTheme="majorHAnsi" w:cstheme="majorHAnsi"/>
          <w:sz w:val="22"/>
          <w:szCs w:val="22"/>
        </w:rPr>
      </w:pPr>
    </w:p>
    <w:p w14:paraId="185321D4" w14:textId="77777777" w:rsidR="00C84870" w:rsidRPr="006053B2" w:rsidRDefault="00C84870" w:rsidP="006053B2">
      <w:pPr>
        <w:keepNext/>
        <w:keepLines/>
        <w:rPr>
          <w:rFonts w:asciiTheme="majorHAnsi" w:hAnsiTheme="majorHAnsi" w:cstheme="majorHAnsi"/>
          <w:i/>
          <w:sz w:val="22"/>
          <w:szCs w:val="22"/>
        </w:rPr>
      </w:pPr>
      <w:r w:rsidRPr="006053B2">
        <w:rPr>
          <w:rFonts w:asciiTheme="majorHAnsi" w:hAnsiTheme="majorHAnsi" w:cstheme="majorHAnsi"/>
          <w:i/>
          <w:sz w:val="22"/>
          <w:szCs w:val="22"/>
        </w:rPr>
        <w:t>Strategies/systems:</w:t>
      </w:r>
    </w:p>
    <w:p w14:paraId="48457951" w14:textId="6C0195FF" w:rsidR="00C84870" w:rsidRPr="006053B2" w:rsidRDefault="00C84870" w:rsidP="00B12DD9">
      <w:pPr>
        <w:pStyle w:val="ListParagraph"/>
        <w:numPr>
          <w:ilvl w:val="0"/>
          <w:numId w:val="14"/>
        </w:numPr>
        <w:ind w:left="426" w:hanging="426"/>
        <w:rPr>
          <w:rFonts w:asciiTheme="majorHAnsi" w:hAnsiTheme="majorHAnsi" w:cstheme="majorHAnsi"/>
          <w:sz w:val="22"/>
          <w:szCs w:val="22"/>
        </w:rPr>
      </w:pPr>
      <w:r w:rsidRPr="006053B2">
        <w:rPr>
          <w:rFonts w:asciiTheme="majorHAnsi" w:hAnsiTheme="majorHAnsi" w:cstheme="majorHAnsi"/>
          <w:sz w:val="22"/>
          <w:szCs w:val="22"/>
        </w:rPr>
        <w:t>Use a system to assess how implementation of the CEPA programme impacted promotion of wetlands conservation and management</w:t>
      </w:r>
    </w:p>
    <w:p w14:paraId="2C4BE4DB" w14:textId="13E43E97" w:rsidR="00C84870" w:rsidRPr="006053B2" w:rsidRDefault="00C84870" w:rsidP="00B12DD9">
      <w:pPr>
        <w:pStyle w:val="ListParagraph"/>
        <w:numPr>
          <w:ilvl w:val="0"/>
          <w:numId w:val="14"/>
        </w:numPr>
        <w:ind w:left="426" w:hanging="426"/>
        <w:rPr>
          <w:rFonts w:asciiTheme="majorHAnsi" w:hAnsiTheme="majorHAnsi" w:cstheme="majorHAnsi"/>
          <w:sz w:val="22"/>
          <w:szCs w:val="22"/>
        </w:rPr>
      </w:pPr>
      <w:r w:rsidRPr="006053B2">
        <w:rPr>
          <w:rFonts w:asciiTheme="majorHAnsi" w:hAnsiTheme="majorHAnsi" w:cstheme="majorHAnsi"/>
          <w:sz w:val="22"/>
          <w:szCs w:val="22"/>
        </w:rPr>
        <w:t>Focus on policy makers, decision makers and wetland managers - aligns with the instructions given to the STRP</w:t>
      </w:r>
    </w:p>
    <w:p w14:paraId="76976385" w14:textId="1AB49A46" w:rsidR="00C84870" w:rsidRPr="006053B2" w:rsidRDefault="00C84870" w:rsidP="00B12DD9">
      <w:pPr>
        <w:pStyle w:val="ListParagraph"/>
        <w:numPr>
          <w:ilvl w:val="0"/>
          <w:numId w:val="14"/>
        </w:numPr>
        <w:ind w:left="426" w:hanging="426"/>
        <w:rPr>
          <w:rFonts w:asciiTheme="majorHAnsi" w:hAnsiTheme="majorHAnsi" w:cstheme="majorHAnsi"/>
          <w:sz w:val="22"/>
          <w:szCs w:val="22"/>
        </w:rPr>
      </w:pPr>
      <w:r w:rsidRPr="006053B2">
        <w:rPr>
          <w:rFonts w:asciiTheme="majorHAnsi" w:hAnsiTheme="majorHAnsi" w:cstheme="majorHAnsi"/>
          <w:sz w:val="22"/>
          <w:szCs w:val="22"/>
        </w:rPr>
        <w:t xml:space="preserve">Rather than reducing the number of global goals, </w:t>
      </w:r>
      <w:r w:rsidR="005E0B7A" w:rsidRPr="006053B2">
        <w:rPr>
          <w:rFonts w:asciiTheme="majorHAnsi" w:hAnsiTheme="majorHAnsi" w:cstheme="majorHAnsi"/>
          <w:sz w:val="22"/>
          <w:szCs w:val="22"/>
        </w:rPr>
        <w:t>prioriti</w:t>
      </w:r>
      <w:r w:rsidR="005E0B7A">
        <w:rPr>
          <w:rFonts w:asciiTheme="majorHAnsi" w:hAnsiTheme="majorHAnsi" w:cstheme="majorHAnsi"/>
          <w:sz w:val="22"/>
          <w:szCs w:val="22"/>
        </w:rPr>
        <w:t>z</w:t>
      </w:r>
      <w:r w:rsidR="005E0B7A" w:rsidRPr="006053B2">
        <w:rPr>
          <w:rFonts w:asciiTheme="majorHAnsi" w:hAnsiTheme="majorHAnsi" w:cstheme="majorHAnsi"/>
          <w:sz w:val="22"/>
          <w:szCs w:val="22"/>
        </w:rPr>
        <w:t xml:space="preserve">e </w:t>
      </w:r>
      <w:r w:rsidRPr="006053B2">
        <w:rPr>
          <w:rFonts w:asciiTheme="majorHAnsi" w:hAnsiTheme="majorHAnsi" w:cstheme="majorHAnsi"/>
          <w:sz w:val="22"/>
          <w:szCs w:val="22"/>
        </w:rPr>
        <w:t>them</w:t>
      </w:r>
    </w:p>
    <w:p w14:paraId="28D1EDD6" w14:textId="1D8F2A40" w:rsidR="00C84870" w:rsidRPr="006053B2" w:rsidRDefault="00C84870" w:rsidP="00B12DD9">
      <w:pPr>
        <w:pStyle w:val="ListParagraph"/>
        <w:numPr>
          <w:ilvl w:val="0"/>
          <w:numId w:val="14"/>
        </w:numPr>
        <w:ind w:left="426" w:hanging="426"/>
        <w:rPr>
          <w:rFonts w:asciiTheme="majorHAnsi" w:hAnsiTheme="majorHAnsi" w:cstheme="majorHAnsi"/>
          <w:sz w:val="22"/>
          <w:szCs w:val="22"/>
        </w:rPr>
      </w:pPr>
      <w:r w:rsidRPr="006053B2">
        <w:rPr>
          <w:rFonts w:asciiTheme="majorHAnsi" w:hAnsiTheme="majorHAnsi" w:cstheme="majorHAnsi"/>
          <w:sz w:val="22"/>
          <w:szCs w:val="22"/>
        </w:rPr>
        <w:t xml:space="preserve">Support from the national government (funds) </w:t>
      </w:r>
    </w:p>
    <w:p w14:paraId="189E02C9" w14:textId="1854A348" w:rsidR="00C84870" w:rsidRPr="006053B2" w:rsidRDefault="00C84870" w:rsidP="00B12DD9">
      <w:pPr>
        <w:pStyle w:val="ListParagraph"/>
        <w:numPr>
          <w:ilvl w:val="0"/>
          <w:numId w:val="14"/>
        </w:numPr>
        <w:ind w:left="426" w:hanging="426"/>
        <w:rPr>
          <w:rFonts w:asciiTheme="majorHAnsi" w:hAnsiTheme="majorHAnsi" w:cstheme="majorHAnsi"/>
          <w:sz w:val="22"/>
          <w:szCs w:val="22"/>
        </w:rPr>
      </w:pPr>
      <w:r w:rsidRPr="006053B2">
        <w:rPr>
          <w:rFonts w:asciiTheme="majorHAnsi" w:hAnsiTheme="majorHAnsi" w:cstheme="majorHAnsi"/>
          <w:sz w:val="22"/>
          <w:szCs w:val="22"/>
        </w:rPr>
        <w:t>Include CEPA in all relevant national programmes</w:t>
      </w:r>
    </w:p>
    <w:p w14:paraId="00DD9CE9" w14:textId="0208C652" w:rsidR="00C84870" w:rsidRPr="006053B2" w:rsidRDefault="00C84870" w:rsidP="00B12DD9">
      <w:pPr>
        <w:pStyle w:val="ListParagraph"/>
        <w:numPr>
          <w:ilvl w:val="0"/>
          <w:numId w:val="14"/>
        </w:numPr>
        <w:ind w:left="426" w:hanging="426"/>
        <w:rPr>
          <w:rFonts w:asciiTheme="majorHAnsi" w:hAnsiTheme="majorHAnsi" w:cstheme="majorHAnsi"/>
          <w:sz w:val="22"/>
          <w:szCs w:val="22"/>
        </w:rPr>
      </w:pPr>
      <w:r w:rsidRPr="006053B2">
        <w:rPr>
          <w:rFonts w:asciiTheme="majorHAnsi" w:hAnsiTheme="majorHAnsi" w:cstheme="majorHAnsi"/>
          <w:sz w:val="22"/>
          <w:szCs w:val="22"/>
        </w:rPr>
        <w:t>Involving all the relevant stakeholders</w:t>
      </w:r>
    </w:p>
    <w:p w14:paraId="50D9397C" w14:textId="25ACDE01" w:rsidR="00C84870" w:rsidRPr="006053B2" w:rsidRDefault="00C84870" w:rsidP="00B12DD9">
      <w:pPr>
        <w:pStyle w:val="ListParagraph"/>
        <w:numPr>
          <w:ilvl w:val="0"/>
          <w:numId w:val="14"/>
        </w:numPr>
        <w:ind w:left="426" w:hanging="426"/>
        <w:rPr>
          <w:rFonts w:asciiTheme="majorHAnsi" w:hAnsiTheme="majorHAnsi" w:cstheme="majorHAnsi"/>
          <w:sz w:val="22"/>
          <w:szCs w:val="22"/>
        </w:rPr>
      </w:pPr>
      <w:r w:rsidRPr="006053B2">
        <w:rPr>
          <w:rFonts w:asciiTheme="majorHAnsi" w:hAnsiTheme="majorHAnsi" w:cstheme="majorHAnsi"/>
          <w:sz w:val="22"/>
          <w:szCs w:val="22"/>
        </w:rPr>
        <w:t>Each country has different priorities and needs</w:t>
      </w:r>
    </w:p>
    <w:p w14:paraId="387F35A5" w14:textId="77777777" w:rsidR="00C84870" w:rsidRPr="006053B2" w:rsidRDefault="00C84870" w:rsidP="006053B2">
      <w:pPr>
        <w:rPr>
          <w:rFonts w:asciiTheme="majorHAnsi" w:hAnsiTheme="majorHAnsi" w:cstheme="majorHAnsi"/>
          <w:sz w:val="22"/>
          <w:szCs w:val="22"/>
          <w:u w:val="single"/>
        </w:rPr>
      </w:pPr>
    </w:p>
    <w:p w14:paraId="0339D9F4" w14:textId="77777777" w:rsidR="00C84870" w:rsidRPr="006053B2" w:rsidRDefault="00C84870" w:rsidP="006053B2">
      <w:pPr>
        <w:rPr>
          <w:rFonts w:asciiTheme="majorHAnsi" w:hAnsiTheme="majorHAnsi" w:cstheme="majorHAnsi"/>
          <w:i/>
          <w:sz w:val="22"/>
          <w:szCs w:val="22"/>
        </w:rPr>
      </w:pPr>
      <w:r w:rsidRPr="006053B2">
        <w:rPr>
          <w:rFonts w:asciiTheme="majorHAnsi" w:hAnsiTheme="majorHAnsi" w:cstheme="majorHAnsi"/>
          <w:i/>
          <w:sz w:val="22"/>
          <w:szCs w:val="22"/>
        </w:rPr>
        <w:t>Capacity building exchange of experiences:</w:t>
      </w:r>
    </w:p>
    <w:p w14:paraId="5D6B2567" w14:textId="73CD9844" w:rsidR="00C84870" w:rsidRPr="006053B2" w:rsidRDefault="00C84870" w:rsidP="00B12DD9">
      <w:pPr>
        <w:pStyle w:val="ListParagraph"/>
        <w:numPr>
          <w:ilvl w:val="0"/>
          <w:numId w:val="14"/>
        </w:numPr>
        <w:ind w:left="426" w:hanging="426"/>
        <w:rPr>
          <w:rFonts w:asciiTheme="majorHAnsi" w:hAnsiTheme="majorHAnsi" w:cstheme="majorHAnsi"/>
          <w:sz w:val="22"/>
          <w:szCs w:val="22"/>
        </w:rPr>
      </w:pPr>
      <w:r w:rsidRPr="006053B2">
        <w:rPr>
          <w:rFonts w:asciiTheme="majorHAnsi" w:hAnsiTheme="majorHAnsi" w:cstheme="majorHAnsi"/>
          <w:sz w:val="22"/>
          <w:szCs w:val="22"/>
        </w:rPr>
        <w:t>Facilitation and networking both on regional and national level</w:t>
      </w:r>
    </w:p>
    <w:p w14:paraId="7286D05C" w14:textId="3157599F" w:rsidR="00C84870" w:rsidRPr="006053B2" w:rsidRDefault="00C84870" w:rsidP="00B12DD9">
      <w:pPr>
        <w:pStyle w:val="ListParagraph"/>
        <w:numPr>
          <w:ilvl w:val="0"/>
          <w:numId w:val="14"/>
        </w:numPr>
        <w:ind w:left="426" w:hanging="426"/>
        <w:rPr>
          <w:rFonts w:asciiTheme="majorHAnsi" w:hAnsiTheme="majorHAnsi" w:cstheme="majorHAnsi"/>
          <w:sz w:val="22"/>
          <w:szCs w:val="22"/>
        </w:rPr>
      </w:pPr>
      <w:r w:rsidRPr="006053B2">
        <w:rPr>
          <w:rFonts w:asciiTheme="majorHAnsi" w:hAnsiTheme="majorHAnsi" w:cstheme="majorHAnsi"/>
          <w:sz w:val="22"/>
          <w:szCs w:val="22"/>
        </w:rPr>
        <w:t>Increase the capacity of national focal points and wetland managers – training</w:t>
      </w:r>
    </w:p>
    <w:p w14:paraId="38F45880" w14:textId="77777777" w:rsidR="00C84870" w:rsidRPr="006053B2" w:rsidRDefault="00C84870" w:rsidP="006053B2">
      <w:pPr>
        <w:rPr>
          <w:rFonts w:asciiTheme="majorHAnsi" w:hAnsiTheme="majorHAnsi" w:cstheme="majorHAnsi"/>
          <w:sz w:val="22"/>
          <w:szCs w:val="22"/>
        </w:rPr>
      </w:pPr>
    </w:p>
    <w:p w14:paraId="4428126E" w14:textId="44574AD9" w:rsidR="00EE3868" w:rsidRDefault="00C84870" w:rsidP="006053B2">
      <w:pPr>
        <w:rPr>
          <w:rFonts w:asciiTheme="majorHAnsi" w:hAnsiTheme="majorHAnsi" w:cstheme="majorHAnsi"/>
          <w:b/>
          <w:sz w:val="22"/>
          <w:szCs w:val="22"/>
        </w:rPr>
      </w:pPr>
      <w:r w:rsidRPr="006053B2">
        <w:rPr>
          <w:rFonts w:asciiTheme="majorHAnsi" w:hAnsiTheme="majorHAnsi" w:cstheme="majorHAnsi"/>
          <w:b/>
          <w:sz w:val="22"/>
          <w:szCs w:val="22"/>
        </w:rPr>
        <w:t>4. Integrate the CEPA programme into the Strategic Plan</w:t>
      </w:r>
    </w:p>
    <w:p w14:paraId="63DF3821" w14:textId="77777777" w:rsidR="00EE3868" w:rsidRPr="006053B2" w:rsidRDefault="00EE3868" w:rsidP="006053B2">
      <w:pPr>
        <w:rPr>
          <w:rFonts w:asciiTheme="majorHAnsi" w:hAnsiTheme="majorHAnsi" w:cstheme="majorHAnsi"/>
          <w:b/>
          <w:sz w:val="22"/>
          <w:szCs w:val="22"/>
        </w:rPr>
      </w:pPr>
    </w:p>
    <w:p w14:paraId="7C19D723" w14:textId="77777777" w:rsidR="00C84870" w:rsidRPr="006053B2" w:rsidRDefault="00C84870" w:rsidP="006053B2">
      <w:pPr>
        <w:rPr>
          <w:rFonts w:asciiTheme="majorHAnsi" w:hAnsiTheme="majorHAnsi" w:cstheme="majorHAnsi"/>
          <w:sz w:val="22"/>
          <w:szCs w:val="22"/>
        </w:rPr>
      </w:pPr>
      <w:r w:rsidRPr="006053B2">
        <w:rPr>
          <w:rFonts w:asciiTheme="majorHAnsi" w:hAnsiTheme="majorHAnsi" w:cstheme="majorHAnsi"/>
          <w:sz w:val="22"/>
          <w:szCs w:val="22"/>
        </w:rPr>
        <w:t>A clear majority of the respondents think that it would be useful to include the CEPA programme into the Strategic Plan. But there are also many respondents that think a separate CEPA programme can have a value.</w:t>
      </w:r>
    </w:p>
    <w:p w14:paraId="065F48B0" w14:textId="77777777" w:rsidR="00C84870" w:rsidRPr="006053B2" w:rsidRDefault="00C84870" w:rsidP="006053B2">
      <w:pPr>
        <w:rPr>
          <w:rFonts w:asciiTheme="majorHAnsi" w:hAnsiTheme="majorHAnsi" w:cstheme="majorHAnsi"/>
          <w:sz w:val="22"/>
          <w:szCs w:val="22"/>
        </w:rPr>
      </w:pPr>
    </w:p>
    <w:p w14:paraId="10743BDE" w14:textId="77777777" w:rsidR="00C84870" w:rsidRPr="006053B2" w:rsidRDefault="00C84870" w:rsidP="006053B2">
      <w:pPr>
        <w:rPr>
          <w:rFonts w:asciiTheme="majorHAnsi" w:hAnsiTheme="majorHAnsi" w:cstheme="majorHAnsi"/>
          <w:sz w:val="22"/>
          <w:szCs w:val="22"/>
          <w:u w:val="single"/>
        </w:rPr>
      </w:pPr>
      <w:r w:rsidRPr="006053B2">
        <w:rPr>
          <w:rFonts w:asciiTheme="majorHAnsi" w:hAnsiTheme="majorHAnsi" w:cstheme="majorHAnsi"/>
          <w:sz w:val="22"/>
          <w:szCs w:val="22"/>
          <w:u w:val="single"/>
        </w:rPr>
        <w:t xml:space="preserve">Comments on the value of a separate CEPA programme: </w:t>
      </w:r>
    </w:p>
    <w:p w14:paraId="56296267" w14:textId="5DD70949" w:rsidR="00C84870" w:rsidRPr="006053B2" w:rsidRDefault="00C84870" w:rsidP="00B12DD9">
      <w:pPr>
        <w:pStyle w:val="ListParagraph"/>
        <w:numPr>
          <w:ilvl w:val="0"/>
          <w:numId w:val="14"/>
        </w:numPr>
        <w:ind w:left="426" w:hanging="426"/>
        <w:rPr>
          <w:rFonts w:asciiTheme="majorHAnsi" w:hAnsiTheme="majorHAnsi" w:cstheme="majorHAnsi"/>
          <w:sz w:val="22"/>
          <w:szCs w:val="22"/>
        </w:rPr>
      </w:pPr>
      <w:r w:rsidRPr="006053B2">
        <w:rPr>
          <w:rFonts w:asciiTheme="majorHAnsi" w:hAnsiTheme="majorHAnsi" w:cstheme="majorHAnsi"/>
          <w:sz w:val="22"/>
          <w:szCs w:val="22"/>
        </w:rPr>
        <w:t>A separate CEPA programme makes CEPA visible and shows its importance</w:t>
      </w:r>
    </w:p>
    <w:p w14:paraId="0CB0F073" w14:textId="08E7B136" w:rsidR="00C84870" w:rsidRPr="006053B2" w:rsidRDefault="00C84870" w:rsidP="00B12DD9">
      <w:pPr>
        <w:pStyle w:val="ListParagraph"/>
        <w:numPr>
          <w:ilvl w:val="0"/>
          <w:numId w:val="14"/>
        </w:numPr>
        <w:ind w:left="426" w:hanging="426"/>
        <w:rPr>
          <w:rFonts w:asciiTheme="majorHAnsi" w:hAnsiTheme="majorHAnsi" w:cstheme="majorHAnsi"/>
          <w:sz w:val="22"/>
          <w:szCs w:val="22"/>
        </w:rPr>
      </w:pPr>
      <w:r w:rsidRPr="006053B2">
        <w:rPr>
          <w:rFonts w:asciiTheme="majorHAnsi" w:hAnsiTheme="majorHAnsi" w:cstheme="majorHAnsi"/>
          <w:sz w:val="22"/>
          <w:szCs w:val="22"/>
        </w:rPr>
        <w:t>CEPA might be underestimated or lost if it does not have its own programme</w:t>
      </w:r>
    </w:p>
    <w:p w14:paraId="7B0515E2" w14:textId="3B8608CF" w:rsidR="00C84870" w:rsidRPr="006053B2" w:rsidRDefault="00C84870" w:rsidP="00B12DD9">
      <w:pPr>
        <w:pStyle w:val="ListParagraph"/>
        <w:numPr>
          <w:ilvl w:val="0"/>
          <w:numId w:val="14"/>
        </w:numPr>
        <w:ind w:left="426" w:hanging="426"/>
        <w:rPr>
          <w:rFonts w:asciiTheme="majorHAnsi" w:hAnsiTheme="majorHAnsi" w:cstheme="majorHAnsi"/>
          <w:sz w:val="22"/>
          <w:szCs w:val="22"/>
        </w:rPr>
      </w:pPr>
      <w:r w:rsidRPr="006053B2">
        <w:rPr>
          <w:rFonts w:asciiTheme="majorHAnsi" w:hAnsiTheme="majorHAnsi" w:cstheme="majorHAnsi"/>
          <w:sz w:val="22"/>
          <w:szCs w:val="22"/>
        </w:rPr>
        <w:t>CEPA will not have to compete with other issues</w:t>
      </w:r>
    </w:p>
    <w:p w14:paraId="0D258274" w14:textId="200CBCC6" w:rsidR="00C84870" w:rsidRPr="006053B2" w:rsidRDefault="00C84870" w:rsidP="00B12DD9">
      <w:pPr>
        <w:pStyle w:val="ListParagraph"/>
        <w:numPr>
          <w:ilvl w:val="0"/>
          <w:numId w:val="14"/>
        </w:numPr>
        <w:ind w:left="426" w:hanging="426"/>
        <w:rPr>
          <w:rFonts w:asciiTheme="majorHAnsi" w:hAnsiTheme="majorHAnsi" w:cstheme="majorHAnsi"/>
          <w:sz w:val="22"/>
          <w:szCs w:val="22"/>
        </w:rPr>
      </w:pPr>
      <w:r w:rsidRPr="006053B2">
        <w:rPr>
          <w:rFonts w:asciiTheme="majorHAnsi" w:hAnsiTheme="majorHAnsi" w:cstheme="majorHAnsi"/>
          <w:sz w:val="22"/>
          <w:szCs w:val="22"/>
        </w:rPr>
        <w:t>Increased focus on CEPA</w:t>
      </w:r>
    </w:p>
    <w:p w14:paraId="730A5FA6" w14:textId="23B2CE06" w:rsidR="00C84870" w:rsidRPr="006053B2" w:rsidRDefault="00C84870" w:rsidP="00B12DD9">
      <w:pPr>
        <w:pStyle w:val="ListParagraph"/>
        <w:numPr>
          <w:ilvl w:val="0"/>
          <w:numId w:val="14"/>
        </w:numPr>
        <w:ind w:left="426" w:hanging="426"/>
        <w:rPr>
          <w:rFonts w:asciiTheme="majorHAnsi" w:hAnsiTheme="majorHAnsi" w:cstheme="majorHAnsi"/>
          <w:sz w:val="22"/>
          <w:szCs w:val="22"/>
        </w:rPr>
      </w:pPr>
      <w:r w:rsidRPr="006053B2">
        <w:rPr>
          <w:rFonts w:asciiTheme="majorHAnsi" w:hAnsiTheme="majorHAnsi" w:cstheme="majorHAnsi"/>
          <w:sz w:val="22"/>
          <w:szCs w:val="22"/>
        </w:rPr>
        <w:t>Value of documents with supporting guidance apart from the Strategic Plan</w:t>
      </w:r>
    </w:p>
    <w:p w14:paraId="70045664" w14:textId="1D968AB5" w:rsidR="00C84870" w:rsidRPr="006053B2" w:rsidRDefault="00C84870" w:rsidP="00B12DD9">
      <w:pPr>
        <w:pStyle w:val="ListParagraph"/>
        <w:numPr>
          <w:ilvl w:val="0"/>
          <w:numId w:val="14"/>
        </w:numPr>
        <w:ind w:left="426" w:hanging="426"/>
        <w:rPr>
          <w:rFonts w:asciiTheme="majorHAnsi" w:hAnsiTheme="majorHAnsi" w:cstheme="majorHAnsi"/>
          <w:sz w:val="22"/>
          <w:szCs w:val="22"/>
        </w:rPr>
      </w:pPr>
      <w:r w:rsidRPr="006053B2">
        <w:rPr>
          <w:rFonts w:asciiTheme="majorHAnsi" w:hAnsiTheme="majorHAnsi" w:cstheme="majorHAnsi"/>
          <w:sz w:val="22"/>
          <w:szCs w:val="22"/>
        </w:rPr>
        <w:t>CEPA is a specialist area of work</w:t>
      </w:r>
    </w:p>
    <w:p w14:paraId="71733A87" w14:textId="33540304" w:rsidR="00C84870" w:rsidRPr="006053B2" w:rsidRDefault="00C84870" w:rsidP="00B12DD9">
      <w:pPr>
        <w:pStyle w:val="ListParagraph"/>
        <w:numPr>
          <w:ilvl w:val="0"/>
          <w:numId w:val="14"/>
        </w:numPr>
        <w:ind w:left="426" w:hanging="426"/>
        <w:rPr>
          <w:rFonts w:asciiTheme="majorHAnsi" w:hAnsiTheme="majorHAnsi" w:cstheme="majorHAnsi"/>
          <w:sz w:val="22"/>
          <w:szCs w:val="22"/>
        </w:rPr>
      </w:pPr>
      <w:r w:rsidRPr="006053B2">
        <w:rPr>
          <w:rFonts w:asciiTheme="majorHAnsi" w:hAnsiTheme="majorHAnsi" w:cstheme="majorHAnsi"/>
          <w:sz w:val="22"/>
          <w:szCs w:val="22"/>
        </w:rPr>
        <w:t>Easier to achieve goals</w:t>
      </w:r>
    </w:p>
    <w:p w14:paraId="6C994527" w14:textId="77777777" w:rsidR="00C84870" w:rsidRPr="006053B2" w:rsidRDefault="00C84870" w:rsidP="006053B2">
      <w:pPr>
        <w:rPr>
          <w:rFonts w:asciiTheme="majorHAnsi" w:hAnsiTheme="majorHAnsi" w:cstheme="majorHAnsi"/>
          <w:sz w:val="22"/>
          <w:szCs w:val="22"/>
        </w:rPr>
      </w:pPr>
    </w:p>
    <w:p w14:paraId="4EFEC99A" w14:textId="74D5948F" w:rsidR="00C84870" w:rsidRDefault="00C84870" w:rsidP="006053B2">
      <w:pPr>
        <w:rPr>
          <w:rFonts w:asciiTheme="majorHAnsi" w:hAnsiTheme="majorHAnsi" w:cstheme="majorHAnsi"/>
          <w:b/>
          <w:sz w:val="22"/>
          <w:szCs w:val="22"/>
        </w:rPr>
      </w:pPr>
      <w:r w:rsidRPr="006053B2">
        <w:rPr>
          <w:rFonts w:asciiTheme="majorHAnsi" w:hAnsiTheme="majorHAnsi" w:cstheme="majorHAnsi"/>
          <w:b/>
          <w:sz w:val="22"/>
          <w:szCs w:val="22"/>
        </w:rPr>
        <w:t>5. Reporting to be better aligned with other internatio</w:t>
      </w:r>
      <w:r w:rsidR="00C10DA4">
        <w:rPr>
          <w:rFonts w:asciiTheme="majorHAnsi" w:hAnsiTheme="majorHAnsi" w:cstheme="majorHAnsi"/>
          <w:b/>
          <w:sz w:val="22"/>
          <w:szCs w:val="22"/>
        </w:rPr>
        <w:t>nal conventions and initiatives</w:t>
      </w:r>
    </w:p>
    <w:p w14:paraId="41B9C4BF" w14:textId="77777777" w:rsidR="00EE3868" w:rsidRPr="006053B2" w:rsidRDefault="00EE3868" w:rsidP="006053B2">
      <w:pPr>
        <w:rPr>
          <w:rFonts w:asciiTheme="majorHAnsi" w:hAnsiTheme="majorHAnsi" w:cstheme="majorHAnsi"/>
          <w:b/>
          <w:sz w:val="22"/>
          <w:szCs w:val="22"/>
        </w:rPr>
      </w:pPr>
    </w:p>
    <w:p w14:paraId="1F88EA18" w14:textId="6638F23B" w:rsidR="00C84870" w:rsidRPr="006053B2" w:rsidRDefault="00C84870" w:rsidP="006053B2">
      <w:pPr>
        <w:rPr>
          <w:rFonts w:asciiTheme="majorHAnsi" w:hAnsiTheme="majorHAnsi" w:cstheme="majorHAnsi"/>
          <w:sz w:val="22"/>
          <w:szCs w:val="22"/>
        </w:rPr>
      </w:pPr>
      <w:r w:rsidRPr="006053B2">
        <w:rPr>
          <w:rFonts w:asciiTheme="majorHAnsi" w:hAnsiTheme="majorHAnsi" w:cstheme="majorHAnsi"/>
          <w:sz w:val="22"/>
          <w:szCs w:val="22"/>
        </w:rPr>
        <w:t>A clear majority of the respondents think that Ramsar CEPA reporting has to be better aligned with the reporting requirements of other international Conventions. They also think that CEPA reporting in the National</w:t>
      </w:r>
      <w:r w:rsidR="00C10DA4">
        <w:rPr>
          <w:rFonts w:asciiTheme="majorHAnsi" w:hAnsiTheme="majorHAnsi" w:cstheme="majorHAnsi"/>
          <w:sz w:val="22"/>
          <w:szCs w:val="22"/>
        </w:rPr>
        <w:t xml:space="preserve"> Reports has to be streamlined.</w:t>
      </w:r>
    </w:p>
    <w:p w14:paraId="628969B1" w14:textId="77777777" w:rsidR="00C84870" w:rsidRPr="006053B2" w:rsidRDefault="00C84870" w:rsidP="006053B2">
      <w:pPr>
        <w:rPr>
          <w:rFonts w:asciiTheme="majorHAnsi" w:hAnsiTheme="majorHAnsi" w:cstheme="majorHAnsi"/>
          <w:b/>
          <w:sz w:val="22"/>
          <w:szCs w:val="22"/>
        </w:rPr>
      </w:pPr>
    </w:p>
    <w:p w14:paraId="4CA8965F" w14:textId="31418087" w:rsidR="00C84870" w:rsidRDefault="00C84870" w:rsidP="006053B2">
      <w:pPr>
        <w:rPr>
          <w:rFonts w:asciiTheme="majorHAnsi" w:hAnsiTheme="majorHAnsi" w:cstheme="majorHAnsi"/>
          <w:b/>
          <w:sz w:val="22"/>
          <w:szCs w:val="22"/>
        </w:rPr>
      </w:pPr>
      <w:r w:rsidRPr="006053B2">
        <w:rPr>
          <w:rFonts w:asciiTheme="majorHAnsi" w:hAnsiTheme="majorHAnsi" w:cstheme="majorHAnsi"/>
          <w:b/>
          <w:sz w:val="22"/>
          <w:szCs w:val="22"/>
        </w:rPr>
        <w:t>6. Small number of high priority activities that follow the f</w:t>
      </w:r>
      <w:r w:rsidR="00C10DA4">
        <w:rPr>
          <w:rFonts w:asciiTheme="majorHAnsi" w:hAnsiTheme="majorHAnsi" w:cstheme="majorHAnsi"/>
          <w:b/>
          <w:sz w:val="22"/>
          <w:szCs w:val="22"/>
        </w:rPr>
        <w:t>our goals of the Strategic Plan</w:t>
      </w:r>
    </w:p>
    <w:p w14:paraId="5D3FEC23" w14:textId="77777777" w:rsidR="00EE3868" w:rsidRPr="006053B2" w:rsidRDefault="00EE3868" w:rsidP="006053B2">
      <w:pPr>
        <w:rPr>
          <w:rFonts w:asciiTheme="majorHAnsi" w:hAnsiTheme="majorHAnsi" w:cstheme="majorHAnsi"/>
          <w:b/>
          <w:sz w:val="22"/>
          <w:szCs w:val="22"/>
        </w:rPr>
      </w:pPr>
    </w:p>
    <w:p w14:paraId="7A9DAA00" w14:textId="77777777" w:rsidR="00C84870" w:rsidRPr="006053B2" w:rsidRDefault="00C84870" w:rsidP="006053B2">
      <w:pPr>
        <w:rPr>
          <w:rFonts w:asciiTheme="majorHAnsi" w:hAnsiTheme="majorHAnsi" w:cstheme="majorHAnsi"/>
          <w:b/>
          <w:sz w:val="22"/>
          <w:szCs w:val="22"/>
        </w:rPr>
      </w:pPr>
      <w:r w:rsidRPr="006053B2">
        <w:rPr>
          <w:rFonts w:asciiTheme="majorHAnsi" w:hAnsiTheme="majorHAnsi" w:cstheme="majorHAnsi"/>
          <w:sz w:val="22"/>
          <w:szCs w:val="22"/>
        </w:rPr>
        <w:t>A very strong majority of the respondents think that it would be useful to align CEPA activities with the goals of the Strategic Plan.</w:t>
      </w:r>
    </w:p>
    <w:p w14:paraId="0D8FCCFF" w14:textId="77777777" w:rsidR="00C84870" w:rsidRPr="006053B2" w:rsidRDefault="00C84870" w:rsidP="006053B2">
      <w:pPr>
        <w:rPr>
          <w:rFonts w:asciiTheme="majorHAnsi" w:hAnsiTheme="majorHAnsi" w:cstheme="majorHAnsi"/>
          <w:b/>
          <w:sz w:val="22"/>
          <w:szCs w:val="22"/>
        </w:rPr>
      </w:pPr>
    </w:p>
    <w:p w14:paraId="60B80403" w14:textId="7F521934" w:rsidR="00C84870" w:rsidRDefault="00C84870" w:rsidP="006053B2">
      <w:pPr>
        <w:rPr>
          <w:rFonts w:asciiTheme="majorHAnsi" w:hAnsiTheme="majorHAnsi" w:cstheme="majorHAnsi"/>
          <w:b/>
          <w:sz w:val="22"/>
          <w:szCs w:val="22"/>
        </w:rPr>
      </w:pPr>
      <w:r w:rsidRPr="006053B2">
        <w:rPr>
          <w:rFonts w:asciiTheme="majorHAnsi" w:hAnsiTheme="majorHAnsi" w:cstheme="majorHAnsi"/>
          <w:b/>
          <w:sz w:val="22"/>
          <w:szCs w:val="22"/>
        </w:rPr>
        <w:t>7. Working through networ</w:t>
      </w:r>
      <w:r w:rsidR="00C10DA4">
        <w:rPr>
          <w:rFonts w:asciiTheme="majorHAnsi" w:hAnsiTheme="majorHAnsi" w:cstheme="majorHAnsi"/>
          <w:b/>
          <w:sz w:val="22"/>
          <w:szCs w:val="22"/>
        </w:rPr>
        <w:t>ks and partnerships</w:t>
      </w:r>
    </w:p>
    <w:p w14:paraId="7E95AADB" w14:textId="77777777" w:rsidR="00EE3868" w:rsidRPr="006053B2" w:rsidRDefault="00EE3868" w:rsidP="006053B2">
      <w:pPr>
        <w:rPr>
          <w:rFonts w:asciiTheme="majorHAnsi" w:hAnsiTheme="majorHAnsi" w:cstheme="majorHAnsi"/>
          <w:b/>
          <w:sz w:val="22"/>
          <w:szCs w:val="22"/>
        </w:rPr>
      </w:pPr>
    </w:p>
    <w:p w14:paraId="0E7EDBD5" w14:textId="75BB6476" w:rsidR="00C84870" w:rsidRPr="006053B2" w:rsidRDefault="00C84870" w:rsidP="006053B2">
      <w:pPr>
        <w:rPr>
          <w:rFonts w:asciiTheme="majorHAnsi" w:hAnsiTheme="majorHAnsi" w:cstheme="majorHAnsi"/>
          <w:b/>
          <w:sz w:val="22"/>
          <w:szCs w:val="22"/>
        </w:rPr>
      </w:pPr>
      <w:r w:rsidRPr="006053B2">
        <w:rPr>
          <w:rFonts w:asciiTheme="majorHAnsi" w:hAnsiTheme="majorHAnsi" w:cstheme="majorHAnsi"/>
          <w:sz w:val="22"/>
          <w:szCs w:val="22"/>
        </w:rPr>
        <w:t>A very strong majority of the respondents think that building strong networks among the National Focal Points, CEPA Focal Points and Wetland education/Visitors Centres is a useful way to strengthen CEPA work. They also find think that training packages for CEP</w:t>
      </w:r>
      <w:r w:rsidR="00C10DA4">
        <w:rPr>
          <w:rFonts w:asciiTheme="majorHAnsi" w:hAnsiTheme="majorHAnsi" w:cstheme="majorHAnsi"/>
          <w:sz w:val="22"/>
          <w:szCs w:val="22"/>
        </w:rPr>
        <w:t>A Focal Points would be useful.</w:t>
      </w:r>
    </w:p>
    <w:p w14:paraId="33C42DB5" w14:textId="77777777" w:rsidR="00C84870" w:rsidRPr="006053B2" w:rsidRDefault="00C84870" w:rsidP="006053B2">
      <w:pPr>
        <w:rPr>
          <w:rFonts w:asciiTheme="majorHAnsi" w:hAnsiTheme="majorHAnsi" w:cstheme="majorHAnsi"/>
          <w:sz w:val="22"/>
          <w:szCs w:val="22"/>
        </w:rPr>
      </w:pPr>
    </w:p>
    <w:p w14:paraId="081A3C7E" w14:textId="5C9B1240" w:rsidR="00C84870" w:rsidRDefault="00C84870" w:rsidP="00B12DD9">
      <w:pPr>
        <w:keepNext/>
        <w:rPr>
          <w:rFonts w:asciiTheme="majorHAnsi" w:hAnsiTheme="majorHAnsi" w:cstheme="majorHAnsi"/>
          <w:b/>
          <w:sz w:val="22"/>
          <w:szCs w:val="22"/>
        </w:rPr>
      </w:pPr>
      <w:r w:rsidRPr="006053B2">
        <w:rPr>
          <w:rFonts w:asciiTheme="majorHAnsi" w:hAnsiTheme="majorHAnsi" w:cstheme="majorHAnsi"/>
          <w:b/>
          <w:sz w:val="22"/>
          <w:szCs w:val="22"/>
        </w:rPr>
        <w:lastRenderedPageBreak/>
        <w:t>8. CEPA integrated in all planning and activities of the Convention</w:t>
      </w:r>
    </w:p>
    <w:p w14:paraId="44181517" w14:textId="0294E1A1" w:rsidR="00EE3868" w:rsidRPr="006053B2" w:rsidRDefault="00C15FC3" w:rsidP="00C15FC3">
      <w:pPr>
        <w:keepNext/>
        <w:tabs>
          <w:tab w:val="left" w:pos="2113"/>
        </w:tabs>
        <w:rPr>
          <w:rFonts w:asciiTheme="majorHAnsi" w:hAnsiTheme="majorHAnsi" w:cstheme="majorHAnsi"/>
          <w:b/>
          <w:sz w:val="22"/>
          <w:szCs w:val="22"/>
        </w:rPr>
      </w:pPr>
      <w:r>
        <w:rPr>
          <w:rFonts w:asciiTheme="majorHAnsi" w:hAnsiTheme="majorHAnsi" w:cstheme="majorHAnsi"/>
          <w:b/>
          <w:sz w:val="22"/>
          <w:szCs w:val="22"/>
        </w:rPr>
        <w:tab/>
      </w:r>
    </w:p>
    <w:p w14:paraId="6415429C" w14:textId="1641D001" w:rsidR="00E32C50" w:rsidRDefault="00C84870" w:rsidP="006053B2">
      <w:pPr>
        <w:rPr>
          <w:rFonts w:asciiTheme="majorHAnsi" w:hAnsiTheme="majorHAnsi"/>
          <w:b/>
        </w:rPr>
      </w:pPr>
      <w:r w:rsidRPr="006053B2">
        <w:rPr>
          <w:rFonts w:asciiTheme="majorHAnsi" w:hAnsiTheme="majorHAnsi" w:cstheme="majorHAnsi"/>
          <w:sz w:val="22"/>
          <w:szCs w:val="22"/>
        </w:rPr>
        <w:t>A strong majority of the respondents think that including the CEPA National Focal Point in each country’s Ram</w:t>
      </w:r>
      <w:r w:rsidR="00C10DA4">
        <w:rPr>
          <w:rFonts w:asciiTheme="majorHAnsi" w:hAnsiTheme="majorHAnsi" w:cstheme="majorHAnsi"/>
          <w:sz w:val="22"/>
          <w:szCs w:val="22"/>
        </w:rPr>
        <w:t>sar Committees would be useful.</w:t>
      </w:r>
    </w:p>
    <w:sectPr w:rsidR="00E32C50" w:rsidSect="003D28E4">
      <w:footerReference w:type="default" r:id="rId16"/>
      <w:pgSz w:w="11907" w:h="16839" w:code="9"/>
      <w:pgMar w:top="1440" w:right="1440" w:bottom="1440" w:left="1440"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AA4843" w16cex:dateUtc="2022-08-19T15:34:00Z"/>
  <w16cex:commentExtensible w16cex:durableId="26AA497F" w16cex:dateUtc="2022-08-19T15:40:00Z"/>
  <w16cex:commentExtensible w16cex:durableId="26AA4A01" w16cex:dateUtc="2022-08-19T15: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43FF89B" w16cid:durableId="26AA4843"/>
  <w16cid:commentId w16cid:paraId="1970083C" w16cid:durableId="26AA497F"/>
  <w16cid:commentId w16cid:paraId="6F4B47EC" w16cid:durableId="26AA4A0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E1DBC4" w14:textId="77777777" w:rsidR="00D7748F" w:rsidRDefault="00D7748F" w:rsidP="00002B9E">
      <w:r>
        <w:separator/>
      </w:r>
    </w:p>
  </w:endnote>
  <w:endnote w:type="continuationSeparator" w:id="0">
    <w:p w14:paraId="294C03CF" w14:textId="77777777" w:rsidR="00D7748F" w:rsidRDefault="00D7748F" w:rsidP="00002B9E">
      <w:r>
        <w:continuationSeparator/>
      </w:r>
    </w:p>
  </w:endnote>
  <w:endnote w:type="continuationNotice" w:id="1">
    <w:p w14:paraId="44CCD181" w14:textId="77777777" w:rsidR="00D7748F" w:rsidRDefault="00D774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99D3CA" w14:textId="0C1C5BD4" w:rsidR="00D7748F" w:rsidRPr="00C50F56" w:rsidRDefault="00D7748F" w:rsidP="00E32C50">
    <w:pPr>
      <w:pStyle w:val="Footer"/>
      <w:tabs>
        <w:tab w:val="clear" w:pos="9026"/>
        <w:tab w:val="left" w:pos="8820"/>
        <w:tab w:val="right" w:pos="14220"/>
      </w:tabs>
      <w:rPr>
        <w:rFonts w:ascii="Calibri" w:hAnsi="Calibri"/>
        <w:sz w:val="20"/>
        <w:szCs w:val="20"/>
        <w:lang w:val="en-GB"/>
      </w:rPr>
    </w:pPr>
    <w:r>
      <w:rPr>
        <w:rFonts w:ascii="Calibri" w:hAnsi="Calibri"/>
        <w:sz w:val="20"/>
        <w:szCs w:val="20"/>
        <w:lang w:val="en-GB"/>
      </w:rPr>
      <w:t>COP14 Doc.11</w:t>
    </w:r>
    <w:r>
      <w:rPr>
        <w:rFonts w:ascii="Calibri" w:hAnsi="Calibri"/>
        <w:sz w:val="20"/>
        <w:szCs w:val="20"/>
        <w:lang w:val="en-GB"/>
      </w:rPr>
      <w:tab/>
    </w:r>
    <w:r>
      <w:rPr>
        <w:rFonts w:ascii="Calibri" w:hAnsi="Calibri"/>
        <w:sz w:val="20"/>
        <w:szCs w:val="20"/>
        <w:lang w:val="en-GB"/>
      </w:rPr>
      <w:tab/>
    </w:r>
    <w:r w:rsidRPr="00CB5417">
      <w:rPr>
        <w:rFonts w:ascii="Calibri" w:hAnsi="Calibri"/>
        <w:sz w:val="20"/>
        <w:szCs w:val="20"/>
        <w:lang w:val="en-GB"/>
      </w:rPr>
      <w:fldChar w:fldCharType="begin"/>
    </w:r>
    <w:r w:rsidRPr="00CB5417">
      <w:rPr>
        <w:rFonts w:ascii="Calibri" w:hAnsi="Calibri"/>
        <w:sz w:val="20"/>
        <w:szCs w:val="20"/>
        <w:lang w:val="en-GB"/>
      </w:rPr>
      <w:instrText xml:space="preserve"> PAGE   \* MERGEFORMAT </w:instrText>
    </w:r>
    <w:r w:rsidRPr="00CB5417">
      <w:rPr>
        <w:rFonts w:ascii="Calibri" w:hAnsi="Calibri"/>
        <w:sz w:val="20"/>
        <w:szCs w:val="20"/>
        <w:lang w:val="en-GB"/>
      </w:rPr>
      <w:fldChar w:fldCharType="separate"/>
    </w:r>
    <w:r w:rsidR="006C7C79">
      <w:rPr>
        <w:rFonts w:ascii="Calibri" w:hAnsi="Calibri"/>
        <w:noProof/>
        <w:sz w:val="20"/>
        <w:szCs w:val="20"/>
        <w:lang w:val="en-GB"/>
      </w:rPr>
      <w:t>18</w:t>
    </w:r>
    <w:r w:rsidRPr="00CB5417">
      <w:rPr>
        <w:rFonts w:ascii="Calibri" w:hAnsi="Calibri"/>
        <w:noProof/>
        <w:sz w:val="20"/>
        <w:szCs w:val="20"/>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55EB67" w14:textId="77777777" w:rsidR="00D7748F" w:rsidRDefault="00D7748F" w:rsidP="00002B9E">
      <w:r>
        <w:separator/>
      </w:r>
    </w:p>
  </w:footnote>
  <w:footnote w:type="continuationSeparator" w:id="0">
    <w:p w14:paraId="26387A58" w14:textId="77777777" w:rsidR="00D7748F" w:rsidRDefault="00D7748F" w:rsidP="00002B9E">
      <w:r>
        <w:continuationSeparator/>
      </w:r>
    </w:p>
  </w:footnote>
  <w:footnote w:type="continuationNotice" w:id="1">
    <w:p w14:paraId="09727C1E" w14:textId="77777777" w:rsidR="00D7748F" w:rsidRDefault="00D7748F"/>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67718"/>
    <w:multiLevelType w:val="hybridMultilevel"/>
    <w:tmpl w:val="6FD25A94"/>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5469EA"/>
    <w:multiLevelType w:val="multilevel"/>
    <w:tmpl w:val="EC8ECB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F9A4154"/>
    <w:multiLevelType w:val="hybridMultilevel"/>
    <w:tmpl w:val="028C3786"/>
    <w:lvl w:ilvl="0" w:tplc="0C090003">
      <w:start w:val="1"/>
      <w:numFmt w:val="bullet"/>
      <w:lvlText w:val="o"/>
      <w:lvlJc w:val="left"/>
      <w:pPr>
        <w:ind w:left="1440" w:hanging="360"/>
      </w:pPr>
      <w:rPr>
        <w:rFonts w:ascii="Courier New" w:hAnsi="Courier New" w:cs="Courier New" w:hint="default"/>
      </w:rPr>
    </w:lvl>
    <w:lvl w:ilvl="1" w:tplc="CD083844">
      <w:start w:val="1"/>
      <w:numFmt w:val="bullet"/>
      <w:lvlText w:val="o"/>
      <w:lvlJc w:val="left"/>
      <w:pPr>
        <w:ind w:left="2160" w:hanging="360"/>
      </w:pPr>
      <w:rPr>
        <w:rFonts w:ascii="Courier New" w:hAnsi="Courier New" w:cs="Times New Roman" w:hint="default"/>
      </w:rPr>
    </w:lvl>
    <w:lvl w:ilvl="2" w:tplc="E94470F0">
      <w:start w:val="1"/>
      <w:numFmt w:val="bullet"/>
      <w:lvlText w:val=""/>
      <w:lvlJc w:val="left"/>
      <w:pPr>
        <w:ind w:left="2880" w:hanging="360"/>
      </w:pPr>
      <w:rPr>
        <w:rFonts w:ascii="Wingdings" w:hAnsi="Wingdings" w:hint="default"/>
      </w:rPr>
    </w:lvl>
    <w:lvl w:ilvl="3" w:tplc="2E167E04">
      <w:start w:val="1"/>
      <w:numFmt w:val="bullet"/>
      <w:lvlText w:val=""/>
      <w:lvlJc w:val="left"/>
      <w:pPr>
        <w:ind w:left="3600" w:hanging="360"/>
      </w:pPr>
      <w:rPr>
        <w:rFonts w:ascii="Symbol" w:hAnsi="Symbol" w:hint="default"/>
      </w:rPr>
    </w:lvl>
    <w:lvl w:ilvl="4" w:tplc="D2A4702A">
      <w:start w:val="1"/>
      <w:numFmt w:val="bullet"/>
      <w:lvlText w:val="o"/>
      <w:lvlJc w:val="left"/>
      <w:pPr>
        <w:ind w:left="4320" w:hanging="360"/>
      </w:pPr>
      <w:rPr>
        <w:rFonts w:ascii="Courier New" w:hAnsi="Courier New" w:cs="Times New Roman" w:hint="default"/>
      </w:rPr>
    </w:lvl>
    <w:lvl w:ilvl="5" w:tplc="68F893EC">
      <w:start w:val="1"/>
      <w:numFmt w:val="bullet"/>
      <w:lvlText w:val=""/>
      <w:lvlJc w:val="left"/>
      <w:pPr>
        <w:ind w:left="5040" w:hanging="360"/>
      </w:pPr>
      <w:rPr>
        <w:rFonts w:ascii="Wingdings" w:hAnsi="Wingdings" w:hint="default"/>
      </w:rPr>
    </w:lvl>
    <w:lvl w:ilvl="6" w:tplc="4BC09478">
      <w:start w:val="1"/>
      <w:numFmt w:val="bullet"/>
      <w:lvlText w:val=""/>
      <w:lvlJc w:val="left"/>
      <w:pPr>
        <w:ind w:left="5760" w:hanging="360"/>
      </w:pPr>
      <w:rPr>
        <w:rFonts w:ascii="Symbol" w:hAnsi="Symbol" w:hint="default"/>
      </w:rPr>
    </w:lvl>
    <w:lvl w:ilvl="7" w:tplc="2C6C7D4A">
      <w:start w:val="1"/>
      <w:numFmt w:val="bullet"/>
      <w:lvlText w:val="o"/>
      <w:lvlJc w:val="left"/>
      <w:pPr>
        <w:ind w:left="6480" w:hanging="360"/>
      </w:pPr>
      <w:rPr>
        <w:rFonts w:ascii="Courier New" w:hAnsi="Courier New" w:cs="Times New Roman" w:hint="default"/>
      </w:rPr>
    </w:lvl>
    <w:lvl w:ilvl="8" w:tplc="20604AE0">
      <w:start w:val="1"/>
      <w:numFmt w:val="bullet"/>
      <w:lvlText w:val=""/>
      <w:lvlJc w:val="left"/>
      <w:pPr>
        <w:ind w:left="7200" w:hanging="360"/>
      </w:pPr>
      <w:rPr>
        <w:rFonts w:ascii="Wingdings" w:hAnsi="Wingdings" w:hint="default"/>
      </w:rPr>
    </w:lvl>
  </w:abstractNum>
  <w:abstractNum w:abstractNumId="3" w15:restartNumberingAfterBreak="0">
    <w:nsid w:val="179E3D0D"/>
    <w:multiLevelType w:val="hybridMultilevel"/>
    <w:tmpl w:val="1D48BDAE"/>
    <w:lvl w:ilvl="0" w:tplc="168EA184">
      <w:start w:val="1"/>
      <w:numFmt w:val="bullet"/>
      <w:lvlText w:val="·"/>
      <w:lvlJc w:val="left"/>
      <w:pPr>
        <w:ind w:left="1440" w:hanging="360"/>
      </w:pPr>
      <w:rPr>
        <w:rFonts w:ascii="Symbol" w:hAnsi="Symbol" w:hint="default"/>
      </w:rPr>
    </w:lvl>
    <w:lvl w:ilvl="1" w:tplc="CD083844">
      <w:start w:val="1"/>
      <w:numFmt w:val="bullet"/>
      <w:lvlText w:val="o"/>
      <w:lvlJc w:val="left"/>
      <w:pPr>
        <w:ind w:left="2160" w:hanging="360"/>
      </w:pPr>
      <w:rPr>
        <w:rFonts w:ascii="Courier New" w:hAnsi="Courier New" w:cs="Times New Roman" w:hint="default"/>
      </w:rPr>
    </w:lvl>
    <w:lvl w:ilvl="2" w:tplc="E94470F0">
      <w:start w:val="1"/>
      <w:numFmt w:val="bullet"/>
      <w:lvlText w:val=""/>
      <w:lvlJc w:val="left"/>
      <w:pPr>
        <w:ind w:left="2880" w:hanging="360"/>
      </w:pPr>
      <w:rPr>
        <w:rFonts w:ascii="Wingdings" w:hAnsi="Wingdings" w:hint="default"/>
      </w:rPr>
    </w:lvl>
    <w:lvl w:ilvl="3" w:tplc="2E167E04">
      <w:start w:val="1"/>
      <w:numFmt w:val="bullet"/>
      <w:lvlText w:val=""/>
      <w:lvlJc w:val="left"/>
      <w:pPr>
        <w:ind w:left="3600" w:hanging="360"/>
      </w:pPr>
      <w:rPr>
        <w:rFonts w:ascii="Symbol" w:hAnsi="Symbol" w:hint="default"/>
      </w:rPr>
    </w:lvl>
    <w:lvl w:ilvl="4" w:tplc="D2A4702A">
      <w:start w:val="1"/>
      <w:numFmt w:val="bullet"/>
      <w:lvlText w:val="o"/>
      <w:lvlJc w:val="left"/>
      <w:pPr>
        <w:ind w:left="4320" w:hanging="360"/>
      </w:pPr>
      <w:rPr>
        <w:rFonts w:ascii="Courier New" w:hAnsi="Courier New" w:cs="Times New Roman" w:hint="default"/>
      </w:rPr>
    </w:lvl>
    <w:lvl w:ilvl="5" w:tplc="68F893EC">
      <w:start w:val="1"/>
      <w:numFmt w:val="bullet"/>
      <w:lvlText w:val=""/>
      <w:lvlJc w:val="left"/>
      <w:pPr>
        <w:ind w:left="5040" w:hanging="360"/>
      </w:pPr>
      <w:rPr>
        <w:rFonts w:ascii="Wingdings" w:hAnsi="Wingdings" w:hint="default"/>
      </w:rPr>
    </w:lvl>
    <w:lvl w:ilvl="6" w:tplc="4BC09478">
      <w:start w:val="1"/>
      <w:numFmt w:val="bullet"/>
      <w:lvlText w:val=""/>
      <w:lvlJc w:val="left"/>
      <w:pPr>
        <w:ind w:left="5760" w:hanging="360"/>
      </w:pPr>
      <w:rPr>
        <w:rFonts w:ascii="Symbol" w:hAnsi="Symbol" w:hint="default"/>
      </w:rPr>
    </w:lvl>
    <w:lvl w:ilvl="7" w:tplc="2C6C7D4A">
      <w:start w:val="1"/>
      <w:numFmt w:val="bullet"/>
      <w:lvlText w:val="o"/>
      <w:lvlJc w:val="left"/>
      <w:pPr>
        <w:ind w:left="6480" w:hanging="360"/>
      </w:pPr>
      <w:rPr>
        <w:rFonts w:ascii="Courier New" w:hAnsi="Courier New" w:cs="Times New Roman" w:hint="default"/>
      </w:rPr>
    </w:lvl>
    <w:lvl w:ilvl="8" w:tplc="20604AE0">
      <w:start w:val="1"/>
      <w:numFmt w:val="bullet"/>
      <w:lvlText w:val=""/>
      <w:lvlJc w:val="left"/>
      <w:pPr>
        <w:ind w:left="7200" w:hanging="360"/>
      </w:pPr>
      <w:rPr>
        <w:rFonts w:ascii="Wingdings" w:hAnsi="Wingdings" w:hint="default"/>
      </w:rPr>
    </w:lvl>
  </w:abstractNum>
  <w:abstractNum w:abstractNumId="4" w15:restartNumberingAfterBreak="0">
    <w:nsid w:val="3022374E"/>
    <w:multiLevelType w:val="hybridMultilevel"/>
    <w:tmpl w:val="C10A451C"/>
    <w:lvl w:ilvl="0" w:tplc="08090003">
      <w:start w:val="1"/>
      <w:numFmt w:val="bullet"/>
      <w:lvlText w:val="o"/>
      <w:lvlJc w:val="left"/>
      <w:pPr>
        <w:ind w:left="1545" w:hanging="360"/>
      </w:pPr>
      <w:rPr>
        <w:rFonts w:ascii="Courier New" w:hAnsi="Courier New" w:cs="Courier New" w:hint="default"/>
      </w:rPr>
    </w:lvl>
    <w:lvl w:ilvl="1" w:tplc="08090003" w:tentative="1">
      <w:start w:val="1"/>
      <w:numFmt w:val="bullet"/>
      <w:lvlText w:val="o"/>
      <w:lvlJc w:val="left"/>
      <w:pPr>
        <w:ind w:left="2265" w:hanging="360"/>
      </w:pPr>
      <w:rPr>
        <w:rFonts w:ascii="Courier New" w:hAnsi="Courier New" w:cs="Courier New" w:hint="default"/>
      </w:rPr>
    </w:lvl>
    <w:lvl w:ilvl="2" w:tplc="08090005" w:tentative="1">
      <w:start w:val="1"/>
      <w:numFmt w:val="bullet"/>
      <w:lvlText w:val=""/>
      <w:lvlJc w:val="left"/>
      <w:pPr>
        <w:ind w:left="2985" w:hanging="360"/>
      </w:pPr>
      <w:rPr>
        <w:rFonts w:ascii="Wingdings" w:hAnsi="Wingdings" w:hint="default"/>
      </w:rPr>
    </w:lvl>
    <w:lvl w:ilvl="3" w:tplc="08090001" w:tentative="1">
      <w:start w:val="1"/>
      <w:numFmt w:val="bullet"/>
      <w:lvlText w:val=""/>
      <w:lvlJc w:val="left"/>
      <w:pPr>
        <w:ind w:left="3705" w:hanging="360"/>
      </w:pPr>
      <w:rPr>
        <w:rFonts w:ascii="Symbol" w:hAnsi="Symbol" w:hint="default"/>
      </w:rPr>
    </w:lvl>
    <w:lvl w:ilvl="4" w:tplc="08090003" w:tentative="1">
      <w:start w:val="1"/>
      <w:numFmt w:val="bullet"/>
      <w:lvlText w:val="o"/>
      <w:lvlJc w:val="left"/>
      <w:pPr>
        <w:ind w:left="4425" w:hanging="360"/>
      </w:pPr>
      <w:rPr>
        <w:rFonts w:ascii="Courier New" w:hAnsi="Courier New" w:cs="Courier New" w:hint="default"/>
      </w:rPr>
    </w:lvl>
    <w:lvl w:ilvl="5" w:tplc="08090005" w:tentative="1">
      <w:start w:val="1"/>
      <w:numFmt w:val="bullet"/>
      <w:lvlText w:val=""/>
      <w:lvlJc w:val="left"/>
      <w:pPr>
        <w:ind w:left="5145" w:hanging="360"/>
      </w:pPr>
      <w:rPr>
        <w:rFonts w:ascii="Wingdings" w:hAnsi="Wingdings" w:hint="default"/>
      </w:rPr>
    </w:lvl>
    <w:lvl w:ilvl="6" w:tplc="08090001" w:tentative="1">
      <w:start w:val="1"/>
      <w:numFmt w:val="bullet"/>
      <w:lvlText w:val=""/>
      <w:lvlJc w:val="left"/>
      <w:pPr>
        <w:ind w:left="5865" w:hanging="360"/>
      </w:pPr>
      <w:rPr>
        <w:rFonts w:ascii="Symbol" w:hAnsi="Symbol" w:hint="default"/>
      </w:rPr>
    </w:lvl>
    <w:lvl w:ilvl="7" w:tplc="08090003" w:tentative="1">
      <w:start w:val="1"/>
      <w:numFmt w:val="bullet"/>
      <w:lvlText w:val="o"/>
      <w:lvlJc w:val="left"/>
      <w:pPr>
        <w:ind w:left="6585" w:hanging="360"/>
      </w:pPr>
      <w:rPr>
        <w:rFonts w:ascii="Courier New" w:hAnsi="Courier New" w:cs="Courier New" w:hint="default"/>
      </w:rPr>
    </w:lvl>
    <w:lvl w:ilvl="8" w:tplc="08090005" w:tentative="1">
      <w:start w:val="1"/>
      <w:numFmt w:val="bullet"/>
      <w:lvlText w:val=""/>
      <w:lvlJc w:val="left"/>
      <w:pPr>
        <w:ind w:left="7305" w:hanging="360"/>
      </w:pPr>
      <w:rPr>
        <w:rFonts w:ascii="Wingdings" w:hAnsi="Wingdings" w:hint="default"/>
      </w:rPr>
    </w:lvl>
  </w:abstractNum>
  <w:abstractNum w:abstractNumId="5" w15:restartNumberingAfterBreak="0">
    <w:nsid w:val="314571EB"/>
    <w:multiLevelType w:val="hybridMultilevel"/>
    <w:tmpl w:val="EDD46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643280"/>
    <w:multiLevelType w:val="hybridMultilevel"/>
    <w:tmpl w:val="4E7A2296"/>
    <w:lvl w:ilvl="0" w:tplc="3DA2FFEA">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B936D19"/>
    <w:multiLevelType w:val="hybridMultilevel"/>
    <w:tmpl w:val="69DC74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613D253F"/>
    <w:multiLevelType w:val="hybridMultilevel"/>
    <w:tmpl w:val="1E18E2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2134A11"/>
    <w:multiLevelType w:val="hybridMultilevel"/>
    <w:tmpl w:val="5980ED3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D6344A9"/>
    <w:multiLevelType w:val="hybridMultilevel"/>
    <w:tmpl w:val="839427C4"/>
    <w:lvl w:ilvl="0" w:tplc="0C090001">
      <w:start w:val="1"/>
      <w:numFmt w:val="bullet"/>
      <w:lvlText w:val=""/>
      <w:lvlJc w:val="left"/>
      <w:pPr>
        <w:ind w:left="720" w:hanging="360"/>
      </w:pPr>
      <w:rPr>
        <w:rFonts w:ascii="Symbol" w:hAnsi="Symbol" w:hint="default"/>
      </w:rPr>
    </w:lvl>
    <w:lvl w:ilvl="1" w:tplc="1EE45DE6">
      <w:start w:val="1"/>
      <w:numFmt w:val="bullet"/>
      <w:lvlText w:val="-"/>
      <w:lvlJc w:val="left"/>
      <w:pPr>
        <w:ind w:left="1440" w:hanging="360"/>
      </w:pPr>
      <w:rPr>
        <w:rFonts w:ascii="Yu Gothic" w:eastAsia="Yu Gothic" w:hAnsi="Yu Gothic" w:hint="eastAsia"/>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EE51AC9"/>
    <w:multiLevelType w:val="hybridMultilevel"/>
    <w:tmpl w:val="DC2E8DB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5F16A6B"/>
    <w:multiLevelType w:val="hybridMultilevel"/>
    <w:tmpl w:val="D1A8C07E"/>
    <w:lvl w:ilvl="0" w:tplc="0C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8"/>
  </w:num>
  <w:num w:numId="4">
    <w:abstractNumId w:val="11"/>
  </w:num>
  <w:num w:numId="5">
    <w:abstractNumId w:val="7"/>
  </w:num>
  <w:num w:numId="6">
    <w:abstractNumId w:val="3"/>
  </w:num>
  <w:num w:numId="7">
    <w:abstractNumId w:val="4"/>
  </w:num>
  <w:num w:numId="8">
    <w:abstractNumId w:val="5"/>
  </w:num>
  <w:num w:numId="9">
    <w:abstractNumId w:val="1"/>
  </w:num>
  <w:num w:numId="10">
    <w:abstractNumId w:val="10"/>
  </w:num>
  <w:num w:numId="11">
    <w:abstractNumId w:val="0"/>
  </w:num>
  <w:num w:numId="12">
    <w:abstractNumId w:val="2"/>
  </w:num>
  <w:num w:numId="13">
    <w:abstractNumId w:val="12"/>
  </w:num>
  <w:num w:numId="14">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5FD"/>
    <w:rsid w:val="00002B9E"/>
    <w:rsid w:val="000071E3"/>
    <w:rsid w:val="000104CB"/>
    <w:rsid w:val="00011870"/>
    <w:rsid w:val="00013A20"/>
    <w:rsid w:val="00022368"/>
    <w:rsid w:val="000316BB"/>
    <w:rsid w:val="00035880"/>
    <w:rsid w:val="00036B81"/>
    <w:rsid w:val="000418EB"/>
    <w:rsid w:val="00042782"/>
    <w:rsid w:val="00051D63"/>
    <w:rsid w:val="000626C8"/>
    <w:rsid w:val="0006765B"/>
    <w:rsid w:val="00081929"/>
    <w:rsid w:val="00093C64"/>
    <w:rsid w:val="000970FD"/>
    <w:rsid w:val="000A2151"/>
    <w:rsid w:val="000A4C25"/>
    <w:rsid w:val="000A770D"/>
    <w:rsid w:val="000B3943"/>
    <w:rsid w:val="000E1710"/>
    <w:rsid w:val="000E18FD"/>
    <w:rsid w:val="000F0B75"/>
    <w:rsid w:val="000F2A07"/>
    <w:rsid w:val="000F692A"/>
    <w:rsid w:val="00104B1D"/>
    <w:rsid w:val="00105745"/>
    <w:rsid w:val="0010612A"/>
    <w:rsid w:val="00114121"/>
    <w:rsid w:val="001149FA"/>
    <w:rsid w:val="00117F49"/>
    <w:rsid w:val="00126734"/>
    <w:rsid w:val="00136D10"/>
    <w:rsid w:val="00143BA7"/>
    <w:rsid w:val="00151BE9"/>
    <w:rsid w:val="00156572"/>
    <w:rsid w:val="00162342"/>
    <w:rsid w:val="00162CCA"/>
    <w:rsid w:val="00195649"/>
    <w:rsid w:val="001A2196"/>
    <w:rsid w:val="001A4349"/>
    <w:rsid w:val="001A5CB1"/>
    <w:rsid w:val="001C2CAC"/>
    <w:rsid w:val="001C534E"/>
    <w:rsid w:val="001C5F25"/>
    <w:rsid w:val="001C735E"/>
    <w:rsid w:val="001D173E"/>
    <w:rsid w:val="001D269F"/>
    <w:rsid w:val="001D2764"/>
    <w:rsid w:val="001D318B"/>
    <w:rsid w:val="001E0066"/>
    <w:rsid w:val="001E46D6"/>
    <w:rsid w:val="001E538D"/>
    <w:rsid w:val="001E664B"/>
    <w:rsid w:val="001F4166"/>
    <w:rsid w:val="00202401"/>
    <w:rsid w:val="00207F77"/>
    <w:rsid w:val="002125BB"/>
    <w:rsid w:val="00226A55"/>
    <w:rsid w:val="00251D62"/>
    <w:rsid w:val="002617F3"/>
    <w:rsid w:val="0026348B"/>
    <w:rsid w:val="00272F49"/>
    <w:rsid w:val="00275AF9"/>
    <w:rsid w:val="00282BD4"/>
    <w:rsid w:val="0028553D"/>
    <w:rsid w:val="00285A55"/>
    <w:rsid w:val="00287923"/>
    <w:rsid w:val="00287F1E"/>
    <w:rsid w:val="00293643"/>
    <w:rsid w:val="002966AA"/>
    <w:rsid w:val="002A35E5"/>
    <w:rsid w:val="002A3A1E"/>
    <w:rsid w:val="002A56F5"/>
    <w:rsid w:val="002B470B"/>
    <w:rsid w:val="002B6886"/>
    <w:rsid w:val="002B7332"/>
    <w:rsid w:val="002C00B9"/>
    <w:rsid w:val="002C7C18"/>
    <w:rsid w:val="002D4406"/>
    <w:rsid w:val="002D6FBD"/>
    <w:rsid w:val="002E1492"/>
    <w:rsid w:val="00303921"/>
    <w:rsid w:val="0030613E"/>
    <w:rsid w:val="00306A1E"/>
    <w:rsid w:val="00310344"/>
    <w:rsid w:val="003337E6"/>
    <w:rsid w:val="00334E92"/>
    <w:rsid w:val="00340245"/>
    <w:rsid w:val="003474AE"/>
    <w:rsid w:val="00352CC1"/>
    <w:rsid w:val="00354FE0"/>
    <w:rsid w:val="003560ED"/>
    <w:rsid w:val="003727D7"/>
    <w:rsid w:val="00385FB2"/>
    <w:rsid w:val="00392FD9"/>
    <w:rsid w:val="00394520"/>
    <w:rsid w:val="003A3EF9"/>
    <w:rsid w:val="003A5887"/>
    <w:rsid w:val="003A593D"/>
    <w:rsid w:val="003A79FC"/>
    <w:rsid w:val="003B0DD2"/>
    <w:rsid w:val="003B482A"/>
    <w:rsid w:val="003C0B23"/>
    <w:rsid w:val="003C0F44"/>
    <w:rsid w:val="003C538E"/>
    <w:rsid w:val="003D28E4"/>
    <w:rsid w:val="003D3FFF"/>
    <w:rsid w:val="003D7A71"/>
    <w:rsid w:val="003E5348"/>
    <w:rsid w:val="004013C8"/>
    <w:rsid w:val="0040188F"/>
    <w:rsid w:val="00405E53"/>
    <w:rsid w:val="00406DCA"/>
    <w:rsid w:val="004116A0"/>
    <w:rsid w:val="004139EE"/>
    <w:rsid w:val="0042045C"/>
    <w:rsid w:val="00446332"/>
    <w:rsid w:val="00451E55"/>
    <w:rsid w:val="00454C3C"/>
    <w:rsid w:val="00457767"/>
    <w:rsid w:val="00471BA3"/>
    <w:rsid w:val="00472467"/>
    <w:rsid w:val="0047289C"/>
    <w:rsid w:val="00473429"/>
    <w:rsid w:val="00480C78"/>
    <w:rsid w:val="004853B6"/>
    <w:rsid w:val="0048681A"/>
    <w:rsid w:val="004A2C64"/>
    <w:rsid w:val="004B02A5"/>
    <w:rsid w:val="004B21E2"/>
    <w:rsid w:val="004B5BB9"/>
    <w:rsid w:val="004C3670"/>
    <w:rsid w:val="004C5BF4"/>
    <w:rsid w:val="004D353C"/>
    <w:rsid w:val="004D6D01"/>
    <w:rsid w:val="004D7005"/>
    <w:rsid w:val="004F17B4"/>
    <w:rsid w:val="004F2D3F"/>
    <w:rsid w:val="004F3024"/>
    <w:rsid w:val="004F3147"/>
    <w:rsid w:val="004F77A3"/>
    <w:rsid w:val="005039AD"/>
    <w:rsid w:val="0052503B"/>
    <w:rsid w:val="00534BD3"/>
    <w:rsid w:val="0053533F"/>
    <w:rsid w:val="00535F78"/>
    <w:rsid w:val="00542AE9"/>
    <w:rsid w:val="005447CF"/>
    <w:rsid w:val="00551906"/>
    <w:rsid w:val="00551C14"/>
    <w:rsid w:val="00554854"/>
    <w:rsid w:val="0056148E"/>
    <w:rsid w:val="005618AB"/>
    <w:rsid w:val="00562C5D"/>
    <w:rsid w:val="005657F0"/>
    <w:rsid w:val="0057293F"/>
    <w:rsid w:val="00573681"/>
    <w:rsid w:val="005825FD"/>
    <w:rsid w:val="0058784F"/>
    <w:rsid w:val="005951D7"/>
    <w:rsid w:val="005B7A3C"/>
    <w:rsid w:val="005C517A"/>
    <w:rsid w:val="005D0DED"/>
    <w:rsid w:val="005E0B7A"/>
    <w:rsid w:val="005E585A"/>
    <w:rsid w:val="005F0A7E"/>
    <w:rsid w:val="005F2F9D"/>
    <w:rsid w:val="0060184B"/>
    <w:rsid w:val="00604507"/>
    <w:rsid w:val="006053B2"/>
    <w:rsid w:val="006053F7"/>
    <w:rsid w:val="00624D6A"/>
    <w:rsid w:val="0063126B"/>
    <w:rsid w:val="0063435A"/>
    <w:rsid w:val="006347EB"/>
    <w:rsid w:val="00643825"/>
    <w:rsid w:val="00644EEF"/>
    <w:rsid w:val="0064647E"/>
    <w:rsid w:val="00650A9D"/>
    <w:rsid w:val="00656918"/>
    <w:rsid w:val="00660380"/>
    <w:rsid w:val="006763A5"/>
    <w:rsid w:val="00685E2D"/>
    <w:rsid w:val="006A0B48"/>
    <w:rsid w:val="006A5559"/>
    <w:rsid w:val="006A63FF"/>
    <w:rsid w:val="006B31D4"/>
    <w:rsid w:val="006B738C"/>
    <w:rsid w:val="006C4F0F"/>
    <w:rsid w:val="006C7C79"/>
    <w:rsid w:val="006D342C"/>
    <w:rsid w:val="006E0AE9"/>
    <w:rsid w:val="006E54FC"/>
    <w:rsid w:val="006E6A28"/>
    <w:rsid w:val="0070043A"/>
    <w:rsid w:val="007004C2"/>
    <w:rsid w:val="00707013"/>
    <w:rsid w:val="00722C1B"/>
    <w:rsid w:val="00723164"/>
    <w:rsid w:val="00723F29"/>
    <w:rsid w:val="007357F1"/>
    <w:rsid w:val="00737503"/>
    <w:rsid w:val="007407DE"/>
    <w:rsid w:val="00740C58"/>
    <w:rsid w:val="0074148C"/>
    <w:rsid w:val="00741D51"/>
    <w:rsid w:val="0074361F"/>
    <w:rsid w:val="007466DB"/>
    <w:rsid w:val="007535B2"/>
    <w:rsid w:val="007566DA"/>
    <w:rsid w:val="00756D73"/>
    <w:rsid w:val="00771807"/>
    <w:rsid w:val="00774F26"/>
    <w:rsid w:val="007811F7"/>
    <w:rsid w:val="0078342B"/>
    <w:rsid w:val="00793C33"/>
    <w:rsid w:val="007A1054"/>
    <w:rsid w:val="007B3A9C"/>
    <w:rsid w:val="007C0025"/>
    <w:rsid w:val="007C0406"/>
    <w:rsid w:val="007C0FDC"/>
    <w:rsid w:val="007C1886"/>
    <w:rsid w:val="007C353A"/>
    <w:rsid w:val="007C5E9F"/>
    <w:rsid w:val="007D0D4B"/>
    <w:rsid w:val="007D684D"/>
    <w:rsid w:val="007D7CE8"/>
    <w:rsid w:val="007E28BA"/>
    <w:rsid w:val="007E6759"/>
    <w:rsid w:val="007F0205"/>
    <w:rsid w:val="007F480A"/>
    <w:rsid w:val="00805542"/>
    <w:rsid w:val="00805A26"/>
    <w:rsid w:val="0081225B"/>
    <w:rsid w:val="00812502"/>
    <w:rsid w:val="008332AF"/>
    <w:rsid w:val="00834D56"/>
    <w:rsid w:val="00865515"/>
    <w:rsid w:val="00867596"/>
    <w:rsid w:val="0087585E"/>
    <w:rsid w:val="00876884"/>
    <w:rsid w:val="00876FD9"/>
    <w:rsid w:val="008802AF"/>
    <w:rsid w:val="00880BC4"/>
    <w:rsid w:val="008959D8"/>
    <w:rsid w:val="008A2B06"/>
    <w:rsid w:val="008A471E"/>
    <w:rsid w:val="008A5DB2"/>
    <w:rsid w:val="008B2A23"/>
    <w:rsid w:val="008C1109"/>
    <w:rsid w:val="008C39DD"/>
    <w:rsid w:val="008C3C41"/>
    <w:rsid w:val="008C5CC4"/>
    <w:rsid w:val="008D13C4"/>
    <w:rsid w:val="008D5F2E"/>
    <w:rsid w:val="008E76DB"/>
    <w:rsid w:val="008F51F6"/>
    <w:rsid w:val="008F681A"/>
    <w:rsid w:val="00905B43"/>
    <w:rsid w:val="00910A33"/>
    <w:rsid w:val="00913CEC"/>
    <w:rsid w:val="00915948"/>
    <w:rsid w:val="00915C00"/>
    <w:rsid w:val="0091611C"/>
    <w:rsid w:val="00917030"/>
    <w:rsid w:val="00920F61"/>
    <w:rsid w:val="00922328"/>
    <w:rsid w:val="0092589F"/>
    <w:rsid w:val="009279C0"/>
    <w:rsid w:val="00936094"/>
    <w:rsid w:val="00940E96"/>
    <w:rsid w:val="009425AD"/>
    <w:rsid w:val="00944327"/>
    <w:rsid w:val="00950696"/>
    <w:rsid w:val="009526F7"/>
    <w:rsid w:val="0095393C"/>
    <w:rsid w:val="00955C2C"/>
    <w:rsid w:val="00961312"/>
    <w:rsid w:val="009653A3"/>
    <w:rsid w:val="00975BB5"/>
    <w:rsid w:val="0098609A"/>
    <w:rsid w:val="00987120"/>
    <w:rsid w:val="00992BBD"/>
    <w:rsid w:val="00993921"/>
    <w:rsid w:val="00993E98"/>
    <w:rsid w:val="00996EE9"/>
    <w:rsid w:val="009A5A65"/>
    <w:rsid w:val="009B3AA6"/>
    <w:rsid w:val="009C1141"/>
    <w:rsid w:val="009C50B8"/>
    <w:rsid w:val="009D2CD1"/>
    <w:rsid w:val="009D54A6"/>
    <w:rsid w:val="009E34F6"/>
    <w:rsid w:val="009E6950"/>
    <w:rsid w:val="009F07A0"/>
    <w:rsid w:val="009F09D0"/>
    <w:rsid w:val="009F2B29"/>
    <w:rsid w:val="009F610A"/>
    <w:rsid w:val="009F62AE"/>
    <w:rsid w:val="00A102DC"/>
    <w:rsid w:val="00A121C9"/>
    <w:rsid w:val="00A12D9B"/>
    <w:rsid w:val="00A14A02"/>
    <w:rsid w:val="00A154C7"/>
    <w:rsid w:val="00A15AC3"/>
    <w:rsid w:val="00A1707F"/>
    <w:rsid w:val="00A20454"/>
    <w:rsid w:val="00A2177E"/>
    <w:rsid w:val="00A303F4"/>
    <w:rsid w:val="00A32AD6"/>
    <w:rsid w:val="00A342C3"/>
    <w:rsid w:val="00A35B9F"/>
    <w:rsid w:val="00A36674"/>
    <w:rsid w:val="00A42E8C"/>
    <w:rsid w:val="00A45C3E"/>
    <w:rsid w:val="00A4794E"/>
    <w:rsid w:val="00A47C0D"/>
    <w:rsid w:val="00A62274"/>
    <w:rsid w:val="00A901B3"/>
    <w:rsid w:val="00A90471"/>
    <w:rsid w:val="00A92CBD"/>
    <w:rsid w:val="00AA44B3"/>
    <w:rsid w:val="00AB6F60"/>
    <w:rsid w:val="00AC4FB1"/>
    <w:rsid w:val="00AD3152"/>
    <w:rsid w:val="00AE1057"/>
    <w:rsid w:val="00AE20A6"/>
    <w:rsid w:val="00AE36CD"/>
    <w:rsid w:val="00AE4C4C"/>
    <w:rsid w:val="00AF4DED"/>
    <w:rsid w:val="00AF7D72"/>
    <w:rsid w:val="00B00BD0"/>
    <w:rsid w:val="00B12DD9"/>
    <w:rsid w:val="00B156BD"/>
    <w:rsid w:val="00B20189"/>
    <w:rsid w:val="00B26DBC"/>
    <w:rsid w:val="00B3586E"/>
    <w:rsid w:val="00B4290D"/>
    <w:rsid w:val="00B52035"/>
    <w:rsid w:val="00B569D2"/>
    <w:rsid w:val="00B625E9"/>
    <w:rsid w:val="00B6478A"/>
    <w:rsid w:val="00B71144"/>
    <w:rsid w:val="00B86BD7"/>
    <w:rsid w:val="00B86E7B"/>
    <w:rsid w:val="00B92399"/>
    <w:rsid w:val="00BB13FC"/>
    <w:rsid w:val="00BB5DC8"/>
    <w:rsid w:val="00BC6778"/>
    <w:rsid w:val="00BD0BE4"/>
    <w:rsid w:val="00BD68C4"/>
    <w:rsid w:val="00BE2207"/>
    <w:rsid w:val="00BF4803"/>
    <w:rsid w:val="00BF734F"/>
    <w:rsid w:val="00C10773"/>
    <w:rsid w:val="00C10DA4"/>
    <w:rsid w:val="00C14C9E"/>
    <w:rsid w:val="00C15FC3"/>
    <w:rsid w:val="00C17509"/>
    <w:rsid w:val="00C22848"/>
    <w:rsid w:val="00C234FD"/>
    <w:rsid w:val="00C27634"/>
    <w:rsid w:val="00C30EC4"/>
    <w:rsid w:val="00C472CD"/>
    <w:rsid w:val="00C50F56"/>
    <w:rsid w:val="00C5373B"/>
    <w:rsid w:val="00C64326"/>
    <w:rsid w:val="00C756DB"/>
    <w:rsid w:val="00C84870"/>
    <w:rsid w:val="00C93FDC"/>
    <w:rsid w:val="00C9646D"/>
    <w:rsid w:val="00C97A52"/>
    <w:rsid w:val="00CB2125"/>
    <w:rsid w:val="00CB276F"/>
    <w:rsid w:val="00CB65CB"/>
    <w:rsid w:val="00CB6CF9"/>
    <w:rsid w:val="00CC1365"/>
    <w:rsid w:val="00CC2072"/>
    <w:rsid w:val="00CC68C5"/>
    <w:rsid w:val="00CD1A19"/>
    <w:rsid w:val="00CE014B"/>
    <w:rsid w:val="00CE12B5"/>
    <w:rsid w:val="00CE4463"/>
    <w:rsid w:val="00CE7FBF"/>
    <w:rsid w:val="00CF06D9"/>
    <w:rsid w:val="00CF16A6"/>
    <w:rsid w:val="00CF544E"/>
    <w:rsid w:val="00CF6117"/>
    <w:rsid w:val="00D010C3"/>
    <w:rsid w:val="00D0200A"/>
    <w:rsid w:val="00D02DA9"/>
    <w:rsid w:val="00D045E3"/>
    <w:rsid w:val="00D057E6"/>
    <w:rsid w:val="00D14C34"/>
    <w:rsid w:val="00D158A0"/>
    <w:rsid w:val="00D15F35"/>
    <w:rsid w:val="00D22507"/>
    <w:rsid w:val="00D26AFC"/>
    <w:rsid w:val="00D6424C"/>
    <w:rsid w:val="00D64920"/>
    <w:rsid w:val="00D65011"/>
    <w:rsid w:val="00D74642"/>
    <w:rsid w:val="00D76AA4"/>
    <w:rsid w:val="00D7748F"/>
    <w:rsid w:val="00D801AE"/>
    <w:rsid w:val="00D858EF"/>
    <w:rsid w:val="00DB3C57"/>
    <w:rsid w:val="00DC24CE"/>
    <w:rsid w:val="00DD1BC9"/>
    <w:rsid w:val="00DD2F97"/>
    <w:rsid w:val="00DD3949"/>
    <w:rsid w:val="00DE7671"/>
    <w:rsid w:val="00DE7B29"/>
    <w:rsid w:val="00DF20DE"/>
    <w:rsid w:val="00DF4DC5"/>
    <w:rsid w:val="00E07BD5"/>
    <w:rsid w:val="00E137BA"/>
    <w:rsid w:val="00E32C50"/>
    <w:rsid w:val="00E40E74"/>
    <w:rsid w:val="00E446BA"/>
    <w:rsid w:val="00E50747"/>
    <w:rsid w:val="00E567C4"/>
    <w:rsid w:val="00E56A58"/>
    <w:rsid w:val="00E67D7D"/>
    <w:rsid w:val="00E747B8"/>
    <w:rsid w:val="00E76EEB"/>
    <w:rsid w:val="00E77E59"/>
    <w:rsid w:val="00E92D9E"/>
    <w:rsid w:val="00E96280"/>
    <w:rsid w:val="00E97044"/>
    <w:rsid w:val="00E971E4"/>
    <w:rsid w:val="00EA1FAC"/>
    <w:rsid w:val="00EB0248"/>
    <w:rsid w:val="00EB0F67"/>
    <w:rsid w:val="00EC02CF"/>
    <w:rsid w:val="00EC5E63"/>
    <w:rsid w:val="00EC7A4B"/>
    <w:rsid w:val="00ED0C36"/>
    <w:rsid w:val="00EE3868"/>
    <w:rsid w:val="00EE693B"/>
    <w:rsid w:val="00EE6E98"/>
    <w:rsid w:val="00F0383B"/>
    <w:rsid w:val="00F05A78"/>
    <w:rsid w:val="00F1142B"/>
    <w:rsid w:val="00F13534"/>
    <w:rsid w:val="00F20F62"/>
    <w:rsid w:val="00F23412"/>
    <w:rsid w:val="00F252BE"/>
    <w:rsid w:val="00F3671B"/>
    <w:rsid w:val="00F4474A"/>
    <w:rsid w:val="00F479B2"/>
    <w:rsid w:val="00F739C2"/>
    <w:rsid w:val="00F8141B"/>
    <w:rsid w:val="00F8687A"/>
    <w:rsid w:val="00F940C6"/>
    <w:rsid w:val="00FA7381"/>
    <w:rsid w:val="00FA7B3D"/>
    <w:rsid w:val="00FB0FC6"/>
    <w:rsid w:val="00FB169A"/>
    <w:rsid w:val="00FB45B2"/>
    <w:rsid w:val="00FB61F0"/>
    <w:rsid w:val="00FC61B9"/>
    <w:rsid w:val="00FC6B45"/>
    <w:rsid w:val="00FD1CE4"/>
    <w:rsid w:val="00FD322C"/>
    <w:rsid w:val="00FD616B"/>
    <w:rsid w:val="00FE7014"/>
    <w:rsid w:val="00FE7B3A"/>
    <w:rsid w:val="00FF2968"/>
    <w:rsid w:val="00FF702E"/>
    <w:rsid w:val="02FA8CDA"/>
    <w:rsid w:val="0CCC7B85"/>
    <w:rsid w:val="0D282234"/>
    <w:rsid w:val="0DF97257"/>
    <w:rsid w:val="0F3D40C7"/>
    <w:rsid w:val="1528C702"/>
    <w:rsid w:val="15A05016"/>
    <w:rsid w:val="167C110A"/>
    <w:rsid w:val="1716EDBF"/>
    <w:rsid w:val="1B73B661"/>
    <w:rsid w:val="2489E320"/>
    <w:rsid w:val="25CA939B"/>
    <w:rsid w:val="274018BD"/>
    <w:rsid w:val="27E211CC"/>
    <w:rsid w:val="2C20ACC2"/>
    <w:rsid w:val="2C966FC5"/>
    <w:rsid w:val="2CDC41E7"/>
    <w:rsid w:val="36829446"/>
    <w:rsid w:val="3C64F888"/>
    <w:rsid w:val="40F28D74"/>
    <w:rsid w:val="4115CBBE"/>
    <w:rsid w:val="45B3FB8C"/>
    <w:rsid w:val="4AFE1158"/>
    <w:rsid w:val="4D106E05"/>
    <w:rsid w:val="4FDB7465"/>
    <w:rsid w:val="50E4EF6C"/>
    <w:rsid w:val="5219CE21"/>
    <w:rsid w:val="53E92E69"/>
    <w:rsid w:val="54E6B574"/>
    <w:rsid w:val="595E0486"/>
    <w:rsid w:val="6825A9A1"/>
    <w:rsid w:val="698D52B7"/>
    <w:rsid w:val="6E36AE80"/>
    <w:rsid w:val="6ED24D51"/>
    <w:rsid w:val="6FA24768"/>
    <w:rsid w:val="701EAC04"/>
    <w:rsid w:val="724EB0AA"/>
    <w:rsid w:val="74A5F004"/>
    <w:rsid w:val="7575AD07"/>
    <w:rsid w:val="76A47B8E"/>
    <w:rsid w:val="7CBF010D"/>
    <w:rsid w:val="7F6497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AA039B4"/>
  <w14:defaultImageDpi w14:val="300"/>
  <w15:docId w15:val="{D3D4A76A-0098-46E2-ACDB-07AD53DA6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25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825FD"/>
    <w:pPr>
      <w:ind w:left="720"/>
      <w:contextualSpacing/>
    </w:pPr>
  </w:style>
  <w:style w:type="character" w:styleId="Hyperlink">
    <w:name w:val="Hyperlink"/>
    <w:uiPriority w:val="99"/>
    <w:unhideWhenUsed/>
    <w:rsid w:val="005825FD"/>
    <w:rPr>
      <w:color w:val="0000FF"/>
      <w:u w:val="single"/>
    </w:rPr>
  </w:style>
  <w:style w:type="character" w:styleId="CommentReference">
    <w:name w:val="annotation reference"/>
    <w:basedOn w:val="DefaultParagraphFont"/>
    <w:uiPriority w:val="99"/>
    <w:semiHidden/>
    <w:unhideWhenUsed/>
    <w:rsid w:val="005825FD"/>
    <w:rPr>
      <w:sz w:val="18"/>
      <w:szCs w:val="18"/>
    </w:rPr>
  </w:style>
  <w:style w:type="paragraph" w:styleId="CommentText">
    <w:name w:val="annotation text"/>
    <w:basedOn w:val="Normal"/>
    <w:link w:val="CommentTextChar"/>
    <w:uiPriority w:val="99"/>
    <w:semiHidden/>
    <w:unhideWhenUsed/>
    <w:rsid w:val="005825FD"/>
  </w:style>
  <w:style w:type="character" w:customStyle="1" w:styleId="CommentTextChar">
    <w:name w:val="Comment Text Char"/>
    <w:basedOn w:val="DefaultParagraphFont"/>
    <w:link w:val="CommentText"/>
    <w:uiPriority w:val="99"/>
    <w:semiHidden/>
    <w:rsid w:val="005825FD"/>
  </w:style>
  <w:style w:type="paragraph" w:styleId="CommentSubject">
    <w:name w:val="annotation subject"/>
    <w:basedOn w:val="CommentText"/>
    <w:next w:val="CommentText"/>
    <w:link w:val="CommentSubjectChar"/>
    <w:uiPriority w:val="99"/>
    <w:semiHidden/>
    <w:unhideWhenUsed/>
    <w:rsid w:val="005825FD"/>
    <w:rPr>
      <w:b/>
      <w:bCs/>
      <w:sz w:val="20"/>
      <w:szCs w:val="20"/>
    </w:rPr>
  </w:style>
  <w:style w:type="character" w:customStyle="1" w:styleId="CommentSubjectChar">
    <w:name w:val="Comment Subject Char"/>
    <w:basedOn w:val="CommentTextChar"/>
    <w:link w:val="CommentSubject"/>
    <w:uiPriority w:val="99"/>
    <w:semiHidden/>
    <w:rsid w:val="005825FD"/>
    <w:rPr>
      <w:b/>
      <w:bCs/>
      <w:sz w:val="20"/>
      <w:szCs w:val="20"/>
    </w:rPr>
  </w:style>
  <w:style w:type="paragraph" w:styleId="BalloonText">
    <w:name w:val="Balloon Text"/>
    <w:basedOn w:val="Normal"/>
    <w:link w:val="BalloonTextChar"/>
    <w:uiPriority w:val="99"/>
    <w:semiHidden/>
    <w:unhideWhenUsed/>
    <w:rsid w:val="005825F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825FD"/>
    <w:rPr>
      <w:rFonts w:ascii="Lucida Grande" w:hAnsi="Lucida Grande" w:cs="Lucida Grande"/>
      <w:sz w:val="18"/>
      <w:szCs w:val="18"/>
    </w:rPr>
  </w:style>
  <w:style w:type="paragraph" w:styleId="NormalWeb">
    <w:name w:val="Normal (Web)"/>
    <w:basedOn w:val="Normal"/>
    <w:uiPriority w:val="99"/>
    <w:semiHidden/>
    <w:unhideWhenUsed/>
    <w:rsid w:val="00F13534"/>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F13534"/>
  </w:style>
  <w:style w:type="paragraph" w:customStyle="1" w:styleId="ColorfulList-Accent11">
    <w:name w:val="Colorful List - Accent 11"/>
    <w:basedOn w:val="Normal"/>
    <w:uiPriority w:val="34"/>
    <w:qFormat/>
    <w:rsid w:val="002A3A1E"/>
    <w:pPr>
      <w:ind w:left="720" w:hanging="425"/>
      <w:contextualSpacing/>
    </w:pPr>
    <w:rPr>
      <w:rFonts w:ascii="Calibri" w:eastAsia="Calibri" w:hAnsi="Calibri" w:cs="Times New Roman"/>
      <w:sz w:val="22"/>
      <w:szCs w:val="22"/>
      <w:lang w:val="en-GB"/>
    </w:rPr>
  </w:style>
  <w:style w:type="paragraph" w:styleId="Revision">
    <w:name w:val="Revision"/>
    <w:hidden/>
    <w:uiPriority w:val="99"/>
    <w:semiHidden/>
    <w:rsid w:val="00C27634"/>
  </w:style>
  <w:style w:type="character" w:styleId="FollowedHyperlink">
    <w:name w:val="FollowedHyperlink"/>
    <w:basedOn w:val="DefaultParagraphFont"/>
    <w:uiPriority w:val="99"/>
    <w:semiHidden/>
    <w:unhideWhenUsed/>
    <w:rsid w:val="00143BA7"/>
    <w:rPr>
      <w:color w:val="800080" w:themeColor="followedHyperlink"/>
      <w:u w:val="single"/>
    </w:rPr>
  </w:style>
  <w:style w:type="table" w:customStyle="1" w:styleId="LightList1">
    <w:name w:val="Light List1"/>
    <w:basedOn w:val="TableNormal"/>
    <w:next w:val="LightList"/>
    <w:uiPriority w:val="61"/>
    <w:rsid w:val="000A4C25"/>
    <w:rPr>
      <w:rFonts w:eastAsia="Calibri"/>
      <w:sz w:val="22"/>
      <w:szCs w:val="22"/>
      <w:lang w:val="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
    <w:name w:val="Light List"/>
    <w:basedOn w:val="TableNormal"/>
    <w:uiPriority w:val="61"/>
    <w:rsid w:val="000A4C2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Default">
    <w:name w:val="Default"/>
    <w:rsid w:val="00A35B9F"/>
    <w:pPr>
      <w:autoSpaceDE w:val="0"/>
      <w:autoSpaceDN w:val="0"/>
      <w:adjustRightInd w:val="0"/>
    </w:pPr>
    <w:rPr>
      <w:rFonts w:ascii="Calibri" w:hAnsi="Calibri" w:cs="Calibri"/>
      <w:color w:val="000000"/>
      <w:lang w:val="en-GB"/>
    </w:rPr>
  </w:style>
  <w:style w:type="paragraph" w:styleId="Header">
    <w:name w:val="header"/>
    <w:basedOn w:val="Normal"/>
    <w:link w:val="HeaderChar"/>
    <w:uiPriority w:val="99"/>
    <w:unhideWhenUsed/>
    <w:rsid w:val="00002B9E"/>
    <w:pPr>
      <w:tabs>
        <w:tab w:val="center" w:pos="4513"/>
        <w:tab w:val="right" w:pos="9026"/>
      </w:tabs>
    </w:pPr>
  </w:style>
  <w:style w:type="character" w:customStyle="1" w:styleId="HeaderChar">
    <w:name w:val="Header Char"/>
    <w:basedOn w:val="DefaultParagraphFont"/>
    <w:link w:val="Header"/>
    <w:uiPriority w:val="99"/>
    <w:rsid w:val="00002B9E"/>
  </w:style>
  <w:style w:type="paragraph" w:styleId="Footer">
    <w:name w:val="footer"/>
    <w:basedOn w:val="Normal"/>
    <w:link w:val="FooterChar"/>
    <w:uiPriority w:val="99"/>
    <w:unhideWhenUsed/>
    <w:rsid w:val="00002B9E"/>
    <w:pPr>
      <w:tabs>
        <w:tab w:val="center" w:pos="4513"/>
        <w:tab w:val="right" w:pos="9026"/>
      </w:tabs>
    </w:pPr>
  </w:style>
  <w:style w:type="character" w:customStyle="1" w:styleId="FooterChar">
    <w:name w:val="Footer Char"/>
    <w:basedOn w:val="DefaultParagraphFont"/>
    <w:link w:val="Footer"/>
    <w:uiPriority w:val="99"/>
    <w:rsid w:val="00002B9E"/>
  </w:style>
  <w:style w:type="paragraph" w:styleId="BodyText">
    <w:name w:val="Body Text"/>
    <w:basedOn w:val="Normal"/>
    <w:link w:val="BodyTextChar"/>
    <w:uiPriority w:val="1"/>
    <w:qFormat/>
    <w:rsid w:val="002C00B9"/>
    <w:pPr>
      <w:widowControl w:val="0"/>
      <w:ind w:left="544" w:hanging="424"/>
    </w:pPr>
    <w:rPr>
      <w:rFonts w:ascii="Calibri" w:eastAsia="Calibri" w:hAnsi="Calibri"/>
      <w:sz w:val="22"/>
      <w:szCs w:val="22"/>
    </w:rPr>
  </w:style>
  <w:style w:type="character" w:customStyle="1" w:styleId="BodyTextChar">
    <w:name w:val="Body Text Char"/>
    <w:basedOn w:val="DefaultParagraphFont"/>
    <w:link w:val="BodyText"/>
    <w:uiPriority w:val="1"/>
    <w:rsid w:val="002C00B9"/>
    <w:rPr>
      <w:rFonts w:ascii="Calibri" w:eastAsia="Calibri" w:hAnsi="Calibri"/>
      <w:sz w:val="22"/>
      <w:szCs w:val="22"/>
    </w:rPr>
  </w:style>
  <w:style w:type="paragraph" w:styleId="NoSpacing">
    <w:name w:val="No Spacing"/>
    <w:uiPriority w:val="1"/>
    <w:qFormat/>
    <w:rsid w:val="009E6950"/>
    <w:pPr>
      <w:ind w:left="425" w:hanging="425"/>
    </w:pPr>
    <w:rPr>
      <w:rFonts w:ascii="Calibri" w:eastAsia="Calibri" w:hAnsi="Calibri" w:cs="Times New Roman"/>
      <w:sz w:val="22"/>
      <w:szCs w:val="22"/>
      <w:lang w:val="en-GB"/>
    </w:rPr>
  </w:style>
  <w:style w:type="table" w:styleId="TableGrid">
    <w:name w:val="Table Grid"/>
    <w:basedOn w:val="TableNormal"/>
    <w:uiPriority w:val="59"/>
    <w:rsid w:val="00C84870"/>
    <w:pPr>
      <w:ind w:left="425" w:hanging="425"/>
    </w:pPr>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AB6F60"/>
  </w:style>
  <w:style w:type="paragraph" w:customStyle="1" w:styleId="paragraph">
    <w:name w:val="paragraph"/>
    <w:basedOn w:val="Normal"/>
    <w:rsid w:val="00385FB2"/>
    <w:pPr>
      <w:spacing w:before="100" w:beforeAutospacing="1" w:after="100" w:afterAutospacing="1"/>
    </w:pPr>
    <w:rPr>
      <w:rFonts w:ascii="Times New Roman" w:eastAsia="Times New Roman" w:hAnsi="Times New Roman" w:cs="Times New Roman"/>
      <w:lang w:val="en-GB" w:eastAsia="en-GB"/>
    </w:rPr>
  </w:style>
  <w:style w:type="character" w:customStyle="1" w:styleId="normaltextrun">
    <w:name w:val="normaltextrun"/>
    <w:basedOn w:val="DefaultParagraphFont"/>
    <w:rsid w:val="00385FB2"/>
  </w:style>
  <w:style w:type="character" w:customStyle="1" w:styleId="eop">
    <w:name w:val="eop"/>
    <w:basedOn w:val="DefaultParagraphFont"/>
    <w:rsid w:val="00385FB2"/>
  </w:style>
  <w:style w:type="character" w:customStyle="1" w:styleId="findhit">
    <w:name w:val="findhit"/>
    <w:basedOn w:val="DefaultParagraphFont"/>
    <w:rsid w:val="00385FB2"/>
  </w:style>
  <w:style w:type="character" w:customStyle="1" w:styleId="field-content">
    <w:name w:val="field-content"/>
    <w:basedOn w:val="DefaultParagraphFont"/>
    <w:rsid w:val="000E18FD"/>
  </w:style>
  <w:style w:type="character" w:customStyle="1" w:styleId="UnresolvedMention">
    <w:name w:val="Unresolved Mention"/>
    <w:basedOn w:val="DefaultParagraphFont"/>
    <w:uiPriority w:val="99"/>
    <w:semiHidden/>
    <w:unhideWhenUsed/>
    <w:rsid w:val="001061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05014">
      <w:bodyDiv w:val="1"/>
      <w:marLeft w:val="0"/>
      <w:marRight w:val="0"/>
      <w:marTop w:val="0"/>
      <w:marBottom w:val="0"/>
      <w:divBdr>
        <w:top w:val="none" w:sz="0" w:space="0" w:color="auto"/>
        <w:left w:val="none" w:sz="0" w:space="0" w:color="auto"/>
        <w:bottom w:val="none" w:sz="0" w:space="0" w:color="auto"/>
        <w:right w:val="none" w:sz="0" w:space="0" w:color="auto"/>
      </w:divBdr>
    </w:div>
    <w:div w:id="165479380">
      <w:bodyDiv w:val="1"/>
      <w:marLeft w:val="0"/>
      <w:marRight w:val="0"/>
      <w:marTop w:val="0"/>
      <w:marBottom w:val="0"/>
      <w:divBdr>
        <w:top w:val="none" w:sz="0" w:space="0" w:color="auto"/>
        <w:left w:val="none" w:sz="0" w:space="0" w:color="auto"/>
        <w:bottom w:val="none" w:sz="0" w:space="0" w:color="auto"/>
        <w:right w:val="none" w:sz="0" w:space="0" w:color="auto"/>
      </w:divBdr>
      <w:divsChild>
        <w:div w:id="1577668450">
          <w:marLeft w:val="0"/>
          <w:marRight w:val="0"/>
          <w:marTop w:val="0"/>
          <w:marBottom w:val="0"/>
          <w:divBdr>
            <w:top w:val="none" w:sz="0" w:space="0" w:color="auto"/>
            <w:left w:val="none" w:sz="0" w:space="0" w:color="auto"/>
            <w:bottom w:val="none" w:sz="0" w:space="0" w:color="auto"/>
            <w:right w:val="none" w:sz="0" w:space="0" w:color="auto"/>
          </w:divBdr>
          <w:divsChild>
            <w:div w:id="465315578">
              <w:marLeft w:val="0"/>
              <w:marRight w:val="0"/>
              <w:marTop w:val="0"/>
              <w:marBottom w:val="0"/>
              <w:divBdr>
                <w:top w:val="none" w:sz="0" w:space="0" w:color="auto"/>
                <w:left w:val="none" w:sz="0" w:space="0" w:color="auto"/>
                <w:bottom w:val="none" w:sz="0" w:space="0" w:color="auto"/>
                <w:right w:val="none" w:sz="0" w:space="0" w:color="auto"/>
              </w:divBdr>
              <w:divsChild>
                <w:div w:id="1641690677">
                  <w:marLeft w:val="0"/>
                  <w:marRight w:val="0"/>
                  <w:marTop w:val="0"/>
                  <w:marBottom w:val="0"/>
                  <w:divBdr>
                    <w:top w:val="none" w:sz="0" w:space="0" w:color="auto"/>
                    <w:left w:val="none" w:sz="0" w:space="0" w:color="auto"/>
                    <w:bottom w:val="none" w:sz="0" w:space="0" w:color="auto"/>
                    <w:right w:val="none" w:sz="0" w:space="0" w:color="auto"/>
                  </w:divBdr>
                  <w:divsChild>
                    <w:div w:id="158795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3713960">
      <w:bodyDiv w:val="1"/>
      <w:marLeft w:val="0"/>
      <w:marRight w:val="0"/>
      <w:marTop w:val="0"/>
      <w:marBottom w:val="0"/>
      <w:divBdr>
        <w:top w:val="none" w:sz="0" w:space="0" w:color="auto"/>
        <w:left w:val="none" w:sz="0" w:space="0" w:color="auto"/>
        <w:bottom w:val="none" w:sz="0" w:space="0" w:color="auto"/>
        <w:right w:val="none" w:sz="0" w:space="0" w:color="auto"/>
      </w:divBdr>
      <w:divsChild>
        <w:div w:id="51734662">
          <w:marLeft w:val="0"/>
          <w:marRight w:val="0"/>
          <w:marTop w:val="0"/>
          <w:marBottom w:val="0"/>
          <w:divBdr>
            <w:top w:val="none" w:sz="0" w:space="0" w:color="auto"/>
            <w:left w:val="none" w:sz="0" w:space="0" w:color="auto"/>
            <w:bottom w:val="none" w:sz="0" w:space="0" w:color="auto"/>
            <w:right w:val="none" w:sz="0" w:space="0" w:color="auto"/>
          </w:divBdr>
        </w:div>
      </w:divsChild>
    </w:div>
    <w:div w:id="696392828">
      <w:bodyDiv w:val="1"/>
      <w:marLeft w:val="0"/>
      <w:marRight w:val="0"/>
      <w:marTop w:val="0"/>
      <w:marBottom w:val="0"/>
      <w:divBdr>
        <w:top w:val="none" w:sz="0" w:space="0" w:color="auto"/>
        <w:left w:val="none" w:sz="0" w:space="0" w:color="auto"/>
        <w:bottom w:val="none" w:sz="0" w:space="0" w:color="auto"/>
        <w:right w:val="none" w:sz="0" w:space="0" w:color="auto"/>
      </w:divBdr>
    </w:div>
    <w:div w:id="760763744">
      <w:bodyDiv w:val="1"/>
      <w:marLeft w:val="0"/>
      <w:marRight w:val="0"/>
      <w:marTop w:val="0"/>
      <w:marBottom w:val="0"/>
      <w:divBdr>
        <w:top w:val="none" w:sz="0" w:space="0" w:color="auto"/>
        <w:left w:val="none" w:sz="0" w:space="0" w:color="auto"/>
        <w:bottom w:val="none" w:sz="0" w:space="0" w:color="auto"/>
        <w:right w:val="none" w:sz="0" w:space="0" w:color="auto"/>
      </w:divBdr>
    </w:div>
    <w:div w:id="1012756634">
      <w:bodyDiv w:val="1"/>
      <w:marLeft w:val="0"/>
      <w:marRight w:val="0"/>
      <w:marTop w:val="0"/>
      <w:marBottom w:val="0"/>
      <w:divBdr>
        <w:top w:val="none" w:sz="0" w:space="0" w:color="auto"/>
        <w:left w:val="none" w:sz="0" w:space="0" w:color="auto"/>
        <w:bottom w:val="none" w:sz="0" w:space="0" w:color="auto"/>
        <w:right w:val="none" w:sz="0" w:space="0" w:color="auto"/>
      </w:divBdr>
      <w:divsChild>
        <w:div w:id="1903372282">
          <w:marLeft w:val="0"/>
          <w:marRight w:val="0"/>
          <w:marTop w:val="0"/>
          <w:marBottom w:val="0"/>
          <w:divBdr>
            <w:top w:val="none" w:sz="0" w:space="0" w:color="auto"/>
            <w:left w:val="none" w:sz="0" w:space="0" w:color="auto"/>
            <w:bottom w:val="none" w:sz="0" w:space="0" w:color="auto"/>
            <w:right w:val="none" w:sz="0" w:space="0" w:color="auto"/>
          </w:divBdr>
          <w:divsChild>
            <w:div w:id="963393132">
              <w:marLeft w:val="0"/>
              <w:marRight w:val="0"/>
              <w:marTop w:val="0"/>
              <w:marBottom w:val="0"/>
              <w:divBdr>
                <w:top w:val="none" w:sz="0" w:space="0" w:color="auto"/>
                <w:left w:val="none" w:sz="0" w:space="0" w:color="auto"/>
                <w:bottom w:val="none" w:sz="0" w:space="0" w:color="auto"/>
                <w:right w:val="none" w:sz="0" w:space="0" w:color="auto"/>
              </w:divBdr>
              <w:divsChild>
                <w:div w:id="1819178938">
                  <w:marLeft w:val="0"/>
                  <w:marRight w:val="0"/>
                  <w:marTop w:val="0"/>
                  <w:marBottom w:val="0"/>
                  <w:divBdr>
                    <w:top w:val="none" w:sz="0" w:space="0" w:color="auto"/>
                    <w:left w:val="none" w:sz="0" w:space="0" w:color="auto"/>
                    <w:bottom w:val="none" w:sz="0" w:space="0" w:color="auto"/>
                    <w:right w:val="none" w:sz="0" w:space="0" w:color="auto"/>
                  </w:divBdr>
                  <w:divsChild>
                    <w:div w:id="126179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011598">
      <w:bodyDiv w:val="1"/>
      <w:marLeft w:val="0"/>
      <w:marRight w:val="0"/>
      <w:marTop w:val="0"/>
      <w:marBottom w:val="0"/>
      <w:divBdr>
        <w:top w:val="none" w:sz="0" w:space="0" w:color="auto"/>
        <w:left w:val="none" w:sz="0" w:space="0" w:color="auto"/>
        <w:bottom w:val="none" w:sz="0" w:space="0" w:color="auto"/>
        <w:right w:val="none" w:sz="0" w:space="0" w:color="auto"/>
      </w:divBdr>
    </w:div>
    <w:div w:id="1447576044">
      <w:bodyDiv w:val="1"/>
      <w:marLeft w:val="0"/>
      <w:marRight w:val="0"/>
      <w:marTop w:val="0"/>
      <w:marBottom w:val="0"/>
      <w:divBdr>
        <w:top w:val="none" w:sz="0" w:space="0" w:color="auto"/>
        <w:left w:val="none" w:sz="0" w:space="0" w:color="auto"/>
        <w:bottom w:val="none" w:sz="0" w:space="0" w:color="auto"/>
        <w:right w:val="none" w:sz="0" w:space="0" w:color="auto"/>
      </w:divBdr>
    </w:div>
    <w:div w:id="1604679727">
      <w:bodyDiv w:val="1"/>
      <w:marLeft w:val="0"/>
      <w:marRight w:val="0"/>
      <w:marTop w:val="0"/>
      <w:marBottom w:val="0"/>
      <w:divBdr>
        <w:top w:val="none" w:sz="0" w:space="0" w:color="auto"/>
        <w:left w:val="none" w:sz="0" w:space="0" w:color="auto"/>
        <w:bottom w:val="none" w:sz="0" w:space="0" w:color="auto"/>
        <w:right w:val="none" w:sz="0" w:space="0" w:color="auto"/>
      </w:divBdr>
      <w:divsChild>
        <w:div w:id="551117000">
          <w:marLeft w:val="0"/>
          <w:marRight w:val="0"/>
          <w:marTop w:val="0"/>
          <w:marBottom w:val="0"/>
          <w:divBdr>
            <w:top w:val="none" w:sz="0" w:space="0" w:color="auto"/>
            <w:left w:val="none" w:sz="0" w:space="0" w:color="auto"/>
            <w:bottom w:val="none" w:sz="0" w:space="0" w:color="auto"/>
            <w:right w:val="none" w:sz="0" w:space="0" w:color="auto"/>
          </w:divBdr>
        </w:div>
        <w:div w:id="18750399">
          <w:marLeft w:val="0"/>
          <w:marRight w:val="0"/>
          <w:marTop w:val="0"/>
          <w:marBottom w:val="0"/>
          <w:divBdr>
            <w:top w:val="none" w:sz="0" w:space="0" w:color="auto"/>
            <w:left w:val="none" w:sz="0" w:space="0" w:color="auto"/>
            <w:bottom w:val="none" w:sz="0" w:space="0" w:color="auto"/>
            <w:right w:val="none" w:sz="0" w:space="0" w:color="auto"/>
          </w:divBdr>
        </w:div>
        <w:div w:id="1256135964">
          <w:marLeft w:val="0"/>
          <w:marRight w:val="0"/>
          <w:marTop w:val="0"/>
          <w:marBottom w:val="0"/>
          <w:divBdr>
            <w:top w:val="none" w:sz="0" w:space="0" w:color="auto"/>
            <w:left w:val="none" w:sz="0" w:space="0" w:color="auto"/>
            <w:bottom w:val="none" w:sz="0" w:space="0" w:color="auto"/>
            <w:right w:val="none" w:sz="0" w:space="0" w:color="auto"/>
          </w:divBdr>
        </w:div>
        <w:div w:id="265308135">
          <w:marLeft w:val="0"/>
          <w:marRight w:val="0"/>
          <w:marTop w:val="0"/>
          <w:marBottom w:val="0"/>
          <w:divBdr>
            <w:top w:val="none" w:sz="0" w:space="0" w:color="auto"/>
            <w:left w:val="none" w:sz="0" w:space="0" w:color="auto"/>
            <w:bottom w:val="none" w:sz="0" w:space="0" w:color="auto"/>
            <w:right w:val="none" w:sz="0" w:space="0" w:color="auto"/>
          </w:divBdr>
        </w:div>
        <w:div w:id="1597320240">
          <w:marLeft w:val="0"/>
          <w:marRight w:val="0"/>
          <w:marTop w:val="0"/>
          <w:marBottom w:val="0"/>
          <w:divBdr>
            <w:top w:val="none" w:sz="0" w:space="0" w:color="auto"/>
            <w:left w:val="none" w:sz="0" w:space="0" w:color="auto"/>
            <w:bottom w:val="none" w:sz="0" w:space="0" w:color="auto"/>
            <w:right w:val="none" w:sz="0" w:space="0" w:color="auto"/>
          </w:divBdr>
        </w:div>
        <w:div w:id="1169977742">
          <w:marLeft w:val="0"/>
          <w:marRight w:val="0"/>
          <w:marTop w:val="0"/>
          <w:marBottom w:val="0"/>
          <w:divBdr>
            <w:top w:val="none" w:sz="0" w:space="0" w:color="auto"/>
            <w:left w:val="none" w:sz="0" w:space="0" w:color="auto"/>
            <w:bottom w:val="none" w:sz="0" w:space="0" w:color="auto"/>
            <w:right w:val="none" w:sz="0" w:space="0" w:color="auto"/>
          </w:divBdr>
        </w:div>
        <w:div w:id="107047389">
          <w:marLeft w:val="0"/>
          <w:marRight w:val="0"/>
          <w:marTop w:val="0"/>
          <w:marBottom w:val="0"/>
          <w:divBdr>
            <w:top w:val="none" w:sz="0" w:space="0" w:color="auto"/>
            <w:left w:val="none" w:sz="0" w:space="0" w:color="auto"/>
            <w:bottom w:val="none" w:sz="0" w:space="0" w:color="auto"/>
            <w:right w:val="none" w:sz="0" w:space="0" w:color="auto"/>
          </w:divBdr>
        </w:div>
        <w:div w:id="1174102074">
          <w:marLeft w:val="0"/>
          <w:marRight w:val="0"/>
          <w:marTop w:val="0"/>
          <w:marBottom w:val="0"/>
          <w:divBdr>
            <w:top w:val="none" w:sz="0" w:space="0" w:color="auto"/>
            <w:left w:val="none" w:sz="0" w:space="0" w:color="auto"/>
            <w:bottom w:val="none" w:sz="0" w:space="0" w:color="auto"/>
            <w:right w:val="none" w:sz="0" w:space="0" w:color="auto"/>
          </w:divBdr>
        </w:div>
        <w:div w:id="1513493553">
          <w:marLeft w:val="0"/>
          <w:marRight w:val="0"/>
          <w:marTop w:val="0"/>
          <w:marBottom w:val="0"/>
          <w:divBdr>
            <w:top w:val="none" w:sz="0" w:space="0" w:color="auto"/>
            <w:left w:val="none" w:sz="0" w:space="0" w:color="auto"/>
            <w:bottom w:val="none" w:sz="0" w:space="0" w:color="auto"/>
            <w:right w:val="none" w:sz="0" w:space="0" w:color="auto"/>
          </w:divBdr>
        </w:div>
        <w:div w:id="1333337775">
          <w:marLeft w:val="0"/>
          <w:marRight w:val="0"/>
          <w:marTop w:val="0"/>
          <w:marBottom w:val="0"/>
          <w:divBdr>
            <w:top w:val="none" w:sz="0" w:space="0" w:color="auto"/>
            <w:left w:val="none" w:sz="0" w:space="0" w:color="auto"/>
            <w:bottom w:val="none" w:sz="0" w:space="0" w:color="auto"/>
            <w:right w:val="none" w:sz="0" w:space="0" w:color="auto"/>
          </w:divBdr>
        </w:div>
        <w:div w:id="717974618">
          <w:marLeft w:val="0"/>
          <w:marRight w:val="0"/>
          <w:marTop w:val="0"/>
          <w:marBottom w:val="0"/>
          <w:divBdr>
            <w:top w:val="none" w:sz="0" w:space="0" w:color="auto"/>
            <w:left w:val="none" w:sz="0" w:space="0" w:color="auto"/>
            <w:bottom w:val="none" w:sz="0" w:space="0" w:color="auto"/>
            <w:right w:val="none" w:sz="0" w:space="0" w:color="auto"/>
          </w:divBdr>
        </w:div>
        <w:div w:id="987317539">
          <w:marLeft w:val="0"/>
          <w:marRight w:val="0"/>
          <w:marTop w:val="0"/>
          <w:marBottom w:val="0"/>
          <w:divBdr>
            <w:top w:val="none" w:sz="0" w:space="0" w:color="auto"/>
            <w:left w:val="none" w:sz="0" w:space="0" w:color="auto"/>
            <w:bottom w:val="none" w:sz="0" w:space="0" w:color="auto"/>
            <w:right w:val="none" w:sz="0" w:space="0" w:color="auto"/>
          </w:divBdr>
        </w:div>
        <w:div w:id="1613705992">
          <w:marLeft w:val="0"/>
          <w:marRight w:val="0"/>
          <w:marTop w:val="0"/>
          <w:marBottom w:val="0"/>
          <w:divBdr>
            <w:top w:val="none" w:sz="0" w:space="0" w:color="auto"/>
            <w:left w:val="none" w:sz="0" w:space="0" w:color="auto"/>
            <w:bottom w:val="none" w:sz="0" w:space="0" w:color="auto"/>
            <w:right w:val="none" w:sz="0" w:space="0" w:color="auto"/>
          </w:divBdr>
        </w:div>
        <w:div w:id="544950632">
          <w:marLeft w:val="0"/>
          <w:marRight w:val="0"/>
          <w:marTop w:val="0"/>
          <w:marBottom w:val="0"/>
          <w:divBdr>
            <w:top w:val="none" w:sz="0" w:space="0" w:color="auto"/>
            <w:left w:val="none" w:sz="0" w:space="0" w:color="auto"/>
            <w:bottom w:val="none" w:sz="0" w:space="0" w:color="auto"/>
            <w:right w:val="none" w:sz="0" w:space="0" w:color="auto"/>
          </w:divBdr>
        </w:div>
        <w:div w:id="660424935">
          <w:marLeft w:val="0"/>
          <w:marRight w:val="0"/>
          <w:marTop w:val="0"/>
          <w:marBottom w:val="0"/>
          <w:divBdr>
            <w:top w:val="none" w:sz="0" w:space="0" w:color="auto"/>
            <w:left w:val="none" w:sz="0" w:space="0" w:color="auto"/>
            <w:bottom w:val="none" w:sz="0" w:space="0" w:color="auto"/>
            <w:right w:val="none" w:sz="0" w:space="0" w:color="auto"/>
          </w:divBdr>
        </w:div>
      </w:divsChild>
    </w:div>
    <w:div w:id="1847135274">
      <w:bodyDiv w:val="1"/>
      <w:marLeft w:val="0"/>
      <w:marRight w:val="0"/>
      <w:marTop w:val="0"/>
      <w:marBottom w:val="0"/>
      <w:divBdr>
        <w:top w:val="none" w:sz="0" w:space="0" w:color="auto"/>
        <w:left w:val="none" w:sz="0" w:space="0" w:color="auto"/>
        <w:bottom w:val="none" w:sz="0" w:space="0" w:color="auto"/>
        <w:right w:val="none" w:sz="0" w:space="0" w:color="auto"/>
      </w:divBdr>
      <w:divsChild>
        <w:div w:id="1201354675">
          <w:marLeft w:val="0"/>
          <w:marRight w:val="0"/>
          <w:marTop w:val="0"/>
          <w:marBottom w:val="0"/>
          <w:divBdr>
            <w:top w:val="none" w:sz="0" w:space="0" w:color="auto"/>
            <w:left w:val="none" w:sz="0" w:space="0" w:color="auto"/>
            <w:bottom w:val="none" w:sz="0" w:space="0" w:color="auto"/>
            <w:right w:val="none" w:sz="0" w:space="0" w:color="auto"/>
          </w:divBdr>
          <w:divsChild>
            <w:div w:id="1199273150">
              <w:marLeft w:val="0"/>
              <w:marRight w:val="0"/>
              <w:marTop w:val="0"/>
              <w:marBottom w:val="0"/>
              <w:divBdr>
                <w:top w:val="none" w:sz="0" w:space="0" w:color="auto"/>
                <w:left w:val="none" w:sz="0" w:space="0" w:color="auto"/>
                <w:bottom w:val="none" w:sz="0" w:space="0" w:color="auto"/>
                <w:right w:val="none" w:sz="0" w:space="0" w:color="auto"/>
              </w:divBdr>
              <w:divsChild>
                <w:div w:id="1298294833">
                  <w:marLeft w:val="0"/>
                  <w:marRight w:val="0"/>
                  <w:marTop w:val="0"/>
                  <w:marBottom w:val="0"/>
                  <w:divBdr>
                    <w:top w:val="none" w:sz="0" w:space="0" w:color="auto"/>
                    <w:left w:val="none" w:sz="0" w:space="0" w:color="auto"/>
                    <w:bottom w:val="none" w:sz="0" w:space="0" w:color="auto"/>
                    <w:right w:val="none" w:sz="0" w:space="0" w:color="auto"/>
                  </w:divBdr>
                  <w:divsChild>
                    <w:div w:id="46100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4894801">
      <w:bodyDiv w:val="1"/>
      <w:marLeft w:val="0"/>
      <w:marRight w:val="0"/>
      <w:marTop w:val="0"/>
      <w:marBottom w:val="0"/>
      <w:divBdr>
        <w:top w:val="none" w:sz="0" w:space="0" w:color="auto"/>
        <w:left w:val="none" w:sz="0" w:space="0" w:color="auto"/>
        <w:bottom w:val="none" w:sz="0" w:space="0" w:color="auto"/>
        <w:right w:val="none" w:sz="0" w:space="0" w:color="auto"/>
      </w:divBdr>
    </w:div>
    <w:div w:id="2062361679">
      <w:bodyDiv w:val="1"/>
      <w:marLeft w:val="0"/>
      <w:marRight w:val="0"/>
      <w:marTop w:val="0"/>
      <w:marBottom w:val="0"/>
      <w:divBdr>
        <w:top w:val="none" w:sz="0" w:space="0" w:color="auto"/>
        <w:left w:val="none" w:sz="0" w:space="0" w:color="auto"/>
        <w:bottom w:val="none" w:sz="0" w:space="0" w:color="auto"/>
        <w:right w:val="none" w:sz="0" w:space="0" w:color="auto"/>
      </w:divBdr>
      <w:divsChild>
        <w:div w:id="1370644310">
          <w:marLeft w:val="0"/>
          <w:marRight w:val="0"/>
          <w:marTop w:val="0"/>
          <w:marBottom w:val="0"/>
          <w:divBdr>
            <w:top w:val="none" w:sz="0" w:space="0" w:color="auto"/>
            <w:left w:val="none" w:sz="0" w:space="0" w:color="auto"/>
            <w:bottom w:val="none" w:sz="0" w:space="0" w:color="auto"/>
            <w:right w:val="none" w:sz="0" w:space="0" w:color="auto"/>
          </w:divBdr>
        </w:div>
        <w:div w:id="935404901">
          <w:marLeft w:val="0"/>
          <w:marRight w:val="0"/>
          <w:marTop w:val="0"/>
          <w:marBottom w:val="0"/>
          <w:divBdr>
            <w:top w:val="none" w:sz="0" w:space="0" w:color="auto"/>
            <w:left w:val="none" w:sz="0" w:space="0" w:color="auto"/>
            <w:bottom w:val="none" w:sz="0" w:space="0" w:color="auto"/>
            <w:right w:val="none" w:sz="0" w:space="0" w:color="auto"/>
          </w:divBdr>
        </w:div>
        <w:div w:id="1627659488">
          <w:marLeft w:val="0"/>
          <w:marRight w:val="0"/>
          <w:marTop w:val="0"/>
          <w:marBottom w:val="0"/>
          <w:divBdr>
            <w:top w:val="none" w:sz="0" w:space="0" w:color="auto"/>
            <w:left w:val="none" w:sz="0" w:space="0" w:color="auto"/>
            <w:bottom w:val="none" w:sz="0" w:space="0" w:color="auto"/>
            <w:right w:val="none" w:sz="0" w:space="0" w:color="auto"/>
          </w:divBdr>
        </w:div>
        <w:div w:id="1063023342">
          <w:marLeft w:val="0"/>
          <w:marRight w:val="0"/>
          <w:marTop w:val="0"/>
          <w:marBottom w:val="0"/>
          <w:divBdr>
            <w:top w:val="none" w:sz="0" w:space="0" w:color="auto"/>
            <w:left w:val="none" w:sz="0" w:space="0" w:color="auto"/>
            <w:bottom w:val="none" w:sz="0" w:space="0" w:color="auto"/>
            <w:right w:val="none" w:sz="0" w:space="0" w:color="auto"/>
          </w:divBdr>
        </w:div>
        <w:div w:id="1408108768">
          <w:marLeft w:val="0"/>
          <w:marRight w:val="0"/>
          <w:marTop w:val="0"/>
          <w:marBottom w:val="0"/>
          <w:divBdr>
            <w:top w:val="none" w:sz="0" w:space="0" w:color="auto"/>
            <w:left w:val="none" w:sz="0" w:space="0" w:color="auto"/>
            <w:bottom w:val="none" w:sz="0" w:space="0" w:color="auto"/>
            <w:right w:val="none" w:sz="0" w:space="0" w:color="auto"/>
          </w:divBdr>
        </w:div>
        <w:div w:id="878472232">
          <w:marLeft w:val="0"/>
          <w:marRight w:val="0"/>
          <w:marTop w:val="0"/>
          <w:marBottom w:val="0"/>
          <w:divBdr>
            <w:top w:val="none" w:sz="0" w:space="0" w:color="auto"/>
            <w:left w:val="none" w:sz="0" w:space="0" w:color="auto"/>
            <w:bottom w:val="none" w:sz="0" w:space="0" w:color="auto"/>
            <w:right w:val="none" w:sz="0" w:space="0" w:color="auto"/>
          </w:divBdr>
        </w:div>
        <w:div w:id="40640171">
          <w:marLeft w:val="0"/>
          <w:marRight w:val="0"/>
          <w:marTop w:val="0"/>
          <w:marBottom w:val="0"/>
          <w:divBdr>
            <w:top w:val="none" w:sz="0" w:space="0" w:color="auto"/>
            <w:left w:val="none" w:sz="0" w:space="0" w:color="auto"/>
            <w:bottom w:val="none" w:sz="0" w:space="0" w:color="auto"/>
            <w:right w:val="none" w:sz="0" w:space="0" w:color="auto"/>
          </w:divBdr>
        </w:div>
        <w:div w:id="1930114812">
          <w:marLeft w:val="0"/>
          <w:marRight w:val="0"/>
          <w:marTop w:val="0"/>
          <w:marBottom w:val="0"/>
          <w:divBdr>
            <w:top w:val="none" w:sz="0" w:space="0" w:color="auto"/>
            <w:left w:val="none" w:sz="0" w:space="0" w:color="auto"/>
            <w:bottom w:val="none" w:sz="0" w:space="0" w:color="auto"/>
            <w:right w:val="none" w:sz="0" w:space="0" w:color="auto"/>
          </w:divBdr>
        </w:div>
        <w:div w:id="1666594826">
          <w:marLeft w:val="0"/>
          <w:marRight w:val="0"/>
          <w:marTop w:val="0"/>
          <w:marBottom w:val="0"/>
          <w:divBdr>
            <w:top w:val="none" w:sz="0" w:space="0" w:color="auto"/>
            <w:left w:val="none" w:sz="0" w:space="0" w:color="auto"/>
            <w:bottom w:val="none" w:sz="0" w:space="0" w:color="auto"/>
            <w:right w:val="none" w:sz="0" w:space="0" w:color="auto"/>
          </w:divBdr>
        </w:div>
        <w:div w:id="1332296185">
          <w:marLeft w:val="0"/>
          <w:marRight w:val="0"/>
          <w:marTop w:val="0"/>
          <w:marBottom w:val="0"/>
          <w:divBdr>
            <w:top w:val="none" w:sz="0" w:space="0" w:color="auto"/>
            <w:left w:val="none" w:sz="0" w:space="0" w:color="auto"/>
            <w:bottom w:val="none" w:sz="0" w:space="0" w:color="auto"/>
            <w:right w:val="none" w:sz="0" w:space="0" w:color="auto"/>
          </w:divBdr>
        </w:div>
        <w:div w:id="1896087605">
          <w:marLeft w:val="0"/>
          <w:marRight w:val="0"/>
          <w:marTop w:val="0"/>
          <w:marBottom w:val="0"/>
          <w:divBdr>
            <w:top w:val="none" w:sz="0" w:space="0" w:color="auto"/>
            <w:left w:val="none" w:sz="0" w:space="0" w:color="auto"/>
            <w:bottom w:val="none" w:sz="0" w:space="0" w:color="auto"/>
            <w:right w:val="none" w:sz="0" w:space="0" w:color="auto"/>
          </w:divBdr>
        </w:div>
        <w:div w:id="2034769737">
          <w:marLeft w:val="0"/>
          <w:marRight w:val="0"/>
          <w:marTop w:val="0"/>
          <w:marBottom w:val="0"/>
          <w:divBdr>
            <w:top w:val="none" w:sz="0" w:space="0" w:color="auto"/>
            <w:left w:val="none" w:sz="0" w:space="0" w:color="auto"/>
            <w:bottom w:val="none" w:sz="0" w:space="0" w:color="auto"/>
            <w:right w:val="none" w:sz="0" w:space="0" w:color="auto"/>
          </w:divBdr>
        </w:div>
        <w:div w:id="326829598">
          <w:marLeft w:val="0"/>
          <w:marRight w:val="0"/>
          <w:marTop w:val="0"/>
          <w:marBottom w:val="0"/>
          <w:divBdr>
            <w:top w:val="none" w:sz="0" w:space="0" w:color="auto"/>
            <w:left w:val="none" w:sz="0" w:space="0" w:color="auto"/>
            <w:bottom w:val="none" w:sz="0" w:space="0" w:color="auto"/>
            <w:right w:val="none" w:sz="0" w:space="0" w:color="auto"/>
          </w:divBdr>
        </w:div>
        <w:div w:id="1835758069">
          <w:marLeft w:val="0"/>
          <w:marRight w:val="0"/>
          <w:marTop w:val="0"/>
          <w:marBottom w:val="0"/>
          <w:divBdr>
            <w:top w:val="none" w:sz="0" w:space="0" w:color="auto"/>
            <w:left w:val="none" w:sz="0" w:space="0" w:color="auto"/>
            <w:bottom w:val="none" w:sz="0" w:space="0" w:color="auto"/>
            <w:right w:val="none" w:sz="0" w:space="0" w:color="auto"/>
          </w:divBdr>
        </w:div>
        <w:div w:id="313222641">
          <w:marLeft w:val="0"/>
          <w:marRight w:val="0"/>
          <w:marTop w:val="0"/>
          <w:marBottom w:val="0"/>
          <w:divBdr>
            <w:top w:val="none" w:sz="0" w:space="0" w:color="auto"/>
            <w:left w:val="none" w:sz="0" w:space="0" w:color="auto"/>
            <w:bottom w:val="none" w:sz="0" w:space="0" w:color="auto"/>
            <w:right w:val="none" w:sz="0" w:space="0" w:color="auto"/>
          </w:divBdr>
        </w:div>
      </w:divsChild>
    </w:div>
    <w:div w:id="2144151469">
      <w:bodyDiv w:val="1"/>
      <w:marLeft w:val="0"/>
      <w:marRight w:val="0"/>
      <w:marTop w:val="0"/>
      <w:marBottom w:val="0"/>
      <w:divBdr>
        <w:top w:val="none" w:sz="0" w:space="0" w:color="auto"/>
        <w:left w:val="none" w:sz="0" w:space="0" w:color="auto"/>
        <w:bottom w:val="none" w:sz="0" w:space="0" w:color="auto"/>
        <w:right w:val="none" w:sz="0" w:space="0" w:color="auto"/>
      </w:divBdr>
      <w:divsChild>
        <w:div w:id="1297031440">
          <w:marLeft w:val="0"/>
          <w:marRight w:val="0"/>
          <w:marTop w:val="0"/>
          <w:marBottom w:val="0"/>
          <w:divBdr>
            <w:top w:val="none" w:sz="0" w:space="0" w:color="auto"/>
            <w:left w:val="none" w:sz="0" w:space="0" w:color="auto"/>
            <w:bottom w:val="none" w:sz="0" w:space="0" w:color="auto"/>
            <w:right w:val="none" w:sz="0" w:space="0" w:color="auto"/>
          </w:divBdr>
        </w:div>
        <w:div w:id="1650479338">
          <w:marLeft w:val="0"/>
          <w:marRight w:val="0"/>
          <w:marTop w:val="0"/>
          <w:marBottom w:val="0"/>
          <w:divBdr>
            <w:top w:val="none" w:sz="0" w:space="0" w:color="auto"/>
            <w:left w:val="none" w:sz="0" w:space="0" w:color="auto"/>
            <w:bottom w:val="none" w:sz="0" w:space="0" w:color="auto"/>
            <w:right w:val="none" w:sz="0" w:space="0" w:color="auto"/>
          </w:divBdr>
        </w:div>
        <w:div w:id="242376809">
          <w:marLeft w:val="0"/>
          <w:marRight w:val="0"/>
          <w:marTop w:val="0"/>
          <w:marBottom w:val="0"/>
          <w:divBdr>
            <w:top w:val="none" w:sz="0" w:space="0" w:color="auto"/>
            <w:left w:val="none" w:sz="0" w:space="0" w:color="auto"/>
            <w:bottom w:val="none" w:sz="0" w:space="0" w:color="auto"/>
            <w:right w:val="none" w:sz="0" w:space="0" w:color="auto"/>
          </w:divBdr>
          <w:divsChild>
            <w:div w:id="308707174">
              <w:marLeft w:val="0"/>
              <w:marRight w:val="0"/>
              <w:marTop w:val="0"/>
              <w:marBottom w:val="0"/>
              <w:divBdr>
                <w:top w:val="none" w:sz="0" w:space="0" w:color="auto"/>
                <w:left w:val="none" w:sz="0" w:space="0" w:color="auto"/>
                <w:bottom w:val="none" w:sz="0" w:space="0" w:color="auto"/>
                <w:right w:val="none" w:sz="0" w:space="0" w:color="auto"/>
              </w:divBdr>
              <w:divsChild>
                <w:div w:id="1372221611">
                  <w:marLeft w:val="0"/>
                  <w:marRight w:val="0"/>
                  <w:marTop w:val="0"/>
                  <w:marBottom w:val="0"/>
                  <w:divBdr>
                    <w:top w:val="none" w:sz="0" w:space="0" w:color="auto"/>
                    <w:left w:val="none" w:sz="0" w:space="0" w:color="auto"/>
                    <w:bottom w:val="none" w:sz="0" w:space="0" w:color="auto"/>
                    <w:right w:val="none" w:sz="0" w:space="0" w:color="auto"/>
                  </w:divBdr>
                  <w:divsChild>
                    <w:div w:id="1565528804">
                      <w:marLeft w:val="0"/>
                      <w:marRight w:val="0"/>
                      <w:marTop w:val="0"/>
                      <w:marBottom w:val="0"/>
                      <w:divBdr>
                        <w:top w:val="none" w:sz="0" w:space="0" w:color="auto"/>
                        <w:left w:val="none" w:sz="0" w:space="0" w:color="auto"/>
                        <w:bottom w:val="none" w:sz="0" w:space="0" w:color="auto"/>
                        <w:right w:val="none" w:sz="0" w:space="0" w:color="auto"/>
                      </w:divBdr>
                    </w:div>
                  </w:divsChild>
                </w:div>
                <w:div w:id="1467695968">
                  <w:marLeft w:val="0"/>
                  <w:marRight w:val="0"/>
                  <w:marTop w:val="0"/>
                  <w:marBottom w:val="0"/>
                  <w:divBdr>
                    <w:top w:val="none" w:sz="0" w:space="0" w:color="auto"/>
                    <w:left w:val="none" w:sz="0" w:space="0" w:color="auto"/>
                    <w:bottom w:val="none" w:sz="0" w:space="0" w:color="auto"/>
                    <w:right w:val="none" w:sz="0" w:space="0" w:color="auto"/>
                  </w:divBdr>
                  <w:divsChild>
                    <w:div w:id="2049596711">
                      <w:marLeft w:val="0"/>
                      <w:marRight w:val="0"/>
                      <w:marTop w:val="0"/>
                      <w:marBottom w:val="0"/>
                      <w:divBdr>
                        <w:top w:val="none" w:sz="0" w:space="0" w:color="auto"/>
                        <w:left w:val="none" w:sz="0" w:space="0" w:color="auto"/>
                        <w:bottom w:val="none" w:sz="0" w:space="0" w:color="auto"/>
                        <w:right w:val="none" w:sz="0" w:space="0" w:color="auto"/>
                      </w:divBdr>
                    </w:div>
                  </w:divsChild>
                </w:div>
                <w:div w:id="1650866517">
                  <w:marLeft w:val="0"/>
                  <w:marRight w:val="0"/>
                  <w:marTop w:val="0"/>
                  <w:marBottom w:val="0"/>
                  <w:divBdr>
                    <w:top w:val="none" w:sz="0" w:space="0" w:color="auto"/>
                    <w:left w:val="none" w:sz="0" w:space="0" w:color="auto"/>
                    <w:bottom w:val="none" w:sz="0" w:space="0" w:color="auto"/>
                    <w:right w:val="none" w:sz="0" w:space="0" w:color="auto"/>
                  </w:divBdr>
                  <w:divsChild>
                    <w:div w:id="143316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723464">
          <w:marLeft w:val="0"/>
          <w:marRight w:val="0"/>
          <w:marTop w:val="0"/>
          <w:marBottom w:val="0"/>
          <w:divBdr>
            <w:top w:val="none" w:sz="0" w:space="0" w:color="auto"/>
            <w:left w:val="none" w:sz="0" w:space="0" w:color="auto"/>
            <w:bottom w:val="none" w:sz="0" w:space="0" w:color="auto"/>
            <w:right w:val="none" w:sz="0" w:space="0" w:color="auto"/>
          </w:divBdr>
        </w:div>
        <w:div w:id="729888087">
          <w:marLeft w:val="0"/>
          <w:marRight w:val="0"/>
          <w:marTop w:val="0"/>
          <w:marBottom w:val="0"/>
          <w:divBdr>
            <w:top w:val="none" w:sz="0" w:space="0" w:color="auto"/>
            <w:left w:val="none" w:sz="0" w:space="0" w:color="auto"/>
            <w:bottom w:val="none" w:sz="0" w:space="0" w:color="auto"/>
            <w:right w:val="none" w:sz="0" w:space="0" w:color="auto"/>
          </w:divBdr>
        </w:div>
        <w:div w:id="963386573">
          <w:marLeft w:val="0"/>
          <w:marRight w:val="0"/>
          <w:marTop w:val="0"/>
          <w:marBottom w:val="0"/>
          <w:divBdr>
            <w:top w:val="none" w:sz="0" w:space="0" w:color="auto"/>
            <w:left w:val="none" w:sz="0" w:space="0" w:color="auto"/>
            <w:bottom w:val="none" w:sz="0" w:space="0" w:color="auto"/>
            <w:right w:val="none" w:sz="0" w:space="0" w:color="auto"/>
          </w:divBdr>
          <w:divsChild>
            <w:div w:id="2103602815">
              <w:marLeft w:val="0"/>
              <w:marRight w:val="0"/>
              <w:marTop w:val="0"/>
              <w:marBottom w:val="0"/>
              <w:divBdr>
                <w:top w:val="none" w:sz="0" w:space="0" w:color="auto"/>
                <w:left w:val="none" w:sz="0" w:space="0" w:color="auto"/>
                <w:bottom w:val="none" w:sz="0" w:space="0" w:color="auto"/>
                <w:right w:val="none" w:sz="0" w:space="0" w:color="auto"/>
              </w:divBdr>
              <w:divsChild>
                <w:div w:id="735661536">
                  <w:marLeft w:val="0"/>
                  <w:marRight w:val="0"/>
                  <w:marTop w:val="0"/>
                  <w:marBottom w:val="0"/>
                  <w:divBdr>
                    <w:top w:val="none" w:sz="0" w:space="0" w:color="auto"/>
                    <w:left w:val="none" w:sz="0" w:space="0" w:color="auto"/>
                    <w:bottom w:val="none" w:sz="0" w:space="0" w:color="auto"/>
                    <w:right w:val="none" w:sz="0" w:space="0" w:color="auto"/>
                  </w:divBdr>
                  <w:divsChild>
                    <w:div w:id="1600403815">
                      <w:marLeft w:val="0"/>
                      <w:marRight w:val="0"/>
                      <w:marTop w:val="0"/>
                      <w:marBottom w:val="0"/>
                      <w:divBdr>
                        <w:top w:val="none" w:sz="0" w:space="0" w:color="auto"/>
                        <w:left w:val="none" w:sz="0" w:space="0" w:color="auto"/>
                        <w:bottom w:val="none" w:sz="0" w:space="0" w:color="auto"/>
                        <w:right w:val="none" w:sz="0" w:space="0" w:color="auto"/>
                      </w:divBdr>
                    </w:div>
                  </w:divsChild>
                </w:div>
                <w:div w:id="1774741592">
                  <w:marLeft w:val="0"/>
                  <w:marRight w:val="0"/>
                  <w:marTop w:val="0"/>
                  <w:marBottom w:val="0"/>
                  <w:divBdr>
                    <w:top w:val="none" w:sz="0" w:space="0" w:color="auto"/>
                    <w:left w:val="none" w:sz="0" w:space="0" w:color="auto"/>
                    <w:bottom w:val="none" w:sz="0" w:space="0" w:color="auto"/>
                    <w:right w:val="none" w:sz="0" w:space="0" w:color="auto"/>
                  </w:divBdr>
                  <w:divsChild>
                    <w:div w:id="620036956">
                      <w:marLeft w:val="0"/>
                      <w:marRight w:val="0"/>
                      <w:marTop w:val="0"/>
                      <w:marBottom w:val="0"/>
                      <w:divBdr>
                        <w:top w:val="none" w:sz="0" w:space="0" w:color="auto"/>
                        <w:left w:val="none" w:sz="0" w:space="0" w:color="auto"/>
                        <w:bottom w:val="none" w:sz="0" w:space="0" w:color="auto"/>
                        <w:right w:val="none" w:sz="0" w:space="0" w:color="auto"/>
                      </w:divBdr>
                    </w:div>
                  </w:divsChild>
                </w:div>
                <w:div w:id="775518413">
                  <w:marLeft w:val="0"/>
                  <w:marRight w:val="0"/>
                  <w:marTop w:val="0"/>
                  <w:marBottom w:val="0"/>
                  <w:divBdr>
                    <w:top w:val="none" w:sz="0" w:space="0" w:color="auto"/>
                    <w:left w:val="none" w:sz="0" w:space="0" w:color="auto"/>
                    <w:bottom w:val="none" w:sz="0" w:space="0" w:color="auto"/>
                    <w:right w:val="none" w:sz="0" w:space="0" w:color="auto"/>
                  </w:divBdr>
                  <w:divsChild>
                    <w:div w:id="56198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00042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nformea.org/en/treaties/ramsar"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amsar.org/document/sc53-03-progress-in-the-implementation-of-the-cepa-action-plan-2016-2018"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amsar.org/document/resolution-xii9-the-ramsar-conventions-programme-on-communication-capacity-building" TargetMode="External"/><Relationship Id="rId5" Type="http://schemas.openxmlformats.org/officeDocument/2006/relationships/numbering" Target="numbering.xml"/><Relationship Id="rId15" Type="http://schemas.openxmlformats.org/officeDocument/2006/relationships/hyperlink" Target="https://undocs.org/en/A/res/75/317"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amsar.org/resources/ramsar-sites-management-toolkit" TargetMode="External"/><Relationship Id="rId22" Type="http://schemas.microsoft.com/office/2016/09/relationships/commentsIds" Target="commentsIds.xml"/><Relationship Id="rId27"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0C2866174F1EB4584C940634C144C32" ma:contentTypeVersion="13" ma:contentTypeDescription="Create a new document." ma:contentTypeScope="" ma:versionID="5013cc71c1859598a18b9ce7312ef195">
  <xsd:schema xmlns:xsd="http://www.w3.org/2001/XMLSchema" xmlns:xs="http://www.w3.org/2001/XMLSchema" xmlns:p="http://schemas.microsoft.com/office/2006/metadata/properties" xmlns:ns3="8c0b6b05-eb82-4bda-97e8-cd82d0d6b453" xmlns:ns4="aedd258d-19a7-41ba-8260-b0918f25313d" targetNamespace="http://schemas.microsoft.com/office/2006/metadata/properties" ma:root="true" ma:fieldsID="4e80ea02e018efc09e8a65ba00d312e4" ns3:_="" ns4:_="">
    <xsd:import namespace="8c0b6b05-eb82-4bda-97e8-cd82d0d6b453"/>
    <xsd:import namespace="aedd258d-19a7-41ba-8260-b0918f25313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0b6b05-eb82-4bda-97e8-cd82d0d6b4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dd258d-19a7-41ba-8260-b0918f25313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0B361-B817-4C13-B660-744AE7D630C6}">
  <ds:schemaRefs>
    <ds:schemaRef ds:uri="http://purl.org/dc/dcmitype/"/>
    <ds:schemaRef ds:uri="http://purl.org/dc/elements/1.1/"/>
    <ds:schemaRef ds:uri="http://schemas.microsoft.com/office/2006/metadata/properties"/>
    <ds:schemaRef ds:uri="http://schemas.openxmlformats.org/package/2006/metadata/core-properties"/>
    <ds:schemaRef ds:uri="http://purl.org/dc/terms/"/>
    <ds:schemaRef ds:uri="http://www.w3.org/XML/1998/namespace"/>
    <ds:schemaRef ds:uri="http://schemas.microsoft.com/office/2006/documentManagement/types"/>
    <ds:schemaRef ds:uri="8c0b6b05-eb82-4bda-97e8-cd82d0d6b453"/>
    <ds:schemaRef ds:uri="http://schemas.microsoft.com/office/infopath/2007/PartnerControls"/>
    <ds:schemaRef ds:uri="aedd258d-19a7-41ba-8260-b0918f25313d"/>
  </ds:schemaRefs>
</ds:datastoreItem>
</file>

<file path=customXml/itemProps2.xml><?xml version="1.0" encoding="utf-8"?>
<ds:datastoreItem xmlns:ds="http://schemas.openxmlformats.org/officeDocument/2006/customXml" ds:itemID="{416A97D4-9F35-4143-B3E7-413610DA4C51}">
  <ds:schemaRefs>
    <ds:schemaRef ds:uri="http://schemas.microsoft.com/sharepoint/v3/contenttype/forms"/>
  </ds:schemaRefs>
</ds:datastoreItem>
</file>

<file path=customXml/itemProps3.xml><?xml version="1.0" encoding="utf-8"?>
<ds:datastoreItem xmlns:ds="http://schemas.openxmlformats.org/officeDocument/2006/customXml" ds:itemID="{ECC1336F-6096-494F-8567-61512E34FF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0b6b05-eb82-4bda-97e8-cd82d0d6b453"/>
    <ds:schemaRef ds:uri="aedd258d-19a7-41ba-8260-b0918f2531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87F3718-31F6-4751-88E3-3FBBC91B8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20</Pages>
  <Words>7881</Words>
  <Characters>44924</Characters>
  <Application>Microsoft Office Word</Application>
  <DocSecurity>0</DocSecurity>
  <Lines>374</Lines>
  <Paragraphs>105</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IUCN</Company>
  <LinksUpToDate>false</LinksUpToDate>
  <CharactersWithSpaces>52700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Royal Gardner</dc:creator>
  <cp:lastModifiedBy>Ed Jennings</cp:lastModifiedBy>
  <cp:revision>3</cp:revision>
  <cp:lastPrinted>2022-09-15T09:00:00Z</cp:lastPrinted>
  <dcterms:created xsi:type="dcterms:W3CDTF">2022-09-15T08:59:00Z</dcterms:created>
  <dcterms:modified xsi:type="dcterms:W3CDTF">2022-09-15T12:54:00Z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0x01010020C2866174F1EB4584C940634C144C32</vt:lpwstr>
  </property>
</Properties>
</file>