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9C705E" w14:textId="1B567128" w:rsidR="00E22301" w:rsidRPr="00A4333E" w:rsidRDefault="00E22301" w:rsidP="00E22301">
      <w:pPr>
        <w:jc w:val="center"/>
        <w:outlineLvl w:val="0"/>
        <w:rPr>
          <w:rFonts w:eastAsia="Times New Roman" w:cstheme="majorHAnsi"/>
          <w:b/>
          <w:bCs/>
          <w:sz w:val="24"/>
          <w:szCs w:val="24"/>
          <w:lang w:val="fr-FR"/>
        </w:rPr>
      </w:pPr>
      <w:r w:rsidRPr="00E22301">
        <w:rPr>
          <w:rFonts w:eastAsia="Times New Roman" w:cstheme="majorHAnsi"/>
          <w:b/>
          <w:bCs/>
          <w:sz w:val="24"/>
          <w:szCs w:val="24"/>
          <w:lang w:val="fr-FR"/>
        </w:rPr>
        <w:t>14e Session de la Conf</w:t>
      </w:r>
      <w:r w:rsidR="00A4333E">
        <w:rPr>
          <w:rFonts w:eastAsia="Times New Roman" w:cstheme="majorHAnsi"/>
          <w:b/>
          <w:bCs/>
          <w:sz w:val="24"/>
          <w:szCs w:val="24"/>
          <w:lang w:val="fr-FR"/>
        </w:rPr>
        <w:t>é</w:t>
      </w:r>
      <w:r w:rsidRPr="00E22301">
        <w:rPr>
          <w:rFonts w:eastAsia="Times New Roman" w:cstheme="majorHAnsi"/>
          <w:b/>
          <w:bCs/>
          <w:sz w:val="24"/>
          <w:szCs w:val="24"/>
          <w:lang w:val="fr-FR"/>
        </w:rPr>
        <w:t xml:space="preserve">rence des Parties contractantes à la </w:t>
      </w:r>
    </w:p>
    <w:p w14:paraId="6D0D1D0E" w14:textId="1C77B661" w:rsidR="00E22301" w:rsidRPr="00E22301" w:rsidRDefault="00E22301" w:rsidP="00E22301">
      <w:pPr>
        <w:jc w:val="center"/>
        <w:outlineLvl w:val="0"/>
        <w:rPr>
          <w:rFonts w:eastAsia="Times New Roman" w:cstheme="majorHAnsi"/>
          <w:b/>
          <w:bCs/>
          <w:sz w:val="24"/>
          <w:szCs w:val="24"/>
          <w:lang w:val="fr-FR"/>
        </w:rPr>
      </w:pPr>
      <w:r w:rsidRPr="00E22301">
        <w:rPr>
          <w:rFonts w:eastAsia="Times New Roman" w:cstheme="majorHAnsi"/>
          <w:b/>
          <w:bCs/>
          <w:sz w:val="24"/>
          <w:szCs w:val="24"/>
          <w:lang w:val="fr-FR"/>
        </w:rPr>
        <w:t xml:space="preserve">Convention de Ramsar sur les zones humides </w:t>
      </w:r>
    </w:p>
    <w:p w14:paraId="60C1B1A0" w14:textId="6C8608D1" w:rsidR="0079613F" w:rsidRPr="00A4333E" w:rsidRDefault="0079613F" w:rsidP="0079613F">
      <w:pPr>
        <w:jc w:val="center"/>
        <w:outlineLvl w:val="0"/>
        <w:rPr>
          <w:rFonts w:eastAsia="Times New Roman" w:cstheme="majorHAnsi"/>
          <w:b/>
          <w:bCs/>
          <w:sz w:val="24"/>
          <w:szCs w:val="24"/>
          <w:lang w:val="fr-FR"/>
        </w:rPr>
      </w:pPr>
    </w:p>
    <w:p w14:paraId="3183217E" w14:textId="30D4FBE1" w:rsidR="00E22301" w:rsidRPr="00A4333E" w:rsidRDefault="00E22301" w:rsidP="007856EC">
      <w:pPr>
        <w:ind w:right="17"/>
        <w:jc w:val="center"/>
        <w:outlineLvl w:val="0"/>
        <w:rPr>
          <w:rFonts w:eastAsia="Times New Roman" w:cstheme="majorHAnsi"/>
          <w:b/>
          <w:bCs/>
          <w:sz w:val="24"/>
          <w:szCs w:val="24"/>
          <w:lang w:val="fr-FR"/>
        </w:rPr>
      </w:pPr>
      <w:r w:rsidRPr="00A4333E">
        <w:rPr>
          <w:rFonts w:eastAsia="Times New Roman" w:cstheme="majorHAnsi"/>
          <w:b/>
          <w:bCs/>
          <w:sz w:val="24"/>
          <w:szCs w:val="24"/>
          <w:lang w:val="fr-FR"/>
        </w:rPr>
        <w:t>« Agir pour les zones humides, c’est agir pour l’humanit</w:t>
      </w:r>
      <w:r w:rsidR="00A4333E">
        <w:rPr>
          <w:rFonts w:eastAsia="Times New Roman" w:cstheme="majorHAnsi"/>
          <w:b/>
          <w:bCs/>
          <w:sz w:val="24"/>
          <w:szCs w:val="24"/>
          <w:lang w:val="fr-FR"/>
        </w:rPr>
        <w:t>é</w:t>
      </w:r>
      <w:r w:rsidRPr="00A4333E">
        <w:rPr>
          <w:rFonts w:eastAsia="Times New Roman" w:cstheme="majorHAnsi"/>
          <w:b/>
          <w:bCs/>
          <w:sz w:val="24"/>
          <w:szCs w:val="24"/>
          <w:lang w:val="fr-FR"/>
        </w:rPr>
        <w:t xml:space="preserve"> et la nature » </w:t>
      </w:r>
    </w:p>
    <w:p w14:paraId="68A66B9C" w14:textId="3C5B539D" w:rsidR="007856EC" w:rsidRPr="00A4333E" w:rsidRDefault="00E22301" w:rsidP="007856EC">
      <w:pPr>
        <w:ind w:right="17"/>
        <w:jc w:val="center"/>
        <w:outlineLvl w:val="0"/>
        <w:rPr>
          <w:rFonts w:cstheme="majorHAnsi"/>
          <w:b/>
          <w:bCs/>
          <w:sz w:val="28"/>
          <w:szCs w:val="28"/>
          <w:lang w:val="fr-FR"/>
        </w:rPr>
      </w:pPr>
      <w:r w:rsidRPr="00A4333E">
        <w:rPr>
          <w:rFonts w:eastAsia="Times New Roman" w:cstheme="majorHAnsi"/>
          <w:b/>
          <w:bCs/>
          <w:sz w:val="24"/>
          <w:szCs w:val="24"/>
          <w:lang w:val="fr-FR"/>
        </w:rPr>
        <w:t xml:space="preserve">Wuhan, Chine et </w:t>
      </w:r>
      <w:r w:rsidR="00A4333E" w:rsidRPr="00A4333E">
        <w:rPr>
          <w:rFonts w:eastAsia="Times New Roman" w:cstheme="majorHAnsi"/>
          <w:b/>
          <w:bCs/>
          <w:sz w:val="24"/>
          <w:szCs w:val="24"/>
          <w:lang w:val="fr-FR"/>
        </w:rPr>
        <w:t>Genève</w:t>
      </w:r>
      <w:r w:rsidRPr="00A4333E">
        <w:rPr>
          <w:rFonts w:eastAsia="Times New Roman" w:cstheme="majorHAnsi"/>
          <w:b/>
          <w:bCs/>
          <w:sz w:val="24"/>
          <w:szCs w:val="24"/>
          <w:lang w:val="fr-FR"/>
        </w:rPr>
        <w:t>, Suisse, 5 au 13 novembre 2022</w:t>
      </w:r>
    </w:p>
    <w:p w14:paraId="537B25A6" w14:textId="77777777" w:rsidR="007856EC" w:rsidRPr="00A4333E" w:rsidRDefault="007856EC" w:rsidP="007856EC">
      <w:pPr>
        <w:ind w:right="17"/>
        <w:jc w:val="center"/>
        <w:outlineLvl w:val="0"/>
        <w:rPr>
          <w:rFonts w:cstheme="majorHAnsi"/>
          <w:b/>
          <w:bCs/>
          <w:sz w:val="28"/>
          <w:szCs w:val="28"/>
          <w:lang w:val="fr-FR"/>
        </w:rPr>
      </w:pPr>
    </w:p>
    <w:tbl>
      <w:tblPr>
        <w:tblW w:w="9360" w:type="dxa"/>
        <w:tblInd w:w="-67" w:type="dxa"/>
        <w:tblBorders>
          <w:top w:val="single" w:sz="4" w:space="0" w:color="auto"/>
          <w:left w:val="single" w:sz="4" w:space="0" w:color="auto"/>
          <w:bottom w:val="single" w:sz="4" w:space="0" w:color="auto"/>
          <w:right w:val="single" w:sz="4" w:space="0" w:color="auto"/>
          <w:insideH w:val="single" w:sz="4" w:space="0" w:color="auto"/>
        </w:tblBorders>
        <w:tblCellMar>
          <w:top w:w="85" w:type="dxa"/>
          <w:left w:w="113" w:type="dxa"/>
          <w:bottom w:w="85" w:type="dxa"/>
          <w:right w:w="113" w:type="dxa"/>
        </w:tblCellMar>
        <w:tblLook w:val="04A0" w:firstRow="1" w:lastRow="0" w:firstColumn="1" w:lastColumn="0" w:noHBand="0" w:noVBand="1"/>
      </w:tblPr>
      <w:tblGrid>
        <w:gridCol w:w="9360"/>
      </w:tblGrid>
      <w:tr w:rsidR="00796355" w:rsidRPr="00A4333E" w14:paraId="64C6D401" w14:textId="77777777" w:rsidTr="0054389C">
        <w:tc>
          <w:tcPr>
            <w:tcW w:w="9360" w:type="dxa"/>
          </w:tcPr>
          <w:p w14:paraId="239D4E05" w14:textId="026772D4" w:rsidR="00796355" w:rsidRPr="00A4333E" w:rsidRDefault="0079613F" w:rsidP="002D300B">
            <w:pPr>
              <w:ind w:right="67"/>
              <w:jc w:val="right"/>
              <w:outlineLvl w:val="0"/>
              <w:rPr>
                <w:rFonts w:cstheme="majorHAnsi"/>
                <w:b/>
                <w:bCs/>
                <w:lang w:val="fr-FR"/>
              </w:rPr>
            </w:pPr>
            <w:r w:rsidRPr="00A4333E">
              <w:rPr>
                <w:rFonts w:eastAsia="Times New Roman" w:cstheme="majorHAnsi"/>
                <w:b/>
                <w:bCs/>
                <w:sz w:val="24"/>
                <w:szCs w:val="24"/>
                <w:lang w:val="fr-FR"/>
              </w:rPr>
              <w:t>Ramsar COP14 Doc.15</w:t>
            </w:r>
          </w:p>
        </w:tc>
      </w:tr>
    </w:tbl>
    <w:p w14:paraId="09101231" w14:textId="77777777" w:rsidR="00BA6428" w:rsidRPr="00A4333E" w:rsidRDefault="00BA6428" w:rsidP="00BA6428">
      <w:pPr>
        <w:rPr>
          <w:rFonts w:asciiTheme="minorHAnsi" w:hAnsiTheme="minorHAnsi"/>
          <w:b/>
          <w:lang w:val="fr-FR"/>
        </w:rPr>
      </w:pPr>
      <w:bookmarkStart w:id="0" w:name="OLE_LINK3"/>
    </w:p>
    <w:p w14:paraId="489690C8" w14:textId="77777777" w:rsidR="00BA6428" w:rsidRPr="00A4333E" w:rsidRDefault="00BA6428" w:rsidP="00BA6428">
      <w:pPr>
        <w:rPr>
          <w:rFonts w:asciiTheme="minorHAnsi" w:hAnsiTheme="minorHAnsi"/>
          <w:b/>
          <w:lang w:val="fr-FR"/>
        </w:rPr>
      </w:pPr>
    </w:p>
    <w:bookmarkEnd w:id="0"/>
    <w:p w14:paraId="77CF1E1F" w14:textId="5E8CD391" w:rsidR="00B32E40" w:rsidRPr="0074795C" w:rsidRDefault="0074795C" w:rsidP="0074795C">
      <w:pPr>
        <w:ind w:right="17"/>
        <w:jc w:val="center"/>
        <w:outlineLvl w:val="0"/>
        <w:rPr>
          <w:rFonts w:eastAsia="Times New Roman" w:cstheme="majorHAnsi"/>
          <w:b/>
          <w:bCs/>
          <w:sz w:val="28"/>
          <w:szCs w:val="28"/>
          <w:lang w:val="fr-FR"/>
        </w:rPr>
      </w:pPr>
      <w:r w:rsidRPr="0074795C">
        <w:rPr>
          <w:rFonts w:eastAsia="Times New Roman" w:cstheme="majorHAnsi"/>
          <w:b/>
          <w:bCs/>
          <w:sz w:val="28"/>
          <w:szCs w:val="28"/>
          <w:lang w:val="fr-FR"/>
        </w:rPr>
        <w:t>Rapport </w:t>
      </w:r>
      <w:r w:rsidRPr="0074795C">
        <w:rPr>
          <w:rFonts w:eastAsia="Times New Roman" w:cstheme="majorHAnsi"/>
          <w:b/>
          <w:bCs/>
          <w:sz w:val="28"/>
          <w:szCs w:val="28"/>
          <w:lang w:val="fr-FR"/>
        </w:rPr>
        <w:t xml:space="preserve">financier de la présidence du Sous-groupe du Comité permanent </w:t>
      </w:r>
      <w:r>
        <w:rPr>
          <w:rFonts w:eastAsia="Times New Roman" w:cstheme="majorHAnsi"/>
          <w:b/>
          <w:bCs/>
          <w:sz w:val="28"/>
          <w:szCs w:val="28"/>
          <w:lang w:val="fr-FR"/>
        </w:rPr>
        <w:br/>
      </w:r>
      <w:r w:rsidRPr="0074795C">
        <w:rPr>
          <w:rFonts w:eastAsia="Times New Roman" w:cstheme="majorHAnsi"/>
          <w:b/>
          <w:bCs/>
          <w:sz w:val="28"/>
          <w:szCs w:val="28"/>
          <w:lang w:val="fr-FR"/>
        </w:rPr>
        <w:t>sur les finances pour 2019-2022 et budget proposé pour la période triennale 2023-2025</w:t>
      </w:r>
    </w:p>
    <w:p w14:paraId="5FC38F0F" w14:textId="77777777" w:rsidR="00B32E40" w:rsidRPr="00A4333E" w:rsidRDefault="00B32E40" w:rsidP="00B32E40">
      <w:pPr>
        <w:rPr>
          <w:rFonts w:asciiTheme="minorHAnsi" w:hAnsiTheme="minorHAnsi"/>
          <w:b/>
          <w:lang w:val="fr-FR"/>
        </w:rPr>
      </w:pPr>
    </w:p>
    <w:p w14:paraId="6C541FC4" w14:textId="69DBD23C" w:rsidR="007856EC" w:rsidRPr="00A4333E" w:rsidRDefault="007856EC" w:rsidP="00B059A6">
      <w:pPr>
        <w:ind w:firstLine="0"/>
        <w:rPr>
          <w:rFonts w:asciiTheme="minorHAnsi" w:hAnsiTheme="minorHAnsi"/>
          <w:bCs/>
          <w:lang w:val="fr-FR"/>
        </w:rPr>
      </w:pPr>
      <w:bookmarkStart w:id="1" w:name="_GoBack"/>
      <w:bookmarkEnd w:id="1"/>
    </w:p>
    <w:p w14:paraId="444B7625" w14:textId="3A8C005E" w:rsidR="00CC04B8" w:rsidRPr="00A4333E" w:rsidRDefault="00327DFA" w:rsidP="0070759B">
      <w:pPr>
        <w:rPr>
          <w:i/>
          <w:lang w:val="fr-FR"/>
        </w:rPr>
      </w:pPr>
      <w:r w:rsidRPr="00A4333E">
        <w:rPr>
          <w:rFonts w:asciiTheme="minorHAnsi" w:hAnsiTheme="minorHAnsi"/>
          <w:color w:val="000000"/>
          <w:lang w:val="fr-FR"/>
        </w:rPr>
        <w:t>1.</w:t>
      </w:r>
      <w:r w:rsidRPr="00A4333E">
        <w:rPr>
          <w:rFonts w:asciiTheme="minorHAnsi" w:hAnsiTheme="minorHAnsi"/>
          <w:color w:val="000000"/>
          <w:lang w:val="fr-FR"/>
        </w:rPr>
        <w:tab/>
      </w:r>
      <w:r w:rsidR="00B059A6" w:rsidRPr="00A4333E">
        <w:rPr>
          <w:rFonts w:asciiTheme="minorHAnsi" w:hAnsiTheme="minorHAnsi"/>
          <w:color w:val="000000"/>
          <w:lang w:val="fr-FR"/>
        </w:rPr>
        <w:t xml:space="preserve">Lors </w:t>
      </w:r>
      <w:r w:rsidR="00B059A6" w:rsidRPr="00A4333E">
        <w:rPr>
          <w:rFonts w:asciiTheme="minorHAnsi" w:hAnsiTheme="minorHAnsi"/>
          <w:bCs/>
          <w:lang w:val="fr-FR"/>
        </w:rPr>
        <w:t xml:space="preserve">de la reprise de sa 59e </w:t>
      </w:r>
      <w:r w:rsidR="00C0391B" w:rsidRPr="00A4333E">
        <w:rPr>
          <w:rFonts w:asciiTheme="minorHAnsi" w:hAnsiTheme="minorHAnsi"/>
          <w:bCs/>
          <w:lang w:val="fr-FR"/>
        </w:rPr>
        <w:t>Réunion</w:t>
      </w:r>
      <w:r w:rsidR="002D300B" w:rsidRPr="00A4333E">
        <w:rPr>
          <w:rFonts w:asciiTheme="minorHAnsi" w:hAnsiTheme="minorHAnsi"/>
          <w:color w:val="000000"/>
          <w:lang w:val="fr-FR"/>
        </w:rPr>
        <w:t xml:space="preserve"> (</w:t>
      </w:r>
      <w:r w:rsidR="0079613F" w:rsidRPr="00A4333E">
        <w:rPr>
          <w:rFonts w:asciiTheme="minorHAnsi" w:hAnsiTheme="minorHAnsi"/>
          <w:color w:val="000000"/>
          <w:lang w:val="fr-FR"/>
        </w:rPr>
        <w:t>SC59/2022</w:t>
      </w:r>
      <w:r w:rsidR="002D300B" w:rsidRPr="00A4333E">
        <w:rPr>
          <w:rFonts w:asciiTheme="minorHAnsi" w:hAnsiTheme="minorHAnsi"/>
          <w:color w:val="000000"/>
          <w:lang w:val="fr-FR"/>
        </w:rPr>
        <w:t>)</w:t>
      </w:r>
      <w:r w:rsidR="007009E2" w:rsidRPr="00A4333E">
        <w:rPr>
          <w:rFonts w:asciiTheme="minorHAnsi" w:hAnsiTheme="minorHAnsi"/>
          <w:color w:val="000000"/>
          <w:lang w:val="fr-FR"/>
        </w:rPr>
        <w:t>,</w:t>
      </w:r>
      <w:r w:rsidR="0079613F" w:rsidRPr="00A4333E">
        <w:rPr>
          <w:rFonts w:asciiTheme="minorHAnsi" w:hAnsiTheme="minorHAnsi"/>
          <w:color w:val="000000"/>
          <w:lang w:val="fr-FR"/>
        </w:rPr>
        <w:t xml:space="preserve"> </w:t>
      </w:r>
      <w:r w:rsidR="00C0391B" w:rsidRPr="00A4333E">
        <w:rPr>
          <w:rFonts w:asciiTheme="minorHAnsi" w:hAnsiTheme="minorHAnsi"/>
          <w:bCs/>
          <w:lang w:val="fr-FR"/>
        </w:rPr>
        <w:t>en juin 2022, le Comité permanent a adopté la Décision SC59/2022-39, dans laquelle</w:t>
      </w:r>
      <w:r w:rsidR="0070759B" w:rsidRPr="00A4333E">
        <w:rPr>
          <w:rFonts w:asciiTheme="minorHAnsi" w:hAnsiTheme="minorHAnsi"/>
          <w:bCs/>
          <w:lang w:val="fr-FR"/>
        </w:rPr>
        <w:t> :</w:t>
      </w:r>
      <w:r w:rsidR="00FD45EA" w:rsidRPr="00A4333E">
        <w:rPr>
          <w:rFonts w:asciiTheme="minorHAnsi" w:hAnsiTheme="minorHAnsi"/>
          <w:lang w:val="fr-FR"/>
        </w:rPr>
        <w:t xml:space="preserve"> </w:t>
      </w:r>
      <w:r w:rsidR="00CC04B8" w:rsidRPr="00A4333E">
        <w:rPr>
          <w:i/>
          <w:lang w:val="fr-FR"/>
        </w:rPr>
        <w:t>i</w:t>
      </w:r>
      <w:r w:rsidR="0070759B" w:rsidRPr="00A4333E">
        <w:rPr>
          <w:i/>
          <w:lang w:val="fr-FR"/>
        </w:rPr>
        <w:t>l</w:t>
      </w:r>
      <w:r w:rsidR="0070759B" w:rsidRPr="00A4333E">
        <w:rPr>
          <w:lang w:val="fr-FR"/>
        </w:rPr>
        <w:t xml:space="preserve"> </w:t>
      </w:r>
      <w:r w:rsidR="0070759B" w:rsidRPr="00A4333E">
        <w:rPr>
          <w:i/>
          <w:lang w:val="fr-FR"/>
        </w:rPr>
        <w:t xml:space="preserve">a </w:t>
      </w:r>
      <w:r w:rsidR="00A4333E" w:rsidRPr="00A4333E">
        <w:rPr>
          <w:i/>
          <w:lang w:val="fr-FR"/>
        </w:rPr>
        <w:t>donné</w:t>
      </w:r>
      <w:r w:rsidR="0070759B" w:rsidRPr="00A4333E">
        <w:rPr>
          <w:i/>
          <w:lang w:val="fr-FR"/>
        </w:rPr>
        <w:t xml:space="preserve">́ instruction au </w:t>
      </w:r>
      <w:r w:rsidR="00A4333E" w:rsidRPr="00A4333E">
        <w:rPr>
          <w:i/>
          <w:lang w:val="fr-FR"/>
        </w:rPr>
        <w:t>Secrétariat</w:t>
      </w:r>
      <w:r w:rsidR="0070759B" w:rsidRPr="00A4333E">
        <w:rPr>
          <w:i/>
          <w:lang w:val="fr-FR"/>
        </w:rPr>
        <w:t xml:space="preserve">, compte tenu des circonstances exceptionnelles, de présenter à la 14e Session de la Conférence des Parties contractantes le seul </w:t>
      </w:r>
      <w:r w:rsidR="00A4333E" w:rsidRPr="00A4333E">
        <w:rPr>
          <w:i/>
          <w:lang w:val="fr-FR"/>
        </w:rPr>
        <w:t>Scénario</w:t>
      </w:r>
      <w:r w:rsidR="0070759B" w:rsidRPr="00A4333E">
        <w:rPr>
          <w:i/>
          <w:lang w:val="fr-FR"/>
        </w:rPr>
        <w:t xml:space="preserve"> </w:t>
      </w:r>
      <w:r w:rsidR="00A4333E" w:rsidRPr="00A4333E">
        <w:rPr>
          <w:i/>
          <w:lang w:val="fr-FR"/>
        </w:rPr>
        <w:t>budgétaire</w:t>
      </w:r>
      <w:r w:rsidR="0070759B" w:rsidRPr="00A4333E">
        <w:rPr>
          <w:i/>
          <w:lang w:val="fr-FR"/>
        </w:rPr>
        <w:t xml:space="preserve"> A, représentant une augmentation de 0 % par rapport aux périodes triennales 2016-2018 et 2019-2021 et 2022, tel qu’il est décrit dans le document SC59/2022 Doc.8.3 </w:t>
      </w:r>
      <w:r w:rsidR="00CC04B8" w:rsidRPr="00A4333E">
        <w:rPr>
          <w:i/>
          <w:lang w:val="fr-FR"/>
        </w:rPr>
        <w:t xml:space="preserve">; </w:t>
      </w:r>
      <w:r w:rsidR="00AA50DA" w:rsidRPr="00A4333E">
        <w:rPr>
          <w:i/>
          <w:lang w:val="fr-FR"/>
        </w:rPr>
        <w:t xml:space="preserve">et </w:t>
      </w:r>
      <w:r w:rsidR="00A4333E">
        <w:rPr>
          <w:i/>
          <w:lang w:val="fr-FR"/>
        </w:rPr>
        <w:t xml:space="preserve">il </w:t>
      </w:r>
      <w:r w:rsidR="00AA50DA" w:rsidRPr="00A4333E">
        <w:rPr>
          <w:i/>
          <w:lang w:val="fr-FR"/>
        </w:rPr>
        <w:t xml:space="preserve">a approuvé le projet de </w:t>
      </w:r>
      <w:r w:rsidR="00A4333E" w:rsidRPr="00A4333E">
        <w:rPr>
          <w:i/>
          <w:lang w:val="fr-FR"/>
        </w:rPr>
        <w:t>résolution</w:t>
      </w:r>
      <w:r w:rsidR="00AA50DA" w:rsidRPr="00A4333E">
        <w:rPr>
          <w:i/>
          <w:lang w:val="fr-FR"/>
        </w:rPr>
        <w:t xml:space="preserve"> sur les questions </w:t>
      </w:r>
      <w:r w:rsidR="00A4333E" w:rsidRPr="00A4333E">
        <w:rPr>
          <w:i/>
          <w:lang w:val="fr-FR"/>
        </w:rPr>
        <w:t>financières</w:t>
      </w:r>
      <w:r w:rsidR="00AA50DA" w:rsidRPr="00A4333E">
        <w:rPr>
          <w:i/>
          <w:lang w:val="fr-FR"/>
        </w:rPr>
        <w:t xml:space="preserve"> et </w:t>
      </w:r>
      <w:r w:rsidR="00A4333E" w:rsidRPr="00A4333E">
        <w:rPr>
          <w:i/>
          <w:lang w:val="fr-FR"/>
        </w:rPr>
        <w:t>budgétaires</w:t>
      </w:r>
      <w:r w:rsidR="00AA50DA" w:rsidRPr="00A4333E">
        <w:rPr>
          <w:i/>
          <w:lang w:val="fr-FR"/>
        </w:rPr>
        <w:t xml:space="preserve">, pour examen à la COP14, </w:t>
      </w:r>
      <w:r w:rsidR="00A4333E" w:rsidRPr="00A4333E">
        <w:rPr>
          <w:i/>
          <w:lang w:val="fr-FR"/>
        </w:rPr>
        <w:t>présenté</w:t>
      </w:r>
      <w:r w:rsidR="00AA50DA" w:rsidRPr="00A4333E">
        <w:rPr>
          <w:i/>
          <w:lang w:val="fr-FR"/>
        </w:rPr>
        <w:t xml:space="preserve">́ dans l’Annexe 2 du Rapport du Sous-groupe sur les finances figurant dans le document SC59/2022 Com.2 Rev.1. </w:t>
      </w:r>
    </w:p>
    <w:p w14:paraId="3F177AC8" w14:textId="77777777" w:rsidR="00E74C69" w:rsidRPr="00A4333E" w:rsidRDefault="00E74C69" w:rsidP="00327DFA">
      <w:pPr>
        <w:pStyle w:val="ListParagraph"/>
        <w:ind w:left="425"/>
        <w:rPr>
          <w:rFonts w:asciiTheme="minorHAnsi" w:eastAsia="Batang" w:hAnsiTheme="minorHAnsi"/>
          <w:color w:val="000000"/>
          <w:lang w:val="fr-FR" w:eastAsia="ko-KR"/>
        </w:rPr>
      </w:pPr>
    </w:p>
    <w:p w14:paraId="6FAFF290" w14:textId="76FBE2D0" w:rsidR="00B8572A" w:rsidRPr="00A4333E" w:rsidRDefault="00327DFA" w:rsidP="00B8572A">
      <w:pPr>
        <w:rPr>
          <w:rFonts w:asciiTheme="minorHAnsi" w:hAnsiTheme="minorHAnsi"/>
          <w:color w:val="000000"/>
          <w:lang w:val="fr-FR"/>
        </w:rPr>
      </w:pPr>
      <w:r w:rsidRPr="00A4333E">
        <w:rPr>
          <w:rFonts w:asciiTheme="minorHAnsi" w:hAnsiTheme="minorHAnsi"/>
          <w:color w:val="000000"/>
          <w:lang w:val="fr-FR"/>
        </w:rPr>
        <w:t>2.</w:t>
      </w:r>
      <w:r w:rsidRPr="00A4333E">
        <w:rPr>
          <w:rFonts w:asciiTheme="minorHAnsi" w:hAnsiTheme="minorHAnsi"/>
          <w:color w:val="000000"/>
          <w:lang w:val="fr-FR"/>
        </w:rPr>
        <w:tab/>
      </w:r>
      <w:r w:rsidR="00AD3495" w:rsidRPr="00A4333E">
        <w:rPr>
          <w:rFonts w:asciiTheme="minorHAnsi" w:hAnsiTheme="minorHAnsi"/>
          <w:color w:val="000000"/>
          <w:lang w:val="fr-FR"/>
        </w:rPr>
        <w:t>Le présent document fournit des informations générales sur les questions suivantes :</w:t>
      </w:r>
      <w:r w:rsidR="00E74C69" w:rsidRPr="00A4333E">
        <w:rPr>
          <w:rFonts w:asciiTheme="minorHAnsi" w:hAnsiTheme="minorHAnsi"/>
          <w:color w:val="000000"/>
          <w:lang w:val="fr-FR"/>
        </w:rPr>
        <w:t xml:space="preserve"> </w:t>
      </w:r>
    </w:p>
    <w:p w14:paraId="64D0C413" w14:textId="7D217671" w:rsidR="00B8572A" w:rsidRPr="00A4333E" w:rsidRDefault="00B8572A" w:rsidP="00B8572A">
      <w:pPr>
        <w:ind w:left="850"/>
        <w:rPr>
          <w:rFonts w:asciiTheme="minorHAnsi" w:eastAsia="Batang" w:hAnsiTheme="minorHAnsi"/>
          <w:color w:val="000000"/>
          <w:lang w:val="fr-FR" w:eastAsia="ko-KR"/>
        </w:rPr>
      </w:pPr>
      <w:r w:rsidRPr="00A4333E">
        <w:rPr>
          <w:rFonts w:asciiTheme="minorHAnsi" w:eastAsia="Batang" w:hAnsiTheme="minorHAnsi"/>
          <w:color w:val="000000"/>
          <w:lang w:val="fr-FR" w:eastAsia="ko-KR"/>
        </w:rPr>
        <w:t>a</w:t>
      </w:r>
      <w:r w:rsidR="003231A5" w:rsidRPr="00A4333E">
        <w:rPr>
          <w:rFonts w:asciiTheme="minorHAnsi" w:eastAsia="Batang" w:hAnsiTheme="minorHAnsi"/>
          <w:color w:val="000000"/>
          <w:lang w:val="fr-FR" w:eastAsia="ko-KR"/>
        </w:rPr>
        <w:t>.</w:t>
      </w:r>
      <w:r w:rsidRPr="00A4333E">
        <w:rPr>
          <w:rFonts w:asciiTheme="minorHAnsi" w:eastAsia="Batang" w:hAnsiTheme="minorHAnsi"/>
          <w:color w:val="000000"/>
          <w:lang w:val="fr-FR" w:eastAsia="ko-KR"/>
        </w:rPr>
        <w:tab/>
      </w:r>
      <w:r w:rsidR="00A4333E">
        <w:rPr>
          <w:rFonts w:asciiTheme="minorHAnsi" w:eastAsia="Batang" w:hAnsiTheme="minorHAnsi"/>
          <w:color w:val="000000"/>
          <w:lang w:val="fr-FR" w:eastAsia="ko-KR"/>
        </w:rPr>
        <w:t xml:space="preserve">lancement </w:t>
      </w:r>
      <w:r w:rsidR="00AD3495" w:rsidRPr="00A4333E">
        <w:rPr>
          <w:rFonts w:asciiTheme="minorHAnsi" w:eastAsia="Batang" w:hAnsiTheme="minorHAnsi"/>
          <w:color w:val="000000"/>
          <w:lang w:val="fr-FR" w:eastAsia="ko-KR"/>
        </w:rPr>
        <w:t>de la période triennale 2019-2021 et budgets 2022 ;</w:t>
      </w:r>
      <w:r w:rsidR="00E74C69" w:rsidRPr="00A4333E">
        <w:rPr>
          <w:rFonts w:asciiTheme="minorHAnsi" w:eastAsia="Batang" w:hAnsiTheme="minorHAnsi"/>
          <w:color w:val="000000"/>
          <w:lang w:val="fr-FR" w:eastAsia="ko-KR"/>
        </w:rPr>
        <w:t xml:space="preserve"> </w:t>
      </w:r>
    </w:p>
    <w:p w14:paraId="232E3B8B" w14:textId="27F6F0BD" w:rsidR="00B8572A" w:rsidRPr="00A4333E" w:rsidRDefault="00B8572A" w:rsidP="00B8572A">
      <w:pPr>
        <w:ind w:left="850"/>
        <w:rPr>
          <w:rFonts w:asciiTheme="minorHAnsi" w:eastAsia="Batang" w:hAnsiTheme="minorHAnsi"/>
          <w:color w:val="000000"/>
          <w:lang w:val="fr-FR" w:eastAsia="ko-KR"/>
        </w:rPr>
      </w:pPr>
      <w:r w:rsidRPr="00A4333E">
        <w:rPr>
          <w:rFonts w:asciiTheme="minorHAnsi" w:eastAsia="Batang" w:hAnsiTheme="minorHAnsi"/>
          <w:color w:val="000000"/>
          <w:lang w:val="fr-FR" w:eastAsia="ko-KR"/>
        </w:rPr>
        <w:t>b</w:t>
      </w:r>
      <w:r w:rsidR="003231A5" w:rsidRPr="00A4333E">
        <w:rPr>
          <w:rFonts w:asciiTheme="minorHAnsi" w:eastAsia="Batang" w:hAnsiTheme="minorHAnsi"/>
          <w:color w:val="000000"/>
          <w:lang w:val="fr-FR" w:eastAsia="ko-KR"/>
        </w:rPr>
        <w:t xml:space="preserve">. </w:t>
      </w:r>
      <w:r w:rsidRPr="00A4333E">
        <w:rPr>
          <w:rFonts w:asciiTheme="minorHAnsi" w:eastAsia="Batang" w:hAnsiTheme="minorHAnsi"/>
          <w:color w:val="000000"/>
          <w:lang w:val="fr-FR" w:eastAsia="ko-KR"/>
        </w:rPr>
        <w:tab/>
      </w:r>
      <w:r w:rsidR="00FC7AC3" w:rsidRPr="00A4333E">
        <w:rPr>
          <w:rFonts w:asciiTheme="minorHAnsi" w:eastAsia="Batang" w:hAnsiTheme="minorHAnsi"/>
          <w:color w:val="000000"/>
          <w:lang w:val="fr-FR" w:eastAsia="ko-KR"/>
        </w:rPr>
        <w:t>explications</w:t>
      </w:r>
      <w:r w:rsidR="00DD6839" w:rsidRPr="00A4333E">
        <w:rPr>
          <w:rFonts w:asciiTheme="minorHAnsi" w:eastAsia="Batang" w:hAnsiTheme="minorHAnsi"/>
          <w:color w:val="000000"/>
          <w:lang w:val="fr-FR" w:eastAsia="ko-KR"/>
        </w:rPr>
        <w:t xml:space="preserve"> concernant le budget proposé pour 2023-2025 figurant dans le projet de résolution sur les questions financières et budgétaires </w:t>
      </w:r>
      <w:r w:rsidR="00E74C69" w:rsidRPr="00A4333E">
        <w:rPr>
          <w:rFonts w:asciiTheme="minorHAnsi" w:eastAsia="Batang" w:hAnsiTheme="minorHAnsi"/>
          <w:color w:val="000000"/>
          <w:lang w:val="fr-FR" w:eastAsia="ko-KR"/>
        </w:rPr>
        <w:t xml:space="preserve">(document </w:t>
      </w:r>
      <w:r w:rsidR="00CA6820" w:rsidRPr="00A4333E">
        <w:rPr>
          <w:rFonts w:asciiTheme="minorHAnsi" w:eastAsia="Batang" w:hAnsiTheme="minorHAnsi"/>
          <w:color w:val="000000"/>
          <w:lang w:val="fr-FR" w:eastAsia="ko-KR"/>
        </w:rPr>
        <w:t xml:space="preserve">COP14 </w:t>
      </w:r>
      <w:r w:rsidR="00E74C69" w:rsidRPr="00A4333E">
        <w:rPr>
          <w:rFonts w:asciiTheme="minorHAnsi" w:eastAsia="Batang" w:hAnsiTheme="minorHAnsi"/>
          <w:color w:val="000000"/>
          <w:lang w:val="fr-FR" w:eastAsia="ko-KR"/>
        </w:rPr>
        <w:t>Doc.18.</w:t>
      </w:r>
      <w:r w:rsidR="00CA6820" w:rsidRPr="00A4333E">
        <w:rPr>
          <w:rFonts w:asciiTheme="minorHAnsi" w:eastAsia="Batang" w:hAnsiTheme="minorHAnsi"/>
          <w:color w:val="000000"/>
          <w:lang w:val="fr-FR" w:eastAsia="ko-KR"/>
        </w:rPr>
        <w:t>1</w:t>
      </w:r>
      <w:r w:rsidR="000F76F7" w:rsidRPr="00A4333E">
        <w:rPr>
          <w:rStyle w:val="FootnoteReference"/>
          <w:rFonts w:asciiTheme="minorHAnsi" w:eastAsia="Batang" w:hAnsiTheme="minorHAnsi"/>
          <w:color w:val="000000"/>
          <w:lang w:val="fr-FR" w:eastAsia="ko-KR"/>
        </w:rPr>
        <w:footnoteReference w:id="1"/>
      </w:r>
      <w:r w:rsidR="008D2383" w:rsidRPr="00A4333E">
        <w:rPr>
          <w:rFonts w:asciiTheme="minorHAnsi" w:eastAsia="Batang" w:hAnsiTheme="minorHAnsi"/>
          <w:color w:val="000000"/>
          <w:lang w:val="fr-FR" w:eastAsia="ko-KR"/>
        </w:rPr>
        <w:t>)</w:t>
      </w:r>
      <w:r w:rsidR="00E74C69" w:rsidRPr="00A4333E">
        <w:rPr>
          <w:rFonts w:asciiTheme="minorHAnsi" w:eastAsia="Batang" w:hAnsiTheme="minorHAnsi"/>
          <w:color w:val="000000"/>
          <w:lang w:val="fr-FR" w:eastAsia="ko-KR"/>
        </w:rPr>
        <w:t>,</w:t>
      </w:r>
      <w:r w:rsidR="00515A18" w:rsidRPr="00A4333E">
        <w:rPr>
          <w:rFonts w:asciiTheme="minorHAnsi" w:eastAsia="Batang" w:hAnsiTheme="minorHAnsi"/>
          <w:color w:val="000000"/>
          <w:lang w:val="fr-FR" w:eastAsia="ko-KR"/>
        </w:rPr>
        <w:t xml:space="preserve"> </w:t>
      </w:r>
      <w:r w:rsidR="00DD6839" w:rsidRPr="00A4333E">
        <w:rPr>
          <w:rFonts w:asciiTheme="minorHAnsi" w:eastAsia="Batang" w:hAnsiTheme="minorHAnsi"/>
          <w:color w:val="000000"/>
          <w:lang w:val="fr-FR" w:eastAsia="ko-KR"/>
        </w:rPr>
        <w:t xml:space="preserve">et ses </w:t>
      </w:r>
      <w:r w:rsidR="00E74C69" w:rsidRPr="00A4333E">
        <w:rPr>
          <w:lang w:val="fr-FR"/>
        </w:rPr>
        <w:t>Annex</w:t>
      </w:r>
      <w:r w:rsidR="00CA6820" w:rsidRPr="00A4333E">
        <w:rPr>
          <w:lang w:val="fr-FR"/>
        </w:rPr>
        <w:t>es</w:t>
      </w:r>
      <w:r w:rsidR="001E11E9" w:rsidRPr="00A4333E">
        <w:rPr>
          <w:lang w:val="fr-FR"/>
        </w:rPr>
        <w:t xml:space="preserve"> </w:t>
      </w:r>
      <w:r w:rsidR="00E74C69" w:rsidRPr="00A4333E">
        <w:rPr>
          <w:lang w:val="fr-FR"/>
        </w:rPr>
        <w:t>1</w:t>
      </w:r>
      <w:r w:rsidR="00CA6820" w:rsidRPr="00A4333E">
        <w:rPr>
          <w:lang w:val="fr-FR"/>
        </w:rPr>
        <w:t>-</w:t>
      </w:r>
      <w:r w:rsidR="00FB2AB2" w:rsidRPr="00A4333E">
        <w:rPr>
          <w:lang w:val="fr-FR"/>
        </w:rPr>
        <w:t>3 (</w:t>
      </w:r>
      <w:r w:rsidR="00DD6839" w:rsidRPr="00A4333E">
        <w:rPr>
          <w:lang w:val="fr-FR"/>
        </w:rPr>
        <w:t>l’</w:t>
      </w:r>
      <w:r w:rsidR="00FB2AB2" w:rsidRPr="00A4333E">
        <w:rPr>
          <w:lang w:val="fr-FR"/>
        </w:rPr>
        <w:t>Annex</w:t>
      </w:r>
      <w:r w:rsidR="00DD6839" w:rsidRPr="00A4333E">
        <w:rPr>
          <w:lang w:val="fr-FR"/>
        </w:rPr>
        <w:t>e</w:t>
      </w:r>
      <w:r w:rsidR="00FB2AB2" w:rsidRPr="00A4333E">
        <w:rPr>
          <w:lang w:val="fr-FR"/>
        </w:rPr>
        <w:t xml:space="preserve"> 4 </w:t>
      </w:r>
      <w:r w:rsidR="00932BB4" w:rsidRPr="00A4333E">
        <w:rPr>
          <w:lang w:val="fr-FR"/>
        </w:rPr>
        <w:t>s</w:t>
      </w:r>
      <w:r w:rsidR="00FC7AC3" w:rsidRPr="00A4333E">
        <w:rPr>
          <w:lang w:val="fr-FR"/>
        </w:rPr>
        <w:t>era</w:t>
      </w:r>
      <w:r w:rsidR="00FB2AB2" w:rsidRPr="00A4333E">
        <w:rPr>
          <w:lang w:val="fr-FR"/>
        </w:rPr>
        <w:t xml:space="preserve"> finali</w:t>
      </w:r>
      <w:r w:rsidR="00FC7AC3" w:rsidRPr="00A4333E">
        <w:rPr>
          <w:lang w:val="fr-FR"/>
        </w:rPr>
        <w:t xml:space="preserve">sée lors de la </w:t>
      </w:r>
      <w:r w:rsidR="00FB2AB2" w:rsidRPr="00A4333E">
        <w:rPr>
          <w:lang w:val="fr-FR"/>
        </w:rPr>
        <w:t>COP14</w:t>
      </w:r>
      <w:r w:rsidR="008D2383" w:rsidRPr="00A4333E">
        <w:rPr>
          <w:lang w:val="fr-FR"/>
        </w:rPr>
        <w:t>)</w:t>
      </w:r>
      <w:r w:rsidR="00FC7AC3" w:rsidRPr="00A4333E">
        <w:rPr>
          <w:lang w:val="fr-FR"/>
        </w:rPr>
        <w:t xml:space="preserve"> </w:t>
      </w:r>
      <w:r w:rsidR="008D2383" w:rsidRPr="00A4333E">
        <w:rPr>
          <w:rFonts w:asciiTheme="minorHAnsi" w:eastAsia="Batang" w:hAnsiTheme="minorHAnsi"/>
          <w:color w:val="000000"/>
          <w:lang w:val="fr-FR" w:eastAsia="ko-KR"/>
        </w:rPr>
        <w:t xml:space="preserve">; </w:t>
      </w:r>
      <w:r w:rsidR="00FC7AC3" w:rsidRPr="00A4333E">
        <w:rPr>
          <w:rFonts w:asciiTheme="minorHAnsi" w:eastAsia="Batang" w:hAnsiTheme="minorHAnsi"/>
          <w:color w:val="000000"/>
          <w:lang w:val="fr-FR" w:eastAsia="ko-KR"/>
        </w:rPr>
        <w:t>et</w:t>
      </w:r>
      <w:r w:rsidR="00E74C69" w:rsidRPr="00A4333E">
        <w:rPr>
          <w:rFonts w:asciiTheme="minorHAnsi" w:eastAsia="Batang" w:hAnsiTheme="minorHAnsi"/>
          <w:color w:val="000000"/>
          <w:lang w:val="fr-FR" w:eastAsia="ko-KR"/>
        </w:rPr>
        <w:t xml:space="preserve"> </w:t>
      </w:r>
    </w:p>
    <w:p w14:paraId="438E0A9D" w14:textId="6155A456" w:rsidR="00E74C69" w:rsidRPr="00A4333E" w:rsidRDefault="00B8572A" w:rsidP="00B8572A">
      <w:pPr>
        <w:ind w:left="850"/>
        <w:rPr>
          <w:rFonts w:asciiTheme="minorHAnsi" w:eastAsia="Batang" w:hAnsiTheme="minorHAnsi"/>
          <w:color w:val="000000"/>
          <w:lang w:val="fr-FR" w:eastAsia="ko-KR"/>
        </w:rPr>
      </w:pPr>
      <w:r w:rsidRPr="00A4333E">
        <w:rPr>
          <w:rFonts w:asciiTheme="minorHAnsi" w:eastAsia="Batang" w:hAnsiTheme="minorHAnsi"/>
          <w:color w:val="000000"/>
          <w:lang w:val="fr-FR" w:eastAsia="ko-KR"/>
        </w:rPr>
        <w:t>c</w:t>
      </w:r>
      <w:r w:rsidR="003231A5" w:rsidRPr="00A4333E">
        <w:rPr>
          <w:rFonts w:asciiTheme="minorHAnsi" w:eastAsia="Batang" w:hAnsiTheme="minorHAnsi"/>
          <w:color w:val="000000"/>
          <w:lang w:val="fr-FR" w:eastAsia="ko-KR"/>
        </w:rPr>
        <w:t xml:space="preserve">. </w:t>
      </w:r>
      <w:r w:rsidRPr="00A4333E">
        <w:rPr>
          <w:rFonts w:asciiTheme="minorHAnsi" w:eastAsia="Batang" w:hAnsiTheme="minorHAnsi"/>
          <w:color w:val="000000"/>
          <w:lang w:val="fr-FR" w:eastAsia="ko-KR"/>
        </w:rPr>
        <w:tab/>
      </w:r>
      <w:r w:rsidR="00FC7AC3" w:rsidRPr="00A4333E">
        <w:rPr>
          <w:rFonts w:asciiTheme="minorHAnsi" w:eastAsia="Batang" w:hAnsiTheme="minorHAnsi"/>
          <w:color w:val="000000"/>
          <w:lang w:val="fr-FR" w:eastAsia="ko-KR"/>
        </w:rPr>
        <w:t>examen de l'état des contributions des Parties contractantes</w:t>
      </w:r>
      <w:r w:rsidR="00E74C69" w:rsidRPr="00A4333E">
        <w:rPr>
          <w:rFonts w:asciiTheme="minorHAnsi" w:hAnsiTheme="minorHAnsi"/>
          <w:lang w:val="fr-FR"/>
        </w:rPr>
        <w:t>.</w:t>
      </w:r>
    </w:p>
    <w:p w14:paraId="67EFFEFD" w14:textId="77777777" w:rsidR="00E74C69" w:rsidRPr="00A4333E" w:rsidRDefault="00E74C69" w:rsidP="00327DFA">
      <w:pPr>
        <w:pStyle w:val="ListParagraph"/>
        <w:ind w:left="425"/>
        <w:rPr>
          <w:rFonts w:asciiTheme="minorHAnsi" w:eastAsia="Batang" w:hAnsiTheme="minorHAnsi"/>
          <w:color w:val="000000"/>
          <w:lang w:val="fr-FR" w:eastAsia="ko-KR"/>
        </w:rPr>
      </w:pPr>
    </w:p>
    <w:p w14:paraId="31E8213B" w14:textId="5E0EF74B" w:rsidR="004639AC" w:rsidRPr="00A4333E" w:rsidRDefault="00327DFA" w:rsidP="00327DFA">
      <w:pPr>
        <w:rPr>
          <w:rFonts w:asciiTheme="minorHAnsi" w:eastAsia="Batang" w:hAnsiTheme="minorHAnsi"/>
          <w:color w:val="000000"/>
          <w:lang w:val="fr-FR" w:eastAsia="ko-KR"/>
        </w:rPr>
      </w:pPr>
      <w:r w:rsidRPr="00A4333E">
        <w:rPr>
          <w:rFonts w:asciiTheme="minorHAnsi" w:eastAsia="Batang" w:hAnsiTheme="minorHAnsi"/>
          <w:color w:val="000000"/>
          <w:lang w:val="fr-FR" w:eastAsia="ko-KR"/>
        </w:rPr>
        <w:t>3.</w:t>
      </w:r>
      <w:r w:rsidRPr="00A4333E">
        <w:rPr>
          <w:rFonts w:asciiTheme="minorHAnsi" w:eastAsia="Batang" w:hAnsiTheme="minorHAnsi"/>
          <w:color w:val="000000"/>
          <w:lang w:val="fr-FR" w:eastAsia="ko-KR"/>
        </w:rPr>
        <w:tab/>
      </w:r>
      <w:r w:rsidR="00CA5A21">
        <w:rPr>
          <w:rFonts w:asciiTheme="minorHAnsi" w:eastAsia="Batang" w:hAnsiTheme="minorHAnsi"/>
          <w:color w:val="000000"/>
          <w:lang w:val="fr-FR" w:eastAsia="ko-KR"/>
        </w:rPr>
        <w:t>Le présent</w:t>
      </w:r>
      <w:r w:rsidR="00717A1B" w:rsidRPr="00A4333E">
        <w:rPr>
          <w:rFonts w:asciiTheme="minorHAnsi" w:eastAsia="Batang" w:hAnsiTheme="minorHAnsi"/>
          <w:color w:val="000000"/>
          <w:lang w:val="fr-FR" w:eastAsia="ko-KR"/>
        </w:rPr>
        <w:t xml:space="preserve"> document fournit des informations générales sur le budget administratif pour 2023-2025 proposé lors de la </w:t>
      </w:r>
      <w:r w:rsidR="00717A1B" w:rsidRPr="00A4333E">
        <w:rPr>
          <w:rFonts w:asciiTheme="minorHAnsi" w:hAnsiTheme="minorHAnsi"/>
          <w:bCs/>
          <w:lang w:val="fr-FR"/>
        </w:rPr>
        <w:t>59e Réunion</w:t>
      </w:r>
      <w:r w:rsidR="00717A1B" w:rsidRPr="00A4333E">
        <w:rPr>
          <w:rFonts w:asciiTheme="minorHAnsi" w:hAnsiTheme="minorHAnsi"/>
          <w:color w:val="000000"/>
          <w:lang w:val="fr-FR"/>
        </w:rPr>
        <w:t xml:space="preserve"> </w:t>
      </w:r>
      <w:r w:rsidR="00717A1B" w:rsidRPr="00A4333E">
        <w:rPr>
          <w:rFonts w:asciiTheme="minorHAnsi" w:eastAsia="Batang" w:hAnsiTheme="minorHAnsi"/>
          <w:color w:val="000000"/>
          <w:lang w:val="fr-FR" w:eastAsia="ko-KR"/>
        </w:rPr>
        <w:t>du Comité permanent (SC59/2022) pour examen et approbation par la COP14</w:t>
      </w:r>
      <w:r w:rsidR="00CA5A21">
        <w:rPr>
          <w:rFonts w:asciiTheme="minorHAnsi" w:eastAsia="Batang" w:hAnsiTheme="minorHAnsi"/>
          <w:color w:val="000000"/>
          <w:lang w:val="fr-FR" w:eastAsia="ko-KR"/>
        </w:rPr>
        <w:t xml:space="preserve"> ; </w:t>
      </w:r>
      <w:r w:rsidR="00717A1B" w:rsidRPr="00A4333E">
        <w:rPr>
          <w:rFonts w:asciiTheme="minorHAnsi" w:eastAsia="Batang" w:hAnsiTheme="minorHAnsi"/>
          <w:color w:val="000000"/>
          <w:lang w:val="fr-FR" w:eastAsia="ko-KR"/>
        </w:rPr>
        <w:t xml:space="preserve">il présente également les commentaires du Secrétariat de la Convention, notamment sur les </w:t>
      </w:r>
      <w:r w:rsidR="00CA5A21">
        <w:rPr>
          <w:rFonts w:asciiTheme="minorHAnsi" w:eastAsia="Batang" w:hAnsiTheme="minorHAnsi"/>
          <w:color w:val="000000"/>
          <w:lang w:val="fr-FR" w:eastAsia="ko-KR"/>
        </w:rPr>
        <w:t>déficits</w:t>
      </w:r>
      <w:r w:rsidR="00717A1B" w:rsidRPr="00A4333E">
        <w:rPr>
          <w:rFonts w:asciiTheme="minorHAnsi" w:eastAsia="Batang" w:hAnsiTheme="minorHAnsi"/>
          <w:color w:val="000000"/>
          <w:lang w:val="fr-FR" w:eastAsia="ko-KR"/>
        </w:rPr>
        <w:t xml:space="preserve"> po</w:t>
      </w:r>
      <w:r w:rsidR="00846F8F" w:rsidRPr="00A4333E">
        <w:rPr>
          <w:rFonts w:asciiTheme="minorHAnsi" w:eastAsia="Batang" w:hAnsiTheme="minorHAnsi"/>
          <w:color w:val="000000"/>
          <w:lang w:val="fr-FR" w:eastAsia="ko-KR"/>
        </w:rPr>
        <w:t xml:space="preserve">ssibles du </w:t>
      </w:r>
      <w:r w:rsidR="00717A1B" w:rsidRPr="00A4333E">
        <w:rPr>
          <w:rFonts w:asciiTheme="minorHAnsi" w:eastAsia="Batang" w:hAnsiTheme="minorHAnsi"/>
          <w:color w:val="000000"/>
          <w:lang w:val="fr-FR" w:eastAsia="ko-KR"/>
        </w:rPr>
        <w:t xml:space="preserve">budget administratif proposé pour 2023-2025. Le document </w:t>
      </w:r>
      <w:r w:rsidR="00846F8F" w:rsidRPr="00A4333E">
        <w:rPr>
          <w:rFonts w:asciiTheme="minorHAnsi" w:eastAsia="Batang" w:hAnsiTheme="minorHAnsi"/>
          <w:color w:val="000000"/>
          <w:lang w:val="fr-FR" w:eastAsia="ko-KR"/>
        </w:rPr>
        <w:t>a donc pour but d’</w:t>
      </w:r>
      <w:r w:rsidR="00717A1B" w:rsidRPr="00A4333E">
        <w:rPr>
          <w:rFonts w:asciiTheme="minorHAnsi" w:eastAsia="Batang" w:hAnsiTheme="minorHAnsi"/>
          <w:color w:val="000000"/>
          <w:lang w:val="fr-FR" w:eastAsia="ko-KR"/>
        </w:rPr>
        <w:t xml:space="preserve">aider les Parties contractantes </w:t>
      </w:r>
      <w:r w:rsidR="00846F8F" w:rsidRPr="00A4333E">
        <w:rPr>
          <w:rFonts w:asciiTheme="minorHAnsi" w:eastAsia="Batang" w:hAnsiTheme="minorHAnsi"/>
          <w:color w:val="000000"/>
          <w:lang w:val="fr-FR" w:eastAsia="ko-KR"/>
        </w:rPr>
        <w:t xml:space="preserve">lors de leur </w:t>
      </w:r>
      <w:r w:rsidR="00717A1B" w:rsidRPr="00A4333E">
        <w:rPr>
          <w:rFonts w:asciiTheme="minorHAnsi" w:eastAsia="Batang" w:hAnsiTheme="minorHAnsi"/>
          <w:color w:val="000000"/>
          <w:lang w:val="fr-FR" w:eastAsia="ko-KR"/>
        </w:rPr>
        <w:t>exam</w:t>
      </w:r>
      <w:r w:rsidR="00846F8F" w:rsidRPr="00A4333E">
        <w:rPr>
          <w:rFonts w:asciiTheme="minorHAnsi" w:eastAsia="Batang" w:hAnsiTheme="minorHAnsi"/>
          <w:color w:val="000000"/>
          <w:lang w:val="fr-FR" w:eastAsia="ko-KR"/>
        </w:rPr>
        <w:t>en du</w:t>
      </w:r>
      <w:r w:rsidR="00717A1B" w:rsidRPr="00A4333E">
        <w:rPr>
          <w:rFonts w:asciiTheme="minorHAnsi" w:eastAsia="Batang" w:hAnsiTheme="minorHAnsi"/>
          <w:color w:val="000000"/>
          <w:lang w:val="fr-FR" w:eastAsia="ko-KR"/>
        </w:rPr>
        <w:t xml:space="preserve"> projet de résolution sur les questions financières</w:t>
      </w:r>
      <w:r w:rsidR="00846F8F" w:rsidRPr="00A4333E">
        <w:rPr>
          <w:rFonts w:asciiTheme="minorHAnsi" w:eastAsia="Batang" w:hAnsiTheme="minorHAnsi"/>
          <w:color w:val="000000"/>
          <w:lang w:val="fr-FR" w:eastAsia="ko-KR"/>
        </w:rPr>
        <w:t>.</w:t>
      </w:r>
      <w:r w:rsidR="004639AC" w:rsidRPr="00A4333E">
        <w:rPr>
          <w:rFonts w:asciiTheme="minorHAnsi" w:eastAsia="Batang" w:hAnsiTheme="minorHAnsi"/>
          <w:color w:val="000000"/>
          <w:lang w:val="fr-FR" w:eastAsia="ko-KR"/>
        </w:rPr>
        <w:t xml:space="preserve"> </w:t>
      </w:r>
    </w:p>
    <w:p w14:paraId="6B3A5BA1" w14:textId="77777777" w:rsidR="00853A95" w:rsidRPr="00A4333E" w:rsidRDefault="00853A95" w:rsidP="00327DFA">
      <w:pPr>
        <w:pStyle w:val="ListParagraph"/>
        <w:ind w:left="425"/>
        <w:rPr>
          <w:rFonts w:asciiTheme="minorHAnsi" w:hAnsiTheme="minorHAnsi"/>
          <w:lang w:val="fr-FR"/>
        </w:rPr>
      </w:pPr>
    </w:p>
    <w:p w14:paraId="07C6C57B" w14:textId="36411D0F" w:rsidR="00853A95" w:rsidRPr="00A4333E" w:rsidRDefault="00327DFA" w:rsidP="00A80C35">
      <w:pPr>
        <w:tabs>
          <w:tab w:val="left" w:pos="425"/>
          <w:tab w:val="left" w:pos="851"/>
        </w:tabs>
        <w:ind w:left="851" w:hanging="851"/>
        <w:rPr>
          <w:rFonts w:asciiTheme="minorHAnsi" w:hAnsiTheme="minorHAnsi"/>
          <w:lang w:val="fr-FR"/>
        </w:rPr>
      </w:pPr>
      <w:r w:rsidRPr="00A4333E">
        <w:rPr>
          <w:rFonts w:asciiTheme="minorHAnsi" w:eastAsiaTheme="minorHAnsi" w:hAnsiTheme="minorHAnsi" w:cs="Arial"/>
          <w:lang w:val="fr-FR"/>
        </w:rPr>
        <w:t>4</w:t>
      </w:r>
      <w:r w:rsidRPr="00A4333E">
        <w:rPr>
          <w:rFonts w:asciiTheme="minorHAnsi" w:hAnsiTheme="minorHAnsi"/>
          <w:lang w:val="fr-FR"/>
        </w:rPr>
        <w:t>.</w:t>
      </w:r>
      <w:r w:rsidRPr="00A4333E">
        <w:rPr>
          <w:rFonts w:asciiTheme="minorHAnsi" w:hAnsiTheme="minorHAnsi"/>
          <w:lang w:val="fr-FR"/>
        </w:rPr>
        <w:tab/>
      </w:r>
      <w:r w:rsidR="00846F8F" w:rsidRPr="00A4333E">
        <w:rPr>
          <w:rFonts w:asciiTheme="minorHAnsi" w:hAnsiTheme="minorHAnsi"/>
          <w:lang w:val="fr-FR"/>
        </w:rPr>
        <w:t>Le pr</w:t>
      </w:r>
      <w:r w:rsidR="000B4073" w:rsidRPr="00A4333E">
        <w:rPr>
          <w:rFonts w:asciiTheme="minorHAnsi" w:hAnsiTheme="minorHAnsi"/>
          <w:lang w:val="fr-FR"/>
        </w:rPr>
        <w:t>é</w:t>
      </w:r>
      <w:r w:rsidR="00846F8F" w:rsidRPr="00A4333E">
        <w:rPr>
          <w:rFonts w:asciiTheme="minorHAnsi" w:hAnsiTheme="minorHAnsi"/>
          <w:lang w:val="fr-FR"/>
        </w:rPr>
        <w:t>sent</w:t>
      </w:r>
      <w:r w:rsidR="00853A95" w:rsidRPr="00A4333E">
        <w:rPr>
          <w:rFonts w:asciiTheme="minorHAnsi" w:hAnsiTheme="minorHAnsi"/>
          <w:lang w:val="fr-FR"/>
        </w:rPr>
        <w:t xml:space="preserve"> document </w:t>
      </w:r>
      <w:r w:rsidR="00846F8F" w:rsidRPr="00A4333E">
        <w:rPr>
          <w:rFonts w:asciiTheme="minorHAnsi" w:hAnsiTheme="minorHAnsi"/>
          <w:lang w:val="fr-FR"/>
        </w:rPr>
        <w:t xml:space="preserve">comprend les </w:t>
      </w:r>
      <w:r w:rsidR="00CA5A21">
        <w:rPr>
          <w:rFonts w:asciiTheme="minorHAnsi" w:hAnsiTheme="minorHAnsi"/>
          <w:lang w:val="fr-FR"/>
        </w:rPr>
        <w:t>a</w:t>
      </w:r>
      <w:r w:rsidR="00853A95" w:rsidRPr="00A4333E">
        <w:rPr>
          <w:rFonts w:asciiTheme="minorHAnsi" w:hAnsiTheme="minorHAnsi"/>
          <w:lang w:val="fr-FR"/>
        </w:rPr>
        <w:t>nnexes</w:t>
      </w:r>
      <w:r w:rsidR="00846F8F" w:rsidRPr="00A4333E">
        <w:rPr>
          <w:rFonts w:asciiTheme="minorHAnsi" w:hAnsiTheme="minorHAnsi"/>
          <w:lang w:val="fr-FR"/>
        </w:rPr>
        <w:t xml:space="preserve"> suivantes </w:t>
      </w:r>
      <w:r w:rsidR="00853A95" w:rsidRPr="00A4333E">
        <w:rPr>
          <w:rFonts w:asciiTheme="minorHAnsi" w:hAnsiTheme="minorHAnsi"/>
          <w:lang w:val="fr-FR"/>
        </w:rPr>
        <w:t>:</w:t>
      </w:r>
    </w:p>
    <w:p w14:paraId="76858C84" w14:textId="6C75C24D" w:rsidR="00A358D4" w:rsidRPr="00A4333E" w:rsidRDefault="00853A95" w:rsidP="00A80C35">
      <w:pPr>
        <w:tabs>
          <w:tab w:val="left" w:pos="425"/>
          <w:tab w:val="left" w:pos="851"/>
        </w:tabs>
        <w:ind w:left="851" w:hanging="851"/>
        <w:rPr>
          <w:rFonts w:asciiTheme="minorHAnsi" w:hAnsiTheme="minorHAnsi"/>
          <w:lang w:val="fr-FR"/>
        </w:rPr>
      </w:pPr>
      <w:r w:rsidRPr="00A4333E">
        <w:rPr>
          <w:rFonts w:asciiTheme="minorHAnsi" w:hAnsiTheme="minorHAnsi"/>
          <w:lang w:val="fr-FR"/>
        </w:rPr>
        <w:tab/>
      </w:r>
      <w:r w:rsidR="00A358D4" w:rsidRPr="00A4333E">
        <w:rPr>
          <w:rFonts w:asciiTheme="minorHAnsi" w:hAnsiTheme="minorHAnsi"/>
          <w:lang w:val="fr-FR"/>
        </w:rPr>
        <w:t>a</w:t>
      </w:r>
      <w:r w:rsidR="003231A5" w:rsidRPr="00A4333E">
        <w:rPr>
          <w:rFonts w:asciiTheme="minorHAnsi" w:hAnsiTheme="minorHAnsi"/>
          <w:lang w:val="fr-FR"/>
        </w:rPr>
        <w:t>.</w:t>
      </w:r>
      <w:r w:rsidR="00A80C35" w:rsidRPr="00A4333E">
        <w:rPr>
          <w:rFonts w:asciiTheme="minorHAnsi" w:hAnsiTheme="minorHAnsi"/>
          <w:lang w:val="fr-FR"/>
        </w:rPr>
        <w:tab/>
      </w:r>
      <w:r w:rsidR="00846F8F" w:rsidRPr="00A4333E">
        <w:rPr>
          <w:rFonts w:asciiTheme="minorHAnsi" w:hAnsiTheme="minorHAnsi"/>
          <w:lang w:val="fr-FR"/>
        </w:rPr>
        <w:t>l’</w:t>
      </w:r>
      <w:r w:rsidR="00754ED9" w:rsidRPr="00A4333E">
        <w:rPr>
          <w:rFonts w:asciiTheme="minorHAnsi" w:eastAsia="Batang" w:hAnsiTheme="minorHAnsi"/>
          <w:color w:val="000000"/>
          <w:lang w:val="fr-FR" w:eastAsia="ko-KR"/>
        </w:rPr>
        <w:t>Annex</w:t>
      </w:r>
      <w:r w:rsidR="00846F8F" w:rsidRPr="00A4333E">
        <w:rPr>
          <w:rFonts w:asciiTheme="minorHAnsi" w:eastAsia="Batang" w:hAnsiTheme="minorHAnsi"/>
          <w:color w:val="000000"/>
          <w:lang w:val="fr-FR" w:eastAsia="ko-KR"/>
        </w:rPr>
        <w:t>e</w:t>
      </w:r>
      <w:r w:rsidR="00754ED9" w:rsidRPr="00A4333E">
        <w:rPr>
          <w:rFonts w:asciiTheme="minorHAnsi" w:hAnsiTheme="minorHAnsi"/>
          <w:lang w:val="fr-FR"/>
        </w:rPr>
        <w:t xml:space="preserve"> 1 </w:t>
      </w:r>
      <w:r w:rsidR="00846F8F" w:rsidRPr="00A4333E">
        <w:rPr>
          <w:rFonts w:asciiTheme="minorHAnsi" w:hAnsiTheme="minorHAnsi"/>
          <w:lang w:val="fr-FR"/>
        </w:rPr>
        <w:t xml:space="preserve">donne </w:t>
      </w:r>
      <w:r w:rsidR="000B4073" w:rsidRPr="00A4333E">
        <w:rPr>
          <w:rFonts w:asciiTheme="minorHAnsi" w:hAnsiTheme="minorHAnsi"/>
          <w:lang w:val="fr-FR"/>
        </w:rPr>
        <w:t>un aperçu de l'exécution du budget au cours de la période triennale 2019-2021 et en 2022.</w:t>
      </w:r>
      <w:r w:rsidR="00754ED9" w:rsidRPr="00A4333E">
        <w:rPr>
          <w:rFonts w:asciiTheme="minorHAnsi" w:hAnsiTheme="minorHAnsi"/>
          <w:lang w:val="fr-FR"/>
        </w:rPr>
        <w:t xml:space="preserve"> </w:t>
      </w:r>
    </w:p>
    <w:p w14:paraId="2CD6A2CE" w14:textId="779CB59D" w:rsidR="00A358D4" w:rsidRPr="00A4333E" w:rsidRDefault="00A358D4" w:rsidP="00A358D4">
      <w:pPr>
        <w:ind w:left="850"/>
        <w:rPr>
          <w:rFonts w:asciiTheme="minorHAnsi" w:hAnsiTheme="minorHAnsi"/>
          <w:lang w:val="fr-FR"/>
        </w:rPr>
      </w:pPr>
      <w:r w:rsidRPr="00A4333E">
        <w:rPr>
          <w:rFonts w:asciiTheme="minorHAnsi" w:hAnsiTheme="minorHAnsi"/>
          <w:lang w:val="fr-FR"/>
        </w:rPr>
        <w:t>b</w:t>
      </w:r>
      <w:r w:rsidR="003231A5" w:rsidRPr="00A4333E">
        <w:rPr>
          <w:rFonts w:asciiTheme="minorHAnsi" w:hAnsiTheme="minorHAnsi"/>
          <w:lang w:val="fr-FR"/>
        </w:rPr>
        <w:t>.</w:t>
      </w:r>
      <w:r w:rsidRPr="00A4333E">
        <w:rPr>
          <w:rFonts w:asciiTheme="minorHAnsi" w:hAnsiTheme="minorHAnsi"/>
          <w:lang w:val="fr-FR"/>
        </w:rPr>
        <w:tab/>
      </w:r>
      <w:r w:rsidR="000B4073" w:rsidRPr="00A4333E">
        <w:rPr>
          <w:rFonts w:asciiTheme="minorHAnsi" w:hAnsiTheme="minorHAnsi"/>
          <w:lang w:val="fr-FR"/>
        </w:rPr>
        <w:t>l’</w:t>
      </w:r>
      <w:r w:rsidR="002D300B" w:rsidRPr="00A4333E">
        <w:rPr>
          <w:rFonts w:asciiTheme="minorHAnsi" w:hAnsiTheme="minorHAnsi"/>
          <w:lang w:val="fr-FR"/>
        </w:rPr>
        <w:t>Annex</w:t>
      </w:r>
      <w:r w:rsidR="000B4073" w:rsidRPr="00A4333E">
        <w:rPr>
          <w:rFonts w:asciiTheme="minorHAnsi" w:hAnsiTheme="minorHAnsi"/>
          <w:lang w:val="fr-FR"/>
        </w:rPr>
        <w:t>e</w:t>
      </w:r>
      <w:r w:rsidR="002D300B" w:rsidRPr="00A4333E">
        <w:rPr>
          <w:rFonts w:asciiTheme="minorHAnsi" w:hAnsiTheme="minorHAnsi"/>
          <w:lang w:val="fr-FR"/>
        </w:rPr>
        <w:t xml:space="preserve"> </w:t>
      </w:r>
      <w:r w:rsidR="00754ED9" w:rsidRPr="00A4333E">
        <w:rPr>
          <w:rFonts w:asciiTheme="minorHAnsi" w:hAnsiTheme="minorHAnsi"/>
          <w:lang w:val="fr-FR"/>
        </w:rPr>
        <w:t>2</w:t>
      </w:r>
      <w:r w:rsidR="002D300B" w:rsidRPr="00A4333E">
        <w:rPr>
          <w:rFonts w:asciiTheme="minorHAnsi" w:hAnsiTheme="minorHAnsi"/>
          <w:lang w:val="fr-FR"/>
        </w:rPr>
        <w:t xml:space="preserve"> </w:t>
      </w:r>
      <w:r w:rsidR="00144A8F" w:rsidRPr="00A4333E">
        <w:rPr>
          <w:rFonts w:asciiTheme="minorHAnsi" w:hAnsiTheme="minorHAnsi"/>
          <w:lang w:val="fr-FR"/>
        </w:rPr>
        <w:t xml:space="preserve">présente </w:t>
      </w:r>
      <w:r w:rsidR="002703CE" w:rsidRPr="00A4333E">
        <w:rPr>
          <w:rFonts w:asciiTheme="minorHAnsi" w:hAnsiTheme="minorHAnsi"/>
          <w:lang w:val="fr-FR"/>
        </w:rPr>
        <w:t xml:space="preserve">le budget administratif proposé pour 2023-2025, lequel figure également à l’Annexe 1 du document COP14 Doc.18.1, assorti ici d’une colonne supplémentaire pour le budget 2022 approuvé lors de la troisième Session extraordinaire de la Conférence des Parties contractantes (ExCOP3), les pourcentages des coûts </w:t>
      </w:r>
      <w:r w:rsidR="001A48B1" w:rsidRPr="00A4333E">
        <w:rPr>
          <w:rFonts w:asciiTheme="minorHAnsi" w:hAnsiTheme="minorHAnsi"/>
          <w:lang w:val="fr-FR"/>
        </w:rPr>
        <w:t>liés au</w:t>
      </w:r>
      <w:r w:rsidR="002703CE" w:rsidRPr="00A4333E">
        <w:rPr>
          <w:rFonts w:asciiTheme="minorHAnsi" w:hAnsiTheme="minorHAnsi"/>
          <w:lang w:val="fr-FR"/>
        </w:rPr>
        <w:t xml:space="preserve"> personnel et des frais de déplacement étant également ajoutés en bas du </w:t>
      </w:r>
      <w:r w:rsidR="00CA5A21">
        <w:rPr>
          <w:rFonts w:asciiTheme="minorHAnsi" w:hAnsiTheme="minorHAnsi"/>
          <w:lang w:val="fr-FR"/>
        </w:rPr>
        <w:t>document</w:t>
      </w:r>
      <w:r w:rsidR="00CA6305" w:rsidRPr="00A4333E">
        <w:rPr>
          <w:rFonts w:asciiTheme="minorHAnsi" w:hAnsiTheme="minorHAnsi"/>
          <w:lang w:val="fr-FR"/>
        </w:rPr>
        <w:t xml:space="preserve">. </w:t>
      </w:r>
    </w:p>
    <w:p w14:paraId="31FE3B1E" w14:textId="2F9EE237" w:rsidR="00A423BC" w:rsidRPr="00A4333E" w:rsidRDefault="00A358D4" w:rsidP="00A358D4">
      <w:pPr>
        <w:ind w:left="850"/>
        <w:rPr>
          <w:rFonts w:asciiTheme="minorHAnsi" w:hAnsiTheme="minorHAnsi"/>
          <w:lang w:val="fr-FR"/>
        </w:rPr>
      </w:pPr>
      <w:r w:rsidRPr="00A4333E">
        <w:rPr>
          <w:rFonts w:asciiTheme="minorHAnsi" w:hAnsiTheme="minorHAnsi"/>
          <w:lang w:val="fr-FR"/>
        </w:rPr>
        <w:lastRenderedPageBreak/>
        <w:t>c</w:t>
      </w:r>
      <w:r w:rsidR="003231A5" w:rsidRPr="00A4333E">
        <w:rPr>
          <w:rFonts w:asciiTheme="minorHAnsi" w:hAnsiTheme="minorHAnsi"/>
          <w:lang w:val="fr-FR"/>
        </w:rPr>
        <w:t>.</w:t>
      </w:r>
      <w:r w:rsidRPr="00A4333E">
        <w:rPr>
          <w:rFonts w:asciiTheme="minorHAnsi" w:hAnsiTheme="minorHAnsi"/>
          <w:lang w:val="fr-FR"/>
        </w:rPr>
        <w:tab/>
      </w:r>
      <w:r w:rsidR="001A48B1" w:rsidRPr="00A4333E">
        <w:rPr>
          <w:rFonts w:asciiTheme="minorHAnsi" w:hAnsiTheme="minorHAnsi"/>
          <w:lang w:val="fr-FR"/>
        </w:rPr>
        <w:t>l’</w:t>
      </w:r>
      <w:r w:rsidR="00754ED9" w:rsidRPr="00A4333E">
        <w:rPr>
          <w:rFonts w:asciiTheme="minorHAnsi" w:hAnsiTheme="minorHAnsi"/>
          <w:lang w:val="fr-FR"/>
        </w:rPr>
        <w:t>Annex</w:t>
      </w:r>
      <w:r w:rsidR="001A48B1" w:rsidRPr="00A4333E">
        <w:rPr>
          <w:rFonts w:asciiTheme="minorHAnsi" w:hAnsiTheme="minorHAnsi"/>
          <w:lang w:val="fr-FR"/>
        </w:rPr>
        <w:t>e</w:t>
      </w:r>
      <w:r w:rsidR="00754ED9" w:rsidRPr="00A4333E">
        <w:rPr>
          <w:rFonts w:asciiTheme="minorHAnsi" w:hAnsiTheme="minorHAnsi"/>
          <w:lang w:val="fr-FR"/>
        </w:rPr>
        <w:t xml:space="preserve"> 3 </w:t>
      </w:r>
      <w:r w:rsidR="001A48B1" w:rsidRPr="00A4333E">
        <w:rPr>
          <w:lang w:val="fr-FR"/>
        </w:rPr>
        <w:t>donne un aperçu de l'état des contributions des Parties contractantes (tel que publié précédemment en Annexe 1 du document</w:t>
      </w:r>
      <w:r w:rsidR="001A48B1" w:rsidRPr="00A4333E">
        <w:rPr>
          <w:rFonts w:asciiTheme="minorHAnsi" w:hAnsiTheme="minorHAnsi"/>
          <w:lang w:val="fr-FR"/>
        </w:rPr>
        <w:t xml:space="preserve"> </w:t>
      </w:r>
      <w:r w:rsidR="00FB2AB2" w:rsidRPr="00A4333E">
        <w:rPr>
          <w:rFonts w:asciiTheme="minorHAnsi" w:hAnsiTheme="minorHAnsi"/>
          <w:lang w:val="fr-FR"/>
        </w:rPr>
        <w:t>SC59/2022</w:t>
      </w:r>
      <w:r w:rsidR="003A7CE6" w:rsidRPr="00A4333E">
        <w:rPr>
          <w:rFonts w:asciiTheme="minorHAnsi" w:hAnsiTheme="minorHAnsi"/>
          <w:lang w:val="fr-FR"/>
        </w:rPr>
        <w:t xml:space="preserve"> Doc.8.2</w:t>
      </w:r>
      <w:r w:rsidR="000F76F7" w:rsidRPr="00A4333E">
        <w:rPr>
          <w:rStyle w:val="FootnoteReference"/>
          <w:rFonts w:asciiTheme="minorHAnsi" w:hAnsiTheme="minorHAnsi"/>
          <w:lang w:val="fr-FR"/>
        </w:rPr>
        <w:footnoteReference w:id="2"/>
      </w:r>
      <w:r w:rsidR="00DF6B3E" w:rsidRPr="00A4333E">
        <w:rPr>
          <w:rFonts w:asciiTheme="minorHAnsi" w:hAnsiTheme="minorHAnsi"/>
          <w:lang w:val="fr-FR"/>
        </w:rPr>
        <w:t>)</w:t>
      </w:r>
      <w:r w:rsidR="00754ED9" w:rsidRPr="00A4333E">
        <w:rPr>
          <w:rFonts w:asciiTheme="minorHAnsi" w:hAnsiTheme="minorHAnsi"/>
          <w:lang w:val="fr-FR"/>
        </w:rPr>
        <w:t xml:space="preserve">. </w:t>
      </w:r>
    </w:p>
    <w:p w14:paraId="3A41A244" w14:textId="77777777" w:rsidR="003F50B6" w:rsidRDefault="003F50B6" w:rsidP="00FC2EBB">
      <w:pPr>
        <w:ind w:firstLine="0"/>
        <w:rPr>
          <w:lang w:val="fr-FR"/>
        </w:rPr>
      </w:pPr>
    </w:p>
    <w:p w14:paraId="28CB3BF7" w14:textId="6FF58D7B" w:rsidR="00754ED9" w:rsidRPr="00A4333E" w:rsidRDefault="001A48B1" w:rsidP="00FC2EBB">
      <w:pPr>
        <w:ind w:firstLine="0"/>
        <w:rPr>
          <w:rFonts w:asciiTheme="minorHAnsi" w:eastAsia="Batang" w:hAnsiTheme="minorHAnsi"/>
          <w:color w:val="000000"/>
          <w:lang w:val="fr-FR" w:eastAsia="ko-KR"/>
        </w:rPr>
      </w:pPr>
      <w:r w:rsidRPr="00A4333E">
        <w:rPr>
          <w:lang w:val="fr-FR"/>
        </w:rPr>
        <w:t xml:space="preserve">Les détails des contributions estimées des Parties contractantes au budget administratif et de la dotation en personnel du Secrétariat pour la période triennale 2023-2025 figurent aux Annexes 2 et 3 du document COP14 Doc.18.1. Ils ne sont pas repris dans le présent document, afin d'éviter toute </w:t>
      </w:r>
      <w:r w:rsidR="00A80648">
        <w:rPr>
          <w:lang w:val="fr-FR"/>
        </w:rPr>
        <w:t>répétition</w:t>
      </w:r>
      <w:r w:rsidRPr="00A4333E">
        <w:rPr>
          <w:lang w:val="fr-FR"/>
        </w:rPr>
        <w:t>.</w:t>
      </w:r>
      <w:r w:rsidR="00FA6159" w:rsidRPr="00A4333E" w:rsidDel="00FA6159">
        <w:rPr>
          <w:rStyle w:val="CommentReference"/>
          <w:lang w:val="fr-FR"/>
        </w:rPr>
        <w:t xml:space="preserve"> </w:t>
      </w:r>
    </w:p>
    <w:p w14:paraId="17C8459B" w14:textId="77777777" w:rsidR="004639AC" w:rsidRPr="00A4333E" w:rsidRDefault="004639AC" w:rsidP="00FA6159">
      <w:pPr>
        <w:pStyle w:val="ListParagraph"/>
        <w:ind w:left="425"/>
        <w:rPr>
          <w:rFonts w:asciiTheme="minorHAnsi" w:eastAsia="Batang" w:hAnsiTheme="minorHAnsi"/>
          <w:color w:val="000000"/>
          <w:lang w:val="fr-FR" w:eastAsia="ko-KR"/>
        </w:rPr>
      </w:pPr>
    </w:p>
    <w:p w14:paraId="7922FABC" w14:textId="172BAAC4" w:rsidR="004639AC" w:rsidRPr="00A4333E" w:rsidRDefault="00327DFA" w:rsidP="006708E6">
      <w:pPr>
        <w:rPr>
          <w:rFonts w:asciiTheme="minorHAnsi" w:eastAsia="Batang" w:hAnsiTheme="minorHAnsi"/>
          <w:color w:val="000000"/>
          <w:lang w:val="fr-FR" w:eastAsia="ko-KR"/>
        </w:rPr>
      </w:pPr>
      <w:r w:rsidRPr="00A4333E">
        <w:rPr>
          <w:rFonts w:asciiTheme="minorHAnsi" w:eastAsia="Batang" w:hAnsiTheme="minorHAnsi"/>
          <w:color w:val="000000"/>
          <w:lang w:val="fr-FR" w:eastAsia="ko-KR"/>
        </w:rPr>
        <w:t>5.</w:t>
      </w:r>
      <w:r w:rsidRPr="00A4333E">
        <w:rPr>
          <w:rFonts w:asciiTheme="minorHAnsi" w:eastAsia="Batang" w:hAnsiTheme="minorHAnsi"/>
          <w:color w:val="000000"/>
          <w:lang w:val="fr-FR" w:eastAsia="ko-KR"/>
        </w:rPr>
        <w:tab/>
      </w:r>
      <w:r w:rsidR="000D30FC" w:rsidRPr="00A4333E">
        <w:rPr>
          <w:lang w:val="fr-FR"/>
        </w:rPr>
        <w:t xml:space="preserve">Comme les postes budgétaires non administratifs seront discutés et décidés sous d'autres points de l'ordre du jour de la COP14 (comme indiqué </w:t>
      </w:r>
      <w:r w:rsidR="006708E6" w:rsidRPr="00A4333E">
        <w:rPr>
          <w:lang w:val="fr-FR"/>
        </w:rPr>
        <w:t>à</w:t>
      </w:r>
      <w:r w:rsidR="000D30FC" w:rsidRPr="00A4333E">
        <w:rPr>
          <w:lang w:val="fr-FR"/>
        </w:rPr>
        <w:t xml:space="preserve"> l'Annexe 4 du document COP14 Doc.18.1), le présent document </w:t>
      </w:r>
      <w:r w:rsidR="006708E6" w:rsidRPr="00A4333E">
        <w:rPr>
          <w:lang w:val="fr-FR"/>
        </w:rPr>
        <w:t xml:space="preserve">porte </w:t>
      </w:r>
      <w:r w:rsidR="000D30FC" w:rsidRPr="00A4333E">
        <w:rPr>
          <w:lang w:val="fr-FR"/>
        </w:rPr>
        <w:t xml:space="preserve">uniquement sur le budget </w:t>
      </w:r>
      <w:r w:rsidR="006708E6" w:rsidRPr="00A4333E">
        <w:rPr>
          <w:lang w:val="fr-FR"/>
        </w:rPr>
        <w:t xml:space="preserve">administratif </w:t>
      </w:r>
      <w:r w:rsidR="000D30FC" w:rsidRPr="00A4333E">
        <w:rPr>
          <w:lang w:val="fr-FR"/>
        </w:rPr>
        <w:t xml:space="preserve">financé </w:t>
      </w:r>
      <w:r w:rsidR="006708E6" w:rsidRPr="00A4333E">
        <w:rPr>
          <w:lang w:val="fr-FR"/>
        </w:rPr>
        <w:t xml:space="preserve">grâce aux </w:t>
      </w:r>
      <w:r w:rsidR="000D30FC" w:rsidRPr="00A4333E">
        <w:rPr>
          <w:lang w:val="fr-FR"/>
        </w:rPr>
        <w:t xml:space="preserve">contributions des Parties contractantes. Afin de faciliter l'examen des domaines prioritaires </w:t>
      </w:r>
      <w:r w:rsidR="006708E6" w:rsidRPr="00A4333E">
        <w:rPr>
          <w:lang w:val="fr-FR"/>
        </w:rPr>
        <w:t>qui pourraient être financés par des postes budgétaires non administratifs</w:t>
      </w:r>
      <w:r w:rsidR="000D30FC" w:rsidRPr="00A4333E">
        <w:rPr>
          <w:lang w:val="fr-FR"/>
        </w:rPr>
        <w:t xml:space="preserve">, le Secrétariat </w:t>
      </w:r>
      <w:r w:rsidR="006708E6" w:rsidRPr="00A4333E">
        <w:rPr>
          <w:lang w:val="fr-FR"/>
        </w:rPr>
        <w:t xml:space="preserve">donnera </w:t>
      </w:r>
      <w:r w:rsidR="000D30FC" w:rsidRPr="00A4333E">
        <w:rPr>
          <w:lang w:val="fr-FR"/>
        </w:rPr>
        <w:t xml:space="preserve">quelques informations dans le </w:t>
      </w:r>
      <w:r w:rsidR="006708E6" w:rsidRPr="00A4333E">
        <w:rPr>
          <w:lang w:val="fr-FR"/>
        </w:rPr>
        <w:t xml:space="preserve">présent </w:t>
      </w:r>
      <w:r w:rsidR="000D30FC" w:rsidRPr="00A4333E">
        <w:rPr>
          <w:lang w:val="fr-FR"/>
        </w:rPr>
        <w:t>rapport sur les implications administratives et financières des projets de résolution</w:t>
      </w:r>
      <w:r w:rsidR="004639AC" w:rsidRPr="00A4333E">
        <w:rPr>
          <w:rFonts w:asciiTheme="minorHAnsi" w:eastAsia="Batang" w:hAnsiTheme="minorHAnsi"/>
          <w:bCs/>
          <w:lang w:val="fr-FR" w:eastAsia="ko-KR"/>
        </w:rPr>
        <w:t>.</w:t>
      </w:r>
    </w:p>
    <w:p w14:paraId="4DF9FDAD" w14:textId="77777777" w:rsidR="004639AC" w:rsidRPr="00A4333E" w:rsidRDefault="004639AC" w:rsidP="00BC3E79">
      <w:pPr>
        <w:ind w:left="360" w:firstLine="0"/>
        <w:rPr>
          <w:rFonts w:asciiTheme="minorHAnsi" w:eastAsia="Batang" w:hAnsiTheme="minorHAnsi"/>
          <w:color w:val="000000"/>
          <w:lang w:val="fr-FR" w:eastAsia="ko-KR"/>
        </w:rPr>
      </w:pPr>
    </w:p>
    <w:p w14:paraId="447B5294" w14:textId="31D1E0D4" w:rsidR="002D300B" w:rsidRPr="00A4333E" w:rsidRDefault="004A3825" w:rsidP="00327DFA">
      <w:pPr>
        <w:keepNext/>
        <w:rPr>
          <w:rFonts w:asciiTheme="minorHAnsi" w:eastAsia="Batang" w:hAnsiTheme="minorHAnsi"/>
          <w:bCs/>
          <w:u w:val="single"/>
          <w:lang w:val="fr-FR" w:eastAsia="ko-KR"/>
        </w:rPr>
      </w:pPr>
      <w:r w:rsidRPr="00A4333E">
        <w:rPr>
          <w:rFonts w:asciiTheme="minorHAnsi" w:eastAsia="Batang" w:hAnsiTheme="minorHAnsi"/>
          <w:bCs/>
          <w:u w:val="single"/>
          <w:lang w:val="fr-FR" w:eastAsia="ko-KR"/>
        </w:rPr>
        <w:t>Exécution du budget administrati</w:t>
      </w:r>
      <w:r w:rsidR="00222FB0" w:rsidRPr="00A4333E">
        <w:rPr>
          <w:rFonts w:asciiTheme="minorHAnsi" w:eastAsia="Batang" w:hAnsiTheme="minorHAnsi"/>
          <w:bCs/>
          <w:u w:val="single"/>
          <w:lang w:val="fr-FR" w:eastAsia="ko-KR"/>
        </w:rPr>
        <w:t>f pour la période</w:t>
      </w:r>
      <w:r w:rsidRPr="00A4333E">
        <w:rPr>
          <w:rFonts w:asciiTheme="minorHAnsi" w:eastAsia="Batang" w:hAnsiTheme="minorHAnsi"/>
          <w:bCs/>
          <w:u w:val="single"/>
          <w:lang w:val="fr-FR" w:eastAsia="ko-KR"/>
        </w:rPr>
        <w:t xml:space="preserve"> </w:t>
      </w:r>
      <w:r w:rsidR="00415B3D" w:rsidRPr="00A4333E">
        <w:rPr>
          <w:rFonts w:asciiTheme="minorHAnsi" w:eastAsia="Batang" w:hAnsiTheme="minorHAnsi"/>
          <w:bCs/>
          <w:u w:val="single"/>
          <w:lang w:val="fr-FR" w:eastAsia="ko-KR"/>
        </w:rPr>
        <w:t>2019</w:t>
      </w:r>
      <w:r w:rsidR="00F25929" w:rsidRPr="00A4333E">
        <w:rPr>
          <w:rFonts w:asciiTheme="minorHAnsi" w:eastAsia="Batang" w:hAnsiTheme="minorHAnsi"/>
          <w:bCs/>
          <w:u w:val="single"/>
          <w:lang w:val="fr-FR" w:eastAsia="ko-KR"/>
        </w:rPr>
        <w:t>-</w:t>
      </w:r>
      <w:r w:rsidR="00415B3D" w:rsidRPr="00A4333E">
        <w:rPr>
          <w:rFonts w:asciiTheme="minorHAnsi" w:eastAsia="Batang" w:hAnsiTheme="minorHAnsi"/>
          <w:bCs/>
          <w:u w:val="single"/>
          <w:lang w:val="fr-FR" w:eastAsia="ko-KR"/>
        </w:rPr>
        <w:t xml:space="preserve">2021 </w:t>
      </w:r>
      <w:r w:rsidRPr="00A4333E">
        <w:rPr>
          <w:rFonts w:asciiTheme="minorHAnsi" w:eastAsia="Batang" w:hAnsiTheme="minorHAnsi"/>
          <w:bCs/>
          <w:u w:val="single"/>
          <w:lang w:val="fr-FR" w:eastAsia="ko-KR"/>
        </w:rPr>
        <w:t>et</w:t>
      </w:r>
      <w:r w:rsidR="00415B3D" w:rsidRPr="00A4333E">
        <w:rPr>
          <w:rFonts w:asciiTheme="minorHAnsi" w:eastAsia="Batang" w:hAnsiTheme="minorHAnsi"/>
          <w:bCs/>
          <w:u w:val="single"/>
          <w:lang w:val="fr-FR" w:eastAsia="ko-KR"/>
        </w:rPr>
        <w:t xml:space="preserve"> </w:t>
      </w:r>
      <w:r w:rsidR="00222FB0" w:rsidRPr="00A4333E">
        <w:rPr>
          <w:rFonts w:asciiTheme="minorHAnsi" w:eastAsia="Batang" w:hAnsiTheme="minorHAnsi"/>
          <w:bCs/>
          <w:u w:val="single"/>
          <w:lang w:val="fr-FR" w:eastAsia="ko-KR"/>
        </w:rPr>
        <w:t xml:space="preserve">pour </w:t>
      </w:r>
      <w:r w:rsidR="00415B3D" w:rsidRPr="00A4333E">
        <w:rPr>
          <w:rFonts w:asciiTheme="minorHAnsi" w:eastAsia="Batang" w:hAnsiTheme="minorHAnsi"/>
          <w:bCs/>
          <w:u w:val="single"/>
          <w:lang w:val="fr-FR" w:eastAsia="ko-KR"/>
        </w:rPr>
        <w:t>2022</w:t>
      </w:r>
    </w:p>
    <w:p w14:paraId="4A1BC1DF" w14:textId="77777777" w:rsidR="002D300B" w:rsidRPr="00A4333E" w:rsidRDefault="002D300B" w:rsidP="00327DFA">
      <w:pPr>
        <w:keepNext/>
        <w:rPr>
          <w:rFonts w:asciiTheme="minorHAnsi" w:eastAsia="Batang" w:hAnsiTheme="minorHAnsi"/>
          <w:bCs/>
          <w:u w:val="single"/>
          <w:lang w:val="fr-FR" w:eastAsia="ko-KR"/>
        </w:rPr>
      </w:pPr>
    </w:p>
    <w:p w14:paraId="43CCAF51" w14:textId="298705DC" w:rsidR="0028584C" w:rsidRPr="00A4333E" w:rsidRDefault="00327DFA" w:rsidP="00327DFA">
      <w:pPr>
        <w:rPr>
          <w:rFonts w:asciiTheme="minorHAnsi" w:eastAsia="Batang" w:hAnsiTheme="minorHAnsi"/>
          <w:color w:val="000000"/>
          <w:lang w:val="fr-FR" w:eastAsia="ko-KR"/>
        </w:rPr>
      </w:pPr>
      <w:r w:rsidRPr="00A4333E">
        <w:rPr>
          <w:rFonts w:asciiTheme="minorHAnsi" w:eastAsia="Batang" w:hAnsiTheme="minorHAnsi"/>
          <w:color w:val="000000"/>
          <w:lang w:val="fr-FR" w:eastAsia="ko-KR"/>
        </w:rPr>
        <w:t>6.</w:t>
      </w:r>
      <w:r w:rsidRPr="00A4333E">
        <w:rPr>
          <w:rFonts w:asciiTheme="minorHAnsi" w:eastAsia="Batang" w:hAnsiTheme="minorHAnsi"/>
          <w:color w:val="000000"/>
          <w:lang w:val="fr-FR" w:eastAsia="ko-KR"/>
        </w:rPr>
        <w:tab/>
      </w:r>
      <w:r w:rsidR="004A3825" w:rsidRPr="00A4333E">
        <w:rPr>
          <w:rFonts w:asciiTheme="minorHAnsi" w:eastAsia="Batang" w:hAnsiTheme="minorHAnsi"/>
          <w:color w:val="000000"/>
          <w:lang w:val="fr-FR" w:eastAsia="ko-KR"/>
        </w:rPr>
        <w:t>L'Annexe 1 présente un bref résumé du budget administratif adopté pour la période 2019-2021 approuvé lors de la COP13</w:t>
      </w:r>
      <w:r w:rsidR="00CC14B9">
        <w:rPr>
          <w:rFonts w:asciiTheme="minorHAnsi" w:eastAsia="Batang" w:hAnsiTheme="minorHAnsi"/>
          <w:color w:val="000000"/>
          <w:lang w:val="fr-FR" w:eastAsia="ko-KR"/>
        </w:rPr>
        <w:t xml:space="preserve">, </w:t>
      </w:r>
      <w:r w:rsidR="004A3825" w:rsidRPr="00A4333E">
        <w:rPr>
          <w:rFonts w:asciiTheme="minorHAnsi" w:eastAsia="Batang" w:hAnsiTheme="minorHAnsi"/>
          <w:color w:val="000000"/>
          <w:lang w:val="fr-FR" w:eastAsia="ko-KR"/>
        </w:rPr>
        <w:t xml:space="preserve">et du budget pour 2022 approuvé lors de l'ExCOP3 (tous deux affichant une augmentation annuelle de 0 %). L'Annexe 1 montre également comment les budgets ont été </w:t>
      </w:r>
      <w:r w:rsidR="00222FB0" w:rsidRPr="00A4333E">
        <w:rPr>
          <w:rFonts w:asciiTheme="minorHAnsi" w:eastAsia="Batang" w:hAnsiTheme="minorHAnsi"/>
          <w:color w:val="000000"/>
          <w:lang w:val="fr-FR" w:eastAsia="ko-KR"/>
        </w:rPr>
        <w:t>exécutés</w:t>
      </w:r>
      <w:r w:rsidR="004A3825" w:rsidRPr="00A4333E">
        <w:rPr>
          <w:rFonts w:asciiTheme="minorHAnsi" w:eastAsia="Batang" w:hAnsiTheme="minorHAnsi"/>
          <w:color w:val="000000"/>
          <w:lang w:val="fr-FR" w:eastAsia="ko-KR"/>
        </w:rPr>
        <w:t xml:space="preserve"> au cours de la période 2019-2022.</w:t>
      </w:r>
      <w:r w:rsidR="002873E7" w:rsidRPr="00A4333E">
        <w:rPr>
          <w:rFonts w:asciiTheme="minorHAnsi" w:eastAsia="Batang" w:hAnsiTheme="minorHAnsi"/>
          <w:color w:val="000000"/>
          <w:lang w:val="fr-FR" w:eastAsia="ko-KR"/>
        </w:rPr>
        <w:t xml:space="preserve"> </w:t>
      </w:r>
    </w:p>
    <w:p w14:paraId="202314F6" w14:textId="77777777" w:rsidR="00327DFA" w:rsidRPr="00A4333E" w:rsidRDefault="00327DFA" w:rsidP="00327DFA">
      <w:pPr>
        <w:rPr>
          <w:rFonts w:asciiTheme="minorHAnsi" w:eastAsia="Batang" w:hAnsiTheme="minorHAnsi"/>
          <w:color w:val="000000"/>
          <w:lang w:val="fr-FR" w:eastAsia="ko-KR"/>
        </w:rPr>
      </w:pPr>
    </w:p>
    <w:p w14:paraId="14861A22" w14:textId="4B0A95B6" w:rsidR="00763438" w:rsidRPr="00A4333E" w:rsidRDefault="00327DFA" w:rsidP="00327DFA">
      <w:pPr>
        <w:rPr>
          <w:rFonts w:asciiTheme="minorHAnsi" w:eastAsia="Batang" w:hAnsiTheme="minorHAnsi"/>
          <w:color w:val="000000"/>
          <w:lang w:val="fr-FR" w:eastAsia="ko-KR"/>
        </w:rPr>
      </w:pPr>
      <w:r w:rsidRPr="00A4333E">
        <w:rPr>
          <w:rFonts w:asciiTheme="minorHAnsi" w:eastAsia="Batang" w:hAnsiTheme="minorHAnsi"/>
          <w:color w:val="000000"/>
          <w:lang w:val="fr-FR" w:eastAsia="ko-KR"/>
        </w:rPr>
        <w:t>7.</w:t>
      </w:r>
      <w:r w:rsidRPr="00A4333E">
        <w:rPr>
          <w:rFonts w:asciiTheme="minorHAnsi" w:eastAsia="Batang" w:hAnsiTheme="minorHAnsi"/>
          <w:color w:val="000000"/>
          <w:lang w:val="fr-FR" w:eastAsia="ko-KR"/>
        </w:rPr>
        <w:tab/>
      </w:r>
      <w:r w:rsidR="00222FB0" w:rsidRPr="00A4333E">
        <w:rPr>
          <w:rFonts w:asciiTheme="minorHAnsi" w:eastAsia="Batang" w:hAnsiTheme="minorHAnsi"/>
          <w:color w:val="000000"/>
          <w:lang w:val="fr-FR" w:eastAsia="ko-KR"/>
        </w:rPr>
        <w:t>Cette période se caractérise essentiellement par une amélioration de la gestion financière du Secrétariat qui a été validée par les auditeurs externes</w:t>
      </w:r>
      <w:r w:rsidR="00C161BC" w:rsidRPr="00A4333E">
        <w:rPr>
          <w:rFonts w:asciiTheme="minorHAnsi" w:eastAsia="Batang" w:hAnsiTheme="minorHAnsi"/>
          <w:color w:val="000000"/>
          <w:lang w:val="fr-FR" w:eastAsia="ko-KR"/>
        </w:rPr>
        <w:t> ;</w:t>
      </w:r>
      <w:r w:rsidR="00222FB0" w:rsidRPr="00A4333E">
        <w:rPr>
          <w:rFonts w:asciiTheme="minorHAnsi" w:eastAsia="Batang" w:hAnsiTheme="minorHAnsi"/>
          <w:color w:val="000000"/>
          <w:lang w:val="fr-FR" w:eastAsia="ko-KR"/>
        </w:rPr>
        <w:t xml:space="preserve"> toutes les questions qui étaient </w:t>
      </w:r>
      <w:r w:rsidR="00C161BC" w:rsidRPr="00A4333E">
        <w:rPr>
          <w:rFonts w:asciiTheme="minorHAnsi" w:eastAsia="Batang" w:hAnsiTheme="minorHAnsi"/>
          <w:color w:val="000000"/>
          <w:lang w:val="fr-FR" w:eastAsia="ko-KR"/>
        </w:rPr>
        <w:t>en suspens</w:t>
      </w:r>
      <w:r w:rsidR="00222FB0" w:rsidRPr="00A4333E">
        <w:rPr>
          <w:rFonts w:asciiTheme="minorHAnsi" w:eastAsia="Batang" w:hAnsiTheme="minorHAnsi"/>
          <w:color w:val="000000"/>
          <w:lang w:val="fr-FR" w:eastAsia="ko-KR"/>
        </w:rPr>
        <w:t xml:space="preserve"> avant l'entrée en fonction de l</w:t>
      </w:r>
      <w:r w:rsidR="00CC14B9">
        <w:rPr>
          <w:rFonts w:asciiTheme="minorHAnsi" w:eastAsia="Batang" w:hAnsiTheme="minorHAnsi"/>
          <w:color w:val="000000"/>
          <w:lang w:val="fr-FR" w:eastAsia="ko-KR"/>
        </w:rPr>
        <w:t>a</w:t>
      </w:r>
      <w:r w:rsidR="00222FB0" w:rsidRPr="00A4333E">
        <w:rPr>
          <w:rFonts w:asciiTheme="minorHAnsi" w:eastAsia="Batang" w:hAnsiTheme="minorHAnsi"/>
          <w:color w:val="000000"/>
          <w:lang w:val="fr-FR" w:eastAsia="ko-KR"/>
        </w:rPr>
        <w:t xml:space="preserve"> </w:t>
      </w:r>
      <w:r w:rsidR="00CE644F" w:rsidRPr="00A4333E">
        <w:rPr>
          <w:rFonts w:asciiTheme="minorHAnsi" w:eastAsia="Batang" w:hAnsiTheme="minorHAnsi"/>
          <w:color w:val="000000"/>
          <w:lang w:val="fr-FR" w:eastAsia="ko-KR"/>
        </w:rPr>
        <w:t>S</w:t>
      </w:r>
      <w:r w:rsidR="00222FB0" w:rsidRPr="00A4333E">
        <w:rPr>
          <w:rFonts w:asciiTheme="minorHAnsi" w:eastAsia="Batang" w:hAnsiTheme="minorHAnsi"/>
          <w:color w:val="000000"/>
          <w:lang w:val="fr-FR" w:eastAsia="ko-KR"/>
        </w:rPr>
        <w:t>ecrétaire général</w:t>
      </w:r>
      <w:r w:rsidR="00C161BC" w:rsidRPr="00A4333E">
        <w:rPr>
          <w:rFonts w:asciiTheme="minorHAnsi" w:eastAsia="Batang" w:hAnsiTheme="minorHAnsi"/>
          <w:color w:val="000000"/>
          <w:lang w:val="fr-FR" w:eastAsia="ko-KR"/>
        </w:rPr>
        <w:t>e</w:t>
      </w:r>
      <w:r w:rsidR="00222FB0" w:rsidRPr="00A4333E">
        <w:rPr>
          <w:rFonts w:asciiTheme="minorHAnsi" w:eastAsia="Batang" w:hAnsiTheme="minorHAnsi"/>
          <w:color w:val="000000"/>
          <w:lang w:val="fr-FR" w:eastAsia="ko-KR"/>
        </w:rPr>
        <w:t xml:space="preserve"> en 2016 </w:t>
      </w:r>
      <w:r w:rsidR="00C161BC" w:rsidRPr="00A4333E">
        <w:rPr>
          <w:rFonts w:asciiTheme="minorHAnsi" w:eastAsia="Batang" w:hAnsiTheme="minorHAnsi"/>
          <w:color w:val="000000"/>
          <w:lang w:val="fr-FR" w:eastAsia="ko-KR"/>
        </w:rPr>
        <w:t>ont</w:t>
      </w:r>
      <w:r w:rsidR="00222FB0" w:rsidRPr="00A4333E">
        <w:rPr>
          <w:rFonts w:asciiTheme="minorHAnsi" w:eastAsia="Batang" w:hAnsiTheme="minorHAnsi"/>
          <w:color w:val="000000"/>
          <w:lang w:val="fr-FR" w:eastAsia="ko-KR"/>
        </w:rPr>
        <w:t xml:space="preserve"> été closes dans l</w:t>
      </w:r>
      <w:r w:rsidR="00CE644F" w:rsidRPr="00A4333E">
        <w:rPr>
          <w:rFonts w:asciiTheme="minorHAnsi" w:eastAsia="Batang" w:hAnsiTheme="minorHAnsi"/>
          <w:color w:val="000000"/>
          <w:lang w:val="fr-FR" w:eastAsia="ko-KR"/>
        </w:rPr>
        <w:t>a vérification des comptes de</w:t>
      </w:r>
      <w:r w:rsidR="00222FB0" w:rsidRPr="00A4333E">
        <w:rPr>
          <w:rFonts w:asciiTheme="minorHAnsi" w:eastAsia="Batang" w:hAnsiTheme="minorHAnsi"/>
          <w:color w:val="000000"/>
          <w:lang w:val="fr-FR" w:eastAsia="ko-KR"/>
        </w:rPr>
        <w:t xml:space="preserve"> 2019, sans qu'aucune nouvelle question n</w:t>
      </w:r>
      <w:r w:rsidR="00CE644F" w:rsidRPr="00A4333E">
        <w:rPr>
          <w:rFonts w:asciiTheme="minorHAnsi" w:eastAsia="Batang" w:hAnsiTheme="minorHAnsi"/>
          <w:color w:val="000000"/>
          <w:lang w:val="fr-FR" w:eastAsia="ko-KR"/>
        </w:rPr>
        <w:t>’ait été</w:t>
      </w:r>
      <w:r w:rsidR="00222FB0" w:rsidRPr="00A4333E">
        <w:rPr>
          <w:rFonts w:asciiTheme="minorHAnsi" w:eastAsia="Batang" w:hAnsiTheme="minorHAnsi"/>
          <w:color w:val="000000"/>
          <w:lang w:val="fr-FR" w:eastAsia="ko-KR"/>
        </w:rPr>
        <w:t xml:space="preserve"> soulevée par les auditeurs depuis lors. </w:t>
      </w:r>
    </w:p>
    <w:p w14:paraId="1C413D29" w14:textId="0DD40D36" w:rsidR="00763438" w:rsidRPr="00A4333E" w:rsidRDefault="00763438" w:rsidP="00327DFA">
      <w:pPr>
        <w:rPr>
          <w:rFonts w:asciiTheme="minorHAnsi" w:eastAsia="Batang" w:hAnsiTheme="minorHAnsi"/>
          <w:color w:val="000000"/>
          <w:lang w:val="fr-FR" w:eastAsia="ko-KR"/>
        </w:rPr>
      </w:pPr>
    </w:p>
    <w:p w14:paraId="1B0B96C1" w14:textId="28671C13" w:rsidR="00763438" w:rsidRPr="00A4333E" w:rsidRDefault="003231A5" w:rsidP="003231A5">
      <w:pPr>
        <w:rPr>
          <w:rFonts w:asciiTheme="minorHAnsi" w:eastAsia="Batang" w:hAnsiTheme="minorHAnsi"/>
          <w:color w:val="000000"/>
          <w:lang w:val="fr-FR" w:eastAsia="ko-KR"/>
        </w:rPr>
      </w:pPr>
      <w:r w:rsidRPr="00A4333E">
        <w:rPr>
          <w:rFonts w:asciiTheme="minorHAnsi" w:eastAsia="Batang" w:hAnsiTheme="minorHAnsi"/>
          <w:color w:val="000000"/>
          <w:lang w:val="fr-FR" w:eastAsia="ko-KR"/>
        </w:rPr>
        <w:t>8.</w:t>
      </w:r>
      <w:r w:rsidRPr="00A4333E">
        <w:rPr>
          <w:rFonts w:asciiTheme="minorHAnsi" w:eastAsia="Batang" w:hAnsiTheme="minorHAnsi"/>
          <w:color w:val="000000"/>
          <w:lang w:val="fr-FR" w:eastAsia="ko-KR"/>
        </w:rPr>
        <w:tab/>
      </w:r>
      <w:r w:rsidR="0013207C" w:rsidRPr="00A4333E">
        <w:rPr>
          <w:rFonts w:asciiTheme="minorHAnsi" w:eastAsia="Batang" w:hAnsiTheme="minorHAnsi"/>
          <w:color w:val="000000"/>
          <w:lang w:val="fr-FR" w:eastAsia="ko-KR"/>
        </w:rPr>
        <w:t>Les résultats positifs de l'examen de la gestion financière des comptes des ressources non administratives (affectées) mené par l'Unité de surveillance de l'UICN et soumis au Comité permanent lors de sa 55</w:t>
      </w:r>
      <w:r w:rsidR="0013207C" w:rsidRPr="00A4333E">
        <w:rPr>
          <w:rFonts w:asciiTheme="minorHAnsi" w:eastAsia="Batang" w:hAnsiTheme="minorHAnsi"/>
          <w:color w:val="000000"/>
          <w:vertAlign w:val="superscript"/>
          <w:lang w:val="fr-FR" w:eastAsia="ko-KR"/>
        </w:rPr>
        <w:t>e</w:t>
      </w:r>
      <w:r w:rsidR="0013207C" w:rsidRPr="00A4333E">
        <w:rPr>
          <w:rFonts w:asciiTheme="minorHAnsi" w:eastAsia="Batang" w:hAnsiTheme="minorHAnsi"/>
          <w:color w:val="000000"/>
          <w:lang w:val="fr-FR" w:eastAsia="ko-KR"/>
        </w:rPr>
        <w:t xml:space="preserve"> Réunion ont également été </w:t>
      </w:r>
      <w:r w:rsidR="002602FF" w:rsidRPr="00A4333E">
        <w:rPr>
          <w:rFonts w:asciiTheme="minorHAnsi" w:eastAsia="Batang" w:hAnsiTheme="minorHAnsi"/>
          <w:color w:val="000000"/>
          <w:lang w:val="fr-FR" w:eastAsia="ko-KR"/>
        </w:rPr>
        <w:t>pris en compte</w:t>
      </w:r>
      <w:r w:rsidR="0013207C" w:rsidRPr="00A4333E">
        <w:rPr>
          <w:rFonts w:asciiTheme="minorHAnsi" w:eastAsia="Batang" w:hAnsiTheme="minorHAnsi"/>
          <w:color w:val="000000"/>
          <w:lang w:val="fr-FR" w:eastAsia="ko-KR"/>
        </w:rPr>
        <w:t>, avec une question en attente au sein de l'UICN</w:t>
      </w:r>
      <w:r w:rsidR="00FA276A" w:rsidRPr="00A4333E">
        <w:rPr>
          <w:rFonts w:asciiTheme="minorHAnsi" w:eastAsia="Batang" w:hAnsiTheme="minorHAnsi"/>
          <w:color w:val="000000"/>
          <w:lang w:val="fr-FR" w:eastAsia="ko-KR"/>
        </w:rPr>
        <w:t>.</w:t>
      </w:r>
    </w:p>
    <w:p w14:paraId="43054FB7" w14:textId="3DCFF43A" w:rsidR="00FA276A" w:rsidRPr="00A4333E" w:rsidRDefault="00FA276A" w:rsidP="00763438">
      <w:pPr>
        <w:ind w:firstLine="0"/>
        <w:rPr>
          <w:rFonts w:asciiTheme="minorHAnsi" w:eastAsia="Batang" w:hAnsiTheme="minorHAnsi"/>
          <w:color w:val="000000"/>
          <w:lang w:val="fr-FR" w:eastAsia="ko-KR"/>
        </w:rPr>
      </w:pPr>
    </w:p>
    <w:p w14:paraId="6DD91941" w14:textId="3366C64E" w:rsidR="00FA276A" w:rsidRPr="00A4333E" w:rsidRDefault="003231A5" w:rsidP="003231A5">
      <w:pPr>
        <w:rPr>
          <w:rFonts w:asciiTheme="minorHAnsi" w:eastAsia="Batang" w:hAnsiTheme="minorHAnsi"/>
          <w:color w:val="000000"/>
          <w:lang w:val="fr-FR" w:eastAsia="ko-KR"/>
        </w:rPr>
      </w:pPr>
      <w:r w:rsidRPr="00A4333E">
        <w:rPr>
          <w:lang w:val="fr-FR"/>
        </w:rPr>
        <w:t>9.</w:t>
      </w:r>
      <w:r w:rsidRPr="00A4333E">
        <w:rPr>
          <w:lang w:val="fr-FR"/>
        </w:rPr>
        <w:tab/>
      </w:r>
      <w:r w:rsidR="00D94412" w:rsidRPr="00A4333E">
        <w:rPr>
          <w:lang w:val="fr-FR"/>
        </w:rPr>
        <w:t>Les responsabilités internes et la répartition des contrôles entre l'UICN et le Secrétariat ont été documentées, afin de garantir que les processus de gestion financière du Secrétariat sont conformes aux politiques et procédures de l'UICN, le cas échéant.</w:t>
      </w:r>
    </w:p>
    <w:p w14:paraId="5AC9FA7E" w14:textId="77777777" w:rsidR="00763438" w:rsidRPr="00A4333E" w:rsidRDefault="00763438" w:rsidP="00327DFA">
      <w:pPr>
        <w:rPr>
          <w:rFonts w:asciiTheme="minorHAnsi" w:eastAsia="Batang" w:hAnsiTheme="minorHAnsi"/>
          <w:color w:val="000000"/>
          <w:lang w:val="fr-FR" w:eastAsia="ko-KR"/>
        </w:rPr>
      </w:pPr>
    </w:p>
    <w:p w14:paraId="43DB0DDB" w14:textId="301DC0E6" w:rsidR="00622F48" w:rsidRPr="00A4333E" w:rsidRDefault="003231A5" w:rsidP="00327DFA">
      <w:pPr>
        <w:rPr>
          <w:rFonts w:asciiTheme="minorHAnsi" w:eastAsia="Batang" w:hAnsiTheme="minorHAnsi"/>
          <w:color w:val="000000"/>
          <w:lang w:val="fr-FR" w:eastAsia="ko-KR"/>
        </w:rPr>
      </w:pPr>
      <w:r w:rsidRPr="00A4333E">
        <w:rPr>
          <w:rFonts w:asciiTheme="minorHAnsi" w:eastAsia="Batang" w:hAnsiTheme="minorHAnsi"/>
          <w:color w:val="000000"/>
          <w:lang w:val="fr-FR" w:eastAsia="ko-KR"/>
        </w:rPr>
        <w:t>10</w:t>
      </w:r>
      <w:r w:rsidR="00327DFA" w:rsidRPr="00A4333E">
        <w:rPr>
          <w:rFonts w:asciiTheme="minorHAnsi" w:eastAsia="Batang" w:hAnsiTheme="minorHAnsi"/>
          <w:color w:val="000000"/>
          <w:lang w:val="fr-FR" w:eastAsia="ko-KR"/>
        </w:rPr>
        <w:t>.</w:t>
      </w:r>
      <w:r w:rsidR="00327DFA" w:rsidRPr="00A4333E">
        <w:rPr>
          <w:rFonts w:asciiTheme="minorHAnsi" w:eastAsia="Batang" w:hAnsiTheme="minorHAnsi"/>
          <w:color w:val="000000"/>
          <w:lang w:val="fr-FR" w:eastAsia="ko-KR"/>
        </w:rPr>
        <w:tab/>
      </w:r>
      <w:r w:rsidR="00911A36" w:rsidRPr="00A4333E">
        <w:rPr>
          <w:rFonts w:asciiTheme="minorHAnsi" w:eastAsia="Batang" w:hAnsiTheme="minorHAnsi"/>
          <w:color w:val="000000"/>
          <w:lang w:val="fr-FR" w:eastAsia="ko-KR"/>
        </w:rPr>
        <w:t>Le budget administrati</w:t>
      </w:r>
      <w:r w:rsidR="00CC14B9">
        <w:rPr>
          <w:rFonts w:asciiTheme="minorHAnsi" w:eastAsia="Batang" w:hAnsiTheme="minorHAnsi"/>
          <w:color w:val="000000"/>
          <w:lang w:val="fr-FR" w:eastAsia="ko-KR"/>
        </w:rPr>
        <w:t>f</w:t>
      </w:r>
      <w:r w:rsidR="00911A36" w:rsidRPr="00A4333E">
        <w:rPr>
          <w:rFonts w:asciiTheme="minorHAnsi" w:eastAsia="Batang" w:hAnsiTheme="minorHAnsi"/>
          <w:color w:val="000000"/>
          <w:lang w:val="fr-FR" w:eastAsia="ko-KR"/>
        </w:rPr>
        <w:t xml:space="preserve"> a dégagé des excédents au cours de la période de référence, principalement en raison des postes vacants en 2019, tandis que les excédents affichés en 2020 et 2021 résultent d'une sous-utilisation de certaines lignes budgétaires, telles que les voyages et les réunions des organes directeurs et subsidiaires en raison des restrictions liées à la pandémie de COVID-19. </w:t>
      </w:r>
    </w:p>
    <w:p w14:paraId="45AF7315" w14:textId="77777777" w:rsidR="00622F48" w:rsidRPr="00A4333E" w:rsidRDefault="00622F48" w:rsidP="00327DFA">
      <w:pPr>
        <w:rPr>
          <w:rFonts w:asciiTheme="minorHAnsi" w:eastAsia="Batang" w:hAnsiTheme="minorHAnsi"/>
          <w:color w:val="000000"/>
          <w:lang w:val="fr-FR" w:eastAsia="ko-KR"/>
        </w:rPr>
      </w:pPr>
    </w:p>
    <w:p w14:paraId="002F03DA" w14:textId="33D2890B" w:rsidR="00DE0D42" w:rsidRPr="00A4333E" w:rsidRDefault="003231A5" w:rsidP="00D617A4">
      <w:pPr>
        <w:rPr>
          <w:rFonts w:asciiTheme="minorHAnsi" w:eastAsia="Batang" w:hAnsiTheme="minorHAnsi"/>
          <w:color w:val="000000"/>
          <w:lang w:val="fr-FR" w:eastAsia="ko-KR"/>
        </w:rPr>
      </w:pPr>
      <w:r w:rsidRPr="00A4333E">
        <w:rPr>
          <w:rFonts w:asciiTheme="minorHAnsi" w:eastAsia="Batang" w:hAnsiTheme="minorHAnsi"/>
          <w:color w:val="000000"/>
          <w:lang w:val="fr-FR" w:eastAsia="ko-KR"/>
        </w:rPr>
        <w:t>11</w:t>
      </w:r>
      <w:r w:rsidR="00327DFA" w:rsidRPr="00A4333E">
        <w:rPr>
          <w:rFonts w:asciiTheme="minorHAnsi" w:eastAsia="Batang" w:hAnsiTheme="minorHAnsi"/>
          <w:color w:val="000000"/>
          <w:lang w:val="fr-FR" w:eastAsia="ko-KR"/>
        </w:rPr>
        <w:t>.</w:t>
      </w:r>
      <w:r w:rsidR="00327DFA" w:rsidRPr="00A4333E">
        <w:rPr>
          <w:rFonts w:asciiTheme="minorHAnsi" w:eastAsia="Batang" w:hAnsiTheme="minorHAnsi"/>
          <w:color w:val="000000"/>
          <w:lang w:val="fr-FR" w:eastAsia="ko-KR"/>
        </w:rPr>
        <w:tab/>
      </w:r>
      <w:r w:rsidR="00704484" w:rsidRPr="00A4333E">
        <w:rPr>
          <w:rFonts w:asciiTheme="minorHAnsi" w:eastAsia="Batang" w:hAnsiTheme="minorHAnsi"/>
          <w:color w:val="000000"/>
          <w:lang w:val="fr-FR" w:eastAsia="ko-KR"/>
        </w:rPr>
        <w:t>Le Comité permanent a pris connaissance des soldes identifiés par le Secrétariat et des excédents du budget administratif dont l’utilisation a été décidée lors des 58</w:t>
      </w:r>
      <w:r w:rsidR="00704484" w:rsidRPr="00A4333E">
        <w:rPr>
          <w:rFonts w:asciiTheme="minorHAnsi" w:eastAsia="Batang" w:hAnsiTheme="minorHAnsi"/>
          <w:color w:val="000000"/>
          <w:vertAlign w:val="superscript"/>
          <w:lang w:val="fr-FR" w:eastAsia="ko-KR"/>
        </w:rPr>
        <w:t>e</w:t>
      </w:r>
      <w:r w:rsidR="00DA3041">
        <w:rPr>
          <w:rFonts w:asciiTheme="minorHAnsi" w:eastAsia="Batang" w:hAnsiTheme="minorHAnsi"/>
          <w:color w:val="000000"/>
          <w:lang w:val="fr-FR" w:eastAsia="ko-KR"/>
        </w:rPr>
        <w:t xml:space="preserve"> et</w:t>
      </w:r>
      <w:r w:rsidR="00704484" w:rsidRPr="00A4333E">
        <w:rPr>
          <w:rFonts w:asciiTheme="minorHAnsi" w:eastAsia="Batang" w:hAnsiTheme="minorHAnsi"/>
          <w:color w:val="000000"/>
          <w:lang w:val="fr-FR" w:eastAsia="ko-KR"/>
        </w:rPr>
        <w:t xml:space="preserve"> </w:t>
      </w:r>
      <w:r w:rsidR="00704484" w:rsidRPr="00DA3041">
        <w:rPr>
          <w:rFonts w:asciiTheme="minorHAnsi" w:eastAsia="Batang" w:hAnsiTheme="minorHAnsi"/>
          <w:color w:val="000000"/>
          <w:lang w:val="fr-FR" w:eastAsia="ko-KR"/>
        </w:rPr>
        <w:t>59</w:t>
      </w:r>
      <w:r w:rsidR="00704484" w:rsidRPr="00DA3041">
        <w:rPr>
          <w:rFonts w:asciiTheme="minorHAnsi" w:eastAsia="Batang" w:hAnsiTheme="minorHAnsi"/>
          <w:color w:val="000000"/>
          <w:vertAlign w:val="superscript"/>
          <w:lang w:val="fr-FR" w:eastAsia="ko-KR"/>
        </w:rPr>
        <w:t>e</w:t>
      </w:r>
      <w:r w:rsidR="00704484" w:rsidRPr="00DA3041">
        <w:rPr>
          <w:rFonts w:asciiTheme="minorHAnsi" w:eastAsia="Batang" w:hAnsiTheme="minorHAnsi"/>
          <w:color w:val="000000"/>
          <w:lang w:val="fr-FR" w:eastAsia="ko-KR"/>
        </w:rPr>
        <w:t xml:space="preserve"> </w:t>
      </w:r>
      <w:r w:rsidR="00DA3041" w:rsidRPr="00DA3041">
        <w:rPr>
          <w:rFonts w:asciiTheme="minorHAnsi" w:eastAsia="Batang" w:hAnsiTheme="minorHAnsi"/>
          <w:color w:val="000000"/>
          <w:lang w:val="fr-FR" w:eastAsia="ko-KR"/>
        </w:rPr>
        <w:t xml:space="preserve">(2021 et </w:t>
      </w:r>
      <w:r w:rsidR="00704484" w:rsidRPr="00DA3041">
        <w:rPr>
          <w:rFonts w:asciiTheme="minorHAnsi" w:eastAsia="Batang" w:hAnsiTheme="minorHAnsi"/>
          <w:color w:val="000000"/>
          <w:lang w:val="fr-FR" w:eastAsia="ko-KR"/>
        </w:rPr>
        <w:t>2022</w:t>
      </w:r>
      <w:r w:rsidR="00DA3041" w:rsidRPr="00DA3041">
        <w:rPr>
          <w:rFonts w:asciiTheme="minorHAnsi" w:eastAsia="Batang" w:hAnsiTheme="minorHAnsi"/>
          <w:color w:val="000000"/>
          <w:lang w:val="fr-FR" w:eastAsia="ko-KR"/>
        </w:rPr>
        <w:t>)</w:t>
      </w:r>
      <w:r w:rsidR="00704484" w:rsidRPr="00A4333E">
        <w:rPr>
          <w:rFonts w:asciiTheme="minorHAnsi" w:eastAsia="Batang" w:hAnsiTheme="minorHAnsi"/>
          <w:color w:val="000000"/>
          <w:lang w:val="fr-FR" w:eastAsia="ko-KR"/>
        </w:rPr>
        <w:t xml:space="preserve"> Réunions </w:t>
      </w:r>
      <w:r w:rsidR="008353E3" w:rsidRPr="00A4333E">
        <w:rPr>
          <w:rFonts w:asciiTheme="minorHAnsi" w:eastAsia="Batang" w:hAnsiTheme="minorHAnsi"/>
          <w:color w:val="000000"/>
          <w:lang w:val="fr-FR" w:eastAsia="ko-KR"/>
        </w:rPr>
        <w:t>du Comité permanent</w:t>
      </w:r>
      <w:r w:rsidR="00704484" w:rsidRPr="00A4333E">
        <w:rPr>
          <w:rFonts w:asciiTheme="minorHAnsi" w:eastAsia="Batang" w:hAnsiTheme="minorHAnsi"/>
          <w:color w:val="000000"/>
          <w:lang w:val="fr-FR" w:eastAsia="ko-KR"/>
        </w:rPr>
        <w:t>. Lors de</w:t>
      </w:r>
      <w:r w:rsidR="008353E3" w:rsidRPr="00A4333E">
        <w:rPr>
          <w:rFonts w:asciiTheme="minorHAnsi" w:eastAsia="Batang" w:hAnsiTheme="minorHAnsi"/>
          <w:color w:val="000000"/>
          <w:lang w:val="fr-FR" w:eastAsia="ko-KR"/>
        </w:rPr>
        <w:t xml:space="preserve"> ses 58</w:t>
      </w:r>
      <w:r w:rsidR="008353E3" w:rsidRPr="00A4333E">
        <w:rPr>
          <w:rFonts w:asciiTheme="minorHAnsi" w:eastAsia="Batang" w:hAnsiTheme="minorHAnsi"/>
          <w:color w:val="000000"/>
          <w:vertAlign w:val="superscript"/>
          <w:lang w:val="fr-FR" w:eastAsia="ko-KR"/>
        </w:rPr>
        <w:t>e</w:t>
      </w:r>
      <w:r w:rsidR="008353E3" w:rsidRPr="00A4333E">
        <w:rPr>
          <w:rFonts w:asciiTheme="minorHAnsi" w:eastAsia="Batang" w:hAnsiTheme="minorHAnsi"/>
          <w:color w:val="000000"/>
          <w:lang w:val="fr-FR" w:eastAsia="ko-KR"/>
        </w:rPr>
        <w:t xml:space="preserve"> et 59</w:t>
      </w:r>
      <w:r w:rsidR="00DA3041" w:rsidRPr="00DA3041">
        <w:rPr>
          <w:rFonts w:asciiTheme="minorHAnsi" w:eastAsia="Batang" w:hAnsiTheme="minorHAnsi"/>
          <w:color w:val="000000"/>
          <w:vertAlign w:val="superscript"/>
          <w:lang w:val="fr-FR" w:eastAsia="ko-KR"/>
        </w:rPr>
        <w:t xml:space="preserve"> </w:t>
      </w:r>
      <w:r w:rsidR="00DA3041" w:rsidRPr="00A4333E">
        <w:rPr>
          <w:rFonts w:asciiTheme="minorHAnsi" w:eastAsia="Batang" w:hAnsiTheme="minorHAnsi"/>
          <w:color w:val="000000"/>
          <w:vertAlign w:val="superscript"/>
          <w:lang w:val="fr-FR" w:eastAsia="ko-KR"/>
        </w:rPr>
        <w:t>e</w:t>
      </w:r>
      <w:r w:rsidR="00DA3041">
        <w:rPr>
          <w:rFonts w:asciiTheme="minorHAnsi" w:eastAsia="Batang" w:hAnsiTheme="minorHAnsi"/>
          <w:color w:val="000000"/>
          <w:vertAlign w:val="superscript"/>
          <w:lang w:val="fr-FR" w:eastAsia="ko-KR"/>
        </w:rPr>
        <w:t xml:space="preserve"> </w:t>
      </w:r>
      <w:r w:rsidR="00DA3041" w:rsidRPr="00DA3041">
        <w:rPr>
          <w:rFonts w:asciiTheme="minorHAnsi" w:eastAsia="Batang" w:hAnsiTheme="minorHAnsi"/>
          <w:color w:val="000000"/>
          <w:lang w:val="fr-FR" w:eastAsia="ko-KR"/>
        </w:rPr>
        <w:t>(2021)</w:t>
      </w:r>
      <w:r w:rsidR="00CC14B9">
        <w:rPr>
          <w:rFonts w:asciiTheme="minorHAnsi" w:eastAsia="Batang" w:hAnsiTheme="minorHAnsi"/>
          <w:color w:val="000000"/>
          <w:lang w:val="fr-FR" w:eastAsia="ko-KR"/>
        </w:rPr>
        <w:t xml:space="preserve"> Réunions</w:t>
      </w:r>
      <w:r w:rsidR="00704484" w:rsidRPr="00A4333E">
        <w:rPr>
          <w:rFonts w:asciiTheme="minorHAnsi" w:eastAsia="Batang" w:hAnsiTheme="minorHAnsi"/>
          <w:color w:val="000000"/>
          <w:lang w:val="fr-FR" w:eastAsia="ko-KR"/>
        </w:rPr>
        <w:t xml:space="preserve">, le Comité permanent a approuvé l'affectation d'une partie de ces soldes à des fins spécifiques, notamment : </w:t>
      </w:r>
      <w:r w:rsidR="00CC14B9">
        <w:rPr>
          <w:rFonts w:asciiTheme="minorHAnsi" w:eastAsia="Batang" w:hAnsiTheme="minorHAnsi"/>
          <w:color w:val="000000"/>
          <w:lang w:val="fr-FR" w:eastAsia="ko-KR"/>
        </w:rPr>
        <w:t>l</w:t>
      </w:r>
      <w:r w:rsidR="00704484" w:rsidRPr="00A4333E">
        <w:rPr>
          <w:rFonts w:asciiTheme="minorHAnsi" w:eastAsia="Batang" w:hAnsiTheme="minorHAnsi"/>
          <w:color w:val="000000"/>
          <w:lang w:val="fr-FR" w:eastAsia="ko-KR"/>
        </w:rPr>
        <w:t xml:space="preserve">a Journée mondiale des zones humides 2022 ; la révision et la consolidation des </w:t>
      </w:r>
      <w:r w:rsidR="008353E3" w:rsidRPr="00A4333E">
        <w:rPr>
          <w:rFonts w:asciiTheme="minorHAnsi" w:eastAsia="Batang" w:hAnsiTheme="minorHAnsi"/>
          <w:color w:val="000000"/>
          <w:lang w:val="fr-FR" w:eastAsia="ko-KR"/>
        </w:rPr>
        <w:lastRenderedPageBreak/>
        <w:t>R</w:t>
      </w:r>
      <w:r w:rsidR="00704484" w:rsidRPr="00A4333E">
        <w:rPr>
          <w:rFonts w:asciiTheme="minorHAnsi" w:eastAsia="Batang" w:hAnsiTheme="minorHAnsi"/>
          <w:color w:val="000000"/>
          <w:lang w:val="fr-FR" w:eastAsia="ko-KR"/>
        </w:rPr>
        <w:t xml:space="preserve">ésolutions ; les améliorations </w:t>
      </w:r>
      <w:r w:rsidR="00CC14B9">
        <w:rPr>
          <w:rFonts w:asciiTheme="minorHAnsi" w:eastAsia="Batang" w:hAnsiTheme="minorHAnsi"/>
          <w:color w:val="000000"/>
          <w:lang w:val="fr-FR" w:eastAsia="ko-KR"/>
        </w:rPr>
        <w:t>à apporter a</w:t>
      </w:r>
      <w:r w:rsidR="00704484" w:rsidRPr="00A4333E">
        <w:rPr>
          <w:rFonts w:asciiTheme="minorHAnsi" w:eastAsia="Batang" w:hAnsiTheme="minorHAnsi"/>
          <w:color w:val="000000"/>
          <w:lang w:val="fr-FR" w:eastAsia="ko-KR"/>
        </w:rPr>
        <w:t xml:space="preserve">u site Web de la Convention ; la révision du Plan stratégique ; et l'analyse financière et procédurale des options </w:t>
      </w:r>
      <w:r w:rsidR="00584886">
        <w:rPr>
          <w:rFonts w:asciiTheme="minorHAnsi" w:eastAsia="Batang" w:hAnsiTheme="minorHAnsi"/>
          <w:color w:val="000000"/>
          <w:lang w:val="fr-FR" w:eastAsia="ko-KR"/>
        </w:rPr>
        <w:t>concernant</w:t>
      </w:r>
      <w:r w:rsidR="00704484" w:rsidRPr="00A4333E">
        <w:rPr>
          <w:rFonts w:asciiTheme="minorHAnsi" w:eastAsia="Batang" w:hAnsiTheme="minorHAnsi"/>
          <w:color w:val="000000"/>
          <w:lang w:val="fr-FR" w:eastAsia="ko-KR"/>
        </w:rPr>
        <w:t xml:space="preserve"> le statut juridique du Secrétariat. </w:t>
      </w:r>
      <w:r w:rsidR="008353E3" w:rsidRPr="00A4333E">
        <w:rPr>
          <w:rFonts w:asciiTheme="minorHAnsi" w:eastAsia="Batang" w:hAnsiTheme="minorHAnsi"/>
          <w:color w:val="000000"/>
          <w:lang w:val="fr-FR" w:eastAsia="ko-KR"/>
        </w:rPr>
        <w:t>Par ailleurs</w:t>
      </w:r>
      <w:r w:rsidR="00704484" w:rsidRPr="00A4333E">
        <w:rPr>
          <w:rFonts w:asciiTheme="minorHAnsi" w:eastAsia="Batang" w:hAnsiTheme="minorHAnsi"/>
          <w:color w:val="000000"/>
          <w:lang w:val="fr-FR" w:eastAsia="ko-KR"/>
        </w:rPr>
        <w:t>, le Comité permanent a approuvé l'affectation d</w:t>
      </w:r>
      <w:r w:rsidR="00AA510A" w:rsidRPr="00A4333E">
        <w:rPr>
          <w:rFonts w:asciiTheme="minorHAnsi" w:eastAsia="Batang" w:hAnsiTheme="minorHAnsi"/>
          <w:color w:val="000000"/>
          <w:lang w:val="fr-FR" w:eastAsia="ko-KR"/>
        </w:rPr>
        <w:t xml:space="preserve">es sommes </w:t>
      </w:r>
      <w:r w:rsidR="00704484" w:rsidRPr="00A4333E">
        <w:rPr>
          <w:rFonts w:asciiTheme="minorHAnsi" w:eastAsia="Batang" w:hAnsiTheme="minorHAnsi"/>
          <w:color w:val="000000"/>
          <w:lang w:val="fr-FR" w:eastAsia="ko-KR"/>
        </w:rPr>
        <w:t>économi</w:t>
      </w:r>
      <w:r w:rsidR="00AA510A" w:rsidRPr="00A4333E">
        <w:rPr>
          <w:rFonts w:asciiTheme="minorHAnsi" w:eastAsia="Batang" w:hAnsiTheme="minorHAnsi"/>
          <w:color w:val="000000"/>
          <w:lang w:val="fr-FR" w:eastAsia="ko-KR"/>
        </w:rPr>
        <w:t>sé</w:t>
      </w:r>
      <w:r w:rsidR="00704484" w:rsidRPr="00A4333E">
        <w:rPr>
          <w:rFonts w:asciiTheme="minorHAnsi" w:eastAsia="Batang" w:hAnsiTheme="minorHAnsi"/>
          <w:color w:val="000000"/>
          <w:lang w:val="fr-FR" w:eastAsia="ko-KR"/>
        </w:rPr>
        <w:t xml:space="preserve">es pour couvrir le déficit du budget </w:t>
      </w:r>
      <w:r w:rsidR="008353E3" w:rsidRPr="00A4333E">
        <w:rPr>
          <w:rFonts w:asciiTheme="minorHAnsi" w:eastAsia="Batang" w:hAnsiTheme="minorHAnsi"/>
          <w:color w:val="000000"/>
          <w:lang w:val="fr-FR" w:eastAsia="ko-KR"/>
        </w:rPr>
        <w:t>administratif</w:t>
      </w:r>
      <w:r w:rsidR="00704484" w:rsidRPr="00A4333E">
        <w:rPr>
          <w:rFonts w:asciiTheme="minorHAnsi" w:eastAsia="Batang" w:hAnsiTheme="minorHAnsi"/>
          <w:color w:val="000000"/>
          <w:lang w:val="fr-FR" w:eastAsia="ko-KR"/>
        </w:rPr>
        <w:t xml:space="preserve"> des activités essentielles du Secrétariat pour 2022, pour augmenter </w:t>
      </w:r>
      <w:r w:rsidR="00704484" w:rsidRPr="00584886">
        <w:rPr>
          <w:rFonts w:asciiTheme="minorHAnsi" w:eastAsia="Batang" w:hAnsiTheme="minorHAnsi"/>
          <w:color w:val="000000"/>
          <w:lang w:val="fr-FR" w:eastAsia="ko-KR"/>
        </w:rPr>
        <w:t xml:space="preserve">la provision pour les </w:t>
      </w:r>
      <w:r w:rsidR="00584886" w:rsidRPr="00584886">
        <w:rPr>
          <w:rFonts w:asciiTheme="minorHAnsi" w:eastAsia="Batang" w:hAnsiTheme="minorHAnsi"/>
          <w:color w:val="000000"/>
          <w:lang w:val="fr-FR" w:eastAsia="ko-KR"/>
        </w:rPr>
        <w:t xml:space="preserve">arriérés de </w:t>
      </w:r>
      <w:r w:rsidR="00704484" w:rsidRPr="00584886">
        <w:rPr>
          <w:rFonts w:asciiTheme="minorHAnsi" w:eastAsia="Batang" w:hAnsiTheme="minorHAnsi"/>
          <w:color w:val="000000"/>
          <w:lang w:val="fr-FR" w:eastAsia="ko-KR"/>
        </w:rPr>
        <w:t>contributions en souffrance dans le budget 2022</w:t>
      </w:r>
      <w:r w:rsidR="00704484" w:rsidRPr="00A4333E">
        <w:rPr>
          <w:rFonts w:asciiTheme="minorHAnsi" w:eastAsia="Batang" w:hAnsiTheme="minorHAnsi"/>
          <w:color w:val="000000"/>
          <w:lang w:val="fr-FR" w:eastAsia="ko-KR"/>
        </w:rPr>
        <w:t xml:space="preserve"> et pour financer le recrutement du prochain Secrétaire général.</w:t>
      </w:r>
      <w:r w:rsidR="00A05CF6" w:rsidRPr="00A4333E">
        <w:rPr>
          <w:rFonts w:asciiTheme="minorHAnsi" w:eastAsia="Batang" w:hAnsiTheme="minorHAnsi"/>
          <w:color w:val="000000"/>
          <w:lang w:val="fr-FR" w:eastAsia="ko-KR"/>
        </w:rPr>
        <w:t xml:space="preserve"> </w:t>
      </w:r>
    </w:p>
    <w:p w14:paraId="1A5ED6CA" w14:textId="77777777" w:rsidR="005E72A4" w:rsidRPr="00A4333E" w:rsidRDefault="005E72A4" w:rsidP="002F77F4">
      <w:pPr>
        <w:ind w:firstLine="0"/>
        <w:rPr>
          <w:rFonts w:asciiTheme="minorHAnsi" w:eastAsia="Batang" w:hAnsiTheme="minorHAnsi"/>
          <w:color w:val="000000"/>
          <w:lang w:val="fr-FR" w:eastAsia="ko-KR"/>
        </w:rPr>
      </w:pPr>
    </w:p>
    <w:p w14:paraId="47894969" w14:textId="1207A53E" w:rsidR="00FD1CE3" w:rsidRPr="00A4333E" w:rsidRDefault="003231A5" w:rsidP="003231A5">
      <w:pPr>
        <w:rPr>
          <w:rFonts w:asciiTheme="minorHAnsi" w:eastAsia="Batang" w:hAnsiTheme="minorHAnsi"/>
          <w:color w:val="000000"/>
          <w:lang w:val="fr-FR" w:eastAsia="ko-KR"/>
        </w:rPr>
      </w:pPr>
      <w:r w:rsidRPr="00A4333E">
        <w:rPr>
          <w:rFonts w:asciiTheme="minorHAnsi" w:eastAsia="Batang" w:hAnsiTheme="minorHAnsi"/>
          <w:color w:val="000000"/>
          <w:lang w:val="fr-FR" w:eastAsia="ko-KR"/>
        </w:rPr>
        <w:t>12.</w:t>
      </w:r>
      <w:r w:rsidRPr="00A4333E">
        <w:rPr>
          <w:rFonts w:asciiTheme="minorHAnsi" w:eastAsia="Batang" w:hAnsiTheme="minorHAnsi"/>
          <w:color w:val="000000"/>
          <w:lang w:val="fr-FR" w:eastAsia="ko-KR"/>
        </w:rPr>
        <w:tab/>
      </w:r>
      <w:r w:rsidR="004D1290" w:rsidRPr="00A4333E">
        <w:rPr>
          <w:rFonts w:asciiTheme="minorHAnsi" w:eastAsia="Batang" w:hAnsiTheme="minorHAnsi"/>
          <w:color w:val="000000"/>
          <w:lang w:val="fr-FR" w:eastAsia="ko-KR"/>
        </w:rPr>
        <w:t>En outre, la 59</w:t>
      </w:r>
      <w:r w:rsidR="004D1290" w:rsidRPr="00A4333E">
        <w:rPr>
          <w:rFonts w:asciiTheme="minorHAnsi" w:eastAsia="Batang" w:hAnsiTheme="minorHAnsi"/>
          <w:color w:val="000000"/>
          <w:vertAlign w:val="superscript"/>
          <w:lang w:val="fr-FR" w:eastAsia="ko-KR"/>
        </w:rPr>
        <w:t>e</w:t>
      </w:r>
      <w:r w:rsidR="004D1290" w:rsidRPr="00A4333E">
        <w:rPr>
          <w:rFonts w:asciiTheme="minorHAnsi" w:eastAsia="Batang" w:hAnsiTheme="minorHAnsi"/>
          <w:color w:val="000000"/>
          <w:lang w:val="fr-FR" w:eastAsia="ko-KR"/>
        </w:rPr>
        <w:t xml:space="preserve"> Réunion du Comité permanent SC59/2022 a permis d’utiliser l'excédent accumulé en 2021 pendant la période triennale 2023-2025, pour combler le déficit du budget administratif et pour augmenter la provision pour les </w:t>
      </w:r>
      <w:r w:rsidR="006D3270" w:rsidRPr="00A4333E">
        <w:rPr>
          <w:rFonts w:asciiTheme="minorHAnsi" w:eastAsia="Batang" w:hAnsiTheme="minorHAnsi"/>
          <w:color w:val="000000"/>
          <w:lang w:val="fr-FR" w:eastAsia="ko-KR"/>
        </w:rPr>
        <w:t xml:space="preserve">arriérés de </w:t>
      </w:r>
      <w:r w:rsidR="004D1290" w:rsidRPr="00A4333E">
        <w:rPr>
          <w:rFonts w:asciiTheme="minorHAnsi" w:eastAsia="Batang" w:hAnsiTheme="minorHAnsi"/>
          <w:color w:val="000000"/>
          <w:lang w:val="fr-FR" w:eastAsia="ko-KR"/>
        </w:rPr>
        <w:t xml:space="preserve">contributions (voir le </w:t>
      </w:r>
      <w:r w:rsidR="002676AF" w:rsidRPr="00A4333E">
        <w:rPr>
          <w:rFonts w:asciiTheme="minorHAnsi" w:eastAsia="Batang" w:hAnsiTheme="minorHAnsi"/>
          <w:color w:val="000000"/>
          <w:lang w:val="fr-FR" w:eastAsia="ko-KR"/>
        </w:rPr>
        <w:t>T</w:t>
      </w:r>
      <w:r w:rsidR="004D1290" w:rsidRPr="00A4333E">
        <w:rPr>
          <w:rFonts w:asciiTheme="minorHAnsi" w:eastAsia="Batang" w:hAnsiTheme="minorHAnsi"/>
          <w:color w:val="000000"/>
          <w:lang w:val="fr-FR" w:eastAsia="ko-KR"/>
        </w:rPr>
        <w:t xml:space="preserve">ableau 3 du </w:t>
      </w:r>
      <w:r w:rsidR="002676AF" w:rsidRPr="00A4333E">
        <w:rPr>
          <w:rFonts w:asciiTheme="minorHAnsi" w:eastAsia="Batang" w:hAnsiTheme="minorHAnsi"/>
          <w:color w:val="000000"/>
          <w:lang w:val="fr-FR" w:eastAsia="ko-KR"/>
        </w:rPr>
        <w:t>r</w:t>
      </w:r>
      <w:r w:rsidR="004D1290" w:rsidRPr="00A4333E">
        <w:rPr>
          <w:rFonts w:asciiTheme="minorHAnsi" w:eastAsia="Batang" w:hAnsiTheme="minorHAnsi"/>
          <w:color w:val="000000"/>
          <w:lang w:val="fr-FR" w:eastAsia="ko-KR"/>
        </w:rPr>
        <w:t xml:space="preserve">apport du Sous-groupe sur les finances approuvé </w:t>
      </w:r>
      <w:r w:rsidR="002676AF" w:rsidRPr="00A4333E">
        <w:rPr>
          <w:rFonts w:asciiTheme="minorHAnsi" w:eastAsia="Batang" w:hAnsiTheme="minorHAnsi"/>
          <w:color w:val="000000"/>
          <w:lang w:val="fr-FR" w:eastAsia="ko-KR"/>
        </w:rPr>
        <w:t>lors de la 59</w:t>
      </w:r>
      <w:r w:rsidR="002676AF" w:rsidRPr="00A4333E">
        <w:rPr>
          <w:rFonts w:asciiTheme="minorHAnsi" w:eastAsia="Batang" w:hAnsiTheme="minorHAnsi"/>
          <w:color w:val="000000"/>
          <w:vertAlign w:val="superscript"/>
          <w:lang w:val="fr-FR" w:eastAsia="ko-KR"/>
        </w:rPr>
        <w:t>e</w:t>
      </w:r>
      <w:r w:rsidR="002676AF" w:rsidRPr="00A4333E">
        <w:rPr>
          <w:rFonts w:asciiTheme="minorHAnsi" w:eastAsia="Batang" w:hAnsiTheme="minorHAnsi"/>
          <w:color w:val="000000"/>
          <w:lang w:val="fr-FR" w:eastAsia="ko-KR"/>
        </w:rPr>
        <w:t xml:space="preserve"> Réunion du Comité permanent </w:t>
      </w:r>
      <w:r w:rsidR="004D1290" w:rsidRPr="00A4333E">
        <w:rPr>
          <w:rFonts w:asciiTheme="minorHAnsi" w:eastAsia="Batang" w:hAnsiTheme="minorHAnsi"/>
          <w:color w:val="000000"/>
          <w:lang w:val="fr-FR" w:eastAsia="ko-KR"/>
        </w:rPr>
        <w:t>SC59/2022, document SC59/2022 Com.2 Rev.1</w:t>
      </w:r>
      <w:r w:rsidR="004E0FD7" w:rsidRPr="00A4333E">
        <w:rPr>
          <w:rStyle w:val="FootnoteReference"/>
          <w:lang w:val="fr-FR"/>
        </w:rPr>
        <w:footnoteReference w:id="3"/>
      </w:r>
      <w:r w:rsidR="004D1290" w:rsidRPr="00A4333E">
        <w:rPr>
          <w:rFonts w:asciiTheme="minorHAnsi" w:eastAsia="Batang" w:hAnsiTheme="minorHAnsi"/>
          <w:color w:val="000000"/>
          <w:lang w:val="fr-FR" w:eastAsia="ko-KR"/>
        </w:rPr>
        <w:t>)</w:t>
      </w:r>
      <w:r w:rsidR="004E0FD7" w:rsidRPr="00A4333E">
        <w:rPr>
          <w:rFonts w:asciiTheme="minorHAnsi" w:eastAsia="Batang" w:hAnsiTheme="minorHAnsi"/>
          <w:color w:val="000000"/>
          <w:lang w:val="fr-FR" w:eastAsia="ko-KR"/>
        </w:rPr>
        <w:t xml:space="preserve"> ; un </w:t>
      </w:r>
      <w:r w:rsidR="004D1290" w:rsidRPr="00A4333E">
        <w:rPr>
          <w:rFonts w:asciiTheme="minorHAnsi" w:eastAsia="Batang" w:hAnsiTheme="minorHAnsi"/>
          <w:color w:val="000000"/>
          <w:lang w:val="fr-FR" w:eastAsia="ko-KR"/>
        </w:rPr>
        <w:t xml:space="preserve"> excédent important </w:t>
      </w:r>
      <w:r w:rsidR="004E0FD7" w:rsidRPr="00A4333E">
        <w:rPr>
          <w:rFonts w:asciiTheme="minorHAnsi" w:eastAsia="Batang" w:hAnsiTheme="minorHAnsi"/>
          <w:color w:val="000000"/>
          <w:lang w:val="fr-FR" w:eastAsia="ko-KR"/>
        </w:rPr>
        <w:t xml:space="preserve">du budget administratif accumulé en </w:t>
      </w:r>
      <w:r w:rsidR="004D1290" w:rsidRPr="00A4333E">
        <w:rPr>
          <w:rFonts w:asciiTheme="minorHAnsi" w:eastAsia="Batang" w:hAnsiTheme="minorHAnsi"/>
          <w:color w:val="000000"/>
          <w:lang w:val="fr-FR" w:eastAsia="ko-KR"/>
        </w:rPr>
        <w:t xml:space="preserve">2021 </w:t>
      </w:r>
      <w:r w:rsidR="004E0FD7" w:rsidRPr="00A4333E">
        <w:rPr>
          <w:rFonts w:asciiTheme="minorHAnsi" w:eastAsia="Batang" w:hAnsiTheme="minorHAnsi"/>
          <w:color w:val="000000"/>
          <w:lang w:val="fr-FR" w:eastAsia="ko-KR"/>
        </w:rPr>
        <w:t>sera affecté ultérieurement</w:t>
      </w:r>
      <w:r w:rsidR="00C14792" w:rsidRPr="00A4333E">
        <w:rPr>
          <w:rFonts w:asciiTheme="minorHAnsi" w:eastAsia="Batang" w:hAnsiTheme="minorHAnsi"/>
          <w:color w:val="000000"/>
          <w:lang w:val="fr-FR" w:eastAsia="ko-KR"/>
        </w:rPr>
        <w:t>.</w:t>
      </w:r>
    </w:p>
    <w:p w14:paraId="78D21429" w14:textId="77777777" w:rsidR="00C14792" w:rsidRPr="00A4333E" w:rsidRDefault="00C14792" w:rsidP="00327DFA">
      <w:pPr>
        <w:rPr>
          <w:rFonts w:asciiTheme="minorHAnsi" w:eastAsia="Batang" w:hAnsiTheme="minorHAnsi"/>
          <w:color w:val="000000"/>
          <w:lang w:val="fr-FR" w:eastAsia="ko-KR"/>
        </w:rPr>
      </w:pPr>
    </w:p>
    <w:p w14:paraId="4652378F" w14:textId="30D04F6C" w:rsidR="00A574C0" w:rsidRPr="00A4333E" w:rsidRDefault="003231A5" w:rsidP="00327DFA">
      <w:pPr>
        <w:rPr>
          <w:rFonts w:asciiTheme="minorHAnsi" w:eastAsia="Batang" w:hAnsiTheme="minorHAnsi"/>
          <w:color w:val="000000"/>
          <w:lang w:val="fr-FR" w:eastAsia="ko-KR"/>
        </w:rPr>
      </w:pPr>
      <w:r w:rsidRPr="00A4333E">
        <w:rPr>
          <w:rFonts w:asciiTheme="minorHAnsi" w:eastAsia="Batang" w:hAnsiTheme="minorHAnsi"/>
          <w:color w:val="000000"/>
          <w:lang w:val="fr-FR" w:eastAsia="ko-KR"/>
        </w:rPr>
        <w:t>13</w:t>
      </w:r>
      <w:r w:rsidR="00327DFA" w:rsidRPr="00A4333E">
        <w:rPr>
          <w:rFonts w:asciiTheme="minorHAnsi" w:eastAsia="Batang" w:hAnsiTheme="minorHAnsi"/>
          <w:color w:val="000000"/>
          <w:lang w:val="fr-FR" w:eastAsia="ko-KR"/>
        </w:rPr>
        <w:t>.</w:t>
      </w:r>
      <w:r w:rsidR="00327DFA" w:rsidRPr="00A4333E">
        <w:rPr>
          <w:rFonts w:asciiTheme="minorHAnsi" w:eastAsia="Batang" w:hAnsiTheme="minorHAnsi"/>
          <w:color w:val="000000"/>
          <w:lang w:val="fr-FR" w:eastAsia="ko-KR"/>
        </w:rPr>
        <w:tab/>
      </w:r>
      <w:r w:rsidR="009C0AF7" w:rsidRPr="00A4333E">
        <w:rPr>
          <w:rFonts w:asciiTheme="minorHAnsi" w:eastAsia="Batang" w:hAnsiTheme="minorHAnsi"/>
          <w:color w:val="000000"/>
          <w:lang w:val="fr-FR" w:eastAsia="ko-KR"/>
        </w:rPr>
        <w:t xml:space="preserve">Le Secrétariat a soumis les révisions annuelles des budgets </w:t>
      </w:r>
      <w:r w:rsidR="003F0281" w:rsidRPr="00A4333E">
        <w:rPr>
          <w:rFonts w:asciiTheme="minorHAnsi" w:eastAsia="Batang" w:hAnsiTheme="minorHAnsi"/>
          <w:color w:val="000000"/>
          <w:lang w:val="fr-FR" w:eastAsia="ko-KR"/>
        </w:rPr>
        <w:t xml:space="preserve">proposées </w:t>
      </w:r>
      <w:r w:rsidR="009C0AF7" w:rsidRPr="00A4333E">
        <w:rPr>
          <w:rFonts w:asciiTheme="minorHAnsi" w:eastAsia="Batang" w:hAnsiTheme="minorHAnsi"/>
          <w:color w:val="000000"/>
          <w:lang w:val="fr-FR" w:eastAsia="ko-KR"/>
        </w:rPr>
        <w:t xml:space="preserve">lors de la COP13 au Comité permanent qui les a approuvées lors de ses Réunions en 2019, 2020 et 2021. Il s’agissait de </w:t>
      </w:r>
      <w:r w:rsidR="003F0281" w:rsidRPr="00A4333E">
        <w:rPr>
          <w:rFonts w:asciiTheme="minorHAnsi" w:eastAsia="Batang" w:hAnsiTheme="minorHAnsi"/>
          <w:color w:val="000000"/>
          <w:lang w:val="fr-FR" w:eastAsia="ko-KR"/>
        </w:rPr>
        <w:t xml:space="preserve">décider de </w:t>
      </w:r>
      <w:r w:rsidR="009C0AF7" w:rsidRPr="00A4333E">
        <w:rPr>
          <w:rFonts w:asciiTheme="minorHAnsi" w:eastAsia="Batang" w:hAnsiTheme="minorHAnsi"/>
          <w:color w:val="000000"/>
          <w:lang w:val="fr-FR" w:eastAsia="ko-KR"/>
        </w:rPr>
        <w:t>l'utilisation des fonds excédentaires de la période triennale précédente, ainsi qu</w:t>
      </w:r>
      <w:r w:rsidR="003F0281" w:rsidRPr="00A4333E">
        <w:rPr>
          <w:rFonts w:asciiTheme="minorHAnsi" w:eastAsia="Batang" w:hAnsiTheme="minorHAnsi"/>
          <w:color w:val="000000"/>
          <w:lang w:val="fr-FR" w:eastAsia="ko-KR"/>
        </w:rPr>
        <w:t>e d</w:t>
      </w:r>
      <w:r w:rsidR="009C0AF7" w:rsidRPr="00A4333E">
        <w:rPr>
          <w:rFonts w:asciiTheme="minorHAnsi" w:eastAsia="Batang" w:hAnsiTheme="minorHAnsi"/>
          <w:color w:val="000000"/>
          <w:lang w:val="fr-FR" w:eastAsia="ko-KR"/>
        </w:rPr>
        <w:t xml:space="preserve">'un ajustement du budget 2020, en raison de la faible exécution du budget </w:t>
      </w:r>
      <w:r w:rsidR="0019366B">
        <w:rPr>
          <w:rFonts w:asciiTheme="minorHAnsi" w:eastAsia="Batang" w:hAnsiTheme="minorHAnsi"/>
          <w:color w:val="000000"/>
          <w:lang w:val="fr-FR" w:eastAsia="ko-KR"/>
        </w:rPr>
        <w:t>suite à</w:t>
      </w:r>
      <w:r w:rsidR="009C0AF7" w:rsidRPr="00A4333E">
        <w:rPr>
          <w:rFonts w:asciiTheme="minorHAnsi" w:eastAsia="Batang" w:hAnsiTheme="minorHAnsi"/>
          <w:color w:val="000000"/>
          <w:lang w:val="fr-FR" w:eastAsia="ko-KR"/>
        </w:rPr>
        <w:t xml:space="preserve"> la pandémie de COVID-19 et des économies de report non engagées </w:t>
      </w:r>
      <w:r w:rsidR="003F0281" w:rsidRPr="00A4333E">
        <w:rPr>
          <w:rFonts w:asciiTheme="minorHAnsi" w:eastAsia="Batang" w:hAnsiTheme="minorHAnsi"/>
          <w:color w:val="000000"/>
          <w:lang w:val="fr-FR" w:eastAsia="ko-KR"/>
        </w:rPr>
        <w:t>pendant</w:t>
      </w:r>
      <w:r w:rsidR="009C0AF7" w:rsidRPr="00A4333E">
        <w:rPr>
          <w:rFonts w:asciiTheme="minorHAnsi" w:eastAsia="Batang" w:hAnsiTheme="minorHAnsi"/>
          <w:color w:val="000000"/>
          <w:lang w:val="fr-FR" w:eastAsia="ko-KR"/>
        </w:rPr>
        <w:t xml:space="preserve"> la période triennale 2019-2021</w:t>
      </w:r>
      <w:r w:rsidR="00C14792" w:rsidRPr="00A4333E">
        <w:rPr>
          <w:rFonts w:asciiTheme="minorHAnsi" w:eastAsia="Batang" w:hAnsiTheme="minorHAnsi"/>
          <w:color w:val="000000"/>
          <w:lang w:val="fr-FR" w:eastAsia="ko-KR"/>
        </w:rPr>
        <w:t>.</w:t>
      </w:r>
      <w:r w:rsidR="00A574C0" w:rsidRPr="00A4333E">
        <w:rPr>
          <w:rFonts w:asciiTheme="minorHAnsi" w:eastAsia="Batang" w:hAnsiTheme="minorHAnsi"/>
          <w:color w:val="000000"/>
          <w:lang w:val="fr-FR" w:eastAsia="ko-KR"/>
        </w:rPr>
        <w:t xml:space="preserve"> </w:t>
      </w:r>
    </w:p>
    <w:p w14:paraId="4435BDEA" w14:textId="77777777" w:rsidR="00A574C0" w:rsidRPr="00A4333E" w:rsidRDefault="00A574C0" w:rsidP="00327DFA">
      <w:pPr>
        <w:rPr>
          <w:rFonts w:asciiTheme="minorHAnsi" w:eastAsia="Batang" w:hAnsiTheme="minorHAnsi"/>
          <w:color w:val="000000"/>
          <w:lang w:val="fr-FR" w:eastAsia="ko-KR"/>
        </w:rPr>
      </w:pPr>
    </w:p>
    <w:p w14:paraId="5D5195BE" w14:textId="74D33649" w:rsidR="00D4581F" w:rsidRPr="00A4333E" w:rsidRDefault="00E061E3" w:rsidP="00D4581F">
      <w:pPr>
        <w:pStyle w:val="MGfulltext"/>
        <w:spacing w:after="0"/>
        <w:rPr>
          <w:rFonts w:asciiTheme="minorHAnsi" w:eastAsia="Batang" w:hAnsiTheme="minorHAnsi" w:cs="Times New Roman"/>
          <w:sz w:val="22"/>
          <w:szCs w:val="22"/>
          <w:u w:val="single"/>
          <w:lang w:val="fr-FR"/>
        </w:rPr>
      </w:pPr>
      <w:r w:rsidRPr="00A4333E">
        <w:rPr>
          <w:rFonts w:asciiTheme="minorHAnsi" w:eastAsia="Batang" w:hAnsiTheme="minorHAnsi" w:cs="Times New Roman"/>
          <w:sz w:val="22"/>
          <w:szCs w:val="22"/>
          <w:u w:val="single"/>
          <w:lang w:val="fr-FR"/>
        </w:rPr>
        <w:t>B</w:t>
      </w:r>
      <w:r w:rsidR="00D4581F" w:rsidRPr="00A4333E">
        <w:rPr>
          <w:rFonts w:asciiTheme="minorHAnsi" w:eastAsia="Batang" w:hAnsiTheme="minorHAnsi" w:cs="Times New Roman"/>
          <w:sz w:val="22"/>
          <w:szCs w:val="22"/>
          <w:u w:val="single"/>
          <w:lang w:val="fr-FR"/>
        </w:rPr>
        <w:t xml:space="preserve">udget </w:t>
      </w:r>
      <w:r w:rsidRPr="00A4333E">
        <w:rPr>
          <w:rFonts w:asciiTheme="minorHAnsi" w:eastAsia="Batang" w:hAnsiTheme="minorHAnsi" w:cs="Times New Roman"/>
          <w:sz w:val="22"/>
          <w:szCs w:val="22"/>
          <w:u w:val="single"/>
          <w:lang w:val="fr-FR"/>
        </w:rPr>
        <w:t xml:space="preserve">administratif pour la période triennale </w:t>
      </w:r>
      <w:r w:rsidR="007E1946" w:rsidRPr="00A4333E">
        <w:rPr>
          <w:rFonts w:asciiTheme="minorHAnsi" w:eastAsia="Batang" w:hAnsiTheme="minorHAnsi" w:cs="Times New Roman"/>
          <w:sz w:val="22"/>
          <w:szCs w:val="22"/>
          <w:u w:val="single"/>
          <w:lang w:val="fr-FR"/>
        </w:rPr>
        <w:t>2023</w:t>
      </w:r>
      <w:r w:rsidR="00D4581F" w:rsidRPr="00A4333E">
        <w:rPr>
          <w:rFonts w:asciiTheme="minorHAnsi" w:eastAsia="Batang" w:hAnsiTheme="minorHAnsi" w:cs="Times New Roman"/>
          <w:sz w:val="22"/>
          <w:szCs w:val="22"/>
          <w:u w:val="single"/>
          <w:lang w:val="fr-FR"/>
        </w:rPr>
        <w:t>-</w:t>
      </w:r>
      <w:r w:rsidR="007E1946" w:rsidRPr="00A4333E">
        <w:rPr>
          <w:rFonts w:asciiTheme="minorHAnsi" w:eastAsia="Batang" w:hAnsiTheme="minorHAnsi" w:cs="Times New Roman"/>
          <w:sz w:val="22"/>
          <w:szCs w:val="22"/>
          <w:u w:val="single"/>
          <w:lang w:val="fr-FR"/>
        </w:rPr>
        <w:t xml:space="preserve">2025 </w:t>
      </w:r>
      <w:r w:rsidR="00D4581F" w:rsidRPr="00A4333E">
        <w:rPr>
          <w:rFonts w:asciiTheme="minorHAnsi" w:eastAsia="Batang" w:hAnsiTheme="minorHAnsi" w:cs="Times New Roman"/>
          <w:sz w:val="22"/>
          <w:szCs w:val="22"/>
          <w:u w:val="single"/>
          <w:lang w:val="fr-FR"/>
        </w:rPr>
        <w:t>(Annex</w:t>
      </w:r>
      <w:r w:rsidRPr="00A4333E">
        <w:rPr>
          <w:rFonts w:asciiTheme="minorHAnsi" w:eastAsia="Batang" w:hAnsiTheme="minorHAnsi" w:cs="Times New Roman"/>
          <w:sz w:val="22"/>
          <w:szCs w:val="22"/>
          <w:u w:val="single"/>
          <w:lang w:val="fr-FR"/>
        </w:rPr>
        <w:t>e</w:t>
      </w:r>
      <w:r w:rsidR="00D4581F" w:rsidRPr="00A4333E">
        <w:rPr>
          <w:rFonts w:asciiTheme="minorHAnsi" w:eastAsia="Batang" w:hAnsiTheme="minorHAnsi" w:cs="Times New Roman"/>
          <w:sz w:val="22"/>
          <w:szCs w:val="22"/>
          <w:u w:val="single"/>
          <w:lang w:val="fr-FR"/>
        </w:rPr>
        <w:t xml:space="preserve"> </w:t>
      </w:r>
      <w:r w:rsidR="002B3EE6" w:rsidRPr="00A4333E">
        <w:rPr>
          <w:rFonts w:asciiTheme="minorHAnsi" w:eastAsia="Batang" w:hAnsiTheme="minorHAnsi" w:cs="Times New Roman"/>
          <w:sz w:val="22"/>
          <w:szCs w:val="22"/>
          <w:u w:val="single"/>
          <w:lang w:val="fr-FR"/>
        </w:rPr>
        <w:t>2</w:t>
      </w:r>
      <w:r w:rsidR="00D4581F" w:rsidRPr="00A4333E">
        <w:rPr>
          <w:rFonts w:asciiTheme="minorHAnsi" w:eastAsia="Batang" w:hAnsiTheme="minorHAnsi" w:cs="Times New Roman"/>
          <w:sz w:val="22"/>
          <w:szCs w:val="22"/>
          <w:u w:val="single"/>
          <w:lang w:val="fr-FR"/>
        </w:rPr>
        <w:t>)</w:t>
      </w:r>
    </w:p>
    <w:p w14:paraId="1DEA8805" w14:textId="77777777" w:rsidR="00D4581F" w:rsidRPr="00A4333E" w:rsidRDefault="00D4581F" w:rsidP="00D4581F">
      <w:pPr>
        <w:pStyle w:val="MGfulltext"/>
        <w:tabs>
          <w:tab w:val="left" w:pos="5199"/>
        </w:tabs>
        <w:spacing w:after="0"/>
        <w:rPr>
          <w:rFonts w:asciiTheme="minorHAnsi" w:eastAsia="Batang" w:hAnsiTheme="minorHAnsi" w:cs="Times New Roman"/>
          <w:b/>
          <w:sz w:val="22"/>
          <w:szCs w:val="22"/>
          <w:lang w:val="fr-FR"/>
        </w:rPr>
      </w:pPr>
    </w:p>
    <w:p w14:paraId="4970F42B" w14:textId="288A9220" w:rsidR="00D15464" w:rsidRPr="00A4333E" w:rsidRDefault="003231A5" w:rsidP="003231A5">
      <w:pPr>
        <w:ind w:left="426" w:hanging="426"/>
        <w:rPr>
          <w:rFonts w:asciiTheme="minorHAnsi" w:eastAsia="Batang" w:hAnsiTheme="minorHAnsi"/>
          <w:color w:val="000000"/>
          <w:lang w:val="fr-FR" w:eastAsia="ko-KR"/>
        </w:rPr>
      </w:pPr>
      <w:r w:rsidRPr="00A4333E">
        <w:rPr>
          <w:rFonts w:asciiTheme="minorHAnsi" w:eastAsia="Batang" w:hAnsiTheme="minorHAnsi"/>
          <w:color w:val="000000"/>
          <w:lang w:val="fr-FR" w:eastAsia="ko-KR"/>
        </w:rPr>
        <w:t>14</w:t>
      </w:r>
      <w:r w:rsidR="00327DFA" w:rsidRPr="00A4333E">
        <w:rPr>
          <w:rFonts w:asciiTheme="minorHAnsi" w:eastAsia="Batang" w:hAnsiTheme="minorHAnsi"/>
          <w:color w:val="000000"/>
          <w:lang w:val="fr-FR" w:eastAsia="ko-KR"/>
        </w:rPr>
        <w:t>.</w:t>
      </w:r>
      <w:r w:rsidR="00327DFA" w:rsidRPr="00A4333E">
        <w:rPr>
          <w:rFonts w:asciiTheme="minorHAnsi" w:eastAsia="Batang" w:hAnsiTheme="minorHAnsi"/>
          <w:color w:val="000000"/>
          <w:lang w:val="fr-FR" w:eastAsia="ko-KR"/>
        </w:rPr>
        <w:tab/>
      </w:r>
      <w:r w:rsidR="00E061E3" w:rsidRPr="00A4333E">
        <w:rPr>
          <w:rFonts w:asciiTheme="minorHAnsi" w:eastAsia="Batang" w:hAnsiTheme="minorHAnsi"/>
          <w:color w:val="000000"/>
          <w:lang w:val="fr-FR" w:eastAsia="ko-KR"/>
        </w:rPr>
        <w:t>Pour la période triennale 2023-2025, le Secrétariat a présenté trois scénarios budgétaires au Comité permanent lors de la 59</w:t>
      </w:r>
      <w:r w:rsidR="00E061E3" w:rsidRPr="00A4333E">
        <w:rPr>
          <w:rFonts w:asciiTheme="minorHAnsi" w:eastAsia="Batang" w:hAnsiTheme="minorHAnsi"/>
          <w:color w:val="000000"/>
          <w:vertAlign w:val="superscript"/>
          <w:lang w:val="fr-FR" w:eastAsia="ko-KR"/>
        </w:rPr>
        <w:t>e</w:t>
      </w:r>
      <w:r w:rsidR="00E061E3" w:rsidRPr="00A4333E">
        <w:rPr>
          <w:rFonts w:asciiTheme="minorHAnsi" w:eastAsia="Batang" w:hAnsiTheme="minorHAnsi"/>
          <w:color w:val="000000"/>
          <w:lang w:val="fr-FR" w:eastAsia="ko-KR"/>
        </w:rPr>
        <w:t xml:space="preserve"> Réunion du Comité permanent SC59/2022 (voir document SC59/2022 Doc.8.3</w:t>
      </w:r>
      <w:r w:rsidR="00E061E3" w:rsidRPr="00A4333E">
        <w:rPr>
          <w:rStyle w:val="FootnoteReference"/>
          <w:rFonts w:asciiTheme="minorHAnsi" w:eastAsia="Batang" w:hAnsiTheme="minorHAnsi"/>
          <w:color w:val="000000"/>
          <w:lang w:val="fr-FR" w:eastAsia="ko-KR"/>
        </w:rPr>
        <w:footnoteReference w:id="4"/>
      </w:r>
      <w:r w:rsidR="00E061E3" w:rsidRPr="00A4333E">
        <w:rPr>
          <w:rFonts w:asciiTheme="minorHAnsi" w:eastAsia="Batang" w:hAnsiTheme="minorHAnsi"/>
          <w:color w:val="000000"/>
          <w:lang w:val="fr-FR" w:eastAsia="ko-KR"/>
        </w:rPr>
        <w:t xml:space="preserve"> ), qui s’appuyaient sur les besoins réels et n</w:t>
      </w:r>
      <w:r w:rsidR="00C274AE" w:rsidRPr="00A4333E">
        <w:rPr>
          <w:rFonts w:asciiTheme="minorHAnsi" w:eastAsia="Batang" w:hAnsiTheme="minorHAnsi"/>
          <w:color w:val="000000"/>
          <w:lang w:val="fr-FR" w:eastAsia="ko-KR"/>
        </w:rPr>
        <w:t xml:space="preserve">e tenaient compte d’aucune demande </w:t>
      </w:r>
      <w:r w:rsidR="00E061E3" w:rsidRPr="00A4333E">
        <w:rPr>
          <w:rFonts w:asciiTheme="minorHAnsi" w:eastAsia="Batang" w:hAnsiTheme="minorHAnsi"/>
          <w:color w:val="000000"/>
          <w:lang w:val="fr-FR" w:eastAsia="ko-KR"/>
        </w:rPr>
        <w:t xml:space="preserve">de financement </w:t>
      </w:r>
      <w:r w:rsidR="00C274AE" w:rsidRPr="00A4333E">
        <w:rPr>
          <w:rFonts w:asciiTheme="minorHAnsi" w:eastAsia="Batang" w:hAnsiTheme="minorHAnsi"/>
          <w:color w:val="000000"/>
          <w:lang w:val="fr-FR" w:eastAsia="ko-KR"/>
        </w:rPr>
        <w:t xml:space="preserve">issue </w:t>
      </w:r>
      <w:r w:rsidR="00E061E3" w:rsidRPr="00A4333E">
        <w:rPr>
          <w:rFonts w:asciiTheme="minorHAnsi" w:eastAsia="Batang" w:hAnsiTheme="minorHAnsi"/>
          <w:color w:val="000000"/>
          <w:lang w:val="fr-FR" w:eastAsia="ko-KR"/>
        </w:rPr>
        <w:t>des projets de résolution soumis. Ces scénarios étaient :</w:t>
      </w:r>
    </w:p>
    <w:p w14:paraId="0D53F2FC" w14:textId="77777777" w:rsidR="006449B6" w:rsidRPr="00A4333E" w:rsidRDefault="006449B6" w:rsidP="006449B6">
      <w:pPr>
        <w:pStyle w:val="MGfulltext"/>
        <w:spacing w:after="0"/>
        <w:ind w:left="720"/>
        <w:rPr>
          <w:rFonts w:asciiTheme="minorHAnsi" w:eastAsia="Batang" w:hAnsiTheme="minorHAnsi" w:cs="Times New Roman"/>
          <w:sz w:val="22"/>
          <w:szCs w:val="22"/>
          <w:lang w:val="fr-FR"/>
        </w:rPr>
      </w:pPr>
    </w:p>
    <w:p w14:paraId="689D6D75" w14:textId="696B60BD" w:rsidR="005F4BF4" w:rsidRPr="00A4333E" w:rsidRDefault="00AE1F9C" w:rsidP="005340AC">
      <w:pPr>
        <w:pStyle w:val="MGfulltext"/>
        <w:spacing w:after="0"/>
        <w:ind w:left="850" w:hanging="425"/>
        <w:rPr>
          <w:rFonts w:asciiTheme="minorHAnsi" w:eastAsia="Batang" w:hAnsiTheme="minorHAnsi" w:cs="Times New Roman"/>
          <w:sz w:val="22"/>
          <w:szCs w:val="22"/>
          <w:lang w:val="fr-FR"/>
        </w:rPr>
      </w:pPr>
      <w:r w:rsidRPr="00A4333E">
        <w:rPr>
          <w:rFonts w:asciiTheme="minorHAnsi" w:eastAsia="Batang" w:hAnsiTheme="minorHAnsi" w:cs="Times New Roman"/>
          <w:sz w:val="22"/>
          <w:szCs w:val="22"/>
          <w:lang w:val="fr-FR"/>
        </w:rPr>
        <w:t>a.</w:t>
      </w:r>
      <w:r w:rsidRPr="00A4333E">
        <w:rPr>
          <w:rFonts w:asciiTheme="minorHAnsi" w:eastAsia="Batang" w:hAnsiTheme="minorHAnsi" w:cs="Times New Roman"/>
          <w:sz w:val="22"/>
          <w:szCs w:val="22"/>
          <w:lang w:val="fr-FR"/>
        </w:rPr>
        <w:tab/>
      </w:r>
      <w:r w:rsidR="00E23B34" w:rsidRPr="00A4333E">
        <w:rPr>
          <w:rFonts w:asciiTheme="minorHAnsi" w:eastAsia="Batang" w:hAnsiTheme="minorHAnsi" w:cs="Times New Roman"/>
          <w:sz w:val="22"/>
          <w:szCs w:val="22"/>
          <w:lang w:val="fr-FR"/>
        </w:rPr>
        <w:t xml:space="preserve">une augmentation de 0 % par rapport aux budgets triennaux 2016-2018 et 2019-2021, en conservant les niveaux de dotation actuels et une disposition </w:t>
      </w:r>
      <w:r w:rsidR="000B1096">
        <w:rPr>
          <w:rFonts w:asciiTheme="minorHAnsi" w:eastAsia="Batang" w:hAnsiTheme="minorHAnsi" w:cs="Times New Roman"/>
          <w:sz w:val="22"/>
          <w:szCs w:val="22"/>
          <w:lang w:val="fr-FR"/>
        </w:rPr>
        <w:t xml:space="preserve">permettant de verser </w:t>
      </w:r>
      <w:r w:rsidR="00E23B34" w:rsidRPr="00A4333E">
        <w:rPr>
          <w:rFonts w:asciiTheme="minorHAnsi" w:eastAsia="Batang" w:hAnsiTheme="minorHAnsi" w:cs="Times New Roman"/>
          <w:sz w:val="22"/>
          <w:szCs w:val="22"/>
          <w:lang w:val="fr-FR"/>
        </w:rPr>
        <w:t>de</w:t>
      </w:r>
      <w:r w:rsidR="000B1096">
        <w:rPr>
          <w:rFonts w:asciiTheme="minorHAnsi" w:eastAsia="Batang" w:hAnsiTheme="minorHAnsi" w:cs="Times New Roman"/>
          <w:sz w:val="22"/>
          <w:szCs w:val="22"/>
          <w:lang w:val="fr-FR"/>
        </w:rPr>
        <w:t>s</w:t>
      </w:r>
      <w:r w:rsidR="00E23B34" w:rsidRPr="00A4333E">
        <w:rPr>
          <w:rFonts w:asciiTheme="minorHAnsi" w:eastAsia="Batang" w:hAnsiTheme="minorHAnsi" w:cs="Times New Roman"/>
          <w:sz w:val="22"/>
          <w:szCs w:val="22"/>
          <w:lang w:val="fr-FR"/>
        </w:rPr>
        <w:t xml:space="preserve"> bonus </w:t>
      </w:r>
      <w:r w:rsidR="000B1096">
        <w:rPr>
          <w:rFonts w:asciiTheme="minorHAnsi" w:eastAsia="Batang" w:hAnsiTheme="minorHAnsi" w:cs="Times New Roman"/>
          <w:sz w:val="22"/>
          <w:szCs w:val="22"/>
          <w:lang w:val="fr-FR"/>
        </w:rPr>
        <w:t>au personnel sur la base des</w:t>
      </w:r>
      <w:r w:rsidR="00E23B34" w:rsidRPr="00A4333E">
        <w:rPr>
          <w:rFonts w:asciiTheme="minorHAnsi" w:eastAsia="Batang" w:hAnsiTheme="minorHAnsi" w:cs="Times New Roman"/>
          <w:sz w:val="22"/>
          <w:szCs w:val="22"/>
          <w:lang w:val="fr-FR"/>
        </w:rPr>
        <w:t xml:space="preserve"> </w:t>
      </w:r>
      <w:r w:rsidR="000B1096">
        <w:rPr>
          <w:rFonts w:asciiTheme="minorHAnsi" w:eastAsia="Batang" w:hAnsiTheme="minorHAnsi" w:cs="Times New Roman"/>
          <w:sz w:val="22"/>
          <w:szCs w:val="22"/>
          <w:lang w:val="fr-FR"/>
        </w:rPr>
        <w:t>p</w:t>
      </w:r>
      <w:r w:rsidR="00E23B34" w:rsidRPr="00A4333E">
        <w:rPr>
          <w:rFonts w:asciiTheme="minorHAnsi" w:eastAsia="Batang" w:hAnsiTheme="minorHAnsi" w:cs="Times New Roman"/>
          <w:sz w:val="22"/>
          <w:szCs w:val="22"/>
          <w:lang w:val="fr-FR"/>
        </w:rPr>
        <w:t>erformances (</w:t>
      </w:r>
      <w:r w:rsidR="0019366B">
        <w:rPr>
          <w:rFonts w:asciiTheme="minorHAnsi" w:eastAsia="Batang" w:hAnsiTheme="minorHAnsi" w:cs="Times New Roman"/>
          <w:sz w:val="22"/>
          <w:szCs w:val="22"/>
          <w:lang w:val="fr-FR"/>
        </w:rPr>
        <w:t>S</w:t>
      </w:r>
      <w:r w:rsidR="00E23B34" w:rsidRPr="00A4333E">
        <w:rPr>
          <w:rFonts w:asciiTheme="minorHAnsi" w:eastAsia="Batang" w:hAnsiTheme="minorHAnsi" w:cs="Times New Roman"/>
          <w:sz w:val="22"/>
          <w:szCs w:val="22"/>
          <w:lang w:val="fr-FR"/>
        </w:rPr>
        <w:t>cénario A) ;</w:t>
      </w:r>
    </w:p>
    <w:p w14:paraId="7A7D1F61" w14:textId="77777777" w:rsidR="006449B6" w:rsidRPr="00A4333E" w:rsidRDefault="006449B6" w:rsidP="00902768">
      <w:pPr>
        <w:pStyle w:val="MGfulltext"/>
        <w:spacing w:after="0"/>
        <w:ind w:left="850" w:hanging="425"/>
        <w:rPr>
          <w:rFonts w:asciiTheme="minorHAnsi" w:eastAsia="Batang" w:hAnsiTheme="minorHAnsi" w:cs="Times New Roman"/>
          <w:sz w:val="22"/>
          <w:szCs w:val="22"/>
          <w:lang w:val="fr-FR"/>
        </w:rPr>
      </w:pPr>
    </w:p>
    <w:p w14:paraId="2D29D270" w14:textId="2BEBA0BD" w:rsidR="005F4BF4" w:rsidRPr="00A4333E" w:rsidRDefault="00902768" w:rsidP="00902768">
      <w:pPr>
        <w:pStyle w:val="MGfulltext"/>
        <w:spacing w:after="0"/>
        <w:ind w:left="850" w:hanging="425"/>
        <w:rPr>
          <w:rFonts w:asciiTheme="minorHAnsi" w:eastAsia="Batang" w:hAnsiTheme="minorHAnsi" w:cs="Times New Roman"/>
          <w:sz w:val="22"/>
          <w:szCs w:val="22"/>
          <w:lang w:val="fr-FR"/>
        </w:rPr>
      </w:pPr>
      <w:r w:rsidRPr="00A4333E">
        <w:rPr>
          <w:rFonts w:asciiTheme="minorHAnsi" w:eastAsia="Batang" w:hAnsiTheme="minorHAnsi" w:cs="Times New Roman"/>
          <w:sz w:val="22"/>
          <w:szCs w:val="22"/>
          <w:lang w:val="fr-FR"/>
        </w:rPr>
        <w:t>b.</w:t>
      </w:r>
      <w:r w:rsidRPr="00A4333E">
        <w:rPr>
          <w:rFonts w:asciiTheme="minorHAnsi" w:eastAsia="Batang" w:hAnsiTheme="minorHAnsi" w:cs="Times New Roman"/>
          <w:sz w:val="22"/>
          <w:szCs w:val="22"/>
          <w:lang w:val="fr-FR"/>
        </w:rPr>
        <w:tab/>
      </w:r>
      <w:r w:rsidR="00643CA9" w:rsidRPr="00A4333E">
        <w:rPr>
          <w:rFonts w:asciiTheme="minorHAnsi" w:eastAsia="Batang" w:hAnsiTheme="minorHAnsi" w:cs="Times New Roman"/>
          <w:sz w:val="22"/>
          <w:szCs w:val="22"/>
          <w:lang w:val="fr-FR"/>
        </w:rPr>
        <w:t>une augmentation de 2,8 % (438 000 CHF) par rapport à la période triennale 2019-2021, en se fondant sur l'augmentation de 0 %, plus une provision pour les augmentations de salaire et les promotions fondées sur les performances</w:t>
      </w:r>
      <w:r w:rsidR="00D64062">
        <w:rPr>
          <w:rFonts w:asciiTheme="minorHAnsi" w:eastAsia="Batang" w:hAnsiTheme="minorHAnsi" w:cs="Times New Roman"/>
          <w:sz w:val="22"/>
          <w:szCs w:val="22"/>
          <w:lang w:val="fr-FR"/>
        </w:rPr>
        <w:t>, ainsi qu’</w:t>
      </w:r>
      <w:r w:rsidR="00643CA9" w:rsidRPr="00A4333E">
        <w:rPr>
          <w:rFonts w:asciiTheme="minorHAnsi" w:eastAsia="Batang" w:hAnsiTheme="minorHAnsi" w:cs="Times New Roman"/>
          <w:sz w:val="22"/>
          <w:szCs w:val="22"/>
          <w:lang w:val="fr-FR"/>
        </w:rPr>
        <w:t xml:space="preserve">une augmentation des lignes budgétaires relatives aux voyages, aux communications, à la mise en œuvre </w:t>
      </w:r>
      <w:r w:rsidR="00D64062">
        <w:rPr>
          <w:rFonts w:asciiTheme="minorHAnsi" w:eastAsia="Batang" w:hAnsiTheme="minorHAnsi" w:cs="Times New Roman"/>
          <w:sz w:val="22"/>
          <w:szCs w:val="22"/>
          <w:lang w:val="fr-FR"/>
        </w:rPr>
        <w:t xml:space="preserve">des travaux </w:t>
      </w:r>
      <w:r w:rsidR="00643CA9" w:rsidRPr="00A4333E">
        <w:rPr>
          <w:rFonts w:asciiTheme="minorHAnsi" w:eastAsia="Batang" w:hAnsiTheme="minorHAnsi" w:cs="Times New Roman"/>
          <w:sz w:val="22"/>
          <w:szCs w:val="22"/>
          <w:lang w:val="fr-FR"/>
        </w:rPr>
        <w:t>du GEST et au renforcement des capacités, qui avaient été réduites lors de la création du poste d'assistant financier et comptable (</w:t>
      </w:r>
      <w:r w:rsidR="0019366B">
        <w:rPr>
          <w:rFonts w:asciiTheme="minorHAnsi" w:eastAsia="Batang" w:hAnsiTheme="minorHAnsi" w:cs="Times New Roman"/>
          <w:sz w:val="22"/>
          <w:szCs w:val="22"/>
          <w:lang w:val="fr-FR"/>
        </w:rPr>
        <w:t>S</w:t>
      </w:r>
      <w:r w:rsidR="00643CA9" w:rsidRPr="00A4333E">
        <w:rPr>
          <w:rFonts w:asciiTheme="minorHAnsi" w:eastAsia="Batang" w:hAnsiTheme="minorHAnsi" w:cs="Times New Roman"/>
          <w:sz w:val="22"/>
          <w:szCs w:val="22"/>
          <w:lang w:val="fr-FR"/>
        </w:rPr>
        <w:t>cénario B) ; et</w:t>
      </w:r>
      <w:r w:rsidR="00DD0BD9" w:rsidRPr="00A4333E">
        <w:rPr>
          <w:rFonts w:asciiTheme="minorHAnsi" w:eastAsia="Batang" w:hAnsiTheme="minorHAnsi" w:cs="Times New Roman"/>
          <w:sz w:val="22"/>
          <w:szCs w:val="22"/>
          <w:lang w:val="fr-FR"/>
        </w:rPr>
        <w:t xml:space="preserve"> </w:t>
      </w:r>
    </w:p>
    <w:p w14:paraId="387AD274" w14:textId="77777777" w:rsidR="006449B6" w:rsidRPr="00A4333E" w:rsidRDefault="006449B6" w:rsidP="00902768">
      <w:pPr>
        <w:pStyle w:val="MGfulltext"/>
        <w:spacing w:after="0"/>
        <w:ind w:left="850" w:hanging="425"/>
        <w:rPr>
          <w:rFonts w:asciiTheme="minorHAnsi" w:eastAsia="Batang" w:hAnsiTheme="minorHAnsi" w:cs="Times New Roman"/>
          <w:sz w:val="22"/>
          <w:szCs w:val="22"/>
          <w:lang w:val="fr-FR"/>
        </w:rPr>
      </w:pPr>
    </w:p>
    <w:p w14:paraId="5AE875B8" w14:textId="4F84AA80" w:rsidR="001F4370" w:rsidRPr="00A4333E" w:rsidRDefault="00902768" w:rsidP="00902768">
      <w:pPr>
        <w:pStyle w:val="MGfulltext"/>
        <w:spacing w:after="0"/>
        <w:ind w:left="850" w:hanging="425"/>
        <w:rPr>
          <w:rFonts w:asciiTheme="minorHAnsi" w:eastAsia="Batang" w:hAnsiTheme="minorHAnsi" w:cs="Times New Roman"/>
          <w:sz w:val="22"/>
          <w:szCs w:val="22"/>
          <w:lang w:val="fr-FR"/>
        </w:rPr>
      </w:pPr>
      <w:r w:rsidRPr="00A4333E">
        <w:rPr>
          <w:rFonts w:asciiTheme="minorHAnsi" w:eastAsia="Batang" w:hAnsiTheme="minorHAnsi" w:cs="Times New Roman"/>
          <w:sz w:val="22"/>
          <w:szCs w:val="22"/>
          <w:lang w:val="fr-FR"/>
        </w:rPr>
        <w:t>c.</w:t>
      </w:r>
      <w:r w:rsidRPr="00A4333E">
        <w:rPr>
          <w:rFonts w:asciiTheme="minorHAnsi" w:eastAsia="Batang" w:hAnsiTheme="minorHAnsi" w:cs="Times New Roman"/>
          <w:sz w:val="22"/>
          <w:szCs w:val="22"/>
          <w:lang w:val="fr-FR"/>
        </w:rPr>
        <w:tab/>
      </w:r>
      <w:r w:rsidR="00643CA9" w:rsidRPr="00A4333E">
        <w:rPr>
          <w:rFonts w:asciiTheme="minorHAnsi" w:eastAsia="Batang" w:hAnsiTheme="minorHAnsi" w:cs="Times New Roman"/>
          <w:sz w:val="22"/>
          <w:szCs w:val="22"/>
          <w:lang w:val="fr-FR"/>
        </w:rPr>
        <w:t>une augmentation de 4,4 % (674 000 CHF) par rapport à la période triennale 2019-2021 comprenant, en plus des scénarios précédents, les coûts associés au service de la COP15 (</w:t>
      </w:r>
      <w:r w:rsidR="0019366B">
        <w:rPr>
          <w:rFonts w:asciiTheme="minorHAnsi" w:eastAsia="Batang" w:hAnsiTheme="minorHAnsi" w:cs="Times New Roman"/>
          <w:sz w:val="22"/>
          <w:szCs w:val="22"/>
          <w:lang w:val="fr-FR"/>
        </w:rPr>
        <w:t>Scénario</w:t>
      </w:r>
      <w:r w:rsidR="00643CA9" w:rsidRPr="00A4333E">
        <w:rPr>
          <w:rFonts w:asciiTheme="minorHAnsi" w:eastAsia="Batang" w:hAnsiTheme="minorHAnsi" w:cs="Times New Roman"/>
          <w:sz w:val="22"/>
          <w:szCs w:val="22"/>
          <w:lang w:val="fr-FR"/>
        </w:rPr>
        <w:t xml:space="preserve"> C).</w:t>
      </w:r>
    </w:p>
    <w:p w14:paraId="22F8FBEC" w14:textId="77777777" w:rsidR="00D15464" w:rsidRPr="00A4333E" w:rsidRDefault="00D15464" w:rsidP="00D15464">
      <w:pPr>
        <w:pStyle w:val="MGfulltext"/>
        <w:spacing w:after="0"/>
        <w:ind w:left="720"/>
        <w:rPr>
          <w:rFonts w:asciiTheme="minorHAnsi" w:eastAsia="Batang" w:hAnsiTheme="minorHAnsi" w:cs="Times New Roman"/>
          <w:sz w:val="22"/>
          <w:szCs w:val="22"/>
          <w:lang w:val="fr-FR"/>
        </w:rPr>
      </w:pPr>
    </w:p>
    <w:p w14:paraId="743075AC" w14:textId="5E04F42A" w:rsidR="001A34B5" w:rsidRPr="00A4333E" w:rsidRDefault="003231A5" w:rsidP="00327DFA">
      <w:pPr>
        <w:rPr>
          <w:rFonts w:asciiTheme="minorHAnsi" w:eastAsia="Batang" w:hAnsiTheme="minorHAnsi"/>
          <w:color w:val="000000"/>
          <w:lang w:val="fr-FR" w:eastAsia="ko-KR"/>
        </w:rPr>
      </w:pPr>
      <w:r w:rsidRPr="00A4333E">
        <w:rPr>
          <w:rFonts w:asciiTheme="minorHAnsi" w:eastAsia="Batang" w:hAnsiTheme="minorHAnsi"/>
          <w:color w:val="000000"/>
          <w:lang w:val="fr-FR" w:eastAsia="ko-KR"/>
        </w:rPr>
        <w:t>15</w:t>
      </w:r>
      <w:r w:rsidR="00327DFA" w:rsidRPr="00A4333E">
        <w:rPr>
          <w:rFonts w:asciiTheme="minorHAnsi" w:eastAsia="Batang" w:hAnsiTheme="minorHAnsi"/>
          <w:color w:val="000000"/>
          <w:lang w:val="fr-FR" w:eastAsia="ko-KR"/>
        </w:rPr>
        <w:t>.</w:t>
      </w:r>
      <w:r w:rsidR="00327DFA" w:rsidRPr="00A4333E">
        <w:rPr>
          <w:rFonts w:asciiTheme="minorHAnsi" w:eastAsia="Batang" w:hAnsiTheme="minorHAnsi"/>
          <w:color w:val="000000"/>
          <w:lang w:val="fr-FR" w:eastAsia="ko-KR"/>
        </w:rPr>
        <w:tab/>
      </w:r>
      <w:r w:rsidR="00D2782E" w:rsidRPr="00A4333E">
        <w:rPr>
          <w:rFonts w:asciiTheme="minorHAnsi" w:eastAsia="Batang" w:hAnsiTheme="minorHAnsi"/>
          <w:color w:val="000000"/>
          <w:lang w:val="fr-FR" w:eastAsia="ko-KR"/>
        </w:rPr>
        <w:t>Sur la recommandation du Sous-groupe sur les finances (voir le document SC59/2022 Com.2 Rev.1), le Comité permanent, dans sa Décision SC59/2022-39, a décidé, en raison de circonstances exceptionnelles, de présenter à la COP14 un budget unique, représentant une augmentation de 0 % (</w:t>
      </w:r>
      <w:r w:rsidR="0019366B">
        <w:rPr>
          <w:rFonts w:asciiTheme="minorHAnsi" w:eastAsia="Batang" w:hAnsiTheme="minorHAnsi"/>
          <w:color w:val="000000"/>
          <w:lang w:val="fr-FR" w:eastAsia="ko-KR"/>
        </w:rPr>
        <w:t>Scénario</w:t>
      </w:r>
      <w:r w:rsidR="00D2782E" w:rsidRPr="00A4333E">
        <w:rPr>
          <w:rFonts w:asciiTheme="minorHAnsi" w:eastAsia="Batang" w:hAnsiTheme="minorHAnsi"/>
          <w:color w:val="000000"/>
          <w:lang w:val="fr-FR" w:eastAsia="ko-KR"/>
        </w:rPr>
        <w:t xml:space="preserve"> A) par rapport aux périodes triennales 2016-2018 et 2019-2021 </w:t>
      </w:r>
      <w:r w:rsidR="00D2782E" w:rsidRPr="00A4333E">
        <w:rPr>
          <w:rFonts w:asciiTheme="minorHAnsi" w:eastAsia="Batang" w:hAnsiTheme="minorHAnsi"/>
          <w:color w:val="000000"/>
          <w:lang w:val="fr-FR" w:eastAsia="ko-KR"/>
        </w:rPr>
        <w:lastRenderedPageBreak/>
        <w:t>et à 2022. Cette proposition figure à l'Annexe 2 du présent document, et n'inclut aucun financement pour les activités proposées dans les projets de résolution soumis à l'examen de la COP14</w:t>
      </w:r>
      <w:r w:rsidR="00AA0317" w:rsidRPr="00A4333E">
        <w:rPr>
          <w:rFonts w:asciiTheme="minorHAnsi" w:eastAsia="Batang" w:hAnsiTheme="minorHAnsi"/>
          <w:color w:val="000000"/>
          <w:lang w:val="fr-FR" w:eastAsia="ko-KR"/>
        </w:rPr>
        <w:t xml:space="preserve">. </w:t>
      </w:r>
    </w:p>
    <w:p w14:paraId="15A6509A" w14:textId="53EA9E63" w:rsidR="001A34B5" w:rsidRPr="00A4333E" w:rsidRDefault="001A34B5" w:rsidP="001A34B5">
      <w:pPr>
        <w:pStyle w:val="MGfulltext"/>
        <w:autoSpaceDE w:val="0"/>
        <w:autoSpaceDN w:val="0"/>
        <w:adjustRightInd w:val="0"/>
        <w:spacing w:after="0"/>
        <w:rPr>
          <w:rFonts w:asciiTheme="minorHAnsi" w:eastAsia="Batang" w:hAnsiTheme="minorHAnsi" w:cs="Times New Roman"/>
          <w:sz w:val="22"/>
          <w:szCs w:val="22"/>
          <w:lang w:val="fr-FR"/>
        </w:rPr>
      </w:pPr>
    </w:p>
    <w:p w14:paraId="50A2781B" w14:textId="241A8A4A" w:rsidR="00722C79" w:rsidRPr="00A4333E" w:rsidRDefault="003231A5" w:rsidP="0032775E">
      <w:pPr>
        <w:rPr>
          <w:rFonts w:asciiTheme="minorHAnsi" w:eastAsia="Batang" w:hAnsiTheme="minorHAnsi"/>
          <w:lang w:val="fr-FR"/>
        </w:rPr>
      </w:pPr>
      <w:r w:rsidRPr="00A4333E">
        <w:rPr>
          <w:rFonts w:asciiTheme="minorHAnsi" w:eastAsia="Batang" w:hAnsiTheme="minorHAnsi"/>
          <w:lang w:val="fr-FR"/>
        </w:rPr>
        <w:t>16</w:t>
      </w:r>
      <w:r w:rsidR="0032775E" w:rsidRPr="00A4333E">
        <w:rPr>
          <w:rFonts w:asciiTheme="minorHAnsi" w:eastAsia="Batang" w:hAnsiTheme="minorHAnsi"/>
          <w:lang w:val="fr-FR"/>
        </w:rPr>
        <w:t>.</w:t>
      </w:r>
      <w:r w:rsidR="0032775E" w:rsidRPr="00A4333E">
        <w:rPr>
          <w:rFonts w:asciiTheme="minorHAnsi" w:eastAsia="Batang" w:hAnsiTheme="minorHAnsi"/>
          <w:lang w:val="fr-FR"/>
        </w:rPr>
        <w:tab/>
      </w:r>
      <w:r w:rsidR="002A2B6A" w:rsidRPr="00A4333E">
        <w:rPr>
          <w:rFonts w:asciiTheme="minorHAnsi" w:eastAsia="Batang" w:hAnsiTheme="minorHAnsi"/>
          <w:lang w:val="fr-FR"/>
        </w:rPr>
        <w:t xml:space="preserve">Lors de </w:t>
      </w:r>
      <w:r w:rsidR="00876CEE" w:rsidRPr="00A4333E">
        <w:rPr>
          <w:rFonts w:asciiTheme="minorHAnsi" w:eastAsia="Batang" w:hAnsiTheme="minorHAnsi"/>
          <w:lang w:val="fr-FR"/>
        </w:rPr>
        <w:t>s</w:t>
      </w:r>
      <w:r w:rsidR="002A2B6A" w:rsidRPr="00A4333E">
        <w:rPr>
          <w:rFonts w:asciiTheme="minorHAnsi" w:eastAsia="Batang" w:hAnsiTheme="minorHAnsi"/>
          <w:lang w:val="fr-FR"/>
        </w:rPr>
        <w:t>a 59</w:t>
      </w:r>
      <w:r w:rsidR="002A2B6A" w:rsidRPr="00A4333E">
        <w:rPr>
          <w:rFonts w:asciiTheme="minorHAnsi" w:eastAsia="Batang" w:hAnsiTheme="minorHAnsi"/>
          <w:vertAlign w:val="superscript"/>
          <w:lang w:val="fr-FR"/>
        </w:rPr>
        <w:t>e</w:t>
      </w:r>
      <w:r w:rsidR="002A2B6A" w:rsidRPr="00A4333E">
        <w:rPr>
          <w:rFonts w:asciiTheme="minorHAnsi" w:eastAsia="Batang" w:hAnsiTheme="minorHAnsi"/>
          <w:lang w:val="fr-FR"/>
        </w:rPr>
        <w:t xml:space="preserve"> Réunion SC59/2022, par sa Décision SC59/2022-41 i), le Comité permanent a approuvé </w:t>
      </w:r>
      <w:r w:rsidR="00876CEE" w:rsidRPr="00A4333E">
        <w:rPr>
          <w:rFonts w:asciiTheme="minorHAnsi" w:eastAsia="Batang" w:hAnsiTheme="minorHAnsi"/>
          <w:lang w:val="fr-FR"/>
        </w:rPr>
        <w:t>l’utilisation d’un montant de 228 000 CHF de l’</w:t>
      </w:r>
      <w:r w:rsidR="0019366B" w:rsidRPr="00A4333E">
        <w:rPr>
          <w:rFonts w:asciiTheme="minorHAnsi" w:eastAsia="Batang" w:hAnsiTheme="minorHAnsi"/>
          <w:lang w:val="fr-FR"/>
        </w:rPr>
        <w:t>excédent</w:t>
      </w:r>
      <w:r w:rsidR="00876CEE" w:rsidRPr="00A4333E">
        <w:rPr>
          <w:rFonts w:asciiTheme="minorHAnsi" w:eastAsia="Batang" w:hAnsiTheme="minorHAnsi"/>
          <w:lang w:val="fr-FR"/>
        </w:rPr>
        <w:t xml:space="preserve"> administratif pour</w:t>
      </w:r>
      <w:r w:rsidR="002A2B6A" w:rsidRPr="00A4333E">
        <w:rPr>
          <w:rFonts w:asciiTheme="minorHAnsi" w:eastAsia="Batang" w:hAnsiTheme="minorHAnsi"/>
          <w:lang w:val="fr-FR"/>
        </w:rPr>
        <w:t xml:space="preserve"> couvrir le déficit budgétaire pour la période triennale 2023-2025, identique à celui de la période triennale 2019-2021, conformément au paragraphe 15 de la Résolution XIII.2 </w:t>
      </w:r>
      <w:r w:rsidR="002A2B6A" w:rsidRPr="00A4333E">
        <w:rPr>
          <w:rFonts w:asciiTheme="minorHAnsi" w:eastAsia="Batang" w:hAnsiTheme="minorHAnsi"/>
          <w:i/>
          <w:iCs/>
          <w:lang w:val="fr-FR"/>
        </w:rPr>
        <w:t>Questions financières et budgétaires</w:t>
      </w:r>
      <w:r w:rsidR="00876B83" w:rsidRPr="00A4333E">
        <w:rPr>
          <w:rStyle w:val="FootnoteReference"/>
          <w:rFonts w:asciiTheme="minorHAnsi" w:eastAsia="Batang" w:hAnsiTheme="minorHAnsi"/>
          <w:lang w:val="fr-FR"/>
        </w:rPr>
        <w:footnoteReference w:id="5"/>
      </w:r>
      <w:r w:rsidR="00722C79" w:rsidRPr="00A4333E">
        <w:rPr>
          <w:rFonts w:asciiTheme="minorHAnsi" w:eastAsia="Batang" w:hAnsiTheme="minorHAnsi"/>
          <w:lang w:val="fr-FR"/>
        </w:rPr>
        <w:t xml:space="preserve">. </w:t>
      </w:r>
    </w:p>
    <w:p w14:paraId="64BD3BEE" w14:textId="77777777" w:rsidR="004D241A" w:rsidRPr="00A4333E" w:rsidRDefault="004D241A" w:rsidP="004D241A">
      <w:pPr>
        <w:pStyle w:val="MGfulltext"/>
        <w:spacing w:after="0"/>
        <w:rPr>
          <w:rFonts w:asciiTheme="minorHAnsi" w:eastAsia="Batang" w:hAnsiTheme="minorHAnsi" w:cs="Times New Roman"/>
          <w:sz w:val="22"/>
          <w:szCs w:val="22"/>
          <w:lang w:val="fr-FR"/>
        </w:rPr>
      </w:pPr>
    </w:p>
    <w:p w14:paraId="286ED134" w14:textId="278465F3" w:rsidR="001A34B5" w:rsidRPr="00A4333E" w:rsidRDefault="003231A5" w:rsidP="00BE3D67">
      <w:pPr>
        <w:pStyle w:val="MGfulltext"/>
        <w:spacing w:after="0"/>
        <w:ind w:left="426" w:hanging="426"/>
        <w:rPr>
          <w:rFonts w:asciiTheme="minorHAnsi" w:eastAsia="Batang" w:hAnsiTheme="minorHAnsi" w:cs="Times New Roman"/>
          <w:sz w:val="22"/>
          <w:szCs w:val="22"/>
          <w:lang w:val="fr-FR"/>
        </w:rPr>
      </w:pPr>
      <w:r w:rsidRPr="00A4333E">
        <w:rPr>
          <w:rFonts w:asciiTheme="minorHAnsi" w:eastAsia="Batang" w:hAnsiTheme="minorHAnsi" w:cs="Times New Roman"/>
          <w:sz w:val="22"/>
          <w:szCs w:val="22"/>
          <w:lang w:val="fr-FR"/>
        </w:rPr>
        <w:t>17</w:t>
      </w:r>
      <w:r w:rsidR="00BE3D67" w:rsidRPr="00A4333E">
        <w:rPr>
          <w:rFonts w:asciiTheme="minorHAnsi" w:eastAsia="Batang" w:hAnsiTheme="minorHAnsi" w:cs="Times New Roman"/>
          <w:sz w:val="22"/>
          <w:szCs w:val="22"/>
          <w:lang w:val="fr-FR"/>
        </w:rPr>
        <w:t>.</w:t>
      </w:r>
      <w:r w:rsidR="00BE3D67" w:rsidRPr="00A4333E">
        <w:rPr>
          <w:rFonts w:asciiTheme="minorHAnsi" w:eastAsia="Batang" w:hAnsiTheme="minorHAnsi" w:cs="Times New Roman"/>
          <w:sz w:val="22"/>
          <w:szCs w:val="22"/>
          <w:lang w:val="fr-FR"/>
        </w:rPr>
        <w:tab/>
      </w:r>
      <w:r w:rsidR="00C416E9" w:rsidRPr="00A4333E">
        <w:rPr>
          <w:rFonts w:asciiTheme="minorHAnsi" w:eastAsia="Batang" w:hAnsiTheme="minorHAnsi" w:cs="Times New Roman"/>
          <w:sz w:val="22"/>
          <w:szCs w:val="22"/>
          <w:lang w:val="fr-FR"/>
        </w:rPr>
        <w:t xml:space="preserve">Par sa Décision SC59/2022-41 ii), le Comité permanent a approuvé l’utilisation d’un montant de 360 000 CHF de l'excédent administratif de 2021 pour </w:t>
      </w:r>
      <w:r w:rsidR="0012720D" w:rsidRPr="00A4333E">
        <w:rPr>
          <w:rFonts w:asciiTheme="minorHAnsi" w:eastAsia="Batang" w:hAnsiTheme="minorHAnsi" w:cs="Times New Roman"/>
          <w:sz w:val="22"/>
          <w:szCs w:val="22"/>
          <w:lang w:val="fr-FR"/>
        </w:rPr>
        <w:t xml:space="preserve">couvrir </w:t>
      </w:r>
      <w:r w:rsidR="00C416E9" w:rsidRPr="00A4333E">
        <w:rPr>
          <w:rFonts w:asciiTheme="minorHAnsi" w:eastAsia="Batang" w:hAnsiTheme="minorHAnsi" w:cs="Times New Roman"/>
          <w:sz w:val="22"/>
          <w:szCs w:val="22"/>
          <w:lang w:val="fr-FR"/>
        </w:rPr>
        <w:t xml:space="preserve">l'augmentation des provisions en cours </w:t>
      </w:r>
      <w:r w:rsidR="0012720D" w:rsidRPr="00A4333E">
        <w:rPr>
          <w:rFonts w:asciiTheme="minorHAnsi" w:eastAsia="Batang" w:hAnsiTheme="minorHAnsi" w:cs="Times New Roman"/>
          <w:sz w:val="22"/>
          <w:szCs w:val="22"/>
          <w:lang w:val="fr-FR"/>
        </w:rPr>
        <w:t xml:space="preserve">pour </w:t>
      </w:r>
      <w:r w:rsidR="00C416E9" w:rsidRPr="00A4333E">
        <w:rPr>
          <w:rFonts w:asciiTheme="minorHAnsi" w:eastAsia="Batang" w:hAnsiTheme="minorHAnsi" w:cs="Times New Roman"/>
          <w:sz w:val="22"/>
          <w:szCs w:val="22"/>
          <w:lang w:val="fr-FR"/>
        </w:rPr>
        <w:t xml:space="preserve">la période triennale 2023-2025, à condition que toute </w:t>
      </w:r>
      <w:r w:rsidR="0012720D" w:rsidRPr="00A4333E">
        <w:rPr>
          <w:rFonts w:asciiTheme="minorHAnsi" w:eastAsia="Batang" w:hAnsiTheme="minorHAnsi" w:cs="Times New Roman"/>
          <w:sz w:val="22"/>
          <w:szCs w:val="22"/>
          <w:lang w:val="fr-FR"/>
        </w:rPr>
        <w:t>somme</w:t>
      </w:r>
      <w:r w:rsidR="00C416E9" w:rsidRPr="00A4333E">
        <w:rPr>
          <w:rFonts w:asciiTheme="minorHAnsi" w:eastAsia="Batang" w:hAnsiTheme="minorHAnsi" w:cs="Times New Roman"/>
          <w:sz w:val="22"/>
          <w:szCs w:val="22"/>
          <w:lang w:val="fr-FR"/>
        </w:rPr>
        <w:t xml:space="preserve"> non utilisée soit reversée à l'excédent pour une nouvelle affectation à la fin de chaque année de la période triennale 2023-2025</w:t>
      </w:r>
      <w:r w:rsidR="00E4663F" w:rsidRPr="00A4333E">
        <w:rPr>
          <w:rFonts w:asciiTheme="minorHAnsi" w:eastAsia="Batang" w:hAnsiTheme="minorHAnsi" w:cs="Times New Roman"/>
          <w:sz w:val="22"/>
          <w:szCs w:val="22"/>
          <w:lang w:val="fr-FR"/>
        </w:rPr>
        <w:t>.</w:t>
      </w:r>
    </w:p>
    <w:p w14:paraId="639ACE3A" w14:textId="6016049F" w:rsidR="001A34B5" w:rsidRPr="00A4333E" w:rsidRDefault="001A34B5" w:rsidP="00FC2EBB">
      <w:pPr>
        <w:pStyle w:val="MGfulltext"/>
        <w:spacing w:after="0"/>
        <w:ind w:left="850" w:hanging="425"/>
        <w:rPr>
          <w:rFonts w:eastAsiaTheme="minorHAnsi" w:cs="Calibri"/>
          <w:color w:val="000000"/>
          <w:lang w:val="fr-FR"/>
        </w:rPr>
      </w:pPr>
    </w:p>
    <w:p w14:paraId="58291C4F" w14:textId="1E24F654" w:rsidR="003849AD" w:rsidRPr="00A4333E" w:rsidRDefault="003231A5" w:rsidP="00327DFA">
      <w:pPr>
        <w:rPr>
          <w:rFonts w:asciiTheme="minorHAnsi" w:eastAsia="Batang" w:hAnsiTheme="minorHAnsi"/>
          <w:color w:val="000000"/>
          <w:lang w:val="fr-FR" w:eastAsia="ko-KR"/>
        </w:rPr>
      </w:pPr>
      <w:r w:rsidRPr="00A4333E">
        <w:rPr>
          <w:rFonts w:asciiTheme="minorHAnsi" w:eastAsia="Batang" w:hAnsiTheme="minorHAnsi"/>
          <w:color w:val="000000"/>
          <w:lang w:val="fr-FR" w:eastAsia="ko-KR"/>
        </w:rPr>
        <w:t>18</w:t>
      </w:r>
      <w:r w:rsidR="00327DFA" w:rsidRPr="00A4333E">
        <w:rPr>
          <w:rFonts w:asciiTheme="minorHAnsi" w:eastAsia="Batang" w:hAnsiTheme="minorHAnsi"/>
          <w:color w:val="000000"/>
          <w:lang w:val="fr-FR" w:eastAsia="ko-KR"/>
        </w:rPr>
        <w:t>.</w:t>
      </w:r>
      <w:r w:rsidR="00327DFA" w:rsidRPr="00A4333E">
        <w:rPr>
          <w:rFonts w:asciiTheme="minorHAnsi" w:eastAsia="Batang" w:hAnsiTheme="minorHAnsi"/>
          <w:color w:val="000000"/>
          <w:lang w:val="fr-FR" w:eastAsia="ko-KR"/>
        </w:rPr>
        <w:tab/>
      </w:r>
      <w:r w:rsidR="00887B1C" w:rsidRPr="00A4333E">
        <w:rPr>
          <w:rFonts w:asciiTheme="minorHAnsi" w:eastAsia="Batang" w:hAnsiTheme="minorHAnsi"/>
          <w:color w:val="000000"/>
          <w:lang w:val="fr-FR" w:eastAsia="ko-KR"/>
        </w:rPr>
        <w:t xml:space="preserve">Une explication des éléments clés du budget administratif pour 2023-2025 est fournie ci-dessous, suivie des commentaires du Secrétariat sur les </w:t>
      </w:r>
      <w:r w:rsidR="00EB322D">
        <w:rPr>
          <w:rFonts w:asciiTheme="minorHAnsi" w:eastAsia="Batang" w:hAnsiTheme="minorHAnsi"/>
          <w:color w:val="000000"/>
          <w:lang w:val="fr-FR" w:eastAsia="ko-KR"/>
        </w:rPr>
        <w:t>déficits</w:t>
      </w:r>
      <w:r w:rsidR="00887B1C" w:rsidRPr="00A4333E">
        <w:rPr>
          <w:rFonts w:asciiTheme="minorHAnsi" w:eastAsia="Batang" w:hAnsiTheme="minorHAnsi"/>
          <w:color w:val="000000"/>
          <w:lang w:val="fr-FR" w:eastAsia="ko-KR"/>
        </w:rPr>
        <w:t xml:space="preserve"> identifiés et, à la fin, d'une explication de la structure du budget administratif pour cette période triennale.</w:t>
      </w:r>
    </w:p>
    <w:p w14:paraId="6CEEBBDF" w14:textId="77777777" w:rsidR="00327DFA" w:rsidRPr="00A4333E" w:rsidRDefault="00327DFA" w:rsidP="00327DFA">
      <w:pPr>
        <w:rPr>
          <w:rFonts w:asciiTheme="minorHAnsi" w:eastAsia="Batang" w:hAnsiTheme="minorHAnsi"/>
          <w:color w:val="000000"/>
          <w:lang w:val="fr-FR" w:eastAsia="ko-KR"/>
        </w:rPr>
      </w:pPr>
    </w:p>
    <w:p w14:paraId="3C2FDAE4" w14:textId="7C0AE976" w:rsidR="003849AD" w:rsidRPr="00A4333E" w:rsidRDefault="003231A5" w:rsidP="00327DFA">
      <w:pPr>
        <w:rPr>
          <w:rFonts w:asciiTheme="minorHAnsi" w:eastAsia="Batang" w:hAnsiTheme="minorHAnsi"/>
          <w:color w:val="000000"/>
          <w:lang w:val="fr-FR" w:eastAsia="ko-KR"/>
        </w:rPr>
      </w:pPr>
      <w:r w:rsidRPr="00A4333E">
        <w:rPr>
          <w:rFonts w:asciiTheme="minorHAnsi" w:eastAsia="Batang" w:hAnsiTheme="minorHAnsi"/>
          <w:color w:val="000000"/>
          <w:lang w:val="fr-FR" w:eastAsia="ko-KR"/>
        </w:rPr>
        <w:t>19</w:t>
      </w:r>
      <w:r w:rsidR="00327DFA" w:rsidRPr="00A4333E">
        <w:rPr>
          <w:rFonts w:asciiTheme="minorHAnsi" w:eastAsia="Batang" w:hAnsiTheme="minorHAnsi"/>
          <w:color w:val="000000"/>
          <w:lang w:val="fr-FR" w:eastAsia="ko-KR"/>
        </w:rPr>
        <w:t>.</w:t>
      </w:r>
      <w:r w:rsidR="00327DFA" w:rsidRPr="00A4333E">
        <w:rPr>
          <w:rFonts w:asciiTheme="minorHAnsi" w:eastAsia="Batang" w:hAnsiTheme="minorHAnsi"/>
          <w:color w:val="000000"/>
          <w:lang w:val="fr-FR" w:eastAsia="ko-KR"/>
        </w:rPr>
        <w:tab/>
      </w:r>
      <w:r w:rsidR="00887B1C" w:rsidRPr="00A4333E">
        <w:rPr>
          <w:rFonts w:asciiTheme="minorHAnsi" w:eastAsia="Batang" w:hAnsiTheme="minorHAnsi"/>
          <w:color w:val="000000"/>
          <w:lang w:val="fr-FR" w:eastAsia="ko-KR"/>
        </w:rPr>
        <w:t xml:space="preserve">Les détails du budget administratif pour chaque département ou catégorie ont été conservés pour </w:t>
      </w:r>
      <w:r w:rsidR="00F00CA6" w:rsidRPr="00A4333E">
        <w:rPr>
          <w:rFonts w:asciiTheme="minorHAnsi" w:eastAsia="Batang" w:hAnsiTheme="minorHAnsi"/>
          <w:color w:val="000000"/>
          <w:lang w:val="fr-FR" w:eastAsia="ko-KR"/>
        </w:rPr>
        <w:t xml:space="preserve">que </w:t>
      </w:r>
      <w:r w:rsidR="00887B1C" w:rsidRPr="00A4333E">
        <w:rPr>
          <w:rFonts w:asciiTheme="minorHAnsi" w:eastAsia="Batang" w:hAnsiTheme="minorHAnsi"/>
          <w:color w:val="000000"/>
          <w:lang w:val="fr-FR" w:eastAsia="ko-KR"/>
        </w:rPr>
        <w:t xml:space="preserve">les Parties contractantes </w:t>
      </w:r>
      <w:r w:rsidR="00F00CA6" w:rsidRPr="00A4333E">
        <w:rPr>
          <w:rFonts w:asciiTheme="minorHAnsi" w:eastAsia="Batang" w:hAnsiTheme="minorHAnsi"/>
          <w:color w:val="000000"/>
          <w:lang w:val="fr-FR" w:eastAsia="ko-KR"/>
        </w:rPr>
        <w:t xml:space="preserve">sachent </w:t>
      </w:r>
      <w:r w:rsidR="00887B1C" w:rsidRPr="00A4333E">
        <w:rPr>
          <w:rFonts w:asciiTheme="minorHAnsi" w:eastAsia="Batang" w:hAnsiTheme="minorHAnsi"/>
          <w:color w:val="000000"/>
          <w:lang w:val="fr-FR" w:eastAsia="ko-KR"/>
        </w:rPr>
        <w:t>comment leurs contributions seront dépensées. Ces détails seront supprimés dans la résolution finale qui sera adoptée lors de la COP14, conformément à la pratique des COP précédentes</w:t>
      </w:r>
      <w:r w:rsidR="003849AD" w:rsidRPr="00A4333E">
        <w:rPr>
          <w:rFonts w:asciiTheme="minorHAnsi" w:eastAsia="Batang" w:hAnsiTheme="minorHAnsi"/>
          <w:color w:val="000000"/>
          <w:lang w:val="fr-FR" w:eastAsia="ko-KR"/>
        </w:rPr>
        <w:t>.</w:t>
      </w:r>
    </w:p>
    <w:p w14:paraId="4F5DF3C8" w14:textId="7AA45387" w:rsidR="007517AD" w:rsidRPr="00A4333E" w:rsidRDefault="007517AD" w:rsidP="00B8572A">
      <w:pPr>
        <w:rPr>
          <w:rFonts w:asciiTheme="minorHAnsi" w:eastAsia="Batang" w:hAnsiTheme="minorHAnsi"/>
          <w:bCs/>
          <w:lang w:val="fr-FR" w:eastAsia="ko-KR"/>
        </w:rPr>
      </w:pPr>
    </w:p>
    <w:p w14:paraId="1B6AFC0D" w14:textId="6BA0C4AF" w:rsidR="007D788C" w:rsidRPr="00A4333E" w:rsidRDefault="00F00CA6" w:rsidP="00B8572A">
      <w:pPr>
        <w:keepNext/>
        <w:rPr>
          <w:rFonts w:asciiTheme="minorHAnsi" w:eastAsia="Batang" w:hAnsiTheme="minorHAnsi"/>
          <w:u w:val="single"/>
          <w:lang w:val="fr-FR"/>
        </w:rPr>
      </w:pPr>
      <w:r w:rsidRPr="00A4333E">
        <w:rPr>
          <w:rFonts w:asciiTheme="minorHAnsi" w:eastAsia="Batang" w:hAnsiTheme="minorHAnsi"/>
          <w:u w:val="single"/>
          <w:lang w:val="fr-FR"/>
        </w:rPr>
        <w:t>Hypothèses et explications concernant le budget administratif proposé pour</w:t>
      </w:r>
      <w:r w:rsidR="00F15E14" w:rsidRPr="00A4333E">
        <w:rPr>
          <w:rFonts w:asciiTheme="minorHAnsi" w:eastAsia="Batang" w:hAnsiTheme="minorHAnsi"/>
          <w:u w:val="single"/>
          <w:lang w:val="fr-FR"/>
        </w:rPr>
        <w:t xml:space="preserve"> la période</w:t>
      </w:r>
      <w:r w:rsidRPr="00A4333E">
        <w:rPr>
          <w:rFonts w:asciiTheme="minorHAnsi" w:eastAsia="Batang" w:hAnsiTheme="minorHAnsi"/>
          <w:u w:val="single"/>
          <w:lang w:val="fr-FR"/>
        </w:rPr>
        <w:t xml:space="preserve"> 2023-2025</w:t>
      </w:r>
      <w:r w:rsidR="007D788C" w:rsidRPr="00A4333E">
        <w:rPr>
          <w:rFonts w:asciiTheme="minorHAnsi" w:eastAsia="Batang" w:hAnsiTheme="minorHAnsi"/>
          <w:u w:val="single"/>
          <w:lang w:val="fr-FR"/>
        </w:rPr>
        <w:t xml:space="preserve"> </w:t>
      </w:r>
    </w:p>
    <w:p w14:paraId="08155FFA" w14:textId="77777777" w:rsidR="007D788C" w:rsidRPr="00A4333E" w:rsidRDefault="007D788C" w:rsidP="00B8572A">
      <w:pPr>
        <w:pStyle w:val="MGfulltext"/>
        <w:keepNext/>
        <w:spacing w:after="0"/>
        <w:rPr>
          <w:rFonts w:asciiTheme="minorHAnsi" w:eastAsia="Batang" w:hAnsiTheme="minorHAnsi" w:cs="Times New Roman"/>
          <w:sz w:val="22"/>
          <w:szCs w:val="22"/>
          <w:u w:val="single"/>
          <w:lang w:val="fr-FR"/>
        </w:rPr>
      </w:pPr>
    </w:p>
    <w:p w14:paraId="746CD6B5" w14:textId="714CD299" w:rsidR="00D4581F" w:rsidRPr="00A4333E" w:rsidRDefault="003231A5" w:rsidP="006241C1">
      <w:pPr>
        <w:rPr>
          <w:rFonts w:asciiTheme="minorHAnsi" w:eastAsia="Batang" w:hAnsiTheme="minorHAnsi"/>
          <w:color w:val="000000"/>
          <w:lang w:val="fr-FR" w:eastAsia="ko-KR"/>
        </w:rPr>
      </w:pPr>
      <w:r w:rsidRPr="00A4333E">
        <w:rPr>
          <w:rFonts w:asciiTheme="minorHAnsi" w:eastAsia="Batang" w:hAnsiTheme="minorHAnsi"/>
          <w:color w:val="000000"/>
          <w:lang w:val="fr-FR" w:eastAsia="ko-KR"/>
        </w:rPr>
        <w:t>20</w:t>
      </w:r>
      <w:r w:rsidR="00D4581F" w:rsidRPr="00A4333E">
        <w:rPr>
          <w:rFonts w:asciiTheme="minorHAnsi" w:eastAsia="Batang" w:hAnsiTheme="minorHAnsi"/>
          <w:color w:val="000000"/>
          <w:lang w:val="fr-FR" w:eastAsia="ko-KR"/>
        </w:rPr>
        <w:t>.</w:t>
      </w:r>
      <w:r w:rsidR="00D4581F" w:rsidRPr="00A4333E">
        <w:rPr>
          <w:rFonts w:asciiTheme="minorHAnsi" w:eastAsia="Batang" w:hAnsiTheme="minorHAnsi"/>
          <w:color w:val="000000"/>
          <w:lang w:val="fr-FR" w:eastAsia="ko-KR"/>
        </w:rPr>
        <w:tab/>
      </w:r>
      <w:r w:rsidR="00041808" w:rsidRPr="00A4333E">
        <w:rPr>
          <w:rFonts w:asciiTheme="minorHAnsi" w:eastAsia="Batang" w:hAnsiTheme="minorHAnsi"/>
          <w:color w:val="000000"/>
          <w:lang w:val="fr-FR" w:eastAsia="ko-KR"/>
        </w:rPr>
        <w:t>Les hypothèses et les explications concernant l</w:t>
      </w:r>
      <w:r w:rsidR="00F15E14" w:rsidRPr="00A4333E">
        <w:rPr>
          <w:rFonts w:asciiTheme="minorHAnsi" w:eastAsia="Batang" w:hAnsiTheme="minorHAnsi"/>
          <w:color w:val="000000"/>
          <w:lang w:val="fr-FR" w:eastAsia="ko-KR"/>
        </w:rPr>
        <w:t>e budget proposé pour la période 2023-2025 (désigné ci-dessus comme « augmentation de 0 % (</w:t>
      </w:r>
      <w:r w:rsidR="0019366B">
        <w:rPr>
          <w:rFonts w:asciiTheme="minorHAnsi" w:eastAsia="Batang" w:hAnsiTheme="minorHAnsi"/>
          <w:color w:val="000000"/>
          <w:lang w:val="fr-FR" w:eastAsia="ko-KR"/>
        </w:rPr>
        <w:t>Scénario</w:t>
      </w:r>
      <w:r w:rsidR="00F15E14" w:rsidRPr="00A4333E">
        <w:rPr>
          <w:rFonts w:asciiTheme="minorHAnsi" w:eastAsia="Batang" w:hAnsiTheme="minorHAnsi"/>
          <w:color w:val="000000"/>
          <w:lang w:val="fr-FR" w:eastAsia="ko-KR"/>
        </w:rPr>
        <w:t xml:space="preserve"> A) ») </w:t>
      </w:r>
      <w:r w:rsidR="00041808" w:rsidRPr="00A4333E">
        <w:rPr>
          <w:rFonts w:asciiTheme="minorHAnsi" w:eastAsia="Batang" w:hAnsiTheme="minorHAnsi"/>
          <w:color w:val="000000"/>
          <w:lang w:val="fr-FR" w:eastAsia="ko-KR"/>
        </w:rPr>
        <w:t xml:space="preserve">sont les </w:t>
      </w:r>
      <w:r w:rsidR="00F15E14" w:rsidRPr="00A4333E">
        <w:rPr>
          <w:rFonts w:asciiTheme="minorHAnsi" w:eastAsia="Batang" w:hAnsiTheme="minorHAnsi"/>
          <w:color w:val="000000"/>
          <w:lang w:val="fr-FR" w:eastAsia="ko-KR"/>
        </w:rPr>
        <w:t>suivantes :</w:t>
      </w:r>
    </w:p>
    <w:p w14:paraId="0E75E6E0" w14:textId="77777777" w:rsidR="00D4581F" w:rsidRPr="00A4333E" w:rsidRDefault="00D4581F" w:rsidP="00D4581F">
      <w:pPr>
        <w:pStyle w:val="MGfulltext"/>
        <w:spacing w:after="0"/>
        <w:ind w:left="425" w:hanging="425"/>
        <w:rPr>
          <w:rFonts w:asciiTheme="minorHAnsi" w:eastAsia="Batang" w:hAnsiTheme="minorHAnsi" w:cs="Times New Roman"/>
          <w:sz w:val="22"/>
          <w:szCs w:val="22"/>
          <w:lang w:val="fr-FR"/>
        </w:rPr>
      </w:pPr>
    </w:p>
    <w:p w14:paraId="5C26E26F" w14:textId="54CD7984" w:rsidR="00D4581F" w:rsidRPr="00A4333E" w:rsidRDefault="00902768" w:rsidP="00902768">
      <w:pPr>
        <w:pStyle w:val="MGfulltext"/>
        <w:spacing w:after="0"/>
        <w:ind w:left="850" w:hanging="425"/>
        <w:rPr>
          <w:rFonts w:asciiTheme="minorHAnsi" w:eastAsia="Batang" w:hAnsiTheme="minorHAnsi" w:cs="Times New Roman"/>
          <w:sz w:val="22"/>
          <w:szCs w:val="22"/>
          <w:lang w:val="fr-FR"/>
        </w:rPr>
      </w:pPr>
      <w:r w:rsidRPr="00A4333E">
        <w:rPr>
          <w:rFonts w:asciiTheme="minorHAnsi" w:eastAsia="Batang" w:hAnsiTheme="minorHAnsi" w:cs="Times New Roman"/>
          <w:sz w:val="22"/>
          <w:szCs w:val="22"/>
          <w:lang w:val="fr-FR"/>
        </w:rPr>
        <w:t>a.</w:t>
      </w:r>
      <w:r w:rsidRPr="00A4333E">
        <w:rPr>
          <w:rFonts w:asciiTheme="minorHAnsi" w:eastAsia="Batang" w:hAnsiTheme="minorHAnsi" w:cs="Times New Roman"/>
          <w:sz w:val="22"/>
          <w:szCs w:val="22"/>
          <w:lang w:val="fr-FR"/>
        </w:rPr>
        <w:tab/>
      </w:r>
      <w:r w:rsidR="00041808" w:rsidRPr="00A4333E">
        <w:rPr>
          <w:rFonts w:asciiTheme="minorHAnsi" w:eastAsia="Batang" w:hAnsiTheme="minorHAnsi" w:cs="Times New Roman"/>
          <w:sz w:val="22"/>
          <w:szCs w:val="22"/>
          <w:lang w:val="fr-FR"/>
        </w:rPr>
        <w:t xml:space="preserve">Toutes les Parties contractantes versent des contributions complètes en francs suisses (CHF) calculées sur la base du barème ajusté des Nations Unies, y compris une contribution volontaire de 22 % </w:t>
      </w:r>
      <w:r w:rsidR="00EB322D">
        <w:rPr>
          <w:rFonts w:asciiTheme="minorHAnsi" w:eastAsia="Batang" w:hAnsiTheme="minorHAnsi" w:cs="Times New Roman"/>
          <w:sz w:val="22"/>
          <w:szCs w:val="22"/>
          <w:lang w:val="fr-FR"/>
        </w:rPr>
        <w:t xml:space="preserve">de la part </w:t>
      </w:r>
      <w:r w:rsidR="00041808" w:rsidRPr="00A4333E">
        <w:rPr>
          <w:rFonts w:asciiTheme="minorHAnsi" w:eastAsia="Batang" w:hAnsiTheme="minorHAnsi" w:cs="Times New Roman"/>
          <w:sz w:val="22"/>
          <w:szCs w:val="22"/>
          <w:lang w:val="fr-FR"/>
        </w:rPr>
        <w:t>des États-Unis d'Amérique.</w:t>
      </w:r>
    </w:p>
    <w:p w14:paraId="5AC9ABF7" w14:textId="77777777" w:rsidR="00727C10" w:rsidRPr="00A4333E" w:rsidRDefault="00727C10" w:rsidP="00902768">
      <w:pPr>
        <w:pStyle w:val="MGfulltext"/>
        <w:spacing w:after="0"/>
        <w:ind w:left="850" w:hanging="425"/>
        <w:rPr>
          <w:rFonts w:asciiTheme="minorHAnsi" w:eastAsia="Batang" w:hAnsiTheme="minorHAnsi" w:cs="Times New Roman"/>
          <w:sz w:val="22"/>
          <w:szCs w:val="22"/>
          <w:lang w:val="fr-FR"/>
        </w:rPr>
      </w:pPr>
    </w:p>
    <w:p w14:paraId="05D7154D" w14:textId="362AEA9A" w:rsidR="00727C10" w:rsidRPr="00A4333E" w:rsidRDefault="00902768" w:rsidP="00902768">
      <w:pPr>
        <w:pStyle w:val="MGfulltext"/>
        <w:spacing w:after="0"/>
        <w:ind w:left="850" w:hanging="425"/>
        <w:rPr>
          <w:rFonts w:asciiTheme="minorHAnsi" w:eastAsia="Batang" w:hAnsiTheme="minorHAnsi" w:cs="Times New Roman"/>
          <w:sz w:val="22"/>
          <w:szCs w:val="22"/>
          <w:lang w:val="fr-FR"/>
        </w:rPr>
      </w:pPr>
      <w:r w:rsidRPr="00A4333E">
        <w:rPr>
          <w:rFonts w:asciiTheme="minorHAnsi" w:eastAsia="Batang" w:hAnsiTheme="minorHAnsi" w:cs="Times New Roman"/>
          <w:sz w:val="22"/>
          <w:szCs w:val="22"/>
          <w:lang w:val="fr-FR"/>
        </w:rPr>
        <w:t>b.</w:t>
      </w:r>
      <w:r w:rsidRPr="00A4333E">
        <w:rPr>
          <w:rFonts w:asciiTheme="minorHAnsi" w:eastAsia="Batang" w:hAnsiTheme="minorHAnsi" w:cs="Times New Roman"/>
          <w:sz w:val="22"/>
          <w:szCs w:val="22"/>
          <w:lang w:val="fr-FR"/>
        </w:rPr>
        <w:tab/>
      </w:r>
      <w:r w:rsidR="00FA393E" w:rsidRPr="00A4333E">
        <w:rPr>
          <w:rFonts w:asciiTheme="minorHAnsi" w:eastAsia="Batang" w:hAnsiTheme="minorHAnsi" w:cs="Times New Roman"/>
          <w:sz w:val="22"/>
          <w:szCs w:val="22"/>
          <w:lang w:val="fr-FR"/>
        </w:rPr>
        <w:t>Les revenus autres que les contributions, principalement l'impôt sur le revenu et les intérêts, ont été réévalués en fonction des anticipations de revenus ; la méthodologie de l'UICN pour le calcul de l'impôt sur le revenu est inchangée.</w:t>
      </w:r>
    </w:p>
    <w:p w14:paraId="2758D409" w14:textId="77777777" w:rsidR="00C65D54" w:rsidRPr="00A4333E" w:rsidRDefault="00C65D54" w:rsidP="00902768">
      <w:pPr>
        <w:pStyle w:val="MGfulltext"/>
        <w:spacing w:after="0"/>
        <w:ind w:left="850" w:hanging="425"/>
        <w:rPr>
          <w:rFonts w:asciiTheme="minorHAnsi" w:eastAsia="Batang" w:hAnsiTheme="minorHAnsi" w:cs="Times New Roman"/>
          <w:sz w:val="22"/>
          <w:szCs w:val="22"/>
          <w:lang w:val="fr-FR"/>
        </w:rPr>
      </w:pPr>
    </w:p>
    <w:p w14:paraId="15CB256E" w14:textId="00E064F1" w:rsidR="00C65D54" w:rsidRPr="00A4333E" w:rsidRDefault="00902768" w:rsidP="00902768">
      <w:pPr>
        <w:pStyle w:val="MGfulltext"/>
        <w:spacing w:after="0"/>
        <w:ind w:left="850" w:hanging="425"/>
        <w:rPr>
          <w:rFonts w:asciiTheme="minorHAnsi" w:eastAsia="Batang" w:hAnsiTheme="minorHAnsi" w:cs="Times New Roman"/>
          <w:sz w:val="22"/>
          <w:szCs w:val="22"/>
          <w:lang w:val="fr-FR"/>
        </w:rPr>
      </w:pPr>
      <w:r w:rsidRPr="00A4333E">
        <w:rPr>
          <w:rFonts w:asciiTheme="minorHAnsi" w:eastAsia="Batang" w:hAnsiTheme="minorHAnsi" w:cs="Times New Roman"/>
          <w:sz w:val="22"/>
          <w:szCs w:val="22"/>
          <w:lang w:val="fr-FR"/>
        </w:rPr>
        <w:t>c.</w:t>
      </w:r>
      <w:r w:rsidRPr="00A4333E">
        <w:rPr>
          <w:rFonts w:asciiTheme="minorHAnsi" w:eastAsia="Batang" w:hAnsiTheme="minorHAnsi" w:cs="Times New Roman"/>
          <w:sz w:val="22"/>
          <w:szCs w:val="22"/>
          <w:lang w:val="fr-FR"/>
        </w:rPr>
        <w:tab/>
      </w:r>
      <w:r w:rsidR="00FA393E" w:rsidRPr="00A4333E">
        <w:rPr>
          <w:rFonts w:asciiTheme="minorHAnsi" w:eastAsia="Batang" w:hAnsiTheme="minorHAnsi" w:cs="Times New Roman"/>
          <w:sz w:val="22"/>
          <w:szCs w:val="22"/>
          <w:lang w:val="fr-FR"/>
        </w:rPr>
        <w:t>Aucun changement dans les dispositions d'hébergement du Secrétariat n'est prévu. La proposition budg</w:t>
      </w:r>
      <w:r w:rsidR="00D47CF3" w:rsidRPr="00A4333E">
        <w:rPr>
          <w:rFonts w:asciiTheme="minorHAnsi" w:eastAsia="Batang" w:hAnsiTheme="minorHAnsi" w:cs="Times New Roman"/>
          <w:sz w:val="22"/>
          <w:szCs w:val="22"/>
          <w:lang w:val="fr-FR"/>
        </w:rPr>
        <w:t xml:space="preserve">étaire prend pour hypothèse la poursuite de </w:t>
      </w:r>
      <w:r w:rsidR="00FA393E" w:rsidRPr="00A4333E">
        <w:rPr>
          <w:rFonts w:asciiTheme="minorHAnsi" w:eastAsia="Batang" w:hAnsiTheme="minorHAnsi" w:cs="Times New Roman"/>
          <w:sz w:val="22"/>
          <w:szCs w:val="22"/>
          <w:lang w:val="fr-FR"/>
        </w:rPr>
        <w:t>l'hébergement par l'UICN en vertu de la lettre d'</w:t>
      </w:r>
      <w:r w:rsidR="00D47CF3" w:rsidRPr="00A4333E">
        <w:rPr>
          <w:rFonts w:asciiTheme="minorHAnsi" w:eastAsia="Batang" w:hAnsiTheme="minorHAnsi" w:cs="Times New Roman"/>
          <w:sz w:val="22"/>
          <w:szCs w:val="22"/>
          <w:lang w:val="fr-FR"/>
        </w:rPr>
        <w:t xml:space="preserve">entente </w:t>
      </w:r>
      <w:r w:rsidR="00FA393E" w:rsidRPr="00A4333E">
        <w:rPr>
          <w:rFonts w:asciiTheme="minorHAnsi" w:eastAsia="Batang" w:hAnsiTheme="minorHAnsi" w:cs="Times New Roman"/>
          <w:sz w:val="22"/>
          <w:szCs w:val="22"/>
          <w:lang w:val="fr-FR"/>
        </w:rPr>
        <w:t xml:space="preserve">avec l'UICN signée en 2009 et </w:t>
      </w:r>
      <w:r w:rsidR="00D47CF3" w:rsidRPr="00A4333E">
        <w:rPr>
          <w:rFonts w:asciiTheme="minorHAnsi" w:eastAsia="Batang" w:hAnsiTheme="minorHAnsi" w:cs="Times New Roman"/>
          <w:sz w:val="22"/>
          <w:szCs w:val="22"/>
          <w:lang w:val="fr-FR"/>
        </w:rPr>
        <w:t xml:space="preserve">de la </w:t>
      </w:r>
      <w:r w:rsidR="00FA393E" w:rsidRPr="00A4333E">
        <w:rPr>
          <w:rFonts w:asciiTheme="minorHAnsi" w:eastAsia="Batang" w:hAnsiTheme="minorHAnsi" w:cs="Times New Roman"/>
          <w:sz w:val="22"/>
          <w:szCs w:val="22"/>
          <w:lang w:val="fr-FR"/>
        </w:rPr>
        <w:t xml:space="preserve">discussion </w:t>
      </w:r>
      <w:r w:rsidR="00D47CF3" w:rsidRPr="00A4333E">
        <w:rPr>
          <w:rFonts w:asciiTheme="minorHAnsi" w:eastAsia="Batang" w:hAnsiTheme="minorHAnsi" w:cs="Times New Roman"/>
          <w:sz w:val="22"/>
          <w:szCs w:val="22"/>
          <w:lang w:val="fr-FR"/>
        </w:rPr>
        <w:t xml:space="preserve">qui intervient chaque année </w:t>
      </w:r>
      <w:r w:rsidR="00FA393E" w:rsidRPr="00A4333E">
        <w:rPr>
          <w:rFonts w:asciiTheme="minorHAnsi" w:eastAsia="Batang" w:hAnsiTheme="minorHAnsi" w:cs="Times New Roman"/>
          <w:sz w:val="22"/>
          <w:szCs w:val="22"/>
          <w:lang w:val="fr-FR"/>
        </w:rPr>
        <w:t xml:space="preserve">entre l'UICN et le Secrétariat de la Convention </w:t>
      </w:r>
      <w:r w:rsidR="00D47CF3" w:rsidRPr="00A4333E">
        <w:rPr>
          <w:rFonts w:asciiTheme="minorHAnsi" w:eastAsia="Batang" w:hAnsiTheme="minorHAnsi" w:cs="Times New Roman"/>
          <w:sz w:val="22"/>
          <w:szCs w:val="22"/>
          <w:lang w:val="fr-FR"/>
        </w:rPr>
        <w:t xml:space="preserve">de Ramsar </w:t>
      </w:r>
      <w:r w:rsidR="00FA393E" w:rsidRPr="00A4333E">
        <w:rPr>
          <w:rFonts w:asciiTheme="minorHAnsi" w:eastAsia="Batang" w:hAnsiTheme="minorHAnsi" w:cs="Times New Roman"/>
          <w:sz w:val="22"/>
          <w:szCs w:val="22"/>
          <w:lang w:val="fr-FR"/>
        </w:rPr>
        <w:t xml:space="preserve">sur les </w:t>
      </w:r>
      <w:r w:rsidR="00CF4997" w:rsidRPr="00A4333E">
        <w:rPr>
          <w:rFonts w:asciiTheme="minorHAnsi" w:eastAsia="Batang" w:hAnsiTheme="minorHAnsi" w:cs="Times New Roman"/>
          <w:sz w:val="22"/>
          <w:szCs w:val="22"/>
          <w:lang w:val="fr-FR"/>
        </w:rPr>
        <w:t xml:space="preserve">coûts annuels des </w:t>
      </w:r>
      <w:r w:rsidR="00FA393E" w:rsidRPr="00A4333E">
        <w:rPr>
          <w:rFonts w:asciiTheme="minorHAnsi" w:eastAsia="Batang" w:hAnsiTheme="minorHAnsi" w:cs="Times New Roman"/>
          <w:sz w:val="22"/>
          <w:szCs w:val="22"/>
          <w:lang w:val="fr-FR"/>
        </w:rPr>
        <w:t>service</w:t>
      </w:r>
      <w:r w:rsidR="003B5846" w:rsidRPr="00A4333E">
        <w:rPr>
          <w:rFonts w:asciiTheme="minorHAnsi" w:eastAsia="Batang" w:hAnsiTheme="minorHAnsi" w:cs="Times New Roman"/>
          <w:sz w:val="22"/>
          <w:szCs w:val="22"/>
          <w:lang w:val="fr-FR"/>
        </w:rPr>
        <w:t>s administratifs assurés par l’UICN</w:t>
      </w:r>
      <w:r w:rsidR="00FA393E" w:rsidRPr="00A4333E">
        <w:rPr>
          <w:rFonts w:asciiTheme="minorHAnsi" w:eastAsia="Batang" w:hAnsiTheme="minorHAnsi" w:cs="Times New Roman"/>
          <w:sz w:val="22"/>
          <w:szCs w:val="22"/>
          <w:lang w:val="fr-FR"/>
        </w:rPr>
        <w:t xml:space="preserve">. Les </w:t>
      </w:r>
      <w:r w:rsidR="003B5846" w:rsidRPr="00A4333E">
        <w:rPr>
          <w:rFonts w:asciiTheme="minorHAnsi" w:eastAsia="Batang" w:hAnsiTheme="minorHAnsi" w:cs="Times New Roman"/>
          <w:sz w:val="22"/>
          <w:szCs w:val="22"/>
          <w:lang w:val="fr-FR"/>
        </w:rPr>
        <w:t xml:space="preserve">coûts </w:t>
      </w:r>
      <w:r w:rsidR="00FA393E" w:rsidRPr="00A4333E">
        <w:rPr>
          <w:rFonts w:asciiTheme="minorHAnsi" w:eastAsia="Batang" w:hAnsiTheme="minorHAnsi" w:cs="Times New Roman"/>
          <w:sz w:val="22"/>
          <w:szCs w:val="22"/>
          <w:lang w:val="fr-FR"/>
        </w:rPr>
        <w:t>de</w:t>
      </w:r>
      <w:r w:rsidR="003B5846" w:rsidRPr="00A4333E">
        <w:rPr>
          <w:rFonts w:asciiTheme="minorHAnsi" w:eastAsia="Batang" w:hAnsiTheme="minorHAnsi" w:cs="Times New Roman"/>
          <w:sz w:val="22"/>
          <w:szCs w:val="22"/>
          <w:lang w:val="fr-FR"/>
        </w:rPr>
        <w:t>s</w:t>
      </w:r>
      <w:r w:rsidR="00FA393E" w:rsidRPr="00A4333E">
        <w:rPr>
          <w:rFonts w:asciiTheme="minorHAnsi" w:eastAsia="Batang" w:hAnsiTheme="minorHAnsi" w:cs="Times New Roman"/>
          <w:sz w:val="22"/>
          <w:szCs w:val="22"/>
          <w:lang w:val="fr-FR"/>
        </w:rPr>
        <w:t xml:space="preserve"> service</w:t>
      </w:r>
      <w:r w:rsidR="003B5846" w:rsidRPr="00A4333E">
        <w:rPr>
          <w:rFonts w:asciiTheme="minorHAnsi" w:eastAsia="Batang" w:hAnsiTheme="minorHAnsi" w:cs="Times New Roman"/>
          <w:sz w:val="22"/>
          <w:szCs w:val="22"/>
          <w:lang w:val="fr-FR"/>
        </w:rPr>
        <w:t>s administratifs pour la période</w:t>
      </w:r>
      <w:r w:rsidR="00FA393E" w:rsidRPr="00A4333E">
        <w:rPr>
          <w:rFonts w:asciiTheme="minorHAnsi" w:eastAsia="Batang" w:hAnsiTheme="minorHAnsi" w:cs="Times New Roman"/>
          <w:sz w:val="22"/>
          <w:szCs w:val="22"/>
          <w:lang w:val="fr-FR"/>
        </w:rPr>
        <w:t xml:space="preserve"> 2023-2025 </w:t>
      </w:r>
      <w:r w:rsidR="003B5846" w:rsidRPr="00A4333E">
        <w:rPr>
          <w:rFonts w:asciiTheme="minorHAnsi" w:eastAsia="Batang" w:hAnsiTheme="minorHAnsi" w:cs="Times New Roman"/>
          <w:sz w:val="22"/>
          <w:szCs w:val="22"/>
          <w:lang w:val="fr-FR"/>
        </w:rPr>
        <w:t xml:space="preserve">d’un montant </w:t>
      </w:r>
      <w:r w:rsidR="00FA393E" w:rsidRPr="00A4333E">
        <w:rPr>
          <w:rFonts w:asciiTheme="minorHAnsi" w:eastAsia="Batang" w:hAnsiTheme="minorHAnsi" w:cs="Times New Roman"/>
          <w:sz w:val="22"/>
          <w:szCs w:val="22"/>
          <w:lang w:val="fr-FR"/>
        </w:rPr>
        <w:t>de 541</w:t>
      </w:r>
      <w:r w:rsidR="003B5846" w:rsidRPr="00A4333E">
        <w:rPr>
          <w:rFonts w:asciiTheme="minorHAnsi" w:eastAsia="Batang" w:hAnsiTheme="minorHAnsi" w:cs="Times New Roman"/>
          <w:sz w:val="22"/>
          <w:szCs w:val="22"/>
          <w:lang w:val="fr-FR"/>
        </w:rPr>
        <w:t xml:space="preserve"> 000 CHF</w:t>
      </w:r>
      <w:r w:rsidR="00FA393E" w:rsidRPr="00A4333E">
        <w:rPr>
          <w:rFonts w:asciiTheme="minorHAnsi" w:eastAsia="Batang" w:hAnsiTheme="minorHAnsi" w:cs="Times New Roman"/>
          <w:sz w:val="22"/>
          <w:szCs w:val="22"/>
          <w:lang w:val="fr-FR"/>
        </w:rPr>
        <w:t xml:space="preserve"> par an représentent environ 11</w:t>
      </w:r>
      <w:r w:rsidR="003B5846" w:rsidRPr="00A4333E">
        <w:rPr>
          <w:rFonts w:asciiTheme="minorHAnsi" w:eastAsia="Batang" w:hAnsiTheme="minorHAnsi" w:cs="Times New Roman"/>
          <w:sz w:val="22"/>
          <w:szCs w:val="22"/>
          <w:lang w:val="fr-FR"/>
        </w:rPr>
        <w:t xml:space="preserve"> </w:t>
      </w:r>
      <w:r w:rsidR="00FA393E" w:rsidRPr="00A4333E">
        <w:rPr>
          <w:rFonts w:asciiTheme="minorHAnsi" w:eastAsia="Batang" w:hAnsiTheme="minorHAnsi" w:cs="Times New Roman"/>
          <w:sz w:val="22"/>
          <w:szCs w:val="22"/>
          <w:lang w:val="fr-FR"/>
        </w:rPr>
        <w:t xml:space="preserve">% du </w:t>
      </w:r>
      <w:r w:rsidR="003B5846" w:rsidRPr="00A4333E">
        <w:rPr>
          <w:rFonts w:asciiTheme="minorHAnsi" w:eastAsia="Batang" w:hAnsiTheme="minorHAnsi" w:cs="Times New Roman"/>
          <w:sz w:val="22"/>
          <w:szCs w:val="22"/>
          <w:lang w:val="fr-FR"/>
        </w:rPr>
        <w:t xml:space="preserve">montant </w:t>
      </w:r>
      <w:r w:rsidR="00FA393E" w:rsidRPr="00A4333E">
        <w:rPr>
          <w:rFonts w:asciiTheme="minorHAnsi" w:eastAsia="Batang" w:hAnsiTheme="minorHAnsi" w:cs="Times New Roman"/>
          <w:sz w:val="22"/>
          <w:szCs w:val="22"/>
          <w:lang w:val="fr-FR"/>
        </w:rPr>
        <w:t xml:space="preserve">total des lignes budgétaires des dépenses </w:t>
      </w:r>
      <w:r w:rsidR="003B5846" w:rsidRPr="00A4333E">
        <w:rPr>
          <w:rFonts w:asciiTheme="minorHAnsi" w:eastAsia="Batang" w:hAnsiTheme="minorHAnsi" w:cs="Times New Roman"/>
          <w:sz w:val="22"/>
          <w:szCs w:val="22"/>
          <w:lang w:val="fr-FR"/>
        </w:rPr>
        <w:t xml:space="preserve">administratives </w:t>
      </w:r>
      <w:r w:rsidR="00FA393E" w:rsidRPr="00A4333E">
        <w:rPr>
          <w:rFonts w:asciiTheme="minorHAnsi" w:eastAsia="Batang" w:hAnsiTheme="minorHAnsi" w:cs="Times New Roman"/>
          <w:sz w:val="22"/>
          <w:szCs w:val="22"/>
          <w:lang w:val="fr-FR"/>
        </w:rPr>
        <w:t>et ne dépassent pas le maximum de 13</w:t>
      </w:r>
      <w:r w:rsidR="003B5846" w:rsidRPr="00A4333E">
        <w:rPr>
          <w:rFonts w:asciiTheme="minorHAnsi" w:eastAsia="Batang" w:hAnsiTheme="minorHAnsi" w:cs="Times New Roman"/>
          <w:sz w:val="22"/>
          <w:szCs w:val="22"/>
          <w:lang w:val="fr-FR"/>
        </w:rPr>
        <w:t xml:space="preserve"> </w:t>
      </w:r>
      <w:r w:rsidR="00FA393E" w:rsidRPr="00A4333E">
        <w:rPr>
          <w:rFonts w:asciiTheme="minorHAnsi" w:eastAsia="Batang" w:hAnsiTheme="minorHAnsi" w:cs="Times New Roman"/>
          <w:sz w:val="22"/>
          <w:szCs w:val="22"/>
          <w:lang w:val="fr-FR"/>
        </w:rPr>
        <w:t>% introduit par la décision SC37-41 (2008) du Comité permanent</w:t>
      </w:r>
      <w:r w:rsidR="00C65D54" w:rsidRPr="00A4333E">
        <w:rPr>
          <w:rFonts w:asciiTheme="minorHAnsi" w:eastAsia="Batang" w:hAnsiTheme="minorHAnsi" w:cs="Times New Roman"/>
          <w:sz w:val="22"/>
          <w:szCs w:val="22"/>
          <w:lang w:val="fr-FR"/>
        </w:rPr>
        <w:t>.</w:t>
      </w:r>
    </w:p>
    <w:p w14:paraId="2D679D5E" w14:textId="125115B2" w:rsidR="00D4581F" w:rsidRPr="00A4333E" w:rsidRDefault="00D4581F" w:rsidP="00D4581F">
      <w:pPr>
        <w:pStyle w:val="MGfulltext"/>
        <w:spacing w:after="0"/>
        <w:ind w:left="850" w:hanging="425"/>
        <w:rPr>
          <w:rFonts w:asciiTheme="minorHAnsi" w:eastAsia="Batang" w:hAnsiTheme="minorHAnsi" w:cs="Times New Roman"/>
          <w:sz w:val="22"/>
          <w:szCs w:val="22"/>
          <w:lang w:val="fr-FR"/>
        </w:rPr>
      </w:pPr>
    </w:p>
    <w:p w14:paraId="4BBA0290" w14:textId="72A8C7DA" w:rsidR="00491283" w:rsidRPr="00A4333E" w:rsidRDefault="00D27898" w:rsidP="003F50B6">
      <w:pPr>
        <w:pStyle w:val="MGfulltext"/>
        <w:keepNext/>
        <w:spacing w:after="0"/>
        <w:ind w:left="850" w:hanging="425"/>
        <w:rPr>
          <w:rFonts w:asciiTheme="minorHAnsi" w:eastAsia="Batang" w:hAnsiTheme="minorHAnsi" w:cs="Times New Roman"/>
          <w:i/>
          <w:sz w:val="22"/>
          <w:szCs w:val="22"/>
          <w:u w:val="single"/>
          <w:lang w:val="fr-FR"/>
        </w:rPr>
      </w:pPr>
      <w:r w:rsidRPr="00A4333E">
        <w:rPr>
          <w:rFonts w:asciiTheme="minorHAnsi" w:eastAsia="Batang" w:hAnsiTheme="minorHAnsi" w:cs="Times New Roman"/>
          <w:i/>
          <w:sz w:val="22"/>
          <w:szCs w:val="22"/>
          <w:u w:val="single"/>
          <w:lang w:val="fr-FR"/>
        </w:rPr>
        <w:lastRenderedPageBreak/>
        <w:t>Dépenses en personnel et autres postes budgétaires</w:t>
      </w:r>
    </w:p>
    <w:p w14:paraId="2DE9AF62" w14:textId="77777777" w:rsidR="00491283" w:rsidRPr="00A4333E" w:rsidRDefault="00491283" w:rsidP="003F50B6">
      <w:pPr>
        <w:pStyle w:val="MGfulltext"/>
        <w:keepNext/>
        <w:spacing w:after="0"/>
        <w:ind w:left="850" w:hanging="425"/>
        <w:rPr>
          <w:rFonts w:asciiTheme="minorHAnsi" w:eastAsia="Batang" w:hAnsiTheme="minorHAnsi" w:cs="Times New Roman"/>
          <w:sz w:val="22"/>
          <w:szCs w:val="22"/>
          <w:lang w:val="fr-FR"/>
        </w:rPr>
      </w:pPr>
    </w:p>
    <w:p w14:paraId="7B0CDFA9" w14:textId="6D332E8F" w:rsidR="0047081F" w:rsidRPr="00A4333E" w:rsidRDefault="00902768" w:rsidP="00902768">
      <w:pPr>
        <w:pStyle w:val="MGfulltext"/>
        <w:spacing w:after="0"/>
        <w:ind w:left="850" w:hanging="425"/>
        <w:rPr>
          <w:rFonts w:asciiTheme="minorHAnsi" w:eastAsia="Batang" w:hAnsiTheme="minorHAnsi" w:cs="Times New Roman"/>
          <w:sz w:val="22"/>
          <w:szCs w:val="22"/>
          <w:lang w:val="fr-FR"/>
        </w:rPr>
      </w:pPr>
      <w:r w:rsidRPr="00A4333E">
        <w:rPr>
          <w:rFonts w:asciiTheme="minorHAnsi" w:eastAsia="Batang" w:hAnsiTheme="minorHAnsi" w:cs="Times New Roman"/>
          <w:sz w:val="22"/>
          <w:szCs w:val="22"/>
          <w:lang w:val="fr-FR"/>
        </w:rPr>
        <w:t>d.</w:t>
      </w:r>
      <w:r w:rsidRPr="00A4333E">
        <w:rPr>
          <w:rFonts w:asciiTheme="minorHAnsi" w:eastAsia="Batang" w:hAnsiTheme="minorHAnsi" w:cs="Times New Roman"/>
          <w:sz w:val="22"/>
          <w:szCs w:val="22"/>
          <w:lang w:val="fr-FR"/>
        </w:rPr>
        <w:tab/>
      </w:r>
      <w:r w:rsidR="00E37A47" w:rsidRPr="00A4333E">
        <w:rPr>
          <w:rFonts w:asciiTheme="minorHAnsi" w:eastAsia="Batang" w:hAnsiTheme="minorHAnsi" w:cs="Times New Roman"/>
          <w:sz w:val="22"/>
          <w:szCs w:val="22"/>
          <w:lang w:val="fr-FR"/>
        </w:rPr>
        <w:t xml:space="preserve">Le calcul se fonde sur l’hypothèse selon laquelle </w:t>
      </w:r>
      <w:r w:rsidR="00D27898" w:rsidRPr="00A4333E">
        <w:rPr>
          <w:rFonts w:asciiTheme="minorHAnsi" w:eastAsia="Batang" w:hAnsiTheme="minorHAnsi" w:cs="Times New Roman"/>
          <w:sz w:val="22"/>
          <w:szCs w:val="22"/>
          <w:lang w:val="fr-FR"/>
        </w:rPr>
        <w:t xml:space="preserve">le niveau actuel du financement </w:t>
      </w:r>
      <w:r w:rsidR="00E37A47" w:rsidRPr="00A4333E">
        <w:rPr>
          <w:rFonts w:asciiTheme="minorHAnsi" w:eastAsia="Batang" w:hAnsiTheme="minorHAnsi" w:cs="Times New Roman"/>
          <w:sz w:val="22"/>
          <w:szCs w:val="22"/>
          <w:lang w:val="fr-FR"/>
        </w:rPr>
        <w:t>administratif du</w:t>
      </w:r>
      <w:r w:rsidR="00D27898" w:rsidRPr="00A4333E">
        <w:rPr>
          <w:rFonts w:asciiTheme="minorHAnsi" w:eastAsia="Batang" w:hAnsiTheme="minorHAnsi" w:cs="Times New Roman"/>
          <w:sz w:val="22"/>
          <w:szCs w:val="22"/>
          <w:lang w:val="fr-FR"/>
        </w:rPr>
        <w:t xml:space="preserve"> personnel </w:t>
      </w:r>
      <w:r w:rsidR="00E37A47" w:rsidRPr="00A4333E">
        <w:rPr>
          <w:rFonts w:asciiTheme="minorHAnsi" w:eastAsia="Batang" w:hAnsiTheme="minorHAnsi" w:cs="Times New Roman"/>
          <w:sz w:val="22"/>
          <w:szCs w:val="22"/>
          <w:lang w:val="fr-FR"/>
        </w:rPr>
        <w:t>est maintenu</w:t>
      </w:r>
      <w:r w:rsidR="00D27898" w:rsidRPr="00A4333E">
        <w:rPr>
          <w:rFonts w:asciiTheme="minorHAnsi" w:eastAsia="Batang" w:hAnsiTheme="minorHAnsi" w:cs="Times New Roman"/>
          <w:sz w:val="22"/>
          <w:szCs w:val="22"/>
          <w:lang w:val="fr-FR"/>
        </w:rPr>
        <w:t xml:space="preserve"> (comme présenté dans le document COP14 Doc.18.1 Annexe 3).</w:t>
      </w:r>
      <w:r w:rsidR="002849A4" w:rsidRPr="00A4333E">
        <w:rPr>
          <w:rFonts w:asciiTheme="minorHAnsi" w:eastAsia="Batang" w:hAnsiTheme="minorHAnsi" w:cs="Times New Roman"/>
          <w:sz w:val="22"/>
          <w:szCs w:val="22"/>
          <w:lang w:val="fr-FR"/>
        </w:rPr>
        <w:t xml:space="preserve"> </w:t>
      </w:r>
    </w:p>
    <w:p w14:paraId="5F8E11B8" w14:textId="77777777" w:rsidR="00871145" w:rsidRPr="00A4333E" w:rsidRDefault="00871145" w:rsidP="00902768">
      <w:pPr>
        <w:pStyle w:val="MGfulltext"/>
        <w:spacing w:after="0"/>
        <w:ind w:left="850" w:hanging="425"/>
        <w:rPr>
          <w:rFonts w:asciiTheme="minorHAnsi" w:eastAsia="Batang" w:hAnsiTheme="minorHAnsi" w:cs="Times New Roman"/>
          <w:sz w:val="22"/>
          <w:szCs w:val="22"/>
          <w:lang w:val="fr-FR"/>
        </w:rPr>
      </w:pPr>
    </w:p>
    <w:p w14:paraId="3D6E5939" w14:textId="3BDFEB00" w:rsidR="002849A4" w:rsidRPr="00A4333E" w:rsidRDefault="00871145" w:rsidP="00871145">
      <w:pPr>
        <w:pStyle w:val="MGfulltext"/>
        <w:spacing w:after="0"/>
        <w:ind w:left="850" w:hanging="425"/>
        <w:rPr>
          <w:rFonts w:asciiTheme="minorHAnsi" w:eastAsia="Batang" w:hAnsiTheme="minorHAnsi" w:cs="Times New Roman"/>
          <w:sz w:val="22"/>
          <w:szCs w:val="22"/>
          <w:lang w:val="fr-FR"/>
        </w:rPr>
      </w:pPr>
      <w:r w:rsidRPr="00A4333E">
        <w:rPr>
          <w:rFonts w:asciiTheme="minorHAnsi" w:eastAsia="Batang" w:hAnsiTheme="minorHAnsi" w:cs="Times New Roman"/>
          <w:sz w:val="22"/>
          <w:szCs w:val="22"/>
          <w:lang w:val="fr-FR"/>
        </w:rPr>
        <w:t>e.</w:t>
      </w:r>
      <w:r w:rsidRPr="00A4333E">
        <w:rPr>
          <w:rFonts w:asciiTheme="minorHAnsi" w:eastAsia="Batang" w:hAnsiTheme="minorHAnsi" w:cs="Times New Roman"/>
          <w:sz w:val="22"/>
          <w:szCs w:val="22"/>
          <w:lang w:val="fr-FR"/>
        </w:rPr>
        <w:tab/>
      </w:r>
      <w:r w:rsidR="00E37A47" w:rsidRPr="00A4333E">
        <w:rPr>
          <w:rFonts w:asciiTheme="minorHAnsi" w:eastAsia="Batang" w:hAnsiTheme="minorHAnsi" w:cs="Times New Roman"/>
          <w:sz w:val="22"/>
          <w:szCs w:val="22"/>
          <w:lang w:val="fr-FR"/>
        </w:rPr>
        <w:t xml:space="preserve">Comme indiqué dans la Résolution XIII.2, paragraphe 15, un </w:t>
      </w:r>
      <w:r w:rsidR="00163E30" w:rsidRPr="00A4333E">
        <w:rPr>
          <w:rFonts w:asciiTheme="minorHAnsi" w:eastAsia="Batang" w:hAnsiTheme="minorHAnsi" w:cs="Times New Roman"/>
          <w:sz w:val="22"/>
          <w:szCs w:val="22"/>
          <w:lang w:val="fr-FR"/>
        </w:rPr>
        <w:t>déficit</w:t>
      </w:r>
      <w:r w:rsidR="00071253" w:rsidRPr="00A4333E">
        <w:rPr>
          <w:rFonts w:asciiTheme="minorHAnsi" w:eastAsia="Batang" w:hAnsiTheme="minorHAnsi" w:cs="Times New Roman"/>
          <w:sz w:val="22"/>
          <w:szCs w:val="22"/>
          <w:lang w:val="fr-FR"/>
        </w:rPr>
        <w:t xml:space="preserve"> </w:t>
      </w:r>
      <w:r w:rsidR="00E37A47" w:rsidRPr="00A4333E">
        <w:rPr>
          <w:rFonts w:asciiTheme="minorHAnsi" w:eastAsia="Batang" w:hAnsiTheme="minorHAnsi" w:cs="Times New Roman"/>
          <w:sz w:val="22"/>
          <w:szCs w:val="22"/>
          <w:lang w:val="fr-FR"/>
        </w:rPr>
        <w:t xml:space="preserve">de 228 000 </w:t>
      </w:r>
      <w:r w:rsidR="00071253" w:rsidRPr="00A4333E">
        <w:rPr>
          <w:rFonts w:asciiTheme="minorHAnsi" w:eastAsia="Batang" w:hAnsiTheme="minorHAnsi" w:cs="Times New Roman"/>
          <w:sz w:val="22"/>
          <w:szCs w:val="22"/>
          <w:lang w:val="fr-FR"/>
        </w:rPr>
        <w:t>CHF</w:t>
      </w:r>
      <w:r w:rsidR="00E37A47" w:rsidRPr="00A4333E">
        <w:rPr>
          <w:rFonts w:asciiTheme="minorHAnsi" w:eastAsia="Batang" w:hAnsiTheme="minorHAnsi" w:cs="Times New Roman"/>
          <w:sz w:val="22"/>
          <w:szCs w:val="22"/>
          <w:lang w:val="fr-FR"/>
        </w:rPr>
        <w:t xml:space="preserve"> dans le budget des fonctions </w:t>
      </w:r>
      <w:r w:rsidR="00BB14A9" w:rsidRPr="00A4333E">
        <w:rPr>
          <w:rFonts w:asciiTheme="minorHAnsi" w:eastAsia="Batang" w:hAnsiTheme="minorHAnsi" w:cs="Times New Roman"/>
          <w:sz w:val="22"/>
          <w:szCs w:val="22"/>
          <w:lang w:val="fr-FR"/>
        </w:rPr>
        <w:t xml:space="preserve">administratives </w:t>
      </w:r>
      <w:r w:rsidR="00E37A47" w:rsidRPr="00A4333E">
        <w:rPr>
          <w:rFonts w:asciiTheme="minorHAnsi" w:eastAsia="Batang" w:hAnsiTheme="minorHAnsi" w:cs="Times New Roman"/>
          <w:sz w:val="22"/>
          <w:szCs w:val="22"/>
          <w:lang w:val="fr-FR"/>
        </w:rPr>
        <w:t xml:space="preserve">du Secrétariat (120 000 </w:t>
      </w:r>
      <w:r w:rsidR="00071253" w:rsidRPr="00A4333E">
        <w:rPr>
          <w:rFonts w:asciiTheme="minorHAnsi" w:eastAsia="Batang" w:hAnsiTheme="minorHAnsi" w:cs="Times New Roman"/>
          <w:sz w:val="22"/>
          <w:szCs w:val="22"/>
          <w:lang w:val="fr-FR"/>
        </w:rPr>
        <w:t>CHF</w:t>
      </w:r>
      <w:r w:rsidR="00E37A47" w:rsidRPr="00A4333E">
        <w:rPr>
          <w:rFonts w:asciiTheme="minorHAnsi" w:eastAsia="Batang" w:hAnsiTheme="minorHAnsi" w:cs="Times New Roman"/>
          <w:sz w:val="22"/>
          <w:szCs w:val="22"/>
          <w:lang w:val="fr-FR"/>
        </w:rPr>
        <w:t xml:space="preserve"> pour la communication, la traduction, les publications et rapports</w:t>
      </w:r>
      <w:r w:rsidR="00EB322D">
        <w:rPr>
          <w:rFonts w:asciiTheme="minorHAnsi" w:eastAsia="Batang" w:hAnsiTheme="minorHAnsi" w:cs="Times New Roman"/>
          <w:sz w:val="22"/>
          <w:szCs w:val="22"/>
          <w:lang w:val="fr-FR"/>
        </w:rPr>
        <w:t>)</w:t>
      </w:r>
      <w:r w:rsidR="00E37A47" w:rsidRPr="00A4333E">
        <w:rPr>
          <w:rFonts w:asciiTheme="minorHAnsi" w:eastAsia="Batang" w:hAnsiTheme="minorHAnsi" w:cs="Times New Roman"/>
          <w:sz w:val="22"/>
          <w:szCs w:val="22"/>
          <w:lang w:val="fr-FR"/>
        </w:rPr>
        <w:t xml:space="preserve">, 60 000 </w:t>
      </w:r>
      <w:r w:rsidR="00071253" w:rsidRPr="00A4333E">
        <w:rPr>
          <w:rFonts w:asciiTheme="minorHAnsi" w:eastAsia="Batang" w:hAnsiTheme="minorHAnsi" w:cs="Times New Roman"/>
          <w:sz w:val="22"/>
          <w:szCs w:val="22"/>
          <w:lang w:val="fr-FR"/>
        </w:rPr>
        <w:t>CHF</w:t>
      </w:r>
      <w:r w:rsidR="00E37A47" w:rsidRPr="00A4333E">
        <w:rPr>
          <w:rFonts w:asciiTheme="minorHAnsi" w:eastAsia="Batang" w:hAnsiTheme="minorHAnsi" w:cs="Times New Roman"/>
          <w:sz w:val="22"/>
          <w:szCs w:val="22"/>
          <w:lang w:val="fr-FR"/>
        </w:rPr>
        <w:t xml:space="preserve"> pour les </w:t>
      </w:r>
      <w:r w:rsidR="00071253" w:rsidRPr="00A4333E">
        <w:rPr>
          <w:rFonts w:asciiTheme="minorHAnsi" w:eastAsia="Batang" w:hAnsiTheme="minorHAnsi" w:cs="Times New Roman"/>
          <w:sz w:val="22"/>
          <w:szCs w:val="22"/>
          <w:lang w:val="fr-FR"/>
        </w:rPr>
        <w:t xml:space="preserve">déplacements </w:t>
      </w:r>
      <w:r w:rsidR="00E37A47" w:rsidRPr="00A4333E">
        <w:rPr>
          <w:rFonts w:asciiTheme="minorHAnsi" w:eastAsia="Batang" w:hAnsiTheme="minorHAnsi" w:cs="Times New Roman"/>
          <w:sz w:val="22"/>
          <w:szCs w:val="22"/>
          <w:lang w:val="fr-FR"/>
        </w:rPr>
        <w:t xml:space="preserve">du personnel (15 000 </w:t>
      </w:r>
      <w:r w:rsidR="00071253" w:rsidRPr="00A4333E">
        <w:rPr>
          <w:rFonts w:asciiTheme="minorHAnsi" w:eastAsia="Batang" w:hAnsiTheme="minorHAnsi" w:cs="Times New Roman"/>
          <w:sz w:val="22"/>
          <w:szCs w:val="22"/>
          <w:lang w:val="fr-FR"/>
        </w:rPr>
        <w:t>CHF</w:t>
      </w:r>
      <w:r w:rsidR="00E37A47" w:rsidRPr="00A4333E">
        <w:rPr>
          <w:rFonts w:asciiTheme="minorHAnsi" w:eastAsia="Batang" w:hAnsiTheme="minorHAnsi" w:cs="Times New Roman"/>
          <w:sz w:val="22"/>
          <w:szCs w:val="22"/>
          <w:lang w:val="fr-FR"/>
        </w:rPr>
        <w:t xml:space="preserve"> pour les voyages des cadres supérieurs du Secrétariat, 15 000 </w:t>
      </w:r>
      <w:r w:rsidR="00071253" w:rsidRPr="00A4333E">
        <w:rPr>
          <w:rFonts w:asciiTheme="minorHAnsi" w:eastAsia="Batang" w:hAnsiTheme="minorHAnsi" w:cs="Times New Roman"/>
          <w:sz w:val="22"/>
          <w:szCs w:val="22"/>
          <w:lang w:val="fr-FR"/>
        </w:rPr>
        <w:t>CHF</w:t>
      </w:r>
      <w:r w:rsidR="00E37A47" w:rsidRPr="00A4333E">
        <w:rPr>
          <w:rFonts w:asciiTheme="minorHAnsi" w:eastAsia="Batang" w:hAnsiTheme="minorHAnsi" w:cs="Times New Roman"/>
          <w:sz w:val="22"/>
          <w:szCs w:val="22"/>
          <w:lang w:val="fr-FR"/>
        </w:rPr>
        <w:t xml:space="preserve"> pour les voyages </w:t>
      </w:r>
      <w:r w:rsidR="00071253" w:rsidRPr="00A4333E">
        <w:rPr>
          <w:rFonts w:asciiTheme="minorHAnsi" w:eastAsia="Batang" w:hAnsiTheme="minorHAnsi" w:cs="Times New Roman"/>
          <w:sz w:val="22"/>
          <w:szCs w:val="22"/>
          <w:lang w:val="fr-FR"/>
        </w:rPr>
        <w:t xml:space="preserve">à des fins </w:t>
      </w:r>
      <w:r w:rsidR="00E37A47" w:rsidRPr="00A4333E">
        <w:rPr>
          <w:rFonts w:asciiTheme="minorHAnsi" w:eastAsia="Batang" w:hAnsiTheme="minorHAnsi" w:cs="Times New Roman"/>
          <w:sz w:val="22"/>
          <w:szCs w:val="22"/>
          <w:lang w:val="fr-FR"/>
        </w:rPr>
        <w:t xml:space="preserve">de mobilisation des ressources et de sensibilisation et 30 000 </w:t>
      </w:r>
      <w:r w:rsidR="00071253" w:rsidRPr="00A4333E">
        <w:rPr>
          <w:rFonts w:asciiTheme="minorHAnsi" w:eastAsia="Batang" w:hAnsiTheme="minorHAnsi" w:cs="Times New Roman"/>
          <w:sz w:val="22"/>
          <w:szCs w:val="22"/>
          <w:lang w:val="fr-FR"/>
        </w:rPr>
        <w:t>CHF</w:t>
      </w:r>
      <w:r w:rsidR="00E37A47" w:rsidRPr="00A4333E">
        <w:rPr>
          <w:rFonts w:asciiTheme="minorHAnsi" w:eastAsia="Batang" w:hAnsiTheme="minorHAnsi" w:cs="Times New Roman"/>
          <w:sz w:val="22"/>
          <w:szCs w:val="22"/>
          <w:lang w:val="fr-FR"/>
        </w:rPr>
        <w:t xml:space="preserve"> pour les voyages </w:t>
      </w:r>
      <w:r w:rsidR="00071253" w:rsidRPr="00A4333E">
        <w:rPr>
          <w:rFonts w:asciiTheme="minorHAnsi" w:eastAsia="Batang" w:hAnsiTheme="minorHAnsi" w:cs="Times New Roman"/>
          <w:sz w:val="22"/>
          <w:szCs w:val="22"/>
          <w:lang w:val="fr-FR"/>
        </w:rPr>
        <w:t>pour appui et conseils aux régions</w:t>
      </w:r>
      <w:r w:rsidR="00E37A47" w:rsidRPr="00A4333E">
        <w:rPr>
          <w:rFonts w:asciiTheme="minorHAnsi" w:eastAsia="Batang" w:hAnsiTheme="minorHAnsi" w:cs="Times New Roman"/>
          <w:sz w:val="22"/>
          <w:szCs w:val="22"/>
          <w:lang w:val="fr-FR"/>
        </w:rPr>
        <w:t>), 15 000 CHF pour l</w:t>
      </w:r>
      <w:r w:rsidR="00EB322D">
        <w:rPr>
          <w:rFonts w:asciiTheme="minorHAnsi" w:eastAsia="Batang" w:hAnsiTheme="minorHAnsi" w:cs="Times New Roman"/>
          <w:sz w:val="22"/>
          <w:szCs w:val="22"/>
          <w:lang w:val="fr-FR"/>
        </w:rPr>
        <w:t xml:space="preserve">es travaux </w:t>
      </w:r>
      <w:r w:rsidR="00E37A47" w:rsidRPr="00A4333E">
        <w:rPr>
          <w:rFonts w:asciiTheme="minorHAnsi" w:eastAsia="Batang" w:hAnsiTheme="minorHAnsi" w:cs="Times New Roman"/>
          <w:sz w:val="22"/>
          <w:szCs w:val="22"/>
          <w:lang w:val="fr-FR"/>
        </w:rPr>
        <w:t>du GEST et 33 000 CHF pour la planification et le renforcement des capacités</w:t>
      </w:r>
      <w:r w:rsidR="00EB322D">
        <w:rPr>
          <w:rFonts w:asciiTheme="minorHAnsi" w:eastAsia="Batang" w:hAnsiTheme="minorHAnsi" w:cs="Times New Roman"/>
          <w:sz w:val="22"/>
          <w:szCs w:val="22"/>
          <w:lang w:val="fr-FR"/>
        </w:rPr>
        <w:t>,</w:t>
      </w:r>
      <w:r w:rsidR="00E37A47" w:rsidRPr="00A4333E">
        <w:rPr>
          <w:rFonts w:asciiTheme="minorHAnsi" w:eastAsia="Batang" w:hAnsiTheme="minorHAnsi" w:cs="Times New Roman"/>
          <w:sz w:val="22"/>
          <w:szCs w:val="22"/>
          <w:lang w:val="fr-FR"/>
        </w:rPr>
        <w:t xml:space="preserve"> a été </w:t>
      </w:r>
      <w:r w:rsidR="00163E30" w:rsidRPr="00A4333E">
        <w:rPr>
          <w:rFonts w:asciiTheme="minorHAnsi" w:eastAsia="Batang" w:hAnsiTheme="minorHAnsi" w:cs="Times New Roman"/>
          <w:sz w:val="22"/>
          <w:szCs w:val="22"/>
          <w:lang w:val="fr-FR"/>
        </w:rPr>
        <w:t xml:space="preserve">approuvé </w:t>
      </w:r>
      <w:r w:rsidR="00E37A47" w:rsidRPr="00A4333E">
        <w:rPr>
          <w:rFonts w:asciiTheme="minorHAnsi" w:eastAsia="Batang" w:hAnsiTheme="minorHAnsi" w:cs="Times New Roman"/>
          <w:sz w:val="22"/>
          <w:szCs w:val="22"/>
          <w:lang w:val="fr-FR"/>
        </w:rPr>
        <w:t>pour permettre l</w:t>
      </w:r>
      <w:r w:rsidR="00163E30" w:rsidRPr="00A4333E">
        <w:rPr>
          <w:rFonts w:asciiTheme="minorHAnsi" w:eastAsia="Batang" w:hAnsiTheme="minorHAnsi" w:cs="Times New Roman"/>
          <w:sz w:val="22"/>
          <w:szCs w:val="22"/>
          <w:lang w:val="fr-FR"/>
        </w:rPr>
        <w:t xml:space="preserve">a création </w:t>
      </w:r>
      <w:r w:rsidR="00E37A47" w:rsidRPr="00A4333E">
        <w:rPr>
          <w:rFonts w:asciiTheme="minorHAnsi" w:eastAsia="Batang" w:hAnsiTheme="minorHAnsi" w:cs="Times New Roman"/>
          <w:sz w:val="22"/>
          <w:szCs w:val="22"/>
          <w:lang w:val="fr-FR"/>
        </w:rPr>
        <w:t>d'un poste d'assistant chargé des finances et de la comptabilité, et la COP13 a approuvé l'utilisation de l'excédent de la période triennale précédente pour couvrir ce</w:t>
      </w:r>
      <w:r w:rsidR="00163E30" w:rsidRPr="00A4333E">
        <w:rPr>
          <w:rFonts w:asciiTheme="minorHAnsi" w:eastAsia="Batang" w:hAnsiTheme="minorHAnsi" w:cs="Times New Roman"/>
          <w:sz w:val="22"/>
          <w:szCs w:val="22"/>
          <w:lang w:val="fr-FR"/>
        </w:rPr>
        <w:t xml:space="preserve"> déficit</w:t>
      </w:r>
      <w:r w:rsidR="00E37A47" w:rsidRPr="00A4333E">
        <w:rPr>
          <w:rFonts w:asciiTheme="minorHAnsi" w:eastAsia="Batang" w:hAnsiTheme="minorHAnsi" w:cs="Times New Roman"/>
          <w:sz w:val="22"/>
          <w:szCs w:val="22"/>
          <w:lang w:val="fr-FR"/>
        </w:rPr>
        <w:t xml:space="preserve">. Les </w:t>
      </w:r>
      <w:r w:rsidR="00290EA4" w:rsidRPr="00A4333E">
        <w:rPr>
          <w:rFonts w:asciiTheme="minorHAnsi" w:eastAsia="Batang" w:hAnsiTheme="minorHAnsi" w:cs="Times New Roman"/>
          <w:sz w:val="22"/>
          <w:szCs w:val="22"/>
          <w:lang w:val="fr-FR"/>
        </w:rPr>
        <w:t xml:space="preserve">dépenses en </w:t>
      </w:r>
      <w:r w:rsidR="00E37A47" w:rsidRPr="00A4333E">
        <w:rPr>
          <w:rFonts w:asciiTheme="minorHAnsi" w:eastAsia="Batang" w:hAnsiTheme="minorHAnsi" w:cs="Times New Roman"/>
          <w:sz w:val="22"/>
          <w:szCs w:val="22"/>
          <w:lang w:val="fr-FR"/>
        </w:rPr>
        <w:t xml:space="preserve">personnel </w:t>
      </w:r>
      <w:r w:rsidR="00290EA4" w:rsidRPr="00A4333E">
        <w:rPr>
          <w:rFonts w:asciiTheme="minorHAnsi" w:eastAsia="Batang" w:hAnsiTheme="minorHAnsi" w:cs="Times New Roman"/>
          <w:sz w:val="22"/>
          <w:szCs w:val="22"/>
          <w:lang w:val="fr-FR"/>
        </w:rPr>
        <w:t xml:space="preserve">figurant dans </w:t>
      </w:r>
      <w:r w:rsidR="00E37A47" w:rsidRPr="00A4333E">
        <w:rPr>
          <w:rFonts w:asciiTheme="minorHAnsi" w:eastAsia="Batang" w:hAnsiTheme="minorHAnsi" w:cs="Times New Roman"/>
          <w:sz w:val="22"/>
          <w:szCs w:val="22"/>
          <w:lang w:val="fr-FR"/>
        </w:rPr>
        <w:t xml:space="preserve">le budget 2023-2025 </w:t>
      </w:r>
      <w:r w:rsidR="00290EA4" w:rsidRPr="00A4333E">
        <w:rPr>
          <w:rFonts w:asciiTheme="minorHAnsi" w:eastAsia="Batang" w:hAnsiTheme="minorHAnsi" w:cs="Times New Roman"/>
          <w:sz w:val="22"/>
          <w:szCs w:val="22"/>
          <w:lang w:val="fr-FR"/>
        </w:rPr>
        <w:t>prennent en compte</w:t>
      </w:r>
      <w:r w:rsidR="00E37A47" w:rsidRPr="00A4333E">
        <w:rPr>
          <w:rFonts w:asciiTheme="minorHAnsi" w:eastAsia="Batang" w:hAnsiTheme="minorHAnsi" w:cs="Times New Roman"/>
          <w:sz w:val="22"/>
          <w:szCs w:val="22"/>
          <w:lang w:val="fr-FR"/>
        </w:rPr>
        <w:t xml:space="preserve"> ce poste d'assistant financier et comptable, ce qui entraîne le même </w:t>
      </w:r>
      <w:r w:rsidR="00290EA4" w:rsidRPr="00A4333E">
        <w:rPr>
          <w:rFonts w:asciiTheme="minorHAnsi" w:eastAsia="Batang" w:hAnsiTheme="minorHAnsi" w:cs="Times New Roman"/>
          <w:sz w:val="22"/>
          <w:szCs w:val="22"/>
          <w:lang w:val="fr-FR"/>
        </w:rPr>
        <w:t xml:space="preserve">déficit </w:t>
      </w:r>
      <w:r w:rsidR="00E37A47" w:rsidRPr="00A4333E">
        <w:rPr>
          <w:rFonts w:asciiTheme="minorHAnsi" w:eastAsia="Batang" w:hAnsiTheme="minorHAnsi" w:cs="Times New Roman"/>
          <w:sz w:val="22"/>
          <w:szCs w:val="22"/>
          <w:lang w:val="fr-FR"/>
        </w:rPr>
        <w:t xml:space="preserve">dans le budget </w:t>
      </w:r>
      <w:r w:rsidR="00290EA4" w:rsidRPr="00A4333E">
        <w:rPr>
          <w:rFonts w:asciiTheme="minorHAnsi" w:eastAsia="Batang" w:hAnsiTheme="minorHAnsi" w:cs="Times New Roman"/>
          <w:sz w:val="22"/>
          <w:szCs w:val="22"/>
          <w:lang w:val="fr-FR"/>
        </w:rPr>
        <w:t>administratif</w:t>
      </w:r>
      <w:r w:rsidR="00E37A47" w:rsidRPr="00A4333E">
        <w:rPr>
          <w:rFonts w:asciiTheme="minorHAnsi" w:eastAsia="Batang" w:hAnsiTheme="minorHAnsi" w:cs="Times New Roman"/>
          <w:sz w:val="22"/>
          <w:szCs w:val="22"/>
          <w:lang w:val="fr-FR"/>
        </w:rPr>
        <w:t xml:space="preserve">. Conformément à la recommandation du Secrétariat, le Comité permanent, par sa </w:t>
      </w:r>
      <w:r w:rsidR="00290EA4" w:rsidRPr="00A4333E">
        <w:rPr>
          <w:rFonts w:asciiTheme="minorHAnsi" w:eastAsia="Batang" w:hAnsiTheme="minorHAnsi" w:cs="Times New Roman"/>
          <w:sz w:val="22"/>
          <w:szCs w:val="22"/>
          <w:lang w:val="fr-FR"/>
        </w:rPr>
        <w:t>D</w:t>
      </w:r>
      <w:r w:rsidR="00E37A47" w:rsidRPr="00A4333E">
        <w:rPr>
          <w:rFonts w:asciiTheme="minorHAnsi" w:eastAsia="Batang" w:hAnsiTheme="minorHAnsi" w:cs="Times New Roman"/>
          <w:sz w:val="22"/>
          <w:szCs w:val="22"/>
          <w:lang w:val="fr-FR"/>
        </w:rPr>
        <w:t xml:space="preserve">écision SC59/2022-41 i), a approuvé l'utilisation de l'excédent de 2021 à cette fin, en </w:t>
      </w:r>
      <w:r w:rsidR="00290EA4" w:rsidRPr="00A4333E">
        <w:rPr>
          <w:rFonts w:asciiTheme="minorHAnsi" w:eastAsia="Batang" w:hAnsiTheme="minorHAnsi" w:cs="Times New Roman"/>
          <w:sz w:val="22"/>
          <w:szCs w:val="22"/>
          <w:lang w:val="fr-FR"/>
        </w:rPr>
        <w:t xml:space="preserve">adoptant </w:t>
      </w:r>
      <w:r w:rsidR="00E37A47" w:rsidRPr="00A4333E">
        <w:rPr>
          <w:rFonts w:asciiTheme="minorHAnsi" w:eastAsia="Batang" w:hAnsiTheme="minorHAnsi" w:cs="Times New Roman"/>
          <w:sz w:val="22"/>
          <w:szCs w:val="22"/>
          <w:lang w:val="fr-FR"/>
        </w:rPr>
        <w:t>la même approche que lors de la période triennale passée</w:t>
      </w:r>
      <w:r w:rsidR="00290EA4" w:rsidRPr="00A4333E">
        <w:rPr>
          <w:rFonts w:asciiTheme="minorHAnsi" w:eastAsia="Batang" w:hAnsiTheme="minorHAnsi" w:cs="Times New Roman"/>
          <w:sz w:val="22"/>
          <w:szCs w:val="22"/>
          <w:lang w:val="fr-FR"/>
        </w:rPr>
        <w:t> ;</w:t>
      </w:r>
      <w:r w:rsidR="00E37A47" w:rsidRPr="00A4333E">
        <w:rPr>
          <w:rFonts w:asciiTheme="minorHAnsi" w:eastAsia="Batang" w:hAnsiTheme="minorHAnsi" w:cs="Times New Roman"/>
          <w:sz w:val="22"/>
          <w:szCs w:val="22"/>
          <w:lang w:val="fr-FR"/>
        </w:rPr>
        <w:t xml:space="preserve"> </w:t>
      </w:r>
      <w:r w:rsidR="00290EA4" w:rsidRPr="00A4333E">
        <w:rPr>
          <w:rFonts w:asciiTheme="minorHAnsi" w:eastAsia="Batang" w:hAnsiTheme="minorHAnsi" w:cs="Times New Roman"/>
          <w:sz w:val="22"/>
          <w:szCs w:val="22"/>
          <w:lang w:val="fr-FR"/>
        </w:rPr>
        <w:t xml:space="preserve">ainsi </w:t>
      </w:r>
      <w:r w:rsidR="00E37A47" w:rsidRPr="00A4333E">
        <w:rPr>
          <w:rFonts w:asciiTheme="minorHAnsi" w:eastAsia="Batang" w:hAnsiTheme="minorHAnsi" w:cs="Times New Roman"/>
          <w:sz w:val="22"/>
          <w:szCs w:val="22"/>
          <w:lang w:val="fr-FR"/>
        </w:rPr>
        <w:t xml:space="preserve">le budget pour le </w:t>
      </w:r>
      <w:r w:rsidR="00290EA4" w:rsidRPr="00A4333E">
        <w:rPr>
          <w:rFonts w:asciiTheme="minorHAnsi" w:eastAsia="Batang" w:hAnsiTheme="minorHAnsi" w:cs="Times New Roman"/>
          <w:sz w:val="22"/>
          <w:szCs w:val="22"/>
          <w:lang w:val="fr-FR"/>
        </w:rPr>
        <w:t xml:space="preserve">personnel administratif </w:t>
      </w:r>
      <w:r w:rsidR="00E37A47" w:rsidRPr="00A4333E">
        <w:rPr>
          <w:rFonts w:asciiTheme="minorHAnsi" w:eastAsia="Batang" w:hAnsiTheme="minorHAnsi" w:cs="Times New Roman"/>
          <w:sz w:val="22"/>
          <w:szCs w:val="22"/>
          <w:lang w:val="fr-FR"/>
        </w:rPr>
        <w:t xml:space="preserve">du Secrétariat </w:t>
      </w:r>
      <w:r w:rsidR="00290EA4" w:rsidRPr="00A4333E">
        <w:rPr>
          <w:rFonts w:asciiTheme="minorHAnsi" w:eastAsia="Batang" w:hAnsiTheme="minorHAnsi" w:cs="Times New Roman"/>
          <w:sz w:val="22"/>
          <w:szCs w:val="22"/>
          <w:lang w:val="fr-FR"/>
        </w:rPr>
        <w:t>e</w:t>
      </w:r>
      <w:r w:rsidR="00E37A47" w:rsidRPr="00A4333E">
        <w:rPr>
          <w:rFonts w:asciiTheme="minorHAnsi" w:eastAsia="Batang" w:hAnsiTheme="minorHAnsi" w:cs="Times New Roman"/>
          <w:sz w:val="22"/>
          <w:szCs w:val="22"/>
          <w:lang w:val="fr-FR"/>
        </w:rPr>
        <w:t xml:space="preserve">st </w:t>
      </w:r>
      <w:r w:rsidRPr="00A4333E">
        <w:rPr>
          <w:rFonts w:asciiTheme="minorHAnsi" w:eastAsia="Batang" w:hAnsiTheme="minorHAnsi" w:cs="Times New Roman"/>
          <w:sz w:val="22"/>
          <w:szCs w:val="22"/>
          <w:lang w:val="fr-FR"/>
        </w:rPr>
        <w:t>rétabli.</w:t>
      </w:r>
    </w:p>
    <w:p w14:paraId="37ED3F4C" w14:textId="2022168A" w:rsidR="00D4581F" w:rsidRPr="00A4333E" w:rsidRDefault="00D4581F" w:rsidP="006241C1">
      <w:pPr>
        <w:pStyle w:val="MGfulltext"/>
        <w:spacing w:after="0"/>
        <w:ind w:left="425"/>
        <w:rPr>
          <w:rFonts w:asciiTheme="minorHAnsi" w:eastAsia="Batang" w:hAnsiTheme="minorHAnsi" w:cs="Times New Roman"/>
          <w:sz w:val="22"/>
          <w:szCs w:val="22"/>
          <w:lang w:val="fr-FR"/>
        </w:rPr>
      </w:pPr>
    </w:p>
    <w:p w14:paraId="63DD0587" w14:textId="08856205" w:rsidR="00D4581F" w:rsidRPr="00A4333E" w:rsidRDefault="00491283" w:rsidP="00902768">
      <w:pPr>
        <w:pStyle w:val="MGfulltext"/>
        <w:spacing w:after="0"/>
        <w:ind w:left="850" w:hanging="425"/>
        <w:rPr>
          <w:rFonts w:asciiTheme="minorHAnsi" w:eastAsia="Batang" w:hAnsiTheme="minorHAnsi" w:cs="Times New Roman"/>
          <w:sz w:val="22"/>
          <w:szCs w:val="22"/>
          <w:lang w:val="fr-FR"/>
        </w:rPr>
      </w:pPr>
      <w:r w:rsidRPr="00A4333E">
        <w:rPr>
          <w:rFonts w:asciiTheme="minorHAnsi" w:eastAsia="Batang" w:hAnsiTheme="minorHAnsi" w:cs="Times New Roman"/>
          <w:sz w:val="22"/>
          <w:szCs w:val="22"/>
          <w:lang w:val="fr-FR"/>
        </w:rPr>
        <w:t>f</w:t>
      </w:r>
      <w:r w:rsidR="00902768" w:rsidRPr="00A4333E">
        <w:rPr>
          <w:rFonts w:asciiTheme="minorHAnsi" w:eastAsia="Batang" w:hAnsiTheme="minorHAnsi" w:cs="Times New Roman"/>
          <w:sz w:val="22"/>
          <w:szCs w:val="22"/>
          <w:lang w:val="fr-FR"/>
        </w:rPr>
        <w:t>.</w:t>
      </w:r>
      <w:r w:rsidR="00902768" w:rsidRPr="00A4333E">
        <w:rPr>
          <w:rFonts w:asciiTheme="minorHAnsi" w:eastAsia="Batang" w:hAnsiTheme="minorHAnsi" w:cs="Times New Roman"/>
          <w:sz w:val="22"/>
          <w:szCs w:val="22"/>
          <w:lang w:val="fr-FR"/>
        </w:rPr>
        <w:tab/>
      </w:r>
      <w:r w:rsidR="00871145" w:rsidRPr="00A4333E">
        <w:rPr>
          <w:rFonts w:asciiTheme="minorHAnsi" w:eastAsia="Batang" w:hAnsiTheme="minorHAnsi" w:cs="Times New Roman"/>
          <w:sz w:val="22"/>
          <w:szCs w:val="22"/>
          <w:lang w:val="fr-FR"/>
        </w:rPr>
        <w:t>Les coûts de personnel ont été budgétisés sur la base des coûts réels actuels, conformément à la politique de l'UICN. La plupart des Conventions administrées par l'ONU élaborent leurs budgets sur la base de coûts standard et le Secrétariat recommande de s'orienter dans cette direction. Une provision a été i</w:t>
      </w:r>
      <w:r w:rsidR="00A877D3" w:rsidRPr="00A4333E">
        <w:rPr>
          <w:rFonts w:asciiTheme="minorHAnsi" w:eastAsia="Batang" w:hAnsiTheme="minorHAnsi" w:cs="Times New Roman"/>
          <w:sz w:val="22"/>
          <w:szCs w:val="22"/>
          <w:lang w:val="fr-FR"/>
        </w:rPr>
        <w:t>ntégrée</w:t>
      </w:r>
      <w:r w:rsidR="00871145" w:rsidRPr="00A4333E">
        <w:rPr>
          <w:rFonts w:asciiTheme="minorHAnsi" w:eastAsia="Batang" w:hAnsiTheme="minorHAnsi" w:cs="Times New Roman"/>
          <w:sz w:val="22"/>
          <w:szCs w:val="22"/>
          <w:lang w:val="fr-FR"/>
        </w:rPr>
        <w:t xml:space="preserve"> dans les autres avantages </w:t>
      </w:r>
      <w:r w:rsidR="00A877D3" w:rsidRPr="00A4333E">
        <w:rPr>
          <w:rFonts w:asciiTheme="minorHAnsi" w:eastAsia="Batang" w:hAnsiTheme="minorHAnsi" w:cs="Times New Roman"/>
          <w:sz w:val="22"/>
          <w:szCs w:val="22"/>
          <w:lang w:val="fr-FR"/>
        </w:rPr>
        <w:t>liés à l’emploi</w:t>
      </w:r>
      <w:r w:rsidR="00871145" w:rsidRPr="00A4333E">
        <w:rPr>
          <w:rFonts w:asciiTheme="minorHAnsi" w:eastAsia="Batang" w:hAnsiTheme="minorHAnsi" w:cs="Times New Roman"/>
          <w:sz w:val="22"/>
          <w:szCs w:val="22"/>
          <w:lang w:val="fr-FR"/>
        </w:rPr>
        <w:t xml:space="preserve">, </w:t>
      </w:r>
      <w:r w:rsidR="00A877D3" w:rsidRPr="00A4333E">
        <w:rPr>
          <w:rFonts w:asciiTheme="minorHAnsi" w:eastAsia="Batang" w:hAnsiTheme="minorHAnsi" w:cs="Times New Roman"/>
          <w:sz w:val="22"/>
          <w:szCs w:val="22"/>
          <w:lang w:val="fr-FR"/>
        </w:rPr>
        <w:t>à savoir</w:t>
      </w:r>
      <w:r w:rsidR="00871145" w:rsidRPr="00A4333E">
        <w:rPr>
          <w:rFonts w:asciiTheme="minorHAnsi" w:eastAsia="Batang" w:hAnsiTheme="minorHAnsi" w:cs="Times New Roman"/>
          <w:sz w:val="22"/>
          <w:szCs w:val="22"/>
          <w:lang w:val="fr-FR"/>
        </w:rPr>
        <w:t xml:space="preserve"> le</w:t>
      </w:r>
      <w:r w:rsidR="00A877D3" w:rsidRPr="00A4333E">
        <w:rPr>
          <w:rFonts w:asciiTheme="minorHAnsi" w:eastAsia="Batang" w:hAnsiTheme="minorHAnsi" w:cs="Times New Roman"/>
          <w:sz w:val="22"/>
          <w:szCs w:val="22"/>
          <w:lang w:val="fr-FR"/>
        </w:rPr>
        <w:t>s</w:t>
      </w:r>
      <w:r w:rsidR="00871145" w:rsidRPr="00A4333E">
        <w:rPr>
          <w:rFonts w:asciiTheme="minorHAnsi" w:eastAsia="Batang" w:hAnsiTheme="minorHAnsi" w:cs="Times New Roman"/>
          <w:sz w:val="22"/>
          <w:szCs w:val="22"/>
          <w:lang w:val="fr-FR"/>
        </w:rPr>
        <w:t xml:space="preserve"> congé</w:t>
      </w:r>
      <w:r w:rsidR="00A877D3" w:rsidRPr="00A4333E">
        <w:rPr>
          <w:rFonts w:asciiTheme="minorHAnsi" w:eastAsia="Batang" w:hAnsiTheme="minorHAnsi" w:cs="Times New Roman"/>
          <w:sz w:val="22"/>
          <w:szCs w:val="22"/>
          <w:lang w:val="fr-FR"/>
        </w:rPr>
        <w:t>s</w:t>
      </w:r>
      <w:r w:rsidR="00871145" w:rsidRPr="00A4333E">
        <w:rPr>
          <w:rFonts w:asciiTheme="minorHAnsi" w:eastAsia="Batang" w:hAnsiTheme="minorHAnsi" w:cs="Times New Roman"/>
          <w:sz w:val="22"/>
          <w:szCs w:val="22"/>
          <w:lang w:val="fr-FR"/>
        </w:rPr>
        <w:t xml:space="preserve"> dans les foyers, l'allocation pour </w:t>
      </w:r>
      <w:r w:rsidR="00193656" w:rsidRPr="00A4333E">
        <w:rPr>
          <w:rFonts w:asciiTheme="minorHAnsi" w:eastAsia="Batang" w:hAnsiTheme="minorHAnsi" w:cs="Times New Roman"/>
          <w:sz w:val="22"/>
          <w:szCs w:val="22"/>
          <w:lang w:val="fr-FR"/>
        </w:rPr>
        <w:t>frais d’études</w:t>
      </w:r>
      <w:r w:rsidR="00871145" w:rsidRPr="00A4333E">
        <w:rPr>
          <w:rFonts w:asciiTheme="minorHAnsi" w:eastAsia="Batang" w:hAnsiTheme="minorHAnsi" w:cs="Times New Roman"/>
          <w:sz w:val="22"/>
          <w:szCs w:val="22"/>
          <w:lang w:val="fr-FR"/>
        </w:rPr>
        <w:t xml:space="preserve"> et les frais de réinstallation (pour les expatriés), ainsi qu'une subvention pour les transports publics accordée au personnel du Secrétariat, conformément à la politique de l'UICN. Cette disposition permet d'in</w:t>
      </w:r>
      <w:r w:rsidR="00193656" w:rsidRPr="00A4333E">
        <w:rPr>
          <w:rFonts w:asciiTheme="minorHAnsi" w:eastAsia="Batang" w:hAnsiTheme="minorHAnsi" w:cs="Times New Roman"/>
          <w:sz w:val="22"/>
          <w:szCs w:val="22"/>
          <w:lang w:val="fr-FR"/>
        </w:rPr>
        <w:t xml:space="preserve">troduire </w:t>
      </w:r>
      <w:r w:rsidR="00871145" w:rsidRPr="00A4333E">
        <w:rPr>
          <w:rFonts w:asciiTheme="minorHAnsi" w:eastAsia="Batang" w:hAnsiTheme="minorHAnsi" w:cs="Times New Roman"/>
          <w:sz w:val="22"/>
          <w:szCs w:val="22"/>
          <w:lang w:val="fr-FR"/>
        </w:rPr>
        <w:t xml:space="preserve">une </w:t>
      </w:r>
      <w:r w:rsidR="00193656" w:rsidRPr="00A4333E">
        <w:rPr>
          <w:rFonts w:asciiTheme="minorHAnsi" w:eastAsia="Batang" w:hAnsiTheme="minorHAnsi" w:cs="Times New Roman"/>
          <w:sz w:val="22"/>
          <w:szCs w:val="22"/>
          <w:lang w:val="fr-FR"/>
        </w:rPr>
        <w:t xml:space="preserve">souplesse </w:t>
      </w:r>
      <w:r w:rsidR="00871145" w:rsidRPr="00A4333E">
        <w:rPr>
          <w:rFonts w:asciiTheme="minorHAnsi" w:eastAsia="Batang" w:hAnsiTheme="minorHAnsi" w:cs="Times New Roman"/>
          <w:sz w:val="22"/>
          <w:szCs w:val="22"/>
          <w:lang w:val="fr-FR"/>
        </w:rPr>
        <w:t>en cas de changement</w:t>
      </w:r>
      <w:r w:rsidR="00193656" w:rsidRPr="00A4333E">
        <w:rPr>
          <w:rFonts w:asciiTheme="minorHAnsi" w:eastAsia="Batang" w:hAnsiTheme="minorHAnsi" w:cs="Times New Roman"/>
          <w:sz w:val="22"/>
          <w:szCs w:val="22"/>
          <w:lang w:val="fr-FR"/>
        </w:rPr>
        <w:t xml:space="preserve">s dans les effectifs et </w:t>
      </w:r>
      <w:r w:rsidR="001D20DF" w:rsidRPr="00A4333E">
        <w:rPr>
          <w:rFonts w:asciiTheme="minorHAnsi" w:eastAsia="Batang" w:hAnsiTheme="minorHAnsi" w:cs="Times New Roman"/>
          <w:sz w:val="22"/>
          <w:szCs w:val="22"/>
          <w:lang w:val="fr-FR"/>
        </w:rPr>
        <w:t xml:space="preserve">de leurs </w:t>
      </w:r>
      <w:r w:rsidR="00871145" w:rsidRPr="00A4333E">
        <w:rPr>
          <w:rFonts w:asciiTheme="minorHAnsi" w:eastAsia="Batang" w:hAnsiTheme="minorHAnsi" w:cs="Times New Roman"/>
          <w:sz w:val="22"/>
          <w:szCs w:val="22"/>
          <w:lang w:val="fr-FR"/>
        </w:rPr>
        <w:t>avantages</w:t>
      </w:r>
      <w:r w:rsidR="001D20DF" w:rsidRPr="00A4333E">
        <w:rPr>
          <w:rFonts w:asciiTheme="minorHAnsi" w:eastAsia="Batang" w:hAnsiTheme="minorHAnsi" w:cs="Times New Roman"/>
          <w:sz w:val="22"/>
          <w:szCs w:val="22"/>
          <w:lang w:val="fr-FR"/>
        </w:rPr>
        <w:t>.</w:t>
      </w:r>
    </w:p>
    <w:p w14:paraId="7D5505D7" w14:textId="41CE020B" w:rsidR="00630394" w:rsidRPr="00A4333E" w:rsidRDefault="00630394" w:rsidP="00902768">
      <w:pPr>
        <w:pStyle w:val="MGfulltext"/>
        <w:spacing w:after="0"/>
        <w:ind w:left="850" w:hanging="425"/>
        <w:rPr>
          <w:rFonts w:asciiTheme="minorHAnsi" w:eastAsia="Batang" w:hAnsiTheme="minorHAnsi" w:cs="Times New Roman"/>
          <w:sz w:val="22"/>
          <w:szCs w:val="22"/>
          <w:lang w:val="fr-FR"/>
        </w:rPr>
      </w:pPr>
    </w:p>
    <w:p w14:paraId="173130FF" w14:textId="0B0B3322" w:rsidR="00630394" w:rsidRPr="00A4333E" w:rsidRDefault="008F6521" w:rsidP="00D05A2B">
      <w:pPr>
        <w:pStyle w:val="MGfulltext"/>
        <w:spacing w:after="0"/>
        <w:ind w:left="851" w:hanging="425"/>
        <w:rPr>
          <w:rFonts w:asciiTheme="minorHAnsi" w:eastAsia="Batang" w:hAnsiTheme="minorHAnsi" w:cs="Times New Roman"/>
          <w:sz w:val="22"/>
          <w:szCs w:val="22"/>
          <w:lang w:val="fr-FR"/>
        </w:rPr>
      </w:pPr>
      <w:r w:rsidRPr="00A4333E">
        <w:rPr>
          <w:rFonts w:asciiTheme="minorHAnsi" w:eastAsia="Batang" w:hAnsiTheme="minorHAnsi" w:cs="Times New Roman"/>
          <w:sz w:val="22"/>
          <w:szCs w:val="22"/>
          <w:lang w:val="fr-FR"/>
        </w:rPr>
        <w:t>g.</w:t>
      </w:r>
      <w:r w:rsidRPr="00A4333E">
        <w:rPr>
          <w:rFonts w:asciiTheme="minorHAnsi" w:eastAsia="Batang" w:hAnsiTheme="minorHAnsi" w:cs="Times New Roman"/>
          <w:sz w:val="22"/>
          <w:szCs w:val="22"/>
          <w:lang w:val="fr-FR"/>
        </w:rPr>
        <w:tab/>
      </w:r>
      <w:r w:rsidR="00BE00A9" w:rsidRPr="00A4333E">
        <w:rPr>
          <w:rFonts w:asciiTheme="minorHAnsi" w:eastAsia="Batang" w:hAnsiTheme="minorHAnsi" w:cs="Times New Roman"/>
          <w:sz w:val="22"/>
          <w:szCs w:val="22"/>
          <w:lang w:val="fr-FR"/>
        </w:rPr>
        <w:t xml:space="preserve">Conformément aux lignes directrices de l’UICN sur les ressources humaines, les salaires du personnel </w:t>
      </w:r>
      <w:r w:rsidR="009120AF" w:rsidRPr="00A4333E">
        <w:rPr>
          <w:rFonts w:asciiTheme="minorHAnsi" w:eastAsia="Batang" w:hAnsiTheme="minorHAnsi" w:cs="Times New Roman"/>
          <w:sz w:val="22"/>
          <w:szCs w:val="22"/>
          <w:lang w:val="fr-FR"/>
        </w:rPr>
        <w:t>augmentent et des primes sont accordées en fonction des performances. Ce système est en vigueur depuis le</w:t>
      </w:r>
      <w:r w:rsidR="00BE00A9" w:rsidRPr="00A4333E">
        <w:rPr>
          <w:rFonts w:asciiTheme="minorHAnsi" w:eastAsia="Batang" w:hAnsiTheme="minorHAnsi" w:cs="Times New Roman"/>
          <w:sz w:val="22"/>
          <w:szCs w:val="22"/>
          <w:lang w:val="fr-FR"/>
        </w:rPr>
        <w:t xml:space="preserve"> 1er janvier 2019, date à laquelle le Secrétariat a également </w:t>
      </w:r>
      <w:r w:rsidR="009120AF" w:rsidRPr="00A4333E">
        <w:rPr>
          <w:rFonts w:asciiTheme="minorHAnsi" w:eastAsia="Batang" w:hAnsiTheme="minorHAnsi" w:cs="Times New Roman"/>
          <w:sz w:val="22"/>
          <w:szCs w:val="22"/>
          <w:lang w:val="fr-FR"/>
        </w:rPr>
        <w:t xml:space="preserve">commencé à appliquer </w:t>
      </w:r>
      <w:r w:rsidR="00BE00A9" w:rsidRPr="00A4333E">
        <w:rPr>
          <w:rFonts w:asciiTheme="minorHAnsi" w:eastAsia="Batang" w:hAnsiTheme="minorHAnsi" w:cs="Times New Roman"/>
          <w:sz w:val="22"/>
          <w:szCs w:val="22"/>
          <w:lang w:val="fr-FR"/>
        </w:rPr>
        <w:t>la politique de promotion de l'UICN. Le budget approuvé par la COP13 pour</w:t>
      </w:r>
      <w:r w:rsidR="009120AF" w:rsidRPr="00A4333E">
        <w:rPr>
          <w:rFonts w:asciiTheme="minorHAnsi" w:eastAsia="Batang" w:hAnsiTheme="minorHAnsi" w:cs="Times New Roman"/>
          <w:sz w:val="22"/>
          <w:szCs w:val="22"/>
          <w:lang w:val="fr-FR"/>
        </w:rPr>
        <w:t xml:space="preserve"> la période</w:t>
      </w:r>
      <w:r w:rsidR="00BE00A9" w:rsidRPr="00A4333E">
        <w:rPr>
          <w:rFonts w:asciiTheme="minorHAnsi" w:eastAsia="Batang" w:hAnsiTheme="minorHAnsi" w:cs="Times New Roman"/>
          <w:sz w:val="22"/>
          <w:szCs w:val="22"/>
          <w:lang w:val="fr-FR"/>
        </w:rPr>
        <w:t xml:space="preserve"> 2019-2021 comp</w:t>
      </w:r>
      <w:r w:rsidR="009120AF" w:rsidRPr="00A4333E">
        <w:rPr>
          <w:rFonts w:asciiTheme="minorHAnsi" w:eastAsia="Batang" w:hAnsiTheme="minorHAnsi" w:cs="Times New Roman"/>
          <w:sz w:val="22"/>
          <w:szCs w:val="22"/>
          <w:lang w:val="fr-FR"/>
        </w:rPr>
        <w:t>o</w:t>
      </w:r>
      <w:r w:rsidR="00BE00A9" w:rsidRPr="00A4333E">
        <w:rPr>
          <w:rFonts w:asciiTheme="minorHAnsi" w:eastAsia="Batang" w:hAnsiTheme="minorHAnsi" w:cs="Times New Roman"/>
          <w:sz w:val="22"/>
          <w:szCs w:val="22"/>
          <w:lang w:val="fr-FR"/>
        </w:rPr>
        <w:t>r</w:t>
      </w:r>
      <w:r w:rsidR="0065206D" w:rsidRPr="00A4333E">
        <w:rPr>
          <w:rFonts w:asciiTheme="minorHAnsi" w:eastAsia="Batang" w:hAnsiTheme="minorHAnsi" w:cs="Times New Roman"/>
          <w:sz w:val="22"/>
          <w:szCs w:val="22"/>
          <w:lang w:val="fr-FR"/>
        </w:rPr>
        <w:t xml:space="preserve">tait </w:t>
      </w:r>
      <w:r w:rsidR="00BE00A9" w:rsidRPr="00A4333E">
        <w:rPr>
          <w:rFonts w:asciiTheme="minorHAnsi" w:eastAsia="Batang" w:hAnsiTheme="minorHAnsi" w:cs="Times New Roman"/>
          <w:sz w:val="22"/>
          <w:szCs w:val="22"/>
          <w:lang w:val="fr-FR"/>
        </w:rPr>
        <w:t>l</w:t>
      </w:r>
      <w:r w:rsidR="0065206D" w:rsidRPr="00A4333E">
        <w:rPr>
          <w:rFonts w:asciiTheme="minorHAnsi" w:eastAsia="Batang" w:hAnsiTheme="minorHAnsi" w:cs="Times New Roman"/>
          <w:sz w:val="22"/>
          <w:szCs w:val="22"/>
          <w:lang w:val="fr-FR"/>
        </w:rPr>
        <w:t>es</w:t>
      </w:r>
      <w:r w:rsidR="00BE00A9" w:rsidRPr="00A4333E">
        <w:rPr>
          <w:rFonts w:asciiTheme="minorHAnsi" w:eastAsia="Batang" w:hAnsiTheme="minorHAnsi" w:cs="Times New Roman"/>
          <w:sz w:val="22"/>
          <w:szCs w:val="22"/>
          <w:lang w:val="fr-FR"/>
        </w:rPr>
        <w:t xml:space="preserve"> pr</w:t>
      </w:r>
      <w:r w:rsidR="0065206D" w:rsidRPr="00A4333E">
        <w:rPr>
          <w:rFonts w:asciiTheme="minorHAnsi" w:eastAsia="Batang" w:hAnsiTheme="minorHAnsi" w:cs="Times New Roman"/>
          <w:sz w:val="22"/>
          <w:szCs w:val="22"/>
          <w:lang w:val="fr-FR"/>
        </w:rPr>
        <w:t>évisions budgétaires</w:t>
      </w:r>
      <w:r w:rsidR="00BE00A9" w:rsidRPr="00A4333E">
        <w:rPr>
          <w:rFonts w:asciiTheme="minorHAnsi" w:eastAsia="Batang" w:hAnsiTheme="minorHAnsi" w:cs="Times New Roman"/>
          <w:sz w:val="22"/>
          <w:szCs w:val="22"/>
          <w:lang w:val="fr-FR"/>
        </w:rPr>
        <w:t xml:space="preserve"> nécessaire</w:t>
      </w:r>
      <w:r w:rsidR="0065206D" w:rsidRPr="00A4333E">
        <w:rPr>
          <w:rFonts w:asciiTheme="minorHAnsi" w:eastAsia="Batang" w:hAnsiTheme="minorHAnsi" w:cs="Times New Roman"/>
          <w:sz w:val="22"/>
          <w:szCs w:val="22"/>
          <w:lang w:val="fr-FR"/>
        </w:rPr>
        <w:t>s</w:t>
      </w:r>
      <w:r w:rsidR="00BE00A9" w:rsidRPr="00A4333E">
        <w:rPr>
          <w:rFonts w:asciiTheme="minorHAnsi" w:eastAsia="Batang" w:hAnsiTheme="minorHAnsi" w:cs="Times New Roman"/>
          <w:sz w:val="22"/>
          <w:szCs w:val="22"/>
          <w:lang w:val="fr-FR"/>
        </w:rPr>
        <w:t xml:space="preserve"> à la mise en œuvre de ces deux politiques. Le Secrétariat a </w:t>
      </w:r>
      <w:r w:rsidR="0078117B" w:rsidRPr="00A4333E">
        <w:rPr>
          <w:rFonts w:asciiTheme="minorHAnsi" w:eastAsia="Batang" w:hAnsiTheme="minorHAnsi" w:cs="Times New Roman"/>
          <w:sz w:val="22"/>
          <w:szCs w:val="22"/>
          <w:lang w:val="fr-FR"/>
        </w:rPr>
        <w:t xml:space="preserve">intégré </w:t>
      </w:r>
      <w:r w:rsidR="00BE00A9" w:rsidRPr="00A4333E">
        <w:rPr>
          <w:rFonts w:asciiTheme="minorHAnsi" w:eastAsia="Batang" w:hAnsiTheme="minorHAnsi" w:cs="Times New Roman"/>
          <w:sz w:val="22"/>
          <w:szCs w:val="22"/>
          <w:lang w:val="fr-FR"/>
        </w:rPr>
        <w:t>une augmentation annuelle dans le budget approuvé lors de la COP13 pour couvrir la reconnaissance d</w:t>
      </w:r>
      <w:r w:rsidR="0078117B" w:rsidRPr="00A4333E">
        <w:rPr>
          <w:rFonts w:asciiTheme="minorHAnsi" w:eastAsia="Batang" w:hAnsiTheme="minorHAnsi" w:cs="Times New Roman"/>
          <w:sz w:val="22"/>
          <w:szCs w:val="22"/>
          <w:lang w:val="fr-FR"/>
        </w:rPr>
        <w:t xml:space="preserve">u mérite </w:t>
      </w:r>
      <w:r w:rsidR="00BE00A9" w:rsidRPr="00A4333E">
        <w:rPr>
          <w:rFonts w:asciiTheme="minorHAnsi" w:eastAsia="Batang" w:hAnsiTheme="minorHAnsi" w:cs="Times New Roman"/>
          <w:sz w:val="22"/>
          <w:szCs w:val="22"/>
          <w:lang w:val="fr-FR"/>
        </w:rPr>
        <w:t>et les promotions. Cependant, il n'est pas possible d</w:t>
      </w:r>
      <w:r w:rsidR="0078117B" w:rsidRPr="00A4333E">
        <w:rPr>
          <w:rFonts w:asciiTheme="minorHAnsi" w:eastAsia="Batang" w:hAnsiTheme="minorHAnsi" w:cs="Times New Roman"/>
          <w:sz w:val="22"/>
          <w:szCs w:val="22"/>
          <w:lang w:val="fr-FR"/>
        </w:rPr>
        <w:t xml:space="preserve">’intégrer </w:t>
      </w:r>
      <w:r w:rsidR="00BE00A9" w:rsidRPr="00A4333E">
        <w:rPr>
          <w:rFonts w:asciiTheme="minorHAnsi" w:eastAsia="Batang" w:hAnsiTheme="minorHAnsi" w:cs="Times New Roman"/>
          <w:sz w:val="22"/>
          <w:szCs w:val="22"/>
          <w:lang w:val="fr-FR"/>
        </w:rPr>
        <w:t xml:space="preserve">une telle augmentation de manière durable sur le long terme sans augmenter le budget du personnel. Le budget </w:t>
      </w:r>
      <w:r w:rsidR="0078117B" w:rsidRPr="00A4333E">
        <w:rPr>
          <w:rFonts w:asciiTheme="minorHAnsi" w:eastAsia="Batang" w:hAnsiTheme="minorHAnsi" w:cs="Times New Roman"/>
          <w:sz w:val="22"/>
          <w:szCs w:val="22"/>
          <w:lang w:val="fr-FR"/>
        </w:rPr>
        <w:t xml:space="preserve">administratif </w:t>
      </w:r>
      <w:r w:rsidR="00BE00A9" w:rsidRPr="00A4333E">
        <w:rPr>
          <w:rFonts w:asciiTheme="minorHAnsi" w:eastAsia="Batang" w:hAnsiTheme="minorHAnsi" w:cs="Times New Roman"/>
          <w:sz w:val="22"/>
          <w:szCs w:val="22"/>
          <w:lang w:val="fr-FR"/>
        </w:rPr>
        <w:t xml:space="preserve">proposé pour 2023-2025 comprend </w:t>
      </w:r>
      <w:r w:rsidR="0078117B" w:rsidRPr="00A4333E">
        <w:rPr>
          <w:rFonts w:asciiTheme="minorHAnsi" w:eastAsia="Batang" w:hAnsiTheme="minorHAnsi" w:cs="Times New Roman"/>
          <w:sz w:val="22"/>
          <w:szCs w:val="22"/>
          <w:lang w:val="fr-FR"/>
        </w:rPr>
        <w:t xml:space="preserve">des prévisions budgétaires pour couvrir </w:t>
      </w:r>
      <w:r w:rsidR="00BE00A9" w:rsidRPr="00A4333E">
        <w:rPr>
          <w:rFonts w:asciiTheme="minorHAnsi" w:eastAsia="Batang" w:hAnsiTheme="minorHAnsi" w:cs="Times New Roman"/>
          <w:sz w:val="22"/>
          <w:szCs w:val="22"/>
          <w:lang w:val="fr-FR"/>
        </w:rPr>
        <w:t xml:space="preserve">les primes, comme dans le budget 2022 approuvé par l'ExCOP3, et ne permet donc aucune augmentation </w:t>
      </w:r>
      <w:r w:rsidR="00D05A2B" w:rsidRPr="00A4333E">
        <w:rPr>
          <w:rFonts w:asciiTheme="minorHAnsi" w:eastAsia="Batang" w:hAnsiTheme="minorHAnsi" w:cs="Times New Roman"/>
          <w:sz w:val="22"/>
          <w:szCs w:val="22"/>
          <w:lang w:val="fr-FR"/>
        </w:rPr>
        <w:t xml:space="preserve">fondée </w:t>
      </w:r>
      <w:r w:rsidR="00BE00A9" w:rsidRPr="00A4333E">
        <w:rPr>
          <w:rFonts w:asciiTheme="minorHAnsi" w:eastAsia="Batang" w:hAnsiTheme="minorHAnsi" w:cs="Times New Roman"/>
          <w:sz w:val="22"/>
          <w:szCs w:val="22"/>
          <w:lang w:val="fr-FR"/>
        </w:rPr>
        <w:t>sur l</w:t>
      </w:r>
      <w:r w:rsidR="00D05A2B" w:rsidRPr="00A4333E">
        <w:rPr>
          <w:rFonts w:asciiTheme="minorHAnsi" w:eastAsia="Batang" w:hAnsiTheme="minorHAnsi" w:cs="Times New Roman"/>
          <w:sz w:val="22"/>
          <w:szCs w:val="22"/>
          <w:lang w:val="fr-FR"/>
        </w:rPr>
        <w:t>e mérite</w:t>
      </w:r>
      <w:r w:rsidR="00BE00A9" w:rsidRPr="00A4333E">
        <w:rPr>
          <w:rFonts w:asciiTheme="minorHAnsi" w:eastAsia="Batang" w:hAnsiTheme="minorHAnsi" w:cs="Times New Roman"/>
          <w:sz w:val="22"/>
          <w:szCs w:val="22"/>
          <w:lang w:val="fr-FR"/>
        </w:rPr>
        <w:t>.</w:t>
      </w:r>
    </w:p>
    <w:p w14:paraId="2901646F" w14:textId="3576C081" w:rsidR="00EF557F" w:rsidRPr="00A4333E" w:rsidRDefault="00EF557F" w:rsidP="00630394">
      <w:pPr>
        <w:pStyle w:val="MGfulltext"/>
        <w:spacing w:after="0"/>
        <w:ind w:left="850"/>
        <w:rPr>
          <w:rFonts w:asciiTheme="minorHAnsi" w:eastAsia="Batang" w:hAnsiTheme="minorHAnsi" w:cs="Times New Roman"/>
          <w:sz w:val="22"/>
          <w:szCs w:val="22"/>
          <w:lang w:val="fr-FR"/>
        </w:rPr>
      </w:pPr>
    </w:p>
    <w:p w14:paraId="307034BF" w14:textId="18472E6D" w:rsidR="00D4581F" w:rsidRPr="00A4333E" w:rsidRDefault="008F6521" w:rsidP="00D4581F">
      <w:pPr>
        <w:pStyle w:val="MGfulltext"/>
        <w:spacing w:after="0"/>
        <w:ind w:left="850" w:hanging="425"/>
        <w:rPr>
          <w:rFonts w:asciiTheme="minorHAnsi" w:eastAsia="Batang" w:hAnsiTheme="minorHAnsi" w:cs="Times New Roman"/>
          <w:sz w:val="22"/>
          <w:szCs w:val="22"/>
          <w:lang w:val="fr-FR"/>
        </w:rPr>
      </w:pPr>
      <w:r w:rsidRPr="00A4333E">
        <w:rPr>
          <w:rFonts w:asciiTheme="minorHAnsi" w:eastAsia="Batang" w:hAnsiTheme="minorHAnsi" w:cs="Times New Roman"/>
          <w:sz w:val="22"/>
          <w:szCs w:val="22"/>
          <w:lang w:val="fr-FR"/>
        </w:rPr>
        <w:t>h</w:t>
      </w:r>
      <w:r w:rsidR="00D4581F" w:rsidRPr="00A4333E">
        <w:rPr>
          <w:rFonts w:asciiTheme="minorHAnsi" w:eastAsia="Batang" w:hAnsiTheme="minorHAnsi" w:cs="Times New Roman"/>
          <w:sz w:val="22"/>
          <w:szCs w:val="22"/>
          <w:lang w:val="fr-FR"/>
        </w:rPr>
        <w:t>.</w:t>
      </w:r>
      <w:r w:rsidR="00D4581F" w:rsidRPr="00A4333E">
        <w:rPr>
          <w:rFonts w:asciiTheme="minorHAnsi" w:eastAsia="Batang" w:hAnsiTheme="minorHAnsi" w:cs="Times New Roman"/>
          <w:sz w:val="22"/>
          <w:szCs w:val="22"/>
          <w:lang w:val="fr-FR"/>
        </w:rPr>
        <w:tab/>
      </w:r>
      <w:r w:rsidR="007B0AC8" w:rsidRPr="00A4333E">
        <w:rPr>
          <w:rFonts w:asciiTheme="minorHAnsi" w:eastAsia="Batang" w:hAnsiTheme="minorHAnsi" w:cs="Times New Roman"/>
          <w:sz w:val="22"/>
          <w:szCs w:val="22"/>
          <w:lang w:val="fr-FR"/>
        </w:rPr>
        <w:t>Le montant t</w:t>
      </w:r>
      <w:r w:rsidR="00D4581F" w:rsidRPr="00A4333E">
        <w:rPr>
          <w:rFonts w:asciiTheme="minorHAnsi" w:eastAsia="Batang" w:hAnsiTheme="minorHAnsi" w:cs="Times New Roman"/>
          <w:sz w:val="22"/>
          <w:szCs w:val="22"/>
          <w:lang w:val="fr-FR"/>
        </w:rPr>
        <w:t xml:space="preserve">otal </w:t>
      </w:r>
      <w:r w:rsidR="007B0AC8" w:rsidRPr="00A4333E">
        <w:rPr>
          <w:rFonts w:asciiTheme="minorHAnsi" w:eastAsia="Batang" w:hAnsiTheme="minorHAnsi" w:cs="Times New Roman"/>
          <w:sz w:val="22"/>
          <w:szCs w:val="22"/>
          <w:lang w:val="fr-FR"/>
        </w:rPr>
        <w:t>des salaires et des coû</w:t>
      </w:r>
      <w:r w:rsidR="00435B71" w:rsidRPr="00A4333E">
        <w:rPr>
          <w:rFonts w:asciiTheme="minorHAnsi" w:eastAsia="Batang" w:hAnsiTheme="minorHAnsi" w:cs="Times New Roman"/>
          <w:sz w:val="22"/>
          <w:szCs w:val="22"/>
          <w:lang w:val="fr-FR"/>
        </w:rPr>
        <w:t>ts connexes représente environ 71 % du budget administratif, ce qui représente une réduction de 9000 CHF par rapport à la période triennale 2019-2021</w:t>
      </w:r>
      <w:r w:rsidR="000009DA">
        <w:rPr>
          <w:rFonts w:asciiTheme="minorHAnsi" w:eastAsia="Batang" w:hAnsiTheme="minorHAnsi" w:cs="Times New Roman"/>
          <w:sz w:val="22"/>
          <w:szCs w:val="22"/>
          <w:lang w:val="fr-FR"/>
        </w:rPr>
        <w:t>.</w:t>
      </w:r>
    </w:p>
    <w:p w14:paraId="5BA45D26" w14:textId="3B2D9A95" w:rsidR="00D4581F" w:rsidRPr="00A4333E" w:rsidRDefault="00D4581F" w:rsidP="00D4581F">
      <w:pPr>
        <w:pStyle w:val="MGfulltext"/>
        <w:spacing w:after="0"/>
        <w:ind w:left="850" w:hanging="425"/>
        <w:rPr>
          <w:rFonts w:asciiTheme="minorHAnsi" w:eastAsia="Batang" w:hAnsiTheme="minorHAnsi" w:cs="Times New Roman"/>
          <w:sz w:val="22"/>
          <w:szCs w:val="22"/>
          <w:lang w:val="fr-FR"/>
        </w:rPr>
      </w:pPr>
    </w:p>
    <w:p w14:paraId="5F902416" w14:textId="6DEDC364" w:rsidR="00EF557F" w:rsidRPr="00A4333E" w:rsidRDefault="008F6521" w:rsidP="00D4581F">
      <w:pPr>
        <w:pStyle w:val="MGfulltext"/>
        <w:spacing w:after="0"/>
        <w:ind w:left="850" w:hanging="425"/>
        <w:rPr>
          <w:rFonts w:asciiTheme="minorHAnsi" w:eastAsia="Batang" w:hAnsiTheme="minorHAnsi" w:cs="Times New Roman"/>
          <w:sz w:val="22"/>
          <w:szCs w:val="22"/>
          <w:lang w:val="fr-FR"/>
        </w:rPr>
      </w:pPr>
      <w:r w:rsidRPr="00A4333E">
        <w:rPr>
          <w:rFonts w:asciiTheme="minorHAnsi" w:eastAsia="Batang" w:hAnsiTheme="minorHAnsi" w:cs="Times New Roman"/>
          <w:sz w:val="22"/>
          <w:szCs w:val="22"/>
          <w:lang w:val="fr-FR"/>
        </w:rPr>
        <w:lastRenderedPageBreak/>
        <w:t>i</w:t>
      </w:r>
      <w:r w:rsidR="00491283" w:rsidRPr="00A4333E">
        <w:rPr>
          <w:rFonts w:asciiTheme="minorHAnsi" w:eastAsia="Batang" w:hAnsiTheme="minorHAnsi" w:cs="Times New Roman"/>
          <w:sz w:val="22"/>
          <w:szCs w:val="22"/>
          <w:lang w:val="fr-FR"/>
        </w:rPr>
        <w:t>.</w:t>
      </w:r>
      <w:r w:rsidR="00491283" w:rsidRPr="00A4333E">
        <w:rPr>
          <w:rFonts w:asciiTheme="minorHAnsi" w:eastAsia="Batang" w:hAnsiTheme="minorHAnsi" w:cs="Times New Roman"/>
          <w:sz w:val="22"/>
          <w:szCs w:val="22"/>
          <w:lang w:val="fr-FR"/>
        </w:rPr>
        <w:tab/>
      </w:r>
      <w:r w:rsidR="00435B71" w:rsidRPr="00A4333E">
        <w:rPr>
          <w:rFonts w:asciiTheme="minorHAnsi" w:eastAsia="Batang" w:hAnsiTheme="minorHAnsi" w:cs="Times New Roman"/>
          <w:sz w:val="22"/>
          <w:szCs w:val="22"/>
          <w:lang w:val="fr-FR"/>
        </w:rPr>
        <w:t xml:space="preserve">Par rapport au budget triennal 2019-2021, les coûts de recrutement et de départ du personnel dans le budget proposé ont été augmentés de 77 000 CHF, </w:t>
      </w:r>
      <w:r w:rsidR="00906EAD" w:rsidRPr="00A4333E">
        <w:rPr>
          <w:rFonts w:asciiTheme="minorHAnsi" w:eastAsia="Batang" w:hAnsiTheme="minorHAnsi" w:cs="Times New Roman"/>
          <w:sz w:val="22"/>
          <w:szCs w:val="22"/>
          <w:lang w:val="fr-FR"/>
        </w:rPr>
        <w:t xml:space="preserve">en se fondant </w:t>
      </w:r>
      <w:r w:rsidR="00435B71" w:rsidRPr="00A4333E">
        <w:rPr>
          <w:rFonts w:asciiTheme="minorHAnsi" w:eastAsia="Batang" w:hAnsiTheme="minorHAnsi" w:cs="Times New Roman"/>
          <w:sz w:val="22"/>
          <w:szCs w:val="22"/>
          <w:lang w:val="fr-FR"/>
        </w:rPr>
        <w:t xml:space="preserve">sur </w:t>
      </w:r>
      <w:r w:rsidR="00906EAD" w:rsidRPr="00A4333E">
        <w:rPr>
          <w:rFonts w:asciiTheme="minorHAnsi" w:eastAsia="Batang" w:hAnsiTheme="minorHAnsi" w:cs="Times New Roman"/>
          <w:sz w:val="22"/>
          <w:szCs w:val="22"/>
          <w:lang w:val="fr-FR"/>
        </w:rPr>
        <w:t>l</w:t>
      </w:r>
      <w:r w:rsidR="00435B71" w:rsidRPr="00A4333E">
        <w:rPr>
          <w:rFonts w:asciiTheme="minorHAnsi" w:eastAsia="Batang" w:hAnsiTheme="minorHAnsi" w:cs="Times New Roman"/>
          <w:sz w:val="22"/>
          <w:szCs w:val="22"/>
          <w:lang w:val="fr-FR"/>
        </w:rPr>
        <w:t>es coûts réels</w:t>
      </w:r>
      <w:r w:rsidR="00EF557F" w:rsidRPr="00A4333E">
        <w:rPr>
          <w:rFonts w:asciiTheme="minorHAnsi" w:eastAsia="Batang" w:hAnsiTheme="minorHAnsi" w:cs="Times New Roman"/>
          <w:sz w:val="22"/>
          <w:szCs w:val="22"/>
          <w:lang w:val="fr-FR"/>
        </w:rPr>
        <w:t>.</w:t>
      </w:r>
    </w:p>
    <w:p w14:paraId="09AF2F30" w14:textId="77777777" w:rsidR="007F2DFF" w:rsidRPr="00A4333E" w:rsidRDefault="007F2DFF" w:rsidP="00D4581F">
      <w:pPr>
        <w:pStyle w:val="MGfulltext"/>
        <w:spacing w:after="0"/>
        <w:ind w:left="850" w:hanging="425"/>
        <w:rPr>
          <w:rFonts w:asciiTheme="minorHAnsi" w:eastAsia="Batang" w:hAnsiTheme="minorHAnsi" w:cs="Times New Roman"/>
          <w:sz w:val="22"/>
          <w:szCs w:val="22"/>
          <w:lang w:val="fr-FR"/>
        </w:rPr>
      </w:pPr>
    </w:p>
    <w:p w14:paraId="49697576" w14:textId="7DCCD3C0" w:rsidR="00EF557F" w:rsidRPr="00A4333E" w:rsidRDefault="008F6521" w:rsidP="002D5E3E">
      <w:pPr>
        <w:pStyle w:val="MGfulltext"/>
        <w:spacing w:after="0"/>
        <w:ind w:left="850" w:hanging="425"/>
        <w:rPr>
          <w:rFonts w:asciiTheme="minorHAnsi" w:eastAsia="Batang" w:hAnsiTheme="minorHAnsi" w:cs="Times New Roman"/>
          <w:sz w:val="22"/>
          <w:szCs w:val="22"/>
          <w:lang w:val="fr-FR"/>
        </w:rPr>
      </w:pPr>
      <w:r w:rsidRPr="00A4333E">
        <w:rPr>
          <w:rFonts w:asciiTheme="minorHAnsi" w:eastAsia="Batang" w:hAnsiTheme="minorHAnsi" w:cs="Times New Roman"/>
          <w:sz w:val="22"/>
          <w:szCs w:val="22"/>
          <w:lang w:val="fr-FR"/>
        </w:rPr>
        <w:t>j</w:t>
      </w:r>
      <w:r w:rsidR="00491283" w:rsidRPr="00A4333E">
        <w:rPr>
          <w:rFonts w:asciiTheme="minorHAnsi" w:eastAsia="Batang" w:hAnsiTheme="minorHAnsi" w:cs="Times New Roman"/>
          <w:sz w:val="22"/>
          <w:szCs w:val="22"/>
          <w:lang w:val="fr-FR"/>
        </w:rPr>
        <w:t>.</w:t>
      </w:r>
      <w:r w:rsidR="00EF557F" w:rsidRPr="00A4333E">
        <w:rPr>
          <w:rFonts w:asciiTheme="minorHAnsi" w:eastAsia="Batang" w:hAnsiTheme="minorHAnsi" w:cs="Times New Roman"/>
          <w:sz w:val="22"/>
          <w:szCs w:val="22"/>
          <w:lang w:val="fr-FR"/>
        </w:rPr>
        <w:tab/>
      </w:r>
      <w:r w:rsidR="00B9305E" w:rsidRPr="00A4333E">
        <w:rPr>
          <w:rFonts w:asciiTheme="minorHAnsi" w:eastAsia="Batang" w:hAnsiTheme="minorHAnsi" w:cs="Times New Roman"/>
          <w:sz w:val="22"/>
          <w:szCs w:val="22"/>
          <w:lang w:val="fr-FR"/>
        </w:rPr>
        <w:t>Les coûts des services administratifs de l'UICN ont été réduits de 57 000 CHF par rapport à la période triennale précédente en raison des changements apportés au système de l'UICN relatif à l'organisation des voyages. L'</w:t>
      </w:r>
      <w:r w:rsidR="002D5E3E" w:rsidRPr="00A4333E">
        <w:rPr>
          <w:rFonts w:asciiTheme="minorHAnsi" w:eastAsia="Batang" w:hAnsiTheme="minorHAnsi" w:cs="Times New Roman"/>
          <w:sz w:val="22"/>
          <w:szCs w:val="22"/>
          <w:lang w:val="fr-FR"/>
        </w:rPr>
        <w:t xml:space="preserve">antenne </w:t>
      </w:r>
      <w:r w:rsidR="00B9305E" w:rsidRPr="00A4333E">
        <w:rPr>
          <w:rFonts w:asciiTheme="minorHAnsi" w:eastAsia="Batang" w:hAnsiTheme="minorHAnsi" w:cs="Times New Roman"/>
          <w:sz w:val="22"/>
          <w:szCs w:val="22"/>
          <w:lang w:val="fr-FR"/>
        </w:rPr>
        <w:t>de voyage budgété</w:t>
      </w:r>
      <w:r w:rsidR="002D5E3E" w:rsidRPr="00A4333E">
        <w:rPr>
          <w:rFonts w:asciiTheme="minorHAnsi" w:eastAsia="Batang" w:hAnsiTheme="minorHAnsi" w:cs="Times New Roman"/>
          <w:sz w:val="22"/>
          <w:szCs w:val="22"/>
          <w:lang w:val="fr-FR"/>
        </w:rPr>
        <w:t>e</w:t>
      </w:r>
      <w:r w:rsidR="00B9305E" w:rsidRPr="00A4333E">
        <w:rPr>
          <w:rFonts w:asciiTheme="minorHAnsi" w:eastAsia="Batang" w:hAnsiTheme="minorHAnsi" w:cs="Times New Roman"/>
          <w:sz w:val="22"/>
          <w:szCs w:val="22"/>
          <w:lang w:val="fr-FR"/>
        </w:rPr>
        <w:t xml:space="preserve"> </w:t>
      </w:r>
      <w:r w:rsidR="002D5E3E" w:rsidRPr="00A4333E">
        <w:rPr>
          <w:rFonts w:asciiTheme="minorHAnsi" w:eastAsia="Batang" w:hAnsiTheme="minorHAnsi" w:cs="Times New Roman"/>
          <w:sz w:val="22"/>
          <w:szCs w:val="22"/>
          <w:lang w:val="fr-FR"/>
        </w:rPr>
        <w:t>lors de</w:t>
      </w:r>
      <w:r w:rsidR="00B9305E" w:rsidRPr="00A4333E">
        <w:rPr>
          <w:rFonts w:asciiTheme="minorHAnsi" w:eastAsia="Batang" w:hAnsiTheme="minorHAnsi" w:cs="Times New Roman"/>
          <w:sz w:val="22"/>
          <w:szCs w:val="22"/>
          <w:lang w:val="fr-FR"/>
        </w:rPr>
        <w:t xml:space="preserve"> la période triennale précédente a été supprimé</w:t>
      </w:r>
      <w:r w:rsidR="000009DA">
        <w:rPr>
          <w:rFonts w:asciiTheme="minorHAnsi" w:eastAsia="Batang" w:hAnsiTheme="minorHAnsi" w:cs="Times New Roman"/>
          <w:sz w:val="22"/>
          <w:szCs w:val="22"/>
          <w:lang w:val="fr-FR"/>
        </w:rPr>
        <w:t>e</w:t>
      </w:r>
      <w:r w:rsidR="00B9305E" w:rsidRPr="00A4333E">
        <w:rPr>
          <w:rFonts w:asciiTheme="minorHAnsi" w:eastAsia="Batang" w:hAnsiTheme="minorHAnsi" w:cs="Times New Roman"/>
          <w:sz w:val="22"/>
          <w:szCs w:val="22"/>
          <w:lang w:val="fr-FR"/>
        </w:rPr>
        <w:t xml:space="preserve"> par l'UICN en 2020, en raison des restrictions de voyage </w:t>
      </w:r>
      <w:r w:rsidR="002D5E3E" w:rsidRPr="00A4333E">
        <w:rPr>
          <w:rFonts w:asciiTheme="minorHAnsi" w:eastAsia="Batang" w:hAnsiTheme="minorHAnsi" w:cs="Times New Roman"/>
          <w:sz w:val="22"/>
          <w:szCs w:val="22"/>
          <w:lang w:val="fr-FR"/>
        </w:rPr>
        <w:t>liées au</w:t>
      </w:r>
      <w:r w:rsidR="00B9305E" w:rsidRPr="00A4333E">
        <w:rPr>
          <w:rFonts w:asciiTheme="minorHAnsi" w:eastAsia="Batang" w:hAnsiTheme="minorHAnsi" w:cs="Times New Roman"/>
          <w:sz w:val="22"/>
          <w:szCs w:val="22"/>
          <w:lang w:val="fr-FR"/>
        </w:rPr>
        <w:t xml:space="preserve"> COVID-19 ; la réservation des billets se fait par le biais du centre d'appel et des plateformes internet de l'agence de voyage, et les frais sont inclus dans les dépenses de voyage.</w:t>
      </w:r>
    </w:p>
    <w:p w14:paraId="6D2F3828" w14:textId="77777777" w:rsidR="00EF557F" w:rsidRPr="00A4333E" w:rsidRDefault="00EF557F" w:rsidP="00D4581F">
      <w:pPr>
        <w:pStyle w:val="MGfulltext"/>
        <w:spacing w:after="0"/>
        <w:ind w:left="850" w:hanging="425"/>
        <w:rPr>
          <w:rFonts w:asciiTheme="minorHAnsi" w:eastAsia="Batang" w:hAnsiTheme="minorHAnsi" w:cs="Times New Roman"/>
          <w:sz w:val="22"/>
          <w:szCs w:val="22"/>
          <w:lang w:val="fr-FR"/>
        </w:rPr>
      </w:pPr>
    </w:p>
    <w:p w14:paraId="4B966BDF" w14:textId="3C5C786C" w:rsidR="00D4581F" w:rsidRPr="00A4333E" w:rsidRDefault="008F6521" w:rsidP="00D4581F">
      <w:pPr>
        <w:pStyle w:val="MGfulltext"/>
        <w:spacing w:after="0"/>
        <w:ind w:left="850" w:hanging="425"/>
        <w:rPr>
          <w:rFonts w:asciiTheme="minorHAnsi" w:eastAsia="Batang" w:hAnsiTheme="minorHAnsi" w:cs="Times New Roman"/>
          <w:sz w:val="22"/>
          <w:szCs w:val="22"/>
          <w:lang w:val="fr-FR"/>
        </w:rPr>
      </w:pPr>
      <w:r w:rsidRPr="00A4333E">
        <w:rPr>
          <w:rFonts w:asciiTheme="minorHAnsi" w:eastAsia="Batang" w:hAnsiTheme="minorHAnsi" w:cs="Times New Roman"/>
          <w:sz w:val="22"/>
          <w:szCs w:val="22"/>
          <w:lang w:val="fr-FR"/>
        </w:rPr>
        <w:t>k</w:t>
      </w:r>
      <w:r w:rsidR="00D4581F" w:rsidRPr="00A4333E">
        <w:rPr>
          <w:rFonts w:asciiTheme="minorHAnsi" w:eastAsia="Batang" w:hAnsiTheme="minorHAnsi" w:cs="Times New Roman"/>
          <w:sz w:val="22"/>
          <w:szCs w:val="22"/>
          <w:lang w:val="fr-FR"/>
        </w:rPr>
        <w:t>.</w:t>
      </w:r>
      <w:r w:rsidR="00D4581F" w:rsidRPr="00A4333E">
        <w:rPr>
          <w:rFonts w:asciiTheme="minorHAnsi" w:eastAsia="Batang" w:hAnsiTheme="minorHAnsi" w:cs="Times New Roman"/>
          <w:sz w:val="22"/>
          <w:szCs w:val="22"/>
          <w:lang w:val="fr-FR"/>
        </w:rPr>
        <w:tab/>
      </w:r>
      <w:r w:rsidR="002D5E3E" w:rsidRPr="00A4333E">
        <w:rPr>
          <w:rFonts w:asciiTheme="minorHAnsi" w:eastAsia="Batang" w:hAnsiTheme="minorHAnsi" w:cs="Times New Roman"/>
          <w:sz w:val="22"/>
          <w:szCs w:val="22"/>
          <w:lang w:val="fr-FR"/>
        </w:rPr>
        <w:t>Par rapport à la période triennale</w:t>
      </w:r>
      <w:r w:rsidR="00D4581F" w:rsidRPr="00A4333E">
        <w:rPr>
          <w:rFonts w:asciiTheme="minorHAnsi" w:eastAsia="Batang" w:hAnsiTheme="minorHAnsi" w:cs="Times New Roman"/>
          <w:sz w:val="22"/>
          <w:szCs w:val="22"/>
          <w:lang w:val="fr-FR"/>
        </w:rPr>
        <w:t xml:space="preserve"> </w:t>
      </w:r>
      <w:r w:rsidR="0060119A" w:rsidRPr="00A4333E">
        <w:rPr>
          <w:rFonts w:asciiTheme="minorHAnsi" w:eastAsia="Batang" w:hAnsiTheme="minorHAnsi" w:cs="Times New Roman"/>
          <w:sz w:val="22"/>
          <w:szCs w:val="22"/>
          <w:lang w:val="fr-FR"/>
        </w:rPr>
        <w:t>2019-2021</w:t>
      </w:r>
      <w:r w:rsidR="00D4581F" w:rsidRPr="00A4333E">
        <w:rPr>
          <w:rFonts w:asciiTheme="minorHAnsi" w:eastAsia="Batang" w:hAnsiTheme="minorHAnsi" w:cs="Times New Roman"/>
          <w:sz w:val="22"/>
          <w:szCs w:val="22"/>
          <w:lang w:val="fr-FR"/>
        </w:rPr>
        <w:t xml:space="preserve">, </w:t>
      </w:r>
      <w:r w:rsidR="00DE4ACF" w:rsidRPr="00A4333E">
        <w:rPr>
          <w:rFonts w:asciiTheme="minorHAnsi" w:eastAsia="Batang" w:hAnsiTheme="minorHAnsi" w:cs="Times New Roman"/>
          <w:sz w:val="22"/>
          <w:szCs w:val="22"/>
          <w:lang w:val="fr-FR"/>
        </w:rPr>
        <w:t xml:space="preserve">la ligne budgétaire Appui et </w:t>
      </w:r>
      <w:r w:rsidR="00074791" w:rsidRPr="00A4333E">
        <w:rPr>
          <w:rFonts w:asciiTheme="minorHAnsi" w:eastAsia="Batang" w:hAnsiTheme="minorHAnsi" w:cs="Times New Roman"/>
          <w:sz w:val="22"/>
          <w:szCs w:val="22"/>
          <w:lang w:val="fr-FR"/>
        </w:rPr>
        <w:t>développement</w:t>
      </w:r>
      <w:r w:rsidR="00DE4ACF" w:rsidRPr="00A4333E">
        <w:rPr>
          <w:rFonts w:asciiTheme="minorHAnsi" w:eastAsia="Batang" w:hAnsiTheme="minorHAnsi" w:cs="Times New Roman"/>
          <w:sz w:val="22"/>
          <w:szCs w:val="22"/>
          <w:lang w:val="fr-FR"/>
        </w:rPr>
        <w:t xml:space="preserve"> du Web/TI a été réduite de 11 000 CHF car le Secrétariat prévoit </w:t>
      </w:r>
      <w:r w:rsidR="00DF2C10" w:rsidRPr="00A4333E">
        <w:rPr>
          <w:rFonts w:asciiTheme="minorHAnsi" w:eastAsia="Batang" w:hAnsiTheme="minorHAnsi" w:cs="Times New Roman"/>
          <w:sz w:val="22"/>
          <w:szCs w:val="22"/>
          <w:lang w:val="fr-FR"/>
        </w:rPr>
        <w:t>une baisse des</w:t>
      </w:r>
      <w:r w:rsidR="00DE4ACF" w:rsidRPr="00A4333E">
        <w:rPr>
          <w:rFonts w:asciiTheme="minorHAnsi" w:eastAsia="Batang" w:hAnsiTheme="minorHAnsi" w:cs="Times New Roman"/>
          <w:sz w:val="22"/>
          <w:szCs w:val="22"/>
          <w:lang w:val="fr-FR"/>
        </w:rPr>
        <w:t xml:space="preserve"> coûts </w:t>
      </w:r>
      <w:r w:rsidR="00DF2C10" w:rsidRPr="00A4333E">
        <w:rPr>
          <w:rFonts w:asciiTheme="minorHAnsi" w:eastAsia="Batang" w:hAnsiTheme="minorHAnsi" w:cs="Times New Roman"/>
          <w:sz w:val="22"/>
          <w:szCs w:val="22"/>
          <w:lang w:val="fr-FR"/>
        </w:rPr>
        <w:t>d</w:t>
      </w:r>
      <w:r w:rsidR="00DE4ACF" w:rsidRPr="00A4333E">
        <w:rPr>
          <w:rFonts w:asciiTheme="minorHAnsi" w:eastAsia="Batang" w:hAnsiTheme="minorHAnsi" w:cs="Times New Roman"/>
          <w:sz w:val="22"/>
          <w:szCs w:val="22"/>
          <w:lang w:val="fr-FR"/>
        </w:rPr>
        <w:t xml:space="preserve">'hébergement, </w:t>
      </w:r>
      <w:r w:rsidR="00DF2C10" w:rsidRPr="00A4333E">
        <w:rPr>
          <w:rFonts w:asciiTheme="minorHAnsi" w:eastAsia="Batang" w:hAnsiTheme="minorHAnsi" w:cs="Times New Roman"/>
          <w:sz w:val="22"/>
          <w:szCs w:val="22"/>
          <w:lang w:val="fr-FR"/>
        </w:rPr>
        <w:t>de</w:t>
      </w:r>
      <w:r w:rsidR="00DE4ACF" w:rsidRPr="00A4333E">
        <w:rPr>
          <w:rFonts w:asciiTheme="minorHAnsi" w:eastAsia="Batang" w:hAnsiTheme="minorHAnsi" w:cs="Times New Roman"/>
          <w:sz w:val="22"/>
          <w:szCs w:val="22"/>
          <w:lang w:val="fr-FR"/>
        </w:rPr>
        <w:t xml:space="preserve"> maintenance et </w:t>
      </w:r>
      <w:r w:rsidR="00DF2C10" w:rsidRPr="00A4333E">
        <w:rPr>
          <w:rFonts w:asciiTheme="minorHAnsi" w:eastAsia="Batang" w:hAnsiTheme="minorHAnsi" w:cs="Times New Roman"/>
          <w:sz w:val="22"/>
          <w:szCs w:val="22"/>
          <w:lang w:val="fr-FR"/>
        </w:rPr>
        <w:t xml:space="preserve">de </w:t>
      </w:r>
      <w:r w:rsidR="00DE4ACF" w:rsidRPr="00A4333E">
        <w:rPr>
          <w:rFonts w:asciiTheme="minorHAnsi" w:eastAsia="Batang" w:hAnsiTheme="minorHAnsi" w:cs="Times New Roman"/>
          <w:sz w:val="22"/>
          <w:szCs w:val="22"/>
          <w:lang w:val="fr-FR"/>
        </w:rPr>
        <w:t xml:space="preserve">développement informatiques après le </w:t>
      </w:r>
      <w:r w:rsidR="00074791" w:rsidRPr="00A4333E">
        <w:rPr>
          <w:rFonts w:asciiTheme="minorHAnsi" w:eastAsia="Batang" w:hAnsiTheme="minorHAnsi" w:cs="Times New Roman"/>
          <w:sz w:val="22"/>
          <w:szCs w:val="22"/>
          <w:lang w:val="fr-FR"/>
        </w:rPr>
        <w:t xml:space="preserve">réaménagement </w:t>
      </w:r>
      <w:r w:rsidR="00DE4ACF" w:rsidRPr="00A4333E">
        <w:rPr>
          <w:rFonts w:asciiTheme="minorHAnsi" w:eastAsia="Batang" w:hAnsiTheme="minorHAnsi" w:cs="Times New Roman"/>
          <w:sz w:val="22"/>
          <w:szCs w:val="22"/>
          <w:lang w:val="fr-FR"/>
        </w:rPr>
        <w:t>du site en 2022.</w:t>
      </w:r>
    </w:p>
    <w:p w14:paraId="64B52785" w14:textId="2628B6E1" w:rsidR="00D4581F" w:rsidRPr="00A4333E" w:rsidRDefault="001F43AF" w:rsidP="00D4581F">
      <w:pPr>
        <w:pStyle w:val="MGfulltext"/>
        <w:spacing w:after="0"/>
        <w:ind w:left="850" w:hanging="425"/>
        <w:rPr>
          <w:rFonts w:asciiTheme="minorHAnsi" w:eastAsia="Batang" w:hAnsiTheme="minorHAnsi" w:cs="Times New Roman"/>
          <w:sz w:val="22"/>
          <w:szCs w:val="22"/>
          <w:lang w:val="fr-FR"/>
        </w:rPr>
      </w:pPr>
      <w:r w:rsidRPr="00A4333E">
        <w:rPr>
          <w:rFonts w:asciiTheme="minorHAnsi" w:eastAsia="Batang" w:hAnsiTheme="minorHAnsi" w:cs="Times New Roman"/>
          <w:sz w:val="22"/>
          <w:szCs w:val="22"/>
          <w:lang w:val="fr-FR"/>
        </w:rPr>
        <w:tab/>
      </w:r>
    </w:p>
    <w:p w14:paraId="02FCA29E" w14:textId="3C4B47F4" w:rsidR="001F43AF" w:rsidRPr="00A4333E" w:rsidRDefault="008F6521" w:rsidP="00491283">
      <w:pPr>
        <w:pStyle w:val="MGfulltext"/>
        <w:spacing w:after="0"/>
        <w:ind w:left="850" w:hanging="425"/>
        <w:rPr>
          <w:rFonts w:asciiTheme="minorHAnsi" w:eastAsia="Batang" w:hAnsiTheme="minorHAnsi" w:cs="Times New Roman"/>
          <w:sz w:val="22"/>
          <w:szCs w:val="22"/>
          <w:lang w:val="fr-FR"/>
        </w:rPr>
      </w:pPr>
      <w:r w:rsidRPr="00A4333E">
        <w:rPr>
          <w:rFonts w:asciiTheme="minorHAnsi" w:eastAsia="Batang" w:hAnsiTheme="minorHAnsi" w:cs="Times New Roman"/>
          <w:sz w:val="22"/>
          <w:szCs w:val="22"/>
          <w:lang w:val="fr-FR"/>
        </w:rPr>
        <w:t>l</w:t>
      </w:r>
      <w:r w:rsidR="00491283" w:rsidRPr="00A4333E">
        <w:rPr>
          <w:rFonts w:asciiTheme="minorHAnsi" w:eastAsia="Batang" w:hAnsiTheme="minorHAnsi" w:cs="Times New Roman"/>
          <w:sz w:val="22"/>
          <w:szCs w:val="22"/>
          <w:lang w:val="fr-FR"/>
        </w:rPr>
        <w:t>.</w:t>
      </w:r>
      <w:r w:rsidR="00491283" w:rsidRPr="00A4333E">
        <w:rPr>
          <w:rFonts w:asciiTheme="minorHAnsi" w:eastAsia="Batang" w:hAnsiTheme="minorHAnsi" w:cs="Times New Roman"/>
          <w:sz w:val="22"/>
          <w:szCs w:val="22"/>
          <w:lang w:val="fr-FR"/>
        </w:rPr>
        <w:tab/>
      </w:r>
      <w:r w:rsidR="00074791" w:rsidRPr="00A4333E">
        <w:rPr>
          <w:rFonts w:asciiTheme="minorHAnsi" w:eastAsia="Batang" w:hAnsiTheme="minorHAnsi" w:cs="Times New Roman"/>
          <w:sz w:val="22"/>
          <w:szCs w:val="22"/>
          <w:lang w:val="fr-FR"/>
        </w:rPr>
        <w:t xml:space="preserve">Par rapport à la période triennale précédente et à 2022, le budget affecté aux voyages a été ajusté avec une réaffectation de 24 000 CHF de la section budgétaire C, </w:t>
      </w:r>
      <w:r w:rsidR="00CD381B" w:rsidRPr="00A4333E">
        <w:rPr>
          <w:rFonts w:asciiTheme="minorHAnsi" w:eastAsia="Batang" w:hAnsiTheme="minorHAnsi" w:cs="Times New Roman"/>
          <w:sz w:val="22"/>
          <w:szCs w:val="22"/>
          <w:lang w:val="fr-FR"/>
        </w:rPr>
        <w:t>Appui et conseils aux régions</w:t>
      </w:r>
      <w:r w:rsidR="00074791" w:rsidRPr="00A4333E">
        <w:rPr>
          <w:rFonts w:asciiTheme="minorHAnsi" w:eastAsia="Batang" w:hAnsiTheme="minorHAnsi" w:cs="Times New Roman"/>
          <w:sz w:val="22"/>
          <w:szCs w:val="22"/>
          <w:lang w:val="fr-FR"/>
        </w:rPr>
        <w:t xml:space="preserve">, à la section budgétaire E, </w:t>
      </w:r>
      <w:r w:rsidR="00CD381B" w:rsidRPr="00A4333E">
        <w:rPr>
          <w:rFonts w:asciiTheme="minorHAnsi" w:eastAsia="Batang" w:hAnsiTheme="minorHAnsi" w:cs="Times New Roman"/>
          <w:sz w:val="22"/>
          <w:szCs w:val="22"/>
          <w:lang w:val="fr-FR"/>
        </w:rPr>
        <w:t>S</w:t>
      </w:r>
      <w:r w:rsidR="00074791" w:rsidRPr="00A4333E">
        <w:rPr>
          <w:rFonts w:asciiTheme="minorHAnsi" w:eastAsia="Batang" w:hAnsiTheme="minorHAnsi" w:cs="Times New Roman"/>
          <w:sz w:val="22"/>
          <w:szCs w:val="22"/>
          <w:lang w:val="fr-FR"/>
        </w:rPr>
        <w:t>cience</w:t>
      </w:r>
      <w:r w:rsidR="00CD381B" w:rsidRPr="00A4333E">
        <w:rPr>
          <w:rFonts w:asciiTheme="minorHAnsi" w:eastAsia="Batang" w:hAnsiTheme="minorHAnsi" w:cs="Times New Roman"/>
          <w:sz w:val="22"/>
          <w:szCs w:val="22"/>
          <w:lang w:val="fr-FR"/>
        </w:rPr>
        <w:t>s</w:t>
      </w:r>
      <w:r w:rsidR="00074791" w:rsidRPr="00A4333E">
        <w:rPr>
          <w:rFonts w:asciiTheme="minorHAnsi" w:eastAsia="Batang" w:hAnsiTheme="minorHAnsi" w:cs="Times New Roman"/>
          <w:sz w:val="22"/>
          <w:szCs w:val="22"/>
          <w:lang w:val="fr-FR"/>
        </w:rPr>
        <w:t xml:space="preserve"> et politique, conformément aux exigences du plan de travail du Secrétariat. Le budget global des voyages reste le même que pendant la période triennale 2019-2021 et représente 3 % du budget administrati</w:t>
      </w:r>
      <w:r w:rsidR="00CD381B" w:rsidRPr="00A4333E">
        <w:rPr>
          <w:rFonts w:asciiTheme="minorHAnsi" w:eastAsia="Batang" w:hAnsiTheme="minorHAnsi" w:cs="Times New Roman"/>
          <w:sz w:val="22"/>
          <w:szCs w:val="22"/>
          <w:lang w:val="fr-FR"/>
        </w:rPr>
        <w:t>f</w:t>
      </w:r>
      <w:r w:rsidR="00074791" w:rsidRPr="00A4333E">
        <w:rPr>
          <w:rFonts w:asciiTheme="minorHAnsi" w:eastAsia="Batang" w:hAnsiTheme="minorHAnsi" w:cs="Times New Roman"/>
          <w:sz w:val="22"/>
          <w:szCs w:val="22"/>
          <w:lang w:val="fr-FR"/>
        </w:rPr>
        <w:t xml:space="preserve"> total. </w:t>
      </w:r>
    </w:p>
    <w:p w14:paraId="4F2E92B5" w14:textId="34165A4E" w:rsidR="001F43AF" w:rsidRPr="00A4333E" w:rsidRDefault="001F43AF" w:rsidP="00D4581F">
      <w:pPr>
        <w:pStyle w:val="MGfulltext"/>
        <w:spacing w:after="0"/>
        <w:ind w:left="850" w:hanging="425"/>
        <w:rPr>
          <w:rFonts w:asciiTheme="minorHAnsi" w:eastAsia="Batang" w:hAnsiTheme="minorHAnsi" w:cs="Times New Roman"/>
          <w:sz w:val="22"/>
          <w:szCs w:val="22"/>
          <w:lang w:val="fr-FR"/>
        </w:rPr>
      </w:pPr>
      <w:r w:rsidRPr="00A4333E">
        <w:rPr>
          <w:rFonts w:asciiTheme="minorHAnsi" w:eastAsia="Batang" w:hAnsiTheme="minorHAnsi" w:cs="Times New Roman"/>
          <w:sz w:val="22"/>
          <w:szCs w:val="22"/>
          <w:lang w:val="fr-FR"/>
        </w:rPr>
        <w:tab/>
      </w:r>
    </w:p>
    <w:p w14:paraId="629AD428" w14:textId="7E3A924F" w:rsidR="001F43AF" w:rsidRPr="00A4333E" w:rsidRDefault="008F6521" w:rsidP="00491283">
      <w:pPr>
        <w:pStyle w:val="MGfulltext"/>
        <w:spacing w:after="0"/>
        <w:ind w:left="850" w:hanging="425"/>
        <w:rPr>
          <w:rFonts w:asciiTheme="minorHAnsi" w:eastAsia="Batang" w:hAnsiTheme="minorHAnsi" w:cs="Times New Roman"/>
          <w:sz w:val="22"/>
          <w:szCs w:val="22"/>
          <w:lang w:val="fr-FR"/>
        </w:rPr>
      </w:pPr>
      <w:r w:rsidRPr="00A4333E">
        <w:rPr>
          <w:rFonts w:asciiTheme="minorHAnsi" w:eastAsia="Batang" w:hAnsiTheme="minorHAnsi" w:cs="Times New Roman"/>
          <w:sz w:val="22"/>
          <w:szCs w:val="22"/>
          <w:lang w:val="fr-FR"/>
        </w:rPr>
        <w:t>m</w:t>
      </w:r>
      <w:r w:rsidR="00491283" w:rsidRPr="00A4333E">
        <w:rPr>
          <w:rFonts w:asciiTheme="minorHAnsi" w:eastAsia="Batang" w:hAnsiTheme="minorHAnsi" w:cs="Times New Roman"/>
          <w:sz w:val="22"/>
          <w:szCs w:val="22"/>
          <w:lang w:val="fr-FR"/>
        </w:rPr>
        <w:t>.</w:t>
      </w:r>
      <w:r w:rsidR="00491283" w:rsidRPr="00A4333E">
        <w:rPr>
          <w:rFonts w:asciiTheme="minorHAnsi" w:eastAsia="Batang" w:hAnsiTheme="minorHAnsi" w:cs="Times New Roman"/>
          <w:sz w:val="22"/>
          <w:szCs w:val="22"/>
          <w:lang w:val="fr-FR"/>
        </w:rPr>
        <w:tab/>
      </w:r>
      <w:r w:rsidR="00CD381B" w:rsidRPr="00A4333E">
        <w:rPr>
          <w:rFonts w:asciiTheme="minorHAnsi" w:eastAsia="Batang" w:hAnsiTheme="minorHAnsi" w:cs="Times New Roman"/>
          <w:sz w:val="22"/>
          <w:szCs w:val="22"/>
          <w:lang w:val="fr-FR"/>
        </w:rPr>
        <w:t xml:space="preserve">Comme pour la période triennale 2019-2023 et 2022, 100 000 CHF par an </w:t>
      </w:r>
      <w:r w:rsidR="00C22789" w:rsidRPr="00A4333E">
        <w:rPr>
          <w:rFonts w:asciiTheme="minorHAnsi" w:eastAsia="Batang" w:hAnsiTheme="minorHAnsi" w:cs="Times New Roman"/>
          <w:sz w:val="22"/>
          <w:szCs w:val="22"/>
          <w:lang w:val="fr-FR"/>
        </w:rPr>
        <w:t xml:space="preserve">viendront contribuer au </w:t>
      </w:r>
      <w:r w:rsidR="00CD381B" w:rsidRPr="00A4333E">
        <w:rPr>
          <w:rFonts w:asciiTheme="minorHAnsi" w:eastAsia="Batang" w:hAnsiTheme="minorHAnsi" w:cs="Times New Roman"/>
          <w:sz w:val="22"/>
          <w:szCs w:val="22"/>
          <w:lang w:val="fr-FR"/>
        </w:rPr>
        <w:t xml:space="preserve">démarrage des </w:t>
      </w:r>
      <w:r w:rsidR="00C22789" w:rsidRPr="00A4333E">
        <w:rPr>
          <w:rFonts w:asciiTheme="minorHAnsi" w:eastAsia="Batang" w:hAnsiTheme="minorHAnsi" w:cs="Times New Roman"/>
          <w:sz w:val="22"/>
          <w:szCs w:val="22"/>
          <w:lang w:val="fr-FR"/>
        </w:rPr>
        <w:t>I</w:t>
      </w:r>
      <w:r w:rsidR="00CD381B" w:rsidRPr="00A4333E">
        <w:rPr>
          <w:rFonts w:asciiTheme="minorHAnsi" w:eastAsia="Batang" w:hAnsiTheme="minorHAnsi" w:cs="Times New Roman"/>
          <w:sz w:val="22"/>
          <w:szCs w:val="22"/>
          <w:lang w:val="fr-FR"/>
        </w:rPr>
        <w:t>nitiatives régionales Ramsar</w:t>
      </w:r>
      <w:r w:rsidR="00C22789" w:rsidRPr="00A4333E">
        <w:rPr>
          <w:rFonts w:asciiTheme="minorHAnsi" w:eastAsia="Batang" w:hAnsiTheme="minorHAnsi" w:cs="Times New Roman"/>
          <w:sz w:val="22"/>
          <w:szCs w:val="22"/>
          <w:lang w:val="fr-FR"/>
        </w:rPr>
        <w:t>.</w:t>
      </w:r>
    </w:p>
    <w:p w14:paraId="15DF701B" w14:textId="1A3E25E4" w:rsidR="00D4581F" w:rsidRPr="00A4333E" w:rsidRDefault="00D4581F" w:rsidP="00D4581F">
      <w:pPr>
        <w:pStyle w:val="MGfulltext"/>
        <w:spacing w:after="0"/>
        <w:ind w:left="850" w:hanging="425"/>
        <w:rPr>
          <w:rFonts w:asciiTheme="minorHAnsi" w:eastAsia="Batang" w:hAnsiTheme="minorHAnsi" w:cs="Times New Roman"/>
          <w:sz w:val="22"/>
          <w:szCs w:val="22"/>
          <w:lang w:val="fr-FR"/>
        </w:rPr>
      </w:pPr>
    </w:p>
    <w:p w14:paraId="5D404915" w14:textId="61023059" w:rsidR="00491283" w:rsidRPr="00A4333E" w:rsidRDefault="00C22789" w:rsidP="00D4581F">
      <w:pPr>
        <w:pStyle w:val="MGfulltext"/>
        <w:spacing w:after="0"/>
        <w:ind w:left="850" w:hanging="425"/>
        <w:rPr>
          <w:rFonts w:asciiTheme="minorHAnsi" w:eastAsia="Batang" w:hAnsiTheme="minorHAnsi" w:cs="Times New Roman"/>
          <w:i/>
          <w:sz w:val="22"/>
          <w:szCs w:val="22"/>
          <w:u w:val="single"/>
          <w:lang w:val="fr-FR"/>
        </w:rPr>
      </w:pPr>
      <w:r w:rsidRPr="00A4333E">
        <w:rPr>
          <w:rFonts w:asciiTheme="minorHAnsi" w:eastAsia="Batang" w:hAnsiTheme="minorHAnsi" w:cs="Times New Roman"/>
          <w:i/>
          <w:sz w:val="22"/>
          <w:szCs w:val="22"/>
          <w:u w:val="single"/>
          <w:lang w:val="fr-FR"/>
        </w:rPr>
        <w:t>Fonds de ré</w:t>
      </w:r>
      <w:r w:rsidR="00491283" w:rsidRPr="00A4333E">
        <w:rPr>
          <w:rFonts w:asciiTheme="minorHAnsi" w:eastAsia="Batang" w:hAnsiTheme="minorHAnsi" w:cs="Times New Roman"/>
          <w:i/>
          <w:sz w:val="22"/>
          <w:szCs w:val="22"/>
          <w:u w:val="single"/>
          <w:lang w:val="fr-FR"/>
        </w:rPr>
        <w:t>serve</w:t>
      </w:r>
    </w:p>
    <w:p w14:paraId="15402A13" w14:textId="77777777" w:rsidR="00491283" w:rsidRPr="00A4333E" w:rsidRDefault="00491283" w:rsidP="00D4581F">
      <w:pPr>
        <w:pStyle w:val="MGfulltext"/>
        <w:spacing w:after="0"/>
        <w:ind w:left="850" w:hanging="425"/>
        <w:rPr>
          <w:rFonts w:asciiTheme="minorHAnsi" w:eastAsia="Batang" w:hAnsiTheme="minorHAnsi" w:cs="Times New Roman"/>
          <w:sz w:val="22"/>
          <w:szCs w:val="22"/>
          <w:lang w:val="fr-FR"/>
        </w:rPr>
      </w:pPr>
    </w:p>
    <w:p w14:paraId="71D6B071" w14:textId="3A9A7AA5" w:rsidR="005B73CA" w:rsidRPr="00A4333E" w:rsidRDefault="007F2DFF" w:rsidP="009F65CE">
      <w:pPr>
        <w:pStyle w:val="MGfulltext"/>
        <w:ind w:left="720" w:hanging="295"/>
        <w:rPr>
          <w:rFonts w:asciiTheme="minorHAnsi" w:eastAsia="Batang" w:hAnsiTheme="minorHAnsi" w:cs="Times New Roman"/>
          <w:sz w:val="22"/>
          <w:szCs w:val="22"/>
          <w:lang w:val="fr-FR"/>
        </w:rPr>
      </w:pPr>
      <w:r w:rsidRPr="00A4333E">
        <w:rPr>
          <w:rFonts w:asciiTheme="minorHAnsi" w:eastAsia="Batang" w:hAnsiTheme="minorHAnsi" w:cs="Times New Roman"/>
          <w:sz w:val="22"/>
          <w:szCs w:val="22"/>
          <w:lang w:val="fr-FR"/>
        </w:rPr>
        <w:t>n</w:t>
      </w:r>
      <w:r w:rsidR="00933C52" w:rsidRPr="00A4333E">
        <w:rPr>
          <w:rFonts w:asciiTheme="minorHAnsi" w:eastAsia="Batang" w:hAnsiTheme="minorHAnsi" w:cs="Times New Roman"/>
          <w:sz w:val="22"/>
          <w:szCs w:val="22"/>
          <w:lang w:val="fr-FR"/>
        </w:rPr>
        <w:t>.</w:t>
      </w:r>
      <w:r w:rsidR="00933C52" w:rsidRPr="00A4333E">
        <w:rPr>
          <w:rFonts w:asciiTheme="minorHAnsi" w:eastAsia="Batang" w:hAnsiTheme="minorHAnsi" w:cs="Times New Roman"/>
          <w:sz w:val="22"/>
          <w:szCs w:val="22"/>
          <w:lang w:val="fr-FR"/>
        </w:rPr>
        <w:tab/>
      </w:r>
      <w:r w:rsidR="00C22789" w:rsidRPr="00A4333E">
        <w:rPr>
          <w:rFonts w:asciiTheme="minorHAnsi" w:eastAsia="Batang" w:hAnsiTheme="minorHAnsi" w:cs="Times New Roman"/>
          <w:sz w:val="22"/>
          <w:szCs w:val="22"/>
          <w:lang w:val="fr-FR"/>
        </w:rPr>
        <w:t xml:space="preserve">Lors de la COP11, dans la Résolution XI.2 </w:t>
      </w:r>
      <w:r w:rsidR="00C22789" w:rsidRPr="00A4333E">
        <w:rPr>
          <w:rFonts w:asciiTheme="minorHAnsi" w:eastAsia="Batang" w:hAnsiTheme="minorHAnsi" w:cs="Times New Roman"/>
          <w:i/>
          <w:iCs/>
          <w:sz w:val="22"/>
          <w:szCs w:val="22"/>
          <w:lang w:val="fr-FR"/>
        </w:rPr>
        <w:t>Questions financières et budgétaires</w:t>
      </w:r>
      <w:r w:rsidR="00C22789" w:rsidRPr="00A4333E">
        <w:rPr>
          <w:rFonts w:asciiTheme="minorHAnsi" w:eastAsia="Batang" w:hAnsiTheme="minorHAnsi" w:cs="Times New Roman"/>
          <w:sz w:val="22"/>
          <w:szCs w:val="22"/>
          <w:lang w:val="fr-FR"/>
        </w:rPr>
        <w:t xml:space="preserve">, paragraphe 21 c), il a été décidé que le </w:t>
      </w:r>
      <w:r w:rsidR="009F65CE" w:rsidRPr="00A4333E">
        <w:rPr>
          <w:rFonts w:asciiTheme="minorHAnsi" w:eastAsia="Batang" w:hAnsiTheme="minorHAnsi" w:cs="Times New Roman"/>
          <w:sz w:val="22"/>
          <w:szCs w:val="22"/>
          <w:lang w:val="fr-FR"/>
        </w:rPr>
        <w:t>F</w:t>
      </w:r>
      <w:r w:rsidR="00C22789" w:rsidRPr="00A4333E">
        <w:rPr>
          <w:rFonts w:asciiTheme="minorHAnsi" w:eastAsia="Batang" w:hAnsiTheme="minorHAnsi" w:cs="Times New Roman"/>
          <w:sz w:val="22"/>
          <w:szCs w:val="22"/>
          <w:lang w:val="fr-FR"/>
        </w:rPr>
        <w:t xml:space="preserve">onds de réserve </w:t>
      </w:r>
      <w:r w:rsidR="009F65CE" w:rsidRPr="00A4333E">
        <w:rPr>
          <w:rFonts w:asciiTheme="minorHAnsi" w:eastAsia="Batang" w:hAnsiTheme="minorHAnsi" w:cs="Times New Roman"/>
          <w:sz w:val="22"/>
          <w:szCs w:val="22"/>
          <w:lang w:val="fr-FR"/>
        </w:rPr>
        <w:t>s’</w:t>
      </w:r>
      <w:r w:rsidR="00FC7890" w:rsidRPr="00A4333E">
        <w:rPr>
          <w:rFonts w:asciiTheme="minorHAnsi" w:eastAsia="Batang" w:hAnsiTheme="minorHAnsi" w:cs="Times New Roman"/>
          <w:sz w:val="22"/>
          <w:szCs w:val="22"/>
          <w:lang w:val="fr-FR"/>
        </w:rPr>
        <w:t>établira</w:t>
      </w:r>
      <w:r w:rsidR="009F65CE" w:rsidRPr="00A4333E">
        <w:rPr>
          <w:rFonts w:asciiTheme="minorHAnsi" w:eastAsia="Batang" w:hAnsiTheme="minorHAnsi" w:cs="Times New Roman"/>
          <w:sz w:val="22"/>
          <w:szCs w:val="22"/>
          <w:lang w:val="fr-FR"/>
        </w:rPr>
        <w:t xml:space="preserve"> à 6% au minimum et 15% au maximum du budget administratif annuel de la Convention</w:t>
      </w:r>
      <w:r w:rsidR="00C22789" w:rsidRPr="00A4333E">
        <w:rPr>
          <w:rFonts w:asciiTheme="minorHAnsi" w:eastAsia="Batang" w:hAnsiTheme="minorHAnsi" w:cs="Times New Roman"/>
          <w:sz w:val="22"/>
          <w:szCs w:val="22"/>
          <w:lang w:val="fr-FR"/>
        </w:rPr>
        <w:t xml:space="preserve">. Le </w:t>
      </w:r>
      <w:r w:rsidR="00FC7890">
        <w:rPr>
          <w:rFonts w:asciiTheme="minorHAnsi" w:eastAsia="Batang" w:hAnsiTheme="minorHAnsi" w:cs="Times New Roman"/>
          <w:sz w:val="22"/>
          <w:szCs w:val="22"/>
          <w:lang w:val="fr-FR"/>
        </w:rPr>
        <w:t>F</w:t>
      </w:r>
      <w:r w:rsidR="00C22789" w:rsidRPr="00A4333E">
        <w:rPr>
          <w:rFonts w:asciiTheme="minorHAnsi" w:eastAsia="Batang" w:hAnsiTheme="minorHAnsi" w:cs="Times New Roman"/>
          <w:sz w:val="22"/>
          <w:szCs w:val="22"/>
          <w:lang w:val="fr-FR"/>
        </w:rPr>
        <w:t xml:space="preserve">onds de réserve étant actuellement à son maximum, c'est-à-dire 15 % du budget </w:t>
      </w:r>
      <w:r w:rsidR="009F65CE" w:rsidRPr="00A4333E">
        <w:rPr>
          <w:rFonts w:asciiTheme="minorHAnsi" w:eastAsia="Batang" w:hAnsiTheme="minorHAnsi" w:cs="Times New Roman"/>
          <w:sz w:val="22"/>
          <w:szCs w:val="22"/>
          <w:lang w:val="fr-FR"/>
        </w:rPr>
        <w:t>administratif annuel</w:t>
      </w:r>
      <w:r w:rsidR="00C22789" w:rsidRPr="00A4333E">
        <w:rPr>
          <w:rFonts w:asciiTheme="minorHAnsi" w:eastAsia="Batang" w:hAnsiTheme="minorHAnsi" w:cs="Times New Roman"/>
          <w:sz w:val="22"/>
          <w:szCs w:val="22"/>
          <w:lang w:val="fr-FR"/>
        </w:rPr>
        <w:t xml:space="preserve">, aucune </w:t>
      </w:r>
      <w:r w:rsidR="009F65CE" w:rsidRPr="00A4333E">
        <w:rPr>
          <w:rFonts w:asciiTheme="minorHAnsi" w:eastAsia="Batang" w:hAnsiTheme="minorHAnsi" w:cs="Times New Roman"/>
          <w:sz w:val="22"/>
          <w:szCs w:val="22"/>
          <w:lang w:val="fr-FR"/>
        </w:rPr>
        <w:t xml:space="preserve">prévision budgétaire </w:t>
      </w:r>
      <w:r w:rsidR="00C22789" w:rsidRPr="00A4333E">
        <w:rPr>
          <w:rFonts w:asciiTheme="minorHAnsi" w:eastAsia="Batang" w:hAnsiTheme="minorHAnsi" w:cs="Times New Roman"/>
          <w:sz w:val="22"/>
          <w:szCs w:val="22"/>
          <w:lang w:val="fr-FR"/>
        </w:rPr>
        <w:t>de réserve n'</w:t>
      </w:r>
      <w:r w:rsidR="00FC7890">
        <w:rPr>
          <w:rFonts w:asciiTheme="minorHAnsi" w:eastAsia="Batang" w:hAnsiTheme="minorHAnsi" w:cs="Times New Roman"/>
          <w:sz w:val="22"/>
          <w:szCs w:val="22"/>
          <w:lang w:val="fr-FR"/>
        </w:rPr>
        <w:t>a été faite</w:t>
      </w:r>
      <w:r w:rsidR="00C22789" w:rsidRPr="00A4333E">
        <w:rPr>
          <w:rFonts w:asciiTheme="minorHAnsi" w:eastAsia="Batang" w:hAnsiTheme="minorHAnsi" w:cs="Times New Roman"/>
          <w:sz w:val="22"/>
          <w:szCs w:val="22"/>
          <w:lang w:val="fr-FR"/>
        </w:rPr>
        <w:t xml:space="preserve"> pour la période triennale 2023-2025.</w:t>
      </w:r>
    </w:p>
    <w:p w14:paraId="543BE4F2" w14:textId="7F716E82" w:rsidR="00C4610D" w:rsidRPr="00A4333E" w:rsidRDefault="00C4610D" w:rsidP="00933C52">
      <w:pPr>
        <w:pStyle w:val="ListParagraph"/>
        <w:ind w:left="850"/>
        <w:rPr>
          <w:rFonts w:asciiTheme="minorHAnsi" w:eastAsia="Batang" w:hAnsiTheme="minorHAnsi"/>
          <w:lang w:val="fr-FR"/>
        </w:rPr>
      </w:pPr>
    </w:p>
    <w:p w14:paraId="3DA9740D" w14:textId="6A5C5D77" w:rsidR="00491283" w:rsidRPr="00A4333E" w:rsidRDefault="00491283" w:rsidP="00933C52">
      <w:pPr>
        <w:pStyle w:val="ListParagraph"/>
        <w:ind w:left="850"/>
        <w:rPr>
          <w:rFonts w:asciiTheme="minorHAnsi" w:eastAsia="Batang" w:hAnsiTheme="minorHAnsi"/>
          <w:i/>
          <w:u w:val="single"/>
          <w:lang w:val="fr-FR"/>
        </w:rPr>
      </w:pPr>
      <w:r w:rsidRPr="00A4333E">
        <w:rPr>
          <w:rFonts w:asciiTheme="minorHAnsi" w:eastAsia="Batang" w:hAnsiTheme="minorHAnsi"/>
          <w:bCs/>
          <w:i/>
          <w:u w:val="single"/>
          <w:lang w:val="fr-FR" w:eastAsia="ko-KR"/>
        </w:rPr>
        <w:t>Pr</w:t>
      </w:r>
      <w:r w:rsidR="009F65CE" w:rsidRPr="00A4333E">
        <w:rPr>
          <w:rFonts w:asciiTheme="minorHAnsi" w:eastAsia="Batang" w:hAnsiTheme="minorHAnsi"/>
          <w:bCs/>
          <w:i/>
          <w:u w:val="single"/>
          <w:lang w:val="fr-FR" w:eastAsia="ko-KR"/>
        </w:rPr>
        <w:t>évisions budgétaires</w:t>
      </w:r>
    </w:p>
    <w:p w14:paraId="1CDAFF1F" w14:textId="77777777" w:rsidR="00491283" w:rsidRPr="00A4333E" w:rsidRDefault="00491283" w:rsidP="00933C52">
      <w:pPr>
        <w:pStyle w:val="ListParagraph"/>
        <w:ind w:left="850"/>
        <w:rPr>
          <w:rFonts w:asciiTheme="minorHAnsi" w:eastAsia="Batang" w:hAnsiTheme="minorHAnsi"/>
          <w:lang w:val="fr-FR"/>
        </w:rPr>
      </w:pPr>
    </w:p>
    <w:p w14:paraId="18CB0889" w14:textId="56DC998C" w:rsidR="00C4610D" w:rsidRPr="00A4333E" w:rsidRDefault="007F2DFF" w:rsidP="00933C52">
      <w:pPr>
        <w:ind w:left="850"/>
        <w:rPr>
          <w:rFonts w:asciiTheme="minorHAnsi" w:eastAsia="Batang" w:hAnsiTheme="minorHAnsi"/>
          <w:bCs/>
          <w:lang w:val="fr-FR" w:eastAsia="ko-KR"/>
        </w:rPr>
      </w:pPr>
      <w:r w:rsidRPr="00A4333E">
        <w:rPr>
          <w:rFonts w:asciiTheme="minorHAnsi" w:eastAsia="Batang" w:hAnsiTheme="minorHAnsi"/>
          <w:bCs/>
          <w:lang w:val="fr-FR" w:eastAsia="ko-KR"/>
        </w:rPr>
        <w:t>o</w:t>
      </w:r>
      <w:r w:rsidR="00933C52" w:rsidRPr="00A4333E">
        <w:rPr>
          <w:rFonts w:asciiTheme="minorHAnsi" w:eastAsia="Batang" w:hAnsiTheme="minorHAnsi"/>
          <w:bCs/>
          <w:lang w:val="fr-FR" w:eastAsia="ko-KR"/>
        </w:rPr>
        <w:t>.</w:t>
      </w:r>
      <w:r w:rsidR="00933C52" w:rsidRPr="00A4333E">
        <w:rPr>
          <w:rFonts w:asciiTheme="minorHAnsi" w:eastAsia="Batang" w:hAnsiTheme="minorHAnsi"/>
          <w:bCs/>
          <w:lang w:val="fr-FR" w:eastAsia="ko-KR"/>
        </w:rPr>
        <w:tab/>
      </w:r>
      <w:r w:rsidR="009F65CE" w:rsidRPr="00A4333E">
        <w:rPr>
          <w:rFonts w:asciiTheme="minorHAnsi" w:eastAsia="Batang" w:hAnsiTheme="minorHAnsi"/>
          <w:bCs/>
          <w:lang w:val="fr-FR" w:eastAsia="ko-KR"/>
        </w:rPr>
        <w:t xml:space="preserve">Le montant alloué aux prévisions budgétaires pendant la période triennale précédente a été maintenu dans le budget proposé pour la période triennale 2023-2025. Toutefois, conformément à la </w:t>
      </w:r>
      <w:r w:rsidR="00504C73" w:rsidRPr="00A4333E">
        <w:rPr>
          <w:rFonts w:asciiTheme="minorHAnsi" w:eastAsia="Batang" w:hAnsiTheme="minorHAnsi"/>
          <w:bCs/>
          <w:lang w:val="fr-FR" w:eastAsia="ko-KR"/>
        </w:rPr>
        <w:t>D</w:t>
      </w:r>
      <w:r w:rsidR="009F65CE" w:rsidRPr="00A4333E">
        <w:rPr>
          <w:rFonts w:asciiTheme="minorHAnsi" w:eastAsia="Batang" w:hAnsiTheme="minorHAnsi"/>
          <w:bCs/>
          <w:lang w:val="fr-FR" w:eastAsia="ko-KR"/>
        </w:rPr>
        <w:t xml:space="preserve">écision SC58-31 du Comité permanent, les provisions sont présentées dans deux lignes budgétaires distinctes : a) </w:t>
      </w:r>
      <w:r w:rsidR="00504C73" w:rsidRPr="00A4333E">
        <w:rPr>
          <w:rFonts w:asciiTheme="minorHAnsi" w:eastAsia="Batang" w:hAnsiTheme="minorHAnsi"/>
          <w:bCs/>
          <w:lang w:val="fr-FR" w:eastAsia="ko-KR"/>
        </w:rPr>
        <w:t>« </w:t>
      </w:r>
      <w:r w:rsidR="009F65CE" w:rsidRPr="00A4333E">
        <w:rPr>
          <w:rFonts w:asciiTheme="minorHAnsi" w:eastAsia="Batang" w:hAnsiTheme="minorHAnsi"/>
          <w:bCs/>
          <w:lang w:val="fr-FR" w:eastAsia="ko-KR"/>
        </w:rPr>
        <w:t>provisions pour le personnel</w:t>
      </w:r>
      <w:r w:rsidR="00504C73" w:rsidRPr="00A4333E">
        <w:rPr>
          <w:rFonts w:asciiTheme="minorHAnsi" w:eastAsia="Batang" w:hAnsiTheme="minorHAnsi"/>
          <w:bCs/>
          <w:lang w:val="fr-FR" w:eastAsia="ko-KR"/>
        </w:rPr>
        <w:t> »</w:t>
      </w:r>
      <w:r w:rsidR="009F65CE" w:rsidRPr="00A4333E">
        <w:rPr>
          <w:rFonts w:asciiTheme="minorHAnsi" w:eastAsia="Batang" w:hAnsiTheme="minorHAnsi"/>
          <w:bCs/>
          <w:lang w:val="fr-FR" w:eastAsia="ko-KR"/>
        </w:rPr>
        <w:t xml:space="preserve"> ; et b) </w:t>
      </w:r>
      <w:r w:rsidR="00504C73" w:rsidRPr="00A4333E">
        <w:rPr>
          <w:rFonts w:asciiTheme="minorHAnsi" w:eastAsia="Batang" w:hAnsiTheme="minorHAnsi"/>
          <w:bCs/>
          <w:lang w:val="fr-FR" w:eastAsia="ko-KR"/>
        </w:rPr>
        <w:t>« </w:t>
      </w:r>
      <w:r w:rsidR="009F65CE" w:rsidRPr="00A4333E">
        <w:rPr>
          <w:rFonts w:asciiTheme="minorHAnsi" w:eastAsia="Batang" w:hAnsiTheme="minorHAnsi"/>
          <w:bCs/>
          <w:lang w:val="fr-FR" w:eastAsia="ko-KR"/>
        </w:rPr>
        <w:t xml:space="preserve">provision pour les contributions </w:t>
      </w:r>
      <w:r w:rsidR="00504C73" w:rsidRPr="00A4333E">
        <w:rPr>
          <w:rFonts w:asciiTheme="minorHAnsi" w:eastAsia="Batang" w:hAnsiTheme="minorHAnsi"/>
          <w:bCs/>
          <w:lang w:val="fr-FR" w:eastAsia="ko-KR"/>
        </w:rPr>
        <w:t>impayées »</w:t>
      </w:r>
      <w:r w:rsidR="009F65CE" w:rsidRPr="00A4333E">
        <w:rPr>
          <w:rFonts w:asciiTheme="minorHAnsi" w:eastAsia="Batang" w:hAnsiTheme="minorHAnsi"/>
          <w:bCs/>
          <w:lang w:val="fr-FR" w:eastAsia="ko-KR"/>
        </w:rPr>
        <w:t xml:space="preserve">. </w:t>
      </w:r>
      <w:r w:rsidR="00504C73" w:rsidRPr="00A4333E">
        <w:rPr>
          <w:rFonts w:asciiTheme="minorHAnsi" w:eastAsia="Batang" w:hAnsiTheme="minorHAnsi"/>
          <w:bCs/>
          <w:lang w:val="fr-FR" w:eastAsia="ko-KR"/>
        </w:rPr>
        <w:t xml:space="preserve">Compte tenu </w:t>
      </w:r>
      <w:r w:rsidR="009F65CE" w:rsidRPr="00A4333E">
        <w:rPr>
          <w:rFonts w:asciiTheme="minorHAnsi" w:eastAsia="Batang" w:hAnsiTheme="minorHAnsi"/>
          <w:bCs/>
          <w:lang w:val="fr-FR" w:eastAsia="ko-KR"/>
        </w:rPr>
        <w:t>de l'utilisation moyenne des provisions pour le personnel au cours de la période triennale 2019-2021, le montant de 50 000 CHF pour la nouvelle période triennale est réparti comme suit : 20 000 CHF pour le personnel et 30 000 CHF pour les contributions exceptionnelles</w:t>
      </w:r>
      <w:r w:rsidR="001F1724" w:rsidRPr="00A4333E">
        <w:rPr>
          <w:rFonts w:asciiTheme="minorHAnsi" w:eastAsia="Batang" w:hAnsiTheme="minorHAnsi"/>
          <w:lang w:val="fr-FR"/>
        </w:rPr>
        <w:t>.</w:t>
      </w:r>
    </w:p>
    <w:p w14:paraId="40132378" w14:textId="0BF702C5" w:rsidR="00D4581F" w:rsidRPr="00A4333E" w:rsidRDefault="00D4581F" w:rsidP="00933C52">
      <w:pPr>
        <w:pStyle w:val="MGfulltext"/>
        <w:spacing w:after="0"/>
        <w:ind w:left="850" w:hanging="425"/>
        <w:rPr>
          <w:rFonts w:asciiTheme="minorHAnsi" w:eastAsia="Batang" w:hAnsiTheme="minorHAnsi" w:cs="Times New Roman"/>
          <w:sz w:val="22"/>
          <w:szCs w:val="22"/>
          <w:lang w:val="fr-FR"/>
        </w:rPr>
      </w:pPr>
    </w:p>
    <w:p w14:paraId="1E31F478" w14:textId="535FCF73" w:rsidR="001F43AF" w:rsidRPr="00A4333E" w:rsidRDefault="007F2DFF" w:rsidP="00491283">
      <w:pPr>
        <w:pStyle w:val="MGfulltext"/>
        <w:spacing w:after="0"/>
        <w:ind w:left="850" w:hanging="424"/>
        <w:rPr>
          <w:rFonts w:asciiTheme="minorHAnsi" w:eastAsia="Batang" w:hAnsiTheme="minorHAnsi" w:cs="Times New Roman"/>
          <w:sz w:val="22"/>
          <w:szCs w:val="22"/>
          <w:lang w:val="fr-FR"/>
        </w:rPr>
      </w:pPr>
      <w:r w:rsidRPr="00A4333E">
        <w:rPr>
          <w:rFonts w:asciiTheme="minorHAnsi" w:eastAsia="Batang" w:hAnsiTheme="minorHAnsi" w:cs="Times New Roman"/>
          <w:sz w:val="22"/>
          <w:szCs w:val="22"/>
          <w:lang w:val="fr-FR"/>
        </w:rPr>
        <w:t>p</w:t>
      </w:r>
      <w:r w:rsidR="00491283" w:rsidRPr="00A4333E">
        <w:rPr>
          <w:rFonts w:asciiTheme="minorHAnsi" w:eastAsia="Batang" w:hAnsiTheme="minorHAnsi" w:cs="Times New Roman"/>
          <w:sz w:val="22"/>
          <w:szCs w:val="22"/>
          <w:lang w:val="fr-FR"/>
        </w:rPr>
        <w:t>.</w:t>
      </w:r>
      <w:r w:rsidR="00491283" w:rsidRPr="00A4333E">
        <w:rPr>
          <w:rFonts w:asciiTheme="minorHAnsi" w:eastAsia="Batang" w:hAnsiTheme="minorHAnsi" w:cs="Times New Roman"/>
          <w:sz w:val="22"/>
          <w:szCs w:val="22"/>
          <w:lang w:val="fr-FR"/>
        </w:rPr>
        <w:tab/>
      </w:r>
      <w:r w:rsidR="008F130C" w:rsidRPr="00A4333E">
        <w:rPr>
          <w:rFonts w:asciiTheme="minorHAnsi" w:eastAsia="Batang" w:hAnsiTheme="minorHAnsi" w:cs="Times New Roman"/>
          <w:sz w:val="22"/>
          <w:szCs w:val="22"/>
          <w:lang w:val="fr-FR"/>
        </w:rPr>
        <w:t xml:space="preserve">Le montant alloué aux provisions pour le personnel a été calculé sur la base des coûts réels de la période triennale précédente. Cependant, le montant de la provision pour les </w:t>
      </w:r>
      <w:r w:rsidR="006D3270" w:rsidRPr="00A4333E">
        <w:rPr>
          <w:rFonts w:asciiTheme="minorHAnsi" w:eastAsia="Batang" w:hAnsiTheme="minorHAnsi" w:cs="Times New Roman"/>
          <w:sz w:val="22"/>
          <w:szCs w:val="22"/>
          <w:lang w:val="fr-FR"/>
        </w:rPr>
        <w:t xml:space="preserve">arriérés de </w:t>
      </w:r>
      <w:r w:rsidR="008F130C" w:rsidRPr="00A4333E">
        <w:rPr>
          <w:rFonts w:asciiTheme="minorHAnsi" w:eastAsia="Batang" w:hAnsiTheme="minorHAnsi" w:cs="Times New Roman"/>
          <w:sz w:val="22"/>
          <w:szCs w:val="22"/>
          <w:lang w:val="fr-FR"/>
        </w:rPr>
        <w:t xml:space="preserve">contributions ne sera pas suffisant. </w:t>
      </w:r>
      <w:r w:rsidR="00F252C6" w:rsidRPr="00A4333E">
        <w:rPr>
          <w:rFonts w:asciiTheme="minorHAnsi" w:eastAsia="Batang" w:hAnsiTheme="minorHAnsi" w:cs="Times New Roman"/>
          <w:sz w:val="22"/>
          <w:szCs w:val="22"/>
          <w:lang w:val="fr-FR"/>
        </w:rPr>
        <w:t>De ce fait</w:t>
      </w:r>
      <w:r w:rsidR="008F130C" w:rsidRPr="00A4333E">
        <w:rPr>
          <w:rFonts w:asciiTheme="minorHAnsi" w:eastAsia="Batang" w:hAnsiTheme="minorHAnsi" w:cs="Times New Roman"/>
          <w:sz w:val="22"/>
          <w:szCs w:val="22"/>
          <w:lang w:val="fr-FR"/>
        </w:rPr>
        <w:t xml:space="preserve">, les économies réalisées sur le budget </w:t>
      </w:r>
      <w:r w:rsidR="00F252C6" w:rsidRPr="00A4333E">
        <w:rPr>
          <w:rFonts w:asciiTheme="minorHAnsi" w:eastAsia="Batang" w:hAnsiTheme="minorHAnsi" w:cs="Times New Roman"/>
          <w:sz w:val="22"/>
          <w:szCs w:val="22"/>
          <w:lang w:val="fr-FR"/>
        </w:rPr>
        <w:t>administratif</w:t>
      </w:r>
      <w:r w:rsidR="008F130C" w:rsidRPr="00A4333E">
        <w:rPr>
          <w:rFonts w:asciiTheme="minorHAnsi" w:eastAsia="Batang" w:hAnsiTheme="minorHAnsi" w:cs="Times New Roman"/>
          <w:sz w:val="22"/>
          <w:szCs w:val="22"/>
          <w:lang w:val="fr-FR"/>
        </w:rPr>
        <w:t xml:space="preserve"> devront être allouées chaque année sur la base des calculs réels. En effet, la Convention applique la nouvelle méthodologie de calcul des provisions pour </w:t>
      </w:r>
      <w:r w:rsidR="006D3270" w:rsidRPr="00A4333E">
        <w:rPr>
          <w:rFonts w:asciiTheme="minorHAnsi" w:eastAsia="Batang" w:hAnsiTheme="minorHAnsi" w:cs="Times New Roman"/>
          <w:sz w:val="22"/>
          <w:szCs w:val="22"/>
          <w:lang w:val="fr-FR"/>
        </w:rPr>
        <w:t xml:space="preserve">les arriérés de </w:t>
      </w:r>
      <w:r w:rsidR="008F130C" w:rsidRPr="00A4333E">
        <w:rPr>
          <w:rFonts w:asciiTheme="minorHAnsi" w:eastAsia="Batang" w:hAnsiTheme="minorHAnsi" w:cs="Times New Roman"/>
          <w:sz w:val="22"/>
          <w:szCs w:val="22"/>
          <w:lang w:val="fr-FR"/>
        </w:rPr>
        <w:lastRenderedPageBreak/>
        <w:t xml:space="preserve">contributions depuis juin 2019, suite à la demande de l'auditeur externe et à la </w:t>
      </w:r>
      <w:r w:rsidR="00F252C6" w:rsidRPr="00A4333E">
        <w:rPr>
          <w:rFonts w:asciiTheme="minorHAnsi" w:eastAsia="Batang" w:hAnsiTheme="minorHAnsi" w:cs="Times New Roman"/>
          <w:sz w:val="22"/>
          <w:szCs w:val="22"/>
          <w:lang w:val="fr-FR"/>
        </w:rPr>
        <w:t>D</w:t>
      </w:r>
      <w:r w:rsidR="008F130C" w:rsidRPr="00A4333E">
        <w:rPr>
          <w:rFonts w:asciiTheme="minorHAnsi" w:eastAsia="Batang" w:hAnsiTheme="minorHAnsi" w:cs="Times New Roman"/>
          <w:sz w:val="22"/>
          <w:szCs w:val="22"/>
          <w:lang w:val="fr-FR"/>
        </w:rPr>
        <w:t xml:space="preserve">écision SC57-39 du Comité permanent. Par le biais de la Décision SC59/2022-41 ii), le Comité permanent a approuvé l'affectation de l'excédent de 2021 </w:t>
      </w:r>
      <w:r w:rsidR="00F252C6" w:rsidRPr="00A4333E">
        <w:rPr>
          <w:rFonts w:asciiTheme="minorHAnsi" w:eastAsia="Batang" w:hAnsiTheme="minorHAnsi" w:cs="Times New Roman"/>
          <w:sz w:val="22"/>
          <w:szCs w:val="22"/>
          <w:lang w:val="fr-FR"/>
        </w:rPr>
        <w:t xml:space="preserve">d’un montant </w:t>
      </w:r>
      <w:r w:rsidR="008F130C" w:rsidRPr="00A4333E">
        <w:rPr>
          <w:rFonts w:asciiTheme="minorHAnsi" w:eastAsia="Batang" w:hAnsiTheme="minorHAnsi" w:cs="Times New Roman"/>
          <w:sz w:val="22"/>
          <w:szCs w:val="22"/>
          <w:lang w:val="fr-FR"/>
        </w:rPr>
        <w:t xml:space="preserve">de 360 000 CHF </w:t>
      </w:r>
      <w:r w:rsidR="00F252C6" w:rsidRPr="00A4333E">
        <w:rPr>
          <w:rFonts w:asciiTheme="minorHAnsi" w:eastAsia="Batang" w:hAnsiTheme="minorHAnsi" w:cs="Times New Roman"/>
          <w:sz w:val="22"/>
          <w:szCs w:val="22"/>
          <w:lang w:val="fr-FR"/>
        </w:rPr>
        <w:t>afin qu’il vienne grossir l</w:t>
      </w:r>
      <w:r w:rsidR="008F130C" w:rsidRPr="00A4333E">
        <w:rPr>
          <w:rFonts w:asciiTheme="minorHAnsi" w:eastAsia="Batang" w:hAnsiTheme="minorHAnsi" w:cs="Times New Roman"/>
          <w:sz w:val="22"/>
          <w:szCs w:val="22"/>
          <w:lang w:val="fr-FR"/>
        </w:rPr>
        <w:t xml:space="preserve">es provisions pour </w:t>
      </w:r>
      <w:r w:rsidR="006D3270" w:rsidRPr="00A4333E">
        <w:rPr>
          <w:rFonts w:asciiTheme="minorHAnsi" w:eastAsia="Batang" w:hAnsiTheme="minorHAnsi" w:cs="Times New Roman"/>
          <w:sz w:val="22"/>
          <w:szCs w:val="22"/>
          <w:lang w:val="fr-FR"/>
        </w:rPr>
        <w:t xml:space="preserve">les arriérés de </w:t>
      </w:r>
      <w:r w:rsidR="008F130C" w:rsidRPr="00A4333E">
        <w:rPr>
          <w:rFonts w:asciiTheme="minorHAnsi" w:eastAsia="Batang" w:hAnsiTheme="minorHAnsi" w:cs="Times New Roman"/>
          <w:sz w:val="22"/>
          <w:szCs w:val="22"/>
          <w:lang w:val="fr-FR"/>
        </w:rPr>
        <w:t xml:space="preserve">contributions au cours de la période triennale 2023-2025, à condition que toute </w:t>
      </w:r>
      <w:r w:rsidR="00F252C6" w:rsidRPr="00A4333E">
        <w:rPr>
          <w:rFonts w:asciiTheme="minorHAnsi" w:eastAsia="Batang" w:hAnsiTheme="minorHAnsi" w:cs="Times New Roman"/>
          <w:sz w:val="22"/>
          <w:szCs w:val="22"/>
          <w:lang w:val="fr-FR"/>
        </w:rPr>
        <w:t>somme</w:t>
      </w:r>
      <w:r w:rsidR="008F130C" w:rsidRPr="00A4333E">
        <w:rPr>
          <w:rFonts w:asciiTheme="minorHAnsi" w:eastAsia="Batang" w:hAnsiTheme="minorHAnsi" w:cs="Times New Roman"/>
          <w:sz w:val="22"/>
          <w:szCs w:val="22"/>
          <w:lang w:val="fr-FR"/>
        </w:rPr>
        <w:t xml:space="preserve"> non utilisée soit reversée à l'excédent pour une nouvelle affectation à la fin de chaque année de la période triennale</w:t>
      </w:r>
      <w:r w:rsidR="00F252C6" w:rsidRPr="00A4333E">
        <w:rPr>
          <w:rFonts w:asciiTheme="minorHAnsi" w:eastAsia="Batang" w:hAnsiTheme="minorHAnsi" w:cs="Times New Roman"/>
          <w:sz w:val="22"/>
          <w:szCs w:val="22"/>
          <w:lang w:val="fr-FR"/>
        </w:rPr>
        <w:t>.</w:t>
      </w:r>
    </w:p>
    <w:p w14:paraId="5C270169" w14:textId="77777777" w:rsidR="001F43AF" w:rsidRPr="00A4333E" w:rsidRDefault="001F43AF" w:rsidP="00933C52">
      <w:pPr>
        <w:pStyle w:val="MGfulltext"/>
        <w:spacing w:after="0"/>
        <w:ind w:left="850" w:hanging="425"/>
        <w:rPr>
          <w:rFonts w:asciiTheme="minorHAnsi" w:eastAsia="Batang" w:hAnsiTheme="minorHAnsi" w:cs="Times New Roman"/>
          <w:sz w:val="22"/>
          <w:szCs w:val="22"/>
          <w:lang w:val="fr-FR"/>
        </w:rPr>
      </w:pPr>
    </w:p>
    <w:p w14:paraId="3944992C" w14:textId="13055B7E" w:rsidR="00D4581F" w:rsidRPr="00A4333E" w:rsidRDefault="007F2DFF" w:rsidP="00933C52">
      <w:pPr>
        <w:pStyle w:val="MGfulltext"/>
        <w:spacing w:after="0"/>
        <w:ind w:left="850" w:hanging="425"/>
        <w:rPr>
          <w:rFonts w:asciiTheme="minorHAnsi" w:eastAsia="Batang" w:hAnsiTheme="minorHAnsi" w:cs="Times New Roman"/>
          <w:sz w:val="22"/>
          <w:szCs w:val="22"/>
          <w:lang w:val="fr-FR"/>
        </w:rPr>
      </w:pPr>
      <w:r w:rsidRPr="00A4333E">
        <w:rPr>
          <w:rFonts w:asciiTheme="minorHAnsi" w:eastAsia="Batang" w:hAnsiTheme="minorHAnsi" w:cs="Times New Roman"/>
          <w:sz w:val="22"/>
          <w:szCs w:val="22"/>
          <w:lang w:val="fr-FR"/>
        </w:rPr>
        <w:t>q</w:t>
      </w:r>
      <w:r w:rsidR="00933C52" w:rsidRPr="00A4333E">
        <w:rPr>
          <w:rFonts w:asciiTheme="minorHAnsi" w:eastAsia="Batang" w:hAnsiTheme="minorHAnsi" w:cs="Times New Roman"/>
          <w:sz w:val="22"/>
          <w:szCs w:val="22"/>
          <w:lang w:val="fr-FR"/>
        </w:rPr>
        <w:t>.</w:t>
      </w:r>
      <w:r w:rsidR="00933C52" w:rsidRPr="00A4333E">
        <w:rPr>
          <w:rFonts w:asciiTheme="minorHAnsi" w:eastAsia="Batang" w:hAnsiTheme="minorHAnsi" w:cs="Times New Roman"/>
          <w:sz w:val="22"/>
          <w:szCs w:val="22"/>
          <w:lang w:val="fr-FR"/>
        </w:rPr>
        <w:tab/>
      </w:r>
      <w:r w:rsidR="009F4FAE" w:rsidRPr="00A4333E">
        <w:rPr>
          <w:rFonts w:asciiTheme="minorHAnsi" w:eastAsia="Batang" w:hAnsiTheme="minorHAnsi" w:cs="Times New Roman"/>
          <w:sz w:val="22"/>
          <w:szCs w:val="22"/>
          <w:lang w:val="fr-FR"/>
        </w:rPr>
        <w:t xml:space="preserve">Aucun financement n'est prévu dans le budget administratif pour les Missions consultatives Ramsar, les </w:t>
      </w:r>
      <w:r w:rsidR="00FC7890">
        <w:rPr>
          <w:rFonts w:asciiTheme="minorHAnsi" w:eastAsia="Batang" w:hAnsiTheme="minorHAnsi" w:cs="Times New Roman"/>
          <w:sz w:val="22"/>
          <w:szCs w:val="22"/>
          <w:lang w:val="fr-FR"/>
        </w:rPr>
        <w:t>s</w:t>
      </w:r>
      <w:r w:rsidR="009F4FAE" w:rsidRPr="00A4333E">
        <w:rPr>
          <w:rFonts w:asciiTheme="minorHAnsi" w:eastAsia="Batang" w:hAnsiTheme="minorHAnsi" w:cs="Times New Roman"/>
          <w:sz w:val="22"/>
          <w:szCs w:val="22"/>
          <w:lang w:val="fr-FR"/>
        </w:rPr>
        <w:t>essions de la Conférence des Parties contractantes ou les réunions régionales pré-COP, comme c'était le cas pour la période 2019-2021.</w:t>
      </w:r>
    </w:p>
    <w:p w14:paraId="17B4FA03" w14:textId="77777777" w:rsidR="00D4581F" w:rsidRPr="00A4333E" w:rsidRDefault="00D4581F" w:rsidP="00D4581F">
      <w:pPr>
        <w:pStyle w:val="ListParagraph"/>
        <w:rPr>
          <w:rFonts w:asciiTheme="minorHAnsi" w:hAnsiTheme="minorHAnsi"/>
          <w:lang w:val="fr-FR"/>
        </w:rPr>
      </w:pPr>
    </w:p>
    <w:p w14:paraId="52C8A5CC" w14:textId="70783A5A" w:rsidR="00363CF1" w:rsidRPr="00A4333E" w:rsidRDefault="00363CF1" w:rsidP="00A8332C">
      <w:pPr>
        <w:pStyle w:val="MGfulltext"/>
        <w:keepNext/>
        <w:spacing w:after="0"/>
        <w:rPr>
          <w:rFonts w:asciiTheme="minorHAnsi" w:eastAsia="Batang" w:hAnsiTheme="minorHAnsi" w:cs="Times New Roman"/>
          <w:sz w:val="22"/>
          <w:szCs w:val="22"/>
          <w:u w:val="single"/>
          <w:lang w:val="fr-FR"/>
        </w:rPr>
      </w:pPr>
      <w:r w:rsidRPr="00A4333E">
        <w:rPr>
          <w:rFonts w:asciiTheme="minorHAnsi" w:eastAsia="Batang" w:hAnsiTheme="minorHAnsi" w:cs="Times New Roman"/>
          <w:sz w:val="22"/>
          <w:szCs w:val="22"/>
          <w:u w:val="single"/>
          <w:lang w:val="fr-FR"/>
        </w:rPr>
        <w:t xml:space="preserve">Structure </w:t>
      </w:r>
      <w:r w:rsidR="009F4FAE" w:rsidRPr="00A4333E">
        <w:rPr>
          <w:rFonts w:asciiTheme="minorHAnsi" w:eastAsia="Batang" w:hAnsiTheme="minorHAnsi" w:cs="Times New Roman"/>
          <w:sz w:val="22"/>
          <w:szCs w:val="22"/>
          <w:u w:val="single"/>
          <w:lang w:val="fr-FR"/>
        </w:rPr>
        <w:t>du budget administrati</w:t>
      </w:r>
      <w:r w:rsidR="00792995" w:rsidRPr="00A4333E">
        <w:rPr>
          <w:rFonts w:asciiTheme="minorHAnsi" w:eastAsia="Batang" w:hAnsiTheme="minorHAnsi" w:cs="Times New Roman"/>
          <w:sz w:val="22"/>
          <w:szCs w:val="22"/>
          <w:u w:val="single"/>
          <w:lang w:val="fr-FR"/>
        </w:rPr>
        <w:t>f</w:t>
      </w:r>
      <w:r w:rsidRPr="00A4333E">
        <w:rPr>
          <w:rFonts w:asciiTheme="minorHAnsi" w:eastAsia="Batang" w:hAnsiTheme="minorHAnsi" w:cs="Times New Roman"/>
          <w:sz w:val="22"/>
          <w:szCs w:val="22"/>
          <w:u w:val="single"/>
          <w:lang w:val="fr-FR"/>
        </w:rPr>
        <w:t xml:space="preserve"> </w:t>
      </w:r>
      <w:r w:rsidR="00792995" w:rsidRPr="00A4333E">
        <w:rPr>
          <w:rFonts w:asciiTheme="minorHAnsi" w:eastAsia="Batang" w:hAnsiTheme="minorHAnsi" w:cs="Times New Roman"/>
          <w:sz w:val="22"/>
          <w:szCs w:val="22"/>
          <w:u w:val="single"/>
          <w:lang w:val="fr-FR"/>
        </w:rPr>
        <w:t>proposé pour la période</w:t>
      </w:r>
      <w:r w:rsidR="0020050E" w:rsidRPr="00A4333E">
        <w:rPr>
          <w:rFonts w:asciiTheme="minorHAnsi" w:eastAsia="Batang" w:hAnsiTheme="minorHAnsi" w:cs="Times New Roman"/>
          <w:sz w:val="22"/>
          <w:szCs w:val="22"/>
          <w:u w:val="single"/>
          <w:lang w:val="fr-FR"/>
        </w:rPr>
        <w:t xml:space="preserve"> </w:t>
      </w:r>
      <w:r w:rsidR="006119BD" w:rsidRPr="00A4333E">
        <w:rPr>
          <w:rFonts w:asciiTheme="minorHAnsi" w:eastAsia="Batang" w:hAnsiTheme="minorHAnsi" w:cs="Times New Roman"/>
          <w:sz w:val="22"/>
          <w:szCs w:val="22"/>
          <w:u w:val="single"/>
          <w:lang w:val="fr-FR"/>
        </w:rPr>
        <w:t>2023-2025</w:t>
      </w:r>
    </w:p>
    <w:p w14:paraId="768D62A4" w14:textId="77777777" w:rsidR="00363CF1" w:rsidRPr="00A4333E" w:rsidRDefault="00363CF1" w:rsidP="00A8332C">
      <w:pPr>
        <w:pStyle w:val="MGfulltext"/>
        <w:keepNext/>
        <w:spacing w:after="0"/>
        <w:ind w:left="425" w:hanging="425"/>
        <w:rPr>
          <w:rFonts w:asciiTheme="minorHAnsi" w:eastAsia="Batang" w:hAnsiTheme="minorHAnsi" w:cs="Times New Roman"/>
          <w:sz w:val="22"/>
          <w:szCs w:val="22"/>
          <w:lang w:val="fr-FR"/>
        </w:rPr>
      </w:pPr>
    </w:p>
    <w:p w14:paraId="290E1E1F" w14:textId="25194BDC" w:rsidR="00363CF1" w:rsidRPr="00A4333E" w:rsidRDefault="003231A5" w:rsidP="00C77A51">
      <w:pPr>
        <w:pStyle w:val="MGfulltext"/>
        <w:spacing w:after="0"/>
        <w:ind w:left="425" w:hanging="425"/>
        <w:rPr>
          <w:rFonts w:asciiTheme="minorHAnsi" w:eastAsia="Batang" w:hAnsiTheme="minorHAnsi" w:cs="Times New Roman"/>
          <w:sz w:val="22"/>
          <w:szCs w:val="22"/>
          <w:lang w:val="fr-FR"/>
        </w:rPr>
      </w:pPr>
      <w:r w:rsidRPr="00A4333E">
        <w:rPr>
          <w:rFonts w:asciiTheme="minorHAnsi" w:eastAsia="Batang" w:hAnsiTheme="minorHAnsi" w:cs="Times New Roman"/>
          <w:sz w:val="22"/>
          <w:szCs w:val="22"/>
          <w:lang w:val="fr-FR"/>
        </w:rPr>
        <w:t>21</w:t>
      </w:r>
      <w:r w:rsidR="00C77A51" w:rsidRPr="00A4333E">
        <w:rPr>
          <w:rFonts w:asciiTheme="minorHAnsi" w:eastAsia="Batang" w:hAnsiTheme="minorHAnsi" w:cs="Times New Roman"/>
          <w:sz w:val="22"/>
          <w:szCs w:val="22"/>
          <w:lang w:val="fr-FR"/>
        </w:rPr>
        <w:t>.</w:t>
      </w:r>
      <w:r w:rsidR="00C77A51" w:rsidRPr="00A4333E">
        <w:rPr>
          <w:rFonts w:asciiTheme="minorHAnsi" w:eastAsia="Batang" w:hAnsiTheme="minorHAnsi" w:cs="Times New Roman"/>
          <w:sz w:val="22"/>
          <w:szCs w:val="22"/>
          <w:lang w:val="fr-FR"/>
        </w:rPr>
        <w:tab/>
      </w:r>
      <w:r w:rsidR="001744EC" w:rsidRPr="00A4333E">
        <w:rPr>
          <w:rFonts w:asciiTheme="minorHAnsi" w:eastAsia="Batang" w:hAnsiTheme="minorHAnsi" w:cs="Times New Roman"/>
          <w:sz w:val="22"/>
          <w:szCs w:val="22"/>
          <w:lang w:val="fr-FR"/>
        </w:rPr>
        <w:t>Pour conserver l'approche actuelle, montrant les dépenses pour chaque département ou catégorie, le Secrétariat propose de conserver la même structure budgétaire générale que celle de la période triennale précédente.</w:t>
      </w:r>
    </w:p>
    <w:p w14:paraId="1DA65E82" w14:textId="77777777" w:rsidR="00363CF1" w:rsidRPr="00A4333E" w:rsidRDefault="00363CF1" w:rsidP="00363CF1">
      <w:pPr>
        <w:pStyle w:val="MGfulltext"/>
        <w:spacing w:after="0"/>
        <w:ind w:left="425" w:hanging="425"/>
        <w:rPr>
          <w:rFonts w:asciiTheme="minorHAnsi" w:eastAsia="Batang" w:hAnsiTheme="minorHAnsi" w:cs="Times New Roman"/>
          <w:sz w:val="22"/>
          <w:szCs w:val="22"/>
          <w:lang w:val="fr-FR"/>
        </w:rPr>
      </w:pPr>
    </w:p>
    <w:p w14:paraId="12847380" w14:textId="059F8775" w:rsidR="00363CF1" w:rsidRPr="00A4333E" w:rsidRDefault="003231A5" w:rsidP="00C77A51">
      <w:pPr>
        <w:pStyle w:val="MGfulltext"/>
        <w:spacing w:after="0"/>
        <w:ind w:left="425" w:hanging="425"/>
        <w:rPr>
          <w:rFonts w:asciiTheme="minorHAnsi" w:eastAsia="Batang" w:hAnsiTheme="minorHAnsi" w:cs="Times New Roman"/>
          <w:sz w:val="22"/>
          <w:szCs w:val="22"/>
          <w:lang w:val="fr-FR"/>
        </w:rPr>
      </w:pPr>
      <w:r w:rsidRPr="00A4333E">
        <w:rPr>
          <w:rFonts w:asciiTheme="minorHAnsi" w:eastAsia="Batang" w:hAnsiTheme="minorHAnsi" w:cs="Times New Roman"/>
          <w:sz w:val="22"/>
          <w:szCs w:val="22"/>
          <w:lang w:val="fr-FR"/>
        </w:rPr>
        <w:t>22</w:t>
      </w:r>
      <w:r w:rsidR="00C77A51" w:rsidRPr="00A4333E">
        <w:rPr>
          <w:rFonts w:asciiTheme="minorHAnsi" w:eastAsia="Batang" w:hAnsiTheme="minorHAnsi" w:cs="Times New Roman"/>
          <w:sz w:val="22"/>
          <w:szCs w:val="22"/>
          <w:lang w:val="fr-FR"/>
        </w:rPr>
        <w:t>.</w:t>
      </w:r>
      <w:r w:rsidR="00C77A51" w:rsidRPr="00A4333E">
        <w:rPr>
          <w:rFonts w:asciiTheme="minorHAnsi" w:eastAsia="Batang" w:hAnsiTheme="minorHAnsi" w:cs="Times New Roman"/>
          <w:sz w:val="22"/>
          <w:szCs w:val="22"/>
          <w:lang w:val="fr-FR"/>
        </w:rPr>
        <w:tab/>
      </w:r>
      <w:r w:rsidR="001744EC" w:rsidRPr="00A4333E">
        <w:rPr>
          <w:rFonts w:asciiTheme="minorHAnsi" w:eastAsia="Batang" w:hAnsiTheme="minorHAnsi" w:cs="Times New Roman"/>
          <w:sz w:val="22"/>
          <w:szCs w:val="22"/>
          <w:lang w:val="fr-FR"/>
        </w:rPr>
        <w:t>Les principaux changements de présentation résultant des décisions du Comité permanent sont</w:t>
      </w:r>
      <w:r w:rsidR="00FC7890">
        <w:rPr>
          <w:rFonts w:asciiTheme="minorHAnsi" w:eastAsia="Batang" w:hAnsiTheme="minorHAnsi" w:cs="Times New Roman"/>
          <w:sz w:val="22"/>
          <w:szCs w:val="22"/>
          <w:lang w:val="fr-FR"/>
        </w:rPr>
        <w:t> :</w:t>
      </w:r>
    </w:p>
    <w:p w14:paraId="7E4FB9E8" w14:textId="77777777" w:rsidR="00363CF1" w:rsidRPr="00A4333E" w:rsidRDefault="00363CF1" w:rsidP="00363CF1">
      <w:pPr>
        <w:pStyle w:val="MGfulltext"/>
        <w:spacing w:after="0"/>
        <w:ind w:left="850" w:hanging="425"/>
        <w:rPr>
          <w:rFonts w:asciiTheme="minorHAnsi" w:eastAsia="Batang" w:hAnsiTheme="minorHAnsi" w:cs="Times New Roman"/>
          <w:sz w:val="22"/>
          <w:szCs w:val="22"/>
          <w:lang w:val="fr-FR"/>
        </w:rPr>
      </w:pPr>
    </w:p>
    <w:p w14:paraId="539BF343" w14:textId="7DD4FAE2" w:rsidR="00363CF1" w:rsidRPr="00A4333E" w:rsidRDefault="00363CF1" w:rsidP="00C77A51">
      <w:pPr>
        <w:ind w:left="850"/>
        <w:rPr>
          <w:rFonts w:asciiTheme="minorHAnsi" w:eastAsia="Batang" w:hAnsiTheme="minorHAnsi"/>
          <w:bCs/>
          <w:lang w:val="fr-FR" w:eastAsia="ko-KR"/>
        </w:rPr>
      </w:pPr>
      <w:r w:rsidRPr="00A4333E">
        <w:rPr>
          <w:rFonts w:asciiTheme="minorHAnsi" w:eastAsia="Batang" w:hAnsiTheme="minorHAnsi"/>
          <w:bCs/>
          <w:lang w:val="fr-FR" w:eastAsia="ko-KR"/>
        </w:rPr>
        <w:t>a.</w:t>
      </w:r>
      <w:r w:rsidRPr="00A4333E">
        <w:rPr>
          <w:rFonts w:asciiTheme="minorHAnsi" w:eastAsia="Batang" w:hAnsiTheme="minorHAnsi"/>
          <w:bCs/>
          <w:lang w:val="fr-FR" w:eastAsia="ko-KR"/>
        </w:rPr>
        <w:tab/>
      </w:r>
      <w:r w:rsidR="001744EC" w:rsidRPr="00A4333E">
        <w:rPr>
          <w:rFonts w:asciiTheme="minorHAnsi" w:eastAsia="Batang" w:hAnsiTheme="minorHAnsi"/>
          <w:bCs/>
          <w:lang w:val="fr-FR" w:eastAsia="ko-KR"/>
        </w:rPr>
        <w:t>Comme expliqué ci-dessus, les provisions ont été séparées en deux lignes budgétaires, 1) les provisions pour le personnel, et 2) les provisions pour les contributions exceptionnelles, afin de permettre une meilleure gestion et une plus grande transparence dans l'utilisation des provisions (conformément à la décision SC58-31 du Comité permanent) ;</w:t>
      </w:r>
    </w:p>
    <w:p w14:paraId="20D04674" w14:textId="77777777" w:rsidR="00363CF1" w:rsidRPr="00A4333E" w:rsidRDefault="00363CF1" w:rsidP="00C77A51">
      <w:pPr>
        <w:ind w:left="850"/>
        <w:rPr>
          <w:rFonts w:asciiTheme="minorHAnsi" w:eastAsia="Batang" w:hAnsiTheme="minorHAnsi"/>
          <w:bCs/>
          <w:lang w:val="fr-FR" w:eastAsia="ko-KR"/>
        </w:rPr>
      </w:pPr>
    </w:p>
    <w:p w14:paraId="712BA64E" w14:textId="2909A191" w:rsidR="00363CF1" w:rsidRPr="00A4333E" w:rsidRDefault="00363CF1" w:rsidP="00F50F8D">
      <w:pPr>
        <w:ind w:left="850"/>
        <w:rPr>
          <w:rFonts w:asciiTheme="minorHAnsi" w:eastAsia="Batang" w:hAnsiTheme="minorHAnsi"/>
          <w:bCs/>
          <w:lang w:val="fr-FR" w:eastAsia="ko-KR"/>
        </w:rPr>
      </w:pPr>
      <w:r w:rsidRPr="00A4333E">
        <w:rPr>
          <w:rFonts w:asciiTheme="minorHAnsi" w:eastAsia="Batang" w:hAnsiTheme="minorHAnsi"/>
          <w:bCs/>
          <w:lang w:val="fr-FR" w:eastAsia="ko-KR"/>
        </w:rPr>
        <w:t>b.</w:t>
      </w:r>
      <w:r w:rsidRPr="00A4333E">
        <w:rPr>
          <w:rFonts w:asciiTheme="minorHAnsi" w:eastAsia="Batang" w:hAnsiTheme="minorHAnsi"/>
          <w:bCs/>
          <w:lang w:val="fr-FR" w:eastAsia="ko-KR"/>
        </w:rPr>
        <w:tab/>
      </w:r>
      <w:r w:rsidR="007D49C3" w:rsidRPr="00A4333E">
        <w:rPr>
          <w:rFonts w:asciiTheme="minorHAnsi" w:eastAsia="Batang" w:hAnsiTheme="minorHAnsi"/>
          <w:bCs/>
          <w:lang w:val="fr-FR" w:eastAsia="ko-KR"/>
        </w:rPr>
        <w:t>La ligne budgétaire fusionnée « Salaires, charges sociales et autres prestations » comprend les « autres prestations » pour chaque domaine budgétaire, reconnaissant que ce changement ne reflète pas un changement des niveaux de financement (conformément à la Décision SC59-27).</w:t>
      </w:r>
    </w:p>
    <w:p w14:paraId="4CF2074E" w14:textId="77777777" w:rsidR="00D10585" w:rsidRPr="00A4333E" w:rsidRDefault="00D10585" w:rsidP="00C77A51">
      <w:pPr>
        <w:ind w:left="850"/>
        <w:rPr>
          <w:rFonts w:asciiTheme="minorHAnsi" w:eastAsia="Batang" w:hAnsiTheme="minorHAnsi"/>
          <w:bCs/>
          <w:lang w:val="fr-FR" w:eastAsia="ko-KR"/>
        </w:rPr>
      </w:pPr>
    </w:p>
    <w:p w14:paraId="5CE28A07" w14:textId="216E3271" w:rsidR="00D314E5" w:rsidRPr="00A4333E" w:rsidRDefault="000911E7" w:rsidP="00D314E5">
      <w:pPr>
        <w:rPr>
          <w:rFonts w:asciiTheme="minorHAnsi" w:eastAsia="Batang" w:hAnsiTheme="minorHAnsi"/>
          <w:bCs/>
          <w:u w:val="single"/>
          <w:lang w:val="fr-FR" w:eastAsia="ko-KR"/>
        </w:rPr>
      </w:pPr>
      <w:r w:rsidRPr="00A4333E">
        <w:rPr>
          <w:rFonts w:asciiTheme="minorHAnsi" w:eastAsia="Batang" w:hAnsiTheme="minorHAnsi"/>
          <w:bCs/>
          <w:u w:val="single"/>
          <w:lang w:val="fr-FR" w:eastAsia="ko-KR"/>
        </w:rPr>
        <w:t>État des</w:t>
      </w:r>
      <w:r w:rsidR="00D314E5" w:rsidRPr="00A4333E">
        <w:rPr>
          <w:rFonts w:asciiTheme="minorHAnsi" w:eastAsia="Batang" w:hAnsiTheme="minorHAnsi"/>
          <w:bCs/>
          <w:u w:val="single"/>
          <w:lang w:val="fr-FR" w:eastAsia="ko-KR"/>
        </w:rPr>
        <w:t xml:space="preserve"> contributions</w:t>
      </w:r>
    </w:p>
    <w:p w14:paraId="79D61E68" w14:textId="77777777" w:rsidR="002D300B" w:rsidRPr="00A4333E" w:rsidRDefault="002D300B" w:rsidP="002D300B">
      <w:pPr>
        <w:pStyle w:val="ListParagraph"/>
        <w:ind w:left="426"/>
        <w:rPr>
          <w:rFonts w:asciiTheme="minorHAnsi" w:eastAsia="Batang" w:hAnsiTheme="minorHAnsi"/>
          <w:bCs/>
          <w:lang w:val="fr-FR" w:eastAsia="ko-KR"/>
        </w:rPr>
      </w:pPr>
    </w:p>
    <w:p w14:paraId="2AD7B3FC" w14:textId="00D475F3" w:rsidR="0095528F" w:rsidRPr="00A4333E" w:rsidRDefault="003231A5" w:rsidP="0095528F">
      <w:pPr>
        <w:rPr>
          <w:rFonts w:asciiTheme="minorHAnsi" w:eastAsia="Batang" w:hAnsiTheme="minorHAnsi"/>
          <w:lang w:val="fr-FR"/>
        </w:rPr>
      </w:pPr>
      <w:r w:rsidRPr="00A4333E">
        <w:rPr>
          <w:rFonts w:asciiTheme="minorHAnsi" w:eastAsia="Batang" w:hAnsiTheme="minorHAnsi"/>
          <w:lang w:val="fr-FR"/>
        </w:rPr>
        <w:t>23</w:t>
      </w:r>
      <w:r w:rsidR="000F0539" w:rsidRPr="00A4333E">
        <w:rPr>
          <w:rFonts w:asciiTheme="minorHAnsi" w:eastAsia="Batang" w:hAnsiTheme="minorHAnsi"/>
          <w:lang w:val="fr-FR"/>
        </w:rPr>
        <w:t>.</w:t>
      </w:r>
      <w:r w:rsidR="000F0539" w:rsidRPr="00A4333E">
        <w:rPr>
          <w:rFonts w:asciiTheme="minorHAnsi" w:eastAsia="Batang" w:hAnsiTheme="minorHAnsi"/>
          <w:lang w:val="fr-FR"/>
        </w:rPr>
        <w:tab/>
      </w:r>
      <w:r w:rsidR="0095528F" w:rsidRPr="00A4333E">
        <w:rPr>
          <w:rFonts w:asciiTheme="minorHAnsi" w:eastAsia="Batang" w:hAnsiTheme="minorHAnsi"/>
          <w:lang w:val="fr-FR"/>
        </w:rPr>
        <w:t xml:space="preserve">L'engagement des Parties contractantes à verser les contributions </w:t>
      </w:r>
      <w:r w:rsidR="006D3270" w:rsidRPr="00A4333E">
        <w:rPr>
          <w:rFonts w:asciiTheme="minorHAnsi" w:eastAsia="Batang" w:hAnsiTheme="minorHAnsi"/>
          <w:lang w:val="fr-FR"/>
        </w:rPr>
        <w:t>dues</w:t>
      </w:r>
      <w:r w:rsidR="0095528F" w:rsidRPr="00A4333E">
        <w:rPr>
          <w:rFonts w:asciiTheme="minorHAnsi" w:eastAsia="Batang" w:hAnsiTheme="minorHAnsi"/>
          <w:lang w:val="fr-FR"/>
        </w:rPr>
        <w:t xml:space="preserve"> pourrait dégager des ressources supplémentaires substantielles. Au 31 décembre 2021, le montant des </w:t>
      </w:r>
      <w:r w:rsidR="006D3270" w:rsidRPr="00A4333E">
        <w:rPr>
          <w:rFonts w:asciiTheme="minorHAnsi" w:eastAsia="Batang" w:hAnsiTheme="minorHAnsi"/>
          <w:lang w:val="fr-FR"/>
        </w:rPr>
        <w:t xml:space="preserve">arriérés de </w:t>
      </w:r>
      <w:r w:rsidR="0095528F" w:rsidRPr="00A4333E">
        <w:rPr>
          <w:rFonts w:asciiTheme="minorHAnsi" w:eastAsia="Batang" w:hAnsiTheme="minorHAnsi"/>
          <w:lang w:val="fr-FR"/>
        </w:rPr>
        <w:t xml:space="preserve">contributions pour 2021 et les années précédentes s'élevait à plus de 1 536 000 CHF, ce qui représente 30 % des revenus de cette année, mais constitue une diminution de 8,2 % par rapport à 2020. De plus amples informations sur les </w:t>
      </w:r>
      <w:r w:rsidR="006D3270" w:rsidRPr="00A4333E">
        <w:rPr>
          <w:rFonts w:asciiTheme="minorHAnsi" w:eastAsia="Batang" w:hAnsiTheme="minorHAnsi"/>
          <w:lang w:val="fr-FR"/>
        </w:rPr>
        <w:t xml:space="preserve">arriérés de </w:t>
      </w:r>
      <w:r w:rsidR="0095528F" w:rsidRPr="00A4333E">
        <w:rPr>
          <w:rFonts w:asciiTheme="minorHAnsi" w:eastAsia="Batang" w:hAnsiTheme="minorHAnsi"/>
          <w:lang w:val="fr-FR"/>
        </w:rPr>
        <w:t>contributions au 31 décembre 2021 figurent à l'</w:t>
      </w:r>
      <w:r w:rsidR="00B865B6" w:rsidRPr="00A4333E">
        <w:rPr>
          <w:rFonts w:asciiTheme="minorHAnsi" w:eastAsia="Batang" w:hAnsiTheme="minorHAnsi"/>
          <w:lang w:val="fr-FR"/>
        </w:rPr>
        <w:t>A</w:t>
      </w:r>
      <w:r w:rsidR="0095528F" w:rsidRPr="00A4333E">
        <w:rPr>
          <w:rFonts w:asciiTheme="minorHAnsi" w:eastAsia="Batang" w:hAnsiTheme="minorHAnsi"/>
          <w:lang w:val="fr-FR"/>
        </w:rPr>
        <w:t xml:space="preserve">nnexe 3 ci-dessous. Au 31 juillet 2022, le montant dû était de 1 266 </w:t>
      </w:r>
      <w:r w:rsidR="00B865B6" w:rsidRPr="00A4333E">
        <w:rPr>
          <w:rFonts w:asciiTheme="minorHAnsi" w:eastAsia="Batang" w:hAnsiTheme="minorHAnsi"/>
          <w:lang w:val="fr-FR"/>
        </w:rPr>
        <w:t xml:space="preserve">000 </w:t>
      </w:r>
      <w:r w:rsidR="0095528F" w:rsidRPr="00A4333E">
        <w:rPr>
          <w:rFonts w:asciiTheme="minorHAnsi" w:eastAsia="Batang" w:hAnsiTheme="minorHAnsi"/>
          <w:lang w:val="fr-FR"/>
        </w:rPr>
        <w:t xml:space="preserve">CHF pour 2021 et les années antérieures et de 1 938 </w:t>
      </w:r>
      <w:r w:rsidR="00B865B6" w:rsidRPr="00A4333E">
        <w:rPr>
          <w:rFonts w:asciiTheme="minorHAnsi" w:eastAsia="Batang" w:hAnsiTheme="minorHAnsi"/>
          <w:lang w:val="fr-FR"/>
        </w:rPr>
        <w:t xml:space="preserve">000 </w:t>
      </w:r>
      <w:r w:rsidR="0095528F" w:rsidRPr="00A4333E">
        <w:rPr>
          <w:rFonts w:asciiTheme="minorHAnsi" w:eastAsia="Batang" w:hAnsiTheme="minorHAnsi"/>
          <w:lang w:val="fr-FR"/>
        </w:rPr>
        <w:t xml:space="preserve">CHF pour 2022 (sur un total de 4 844 </w:t>
      </w:r>
      <w:r w:rsidR="00B865B6" w:rsidRPr="00A4333E">
        <w:rPr>
          <w:rFonts w:asciiTheme="minorHAnsi" w:eastAsia="Batang" w:hAnsiTheme="minorHAnsi"/>
          <w:lang w:val="fr-FR"/>
        </w:rPr>
        <w:t xml:space="preserve">000 </w:t>
      </w:r>
      <w:r w:rsidR="0095528F" w:rsidRPr="00A4333E">
        <w:rPr>
          <w:rFonts w:asciiTheme="minorHAnsi" w:eastAsia="Batang" w:hAnsiTheme="minorHAnsi"/>
          <w:lang w:val="fr-FR"/>
        </w:rPr>
        <w:t>CHF attendu pour 2022). À la même date, 201</w:t>
      </w:r>
      <w:r w:rsidR="00B865B6" w:rsidRPr="00A4333E">
        <w:rPr>
          <w:rFonts w:asciiTheme="minorHAnsi" w:eastAsia="Batang" w:hAnsiTheme="minorHAnsi"/>
          <w:lang w:val="fr-FR"/>
        </w:rPr>
        <w:t xml:space="preserve"> 000 CHF</w:t>
      </w:r>
      <w:r w:rsidR="0095528F" w:rsidRPr="00A4333E">
        <w:rPr>
          <w:rFonts w:asciiTheme="minorHAnsi" w:eastAsia="Batang" w:hAnsiTheme="minorHAnsi"/>
          <w:lang w:val="fr-FR"/>
        </w:rPr>
        <w:t xml:space="preserve"> avaient été </w:t>
      </w:r>
      <w:r w:rsidR="00B865B6" w:rsidRPr="00A4333E">
        <w:rPr>
          <w:rFonts w:asciiTheme="minorHAnsi" w:eastAsia="Batang" w:hAnsiTheme="minorHAnsi"/>
          <w:lang w:val="fr-FR"/>
        </w:rPr>
        <w:t>versés</w:t>
      </w:r>
      <w:r w:rsidR="0095528F" w:rsidRPr="00A4333E">
        <w:rPr>
          <w:rFonts w:asciiTheme="minorHAnsi" w:eastAsia="Batang" w:hAnsiTheme="minorHAnsi"/>
          <w:lang w:val="fr-FR"/>
        </w:rPr>
        <w:t xml:space="preserve"> pour les années futures. L'état actualisé des contributions peut être consulté sur le site Web de Ramsar à l'adresse suivante : </w:t>
      </w:r>
    </w:p>
    <w:p w14:paraId="1C3E0261" w14:textId="6606F518" w:rsidR="00A8332C" w:rsidRPr="00A4333E" w:rsidRDefault="0074795C" w:rsidP="0095528F">
      <w:pPr>
        <w:ind w:firstLine="0"/>
        <w:rPr>
          <w:rFonts w:asciiTheme="minorHAnsi" w:eastAsia="Batang" w:hAnsiTheme="minorHAnsi"/>
          <w:bCs/>
          <w:lang w:val="fr-FR" w:eastAsia="ko-KR"/>
        </w:rPr>
      </w:pPr>
      <w:hyperlink r:id="rId11" w:history="1">
        <w:r w:rsidR="003F50B6" w:rsidRPr="00D92235">
          <w:rPr>
            <w:rStyle w:val="Hyperlink"/>
            <w:lang w:val="fr-FR"/>
          </w:rPr>
          <w:t>https://www.ramsar.org/fr/document/convention-on-wetlands-monthly-status-of-assessed-contributions</w:t>
        </w:r>
      </w:hyperlink>
      <w:r w:rsidR="00CD1752" w:rsidRPr="00A4333E">
        <w:rPr>
          <w:rFonts w:asciiTheme="minorHAnsi" w:eastAsia="Batang" w:hAnsiTheme="minorHAnsi"/>
          <w:bCs/>
          <w:lang w:val="fr-FR" w:eastAsia="ko-KR"/>
        </w:rPr>
        <w:t xml:space="preserve">. </w:t>
      </w:r>
    </w:p>
    <w:p w14:paraId="6A1A075D" w14:textId="77777777" w:rsidR="006412FD" w:rsidRPr="00A4333E" w:rsidRDefault="006412FD" w:rsidP="000F0539">
      <w:pPr>
        <w:rPr>
          <w:rFonts w:cs="Arial"/>
          <w:b/>
          <w:sz w:val="24"/>
          <w:szCs w:val="24"/>
          <w:lang w:val="fr-FR"/>
        </w:rPr>
      </w:pPr>
    </w:p>
    <w:p w14:paraId="51EEDFB3" w14:textId="3AAA1B57" w:rsidR="006412FD" w:rsidRPr="00A4333E" w:rsidRDefault="003231A5" w:rsidP="00B27DC2">
      <w:pPr>
        <w:rPr>
          <w:rFonts w:asciiTheme="minorHAnsi" w:eastAsia="Batang" w:hAnsiTheme="minorHAnsi"/>
          <w:lang w:val="fr-FR"/>
        </w:rPr>
      </w:pPr>
      <w:r w:rsidRPr="00A4333E">
        <w:rPr>
          <w:rFonts w:asciiTheme="minorHAnsi" w:eastAsia="Batang" w:hAnsiTheme="minorHAnsi"/>
          <w:lang w:val="fr-FR"/>
        </w:rPr>
        <w:t>24</w:t>
      </w:r>
      <w:r w:rsidR="00B27DC2" w:rsidRPr="00A4333E">
        <w:rPr>
          <w:rFonts w:asciiTheme="minorHAnsi" w:eastAsia="Batang" w:hAnsiTheme="minorHAnsi"/>
          <w:lang w:val="fr-FR"/>
        </w:rPr>
        <w:t>.</w:t>
      </w:r>
      <w:r w:rsidR="00B27DC2" w:rsidRPr="00A4333E">
        <w:rPr>
          <w:rFonts w:asciiTheme="minorHAnsi" w:eastAsia="Batang" w:hAnsiTheme="minorHAnsi"/>
          <w:lang w:val="fr-FR"/>
        </w:rPr>
        <w:tab/>
      </w:r>
      <w:r w:rsidR="00B865B6" w:rsidRPr="00A4333E">
        <w:rPr>
          <w:rFonts w:asciiTheme="minorHAnsi" w:eastAsia="Batang" w:hAnsiTheme="minorHAnsi"/>
          <w:lang w:val="fr-FR"/>
        </w:rPr>
        <w:t>Lors de la 59</w:t>
      </w:r>
      <w:r w:rsidR="00B865B6" w:rsidRPr="00A4333E">
        <w:rPr>
          <w:rFonts w:asciiTheme="minorHAnsi" w:eastAsia="Batang" w:hAnsiTheme="minorHAnsi"/>
          <w:vertAlign w:val="superscript"/>
          <w:lang w:val="fr-FR"/>
        </w:rPr>
        <w:t>e</w:t>
      </w:r>
      <w:r w:rsidR="00B865B6" w:rsidRPr="00A4333E">
        <w:rPr>
          <w:rFonts w:asciiTheme="minorHAnsi" w:eastAsia="Batang" w:hAnsiTheme="minorHAnsi"/>
          <w:lang w:val="fr-FR"/>
        </w:rPr>
        <w:t xml:space="preserve"> Réunion du Comité permanent SC59/2022, le Sous-groupe sur les finances s'est félicité de la diminution du montant des </w:t>
      </w:r>
      <w:r w:rsidR="00D213FB" w:rsidRPr="00A4333E">
        <w:rPr>
          <w:rFonts w:asciiTheme="minorHAnsi" w:eastAsia="Batang" w:hAnsiTheme="minorHAnsi"/>
          <w:lang w:val="fr-FR"/>
        </w:rPr>
        <w:t xml:space="preserve">arriérés de </w:t>
      </w:r>
      <w:r w:rsidR="00B865B6" w:rsidRPr="00A4333E">
        <w:rPr>
          <w:rFonts w:asciiTheme="minorHAnsi" w:eastAsia="Batang" w:hAnsiTheme="minorHAnsi"/>
          <w:lang w:val="fr-FR"/>
        </w:rPr>
        <w:t xml:space="preserve">contributions depuis 2020, reconnaissant </w:t>
      </w:r>
      <w:r w:rsidR="00D213FB" w:rsidRPr="00A4333E">
        <w:rPr>
          <w:rFonts w:asciiTheme="minorHAnsi" w:eastAsia="Batang" w:hAnsiTheme="minorHAnsi"/>
          <w:lang w:val="fr-FR"/>
        </w:rPr>
        <w:t xml:space="preserve">que </w:t>
      </w:r>
      <w:r w:rsidR="00B865B6" w:rsidRPr="00A4333E">
        <w:rPr>
          <w:rFonts w:asciiTheme="minorHAnsi" w:eastAsia="Batang" w:hAnsiTheme="minorHAnsi"/>
          <w:lang w:val="fr-FR"/>
        </w:rPr>
        <w:t xml:space="preserve">ce résultat </w:t>
      </w:r>
      <w:r w:rsidR="00D213FB" w:rsidRPr="00A4333E">
        <w:rPr>
          <w:rFonts w:asciiTheme="minorHAnsi" w:eastAsia="Batang" w:hAnsiTheme="minorHAnsi"/>
          <w:lang w:val="fr-FR"/>
        </w:rPr>
        <w:t xml:space="preserve">était </w:t>
      </w:r>
      <w:r w:rsidR="00B865B6" w:rsidRPr="00A4333E">
        <w:rPr>
          <w:rFonts w:asciiTheme="minorHAnsi" w:eastAsia="Batang" w:hAnsiTheme="minorHAnsi"/>
          <w:lang w:val="fr-FR"/>
        </w:rPr>
        <w:t xml:space="preserve">exceptionnel parmi les Conventions comparables, et </w:t>
      </w:r>
      <w:r w:rsidR="00D213FB" w:rsidRPr="00A4333E">
        <w:rPr>
          <w:rFonts w:asciiTheme="minorHAnsi" w:eastAsia="Batang" w:hAnsiTheme="minorHAnsi"/>
          <w:lang w:val="fr-FR"/>
        </w:rPr>
        <w:t xml:space="preserve">il </w:t>
      </w:r>
      <w:r w:rsidR="003D64E6">
        <w:rPr>
          <w:rFonts w:asciiTheme="minorHAnsi" w:eastAsia="Batang" w:hAnsiTheme="minorHAnsi"/>
          <w:lang w:val="fr-FR"/>
        </w:rPr>
        <w:t xml:space="preserve">a complimenté le </w:t>
      </w:r>
      <w:r w:rsidR="00B865B6" w:rsidRPr="00A4333E">
        <w:rPr>
          <w:rFonts w:asciiTheme="minorHAnsi" w:eastAsia="Batang" w:hAnsiTheme="minorHAnsi"/>
          <w:lang w:val="fr-FR"/>
        </w:rPr>
        <w:lastRenderedPageBreak/>
        <w:t xml:space="preserve">Secrétariat </w:t>
      </w:r>
      <w:r w:rsidR="003D64E6">
        <w:rPr>
          <w:rFonts w:asciiTheme="minorHAnsi" w:eastAsia="Batang" w:hAnsiTheme="minorHAnsi"/>
          <w:lang w:val="fr-FR"/>
        </w:rPr>
        <w:t xml:space="preserve">pour son action </w:t>
      </w:r>
      <w:r w:rsidR="00B865B6" w:rsidRPr="00A4333E">
        <w:rPr>
          <w:rFonts w:asciiTheme="minorHAnsi" w:eastAsia="Batang" w:hAnsiTheme="minorHAnsi"/>
          <w:lang w:val="fr-FR"/>
        </w:rPr>
        <w:t>à cet</w:t>
      </w:r>
      <w:r w:rsidR="00D213FB" w:rsidRPr="00A4333E">
        <w:rPr>
          <w:rFonts w:asciiTheme="minorHAnsi" w:eastAsia="Batang" w:hAnsiTheme="minorHAnsi"/>
          <w:lang w:val="fr-FR"/>
        </w:rPr>
        <w:t xml:space="preserve"> égard</w:t>
      </w:r>
      <w:r w:rsidR="00B865B6" w:rsidRPr="00A4333E">
        <w:rPr>
          <w:rFonts w:asciiTheme="minorHAnsi" w:eastAsia="Batang" w:hAnsiTheme="minorHAnsi"/>
          <w:lang w:val="fr-FR"/>
        </w:rPr>
        <w:t xml:space="preserve"> (voir le paragraphe 1 du rapport du Sous-groupe sur les finances approuvé </w:t>
      </w:r>
      <w:r w:rsidR="00D213FB" w:rsidRPr="00A4333E">
        <w:rPr>
          <w:rFonts w:asciiTheme="minorHAnsi" w:eastAsia="Batang" w:hAnsiTheme="minorHAnsi"/>
          <w:lang w:val="fr-FR"/>
        </w:rPr>
        <w:t xml:space="preserve">lors de la </w:t>
      </w:r>
      <w:r w:rsidR="00B865B6" w:rsidRPr="00A4333E">
        <w:rPr>
          <w:rFonts w:asciiTheme="minorHAnsi" w:eastAsia="Batang" w:hAnsiTheme="minorHAnsi"/>
          <w:lang w:val="fr-FR"/>
        </w:rPr>
        <w:t>SC59/2022, document</w:t>
      </w:r>
      <w:r w:rsidR="005C1B09" w:rsidRPr="00A4333E">
        <w:rPr>
          <w:rFonts w:asciiTheme="minorHAnsi" w:eastAsia="Batang" w:hAnsiTheme="minorHAnsi"/>
          <w:color w:val="000000"/>
          <w:lang w:val="fr-FR" w:eastAsia="ko-KR"/>
        </w:rPr>
        <w:t xml:space="preserve"> SC59/2022 Com.2 Rev.1</w:t>
      </w:r>
      <w:r w:rsidRPr="00A4333E">
        <w:rPr>
          <w:rStyle w:val="FootnoteReference"/>
          <w:rFonts w:asciiTheme="minorHAnsi" w:eastAsia="Batang" w:hAnsiTheme="minorHAnsi"/>
          <w:color w:val="000000"/>
          <w:lang w:val="fr-FR" w:eastAsia="ko-KR"/>
        </w:rPr>
        <w:footnoteReference w:id="6"/>
      </w:r>
      <w:r w:rsidR="005C1B09" w:rsidRPr="00A4333E">
        <w:rPr>
          <w:lang w:val="fr-FR"/>
        </w:rPr>
        <w:t>).</w:t>
      </w:r>
    </w:p>
    <w:p w14:paraId="26598341" w14:textId="3293D160" w:rsidR="00EC72C3" w:rsidRPr="00A4333E" w:rsidRDefault="00EC72C3" w:rsidP="00FC2EBB">
      <w:pPr>
        <w:rPr>
          <w:rFonts w:cs="Arial"/>
          <w:b/>
          <w:sz w:val="24"/>
          <w:szCs w:val="24"/>
          <w:lang w:val="fr-FR"/>
        </w:rPr>
      </w:pPr>
      <w:r w:rsidRPr="00A4333E">
        <w:rPr>
          <w:rFonts w:cs="Arial"/>
          <w:b/>
          <w:sz w:val="24"/>
          <w:szCs w:val="24"/>
          <w:lang w:val="fr-FR"/>
        </w:rPr>
        <w:br w:type="page"/>
      </w:r>
    </w:p>
    <w:p w14:paraId="530D17AC" w14:textId="66816FA3" w:rsidR="00F21A80" w:rsidRPr="00A4333E" w:rsidRDefault="00F21A80" w:rsidP="000F0539">
      <w:pPr>
        <w:pStyle w:val="ListParagraph"/>
        <w:ind w:left="0" w:firstLine="0"/>
        <w:contextualSpacing w:val="0"/>
        <w:rPr>
          <w:rFonts w:cs="Arial"/>
          <w:b/>
          <w:sz w:val="24"/>
          <w:szCs w:val="24"/>
          <w:lang w:val="fr-FR"/>
        </w:rPr>
      </w:pPr>
      <w:r w:rsidRPr="00A4333E">
        <w:rPr>
          <w:rFonts w:cs="Arial"/>
          <w:b/>
          <w:sz w:val="24"/>
          <w:szCs w:val="24"/>
          <w:lang w:val="fr-FR"/>
        </w:rPr>
        <w:lastRenderedPageBreak/>
        <w:t>Annex</w:t>
      </w:r>
      <w:r w:rsidR="00487122" w:rsidRPr="00A4333E">
        <w:rPr>
          <w:rFonts w:cs="Arial"/>
          <w:b/>
          <w:sz w:val="24"/>
          <w:szCs w:val="24"/>
          <w:lang w:val="fr-FR"/>
        </w:rPr>
        <w:t>e</w:t>
      </w:r>
      <w:r w:rsidRPr="00A4333E">
        <w:rPr>
          <w:rFonts w:cs="Arial"/>
          <w:b/>
          <w:sz w:val="24"/>
          <w:szCs w:val="24"/>
          <w:lang w:val="fr-FR"/>
        </w:rPr>
        <w:t xml:space="preserve"> 1</w:t>
      </w:r>
    </w:p>
    <w:p w14:paraId="3F67EB31" w14:textId="688E3465" w:rsidR="00F21A80" w:rsidRPr="00A4333E" w:rsidRDefault="003D64E6" w:rsidP="000F0539">
      <w:pPr>
        <w:ind w:left="0" w:firstLine="0"/>
        <w:rPr>
          <w:rFonts w:asciiTheme="minorHAnsi" w:hAnsiTheme="minorHAnsi"/>
          <w:b/>
          <w:bCs/>
          <w:sz w:val="24"/>
          <w:szCs w:val="24"/>
          <w:lang w:val="fr-FR" w:eastAsia="en-GB"/>
        </w:rPr>
      </w:pPr>
      <w:r w:rsidRPr="00A4333E">
        <w:rPr>
          <w:rFonts w:asciiTheme="minorHAnsi" w:hAnsiTheme="minorHAnsi"/>
          <w:b/>
          <w:bCs/>
          <w:sz w:val="24"/>
          <w:szCs w:val="24"/>
          <w:lang w:val="fr-FR" w:eastAsia="en-GB"/>
        </w:rPr>
        <w:t>Résumé</w:t>
      </w:r>
      <w:r w:rsidR="00487122" w:rsidRPr="00A4333E">
        <w:rPr>
          <w:rFonts w:asciiTheme="minorHAnsi" w:hAnsiTheme="minorHAnsi"/>
          <w:b/>
          <w:bCs/>
          <w:sz w:val="24"/>
          <w:szCs w:val="24"/>
          <w:lang w:val="fr-FR" w:eastAsia="en-GB"/>
        </w:rPr>
        <w:t xml:space="preserve">́ des </w:t>
      </w:r>
      <w:r w:rsidRPr="00A4333E">
        <w:rPr>
          <w:rFonts w:asciiTheme="minorHAnsi" w:hAnsiTheme="minorHAnsi"/>
          <w:b/>
          <w:bCs/>
          <w:sz w:val="24"/>
          <w:szCs w:val="24"/>
          <w:lang w:val="fr-FR" w:eastAsia="en-GB"/>
        </w:rPr>
        <w:t>résultats</w:t>
      </w:r>
      <w:r w:rsidR="00487122" w:rsidRPr="00A4333E">
        <w:rPr>
          <w:rFonts w:asciiTheme="minorHAnsi" w:hAnsiTheme="minorHAnsi"/>
          <w:b/>
          <w:bCs/>
          <w:sz w:val="24"/>
          <w:szCs w:val="24"/>
          <w:lang w:val="fr-FR" w:eastAsia="en-GB"/>
        </w:rPr>
        <w:t xml:space="preserve"> du budget administratif 2019-2021 et du budget approuvé pour 2022</w:t>
      </w:r>
    </w:p>
    <w:p w14:paraId="08FE8D70" w14:textId="2884A44E" w:rsidR="002116FA" w:rsidRPr="00A4333E" w:rsidRDefault="002116FA" w:rsidP="000F0539">
      <w:pPr>
        <w:ind w:left="0" w:firstLine="0"/>
        <w:rPr>
          <w:rFonts w:asciiTheme="minorHAnsi" w:hAnsiTheme="minorHAnsi"/>
          <w:b/>
          <w:bCs/>
          <w:sz w:val="24"/>
          <w:szCs w:val="24"/>
          <w:lang w:val="fr-FR" w:eastAsia="en-GB"/>
        </w:rPr>
      </w:pPr>
    </w:p>
    <w:tbl>
      <w:tblPr>
        <w:tblW w:w="9722" w:type="dxa"/>
        <w:tblInd w:w="-289" w:type="dxa"/>
        <w:tblCellMar>
          <w:top w:w="28" w:type="dxa"/>
          <w:left w:w="57" w:type="dxa"/>
          <w:bottom w:w="28" w:type="dxa"/>
          <w:right w:w="57" w:type="dxa"/>
        </w:tblCellMar>
        <w:tblLook w:val="04A0" w:firstRow="1" w:lastRow="0" w:firstColumn="1" w:lastColumn="0" w:noHBand="0" w:noVBand="1"/>
      </w:tblPr>
      <w:tblGrid>
        <w:gridCol w:w="2985"/>
        <w:gridCol w:w="887"/>
        <w:gridCol w:w="887"/>
        <w:gridCol w:w="887"/>
        <w:gridCol w:w="977"/>
        <w:gridCol w:w="887"/>
        <w:gridCol w:w="1091"/>
        <w:gridCol w:w="1121"/>
      </w:tblGrid>
      <w:tr w:rsidR="002866BB" w:rsidRPr="00A4333E" w14:paraId="213528BE" w14:textId="77777777" w:rsidTr="003F50B6">
        <w:tc>
          <w:tcPr>
            <w:tcW w:w="2985" w:type="dxa"/>
            <w:tcBorders>
              <w:top w:val="single" w:sz="4" w:space="0" w:color="auto"/>
              <w:left w:val="single" w:sz="4" w:space="0" w:color="auto"/>
              <w:bottom w:val="single" w:sz="4" w:space="0" w:color="auto"/>
              <w:right w:val="single" w:sz="4" w:space="0" w:color="auto"/>
            </w:tcBorders>
            <w:shd w:val="clear" w:color="000000" w:fill="DDEBF7"/>
            <w:vAlign w:val="center"/>
            <w:hideMark/>
          </w:tcPr>
          <w:p w14:paraId="63104F3C" w14:textId="372DEAD1" w:rsidR="002866BB" w:rsidRPr="00A4333E" w:rsidRDefault="00580A3F" w:rsidP="003F50B6">
            <w:pPr>
              <w:ind w:left="0" w:firstLine="0"/>
              <w:jc w:val="center"/>
              <w:rPr>
                <w:rFonts w:asciiTheme="minorHAnsi" w:eastAsia="Times New Roman" w:hAnsiTheme="minorHAnsi" w:cstheme="minorHAnsi"/>
                <w:b/>
                <w:bCs/>
                <w:sz w:val="20"/>
                <w:szCs w:val="20"/>
                <w:lang w:val="fr-FR" w:eastAsia="en-GB"/>
              </w:rPr>
            </w:pPr>
            <w:r w:rsidRPr="00A4333E">
              <w:rPr>
                <w:rFonts w:asciiTheme="minorHAnsi" w:eastAsia="Times New Roman" w:hAnsiTheme="minorHAnsi" w:cstheme="minorHAnsi"/>
                <w:b/>
                <w:bCs/>
                <w:sz w:val="20"/>
                <w:szCs w:val="20"/>
                <w:lang w:val="fr-FR" w:eastAsia="en-GB"/>
              </w:rPr>
              <w:t>Budget administratif de la période triennale</w:t>
            </w:r>
            <w:r w:rsidR="002866BB" w:rsidRPr="00A4333E">
              <w:rPr>
                <w:rFonts w:asciiTheme="minorHAnsi" w:eastAsia="Times New Roman" w:hAnsiTheme="minorHAnsi" w:cstheme="minorHAnsi"/>
                <w:b/>
                <w:bCs/>
                <w:sz w:val="20"/>
                <w:szCs w:val="20"/>
                <w:lang w:val="fr-FR" w:eastAsia="en-GB"/>
              </w:rPr>
              <w:br/>
              <w:t>2019-2021</w:t>
            </w:r>
            <w:r w:rsidR="002866BB" w:rsidRPr="00A4333E">
              <w:rPr>
                <w:rFonts w:asciiTheme="minorHAnsi" w:eastAsia="Times New Roman" w:hAnsiTheme="minorHAnsi" w:cstheme="minorHAnsi"/>
                <w:b/>
                <w:bCs/>
                <w:sz w:val="20"/>
                <w:szCs w:val="20"/>
                <w:lang w:val="fr-FR" w:eastAsia="en-GB"/>
              </w:rPr>
              <w:br/>
            </w:r>
            <w:r w:rsidR="002866BB" w:rsidRPr="00A4333E">
              <w:rPr>
                <w:rFonts w:asciiTheme="minorHAnsi" w:eastAsia="Times New Roman" w:hAnsiTheme="minorHAnsi" w:cstheme="minorHAnsi"/>
                <w:b/>
                <w:bCs/>
                <w:sz w:val="20"/>
                <w:szCs w:val="20"/>
                <w:lang w:val="fr-FR" w:eastAsia="en-GB"/>
              </w:rPr>
              <w:br/>
            </w:r>
            <w:r w:rsidRPr="00A4333E">
              <w:rPr>
                <w:rFonts w:asciiTheme="minorHAnsi" w:eastAsia="Times New Roman" w:hAnsiTheme="minorHAnsi" w:cstheme="minorHAnsi"/>
                <w:b/>
                <w:bCs/>
                <w:sz w:val="20"/>
                <w:szCs w:val="20"/>
                <w:lang w:val="fr-FR" w:eastAsia="en-GB"/>
              </w:rPr>
              <w:t>En milliers de CHF</w:t>
            </w:r>
          </w:p>
        </w:tc>
        <w:tc>
          <w:tcPr>
            <w:tcW w:w="887" w:type="dxa"/>
            <w:tcBorders>
              <w:top w:val="single" w:sz="4" w:space="0" w:color="auto"/>
              <w:left w:val="nil"/>
              <w:bottom w:val="single" w:sz="4" w:space="0" w:color="auto"/>
              <w:right w:val="single" w:sz="4" w:space="0" w:color="auto"/>
            </w:tcBorders>
            <w:shd w:val="clear" w:color="000000" w:fill="DDEBF7"/>
            <w:vAlign w:val="center"/>
            <w:hideMark/>
          </w:tcPr>
          <w:p w14:paraId="03BCA29E" w14:textId="2D3418D0" w:rsidR="002866BB" w:rsidRPr="00A4333E" w:rsidRDefault="00580A3F" w:rsidP="003F50B6">
            <w:pPr>
              <w:ind w:left="0" w:firstLine="0"/>
              <w:jc w:val="center"/>
              <w:rPr>
                <w:rFonts w:asciiTheme="minorHAnsi" w:eastAsia="Times New Roman" w:hAnsiTheme="minorHAnsi" w:cstheme="minorHAnsi"/>
                <w:b/>
                <w:bCs/>
                <w:sz w:val="20"/>
                <w:szCs w:val="20"/>
                <w:lang w:val="fr-FR" w:eastAsia="en-GB"/>
              </w:rPr>
            </w:pPr>
            <w:r w:rsidRPr="00A4333E">
              <w:rPr>
                <w:rFonts w:asciiTheme="minorHAnsi" w:eastAsia="Times New Roman" w:hAnsiTheme="minorHAnsi" w:cstheme="minorHAnsi"/>
                <w:b/>
                <w:bCs/>
                <w:sz w:val="20"/>
                <w:szCs w:val="20"/>
                <w:lang w:val="fr-FR" w:eastAsia="en-GB"/>
              </w:rPr>
              <w:t>Admin- istratif Chiffres réels</w:t>
            </w:r>
            <w:r w:rsidR="002866BB" w:rsidRPr="00A4333E">
              <w:rPr>
                <w:rFonts w:asciiTheme="minorHAnsi" w:eastAsia="Times New Roman" w:hAnsiTheme="minorHAnsi" w:cstheme="minorHAnsi"/>
                <w:b/>
                <w:bCs/>
                <w:sz w:val="20"/>
                <w:szCs w:val="20"/>
                <w:lang w:val="fr-FR" w:eastAsia="en-GB"/>
              </w:rPr>
              <w:br/>
            </w:r>
            <w:r w:rsidR="002866BB" w:rsidRPr="00A4333E">
              <w:rPr>
                <w:rFonts w:asciiTheme="minorHAnsi" w:eastAsia="Times New Roman" w:hAnsiTheme="minorHAnsi" w:cstheme="minorHAnsi"/>
                <w:b/>
                <w:bCs/>
                <w:sz w:val="20"/>
                <w:szCs w:val="20"/>
                <w:lang w:val="fr-FR" w:eastAsia="en-GB"/>
              </w:rPr>
              <w:br/>
              <w:t>2019</w:t>
            </w:r>
          </w:p>
        </w:tc>
        <w:tc>
          <w:tcPr>
            <w:tcW w:w="887" w:type="dxa"/>
            <w:tcBorders>
              <w:top w:val="single" w:sz="4" w:space="0" w:color="auto"/>
              <w:left w:val="nil"/>
              <w:bottom w:val="single" w:sz="4" w:space="0" w:color="auto"/>
              <w:right w:val="single" w:sz="4" w:space="0" w:color="auto"/>
            </w:tcBorders>
            <w:shd w:val="clear" w:color="000000" w:fill="DDEBF7"/>
            <w:vAlign w:val="center"/>
            <w:hideMark/>
          </w:tcPr>
          <w:p w14:paraId="76B73780" w14:textId="2092C010" w:rsidR="002866BB" w:rsidRPr="00A4333E" w:rsidRDefault="00580A3F" w:rsidP="003F50B6">
            <w:pPr>
              <w:ind w:left="0" w:firstLine="0"/>
              <w:jc w:val="center"/>
              <w:rPr>
                <w:rFonts w:asciiTheme="minorHAnsi" w:eastAsia="Times New Roman" w:hAnsiTheme="minorHAnsi" w:cstheme="minorHAnsi"/>
                <w:b/>
                <w:bCs/>
                <w:sz w:val="20"/>
                <w:szCs w:val="20"/>
                <w:lang w:val="fr-FR" w:eastAsia="en-GB"/>
              </w:rPr>
            </w:pPr>
            <w:r w:rsidRPr="00A4333E">
              <w:rPr>
                <w:rFonts w:asciiTheme="minorHAnsi" w:eastAsia="Times New Roman" w:hAnsiTheme="minorHAnsi" w:cstheme="minorHAnsi"/>
                <w:b/>
                <w:bCs/>
                <w:sz w:val="20"/>
                <w:szCs w:val="20"/>
                <w:lang w:val="fr-FR" w:eastAsia="en-GB"/>
              </w:rPr>
              <w:t>Admin- istratif Chiffres réels</w:t>
            </w:r>
            <w:r w:rsidR="002866BB" w:rsidRPr="00A4333E">
              <w:rPr>
                <w:rFonts w:asciiTheme="minorHAnsi" w:eastAsia="Times New Roman" w:hAnsiTheme="minorHAnsi" w:cstheme="minorHAnsi"/>
                <w:b/>
                <w:bCs/>
                <w:sz w:val="20"/>
                <w:szCs w:val="20"/>
                <w:lang w:val="fr-FR" w:eastAsia="en-GB"/>
              </w:rPr>
              <w:br/>
            </w:r>
            <w:r w:rsidR="002866BB" w:rsidRPr="00A4333E">
              <w:rPr>
                <w:rFonts w:asciiTheme="minorHAnsi" w:eastAsia="Times New Roman" w:hAnsiTheme="minorHAnsi" w:cstheme="minorHAnsi"/>
                <w:b/>
                <w:bCs/>
                <w:sz w:val="20"/>
                <w:szCs w:val="20"/>
                <w:lang w:val="fr-FR" w:eastAsia="en-GB"/>
              </w:rPr>
              <w:br/>
              <w:t>2020</w:t>
            </w:r>
          </w:p>
        </w:tc>
        <w:tc>
          <w:tcPr>
            <w:tcW w:w="887" w:type="dxa"/>
            <w:tcBorders>
              <w:top w:val="single" w:sz="4" w:space="0" w:color="auto"/>
              <w:left w:val="nil"/>
              <w:bottom w:val="single" w:sz="4" w:space="0" w:color="auto"/>
              <w:right w:val="single" w:sz="4" w:space="0" w:color="auto"/>
            </w:tcBorders>
            <w:shd w:val="clear" w:color="000000" w:fill="DDEBF7"/>
            <w:vAlign w:val="center"/>
            <w:hideMark/>
          </w:tcPr>
          <w:p w14:paraId="6DD91ADD" w14:textId="65966830" w:rsidR="002866BB" w:rsidRPr="00A4333E" w:rsidRDefault="00580A3F" w:rsidP="003F50B6">
            <w:pPr>
              <w:ind w:left="0" w:firstLine="0"/>
              <w:jc w:val="center"/>
              <w:rPr>
                <w:rFonts w:asciiTheme="minorHAnsi" w:eastAsia="Times New Roman" w:hAnsiTheme="minorHAnsi" w:cstheme="minorHAnsi"/>
                <w:b/>
                <w:bCs/>
                <w:sz w:val="20"/>
                <w:szCs w:val="20"/>
                <w:lang w:val="fr-FR" w:eastAsia="en-GB"/>
              </w:rPr>
            </w:pPr>
            <w:r w:rsidRPr="00A4333E">
              <w:rPr>
                <w:rFonts w:asciiTheme="minorHAnsi" w:eastAsia="Times New Roman" w:hAnsiTheme="minorHAnsi" w:cstheme="minorHAnsi"/>
                <w:b/>
                <w:bCs/>
                <w:sz w:val="20"/>
                <w:szCs w:val="20"/>
                <w:lang w:val="fr-FR" w:eastAsia="en-GB"/>
              </w:rPr>
              <w:t>Admin- istratif Chiffres réels</w:t>
            </w:r>
            <w:r w:rsidR="002866BB" w:rsidRPr="00A4333E">
              <w:rPr>
                <w:rFonts w:asciiTheme="minorHAnsi" w:eastAsia="Times New Roman" w:hAnsiTheme="minorHAnsi" w:cstheme="minorHAnsi"/>
                <w:b/>
                <w:bCs/>
                <w:sz w:val="20"/>
                <w:szCs w:val="20"/>
                <w:lang w:val="fr-FR" w:eastAsia="en-GB"/>
              </w:rPr>
              <w:br/>
            </w:r>
            <w:r w:rsidR="002866BB" w:rsidRPr="00A4333E">
              <w:rPr>
                <w:rFonts w:asciiTheme="minorHAnsi" w:eastAsia="Times New Roman" w:hAnsiTheme="minorHAnsi" w:cstheme="minorHAnsi"/>
                <w:b/>
                <w:bCs/>
                <w:sz w:val="20"/>
                <w:szCs w:val="20"/>
                <w:lang w:val="fr-FR" w:eastAsia="en-GB"/>
              </w:rPr>
              <w:br/>
              <w:t>2021</w:t>
            </w:r>
          </w:p>
        </w:tc>
        <w:tc>
          <w:tcPr>
            <w:tcW w:w="977" w:type="dxa"/>
            <w:tcBorders>
              <w:top w:val="single" w:sz="4" w:space="0" w:color="auto"/>
              <w:left w:val="nil"/>
              <w:bottom w:val="single" w:sz="4" w:space="0" w:color="auto"/>
              <w:right w:val="single" w:sz="4" w:space="0" w:color="auto"/>
            </w:tcBorders>
            <w:shd w:val="clear" w:color="000000" w:fill="DDEBF7"/>
            <w:vAlign w:val="center"/>
            <w:hideMark/>
          </w:tcPr>
          <w:p w14:paraId="79489B14" w14:textId="77777777" w:rsidR="003F50B6" w:rsidRDefault="00580A3F" w:rsidP="003F50B6">
            <w:pPr>
              <w:ind w:left="0" w:firstLine="0"/>
              <w:jc w:val="center"/>
              <w:rPr>
                <w:rFonts w:asciiTheme="minorHAnsi" w:eastAsia="Times New Roman" w:hAnsiTheme="minorHAnsi" w:cstheme="minorHAnsi"/>
                <w:b/>
                <w:bCs/>
                <w:sz w:val="20"/>
                <w:szCs w:val="20"/>
                <w:lang w:val="fr-FR" w:eastAsia="en-GB"/>
              </w:rPr>
            </w:pPr>
            <w:r w:rsidRPr="00A4333E">
              <w:rPr>
                <w:rFonts w:asciiTheme="minorHAnsi" w:eastAsia="Times New Roman" w:hAnsiTheme="minorHAnsi" w:cstheme="minorHAnsi"/>
                <w:b/>
                <w:bCs/>
                <w:sz w:val="20"/>
                <w:szCs w:val="20"/>
                <w:lang w:val="fr-FR" w:eastAsia="en-GB"/>
              </w:rPr>
              <w:t>Budget admin- istratif</w:t>
            </w:r>
            <w:r w:rsidR="002866BB" w:rsidRPr="00A4333E">
              <w:rPr>
                <w:rFonts w:asciiTheme="minorHAnsi" w:eastAsia="Times New Roman" w:hAnsiTheme="minorHAnsi" w:cstheme="minorHAnsi"/>
                <w:b/>
                <w:bCs/>
                <w:sz w:val="20"/>
                <w:szCs w:val="20"/>
                <w:lang w:val="fr-FR" w:eastAsia="en-GB"/>
              </w:rPr>
              <w:t>*</w:t>
            </w:r>
            <w:r w:rsidR="002866BB" w:rsidRPr="00A4333E">
              <w:rPr>
                <w:rFonts w:asciiTheme="minorHAnsi" w:eastAsia="Times New Roman" w:hAnsiTheme="minorHAnsi" w:cstheme="minorHAnsi"/>
                <w:b/>
                <w:bCs/>
                <w:sz w:val="20"/>
                <w:szCs w:val="20"/>
                <w:lang w:val="fr-FR" w:eastAsia="en-GB"/>
              </w:rPr>
              <w:br/>
            </w:r>
          </w:p>
          <w:p w14:paraId="3CE889BF" w14:textId="2187FED9" w:rsidR="002866BB" w:rsidRPr="00A4333E" w:rsidRDefault="002866BB" w:rsidP="003F50B6">
            <w:pPr>
              <w:ind w:left="0" w:firstLine="0"/>
              <w:jc w:val="center"/>
              <w:rPr>
                <w:rFonts w:asciiTheme="minorHAnsi" w:eastAsia="Times New Roman" w:hAnsiTheme="minorHAnsi" w:cstheme="minorHAnsi"/>
                <w:b/>
                <w:bCs/>
                <w:sz w:val="20"/>
                <w:szCs w:val="20"/>
                <w:lang w:val="fr-FR" w:eastAsia="en-GB"/>
              </w:rPr>
            </w:pPr>
            <w:r w:rsidRPr="00A4333E">
              <w:rPr>
                <w:rFonts w:asciiTheme="minorHAnsi" w:eastAsia="Times New Roman" w:hAnsiTheme="minorHAnsi" w:cstheme="minorHAnsi"/>
                <w:b/>
                <w:bCs/>
                <w:sz w:val="20"/>
                <w:szCs w:val="20"/>
                <w:lang w:val="fr-FR" w:eastAsia="en-GB"/>
              </w:rPr>
              <w:br/>
              <w:t>2022</w:t>
            </w:r>
          </w:p>
        </w:tc>
        <w:tc>
          <w:tcPr>
            <w:tcW w:w="887" w:type="dxa"/>
            <w:tcBorders>
              <w:top w:val="single" w:sz="4" w:space="0" w:color="auto"/>
              <w:left w:val="nil"/>
              <w:bottom w:val="single" w:sz="4" w:space="0" w:color="auto"/>
              <w:right w:val="single" w:sz="4" w:space="0" w:color="auto"/>
            </w:tcBorders>
            <w:shd w:val="clear" w:color="000000" w:fill="DDEBF7"/>
            <w:vAlign w:val="center"/>
            <w:hideMark/>
          </w:tcPr>
          <w:p w14:paraId="21D33790" w14:textId="77777777" w:rsidR="003F50B6" w:rsidRDefault="00580A3F" w:rsidP="003F50B6">
            <w:pPr>
              <w:ind w:left="0" w:firstLine="0"/>
              <w:jc w:val="center"/>
              <w:rPr>
                <w:rFonts w:asciiTheme="minorHAnsi" w:eastAsia="Times New Roman" w:hAnsiTheme="minorHAnsi" w:cstheme="minorHAnsi"/>
                <w:b/>
                <w:bCs/>
                <w:sz w:val="20"/>
                <w:szCs w:val="20"/>
                <w:lang w:val="fr-FR" w:eastAsia="en-GB"/>
              </w:rPr>
            </w:pPr>
            <w:r w:rsidRPr="00A4333E">
              <w:rPr>
                <w:rFonts w:asciiTheme="minorHAnsi" w:eastAsia="Times New Roman" w:hAnsiTheme="minorHAnsi" w:cstheme="minorHAnsi"/>
                <w:b/>
                <w:bCs/>
                <w:sz w:val="20"/>
                <w:szCs w:val="20"/>
                <w:lang w:val="fr-FR" w:eastAsia="en-GB"/>
              </w:rPr>
              <w:t>Total Chiffres réels</w:t>
            </w:r>
            <w:r w:rsidR="002866BB" w:rsidRPr="00A4333E">
              <w:rPr>
                <w:rFonts w:asciiTheme="minorHAnsi" w:eastAsia="Times New Roman" w:hAnsiTheme="minorHAnsi" w:cstheme="minorHAnsi"/>
                <w:b/>
                <w:bCs/>
                <w:sz w:val="20"/>
                <w:szCs w:val="20"/>
                <w:lang w:val="fr-FR" w:eastAsia="en-GB"/>
              </w:rPr>
              <w:br/>
            </w:r>
          </w:p>
          <w:p w14:paraId="3FF928CC" w14:textId="45712CDF" w:rsidR="002866BB" w:rsidRPr="00A4333E" w:rsidRDefault="002866BB" w:rsidP="003F50B6">
            <w:pPr>
              <w:ind w:left="0" w:firstLine="0"/>
              <w:jc w:val="center"/>
              <w:rPr>
                <w:rFonts w:asciiTheme="minorHAnsi" w:eastAsia="Times New Roman" w:hAnsiTheme="minorHAnsi" w:cstheme="minorHAnsi"/>
                <w:b/>
                <w:bCs/>
                <w:sz w:val="20"/>
                <w:szCs w:val="20"/>
                <w:lang w:val="fr-FR" w:eastAsia="en-GB"/>
              </w:rPr>
            </w:pPr>
            <w:r w:rsidRPr="00A4333E">
              <w:rPr>
                <w:rFonts w:asciiTheme="minorHAnsi" w:eastAsia="Times New Roman" w:hAnsiTheme="minorHAnsi" w:cstheme="minorHAnsi"/>
                <w:b/>
                <w:bCs/>
                <w:sz w:val="20"/>
                <w:szCs w:val="20"/>
                <w:lang w:val="fr-FR" w:eastAsia="en-GB"/>
              </w:rPr>
              <w:t>2019-2022</w:t>
            </w:r>
          </w:p>
        </w:tc>
        <w:tc>
          <w:tcPr>
            <w:tcW w:w="1091" w:type="dxa"/>
            <w:tcBorders>
              <w:top w:val="single" w:sz="4" w:space="0" w:color="auto"/>
              <w:left w:val="nil"/>
              <w:bottom w:val="single" w:sz="4" w:space="0" w:color="auto"/>
              <w:right w:val="single" w:sz="4" w:space="0" w:color="auto"/>
            </w:tcBorders>
            <w:shd w:val="clear" w:color="000000" w:fill="DDEBF7"/>
            <w:vAlign w:val="center"/>
            <w:hideMark/>
          </w:tcPr>
          <w:p w14:paraId="549EEDBA" w14:textId="44F5D498" w:rsidR="002866BB" w:rsidRPr="00A4333E" w:rsidRDefault="00580A3F" w:rsidP="003F50B6">
            <w:pPr>
              <w:ind w:left="0" w:firstLine="0"/>
              <w:jc w:val="center"/>
              <w:rPr>
                <w:rFonts w:asciiTheme="minorHAnsi" w:eastAsia="Times New Roman" w:hAnsiTheme="minorHAnsi" w:cstheme="minorHAnsi"/>
                <w:b/>
                <w:bCs/>
                <w:sz w:val="20"/>
                <w:szCs w:val="20"/>
                <w:lang w:val="fr-FR" w:eastAsia="en-GB"/>
              </w:rPr>
            </w:pPr>
            <w:r w:rsidRPr="00A4333E">
              <w:rPr>
                <w:rFonts w:asciiTheme="minorHAnsi" w:eastAsia="Times New Roman" w:hAnsiTheme="minorHAnsi" w:cstheme="minorHAnsi"/>
                <w:b/>
                <w:bCs/>
                <w:spacing w:val="-6"/>
                <w:sz w:val="20"/>
                <w:szCs w:val="20"/>
                <w:lang w:val="fr-FR" w:eastAsia="en-GB"/>
              </w:rPr>
              <w:t>Budgets approuvés par la C</w:t>
            </w:r>
            <w:r w:rsidR="002866BB" w:rsidRPr="00A4333E">
              <w:rPr>
                <w:rFonts w:asciiTheme="minorHAnsi" w:eastAsia="Times New Roman" w:hAnsiTheme="minorHAnsi" w:cstheme="minorHAnsi"/>
                <w:b/>
                <w:bCs/>
                <w:spacing w:val="-6"/>
                <w:sz w:val="20"/>
                <w:szCs w:val="20"/>
                <w:lang w:val="fr-FR" w:eastAsia="en-GB"/>
              </w:rPr>
              <w:t xml:space="preserve">OP13 </w:t>
            </w:r>
            <w:r w:rsidRPr="00A4333E">
              <w:rPr>
                <w:rFonts w:asciiTheme="minorHAnsi" w:eastAsia="Times New Roman" w:hAnsiTheme="minorHAnsi" w:cstheme="minorHAnsi"/>
                <w:b/>
                <w:bCs/>
                <w:spacing w:val="-6"/>
                <w:sz w:val="20"/>
                <w:szCs w:val="20"/>
                <w:lang w:val="fr-FR" w:eastAsia="en-GB"/>
              </w:rPr>
              <w:t xml:space="preserve">et la </w:t>
            </w:r>
            <w:r w:rsidR="002866BB" w:rsidRPr="00A4333E">
              <w:rPr>
                <w:rFonts w:asciiTheme="minorHAnsi" w:eastAsia="Times New Roman" w:hAnsiTheme="minorHAnsi" w:cstheme="minorHAnsi"/>
                <w:b/>
                <w:bCs/>
                <w:sz w:val="20"/>
                <w:szCs w:val="20"/>
                <w:lang w:val="fr-FR" w:eastAsia="en-GB"/>
              </w:rPr>
              <w:t xml:space="preserve">ExCOP3 </w:t>
            </w:r>
            <w:r w:rsidR="002866BB" w:rsidRPr="00A4333E">
              <w:rPr>
                <w:rFonts w:asciiTheme="minorHAnsi" w:eastAsia="Times New Roman" w:hAnsiTheme="minorHAnsi" w:cstheme="minorHAnsi"/>
                <w:b/>
                <w:bCs/>
                <w:sz w:val="20"/>
                <w:szCs w:val="20"/>
                <w:lang w:val="fr-FR" w:eastAsia="en-GB"/>
              </w:rPr>
              <w:br/>
              <w:t>2019-2022</w:t>
            </w:r>
          </w:p>
        </w:tc>
        <w:tc>
          <w:tcPr>
            <w:tcW w:w="1121" w:type="dxa"/>
            <w:tcBorders>
              <w:top w:val="single" w:sz="4" w:space="0" w:color="auto"/>
              <w:left w:val="nil"/>
              <w:bottom w:val="single" w:sz="4" w:space="0" w:color="auto"/>
              <w:right w:val="single" w:sz="4" w:space="0" w:color="auto"/>
            </w:tcBorders>
            <w:shd w:val="clear" w:color="000000" w:fill="DDEBF7"/>
            <w:vAlign w:val="center"/>
            <w:hideMark/>
          </w:tcPr>
          <w:p w14:paraId="7012EDAE" w14:textId="5DF4CE9B" w:rsidR="002866BB" w:rsidRPr="00A4333E" w:rsidRDefault="00580A3F" w:rsidP="003F50B6">
            <w:pPr>
              <w:ind w:left="0" w:firstLine="0"/>
              <w:jc w:val="center"/>
              <w:rPr>
                <w:rFonts w:asciiTheme="minorHAnsi" w:eastAsia="Times New Roman" w:hAnsiTheme="minorHAnsi" w:cstheme="minorHAnsi"/>
                <w:b/>
                <w:bCs/>
                <w:sz w:val="20"/>
                <w:szCs w:val="20"/>
                <w:lang w:val="fr-FR" w:eastAsia="en-GB"/>
              </w:rPr>
            </w:pPr>
            <w:r w:rsidRPr="00A4333E">
              <w:rPr>
                <w:rFonts w:asciiTheme="minorHAnsi" w:eastAsia="Times New Roman" w:hAnsiTheme="minorHAnsi" w:cstheme="minorHAnsi"/>
                <w:b/>
                <w:bCs/>
                <w:sz w:val="20"/>
                <w:szCs w:val="20"/>
                <w:lang w:val="fr-FR" w:eastAsia="en-GB"/>
              </w:rPr>
              <w:t>Variance – excédent / (déficit)</w:t>
            </w:r>
            <w:r w:rsidR="002866BB" w:rsidRPr="00A4333E">
              <w:rPr>
                <w:rFonts w:asciiTheme="minorHAnsi" w:eastAsia="Times New Roman" w:hAnsiTheme="minorHAnsi" w:cstheme="minorHAnsi"/>
                <w:b/>
                <w:bCs/>
                <w:sz w:val="20"/>
                <w:szCs w:val="20"/>
                <w:lang w:val="fr-FR" w:eastAsia="en-GB"/>
              </w:rPr>
              <w:br/>
              <w:t>2019-2022</w:t>
            </w:r>
          </w:p>
        </w:tc>
      </w:tr>
      <w:tr w:rsidR="00974E56" w:rsidRPr="00A4333E" w14:paraId="79B67083" w14:textId="77777777" w:rsidTr="003F50B6">
        <w:tc>
          <w:tcPr>
            <w:tcW w:w="2985" w:type="dxa"/>
            <w:tcBorders>
              <w:top w:val="nil"/>
              <w:left w:val="single" w:sz="4" w:space="0" w:color="auto"/>
              <w:bottom w:val="single" w:sz="4" w:space="0" w:color="auto"/>
              <w:right w:val="single" w:sz="4" w:space="0" w:color="auto"/>
            </w:tcBorders>
            <w:shd w:val="clear" w:color="auto" w:fill="auto"/>
            <w:noWrap/>
            <w:hideMark/>
          </w:tcPr>
          <w:p w14:paraId="0F68D6AB" w14:textId="17472A77" w:rsidR="00974E56" w:rsidRPr="00A4333E" w:rsidRDefault="00974E56" w:rsidP="00974E56">
            <w:pPr>
              <w:ind w:left="0" w:firstLine="0"/>
              <w:rPr>
                <w:rFonts w:asciiTheme="minorHAnsi" w:eastAsia="Times New Roman" w:hAnsiTheme="minorHAnsi" w:cstheme="minorHAnsi"/>
                <w:b/>
                <w:bCs/>
                <w:sz w:val="20"/>
                <w:szCs w:val="20"/>
                <w:lang w:val="fr-FR" w:eastAsia="en-GB"/>
              </w:rPr>
            </w:pPr>
            <w:r w:rsidRPr="00A4333E">
              <w:rPr>
                <w:rFonts w:cs="Calibri"/>
                <w:b/>
                <w:bCs/>
                <w:sz w:val="20"/>
                <w:szCs w:val="20"/>
                <w:lang w:val="fr-FR"/>
              </w:rPr>
              <w:t xml:space="preserve">REVENU </w:t>
            </w:r>
          </w:p>
        </w:tc>
        <w:tc>
          <w:tcPr>
            <w:tcW w:w="887" w:type="dxa"/>
            <w:tcBorders>
              <w:top w:val="nil"/>
              <w:left w:val="nil"/>
              <w:bottom w:val="single" w:sz="4" w:space="0" w:color="auto"/>
              <w:right w:val="single" w:sz="4" w:space="0" w:color="auto"/>
            </w:tcBorders>
            <w:shd w:val="clear" w:color="auto" w:fill="auto"/>
            <w:noWrap/>
            <w:hideMark/>
          </w:tcPr>
          <w:p w14:paraId="44002933" w14:textId="77777777" w:rsidR="00974E56" w:rsidRPr="00A4333E" w:rsidRDefault="00974E56" w:rsidP="00974E56">
            <w:pPr>
              <w:ind w:left="0" w:firstLine="0"/>
              <w:jc w:val="right"/>
              <w:rPr>
                <w:rFonts w:asciiTheme="minorHAnsi" w:eastAsia="Times New Roman" w:hAnsiTheme="minorHAnsi" w:cstheme="minorHAnsi"/>
                <w:sz w:val="20"/>
                <w:szCs w:val="20"/>
                <w:lang w:val="fr-FR" w:eastAsia="en-GB"/>
              </w:rPr>
            </w:pPr>
            <w:r w:rsidRPr="00A4333E">
              <w:rPr>
                <w:rFonts w:asciiTheme="minorHAnsi" w:eastAsia="Times New Roman" w:hAnsiTheme="minorHAnsi" w:cstheme="minorHAnsi"/>
                <w:sz w:val="20"/>
                <w:szCs w:val="20"/>
                <w:lang w:val="fr-FR" w:eastAsia="en-GB"/>
              </w:rPr>
              <w:t> </w:t>
            </w:r>
          </w:p>
        </w:tc>
        <w:tc>
          <w:tcPr>
            <w:tcW w:w="887" w:type="dxa"/>
            <w:tcBorders>
              <w:top w:val="nil"/>
              <w:left w:val="nil"/>
              <w:bottom w:val="single" w:sz="4" w:space="0" w:color="auto"/>
              <w:right w:val="single" w:sz="4" w:space="0" w:color="auto"/>
            </w:tcBorders>
            <w:shd w:val="clear" w:color="auto" w:fill="auto"/>
            <w:noWrap/>
            <w:hideMark/>
          </w:tcPr>
          <w:p w14:paraId="55396384" w14:textId="77777777" w:rsidR="00974E56" w:rsidRPr="00A4333E" w:rsidRDefault="00974E56" w:rsidP="00974E56">
            <w:pPr>
              <w:ind w:left="0" w:firstLine="0"/>
              <w:jc w:val="right"/>
              <w:rPr>
                <w:rFonts w:asciiTheme="minorHAnsi" w:eastAsia="Times New Roman" w:hAnsiTheme="minorHAnsi" w:cstheme="minorHAnsi"/>
                <w:sz w:val="20"/>
                <w:szCs w:val="20"/>
                <w:lang w:val="fr-FR" w:eastAsia="en-GB"/>
              </w:rPr>
            </w:pPr>
            <w:r w:rsidRPr="00A4333E">
              <w:rPr>
                <w:rFonts w:asciiTheme="minorHAnsi" w:eastAsia="Times New Roman" w:hAnsiTheme="minorHAnsi" w:cstheme="minorHAnsi"/>
                <w:sz w:val="20"/>
                <w:szCs w:val="20"/>
                <w:lang w:val="fr-FR" w:eastAsia="en-GB"/>
              </w:rPr>
              <w:t> </w:t>
            </w:r>
          </w:p>
        </w:tc>
        <w:tc>
          <w:tcPr>
            <w:tcW w:w="887" w:type="dxa"/>
            <w:tcBorders>
              <w:top w:val="nil"/>
              <w:left w:val="nil"/>
              <w:bottom w:val="single" w:sz="4" w:space="0" w:color="auto"/>
              <w:right w:val="single" w:sz="4" w:space="0" w:color="auto"/>
            </w:tcBorders>
            <w:shd w:val="clear" w:color="auto" w:fill="auto"/>
            <w:noWrap/>
            <w:hideMark/>
          </w:tcPr>
          <w:p w14:paraId="15AB9E91" w14:textId="77777777" w:rsidR="00974E56" w:rsidRPr="00A4333E" w:rsidRDefault="00974E56" w:rsidP="00974E56">
            <w:pPr>
              <w:ind w:left="0" w:firstLine="0"/>
              <w:jc w:val="right"/>
              <w:rPr>
                <w:rFonts w:asciiTheme="minorHAnsi" w:eastAsia="Times New Roman" w:hAnsiTheme="minorHAnsi" w:cstheme="minorHAnsi"/>
                <w:sz w:val="20"/>
                <w:szCs w:val="20"/>
                <w:lang w:val="fr-FR" w:eastAsia="en-GB"/>
              </w:rPr>
            </w:pPr>
            <w:r w:rsidRPr="00A4333E">
              <w:rPr>
                <w:rFonts w:asciiTheme="minorHAnsi" w:eastAsia="Times New Roman" w:hAnsiTheme="minorHAnsi" w:cstheme="minorHAnsi"/>
                <w:sz w:val="20"/>
                <w:szCs w:val="20"/>
                <w:lang w:val="fr-FR" w:eastAsia="en-GB"/>
              </w:rPr>
              <w:t> </w:t>
            </w:r>
          </w:p>
        </w:tc>
        <w:tc>
          <w:tcPr>
            <w:tcW w:w="977" w:type="dxa"/>
            <w:tcBorders>
              <w:top w:val="nil"/>
              <w:left w:val="nil"/>
              <w:bottom w:val="single" w:sz="4" w:space="0" w:color="auto"/>
              <w:right w:val="single" w:sz="4" w:space="0" w:color="auto"/>
            </w:tcBorders>
            <w:shd w:val="clear" w:color="auto" w:fill="auto"/>
            <w:noWrap/>
            <w:hideMark/>
          </w:tcPr>
          <w:p w14:paraId="73EECB75" w14:textId="77777777" w:rsidR="00974E56" w:rsidRPr="00A4333E" w:rsidRDefault="00974E56" w:rsidP="00974E56">
            <w:pPr>
              <w:ind w:left="0" w:firstLine="0"/>
              <w:jc w:val="right"/>
              <w:rPr>
                <w:rFonts w:asciiTheme="minorHAnsi" w:eastAsia="Times New Roman" w:hAnsiTheme="minorHAnsi" w:cstheme="minorHAnsi"/>
                <w:sz w:val="20"/>
                <w:szCs w:val="20"/>
                <w:lang w:val="fr-FR" w:eastAsia="en-GB"/>
              </w:rPr>
            </w:pPr>
            <w:r w:rsidRPr="00A4333E">
              <w:rPr>
                <w:rFonts w:asciiTheme="minorHAnsi" w:eastAsia="Times New Roman" w:hAnsiTheme="minorHAnsi" w:cstheme="minorHAnsi"/>
                <w:sz w:val="20"/>
                <w:szCs w:val="20"/>
                <w:lang w:val="fr-FR" w:eastAsia="en-GB"/>
              </w:rPr>
              <w:t> </w:t>
            </w:r>
          </w:p>
        </w:tc>
        <w:tc>
          <w:tcPr>
            <w:tcW w:w="887" w:type="dxa"/>
            <w:tcBorders>
              <w:top w:val="nil"/>
              <w:left w:val="nil"/>
              <w:bottom w:val="single" w:sz="4" w:space="0" w:color="auto"/>
              <w:right w:val="single" w:sz="4" w:space="0" w:color="auto"/>
            </w:tcBorders>
            <w:shd w:val="clear" w:color="auto" w:fill="auto"/>
            <w:noWrap/>
            <w:hideMark/>
          </w:tcPr>
          <w:p w14:paraId="2B003CD8" w14:textId="77777777" w:rsidR="00974E56" w:rsidRPr="00A4333E" w:rsidRDefault="00974E56" w:rsidP="00974E56">
            <w:pPr>
              <w:ind w:left="0" w:firstLine="0"/>
              <w:jc w:val="right"/>
              <w:rPr>
                <w:rFonts w:asciiTheme="minorHAnsi" w:eastAsia="Times New Roman" w:hAnsiTheme="minorHAnsi" w:cstheme="minorHAnsi"/>
                <w:sz w:val="20"/>
                <w:szCs w:val="20"/>
                <w:lang w:val="fr-FR" w:eastAsia="en-GB"/>
              </w:rPr>
            </w:pPr>
            <w:r w:rsidRPr="00A4333E">
              <w:rPr>
                <w:rFonts w:asciiTheme="minorHAnsi" w:eastAsia="Times New Roman" w:hAnsiTheme="minorHAnsi" w:cstheme="minorHAnsi"/>
                <w:sz w:val="20"/>
                <w:szCs w:val="20"/>
                <w:lang w:val="fr-FR" w:eastAsia="en-GB"/>
              </w:rPr>
              <w:t> </w:t>
            </w:r>
          </w:p>
        </w:tc>
        <w:tc>
          <w:tcPr>
            <w:tcW w:w="1091" w:type="dxa"/>
            <w:tcBorders>
              <w:top w:val="nil"/>
              <w:left w:val="nil"/>
              <w:bottom w:val="single" w:sz="4" w:space="0" w:color="auto"/>
              <w:right w:val="single" w:sz="4" w:space="0" w:color="auto"/>
            </w:tcBorders>
            <w:shd w:val="clear" w:color="auto" w:fill="auto"/>
            <w:noWrap/>
            <w:hideMark/>
          </w:tcPr>
          <w:p w14:paraId="432AEF54" w14:textId="77777777" w:rsidR="00974E56" w:rsidRPr="00A4333E" w:rsidRDefault="00974E56" w:rsidP="00974E56">
            <w:pPr>
              <w:ind w:left="0" w:firstLine="0"/>
              <w:jc w:val="right"/>
              <w:rPr>
                <w:rFonts w:asciiTheme="minorHAnsi" w:eastAsia="Times New Roman" w:hAnsiTheme="minorHAnsi" w:cstheme="minorHAnsi"/>
                <w:sz w:val="20"/>
                <w:szCs w:val="20"/>
                <w:lang w:val="fr-FR" w:eastAsia="en-GB"/>
              </w:rPr>
            </w:pPr>
            <w:r w:rsidRPr="00A4333E">
              <w:rPr>
                <w:rFonts w:asciiTheme="minorHAnsi" w:eastAsia="Times New Roman" w:hAnsiTheme="minorHAnsi" w:cstheme="minorHAnsi"/>
                <w:sz w:val="20"/>
                <w:szCs w:val="20"/>
                <w:lang w:val="fr-FR" w:eastAsia="en-GB"/>
              </w:rPr>
              <w:t> </w:t>
            </w:r>
          </w:p>
        </w:tc>
        <w:tc>
          <w:tcPr>
            <w:tcW w:w="1121" w:type="dxa"/>
            <w:tcBorders>
              <w:top w:val="nil"/>
              <w:left w:val="nil"/>
              <w:bottom w:val="single" w:sz="4" w:space="0" w:color="auto"/>
              <w:right w:val="single" w:sz="4" w:space="0" w:color="auto"/>
            </w:tcBorders>
            <w:shd w:val="clear" w:color="auto" w:fill="auto"/>
            <w:noWrap/>
            <w:hideMark/>
          </w:tcPr>
          <w:p w14:paraId="612C4095" w14:textId="77777777" w:rsidR="00974E56" w:rsidRPr="00A4333E" w:rsidRDefault="00974E56" w:rsidP="00974E56">
            <w:pPr>
              <w:ind w:left="0" w:firstLine="0"/>
              <w:jc w:val="right"/>
              <w:rPr>
                <w:rFonts w:asciiTheme="minorHAnsi" w:eastAsia="Times New Roman" w:hAnsiTheme="minorHAnsi" w:cstheme="minorHAnsi"/>
                <w:sz w:val="20"/>
                <w:szCs w:val="20"/>
                <w:lang w:val="fr-FR" w:eastAsia="en-GB"/>
              </w:rPr>
            </w:pPr>
            <w:r w:rsidRPr="00A4333E">
              <w:rPr>
                <w:rFonts w:asciiTheme="minorHAnsi" w:eastAsia="Times New Roman" w:hAnsiTheme="minorHAnsi" w:cstheme="minorHAnsi"/>
                <w:sz w:val="20"/>
                <w:szCs w:val="20"/>
                <w:lang w:val="fr-FR" w:eastAsia="en-GB"/>
              </w:rPr>
              <w:t> </w:t>
            </w:r>
          </w:p>
        </w:tc>
      </w:tr>
      <w:tr w:rsidR="00974E56" w:rsidRPr="00A4333E" w14:paraId="22F7464E" w14:textId="77777777" w:rsidTr="003F50B6">
        <w:tc>
          <w:tcPr>
            <w:tcW w:w="2985" w:type="dxa"/>
            <w:tcBorders>
              <w:top w:val="nil"/>
              <w:left w:val="single" w:sz="4" w:space="0" w:color="auto"/>
              <w:bottom w:val="single" w:sz="4" w:space="0" w:color="auto"/>
              <w:right w:val="single" w:sz="4" w:space="0" w:color="auto"/>
            </w:tcBorders>
            <w:shd w:val="clear" w:color="auto" w:fill="auto"/>
            <w:noWrap/>
            <w:hideMark/>
          </w:tcPr>
          <w:p w14:paraId="6707505E" w14:textId="27313252" w:rsidR="00974E56" w:rsidRPr="00A4333E" w:rsidRDefault="00974E56" w:rsidP="00974E56">
            <w:pPr>
              <w:ind w:left="0" w:firstLine="0"/>
              <w:rPr>
                <w:rFonts w:asciiTheme="minorHAnsi" w:eastAsia="Times New Roman" w:hAnsiTheme="minorHAnsi" w:cstheme="minorHAnsi"/>
                <w:sz w:val="20"/>
                <w:szCs w:val="20"/>
                <w:lang w:val="fr-FR" w:eastAsia="en-GB"/>
              </w:rPr>
            </w:pPr>
            <w:r w:rsidRPr="00A4333E">
              <w:rPr>
                <w:rFonts w:cs="Calibri"/>
                <w:sz w:val="20"/>
                <w:szCs w:val="20"/>
                <w:lang w:val="fr-FR"/>
              </w:rPr>
              <w:t xml:space="preserve">Contributions des Parties contractantes </w:t>
            </w:r>
          </w:p>
        </w:tc>
        <w:tc>
          <w:tcPr>
            <w:tcW w:w="887" w:type="dxa"/>
            <w:tcBorders>
              <w:top w:val="nil"/>
              <w:left w:val="nil"/>
              <w:bottom w:val="single" w:sz="4" w:space="0" w:color="auto"/>
              <w:right w:val="single" w:sz="4" w:space="0" w:color="auto"/>
            </w:tcBorders>
            <w:shd w:val="clear" w:color="auto" w:fill="auto"/>
            <w:noWrap/>
            <w:hideMark/>
          </w:tcPr>
          <w:p w14:paraId="1EA30CE1" w14:textId="77777777" w:rsidR="00974E56" w:rsidRPr="00A4333E" w:rsidRDefault="00974E56" w:rsidP="00974E56">
            <w:pPr>
              <w:ind w:left="0" w:firstLine="0"/>
              <w:jc w:val="right"/>
              <w:rPr>
                <w:rFonts w:asciiTheme="minorHAnsi" w:eastAsia="Times New Roman" w:hAnsiTheme="minorHAnsi" w:cstheme="minorHAnsi"/>
                <w:sz w:val="20"/>
                <w:szCs w:val="20"/>
                <w:lang w:val="fr-FR" w:eastAsia="en-GB"/>
              </w:rPr>
            </w:pPr>
            <w:r w:rsidRPr="00A4333E">
              <w:rPr>
                <w:rFonts w:asciiTheme="minorHAnsi" w:eastAsia="Times New Roman" w:hAnsiTheme="minorHAnsi" w:cstheme="minorHAnsi"/>
                <w:sz w:val="20"/>
                <w:szCs w:val="20"/>
                <w:lang w:val="fr-FR" w:eastAsia="en-GB"/>
              </w:rPr>
              <w:t xml:space="preserve">3,779 </w:t>
            </w:r>
          </w:p>
        </w:tc>
        <w:tc>
          <w:tcPr>
            <w:tcW w:w="887" w:type="dxa"/>
            <w:tcBorders>
              <w:top w:val="nil"/>
              <w:left w:val="nil"/>
              <w:bottom w:val="single" w:sz="4" w:space="0" w:color="auto"/>
              <w:right w:val="single" w:sz="4" w:space="0" w:color="auto"/>
            </w:tcBorders>
            <w:shd w:val="clear" w:color="auto" w:fill="auto"/>
            <w:noWrap/>
            <w:hideMark/>
          </w:tcPr>
          <w:p w14:paraId="7031C856" w14:textId="77777777" w:rsidR="00974E56" w:rsidRPr="00A4333E" w:rsidRDefault="00974E56" w:rsidP="00974E56">
            <w:pPr>
              <w:ind w:left="0" w:firstLine="0"/>
              <w:jc w:val="right"/>
              <w:rPr>
                <w:rFonts w:asciiTheme="minorHAnsi" w:eastAsia="Times New Roman" w:hAnsiTheme="minorHAnsi" w:cstheme="minorHAnsi"/>
                <w:sz w:val="20"/>
                <w:szCs w:val="20"/>
                <w:lang w:val="fr-FR" w:eastAsia="en-GB"/>
              </w:rPr>
            </w:pPr>
            <w:r w:rsidRPr="00A4333E">
              <w:rPr>
                <w:rFonts w:asciiTheme="minorHAnsi" w:eastAsia="Times New Roman" w:hAnsiTheme="minorHAnsi" w:cstheme="minorHAnsi"/>
                <w:sz w:val="20"/>
                <w:szCs w:val="20"/>
                <w:lang w:val="fr-FR" w:eastAsia="en-GB"/>
              </w:rPr>
              <w:t xml:space="preserve">3,779 </w:t>
            </w:r>
          </w:p>
        </w:tc>
        <w:tc>
          <w:tcPr>
            <w:tcW w:w="887" w:type="dxa"/>
            <w:tcBorders>
              <w:top w:val="nil"/>
              <w:left w:val="nil"/>
              <w:bottom w:val="single" w:sz="4" w:space="0" w:color="auto"/>
              <w:right w:val="single" w:sz="4" w:space="0" w:color="auto"/>
            </w:tcBorders>
            <w:shd w:val="clear" w:color="auto" w:fill="auto"/>
            <w:noWrap/>
            <w:hideMark/>
          </w:tcPr>
          <w:p w14:paraId="40DF78B6" w14:textId="77777777" w:rsidR="00974E56" w:rsidRPr="00A4333E" w:rsidRDefault="00974E56" w:rsidP="00974E56">
            <w:pPr>
              <w:ind w:left="0" w:firstLine="0"/>
              <w:jc w:val="right"/>
              <w:rPr>
                <w:rFonts w:asciiTheme="minorHAnsi" w:eastAsia="Times New Roman" w:hAnsiTheme="minorHAnsi" w:cstheme="minorHAnsi"/>
                <w:sz w:val="20"/>
                <w:szCs w:val="20"/>
                <w:lang w:val="fr-FR" w:eastAsia="en-GB"/>
              </w:rPr>
            </w:pPr>
            <w:r w:rsidRPr="00A4333E">
              <w:rPr>
                <w:rFonts w:asciiTheme="minorHAnsi" w:eastAsia="Times New Roman" w:hAnsiTheme="minorHAnsi" w:cstheme="minorHAnsi"/>
                <w:sz w:val="20"/>
                <w:szCs w:val="20"/>
                <w:lang w:val="fr-FR" w:eastAsia="en-GB"/>
              </w:rPr>
              <w:t xml:space="preserve">3,779 </w:t>
            </w:r>
          </w:p>
        </w:tc>
        <w:tc>
          <w:tcPr>
            <w:tcW w:w="977" w:type="dxa"/>
            <w:tcBorders>
              <w:top w:val="nil"/>
              <w:left w:val="nil"/>
              <w:bottom w:val="single" w:sz="4" w:space="0" w:color="auto"/>
              <w:right w:val="single" w:sz="4" w:space="0" w:color="auto"/>
            </w:tcBorders>
            <w:shd w:val="clear" w:color="auto" w:fill="auto"/>
            <w:noWrap/>
            <w:hideMark/>
          </w:tcPr>
          <w:p w14:paraId="5826C67E" w14:textId="77777777" w:rsidR="00974E56" w:rsidRPr="00A4333E" w:rsidRDefault="00974E56" w:rsidP="00974E56">
            <w:pPr>
              <w:ind w:left="0" w:firstLine="0"/>
              <w:jc w:val="right"/>
              <w:rPr>
                <w:rFonts w:asciiTheme="minorHAnsi" w:eastAsia="Times New Roman" w:hAnsiTheme="minorHAnsi" w:cstheme="minorHAnsi"/>
                <w:sz w:val="20"/>
                <w:szCs w:val="20"/>
                <w:lang w:val="fr-FR" w:eastAsia="en-GB"/>
              </w:rPr>
            </w:pPr>
            <w:r w:rsidRPr="00A4333E">
              <w:rPr>
                <w:rFonts w:asciiTheme="minorHAnsi" w:eastAsia="Times New Roman" w:hAnsiTheme="minorHAnsi" w:cstheme="minorHAnsi"/>
                <w:sz w:val="20"/>
                <w:szCs w:val="20"/>
                <w:lang w:val="fr-FR" w:eastAsia="en-GB"/>
              </w:rPr>
              <w:t xml:space="preserve">3,779 </w:t>
            </w:r>
          </w:p>
        </w:tc>
        <w:tc>
          <w:tcPr>
            <w:tcW w:w="887" w:type="dxa"/>
            <w:tcBorders>
              <w:top w:val="nil"/>
              <w:left w:val="nil"/>
              <w:bottom w:val="single" w:sz="4" w:space="0" w:color="auto"/>
              <w:right w:val="single" w:sz="4" w:space="0" w:color="auto"/>
            </w:tcBorders>
            <w:shd w:val="clear" w:color="auto" w:fill="auto"/>
            <w:noWrap/>
            <w:hideMark/>
          </w:tcPr>
          <w:p w14:paraId="6299AA96" w14:textId="77777777" w:rsidR="00974E56" w:rsidRPr="00A4333E" w:rsidRDefault="00974E56" w:rsidP="00974E56">
            <w:pPr>
              <w:ind w:left="0" w:firstLine="0"/>
              <w:jc w:val="right"/>
              <w:rPr>
                <w:rFonts w:asciiTheme="minorHAnsi" w:eastAsia="Times New Roman" w:hAnsiTheme="minorHAnsi" w:cstheme="minorHAnsi"/>
                <w:sz w:val="20"/>
                <w:szCs w:val="20"/>
                <w:lang w:val="fr-FR" w:eastAsia="en-GB"/>
              </w:rPr>
            </w:pPr>
            <w:r w:rsidRPr="00A4333E">
              <w:rPr>
                <w:rFonts w:asciiTheme="minorHAnsi" w:eastAsia="Times New Roman" w:hAnsiTheme="minorHAnsi" w:cstheme="minorHAnsi"/>
                <w:sz w:val="20"/>
                <w:szCs w:val="20"/>
                <w:lang w:val="fr-FR" w:eastAsia="en-GB"/>
              </w:rPr>
              <w:t xml:space="preserve">15,116 </w:t>
            </w:r>
          </w:p>
        </w:tc>
        <w:tc>
          <w:tcPr>
            <w:tcW w:w="1091" w:type="dxa"/>
            <w:tcBorders>
              <w:top w:val="nil"/>
              <w:left w:val="nil"/>
              <w:bottom w:val="single" w:sz="4" w:space="0" w:color="auto"/>
              <w:right w:val="single" w:sz="4" w:space="0" w:color="auto"/>
            </w:tcBorders>
            <w:shd w:val="clear" w:color="auto" w:fill="auto"/>
            <w:noWrap/>
            <w:hideMark/>
          </w:tcPr>
          <w:p w14:paraId="3C321C07" w14:textId="77777777" w:rsidR="00974E56" w:rsidRPr="00A4333E" w:rsidRDefault="00974E56" w:rsidP="00974E56">
            <w:pPr>
              <w:ind w:left="0" w:firstLine="0"/>
              <w:jc w:val="right"/>
              <w:rPr>
                <w:rFonts w:asciiTheme="minorHAnsi" w:eastAsia="Times New Roman" w:hAnsiTheme="minorHAnsi" w:cstheme="minorHAnsi"/>
                <w:sz w:val="20"/>
                <w:szCs w:val="20"/>
                <w:lang w:val="fr-FR" w:eastAsia="en-GB"/>
              </w:rPr>
            </w:pPr>
            <w:r w:rsidRPr="00A4333E">
              <w:rPr>
                <w:rFonts w:asciiTheme="minorHAnsi" w:eastAsia="Times New Roman" w:hAnsiTheme="minorHAnsi" w:cstheme="minorHAnsi"/>
                <w:sz w:val="20"/>
                <w:szCs w:val="20"/>
                <w:lang w:val="fr-FR" w:eastAsia="en-GB"/>
              </w:rPr>
              <w:t xml:space="preserve">15,116 </w:t>
            </w:r>
          </w:p>
        </w:tc>
        <w:tc>
          <w:tcPr>
            <w:tcW w:w="1121" w:type="dxa"/>
            <w:tcBorders>
              <w:top w:val="nil"/>
              <w:left w:val="nil"/>
              <w:bottom w:val="single" w:sz="4" w:space="0" w:color="auto"/>
              <w:right w:val="single" w:sz="4" w:space="0" w:color="auto"/>
            </w:tcBorders>
            <w:shd w:val="clear" w:color="auto" w:fill="auto"/>
            <w:noWrap/>
            <w:hideMark/>
          </w:tcPr>
          <w:p w14:paraId="696A02B8" w14:textId="77777777" w:rsidR="00974E56" w:rsidRPr="00A4333E" w:rsidRDefault="00974E56" w:rsidP="00974E56">
            <w:pPr>
              <w:ind w:left="0" w:firstLine="0"/>
              <w:jc w:val="right"/>
              <w:rPr>
                <w:rFonts w:asciiTheme="minorHAnsi" w:eastAsia="Times New Roman" w:hAnsiTheme="minorHAnsi" w:cstheme="minorHAnsi"/>
                <w:sz w:val="20"/>
                <w:szCs w:val="20"/>
                <w:lang w:val="fr-FR" w:eastAsia="en-GB"/>
              </w:rPr>
            </w:pPr>
            <w:r w:rsidRPr="00A4333E">
              <w:rPr>
                <w:rFonts w:asciiTheme="minorHAnsi" w:eastAsia="Times New Roman" w:hAnsiTheme="minorHAnsi" w:cstheme="minorHAnsi"/>
                <w:sz w:val="20"/>
                <w:szCs w:val="20"/>
                <w:lang w:val="fr-FR" w:eastAsia="en-GB"/>
              </w:rPr>
              <w:t xml:space="preserve">0 </w:t>
            </w:r>
          </w:p>
        </w:tc>
      </w:tr>
      <w:tr w:rsidR="002866BB" w:rsidRPr="00A4333E" w14:paraId="127E6D07" w14:textId="77777777" w:rsidTr="003F50B6">
        <w:tc>
          <w:tcPr>
            <w:tcW w:w="2985" w:type="dxa"/>
            <w:tcBorders>
              <w:top w:val="nil"/>
              <w:left w:val="single" w:sz="4" w:space="0" w:color="auto"/>
              <w:bottom w:val="single" w:sz="4" w:space="0" w:color="auto"/>
              <w:right w:val="single" w:sz="4" w:space="0" w:color="auto"/>
            </w:tcBorders>
            <w:shd w:val="clear" w:color="auto" w:fill="auto"/>
            <w:noWrap/>
            <w:vAlign w:val="center"/>
            <w:hideMark/>
          </w:tcPr>
          <w:p w14:paraId="0350E2AD" w14:textId="0DCF9533" w:rsidR="002866BB" w:rsidRPr="00A4333E" w:rsidRDefault="002866BB" w:rsidP="00496214">
            <w:pPr>
              <w:ind w:left="0" w:firstLine="0"/>
              <w:rPr>
                <w:rFonts w:asciiTheme="minorHAnsi" w:eastAsia="Times New Roman" w:hAnsiTheme="minorHAnsi" w:cstheme="minorHAnsi"/>
                <w:sz w:val="20"/>
                <w:szCs w:val="20"/>
                <w:lang w:val="fr-FR" w:eastAsia="en-GB"/>
              </w:rPr>
            </w:pPr>
            <w:r w:rsidRPr="00A4333E">
              <w:rPr>
                <w:rFonts w:asciiTheme="minorHAnsi" w:eastAsia="Times New Roman" w:hAnsiTheme="minorHAnsi" w:cstheme="minorHAnsi"/>
                <w:sz w:val="20"/>
                <w:szCs w:val="20"/>
                <w:lang w:val="fr-FR" w:eastAsia="en-GB"/>
              </w:rPr>
              <w:t>Contributions</w:t>
            </w:r>
            <w:r w:rsidR="00974E56" w:rsidRPr="00A4333E">
              <w:rPr>
                <w:rFonts w:asciiTheme="minorHAnsi" w:eastAsia="Times New Roman" w:hAnsiTheme="minorHAnsi" w:cstheme="minorHAnsi"/>
                <w:sz w:val="20"/>
                <w:szCs w:val="20"/>
                <w:lang w:val="fr-FR" w:eastAsia="en-GB"/>
              </w:rPr>
              <w:t xml:space="preserve"> volontaires</w:t>
            </w:r>
          </w:p>
        </w:tc>
        <w:tc>
          <w:tcPr>
            <w:tcW w:w="887" w:type="dxa"/>
            <w:tcBorders>
              <w:top w:val="nil"/>
              <w:left w:val="nil"/>
              <w:bottom w:val="single" w:sz="4" w:space="0" w:color="auto"/>
              <w:right w:val="single" w:sz="4" w:space="0" w:color="auto"/>
            </w:tcBorders>
            <w:shd w:val="clear" w:color="auto" w:fill="auto"/>
            <w:noWrap/>
            <w:hideMark/>
          </w:tcPr>
          <w:p w14:paraId="5114AD23" w14:textId="0BDFE6CF" w:rsidR="002866BB" w:rsidRPr="00A4333E" w:rsidRDefault="002866BB" w:rsidP="003D145E">
            <w:pPr>
              <w:ind w:left="0" w:firstLine="0"/>
              <w:jc w:val="right"/>
              <w:rPr>
                <w:rFonts w:asciiTheme="minorHAnsi" w:eastAsia="Times New Roman" w:hAnsiTheme="minorHAnsi" w:cstheme="minorHAnsi"/>
                <w:sz w:val="20"/>
                <w:szCs w:val="20"/>
                <w:lang w:val="fr-FR" w:eastAsia="en-GB"/>
              </w:rPr>
            </w:pPr>
            <w:r w:rsidRPr="00A4333E">
              <w:rPr>
                <w:rFonts w:asciiTheme="minorHAnsi" w:eastAsia="Times New Roman" w:hAnsiTheme="minorHAnsi" w:cstheme="minorHAnsi"/>
                <w:sz w:val="20"/>
                <w:szCs w:val="20"/>
                <w:lang w:val="fr-FR" w:eastAsia="en-GB"/>
              </w:rPr>
              <w:t>1,066</w:t>
            </w:r>
          </w:p>
        </w:tc>
        <w:tc>
          <w:tcPr>
            <w:tcW w:w="887" w:type="dxa"/>
            <w:tcBorders>
              <w:top w:val="nil"/>
              <w:left w:val="nil"/>
              <w:bottom w:val="single" w:sz="4" w:space="0" w:color="auto"/>
              <w:right w:val="single" w:sz="4" w:space="0" w:color="auto"/>
            </w:tcBorders>
            <w:shd w:val="clear" w:color="auto" w:fill="auto"/>
            <w:noWrap/>
            <w:hideMark/>
          </w:tcPr>
          <w:p w14:paraId="2142EA97" w14:textId="77777777" w:rsidR="002866BB" w:rsidRPr="00A4333E" w:rsidRDefault="002866BB" w:rsidP="003D145E">
            <w:pPr>
              <w:ind w:left="0" w:firstLine="0"/>
              <w:jc w:val="right"/>
              <w:rPr>
                <w:rFonts w:asciiTheme="minorHAnsi" w:eastAsia="Times New Roman" w:hAnsiTheme="minorHAnsi" w:cstheme="minorHAnsi"/>
                <w:sz w:val="20"/>
                <w:szCs w:val="20"/>
                <w:lang w:val="fr-FR" w:eastAsia="en-GB"/>
              </w:rPr>
            </w:pPr>
            <w:r w:rsidRPr="00A4333E">
              <w:rPr>
                <w:rFonts w:asciiTheme="minorHAnsi" w:eastAsia="Times New Roman" w:hAnsiTheme="minorHAnsi" w:cstheme="minorHAnsi"/>
                <w:sz w:val="20"/>
                <w:szCs w:val="20"/>
                <w:lang w:val="fr-FR" w:eastAsia="en-GB"/>
              </w:rPr>
              <w:t xml:space="preserve">1,065 </w:t>
            </w:r>
          </w:p>
        </w:tc>
        <w:tc>
          <w:tcPr>
            <w:tcW w:w="887" w:type="dxa"/>
            <w:tcBorders>
              <w:top w:val="nil"/>
              <w:left w:val="nil"/>
              <w:bottom w:val="single" w:sz="4" w:space="0" w:color="auto"/>
              <w:right w:val="single" w:sz="4" w:space="0" w:color="auto"/>
            </w:tcBorders>
            <w:shd w:val="clear" w:color="auto" w:fill="auto"/>
            <w:noWrap/>
            <w:hideMark/>
          </w:tcPr>
          <w:p w14:paraId="1F2E694A" w14:textId="77777777" w:rsidR="002866BB" w:rsidRPr="00A4333E" w:rsidRDefault="002866BB" w:rsidP="003D145E">
            <w:pPr>
              <w:ind w:left="0" w:firstLine="0"/>
              <w:jc w:val="right"/>
              <w:rPr>
                <w:rFonts w:asciiTheme="minorHAnsi" w:eastAsia="Times New Roman" w:hAnsiTheme="minorHAnsi" w:cstheme="minorHAnsi"/>
                <w:sz w:val="20"/>
                <w:szCs w:val="20"/>
                <w:lang w:val="fr-FR" w:eastAsia="en-GB"/>
              </w:rPr>
            </w:pPr>
            <w:r w:rsidRPr="00A4333E">
              <w:rPr>
                <w:rFonts w:asciiTheme="minorHAnsi" w:eastAsia="Times New Roman" w:hAnsiTheme="minorHAnsi" w:cstheme="minorHAnsi"/>
                <w:sz w:val="20"/>
                <w:szCs w:val="20"/>
                <w:lang w:val="fr-FR" w:eastAsia="en-GB"/>
              </w:rPr>
              <w:t xml:space="preserve">1,065 </w:t>
            </w:r>
          </w:p>
        </w:tc>
        <w:tc>
          <w:tcPr>
            <w:tcW w:w="977" w:type="dxa"/>
            <w:tcBorders>
              <w:top w:val="nil"/>
              <w:left w:val="nil"/>
              <w:bottom w:val="single" w:sz="4" w:space="0" w:color="auto"/>
              <w:right w:val="single" w:sz="4" w:space="0" w:color="auto"/>
            </w:tcBorders>
            <w:shd w:val="clear" w:color="auto" w:fill="auto"/>
            <w:noWrap/>
            <w:hideMark/>
          </w:tcPr>
          <w:p w14:paraId="528A0BD5" w14:textId="77777777" w:rsidR="002866BB" w:rsidRPr="00A4333E" w:rsidRDefault="002866BB" w:rsidP="003D145E">
            <w:pPr>
              <w:ind w:left="0" w:firstLine="0"/>
              <w:jc w:val="right"/>
              <w:rPr>
                <w:rFonts w:asciiTheme="minorHAnsi" w:eastAsia="Times New Roman" w:hAnsiTheme="minorHAnsi" w:cstheme="minorHAnsi"/>
                <w:sz w:val="20"/>
                <w:szCs w:val="20"/>
                <w:lang w:val="fr-FR" w:eastAsia="en-GB"/>
              </w:rPr>
            </w:pPr>
            <w:r w:rsidRPr="00A4333E">
              <w:rPr>
                <w:rFonts w:asciiTheme="minorHAnsi" w:eastAsia="Times New Roman" w:hAnsiTheme="minorHAnsi" w:cstheme="minorHAnsi"/>
                <w:sz w:val="20"/>
                <w:szCs w:val="20"/>
                <w:lang w:val="fr-FR" w:eastAsia="en-GB"/>
              </w:rPr>
              <w:t xml:space="preserve">1,065 </w:t>
            </w:r>
          </w:p>
        </w:tc>
        <w:tc>
          <w:tcPr>
            <w:tcW w:w="887" w:type="dxa"/>
            <w:tcBorders>
              <w:top w:val="nil"/>
              <w:left w:val="nil"/>
              <w:bottom w:val="single" w:sz="4" w:space="0" w:color="auto"/>
              <w:right w:val="single" w:sz="4" w:space="0" w:color="auto"/>
            </w:tcBorders>
            <w:shd w:val="clear" w:color="auto" w:fill="auto"/>
            <w:noWrap/>
            <w:hideMark/>
          </w:tcPr>
          <w:p w14:paraId="14F4BCF4" w14:textId="77777777" w:rsidR="002866BB" w:rsidRPr="00A4333E" w:rsidRDefault="002866BB" w:rsidP="003D145E">
            <w:pPr>
              <w:ind w:left="0" w:firstLine="0"/>
              <w:jc w:val="right"/>
              <w:rPr>
                <w:rFonts w:asciiTheme="minorHAnsi" w:eastAsia="Times New Roman" w:hAnsiTheme="minorHAnsi" w:cstheme="minorHAnsi"/>
                <w:sz w:val="20"/>
                <w:szCs w:val="20"/>
                <w:lang w:val="fr-FR" w:eastAsia="en-GB"/>
              </w:rPr>
            </w:pPr>
            <w:r w:rsidRPr="00A4333E">
              <w:rPr>
                <w:rFonts w:asciiTheme="minorHAnsi" w:eastAsia="Times New Roman" w:hAnsiTheme="minorHAnsi" w:cstheme="minorHAnsi"/>
                <w:sz w:val="20"/>
                <w:szCs w:val="20"/>
                <w:lang w:val="fr-FR" w:eastAsia="en-GB"/>
              </w:rPr>
              <w:t xml:space="preserve">4,261 </w:t>
            </w:r>
          </w:p>
        </w:tc>
        <w:tc>
          <w:tcPr>
            <w:tcW w:w="1091" w:type="dxa"/>
            <w:tcBorders>
              <w:top w:val="nil"/>
              <w:left w:val="nil"/>
              <w:bottom w:val="single" w:sz="4" w:space="0" w:color="auto"/>
              <w:right w:val="single" w:sz="4" w:space="0" w:color="auto"/>
            </w:tcBorders>
            <w:shd w:val="clear" w:color="auto" w:fill="auto"/>
            <w:noWrap/>
            <w:hideMark/>
          </w:tcPr>
          <w:p w14:paraId="0C019690" w14:textId="77777777" w:rsidR="002866BB" w:rsidRPr="00A4333E" w:rsidRDefault="002866BB" w:rsidP="003D145E">
            <w:pPr>
              <w:ind w:left="0" w:firstLine="0"/>
              <w:jc w:val="right"/>
              <w:rPr>
                <w:rFonts w:asciiTheme="minorHAnsi" w:eastAsia="Times New Roman" w:hAnsiTheme="minorHAnsi" w:cstheme="minorHAnsi"/>
                <w:sz w:val="20"/>
                <w:szCs w:val="20"/>
                <w:lang w:val="fr-FR" w:eastAsia="en-GB"/>
              </w:rPr>
            </w:pPr>
            <w:r w:rsidRPr="00A4333E">
              <w:rPr>
                <w:rFonts w:asciiTheme="minorHAnsi" w:eastAsia="Times New Roman" w:hAnsiTheme="minorHAnsi" w:cstheme="minorHAnsi"/>
                <w:sz w:val="20"/>
                <w:szCs w:val="20"/>
                <w:lang w:val="fr-FR" w:eastAsia="en-GB"/>
              </w:rPr>
              <w:t xml:space="preserve">4,260 </w:t>
            </w:r>
          </w:p>
        </w:tc>
        <w:tc>
          <w:tcPr>
            <w:tcW w:w="1121" w:type="dxa"/>
            <w:tcBorders>
              <w:top w:val="nil"/>
              <w:left w:val="nil"/>
              <w:bottom w:val="single" w:sz="4" w:space="0" w:color="auto"/>
              <w:right w:val="single" w:sz="4" w:space="0" w:color="auto"/>
            </w:tcBorders>
            <w:shd w:val="clear" w:color="auto" w:fill="auto"/>
            <w:noWrap/>
            <w:hideMark/>
          </w:tcPr>
          <w:p w14:paraId="33F9D573" w14:textId="79F9876E" w:rsidR="002866BB" w:rsidRPr="00A4333E" w:rsidRDefault="002866BB" w:rsidP="003D145E">
            <w:pPr>
              <w:ind w:left="0" w:firstLine="0"/>
              <w:jc w:val="right"/>
              <w:rPr>
                <w:rFonts w:asciiTheme="minorHAnsi" w:eastAsia="Times New Roman" w:hAnsiTheme="minorHAnsi" w:cstheme="minorHAnsi"/>
                <w:sz w:val="20"/>
                <w:szCs w:val="20"/>
                <w:lang w:val="fr-FR" w:eastAsia="en-GB"/>
              </w:rPr>
            </w:pPr>
            <w:r w:rsidRPr="00A4333E">
              <w:rPr>
                <w:rFonts w:asciiTheme="minorHAnsi" w:eastAsia="Times New Roman" w:hAnsiTheme="minorHAnsi" w:cstheme="minorHAnsi"/>
                <w:sz w:val="20"/>
                <w:szCs w:val="20"/>
                <w:lang w:val="fr-FR" w:eastAsia="en-GB"/>
              </w:rPr>
              <w:t xml:space="preserve"> (1)</w:t>
            </w:r>
          </w:p>
        </w:tc>
      </w:tr>
      <w:tr w:rsidR="002866BB" w:rsidRPr="00A4333E" w14:paraId="1BAFD30D" w14:textId="77777777" w:rsidTr="003F50B6">
        <w:tc>
          <w:tcPr>
            <w:tcW w:w="2985" w:type="dxa"/>
            <w:tcBorders>
              <w:top w:val="nil"/>
              <w:left w:val="single" w:sz="4" w:space="0" w:color="auto"/>
              <w:bottom w:val="single" w:sz="4" w:space="0" w:color="auto"/>
              <w:right w:val="single" w:sz="4" w:space="0" w:color="auto"/>
            </w:tcBorders>
            <w:shd w:val="clear" w:color="auto" w:fill="auto"/>
            <w:noWrap/>
            <w:vAlign w:val="center"/>
            <w:hideMark/>
          </w:tcPr>
          <w:p w14:paraId="17296DA0" w14:textId="37598836" w:rsidR="002866BB" w:rsidRPr="00A4333E" w:rsidRDefault="002866BB" w:rsidP="00496214">
            <w:pPr>
              <w:ind w:left="0" w:firstLine="0"/>
              <w:rPr>
                <w:rFonts w:asciiTheme="minorHAnsi" w:eastAsia="Times New Roman" w:hAnsiTheme="minorHAnsi" w:cstheme="minorHAnsi"/>
                <w:sz w:val="20"/>
                <w:szCs w:val="20"/>
                <w:lang w:val="fr-FR" w:eastAsia="en-GB"/>
              </w:rPr>
            </w:pPr>
            <w:r w:rsidRPr="00A4333E">
              <w:rPr>
                <w:rFonts w:asciiTheme="minorHAnsi" w:eastAsia="Times New Roman" w:hAnsiTheme="minorHAnsi" w:cstheme="minorHAnsi"/>
                <w:sz w:val="20"/>
                <w:szCs w:val="20"/>
                <w:lang w:val="fr-FR" w:eastAsia="en-GB"/>
              </w:rPr>
              <w:t>I</w:t>
            </w:r>
            <w:r w:rsidR="00974E56" w:rsidRPr="00A4333E">
              <w:rPr>
                <w:rFonts w:asciiTheme="minorHAnsi" w:eastAsia="Times New Roman" w:hAnsiTheme="minorHAnsi" w:cstheme="minorHAnsi"/>
                <w:sz w:val="20"/>
                <w:szCs w:val="20"/>
                <w:lang w:val="fr-FR" w:eastAsia="en-GB"/>
              </w:rPr>
              <w:t>mpôt</w:t>
            </w:r>
          </w:p>
        </w:tc>
        <w:tc>
          <w:tcPr>
            <w:tcW w:w="887" w:type="dxa"/>
            <w:tcBorders>
              <w:top w:val="nil"/>
              <w:left w:val="nil"/>
              <w:bottom w:val="single" w:sz="4" w:space="0" w:color="auto"/>
              <w:right w:val="single" w:sz="4" w:space="0" w:color="auto"/>
            </w:tcBorders>
            <w:shd w:val="clear" w:color="auto" w:fill="auto"/>
            <w:noWrap/>
            <w:hideMark/>
          </w:tcPr>
          <w:p w14:paraId="2B5F62ED" w14:textId="77777777" w:rsidR="002866BB" w:rsidRPr="00A4333E" w:rsidRDefault="002866BB" w:rsidP="003D145E">
            <w:pPr>
              <w:ind w:left="0" w:firstLine="0"/>
              <w:jc w:val="right"/>
              <w:rPr>
                <w:rFonts w:asciiTheme="minorHAnsi" w:eastAsia="Times New Roman" w:hAnsiTheme="minorHAnsi" w:cstheme="minorHAnsi"/>
                <w:sz w:val="20"/>
                <w:szCs w:val="20"/>
                <w:lang w:val="fr-FR" w:eastAsia="en-GB"/>
              </w:rPr>
            </w:pPr>
            <w:r w:rsidRPr="00A4333E">
              <w:rPr>
                <w:rFonts w:asciiTheme="minorHAnsi" w:eastAsia="Times New Roman" w:hAnsiTheme="minorHAnsi" w:cstheme="minorHAnsi"/>
                <w:sz w:val="20"/>
                <w:szCs w:val="20"/>
                <w:lang w:val="fr-FR" w:eastAsia="en-GB"/>
              </w:rPr>
              <w:t xml:space="preserve">202 </w:t>
            </w:r>
          </w:p>
        </w:tc>
        <w:tc>
          <w:tcPr>
            <w:tcW w:w="887" w:type="dxa"/>
            <w:tcBorders>
              <w:top w:val="nil"/>
              <w:left w:val="nil"/>
              <w:bottom w:val="single" w:sz="4" w:space="0" w:color="auto"/>
              <w:right w:val="single" w:sz="4" w:space="0" w:color="auto"/>
            </w:tcBorders>
            <w:shd w:val="clear" w:color="auto" w:fill="auto"/>
            <w:noWrap/>
            <w:hideMark/>
          </w:tcPr>
          <w:p w14:paraId="0562E2BC" w14:textId="77777777" w:rsidR="002866BB" w:rsidRPr="00A4333E" w:rsidRDefault="002866BB" w:rsidP="003D145E">
            <w:pPr>
              <w:ind w:left="0" w:firstLine="0"/>
              <w:jc w:val="right"/>
              <w:rPr>
                <w:rFonts w:asciiTheme="minorHAnsi" w:eastAsia="Times New Roman" w:hAnsiTheme="minorHAnsi" w:cstheme="minorHAnsi"/>
                <w:sz w:val="20"/>
                <w:szCs w:val="20"/>
                <w:lang w:val="fr-FR" w:eastAsia="en-GB"/>
              </w:rPr>
            </w:pPr>
            <w:r w:rsidRPr="00A4333E">
              <w:rPr>
                <w:rFonts w:asciiTheme="minorHAnsi" w:eastAsia="Times New Roman" w:hAnsiTheme="minorHAnsi" w:cstheme="minorHAnsi"/>
                <w:sz w:val="20"/>
                <w:szCs w:val="20"/>
                <w:lang w:val="fr-FR" w:eastAsia="en-GB"/>
              </w:rPr>
              <w:t xml:space="preserve">185 </w:t>
            </w:r>
          </w:p>
        </w:tc>
        <w:tc>
          <w:tcPr>
            <w:tcW w:w="887" w:type="dxa"/>
            <w:tcBorders>
              <w:top w:val="nil"/>
              <w:left w:val="nil"/>
              <w:bottom w:val="single" w:sz="4" w:space="0" w:color="auto"/>
              <w:right w:val="single" w:sz="4" w:space="0" w:color="auto"/>
            </w:tcBorders>
            <w:shd w:val="clear" w:color="auto" w:fill="auto"/>
            <w:noWrap/>
            <w:hideMark/>
          </w:tcPr>
          <w:p w14:paraId="3DA10876" w14:textId="77777777" w:rsidR="002866BB" w:rsidRPr="00A4333E" w:rsidRDefault="002866BB" w:rsidP="003D145E">
            <w:pPr>
              <w:ind w:left="0" w:firstLine="0"/>
              <w:jc w:val="right"/>
              <w:rPr>
                <w:rFonts w:asciiTheme="minorHAnsi" w:eastAsia="Times New Roman" w:hAnsiTheme="minorHAnsi" w:cstheme="minorHAnsi"/>
                <w:sz w:val="20"/>
                <w:szCs w:val="20"/>
                <w:lang w:val="fr-FR" w:eastAsia="en-GB"/>
              </w:rPr>
            </w:pPr>
            <w:r w:rsidRPr="00A4333E">
              <w:rPr>
                <w:rFonts w:asciiTheme="minorHAnsi" w:eastAsia="Times New Roman" w:hAnsiTheme="minorHAnsi" w:cstheme="minorHAnsi"/>
                <w:sz w:val="20"/>
                <w:szCs w:val="20"/>
                <w:lang w:val="fr-FR" w:eastAsia="en-GB"/>
              </w:rPr>
              <w:t xml:space="preserve">227 </w:t>
            </w:r>
          </w:p>
        </w:tc>
        <w:tc>
          <w:tcPr>
            <w:tcW w:w="977" w:type="dxa"/>
            <w:tcBorders>
              <w:top w:val="nil"/>
              <w:left w:val="nil"/>
              <w:bottom w:val="single" w:sz="4" w:space="0" w:color="auto"/>
              <w:right w:val="single" w:sz="4" w:space="0" w:color="auto"/>
            </w:tcBorders>
            <w:shd w:val="clear" w:color="auto" w:fill="auto"/>
            <w:noWrap/>
            <w:hideMark/>
          </w:tcPr>
          <w:p w14:paraId="65CE5940" w14:textId="77777777" w:rsidR="002866BB" w:rsidRPr="00A4333E" w:rsidRDefault="002866BB" w:rsidP="003D145E">
            <w:pPr>
              <w:ind w:left="0" w:firstLine="0"/>
              <w:jc w:val="right"/>
              <w:rPr>
                <w:rFonts w:asciiTheme="minorHAnsi" w:eastAsia="Times New Roman" w:hAnsiTheme="minorHAnsi" w:cstheme="minorHAnsi"/>
                <w:sz w:val="20"/>
                <w:szCs w:val="20"/>
                <w:lang w:val="fr-FR" w:eastAsia="en-GB"/>
              </w:rPr>
            </w:pPr>
            <w:r w:rsidRPr="00A4333E">
              <w:rPr>
                <w:rFonts w:asciiTheme="minorHAnsi" w:eastAsia="Times New Roman" w:hAnsiTheme="minorHAnsi" w:cstheme="minorHAnsi"/>
                <w:sz w:val="20"/>
                <w:szCs w:val="20"/>
                <w:lang w:val="fr-FR" w:eastAsia="en-GB"/>
              </w:rPr>
              <w:t xml:space="preserve">225 </w:t>
            </w:r>
          </w:p>
        </w:tc>
        <w:tc>
          <w:tcPr>
            <w:tcW w:w="887" w:type="dxa"/>
            <w:tcBorders>
              <w:top w:val="nil"/>
              <w:left w:val="nil"/>
              <w:bottom w:val="single" w:sz="4" w:space="0" w:color="auto"/>
              <w:right w:val="single" w:sz="4" w:space="0" w:color="auto"/>
            </w:tcBorders>
            <w:shd w:val="clear" w:color="auto" w:fill="auto"/>
            <w:noWrap/>
            <w:hideMark/>
          </w:tcPr>
          <w:p w14:paraId="3842E9E8" w14:textId="77777777" w:rsidR="002866BB" w:rsidRPr="00A4333E" w:rsidRDefault="002866BB" w:rsidP="003D145E">
            <w:pPr>
              <w:ind w:left="0" w:firstLine="0"/>
              <w:jc w:val="right"/>
              <w:rPr>
                <w:rFonts w:asciiTheme="minorHAnsi" w:eastAsia="Times New Roman" w:hAnsiTheme="minorHAnsi" w:cstheme="minorHAnsi"/>
                <w:sz w:val="20"/>
                <w:szCs w:val="20"/>
                <w:lang w:val="fr-FR" w:eastAsia="en-GB"/>
              </w:rPr>
            </w:pPr>
            <w:r w:rsidRPr="00A4333E">
              <w:rPr>
                <w:rFonts w:asciiTheme="minorHAnsi" w:eastAsia="Times New Roman" w:hAnsiTheme="minorHAnsi" w:cstheme="minorHAnsi"/>
                <w:sz w:val="20"/>
                <w:szCs w:val="20"/>
                <w:lang w:val="fr-FR" w:eastAsia="en-GB"/>
              </w:rPr>
              <w:t xml:space="preserve">839 </w:t>
            </w:r>
          </w:p>
        </w:tc>
        <w:tc>
          <w:tcPr>
            <w:tcW w:w="1091" w:type="dxa"/>
            <w:tcBorders>
              <w:top w:val="nil"/>
              <w:left w:val="nil"/>
              <w:bottom w:val="single" w:sz="4" w:space="0" w:color="auto"/>
              <w:right w:val="single" w:sz="4" w:space="0" w:color="auto"/>
            </w:tcBorders>
            <w:shd w:val="clear" w:color="auto" w:fill="auto"/>
            <w:noWrap/>
            <w:hideMark/>
          </w:tcPr>
          <w:p w14:paraId="7A143435" w14:textId="77777777" w:rsidR="002866BB" w:rsidRPr="00A4333E" w:rsidRDefault="002866BB" w:rsidP="003D145E">
            <w:pPr>
              <w:ind w:left="0" w:firstLine="0"/>
              <w:jc w:val="right"/>
              <w:rPr>
                <w:rFonts w:asciiTheme="minorHAnsi" w:eastAsia="Times New Roman" w:hAnsiTheme="minorHAnsi" w:cstheme="minorHAnsi"/>
                <w:sz w:val="20"/>
                <w:szCs w:val="20"/>
                <w:lang w:val="fr-FR" w:eastAsia="en-GB"/>
              </w:rPr>
            </w:pPr>
            <w:r w:rsidRPr="00A4333E">
              <w:rPr>
                <w:rFonts w:asciiTheme="minorHAnsi" w:eastAsia="Times New Roman" w:hAnsiTheme="minorHAnsi" w:cstheme="minorHAnsi"/>
                <w:sz w:val="20"/>
                <w:szCs w:val="20"/>
                <w:lang w:val="fr-FR" w:eastAsia="en-GB"/>
              </w:rPr>
              <w:t xml:space="preserve">900 </w:t>
            </w:r>
          </w:p>
        </w:tc>
        <w:tc>
          <w:tcPr>
            <w:tcW w:w="1121" w:type="dxa"/>
            <w:tcBorders>
              <w:top w:val="nil"/>
              <w:left w:val="nil"/>
              <w:bottom w:val="single" w:sz="4" w:space="0" w:color="auto"/>
              <w:right w:val="single" w:sz="4" w:space="0" w:color="auto"/>
            </w:tcBorders>
            <w:shd w:val="clear" w:color="auto" w:fill="auto"/>
            <w:noWrap/>
            <w:hideMark/>
          </w:tcPr>
          <w:p w14:paraId="7423C7AB" w14:textId="7B93C089" w:rsidR="002866BB" w:rsidRPr="00A4333E" w:rsidRDefault="002866BB" w:rsidP="003D145E">
            <w:pPr>
              <w:ind w:left="0" w:firstLine="0"/>
              <w:jc w:val="right"/>
              <w:rPr>
                <w:rFonts w:asciiTheme="minorHAnsi" w:eastAsia="Times New Roman" w:hAnsiTheme="minorHAnsi" w:cstheme="minorHAnsi"/>
                <w:sz w:val="20"/>
                <w:szCs w:val="20"/>
                <w:lang w:val="fr-FR" w:eastAsia="en-GB"/>
              </w:rPr>
            </w:pPr>
            <w:r w:rsidRPr="00A4333E">
              <w:rPr>
                <w:rFonts w:asciiTheme="minorHAnsi" w:eastAsia="Times New Roman" w:hAnsiTheme="minorHAnsi" w:cstheme="minorHAnsi"/>
                <w:sz w:val="20"/>
                <w:szCs w:val="20"/>
                <w:lang w:val="fr-FR" w:eastAsia="en-GB"/>
              </w:rPr>
              <w:t xml:space="preserve">61 </w:t>
            </w:r>
          </w:p>
        </w:tc>
      </w:tr>
      <w:tr w:rsidR="002866BB" w:rsidRPr="00A4333E" w14:paraId="7608F02B" w14:textId="77777777" w:rsidTr="003F50B6">
        <w:tc>
          <w:tcPr>
            <w:tcW w:w="2985" w:type="dxa"/>
            <w:tcBorders>
              <w:top w:val="nil"/>
              <w:left w:val="single" w:sz="4" w:space="0" w:color="auto"/>
              <w:bottom w:val="single" w:sz="4" w:space="0" w:color="auto"/>
              <w:right w:val="single" w:sz="4" w:space="0" w:color="auto"/>
            </w:tcBorders>
            <w:shd w:val="clear" w:color="auto" w:fill="auto"/>
            <w:noWrap/>
            <w:vAlign w:val="center"/>
            <w:hideMark/>
          </w:tcPr>
          <w:p w14:paraId="43404ACD" w14:textId="6C22AE26" w:rsidR="002866BB" w:rsidRPr="00A4333E" w:rsidRDefault="00974E56" w:rsidP="00496214">
            <w:pPr>
              <w:ind w:left="0" w:firstLine="0"/>
              <w:rPr>
                <w:rFonts w:asciiTheme="minorHAnsi" w:eastAsia="Times New Roman" w:hAnsiTheme="minorHAnsi" w:cstheme="minorHAnsi"/>
                <w:sz w:val="20"/>
                <w:szCs w:val="20"/>
                <w:lang w:val="fr-FR" w:eastAsia="en-GB"/>
              </w:rPr>
            </w:pPr>
            <w:r w:rsidRPr="00A4333E">
              <w:rPr>
                <w:rFonts w:asciiTheme="minorHAnsi" w:eastAsia="Times New Roman" w:hAnsiTheme="minorHAnsi" w:cstheme="minorHAnsi"/>
                <w:sz w:val="20"/>
                <w:szCs w:val="20"/>
                <w:lang w:val="fr-FR" w:eastAsia="en-GB"/>
              </w:rPr>
              <w:t>Autre revenu</w:t>
            </w:r>
            <w:r w:rsidR="002866BB" w:rsidRPr="00A4333E">
              <w:rPr>
                <w:rFonts w:asciiTheme="minorHAnsi" w:eastAsia="Times New Roman" w:hAnsiTheme="minorHAnsi" w:cstheme="minorHAnsi"/>
                <w:sz w:val="20"/>
                <w:szCs w:val="20"/>
                <w:lang w:val="fr-FR" w:eastAsia="en-GB"/>
              </w:rPr>
              <w:t xml:space="preserve"> </w:t>
            </w:r>
            <w:r w:rsidRPr="00A4333E">
              <w:rPr>
                <w:rFonts w:asciiTheme="minorHAnsi" w:eastAsia="Times New Roman" w:hAnsiTheme="minorHAnsi" w:cstheme="minorHAnsi"/>
                <w:sz w:val="20"/>
                <w:szCs w:val="20"/>
                <w:lang w:val="fr-FR" w:eastAsia="en-GB"/>
              </w:rPr>
              <w:t>(y compris revenu des intérêts</w:t>
            </w:r>
            <w:r w:rsidR="002866BB" w:rsidRPr="00A4333E">
              <w:rPr>
                <w:rFonts w:asciiTheme="minorHAnsi" w:eastAsia="Times New Roman" w:hAnsiTheme="minorHAnsi" w:cstheme="minorHAnsi"/>
                <w:sz w:val="20"/>
                <w:szCs w:val="20"/>
                <w:lang w:val="fr-FR" w:eastAsia="en-GB"/>
              </w:rPr>
              <w:t>)</w:t>
            </w:r>
          </w:p>
        </w:tc>
        <w:tc>
          <w:tcPr>
            <w:tcW w:w="887" w:type="dxa"/>
            <w:tcBorders>
              <w:top w:val="nil"/>
              <w:left w:val="nil"/>
              <w:bottom w:val="single" w:sz="4" w:space="0" w:color="auto"/>
              <w:right w:val="single" w:sz="4" w:space="0" w:color="auto"/>
            </w:tcBorders>
            <w:shd w:val="clear" w:color="auto" w:fill="auto"/>
            <w:noWrap/>
            <w:hideMark/>
          </w:tcPr>
          <w:p w14:paraId="14827357" w14:textId="77777777" w:rsidR="002866BB" w:rsidRPr="00A4333E" w:rsidRDefault="002866BB" w:rsidP="003D145E">
            <w:pPr>
              <w:ind w:left="0" w:firstLine="0"/>
              <w:jc w:val="right"/>
              <w:rPr>
                <w:rFonts w:asciiTheme="minorHAnsi" w:eastAsia="Times New Roman" w:hAnsiTheme="minorHAnsi" w:cstheme="minorHAnsi"/>
                <w:sz w:val="20"/>
                <w:szCs w:val="20"/>
                <w:lang w:val="fr-FR" w:eastAsia="en-GB"/>
              </w:rPr>
            </w:pPr>
            <w:r w:rsidRPr="00A4333E">
              <w:rPr>
                <w:rFonts w:asciiTheme="minorHAnsi" w:eastAsia="Times New Roman" w:hAnsiTheme="minorHAnsi" w:cstheme="minorHAnsi"/>
                <w:sz w:val="20"/>
                <w:szCs w:val="20"/>
                <w:lang w:val="fr-FR" w:eastAsia="en-GB"/>
              </w:rPr>
              <w:t xml:space="preserve">15 </w:t>
            </w:r>
          </w:p>
        </w:tc>
        <w:tc>
          <w:tcPr>
            <w:tcW w:w="887" w:type="dxa"/>
            <w:tcBorders>
              <w:top w:val="nil"/>
              <w:left w:val="nil"/>
              <w:bottom w:val="single" w:sz="4" w:space="0" w:color="auto"/>
              <w:right w:val="single" w:sz="4" w:space="0" w:color="auto"/>
            </w:tcBorders>
            <w:shd w:val="clear" w:color="auto" w:fill="auto"/>
            <w:noWrap/>
            <w:hideMark/>
          </w:tcPr>
          <w:p w14:paraId="6B8F946A" w14:textId="77777777" w:rsidR="002866BB" w:rsidRPr="00A4333E" w:rsidRDefault="002866BB" w:rsidP="003D145E">
            <w:pPr>
              <w:ind w:left="0" w:firstLine="0"/>
              <w:jc w:val="right"/>
              <w:rPr>
                <w:rFonts w:asciiTheme="minorHAnsi" w:eastAsia="Times New Roman" w:hAnsiTheme="minorHAnsi" w:cstheme="minorHAnsi"/>
                <w:sz w:val="20"/>
                <w:szCs w:val="20"/>
                <w:lang w:val="fr-FR" w:eastAsia="en-GB"/>
              </w:rPr>
            </w:pPr>
            <w:r w:rsidRPr="00A4333E">
              <w:rPr>
                <w:rFonts w:asciiTheme="minorHAnsi" w:eastAsia="Times New Roman" w:hAnsiTheme="minorHAnsi" w:cstheme="minorHAnsi"/>
                <w:sz w:val="20"/>
                <w:szCs w:val="20"/>
                <w:lang w:val="fr-FR" w:eastAsia="en-GB"/>
              </w:rPr>
              <w:t xml:space="preserve">5 </w:t>
            </w:r>
          </w:p>
        </w:tc>
        <w:tc>
          <w:tcPr>
            <w:tcW w:w="887" w:type="dxa"/>
            <w:tcBorders>
              <w:top w:val="nil"/>
              <w:left w:val="nil"/>
              <w:bottom w:val="single" w:sz="4" w:space="0" w:color="auto"/>
              <w:right w:val="single" w:sz="4" w:space="0" w:color="auto"/>
            </w:tcBorders>
            <w:shd w:val="clear" w:color="auto" w:fill="auto"/>
            <w:noWrap/>
            <w:hideMark/>
          </w:tcPr>
          <w:p w14:paraId="7E3D8F1B" w14:textId="77777777" w:rsidR="002866BB" w:rsidRPr="00A4333E" w:rsidRDefault="002866BB" w:rsidP="003D145E">
            <w:pPr>
              <w:ind w:left="0" w:firstLine="0"/>
              <w:jc w:val="right"/>
              <w:rPr>
                <w:rFonts w:asciiTheme="minorHAnsi" w:eastAsia="Times New Roman" w:hAnsiTheme="minorHAnsi" w:cstheme="minorHAnsi"/>
                <w:sz w:val="20"/>
                <w:szCs w:val="20"/>
                <w:lang w:val="fr-FR" w:eastAsia="en-GB"/>
              </w:rPr>
            </w:pPr>
            <w:r w:rsidRPr="00A4333E">
              <w:rPr>
                <w:rFonts w:asciiTheme="minorHAnsi" w:eastAsia="Times New Roman" w:hAnsiTheme="minorHAnsi" w:cstheme="minorHAnsi"/>
                <w:sz w:val="20"/>
                <w:szCs w:val="20"/>
                <w:lang w:val="fr-FR" w:eastAsia="en-GB"/>
              </w:rPr>
              <w:t xml:space="preserve">0 </w:t>
            </w:r>
          </w:p>
        </w:tc>
        <w:tc>
          <w:tcPr>
            <w:tcW w:w="977" w:type="dxa"/>
            <w:tcBorders>
              <w:top w:val="nil"/>
              <w:left w:val="nil"/>
              <w:bottom w:val="single" w:sz="4" w:space="0" w:color="auto"/>
              <w:right w:val="single" w:sz="4" w:space="0" w:color="auto"/>
            </w:tcBorders>
            <w:shd w:val="clear" w:color="auto" w:fill="auto"/>
            <w:noWrap/>
            <w:hideMark/>
          </w:tcPr>
          <w:p w14:paraId="1AA7EE87" w14:textId="77777777" w:rsidR="002866BB" w:rsidRPr="00A4333E" w:rsidRDefault="002866BB" w:rsidP="003D145E">
            <w:pPr>
              <w:ind w:left="0" w:firstLine="0"/>
              <w:jc w:val="right"/>
              <w:rPr>
                <w:rFonts w:asciiTheme="minorHAnsi" w:eastAsia="Times New Roman" w:hAnsiTheme="minorHAnsi" w:cstheme="minorHAnsi"/>
                <w:sz w:val="20"/>
                <w:szCs w:val="20"/>
                <w:lang w:val="fr-FR" w:eastAsia="en-GB"/>
              </w:rPr>
            </w:pPr>
            <w:r w:rsidRPr="00A4333E">
              <w:rPr>
                <w:rFonts w:asciiTheme="minorHAnsi" w:eastAsia="Times New Roman" w:hAnsiTheme="minorHAnsi" w:cstheme="minorHAnsi"/>
                <w:sz w:val="20"/>
                <w:szCs w:val="20"/>
                <w:lang w:val="fr-FR" w:eastAsia="en-GB"/>
              </w:rPr>
              <w:t xml:space="preserve">12 </w:t>
            </w:r>
          </w:p>
        </w:tc>
        <w:tc>
          <w:tcPr>
            <w:tcW w:w="887" w:type="dxa"/>
            <w:tcBorders>
              <w:top w:val="nil"/>
              <w:left w:val="nil"/>
              <w:bottom w:val="single" w:sz="4" w:space="0" w:color="auto"/>
              <w:right w:val="single" w:sz="4" w:space="0" w:color="auto"/>
            </w:tcBorders>
            <w:shd w:val="clear" w:color="auto" w:fill="auto"/>
            <w:noWrap/>
            <w:hideMark/>
          </w:tcPr>
          <w:p w14:paraId="3776844A" w14:textId="77777777" w:rsidR="002866BB" w:rsidRPr="00A4333E" w:rsidRDefault="002866BB" w:rsidP="003D145E">
            <w:pPr>
              <w:ind w:left="0" w:firstLine="0"/>
              <w:jc w:val="right"/>
              <w:rPr>
                <w:rFonts w:asciiTheme="minorHAnsi" w:eastAsia="Times New Roman" w:hAnsiTheme="minorHAnsi" w:cstheme="minorHAnsi"/>
                <w:sz w:val="20"/>
                <w:szCs w:val="20"/>
                <w:lang w:val="fr-FR" w:eastAsia="en-GB"/>
              </w:rPr>
            </w:pPr>
            <w:r w:rsidRPr="00A4333E">
              <w:rPr>
                <w:rFonts w:asciiTheme="minorHAnsi" w:eastAsia="Times New Roman" w:hAnsiTheme="minorHAnsi" w:cstheme="minorHAnsi"/>
                <w:sz w:val="20"/>
                <w:szCs w:val="20"/>
                <w:lang w:val="fr-FR" w:eastAsia="en-GB"/>
              </w:rPr>
              <w:t xml:space="preserve">32 </w:t>
            </w:r>
          </w:p>
        </w:tc>
        <w:tc>
          <w:tcPr>
            <w:tcW w:w="1091" w:type="dxa"/>
            <w:tcBorders>
              <w:top w:val="nil"/>
              <w:left w:val="nil"/>
              <w:bottom w:val="single" w:sz="4" w:space="0" w:color="auto"/>
              <w:right w:val="single" w:sz="4" w:space="0" w:color="auto"/>
            </w:tcBorders>
            <w:shd w:val="clear" w:color="auto" w:fill="auto"/>
            <w:noWrap/>
            <w:hideMark/>
          </w:tcPr>
          <w:p w14:paraId="58BDDD27" w14:textId="77777777" w:rsidR="002866BB" w:rsidRPr="00A4333E" w:rsidRDefault="002866BB" w:rsidP="003D145E">
            <w:pPr>
              <w:ind w:left="0" w:firstLine="0"/>
              <w:jc w:val="right"/>
              <w:rPr>
                <w:rFonts w:asciiTheme="minorHAnsi" w:eastAsia="Times New Roman" w:hAnsiTheme="minorHAnsi" w:cstheme="minorHAnsi"/>
                <w:sz w:val="20"/>
                <w:szCs w:val="20"/>
                <w:lang w:val="fr-FR" w:eastAsia="en-GB"/>
              </w:rPr>
            </w:pPr>
            <w:r w:rsidRPr="00A4333E">
              <w:rPr>
                <w:rFonts w:asciiTheme="minorHAnsi" w:eastAsia="Times New Roman" w:hAnsiTheme="minorHAnsi" w:cstheme="minorHAnsi"/>
                <w:sz w:val="20"/>
                <w:szCs w:val="20"/>
                <w:lang w:val="fr-FR" w:eastAsia="en-GB"/>
              </w:rPr>
              <w:t xml:space="preserve">48 </w:t>
            </w:r>
          </w:p>
        </w:tc>
        <w:tc>
          <w:tcPr>
            <w:tcW w:w="1121" w:type="dxa"/>
            <w:tcBorders>
              <w:top w:val="nil"/>
              <w:left w:val="nil"/>
              <w:bottom w:val="single" w:sz="4" w:space="0" w:color="auto"/>
              <w:right w:val="single" w:sz="4" w:space="0" w:color="auto"/>
            </w:tcBorders>
            <w:shd w:val="clear" w:color="auto" w:fill="auto"/>
            <w:noWrap/>
            <w:hideMark/>
          </w:tcPr>
          <w:p w14:paraId="06DA0BF2" w14:textId="6E4E371C" w:rsidR="002866BB" w:rsidRPr="00A4333E" w:rsidRDefault="002866BB" w:rsidP="003D145E">
            <w:pPr>
              <w:ind w:left="0" w:firstLine="0"/>
              <w:jc w:val="right"/>
              <w:rPr>
                <w:rFonts w:asciiTheme="minorHAnsi" w:eastAsia="Times New Roman" w:hAnsiTheme="minorHAnsi" w:cstheme="minorHAnsi"/>
                <w:sz w:val="20"/>
                <w:szCs w:val="20"/>
                <w:lang w:val="fr-FR" w:eastAsia="en-GB"/>
              </w:rPr>
            </w:pPr>
            <w:r w:rsidRPr="00A4333E">
              <w:rPr>
                <w:rFonts w:asciiTheme="minorHAnsi" w:eastAsia="Times New Roman" w:hAnsiTheme="minorHAnsi" w:cstheme="minorHAnsi"/>
                <w:sz w:val="20"/>
                <w:szCs w:val="20"/>
                <w:lang w:val="fr-FR" w:eastAsia="en-GB"/>
              </w:rPr>
              <w:t xml:space="preserve">16 </w:t>
            </w:r>
          </w:p>
        </w:tc>
      </w:tr>
      <w:tr w:rsidR="002866BB" w:rsidRPr="00A4333E" w14:paraId="72E2650A" w14:textId="77777777" w:rsidTr="003F50B6">
        <w:tc>
          <w:tcPr>
            <w:tcW w:w="2985" w:type="dxa"/>
            <w:tcBorders>
              <w:top w:val="nil"/>
              <w:left w:val="single" w:sz="4" w:space="0" w:color="auto"/>
              <w:bottom w:val="single" w:sz="4" w:space="0" w:color="auto"/>
              <w:right w:val="single" w:sz="4" w:space="0" w:color="auto"/>
            </w:tcBorders>
            <w:shd w:val="clear" w:color="000000" w:fill="DDEBF7"/>
            <w:noWrap/>
            <w:vAlign w:val="bottom"/>
            <w:hideMark/>
          </w:tcPr>
          <w:p w14:paraId="4FF296BC" w14:textId="05595F91" w:rsidR="002866BB" w:rsidRPr="00A4333E" w:rsidRDefault="00974E56" w:rsidP="00496214">
            <w:pPr>
              <w:ind w:left="0" w:firstLine="0"/>
              <w:rPr>
                <w:rFonts w:asciiTheme="minorHAnsi" w:eastAsia="Times New Roman" w:hAnsiTheme="minorHAnsi" w:cstheme="minorHAnsi"/>
                <w:b/>
                <w:bCs/>
                <w:sz w:val="20"/>
                <w:szCs w:val="20"/>
                <w:lang w:val="fr-FR" w:eastAsia="en-GB"/>
              </w:rPr>
            </w:pPr>
            <w:r w:rsidRPr="00A4333E">
              <w:rPr>
                <w:rFonts w:asciiTheme="minorHAnsi" w:eastAsia="Times New Roman" w:hAnsiTheme="minorHAnsi" w:cstheme="minorHAnsi"/>
                <w:b/>
                <w:bCs/>
                <w:sz w:val="20"/>
                <w:szCs w:val="20"/>
                <w:lang w:val="fr-FR" w:eastAsia="en-GB"/>
              </w:rPr>
              <w:t xml:space="preserve">REVENU </w:t>
            </w:r>
            <w:r w:rsidR="002866BB" w:rsidRPr="00A4333E">
              <w:rPr>
                <w:rFonts w:asciiTheme="minorHAnsi" w:eastAsia="Times New Roman" w:hAnsiTheme="minorHAnsi" w:cstheme="minorHAnsi"/>
                <w:b/>
                <w:bCs/>
                <w:sz w:val="20"/>
                <w:szCs w:val="20"/>
                <w:lang w:val="fr-FR" w:eastAsia="en-GB"/>
              </w:rPr>
              <w:t xml:space="preserve">TOTAL </w:t>
            </w:r>
          </w:p>
        </w:tc>
        <w:tc>
          <w:tcPr>
            <w:tcW w:w="887" w:type="dxa"/>
            <w:tcBorders>
              <w:top w:val="nil"/>
              <w:left w:val="nil"/>
              <w:bottom w:val="single" w:sz="4" w:space="0" w:color="auto"/>
              <w:right w:val="single" w:sz="4" w:space="0" w:color="auto"/>
            </w:tcBorders>
            <w:shd w:val="clear" w:color="000000" w:fill="DDEBF7"/>
            <w:noWrap/>
            <w:hideMark/>
          </w:tcPr>
          <w:p w14:paraId="288D808B" w14:textId="77777777" w:rsidR="002866BB" w:rsidRPr="00A4333E" w:rsidRDefault="002866BB" w:rsidP="003D145E">
            <w:pPr>
              <w:ind w:left="0" w:firstLine="0"/>
              <w:jc w:val="right"/>
              <w:rPr>
                <w:rFonts w:asciiTheme="minorHAnsi" w:eastAsia="Times New Roman" w:hAnsiTheme="minorHAnsi" w:cstheme="minorHAnsi"/>
                <w:b/>
                <w:bCs/>
                <w:sz w:val="20"/>
                <w:szCs w:val="20"/>
                <w:lang w:val="fr-FR" w:eastAsia="en-GB"/>
              </w:rPr>
            </w:pPr>
            <w:r w:rsidRPr="00A4333E">
              <w:rPr>
                <w:rFonts w:asciiTheme="minorHAnsi" w:eastAsia="Times New Roman" w:hAnsiTheme="minorHAnsi" w:cstheme="minorHAnsi"/>
                <w:b/>
                <w:bCs/>
                <w:sz w:val="20"/>
                <w:szCs w:val="20"/>
                <w:lang w:val="fr-FR" w:eastAsia="en-GB"/>
              </w:rPr>
              <w:t xml:space="preserve">5,062 </w:t>
            </w:r>
          </w:p>
        </w:tc>
        <w:tc>
          <w:tcPr>
            <w:tcW w:w="887" w:type="dxa"/>
            <w:tcBorders>
              <w:top w:val="nil"/>
              <w:left w:val="nil"/>
              <w:bottom w:val="single" w:sz="4" w:space="0" w:color="auto"/>
              <w:right w:val="single" w:sz="4" w:space="0" w:color="auto"/>
            </w:tcBorders>
            <w:shd w:val="clear" w:color="000000" w:fill="DDEBF7"/>
            <w:noWrap/>
            <w:hideMark/>
          </w:tcPr>
          <w:p w14:paraId="57890A98" w14:textId="77777777" w:rsidR="002866BB" w:rsidRPr="00A4333E" w:rsidRDefault="002866BB" w:rsidP="003D145E">
            <w:pPr>
              <w:ind w:left="0" w:firstLine="0"/>
              <w:jc w:val="right"/>
              <w:rPr>
                <w:rFonts w:asciiTheme="minorHAnsi" w:eastAsia="Times New Roman" w:hAnsiTheme="minorHAnsi" w:cstheme="minorHAnsi"/>
                <w:b/>
                <w:bCs/>
                <w:sz w:val="20"/>
                <w:szCs w:val="20"/>
                <w:lang w:val="fr-FR" w:eastAsia="en-GB"/>
              </w:rPr>
            </w:pPr>
            <w:r w:rsidRPr="00A4333E">
              <w:rPr>
                <w:rFonts w:asciiTheme="minorHAnsi" w:eastAsia="Times New Roman" w:hAnsiTheme="minorHAnsi" w:cstheme="minorHAnsi"/>
                <w:b/>
                <w:bCs/>
                <w:sz w:val="20"/>
                <w:szCs w:val="20"/>
                <w:lang w:val="fr-FR" w:eastAsia="en-GB"/>
              </w:rPr>
              <w:t xml:space="preserve">5,034 </w:t>
            </w:r>
          </w:p>
        </w:tc>
        <w:tc>
          <w:tcPr>
            <w:tcW w:w="887" w:type="dxa"/>
            <w:tcBorders>
              <w:top w:val="nil"/>
              <w:left w:val="nil"/>
              <w:bottom w:val="single" w:sz="4" w:space="0" w:color="auto"/>
              <w:right w:val="single" w:sz="4" w:space="0" w:color="auto"/>
            </w:tcBorders>
            <w:shd w:val="clear" w:color="000000" w:fill="DDEBF7"/>
            <w:noWrap/>
            <w:hideMark/>
          </w:tcPr>
          <w:p w14:paraId="3F68489A" w14:textId="77777777" w:rsidR="002866BB" w:rsidRPr="00A4333E" w:rsidRDefault="002866BB" w:rsidP="003D145E">
            <w:pPr>
              <w:ind w:left="0" w:firstLine="0"/>
              <w:jc w:val="right"/>
              <w:rPr>
                <w:rFonts w:asciiTheme="minorHAnsi" w:eastAsia="Times New Roman" w:hAnsiTheme="minorHAnsi" w:cstheme="minorHAnsi"/>
                <w:b/>
                <w:bCs/>
                <w:sz w:val="20"/>
                <w:szCs w:val="20"/>
                <w:lang w:val="fr-FR" w:eastAsia="en-GB"/>
              </w:rPr>
            </w:pPr>
            <w:r w:rsidRPr="00A4333E">
              <w:rPr>
                <w:rFonts w:asciiTheme="minorHAnsi" w:eastAsia="Times New Roman" w:hAnsiTheme="minorHAnsi" w:cstheme="minorHAnsi"/>
                <w:b/>
                <w:bCs/>
                <w:sz w:val="20"/>
                <w:szCs w:val="20"/>
                <w:lang w:val="fr-FR" w:eastAsia="en-GB"/>
              </w:rPr>
              <w:t xml:space="preserve">5,071 </w:t>
            </w:r>
          </w:p>
        </w:tc>
        <w:tc>
          <w:tcPr>
            <w:tcW w:w="977" w:type="dxa"/>
            <w:tcBorders>
              <w:top w:val="nil"/>
              <w:left w:val="nil"/>
              <w:bottom w:val="single" w:sz="4" w:space="0" w:color="auto"/>
              <w:right w:val="single" w:sz="4" w:space="0" w:color="auto"/>
            </w:tcBorders>
            <w:shd w:val="clear" w:color="000000" w:fill="DDEBF7"/>
            <w:noWrap/>
            <w:hideMark/>
          </w:tcPr>
          <w:p w14:paraId="1EB61E8E" w14:textId="77777777" w:rsidR="002866BB" w:rsidRPr="00A4333E" w:rsidRDefault="002866BB" w:rsidP="003D145E">
            <w:pPr>
              <w:ind w:left="0" w:firstLine="0"/>
              <w:jc w:val="right"/>
              <w:rPr>
                <w:rFonts w:asciiTheme="minorHAnsi" w:eastAsia="Times New Roman" w:hAnsiTheme="minorHAnsi" w:cstheme="minorHAnsi"/>
                <w:b/>
                <w:bCs/>
                <w:sz w:val="20"/>
                <w:szCs w:val="20"/>
                <w:lang w:val="fr-FR" w:eastAsia="en-GB"/>
              </w:rPr>
            </w:pPr>
            <w:r w:rsidRPr="00A4333E">
              <w:rPr>
                <w:rFonts w:asciiTheme="minorHAnsi" w:eastAsia="Times New Roman" w:hAnsiTheme="minorHAnsi" w:cstheme="minorHAnsi"/>
                <w:b/>
                <w:bCs/>
                <w:sz w:val="20"/>
                <w:szCs w:val="20"/>
                <w:lang w:val="fr-FR" w:eastAsia="en-GB"/>
              </w:rPr>
              <w:t xml:space="preserve">5,081 </w:t>
            </w:r>
          </w:p>
        </w:tc>
        <w:tc>
          <w:tcPr>
            <w:tcW w:w="887" w:type="dxa"/>
            <w:tcBorders>
              <w:top w:val="nil"/>
              <w:left w:val="nil"/>
              <w:bottom w:val="single" w:sz="4" w:space="0" w:color="auto"/>
              <w:right w:val="single" w:sz="4" w:space="0" w:color="auto"/>
            </w:tcBorders>
            <w:shd w:val="clear" w:color="000000" w:fill="DDEBF7"/>
            <w:noWrap/>
            <w:hideMark/>
          </w:tcPr>
          <w:p w14:paraId="4BBEE28F" w14:textId="77777777" w:rsidR="002866BB" w:rsidRPr="00A4333E" w:rsidRDefault="002866BB" w:rsidP="003D145E">
            <w:pPr>
              <w:ind w:left="0" w:firstLine="0"/>
              <w:jc w:val="right"/>
              <w:rPr>
                <w:rFonts w:asciiTheme="minorHAnsi" w:eastAsia="Times New Roman" w:hAnsiTheme="minorHAnsi" w:cstheme="minorHAnsi"/>
                <w:b/>
                <w:bCs/>
                <w:sz w:val="20"/>
                <w:szCs w:val="20"/>
                <w:lang w:val="fr-FR" w:eastAsia="en-GB"/>
              </w:rPr>
            </w:pPr>
            <w:r w:rsidRPr="00A4333E">
              <w:rPr>
                <w:rFonts w:asciiTheme="minorHAnsi" w:eastAsia="Times New Roman" w:hAnsiTheme="minorHAnsi" w:cstheme="minorHAnsi"/>
                <w:b/>
                <w:bCs/>
                <w:sz w:val="20"/>
                <w:szCs w:val="20"/>
                <w:lang w:val="fr-FR" w:eastAsia="en-GB"/>
              </w:rPr>
              <w:t xml:space="preserve">20,248 </w:t>
            </w:r>
          </w:p>
        </w:tc>
        <w:tc>
          <w:tcPr>
            <w:tcW w:w="1091" w:type="dxa"/>
            <w:tcBorders>
              <w:top w:val="nil"/>
              <w:left w:val="nil"/>
              <w:bottom w:val="single" w:sz="4" w:space="0" w:color="auto"/>
              <w:right w:val="single" w:sz="4" w:space="0" w:color="auto"/>
            </w:tcBorders>
            <w:shd w:val="clear" w:color="000000" w:fill="DDEBF7"/>
            <w:noWrap/>
            <w:hideMark/>
          </w:tcPr>
          <w:p w14:paraId="750671E5" w14:textId="77777777" w:rsidR="002866BB" w:rsidRPr="00A4333E" w:rsidRDefault="002866BB" w:rsidP="003D145E">
            <w:pPr>
              <w:ind w:left="0" w:firstLine="0"/>
              <w:jc w:val="right"/>
              <w:rPr>
                <w:rFonts w:asciiTheme="minorHAnsi" w:eastAsia="Times New Roman" w:hAnsiTheme="minorHAnsi" w:cstheme="minorHAnsi"/>
                <w:b/>
                <w:bCs/>
                <w:sz w:val="20"/>
                <w:szCs w:val="20"/>
                <w:lang w:val="fr-FR" w:eastAsia="en-GB"/>
              </w:rPr>
            </w:pPr>
            <w:r w:rsidRPr="00A4333E">
              <w:rPr>
                <w:rFonts w:asciiTheme="minorHAnsi" w:eastAsia="Times New Roman" w:hAnsiTheme="minorHAnsi" w:cstheme="minorHAnsi"/>
                <w:b/>
                <w:bCs/>
                <w:sz w:val="20"/>
                <w:szCs w:val="20"/>
                <w:lang w:val="fr-FR" w:eastAsia="en-GB"/>
              </w:rPr>
              <w:t xml:space="preserve">20,324 </w:t>
            </w:r>
          </w:p>
        </w:tc>
        <w:tc>
          <w:tcPr>
            <w:tcW w:w="1121" w:type="dxa"/>
            <w:tcBorders>
              <w:top w:val="nil"/>
              <w:left w:val="nil"/>
              <w:bottom w:val="single" w:sz="4" w:space="0" w:color="auto"/>
              <w:right w:val="single" w:sz="4" w:space="0" w:color="auto"/>
            </w:tcBorders>
            <w:shd w:val="clear" w:color="000000" w:fill="DDEBF7"/>
            <w:noWrap/>
            <w:hideMark/>
          </w:tcPr>
          <w:p w14:paraId="134C5841" w14:textId="49A52A60" w:rsidR="002866BB" w:rsidRPr="00A4333E" w:rsidRDefault="002866BB" w:rsidP="003D145E">
            <w:pPr>
              <w:ind w:left="0" w:firstLine="0"/>
              <w:jc w:val="right"/>
              <w:rPr>
                <w:rFonts w:asciiTheme="minorHAnsi" w:eastAsia="Times New Roman" w:hAnsiTheme="minorHAnsi" w:cstheme="minorHAnsi"/>
                <w:b/>
                <w:bCs/>
                <w:sz w:val="20"/>
                <w:szCs w:val="20"/>
                <w:lang w:val="fr-FR" w:eastAsia="en-GB"/>
              </w:rPr>
            </w:pPr>
            <w:r w:rsidRPr="00A4333E">
              <w:rPr>
                <w:rFonts w:asciiTheme="minorHAnsi" w:eastAsia="Times New Roman" w:hAnsiTheme="minorHAnsi" w:cstheme="minorHAnsi"/>
                <w:b/>
                <w:bCs/>
                <w:sz w:val="20"/>
                <w:szCs w:val="20"/>
                <w:lang w:val="fr-FR" w:eastAsia="en-GB"/>
              </w:rPr>
              <w:t xml:space="preserve">76 </w:t>
            </w:r>
          </w:p>
        </w:tc>
      </w:tr>
      <w:tr w:rsidR="002866BB" w:rsidRPr="00A4333E" w14:paraId="12DA545F" w14:textId="77777777" w:rsidTr="003F50B6">
        <w:tc>
          <w:tcPr>
            <w:tcW w:w="2985" w:type="dxa"/>
            <w:tcBorders>
              <w:top w:val="nil"/>
              <w:left w:val="single" w:sz="4" w:space="0" w:color="auto"/>
              <w:bottom w:val="single" w:sz="4" w:space="0" w:color="auto"/>
              <w:right w:val="single" w:sz="4" w:space="0" w:color="auto"/>
            </w:tcBorders>
            <w:shd w:val="clear" w:color="auto" w:fill="auto"/>
            <w:noWrap/>
            <w:vAlign w:val="bottom"/>
            <w:hideMark/>
          </w:tcPr>
          <w:p w14:paraId="724B3002" w14:textId="4EF6815D" w:rsidR="002866BB" w:rsidRPr="00A4333E" w:rsidRDefault="00974E56" w:rsidP="00496214">
            <w:pPr>
              <w:ind w:left="0" w:firstLine="0"/>
              <w:rPr>
                <w:rFonts w:asciiTheme="minorHAnsi" w:eastAsia="Times New Roman" w:hAnsiTheme="minorHAnsi" w:cstheme="minorHAnsi"/>
                <w:b/>
                <w:bCs/>
                <w:sz w:val="20"/>
                <w:szCs w:val="20"/>
                <w:lang w:val="fr-FR" w:eastAsia="en-GB"/>
              </w:rPr>
            </w:pPr>
            <w:r w:rsidRPr="00A4333E">
              <w:rPr>
                <w:rFonts w:asciiTheme="minorHAnsi" w:eastAsia="Times New Roman" w:hAnsiTheme="minorHAnsi" w:cstheme="minorHAnsi"/>
                <w:b/>
                <w:bCs/>
                <w:sz w:val="20"/>
                <w:szCs w:val="20"/>
                <w:lang w:val="fr-FR" w:eastAsia="en-GB"/>
              </w:rPr>
              <w:t>DÉPENSES</w:t>
            </w:r>
          </w:p>
        </w:tc>
        <w:tc>
          <w:tcPr>
            <w:tcW w:w="887" w:type="dxa"/>
            <w:tcBorders>
              <w:top w:val="nil"/>
              <w:left w:val="nil"/>
              <w:bottom w:val="single" w:sz="4" w:space="0" w:color="auto"/>
              <w:right w:val="single" w:sz="4" w:space="0" w:color="auto"/>
            </w:tcBorders>
            <w:shd w:val="clear" w:color="auto" w:fill="auto"/>
            <w:noWrap/>
            <w:hideMark/>
          </w:tcPr>
          <w:p w14:paraId="497DB4D6" w14:textId="77777777" w:rsidR="002866BB" w:rsidRPr="00A4333E" w:rsidRDefault="002866BB" w:rsidP="003D145E">
            <w:pPr>
              <w:ind w:left="0" w:firstLine="0"/>
              <w:jc w:val="right"/>
              <w:rPr>
                <w:rFonts w:asciiTheme="minorHAnsi" w:eastAsia="Times New Roman" w:hAnsiTheme="minorHAnsi" w:cstheme="minorHAnsi"/>
                <w:sz w:val="20"/>
                <w:szCs w:val="20"/>
                <w:lang w:val="fr-FR" w:eastAsia="en-GB"/>
              </w:rPr>
            </w:pPr>
            <w:r w:rsidRPr="00A4333E">
              <w:rPr>
                <w:rFonts w:asciiTheme="minorHAnsi" w:eastAsia="Times New Roman" w:hAnsiTheme="minorHAnsi" w:cstheme="minorHAnsi"/>
                <w:sz w:val="20"/>
                <w:szCs w:val="20"/>
                <w:lang w:val="fr-FR" w:eastAsia="en-GB"/>
              </w:rPr>
              <w:t> </w:t>
            </w:r>
          </w:p>
        </w:tc>
        <w:tc>
          <w:tcPr>
            <w:tcW w:w="887" w:type="dxa"/>
            <w:tcBorders>
              <w:top w:val="nil"/>
              <w:left w:val="nil"/>
              <w:bottom w:val="single" w:sz="4" w:space="0" w:color="auto"/>
              <w:right w:val="single" w:sz="4" w:space="0" w:color="auto"/>
            </w:tcBorders>
            <w:shd w:val="clear" w:color="auto" w:fill="auto"/>
            <w:noWrap/>
            <w:hideMark/>
          </w:tcPr>
          <w:p w14:paraId="768F562C" w14:textId="77777777" w:rsidR="002866BB" w:rsidRPr="00A4333E" w:rsidRDefault="002866BB" w:rsidP="003D145E">
            <w:pPr>
              <w:ind w:left="0" w:firstLine="0"/>
              <w:jc w:val="right"/>
              <w:rPr>
                <w:rFonts w:asciiTheme="minorHAnsi" w:eastAsia="Times New Roman" w:hAnsiTheme="minorHAnsi" w:cstheme="minorHAnsi"/>
                <w:sz w:val="20"/>
                <w:szCs w:val="20"/>
                <w:lang w:val="fr-FR" w:eastAsia="en-GB"/>
              </w:rPr>
            </w:pPr>
            <w:r w:rsidRPr="00A4333E">
              <w:rPr>
                <w:rFonts w:asciiTheme="minorHAnsi" w:eastAsia="Times New Roman" w:hAnsiTheme="minorHAnsi" w:cstheme="minorHAnsi"/>
                <w:sz w:val="20"/>
                <w:szCs w:val="20"/>
                <w:lang w:val="fr-FR" w:eastAsia="en-GB"/>
              </w:rPr>
              <w:t> </w:t>
            </w:r>
          </w:p>
        </w:tc>
        <w:tc>
          <w:tcPr>
            <w:tcW w:w="887" w:type="dxa"/>
            <w:tcBorders>
              <w:top w:val="nil"/>
              <w:left w:val="nil"/>
              <w:bottom w:val="single" w:sz="4" w:space="0" w:color="auto"/>
              <w:right w:val="single" w:sz="4" w:space="0" w:color="auto"/>
            </w:tcBorders>
            <w:shd w:val="clear" w:color="auto" w:fill="auto"/>
            <w:noWrap/>
            <w:hideMark/>
          </w:tcPr>
          <w:p w14:paraId="73E9CD6B" w14:textId="77777777" w:rsidR="002866BB" w:rsidRPr="00A4333E" w:rsidRDefault="002866BB" w:rsidP="003D145E">
            <w:pPr>
              <w:ind w:left="0" w:firstLine="0"/>
              <w:jc w:val="right"/>
              <w:rPr>
                <w:rFonts w:asciiTheme="minorHAnsi" w:eastAsia="Times New Roman" w:hAnsiTheme="minorHAnsi" w:cstheme="minorHAnsi"/>
                <w:sz w:val="20"/>
                <w:szCs w:val="20"/>
                <w:lang w:val="fr-FR" w:eastAsia="en-GB"/>
              </w:rPr>
            </w:pPr>
            <w:r w:rsidRPr="00A4333E">
              <w:rPr>
                <w:rFonts w:asciiTheme="minorHAnsi" w:eastAsia="Times New Roman" w:hAnsiTheme="minorHAnsi" w:cstheme="minorHAnsi"/>
                <w:sz w:val="20"/>
                <w:szCs w:val="20"/>
                <w:lang w:val="fr-FR" w:eastAsia="en-GB"/>
              </w:rPr>
              <w:t> </w:t>
            </w:r>
          </w:p>
        </w:tc>
        <w:tc>
          <w:tcPr>
            <w:tcW w:w="977" w:type="dxa"/>
            <w:tcBorders>
              <w:top w:val="nil"/>
              <w:left w:val="nil"/>
              <w:bottom w:val="single" w:sz="4" w:space="0" w:color="auto"/>
              <w:right w:val="single" w:sz="4" w:space="0" w:color="auto"/>
            </w:tcBorders>
            <w:shd w:val="clear" w:color="auto" w:fill="auto"/>
            <w:noWrap/>
            <w:hideMark/>
          </w:tcPr>
          <w:p w14:paraId="6B7A7063" w14:textId="77777777" w:rsidR="002866BB" w:rsidRPr="00A4333E" w:rsidRDefault="002866BB" w:rsidP="003D145E">
            <w:pPr>
              <w:ind w:left="0" w:firstLine="0"/>
              <w:jc w:val="right"/>
              <w:rPr>
                <w:rFonts w:asciiTheme="minorHAnsi" w:eastAsia="Times New Roman" w:hAnsiTheme="minorHAnsi" w:cstheme="minorHAnsi"/>
                <w:sz w:val="20"/>
                <w:szCs w:val="20"/>
                <w:lang w:val="fr-FR" w:eastAsia="en-GB"/>
              </w:rPr>
            </w:pPr>
            <w:r w:rsidRPr="00A4333E">
              <w:rPr>
                <w:rFonts w:asciiTheme="minorHAnsi" w:eastAsia="Times New Roman" w:hAnsiTheme="minorHAnsi" w:cstheme="minorHAnsi"/>
                <w:sz w:val="20"/>
                <w:szCs w:val="20"/>
                <w:lang w:val="fr-FR" w:eastAsia="en-GB"/>
              </w:rPr>
              <w:t> </w:t>
            </w:r>
          </w:p>
        </w:tc>
        <w:tc>
          <w:tcPr>
            <w:tcW w:w="887" w:type="dxa"/>
            <w:tcBorders>
              <w:top w:val="nil"/>
              <w:left w:val="nil"/>
              <w:bottom w:val="single" w:sz="4" w:space="0" w:color="auto"/>
              <w:right w:val="single" w:sz="4" w:space="0" w:color="auto"/>
            </w:tcBorders>
            <w:shd w:val="clear" w:color="auto" w:fill="auto"/>
            <w:noWrap/>
            <w:hideMark/>
          </w:tcPr>
          <w:p w14:paraId="5336832B" w14:textId="77777777" w:rsidR="002866BB" w:rsidRPr="00A4333E" w:rsidRDefault="002866BB" w:rsidP="003D145E">
            <w:pPr>
              <w:ind w:left="0" w:firstLine="0"/>
              <w:jc w:val="right"/>
              <w:rPr>
                <w:rFonts w:asciiTheme="minorHAnsi" w:eastAsia="Times New Roman" w:hAnsiTheme="minorHAnsi" w:cstheme="minorHAnsi"/>
                <w:sz w:val="20"/>
                <w:szCs w:val="20"/>
                <w:lang w:val="fr-FR" w:eastAsia="en-GB"/>
              </w:rPr>
            </w:pPr>
            <w:r w:rsidRPr="00A4333E">
              <w:rPr>
                <w:rFonts w:asciiTheme="minorHAnsi" w:eastAsia="Times New Roman" w:hAnsiTheme="minorHAnsi" w:cstheme="minorHAnsi"/>
                <w:sz w:val="20"/>
                <w:szCs w:val="20"/>
                <w:lang w:val="fr-FR" w:eastAsia="en-GB"/>
              </w:rPr>
              <w:t> </w:t>
            </w:r>
          </w:p>
        </w:tc>
        <w:tc>
          <w:tcPr>
            <w:tcW w:w="1091" w:type="dxa"/>
            <w:tcBorders>
              <w:top w:val="nil"/>
              <w:left w:val="nil"/>
              <w:bottom w:val="single" w:sz="4" w:space="0" w:color="auto"/>
              <w:right w:val="single" w:sz="4" w:space="0" w:color="auto"/>
            </w:tcBorders>
            <w:shd w:val="clear" w:color="auto" w:fill="auto"/>
            <w:noWrap/>
            <w:hideMark/>
          </w:tcPr>
          <w:p w14:paraId="6D52F68A" w14:textId="77777777" w:rsidR="002866BB" w:rsidRPr="00A4333E" w:rsidRDefault="002866BB" w:rsidP="003D145E">
            <w:pPr>
              <w:ind w:left="0" w:firstLine="0"/>
              <w:jc w:val="right"/>
              <w:rPr>
                <w:rFonts w:asciiTheme="minorHAnsi" w:eastAsia="Times New Roman" w:hAnsiTheme="minorHAnsi" w:cstheme="minorHAnsi"/>
                <w:sz w:val="20"/>
                <w:szCs w:val="20"/>
                <w:lang w:val="fr-FR" w:eastAsia="en-GB"/>
              </w:rPr>
            </w:pPr>
            <w:r w:rsidRPr="00A4333E">
              <w:rPr>
                <w:rFonts w:asciiTheme="minorHAnsi" w:eastAsia="Times New Roman" w:hAnsiTheme="minorHAnsi" w:cstheme="minorHAnsi"/>
                <w:sz w:val="20"/>
                <w:szCs w:val="20"/>
                <w:lang w:val="fr-FR" w:eastAsia="en-GB"/>
              </w:rPr>
              <w:t> </w:t>
            </w:r>
          </w:p>
        </w:tc>
        <w:tc>
          <w:tcPr>
            <w:tcW w:w="1121" w:type="dxa"/>
            <w:tcBorders>
              <w:top w:val="nil"/>
              <w:left w:val="nil"/>
              <w:bottom w:val="single" w:sz="4" w:space="0" w:color="auto"/>
              <w:right w:val="single" w:sz="4" w:space="0" w:color="auto"/>
            </w:tcBorders>
            <w:shd w:val="clear" w:color="auto" w:fill="auto"/>
            <w:noWrap/>
            <w:hideMark/>
          </w:tcPr>
          <w:p w14:paraId="22C8F7E2" w14:textId="77777777" w:rsidR="002866BB" w:rsidRPr="00A4333E" w:rsidRDefault="002866BB" w:rsidP="003D145E">
            <w:pPr>
              <w:ind w:left="0" w:firstLine="0"/>
              <w:jc w:val="right"/>
              <w:rPr>
                <w:rFonts w:asciiTheme="minorHAnsi" w:eastAsia="Times New Roman" w:hAnsiTheme="minorHAnsi" w:cstheme="minorHAnsi"/>
                <w:sz w:val="20"/>
                <w:szCs w:val="20"/>
                <w:lang w:val="fr-FR" w:eastAsia="en-GB"/>
              </w:rPr>
            </w:pPr>
            <w:r w:rsidRPr="00A4333E">
              <w:rPr>
                <w:rFonts w:asciiTheme="minorHAnsi" w:eastAsia="Times New Roman" w:hAnsiTheme="minorHAnsi" w:cstheme="minorHAnsi"/>
                <w:sz w:val="20"/>
                <w:szCs w:val="20"/>
                <w:lang w:val="fr-FR" w:eastAsia="en-GB"/>
              </w:rPr>
              <w:t> </w:t>
            </w:r>
          </w:p>
        </w:tc>
      </w:tr>
      <w:tr w:rsidR="002866BB" w:rsidRPr="00A4333E" w14:paraId="3ED4AA62" w14:textId="77777777" w:rsidTr="003F50B6">
        <w:tc>
          <w:tcPr>
            <w:tcW w:w="2985" w:type="dxa"/>
            <w:tcBorders>
              <w:top w:val="nil"/>
              <w:left w:val="single" w:sz="4" w:space="0" w:color="auto"/>
              <w:bottom w:val="single" w:sz="4" w:space="0" w:color="auto"/>
              <w:right w:val="single" w:sz="4" w:space="0" w:color="auto"/>
            </w:tcBorders>
            <w:shd w:val="clear" w:color="auto" w:fill="auto"/>
            <w:vAlign w:val="center"/>
            <w:hideMark/>
          </w:tcPr>
          <w:p w14:paraId="5CE38DFC" w14:textId="5E87E581" w:rsidR="002866BB" w:rsidRPr="00A4333E" w:rsidRDefault="002866BB" w:rsidP="00496214">
            <w:pPr>
              <w:ind w:left="0" w:firstLine="0"/>
              <w:rPr>
                <w:rFonts w:asciiTheme="minorHAnsi" w:eastAsia="Times New Roman" w:hAnsiTheme="minorHAnsi" w:cstheme="minorHAnsi"/>
                <w:sz w:val="20"/>
                <w:szCs w:val="20"/>
                <w:lang w:val="fr-FR" w:eastAsia="en-GB"/>
              </w:rPr>
            </w:pPr>
            <w:r w:rsidRPr="00A4333E">
              <w:rPr>
                <w:rFonts w:asciiTheme="minorHAnsi" w:eastAsia="Times New Roman" w:hAnsiTheme="minorHAnsi" w:cstheme="minorHAnsi"/>
                <w:sz w:val="20"/>
                <w:szCs w:val="20"/>
                <w:lang w:val="fr-FR" w:eastAsia="en-GB"/>
              </w:rPr>
              <w:t>A.</w:t>
            </w:r>
            <w:r w:rsidR="00CF43CF" w:rsidRPr="00A4333E">
              <w:rPr>
                <w:rFonts w:asciiTheme="minorHAnsi" w:eastAsia="Times New Roman" w:hAnsiTheme="minorHAnsi" w:cstheme="minorHAnsi"/>
                <w:sz w:val="20"/>
                <w:szCs w:val="20"/>
                <w:lang w:val="fr-FR" w:eastAsia="en-GB"/>
              </w:rPr>
              <w:t xml:space="preserve"> Cadres supérieurs du</w:t>
            </w:r>
            <w:r w:rsidRPr="00A4333E">
              <w:rPr>
                <w:rFonts w:asciiTheme="minorHAnsi" w:eastAsia="Times New Roman" w:hAnsiTheme="minorHAnsi" w:cstheme="minorHAnsi"/>
                <w:sz w:val="20"/>
                <w:szCs w:val="20"/>
                <w:lang w:val="fr-FR" w:eastAsia="en-GB"/>
              </w:rPr>
              <w:t xml:space="preserve"> Secr</w:t>
            </w:r>
            <w:r w:rsidR="00CF43CF" w:rsidRPr="00A4333E">
              <w:rPr>
                <w:rFonts w:asciiTheme="minorHAnsi" w:eastAsia="Times New Roman" w:hAnsiTheme="minorHAnsi" w:cstheme="minorHAnsi"/>
                <w:sz w:val="20"/>
                <w:szCs w:val="20"/>
                <w:lang w:val="fr-FR" w:eastAsia="en-GB"/>
              </w:rPr>
              <w:t>é</w:t>
            </w:r>
            <w:r w:rsidRPr="00A4333E">
              <w:rPr>
                <w:rFonts w:asciiTheme="minorHAnsi" w:eastAsia="Times New Roman" w:hAnsiTheme="minorHAnsi" w:cstheme="minorHAnsi"/>
                <w:sz w:val="20"/>
                <w:szCs w:val="20"/>
                <w:lang w:val="fr-FR" w:eastAsia="en-GB"/>
              </w:rPr>
              <w:t xml:space="preserve">tariat </w:t>
            </w:r>
            <w:r w:rsidR="00CF43CF" w:rsidRPr="00A4333E">
              <w:rPr>
                <w:rFonts w:asciiTheme="minorHAnsi" w:eastAsia="Times New Roman" w:hAnsiTheme="minorHAnsi" w:cstheme="minorHAnsi"/>
                <w:sz w:val="20"/>
                <w:szCs w:val="20"/>
                <w:lang w:val="fr-FR" w:eastAsia="en-GB"/>
              </w:rPr>
              <w:t>et gou</w:t>
            </w:r>
            <w:r w:rsidRPr="00A4333E">
              <w:rPr>
                <w:rFonts w:asciiTheme="minorHAnsi" w:eastAsia="Times New Roman" w:hAnsiTheme="minorHAnsi" w:cstheme="minorHAnsi"/>
                <w:sz w:val="20"/>
                <w:szCs w:val="20"/>
                <w:lang w:val="fr-FR" w:eastAsia="en-GB"/>
              </w:rPr>
              <w:t>vernance</w:t>
            </w:r>
          </w:p>
        </w:tc>
        <w:tc>
          <w:tcPr>
            <w:tcW w:w="887" w:type="dxa"/>
            <w:tcBorders>
              <w:top w:val="nil"/>
              <w:left w:val="nil"/>
              <w:bottom w:val="single" w:sz="4" w:space="0" w:color="auto"/>
              <w:right w:val="single" w:sz="4" w:space="0" w:color="auto"/>
            </w:tcBorders>
            <w:shd w:val="clear" w:color="auto" w:fill="auto"/>
            <w:noWrap/>
            <w:hideMark/>
          </w:tcPr>
          <w:p w14:paraId="20CAF5B5" w14:textId="77777777" w:rsidR="002866BB" w:rsidRPr="00A4333E" w:rsidRDefault="002866BB" w:rsidP="003D145E">
            <w:pPr>
              <w:ind w:left="0" w:firstLine="0"/>
              <w:jc w:val="right"/>
              <w:rPr>
                <w:rFonts w:asciiTheme="minorHAnsi" w:eastAsia="Times New Roman" w:hAnsiTheme="minorHAnsi" w:cstheme="minorHAnsi"/>
                <w:sz w:val="20"/>
                <w:szCs w:val="20"/>
                <w:lang w:val="fr-FR" w:eastAsia="en-GB"/>
              </w:rPr>
            </w:pPr>
            <w:r w:rsidRPr="00A4333E">
              <w:rPr>
                <w:rFonts w:asciiTheme="minorHAnsi" w:eastAsia="Times New Roman" w:hAnsiTheme="minorHAnsi" w:cstheme="minorHAnsi"/>
                <w:sz w:val="20"/>
                <w:szCs w:val="20"/>
                <w:lang w:val="fr-FR" w:eastAsia="en-GB"/>
              </w:rPr>
              <w:t xml:space="preserve">888 </w:t>
            </w:r>
          </w:p>
        </w:tc>
        <w:tc>
          <w:tcPr>
            <w:tcW w:w="887" w:type="dxa"/>
            <w:tcBorders>
              <w:top w:val="nil"/>
              <w:left w:val="nil"/>
              <w:bottom w:val="single" w:sz="4" w:space="0" w:color="auto"/>
              <w:right w:val="single" w:sz="4" w:space="0" w:color="auto"/>
            </w:tcBorders>
            <w:shd w:val="clear" w:color="auto" w:fill="auto"/>
            <w:noWrap/>
            <w:hideMark/>
          </w:tcPr>
          <w:p w14:paraId="2540EF95" w14:textId="77777777" w:rsidR="002866BB" w:rsidRPr="00A4333E" w:rsidRDefault="002866BB" w:rsidP="003D145E">
            <w:pPr>
              <w:ind w:left="0" w:firstLine="0"/>
              <w:jc w:val="right"/>
              <w:rPr>
                <w:rFonts w:asciiTheme="minorHAnsi" w:eastAsia="Times New Roman" w:hAnsiTheme="minorHAnsi" w:cstheme="minorHAnsi"/>
                <w:sz w:val="20"/>
                <w:szCs w:val="20"/>
                <w:lang w:val="fr-FR" w:eastAsia="en-GB"/>
              </w:rPr>
            </w:pPr>
            <w:r w:rsidRPr="00A4333E">
              <w:rPr>
                <w:rFonts w:asciiTheme="minorHAnsi" w:eastAsia="Times New Roman" w:hAnsiTheme="minorHAnsi" w:cstheme="minorHAnsi"/>
                <w:sz w:val="20"/>
                <w:szCs w:val="20"/>
                <w:lang w:val="fr-FR" w:eastAsia="en-GB"/>
              </w:rPr>
              <w:t xml:space="preserve">900 </w:t>
            </w:r>
          </w:p>
        </w:tc>
        <w:tc>
          <w:tcPr>
            <w:tcW w:w="887" w:type="dxa"/>
            <w:tcBorders>
              <w:top w:val="nil"/>
              <w:left w:val="nil"/>
              <w:bottom w:val="single" w:sz="4" w:space="0" w:color="auto"/>
              <w:right w:val="single" w:sz="4" w:space="0" w:color="auto"/>
            </w:tcBorders>
            <w:shd w:val="clear" w:color="auto" w:fill="auto"/>
            <w:noWrap/>
            <w:hideMark/>
          </w:tcPr>
          <w:p w14:paraId="4733DDE7" w14:textId="77777777" w:rsidR="002866BB" w:rsidRPr="00A4333E" w:rsidRDefault="002866BB" w:rsidP="003D145E">
            <w:pPr>
              <w:ind w:left="0" w:firstLine="0"/>
              <w:jc w:val="right"/>
              <w:rPr>
                <w:rFonts w:asciiTheme="minorHAnsi" w:eastAsia="Times New Roman" w:hAnsiTheme="minorHAnsi" w:cstheme="minorHAnsi"/>
                <w:sz w:val="20"/>
                <w:szCs w:val="20"/>
                <w:lang w:val="fr-FR" w:eastAsia="en-GB"/>
              </w:rPr>
            </w:pPr>
            <w:r w:rsidRPr="00A4333E">
              <w:rPr>
                <w:rFonts w:asciiTheme="minorHAnsi" w:eastAsia="Times New Roman" w:hAnsiTheme="minorHAnsi" w:cstheme="minorHAnsi"/>
                <w:sz w:val="20"/>
                <w:szCs w:val="20"/>
                <w:lang w:val="fr-FR" w:eastAsia="en-GB"/>
              </w:rPr>
              <w:t xml:space="preserve">957 </w:t>
            </w:r>
          </w:p>
        </w:tc>
        <w:tc>
          <w:tcPr>
            <w:tcW w:w="977" w:type="dxa"/>
            <w:tcBorders>
              <w:top w:val="nil"/>
              <w:left w:val="nil"/>
              <w:bottom w:val="single" w:sz="4" w:space="0" w:color="auto"/>
              <w:right w:val="single" w:sz="4" w:space="0" w:color="auto"/>
            </w:tcBorders>
            <w:shd w:val="clear" w:color="auto" w:fill="auto"/>
            <w:noWrap/>
            <w:hideMark/>
          </w:tcPr>
          <w:p w14:paraId="2BD4B84B" w14:textId="77777777" w:rsidR="002866BB" w:rsidRPr="00A4333E" w:rsidRDefault="002866BB" w:rsidP="003D145E">
            <w:pPr>
              <w:ind w:left="0" w:firstLine="0"/>
              <w:jc w:val="right"/>
              <w:rPr>
                <w:rFonts w:asciiTheme="minorHAnsi" w:eastAsia="Times New Roman" w:hAnsiTheme="minorHAnsi" w:cstheme="minorHAnsi"/>
                <w:sz w:val="20"/>
                <w:szCs w:val="20"/>
                <w:lang w:val="fr-FR" w:eastAsia="en-GB"/>
              </w:rPr>
            </w:pPr>
            <w:r w:rsidRPr="00A4333E">
              <w:rPr>
                <w:rFonts w:asciiTheme="minorHAnsi" w:eastAsia="Times New Roman" w:hAnsiTheme="minorHAnsi" w:cstheme="minorHAnsi"/>
                <w:sz w:val="20"/>
                <w:szCs w:val="20"/>
                <w:lang w:val="fr-FR" w:eastAsia="en-GB"/>
              </w:rPr>
              <w:t xml:space="preserve">1,035 </w:t>
            </w:r>
          </w:p>
        </w:tc>
        <w:tc>
          <w:tcPr>
            <w:tcW w:w="887" w:type="dxa"/>
            <w:tcBorders>
              <w:top w:val="nil"/>
              <w:left w:val="nil"/>
              <w:bottom w:val="single" w:sz="4" w:space="0" w:color="auto"/>
              <w:right w:val="single" w:sz="4" w:space="0" w:color="auto"/>
            </w:tcBorders>
            <w:shd w:val="clear" w:color="auto" w:fill="auto"/>
            <w:noWrap/>
            <w:hideMark/>
          </w:tcPr>
          <w:p w14:paraId="1AAED2C4" w14:textId="77777777" w:rsidR="002866BB" w:rsidRPr="00A4333E" w:rsidRDefault="002866BB" w:rsidP="003D145E">
            <w:pPr>
              <w:ind w:left="0" w:firstLine="0"/>
              <w:jc w:val="right"/>
              <w:rPr>
                <w:rFonts w:asciiTheme="minorHAnsi" w:eastAsia="Times New Roman" w:hAnsiTheme="minorHAnsi" w:cstheme="minorHAnsi"/>
                <w:sz w:val="20"/>
                <w:szCs w:val="20"/>
                <w:lang w:val="fr-FR" w:eastAsia="en-GB"/>
              </w:rPr>
            </w:pPr>
            <w:r w:rsidRPr="00A4333E">
              <w:rPr>
                <w:rFonts w:asciiTheme="minorHAnsi" w:eastAsia="Times New Roman" w:hAnsiTheme="minorHAnsi" w:cstheme="minorHAnsi"/>
                <w:sz w:val="20"/>
                <w:szCs w:val="20"/>
                <w:lang w:val="fr-FR" w:eastAsia="en-GB"/>
              </w:rPr>
              <w:t xml:space="preserve">3,780 </w:t>
            </w:r>
          </w:p>
        </w:tc>
        <w:tc>
          <w:tcPr>
            <w:tcW w:w="1091" w:type="dxa"/>
            <w:tcBorders>
              <w:top w:val="nil"/>
              <w:left w:val="nil"/>
              <w:bottom w:val="single" w:sz="4" w:space="0" w:color="auto"/>
              <w:right w:val="single" w:sz="4" w:space="0" w:color="auto"/>
            </w:tcBorders>
            <w:shd w:val="clear" w:color="auto" w:fill="auto"/>
            <w:noWrap/>
            <w:hideMark/>
          </w:tcPr>
          <w:p w14:paraId="3FD8618D" w14:textId="77777777" w:rsidR="002866BB" w:rsidRPr="00A4333E" w:rsidRDefault="002866BB" w:rsidP="003D145E">
            <w:pPr>
              <w:ind w:left="0" w:firstLine="0"/>
              <w:jc w:val="right"/>
              <w:rPr>
                <w:rFonts w:asciiTheme="minorHAnsi" w:eastAsia="Times New Roman" w:hAnsiTheme="minorHAnsi" w:cstheme="minorHAnsi"/>
                <w:sz w:val="20"/>
                <w:szCs w:val="20"/>
                <w:lang w:val="fr-FR" w:eastAsia="en-GB"/>
              </w:rPr>
            </w:pPr>
            <w:r w:rsidRPr="00A4333E">
              <w:rPr>
                <w:rFonts w:asciiTheme="minorHAnsi" w:eastAsia="Times New Roman" w:hAnsiTheme="minorHAnsi" w:cstheme="minorHAnsi"/>
                <w:sz w:val="20"/>
                <w:szCs w:val="20"/>
                <w:lang w:val="fr-FR" w:eastAsia="en-GB"/>
              </w:rPr>
              <w:t xml:space="preserve">4,105 </w:t>
            </w:r>
          </w:p>
        </w:tc>
        <w:tc>
          <w:tcPr>
            <w:tcW w:w="1121" w:type="dxa"/>
            <w:tcBorders>
              <w:top w:val="nil"/>
              <w:left w:val="nil"/>
              <w:bottom w:val="single" w:sz="4" w:space="0" w:color="auto"/>
              <w:right w:val="single" w:sz="4" w:space="0" w:color="auto"/>
            </w:tcBorders>
            <w:shd w:val="clear" w:color="auto" w:fill="auto"/>
            <w:noWrap/>
            <w:hideMark/>
          </w:tcPr>
          <w:p w14:paraId="6B232879" w14:textId="548D1EE9" w:rsidR="002866BB" w:rsidRPr="00A4333E" w:rsidRDefault="002866BB" w:rsidP="003D145E">
            <w:pPr>
              <w:ind w:left="0" w:firstLine="0"/>
              <w:jc w:val="right"/>
              <w:rPr>
                <w:rFonts w:asciiTheme="minorHAnsi" w:eastAsia="Times New Roman" w:hAnsiTheme="minorHAnsi" w:cstheme="minorHAnsi"/>
                <w:sz w:val="20"/>
                <w:szCs w:val="20"/>
                <w:lang w:val="fr-FR" w:eastAsia="en-GB"/>
              </w:rPr>
            </w:pPr>
            <w:r w:rsidRPr="00A4333E">
              <w:rPr>
                <w:rFonts w:asciiTheme="minorHAnsi" w:eastAsia="Times New Roman" w:hAnsiTheme="minorHAnsi" w:cstheme="minorHAnsi"/>
                <w:sz w:val="20"/>
                <w:szCs w:val="20"/>
                <w:lang w:val="fr-FR" w:eastAsia="en-GB"/>
              </w:rPr>
              <w:t xml:space="preserve"> 325 </w:t>
            </w:r>
          </w:p>
        </w:tc>
      </w:tr>
      <w:tr w:rsidR="002866BB" w:rsidRPr="00A4333E" w14:paraId="42F77407" w14:textId="77777777" w:rsidTr="003F50B6">
        <w:tc>
          <w:tcPr>
            <w:tcW w:w="2985" w:type="dxa"/>
            <w:tcBorders>
              <w:top w:val="nil"/>
              <w:left w:val="single" w:sz="4" w:space="0" w:color="auto"/>
              <w:bottom w:val="single" w:sz="4" w:space="0" w:color="auto"/>
              <w:right w:val="single" w:sz="4" w:space="0" w:color="auto"/>
            </w:tcBorders>
            <w:shd w:val="clear" w:color="auto" w:fill="auto"/>
            <w:noWrap/>
            <w:vAlign w:val="center"/>
            <w:hideMark/>
          </w:tcPr>
          <w:p w14:paraId="7F995853" w14:textId="7FB45199" w:rsidR="002866BB" w:rsidRPr="00A4333E" w:rsidRDefault="002866BB" w:rsidP="00496214">
            <w:pPr>
              <w:ind w:left="0" w:firstLine="0"/>
              <w:rPr>
                <w:rFonts w:asciiTheme="minorHAnsi" w:eastAsia="Times New Roman" w:hAnsiTheme="minorHAnsi" w:cstheme="minorHAnsi"/>
                <w:sz w:val="20"/>
                <w:szCs w:val="20"/>
                <w:lang w:val="fr-FR" w:eastAsia="en-GB"/>
              </w:rPr>
            </w:pPr>
            <w:r w:rsidRPr="00A4333E">
              <w:rPr>
                <w:rFonts w:asciiTheme="minorHAnsi" w:eastAsia="Times New Roman" w:hAnsiTheme="minorHAnsi" w:cstheme="minorHAnsi"/>
                <w:sz w:val="20"/>
                <w:szCs w:val="20"/>
                <w:lang w:val="fr-FR" w:eastAsia="en-GB"/>
              </w:rPr>
              <w:t xml:space="preserve">B.  </w:t>
            </w:r>
            <w:r w:rsidR="00CF43CF" w:rsidRPr="00A4333E">
              <w:rPr>
                <w:rFonts w:asciiTheme="minorHAnsi" w:eastAsia="Times New Roman" w:hAnsiTheme="minorHAnsi" w:cstheme="minorHAnsi"/>
                <w:sz w:val="20"/>
                <w:szCs w:val="20"/>
                <w:lang w:val="fr-FR" w:eastAsia="en-GB"/>
              </w:rPr>
              <w:t>Mobilisation des ressources et sensibilisation</w:t>
            </w:r>
          </w:p>
        </w:tc>
        <w:tc>
          <w:tcPr>
            <w:tcW w:w="887" w:type="dxa"/>
            <w:tcBorders>
              <w:top w:val="nil"/>
              <w:left w:val="nil"/>
              <w:bottom w:val="single" w:sz="4" w:space="0" w:color="auto"/>
              <w:right w:val="single" w:sz="4" w:space="0" w:color="auto"/>
            </w:tcBorders>
            <w:shd w:val="clear" w:color="auto" w:fill="auto"/>
            <w:noWrap/>
            <w:hideMark/>
          </w:tcPr>
          <w:p w14:paraId="38DE697B" w14:textId="77777777" w:rsidR="002866BB" w:rsidRPr="00A4333E" w:rsidRDefault="002866BB" w:rsidP="003D145E">
            <w:pPr>
              <w:ind w:left="0" w:firstLine="0"/>
              <w:jc w:val="right"/>
              <w:rPr>
                <w:rFonts w:asciiTheme="minorHAnsi" w:eastAsia="Times New Roman" w:hAnsiTheme="minorHAnsi" w:cstheme="minorHAnsi"/>
                <w:sz w:val="20"/>
                <w:szCs w:val="20"/>
                <w:lang w:val="fr-FR" w:eastAsia="en-GB"/>
              </w:rPr>
            </w:pPr>
            <w:r w:rsidRPr="00A4333E">
              <w:rPr>
                <w:rFonts w:asciiTheme="minorHAnsi" w:eastAsia="Times New Roman" w:hAnsiTheme="minorHAnsi" w:cstheme="minorHAnsi"/>
                <w:sz w:val="20"/>
                <w:szCs w:val="20"/>
                <w:lang w:val="fr-FR" w:eastAsia="en-GB"/>
              </w:rPr>
              <w:t xml:space="preserve">380 </w:t>
            </w:r>
          </w:p>
        </w:tc>
        <w:tc>
          <w:tcPr>
            <w:tcW w:w="887" w:type="dxa"/>
            <w:tcBorders>
              <w:top w:val="nil"/>
              <w:left w:val="nil"/>
              <w:bottom w:val="single" w:sz="4" w:space="0" w:color="auto"/>
              <w:right w:val="single" w:sz="4" w:space="0" w:color="auto"/>
            </w:tcBorders>
            <w:shd w:val="clear" w:color="auto" w:fill="auto"/>
            <w:noWrap/>
            <w:hideMark/>
          </w:tcPr>
          <w:p w14:paraId="47815AF1" w14:textId="77777777" w:rsidR="002866BB" w:rsidRPr="00A4333E" w:rsidRDefault="002866BB" w:rsidP="003D145E">
            <w:pPr>
              <w:ind w:left="0" w:firstLine="0"/>
              <w:jc w:val="right"/>
              <w:rPr>
                <w:rFonts w:asciiTheme="minorHAnsi" w:eastAsia="Times New Roman" w:hAnsiTheme="minorHAnsi" w:cstheme="minorHAnsi"/>
                <w:sz w:val="20"/>
                <w:szCs w:val="20"/>
                <w:lang w:val="fr-FR" w:eastAsia="en-GB"/>
              </w:rPr>
            </w:pPr>
            <w:r w:rsidRPr="00A4333E">
              <w:rPr>
                <w:rFonts w:asciiTheme="minorHAnsi" w:eastAsia="Times New Roman" w:hAnsiTheme="minorHAnsi" w:cstheme="minorHAnsi"/>
                <w:sz w:val="20"/>
                <w:szCs w:val="20"/>
                <w:lang w:val="fr-FR" w:eastAsia="en-GB"/>
              </w:rPr>
              <w:t xml:space="preserve">474 </w:t>
            </w:r>
          </w:p>
        </w:tc>
        <w:tc>
          <w:tcPr>
            <w:tcW w:w="887" w:type="dxa"/>
            <w:tcBorders>
              <w:top w:val="nil"/>
              <w:left w:val="nil"/>
              <w:bottom w:val="single" w:sz="4" w:space="0" w:color="auto"/>
              <w:right w:val="single" w:sz="4" w:space="0" w:color="auto"/>
            </w:tcBorders>
            <w:shd w:val="clear" w:color="auto" w:fill="auto"/>
            <w:noWrap/>
            <w:hideMark/>
          </w:tcPr>
          <w:p w14:paraId="488A9F6D" w14:textId="77777777" w:rsidR="002866BB" w:rsidRPr="00A4333E" w:rsidRDefault="002866BB" w:rsidP="003D145E">
            <w:pPr>
              <w:ind w:left="0" w:firstLine="0"/>
              <w:jc w:val="right"/>
              <w:rPr>
                <w:rFonts w:asciiTheme="minorHAnsi" w:eastAsia="Times New Roman" w:hAnsiTheme="minorHAnsi" w:cstheme="minorHAnsi"/>
                <w:sz w:val="20"/>
                <w:szCs w:val="20"/>
                <w:lang w:val="fr-FR" w:eastAsia="en-GB"/>
              </w:rPr>
            </w:pPr>
            <w:r w:rsidRPr="00A4333E">
              <w:rPr>
                <w:rFonts w:asciiTheme="minorHAnsi" w:eastAsia="Times New Roman" w:hAnsiTheme="minorHAnsi" w:cstheme="minorHAnsi"/>
                <w:sz w:val="20"/>
                <w:szCs w:val="20"/>
                <w:lang w:val="fr-FR" w:eastAsia="en-GB"/>
              </w:rPr>
              <w:t xml:space="preserve">540 </w:t>
            </w:r>
          </w:p>
        </w:tc>
        <w:tc>
          <w:tcPr>
            <w:tcW w:w="977" w:type="dxa"/>
            <w:tcBorders>
              <w:top w:val="nil"/>
              <w:left w:val="nil"/>
              <w:bottom w:val="single" w:sz="4" w:space="0" w:color="auto"/>
              <w:right w:val="single" w:sz="4" w:space="0" w:color="auto"/>
            </w:tcBorders>
            <w:shd w:val="clear" w:color="auto" w:fill="auto"/>
            <w:noWrap/>
            <w:hideMark/>
          </w:tcPr>
          <w:p w14:paraId="0912E434" w14:textId="77777777" w:rsidR="002866BB" w:rsidRPr="00A4333E" w:rsidRDefault="002866BB" w:rsidP="003D145E">
            <w:pPr>
              <w:ind w:left="0" w:firstLine="0"/>
              <w:jc w:val="right"/>
              <w:rPr>
                <w:rFonts w:asciiTheme="minorHAnsi" w:eastAsia="Times New Roman" w:hAnsiTheme="minorHAnsi" w:cstheme="minorHAnsi"/>
                <w:sz w:val="20"/>
                <w:szCs w:val="20"/>
                <w:lang w:val="fr-FR" w:eastAsia="en-GB"/>
              </w:rPr>
            </w:pPr>
            <w:r w:rsidRPr="00A4333E">
              <w:rPr>
                <w:rFonts w:asciiTheme="minorHAnsi" w:eastAsia="Times New Roman" w:hAnsiTheme="minorHAnsi" w:cstheme="minorHAnsi"/>
                <w:sz w:val="20"/>
                <w:szCs w:val="20"/>
                <w:lang w:val="fr-FR" w:eastAsia="en-GB"/>
              </w:rPr>
              <w:t xml:space="preserve">639 </w:t>
            </w:r>
          </w:p>
        </w:tc>
        <w:tc>
          <w:tcPr>
            <w:tcW w:w="887" w:type="dxa"/>
            <w:tcBorders>
              <w:top w:val="nil"/>
              <w:left w:val="nil"/>
              <w:bottom w:val="single" w:sz="4" w:space="0" w:color="auto"/>
              <w:right w:val="single" w:sz="4" w:space="0" w:color="auto"/>
            </w:tcBorders>
            <w:shd w:val="clear" w:color="auto" w:fill="auto"/>
            <w:noWrap/>
            <w:hideMark/>
          </w:tcPr>
          <w:p w14:paraId="34C95CEF" w14:textId="77777777" w:rsidR="002866BB" w:rsidRPr="00A4333E" w:rsidRDefault="002866BB" w:rsidP="003D145E">
            <w:pPr>
              <w:ind w:left="0" w:firstLine="0"/>
              <w:jc w:val="right"/>
              <w:rPr>
                <w:rFonts w:asciiTheme="minorHAnsi" w:eastAsia="Times New Roman" w:hAnsiTheme="minorHAnsi" w:cstheme="minorHAnsi"/>
                <w:sz w:val="20"/>
                <w:szCs w:val="20"/>
                <w:lang w:val="fr-FR" w:eastAsia="en-GB"/>
              </w:rPr>
            </w:pPr>
            <w:r w:rsidRPr="00A4333E">
              <w:rPr>
                <w:rFonts w:asciiTheme="minorHAnsi" w:eastAsia="Times New Roman" w:hAnsiTheme="minorHAnsi" w:cstheme="minorHAnsi"/>
                <w:sz w:val="20"/>
                <w:szCs w:val="20"/>
                <w:lang w:val="fr-FR" w:eastAsia="en-GB"/>
              </w:rPr>
              <w:t xml:space="preserve">2,033 </w:t>
            </w:r>
          </w:p>
        </w:tc>
        <w:tc>
          <w:tcPr>
            <w:tcW w:w="1091" w:type="dxa"/>
            <w:tcBorders>
              <w:top w:val="nil"/>
              <w:left w:val="nil"/>
              <w:bottom w:val="single" w:sz="4" w:space="0" w:color="auto"/>
              <w:right w:val="single" w:sz="4" w:space="0" w:color="auto"/>
            </w:tcBorders>
            <w:shd w:val="clear" w:color="auto" w:fill="auto"/>
            <w:noWrap/>
            <w:hideMark/>
          </w:tcPr>
          <w:p w14:paraId="2BFEFF96" w14:textId="77777777" w:rsidR="002866BB" w:rsidRPr="00A4333E" w:rsidRDefault="002866BB" w:rsidP="003D145E">
            <w:pPr>
              <w:ind w:left="0" w:firstLine="0"/>
              <w:jc w:val="right"/>
              <w:rPr>
                <w:rFonts w:asciiTheme="minorHAnsi" w:eastAsia="Times New Roman" w:hAnsiTheme="minorHAnsi" w:cstheme="minorHAnsi"/>
                <w:sz w:val="20"/>
                <w:szCs w:val="20"/>
                <w:lang w:val="fr-FR" w:eastAsia="en-GB"/>
              </w:rPr>
            </w:pPr>
            <w:r w:rsidRPr="00A4333E">
              <w:rPr>
                <w:rFonts w:asciiTheme="minorHAnsi" w:eastAsia="Times New Roman" w:hAnsiTheme="minorHAnsi" w:cstheme="minorHAnsi"/>
                <w:sz w:val="20"/>
                <w:szCs w:val="20"/>
                <w:lang w:val="fr-FR" w:eastAsia="en-GB"/>
              </w:rPr>
              <w:t xml:space="preserve">2,495 </w:t>
            </w:r>
          </w:p>
        </w:tc>
        <w:tc>
          <w:tcPr>
            <w:tcW w:w="1121" w:type="dxa"/>
            <w:tcBorders>
              <w:top w:val="nil"/>
              <w:left w:val="nil"/>
              <w:bottom w:val="single" w:sz="4" w:space="0" w:color="auto"/>
              <w:right w:val="single" w:sz="4" w:space="0" w:color="auto"/>
            </w:tcBorders>
            <w:shd w:val="clear" w:color="auto" w:fill="auto"/>
            <w:noWrap/>
            <w:hideMark/>
          </w:tcPr>
          <w:p w14:paraId="709FF142" w14:textId="44E7A577" w:rsidR="002866BB" w:rsidRPr="00A4333E" w:rsidRDefault="002866BB" w:rsidP="003D145E">
            <w:pPr>
              <w:ind w:left="0" w:firstLine="0"/>
              <w:jc w:val="right"/>
              <w:rPr>
                <w:rFonts w:asciiTheme="minorHAnsi" w:eastAsia="Times New Roman" w:hAnsiTheme="minorHAnsi" w:cstheme="minorHAnsi"/>
                <w:sz w:val="20"/>
                <w:szCs w:val="20"/>
                <w:lang w:val="fr-FR" w:eastAsia="en-GB"/>
              </w:rPr>
            </w:pPr>
            <w:r w:rsidRPr="00A4333E">
              <w:rPr>
                <w:rFonts w:asciiTheme="minorHAnsi" w:eastAsia="Times New Roman" w:hAnsiTheme="minorHAnsi" w:cstheme="minorHAnsi"/>
                <w:sz w:val="20"/>
                <w:szCs w:val="20"/>
                <w:lang w:val="fr-FR" w:eastAsia="en-GB"/>
              </w:rPr>
              <w:t xml:space="preserve"> 462 </w:t>
            </w:r>
          </w:p>
        </w:tc>
      </w:tr>
      <w:tr w:rsidR="002866BB" w:rsidRPr="00A4333E" w14:paraId="349B2800" w14:textId="77777777" w:rsidTr="003F50B6">
        <w:tc>
          <w:tcPr>
            <w:tcW w:w="2985" w:type="dxa"/>
            <w:tcBorders>
              <w:top w:val="nil"/>
              <w:left w:val="single" w:sz="4" w:space="0" w:color="auto"/>
              <w:bottom w:val="single" w:sz="4" w:space="0" w:color="auto"/>
              <w:right w:val="single" w:sz="4" w:space="0" w:color="auto"/>
            </w:tcBorders>
            <w:shd w:val="clear" w:color="auto" w:fill="auto"/>
            <w:noWrap/>
            <w:vAlign w:val="center"/>
            <w:hideMark/>
          </w:tcPr>
          <w:p w14:paraId="2A2AFE8C" w14:textId="487F0CB2" w:rsidR="002866BB" w:rsidRPr="00A4333E" w:rsidRDefault="002866BB" w:rsidP="00496214">
            <w:pPr>
              <w:ind w:left="0" w:firstLine="0"/>
              <w:rPr>
                <w:rFonts w:asciiTheme="minorHAnsi" w:eastAsia="Times New Roman" w:hAnsiTheme="minorHAnsi" w:cstheme="minorHAnsi"/>
                <w:sz w:val="20"/>
                <w:szCs w:val="20"/>
                <w:lang w:val="fr-FR" w:eastAsia="en-GB"/>
              </w:rPr>
            </w:pPr>
            <w:r w:rsidRPr="00A4333E">
              <w:rPr>
                <w:rFonts w:asciiTheme="minorHAnsi" w:eastAsia="Times New Roman" w:hAnsiTheme="minorHAnsi" w:cstheme="minorHAnsi"/>
                <w:sz w:val="20"/>
                <w:szCs w:val="20"/>
                <w:lang w:val="fr-FR" w:eastAsia="en-GB"/>
              </w:rPr>
              <w:t xml:space="preserve">C.  </w:t>
            </w:r>
            <w:r w:rsidR="00CF43CF" w:rsidRPr="00A4333E">
              <w:rPr>
                <w:rFonts w:asciiTheme="minorHAnsi" w:eastAsia="Times New Roman" w:hAnsiTheme="minorHAnsi" w:cstheme="minorHAnsi"/>
                <w:sz w:val="20"/>
                <w:szCs w:val="20"/>
                <w:lang w:val="fr-FR" w:eastAsia="en-GB"/>
              </w:rPr>
              <w:t>Appui et conseils aux régions</w:t>
            </w:r>
          </w:p>
        </w:tc>
        <w:tc>
          <w:tcPr>
            <w:tcW w:w="887" w:type="dxa"/>
            <w:tcBorders>
              <w:top w:val="nil"/>
              <w:left w:val="nil"/>
              <w:bottom w:val="single" w:sz="4" w:space="0" w:color="auto"/>
              <w:right w:val="single" w:sz="4" w:space="0" w:color="auto"/>
            </w:tcBorders>
            <w:shd w:val="clear" w:color="auto" w:fill="auto"/>
            <w:noWrap/>
            <w:hideMark/>
          </w:tcPr>
          <w:p w14:paraId="4E73F7B5" w14:textId="77777777" w:rsidR="002866BB" w:rsidRPr="00A4333E" w:rsidRDefault="002866BB" w:rsidP="003D145E">
            <w:pPr>
              <w:ind w:left="0" w:firstLine="0"/>
              <w:jc w:val="right"/>
              <w:rPr>
                <w:rFonts w:asciiTheme="minorHAnsi" w:eastAsia="Times New Roman" w:hAnsiTheme="minorHAnsi" w:cstheme="minorHAnsi"/>
                <w:sz w:val="20"/>
                <w:szCs w:val="20"/>
                <w:lang w:val="fr-FR" w:eastAsia="en-GB"/>
              </w:rPr>
            </w:pPr>
            <w:r w:rsidRPr="00A4333E">
              <w:rPr>
                <w:rFonts w:asciiTheme="minorHAnsi" w:eastAsia="Times New Roman" w:hAnsiTheme="minorHAnsi" w:cstheme="minorHAnsi"/>
                <w:sz w:val="20"/>
                <w:szCs w:val="20"/>
                <w:lang w:val="fr-FR" w:eastAsia="en-GB"/>
              </w:rPr>
              <w:t xml:space="preserve">1,170 </w:t>
            </w:r>
          </w:p>
        </w:tc>
        <w:tc>
          <w:tcPr>
            <w:tcW w:w="887" w:type="dxa"/>
            <w:tcBorders>
              <w:top w:val="nil"/>
              <w:left w:val="nil"/>
              <w:bottom w:val="single" w:sz="4" w:space="0" w:color="auto"/>
              <w:right w:val="single" w:sz="4" w:space="0" w:color="auto"/>
            </w:tcBorders>
            <w:shd w:val="clear" w:color="auto" w:fill="auto"/>
            <w:noWrap/>
            <w:hideMark/>
          </w:tcPr>
          <w:p w14:paraId="51F2B318" w14:textId="77777777" w:rsidR="002866BB" w:rsidRPr="00A4333E" w:rsidRDefault="002866BB" w:rsidP="003D145E">
            <w:pPr>
              <w:ind w:left="0" w:firstLine="0"/>
              <w:jc w:val="right"/>
              <w:rPr>
                <w:rFonts w:asciiTheme="minorHAnsi" w:eastAsia="Times New Roman" w:hAnsiTheme="minorHAnsi" w:cstheme="minorHAnsi"/>
                <w:sz w:val="20"/>
                <w:szCs w:val="20"/>
                <w:lang w:val="fr-FR" w:eastAsia="en-GB"/>
              </w:rPr>
            </w:pPr>
            <w:r w:rsidRPr="00A4333E">
              <w:rPr>
                <w:rFonts w:asciiTheme="minorHAnsi" w:eastAsia="Times New Roman" w:hAnsiTheme="minorHAnsi" w:cstheme="minorHAnsi"/>
                <w:sz w:val="20"/>
                <w:szCs w:val="20"/>
                <w:lang w:val="fr-FR" w:eastAsia="en-GB"/>
              </w:rPr>
              <w:t xml:space="preserve">1,056 </w:t>
            </w:r>
          </w:p>
        </w:tc>
        <w:tc>
          <w:tcPr>
            <w:tcW w:w="887" w:type="dxa"/>
            <w:tcBorders>
              <w:top w:val="nil"/>
              <w:left w:val="nil"/>
              <w:bottom w:val="single" w:sz="4" w:space="0" w:color="auto"/>
              <w:right w:val="single" w:sz="4" w:space="0" w:color="auto"/>
            </w:tcBorders>
            <w:shd w:val="clear" w:color="auto" w:fill="auto"/>
            <w:noWrap/>
            <w:hideMark/>
          </w:tcPr>
          <w:p w14:paraId="66CD7F7A" w14:textId="77777777" w:rsidR="002866BB" w:rsidRPr="00A4333E" w:rsidRDefault="002866BB" w:rsidP="003D145E">
            <w:pPr>
              <w:ind w:left="0" w:firstLine="0"/>
              <w:jc w:val="right"/>
              <w:rPr>
                <w:rFonts w:asciiTheme="minorHAnsi" w:eastAsia="Times New Roman" w:hAnsiTheme="minorHAnsi" w:cstheme="minorHAnsi"/>
                <w:sz w:val="20"/>
                <w:szCs w:val="20"/>
                <w:lang w:val="fr-FR" w:eastAsia="en-GB"/>
              </w:rPr>
            </w:pPr>
            <w:r w:rsidRPr="00A4333E">
              <w:rPr>
                <w:rFonts w:asciiTheme="minorHAnsi" w:eastAsia="Times New Roman" w:hAnsiTheme="minorHAnsi" w:cstheme="minorHAnsi"/>
                <w:sz w:val="20"/>
                <w:szCs w:val="20"/>
                <w:lang w:val="fr-FR" w:eastAsia="en-GB"/>
              </w:rPr>
              <w:t xml:space="preserve">1,086 </w:t>
            </w:r>
          </w:p>
        </w:tc>
        <w:tc>
          <w:tcPr>
            <w:tcW w:w="977" w:type="dxa"/>
            <w:tcBorders>
              <w:top w:val="nil"/>
              <w:left w:val="nil"/>
              <w:bottom w:val="single" w:sz="4" w:space="0" w:color="auto"/>
              <w:right w:val="single" w:sz="4" w:space="0" w:color="auto"/>
            </w:tcBorders>
            <w:shd w:val="clear" w:color="auto" w:fill="auto"/>
            <w:noWrap/>
            <w:hideMark/>
          </w:tcPr>
          <w:p w14:paraId="74A04A67" w14:textId="77777777" w:rsidR="002866BB" w:rsidRPr="00A4333E" w:rsidRDefault="002866BB" w:rsidP="003D145E">
            <w:pPr>
              <w:ind w:left="0" w:firstLine="0"/>
              <w:jc w:val="right"/>
              <w:rPr>
                <w:rFonts w:asciiTheme="minorHAnsi" w:eastAsia="Times New Roman" w:hAnsiTheme="minorHAnsi" w:cstheme="minorHAnsi"/>
                <w:sz w:val="20"/>
                <w:szCs w:val="20"/>
                <w:lang w:val="fr-FR" w:eastAsia="en-GB"/>
              </w:rPr>
            </w:pPr>
            <w:r w:rsidRPr="00A4333E">
              <w:rPr>
                <w:rFonts w:asciiTheme="minorHAnsi" w:eastAsia="Times New Roman" w:hAnsiTheme="minorHAnsi" w:cstheme="minorHAnsi"/>
                <w:sz w:val="20"/>
                <w:szCs w:val="20"/>
                <w:lang w:val="fr-FR" w:eastAsia="en-GB"/>
              </w:rPr>
              <w:t xml:space="preserve">1,247 </w:t>
            </w:r>
          </w:p>
        </w:tc>
        <w:tc>
          <w:tcPr>
            <w:tcW w:w="887" w:type="dxa"/>
            <w:tcBorders>
              <w:top w:val="nil"/>
              <w:left w:val="nil"/>
              <w:bottom w:val="single" w:sz="4" w:space="0" w:color="auto"/>
              <w:right w:val="single" w:sz="4" w:space="0" w:color="auto"/>
            </w:tcBorders>
            <w:shd w:val="clear" w:color="auto" w:fill="auto"/>
            <w:noWrap/>
            <w:hideMark/>
          </w:tcPr>
          <w:p w14:paraId="44533E83" w14:textId="77777777" w:rsidR="002866BB" w:rsidRPr="00A4333E" w:rsidRDefault="002866BB" w:rsidP="003D145E">
            <w:pPr>
              <w:ind w:left="0" w:firstLine="0"/>
              <w:jc w:val="right"/>
              <w:rPr>
                <w:rFonts w:asciiTheme="minorHAnsi" w:eastAsia="Times New Roman" w:hAnsiTheme="minorHAnsi" w:cstheme="minorHAnsi"/>
                <w:sz w:val="20"/>
                <w:szCs w:val="20"/>
                <w:lang w:val="fr-FR" w:eastAsia="en-GB"/>
              </w:rPr>
            </w:pPr>
            <w:r w:rsidRPr="00A4333E">
              <w:rPr>
                <w:rFonts w:asciiTheme="minorHAnsi" w:eastAsia="Times New Roman" w:hAnsiTheme="minorHAnsi" w:cstheme="minorHAnsi"/>
                <w:sz w:val="20"/>
                <w:szCs w:val="20"/>
                <w:lang w:val="fr-FR" w:eastAsia="en-GB"/>
              </w:rPr>
              <w:t xml:space="preserve">4,559 </w:t>
            </w:r>
          </w:p>
        </w:tc>
        <w:tc>
          <w:tcPr>
            <w:tcW w:w="1091" w:type="dxa"/>
            <w:tcBorders>
              <w:top w:val="nil"/>
              <w:left w:val="nil"/>
              <w:bottom w:val="single" w:sz="4" w:space="0" w:color="auto"/>
              <w:right w:val="single" w:sz="4" w:space="0" w:color="auto"/>
            </w:tcBorders>
            <w:shd w:val="clear" w:color="auto" w:fill="auto"/>
            <w:noWrap/>
            <w:hideMark/>
          </w:tcPr>
          <w:p w14:paraId="48921369" w14:textId="77777777" w:rsidR="002866BB" w:rsidRPr="00A4333E" w:rsidRDefault="002866BB" w:rsidP="003D145E">
            <w:pPr>
              <w:ind w:left="0" w:firstLine="0"/>
              <w:jc w:val="right"/>
              <w:rPr>
                <w:rFonts w:asciiTheme="minorHAnsi" w:eastAsia="Times New Roman" w:hAnsiTheme="minorHAnsi" w:cstheme="minorHAnsi"/>
                <w:sz w:val="20"/>
                <w:szCs w:val="20"/>
                <w:lang w:val="fr-FR" w:eastAsia="en-GB"/>
              </w:rPr>
            </w:pPr>
            <w:r w:rsidRPr="00A4333E">
              <w:rPr>
                <w:rFonts w:asciiTheme="minorHAnsi" w:eastAsia="Times New Roman" w:hAnsiTheme="minorHAnsi" w:cstheme="minorHAnsi"/>
                <w:sz w:val="20"/>
                <w:szCs w:val="20"/>
                <w:lang w:val="fr-FR" w:eastAsia="en-GB"/>
              </w:rPr>
              <w:t xml:space="preserve">5,280 </w:t>
            </w:r>
          </w:p>
        </w:tc>
        <w:tc>
          <w:tcPr>
            <w:tcW w:w="1121" w:type="dxa"/>
            <w:tcBorders>
              <w:top w:val="nil"/>
              <w:left w:val="nil"/>
              <w:bottom w:val="single" w:sz="4" w:space="0" w:color="auto"/>
              <w:right w:val="single" w:sz="4" w:space="0" w:color="auto"/>
            </w:tcBorders>
            <w:shd w:val="clear" w:color="auto" w:fill="auto"/>
            <w:noWrap/>
            <w:hideMark/>
          </w:tcPr>
          <w:p w14:paraId="26FF8B99" w14:textId="05C39163" w:rsidR="002866BB" w:rsidRPr="00A4333E" w:rsidRDefault="002866BB" w:rsidP="003D145E">
            <w:pPr>
              <w:ind w:left="0" w:firstLine="0"/>
              <w:jc w:val="right"/>
              <w:rPr>
                <w:rFonts w:asciiTheme="minorHAnsi" w:eastAsia="Times New Roman" w:hAnsiTheme="minorHAnsi" w:cstheme="minorHAnsi"/>
                <w:sz w:val="20"/>
                <w:szCs w:val="20"/>
                <w:lang w:val="fr-FR" w:eastAsia="en-GB"/>
              </w:rPr>
            </w:pPr>
            <w:r w:rsidRPr="00A4333E">
              <w:rPr>
                <w:rFonts w:asciiTheme="minorHAnsi" w:eastAsia="Times New Roman" w:hAnsiTheme="minorHAnsi" w:cstheme="minorHAnsi"/>
                <w:sz w:val="20"/>
                <w:szCs w:val="20"/>
                <w:lang w:val="fr-FR" w:eastAsia="en-GB"/>
              </w:rPr>
              <w:t xml:space="preserve"> 721 </w:t>
            </w:r>
          </w:p>
        </w:tc>
      </w:tr>
      <w:tr w:rsidR="002866BB" w:rsidRPr="00A4333E" w14:paraId="14D34E23" w14:textId="77777777" w:rsidTr="003F50B6">
        <w:tc>
          <w:tcPr>
            <w:tcW w:w="2985" w:type="dxa"/>
            <w:tcBorders>
              <w:top w:val="nil"/>
              <w:left w:val="single" w:sz="4" w:space="0" w:color="auto"/>
              <w:bottom w:val="single" w:sz="4" w:space="0" w:color="auto"/>
              <w:right w:val="single" w:sz="4" w:space="0" w:color="auto"/>
            </w:tcBorders>
            <w:shd w:val="clear" w:color="auto" w:fill="auto"/>
            <w:noWrap/>
            <w:vAlign w:val="center"/>
            <w:hideMark/>
          </w:tcPr>
          <w:p w14:paraId="3F5A636A" w14:textId="272E3596" w:rsidR="002866BB" w:rsidRPr="00A4333E" w:rsidRDefault="002866BB" w:rsidP="00496214">
            <w:pPr>
              <w:ind w:left="0" w:firstLine="0"/>
              <w:rPr>
                <w:rFonts w:asciiTheme="minorHAnsi" w:eastAsia="Times New Roman" w:hAnsiTheme="minorHAnsi" w:cstheme="minorHAnsi"/>
                <w:sz w:val="20"/>
                <w:szCs w:val="20"/>
                <w:lang w:val="fr-FR" w:eastAsia="en-GB"/>
              </w:rPr>
            </w:pPr>
            <w:r w:rsidRPr="00A4333E">
              <w:rPr>
                <w:rFonts w:asciiTheme="minorHAnsi" w:eastAsia="Times New Roman" w:hAnsiTheme="minorHAnsi" w:cstheme="minorHAnsi"/>
                <w:sz w:val="20"/>
                <w:szCs w:val="20"/>
                <w:lang w:val="fr-FR" w:eastAsia="en-GB"/>
              </w:rPr>
              <w:t xml:space="preserve">D.  </w:t>
            </w:r>
            <w:r w:rsidR="00CF43CF" w:rsidRPr="00A4333E">
              <w:rPr>
                <w:rFonts w:asciiTheme="minorHAnsi" w:eastAsia="Times New Roman" w:hAnsiTheme="minorHAnsi" w:cstheme="minorHAnsi"/>
                <w:sz w:val="20"/>
                <w:szCs w:val="20"/>
                <w:lang w:val="fr-FR" w:eastAsia="en-GB"/>
              </w:rPr>
              <w:t>Appui aux Initiatives régionales</w:t>
            </w:r>
          </w:p>
        </w:tc>
        <w:tc>
          <w:tcPr>
            <w:tcW w:w="887" w:type="dxa"/>
            <w:tcBorders>
              <w:top w:val="nil"/>
              <w:left w:val="nil"/>
              <w:bottom w:val="single" w:sz="4" w:space="0" w:color="auto"/>
              <w:right w:val="single" w:sz="4" w:space="0" w:color="auto"/>
            </w:tcBorders>
            <w:shd w:val="clear" w:color="auto" w:fill="auto"/>
            <w:noWrap/>
            <w:hideMark/>
          </w:tcPr>
          <w:p w14:paraId="09A4A411" w14:textId="77777777" w:rsidR="002866BB" w:rsidRPr="00A4333E" w:rsidRDefault="002866BB" w:rsidP="003D145E">
            <w:pPr>
              <w:ind w:left="0" w:firstLine="0"/>
              <w:jc w:val="right"/>
              <w:rPr>
                <w:rFonts w:asciiTheme="minorHAnsi" w:eastAsia="Times New Roman" w:hAnsiTheme="minorHAnsi" w:cstheme="minorHAnsi"/>
                <w:sz w:val="20"/>
                <w:szCs w:val="20"/>
                <w:lang w:val="fr-FR" w:eastAsia="en-GB"/>
              </w:rPr>
            </w:pPr>
            <w:r w:rsidRPr="00A4333E">
              <w:rPr>
                <w:rFonts w:asciiTheme="minorHAnsi" w:eastAsia="Times New Roman" w:hAnsiTheme="minorHAnsi" w:cstheme="minorHAnsi"/>
                <w:sz w:val="20"/>
                <w:szCs w:val="20"/>
                <w:lang w:val="fr-FR" w:eastAsia="en-GB"/>
              </w:rPr>
              <w:t xml:space="preserve">82 </w:t>
            </w:r>
          </w:p>
        </w:tc>
        <w:tc>
          <w:tcPr>
            <w:tcW w:w="887" w:type="dxa"/>
            <w:tcBorders>
              <w:top w:val="nil"/>
              <w:left w:val="nil"/>
              <w:bottom w:val="single" w:sz="4" w:space="0" w:color="auto"/>
              <w:right w:val="single" w:sz="4" w:space="0" w:color="auto"/>
            </w:tcBorders>
            <w:shd w:val="clear" w:color="auto" w:fill="auto"/>
            <w:noWrap/>
            <w:hideMark/>
          </w:tcPr>
          <w:p w14:paraId="0C36C964" w14:textId="77777777" w:rsidR="002866BB" w:rsidRPr="00A4333E" w:rsidRDefault="002866BB" w:rsidP="003D145E">
            <w:pPr>
              <w:ind w:left="0" w:firstLine="0"/>
              <w:jc w:val="right"/>
              <w:rPr>
                <w:rFonts w:asciiTheme="minorHAnsi" w:eastAsia="Times New Roman" w:hAnsiTheme="minorHAnsi" w:cstheme="minorHAnsi"/>
                <w:sz w:val="20"/>
                <w:szCs w:val="20"/>
                <w:lang w:val="fr-FR" w:eastAsia="en-GB"/>
              </w:rPr>
            </w:pPr>
            <w:r w:rsidRPr="00A4333E">
              <w:rPr>
                <w:rFonts w:asciiTheme="minorHAnsi" w:eastAsia="Times New Roman" w:hAnsiTheme="minorHAnsi" w:cstheme="minorHAnsi"/>
                <w:sz w:val="20"/>
                <w:szCs w:val="20"/>
                <w:lang w:val="fr-FR" w:eastAsia="en-GB"/>
              </w:rPr>
              <w:t xml:space="preserve">70 </w:t>
            </w:r>
          </w:p>
        </w:tc>
        <w:tc>
          <w:tcPr>
            <w:tcW w:w="887" w:type="dxa"/>
            <w:tcBorders>
              <w:top w:val="nil"/>
              <w:left w:val="nil"/>
              <w:bottom w:val="single" w:sz="4" w:space="0" w:color="auto"/>
              <w:right w:val="single" w:sz="4" w:space="0" w:color="auto"/>
            </w:tcBorders>
            <w:shd w:val="clear" w:color="auto" w:fill="auto"/>
            <w:noWrap/>
            <w:hideMark/>
          </w:tcPr>
          <w:p w14:paraId="2CD8B10F" w14:textId="77777777" w:rsidR="002866BB" w:rsidRPr="00A4333E" w:rsidRDefault="002866BB" w:rsidP="003D145E">
            <w:pPr>
              <w:ind w:left="0" w:firstLine="0"/>
              <w:jc w:val="right"/>
              <w:rPr>
                <w:rFonts w:asciiTheme="minorHAnsi" w:eastAsia="Times New Roman" w:hAnsiTheme="minorHAnsi" w:cstheme="minorHAnsi"/>
                <w:sz w:val="20"/>
                <w:szCs w:val="20"/>
                <w:lang w:val="fr-FR" w:eastAsia="en-GB"/>
              </w:rPr>
            </w:pPr>
            <w:r w:rsidRPr="00A4333E">
              <w:rPr>
                <w:rFonts w:asciiTheme="minorHAnsi" w:eastAsia="Times New Roman" w:hAnsiTheme="minorHAnsi" w:cstheme="minorHAnsi"/>
                <w:sz w:val="20"/>
                <w:szCs w:val="20"/>
                <w:lang w:val="fr-FR" w:eastAsia="en-GB"/>
              </w:rPr>
              <w:t xml:space="preserve">140 </w:t>
            </w:r>
          </w:p>
        </w:tc>
        <w:tc>
          <w:tcPr>
            <w:tcW w:w="977" w:type="dxa"/>
            <w:tcBorders>
              <w:top w:val="nil"/>
              <w:left w:val="nil"/>
              <w:bottom w:val="single" w:sz="4" w:space="0" w:color="auto"/>
              <w:right w:val="single" w:sz="4" w:space="0" w:color="auto"/>
            </w:tcBorders>
            <w:shd w:val="clear" w:color="auto" w:fill="auto"/>
            <w:noWrap/>
            <w:hideMark/>
          </w:tcPr>
          <w:p w14:paraId="100D5AFA" w14:textId="77777777" w:rsidR="002866BB" w:rsidRPr="00A4333E" w:rsidRDefault="002866BB" w:rsidP="003D145E">
            <w:pPr>
              <w:ind w:left="0" w:firstLine="0"/>
              <w:jc w:val="right"/>
              <w:rPr>
                <w:rFonts w:asciiTheme="minorHAnsi" w:eastAsia="Times New Roman" w:hAnsiTheme="minorHAnsi" w:cstheme="minorHAnsi"/>
                <w:sz w:val="20"/>
                <w:szCs w:val="20"/>
                <w:lang w:val="fr-FR" w:eastAsia="en-GB"/>
              </w:rPr>
            </w:pPr>
            <w:r w:rsidRPr="00A4333E">
              <w:rPr>
                <w:rFonts w:asciiTheme="minorHAnsi" w:eastAsia="Times New Roman" w:hAnsiTheme="minorHAnsi" w:cstheme="minorHAnsi"/>
                <w:sz w:val="20"/>
                <w:szCs w:val="20"/>
                <w:lang w:val="fr-FR" w:eastAsia="en-GB"/>
              </w:rPr>
              <w:t xml:space="preserve">100 </w:t>
            </w:r>
          </w:p>
        </w:tc>
        <w:tc>
          <w:tcPr>
            <w:tcW w:w="887" w:type="dxa"/>
            <w:tcBorders>
              <w:top w:val="nil"/>
              <w:left w:val="nil"/>
              <w:bottom w:val="single" w:sz="4" w:space="0" w:color="auto"/>
              <w:right w:val="single" w:sz="4" w:space="0" w:color="auto"/>
            </w:tcBorders>
            <w:shd w:val="clear" w:color="auto" w:fill="auto"/>
            <w:noWrap/>
            <w:hideMark/>
          </w:tcPr>
          <w:p w14:paraId="6B67EA15" w14:textId="77777777" w:rsidR="002866BB" w:rsidRPr="00A4333E" w:rsidRDefault="002866BB" w:rsidP="003D145E">
            <w:pPr>
              <w:ind w:left="0" w:firstLine="0"/>
              <w:jc w:val="right"/>
              <w:rPr>
                <w:rFonts w:asciiTheme="minorHAnsi" w:eastAsia="Times New Roman" w:hAnsiTheme="minorHAnsi" w:cstheme="minorHAnsi"/>
                <w:sz w:val="20"/>
                <w:szCs w:val="20"/>
                <w:lang w:val="fr-FR" w:eastAsia="en-GB"/>
              </w:rPr>
            </w:pPr>
            <w:r w:rsidRPr="00A4333E">
              <w:rPr>
                <w:rFonts w:asciiTheme="minorHAnsi" w:eastAsia="Times New Roman" w:hAnsiTheme="minorHAnsi" w:cstheme="minorHAnsi"/>
                <w:sz w:val="20"/>
                <w:szCs w:val="20"/>
                <w:lang w:val="fr-FR" w:eastAsia="en-GB"/>
              </w:rPr>
              <w:t xml:space="preserve">392 </w:t>
            </w:r>
          </w:p>
        </w:tc>
        <w:tc>
          <w:tcPr>
            <w:tcW w:w="1091" w:type="dxa"/>
            <w:tcBorders>
              <w:top w:val="nil"/>
              <w:left w:val="nil"/>
              <w:bottom w:val="single" w:sz="4" w:space="0" w:color="auto"/>
              <w:right w:val="single" w:sz="4" w:space="0" w:color="auto"/>
            </w:tcBorders>
            <w:shd w:val="clear" w:color="auto" w:fill="auto"/>
            <w:noWrap/>
            <w:hideMark/>
          </w:tcPr>
          <w:p w14:paraId="0C8C097D" w14:textId="77777777" w:rsidR="002866BB" w:rsidRPr="00A4333E" w:rsidRDefault="002866BB" w:rsidP="003D145E">
            <w:pPr>
              <w:ind w:left="0" w:firstLine="0"/>
              <w:jc w:val="right"/>
              <w:rPr>
                <w:rFonts w:asciiTheme="minorHAnsi" w:eastAsia="Times New Roman" w:hAnsiTheme="minorHAnsi" w:cstheme="minorHAnsi"/>
                <w:sz w:val="20"/>
                <w:szCs w:val="20"/>
                <w:lang w:val="fr-FR" w:eastAsia="en-GB"/>
              </w:rPr>
            </w:pPr>
            <w:r w:rsidRPr="00A4333E">
              <w:rPr>
                <w:rFonts w:asciiTheme="minorHAnsi" w:eastAsia="Times New Roman" w:hAnsiTheme="minorHAnsi" w:cstheme="minorHAnsi"/>
                <w:sz w:val="20"/>
                <w:szCs w:val="20"/>
                <w:lang w:val="fr-FR" w:eastAsia="en-GB"/>
              </w:rPr>
              <w:t xml:space="preserve">400 </w:t>
            </w:r>
          </w:p>
        </w:tc>
        <w:tc>
          <w:tcPr>
            <w:tcW w:w="1121" w:type="dxa"/>
            <w:tcBorders>
              <w:top w:val="nil"/>
              <w:left w:val="nil"/>
              <w:bottom w:val="single" w:sz="4" w:space="0" w:color="auto"/>
              <w:right w:val="single" w:sz="4" w:space="0" w:color="auto"/>
            </w:tcBorders>
            <w:shd w:val="clear" w:color="auto" w:fill="auto"/>
            <w:noWrap/>
            <w:hideMark/>
          </w:tcPr>
          <w:p w14:paraId="7354BC93" w14:textId="605792CB" w:rsidR="002866BB" w:rsidRPr="00A4333E" w:rsidRDefault="002866BB" w:rsidP="003D145E">
            <w:pPr>
              <w:ind w:left="0" w:firstLine="0"/>
              <w:jc w:val="right"/>
              <w:rPr>
                <w:rFonts w:asciiTheme="minorHAnsi" w:eastAsia="Times New Roman" w:hAnsiTheme="minorHAnsi" w:cstheme="minorHAnsi"/>
                <w:sz w:val="20"/>
                <w:szCs w:val="20"/>
                <w:lang w:val="fr-FR" w:eastAsia="en-GB"/>
              </w:rPr>
            </w:pPr>
            <w:r w:rsidRPr="00A4333E">
              <w:rPr>
                <w:rFonts w:asciiTheme="minorHAnsi" w:eastAsia="Times New Roman" w:hAnsiTheme="minorHAnsi" w:cstheme="minorHAnsi"/>
                <w:sz w:val="20"/>
                <w:szCs w:val="20"/>
                <w:lang w:val="fr-FR" w:eastAsia="en-GB"/>
              </w:rPr>
              <w:t xml:space="preserve">  8 </w:t>
            </w:r>
          </w:p>
        </w:tc>
      </w:tr>
      <w:tr w:rsidR="002866BB" w:rsidRPr="00A4333E" w14:paraId="7574802E" w14:textId="77777777" w:rsidTr="003F50B6">
        <w:tc>
          <w:tcPr>
            <w:tcW w:w="2985" w:type="dxa"/>
            <w:tcBorders>
              <w:top w:val="nil"/>
              <w:left w:val="single" w:sz="4" w:space="0" w:color="auto"/>
              <w:bottom w:val="single" w:sz="4" w:space="0" w:color="auto"/>
              <w:right w:val="single" w:sz="4" w:space="0" w:color="auto"/>
            </w:tcBorders>
            <w:shd w:val="clear" w:color="auto" w:fill="auto"/>
            <w:noWrap/>
            <w:vAlign w:val="center"/>
            <w:hideMark/>
          </w:tcPr>
          <w:p w14:paraId="09695C93" w14:textId="2135A28A" w:rsidR="002866BB" w:rsidRPr="00A4333E" w:rsidRDefault="002866BB" w:rsidP="00496214">
            <w:pPr>
              <w:ind w:left="0" w:firstLine="0"/>
              <w:rPr>
                <w:rFonts w:asciiTheme="minorHAnsi" w:eastAsia="Times New Roman" w:hAnsiTheme="minorHAnsi" w:cstheme="minorHAnsi"/>
                <w:sz w:val="20"/>
                <w:szCs w:val="20"/>
                <w:lang w:val="fr-FR" w:eastAsia="en-GB"/>
              </w:rPr>
            </w:pPr>
            <w:r w:rsidRPr="00A4333E">
              <w:rPr>
                <w:rFonts w:asciiTheme="minorHAnsi" w:eastAsia="Times New Roman" w:hAnsiTheme="minorHAnsi" w:cstheme="minorHAnsi"/>
                <w:sz w:val="20"/>
                <w:szCs w:val="20"/>
                <w:lang w:val="fr-FR" w:eastAsia="en-GB"/>
              </w:rPr>
              <w:t xml:space="preserve">E.  </w:t>
            </w:r>
            <w:r w:rsidR="00EC2718" w:rsidRPr="00A4333E">
              <w:rPr>
                <w:rFonts w:asciiTheme="minorHAnsi" w:eastAsia="Times New Roman" w:hAnsiTheme="minorHAnsi" w:cstheme="minorHAnsi"/>
                <w:sz w:val="20"/>
                <w:szCs w:val="20"/>
                <w:lang w:val="fr-FR" w:eastAsia="en-GB"/>
              </w:rPr>
              <w:t>Sciences et politiques</w:t>
            </w:r>
          </w:p>
        </w:tc>
        <w:tc>
          <w:tcPr>
            <w:tcW w:w="887" w:type="dxa"/>
            <w:tcBorders>
              <w:top w:val="nil"/>
              <w:left w:val="nil"/>
              <w:bottom w:val="single" w:sz="4" w:space="0" w:color="auto"/>
              <w:right w:val="single" w:sz="4" w:space="0" w:color="auto"/>
            </w:tcBorders>
            <w:shd w:val="clear" w:color="auto" w:fill="auto"/>
            <w:noWrap/>
            <w:hideMark/>
          </w:tcPr>
          <w:p w14:paraId="2A112E4C" w14:textId="77777777" w:rsidR="002866BB" w:rsidRPr="00A4333E" w:rsidRDefault="002866BB" w:rsidP="003D145E">
            <w:pPr>
              <w:ind w:left="0" w:firstLine="0"/>
              <w:jc w:val="right"/>
              <w:rPr>
                <w:rFonts w:asciiTheme="minorHAnsi" w:eastAsia="Times New Roman" w:hAnsiTheme="minorHAnsi" w:cstheme="minorHAnsi"/>
                <w:sz w:val="20"/>
                <w:szCs w:val="20"/>
                <w:lang w:val="fr-FR" w:eastAsia="en-GB"/>
              </w:rPr>
            </w:pPr>
            <w:r w:rsidRPr="00A4333E">
              <w:rPr>
                <w:rFonts w:asciiTheme="minorHAnsi" w:eastAsia="Times New Roman" w:hAnsiTheme="minorHAnsi" w:cstheme="minorHAnsi"/>
                <w:sz w:val="20"/>
                <w:szCs w:val="20"/>
                <w:lang w:val="fr-FR" w:eastAsia="en-GB"/>
              </w:rPr>
              <w:t xml:space="preserve">669 </w:t>
            </w:r>
          </w:p>
        </w:tc>
        <w:tc>
          <w:tcPr>
            <w:tcW w:w="887" w:type="dxa"/>
            <w:tcBorders>
              <w:top w:val="nil"/>
              <w:left w:val="nil"/>
              <w:bottom w:val="single" w:sz="4" w:space="0" w:color="auto"/>
              <w:right w:val="single" w:sz="4" w:space="0" w:color="auto"/>
            </w:tcBorders>
            <w:shd w:val="clear" w:color="auto" w:fill="auto"/>
            <w:noWrap/>
            <w:hideMark/>
          </w:tcPr>
          <w:p w14:paraId="7029EA9B" w14:textId="77777777" w:rsidR="002866BB" w:rsidRPr="00A4333E" w:rsidRDefault="002866BB" w:rsidP="003D145E">
            <w:pPr>
              <w:ind w:left="0" w:firstLine="0"/>
              <w:jc w:val="right"/>
              <w:rPr>
                <w:rFonts w:asciiTheme="minorHAnsi" w:eastAsia="Times New Roman" w:hAnsiTheme="minorHAnsi" w:cstheme="minorHAnsi"/>
                <w:sz w:val="20"/>
                <w:szCs w:val="20"/>
                <w:lang w:val="fr-FR" w:eastAsia="en-GB"/>
              </w:rPr>
            </w:pPr>
            <w:r w:rsidRPr="00A4333E">
              <w:rPr>
                <w:rFonts w:asciiTheme="minorHAnsi" w:eastAsia="Times New Roman" w:hAnsiTheme="minorHAnsi" w:cstheme="minorHAnsi"/>
                <w:sz w:val="20"/>
                <w:szCs w:val="20"/>
                <w:lang w:val="fr-FR" w:eastAsia="en-GB"/>
              </w:rPr>
              <w:t xml:space="preserve">564 </w:t>
            </w:r>
          </w:p>
        </w:tc>
        <w:tc>
          <w:tcPr>
            <w:tcW w:w="887" w:type="dxa"/>
            <w:tcBorders>
              <w:top w:val="nil"/>
              <w:left w:val="nil"/>
              <w:bottom w:val="single" w:sz="4" w:space="0" w:color="auto"/>
              <w:right w:val="single" w:sz="4" w:space="0" w:color="auto"/>
            </w:tcBorders>
            <w:shd w:val="clear" w:color="auto" w:fill="auto"/>
            <w:noWrap/>
            <w:hideMark/>
          </w:tcPr>
          <w:p w14:paraId="131A23B6" w14:textId="77777777" w:rsidR="002866BB" w:rsidRPr="00A4333E" w:rsidRDefault="002866BB" w:rsidP="003D145E">
            <w:pPr>
              <w:ind w:left="0" w:firstLine="0"/>
              <w:jc w:val="right"/>
              <w:rPr>
                <w:rFonts w:asciiTheme="minorHAnsi" w:eastAsia="Times New Roman" w:hAnsiTheme="minorHAnsi" w:cstheme="minorHAnsi"/>
                <w:sz w:val="20"/>
                <w:szCs w:val="20"/>
                <w:lang w:val="fr-FR" w:eastAsia="en-GB"/>
              </w:rPr>
            </w:pPr>
            <w:r w:rsidRPr="00A4333E">
              <w:rPr>
                <w:rFonts w:asciiTheme="minorHAnsi" w:eastAsia="Times New Roman" w:hAnsiTheme="minorHAnsi" w:cstheme="minorHAnsi"/>
                <w:sz w:val="20"/>
                <w:szCs w:val="20"/>
                <w:lang w:val="fr-FR" w:eastAsia="en-GB"/>
              </w:rPr>
              <w:t xml:space="preserve">633 </w:t>
            </w:r>
          </w:p>
        </w:tc>
        <w:tc>
          <w:tcPr>
            <w:tcW w:w="977" w:type="dxa"/>
            <w:tcBorders>
              <w:top w:val="nil"/>
              <w:left w:val="nil"/>
              <w:bottom w:val="single" w:sz="4" w:space="0" w:color="auto"/>
              <w:right w:val="single" w:sz="4" w:space="0" w:color="auto"/>
            </w:tcBorders>
            <w:shd w:val="clear" w:color="auto" w:fill="auto"/>
            <w:noWrap/>
            <w:hideMark/>
          </w:tcPr>
          <w:p w14:paraId="6CD8CA11" w14:textId="77777777" w:rsidR="002866BB" w:rsidRPr="00A4333E" w:rsidRDefault="002866BB" w:rsidP="003D145E">
            <w:pPr>
              <w:ind w:left="0" w:firstLine="0"/>
              <w:jc w:val="right"/>
              <w:rPr>
                <w:rFonts w:asciiTheme="minorHAnsi" w:eastAsia="Times New Roman" w:hAnsiTheme="minorHAnsi" w:cstheme="minorHAnsi"/>
                <w:sz w:val="20"/>
                <w:szCs w:val="20"/>
                <w:lang w:val="fr-FR" w:eastAsia="en-GB"/>
              </w:rPr>
            </w:pPr>
            <w:r w:rsidRPr="00A4333E">
              <w:rPr>
                <w:rFonts w:asciiTheme="minorHAnsi" w:eastAsia="Times New Roman" w:hAnsiTheme="minorHAnsi" w:cstheme="minorHAnsi"/>
                <w:sz w:val="20"/>
                <w:szCs w:val="20"/>
                <w:lang w:val="fr-FR" w:eastAsia="en-GB"/>
              </w:rPr>
              <w:t xml:space="preserve">844 </w:t>
            </w:r>
          </w:p>
        </w:tc>
        <w:tc>
          <w:tcPr>
            <w:tcW w:w="887" w:type="dxa"/>
            <w:tcBorders>
              <w:top w:val="nil"/>
              <w:left w:val="nil"/>
              <w:bottom w:val="single" w:sz="4" w:space="0" w:color="auto"/>
              <w:right w:val="single" w:sz="4" w:space="0" w:color="auto"/>
            </w:tcBorders>
            <w:shd w:val="clear" w:color="auto" w:fill="auto"/>
            <w:noWrap/>
            <w:hideMark/>
          </w:tcPr>
          <w:p w14:paraId="53CCDCEB" w14:textId="77777777" w:rsidR="002866BB" w:rsidRPr="00A4333E" w:rsidRDefault="002866BB" w:rsidP="003D145E">
            <w:pPr>
              <w:ind w:left="0" w:firstLine="0"/>
              <w:jc w:val="right"/>
              <w:rPr>
                <w:rFonts w:asciiTheme="minorHAnsi" w:eastAsia="Times New Roman" w:hAnsiTheme="minorHAnsi" w:cstheme="minorHAnsi"/>
                <w:sz w:val="20"/>
                <w:szCs w:val="20"/>
                <w:lang w:val="fr-FR" w:eastAsia="en-GB"/>
              </w:rPr>
            </w:pPr>
            <w:r w:rsidRPr="00A4333E">
              <w:rPr>
                <w:rFonts w:asciiTheme="minorHAnsi" w:eastAsia="Times New Roman" w:hAnsiTheme="minorHAnsi" w:cstheme="minorHAnsi"/>
                <w:sz w:val="20"/>
                <w:szCs w:val="20"/>
                <w:lang w:val="fr-FR" w:eastAsia="en-GB"/>
              </w:rPr>
              <w:t xml:space="preserve">2,710 </w:t>
            </w:r>
          </w:p>
        </w:tc>
        <w:tc>
          <w:tcPr>
            <w:tcW w:w="1091" w:type="dxa"/>
            <w:tcBorders>
              <w:top w:val="nil"/>
              <w:left w:val="nil"/>
              <w:bottom w:val="single" w:sz="4" w:space="0" w:color="auto"/>
              <w:right w:val="single" w:sz="4" w:space="0" w:color="auto"/>
            </w:tcBorders>
            <w:shd w:val="clear" w:color="auto" w:fill="auto"/>
            <w:noWrap/>
            <w:hideMark/>
          </w:tcPr>
          <w:p w14:paraId="75440F31" w14:textId="77777777" w:rsidR="002866BB" w:rsidRPr="00A4333E" w:rsidRDefault="002866BB" w:rsidP="003D145E">
            <w:pPr>
              <w:ind w:left="0" w:firstLine="0"/>
              <w:jc w:val="right"/>
              <w:rPr>
                <w:rFonts w:asciiTheme="minorHAnsi" w:eastAsia="Times New Roman" w:hAnsiTheme="minorHAnsi" w:cstheme="minorHAnsi"/>
                <w:sz w:val="20"/>
                <w:szCs w:val="20"/>
                <w:lang w:val="fr-FR" w:eastAsia="en-GB"/>
              </w:rPr>
            </w:pPr>
            <w:r w:rsidRPr="00A4333E">
              <w:rPr>
                <w:rFonts w:asciiTheme="minorHAnsi" w:eastAsia="Times New Roman" w:hAnsiTheme="minorHAnsi" w:cstheme="minorHAnsi"/>
                <w:sz w:val="20"/>
                <w:szCs w:val="20"/>
                <w:lang w:val="fr-FR" w:eastAsia="en-GB"/>
              </w:rPr>
              <w:t xml:space="preserve">3,053 </w:t>
            </w:r>
          </w:p>
        </w:tc>
        <w:tc>
          <w:tcPr>
            <w:tcW w:w="1121" w:type="dxa"/>
            <w:tcBorders>
              <w:top w:val="nil"/>
              <w:left w:val="nil"/>
              <w:bottom w:val="single" w:sz="4" w:space="0" w:color="auto"/>
              <w:right w:val="single" w:sz="4" w:space="0" w:color="auto"/>
            </w:tcBorders>
            <w:shd w:val="clear" w:color="auto" w:fill="auto"/>
            <w:noWrap/>
            <w:hideMark/>
          </w:tcPr>
          <w:p w14:paraId="4F07B340" w14:textId="3AAD3D8F" w:rsidR="002866BB" w:rsidRPr="00A4333E" w:rsidRDefault="002866BB" w:rsidP="003D145E">
            <w:pPr>
              <w:ind w:left="0" w:firstLine="0"/>
              <w:jc w:val="right"/>
              <w:rPr>
                <w:rFonts w:asciiTheme="minorHAnsi" w:eastAsia="Times New Roman" w:hAnsiTheme="minorHAnsi" w:cstheme="minorHAnsi"/>
                <w:sz w:val="20"/>
                <w:szCs w:val="20"/>
                <w:lang w:val="fr-FR" w:eastAsia="en-GB"/>
              </w:rPr>
            </w:pPr>
            <w:r w:rsidRPr="00A4333E">
              <w:rPr>
                <w:rFonts w:asciiTheme="minorHAnsi" w:eastAsia="Times New Roman" w:hAnsiTheme="minorHAnsi" w:cstheme="minorHAnsi"/>
                <w:sz w:val="20"/>
                <w:szCs w:val="20"/>
                <w:lang w:val="fr-FR" w:eastAsia="en-GB"/>
              </w:rPr>
              <w:t xml:space="preserve"> 343 </w:t>
            </w:r>
          </w:p>
        </w:tc>
      </w:tr>
      <w:tr w:rsidR="002866BB" w:rsidRPr="00A4333E" w14:paraId="3F66FCD7" w14:textId="77777777" w:rsidTr="003F50B6">
        <w:tc>
          <w:tcPr>
            <w:tcW w:w="2985" w:type="dxa"/>
            <w:tcBorders>
              <w:top w:val="nil"/>
              <w:left w:val="single" w:sz="4" w:space="0" w:color="auto"/>
              <w:bottom w:val="single" w:sz="4" w:space="0" w:color="auto"/>
              <w:right w:val="single" w:sz="4" w:space="0" w:color="auto"/>
            </w:tcBorders>
            <w:shd w:val="clear" w:color="auto" w:fill="auto"/>
            <w:noWrap/>
            <w:vAlign w:val="center"/>
            <w:hideMark/>
          </w:tcPr>
          <w:p w14:paraId="11664E10" w14:textId="77777777" w:rsidR="002866BB" w:rsidRPr="00A4333E" w:rsidRDefault="002866BB" w:rsidP="00496214">
            <w:pPr>
              <w:ind w:left="0" w:firstLine="0"/>
              <w:rPr>
                <w:rFonts w:asciiTheme="minorHAnsi" w:eastAsia="Times New Roman" w:hAnsiTheme="minorHAnsi" w:cstheme="minorHAnsi"/>
                <w:sz w:val="20"/>
                <w:szCs w:val="20"/>
                <w:lang w:val="fr-FR" w:eastAsia="en-GB"/>
              </w:rPr>
            </w:pPr>
            <w:r w:rsidRPr="00A4333E">
              <w:rPr>
                <w:rFonts w:asciiTheme="minorHAnsi" w:eastAsia="Times New Roman" w:hAnsiTheme="minorHAnsi" w:cstheme="minorHAnsi"/>
                <w:sz w:val="20"/>
                <w:szCs w:val="20"/>
                <w:lang w:val="fr-FR" w:eastAsia="en-GB"/>
              </w:rPr>
              <w:t>G.  Administration</w:t>
            </w:r>
          </w:p>
        </w:tc>
        <w:tc>
          <w:tcPr>
            <w:tcW w:w="887" w:type="dxa"/>
            <w:tcBorders>
              <w:top w:val="nil"/>
              <w:left w:val="nil"/>
              <w:bottom w:val="single" w:sz="4" w:space="0" w:color="auto"/>
              <w:right w:val="single" w:sz="4" w:space="0" w:color="auto"/>
            </w:tcBorders>
            <w:shd w:val="clear" w:color="auto" w:fill="auto"/>
            <w:noWrap/>
            <w:hideMark/>
          </w:tcPr>
          <w:p w14:paraId="1CCD7E47" w14:textId="77777777" w:rsidR="002866BB" w:rsidRPr="00A4333E" w:rsidRDefault="002866BB" w:rsidP="003D145E">
            <w:pPr>
              <w:ind w:left="0" w:firstLine="0"/>
              <w:jc w:val="right"/>
              <w:rPr>
                <w:rFonts w:asciiTheme="minorHAnsi" w:eastAsia="Times New Roman" w:hAnsiTheme="minorHAnsi" w:cstheme="minorHAnsi"/>
                <w:sz w:val="20"/>
                <w:szCs w:val="20"/>
                <w:lang w:val="fr-FR" w:eastAsia="en-GB"/>
              </w:rPr>
            </w:pPr>
            <w:r w:rsidRPr="00A4333E">
              <w:rPr>
                <w:rFonts w:asciiTheme="minorHAnsi" w:eastAsia="Times New Roman" w:hAnsiTheme="minorHAnsi" w:cstheme="minorHAnsi"/>
                <w:sz w:val="20"/>
                <w:szCs w:val="20"/>
                <w:lang w:val="fr-FR" w:eastAsia="en-GB"/>
              </w:rPr>
              <w:t xml:space="preserve">355 </w:t>
            </w:r>
          </w:p>
        </w:tc>
        <w:tc>
          <w:tcPr>
            <w:tcW w:w="887" w:type="dxa"/>
            <w:tcBorders>
              <w:top w:val="nil"/>
              <w:left w:val="nil"/>
              <w:bottom w:val="single" w:sz="4" w:space="0" w:color="auto"/>
              <w:right w:val="single" w:sz="4" w:space="0" w:color="auto"/>
            </w:tcBorders>
            <w:shd w:val="clear" w:color="auto" w:fill="auto"/>
            <w:noWrap/>
            <w:hideMark/>
          </w:tcPr>
          <w:p w14:paraId="127221B1" w14:textId="77777777" w:rsidR="002866BB" w:rsidRPr="00A4333E" w:rsidRDefault="002866BB" w:rsidP="003D145E">
            <w:pPr>
              <w:ind w:left="0" w:firstLine="0"/>
              <w:jc w:val="right"/>
              <w:rPr>
                <w:rFonts w:asciiTheme="minorHAnsi" w:eastAsia="Times New Roman" w:hAnsiTheme="minorHAnsi" w:cstheme="minorHAnsi"/>
                <w:sz w:val="20"/>
                <w:szCs w:val="20"/>
                <w:lang w:val="fr-FR" w:eastAsia="en-GB"/>
              </w:rPr>
            </w:pPr>
            <w:r w:rsidRPr="00A4333E">
              <w:rPr>
                <w:rFonts w:asciiTheme="minorHAnsi" w:eastAsia="Times New Roman" w:hAnsiTheme="minorHAnsi" w:cstheme="minorHAnsi"/>
                <w:sz w:val="20"/>
                <w:szCs w:val="20"/>
                <w:lang w:val="fr-FR" w:eastAsia="en-GB"/>
              </w:rPr>
              <w:t xml:space="preserve">447 </w:t>
            </w:r>
          </w:p>
        </w:tc>
        <w:tc>
          <w:tcPr>
            <w:tcW w:w="887" w:type="dxa"/>
            <w:tcBorders>
              <w:top w:val="nil"/>
              <w:left w:val="nil"/>
              <w:bottom w:val="single" w:sz="4" w:space="0" w:color="auto"/>
              <w:right w:val="single" w:sz="4" w:space="0" w:color="auto"/>
            </w:tcBorders>
            <w:shd w:val="clear" w:color="auto" w:fill="auto"/>
            <w:noWrap/>
            <w:hideMark/>
          </w:tcPr>
          <w:p w14:paraId="3F834A1C" w14:textId="77777777" w:rsidR="002866BB" w:rsidRPr="00A4333E" w:rsidRDefault="002866BB" w:rsidP="003D145E">
            <w:pPr>
              <w:ind w:left="0" w:firstLine="0"/>
              <w:jc w:val="right"/>
              <w:rPr>
                <w:rFonts w:asciiTheme="minorHAnsi" w:eastAsia="Times New Roman" w:hAnsiTheme="minorHAnsi" w:cstheme="minorHAnsi"/>
                <w:sz w:val="20"/>
                <w:szCs w:val="20"/>
                <w:lang w:val="fr-FR" w:eastAsia="en-GB"/>
              </w:rPr>
            </w:pPr>
            <w:r w:rsidRPr="00A4333E">
              <w:rPr>
                <w:rFonts w:asciiTheme="minorHAnsi" w:eastAsia="Times New Roman" w:hAnsiTheme="minorHAnsi" w:cstheme="minorHAnsi"/>
                <w:sz w:val="20"/>
                <w:szCs w:val="20"/>
                <w:lang w:val="fr-FR" w:eastAsia="en-GB"/>
              </w:rPr>
              <w:t xml:space="preserve">505 </w:t>
            </w:r>
          </w:p>
        </w:tc>
        <w:tc>
          <w:tcPr>
            <w:tcW w:w="977" w:type="dxa"/>
            <w:tcBorders>
              <w:top w:val="nil"/>
              <w:left w:val="nil"/>
              <w:bottom w:val="single" w:sz="4" w:space="0" w:color="auto"/>
              <w:right w:val="single" w:sz="4" w:space="0" w:color="auto"/>
            </w:tcBorders>
            <w:shd w:val="clear" w:color="auto" w:fill="auto"/>
            <w:noWrap/>
            <w:hideMark/>
          </w:tcPr>
          <w:p w14:paraId="2ABEE09A" w14:textId="77777777" w:rsidR="002866BB" w:rsidRPr="00A4333E" w:rsidRDefault="002866BB" w:rsidP="003D145E">
            <w:pPr>
              <w:ind w:left="0" w:firstLine="0"/>
              <w:jc w:val="right"/>
              <w:rPr>
                <w:rFonts w:asciiTheme="minorHAnsi" w:eastAsia="Times New Roman" w:hAnsiTheme="minorHAnsi" w:cstheme="minorHAnsi"/>
                <w:sz w:val="20"/>
                <w:szCs w:val="20"/>
                <w:lang w:val="fr-FR" w:eastAsia="en-GB"/>
              </w:rPr>
            </w:pPr>
            <w:r w:rsidRPr="00A4333E">
              <w:rPr>
                <w:rFonts w:asciiTheme="minorHAnsi" w:eastAsia="Times New Roman" w:hAnsiTheme="minorHAnsi" w:cstheme="minorHAnsi"/>
                <w:sz w:val="20"/>
                <w:szCs w:val="20"/>
                <w:lang w:val="fr-FR" w:eastAsia="en-GB"/>
              </w:rPr>
              <w:t xml:space="preserve">492 </w:t>
            </w:r>
          </w:p>
        </w:tc>
        <w:tc>
          <w:tcPr>
            <w:tcW w:w="887" w:type="dxa"/>
            <w:tcBorders>
              <w:top w:val="nil"/>
              <w:left w:val="nil"/>
              <w:bottom w:val="single" w:sz="4" w:space="0" w:color="auto"/>
              <w:right w:val="single" w:sz="4" w:space="0" w:color="auto"/>
            </w:tcBorders>
            <w:shd w:val="clear" w:color="auto" w:fill="auto"/>
            <w:noWrap/>
            <w:hideMark/>
          </w:tcPr>
          <w:p w14:paraId="77BB31E8" w14:textId="77777777" w:rsidR="002866BB" w:rsidRPr="00A4333E" w:rsidRDefault="002866BB" w:rsidP="003D145E">
            <w:pPr>
              <w:ind w:left="0" w:firstLine="0"/>
              <w:jc w:val="right"/>
              <w:rPr>
                <w:rFonts w:asciiTheme="minorHAnsi" w:eastAsia="Times New Roman" w:hAnsiTheme="minorHAnsi" w:cstheme="minorHAnsi"/>
                <w:sz w:val="20"/>
                <w:szCs w:val="20"/>
                <w:lang w:val="fr-FR" w:eastAsia="en-GB"/>
              </w:rPr>
            </w:pPr>
            <w:r w:rsidRPr="00A4333E">
              <w:rPr>
                <w:rFonts w:asciiTheme="minorHAnsi" w:eastAsia="Times New Roman" w:hAnsiTheme="minorHAnsi" w:cstheme="minorHAnsi"/>
                <w:sz w:val="20"/>
                <w:szCs w:val="20"/>
                <w:lang w:val="fr-FR" w:eastAsia="en-GB"/>
              </w:rPr>
              <w:t xml:space="preserve">1,799 </w:t>
            </w:r>
          </w:p>
        </w:tc>
        <w:tc>
          <w:tcPr>
            <w:tcW w:w="1091" w:type="dxa"/>
            <w:tcBorders>
              <w:top w:val="nil"/>
              <w:left w:val="nil"/>
              <w:bottom w:val="single" w:sz="4" w:space="0" w:color="auto"/>
              <w:right w:val="single" w:sz="4" w:space="0" w:color="auto"/>
            </w:tcBorders>
            <w:shd w:val="clear" w:color="auto" w:fill="auto"/>
            <w:noWrap/>
            <w:hideMark/>
          </w:tcPr>
          <w:p w14:paraId="637699CC" w14:textId="77777777" w:rsidR="002866BB" w:rsidRPr="00A4333E" w:rsidRDefault="002866BB" w:rsidP="003D145E">
            <w:pPr>
              <w:ind w:left="0" w:firstLine="0"/>
              <w:jc w:val="right"/>
              <w:rPr>
                <w:rFonts w:asciiTheme="minorHAnsi" w:eastAsia="Times New Roman" w:hAnsiTheme="minorHAnsi" w:cstheme="minorHAnsi"/>
                <w:sz w:val="20"/>
                <w:szCs w:val="20"/>
                <w:lang w:val="fr-FR" w:eastAsia="en-GB"/>
              </w:rPr>
            </w:pPr>
            <w:r w:rsidRPr="00A4333E">
              <w:rPr>
                <w:rFonts w:asciiTheme="minorHAnsi" w:eastAsia="Times New Roman" w:hAnsiTheme="minorHAnsi" w:cstheme="minorHAnsi"/>
                <w:sz w:val="20"/>
                <w:szCs w:val="20"/>
                <w:lang w:val="fr-FR" w:eastAsia="en-GB"/>
              </w:rPr>
              <w:t xml:space="preserve">1,812 </w:t>
            </w:r>
          </w:p>
        </w:tc>
        <w:tc>
          <w:tcPr>
            <w:tcW w:w="1121" w:type="dxa"/>
            <w:tcBorders>
              <w:top w:val="nil"/>
              <w:left w:val="nil"/>
              <w:bottom w:val="single" w:sz="4" w:space="0" w:color="auto"/>
              <w:right w:val="single" w:sz="4" w:space="0" w:color="auto"/>
            </w:tcBorders>
            <w:shd w:val="clear" w:color="auto" w:fill="auto"/>
            <w:noWrap/>
            <w:hideMark/>
          </w:tcPr>
          <w:p w14:paraId="57F72583" w14:textId="1AA7617F" w:rsidR="002866BB" w:rsidRPr="00A4333E" w:rsidRDefault="002866BB" w:rsidP="003D145E">
            <w:pPr>
              <w:ind w:left="0" w:firstLine="0"/>
              <w:jc w:val="right"/>
              <w:rPr>
                <w:rFonts w:asciiTheme="minorHAnsi" w:eastAsia="Times New Roman" w:hAnsiTheme="minorHAnsi" w:cstheme="minorHAnsi"/>
                <w:sz w:val="20"/>
                <w:szCs w:val="20"/>
                <w:lang w:val="fr-FR" w:eastAsia="en-GB"/>
              </w:rPr>
            </w:pPr>
            <w:r w:rsidRPr="00A4333E">
              <w:rPr>
                <w:rFonts w:asciiTheme="minorHAnsi" w:eastAsia="Times New Roman" w:hAnsiTheme="minorHAnsi" w:cstheme="minorHAnsi"/>
                <w:sz w:val="20"/>
                <w:szCs w:val="20"/>
                <w:lang w:val="fr-FR" w:eastAsia="en-GB"/>
              </w:rPr>
              <w:t xml:space="preserve">13 </w:t>
            </w:r>
          </w:p>
        </w:tc>
      </w:tr>
      <w:tr w:rsidR="002866BB" w:rsidRPr="00A4333E" w14:paraId="2E694569" w14:textId="77777777" w:rsidTr="003F50B6">
        <w:tc>
          <w:tcPr>
            <w:tcW w:w="2985" w:type="dxa"/>
            <w:tcBorders>
              <w:top w:val="nil"/>
              <w:left w:val="single" w:sz="4" w:space="0" w:color="auto"/>
              <w:bottom w:val="single" w:sz="4" w:space="0" w:color="auto"/>
              <w:right w:val="single" w:sz="4" w:space="0" w:color="auto"/>
            </w:tcBorders>
            <w:shd w:val="clear" w:color="auto" w:fill="auto"/>
            <w:noWrap/>
            <w:vAlign w:val="center"/>
            <w:hideMark/>
          </w:tcPr>
          <w:p w14:paraId="6CFE8D4F" w14:textId="56CE10A1" w:rsidR="002866BB" w:rsidRPr="00A4333E" w:rsidRDefault="002866BB" w:rsidP="00496214">
            <w:pPr>
              <w:ind w:left="0" w:firstLine="0"/>
              <w:rPr>
                <w:rFonts w:asciiTheme="minorHAnsi" w:eastAsia="Times New Roman" w:hAnsiTheme="minorHAnsi" w:cstheme="minorHAnsi"/>
                <w:sz w:val="20"/>
                <w:szCs w:val="20"/>
                <w:lang w:val="fr-FR" w:eastAsia="en-GB"/>
              </w:rPr>
            </w:pPr>
            <w:r w:rsidRPr="00A4333E">
              <w:rPr>
                <w:rFonts w:asciiTheme="minorHAnsi" w:eastAsia="Times New Roman" w:hAnsiTheme="minorHAnsi" w:cstheme="minorHAnsi"/>
                <w:sz w:val="20"/>
                <w:szCs w:val="20"/>
                <w:lang w:val="fr-FR" w:eastAsia="en-GB"/>
              </w:rPr>
              <w:t xml:space="preserve">H. </w:t>
            </w:r>
            <w:r w:rsidR="00D50FD6" w:rsidRPr="00A4333E">
              <w:rPr>
                <w:rFonts w:asciiTheme="minorHAnsi" w:eastAsia="Times New Roman" w:hAnsiTheme="minorHAnsi" w:cstheme="minorHAnsi"/>
                <w:sz w:val="20"/>
                <w:szCs w:val="20"/>
                <w:lang w:val="fr-FR" w:eastAsia="en-GB"/>
              </w:rPr>
              <w:t>Services au Comité permanent</w:t>
            </w:r>
          </w:p>
        </w:tc>
        <w:tc>
          <w:tcPr>
            <w:tcW w:w="887" w:type="dxa"/>
            <w:tcBorders>
              <w:top w:val="nil"/>
              <w:left w:val="nil"/>
              <w:bottom w:val="single" w:sz="4" w:space="0" w:color="auto"/>
              <w:right w:val="single" w:sz="4" w:space="0" w:color="auto"/>
            </w:tcBorders>
            <w:shd w:val="clear" w:color="auto" w:fill="auto"/>
            <w:noWrap/>
            <w:hideMark/>
          </w:tcPr>
          <w:p w14:paraId="7C7FFB4B" w14:textId="77777777" w:rsidR="002866BB" w:rsidRPr="00A4333E" w:rsidRDefault="002866BB" w:rsidP="003D145E">
            <w:pPr>
              <w:ind w:left="0" w:firstLine="0"/>
              <w:jc w:val="right"/>
              <w:rPr>
                <w:rFonts w:asciiTheme="minorHAnsi" w:eastAsia="Times New Roman" w:hAnsiTheme="minorHAnsi" w:cstheme="minorHAnsi"/>
                <w:sz w:val="20"/>
                <w:szCs w:val="20"/>
                <w:lang w:val="fr-FR" w:eastAsia="en-GB"/>
              </w:rPr>
            </w:pPr>
            <w:r w:rsidRPr="00A4333E">
              <w:rPr>
                <w:rFonts w:asciiTheme="minorHAnsi" w:eastAsia="Times New Roman" w:hAnsiTheme="minorHAnsi" w:cstheme="minorHAnsi"/>
                <w:sz w:val="20"/>
                <w:szCs w:val="20"/>
                <w:lang w:val="fr-FR" w:eastAsia="en-GB"/>
              </w:rPr>
              <w:t xml:space="preserve">150 </w:t>
            </w:r>
          </w:p>
        </w:tc>
        <w:tc>
          <w:tcPr>
            <w:tcW w:w="887" w:type="dxa"/>
            <w:tcBorders>
              <w:top w:val="nil"/>
              <w:left w:val="nil"/>
              <w:bottom w:val="single" w:sz="4" w:space="0" w:color="auto"/>
              <w:right w:val="single" w:sz="4" w:space="0" w:color="auto"/>
            </w:tcBorders>
            <w:shd w:val="clear" w:color="auto" w:fill="auto"/>
            <w:noWrap/>
            <w:hideMark/>
          </w:tcPr>
          <w:p w14:paraId="54D86627" w14:textId="77777777" w:rsidR="002866BB" w:rsidRPr="00A4333E" w:rsidRDefault="002866BB" w:rsidP="003D145E">
            <w:pPr>
              <w:ind w:left="0" w:firstLine="0"/>
              <w:jc w:val="right"/>
              <w:rPr>
                <w:rFonts w:asciiTheme="minorHAnsi" w:eastAsia="Times New Roman" w:hAnsiTheme="minorHAnsi" w:cstheme="minorHAnsi"/>
                <w:sz w:val="20"/>
                <w:szCs w:val="20"/>
                <w:lang w:val="fr-FR" w:eastAsia="en-GB"/>
              </w:rPr>
            </w:pPr>
            <w:r w:rsidRPr="00A4333E">
              <w:rPr>
                <w:rFonts w:asciiTheme="minorHAnsi" w:eastAsia="Times New Roman" w:hAnsiTheme="minorHAnsi" w:cstheme="minorHAnsi"/>
                <w:sz w:val="20"/>
                <w:szCs w:val="20"/>
                <w:lang w:val="fr-FR" w:eastAsia="en-GB"/>
              </w:rPr>
              <w:t xml:space="preserve">146 </w:t>
            </w:r>
          </w:p>
        </w:tc>
        <w:tc>
          <w:tcPr>
            <w:tcW w:w="887" w:type="dxa"/>
            <w:tcBorders>
              <w:top w:val="nil"/>
              <w:left w:val="nil"/>
              <w:bottom w:val="single" w:sz="4" w:space="0" w:color="auto"/>
              <w:right w:val="single" w:sz="4" w:space="0" w:color="auto"/>
            </w:tcBorders>
            <w:shd w:val="clear" w:color="auto" w:fill="auto"/>
            <w:noWrap/>
            <w:hideMark/>
          </w:tcPr>
          <w:p w14:paraId="0CD3D464" w14:textId="77777777" w:rsidR="002866BB" w:rsidRPr="00A4333E" w:rsidRDefault="002866BB" w:rsidP="003D145E">
            <w:pPr>
              <w:ind w:left="0" w:firstLine="0"/>
              <w:jc w:val="right"/>
              <w:rPr>
                <w:rFonts w:asciiTheme="minorHAnsi" w:eastAsia="Times New Roman" w:hAnsiTheme="minorHAnsi" w:cstheme="minorHAnsi"/>
                <w:sz w:val="20"/>
                <w:szCs w:val="20"/>
                <w:lang w:val="fr-FR" w:eastAsia="en-GB"/>
              </w:rPr>
            </w:pPr>
            <w:r w:rsidRPr="00A4333E">
              <w:rPr>
                <w:rFonts w:asciiTheme="minorHAnsi" w:eastAsia="Times New Roman" w:hAnsiTheme="minorHAnsi" w:cstheme="minorHAnsi"/>
                <w:sz w:val="20"/>
                <w:szCs w:val="20"/>
                <w:lang w:val="fr-FR" w:eastAsia="en-GB"/>
              </w:rPr>
              <w:t xml:space="preserve">168 </w:t>
            </w:r>
          </w:p>
        </w:tc>
        <w:tc>
          <w:tcPr>
            <w:tcW w:w="977" w:type="dxa"/>
            <w:tcBorders>
              <w:top w:val="nil"/>
              <w:left w:val="nil"/>
              <w:bottom w:val="single" w:sz="4" w:space="0" w:color="auto"/>
              <w:right w:val="single" w:sz="4" w:space="0" w:color="auto"/>
            </w:tcBorders>
            <w:shd w:val="clear" w:color="auto" w:fill="auto"/>
            <w:noWrap/>
            <w:hideMark/>
          </w:tcPr>
          <w:p w14:paraId="3587BB39" w14:textId="77777777" w:rsidR="002866BB" w:rsidRPr="00A4333E" w:rsidRDefault="002866BB" w:rsidP="003D145E">
            <w:pPr>
              <w:ind w:left="0" w:firstLine="0"/>
              <w:jc w:val="right"/>
              <w:rPr>
                <w:rFonts w:asciiTheme="minorHAnsi" w:eastAsia="Times New Roman" w:hAnsiTheme="minorHAnsi" w:cstheme="minorHAnsi"/>
                <w:sz w:val="20"/>
                <w:szCs w:val="20"/>
                <w:lang w:val="fr-FR" w:eastAsia="en-GB"/>
              </w:rPr>
            </w:pPr>
            <w:r w:rsidRPr="00A4333E">
              <w:rPr>
                <w:rFonts w:asciiTheme="minorHAnsi" w:eastAsia="Times New Roman" w:hAnsiTheme="minorHAnsi" w:cstheme="minorHAnsi"/>
                <w:sz w:val="20"/>
                <w:szCs w:val="20"/>
                <w:lang w:val="fr-FR" w:eastAsia="en-GB"/>
              </w:rPr>
              <w:t xml:space="preserve">150 </w:t>
            </w:r>
          </w:p>
        </w:tc>
        <w:tc>
          <w:tcPr>
            <w:tcW w:w="887" w:type="dxa"/>
            <w:tcBorders>
              <w:top w:val="nil"/>
              <w:left w:val="nil"/>
              <w:bottom w:val="single" w:sz="4" w:space="0" w:color="auto"/>
              <w:right w:val="single" w:sz="4" w:space="0" w:color="auto"/>
            </w:tcBorders>
            <w:shd w:val="clear" w:color="auto" w:fill="auto"/>
            <w:noWrap/>
            <w:hideMark/>
          </w:tcPr>
          <w:p w14:paraId="33264AB5" w14:textId="77777777" w:rsidR="002866BB" w:rsidRPr="00A4333E" w:rsidRDefault="002866BB" w:rsidP="003D145E">
            <w:pPr>
              <w:ind w:left="0" w:firstLine="0"/>
              <w:jc w:val="right"/>
              <w:rPr>
                <w:rFonts w:asciiTheme="minorHAnsi" w:eastAsia="Times New Roman" w:hAnsiTheme="minorHAnsi" w:cstheme="minorHAnsi"/>
                <w:sz w:val="20"/>
                <w:szCs w:val="20"/>
                <w:lang w:val="fr-FR" w:eastAsia="en-GB"/>
              </w:rPr>
            </w:pPr>
            <w:r w:rsidRPr="00A4333E">
              <w:rPr>
                <w:rFonts w:asciiTheme="minorHAnsi" w:eastAsia="Times New Roman" w:hAnsiTheme="minorHAnsi" w:cstheme="minorHAnsi"/>
                <w:sz w:val="20"/>
                <w:szCs w:val="20"/>
                <w:lang w:val="fr-FR" w:eastAsia="en-GB"/>
              </w:rPr>
              <w:t xml:space="preserve">614 </w:t>
            </w:r>
          </w:p>
        </w:tc>
        <w:tc>
          <w:tcPr>
            <w:tcW w:w="1091" w:type="dxa"/>
            <w:tcBorders>
              <w:top w:val="nil"/>
              <w:left w:val="nil"/>
              <w:bottom w:val="single" w:sz="4" w:space="0" w:color="auto"/>
              <w:right w:val="single" w:sz="4" w:space="0" w:color="auto"/>
            </w:tcBorders>
            <w:shd w:val="clear" w:color="auto" w:fill="auto"/>
            <w:noWrap/>
            <w:hideMark/>
          </w:tcPr>
          <w:p w14:paraId="5F0CC2CA" w14:textId="77777777" w:rsidR="002866BB" w:rsidRPr="00A4333E" w:rsidRDefault="002866BB" w:rsidP="003D145E">
            <w:pPr>
              <w:ind w:left="0" w:firstLine="0"/>
              <w:jc w:val="right"/>
              <w:rPr>
                <w:rFonts w:asciiTheme="minorHAnsi" w:eastAsia="Times New Roman" w:hAnsiTheme="minorHAnsi" w:cstheme="minorHAnsi"/>
                <w:sz w:val="20"/>
                <w:szCs w:val="20"/>
                <w:lang w:val="fr-FR" w:eastAsia="en-GB"/>
              </w:rPr>
            </w:pPr>
            <w:r w:rsidRPr="00A4333E">
              <w:rPr>
                <w:rFonts w:asciiTheme="minorHAnsi" w:eastAsia="Times New Roman" w:hAnsiTheme="minorHAnsi" w:cstheme="minorHAnsi"/>
                <w:sz w:val="20"/>
                <w:szCs w:val="20"/>
                <w:lang w:val="fr-FR" w:eastAsia="en-GB"/>
              </w:rPr>
              <w:t xml:space="preserve">600 </w:t>
            </w:r>
          </w:p>
        </w:tc>
        <w:tc>
          <w:tcPr>
            <w:tcW w:w="1121" w:type="dxa"/>
            <w:tcBorders>
              <w:top w:val="nil"/>
              <w:left w:val="nil"/>
              <w:bottom w:val="single" w:sz="4" w:space="0" w:color="auto"/>
              <w:right w:val="single" w:sz="4" w:space="0" w:color="auto"/>
            </w:tcBorders>
            <w:shd w:val="clear" w:color="auto" w:fill="auto"/>
            <w:noWrap/>
            <w:hideMark/>
          </w:tcPr>
          <w:p w14:paraId="0799B2B4" w14:textId="231F7270" w:rsidR="002866BB" w:rsidRPr="00A4333E" w:rsidRDefault="002866BB" w:rsidP="003D145E">
            <w:pPr>
              <w:ind w:left="0" w:firstLine="0"/>
              <w:jc w:val="right"/>
              <w:rPr>
                <w:rFonts w:asciiTheme="minorHAnsi" w:eastAsia="Times New Roman" w:hAnsiTheme="minorHAnsi" w:cstheme="minorHAnsi"/>
                <w:sz w:val="20"/>
                <w:szCs w:val="20"/>
                <w:lang w:val="fr-FR" w:eastAsia="en-GB"/>
              </w:rPr>
            </w:pPr>
            <w:r w:rsidRPr="00A4333E">
              <w:rPr>
                <w:rFonts w:asciiTheme="minorHAnsi" w:eastAsia="Times New Roman" w:hAnsiTheme="minorHAnsi" w:cstheme="minorHAnsi"/>
                <w:sz w:val="20"/>
                <w:szCs w:val="20"/>
                <w:lang w:val="fr-FR" w:eastAsia="en-GB"/>
              </w:rPr>
              <w:t xml:space="preserve"> (14)</w:t>
            </w:r>
          </w:p>
        </w:tc>
      </w:tr>
      <w:tr w:rsidR="002866BB" w:rsidRPr="00A4333E" w14:paraId="136AC482" w14:textId="77777777" w:rsidTr="003F50B6">
        <w:tc>
          <w:tcPr>
            <w:tcW w:w="2985" w:type="dxa"/>
            <w:tcBorders>
              <w:top w:val="nil"/>
              <w:left w:val="single" w:sz="4" w:space="0" w:color="auto"/>
              <w:bottom w:val="single" w:sz="4" w:space="0" w:color="auto"/>
              <w:right w:val="single" w:sz="4" w:space="0" w:color="auto"/>
            </w:tcBorders>
            <w:shd w:val="clear" w:color="auto" w:fill="auto"/>
            <w:vAlign w:val="center"/>
            <w:hideMark/>
          </w:tcPr>
          <w:p w14:paraId="17989275" w14:textId="4BCECCC1" w:rsidR="002866BB" w:rsidRPr="00A4333E" w:rsidRDefault="002866BB" w:rsidP="00496214">
            <w:pPr>
              <w:ind w:left="0" w:firstLine="0"/>
              <w:rPr>
                <w:rFonts w:asciiTheme="minorHAnsi" w:eastAsia="Times New Roman" w:hAnsiTheme="minorHAnsi" w:cstheme="minorHAnsi"/>
                <w:sz w:val="20"/>
                <w:szCs w:val="20"/>
                <w:lang w:val="fr-FR" w:eastAsia="en-GB"/>
              </w:rPr>
            </w:pPr>
            <w:r w:rsidRPr="00A4333E">
              <w:rPr>
                <w:rFonts w:asciiTheme="minorHAnsi" w:eastAsia="Times New Roman" w:hAnsiTheme="minorHAnsi" w:cstheme="minorHAnsi"/>
                <w:sz w:val="20"/>
                <w:szCs w:val="20"/>
                <w:lang w:val="fr-FR" w:eastAsia="en-GB"/>
              </w:rPr>
              <w:t xml:space="preserve">I.  </w:t>
            </w:r>
            <w:r w:rsidR="00D50FD6" w:rsidRPr="00A4333E">
              <w:rPr>
                <w:rFonts w:asciiTheme="minorHAnsi" w:eastAsia="Times New Roman" w:hAnsiTheme="minorHAnsi" w:cstheme="minorHAnsi"/>
                <w:sz w:val="20"/>
                <w:szCs w:val="20"/>
                <w:lang w:val="fr-FR" w:eastAsia="en-GB"/>
              </w:rPr>
              <w:t>Coûts des services administratifs de l’UICN (maximum)</w:t>
            </w:r>
          </w:p>
        </w:tc>
        <w:tc>
          <w:tcPr>
            <w:tcW w:w="887" w:type="dxa"/>
            <w:tcBorders>
              <w:top w:val="nil"/>
              <w:left w:val="nil"/>
              <w:bottom w:val="single" w:sz="4" w:space="0" w:color="auto"/>
              <w:right w:val="single" w:sz="4" w:space="0" w:color="auto"/>
            </w:tcBorders>
            <w:shd w:val="clear" w:color="auto" w:fill="auto"/>
            <w:noWrap/>
            <w:hideMark/>
          </w:tcPr>
          <w:p w14:paraId="533746A7" w14:textId="77777777" w:rsidR="002866BB" w:rsidRPr="00A4333E" w:rsidRDefault="002866BB" w:rsidP="003D145E">
            <w:pPr>
              <w:ind w:left="0" w:firstLine="0"/>
              <w:jc w:val="right"/>
              <w:rPr>
                <w:rFonts w:asciiTheme="minorHAnsi" w:eastAsia="Times New Roman" w:hAnsiTheme="minorHAnsi" w:cstheme="minorHAnsi"/>
                <w:sz w:val="20"/>
                <w:szCs w:val="20"/>
                <w:lang w:val="fr-FR" w:eastAsia="en-GB"/>
              </w:rPr>
            </w:pPr>
            <w:r w:rsidRPr="00A4333E">
              <w:rPr>
                <w:rFonts w:asciiTheme="minorHAnsi" w:eastAsia="Times New Roman" w:hAnsiTheme="minorHAnsi" w:cstheme="minorHAnsi"/>
                <w:sz w:val="20"/>
                <w:szCs w:val="20"/>
                <w:lang w:val="fr-FR" w:eastAsia="en-GB"/>
              </w:rPr>
              <w:t xml:space="preserve">524 </w:t>
            </w:r>
          </w:p>
        </w:tc>
        <w:tc>
          <w:tcPr>
            <w:tcW w:w="887" w:type="dxa"/>
            <w:tcBorders>
              <w:top w:val="nil"/>
              <w:left w:val="nil"/>
              <w:bottom w:val="single" w:sz="4" w:space="0" w:color="auto"/>
              <w:right w:val="single" w:sz="4" w:space="0" w:color="auto"/>
            </w:tcBorders>
            <w:shd w:val="clear" w:color="auto" w:fill="auto"/>
            <w:noWrap/>
            <w:hideMark/>
          </w:tcPr>
          <w:p w14:paraId="0A9E5EB2" w14:textId="77777777" w:rsidR="002866BB" w:rsidRPr="00A4333E" w:rsidRDefault="002866BB" w:rsidP="003D145E">
            <w:pPr>
              <w:ind w:left="0" w:firstLine="0"/>
              <w:jc w:val="right"/>
              <w:rPr>
                <w:rFonts w:asciiTheme="minorHAnsi" w:eastAsia="Times New Roman" w:hAnsiTheme="minorHAnsi" w:cstheme="minorHAnsi"/>
                <w:sz w:val="20"/>
                <w:szCs w:val="20"/>
                <w:lang w:val="fr-FR" w:eastAsia="en-GB"/>
              </w:rPr>
            </w:pPr>
            <w:r w:rsidRPr="00A4333E">
              <w:rPr>
                <w:rFonts w:asciiTheme="minorHAnsi" w:eastAsia="Times New Roman" w:hAnsiTheme="minorHAnsi" w:cstheme="minorHAnsi"/>
                <w:sz w:val="20"/>
                <w:szCs w:val="20"/>
                <w:lang w:val="fr-FR" w:eastAsia="en-GB"/>
              </w:rPr>
              <w:t xml:space="preserve">529 </w:t>
            </w:r>
          </w:p>
        </w:tc>
        <w:tc>
          <w:tcPr>
            <w:tcW w:w="887" w:type="dxa"/>
            <w:tcBorders>
              <w:top w:val="nil"/>
              <w:left w:val="nil"/>
              <w:bottom w:val="single" w:sz="4" w:space="0" w:color="auto"/>
              <w:right w:val="single" w:sz="4" w:space="0" w:color="auto"/>
            </w:tcBorders>
            <w:shd w:val="clear" w:color="auto" w:fill="auto"/>
            <w:noWrap/>
            <w:hideMark/>
          </w:tcPr>
          <w:p w14:paraId="78A386F6" w14:textId="77777777" w:rsidR="002866BB" w:rsidRPr="00A4333E" w:rsidRDefault="002866BB" w:rsidP="003D145E">
            <w:pPr>
              <w:ind w:left="0" w:firstLine="0"/>
              <w:jc w:val="right"/>
              <w:rPr>
                <w:rFonts w:asciiTheme="minorHAnsi" w:eastAsia="Times New Roman" w:hAnsiTheme="minorHAnsi" w:cstheme="minorHAnsi"/>
                <w:sz w:val="20"/>
                <w:szCs w:val="20"/>
                <w:lang w:val="fr-FR" w:eastAsia="en-GB"/>
              </w:rPr>
            </w:pPr>
            <w:r w:rsidRPr="00A4333E">
              <w:rPr>
                <w:rFonts w:asciiTheme="minorHAnsi" w:eastAsia="Times New Roman" w:hAnsiTheme="minorHAnsi" w:cstheme="minorHAnsi"/>
                <w:sz w:val="20"/>
                <w:szCs w:val="20"/>
                <w:lang w:val="fr-FR" w:eastAsia="en-GB"/>
              </w:rPr>
              <w:t xml:space="preserve">513 </w:t>
            </w:r>
          </w:p>
        </w:tc>
        <w:tc>
          <w:tcPr>
            <w:tcW w:w="977" w:type="dxa"/>
            <w:tcBorders>
              <w:top w:val="nil"/>
              <w:left w:val="nil"/>
              <w:bottom w:val="single" w:sz="4" w:space="0" w:color="auto"/>
              <w:right w:val="single" w:sz="4" w:space="0" w:color="auto"/>
            </w:tcBorders>
            <w:shd w:val="clear" w:color="auto" w:fill="auto"/>
            <w:noWrap/>
            <w:hideMark/>
          </w:tcPr>
          <w:p w14:paraId="347D8354" w14:textId="77777777" w:rsidR="002866BB" w:rsidRPr="00A4333E" w:rsidRDefault="002866BB" w:rsidP="003D145E">
            <w:pPr>
              <w:ind w:left="0" w:firstLine="0"/>
              <w:jc w:val="right"/>
              <w:rPr>
                <w:rFonts w:asciiTheme="minorHAnsi" w:eastAsia="Times New Roman" w:hAnsiTheme="minorHAnsi" w:cstheme="minorHAnsi"/>
                <w:sz w:val="20"/>
                <w:szCs w:val="20"/>
                <w:lang w:val="fr-FR" w:eastAsia="en-GB"/>
              </w:rPr>
            </w:pPr>
            <w:r w:rsidRPr="00A4333E">
              <w:rPr>
                <w:rFonts w:asciiTheme="minorHAnsi" w:eastAsia="Times New Roman" w:hAnsiTheme="minorHAnsi" w:cstheme="minorHAnsi"/>
                <w:sz w:val="20"/>
                <w:szCs w:val="20"/>
                <w:lang w:val="fr-FR" w:eastAsia="en-GB"/>
              </w:rPr>
              <w:t xml:space="preserve">541 </w:t>
            </w:r>
          </w:p>
        </w:tc>
        <w:tc>
          <w:tcPr>
            <w:tcW w:w="887" w:type="dxa"/>
            <w:tcBorders>
              <w:top w:val="nil"/>
              <w:left w:val="nil"/>
              <w:bottom w:val="single" w:sz="4" w:space="0" w:color="auto"/>
              <w:right w:val="single" w:sz="4" w:space="0" w:color="auto"/>
            </w:tcBorders>
            <w:shd w:val="clear" w:color="auto" w:fill="auto"/>
            <w:noWrap/>
            <w:hideMark/>
          </w:tcPr>
          <w:p w14:paraId="4E240003" w14:textId="77777777" w:rsidR="002866BB" w:rsidRPr="00A4333E" w:rsidRDefault="002866BB" w:rsidP="003D145E">
            <w:pPr>
              <w:ind w:left="0" w:firstLine="0"/>
              <w:jc w:val="right"/>
              <w:rPr>
                <w:rFonts w:asciiTheme="minorHAnsi" w:eastAsia="Times New Roman" w:hAnsiTheme="minorHAnsi" w:cstheme="minorHAnsi"/>
                <w:sz w:val="20"/>
                <w:szCs w:val="20"/>
                <w:lang w:val="fr-FR" w:eastAsia="en-GB"/>
              </w:rPr>
            </w:pPr>
            <w:r w:rsidRPr="00A4333E">
              <w:rPr>
                <w:rFonts w:asciiTheme="minorHAnsi" w:eastAsia="Times New Roman" w:hAnsiTheme="minorHAnsi" w:cstheme="minorHAnsi"/>
                <w:sz w:val="20"/>
                <w:szCs w:val="20"/>
                <w:lang w:val="fr-FR" w:eastAsia="en-GB"/>
              </w:rPr>
              <w:t xml:space="preserve">2,107 </w:t>
            </w:r>
          </w:p>
        </w:tc>
        <w:tc>
          <w:tcPr>
            <w:tcW w:w="1091" w:type="dxa"/>
            <w:tcBorders>
              <w:top w:val="nil"/>
              <w:left w:val="nil"/>
              <w:bottom w:val="single" w:sz="4" w:space="0" w:color="auto"/>
              <w:right w:val="single" w:sz="4" w:space="0" w:color="auto"/>
            </w:tcBorders>
            <w:shd w:val="clear" w:color="auto" w:fill="auto"/>
            <w:noWrap/>
            <w:hideMark/>
          </w:tcPr>
          <w:p w14:paraId="56214C67" w14:textId="77777777" w:rsidR="002866BB" w:rsidRPr="00A4333E" w:rsidRDefault="002866BB" w:rsidP="003D145E">
            <w:pPr>
              <w:ind w:left="0" w:firstLine="0"/>
              <w:jc w:val="right"/>
              <w:rPr>
                <w:rFonts w:asciiTheme="minorHAnsi" w:eastAsia="Times New Roman" w:hAnsiTheme="minorHAnsi" w:cstheme="minorHAnsi"/>
                <w:sz w:val="20"/>
                <w:szCs w:val="20"/>
                <w:lang w:val="fr-FR" w:eastAsia="en-GB"/>
              </w:rPr>
            </w:pPr>
            <w:r w:rsidRPr="00A4333E">
              <w:rPr>
                <w:rFonts w:asciiTheme="minorHAnsi" w:eastAsia="Times New Roman" w:hAnsiTheme="minorHAnsi" w:cstheme="minorHAnsi"/>
                <w:sz w:val="20"/>
                <w:szCs w:val="20"/>
                <w:lang w:val="fr-FR" w:eastAsia="en-GB"/>
              </w:rPr>
              <w:t xml:space="preserve">2,221 </w:t>
            </w:r>
          </w:p>
        </w:tc>
        <w:tc>
          <w:tcPr>
            <w:tcW w:w="1121" w:type="dxa"/>
            <w:tcBorders>
              <w:top w:val="nil"/>
              <w:left w:val="nil"/>
              <w:bottom w:val="single" w:sz="4" w:space="0" w:color="auto"/>
              <w:right w:val="single" w:sz="4" w:space="0" w:color="auto"/>
            </w:tcBorders>
            <w:shd w:val="clear" w:color="auto" w:fill="auto"/>
            <w:noWrap/>
            <w:hideMark/>
          </w:tcPr>
          <w:p w14:paraId="567CF909" w14:textId="08760437" w:rsidR="002866BB" w:rsidRPr="00A4333E" w:rsidRDefault="002866BB" w:rsidP="003D145E">
            <w:pPr>
              <w:ind w:left="0" w:firstLine="0"/>
              <w:jc w:val="right"/>
              <w:rPr>
                <w:rFonts w:asciiTheme="minorHAnsi" w:eastAsia="Times New Roman" w:hAnsiTheme="minorHAnsi" w:cstheme="minorHAnsi"/>
                <w:sz w:val="20"/>
                <w:szCs w:val="20"/>
                <w:lang w:val="fr-FR" w:eastAsia="en-GB"/>
              </w:rPr>
            </w:pPr>
            <w:r w:rsidRPr="00A4333E">
              <w:rPr>
                <w:rFonts w:asciiTheme="minorHAnsi" w:eastAsia="Times New Roman" w:hAnsiTheme="minorHAnsi" w:cstheme="minorHAnsi"/>
                <w:sz w:val="20"/>
                <w:szCs w:val="20"/>
                <w:lang w:val="fr-FR" w:eastAsia="en-GB"/>
              </w:rPr>
              <w:t xml:space="preserve"> 114 </w:t>
            </w:r>
          </w:p>
        </w:tc>
      </w:tr>
      <w:tr w:rsidR="002866BB" w:rsidRPr="00A4333E" w14:paraId="7040FEE1" w14:textId="77777777" w:rsidTr="003F50B6">
        <w:tc>
          <w:tcPr>
            <w:tcW w:w="2985" w:type="dxa"/>
            <w:tcBorders>
              <w:top w:val="nil"/>
              <w:left w:val="single" w:sz="4" w:space="0" w:color="auto"/>
              <w:bottom w:val="single" w:sz="4" w:space="0" w:color="auto"/>
              <w:right w:val="single" w:sz="4" w:space="0" w:color="auto"/>
            </w:tcBorders>
            <w:shd w:val="clear" w:color="auto" w:fill="auto"/>
            <w:noWrap/>
            <w:vAlign w:val="center"/>
            <w:hideMark/>
          </w:tcPr>
          <w:p w14:paraId="02017AD5" w14:textId="5FB6A4FF" w:rsidR="002866BB" w:rsidRPr="00A4333E" w:rsidRDefault="002866BB" w:rsidP="00496214">
            <w:pPr>
              <w:ind w:left="0" w:firstLine="0"/>
              <w:rPr>
                <w:rFonts w:asciiTheme="minorHAnsi" w:eastAsia="Times New Roman" w:hAnsiTheme="minorHAnsi" w:cstheme="minorHAnsi"/>
                <w:sz w:val="20"/>
                <w:szCs w:val="20"/>
                <w:lang w:val="fr-FR" w:eastAsia="en-GB"/>
              </w:rPr>
            </w:pPr>
            <w:r w:rsidRPr="00A4333E">
              <w:rPr>
                <w:rFonts w:asciiTheme="minorHAnsi" w:eastAsia="Times New Roman" w:hAnsiTheme="minorHAnsi" w:cstheme="minorHAnsi"/>
                <w:sz w:val="20"/>
                <w:szCs w:val="20"/>
                <w:lang w:val="fr-FR" w:eastAsia="en-GB"/>
              </w:rPr>
              <w:t xml:space="preserve">J.  </w:t>
            </w:r>
            <w:r w:rsidR="00D50FD6" w:rsidRPr="00A4333E">
              <w:rPr>
                <w:rFonts w:asciiTheme="minorHAnsi" w:eastAsia="Times New Roman" w:hAnsiTheme="minorHAnsi" w:cstheme="minorHAnsi"/>
                <w:sz w:val="20"/>
                <w:szCs w:val="20"/>
                <w:lang w:val="fr-FR" w:eastAsia="en-GB"/>
              </w:rPr>
              <w:t>Divers – Fonds de réserve</w:t>
            </w:r>
          </w:p>
        </w:tc>
        <w:tc>
          <w:tcPr>
            <w:tcW w:w="887" w:type="dxa"/>
            <w:tcBorders>
              <w:top w:val="nil"/>
              <w:left w:val="nil"/>
              <w:bottom w:val="single" w:sz="4" w:space="0" w:color="auto"/>
              <w:right w:val="single" w:sz="4" w:space="0" w:color="auto"/>
            </w:tcBorders>
            <w:shd w:val="clear" w:color="auto" w:fill="auto"/>
            <w:noWrap/>
            <w:hideMark/>
          </w:tcPr>
          <w:p w14:paraId="0DD1FB6C" w14:textId="77777777" w:rsidR="002866BB" w:rsidRPr="00A4333E" w:rsidRDefault="002866BB" w:rsidP="003D145E">
            <w:pPr>
              <w:ind w:left="0" w:firstLine="0"/>
              <w:jc w:val="right"/>
              <w:rPr>
                <w:rFonts w:asciiTheme="minorHAnsi" w:eastAsia="Times New Roman" w:hAnsiTheme="minorHAnsi" w:cstheme="minorHAnsi"/>
                <w:sz w:val="20"/>
                <w:szCs w:val="20"/>
                <w:lang w:val="fr-FR" w:eastAsia="en-GB"/>
              </w:rPr>
            </w:pPr>
            <w:r w:rsidRPr="00A4333E">
              <w:rPr>
                <w:rFonts w:asciiTheme="minorHAnsi" w:eastAsia="Times New Roman" w:hAnsiTheme="minorHAnsi" w:cstheme="minorHAnsi"/>
                <w:sz w:val="20"/>
                <w:szCs w:val="20"/>
                <w:lang w:val="fr-FR" w:eastAsia="en-GB"/>
              </w:rPr>
              <w:t xml:space="preserve">282 </w:t>
            </w:r>
          </w:p>
        </w:tc>
        <w:tc>
          <w:tcPr>
            <w:tcW w:w="887" w:type="dxa"/>
            <w:tcBorders>
              <w:top w:val="nil"/>
              <w:left w:val="nil"/>
              <w:bottom w:val="single" w:sz="4" w:space="0" w:color="auto"/>
              <w:right w:val="single" w:sz="4" w:space="0" w:color="auto"/>
            </w:tcBorders>
            <w:shd w:val="clear" w:color="auto" w:fill="auto"/>
            <w:noWrap/>
            <w:hideMark/>
          </w:tcPr>
          <w:p w14:paraId="4BA720FF" w14:textId="77777777" w:rsidR="002866BB" w:rsidRPr="00A4333E" w:rsidRDefault="002866BB" w:rsidP="003D145E">
            <w:pPr>
              <w:ind w:left="0" w:firstLine="0"/>
              <w:jc w:val="right"/>
              <w:rPr>
                <w:rFonts w:asciiTheme="minorHAnsi" w:eastAsia="Times New Roman" w:hAnsiTheme="minorHAnsi" w:cstheme="minorHAnsi"/>
                <w:sz w:val="20"/>
                <w:szCs w:val="20"/>
                <w:lang w:val="fr-FR" w:eastAsia="en-GB"/>
              </w:rPr>
            </w:pPr>
            <w:r w:rsidRPr="00A4333E">
              <w:rPr>
                <w:rFonts w:asciiTheme="minorHAnsi" w:eastAsia="Times New Roman" w:hAnsiTheme="minorHAnsi" w:cstheme="minorHAnsi"/>
                <w:sz w:val="20"/>
                <w:szCs w:val="20"/>
                <w:lang w:val="fr-FR" w:eastAsia="en-GB"/>
              </w:rPr>
              <w:t xml:space="preserve">176 </w:t>
            </w:r>
          </w:p>
        </w:tc>
        <w:tc>
          <w:tcPr>
            <w:tcW w:w="887" w:type="dxa"/>
            <w:tcBorders>
              <w:top w:val="nil"/>
              <w:left w:val="nil"/>
              <w:bottom w:val="single" w:sz="4" w:space="0" w:color="auto"/>
              <w:right w:val="single" w:sz="4" w:space="0" w:color="auto"/>
            </w:tcBorders>
            <w:shd w:val="clear" w:color="auto" w:fill="auto"/>
            <w:noWrap/>
            <w:hideMark/>
          </w:tcPr>
          <w:p w14:paraId="65A9C168" w14:textId="77777777" w:rsidR="002866BB" w:rsidRPr="00A4333E" w:rsidRDefault="002866BB" w:rsidP="003D145E">
            <w:pPr>
              <w:ind w:left="0" w:firstLine="0"/>
              <w:jc w:val="right"/>
              <w:rPr>
                <w:rFonts w:asciiTheme="minorHAnsi" w:eastAsia="Times New Roman" w:hAnsiTheme="minorHAnsi" w:cstheme="minorHAnsi"/>
                <w:sz w:val="20"/>
                <w:szCs w:val="20"/>
                <w:lang w:val="fr-FR" w:eastAsia="en-GB"/>
              </w:rPr>
            </w:pPr>
            <w:r w:rsidRPr="00A4333E">
              <w:rPr>
                <w:rFonts w:asciiTheme="minorHAnsi" w:eastAsia="Times New Roman" w:hAnsiTheme="minorHAnsi" w:cstheme="minorHAnsi"/>
                <w:sz w:val="20"/>
                <w:szCs w:val="20"/>
                <w:lang w:val="fr-FR" w:eastAsia="en-GB"/>
              </w:rPr>
              <w:t xml:space="preserve">109 </w:t>
            </w:r>
          </w:p>
        </w:tc>
        <w:tc>
          <w:tcPr>
            <w:tcW w:w="977" w:type="dxa"/>
            <w:tcBorders>
              <w:top w:val="nil"/>
              <w:left w:val="nil"/>
              <w:bottom w:val="single" w:sz="4" w:space="0" w:color="auto"/>
              <w:right w:val="single" w:sz="4" w:space="0" w:color="auto"/>
            </w:tcBorders>
            <w:shd w:val="clear" w:color="auto" w:fill="auto"/>
            <w:noWrap/>
            <w:hideMark/>
          </w:tcPr>
          <w:p w14:paraId="3C6DACC4" w14:textId="77777777" w:rsidR="002866BB" w:rsidRPr="00A4333E" w:rsidRDefault="002866BB" w:rsidP="003D145E">
            <w:pPr>
              <w:ind w:left="0" w:firstLine="0"/>
              <w:jc w:val="right"/>
              <w:rPr>
                <w:rFonts w:asciiTheme="minorHAnsi" w:eastAsia="Times New Roman" w:hAnsiTheme="minorHAnsi" w:cstheme="minorHAnsi"/>
                <w:sz w:val="20"/>
                <w:szCs w:val="20"/>
                <w:lang w:val="fr-FR" w:eastAsia="en-GB"/>
              </w:rPr>
            </w:pPr>
            <w:r w:rsidRPr="00A4333E">
              <w:rPr>
                <w:rFonts w:asciiTheme="minorHAnsi" w:eastAsia="Times New Roman" w:hAnsiTheme="minorHAnsi" w:cstheme="minorHAnsi"/>
                <w:sz w:val="20"/>
                <w:szCs w:val="20"/>
                <w:lang w:val="fr-FR" w:eastAsia="en-GB"/>
              </w:rPr>
              <w:t xml:space="preserve">229 </w:t>
            </w:r>
          </w:p>
        </w:tc>
        <w:tc>
          <w:tcPr>
            <w:tcW w:w="887" w:type="dxa"/>
            <w:tcBorders>
              <w:top w:val="nil"/>
              <w:left w:val="nil"/>
              <w:bottom w:val="single" w:sz="4" w:space="0" w:color="auto"/>
              <w:right w:val="single" w:sz="4" w:space="0" w:color="auto"/>
            </w:tcBorders>
            <w:shd w:val="clear" w:color="auto" w:fill="auto"/>
            <w:noWrap/>
            <w:hideMark/>
          </w:tcPr>
          <w:p w14:paraId="5689A9F4" w14:textId="77777777" w:rsidR="002866BB" w:rsidRPr="00A4333E" w:rsidRDefault="002866BB" w:rsidP="003D145E">
            <w:pPr>
              <w:ind w:left="0" w:firstLine="0"/>
              <w:jc w:val="right"/>
              <w:rPr>
                <w:rFonts w:asciiTheme="minorHAnsi" w:eastAsia="Times New Roman" w:hAnsiTheme="minorHAnsi" w:cstheme="minorHAnsi"/>
                <w:sz w:val="20"/>
                <w:szCs w:val="20"/>
                <w:lang w:val="fr-FR" w:eastAsia="en-GB"/>
              </w:rPr>
            </w:pPr>
            <w:r w:rsidRPr="00A4333E">
              <w:rPr>
                <w:rFonts w:asciiTheme="minorHAnsi" w:eastAsia="Times New Roman" w:hAnsiTheme="minorHAnsi" w:cstheme="minorHAnsi"/>
                <w:sz w:val="20"/>
                <w:szCs w:val="20"/>
                <w:lang w:val="fr-FR" w:eastAsia="en-GB"/>
              </w:rPr>
              <w:t xml:space="preserve">796 </w:t>
            </w:r>
          </w:p>
        </w:tc>
        <w:tc>
          <w:tcPr>
            <w:tcW w:w="1091" w:type="dxa"/>
            <w:tcBorders>
              <w:top w:val="nil"/>
              <w:left w:val="nil"/>
              <w:bottom w:val="single" w:sz="4" w:space="0" w:color="auto"/>
              <w:right w:val="single" w:sz="4" w:space="0" w:color="auto"/>
            </w:tcBorders>
            <w:shd w:val="clear" w:color="auto" w:fill="auto"/>
            <w:noWrap/>
            <w:hideMark/>
          </w:tcPr>
          <w:p w14:paraId="7A49CBCE" w14:textId="77777777" w:rsidR="002866BB" w:rsidRPr="00A4333E" w:rsidRDefault="002866BB" w:rsidP="003D145E">
            <w:pPr>
              <w:ind w:left="0" w:firstLine="0"/>
              <w:jc w:val="right"/>
              <w:rPr>
                <w:rFonts w:asciiTheme="minorHAnsi" w:eastAsia="Times New Roman" w:hAnsiTheme="minorHAnsi" w:cstheme="minorHAnsi"/>
                <w:sz w:val="20"/>
                <w:szCs w:val="20"/>
                <w:lang w:val="fr-FR" w:eastAsia="en-GB"/>
              </w:rPr>
            </w:pPr>
            <w:r w:rsidRPr="00A4333E">
              <w:rPr>
                <w:rFonts w:asciiTheme="minorHAnsi" w:eastAsia="Times New Roman" w:hAnsiTheme="minorHAnsi" w:cstheme="minorHAnsi"/>
                <w:sz w:val="20"/>
                <w:szCs w:val="20"/>
                <w:lang w:val="fr-FR" w:eastAsia="en-GB"/>
              </w:rPr>
              <w:t xml:space="preserve">555 </w:t>
            </w:r>
          </w:p>
        </w:tc>
        <w:tc>
          <w:tcPr>
            <w:tcW w:w="1121" w:type="dxa"/>
            <w:tcBorders>
              <w:top w:val="nil"/>
              <w:left w:val="nil"/>
              <w:bottom w:val="single" w:sz="4" w:space="0" w:color="auto"/>
              <w:right w:val="single" w:sz="4" w:space="0" w:color="auto"/>
            </w:tcBorders>
            <w:shd w:val="clear" w:color="auto" w:fill="auto"/>
            <w:noWrap/>
            <w:hideMark/>
          </w:tcPr>
          <w:p w14:paraId="7C1C99B0" w14:textId="347B60A0" w:rsidR="002866BB" w:rsidRPr="00A4333E" w:rsidRDefault="002866BB" w:rsidP="003D145E">
            <w:pPr>
              <w:ind w:left="0" w:firstLine="0"/>
              <w:jc w:val="right"/>
              <w:rPr>
                <w:rFonts w:asciiTheme="minorHAnsi" w:eastAsia="Times New Roman" w:hAnsiTheme="minorHAnsi" w:cstheme="minorHAnsi"/>
                <w:sz w:val="20"/>
                <w:szCs w:val="20"/>
                <w:lang w:val="fr-FR" w:eastAsia="en-GB"/>
              </w:rPr>
            </w:pPr>
            <w:r w:rsidRPr="00A4333E">
              <w:rPr>
                <w:rFonts w:asciiTheme="minorHAnsi" w:eastAsia="Times New Roman" w:hAnsiTheme="minorHAnsi" w:cstheme="minorHAnsi"/>
                <w:sz w:val="20"/>
                <w:szCs w:val="20"/>
                <w:lang w:val="fr-FR" w:eastAsia="en-GB"/>
              </w:rPr>
              <w:t xml:space="preserve">  (241)</w:t>
            </w:r>
          </w:p>
        </w:tc>
      </w:tr>
      <w:tr w:rsidR="002866BB" w:rsidRPr="00A4333E" w14:paraId="0FF9CFC8" w14:textId="77777777" w:rsidTr="003F50B6">
        <w:tc>
          <w:tcPr>
            <w:tcW w:w="2985" w:type="dxa"/>
            <w:tcBorders>
              <w:top w:val="nil"/>
              <w:left w:val="single" w:sz="4" w:space="0" w:color="auto"/>
              <w:bottom w:val="single" w:sz="4" w:space="0" w:color="auto"/>
              <w:right w:val="single" w:sz="4" w:space="0" w:color="auto"/>
            </w:tcBorders>
            <w:shd w:val="clear" w:color="000000" w:fill="DDEBF7"/>
            <w:noWrap/>
            <w:vAlign w:val="bottom"/>
            <w:hideMark/>
          </w:tcPr>
          <w:p w14:paraId="087EE704" w14:textId="4543D0A6" w:rsidR="002866BB" w:rsidRPr="00A4333E" w:rsidRDefault="00D50FD6" w:rsidP="00496214">
            <w:pPr>
              <w:ind w:left="0" w:firstLine="0"/>
              <w:rPr>
                <w:rFonts w:asciiTheme="minorHAnsi" w:eastAsia="Times New Roman" w:hAnsiTheme="minorHAnsi" w:cstheme="minorHAnsi"/>
                <w:b/>
                <w:bCs/>
                <w:sz w:val="20"/>
                <w:szCs w:val="20"/>
                <w:lang w:val="fr-FR" w:eastAsia="en-GB"/>
              </w:rPr>
            </w:pPr>
            <w:r w:rsidRPr="00A4333E">
              <w:rPr>
                <w:rFonts w:asciiTheme="minorHAnsi" w:eastAsia="Times New Roman" w:hAnsiTheme="minorHAnsi" w:cstheme="minorHAnsi"/>
                <w:b/>
                <w:bCs/>
                <w:sz w:val="20"/>
                <w:szCs w:val="20"/>
                <w:lang w:val="fr-FR" w:eastAsia="en-GB"/>
              </w:rPr>
              <w:t>DÉPENSES TOTALES</w:t>
            </w:r>
          </w:p>
        </w:tc>
        <w:tc>
          <w:tcPr>
            <w:tcW w:w="887" w:type="dxa"/>
            <w:tcBorders>
              <w:top w:val="nil"/>
              <w:left w:val="nil"/>
              <w:bottom w:val="single" w:sz="4" w:space="0" w:color="auto"/>
              <w:right w:val="single" w:sz="4" w:space="0" w:color="auto"/>
            </w:tcBorders>
            <w:shd w:val="clear" w:color="000000" w:fill="DDEBF7"/>
            <w:noWrap/>
            <w:hideMark/>
          </w:tcPr>
          <w:p w14:paraId="07713FE0" w14:textId="77777777" w:rsidR="002866BB" w:rsidRPr="00A4333E" w:rsidRDefault="002866BB" w:rsidP="003D145E">
            <w:pPr>
              <w:ind w:left="0" w:firstLine="0"/>
              <w:jc w:val="right"/>
              <w:rPr>
                <w:rFonts w:asciiTheme="minorHAnsi" w:eastAsia="Times New Roman" w:hAnsiTheme="minorHAnsi" w:cstheme="minorHAnsi"/>
                <w:b/>
                <w:bCs/>
                <w:sz w:val="20"/>
                <w:szCs w:val="20"/>
                <w:lang w:val="fr-FR" w:eastAsia="en-GB"/>
              </w:rPr>
            </w:pPr>
            <w:r w:rsidRPr="00A4333E">
              <w:rPr>
                <w:rFonts w:asciiTheme="minorHAnsi" w:eastAsia="Times New Roman" w:hAnsiTheme="minorHAnsi" w:cstheme="minorHAnsi"/>
                <w:b/>
                <w:bCs/>
                <w:sz w:val="20"/>
                <w:szCs w:val="20"/>
                <w:lang w:val="fr-FR" w:eastAsia="en-GB"/>
              </w:rPr>
              <w:t xml:space="preserve">4,500 </w:t>
            </w:r>
          </w:p>
        </w:tc>
        <w:tc>
          <w:tcPr>
            <w:tcW w:w="887" w:type="dxa"/>
            <w:tcBorders>
              <w:top w:val="nil"/>
              <w:left w:val="nil"/>
              <w:bottom w:val="single" w:sz="4" w:space="0" w:color="auto"/>
              <w:right w:val="single" w:sz="4" w:space="0" w:color="auto"/>
            </w:tcBorders>
            <w:shd w:val="clear" w:color="000000" w:fill="DDEBF7"/>
            <w:noWrap/>
            <w:hideMark/>
          </w:tcPr>
          <w:p w14:paraId="1EAC296D" w14:textId="77777777" w:rsidR="002866BB" w:rsidRPr="00A4333E" w:rsidRDefault="002866BB" w:rsidP="003D145E">
            <w:pPr>
              <w:ind w:left="0" w:firstLine="0"/>
              <w:jc w:val="right"/>
              <w:rPr>
                <w:rFonts w:asciiTheme="minorHAnsi" w:eastAsia="Times New Roman" w:hAnsiTheme="minorHAnsi" w:cstheme="minorHAnsi"/>
                <w:b/>
                <w:bCs/>
                <w:sz w:val="20"/>
                <w:szCs w:val="20"/>
                <w:lang w:val="fr-FR" w:eastAsia="en-GB"/>
              </w:rPr>
            </w:pPr>
            <w:r w:rsidRPr="00A4333E">
              <w:rPr>
                <w:rFonts w:asciiTheme="minorHAnsi" w:eastAsia="Times New Roman" w:hAnsiTheme="minorHAnsi" w:cstheme="minorHAnsi"/>
                <w:b/>
                <w:bCs/>
                <w:sz w:val="20"/>
                <w:szCs w:val="20"/>
                <w:lang w:val="fr-FR" w:eastAsia="en-GB"/>
              </w:rPr>
              <w:t xml:space="preserve">4,363 </w:t>
            </w:r>
          </w:p>
        </w:tc>
        <w:tc>
          <w:tcPr>
            <w:tcW w:w="887" w:type="dxa"/>
            <w:tcBorders>
              <w:top w:val="nil"/>
              <w:left w:val="nil"/>
              <w:bottom w:val="single" w:sz="4" w:space="0" w:color="auto"/>
              <w:right w:val="single" w:sz="4" w:space="0" w:color="auto"/>
            </w:tcBorders>
            <w:shd w:val="clear" w:color="000000" w:fill="DDEBF7"/>
            <w:noWrap/>
            <w:hideMark/>
          </w:tcPr>
          <w:p w14:paraId="4DBE0527" w14:textId="77777777" w:rsidR="002866BB" w:rsidRPr="00A4333E" w:rsidRDefault="002866BB" w:rsidP="003D145E">
            <w:pPr>
              <w:ind w:left="0" w:firstLine="0"/>
              <w:jc w:val="right"/>
              <w:rPr>
                <w:rFonts w:asciiTheme="minorHAnsi" w:eastAsia="Times New Roman" w:hAnsiTheme="minorHAnsi" w:cstheme="minorHAnsi"/>
                <w:b/>
                <w:bCs/>
                <w:sz w:val="20"/>
                <w:szCs w:val="20"/>
                <w:lang w:val="fr-FR" w:eastAsia="en-GB"/>
              </w:rPr>
            </w:pPr>
            <w:r w:rsidRPr="00A4333E">
              <w:rPr>
                <w:rFonts w:asciiTheme="minorHAnsi" w:eastAsia="Times New Roman" w:hAnsiTheme="minorHAnsi" w:cstheme="minorHAnsi"/>
                <w:b/>
                <w:bCs/>
                <w:sz w:val="20"/>
                <w:szCs w:val="20"/>
                <w:lang w:val="fr-FR" w:eastAsia="en-GB"/>
              </w:rPr>
              <w:t xml:space="preserve">4,651 </w:t>
            </w:r>
          </w:p>
        </w:tc>
        <w:tc>
          <w:tcPr>
            <w:tcW w:w="977" w:type="dxa"/>
            <w:tcBorders>
              <w:top w:val="nil"/>
              <w:left w:val="nil"/>
              <w:bottom w:val="single" w:sz="4" w:space="0" w:color="auto"/>
              <w:right w:val="single" w:sz="4" w:space="0" w:color="auto"/>
            </w:tcBorders>
            <w:shd w:val="clear" w:color="000000" w:fill="DDEBF7"/>
            <w:noWrap/>
            <w:hideMark/>
          </w:tcPr>
          <w:p w14:paraId="0DD878BF" w14:textId="77777777" w:rsidR="002866BB" w:rsidRPr="00A4333E" w:rsidRDefault="002866BB" w:rsidP="003D145E">
            <w:pPr>
              <w:ind w:left="0" w:firstLine="0"/>
              <w:jc w:val="right"/>
              <w:rPr>
                <w:rFonts w:asciiTheme="minorHAnsi" w:eastAsia="Times New Roman" w:hAnsiTheme="minorHAnsi" w:cstheme="minorHAnsi"/>
                <w:b/>
                <w:bCs/>
                <w:sz w:val="20"/>
                <w:szCs w:val="20"/>
                <w:lang w:val="fr-FR" w:eastAsia="en-GB"/>
              </w:rPr>
            </w:pPr>
            <w:r w:rsidRPr="00A4333E">
              <w:rPr>
                <w:rFonts w:asciiTheme="minorHAnsi" w:eastAsia="Times New Roman" w:hAnsiTheme="minorHAnsi" w:cstheme="minorHAnsi"/>
                <w:b/>
                <w:bCs/>
                <w:sz w:val="20"/>
                <w:szCs w:val="20"/>
                <w:lang w:val="fr-FR" w:eastAsia="en-GB"/>
              </w:rPr>
              <w:t xml:space="preserve">5,277 </w:t>
            </w:r>
          </w:p>
        </w:tc>
        <w:tc>
          <w:tcPr>
            <w:tcW w:w="887" w:type="dxa"/>
            <w:tcBorders>
              <w:top w:val="nil"/>
              <w:left w:val="nil"/>
              <w:bottom w:val="single" w:sz="4" w:space="0" w:color="auto"/>
              <w:right w:val="single" w:sz="4" w:space="0" w:color="auto"/>
            </w:tcBorders>
            <w:shd w:val="clear" w:color="000000" w:fill="DDEBF7"/>
            <w:noWrap/>
            <w:hideMark/>
          </w:tcPr>
          <w:p w14:paraId="449CE71E" w14:textId="77777777" w:rsidR="002866BB" w:rsidRPr="00A4333E" w:rsidRDefault="002866BB" w:rsidP="003D145E">
            <w:pPr>
              <w:ind w:left="0" w:firstLine="0"/>
              <w:jc w:val="right"/>
              <w:rPr>
                <w:rFonts w:asciiTheme="minorHAnsi" w:eastAsia="Times New Roman" w:hAnsiTheme="minorHAnsi" w:cstheme="minorHAnsi"/>
                <w:b/>
                <w:bCs/>
                <w:sz w:val="20"/>
                <w:szCs w:val="20"/>
                <w:lang w:val="fr-FR" w:eastAsia="en-GB"/>
              </w:rPr>
            </w:pPr>
            <w:r w:rsidRPr="00A4333E">
              <w:rPr>
                <w:rFonts w:asciiTheme="minorHAnsi" w:eastAsia="Times New Roman" w:hAnsiTheme="minorHAnsi" w:cstheme="minorHAnsi"/>
                <w:b/>
                <w:bCs/>
                <w:sz w:val="20"/>
                <w:szCs w:val="20"/>
                <w:lang w:val="fr-FR" w:eastAsia="en-GB"/>
              </w:rPr>
              <w:t xml:space="preserve">18,791 </w:t>
            </w:r>
          </w:p>
        </w:tc>
        <w:tc>
          <w:tcPr>
            <w:tcW w:w="1091" w:type="dxa"/>
            <w:tcBorders>
              <w:top w:val="nil"/>
              <w:left w:val="nil"/>
              <w:bottom w:val="single" w:sz="4" w:space="0" w:color="auto"/>
              <w:right w:val="single" w:sz="4" w:space="0" w:color="auto"/>
            </w:tcBorders>
            <w:shd w:val="clear" w:color="000000" w:fill="DDEBF7"/>
            <w:noWrap/>
            <w:hideMark/>
          </w:tcPr>
          <w:p w14:paraId="525B386C" w14:textId="77777777" w:rsidR="002866BB" w:rsidRPr="00A4333E" w:rsidRDefault="002866BB" w:rsidP="003D145E">
            <w:pPr>
              <w:ind w:left="0" w:firstLine="0"/>
              <w:jc w:val="right"/>
              <w:rPr>
                <w:rFonts w:asciiTheme="minorHAnsi" w:eastAsia="Times New Roman" w:hAnsiTheme="minorHAnsi" w:cstheme="minorHAnsi"/>
                <w:b/>
                <w:bCs/>
                <w:sz w:val="20"/>
                <w:szCs w:val="20"/>
                <w:lang w:val="fr-FR" w:eastAsia="en-GB"/>
              </w:rPr>
            </w:pPr>
            <w:r w:rsidRPr="00A4333E">
              <w:rPr>
                <w:rFonts w:asciiTheme="minorHAnsi" w:eastAsia="Times New Roman" w:hAnsiTheme="minorHAnsi" w:cstheme="minorHAnsi"/>
                <w:b/>
                <w:bCs/>
                <w:sz w:val="20"/>
                <w:szCs w:val="20"/>
                <w:lang w:val="fr-FR" w:eastAsia="en-GB"/>
              </w:rPr>
              <w:t xml:space="preserve">20,520 </w:t>
            </w:r>
          </w:p>
        </w:tc>
        <w:tc>
          <w:tcPr>
            <w:tcW w:w="1121" w:type="dxa"/>
            <w:tcBorders>
              <w:top w:val="nil"/>
              <w:left w:val="nil"/>
              <w:bottom w:val="single" w:sz="4" w:space="0" w:color="auto"/>
              <w:right w:val="single" w:sz="4" w:space="0" w:color="auto"/>
            </w:tcBorders>
            <w:shd w:val="clear" w:color="000000" w:fill="DDEBF7"/>
            <w:noWrap/>
            <w:hideMark/>
          </w:tcPr>
          <w:p w14:paraId="10906EDD" w14:textId="7C369D55" w:rsidR="002866BB" w:rsidRPr="00A4333E" w:rsidRDefault="002866BB" w:rsidP="003D145E">
            <w:pPr>
              <w:ind w:left="0" w:firstLine="0"/>
              <w:jc w:val="right"/>
              <w:rPr>
                <w:rFonts w:asciiTheme="minorHAnsi" w:eastAsia="Times New Roman" w:hAnsiTheme="minorHAnsi" w:cstheme="minorHAnsi"/>
                <w:b/>
                <w:bCs/>
                <w:sz w:val="20"/>
                <w:szCs w:val="20"/>
                <w:lang w:val="fr-FR" w:eastAsia="en-GB"/>
              </w:rPr>
            </w:pPr>
            <w:r w:rsidRPr="00A4333E">
              <w:rPr>
                <w:rFonts w:asciiTheme="minorHAnsi" w:eastAsia="Times New Roman" w:hAnsiTheme="minorHAnsi" w:cstheme="minorHAnsi"/>
                <w:b/>
                <w:bCs/>
                <w:sz w:val="20"/>
                <w:szCs w:val="20"/>
                <w:lang w:val="fr-FR" w:eastAsia="en-GB"/>
              </w:rPr>
              <w:t xml:space="preserve"> 1,729 </w:t>
            </w:r>
          </w:p>
        </w:tc>
      </w:tr>
      <w:tr w:rsidR="002866BB" w:rsidRPr="00A4333E" w14:paraId="2671CC80" w14:textId="77777777" w:rsidTr="003F50B6">
        <w:tc>
          <w:tcPr>
            <w:tcW w:w="2985" w:type="dxa"/>
            <w:tcBorders>
              <w:top w:val="nil"/>
              <w:left w:val="single" w:sz="4" w:space="0" w:color="auto"/>
              <w:bottom w:val="single" w:sz="4" w:space="0" w:color="auto"/>
              <w:right w:val="single" w:sz="4" w:space="0" w:color="auto"/>
            </w:tcBorders>
            <w:shd w:val="clear" w:color="auto" w:fill="auto"/>
            <w:noWrap/>
            <w:vAlign w:val="bottom"/>
            <w:hideMark/>
          </w:tcPr>
          <w:p w14:paraId="7DA4E7AC" w14:textId="77777777" w:rsidR="002866BB" w:rsidRPr="00A4333E" w:rsidRDefault="002866BB" w:rsidP="00496214">
            <w:pPr>
              <w:ind w:left="0" w:firstLine="0"/>
              <w:rPr>
                <w:rFonts w:asciiTheme="minorHAnsi" w:eastAsia="Times New Roman" w:hAnsiTheme="minorHAnsi" w:cstheme="minorHAnsi"/>
                <w:sz w:val="20"/>
                <w:szCs w:val="20"/>
                <w:lang w:val="fr-FR" w:eastAsia="en-GB"/>
              </w:rPr>
            </w:pPr>
            <w:r w:rsidRPr="00A4333E">
              <w:rPr>
                <w:rFonts w:asciiTheme="minorHAnsi" w:eastAsia="Times New Roman" w:hAnsiTheme="minorHAnsi" w:cstheme="minorHAnsi"/>
                <w:sz w:val="20"/>
                <w:szCs w:val="20"/>
                <w:lang w:val="fr-FR" w:eastAsia="en-GB"/>
              </w:rPr>
              <w:t> </w:t>
            </w:r>
          </w:p>
        </w:tc>
        <w:tc>
          <w:tcPr>
            <w:tcW w:w="887" w:type="dxa"/>
            <w:tcBorders>
              <w:top w:val="nil"/>
              <w:left w:val="nil"/>
              <w:bottom w:val="single" w:sz="4" w:space="0" w:color="auto"/>
              <w:right w:val="single" w:sz="4" w:space="0" w:color="auto"/>
            </w:tcBorders>
            <w:shd w:val="clear" w:color="auto" w:fill="auto"/>
            <w:noWrap/>
            <w:hideMark/>
          </w:tcPr>
          <w:p w14:paraId="3A589E48" w14:textId="77777777" w:rsidR="002866BB" w:rsidRPr="00A4333E" w:rsidRDefault="002866BB" w:rsidP="003D145E">
            <w:pPr>
              <w:ind w:left="0" w:firstLine="0"/>
              <w:jc w:val="right"/>
              <w:rPr>
                <w:rFonts w:asciiTheme="minorHAnsi" w:eastAsia="Times New Roman" w:hAnsiTheme="minorHAnsi" w:cstheme="minorHAnsi"/>
                <w:sz w:val="20"/>
                <w:szCs w:val="20"/>
                <w:lang w:val="fr-FR" w:eastAsia="en-GB"/>
              </w:rPr>
            </w:pPr>
            <w:r w:rsidRPr="00A4333E">
              <w:rPr>
                <w:rFonts w:asciiTheme="minorHAnsi" w:eastAsia="Times New Roman" w:hAnsiTheme="minorHAnsi" w:cstheme="minorHAnsi"/>
                <w:sz w:val="20"/>
                <w:szCs w:val="20"/>
                <w:lang w:val="fr-FR" w:eastAsia="en-GB"/>
              </w:rPr>
              <w:t> </w:t>
            </w:r>
          </w:p>
        </w:tc>
        <w:tc>
          <w:tcPr>
            <w:tcW w:w="887" w:type="dxa"/>
            <w:tcBorders>
              <w:top w:val="nil"/>
              <w:left w:val="nil"/>
              <w:bottom w:val="single" w:sz="4" w:space="0" w:color="auto"/>
              <w:right w:val="single" w:sz="4" w:space="0" w:color="auto"/>
            </w:tcBorders>
            <w:shd w:val="clear" w:color="auto" w:fill="auto"/>
            <w:noWrap/>
            <w:hideMark/>
          </w:tcPr>
          <w:p w14:paraId="74BD001A" w14:textId="77777777" w:rsidR="002866BB" w:rsidRPr="00A4333E" w:rsidRDefault="002866BB" w:rsidP="003D145E">
            <w:pPr>
              <w:ind w:left="0" w:firstLine="0"/>
              <w:jc w:val="right"/>
              <w:rPr>
                <w:rFonts w:asciiTheme="minorHAnsi" w:eastAsia="Times New Roman" w:hAnsiTheme="minorHAnsi" w:cstheme="minorHAnsi"/>
                <w:sz w:val="20"/>
                <w:szCs w:val="20"/>
                <w:lang w:val="fr-FR" w:eastAsia="en-GB"/>
              </w:rPr>
            </w:pPr>
            <w:r w:rsidRPr="00A4333E">
              <w:rPr>
                <w:rFonts w:asciiTheme="minorHAnsi" w:eastAsia="Times New Roman" w:hAnsiTheme="minorHAnsi" w:cstheme="minorHAnsi"/>
                <w:sz w:val="20"/>
                <w:szCs w:val="20"/>
                <w:lang w:val="fr-FR" w:eastAsia="en-GB"/>
              </w:rPr>
              <w:t> </w:t>
            </w:r>
          </w:p>
        </w:tc>
        <w:tc>
          <w:tcPr>
            <w:tcW w:w="887" w:type="dxa"/>
            <w:tcBorders>
              <w:top w:val="nil"/>
              <w:left w:val="nil"/>
              <w:bottom w:val="single" w:sz="4" w:space="0" w:color="auto"/>
              <w:right w:val="single" w:sz="4" w:space="0" w:color="auto"/>
            </w:tcBorders>
            <w:shd w:val="clear" w:color="auto" w:fill="auto"/>
            <w:noWrap/>
            <w:hideMark/>
          </w:tcPr>
          <w:p w14:paraId="11B9DE62" w14:textId="77777777" w:rsidR="002866BB" w:rsidRPr="00A4333E" w:rsidRDefault="002866BB" w:rsidP="003D145E">
            <w:pPr>
              <w:ind w:left="0" w:firstLine="0"/>
              <w:jc w:val="right"/>
              <w:rPr>
                <w:rFonts w:asciiTheme="minorHAnsi" w:eastAsia="Times New Roman" w:hAnsiTheme="minorHAnsi" w:cstheme="minorHAnsi"/>
                <w:sz w:val="20"/>
                <w:szCs w:val="20"/>
                <w:lang w:val="fr-FR" w:eastAsia="en-GB"/>
              </w:rPr>
            </w:pPr>
            <w:r w:rsidRPr="00A4333E">
              <w:rPr>
                <w:rFonts w:asciiTheme="minorHAnsi" w:eastAsia="Times New Roman" w:hAnsiTheme="minorHAnsi" w:cstheme="minorHAnsi"/>
                <w:sz w:val="20"/>
                <w:szCs w:val="20"/>
                <w:lang w:val="fr-FR" w:eastAsia="en-GB"/>
              </w:rPr>
              <w:t> </w:t>
            </w:r>
          </w:p>
        </w:tc>
        <w:tc>
          <w:tcPr>
            <w:tcW w:w="977" w:type="dxa"/>
            <w:tcBorders>
              <w:top w:val="nil"/>
              <w:left w:val="nil"/>
              <w:bottom w:val="single" w:sz="4" w:space="0" w:color="auto"/>
              <w:right w:val="single" w:sz="4" w:space="0" w:color="auto"/>
            </w:tcBorders>
            <w:shd w:val="clear" w:color="auto" w:fill="auto"/>
            <w:noWrap/>
            <w:hideMark/>
          </w:tcPr>
          <w:p w14:paraId="22950FAC" w14:textId="77777777" w:rsidR="002866BB" w:rsidRPr="00A4333E" w:rsidRDefault="002866BB" w:rsidP="003D145E">
            <w:pPr>
              <w:ind w:left="0" w:firstLine="0"/>
              <w:jc w:val="right"/>
              <w:rPr>
                <w:rFonts w:asciiTheme="minorHAnsi" w:eastAsia="Times New Roman" w:hAnsiTheme="minorHAnsi" w:cstheme="minorHAnsi"/>
                <w:sz w:val="20"/>
                <w:szCs w:val="20"/>
                <w:lang w:val="fr-FR" w:eastAsia="en-GB"/>
              </w:rPr>
            </w:pPr>
            <w:r w:rsidRPr="00A4333E">
              <w:rPr>
                <w:rFonts w:asciiTheme="minorHAnsi" w:eastAsia="Times New Roman" w:hAnsiTheme="minorHAnsi" w:cstheme="minorHAnsi"/>
                <w:sz w:val="20"/>
                <w:szCs w:val="20"/>
                <w:lang w:val="fr-FR" w:eastAsia="en-GB"/>
              </w:rPr>
              <w:t> </w:t>
            </w:r>
          </w:p>
        </w:tc>
        <w:tc>
          <w:tcPr>
            <w:tcW w:w="887" w:type="dxa"/>
            <w:tcBorders>
              <w:top w:val="nil"/>
              <w:left w:val="nil"/>
              <w:bottom w:val="single" w:sz="4" w:space="0" w:color="auto"/>
              <w:right w:val="single" w:sz="4" w:space="0" w:color="auto"/>
            </w:tcBorders>
            <w:shd w:val="clear" w:color="auto" w:fill="auto"/>
            <w:noWrap/>
            <w:hideMark/>
          </w:tcPr>
          <w:p w14:paraId="4B870A8E" w14:textId="77777777" w:rsidR="002866BB" w:rsidRPr="00A4333E" w:rsidRDefault="002866BB" w:rsidP="003D145E">
            <w:pPr>
              <w:ind w:left="0" w:firstLine="0"/>
              <w:jc w:val="right"/>
              <w:rPr>
                <w:rFonts w:asciiTheme="minorHAnsi" w:eastAsia="Times New Roman" w:hAnsiTheme="minorHAnsi" w:cstheme="minorHAnsi"/>
                <w:sz w:val="20"/>
                <w:szCs w:val="20"/>
                <w:lang w:val="fr-FR" w:eastAsia="en-GB"/>
              </w:rPr>
            </w:pPr>
            <w:r w:rsidRPr="00A4333E">
              <w:rPr>
                <w:rFonts w:asciiTheme="minorHAnsi" w:eastAsia="Times New Roman" w:hAnsiTheme="minorHAnsi" w:cstheme="minorHAnsi"/>
                <w:sz w:val="20"/>
                <w:szCs w:val="20"/>
                <w:lang w:val="fr-FR" w:eastAsia="en-GB"/>
              </w:rPr>
              <w:t> </w:t>
            </w:r>
          </w:p>
        </w:tc>
        <w:tc>
          <w:tcPr>
            <w:tcW w:w="1091" w:type="dxa"/>
            <w:tcBorders>
              <w:top w:val="nil"/>
              <w:left w:val="nil"/>
              <w:bottom w:val="single" w:sz="4" w:space="0" w:color="auto"/>
              <w:right w:val="single" w:sz="4" w:space="0" w:color="auto"/>
            </w:tcBorders>
            <w:shd w:val="clear" w:color="auto" w:fill="auto"/>
            <w:noWrap/>
            <w:hideMark/>
          </w:tcPr>
          <w:p w14:paraId="16ACD7F5" w14:textId="77777777" w:rsidR="002866BB" w:rsidRPr="00A4333E" w:rsidRDefault="002866BB" w:rsidP="003D145E">
            <w:pPr>
              <w:ind w:left="0" w:firstLine="0"/>
              <w:jc w:val="right"/>
              <w:rPr>
                <w:rFonts w:asciiTheme="minorHAnsi" w:eastAsia="Times New Roman" w:hAnsiTheme="minorHAnsi" w:cstheme="minorHAnsi"/>
                <w:sz w:val="20"/>
                <w:szCs w:val="20"/>
                <w:lang w:val="fr-FR" w:eastAsia="en-GB"/>
              </w:rPr>
            </w:pPr>
            <w:r w:rsidRPr="00A4333E">
              <w:rPr>
                <w:rFonts w:asciiTheme="minorHAnsi" w:eastAsia="Times New Roman" w:hAnsiTheme="minorHAnsi" w:cstheme="minorHAnsi"/>
                <w:sz w:val="20"/>
                <w:szCs w:val="20"/>
                <w:lang w:val="fr-FR" w:eastAsia="en-GB"/>
              </w:rPr>
              <w:t> </w:t>
            </w:r>
          </w:p>
        </w:tc>
        <w:tc>
          <w:tcPr>
            <w:tcW w:w="1121" w:type="dxa"/>
            <w:tcBorders>
              <w:top w:val="nil"/>
              <w:left w:val="nil"/>
              <w:bottom w:val="single" w:sz="4" w:space="0" w:color="auto"/>
              <w:right w:val="single" w:sz="4" w:space="0" w:color="auto"/>
            </w:tcBorders>
            <w:shd w:val="clear" w:color="auto" w:fill="auto"/>
            <w:noWrap/>
            <w:hideMark/>
          </w:tcPr>
          <w:p w14:paraId="7FE59AD5" w14:textId="77777777" w:rsidR="002866BB" w:rsidRPr="00A4333E" w:rsidRDefault="002866BB" w:rsidP="003D145E">
            <w:pPr>
              <w:ind w:left="0" w:firstLine="0"/>
              <w:jc w:val="right"/>
              <w:rPr>
                <w:rFonts w:asciiTheme="minorHAnsi" w:eastAsia="Times New Roman" w:hAnsiTheme="minorHAnsi" w:cstheme="minorHAnsi"/>
                <w:sz w:val="20"/>
                <w:szCs w:val="20"/>
                <w:lang w:val="fr-FR" w:eastAsia="en-GB"/>
              </w:rPr>
            </w:pPr>
            <w:r w:rsidRPr="00A4333E">
              <w:rPr>
                <w:rFonts w:asciiTheme="minorHAnsi" w:eastAsia="Times New Roman" w:hAnsiTheme="minorHAnsi" w:cstheme="minorHAnsi"/>
                <w:sz w:val="20"/>
                <w:szCs w:val="20"/>
                <w:lang w:val="fr-FR" w:eastAsia="en-GB"/>
              </w:rPr>
              <w:t> </w:t>
            </w:r>
          </w:p>
        </w:tc>
      </w:tr>
      <w:tr w:rsidR="002866BB" w:rsidRPr="00A4333E" w14:paraId="10362817" w14:textId="77777777" w:rsidTr="003F50B6">
        <w:tc>
          <w:tcPr>
            <w:tcW w:w="2985" w:type="dxa"/>
            <w:tcBorders>
              <w:top w:val="nil"/>
              <w:left w:val="single" w:sz="4" w:space="0" w:color="auto"/>
              <w:bottom w:val="single" w:sz="4" w:space="0" w:color="auto"/>
              <w:right w:val="single" w:sz="4" w:space="0" w:color="auto"/>
            </w:tcBorders>
            <w:shd w:val="clear" w:color="000000" w:fill="DDEBF7"/>
            <w:vAlign w:val="bottom"/>
            <w:hideMark/>
          </w:tcPr>
          <w:p w14:paraId="76BF0C5C" w14:textId="1012C87F" w:rsidR="002866BB" w:rsidRPr="00A4333E" w:rsidRDefault="00D50FD6" w:rsidP="00496214">
            <w:pPr>
              <w:ind w:left="0" w:firstLine="0"/>
              <w:rPr>
                <w:rFonts w:asciiTheme="minorHAnsi" w:eastAsia="Times New Roman" w:hAnsiTheme="minorHAnsi" w:cstheme="minorHAnsi"/>
                <w:b/>
                <w:bCs/>
                <w:sz w:val="20"/>
                <w:szCs w:val="20"/>
                <w:lang w:val="fr-FR" w:eastAsia="en-GB"/>
              </w:rPr>
            </w:pPr>
            <w:r w:rsidRPr="00A4333E">
              <w:rPr>
                <w:rFonts w:asciiTheme="minorHAnsi" w:eastAsia="Times New Roman" w:hAnsiTheme="minorHAnsi" w:cstheme="minorHAnsi"/>
                <w:b/>
                <w:bCs/>
                <w:sz w:val="20"/>
                <w:szCs w:val="20"/>
                <w:lang w:val="fr-FR" w:eastAsia="en-GB"/>
              </w:rPr>
              <w:t>EXCÉDENT/ UTILISATION AUTORISÉE DE L’EXCÉDENT</w:t>
            </w:r>
            <w:r w:rsidR="002866BB" w:rsidRPr="00A4333E">
              <w:rPr>
                <w:rFonts w:asciiTheme="minorHAnsi" w:eastAsia="Times New Roman" w:hAnsiTheme="minorHAnsi" w:cstheme="minorHAnsi"/>
                <w:b/>
                <w:bCs/>
                <w:sz w:val="20"/>
                <w:szCs w:val="20"/>
                <w:lang w:val="fr-FR" w:eastAsia="en-GB"/>
              </w:rPr>
              <w:t>)</w:t>
            </w:r>
            <w:r w:rsidR="002866BB" w:rsidRPr="00A4333E">
              <w:rPr>
                <w:rFonts w:asciiTheme="minorHAnsi" w:eastAsia="Times New Roman" w:hAnsiTheme="minorHAnsi" w:cstheme="minorHAnsi"/>
                <w:b/>
                <w:bCs/>
                <w:sz w:val="20"/>
                <w:szCs w:val="20"/>
                <w:vertAlign w:val="superscript"/>
                <w:lang w:val="fr-FR" w:eastAsia="en-GB"/>
              </w:rPr>
              <w:t>1</w:t>
            </w:r>
          </w:p>
        </w:tc>
        <w:tc>
          <w:tcPr>
            <w:tcW w:w="887" w:type="dxa"/>
            <w:tcBorders>
              <w:top w:val="nil"/>
              <w:left w:val="nil"/>
              <w:bottom w:val="single" w:sz="4" w:space="0" w:color="auto"/>
              <w:right w:val="single" w:sz="4" w:space="0" w:color="auto"/>
            </w:tcBorders>
            <w:shd w:val="clear" w:color="000000" w:fill="DDEBF7"/>
            <w:noWrap/>
            <w:vAlign w:val="bottom"/>
            <w:hideMark/>
          </w:tcPr>
          <w:p w14:paraId="1A4A18AA" w14:textId="77777777" w:rsidR="002866BB" w:rsidRPr="00A4333E" w:rsidRDefault="002866BB" w:rsidP="002866BB">
            <w:pPr>
              <w:ind w:left="0" w:firstLine="0"/>
              <w:jc w:val="right"/>
              <w:rPr>
                <w:rFonts w:asciiTheme="minorHAnsi" w:eastAsia="Times New Roman" w:hAnsiTheme="minorHAnsi" w:cstheme="minorHAnsi"/>
                <w:b/>
                <w:bCs/>
                <w:sz w:val="20"/>
                <w:szCs w:val="20"/>
                <w:lang w:val="fr-FR" w:eastAsia="en-GB"/>
              </w:rPr>
            </w:pPr>
            <w:r w:rsidRPr="00A4333E">
              <w:rPr>
                <w:rFonts w:asciiTheme="minorHAnsi" w:eastAsia="Times New Roman" w:hAnsiTheme="minorHAnsi" w:cstheme="minorHAnsi"/>
                <w:b/>
                <w:bCs/>
                <w:sz w:val="20"/>
                <w:szCs w:val="20"/>
                <w:lang w:val="fr-FR" w:eastAsia="en-GB"/>
              </w:rPr>
              <w:t xml:space="preserve">562 </w:t>
            </w:r>
          </w:p>
        </w:tc>
        <w:tc>
          <w:tcPr>
            <w:tcW w:w="887" w:type="dxa"/>
            <w:tcBorders>
              <w:top w:val="nil"/>
              <w:left w:val="nil"/>
              <w:bottom w:val="single" w:sz="4" w:space="0" w:color="auto"/>
              <w:right w:val="single" w:sz="4" w:space="0" w:color="auto"/>
            </w:tcBorders>
            <w:shd w:val="clear" w:color="000000" w:fill="DDEBF7"/>
            <w:noWrap/>
            <w:vAlign w:val="bottom"/>
            <w:hideMark/>
          </w:tcPr>
          <w:p w14:paraId="27A0F352" w14:textId="77777777" w:rsidR="002866BB" w:rsidRPr="00A4333E" w:rsidRDefault="002866BB" w:rsidP="002866BB">
            <w:pPr>
              <w:ind w:left="0" w:firstLine="0"/>
              <w:jc w:val="right"/>
              <w:rPr>
                <w:rFonts w:asciiTheme="minorHAnsi" w:eastAsia="Times New Roman" w:hAnsiTheme="minorHAnsi" w:cstheme="minorHAnsi"/>
                <w:b/>
                <w:bCs/>
                <w:sz w:val="20"/>
                <w:szCs w:val="20"/>
                <w:lang w:val="fr-FR" w:eastAsia="en-GB"/>
              </w:rPr>
            </w:pPr>
            <w:r w:rsidRPr="00A4333E">
              <w:rPr>
                <w:rFonts w:asciiTheme="minorHAnsi" w:eastAsia="Times New Roman" w:hAnsiTheme="minorHAnsi" w:cstheme="minorHAnsi"/>
                <w:b/>
                <w:bCs/>
                <w:sz w:val="20"/>
                <w:szCs w:val="20"/>
                <w:lang w:val="fr-FR" w:eastAsia="en-GB"/>
              </w:rPr>
              <w:t xml:space="preserve">671 </w:t>
            </w:r>
          </w:p>
        </w:tc>
        <w:tc>
          <w:tcPr>
            <w:tcW w:w="887" w:type="dxa"/>
            <w:tcBorders>
              <w:top w:val="nil"/>
              <w:left w:val="nil"/>
              <w:bottom w:val="single" w:sz="4" w:space="0" w:color="auto"/>
              <w:right w:val="single" w:sz="4" w:space="0" w:color="auto"/>
            </w:tcBorders>
            <w:shd w:val="clear" w:color="000000" w:fill="DDEBF7"/>
            <w:noWrap/>
            <w:vAlign w:val="bottom"/>
            <w:hideMark/>
          </w:tcPr>
          <w:p w14:paraId="64A36827" w14:textId="77777777" w:rsidR="002866BB" w:rsidRPr="00A4333E" w:rsidRDefault="002866BB" w:rsidP="002866BB">
            <w:pPr>
              <w:ind w:left="0" w:firstLine="0"/>
              <w:jc w:val="right"/>
              <w:rPr>
                <w:rFonts w:asciiTheme="minorHAnsi" w:eastAsia="Times New Roman" w:hAnsiTheme="minorHAnsi" w:cstheme="minorHAnsi"/>
                <w:b/>
                <w:bCs/>
                <w:sz w:val="20"/>
                <w:szCs w:val="20"/>
                <w:lang w:val="fr-FR" w:eastAsia="en-GB"/>
              </w:rPr>
            </w:pPr>
            <w:r w:rsidRPr="00A4333E">
              <w:rPr>
                <w:rFonts w:asciiTheme="minorHAnsi" w:eastAsia="Times New Roman" w:hAnsiTheme="minorHAnsi" w:cstheme="minorHAnsi"/>
                <w:b/>
                <w:bCs/>
                <w:sz w:val="20"/>
                <w:szCs w:val="20"/>
                <w:lang w:val="fr-FR" w:eastAsia="en-GB"/>
              </w:rPr>
              <w:t xml:space="preserve">420 </w:t>
            </w:r>
          </w:p>
        </w:tc>
        <w:tc>
          <w:tcPr>
            <w:tcW w:w="977" w:type="dxa"/>
            <w:tcBorders>
              <w:top w:val="nil"/>
              <w:left w:val="nil"/>
              <w:bottom w:val="single" w:sz="4" w:space="0" w:color="auto"/>
              <w:right w:val="single" w:sz="4" w:space="0" w:color="auto"/>
            </w:tcBorders>
            <w:shd w:val="clear" w:color="000000" w:fill="DDEBF7"/>
            <w:noWrap/>
            <w:vAlign w:val="bottom"/>
            <w:hideMark/>
          </w:tcPr>
          <w:p w14:paraId="6BDF986D" w14:textId="77777777" w:rsidR="002866BB" w:rsidRPr="00A4333E" w:rsidRDefault="002866BB" w:rsidP="002866BB">
            <w:pPr>
              <w:ind w:left="0" w:firstLine="0"/>
              <w:rPr>
                <w:rFonts w:asciiTheme="minorHAnsi" w:eastAsia="Times New Roman" w:hAnsiTheme="minorHAnsi" w:cstheme="minorHAnsi"/>
                <w:b/>
                <w:bCs/>
                <w:sz w:val="20"/>
                <w:szCs w:val="20"/>
                <w:lang w:val="fr-FR" w:eastAsia="en-GB"/>
              </w:rPr>
            </w:pPr>
            <w:r w:rsidRPr="00A4333E">
              <w:rPr>
                <w:rFonts w:asciiTheme="minorHAnsi" w:eastAsia="Times New Roman" w:hAnsiTheme="minorHAnsi" w:cstheme="minorHAnsi"/>
                <w:b/>
                <w:bCs/>
                <w:sz w:val="20"/>
                <w:szCs w:val="20"/>
                <w:lang w:val="fr-FR" w:eastAsia="en-GB"/>
              </w:rPr>
              <w:t xml:space="preserve">       (196)</w:t>
            </w:r>
          </w:p>
        </w:tc>
        <w:tc>
          <w:tcPr>
            <w:tcW w:w="887" w:type="dxa"/>
            <w:tcBorders>
              <w:top w:val="nil"/>
              <w:left w:val="nil"/>
              <w:bottom w:val="single" w:sz="4" w:space="0" w:color="auto"/>
              <w:right w:val="single" w:sz="4" w:space="0" w:color="auto"/>
            </w:tcBorders>
            <w:shd w:val="clear" w:color="000000" w:fill="DDEBF7"/>
            <w:noWrap/>
            <w:vAlign w:val="bottom"/>
            <w:hideMark/>
          </w:tcPr>
          <w:p w14:paraId="7BE77BE4" w14:textId="77777777" w:rsidR="002866BB" w:rsidRPr="00A4333E" w:rsidRDefault="002866BB" w:rsidP="002866BB">
            <w:pPr>
              <w:ind w:left="0" w:firstLine="0"/>
              <w:jc w:val="right"/>
              <w:rPr>
                <w:rFonts w:asciiTheme="minorHAnsi" w:eastAsia="Times New Roman" w:hAnsiTheme="minorHAnsi" w:cstheme="minorHAnsi"/>
                <w:b/>
                <w:bCs/>
                <w:sz w:val="20"/>
                <w:szCs w:val="20"/>
                <w:lang w:val="fr-FR" w:eastAsia="en-GB"/>
              </w:rPr>
            </w:pPr>
            <w:r w:rsidRPr="00A4333E">
              <w:rPr>
                <w:rFonts w:asciiTheme="minorHAnsi" w:eastAsia="Times New Roman" w:hAnsiTheme="minorHAnsi" w:cstheme="minorHAnsi"/>
                <w:b/>
                <w:bCs/>
                <w:sz w:val="20"/>
                <w:szCs w:val="20"/>
                <w:lang w:val="fr-FR" w:eastAsia="en-GB"/>
              </w:rPr>
              <w:t xml:space="preserve">1,457 </w:t>
            </w:r>
          </w:p>
        </w:tc>
        <w:tc>
          <w:tcPr>
            <w:tcW w:w="1091" w:type="dxa"/>
            <w:tcBorders>
              <w:top w:val="nil"/>
              <w:left w:val="nil"/>
              <w:bottom w:val="single" w:sz="4" w:space="0" w:color="auto"/>
              <w:right w:val="single" w:sz="4" w:space="0" w:color="auto"/>
            </w:tcBorders>
            <w:shd w:val="clear" w:color="000000" w:fill="DDEBF7"/>
            <w:noWrap/>
            <w:vAlign w:val="bottom"/>
            <w:hideMark/>
          </w:tcPr>
          <w:p w14:paraId="7A88C20D" w14:textId="77777777" w:rsidR="002866BB" w:rsidRPr="00A4333E" w:rsidRDefault="002866BB" w:rsidP="002866BB">
            <w:pPr>
              <w:ind w:left="0" w:firstLine="0"/>
              <w:rPr>
                <w:rFonts w:asciiTheme="minorHAnsi" w:eastAsia="Times New Roman" w:hAnsiTheme="minorHAnsi" w:cstheme="minorHAnsi"/>
                <w:b/>
                <w:bCs/>
                <w:sz w:val="20"/>
                <w:szCs w:val="20"/>
                <w:lang w:val="fr-FR" w:eastAsia="en-GB"/>
              </w:rPr>
            </w:pPr>
            <w:r w:rsidRPr="00A4333E">
              <w:rPr>
                <w:rFonts w:asciiTheme="minorHAnsi" w:eastAsia="Times New Roman" w:hAnsiTheme="minorHAnsi" w:cstheme="minorHAnsi"/>
                <w:b/>
                <w:bCs/>
                <w:sz w:val="20"/>
                <w:szCs w:val="20"/>
                <w:lang w:val="fr-FR" w:eastAsia="en-GB"/>
              </w:rPr>
              <w:t> </w:t>
            </w:r>
          </w:p>
        </w:tc>
        <w:tc>
          <w:tcPr>
            <w:tcW w:w="1121" w:type="dxa"/>
            <w:tcBorders>
              <w:top w:val="nil"/>
              <w:left w:val="nil"/>
              <w:bottom w:val="single" w:sz="4" w:space="0" w:color="auto"/>
              <w:right w:val="single" w:sz="4" w:space="0" w:color="auto"/>
            </w:tcBorders>
            <w:shd w:val="clear" w:color="000000" w:fill="DDEBF7"/>
            <w:noWrap/>
            <w:vAlign w:val="bottom"/>
            <w:hideMark/>
          </w:tcPr>
          <w:p w14:paraId="6B896009" w14:textId="77777777" w:rsidR="002866BB" w:rsidRPr="00A4333E" w:rsidRDefault="002866BB" w:rsidP="002866BB">
            <w:pPr>
              <w:ind w:left="0" w:firstLine="0"/>
              <w:rPr>
                <w:rFonts w:asciiTheme="minorHAnsi" w:eastAsia="Times New Roman" w:hAnsiTheme="minorHAnsi" w:cstheme="minorHAnsi"/>
                <w:b/>
                <w:bCs/>
                <w:sz w:val="20"/>
                <w:szCs w:val="20"/>
                <w:lang w:val="fr-FR" w:eastAsia="en-GB"/>
              </w:rPr>
            </w:pPr>
            <w:r w:rsidRPr="00A4333E">
              <w:rPr>
                <w:rFonts w:asciiTheme="minorHAnsi" w:eastAsia="Times New Roman" w:hAnsiTheme="minorHAnsi" w:cstheme="minorHAnsi"/>
                <w:b/>
                <w:bCs/>
                <w:sz w:val="20"/>
                <w:szCs w:val="20"/>
                <w:lang w:val="fr-FR" w:eastAsia="en-GB"/>
              </w:rPr>
              <w:t> </w:t>
            </w:r>
          </w:p>
        </w:tc>
      </w:tr>
    </w:tbl>
    <w:p w14:paraId="03A01B08" w14:textId="419F7C4D" w:rsidR="002116FA" w:rsidRPr="00A4333E" w:rsidRDefault="002116FA" w:rsidP="000F0539">
      <w:pPr>
        <w:ind w:left="0" w:firstLine="0"/>
        <w:rPr>
          <w:rFonts w:asciiTheme="minorHAnsi" w:hAnsiTheme="minorHAnsi"/>
          <w:b/>
          <w:bCs/>
          <w:sz w:val="24"/>
          <w:szCs w:val="24"/>
          <w:lang w:val="fr-FR" w:eastAsia="en-GB"/>
        </w:rPr>
      </w:pPr>
    </w:p>
    <w:p w14:paraId="45E33BC2" w14:textId="056C5C0C" w:rsidR="006E140C" w:rsidRPr="00A4333E" w:rsidRDefault="00F21A80" w:rsidP="00F21A80">
      <w:pPr>
        <w:pStyle w:val="ListParagraph"/>
        <w:ind w:left="0" w:firstLine="0"/>
        <w:contextualSpacing w:val="0"/>
        <w:rPr>
          <w:rFonts w:asciiTheme="minorHAnsi" w:eastAsia="Times New Roman" w:hAnsiTheme="minorHAnsi" w:cs="Arial"/>
          <w:bCs/>
          <w:color w:val="000000"/>
          <w:sz w:val="20"/>
          <w:szCs w:val="20"/>
          <w:lang w:val="fr-FR" w:eastAsia="en-GB"/>
        </w:rPr>
      </w:pPr>
      <w:r w:rsidRPr="00A4333E">
        <w:rPr>
          <w:rFonts w:asciiTheme="minorHAnsi" w:eastAsia="Times New Roman" w:hAnsiTheme="minorHAnsi" w:cs="Arial"/>
          <w:bCs/>
          <w:color w:val="000000"/>
          <w:sz w:val="20"/>
          <w:szCs w:val="20"/>
          <w:lang w:val="fr-FR" w:eastAsia="en-GB"/>
        </w:rPr>
        <w:t xml:space="preserve">* </w:t>
      </w:r>
      <w:r w:rsidR="00D50FD6" w:rsidRPr="00A4333E">
        <w:rPr>
          <w:rFonts w:asciiTheme="minorHAnsi" w:eastAsia="Times New Roman" w:hAnsiTheme="minorHAnsi" w:cs="Arial"/>
          <w:bCs/>
          <w:color w:val="000000"/>
          <w:sz w:val="20"/>
          <w:szCs w:val="20"/>
          <w:lang w:val="fr-FR" w:eastAsia="en-GB"/>
        </w:rPr>
        <w:t xml:space="preserve">Comme approuvé par la troisième Session extraordinaire de la Conférence des Parties contractantes </w:t>
      </w:r>
      <w:r w:rsidR="00922386" w:rsidRPr="00A4333E">
        <w:rPr>
          <w:rFonts w:asciiTheme="minorHAnsi" w:eastAsia="Times New Roman" w:hAnsiTheme="minorHAnsi" w:cs="Arial"/>
          <w:bCs/>
          <w:color w:val="000000"/>
          <w:sz w:val="20"/>
          <w:szCs w:val="20"/>
          <w:lang w:val="fr-FR" w:eastAsia="en-GB"/>
        </w:rPr>
        <w:t>(</w:t>
      </w:r>
      <w:r w:rsidR="002116FA" w:rsidRPr="00A4333E">
        <w:rPr>
          <w:rFonts w:asciiTheme="minorHAnsi" w:eastAsia="Times New Roman" w:hAnsiTheme="minorHAnsi" w:cs="Arial"/>
          <w:bCs/>
          <w:color w:val="000000"/>
          <w:sz w:val="20"/>
          <w:szCs w:val="20"/>
          <w:lang w:val="fr-FR" w:eastAsia="en-GB"/>
        </w:rPr>
        <w:t>ExCOP3</w:t>
      </w:r>
      <w:r w:rsidR="00922386" w:rsidRPr="00A4333E">
        <w:rPr>
          <w:rFonts w:asciiTheme="minorHAnsi" w:eastAsia="Times New Roman" w:hAnsiTheme="minorHAnsi" w:cs="Arial"/>
          <w:bCs/>
          <w:color w:val="000000"/>
          <w:sz w:val="20"/>
          <w:szCs w:val="20"/>
          <w:lang w:val="fr-FR" w:eastAsia="en-GB"/>
        </w:rPr>
        <w:t>).</w:t>
      </w:r>
    </w:p>
    <w:p w14:paraId="6696F4DF" w14:textId="1FB65FC3" w:rsidR="00632997" w:rsidRPr="00A4333E" w:rsidRDefault="006E140C" w:rsidP="00F21A80">
      <w:pPr>
        <w:pStyle w:val="ListParagraph"/>
        <w:ind w:left="0" w:firstLine="0"/>
        <w:contextualSpacing w:val="0"/>
        <w:rPr>
          <w:rFonts w:cs="Arial"/>
          <w:sz w:val="20"/>
          <w:szCs w:val="20"/>
          <w:lang w:val="fr-FR"/>
        </w:rPr>
      </w:pPr>
      <w:r w:rsidRPr="00A4333E">
        <w:rPr>
          <w:rFonts w:cs="Arial"/>
          <w:sz w:val="20"/>
          <w:szCs w:val="20"/>
          <w:vertAlign w:val="superscript"/>
          <w:lang w:val="fr-FR"/>
        </w:rPr>
        <w:t>1</w:t>
      </w:r>
      <w:r w:rsidR="00922386" w:rsidRPr="00A4333E">
        <w:rPr>
          <w:rFonts w:cs="Arial"/>
          <w:sz w:val="20"/>
          <w:szCs w:val="20"/>
          <w:vertAlign w:val="superscript"/>
          <w:lang w:val="fr-FR"/>
        </w:rPr>
        <w:t xml:space="preserve"> </w:t>
      </w:r>
      <w:r w:rsidR="0063457D" w:rsidRPr="00A4333E">
        <w:rPr>
          <w:rFonts w:cs="Arial"/>
          <w:sz w:val="20"/>
          <w:szCs w:val="20"/>
          <w:lang w:val="fr-FR"/>
        </w:rPr>
        <w:t xml:space="preserve">Le Comité permanent, lors de la reprise de sa 59e Réunion, (SC59/2022), a examiné l’excédent et a fait des suggestions sur son utilisation (voir </w:t>
      </w:r>
      <w:r w:rsidRPr="00A4333E">
        <w:rPr>
          <w:rFonts w:cs="Arial"/>
          <w:sz w:val="20"/>
          <w:szCs w:val="20"/>
          <w:lang w:val="fr-FR"/>
        </w:rPr>
        <w:t>SC59/2022 Com2.Rev.1</w:t>
      </w:r>
      <w:r w:rsidR="002E5B2A" w:rsidRPr="00A4333E">
        <w:rPr>
          <w:rFonts w:cs="Arial"/>
          <w:sz w:val="20"/>
          <w:szCs w:val="20"/>
          <w:lang w:val="fr-FR"/>
        </w:rPr>
        <w:t>,</w:t>
      </w:r>
      <w:r w:rsidRPr="00A4333E">
        <w:rPr>
          <w:rFonts w:cs="Arial"/>
          <w:sz w:val="20"/>
          <w:szCs w:val="20"/>
          <w:lang w:val="fr-FR"/>
        </w:rPr>
        <w:t xml:space="preserve"> Table</w:t>
      </w:r>
      <w:r w:rsidR="0063457D" w:rsidRPr="00A4333E">
        <w:rPr>
          <w:rFonts w:cs="Arial"/>
          <w:sz w:val="20"/>
          <w:szCs w:val="20"/>
          <w:lang w:val="fr-FR"/>
        </w:rPr>
        <w:t>au</w:t>
      </w:r>
      <w:r w:rsidRPr="00A4333E">
        <w:rPr>
          <w:rFonts w:cs="Arial"/>
          <w:sz w:val="20"/>
          <w:szCs w:val="20"/>
          <w:lang w:val="fr-FR"/>
        </w:rPr>
        <w:t xml:space="preserve"> 3)</w:t>
      </w:r>
    </w:p>
    <w:p w14:paraId="4AF1067F" w14:textId="7A60973D" w:rsidR="00F21A80" w:rsidRPr="00A4333E" w:rsidRDefault="00F21A80" w:rsidP="00F21A80">
      <w:pPr>
        <w:pStyle w:val="ListParagraph"/>
        <w:ind w:left="0" w:firstLine="0"/>
        <w:contextualSpacing w:val="0"/>
        <w:rPr>
          <w:rFonts w:cs="Arial"/>
          <w:sz w:val="20"/>
          <w:szCs w:val="20"/>
          <w:lang w:val="fr-FR"/>
        </w:rPr>
      </w:pPr>
      <w:r w:rsidRPr="00A4333E">
        <w:rPr>
          <w:rFonts w:cs="Arial"/>
          <w:sz w:val="20"/>
          <w:szCs w:val="20"/>
          <w:lang w:val="fr-FR"/>
        </w:rPr>
        <w:br w:type="page"/>
      </w:r>
    </w:p>
    <w:p w14:paraId="1B931C91" w14:textId="11228610" w:rsidR="00ED2630" w:rsidRPr="00A4333E" w:rsidRDefault="0049707C" w:rsidP="00A217FF">
      <w:pPr>
        <w:pStyle w:val="ListParagraph"/>
        <w:ind w:left="0" w:firstLine="0"/>
        <w:contextualSpacing w:val="0"/>
        <w:rPr>
          <w:rFonts w:cs="Arial"/>
          <w:b/>
          <w:sz w:val="24"/>
          <w:szCs w:val="24"/>
          <w:lang w:val="fr-FR"/>
        </w:rPr>
      </w:pPr>
      <w:r w:rsidRPr="00A4333E">
        <w:rPr>
          <w:rFonts w:cs="Arial"/>
          <w:b/>
          <w:sz w:val="24"/>
          <w:szCs w:val="24"/>
          <w:lang w:val="fr-FR"/>
        </w:rPr>
        <w:lastRenderedPageBreak/>
        <w:t>Annex</w:t>
      </w:r>
      <w:r w:rsidR="0063457D" w:rsidRPr="00A4333E">
        <w:rPr>
          <w:rFonts w:cs="Arial"/>
          <w:b/>
          <w:sz w:val="24"/>
          <w:szCs w:val="24"/>
          <w:lang w:val="fr-FR"/>
        </w:rPr>
        <w:t>e</w:t>
      </w:r>
      <w:r w:rsidRPr="00A4333E">
        <w:rPr>
          <w:rFonts w:cs="Arial"/>
          <w:b/>
          <w:sz w:val="24"/>
          <w:szCs w:val="24"/>
          <w:lang w:val="fr-FR"/>
        </w:rPr>
        <w:t xml:space="preserve"> </w:t>
      </w:r>
      <w:r w:rsidR="00F21A80" w:rsidRPr="00A4333E">
        <w:rPr>
          <w:rFonts w:cs="Arial"/>
          <w:b/>
          <w:sz w:val="24"/>
          <w:szCs w:val="24"/>
          <w:lang w:val="fr-FR"/>
        </w:rPr>
        <w:t>2</w:t>
      </w:r>
      <w:r w:rsidR="00832664" w:rsidRPr="00A4333E">
        <w:rPr>
          <w:rStyle w:val="FootnoteReference"/>
          <w:rFonts w:cs="Arial"/>
          <w:b/>
          <w:sz w:val="24"/>
          <w:szCs w:val="24"/>
          <w:lang w:val="fr-FR"/>
        </w:rPr>
        <w:footnoteReference w:id="7"/>
      </w:r>
    </w:p>
    <w:p w14:paraId="3AD327CC" w14:textId="74DD2663" w:rsidR="0049707C" w:rsidRPr="00A4333E" w:rsidRDefault="00BB3705" w:rsidP="00A217FF">
      <w:pPr>
        <w:pStyle w:val="ListParagraph"/>
        <w:ind w:left="0" w:firstLine="0"/>
        <w:contextualSpacing w:val="0"/>
        <w:rPr>
          <w:rFonts w:cs="Arial"/>
          <w:b/>
          <w:sz w:val="24"/>
          <w:szCs w:val="24"/>
          <w:lang w:val="fr-FR"/>
        </w:rPr>
      </w:pPr>
      <w:r w:rsidRPr="00A4333E">
        <w:rPr>
          <w:rFonts w:cs="Arial"/>
          <w:b/>
          <w:sz w:val="24"/>
          <w:szCs w:val="24"/>
          <w:lang w:val="fr-FR"/>
        </w:rPr>
        <w:t xml:space="preserve">Budget propose pour </w:t>
      </w:r>
      <w:r w:rsidR="005C1B09" w:rsidRPr="00A4333E">
        <w:rPr>
          <w:rFonts w:cs="Arial"/>
          <w:b/>
          <w:sz w:val="24"/>
          <w:szCs w:val="24"/>
          <w:lang w:val="fr-FR"/>
        </w:rPr>
        <w:t>2023</w:t>
      </w:r>
      <w:r w:rsidR="0049707C" w:rsidRPr="00A4333E">
        <w:rPr>
          <w:rFonts w:cs="Arial"/>
          <w:b/>
          <w:sz w:val="24"/>
          <w:szCs w:val="24"/>
          <w:lang w:val="fr-FR"/>
        </w:rPr>
        <w:t>-</w:t>
      </w:r>
      <w:r w:rsidR="005C1B09" w:rsidRPr="00A4333E">
        <w:rPr>
          <w:rFonts w:cs="Arial"/>
          <w:b/>
          <w:sz w:val="24"/>
          <w:szCs w:val="24"/>
          <w:lang w:val="fr-FR"/>
        </w:rPr>
        <w:t>2025</w:t>
      </w:r>
    </w:p>
    <w:p w14:paraId="51AA7D9F" w14:textId="77777777" w:rsidR="00A217FF" w:rsidRPr="00A4333E" w:rsidRDefault="00A217FF" w:rsidP="00A217FF">
      <w:pPr>
        <w:pStyle w:val="ListParagraph"/>
        <w:ind w:left="0" w:firstLine="0"/>
        <w:contextualSpacing w:val="0"/>
        <w:rPr>
          <w:rFonts w:cs="Arial"/>
          <w:b/>
          <w:lang w:val="fr-FR"/>
        </w:rPr>
      </w:pPr>
    </w:p>
    <w:tbl>
      <w:tblPr>
        <w:tblW w:w="9360" w:type="dxa"/>
        <w:tblLook w:val="04A0" w:firstRow="1" w:lastRow="0" w:firstColumn="1" w:lastColumn="0" w:noHBand="0" w:noVBand="1"/>
      </w:tblPr>
      <w:tblGrid>
        <w:gridCol w:w="3690"/>
        <w:gridCol w:w="1134"/>
        <w:gridCol w:w="1134"/>
        <w:gridCol w:w="1134"/>
        <w:gridCol w:w="993"/>
        <w:gridCol w:w="1275"/>
      </w:tblGrid>
      <w:tr w:rsidR="005D0A19" w:rsidRPr="00A4333E" w14:paraId="1F6A0E3D" w14:textId="77777777" w:rsidTr="00EF4718">
        <w:tc>
          <w:tcPr>
            <w:tcW w:w="3690" w:type="dxa"/>
            <w:tcBorders>
              <w:top w:val="single" w:sz="4" w:space="0" w:color="auto"/>
              <w:left w:val="single" w:sz="4" w:space="0" w:color="auto"/>
              <w:bottom w:val="nil"/>
              <w:right w:val="single" w:sz="4" w:space="0" w:color="auto"/>
            </w:tcBorders>
            <w:shd w:val="clear" w:color="000000" w:fill="EBF1DE"/>
            <w:vAlign w:val="center"/>
          </w:tcPr>
          <w:p w14:paraId="58E2B35F" w14:textId="46A95288" w:rsidR="005D0A19" w:rsidRPr="00A4333E" w:rsidRDefault="00BB3705" w:rsidP="00483E42">
            <w:pPr>
              <w:ind w:left="0" w:firstLine="0"/>
              <w:rPr>
                <w:rFonts w:asciiTheme="minorHAnsi" w:eastAsia="Times New Roman" w:hAnsiTheme="minorHAnsi" w:cs="Arial"/>
                <w:b/>
                <w:bCs/>
                <w:color w:val="1F497D"/>
                <w:sz w:val="24"/>
                <w:szCs w:val="24"/>
                <w:lang w:val="fr-FR" w:eastAsia="en-GB"/>
              </w:rPr>
            </w:pPr>
            <w:r w:rsidRPr="00A4333E">
              <w:rPr>
                <w:rFonts w:asciiTheme="minorHAnsi" w:eastAsia="Times New Roman" w:hAnsiTheme="minorHAnsi" w:cs="Arial"/>
                <w:b/>
                <w:bCs/>
                <w:color w:val="1F497D"/>
                <w:sz w:val="24"/>
                <w:szCs w:val="24"/>
                <w:lang w:val="fr-FR" w:eastAsia="en-GB"/>
              </w:rPr>
              <w:t xml:space="preserve">Budget administrative </w:t>
            </w:r>
            <w:r w:rsidR="005D0A19" w:rsidRPr="00A4333E">
              <w:rPr>
                <w:rFonts w:asciiTheme="minorHAnsi" w:eastAsia="Times New Roman" w:hAnsiTheme="minorHAnsi" w:cs="Arial"/>
                <w:b/>
                <w:bCs/>
                <w:color w:val="1F497D"/>
                <w:sz w:val="24"/>
                <w:szCs w:val="24"/>
                <w:lang w:val="fr-FR" w:eastAsia="en-GB"/>
              </w:rPr>
              <w:t>Ramsar 2023-2025</w:t>
            </w:r>
          </w:p>
        </w:tc>
        <w:tc>
          <w:tcPr>
            <w:tcW w:w="1134" w:type="dxa"/>
            <w:tcBorders>
              <w:top w:val="single" w:sz="4" w:space="0" w:color="auto"/>
              <w:left w:val="nil"/>
              <w:bottom w:val="nil"/>
              <w:right w:val="single" w:sz="4" w:space="0" w:color="auto"/>
            </w:tcBorders>
            <w:shd w:val="clear" w:color="000000" w:fill="EBF1DE"/>
          </w:tcPr>
          <w:p w14:paraId="6764F7BB" w14:textId="1160C55B" w:rsidR="00BB3705" w:rsidRPr="00A4333E" w:rsidRDefault="005D0A19" w:rsidP="00BB3705">
            <w:pPr>
              <w:ind w:left="0" w:firstLine="0"/>
              <w:jc w:val="center"/>
              <w:rPr>
                <w:rFonts w:asciiTheme="minorHAnsi" w:eastAsia="Times New Roman" w:hAnsiTheme="minorHAnsi" w:cs="Arial"/>
                <w:b/>
                <w:bCs/>
                <w:color w:val="1F497D"/>
                <w:sz w:val="20"/>
                <w:szCs w:val="20"/>
                <w:lang w:val="fr-FR" w:eastAsia="en-GB"/>
              </w:rPr>
            </w:pPr>
            <w:r w:rsidRPr="00A4333E">
              <w:rPr>
                <w:rFonts w:asciiTheme="minorHAnsi" w:eastAsia="Times New Roman" w:hAnsiTheme="minorHAnsi" w:cs="Arial"/>
                <w:b/>
                <w:bCs/>
                <w:color w:val="1F497D"/>
                <w:sz w:val="20"/>
                <w:szCs w:val="20"/>
                <w:lang w:val="fr-FR" w:eastAsia="en-GB"/>
              </w:rPr>
              <w:t>Budget</w:t>
            </w:r>
            <w:r w:rsidR="00261307" w:rsidRPr="00A4333E">
              <w:rPr>
                <w:rFonts w:asciiTheme="minorHAnsi" w:eastAsia="Times New Roman" w:hAnsiTheme="minorHAnsi" w:cs="Arial"/>
                <w:b/>
                <w:bCs/>
                <w:color w:val="1F497D"/>
                <w:sz w:val="20"/>
                <w:szCs w:val="20"/>
                <w:lang w:val="fr-FR" w:eastAsia="en-GB"/>
              </w:rPr>
              <w:t xml:space="preserve"> (</w:t>
            </w:r>
            <w:r w:rsidR="00BB3705" w:rsidRPr="00A4333E">
              <w:rPr>
                <w:rFonts w:asciiTheme="minorHAnsi" w:eastAsia="Times New Roman" w:hAnsiTheme="minorHAnsi" w:cs="Arial"/>
                <w:b/>
                <w:bCs/>
                <w:color w:val="1F497D"/>
                <w:sz w:val="20"/>
                <w:szCs w:val="20"/>
                <w:lang w:val="fr-FR" w:eastAsia="en-GB"/>
              </w:rPr>
              <w:t>approuvé pour 2022 lors de l’</w:t>
            </w:r>
            <w:r w:rsidR="00261307" w:rsidRPr="00A4333E">
              <w:rPr>
                <w:rFonts w:asciiTheme="minorHAnsi" w:eastAsia="Times New Roman" w:hAnsiTheme="minorHAnsi" w:cs="Arial"/>
                <w:b/>
                <w:bCs/>
                <w:color w:val="1F497D"/>
                <w:sz w:val="20"/>
                <w:szCs w:val="20"/>
                <w:lang w:val="fr-FR" w:eastAsia="en-GB"/>
              </w:rPr>
              <w:t xml:space="preserve">ExCOP3 </w:t>
            </w:r>
          </w:p>
          <w:p w14:paraId="41502B3D" w14:textId="1772CD1C" w:rsidR="005D0A19" w:rsidRPr="00A4333E" w:rsidRDefault="005D0A19" w:rsidP="00483E42">
            <w:pPr>
              <w:ind w:left="0" w:firstLine="0"/>
              <w:jc w:val="center"/>
              <w:rPr>
                <w:rFonts w:asciiTheme="minorHAnsi" w:eastAsia="Times New Roman" w:hAnsiTheme="minorHAnsi" w:cs="Arial"/>
                <w:b/>
                <w:bCs/>
                <w:color w:val="1F497D"/>
                <w:sz w:val="20"/>
                <w:szCs w:val="20"/>
                <w:lang w:val="fr-FR" w:eastAsia="en-GB"/>
              </w:rPr>
            </w:pPr>
          </w:p>
        </w:tc>
        <w:tc>
          <w:tcPr>
            <w:tcW w:w="1134" w:type="dxa"/>
            <w:tcBorders>
              <w:top w:val="single" w:sz="4" w:space="0" w:color="auto"/>
              <w:left w:val="single" w:sz="4" w:space="0" w:color="auto"/>
              <w:bottom w:val="nil"/>
              <w:right w:val="single" w:sz="4" w:space="0" w:color="auto"/>
            </w:tcBorders>
            <w:shd w:val="clear" w:color="000000" w:fill="EBF1DE"/>
            <w:vAlign w:val="center"/>
          </w:tcPr>
          <w:p w14:paraId="0C082C31" w14:textId="5B5404FC" w:rsidR="005D0A19" w:rsidRPr="00A4333E" w:rsidRDefault="005D0A19" w:rsidP="00483E42">
            <w:pPr>
              <w:ind w:left="0" w:firstLine="0"/>
              <w:jc w:val="center"/>
              <w:rPr>
                <w:rFonts w:asciiTheme="minorHAnsi" w:eastAsia="Times New Roman" w:hAnsiTheme="minorHAnsi" w:cs="Arial"/>
                <w:b/>
                <w:bCs/>
                <w:color w:val="1F497D"/>
                <w:sz w:val="20"/>
                <w:szCs w:val="20"/>
                <w:lang w:val="fr-FR" w:eastAsia="en-GB"/>
              </w:rPr>
            </w:pPr>
            <w:r w:rsidRPr="00A4333E">
              <w:rPr>
                <w:rFonts w:asciiTheme="minorHAnsi" w:eastAsia="Times New Roman" w:hAnsiTheme="minorHAnsi" w:cs="Arial"/>
                <w:b/>
                <w:bCs/>
                <w:color w:val="1F497D"/>
                <w:sz w:val="20"/>
                <w:szCs w:val="20"/>
                <w:lang w:val="fr-FR" w:eastAsia="en-GB"/>
              </w:rPr>
              <w:t>Budget 2023</w:t>
            </w:r>
          </w:p>
        </w:tc>
        <w:tc>
          <w:tcPr>
            <w:tcW w:w="1134" w:type="dxa"/>
            <w:tcBorders>
              <w:top w:val="single" w:sz="4" w:space="0" w:color="auto"/>
              <w:left w:val="nil"/>
              <w:bottom w:val="nil"/>
              <w:right w:val="single" w:sz="4" w:space="0" w:color="auto"/>
            </w:tcBorders>
            <w:shd w:val="clear" w:color="000000" w:fill="EBF1DE"/>
            <w:vAlign w:val="center"/>
          </w:tcPr>
          <w:p w14:paraId="3093FDC3" w14:textId="77777777" w:rsidR="005D0A19" w:rsidRPr="00A4333E" w:rsidRDefault="005D0A19" w:rsidP="00483E42">
            <w:pPr>
              <w:ind w:left="0" w:firstLine="0"/>
              <w:jc w:val="center"/>
              <w:rPr>
                <w:rFonts w:asciiTheme="minorHAnsi" w:eastAsia="Times New Roman" w:hAnsiTheme="minorHAnsi" w:cs="Arial"/>
                <w:b/>
                <w:bCs/>
                <w:color w:val="1F497D"/>
                <w:sz w:val="20"/>
                <w:szCs w:val="20"/>
                <w:lang w:val="fr-FR" w:eastAsia="en-GB"/>
              </w:rPr>
            </w:pPr>
            <w:r w:rsidRPr="00A4333E">
              <w:rPr>
                <w:rFonts w:asciiTheme="minorHAnsi" w:eastAsia="Times New Roman" w:hAnsiTheme="minorHAnsi" w:cs="Arial"/>
                <w:b/>
                <w:bCs/>
                <w:color w:val="1F497D"/>
                <w:sz w:val="20"/>
                <w:szCs w:val="20"/>
                <w:lang w:val="fr-FR" w:eastAsia="en-GB"/>
              </w:rPr>
              <w:t>Budget 2024</w:t>
            </w:r>
          </w:p>
        </w:tc>
        <w:tc>
          <w:tcPr>
            <w:tcW w:w="993" w:type="dxa"/>
            <w:tcBorders>
              <w:top w:val="single" w:sz="4" w:space="0" w:color="auto"/>
              <w:left w:val="nil"/>
              <w:bottom w:val="nil"/>
              <w:right w:val="single" w:sz="4" w:space="0" w:color="auto"/>
            </w:tcBorders>
            <w:shd w:val="clear" w:color="000000" w:fill="EBF1DE"/>
            <w:vAlign w:val="center"/>
          </w:tcPr>
          <w:p w14:paraId="387AF0E4" w14:textId="77777777" w:rsidR="005D0A19" w:rsidRPr="00A4333E" w:rsidRDefault="005D0A19" w:rsidP="00483E42">
            <w:pPr>
              <w:ind w:left="0" w:firstLine="0"/>
              <w:jc w:val="center"/>
              <w:rPr>
                <w:rFonts w:asciiTheme="minorHAnsi" w:eastAsia="Times New Roman" w:hAnsiTheme="minorHAnsi" w:cs="Arial"/>
                <w:b/>
                <w:bCs/>
                <w:color w:val="1F497D"/>
                <w:sz w:val="20"/>
                <w:szCs w:val="20"/>
                <w:lang w:val="fr-FR" w:eastAsia="en-GB"/>
              </w:rPr>
            </w:pPr>
            <w:r w:rsidRPr="00A4333E">
              <w:rPr>
                <w:rFonts w:asciiTheme="minorHAnsi" w:eastAsia="Times New Roman" w:hAnsiTheme="minorHAnsi" w:cs="Arial"/>
                <w:b/>
                <w:bCs/>
                <w:color w:val="1F497D"/>
                <w:sz w:val="20"/>
                <w:szCs w:val="20"/>
                <w:lang w:val="fr-FR" w:eastAsia="en-GB"/>
              </w:rPr>
              <w:t>Budget 2025</w:t>
            </w:r>
          </w:p>
        </w:tc>
        <w:tc>
          <w:tcPr>
            <w:tcW w:w="1275" w:type="dxa"/>
            <w:tcBorders>
              <w:top w:val="single" w:sz="4" w:space="0" w:color="auto"/>
              <w:left w:val="nil"/>
              <w:bottom w:val="nil"/>
              <w:right w:val="single" w:sz="4" w:space="0" w:color="auto"/>
            </w:tcBorders>
            <w:shd w:val="clear" w:color="000000" w:fill="EBF1DE"/>
            <w:vAlign w:val="center"/>
          </w:tcPr>
          <w:p w14:paraId="5F782681" w14:textId="5E25F155" w:rsidR="005D0A19" w:rsidRPr="00A4333E" w:rsidRDefault="00BB3705" w:rsidP="00483E42">
            <w:pPr>
              <w:ind w:left="0" w:firstLine="0"/>
              <w:jc w:val="center"/>
              <w:rPr>
                <w:rFonts w:asciiTheme="minorHAnsi" w:eastAsia="Times New Roman" w:hAnsiTheme="minorHAnsi" w:cs="Arial"/>
                <w:b/>
                <w:bCs/>
                <w:color w:val="1F497D"/>
                <w:sz w:val="20"/>
                <w:szCs w:val="20"/>
                <w:lang w:val="fr-FR" w:eastAsia="en-GB"/>
              </w:rPr>
            </w:pPr>
            <w:r w:rsidRPr="00A4333E">
              <w:rPr>
                <w:rFonts w:asciiTheme="minorHAnsi" w:eastAsia="Times New Roman" w:hAnsiTheme="minorHAnsi" w:cs="Arial"/>
                <w:b/>
                <w:bCs/>
                <w:color w:val="1F497D"/>
                <w:sz w:val="20"/>
                <w:szCs w:val="20"/>
                <w:lang w:val="fr-FR" w:eastAsia="en-GB"/>
              </w:rPr>
              <w:t>Budget t</w:t>
            </w:r>
            <w:r w:rsidR="005D0A19" w:rsidRPr="00A4333E">
              <w:rPr>
                <w:rFonts w:asciiTheme="minorHAnsi" w:eastAsia="Times New Roman" w:hAnsiTheme="minorHAnsi" w:cs="Arial"/>
                <w:b/>
                <w:bCs/>
                <w:color w:val="1F497D"/>
                <w:sz w:val="20"/>
                <w:szCs w:val="20"/>
                <w:lang w:val="fr-FR" w:eastAsia="en-GB"/>
              </w:rPr>
              <w:t>otal 2023-2025</w:t>
            </w:r>
          </w:p>
        </w:tc>
      </w:tr>
      <w:tr w:rsidR="005D0A19" w:rsidRPr="00A4333E" w14:paraId="14FD79D7" w14:textId="77777777" w:rsidTr="00EF4718">
        <w:tc>
          <w:tcPr>
            <w:tcW w:w="3690" w:type="dxa"/>
            <w:tcBorders>
              <w:top w:val="nil"/>
              <w:left w:val="single" w:sz="4" w:space="0" w:color="auto"/>
              <w:bottom w:val="single" w:sz="4" w:space="0" w:color="auto"/>
              <w:right w:val="single" w:sz="4" w:space="0" w:color="auto"/>
            </w:tcBorders>
            <w:shd w:val="clear" w:color="000000" w:fill="EBF1DE"/>
            <w:noWrap/>
            <w:vAlign w:val="center"/>
          </w:tcPr>
          <w:p w14:paraId="42B0F8CD" w14:textId="5A001AF0" w:rsidR="005D0A19" w:rsidRPr="00A4333E" w:rsidRDefault="00BB3705" w:rsidP="00483E42">
            <w:pPr>
              <w:ind w:left="0" w:firstLine="0"/>
              <w:rPr>
                <w:rFonts w:asciiTheme="minorHAnsi" w:eastAsia="Times New Roman" w:hAnsiTheme="minorHAnsi" w:cs="Arial"/>
                <w:b/>
                <w:bCs/>
                <w:color w:val="1F497D"/>
                <w:sz w:val="20"/>
                <w:szCs w:val="20"/>
                <w:lang w:val="fr-FR" w:eastAsia="en-GB"/>
              </w:rPr>
            </w:pPr>
            <w:r w:rsidRPr="00A4333E">
              <w:rPr>
                <w:rFonts w:asciiTheme="minorHAnsi" w:eastAsia="Times New Roman" w:hAnsiTheme="minorHAnsi" w:cs="Arial"/>
                <w:b/>
                <w:bCs/>
                <w:color w:val="1F497D"/>
                <w:sz w:val="20"/>
                <w:szCs w:val="20"/>
                <w:lang w:val="fr-FR" w:eastAsia="en-GB"/>
              </w:rPr>
              <w:t xml:space="preserve">En milliers de </w:t>
            </w:r>
            <w:r w:rsidR="005D0A19" w:rsidRPr="00A4333E">
              <w:rPr>
                <w:rFonts w:asciiTheme="minorHAnsi" w:eastAsia="Times New Roman" w:hAnsiTheme="minorHAnsi" w:cs="Arial"/>
                <w:b/>
                <w:bCs/>
                <w:color w:val="1F497D"/>
                <w:sz w:val="20"/>
                <w:szCs w:val="20"/>
                <w:lang w:val="fr-FR" w:eastAsia="en-GB"/>
              </w:rPr>
              <w:t xml:space="preserve">CHF </w:t>
            </w:r>
          </w:p>
        </w:tc>
        <w:tc>
          <w:tcPr>
            <w:tcW w:w="1134" w:type="dxa"/>
            <w:tcBorders>
              <w:top w:val="nil"/>
              <w:left w:val="nil"/>
              <w:bottom w:val="single" w:sz="4" w:space="0" w:color="auto"/>
              <w:right w:val="single" w:sz="4" w:space="0" w:color="auto"/>
            </w:tcBorders>
            <w:shd w:val="clear" w:color="000000" w:fill="EBF1DE"/>
          </w:tcPr>
          <w:p w14:paraId="3F49FEE2" w14:textId="77777777" w:rsidR="005D0A19" w:rsidRPr="00A4333E" w:rsidRDefault="005D0A19" w:rsidP="00483E42">
            <w:pPr>
              <w:ind w:left="0" w:firstLine="0"/>
              <w:jc w:val="center"/>
              <w:rPr>
                <w:rFonts w:asciiTheme="minorHAnsi" w:eastAsia="Times New Roman" w:hAnsiTheme="minorHAnsi" w:cs="Arial"/>
                <w:color w:val="1F497D"/>
                <w:sz w:val="20"/>
                <w:szCs w:val="20"/>
                <w:lang w:val="fr-FR" w:eastAsia="en-GB"/>
              </w:rPr>
            </w:pPr>
          </w:p>
        </w:tc>
        <w:tc>
          <w:tcPr>
            <w:tcW w:w="1134" w:type="dxa"/>
            <w:tcBorders>
              <w:top w:val="nil"/>
              <w:left w:val="single" w:sz="4" w:space="0" w:color="auto"/>
              <w:bottom w:val="single" w:sz="4" w:space="0" w:color="auto"/>
              <w:right w:val="single" w:sz="4" w:space="0" w:color="auto"/>
            </w:tcBorders>
            <w:shd w:val="clear" w:color="000000" w:fill="EBF1DE"/>
            <w:vAlign w:val="center"/>
          </w:tcPr>
          <w:p w14:paraId="1A45A49F" w14:textId="3B978805" w:rsidR="005D0A19" w:rsidRPr="00A4333E" w:rsidRDefault="005D0A19" w:rsidP="00483E42">
            <w:pPr>
              <w:ind w:left="0" w:firstLine="0"/>
              <w:jc w:val="center"/>
              <w:rPr>
                <w:rFonts w:asciiTheme="minorHAnsi" w:eastAsia="Times New Roman" w:hAnsiTheme="minorHAnsi" w:cs="Arial"/>
                <w:color w:val="1F497D"/>
                <w:sz w:val="20"/>
                <w:szCs w:val="20"/>
                <w:lang w:val="fr-FR" w:eastAsia="en-GB"/>
              </w:rPr>
            </w:pPr>
            <w:r w:rsidRPr="00A4333E">
              <w:rPr>
                <w:rFonts w:asciiTheme="minorHAnsi" w:eastAsia="Times New Roman" w:hAnsiTheme="minorHAnsi" w:cs="Arial"/>
                <w:color w:val="1F497D"/>
                <w:sz w:val="20"/>
                <w:szCs w:val="20"/>
                <w:lang w:val="fr-FR" w:eastAsia="en-GB"/>
              </w:rPr>
              <w:t> </w:t>
            </w:r>
          </w:p>
        </w:tc>
        <w:tc>
          <w:tcPr>
            <w:tcW w:w="1134" w:type="dxa"/>
            <w:tcBorders>
              <w:top w:val="nil"/>
              <w:left w:val="nil"/>
              <w:bottom w:val="single" w:sz="4" w:space="0" w:color="auto"/>
              <w:right w:val="single" w:sz="4" w:space="0" w:color="auto"/>
            </w:tcBorders>
            <w:shd w:val="clear" w:color="000000" w:fill="EBF1DE"/>
            <w:vAlign w:val="center"/>
          </w:tcPr>
          <w:p w14:paraId="7CC91A8F" w14:textId="77777777" w:rsidR="005D0A19" w:rsidRPr="00A4333E" w:rsidRDefault="005D0A19" w:rsidP="00483E42">
            <w:pPr>
              <w:ind w:left="0" w:firstLine="0"/>
              <w:jc w:val="center"/>
              <w:rPr>
                <w:rFonts w:asciiTheme="minorHAnsi" w:eastAsia="Times New Roman" w:hAnsiTheme="minorHAnsi" w:cs="Arial"/>
                <w:color w:val="1F497D"/>
                <w:sz w:val="20"/>
                <w:szCs w:val="20"/>
                <w:lang w:val="fr-FR" w:eastAsia="en-GB"/>
              </w:rPr>
            </w:pPr>
            <w:r w:rsidRPr="00A4333E">
              <w:rPr>
                <w:rFonts w:asciiTheme="minorHAnsi" w:eastAsia="Times New Roman" w:hAnsiTheme="minorHAnsi" w:cs="Arial"/>
                <w:color w:val="1F497D"/>
                <w:sz w:val="20"/>
                <w:szCs w:val="20"/>
                <w:lang w:val="fr-FR" w:eastAsia="en-GB"/>
              </w:rPr>
              <w:t> </w:t>
            </w:r>
          </w:p>
        </w:tc>
        <w:tc>
          <w:tcPr>
            <w:tcW w:w="993" w:type="dxa"/>
            <w:tcBorders>
              <w:top w:val="nil"/>
              <w:left w:val="nil"/>
              <w:bottom w:val="single" w:sz="4" w:space="0" w:color="auto"/>
              <w:right w:val="single" w:sz="4" w:space="0" w:color="auto"/>
            </w:tcBorders>
            <w:shd w:val="clear" w:color="000000" w:fill="EBF1DE"/>
            <w:vAlign w:val="center"/>
          </w:tcPr>
          <w:p w14:paraId="4A0CE5FF" w14:textId="77777777" w:rsidR="005D0A19" w:rsidRPr="00A4333E" w:rsidRDefault="005D0A19" w:rsidP="00483E42">
            <w:pPr>
              <w:ind w:left="0" w:firstLine="0"/>
              <w:jc w:val="center"/>
              <w:rPr>
                <w:rFonts w:asciiTheme="minorHAnsi" w:eastAsia="Times New Roman" w:hAnsiTheme="minorHAnsi" w:cs="Arial"/>
                <w:b/>
                <w:bCs/>
                <w:color w:val="1F497D"/>
                <w:sz w:val="20"/>
                <w:szCs w:val="20"/>
                <w:lang w:val="fr-FR" w:eastAsia="en-GB"/>
              </w:rPr>
            </w:pPr>
            <w:r w:rsidRPr="00A4333E">
              <w:rPr>
                <w:rFonts w:asciiTheme="minorHAnsi" w:eastAsia="Times New Roman" w:hAnsiTheme="minorHAnsi" w:cs="Arial"/>
                <w:b/>
                <w:bCs/>
                <w:color w:val="1F497D"/>
                <w:sz w:val="20"/>
                <w:szCs w:val="20"/>
                <w:lang w:val="fr-FR" w:eastAsia="en-GB"/>
              </w:rPr>
              <w:t> </w:t>
            </w:r>
          </w:p>
        </w:tc>
        <w:tc>
          <w:tcPr>
            <w:tcW w:w="1275" w:type="dxa"/>
            <w:tcBorders>
              <w:top w:val="nil"/>
              <w:left w:val="nil"/>
              <w:bottom w:val="single" w:sz="4" w:space="0" w:color="auto"/>
              <w:right w:val="single" w:sz="4" w:space="0" w:color="auto"/>
            </w:tcBorders>
            <w:shd w:val="clear" w:color="000000" w:fill="EBF1DE"/>
            <w:vAlign w:val="center"/>
          </w:tcPr>
          <w:p w14:paraId="6BE03FD3" w14:textId="77777777" w:rsidR="005D0A19" w:rsidRPr="00A4333E" w:rsidRDefault="005D0A19" w:rsidP="00483E42">
            <w:pPr>
              <w:ind w:left="0" w:firstLine="0"/>
              <w:jc w:val="center"/>
              <w:rPr>
                <w:rFonts w:asciiTheme="minorHAnsi" w:eastAsia="Times New Roman" w:hAnsiTheme="minorHAnsi" w:cs="Arial"/>
                <w:b/>
                <w:bCs/>
                <w:sz w:val="20"/>
                <w:szCs w:val="20"/>
                <w:lang w:val="fr-FR" w:eastAsia="en-GB"/>
              </w:rPr>
            </w:pPr>
            <w:r w:rsidRPr="00A4333E">
              <w:rPr>
                <w:rFonts w:asciiTheme="minorHAnsi" w:eastAsia="Times New Roman" w:hAnsiTheme="minorHAnsi" w:cs="Arial"/>
                <w:b/>
                <w:bCs/>
                <w:sz w:val="20"/>
                <w:szCs w:val="20"/>
                <w:lang w:val="fr-FR" w:eastAsia="en-GB"/>
              </w:rPr>
              <w:t> </w:t>
            </w:r>
          </w:p>
        </w:tc>
      </w:tr>
      <w:tr w:rsidR="005D0A19" w:rsidRPr="00A4333E" w14:paraId="3B31561B" w14:textId="77777777" w:rsidTr="00EF4718">
        <w:tc>
          <w:tcPr>
            <w:tcW w:w="3690" w:type="dxa"/>
            <w:tcBorders>
              <w:top w:val="nil"/>
              <w:left w:val="single" w:sz="4" w:space="0" w:color="auto"/>
              <w:bottom w:val="single" w:sz="4" w:space="0" w:color="auto"/>
              <w:right w:val="single" w:sz="4" w:space="0" w:color="auto"/>
            </w:tcBorders>
            <w:shd w:val="clear" w:color="auto" w:fill="auto"/>
            <w:noWrap/>
            <w:vAlign w:val="center"/>
          </w:tcPr>
          <w:p w14:paraId="0563969E" w14:textId="77777777" w:rsidR="00EF4718" w:rsidRPr="003F50B6" w:rsidRDefault="00EF4718" w:rsidP="00483E42">
            <w:pPr>
              <w:ind w:left="0" w:firstLine="0"/>
              <w:rPr>
                <w:rFonts w:asciiTheme="minorHAnsi" w:eastAsia="Times New Roman" w:hAnsiTheme="minorHAnsi" w:cstheme="minorHAnsi"/>
                <w:b/>
                <w:bCs/>
                <w:sz w:val="20"/>
                <w:szCs w:val="20"/>
                <w:lang w:val="fr-FR" w:eastAsia="en-GB"/>
              </w:rPr>
            </w:pPr>
          </w:p>
          <w:p w14:paraId="5B37EE11" w14:textId="4D0C4D9B" w:rsidR="005D0A19" w:rsidRPr="003F50B6" w:rsidRDefault="00E82941" w:rsidP="00483E42">
            <w:pPr>
              <w:ind w:left="0" w:firstLine="0"/>
              <w:rPr>
                <w:rFonts w:asciiTheme="minorHAnsi" w:eastAsia="Times New Roman" w:hAnsiTheme="minorHAnsi" w:cstheme="minorHAnsi"/>
                <w:b/>
                <w:bCs/>
                <w:color w:val="1F497D"/>
                <w:sz w:val="20"/>
                <w:szCs w:val="20"/>
                <w:lang w:val="fr-FR" w:eastAsia="en-GB"/>
              </w:rPr>
            </w:pPr>
            <w:r w:rsidRPr="003F50B6">
              <w:rPr>
                <w:rFonts w:asciiTheme="minorHAnsi" w:eastAsia="Times New Roman" w:hAnsiTheme="minorHAnsi" w:cstheme="minorHAnsi"/>
                <w:b/>
                <w:bCs/>
                <w:color w:val="1F497D"/>
                <w:sz w:val="20"/>
                <w:szCs w:val="20"/>
                <w:lang w:val="fr-FR" w:eastAsia="en-GB"/>
              </w:rPr>
              <w:t>REVENUS</w:t>
            </w:r>
          </w:p>
        </w:tc>
        <w:tc>
          <w:tcPr>
            <w:tcW w:w="1134" w:type="dxa"/>
            <w:tcBorders>
              <w:top w:val="nil"/>
              <w:left w:val="nil"/>
              <w:bottom w:val="single" w:sz="4" w:space="0" w:color="auto"/>
              <w:right w:val="single" w:sz="4" w:space="0" w:color="auto"/>
            </w:tcBorders>
          </w:tcPr>
          <w:p w14:paraId="3E5393D3" w14:textId="77777777" w:rsidR="005D0A19" w:rsidRPr="003F50B6" w:rsidRDefault="005D0A19" w:rsidP="00483E42">
            <w:pPr>
              <w:ind w:left="0" w:firstLine="0"/>
              <w:jc w:val="right"/>
              <w:rPr>
                <w:rFonts w:asciiTheme="minorHAnsi" w:eastAsia="Times New Roman" w:hAnsiTheme="minorHAnsi" w:cstheme="minorHAnsi"/>
                <w:b/>
                <w:bCs/>
                <w:color w:val="000000"/>
                <w:sz w:val="20"/>
                <w:szCs w:val="20"/>
                <w:lang w:val="fr-FR" w:eastAsia="en-GB"/>
              </w:rPr>
            </w:pP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0BB4EE87" w14:textId="14C4007E" w:rsidR="005D0A19" w:rsidRPr="003F50B6" w:rsidRDefault="005D0A19" w:rsidP="00483E42">
            <w:pPr>
              <w:ind w:left="0" w:firstLine="0"/>
              <w:jc w:val="right"/>
              <w:rPr>
                <w:rFonts w:asciiTheme="minorHAnsi" w:eastAsia="Times New Roman" w:hAnsiTheme="minorHAnsi" w:cstheme="minorHAnsi"/>
                <w:b/>
                <w:bCs/>
                <w:color w:val="000000"/>
                <w:sz w:val="20"/>
                <w:szCs w:val="20"/>
                <w:lang w:val="fr-FR" w:eastAsia="en-GB"/>
              </w:rPr>
            </w:pPr>
            <w:r w:rsidRPr="003F50B6">
              <w:rPr>
                <w:rFonts w:asciiTheme="minorHAnsi" w:eastAsia="Times New Roman" w:hAnsiTheme="minorHAnsi" w:cstheme="minorHAnsi"/>
                <w:b/>
                <w:bCs/>
                <w:color w:val="000000"/>
                <w:sz w:val="20"/>
                <w:szCs w:val="20"/>
                <w:lang w:val="fr-FR" w:eastAsia="en-GB"/>
              </w:rPr>
              <w:t> </w:t>
            </w:r>
          </w:p>
        </w:tc>
        <w:tc>
          <w:tcPr>
            <w:tcW w:w="1134" w:type="dxa"/>
            <w:tcBorders>
              <w:top w:val="nil"/>
              <w:left w:val="nil"/>
              <w:bottom w:val="single" w:sz="4" w:space="0" w:color="auto"/>
              <w:right w:val="single" w:sz="4" w:space="0" w:color="auto"/>
            </w:tcBorders>
            <w:shd w:val="clear" w:color="auto" w:fill="auto"/>
            <w:noWrap/>
            <w:vAlign w:val="center"/>
          </w:tcPr>
          <w:p w14:paraId="372F572F" w14:textId="77777777" w:rsidR="005D0A19" w:rsidRPr="003F50B6" w:rsidRDefault="005D0A19" w:rsidP="00483E42">
            <w:pPr>
              <w:ind w:left="0" w:firstLine="0"/>
              <w:jc w:val="right"/>
              <w:rPr>
                <w:rFonts w:asciiTheme="minorHAnsi" w:eastAsia="Times New Roman" w:hAnsiTheme="minorHAnsi" w:cstheme="minorHAnsi"/>
                <w:b/>
                <w:bCs/>
                <w:color w:val="000000"/>
                <w:sz w:val="20"/>
                <w:szCs w:val="20"/>
                <w:lang w:val="fr-FR" w:eastAsia="en-GB"/>
              </w:rPr>
            </w:pPr>
            <w:r w:rsidRPr="003F50B6">
              <w:rPr>
                <w:rFonts w:asciiTheme="minorHAnsi" w:eastAsia="Times New Roman" w:hAnsiTheme="minorHAnsi" w:cstheme="minorHAnsi"/>
                <w:b/>
                <w:bCs/>
                <w:color w:val="000000"/>
                <w:sz w:val="20"/>
                <w:szCs w:val="20"/>
                <w:lang w:val="fr-FR" w:eastAsia="en-GB"/>
              </w:rPr>
              <w:t> </w:t>
            </w:r>
          </w:p>
        </w:tc>
        <w:tc>
          <w:tcPr>
            <w:tcW w:w="993" w:type="dxa"/>
            <w:tcBorders>
              <w:top w:val="nil"/>
              <w:left w:val="nil"/>
              <w:bottom w:val="single" w:sz="4" w:space="0" w:color="auto"/>
              <w:right w:val="single" w:sz="4" w:space="0" w:color="auto"/>
            </w:tcBorders>
            <w:shd w:val="clear" w:color="auto" w:fill="auto"/>
            <w:noWrap/>
            <w:vAlign w:val="center"/>
          </w:tcPr>
          <w:p w14:paraId="2E306B02" w14:textId="77777777" w:rsidR="005D0A19" w:rsidRPr="003F50B6" w:rsidRDefault="005D0A19" w:rsidP="00483E42">
            <w:pPr>
              <w:ind w:left="0" w:firstLine="0"/>
              <w:jc w:val="right"/>
              <w:rPr>
                <w:rFonts w:asciiTheme="minorHAnsi" w:eastAsia="Times New Roman" w:hAnsiTheme="minorHAnsi" w:cstheme="minorHAnsi"/>
                <w:b/>
                <w:bCs/>
                <w:color w:val="000000"/>
                <w:sz w:val="20"/>
                <w:szCs w:val="20"/>
                <w:lang w:val="fr-FR" w:eastAsia="en-GB"/>
              </w:rPr>
            </w:pPr>
            <w:r w:rsidRPr="003F50B6">
              <w:rPr>
                <w:rFonts w:asciiTheme="minorHAnsi" w:eastAsia="Times New Roman" w:hAnsiTheme="minorHAnsi" w:cstheme="minorHAnsi"/>
                <w:b/>
                <w:bCs/>
                <w:color w:val="000000"/>
                <w:sz w:val="20"/>
                <w:szCs w:val="20"/>
                <w:lang w:val="fr-FR" w:eastAsia="en-GB"/>
              </w:rPr>
              <w:t> </w:t>
            </w:r>
          </w:p>
        </w:tc>
        <w:tc>
          <w:tcPr>
            <w:tcW w:w="1275" w:type="dxa"/>
            <w:tcBorders>
              <w:top w:val="nil"/>
              <w:left w:val="nil"/>
              <w:bottom w:val="single" w:sz="4" w:space="0" w:color="auto"/>
              <w:right w:val="single" w:sz="4" w:space="0" w:color="auto"/>
            </w:tcBorders>
            <w:shd w:val="clear" w:color="auto" w:fill="auto"/>
            <w:noWrap/>
            <w:vAlign w:val="center"/>
          </w:tcPr>
          <w:p w14:paraId="128609C4" w14:textId="77777777" w:rsidR="005D0A19" w:rsidRPr="003F50B6" w:rsidRDefault="005D0A19" w:rsidP="00483E42">
            <w:pPr>
              <w:ind w:left="0" w:firstLine="0"/>
              <w:jc w:val="right"/>
              <w:rPr>
                <w:rFonts w:asciiTheme="minorHAnsi" w:eastAsia="Times New Roman" w:hAnsiTheme="minorHAnsi" w:cstheme="minorHAnsi"/>
                <w:sz w:val="20"/>
                <w:szCs w:val="20"/>
                <w:lang w:val="fr-FR" w:eastAsia="en-GB"/>
              </w:rPr>
            </w:pPr>
            <w:r w:rsidRPr="003F50B6">
              <w:rPr>
                <w:rFonts w:asciiTheme="minorHAnsi" w:eastAsia="Times New Roman" w:hAnsiTheme="minorHAnsi" w:cstheme="minorHAnsi"/>
                <w:sz w:val="20"/>
                <w:szCs w:val="20"/>
                <w:lang w:val="fr-FR" w:eastAsia="en-GB"/>
              </w:rPr>
              <w:t> </w:t>
            </w:r>
          </w:p>
        </w:tc>
      </w:tr>
      <w:tr w:rsidR="005D0A19" w:rsidRPr="00A4333E" w14:paraId="2B06AD4B" w14:textId="77777777" w:rsidTr="00EF4718">
        <w:tc>
          <w:tcPr>
            <w:tcW w:w="3690" w:type="dxa"/>
            <w:tcBorders>
              <w:top w:val="nil"/>
              <w:left w:val="single" w:sz="4" w:space="0" w:color="auto"/>
              <w:bottom w:val="single" w:sz="4" w:space="0" w:color="auto"/>
              <w:right w:val="single" w:sz="4" w:space="0" w:color="auto"/>
            </w:tcBorders>
            <w:shd w:val="clear" w:color="auto" w:fill="auto"/>
            <w:noWrap/>
            <w:vAlign w:val="center"/>
          </w:tcPr>
          <w:p w14:paraId="6EC12299" w14:textId="014AF3AA" w:rsidR="005D0A19" w:rsidRPr="003F50B6" w:rsidRDefault="005D0A19" w:rsidP="00483E42">
            <w:pPr>
              <w:ind w:left="0" w:firstLine="0"/>
              <w:rPr>
                <w:rFonts w:asciiTheme="minorHAnsi" w:eastAsia="Times New Roman" w:hAnsiTheme="minorHAnsi" w:cstheme="minorHAnsi"/>
                <w:color w:val="000000"/>
                <w:sz w:val="20"/>
                <w:szCs w:val="20"/>
                <w:lang w:val="fr-FR" w:eastAsia="en-GB"/>
              </w:rPr>
            </w:pPr>
            <w:r w:rsidRPr="003F50B6">
              <w:rPr>
                <w:rFonts w:asciiTheme="minorHAnsi" w:eastAsia="Times New Roman" w:hAnsiTheme="minorHAnsi" w:cstheme="minorHAnsi"/>
                <w:color w:val="000000"/>
                <w:sz w:val="20"/>
                <w:szCs w:val="20"/>
                <w:lang w:val="fr-FR" w:eastAsia="en-GB"/>
              </w:rPr>
              <w:t>Contributions</w:t>
            </w:r>
            <w:r w:rsidR="00E82941" w:rsidRPr="003F50B6">
              <w:rPr>
                <w:rFonts w:asciiTheme="minorHAnsi" w:eastAsia="Times New Roman" w:hAnsiTheme="minorHAnsi" w:cstheme="minorHAnsi"/>
                <w:color w:val="000000"/>
                <w:sz w:val="20"/>
                <w:szCs w:val="20"/>
                <w:lang w:val="fr-FR" w:eastAsia="en-GB"/>
              </w:rPr>
              <w:t xml:space="preserve"> des Parties contractantes</w:t>
            </w:r>
          </w:p>
        </w:tc>
        <w:tc>
          <w:tcPr>
            <w:tcW w:w="1134" w:type="dxa"/>
            <w:tcBorders>
              <w:top w:val="nil"/>
              <w:left w:val="nil"/>
              <w:bottom w:val="single" w:sz="4" w:space="0" w:color="auto"/>
              <w:right w:val="single" w:sz="4" w:space="0" w:color="auto"/>
            </w:tcBorders>
          </w:tcPr>
          <w:p w14:paraId="662B2033" w14:textId="21DE49D1" w:rsidR="005D0A19" w:rsidRPr="003F50B6" w:rsidRDefault="005D0A19" w:rsidP="00483E42">
            <w:pPr>
              <w:ind w:left="0" w:firstLine="0"/>
              <w:jc w:val="right"/>
              <w:rPr>
                <w:rFonts w:asciiTheme="minorHAnsi" w:eastAsia="Times New Roman" w:hAnsiTheme="minorHAnsi" w:cstheme="minorHAnsi"/>
                <w:sz w:val="20"/>
                <w:szCs w:val="20"/>
                <w:lang w:val="fr-FR" w:eastAsia="en-GB"/>
              </w:rPr>
            </w:pPr>
            <w:r w:rsidRPr="003F50B6">
              <w:rPr>
                <w:rFonts w:asciiTheme="minorHAnsi" w:eastAsia="Times New Roman" w:hAnsiTheme="minorHAnsi" w:cstheme="minorHAnsi"/>
                <w:sz w:val="20"/>
                <w:szCs w:val="20"/>
                <w:lang w:val="fr-FR" w:eastAsia="en-GB"/>
              </w:rPr>
              <w:t>3,779</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02592ACB" w14:textId="275AEC62" w:rsidR="005D0A19" w:rsidRPr="003F50B6" w:rsidRDefault="005D0A19" w:rsidP="00483E42">
            <w:pPr>
              <w:ind w:left="0" w:firstLine="0"/>
              <w:jc w:val="right"/>
              <w:rPr>
                <w:rFonts w:asciiTheme="minorHAnsi" w:eastAsia="Times New Roman" w:hAnsiTheme="minorHAnsi" w:cstheme="minorHAnsi"/>
                <w:sz w:val="20"/>
                <w:szCs w:val="20"/>
                <w:lang w:val="fr-FR" w:eastAsia="en-GB"/>
              </w:rPr>
            </w:pPr>
            <w:r w:rsidRPr="003F50B6">
              <w:rPr>
                <w:rFonts w:asciiTheme="minorHAnsi" w:eastAsia="Times New Roman" w:hAnsiTheme="minorHAnsi" w:cstheme="minorHAnsi"/>
                <w:sz w:val="20"/>
                <w:szCs w:val="20"/>
                <w:lang w:val="fr-FR" w:eastAsia="en-GB"/>
              </w:rPr>
              <w:t>3,778</w:t>
            </w:r>
          </w:p>
        </w:tc>
        <w:tc>
          <w:tcPr>
            <w:tcW w:w="1134" w:type="dxa"/>
            <w:tcBorders>
              <w:top w:val="nil"/>
              <w:left w:val="nil"/>
              <w:bottom w:val="single" w:sz="4" w:space="0" w:color="auto"/>
              <w:right w:val="single" w:sz="4" w:space="0" w:color="auto"/>
            </w:tcBorders>
            <w:shd w:val="clear" w:color="auto" w:fill="auto"/>
            <w:noWrap/>
            <w:vAlign w:val="center"/>
          </w:tcPr>
          <w:p w14:paraId="31CB4DBE" w14:textId="77777777" w:rsidR="005D0A19" w:rsidRPr="003F50B6" w:rsidRDefault="005D0A19" w:rsidP="00483E42">
            <w:pPr>
              <w:ind w:left="0" w:firstLine="0"/>
              <w:jc w:val="right"/>
              <w:rPr>
                <w:rFonts w:asciiTheme="minorHAnsi" w:eastAsia="Times New Roman" w:hAnsiTheme="minorHAnsi" w:cstheme="minorHAnsi"/>
                <w:sz w:val="20"/>
                <w:szCs w:val="20"/>
                <w:lang w:val="fr-FR" w:eastAsia="en-GB"/>
              </w:rPr>
            </w:pPr>
            <w:r w:rsidRPr="003F50B6">
              <w:rPr>
                <w:rFonts w:asciiTheme="minorHAnsi" w:eastAsia="Times New Roman" w:hAnsiTheme="minorHAnsi" w:cstheme="minorHAnsi"/>
                <w:sz w:val="20"/>
                <w:szCs w:val="20"/>
                <w:lang w:val="fr-FR" w:eastAsia="en-GB"/>
              </w:rPr>
              <w:t>3,778</w:t>
            </w:r>
          </w:p>
        </w:tc>
        <w:tc>
          <w:tcPr>
            <w:tcW w:w="993" w:type="dxa"/>
            <w:tcBorders>
              <w:top w:val="nil"/>
              <w:left w:val="nil"/>
              <w:bottom w:val="single" w:sz="4" w:space="0" w:color="auto"/>
              <w:right w:val="single" w:sz="4" w:space="0" w:color="auto"/>
            </w:tcBorders>
            <w:shd w:val="clear" w:color="auto" w:fill="auto"/>
            <w:noWrap/>
            <w:vAlign w:val="center"/>
          </w:tcPr>
          <w:p w14:paraId="5F723B01" w14:textId="77777777" w:rsidR="005D0A19" w:rsidRPr="003F50B6" w:rsidRDefault="005D0A19" w:rsidP="00483E42">
            <w:pPr>
              <w:ind w:left="0" w:firstLine="0"/>
              <w:jc w:val="right"/>
              <w:rPr>
                <w:rFonts w:asciiTheme="minorHAnsi" w:eastAsia="Times New Roman" w:hAnsiTheme="minorHAnsi" w:cstheme="minorHAnsi"/>
                <w:color w:val="000000"/>
                <w:sz w:val="20"/>
                <w:szCs w:val="20"/>
                <w:lang w:val="fr-FR" w:eastAsia="en-GB"/>
              </w:rPr>
            </w:pPr>
            <w:r w:rsidRPr="003F50B6">
              <w:rPr>
                <w:rFonts w:asciiTheme="minorHAnsi" w:eastAsia="Times New Roman" w:hAnsiTheme="minorHAnsi" w:cstheme="minorHAnsi"/>
                <w:color w:val="000000"/>
                <w:sz w:val="20"/>
                <w:szCs w:val="20"/>
                <w:lang w:val="fr-FR" w:eastAsia="en-GB"/>
              </w:rPr>
              <w:t>3,778</w:t>
            </w:r>
          </w:p>
        </w:tc>
        <w:tc>
          <w:tcPr>
            <w:tcW w:w="1275" w:type="dxa"/>
            <w:tcBorders>
              <w:top w:val="nil"/>
              <w:left w:val="nil"/>
              <w:bottom w:val="single" w:sz="4" w:space="0" w:color="auto"/>
              <w:right w:val="single" w:sz="4" w:space="0" w:color="auto"/>
            </w:tcBorders>
            <w:shd w:val="clear" w:color="auto" w:fill="auto"/>
            <w:noWrap/>
            <w:vAlign w:val="center"/>
          </w:tcPr>
          <w:p w14:paraId="3C4E830F" w14:textId="77777777" w:rsidR="005D0A19" w:rsidRPr="003F50B6" w:rsidRDefault="005D0A19" w:rsidP="00483E42">
            <w:pPr>
              <w:ind w:left="0" w:firstLine="0"/>
              <w:jc w:val="right"/>
              <w:rPr>
                <w:rFonts w:asciiTheme="minorHAnsi" w:eastAsia="Times New Roman" w:hAnsiTheme="minorHAnsi" w:cstheme="minorHAnsi"/>
                <w:sz w:val="20"/>
                <w:szCs w:val="20"/>
                <w:lang w:val="fr-FR" w:eastAsia="en-GB"/>
              </w:rPr>
            </w:pPr>
            <w:r w:rsidRPr="003F50B6">
              <w:rPr>
                <w:rFonts w:asciiTheme="minorHAnsi" w:eastAsia="Times New Roman" w:hAnsiTheme="minorHAnsi" w:cstheme="minorHAnsi"/>
                <w:sz w:val="20"/>
                <w:szCs w:val="20"/>
                <w:lang w:val="fr-FR" w:eastAsia="en-GB"/>
              </w:rPr>
              <w:t>11,334</w:t>
            </w:r>
          </w:p>
        </w:tc>
      </w:tr>
      <w:tr w:rsidR="005D0A19" w:rsidRPr="00A4333E" w14:paraId="21EA594C" w14:textId="77777777" w:rsidTr="00EF4718">
        <w:tc>
          <w:tcPr>
            <w:tcW w:w="3690" w:type="dxa"/>
            <w:tcBorders>
              <w:top w:val="nil"/>
              <w:left w:val="single" w:sz="4" w:space="0" w:color="auto"/>
              <w:bottom w:val="single" w:sz="4" w:space="0" w:color="auto"/>
              <w:right w:val="single" w:sz="4" w:space="0" w:color="auto"/>
            </w:tcBorders>
            <w:shd w:val="clear" w:color="auto" w:fill="auto"/>
            <w:noWrap/>
            <w:vAlign w:val="center"/>
          </w:tcPr>
          <w:p w14:paraId="3A32DDBA" w14:textId="47A76973" w:rsidR="005D0A19" w:rsidRPr="003F50B6" w:rsidRDefault="005D0A19" w:rsidP="00483E42">
            <w:pPr>
              <w:ind w:left="0" w:firstLine="0"/>
              <w:rPr>
                <w:rFonts w:asciiTheme="minorHAnsi" w:eastAsia="Times New Roman" w:hAnsiTheme="minorHAnsi" w:cstheme="minorHAnsi"/>
                <w:color w:val="000000"/>
                <w:sz w:val="20"/>
                <w:szCs w:val="20"/>
                <w:lang w:val="fr-FR" w:eastAsia="en-GB"/>
              </w:rPr>
            </w:pPr>
            <w:r w:rsidRPr="003F50B6">
              <w:rPr>
                <w:rFonts w:asciiTheme="minorHAnsi" w:eastAsia="Times New Roman" w:hAnsiTheme="minorHAnsi" w:cstheme="minorHAnsi"/>
                <w:color w:val="000000"/>
                <w:sz w:val="20"/>
                <w:szCs w:val="20"/>
                <w:lang w:val="fr-FR" w:eastAsia="en-GB"/>
              </w:rPr>
              <w:t>Contributions</w:t>
            </w:r>
            <w:r w:rsidR="00E82941" w:rsidRPr="003F50B6">
              <w:rPr>
                <w:rFonts w:asciiTheme="minorHAnsi" w:eastAsia="Times New Roman" w:hAnsiTheme="minorHAnsi" w:cstheme="minorHAnsi"/>
                <w:color w:val="000000"/>
                <w:sz w:val="20"/>
                <w:szCs w:val="20"/>
                <w:lang w:val="fr-FR" w:eastAsia="en-GB"/>
              </w:rPr>
              <w:t xml:space="preserve"> volontaires</w:t>
            </w:r>
          </w:p>
        </w:tc>
        <w:tc>
          <w:tcPr>
            <w:tcW w:w="1134" w:type="dxa"/>
            <w:tcBorders>
              <w:top w:val="nil"/>
              <w:left w:val="nil"/>
              <w:bottom w:val="single" w:sz="4" w:space="0" w:color="auto"/>
              <w:right w:val="single" w:sz="4" w:space="0" w:color="auto"/>
            </w:tcBorders>
          </w:tcPr>
          <w:p w14:paraId="6DADEBEF" w14:textId="3555D677" w:rsidR="005D0A19" w:rsidRPr="003F50B6" w:rsidRDefault="005D0A19" w:rsidP="00483E42">
            <w:pPr>
              <w:ind w:left="0" w:firstLine="0"/>
              <w:jc w:val="right"/>
              <w:rPr>
                <w:rFonts w:asciiTheme="minorHAnsi" w:eastAsia="Times New Roman" w:hAnsiTheme="minorHAnsi" w:cstheme="minorHAnsi"/>
                <w:sz w:val="20"/>
                <w:szCs w:val="20"/>
                <w:lang w:val="fr-FR" w:eastAsia="en-GB"/>
              </w:rPr>
            </w:pPr>
            <w:r w:rsidRPr="003F50B6">
              <w:rPr>
                <w:rFonts w:asciiTheme="minorHAnsi" w:eastAsia="Times New Roman" w:hAnsiTheme="minorHAnsi" w:cstheme="minorHAnsi"/>
                <w:sz w:val="20"/>
                <w:szCs w:val="20"/>
                <w:lang w:val="fr-FR" w:eastAsia="en-GB"/>
              </w:rPr>
              <w:t>1,065</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4C710D59" w14:textId="1F7F3200" w:rsidR="005D0A19" w:rsidRPr="003F50B6" w:rsidRDefault="005D0A19" w:rsidP="00483E42">
            <w:pPr>
              <w:ind w:left="0" w:firstLine="0"/>
              <w:jc w:val="right"/>
              <w:rPr>
                <w:rFonts w:asciiTheme="minorHAnsi" w:eastAsia="Times New Roman" w:hAnsiTheme="minorHAnsi" w:cstheme="minorHAnsi"/>
                <w:sz w:val="20"/>
                <w:szCs w:val="20"/>
                <w:lang w:val="fr-FR" w:eastAsia="en-GB"/>
              </w:rPr>
            </w:pPr>
            <w:r w:rsidRPr="003F50B6">
              <w:rPr>
                <w:rFonts w:asciiTheme="minorHAnsi" w:eastAsia="Times New Roman" w:hAnsiTheme="minorHAnsi" w:cstheme="minorHAnsi"/>
                <w:sz w:val="20"/>
                <w:szCs w:val="20"/>
                <w:lang w:val="fr-FR" w:eastAsia="en-GB"/>
              </w:rPr>
              <w:t>1,066</w:t>
            </w:r>
          </w:p>
        </w:tc>
        <w:tc>
          <w:tcPr>
            <w:tcW w:w="1134" w:type="dxa"/>
            <w:tcBorders>
              <w:top w:val="nil"/>
              <w:left w:val="nil"/>
              <w:bottom w:val="single" w:sz="4" w:space="0" w:color="auto"/>
              <w:right w:val="single" w:sz="4" w:space="0" w:color="auto"/>
            </w:tcBorders>
            <w:shd w:val="clear" w:color="auto" w:fill="auto"/>
            <w:noWrap/>
            <w:vAlign w:val="center"/>
          </w:tcPr>
          <w:p w14:paraId="2819F4F0" w14:textId="77777777" w:rsidR="005D0A19" w:rsidRPr="003F50B6" w:rsidRDefault="005D0A19" w:rsidP="00483E42">
            <w:pPr>
              <w:ind w:left="0" w:firstLine="0"/>
              <w:jc w:val="right"/>
              <w:rPr>
                <w:rFonts w:asciiTheme="minorHAnsi" w:eastAsia="Times New Roman" w:hAnsiTheme="minorHAnsi" w:cstheme="minorHAnsi"/>
                <w:sz w:val="20"/>
                <w:szCs w:val="20"/>
                <w:lang w:val="fr-FR" w:eastAsia="en-GB"/>
              </w:rPr>
            </w:pPr>
            <w:r w:rsidRPr="003F50B6">
              <w:rPr>
                <w:rFonts w:asciiTheme="minorHAnsi" w:eastAsia="Times New Roman" w:hAnsiTheme="minorHAnsi" w:cstheme="minorHAnsi"/>
                <w:sz w:val="20"/>
                <w:szCs w:val="20"/>
                <w:lang w:val="fr-FR" w:eastAsia="en-GB"/>
              </w:rPr>
              <w:t>1,066</w:t>
            </w:r>
          </w:p>
        </w:tc>
        <w:tc>
          <w:tcPr>
            <w:tcW w:w="993" w:type="dxa"/>
            <w:tcBorders>
              <w:top w:val="nil"/>
              <w:left w:val="nil"/>
              <w:bottom w:val="single" w:sz="4" w:space="0" w:color="auto"/>
              <w:right w:val="single" w:sz="4" w:space="0" w:color="auto"/>
            </w:tcBorders>
            <w:shd w:val="clear" w:color="auto" w:fill="auto"/>
            <w:noWrap/>
            <w:vAlign w:val="center"/>
          </w:tcPr>
          <w:p w14:paraId="06D65A5B" w14:textId="77777777" w:rsidR="005D0A19" w:rsidRPr="003F50B6" w:rsidRDefault="005D0A19" w:rsidP="00483E42">
            <w:pPr>
              <w:ind w:left="0" w:firstLine="0"/>
              <w:jc w:val="right"/>
              <w:rPr>
                <w:rFonts w:asciiTheme="minorHAnsi" w:eastAsia="Times New Roman" w:hAnsiTheme="minorHAnsi" w:cstheme="minorHAnsi"/>
                <w:color w:val="000000"/>
                <w:sz w:val="20"/>
                <w:szCs w:val="20"/>
                <w:lang w:val="fr-FR" w:eastAsia="en-GB"/>
              </w:rPr>
            </w:pPr>
            <w:r w:rsidRPr="003F50B6">
              <w:rPr>
                <w:rFonts w:asciiTheme="minorHAnsi" w:eastAsia="Times New Roman" w:hAnsiTheme="minorHAnsi" w:cstheme="minorHAnsi"/>
                <w:color w:val="000000"/>
                <w:sz w:val="20"/>
                <w:szCs w:val="20"/>
                <w:lang w:val="fr-FR" w:eastAsia="en-GB"/>
              </w:rPr>
              <w:t>1,066</w:t>
            </w:r>
          </w:p>
        </w:tc>
        <w:tc>
          <w:tcPr>
            <w:tcW w:w="1275" w:type="dxa"/>
            <w:tcBorders>
              <w:top w:val="nil"/>
              <w:left w:val="nil"/>
              <w:bottom w:val="single" w:sz="4" w:space="0" w:color="auto"/>
              <w:right w:val="single" w:sz="4" w:space="0" w:color="auto"/>
            </w:tcBorders>
            <w:shd w:val="clear" w:color="auto" w:fill="auto"/>
            <w:noWrap/>
            <w:vAlign w:val="center"/>
          </w:tcPr>
          <w:p w14:paraId="68550D41" w14:textId="77777777" w:rsidR="005D0A19" w:rsidRPr="003F50B6" w:rsidRDefault="005D0A19" w:rsidP="00483E42">
            <w:pPr>
              <w:ind w:left="0" w:firstLine="0"/>
              <w:jc w:val="right"/>
              <w:rPr>
                <w:rFonts w:asciiTheme="minorHAnsi" w:eastAsia="Times New Roman" w:hAnsiTheme="minorHAnsi" w:cstheme="minorHAnsi"/>
                <w:sz w:val="20"/>
                <w:szCs w:val="20"/>
                <w:lang w:val="fr-FR" w:eastAsia="en-GB"/>
              </w:rPr>
            </w:pPr>
            <w:r w:rsidRPr="003F50B6">
              <w:rPr>
                <w:rFonts w:asciiTheme="minorHAnsi" w:eastAsia="Times New Roman" w:hAnsiTheme="minorHAnsi" w:cstheme="minorHAnsi"/>
                <w:sz w:val="20"/>
                <w:szCs w:val="20"/>
                <w:lang w:val="fr-FR" w:eastAsia="en-GB"/>
              </w:rPr>
              <w:t>3,198</w:t>
            </w:r>
          </w:p>
        </w:tc>
      </w:tr>
      <w:tr w:rsidR="005D0A19" w:rsidRPr="00A4333E" w14:paraId="54E7B5CC" w14:textId="77777777" w:rsidTr="00EF4718">
        <w:tc>
          <w:tcPr>
            <w:tcW w:w="3690" w:type="dxa"/>
            <w:tcBorders>
              <w:top w:val="nil"/>
              <w:left w:val="single" w:sz="4" w:space="0" w:color="auto"/>
              <w:bottom w:val="single" w:sz="4" w:space="0" w:color="auto"/>
              <w:right w:val="single" w:sz="4" w:space="0" w:color="auto"/>
            </w:tcBorders>
            <w:shd w:val="clear" w:color="auto" w:fill="auto"/>
            <w:noWrap/>
            <w:vAlign w:val="center"/>
          </w:tcPr>
          <w:p w14:paraId="3670748E" w14:textId="1D1D3080" w:rsidR="005D0A19" w:rsidRPr="003F50B6" w:rsidRDefault="005D0A19" w:rsidP="00483E42">
            <w:pPr>
              <w:ind w:left="0" w:firstLine="0"/>
              <w:rPr>
                <w:rFonts w:asciiTheme="minorHAnsi" w:eastAsia="Times New Roman" w:hAnsiTheme="minorHAnsi" w:cstheme="minorHAnsi"/>
                <w:color w:val="000000"/>
                <w:sz w:val="20"/>
                <w:szCs w:val="20"/>
                <w:lang w:val="fr-FR" w:eastAsia="en-GB"/>
              </w:rPr>
            </w:pPr>
            <w:r w:rsidRPr="003F50B6">
              <w:rPr>
                <w:rFonts w:asciiTheme="minorHAnsi" w:eastAsia="Times New Roman" w:hAnsiTheme="minorHAnsi" w:cstheme="minorHAnsi"/>
                <w:color w:val="000000"/>
                <w:sz w:val="20"/>
                <w:szCs w:val="20"/>
                <w:lang w:val="fr-FR" w:eastAsia="en-GB"/>
              </w:rPr>
              <w:t>I</w:t>
            </w:r>
            <w:r w:rsidR="00E82941" w:rsidRPr="003F50B6">
              <w:rPr>
                <w:rFonts w:asciiTheme="minorHAnsi" w:eastAsia="Times New Roman" w:hAnsiTheme="minorHAnsi" w:cstheme="minorHAnsi"/>
                <w:color w:val="000000"/>
                <w:sz w:val="20"/>
                <w:szCs w:val="20"/>
                <w:lang w:val="fr-FR" w:eastAsia="en-GB"/>
              </w:rPr>
              <w:t>mpôts</w:t>
            </w:r>
          </w:p>
        </w:tc>
        <w:tc>
          <w:tcPr>
            <w:tcW w:w="1134" w:type="dxa"/>
            <w:tcBorders>
              <w:top w:val="nil"/>
              <w:left w:val="nil"/>
              <w:bottom w:val="single" w:sz="4" w:space="0" w:color="auto"/>
              <w:right w:val="single" w:sz="4" w:space="0" w:color="auto"/>
            </w:tcBorders>
          </w:tcPr>
          <w:p w14:paraId="12F658A4" w14:textId="5423F685" w:rsidR="005D0A19" w:rsidRPr="003F50B6" w:rsidRDefault="005D0A19" w:rsidP="00483E42">
            <w:pPr>
              <w:ind w:left="0" w:firstLine="0"/>
              <w:jc w:val="right"/>
              <w:rPr>
                <w:rFonts w:asciiTheme="minorHAnsi" w:eastAsia="Times New Roman" w:hAnsiTheme="minorHAnsi" w:cstheme="minorHAnsi"/>
                <w:sz w:val="20"/>
                <w:szCs w:val="20"/>
                <w:lang w:val="fr-FR" w:eastAsia="en-GB"/>
              </w:rPr>
            </w:pPr>
            <w:r w:rsidRPr="003F50B6">
              <w:rPr>
                <w:rFonts w:asciiTheme="minorHAnsi" w:eastAsia="Times New Roman" w:hAnsiTheme="minorHAnsi" w:cstheme="minorHAnsi"/>
                <w:sz w:val="20"/>
                <w:szCs w:val="20"/>
                <w:lang w:val="fr-FR" w:eastAsia="en-GB"/>
              </w:rPr>
              <w:t>225</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13342B0E" w14:textId="44412A08" w:rsidR="005D0A19" w:rsidRPr="003F50B6" w:rsidRDefault="005D0A19" w:rsidP="00483E42">
            <w:pPr>
              <w:ind w:left="0" w:firstLine="0"/>
              <w:jc w:val="right"/>
              <w:rPr>
                <w:rFonts w:asciiTheme="minorHAnsi" w:eastAsia="Times New Roman" w:hAnsiTheme="minorHAnsi" w:cstheme="minorHAnsi"/>
                <w:sz w:val="20"/>
                <w:szCs w:val="20"/>
                <w:lang w:val="fr-FR" w:eastAsia="en-GB"/>
              </w:rPr>
            </w:pPr>
            <w:r w:rsidRPr="003F50B6">
              <w:rPr>
                <w:rFonts w:asciiTheme="minorHAnsi" w:eastAsia="Times New Roman" w:hAnsiTheme="minorHAnsi" w:cstheme="minorHAnsi"/>
                <w:sz w:val="20"/>
                <w:szCs w:val="20"/>
                <w:lang w:val="fr-FR" w:eastAsia="en-GB"/>
              </w:rPr>
              <w:t>225</w:t>
            </w:r>
          </w:p>
        </w:tc>
        <w:tc>
          <w:tcPr>
            <w:tcW w:w="1134" w:type="dxa"/>
            <w:tcBorders>
              <w:top w:val="nil"/>
              <w:left w:val="nil"/>
              <w:bottom w:val="single" w:sz="4" w:space="0" w:color="auto"/>
              <w:right w:val="single" w:sz="4" w:space="0" w:color="auto"/>
            </w:tcBorders>
            <w:shd w:val="clear" w:color="auto" w:fill="auto"/>
            <w:noWrap/>
            <w:vAlign w:val="center"/>
          </w:tcPr>
          <w:p w14:paraId="536465CB" w14:textId="77777777" w:rsidR="005D0A19" w:rsidRPr="003F50B6" w:rsidRDefault="005D0A19" w:rsidP="00483E42">
            <w:pPr>
              <w:ind w:left="0" w:firstLine="0"/>
              <w:jc w:val="right"/>
              <w:rPr>
                <w:rFonts w:asciiTheme="minorHAnsi" w:eastAsia="Times New Roman" w:hAnsiTheme="minorHAnsi" w:cstheme="minorHAnsi"/>
                <w:sz w:val="20"/>
                <w:szCs w:val="20"/>
                <w:lang w:val="fr-FR" w:eastAsia="en-GB"/>
              </w:rPr>
            </w:pPr>
            <w:r w:rsidRPr="003F50B6">
              <w:rPr>
                <w:rFonts w:asciiTheme="minorHAnsi" w:eastAsia="Times New Roman" w:hAnsiTheme="minorHAnsi" w:cstheme="minorHAnsi"/>
                <w:sz w:val="20"/>
                <w:szCs w:val="20"/>
                <w:lang w:val="fr-FR" w:eastAsia="en-GB"/>
              </w:rPr>
              <w:t>225</w:t>
            </w:r>
          </w:p>
        </w:tc>
        <w:tc>
          <w:tcPr>
            <w:tcW w:w="993" w:type="dxa"/>
            <w:tcBorders>
              <w:top w:val="nil"/>
              <w:left w:val="nil"/>
              <w:bottom w:val="single" w:sz="4" w:space="0" w:color="auto"/>
              <w:right w:val="single" w:sz="4" w:space="0" w:color="auto"/>
            </w:tcBorders>
            <w:shd w:val="clear" w:color="auto" w:fill="auto"/>
            <w:noWrap/>
            <w:vAlign w:val="center"/>
          </w:tcPr>
          <w:p w14:paraId="4DA1EEF1" w14:textId="77777777" w:rsidR="005D0A19" w:rsidRPr="003F50B6" w:rsidRDefault="005D0A19" w:rsidP="00483E42">
            <w:pPr>
              <w:ind w:left="0" w:firstLine="0"/>
              <w:jc w:val="right"/>
              <w:rPr>
                <w:rFonts w:asciiTheme="minorHAnsi" w:eastAsia="Times New Roman" w:hAnsiTheme="minorHAnsi" w:cstheme="minorHAnsi"/>
                <w:color w:val="000000"/>
                <w:sz w:val="20"/>
                <w:szCs w:val="20"/>
                <w:lang w:val="fr-FR" w:eastAsia="en-GB"/>
              </w:rPr>
            </w:pPr>
            <w:r w:rsidRPr="003F50B6">
              <w:rPr>
                <w:rFonts w:asciiTheme="minorHAnsi" w:eastAsia="Times New Roman" w:hAnsiTheme="minorHAnsi" w:cstheme="minorHAnsi"/>
                <w:color w:val="000000"/>
                <w:sz w:val="20"/>
                <w:szCs w:val="20"/>
                <w:lang w:val="fr-FR" w:eastAsia="en-GB"/>
              </w:rPr>
              <w:t>225</w:t>
            </w:r>
          </w:p>
        </w:tc>
        <w:tc>
          <w:tcPr>
            <w:tcW w:w="1275" w:type="dxa"/>
            <w:tcBorders>
              <w:top w:val="nil"/>
              <w:left w:val="nil"/>
              <w:bottom w:val="single" w:sz="4" w:space="0" w:color="auto"/>
              <w:right w:val="single" w:sz="4" w:space="0" w:color="auto"/>
            </w:tcBorders>
            <w:shd w:val="clear" w:color="auto" w:fill="auto"/>
            <w:noWrap/>
            <w:vAlign w:val="center"/>
          </w:tcPr>
          <w:p w14:paraId="5858775B" w14:textId="77777777" w:rsidR="005D0A19" w:rsidRPr="003F50B6" w:rsidRDefault="005D0A19" w:rsidP="00483E42">
            <w:pPr>
              <w:ind w:left="0" w:firstLine="0"/>
              <w:jc w:val="right"/>
              <w:rPr>
                <w:rFonts w:asciiTheme="minorHAnsi" w:eastAsia="Times New Roman" w:hAnsiTheme="minorHAnsi" w:cstheme="minorHAnsi"/>
                <w:sz w:val="20"/>
                <w:szCs w:val="20"/>
                <w:lang w:val="fr-FR" w:eastAsia="en-GB"/>
              </w:rPr>
            </w:pPr>
            <w:r w:rsidRPr="003F50B6">
              <w:rPr>
                <w:rFonts w:asciiTheme="minorHAnsi" w:eastAsia="Times New Roman" w:hAnsiTheme="minorHAnsi" w:cstheme="minorHAnsi"/>
                <w:sz w:val="20"/>
                <w:szCs w:val="20"/>
                <w:lang w:val="fr-FR" w:eastAsia="en-GB"/>
              </w:rPr>
              <w:t>675</w:t>
            </w:r>
          </w:p>
        </w:tc>
      </w:tr>
      <w:tr w:rsidR="005D0A19" w:rsidRPr="00A4333E" w14:paraId="1817D989" w14:textId="77777777" w:rsidTr="00EF4718">
        <w:tc>
          <w:tcPr>
            <w:tcW w:w="3690" w:type="dxa"/>
            <w:tcBorders>
              <w:top w:val="nil"/>
              <w:left w:val="single" w:sz="4" w:space="0" w:color="auto"/>
              <w:bottom w:val="nil"/>
              <w:right w:val="single" w:sz="4" w:space="0" w:color="auto"/>
            </w:tcBorders>
            <w:shd w:val="clear" w:color="auto" w:fill="auto"/>
            <w:noWrap/>
            <w:vAlign w:val="center"/>
          </w:tcPr>
          <w:p w14:paraId="583647D9" w14:textId="5A6A882C" w:rsidR="005D0A19" w:rsidRPr="003F50B6" w:rsidRDefault="00E82941" w:rsidP="00483E42">
            <w:pPr>
              <w:ind w:left="0" w:firstLine="0"/>
              <w:rPr>
                <w:rFonts w:asciiTheme="minorHAnsi" w:eastAsia="Times New Roman" w:hAnsiTheme="minorHAnsi" w:cstheme="minorHAnsi"/>
                <w:color w:val="000000"/>
                <w:sz w:val="20"/>
                <w:szCs w:val="20"/>
                <w:lang w:val="fr-FR" w:eastAsia="en-GB"/>
              </w:rPr>
            </w:pPr>
            <w:r w:rsidRPr="003F50B6">
              <w:rPr>
                <w:rFonts w:asciiTheme="minorHAnsi" w:eastAsia="Times New Roman" w:hAnsiTheme="minorHAnsi" w:cstheme="minorHAnsi"/>
                <w:color w:val="000000"/>
                <w:sz w:val="20"/>
                <w:szCs w:val="20"/>
                <w:lang w:val="fr-FR" w:eastAsia="en-GB"/>
              </w:rPr>
              <w:t>Revenus d’intérêts</w:t>
            </w:r>
          </w:p>
        </w:tc>
        <w:tc>
          <w:tcPr>
            <w:tcW w:w="1134" w:type="dxa"/>
            <w:tcBorders>
              <w:top w:val="nil"/>
              <w:left w:val="nil"/>
              <w:bottom w:val="single" w:sz="4" w:space="0" w:color="auto"/>
              <w:right w:val="single" w:sz="4" w:space="0" w:color="auto"/>
            </w:tcBorders>
          </w:tcPr>
          <w:p w14:paraId="692AFD67" w14:textId="7D42FEA5" w:rsidR="005D0A19" w:rsidRPr="003F50B6" w:rsidRDefault="005D0A19" w:rsidP="00483E42">
            <w:pPr>
              <w:ind w:left="0" w:firstLine="0"/>
              <w:jc w:val="right"/>
              <w:rPr>
                <w:rFonts w:asciiTheme="minorHAnsi" w:eastAsia="Times New Roman" w:hAnsiTheme="minorHAnsi" w:cstheme="minorHAnsi"/>
                <w:sz w:val="20"/>
                <w:szCs w:val="20"/>
                <w:lang w:val="fr-FR" w:eastAsia="en-GB"/>
              </w:rPr>
            </w:pPr>
            <w:r w:rsidRPr="003F50B6">
              <w:rPr>
                <w:rFonts w:asciiTheme="minorHAnsi" w:eastAsia="Times New Roman" w:hAnsiTheme="minorHAnsi" w:cstheme="minorHAnsi"/>
                <w:sz w:val="20"/>
                <w:szCs w:val="20"/>
                <w:lang w:val="fr-FR" w:eastAsia="en-GB"/>
              </w:rPr>
              <w:t>12</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356F2986" w14:textId="0FB335FE" w:rsidR="005D0A19" w:rsidRPr="003F50B6" w:rsidRDefault="005D0A19" w:rsidP="00483E42">
            <w:pPr>
              <w:ind w:left="0" w:firstLine="0"/>
              <w:jc w:val="right"/>
              <w:rPr>
                <w:rFonts w:asciiTheme="minorHAnsi" w:eastAsia="Times New Roman" w:hAnsiTheme="minorHAnsi" w:cstheme="minorHAnsi"/>
                <w:sz w:val="20"/>
                <w:szCs w:val="20"/>
                <w:lang w:val="fr-FR" w:eastAsia="en-GB"/>
              </w:rPr>
            </w:pPr>
            <w:r w:rsidRPr="003F50B6">
              <w:rPr>
                <w:rFonts w:asciiTheme="minorHAnsi" w:eastAsia="Times New Roman" w:hAnsiTheme="minorHAnsi" w:cstheme="minorHAnsi"/>
                <w:sz w:val="20"/>
                <w:szCs w:val="20"/>
                <w:lang w:val="fr-FR" w:eastAsia="en-GB"/>
              </w:rPr>
              <w:t>12</w:t>
            </w:r>
          </w:p>
        </w:tc>
        <w:tc>
          <w:tcPr>
            <w:tcW w:w="1134" w:type="dxa"/>
            <w:tcBorders>
              <w:top w:val="nil"/>
              <w:left w:val="nil"/>
              <w:bottom w:val="single" w:sz="4" w:space="0" w:color="auto"/>
              <w:right w:val="single" w:sz="4" w:space="0" w:color="auto"/>
            </w:tcBorders>
            <w:shd w:val="clear" w:color="auto" w:fill="auto"/>
            <w:noWrap/>
            <w:vAlign w:val="center"/>
          </w:tcPr>
          <w:p w14:paraId="0498BD6B" w14:textId="77777777" w:rsidR="005D0A19" w:rsidRPr="003F50B6" w:rsidRDefault="005D0A19" w:rsidP="00483E42">
            <w:pPr>
              <w:ind w:left="0" w:firstLine="0"/>
              <w:jc w:val="right"/>
              <w:rPr>
                <w:rFonts w:asciiTheme="minorHAnsi" w:eastAsia="Times New Roman" w:hAnsiTheme="minorHAnsi" w:cstheme="minorHAnsi"/>
                <w:sz w:val="20"/>
                <w:szCs w:val="20"/>
                <w:lang w:val="fr-FR" w:eastAsia="en-GB"/>
              </w:rPr>
            </w:pPr>
            <w:r w:rsidRPr="003F50B6">
              <w:rPr>
                <w:rFonts w:asciiTheme="minorHAnsi" w:eastAsia="Times New Roman" w:hAnsiTheme="minorHAnsi" w:cstheme="minorHAnsi"/>
                <w:sz w:val="20"/>
                <w:szCs w:val="20"/>
                <w:lang w:val="fr-FR" w:eastAsia="en-GB"/>
              </w:rPr>
              <w:t>12</w:t>
            </w:r>
          </w:p>
        </w:tc>
        <w:tc>
          <w:tcPr>
            <w:tcW w:w="993" w:type="dxa"/>
            <w:tcBorders>
              <w:top w:val="nil"/>
              <w:left w:val="nil"/>
              <w:bottom w:val="single" w:sz="4" w:space="0" w:color="auto"/>
              <w:right w:val="single" w:sz="4" w:space="0" w:color="auto"/>
            </w:tcBorders>
            <w:shd w:val="clear" w:color="auto" w:fill="auto"/>
            <w:noWrap/>
            <w:vAlign w:val="center"/>
          </w:tcPr>
          <w:p w14:paraId="72A76D23" w14:textId="77777777" w:rsidR="005D0A19" w:rsidRPr="003F50B6" w:rsidRDefault="005D0A19" w:rsidP="00483E42">
            <w:pPr>
              <w:ind w:left="0" w:firstLine="0"/>
              <w:jc w:val="right"/>
              <w:rPr>
                <w:rFonts w:asciiTheme="minorHAnsi" w:eastAsia="Times New Roman" w:hAnsiTheme="minorHAnsi" w:cstheme="minorHAnsi"/>
                <w:color w:val="000000"/>
                <w:sz w:val="20"/>
                <w:szCs w:val="20"/>
                <w:lang w:val="fr-FR" w:eastAsia="en-GB"/>
              </w:rPr>
            </w:pPr>
            <w:r w:rsidRPr="003F50B6">
              <w:rPr>
                <w:rFonts w:asciiTheme="minorHAnsi" w:eastAsia="Times New Roman" w:hAnsiTheme="minorHAnsi" w:cstheme="minorHAnsi"/>
                <w:color w:val="000000"/>
                <w:sz w:val="20"/>
                <w:szCs w:val="20"/>
                <w:lang w:val="fr-FR" w:eastAsia="en-GB"/>
              </w:rPr>
              <w:t>12</w:t>
            </w:r>
          </w:p>
        </w:tc>
        <w:tc>
          <w:tcPr>
            <w:tcW w:w="1275" w:type="dxa"/>
            <w:tcBorders>
              <w:top w:val="nil"/>
              <w:left w:val="nil"/>
              <w:bottom w:val="single" w:sz="4" w:space="0" w:color="auto"/>
              <w:right w:val="single" w:sz="4" w:space="0" w:color="auto"/>
            </w:tcBorders>
            <w:shd w:val="clear" w:color="auto" w:fill="auto"/>
            <w:noWrap/>
            <w:vAlign w:val="center"/>
          </w:tcPr>
          <w:p w14:paraId="1C12CB8E" w14:textId="77777777" w:rsidR="005D0A19" w:rsidRPr="003F50B6" w:rsidRDefault="005D0A19" w:rsidP="00483E42">
            <w:pPr>
              <w:ind w:left="0" w:firstLine="0"/>
              <w:jc w:val="right"/>
              <w:rPr>
                <w:rFonts w:asciiTheme="minorHAnsi" w:eastAsia="Times New Roman" w:hAnsiTheme="minorHAnsi" w:cstheme="minorHAnsi"/>
                <w:sz w:val="20"/>
                <w:szCs w:val="20"/>
                <w:lang w:val="fr-FR" w:eastAsia="en-GB"/>
              </w:rPr>
            </w:pPr>
            <w:r w:rsidRPr="003F50B6">
              <w:rPr>
                <w:rFonts w:asciiTheme="minorHAnsi" w:eastAsia="Times New Roman" w:hAnsiTheme="minorHAnsi" w:cstheme="minorHAnsi"/>
                <w:sz w:val="20"/>
                <w:szCs w:val="20"/>
                <w:lang w:val="fr-FR" w:eastAsia="en-GB"/>
              </w:rPr>
              <w:t>36</w:t>
            </w:r>
          </w:p>
        </w:tc>
      </w:tr>
      <w:tr w:rsidR="005D0A19" w:rsidRPr="00A4333E" w14:paraId="25AC74AF" w14:textId="77777777" w:rsidTr="00EF4718">
        <w:tc>
          <w:tcPr>
            <w:tcW w:w="3690" w:type="dxa"/>
            <w:tcBorders>
              <w:top w:val="single" w:sz="4" w:space="0" w:color="auto"/>
              <w:left w:val="single" w:sz="4" w:space="0" w:color="auto"/>
              <w:bottom w:val="single" w:sz="4" w:space="0" w:color="auto"/>
              <w:right w:val="single" w:sz="4" w:space="0" w:color="auto"/>
            </w:tcBorders>
            <w:shd w:val="clear" w:color="000000" w:fill="C4D79B"/>
            <w:noWrap/>
            <w:vAlign w:val="center"/>
          </w:tcPr>
          <w:p w14:paraId="6601132A" w14:textId="1452A148" w:rsidR="005D0A19" w:rsidRPr="003F50B6" w:rsidRDefault="005D0A19" w:rsidP="00483E42">
            <w:pPr>
              <w:ind w:left="0" w:firstLine="0"/>
              <w:rPr>
                <w:rFonts w:asciiTheme="minorHAnsi" w:eastAsia="Times New Roman" w:hAnsiTheme="minorHAnsi" w:cstheme="minorHAnsi"/>
                <w:b/>
                <w:bCs/>
                <w:color w:val="1F497D"/>
                <w:sz w:val="20"/>
                <w:szCs w:val="20"/>
                <w:lang w:val="fr-FR" w:eastAsia="en-GB"/>
              </w:rPr>
            </w:pPr>
            <w:r w:rsidRPr="003F50B6">
              <w:rPr>
                <w:rFonts w:asciiTheme="minorHAnsi" w:eastAsia="Times New Roman" w:hAnsiTheme="minorHAnsi" w:cstheme="minorHAnsi"/>
                <w:b/>
                <w:bCs/>
                <w:color w:val="1F497D"/>
                <w:sz w:val="20"/>
                <w:szCs w:val="20"/>
                <w:lang w:val="fr-FR" w:eastAsia="en-GB"/>
              </w:rPr>
              <w:t xml:space="preserve">TOTAL </w:t>
            </w:r>
            <w:r w:rsidR="00E82941" w:rsidRPr="003F50B6">
              <w:rPr>
                <w:rFonts w:asciiTheme="minorHAnsi" w:eastAsia="Times New Roman" w:hAnsiTheme="minorHAnsi" w:cstheme="minorHAnsi"/>
                <w:b/>
                <w:bCs/>
                <w:color w:val="1F497D"/>
                <w:sz w:val="20"/>
                <w:szCs w:val="20"/>
                <w:lang w:val="fr-FR" w:eastAsia="en-GB"/>
              </w:rPr>
              <w:t>DES REVENUS</w:t>
            </w:r>
          </w:p>
        </w:tc>
        <w:tc>
          <w:tcPr>
            <w:tcW w:w="1134" w:type="dxa"/>
            <w:tcBorders>
              <w:top w:val="single" w:sz="4" w:space="0" w:color="auto"/>
              <w:left w:val="nil"/>
              <w:bottom w:val="single" w:sz="4" w:space="0" w:color="auto"/>
              <w:right w:val="single" w:sz="4" w:space="0" w:color="auto"/>
            </w:tcBorders>
            <w:shd w:val="clear" w:color="000000" w:fill="C4D79B"/>
          </w:tcPr>
          <w:p w14:paraId="3F687E57" w14:textId="15979617" w:rsidR="005D0A19" w:rsidRPr="003F50B6" w:rsidRDefault="005D0A19" w:rsidP="00483E42">
            <w:pPr>
              <w:ind w:left="0" w:firstLine="0"/>
              <w:jc w:val="right"/>
              <w:rPr>
                <w:rFonts w:asciiTheme="minorHAnsi" w:eastAsia="Times New Roman" w:hAnsiTheme="minorHAnsi" w:cstheme="minorHAnsi"/>
                <w:b/>
                <w:bCs/>
                <w:color w:val="000000"/>
                <w:sz w:val="20"/>
                <w:szCs w:val="20"/>
                <w:lang w:val="fr-FR" w:eastAsia="en-GB"/>
              </w:rPr>
            </w:pPr>
            <w:r w:rsidRPr="003F50B6">
              <w:rPr>
                <w:rFonts w:asciiTheme="minorHAnsi" w:eastAsia="Times New Roman" w:hAnsiTheme="minorHAnsi" w:cstheme="minorHAnsi"/>
                <w:b/>
                <w:bCs/>
                <w:color w:val="000000"/>
                <w:sz w:val="20"/>
                <w:szCs w:val="20"/>
                <w:lang w:val="fr-FR" w:eastAsia="en-GB"/>
              </w:rPr>
              <w:t>5,081</w:t>
            </w:r>
          </w:p>
        </w:tc>
        <w:tc>
          <w:tcPr>
            <w:tcW w:w="1134" w:type="dxa"/>
            <w:tcBorders>
              <w:top w:val="single" w:sz="4" w:space="0" w:color="auto"/>
              <w:left w:val="single" w:sz="4" w:space="0" w:color="auto"/>
              <w:bottom w:val="single" w:sz="4" w:space="0" w:color="auto"/>
              <w:right w:val="single" w:sz="4" w:space="0" w:color="auto"/>
            </w:tcBorders>
            <w:shd w:val="clear" w:color="000000" w:fill="C4D79B"/>
            <w:noWrap/>
            <w:vAlign w:val="center"/>
          </w:tcPr>
          <w:p w14:paraId="52492D84" w14:textId="31485819" w:rsidR="005D0A19" w:rsidRPr="003F50B6" w:rsidRDefault="005D0A19" w:rsidP="00483E42">
            <w:pPr>
              <w:ind w:left="0" w:firstLine="0"/>
              <w:jc w:val="right"/>
              <w:rPr>
                <w:rFonts w:asciiTheme="minorHAnsi" w:eastAsia="Times New Roman" w:hAnsiTheme="minorHAnsi" w:cstheme="minorHAnsi"/>
                <w:b/>
                <w:bCs/>
                <w:color w:val="000000"/>
                <w:sz w:val="20"/>
                <w:szCs w:val="20"/>
                <w:lang w:val="fr-FR" w:eastAsia="en-GB"/>
              </w:rPr>
            </w:pPr>
            <w:r w:rsidRPr="003F50B6">
              <w:rPr>
                <w:rFonts w:asciiTheme="minorHAnsi" w:eastAsia="Times New Roman" w:hAnsiTheme="minorHAnsi" w:cstheme="minorHAnsi"/>
                <w:b/>
                <w:bCs/>
                <w:color w:val="000000"/>
                <w:sz w:val="20"/>
                <w:szCs w:val="20"/>
                <w:lang w:val="fr-FR" w:eastAsia="en-GB"/>
              </w:rPr>
              <w:t>5,081</w:t>
            </w:r>
          </w:p>
        </w:tc>
        <w:tc>
          <w:tcPr>
            <w:tcW w:w="1134" w:type="dxa"/>
            <w:tcBorders>
              <w:top w:val="single" w:sz="4" w:space="0" w:color="auto"/>
              <w:left w:val="nil"/>
              <w:bottom w:val="single" w:sz="4" w:space="0" w:color="auto"/>
              <w:right w:val="single" w:sz="4" w:space="0" w:color="auto"/>
            </w:tcBorders>
            <w:shd w:val="clear" w:color="000000" w:fill="C4D79B"/>
            <w:noWrap/>
            <w:vAlign w:val="center"/>
          </w:tcPr>
          <w:p w14:paraId="5C63F313" w14:textId="77777777" w:rsidR="005D0A19" w:rsidRPr="003F50B6" w:rsidRDefault="005D0A19" w:rsidP="00483E42">
            <w:pPr>
              <w:ind w:left="0" w:firstLine="0"/>
              <w:jc w:val="right"/>
              <w:rPr>
                <w:rFonts w:asciiTheme="minorHAnsi" w:eastAsia="Times New Roman" w:hAnsiTheme="minorHAnsi" w:cstheme="minorHAnsi"/>
                <w:b/>
                <w:bCs/>
                <w:color w:val="000000"/>
                <w:sz w:val="20"/>
                <w:szCs w:val="20"/>
                <w:lang w:val="fr-FR" w:eastAsia="en-GB"/>
              </w:rPr>
            </w:pPr>
            <w:r w:rsidRPr="003F50B6">
              <w:rPr>
                <w:rFonts w:asciiTheme="minorHAnsi" w:eastAsia="Times New Roman" w:hAnsiTheme="minorHAnsi" w:cstheme="minorHAnsi"/>
                <w:b/>
                <w:bCs/>
                <w:color w:val="000000"/>
                <w:sz w:val="20"/>
                <w:szCs w:val="20"/>
                <w:lang w:val="fr-FR" w:eastAsia="en-GB"/>
              </w:rPr>
              <w:t>5,081</w:t>
            </w:r>
          </w:p>
        </w:tc>
        <w:tc>
          <w:tcPr>
            <w:tcW w:w="993" w:type="dxa"/>
            <w:tcBorders>
              <w:top w:val="single" w:sz="4" w:space="0" w:color="auto"/>
              <w:left w:val="nil"/>
              <w:bottom w:val="single" w:sz="4" w:space="0" w:color="auto"/>
              <w:right w:val="single" w:sz="4" w:space="0" w:color="auto"/>
            </w:tcBorders>
            <w:shd w:val="clear" w:color="000000" w:fill="C4D79B"/>
            <w:noWrap/>
            <w:vAlign w:val="center"/>
          </w:tcPr>
          <w:p w14:paraId="0170FCBE" w14:textId="77777777" w:rsidR="005D0A19" w:rsidRPr="003F50B6" w:rsidRDefault="005D0A19" w:rsidP="00483E42">
            <w:pPr>
              <w:ind w:left="0" w:firstLine="0"/>
              <w:jc w:val="right"/>
              <w:rPr>
                <w:rFonts w:asciiTheme="minorHAnsi" w:eastAsia="Times New Roman" w:hAnsiTheme="minorHAnsi" w:cstheme="minorHAnsi"/>
                <w:b/>
                <w:bCs/>
                <w:color w:val="000000"/>
                <w:sz w:val="20"/>
                <w:szCs w:val="20"/>
                <w:lang w:val="fr-FR" w:eastAsia="en-GB"/>
              </w:rPr>
            </w:pPr>
            <w:r w:rsidRPr="003F50B6">
              <w:rPr>
                <w:rFonts w:asciiTheme="minorHAnsi" w:eastAsia="Times New Roman" w:hAnsiTheme="minorHAnsi" w:cstheme="minorHAnsi"/>
                <w:b/>
                <w:bCs/>
                <w:color w:val="000000"/>
                <w:sz w:val="20"/>
                <w:szCs w:val="20"/>
                <w:lang w:val="fr-FR" w:eastAsia="en-GB"/>
              </w:rPr>
              <w:t>5,081</w:t>
            </w:r>
          </w:p>
        </w:tc>
        <w:tc>
          <w:tcPr>
            <w:tcW w:w="1275" w:type="dxa"/>
            <w:tcBorders>
              <w:top w:val="single" w:sz="4" w:space="0" w:color="auto"/>
              <w:left w:val="nil"/>
              <w:bottom w:val="single" w:sz="4" w:space="0" w:color="auto"/>
              <w:right w:val="single" w:sz="4" w:space="0" w:color="auto"/>
            </w:tcBorders>
            <w:shd w:val="clear" w:color="000000" w:fill="C4D79B"/>
            <w:noWrap/>
            <w:vAlign w:val="center"/>
          </w:tcPr>
          <w:p w14:paraId="669CBA85" w14:textId="77777777" w:rsidR="005D0A19" w:rsidRPr="003F50B6" w:rsidRDefault="005D0A19" w:rsidP="00483E42">
            <w:pPr>
              <w:ind w:left="0" w:firstLine="0"/>
              <w:jc w:val="right"/>
              <w:rPr>
                <w:rFonts w:asciiTheme="minorHAnsi" w:eastAsia="Times New Roman" w:hAnsiTheme="minorHAnsi" w:cstheme="minorHAnsi"/>
                <w:b/>
                <w:bCs/>
                <w:color w:val="000000"/>
                <w:sz w:val="20"/>
                <w:szCs w:val="20"/>
                <w:lang w:val="fr-FR" w:eastAsia="en-GB"/>
              </w:rPr>
            </w:pPr>
            <w:r w:rsidRPr="003F50B6">
              <w:rPr>
                <w:rFonts w:asciiTheme="minorHAnsi" w:eastAsia="Times New Roman" w:hAnsiTheme="minorHAnsi" w:cstheme="minorHAnsi"/>
                <w:b/>
                <w:bCs/>
                <w:color w:val="000000"/>
                <w:sz w:val="20"/>
                <w:szCs w:val="20"/>
                <w:lang w:val="fr-FR" w:eastAsia="en-GB"/>
              </w:rPr>
              <w:t>15,243</w:t>
            </w:r>
          </w:p>
        </w:tc>
      </w:tr>
      <w:tr w:rsidR="005D0A19" w:rsidRPr="00A4333E" w14:paraId="11800998" w14:textId="77777777" w:rsidTr="00EF4718">
        <w:trPr>
          <w:trHeight w:val="397"/>
        </w:trPr>
        <w:tc>
          <w:tcPr>
            <w:tcW w:w="3690" w:type="dxa"/>
            <w:tcBorders>
              <w:top w:val="nil"/>
              <w:left w:val="single" w:sz="4" w:space="0" w:color="auto"/>
              <w:bottom w:val="single" w:sz="4" w:space="0" w:color="auto"/>
              <w:right w:val="single" w:sz="4" w:space="0" w:color="auto"/>
            </w:tcBorders>
            <w:shd w:val="clear" w:color="auto" w:fill="auto"/>
            <w:noWrap/>
            <w:vAlign w:val="bottom"/>
          </w:tcPr>
          <w:p w14:paraId="64051FE2" w14:textId="2A9B241E" w:rsidR="005D0A19" w:rsidRPr="003F50B6" w:rsidRDefault="00E82941" w:rsidP="00483E42">
            <w:pPr>
              <w:ind w:left="0" w:firstLine="0"/>
              <w:rPr>
                <w:rFonts w:asciiTheme="minorHAnsi" w:eastAsia="Times New Roman" w:hAnsiTheme="minorHAnsi" w:cstheme="minorHAnsi"/>
                <w:b/>
                <w:bCs/>
                <w:color w:val="1F497D"/>
                <w:sz w:val="20"/>
                <w:szCs w:val="20"/>
                <w:lang w:val="fr-FR" w:eastAsia="en-GB"/>
              </w:rPr>
            </w:pPr>
            <w:r w:rsidRPr="003F50B6">
              <w:rPr>
                <w:rFonts w:asciiTheme="minorHAnsi" w:eastAsia="Times New Roman" w:hAnsiTheme="minorHAnsi" w:cstheme="minorHAnsi"/>
                <w:b/>
                <w:bCs/>
                <w:color w:val="1F497D"/>
                <w:sz w:val="20"/>
                <w:szCs w:val="20"/>
                <w:lang w:val="fr-FR" w:eastAsia="en-GB"/>
              </w:rPr>
              <w:t>DÉPENSES</w:t>
            </w:r>
          </w:p>
        </w:tc>
        <w:tc>
          <w:tcPr>
            <w:tcW w:w="1134" w:type="dxa"/>
            <w:tcBorders>
              <w:top w:val="nil"/>
              <w:left w:val="nil"/>
              <w:bottom w:val="single" w:sz="4" w:space="0" w:color="auto"/>
              <w:right w:val="single" w:sz="4" w:space="0" w:color="auto"/>
            </w:tcBorders>
          </w:tcPr>
          <w:p w14:paraId="39C9FD49" w14:textId="77777777" w:rsidR="005D0A19" w:rsidRPr="003F50B6" w:rsidRDefault="005D0A19" w:rsidP="00483E42">
            <w:pPr>
              <w:ind w:left="0" w:firstLine="0"/>
              <w:rPr>
                <w:rFonts w:asciiTheme="minorHAnsi" w:eastAsia="Times New Roman" w:hAnsiTheme="minorHAnsi" w:cstheme="minorHAnsi"/>
                <w:color w:val="000000"/>
                <w:sz w:val="20"/>
                <w:szCs w:val="20"/>
                <w:lang w:val="fr-FR" w:eastAsia="en-GB"/>
              </w:rPr>
            </w:pPr>
          </w:p>
        </w:tc>
        <w:tc>
          <w:tcPr>
            <w:tcW w:w="1134" w:type="dxa"/>
            <w:tcBorders>
              <w:top w:val="nil"/>
              <w:left w:val="single" w:sz="4" w:space="0" w:color="auto"/>
              <w:bottom w:val="single" w:sz="4" w:space="0" w:color="auto"/>
              <w:right w:val="single" w:sz="4" w:space="0" w:color="auto"/>
            </w:tcBorders>
            <w:shd w:val="clear" w:color="auto" w:fill="auto"/>
            <w:noWrap/>
            <w:vAlign w:val="bottom"/>
          </w:tcPr>
          <w:p w14:paraId="33A517CA" w14:textId="26C39F7B" w:rsidR="005D0A19" w:rsidRPr="003F50B6" w:rsidRDefault="005D0A19" w:rsidP="00483E42">
            <w:pPr>
              <w:ind w:left="0" w:firstLine="0"/>
              <w:rPr>
                <w:rFonts w:asciiTheme="minorHAnsi" w:eastAsia="Times New Roman" w:hAnsiTheme="minorHAnsi" w:cstheme="minorHAnsi"/>
                <w:color w:val="000000"/>
                <w:sz w:val="20"/>
                <w:szCs w:val="20"/>
                <w:lang w:val="fr-FR" w:eastAsia="en-GB"/>
              </w:rPr>
            </w:pPr>
            <w:r w:rsidRPr="003F50B6">
              <w:rPr>
                <w:rFonts w:asciiTheme="minorHAnsi" w:eastAsia="Times New Roman" w:hAnsiTheme="minorHAnsi" w:cstheme="minorHAnsi"/>
                <w:color w:val="000000"/>
                <w:sz w:val="20"/>
                <w:szCs w:val="20"/>
                <w:lang w:val="fr-FR" w:eastAsia="en-GB"/>
              </w:rPr>
              <w:t> </w:t>
            </w:r>
          </w:p>
        </w:tc>
        <w:tc>
          <w:tcPr>
            <w:tcW w:w="1134" w:type="dxa"/>
            <w:tcBorders>
              <w:top w:val="nil"/>
              <w:left w:val="nil"/>
              <w:bottom w:val="single" w:sz="4" w:space="0" w:color="auto"/>
              <w:right w:val="single" w:sz="4" w:space="0" w:color="auto"/>
            </w:tcBorders>
            <w:shd w:val="clear" w:color="auto" w:fill="auto"/>
            <w:noWrap/>
            <w:vAlign w:val="bottom"/>
          </w:tcPr>
          <w:p w14:paraId="5F8E6F6E" w14:textId="77777777" w:rsidR="005D0A19" w:rsidRPr="003F50B6" w:rsidRDefault="005D0A19" w:rsidP="00483E42">
            <w:pPr>
              <w:ind w:left="0" w:firstLine="0"/>
              <w:rPr>
                <w:rFonts w:asciiTheme="minorHAnsi" w:eastAsia="Times New Roman" w:hAnsiTheme="minorHAnsi" w:cstheme="minorHAnsi"/>
                <w:color w:val="000000"/>
                <w:sz w:val="20"/>
                <w:szCs w:val="20"/>
                <w:lang w:val="fr-FR" w:eastAsia="en-GB"/>
              </w:rPr>
            </w:pPr>
            <w:r w:rsidRPr="003F50B6">
              <w:rPr>
                <w:rFonts w:asciiTheme="minorHAnsi" w:eastAsia="Times New Roman" w:hAnsiTheme="minorHAnsi" w:cstheme="minorHAnsi"/>
                <w:color w:val="000000"/>
                <w:sz w:val="20"/>
                <w:szCs w:val="20"/>
                <w:lang w:val="fr-FR" w:eastAsia="en-GB"/>
              </w:rPr>
              <w:t> </w:t>
            </w:r>
          </w:p>
        </w:tc>
        <w:tc>
          <w:tcPr>
            <w:tcW w:w="993" w:type="dxa"/>
            <w:tcBorders>
              <w:top w:val="nil"/>
              <w:left w:val="nil"/>
              <w:bottom w:val="single" w:sz="4" w:space="0" w:color="auto"/>
              <w:right w:val="single" w:sz="4" w:space="0" w:color="auto"/>
            </w:tcBorders>
            <w:shd w:val="clear" w:color="auto" w:fill="auto"/>
            <w:noWrap/>
            <w:vAlign w:val="bottom"/>
          </w:tcPr>
          <w:p w14:paraId="7655C100" w14:textId="77777777" w:rsidR="005D0A19" w:rsidRPr="003F50B6" w:rsidRDefault="005D0A19" w:rsidP="00483E42">
            <w:pPr>
              <w:ind w:left="0" w:firstLine="0"/>
              <w:rPr>
                <w:rFonts w:asciiTheme="minorHAnsi" w:eastAsia="Times New Roman" w:hAnsiTheme="minorHAnsi" w:cstheme="minorHAnsi"/>
                <w:color w:val="000000"/>
                <w:sz w:val="20"/>
                <w:szCs w:val="20"/>
                <w:lang w:val="fr-FR" w:eastAsia="en-GB"/>
              </w:rPr>
            </w:pPr>
            <w:r w:rsidRPr="003F50B6">
              <w:rPr>
                <w:rFonts w:asciiTheme="minorHAnsi" w:eastAsia="Times New Roman" w:hAnsiTheme="minorHAnsi" w:cstheme="minorHAnsi"/>
                <w:color w:val="000000"/>
                <w:sz w:val="20"/>
                <w:szCs w:val="20"/>
                <w:lang w:val="fr-FR" w:eastAsia="en-GB"/>
              </w:rPr>
              <w:t> </w:t>
            </w:r>
          </w:p>
        </w:tc>
        <w:tc>
          <w:tcPr>
            <w:tcW w:w="1275" w:type="dxa"/>
            <w:tcBorders>
              <w:top w:val="nil"/>
              <w:left w:val="nil"/>
              <w:bottom w:val="single" w:sz="4" w:space="0" w:color="auto"/>
              <w:right w:val="single" w:sz="4" w:space="0" w:color="auto"/>
            </w:tcBorders>
            <w:shd w:val="clear" w:color="auto" w:fill="auto"/>
            <w:noWrap/>
            <w:vAlign w:val="bottom"/>
          </w:tcPr>
          <w:p w14:paraId="52DA085F" w14:textId="77777777" w:rsidR="005D0A19" w:rsidRPr="003F50B6" w:rsidRDefault="005D0A19" w:rsidP="00483E42">
            <w:pPr>
              <w:ind w:left="0" w:firstLine="0"/>
              <w:rPr>
                <w:rFonts w:asciiTheme="minorHAnsi" w:eastAsia="Times New Roman" w:hAnsiTheme="minorHAnsi" w:cstheme="minorHAnsi"/>
                <w:b/>
                <w:bCs/>
                <w:sz w:val="20"/>
                <w:szCs w:val="20"/>
                <w:lang w:val="fr-FR" w:eastAsia="en-GB"/>
              </w:rPr>
            </w:pPr>
            <w:r w:rsidRPr="003F50B6">
              <w:rPr>
                <w:rFonts w:asciiTheme="minorHAnsi" w:eastAsia="Times New Roman" w:hAnsiTheme="minorHAnsi" w:cstheme="minorHAnsi"/>
                <w:b/>
                <w:bCs/>
                <w:sz w:val="20"/>
                <w:szCs w:val="20"/>
                <w:lang w:val="fr-FR" w:eastAsia="en-GB"/>
              </w:rPr>
              <w:t> </w:t>
            </w:r>
          </w:p>
        </w:tc>
      </w:tr>
      <w:tr w:rsidR="005D0A19" w:rsidRPr="00A4333E" w14:paraId="5E38A625" w14:textId="77777777" w:rsidTr="00816531">
        <w:trPr>
          <w:trHeight w:val="63"/>
        </w:trPr>
        <w:tc>
          <w:tcPr>
            <w:tcW w:w="3690" w:type="dxa"/>
            <w:tcBorders>
              <w:top w:val="nil"/>
              <w:left w:val="single" w:sz="4" w:space="0" w:color="auto"/>
              <w:bottom w:val="single" w:sz="4" w:space="0" w:color="auto"/>
              <w:right w:val="single" w:sz="4" w:space="0" w:color="auto"/>
            </w:tcBorders>
            <w:shd w:val="clear" w:color="000000" w:fill="C4D79B"/>
            <w:noWrap/>
            <w:vAlign w:val="center"/>
          </w:tcPr>
          <w:p w14:paraId="77FCC0F7" w14:textId="5B42EBD1" w:rsidR="005D0A19" w:rsidRPr="003F50B6" w:rsidRDefault="005D0A19" w:rsidP="00483E42">
            <w:pPr>
              <w:ind w:left="0" w:firstLine="0"/>
              <w:rPr>
                <w:rFonts w:asciiTheme="minorHAnsi" w:eastAsia="Times New Roman" w:hAnsiTheme="minorHAnsi" w:cstheme="minorHAnsi"/>
                <w:b/>
                <w:bCs/>
                <w:color w:val="000000"/>
                <w:sz w:val="20"/>
                <w:szCs w:val="20"/>
                <w:lang w:val="fr-FR" w:eastAsia="en-GB"/>
              </w:rPr>
            </w:pPr>
            <w:r w:rsidRPr="003F50B6">
              <w:rPr>
                <w:rFonts w:asciiTheme="minorHAnsi" w:eastAsia="Times New Roman" w:hAnsiTheme="minorHAnsi" w:cstheme="minorHAnsi"/>
                <w:b/>
                <w:bCs/>
                <w:color w:val="000000"/>
                <w:sz w:val="20"/>
                <w:szCs w:val="20"/>
                <w:lang w:val="fr-FR" w:eastAsia="en-GB"/>
              </w:rPr>
              <w:t>A</w:t>
            </w:r>
            <w:r w:rsidR="00816531" w:rsidRPr="003F50B6">
              <w:rPr>
                <w:rFonts w:asciiTheme="minorHAnsi" w:hAnsiTheme="minorHAnsi" w:cstheme="minorHAnsi"/>
                <w:sz w:val="20"/>
                <w:szCs w:val="20"/>
                <w:lang w:val="fr-FR"/>
              </w:rPr>
              <w:t xml:space="preserve"> </w:t>
            </w:r>
            <w:r w:rsidR="00816531" w:rsidRPr="003F50B6">
              <w:rPr>
                <w:rFonts w:asciiTheme="minorHAnsi" w:eastAsia="Times New Roman" w:hAnsiTheme="minorHAnsi" w:cstheme="minorHAnsi"/>
                <w:b/>
                <w:bCs/>
                <w:color w:val="000000"/>
                <w:sz w:val="20"/>
                <w:szCs w:val="20"/>
                <w:lang w:val="fr-FR" w:eastAsia="en-GB"/>
              </w:rPr>
              <w:t>Cadres supérieurs du Secrétariat &amp; Gouvernance</w:t>
            </w:r>
          </w:p>
        </w:tc>
        <w:tc>
          <w:tcPr>
            <w:tcW w:w="1134" w:type="dxa"/>
            <w:tcBorders>
              <w:top w:val="nil"/>
              <w:left w:val="nil"/>
              <w:bottom w:val="single" w:sz="4" w:space="0" w:color="auto"/>
              <w:right w:val="single" w:sz="4" w:space="0" w:color="auto"/>
            </w:tcBorders>
            <w:shd w:val="clear" w:color="000000" w:fill="C4D79B"/>
          </w:tcPr>
          <w:p w14:paraId="3EB0EFDC" w14:textId="229F2E49" w:rsidR="005D0A19" w:rsidRPr="003F50B6" w:rsidRDefault="005D0A19" w:rsidP="00483E42">
            <w:pPr>
              <w:ind w:left="0" w:firstLine="0"/>
              <w:jc w:val="right"/>
              <w:rPr>
                <w:rFonts w:asciiTheme="minorHAnsi" w:eastAsia="Times New Roman" w:hAnsiTheme="minorHAnsi" w:cstheme="minorHAnsi"/>
                <w:b/>
                <w:bCs/>
                <w:color w:val="000000"/>
                <w:sz w:val="20"/>
                <w:szCs w:val="20"/>
                <w:lang w:val="fr-FR" w:eastAsia="en-GB"/>
              </w:rPr>
            </w:pPr>
            <w:r w:rsidRPr="003F50B6">
              <w:rPr>
                <w:rFonts w:asciiTheme="minorHAnsi" w:eastAsia="Times New Roman" w:hAnsiTheme="minorHAnsi" w:cstheme="minorHAnsi"/>
                <w:b/>
                <w:bCs/>
                <w:color w:val="000000"/>
                <w:sz w:val="20"/>
                <w:szCs w:val="20"/>
                <w:lang w:val="fr-FR" w:eastAsia="en-GB"/>
              </w:rPr>
              <w:t>1,030</w:t>
            </w:r>
          </w:p>
        </w:tc>
        <w:tc>
          <w:tcPr>
            <w:tcW w:w="1134" w:type="dxa"/>
            <w:tcBorders>
              <w:top w:val="nil"/>
              <w:left w:val="single" w:sz="4" w:space="0" w:color="auto"/>
              <w:bottom w:val="single" w:sz="4" w:space="0" w:color="auto"/>
              <w:right w:val="single" w:sz="4" w:space="0" w:color="auto"/>
            </w:tcBorders>
            <w:shd w:val="clear" w:color="000000" w:fill="C4D79B"/>
            <w:noWrap/>
            <w:vAlign w:val="center"/>
          </w:tcPr>
          <w:p w14:paraId="3683BF23" w14:textId="1506BDED" w:rsidR="005D0A19" w:rsidRPr="003F50B6" w:rsidRDefault="005D0A19" w:rsidP="00483E42">
            <w:pPr>
              <w:ind w:left="0" w:firstLine="0"/>
              <w:jc w:val="right"/>
              <w:rPr>
                <w:rFonts w:asciiTheme="minorHAnsi" w:eastAsia="Times New Roman" w:hAnsiTheme="minorHAnsi" w:cstheme="minorHAnsi"/>
                <w:b/>
                <w:bCs/>
                <w:color w:val="000000"/>
                <w:sz w:val="20"/>
                <w:szCs w:val="20"/>
                <w:lang w:val="fr-FR" w:eastAsia="en-GB"/>
              </w:rPr>
            </w:pPr>
            <w:r w:rsidRPr="003F50B6">
              <w:rPr>
                <w:rFonts w:asciiTheme="minorHAnsi" w:eastAsia="Times New Roman" w:hAnsiTheme="minorHAnsi" w:cstheme="minorHAnsi"/>
                <w:b/>
                <w:bCs/>
                <w:color w:val="000000"/>
                <w:sz w:val="20"/>
                <w:szCs w:val="20"/>
                <w:lang w:val="fr-FR" w:eastAsia="en-GB"/>
              </w:rPr>
              <w:t>1,050</w:t>
            </w:r>
          </w:p>
        </w:tc>
        <w:tc>
          <w:tcPr>
            <w:tcW w:w="1134" w:type="dxa"/>
            <w:tcBorders>
              <w:top w:val="nil"/>
              <w:left w:val="nil"/>
              <w:bottom w:val="single" w:sz="4" w:space="0" w:color="auto"/>
              <w:right w:val="single" w:sz="4" w:space="0" w:color="auto"/>
            </w:tcBorders>
            <w:shd w:val="clear" w:color="000000" w:fill="C4D79B"/>
            <w:noWrap/>
            <w:vAlign w:val="center"/>
          </w:tcPr>
          <w:p w14:paraId="774881D8" w14:textId="77777777" w:rsidR="005D0A19" w:rsidRPr="003F50B6" w:rsidRDefault="005D0A19" w:rsidP="00483E42">
            <w:pPr>
              <w:ind w:left="0" w:firstLine="0"/>
              <w:jc w:val="right"/>
              <w:rPr>
                <w:rFonts w:asciiTheme="minorHAnsi" w:eastAsia="Times New Roman" w:hAnsiTheme="minorHAnsi" w:cstheme="minorHAnsi"/>
                <w:b/>
                <w:bCs/>
                <w:color w:val="000000"/>
                <w:sz w:val="20"/>
                <w:szCs w:val="20"/>
                <w:lang w:val="fr-FR" w:eastAsia="en-GB"/>
              </w:rPr>
            </w:pPr>
            <w:r w:rsidRPr="003F50B6">
              <w:rPr>
                <w:rFonts w:asciiTheme="minorHAnsi" w:eastAsia="Times New Roman" w:hAnsiTheme="minorHAnsi" w:cstheme="minorHAnsi"/>
                <w:b/>
                <w:bCs/>
                <w:color w:val="000000"/>
                <w:sz w:val="20"/>
                <w:szCs w:val="20"/>
                <w:lang w:val="fr-FR" w:eastAsia="en-GB"/>
              </w:rPr>
              <w:t>1,062</w:t>
            </w:r>
          </w:p>
        </w:tc>
        <w:tc>
          <w:tcPr>
            <w:tcW w:w="993" w:type="dxa"/>
            <w:tcBorders>
              <w:top w:val="nil"/>
              <w:left w:val="nil"/>
              <w:bottom w:val="single" w:sz="4" w:space="0" w:color="auto"/>
              <w:right w:val="single" w:sz="4" w:space="0" w:color="auto"/>
            </w:tcBorders>
            <w:shd w:val="clear" w:color="000000" w:fill="C4D79B"/>
            <w:noWrap/>
            <w:vAlign w:val="center"/>
          </w:tcPr>
          <w:p w14:paraId="33AA3D65" w14:textId="77777777" w:rsidR="005D0A19" w:rsidRPr="003F50B6" w:rsidRDefault="005D0A19" w:rsidP="00483E42">
            <w:pPr>
              <w:ind w:left="0" w:firstLine="0"/>
              <w:jc w:val="right"/>
              <w:rPr>
                <w:rFonts w:asciiTheme="minorHAnsi" w:eastAsia="Times New Roman" w:hAnsiTheme="minorHAnsi" w:cstheme="minorHAnsi"/>
                <w:b/>
                <w:bCs/>
                <w:color w:val="000000"/>
                <w:sz w:val="20"/>
                <w:szCs w:val="20"/>
                <w:lang w:val="fr-FR" w:eastAsia="en-GB"/>
              </w:rPr>
            </w:pPr>
            <w:r w:rsidRPr="003F50B6">
              <w:rPr>
                <w:rFonts w:asciiTheme="minorHAnsi" w:eastAsia="Times New Roman" w:hAnsiTheme="minorHAnsi" w:cstheme="minorHAnsi"/>
                <w:b/>
                <w:bCs/>
                <w:color w:val="000000"/>
                <w:sz w:val="20"/>
                <w:szCs w:val="20"/>
                <w:lang w:val="fr-FR" w:eastAsia="en-GB"/>
              </w:rPr>
              <w:t>1,057</w:t>
            </w:r>
          </w:p>
        </w:tc>
        <w:tc>
          <w:tcPr>
            <w:tcW w:w="1275" w:type="dxa"/>
            <w:tcBorders>
              <w:top w:val="nil"/>
              <w:left w:val="nil"/>
              <w:bottom w:val="single" w:sz="4" w:space="0" w:color="auto"/>
              <w:right w:val="single" w:sz="4" w:space="0" w:color="auto"/>
            </w:tcBorders>
            <w:shd w:val="clear" w:color="000000" w:fill="C4D79B"/>
            <w:noWrap/>
            <w:vAlign w:val="center"/>
          </w:tcPr>
          <w:p w14:paraId="25022455" w14:textId="77777777" w:rsidR="005D0A19" w:rsidRPr="003F50B6" w:rsidRDefault="005D0A19" w:rsidP="00483E42">
            <w:pPr>
              <w:ind w:left="0" w:firstLine="0"/>
              <w:jc w:val="right"/>
              <w:rPr>
                <w:rFonts w:asciiTheme="minorHAnsi" w:eastAsia="Times New Roman" w:hAnsiTheme="minorHAnsi" w:cstheme="minorHAnsi"/>
                <w:b/>
                <w:bCs/>
                <w:color w:val="000000"/>
                <w:sz w:val="20"/>
                <w:szCs w:val="20"/>
                <w:lang w:val="fr-FR" w:eastAsia="en-GB"/>
              </w:rPr>
            </w:pPr>
            <w:r w:rsidRPr="003F50B6">
              <w:rPr>
                <w:rFonts w:asciiTheme="minorHAnsi" w:eastAsia="Times New Roman" w:hAnsiTheme="minorHAnsi" w:cstheme="minorHAnsi"/>
                <w:b/>
                <w:bCs/>
                <w:color w:val="000000"/>
                <w:sz w:val="20"/>
                <w:szCs w:val="20"/>
                <w:lang w:val="fr-FR" w:eastAsia="en-GB"/>
              </w:rPr>
              <w:t>3,169</w:t>
            </w:r>
          </w:p>
        </w:tc>
      </w:tr>
      <w:tr w:rsidR="00816531" w:rsidRPr="00A4333E" w14:paraId="67BD2A88" w14:textId="77777777" w:rsidTr="0005234D">
        <w:tc>
          <w:tcPr>
            <w:tcW w:w="3690" w:type="dxa"/>
            <w:tcBorders>
              <w:top w:val="nil"/>
              <w:left w:val="single" w:sz="4" w:space="0" w:color="auto"/>
              <w:bottom w:val="single" w:sz="4" w:space="0" w:color="auto"/>
              <w:right w:val="single" w:sz="4" w:space="0" w:color="auto"/>
            </w:tcBorders>
            <w:shd w:val="clear" w:color="auto" w:fill="auto"/>
            <w:noWrap/>
          </w:tcPr>
          <w:p w14:paraId="3E4ACE68" w14:textId="47E52984" w:rsidR="00816531" w:rsidRPr="003F50B6" w:rsidRDefault="00816531" w:rsidP="00816531">
            <w:pPr>
              <w:ind w:left="0" w:firstLine="0"/>
              <w:rPr>
                <w:rFonts w:asciiTheme="minorHAnsi" w:eastAsia="Times New Roman" w:hAnsiTheme="minorHAnsi" w:cstheme="minorHAnsi"/>
                <w:sz w:val="20"/>
                <w:szCs w:val="20"/>
                <w:lang w:val="fr-FR" w:eastAsia="en-GB"/>
              </w:rPr>
            </w:pPr>
            <w:r w:rsidRPr="003F50B6">
              <w:rPr>
                <w:rFonts w:asciiTheme="minorHAnsi" w:hAnsiTheme="minorHAnsi" w:cstheme="minorHAnsi"/>
                <w:sz w:val="20"/>
                <w:szCs w:val="20"/>
                <w:lang w:val="fr-FR"/>
              </w:rPr>
              <w:t xml:space="preserve">Salaires, charges sociales et autres prestations </w:t>
            </w:r>
          </w:p>
        </w:tc>
        <w:tc>
          <w:tcPr>
            <w:tcW w:w="1134" w:type="dxa"/>
            <w:tcBorders>
              <w:top w:val="nil"/>
              <w:left w:val="nil"/>
              <w:bottom w:val="single" w:sz="4" w:space="0" w:color="auto"/>
              <w:right w:val="single" w:sz="4" w:space="0" w:color="auto"/>
            </w:tcBorders>
          </w:tcPr>
          <w:p w14:paraId="714AC8FC" w14:textId="409B8826" w:rsidR="00816531" w:rsidRPr="003F50B6" w:rsidRDefault="00816531" w:rsidP="00816531">
            <w:pPr>
              <w:ind w:left="0" w:firstLine="0"/>
              <w:jc w:val="right"/>
              <w:rPr>
                <w:rFonts w:asciiTheme="minorHAnsi" w:eastAsia="Times New Roman" w:hAnsiTheme="minorHAnsi" w:cstheme="minorHAnsi"/>
                <w:sz w:val="20"/>
                <w:szCs w:val="20"/>
                <w:lang w:val="fr-FR" w:eastAsia="en-GB"/>
              </w:rPr>
            </w:pPr>
            <w:r w:rsidRPr="003F50B6">
              <w:rPr>
                <w:rFonts w:asciiTheme="minorHAnsi" w:eastAsia="Times New Roman" w:hAnsiTheme="minorHAnsi" w:cstheme="minorHAnsi"/>
                <w:sz w:val="20"/>
                <w:szCs w:val="20"/>
                <w:lang w:val="fr-FR" w:eastAsia="en-GB"/>
              </w:rPr>
              <w:t>990</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56DD3403" w14:textId="24EE9EB2" w:rsidR="00816531" w:rsidRPr="003F50B6" w:rsidRDefault="00816531" w:rsidP="00816531">
            <w:pPr>
              <w:ind w:left="0" w:firstLine="0"/>
              <w:jc w:val="right"/>
              <w:rPr>
                <w:rFonts w:asciiTheme="minorHAnsi" w:eastAsia="Times New Roman" w:hAnsiTheme="minorHAnsi" w:cstheme="minorHAnsi"/>
                <w:sz w:val="20"/>
                <w:szCs w:val="20"/>
                <w:lang w:val="fr-FR" w:eastAsia="en-GB"/>
              </w:rPr>
            </w:pPr>
            <w:r w:rsidRPr="003F50B6">
              <w:rPr>
                <w:rFonts w:asciiTheme="minorHAnsi" w:eastAsia="Times New Roman" w:hAnsiTheme="minorHAnsi" w:cstheme="minorHAnsi"/>
                <w:sz w:val="20"/>
                <w:szCs w:val="20"/>
                <w:lang w:val="fr-FR" w:eastAsia="en-GB"/>
              </w:rPr>
              <w:t>1,010</w:t>
            </w:r>
          </w:p>
        </w:tc>
        <w:tc>
          <w:tcPr>
            <w:tcW w:w="1134" w:type="dxa"/>
            <w:tcBorders>
              <w:top w:val="nil"/>
              <w:left w:val="nil"/>
              <w:bottom w:val="single" w:sz="4" w:space="0" w:color="auto"/>
              <w:right w:val="single" w:sz="4" w:space="0" w:color="auto"/>
            </w:tcBorders>
            <w:shd w:val="clear" w:color="auto" w:fill="auto"/>
            <w:noWrap/>
            <w:vAlign w:val="center"/>
          </w:tcPr>
          <w:p w14:paraId="7F2134D2" w14:textId="77777777" w:rsidR="00816531" w:rsidRPr="003F50B6" w:rsidRDefault="00816531" w:rsidP="00816531">
            <w:pPr>
              <w:ind w:left="0" w:firstLine="0"/>
              <w:jc w:val="right"/>
              <w:rPr>
                <w:rFonts w:asciiTheme="minorHAnsi" w:eastAsia="Times New Roman" w:hAnsiTheme="minorHAnsi" w:cstheme="minorHAnsi"/>
                <w:sz w:val="20"/>
                <w:szCs w:val="20"/>
                <w:lang w:val="fr-FR" w:eastAsia="en-GB"/>
              </w:rPr>
            </w:pPr>
            <w:r w:rsidRPr="003F50B6">
              <w:rPr>
                <w:rFonts w:asciiTheme="minorHAnsi" w:eastAsia="Times New Roman" w:hAnsiTheme="minorHAnsi" w:cstheme="minorHAnsi"/>
                <w:sz w:val="20"/>
                <w:szCs w:val="20"/>
                <w:lang w:val="fr-FR" w:eastAsia="en-GB"/>
              </w:rPr>
              <w:t>1,022</w:t>
            </w:r>
          </w:p>
        </w:tc>
        <w:tc>
          <w:tcPr>
            <w:tcW w:w="993" w:type="dxa"/>
            <w:tcBorders>
              <w:top w:val="nil"/>
              <w:left w:val="nil"/>
              <w:bottom w:val="single" w:sz="4" w:space="0" w:color="auto"/>
              <w:right w:val="single" w:sz="4" w:space="0" w:color="auto"/>
            </w:tcBorders>
            <w:shd w:val="clear" w:color="auto" w:fill="auto"/>
            <w:noWrap/>
            <w:vAlign w:val="center"/>
          </w:tcPr>
          <w:p w14:paraId="37F46569" w14:textId="77777777" w:rsidR="00816531" w:rsidRPr="003F50B6" w:rsidRDefault="00816531" w:rsidP="00816531">
            <w:pPr>
              <w:ind w:left="0" w:firstLine="0"/>
              <w:jc w:val="right"/>
              <w:rPr>
                <w:rFonts w:asciiTheme="minorHAnsi" w:eastAsia="Times New Roman" w:hAnsiTheme="minorHAnsi" w:cstheme="minorHAnsi"/>
                <w:color w:val="000000"/>
                <w:sz w:val="20"/>
                <w:szCs w:val="20"/>
                <w:lang w:val="fr-FR" w:eastAsia="en-GB"/>
              </w:rPr>
            </w:pPr>
            <w:r w:rsidRPr="003F50B6">
              <w:rPr>
                <w:rFonts w:asciiTheme="minorHAnsi" w:eastAsia="Times New Roman" w:hAnsiTheme="minorHAnsi" w:cstheme="minorHAnsi"/>
                <w:color w:val="000000"/>
                <w:sz w:val="20"/>
                <w:szCs w:val="20"/>
                <w:lang w:val="fr-FR" w:eastAsia="en-GB"/>
              </w:rPr>
              <w:t>1,017</w:t>
            </w:r>
          </w:p>
        </w:tc>
        <w:tc>
          <w:tcPr>
            <w:tcW w:w="1275" w:type="dxa"/>
            <w:tcBorders>
              <w:top w:val="nil"/>
              <w:left w:val="nil"/>
              <w:bottom w:val="single" w:sz="4" w:space="0" w:color="auto"/>
              <w:right w:val="single" w:sz="4" w:space="0" w:color="auto"/>
            </w:tcBorders>
            <w:shd w:val="clear" w:color="auto" w:fill="auto"/>
            <w:noWrap/>
            <w:vAlign w:val="center"/>
          </w:tcPr>
          <w:p w14:paraId="35E33035" w14:textId="77777777" w:rsidR="00816531" w:rsidRPr="003F50B6" w:rsidRDefault="00816531" w:rsidP="00816531">
            <w:pPr>
              <w:ind w:left="0" w:firstLine="0"/>
              <w:jc w:val="right"/>
              <w:rPr>
                <w:rFonts w:asciiTheme="minorHAnsi" w:eastAsia="Times New Roman" w:hAnsiTheme="minorHAnsi" w:cstheme="minorHAnsi"/>
                <w:sz w:val="20"/>
                <w:szCs w:val="20"/>
                <w:lang w:val="fr-FR" w:eastAsia="en-GB"/>
              </w:rPr>
            </w:pPr>
            <w:r w:rsidRPr="003F50B6">
              <w:rPr>
                <w:rFonts w:asciiTheme="minorHAnsi" w:eastAsia="Times New Roman" w:hAnsiTheme="minorHAnsi" w:cstheme="minorHAnsi"/>
                <w:sz w:val="20"/>
                <w:szCs w:val="20"/>
                <w:lang w:val="fr-FR" w:eastAsia="en-GB"/>
              </w:rPr>
              <w:t>3,049</w:t>
            </w:r>
          </w:p>
        </w:tc>
      </w:tr>
      <w:tr w:rsidR="00816531" w:rsidRPr="00A4333E" w14:paraId="1FDF6B75" w14:textId="77777777" w:rsidTr="0005234D">
        <w:tc>
          <w:tcPr>
            <w:tcW w:w="3690" w:type="dxa"/>
            <w:tcBorders>
              <w:top w:val="nil"/>
              <w:left w:val="single" w:sz="4" w:space="0" w:color="auto"/>
              <w:bottom w:val="single" w:sz="4" w:space="0" w:color="auto"/>
              <w:right w:val="single" w:sz="4" w:space="0" w:color="auto"/>
            </w:tcBorders>
            <w:shd w:val="clear" w:color="auto" w:fill="auto"/>
            <w:noWrap/>
          </w:tcPr>
          <w:p w14:paraId="5F1595F8" w14:textId="3D768824" w:rsidR="00816531" w:rsidRPr="003F50B6" w:rsidRDefault="00816531" w:rsidP="00816531">
            <w:pPr>
              <w:ind w:left="0" w:firstLine="0"/>
              <w:rPr>
                <w:rFonts w:asciiTheme="minorHAnsi" w:eastAsia="Times New Roman" w:hAnsiTheme="minorHAnsi" w:cstheme="minorHAnsi"/>
                <w:sz w:val="20"/>
                <w:szCs w:val="20"/>
                <w:lang w:val="fr-FR" w:eastAsia="en-GB"/>
              </w:rPr>
            </w:pPr>
            <w:r w:rsidRPr="003F50B6">
              <w:rPr>
                <w:rFonts w:asciiTheme="minorHAnsi" w:hAnsiTheme="minorHAnsi" w:cstheme="minorHAnsi"/>
                <w:sz w:val="20"/>
                <w:szCs w:val="20"/>
                <w:lang w:val="fr-FR"/>
              </w:rPr>
              <w:t>Voyages</w:t>
            </w:r>
          </w:p>
        </w:tc>
        <w:tc>
          <w:tcPr>
            <w:tcW w:w="1134" w:type="dxa"/>
            <w:tcBorders>
              <w:top w:val="nil"/>
              <w:left w:val="nil"/>
              <w:bottom w:val="single" w:sz="4" w:space="0" w:color="auto"/>
              <w:right w:val="single" w:sz="4" w:space="0" w:color="auto"/>
            </w:tcBorders>
          </w:tcPr>
          <w:p w14:paraId="65226AFC" w14:textId="33F0764F" w:rsidR="00816531" w:rsidRPr="003F50B6" w:rsidRDefault="00816531" w:rsidP="00816531">
            <w:pPr>
              <w:ind w:left="0" w:firstLine="0"/>
              <w:jc w:val="right"/>
              <w:rPr>
                <w:rFonts w:asciiTheme="minorHAnsi" w:eastAsia="Times New Roman" w:hAnsiTheme="minorHAnsi" w:cstheme="minorHAnsi"/>
                <w:sz w:val="20"/>
                <w:szCs w:val="20"/>
                <w:lang w:val="fr-FR" w:eastAsia="en-GB"/>
              </w:rPr>
            </w:pPr>
            <w:r w:rsidRPr="003F50B6">
              <w:rPr>
                <w:rFonts w:asciiTheme="minorHAnsi" w:eastAsia="Times New Roman" w:hAnsiTheme="minorHAnsi" w:cstheme="minorHAnsi"/>
                <w:sz w:val="20"/>
                <w:szCs w:val="20"/>
                <w:lang w:val="fr-FR" w:eastAsia="en-GB"/>
              </w:rPr>
              <w:t>40</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5A2740E1" w14:textId="5D0D5FD6" w:rsidR="00816531" w:rsidRPr="003F50B6" w:rsidRDefault="00816531" w:rsidP="00816531">
            <w:pPr>
              <w:ind w:left="0" w:firstLine="0"/>
              <w:jc w:val="right"/>
              <w:rPr>
                <w:rFonts w:asciiTheme="minorHAnsi" w:eastAsia="Times New Roman" w:hAnsiTheme="minorHAnsi" w:cstheme="minorHAnsi"/>
                <w:sz w:val="20"/>
                <w:szCs w:val="20"/>
                <w:lang w:val="fr-FR" w:eastAsia="en-GB"/>
              </w:rPr>
            </w:pPr>
            <w:r w:rsidRPr="003F50B6">
              <w:rPr>
                <w:rFonts w:asciiTheme="minorHAnsi" w:eastAsia="Times New Roman" w:hAnsiTheme="minorHAnsi" w:cstheme="minorHAnsi"/>
                <w:sz w:val="20"/>
                <w:szCs w:val="20"/>
                <w:lang w:val="fr-FR" w:eastAsia="en-GB"/>
              </w:rPr>
              <w:t>40</w:t>
            </w:r>
          </w:p>
        </w:tc>
        <w:tc>
          <w:tcPr>
            <w:tcW w:w="1134" w:type="dxa"/>
            <w:tcBorders>
              <w:top w:val="nil"/>
              <w:left w:val="nil"/>
              <w:bottom w:val="single" w:sz="4" w:space="0" w:color="auto"/>
              <w:right w:val="single" w:sz="4" w:space="0" w:color="auto"/>
            </w:tcBorders>
            <w:shd w:val="clear" w:color="auto" w:fill="auto"/>
            <w:noWrap/>
            <w:vAlign w:val="center"/>
          </w:tcPr>
          <w:p w14:paraId="2EF0E642" w14:textId="77777777" w:rsidR="00816531" w:rsidRPr="003F50B6" w:rsidRDefault="00816531" w:rsidP="00816531">
            <w:pPr>
              <w:ind w:left="0" w:firstLine="0"/>
              <w:jc w:val="right"/>
              <w:rPr>
                <w:rFonts w:asciiTheme="minorHAnsi" w:eastAsia="Times New Roman" w:hAnsiTheme="minorHAnsi" w:cstheme="minorHAnsi"/>
                <w:sz w:val="20"/>
                <w:szCs w:val="20"/>
                <w:lang w:val="fr-FR" w:eastAsia="en-GB"/>
              </w:rPr>
            </w:pPr>
            <w:r w:rsidRPr="003F50B6">
              <w:rPr>
                <w:rFonts w:asciiTheme="minorHAnsi" w:eastAsia="Times New Roman" w:hAnsiTheme="minorHAnsi" w:cstheme="minorHAnsi"/>
                <w:sz w:val="20"/>
                <w:szCs w:val="20"/>
                <w:lang w:val="fr-FR" w:eastAsia="en-GB"/>
              </w:rPr>
              <w:t>40</w:t>
            </w:r>
          </w:p>
        </w:tc>
        <w:tc>
          <w:tcPr>
            <w:tcW w:w="993" w:type="dxa"/>
            <w:tcBorders>
              <w:top w:val="nil"/>
              <w:left w:val="nil"/>
              <w:bottom w:val="single" w:sz="4" w:space="0" w:color="auto"/>
              <w:right w:val="single" w:sz="4" w:space="0" w:color="auto"/>
            </w:tcBorders>
            <w:shd w:val="clear" w:color="auto" w:fill="auto"/>
            <w:noWrap/>
            <w:vAlign w:val="center"/>
          </w:tcPr>
          <w:p w14:paraId="6ABE48BE" w14:textId="77777777" w:rsidR="00816531" w:rsidRPr="003F50B6" w:rsidRDefault="00816531" w:rsidP="00816531">
            <w:pPr>
              <w:ind w:left="0" w:firstLine="0"/>
              <w:jc w:val="right"/>
              <w:rPr>
                <w:rFonts w:asciiTheme="minorHAnsi" w:eastAsia="Times New Roman" w:hAnsiTheme="minorHAnsi" w:cstheme="minorHAnsi"/>
                <w:color w:val="000000"/>
                <w:sz w:val="20"/>
                <w:szCs w:val="20"/>
                <w:lang w:val="fr-FR" w:eastAsia="en-GB"/>
              </w:rPr>
            </w:pPr>
            <w:r w:rsidRPr="003F50B6">
              <w:rPr>
                <w:rFonts w:asciiTheme="minorHAnsi" w:eastAsia="Times New Roman" w:hAnsiTheme="minorHAnsi" w:cstheme="minorHAnsi"/>
                <w:color w:val="000000"/>
                <w:sz w:val="20"/>
                <w:szCs w:val="20"/>
                <w:lang w:val="fr-FR" w:eastAsia="en-GB"/>
              </w:rPr>
              <w:t>40</w:t>
            </w:r>
          </w:p>
        </w:tc>
        <w:tc>
          <w:tcPr>
            <w:tcW w:w="1275" w:type="dxa"/>
            <w:tcBorders>
              <w:top w:val="nil"/>
              <w:left w:val="nil"/>
              <w:bottom w:val="single" w:sz="4" w:space="0" w:color="auto"/>
              <w:right w:val="single" w:sz="4" w:space="0" w:color="auto"/>
            </w:tcBorders>
            <w:shd w:val="clear" w:color="auto" w:fill="auto"/>
            <w:noWrap/>
            <w:vAlign w:val="center"/>
          </w:tcPr>
          <w:p w14:paraId="20F987E7" w14:textId="77777777" w:rsidR="00816531" w:rsidRPr="003F50B6" w:rsidRDefault="00816531" w:rsidP="00816531">
            <w:pPr>
              <w:ind w:left="0" w:firstLine="0"/>
              <w:jc w:val="right"/>
              <w:rPr>
                <w:rFonts w:asciiTheme="minorHAnsi" w:eastAsia="Times New Roman" w:hAnsiTheme="minorHAnsi" w:cstheme="minorHAnsi"/>
                <w:sz w:val="20"/>
                <w:szCs w:val="20"/>
                <w:lang w:val="fr-FR" w:eastAsia="en-GB"/>
              </w:rPr>
            </w:pPr>
            <w:r w:rsidRPr="003F50B6">
              <w:rPr>
                <w:rFonts w:asciiTheme="minorHAnsi" w:eastAsia="Times New Roman" w:hAnsiTheme="minorHAnsi" w:cstheme="minorHAnsi"/>
                <w:sz w:val="20"/>
                <w:szCs w:val="20"/>
                <w:lang w:val="fr-FR" w:eastAsia="en-GB"/>
              </w:rPr>
              <w:t>120</w:t>
            </w:r>
          </w:p>
        </w:tc>
      </w:tr>
      <w:tr w:rsidR="005D0A19" w:rsidRPr="00A4333E" w14:paraId="6378FD3A" w14:textId="77777777" w:rsidTr="00EF4718">
        <w:tc>
          <w:tcPr>
            <w:tcW w:w="3690" w:type="dxa"/>
            <w:tcBorders>
              <w:top w:val="nil"/>
              <w:left w:val="single" w:sz="4" w:space="0" w:color="auto"/>
              <w:bottom w:val="single" w:sz="4" w:space="0" w:color="auto"/>
              <w:right w:val="single" w:sz="4" w:space="0" w:color="auto"/>
            </w:tcBorders>
            <w:shd w:val="clear" w:color="000000" w:fill="C4D79B"/>
            <w:noWrap/>
            <w:vAlign w:val="center"/>
          </w:tcPr>
          <w:p w14:paraId="592A265E" w14:textId="3317C598" w:rsidR="005D0A19" w:rsidRPr="003F50B6" w:rsidRDefault="005D0A19" w:rsidP="00483E42">
            <w:pPr>
              <w:ind w:left="0" w:firstLine="0"/>
              <w:rPr>
                <w:rFonts w:asciiTheme="minorHAnsi" w:eastAsia="Times New Roman" w:hAnsiTheme="minorHAnsi" w:cstheme="minorHAnsi"/>
                <w:b/>
                <w:bCs/>
                <w:sz w:val="20"/>
                <w:szCs w:val="20"/>
                <w:lang w:val="fr-FR" w:eastAsia="en-GB"/>
              </w:rPr>
            </w:pPr>
            <w:r w:rsidRPr="003F50B6">
              <w:rPr>
                <w:rFonts w:asciiTheme="minorHAnsi" w:eastAsia="Times New Roman" w:hAnsiTheme="minorHAnsi" w:cstheme="minorHAnsi"/>
                <w:b/>
                <w:bCs/>
                <w:sz w:val="20"/>
                <w:szCs w:val="20"/>
                <w:lang w:val="fr-FR" w:eastAsia="en-GB"/>
              </w:rPr>
              <w:t xml:space="preserve">B. </w:t>
            </w:r>
            <w:r w:rsidR="00816531" w:rsidRPr="003F50B6">
              <w:rPr>
                <w:rFonts w:asciiTheme="minorHAnsi" w:eastAsia="Times New Roman" w:hAnsiTheme="minorHAnsi" w:cstheme="minorHAnsi"/>
                <w:b/>
                <w:bCs/>
                <w:sz w:val="20"/>
                <w:szCs w:val="20"/>
                <w:lang w:val="fr-FR" w:eastAsia="en-GB"/>
              </w:rPr>
              <w:t>Mobilisation des ressources et sensibilisation</w:t>
            </w:r>
          </w:p>
        </w:tc>
        <w:tc>
          <w:tcPr>
            <w:tcW w:w="1134" w:type="dxa"/>
            <w:tcBorders>
              <w:top w:val="nil"/>
              <w:left w:val="nil"/>
              <w:bottom w:val="single" w:sz="4" w:space="0" w:color="auto"/>
              <w:right w:val="single" w:sz="4" w:space="0" w:color="auto"/>
            </w:tcBorders>
            <w:shd w:val="clear" w:color="000000" w:fill="C4D79B"/>
          </w:tcPr>
          <w:p w14:paraId="6678861C" w14:textId="423C6990" w:rsidR="005D0A19" w:rsidRPr="003F50B6" w:rsidRDefault="005D0A19" w:rsidP="00483E42">
            <w:pPr>
              <w:ind w:left="0" w:firstLine="0"/>
              <w:jc w:val="right"/>
              <w:rPr>
                <w:rFonts w:asciiTheme="minorHAnsi" w:eastAsia="Times New Roman" w:hAnsiTheme="minorHAnsi" w:cstheme="minorHAnsi"/>
                <w:b/>
                <w:bCs/>
                <w:color w:val="000000"/>
                <w:sz w:val="20"/>
                <w:szCs w:val="20"/>
                <w:lang w:val="fr-FR" w:eastAsia="en-GB"/>
              </w:rPr>
            </w:pPr>
            <w:r w:rsidRPr="003F50B6">
              <w:rPr>
                <w:rFonts w:asciiTheme="minorHAnsi" w:eastAsia="Times New Roman" w:hAnsiTheme="minorHAnsi" w:cstheme="minorHAnsi"/>
                <w:b/>
                <w:bCs/>
                <w:color w:val="000000"/>
                <w:sz w:val="20"/>
                <w:szCs w:val="20"/>
                <w:lang w:val="fr-FR" w:eastAsia="en-GB"/>
              </w:rPr>
              <w:t>594</w:t>
            </w:r>
          </w:p>
        </w:tc>
        <w:tc>
          <w:tcPr>
            <w:tcW w:w="1134" w:type="dxa"/>
            <w:tcBorders>
              <w:top w:val="nil"/>
              <w:left w:val="single" w:sz="4" w:space="0" w:color="auto"/>
              <w:bottom w:val="single" w:sz="4" w:space="0" w:color="auto"/>
              <w:right w:val="single" w:sz="4" w:space="0" w:color="auto"/>
            </w:tcBorders>
            <w:shd w:val="clear" w:color="000000" w:fill="C4D79B"/>
            <w:noWrap/>
            <w:vAlign w:val="center"/>
          </w:tcPr>
          <w:p w14:paraId="410ECD33" w14:textId="746F2201" w:rsidR="005D0A19" w:rsidRPr="003F50B6" w:rsidRDefault="005D0A19" w:rsidP="00483E42">
            <w:pPr>
              <w:ind w:left="0" w:firstLine="0"/>
              <w:jc w:val="right"/>
              <w:rPr>
                <w:rFonts w:asciiTheme="minorHAnsi" w:eastAsia="Times New Roman" w:hAnsiTheme="minorHAnsi" w:cstheme="minorHAnsi"/>
                <w:b/>
                <w:bCs/>
                <w:color w:val="000000"/>
                <w:sz w:val="20"/>
                <w:szCs w:val="20"/>
                <w:lang w:val="fr-FR" w:eastAsia="en-GB"/>
              </w:rPr>
            </w:pPr>
            <w:r w:rsidRPr="003F50B6">
              <w:rPr>
                <w:rFonts w:asciiTheme="minorHAnsi" w:eastAsia="Times New Roman" w:hAnsiTheme="minorHAnsi" w:cstheme="minorHAnsi"/>
                <w:b/>
                <w:bCs/>
                <w:color w:val="000000"/>
                <w:sz w:val="20"/>
                <w:szCs w:val="20"/>
                <w:lang w:val="fr-FR" w:eastAsia="en-GB"/>
              </w:rPr>
              <w:t>508</w:t>
            </w:r>
          </w:p>
        </w:tc>
        <w:tc>
          <w:tcPr>
            <w:tcW w:w="1134" w:type="dxa"/>
            <w:tcBorders>
              <w:top w:val="nil"/>
              <w:left w:val="nil"/>
              <w:bottom w:val="single" w:sz="4" w:space="0" w:color="auto"/>
              <w:right w:val="single" w:sz="4" w:space="0" w:color="auto"/>
            </w:tcBorders>
            <w:shd w:val="clear" w:color="000000" w:fill="C4D79B"/>
            <w:noWrap/>
            <w:vAlign w:val="center"/>
          </w:tcPr>
          <w:p w14:paraId="6FE2EA54" w14:textId="77777777" w:rsidR="005D0A19" w:rsidRPr="003F50B6" w:rsidRDefault="005D0A19" w:rsidP="00483E42">
            <w:pPr>
              <w:ind w:left="0" w:firstLine="0"/>
              <w:jc w:val="right"/>
              <w:rPr>
                <w:rFonts w:asciiTheme="minorHAnsi" w:eastAsia="Times New Roman" w:hAnsiTheme="minorHAnsi" w:cstheme="minorHAnsi"/>
                <w:b/>
                <w:bCs/>
                <w:color w:val="000000"/>
                <w:sz w:val="20"/>
                <w:szCs w:val="20"/>
                <w:lang w:val="fr-FR" w:eastAsia="en-GB"/>
              </w:rPr>
            </w:pPr>
            <w:r w:rsidRPr="003F50B6">
              <w:rPr>
                <w:rFonts w:asciiTheme="minorHAnsi" w:eastAsia="Times New Roman" w:hAnsiTheme="minorHAnsi" w:cstheme="minorHAnsi"/>
                <w:b/>
                <w:bCs/>
                <w:color w:val="000000"/>
                <w:sz w:val="20"/>
                <w:szCs w:val="20"/>
                <w:lang w:val="fr-FR" w:eastAsia="en-GB"/>
              </w:rPr>
              <w:t>508</w:t>
            </w:r>
          </w:p>
        </w:tc>
        <w:tc>
          <w:tcPr>
            <w:tcW w:w="993" w:type="dxa"/>
            <w:tcBorders>
              <w:top w:val="nil"/>
              <w:left w:val="nil"/>
              <w:bottom w:val="single" w:sz="4" w:space="0" w:color="auto"/>
              <w:right w:val="single" w:sz="4" w:space="0" w:color="auto"/>
            </w:tcBorders>
            <w:shd w:val="clear" w:color="000000" w:fill="C4D79B"/>
            <w:noWrap/>
            <w:vAlign w:val="center"/>
          </w:tcPr>
          <w:p w14:paraId="6F447952" w14:textId="77777777" w:rsidR="005D0A19" w:rsidRPr="003F50B6" w:rsidRDefault="005D0A19" w:rsidP="00483E42">
            <w:pPr>
              <w:ind w:left="0" w:firstLine="0"/>
              <w:jc w:val="right"/>
              <w:rPr>
                <w:rFonts w:asciiTheme="minorHAnsi" w:eastAsia="Times New Roman" w:hAnsiTheme="minorHAnsi" w:cstheme="minorHAnsi"/>
                <w:b/>
                <w:bCs/>
                <w:color w:val="000000"/>
                <w:sz w:val="20"/>
                <w:szCs w:val="20"/>
                <w:lang w:val="fr-FR" w:eastAsia="en-GB"/>
              </w:rPr>
            </w:pPr>
            <w:r w:rsidRPr="003F50B6">
              <w:rPr>
                <w:rFonts w:asciiTheme="minorHAnsi" w:eastAsia="Times New Roman" w:hAnsiTheme="minorHAnsi" w:cstheme="minorHAnsi"/>
                <w:b/>
                <w:bCs/>
                <w:color w:val="000000"/>
                <w:sz w:val="20"/>
                <w:szCs w:val="20"/>
                <w:lang w:val="fr-FR" w:eastAsia="en-GB"/>
              </w:rPr>
              <w:t>508</w:t>
            </w:r>
          </w:p>
        </w:tc>
        <w:tc>
          <w:tcPr>
            <w:tcW w:w="1275" w:type="dxa"/>
            <w:tcBorders>
              <w:top w:val="nil"/>
              <w:left w:val="nil"/>
              <w:bottom w:val="single" w:sz="4" w:space="0" w:color="auto"/>
              <w:right w:val="single" w:sz="4" w:space="0" w:color="auto"/>
            </w:tcBorders>
            <w:shd w:val="clear" w:color="000000" w:fill="C4D79B"/>
            <w:noWrap/>
            <w:vAlign w:val="center"/>
          </w:tcPr>
          <w:p w14:paraId="30EF32B4" w14:textId="77777777" w:rsidR="005D0A19" w:rsidRPr="003F50B6" w:rsidRDefault="005D0A19" w:rsidP="00483E42">
            <w:pPr>
              <w:ind w:left="0" w:firstLine="0"/>
              <w:jc w:val="right"/>
              <w:rPr>
                <w:rFonts w:asciiTheme="minorHAnsi" w:eastAsia="Times New Roman" w:hAnsiTheme="minorHAnsi" w:cstheme="minorHAnsi"/>
                <w:b/>
                <w:bCs/>
                <w:color w:val="000000"/>
                <w:sz w:val="20"/>
                <w:szCs w:val="20"/>
                <w:lang w:val="fr-FR" w:eastAsia="en-GB"/>
              </w:rPr>
            </w:pPr>
            <w:r w:rsidRPr="003F50B6">
              <w:rPr>
                <w:rFonts w:asciiTheme="minorHAnsi" w:eastAsia="Times New Roman" w:hAnsiTheme="minorHAnsi" w:cstheme="minorHAnsi"/>
                <w:b/>
                <w:bCs/>
                <w:color w:val="000000"/>
                <w:sz w:val="20"/>
                <w:szCs w:val="20"/>
                <w:lang w:val="fr-FR" w:eastAsia="en-GB"/>
              </w:rPr>
              <w:t>1,524</w:t>
            </w:r>
          </w:p>
        </w:tc>
      </w:tr>
      <w:tr w:rsidR="005D0A19" w:rsidRPr="00A4333E" w14:paraId="440AB302" w14:textId="77777777" w:rsidTr="00EF4718">
        <w:tc>
          <w:tcPr>
            <w:tcW w:w="3690" w:type="dxa"/>
            <w:tcBorders>
              <w:top w:val="nil"/>
              <w:left w:val="single" w:sz="4" w:space="0" w:color="auto"/>
              <w:bottom w:val="single" w:sz="4" w:space="0" w:color="auto"/>
              <w:right w:val="single" w:sz="4" w:space="0" w:color="auto"/>
            </w:tcBorders>
            <w:shd w:val="clear" w:color="auto" w:fill="auto"/>
            <w:noWrap/>
            <w:vAlign w:val="center"/>
          </w:tcPr>
          <w:p w14:paraId="3397921B" w14:textId="476EA249" w:rsidR="005D0A19" w:rsidRPr="003F50B6" w:rsidRDefault="00816531" w:rsidP="00483E42">
            <w:pPr>
              <w:ind w:left="0" w:firstLine="0"/>
              <w:rPr>
                <w:rFonts w:asciiTheme="minorHAnsi" w:eastAsia="Times New Roman" w:hAnsiTheme="minorHAnsi" w:cstheme="minorHAnsi"/>
                <w:sz w:val="20"/>
                <w:szCs w:val="20"/>
                <w:lang w:val="fr-FR" w:eastAsia="en-GB"/>
              </w:rPr>
            </w:pPr>
            <w:r w:rsidRPr="003F50B6">
              <w:rPr>
                <w:rFonts w:asciiTheme="minorHAnsi" w:hAnsiTheme="minorHAnsi" w:cstheme="minorHAnsi"/>
                <w:sz w:val="20"/>
                <w:szCs w:val="20"/>
                <w:lang w:val="fr-FR"/>
              </w:rPr>
              <w:t>Salaires, charges sociales et autres prestations</w:t>
            </w:r>
          </w:p>
        </w:tc>
        <w:tc>
          <w:tcPr>
            <w:tcW w:w="1134" w:type="dxa"/>
            <w:tcBorders>
              <w:top w:val="nil"/>
              <w:left w:val="nil"/>
              <w:bottom w:val="single" w:sz="4" w:space="0" w:color="auto"/>
              <w:right w:val="single" w:sz="4" w:space="0" w:color="auto"/>
            </w:tcBorders>
          </w:tcPr>
          <w:p w14:paraId="62E90780" w14:textId="30FE100E" w:rsidR="005D0A19" w:rsidRPr="003F50B6" w:rsidRDefault="005D0A19" w:rsidP="00483E42">
            <w:pPr>
              <w:ind w:left="0" w:firstLine="0"/>
              <w:jc w:val="right"/>
              <w:rPr>
                <w:rFonts w:asciiTheme="minorHAnsi" w:eastAsia="Times New Roman" w:hAnsiTheme="minorHAnsi" w:cstheme="minorHAnsi"/>
                <w:sz w:val="20"/>
                <w:szCs w:val="20"/>
                <w:lang w:val="fr-FR" w:eastAsia="en-GB"/>
              </w:rPr>
            </w:pPr>
            <w:r w:rsidRPr="003F50B6">
              <w:rPr>
                <w:rFonts w:asciiTheme="minorHAnsi" w:eastAsia="Times New Roman" w:hAnsiTheme="minorHAnsi" w:cstheme="minorHAnsi"/>
                <w:sz w:val="20"/>
                <w:szCs w:val="20"/>
                <w:lang w:val="fr-FR" w:eastAsia="en-GB"/>
              </w:rPr>
              <w:t>438</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58CCEF32" w14:textId="38BDC2DA" w:rsidR="005D0A19" w:rsidRPr="003F50B6" w:rsidRDefault="005D0A19" w:rsidP="00483E42">
            <w:pPr>
              <w:ind w:left="0" w:firstLine="0"/>
              <w:jc w:val="right"/>
              <w:rPr>
                <w:rFonts w:asciiTheme="minorHAnsi" w:eastAsia="Times New Roman" w:hAnsiTheme="minorHAnsi" w:cstheme="minorHAnsi"/>
                <w:sz w:val="20"/>
                <w:szCs w:val="20"/>
                <w:lang w:val="fr-FR" w:eastAsia="en-GB"/>
              </w:rPr>
            </w:pPr>
            <w:r w:rsidRPr="003F50B6">
              <w:rPr>
                <w:rFonts w:asciiTheme="minorHAnsi" w:eastAsia="Times New Roman" w:hAnsiTheme="minorHAnsi" w:cstheme="minorHAnsi"/>
                <w:sz w:val="20"/>
                <w:szCs w:val="20"/>
                <w:lang w:val="fr-FR" w:eastAsia="en-GB"/>
              </w:rPr>
              <w:t>352</w:t>
            </w:r>
          </w:p>
        </w:tc>
        <w:tc>
          <w:tcPr>
            <w:tcW w:w="1134" w:type="dxa"/>
            <w:tcBorders>
              <w:top w:val="nil"/>
              <w:left w:val="nil"/>
              <w:bottom w:val="single" w:sz="4" w:space="0" w:color="auto"/>
              <w:right w:val="single" w:sz="4" w:space="0" w:color="auto"/>
            </w:tcBorders>
            <w:shd w:val="clear" w:color="auto" w:fill="auto"/>
            <w:noWrap/>
            <w:vAlign w:val="center"/>
          </w:tcPr>
          <w:p w14:paraId="490145C1" w14:textId="77777777" w:rsidR="005D0A19" w:rsidRPr="003F50B6" w:rsidRDefault="005D0A19" w:rsidP="00483E42">
            <w:pPr>
              <w:ind w:left="0" w:firstLine="0"/>
              <w:jc w:val="right"/>
              <w:rPr>
                <w:rFonts w:asciiTheme="minorHAnsi" w:eastAsia="Times New Roman" w:hAnsiTheme="minorHAnsi" w:cstheme="minorHAnsi"/>
                <w:sz w:val="20"/>
                <w:szCs w:val="20"/>
                <w:lang w:val="fr-FR" w:eastAsia="en-GB"/>
              </w:rPr>
            </w:pPr>
            <w:r w:rsidRPr="003F50B6">
              <w:rPr>
                <w:rFonts w:asciiTheme="minorHAnsi" w:eastAsia="Times New Roman" w:hAnsiTheme="minorHAnsi" w:cstheme="minorHAnsi"/>
                <w:sz w:val="20"/>
                <w:szCs w:val="20"/>
                <w:lang w:val="fr-FR" w:eastAsia="en-GB"/>
              </w:rPr>
              <w:t>352</w:t>
            </w:r>
          </w:p>
        </w:tc>
        <w:tc>
          <w:tcPr>
            <w:tcW w:w="993" w:type="dxa"/>
            <w:tcBorders>
              <w:top w:val="nil"/>
              <w:left w:val="nil"/>
              <w:bottom w:val="single" w:sz="4" w:space="0" w:color="auto"/>
              <w:right w:val="single" w:sz="4" w:space="0" w:color="auto"/>
            </w:tcBorders>
            <w:shd w:val="clear" w:color="auto" w:fill="auto"/>
            <w:noWrap/>
            <w:vAlign w:val="center"/>
          </w:tcPr>
          <w:p w14:paraId="50DDC8DD" w14:textId="77777777" w:rsidR="005D0A19" w:rsidRPr="003F50B6" w:rsidRDefault="005D0A19" w:rsidP="00483E42">
            <w:pPr>
              <w:ind w:left="0" w:firstLine="0"/>
              <w:jc w:val="right"/>
              <w:rPr>
                <w:rFonts w:asciiTheme="minorHAnsi" w:eastAsia="Times New Roman" w:hAnsiTheme="minorHAnsi" w:cstheme="minorHAnsi"/>
                <w:color w:val="000000"/>
                <w:sz w:val="20"/>
                <w:szCs w:val="20"/>
                <w:lang w:val="fr-FR" w:eastAsia="en-GB"/>
              </w:rPr>
            </w:pPr>
            <w:r w:rsidRPr="003F50B6">
              <w:rPr>
                <w:rFonts w:asciiTheme="minorHAnsi" w:eastAsia="Times New Roman" w:hAnsiTheme="minorHAnsi" w:cstheme="minorHAnsi"/>
                <w:color w:val="000000"/>
                <w:sz w:val="20"/>
                <w:szCs w:val="20"/>
                <w:lang w:val="fr-FR" w:eastAsia="en-GB"/>
              </w:rPr>
              <w:t>352</w:t>
            </w:r>
          </w:p>
        </w:tc>
        <w:tc>
          <w:tcPr>
            <w:tcW w:w="1275" w:type="dxa"/>
            <w:tcBorders>
              <w:top w:val="nil"/>
              <w:left w:val="nil"/>
              <w:bottom w:val="single" w:sz="4" w:space="0" w:color="auto"/>
              <w:right w:val="single" w:sz="4" w:space="0" w:color="auto"/>
            </w:tcBorders>
            <w:shd w:val="clear" w:color="auto" w:fill="auto"/>
            <w:noWrap/>
            <w:vAlign w:val="center"/>
          </w:tcPr>
          <w:p w14:paraId="676FB8A0" w14:textId="77777777" w:rsidR="005D0A19" w:rsidRPr="003F50B6" w:rsidRDefault="005D0A19" w:rsidP="00483E42">
            <w:pPr>
              <w:ind w:left="0" w:firstLine="0"/>
              <w:jc w:val="right"/>
              <w:rPr>
                <w:rFonts w:asciiTheme="minorHAnsi" w:eastAsia="Times New Roman" w:hAnsiTheme="minorHAnsi" w:cstheme="minorHAnsi"/>
                <w:sz w:val="20"/>
                <w:szCs w:val="20"/>
                <w:lang w:val="fr-FR" w:eastAsia="en-GB"/>
              </w:rPr>
            </w:pPr>
            <w:r w:rsidRPr="003F50B6">
              <w:rPr>
                <w:rFonts w:asciiTheme="minorHAnsi" w:eastAsia="Times New Roman" w:hAnsiTheme="minorHAnsi" w:cstheme="minorHAnsi"/>
                <w:sz w:val="20"/>
                <w:szCs w:val="20"/>
                <w:lang w:val="fr-FR" w:eastAsia="en-GB"/>
              </w:rPr>
              <w:t>1,056</w:t>
            </w:r>
          </w:p>
        </w:tc>
      </w:tr>
      <w:tr w:rsidR="005D0A19" w:rsidRPr="00A4333E" w14:paraId="598811E2" w14:textId="77777777" w:rsidTr="00EF4718">
        <w:tc>
          <w:tcPr>
            <w:tcW w:w="3690" w:type="dxa"/>
            <w:tcBorders>
              <w:top w:val="nil"/>
              <w:left w:val="single" w:sz="4" w:space="0" w:color="auto"/>
              <w:bottom w:val="single" w:sz="4" w:space="0" w:color="auto"/>
              <w:right w:val="single" w:sz="4" w:space="0" w:color="auto"/>
            </w:tcBorders>
            <w:shd w:val="clear" w:color="auto" w:fill="auto"/>
            <w:noWrap/>
            <w:vAlign w:val="center"/>
          </w:tcPr>
          <w:p w14:paraId="6982283E" w14:textId="403D3E9A" w:rsidR="005D0A19" w:rsidRPr="003F50B6" w:rsidRDefault="005D0A19" w:rsidP="00483E42">
            <w:pPr>
              <w:ind w:left="0" w:firstLine="0"/>
              <w:rPr>
                <w:rFonts w:asciiTheme="minorHAnsi" w:eastAsia="Times New Roman" w:hAnsiTheme="minorHAnsi" w:cstheme="minorHAnsi"/>
                <w:sz w:val="20"/>
                <w:szCs w:val="20"/>
                <w:lang w:val="fr-FR" w:eastAsia="en-GB"/>
              </w:rPr>
            </w:pPr>
            <w:r w:rsidRPr="003F50B6">
              <w:rPr>
                <w:rFonts w:asciiTheme="minorHAnsi" w:eastAsia="Times New Roman" w:hAnsiTheme="minorHAnsi" w:cstheme="minorHAnsi"/>
                <w:sz w:val="20"/>
                <w:szCs w:val="20"/>
                <w:lang w:val="fr-FR" w:eastAsia="en-GB"/>
              </w:rPr>
              <w:t>Programme</w:t>
            </w:r>
            <w:r w:rsidR="00816531" w:rsidRPr="003F50B6">
              <w:rPr>
                <w:rFonts w:asciiTheme="minorHAnsi" w:eastAsia="Times New Roman" w:hAnsiTheme="minorHAnsi" w:cstheme="minorHAnsi"/>
                <w:sz w:val="20"/>
                <w:szCs w:val="20"/>
                <w:lang w:val="fr-FR" w:eastAsia="en-GB"/>
              </w:rPr>
              <w:t xml:space="preserve"> de CESP</w:t>
            </w:r>
          </w:p>
        </w:tc>
        <w:tc>
          <w:tcPr>
            <w:tcW w:w="1134" w:type="dxa"/>
            <w:tcBorders>
              <w:top w:val="nil"/>
              <w:left w:val="nil"/>
              <w:bottom w:val="single" w:sz="4" w:space="0" w:color="auto"/>
              <w:right w:val="single" w:sz="4" w:space="0" w:color="auto"/>
            </w:tcBorders>
          </w:tcPr>
          <w:p w14:paraId="24DA2D96" w14:textId="2178A866" w:rsidR="005D0A19" w:rsidRPr="003F50B6" w:rsidRDefault="005D0A19" w:rsidP="00483E42">
            <w:pPr>
              <w:ind w:left="0" w:firstLine="0"/>
              <w:jc w:val="right"/>
              <w:rPr>
                <w:rFonts w:asciiTheme="minorHAnsi" w:eastAsia="Times New Roman" w:hAnsiTheme="minorHAnsi" w:cstheme="minorHAnsi"/>
                <w:sz w:val="20"/>
                <w:szCs w:val="20"/>
                <w:lang w:val="fr-FR" w:eastAsia="en-GB"/>
              </w:rPr>
            </w:pPr>
            <w:r w:rsidRPr="003F50B6">
              <w:rPr>
                <w:rFonts w:asciiTheme="minorHAnsi" w:eastAsia="Times New Roman" w:hAnsiTheme="minorHAnsi" w:cstheme="minorHAnsi"/>
                <w:sz w:val="20"/>
                <w:szCs w:val="20"/>
                <w:lang w:val="fr-FR" w:eastAsia="en-GB"/>
              </w:rPr>
              <w:t>30</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414ECE88" w14:textId="20D19F54" w:rsidR="005D0A19" w:rsidRPr="003F50B6" w:rsidRDefault="005D0A19" w:rsidP="00483E42">
            <w:pPr>
              <w:ind w:left="0" w:firstLine="0"/>
              <w:jc w:val="right"/>
              <w:rPr>
                <w:rFonts w:asciiTheme="minorHAnsi" w:eastAsia="Times New Roman" w:hAnsiTheme="minorHAnsi" w:cstheme="minorHAnsi"/>
                <w:sz w:val="20"/>
                <w:szCs w:val="20"/>
                <w:lang w:val="fr-FR" w:eastAsia="en-GB"/>
              </w:rPr>
            </w:pPr>
            <w:r w:rsidRPr="003F50B6">
              <w:rPr>
                <w:rFonts w:asciiTheme="minorHAnsi" w:eastAsia="Times New Roman" w:hAnsiTheme="minorHAnsi" w:cstheme="minorHAnsi"/>
                <w:sz w:val="20"/>
                <w:szCs w:val="20"/>
                <w:lang w:val="fr-FR" w:eastAsia="en-GB"/>
              </w:rPr>
              <w:t>30</w:t>
            </w:r>
          </w:p>
        </w:tc>
        <w:tc>
          <w:tcPr>
            <w:tcW w:w="1134" w:type="dxa"/>
            <w:tcBorders>
              <w:top w:val="nil"/>
              <w:left w:val="nil"/>
              <w:bottom w:val="single" w:sz="4" w:space="0" w:color="auto"/>
              <w:right w:val="single" w:sz="4" w:space="0" w:color="auto"/>
            </w:tcBorders>
            <w:shd w:val="clear" w:color="auto" w:fill="auto"/>
            <w:noWrap/>
            <w:vAlign w:val="center"/>
          </w:tcPr>
          <w:p w14:paraId="0756027D" w14:textId="77777777" w:rsidR="005D0A19" w:rsidRPr="003F50B6" w:rsidRDefault="005D0A19" w:rsidP="00483E42">
            <w:pPr>
              <w:ind w:left="0" w:firstLine="0"/>
              <w:jc w:val="right"/>
              <w:rPr>
                <w:rFonts w:asciiTheme="minorHAnsi" w:eastAsia="Times New Roman" w:hAnsiTheme="minorHAnsi" w:cstheme="minorHAnsi"/>
                <w:sz w:val="20"/>
                <w:szCs w:val="20"/>
                <w:lang w:val="fr-FR" w:eastAsia="en-GB"/>
              </w:rPr>
            </w:pPr>
            <w:r w:rsidRPr="003F50B6">
              <w:rPr>
                <w:rFonts w:asciiTheme="minorHAnsi" w:eastAsia="Times New Roman" w:hAnsiTheme="minorHAnsi" w:cstheme="minorHAnsi"/>
                <w:sz w:val="20"/>
                <w:szCs w:val="20"/>
                <w:lang w:val="fr-FR" w:eastAsia="en-GB"/>
              </w:rPr>
              <w:t>30</w:t>
            </w:r>
          </w:p>
        </w:tc>
        <w:tc>
          <w:tcPr>
            <w:tcW w:w="993" w:type="dxa"/>
            <w:tcBorders>
              <w:top w:val="nil"/>
              <w:left w:val="nil"/>
              <w:bottom w:val="single" w:sz="4" w:space="0" w:color="auto"/>
              <w:right w:val="single" w:sz="4" w:space="0" w:color="auto"/>
            </w:tcBorders>
            <w:shd w:val="clear" w:color="auto" w:fill="auto"/>
            <w:noWrap/>
            <w:vAlign w:val="center"/>
          </w:tcPr>
          <w:p w14:paraId="09AA290A" w14:textId="77777777" w:rsidR="005D0A19" w:rsidRPr="003F50B6" w:rsidRDefault="005D0A19" w:rsidP="00483E42">
            <w:pPr>
              <w:ind w:left="0" w:firstLine="0"/>
              <w:jc w:val="right"/>
              <w:rPr>
                <w:rFonts w:asciiTheme="minorHAnsi" w:eastAsia="Times New Roman" w:hAnsiTheme="minorHAnsi" w:cstheme="minorHAnsi"/>
                <w:color w:val="000000"/>
                <w:sz w:val="20"/>
                <w:szCs w:val="20"/>
                <w:lang w:val="fr-FR" w:eastAsia="en-GB"/>
              </w:rPr>
            </w:pPr>
            <w:r w:rsidRPr="003F50B6">
              <w:rPr>
                <w:rFonts w:asciiTheme="minorHAnsi" w:eastAsia="Times New Roman" w:hAnsiTheme="minorHAnsi" w:cstheme="minorHAnsi"/>
                <w:color w:val="000000"/>
                <w:sz w:val="20"/>
                <w:szCs w:val="20"/>
                <w:lang w:val="fr-FR" w:eastAsia="en-GB"/>
              </w:rPr>
              <w:t>30</w:t>
            </w:r>
          </w:p>
        </w:tc>
        <w:tc>
          <w:tcPr>
            <w:tcW w:w="1275" w:type="dxa"/>
            <w:tcBorders>
              <w:top w:val="nil"/>
              <w:left w:val="nil"/>
              <w:bottom w:val="single" w:sz="4" w:space="0" w:color="auto"/>
              <w:right w:val="single" w:sz="4" w:space="0" w:color="auto"/>
            </w:tcBorders>
            <w:shd w:val="clear" w:color="auto" w:fill="auto"/>
            <w:noWrap/>
            <w:vAlign w:val="center"/>
          </w:tcPr>
          <w:p w14:paraId="5FF51DE0" w14:textId="77777777" w:rsidR="005D0A19" w:rsidRPr="003F50B6" w:rsidRDefault="005D0A19" w:rsidP="00483E42">
            <w:pPr>
              <w:ind w:left="0" w:firstLine="0"/>
              <w:jc w:val="right"/>
              <w:rPr>
                <w:rFonts w:asciiTheme="minorHAnsi" w:eastAsia="Times New Roman" w:hAnsiTheme="minorHAnsi" w:cstheme="minorHAnsi"/>
                <w:sz w:val="20"/>
                <w:szCs w:val="20"/>
                <w:lang w:val="fr-FR" w:eastAsia="en-GB"/>
              </w:rPr>
            </w:pPr>
            <w:r w:rsidRPr="003F50B6">
              <w:rPr>
                <w:rFonts w:asciiTheme="minorHAnsi" w:eastAsia="Times New Roman" w:hAnsiTheme="minorHAnsi" w:cstheme="minorHAnsi"/>
                <w:sz w:val="20"/>
                <w:szCs w:val="20"/>
                <w:lang w:val="fr-FR" w:eastAsia="en-GB"/>
              </w:rPr>
              <w:t>90</w:t>
            </w:r>
          </w:p>
        </w:tc>
      </w:tr>
      <w:tr w:rsidR="005D0A19" w:rsidRPr="00A4333E" w14:paraId="7932CEEE" w14:textId="77777777" w:rsidTr="00EF4718">
        <w:tc>
          <w:tcPr>
            <w:tcW w:w="3690" w:type="dxa"/>
            <w:tcBorders>
              <w:top w:val="nil"/>
              <w:left w:val="single" w:sz="4" w:space="0" w:color="auto"/>
              <w:bottom w:val="single" w:sz="4" w:space="0" w:color="auto"/>
              <w:right w:val="single" w:sz="4" w:space="0" w:color="auto"/>
            </w:tcBorders>
            <w:shd w:val="clear" w:color="auto" w:fill="auto"/>
            <w:noWrap/>
            <w:vAlign w:val="center"/>
          </w:tcPr>
          <w:p w14:paraId="54230070" w14:textId="1CF4EB2A" w:rsidR="005D0A19" w:rsidRPr="003F50B6" w:rsidRDefault="005D0A19" w:rsidP="00483E42">
            <w:pPr>
              <w:ind w:left="0" w:firstLine="0"/>
              <w:rPr>
                <w:rFonts w:asciiTheme="minorHAnsi" w:eastAsia="Times New Roman" w:hAnsiTheme="minorHAnsi" w:cstheme="minorHAnsi"/>
                <w:sz w:val="20"/>
                <w:szCs w:val="20"/>
                <w:lang w:val="fr-FR" w:eastAsia="en-GB"/>
              </w:rPr>
            </w:pPr>
            <w:r w:rsidRPr="003F50B6">
              <w:rPr>
                <w:rFonts w:asciiTheme="minorHAnsi" w:eastAsia="Times New Roman" w:hAnsiTheme="minorHAnsi" w:cstheme="minorHAnsi"/>
                <w:sz w:val="20"/>
                <w:szCs w:val="20"/>
                <w:lang w:val="fr-FR" w:eastAsia="en-GB"/>
              </w:rPr>
              <w:t>Comm</w:t>
            </w:r>
            <w:r w:rsidR="00E20B85" w:rsidRPr="003F50B6">
              <w:rPr>
                <w:rFonts w:asciiTheme="minorHAnsi" w:eastAsia="Times New Roman" w:hAnsiTheme="minorHAnsi" w:cstheme="minorHAnsi"/>
                <w:sz w:val="20"/>
                <w:szCs w:val="20"/>
                <w:lang w:val="fr-FR" w:eastAsia="en-GB"/>
              </w:rPr>
              <w:t>unication</w:t>
            </w:r>
            <w:r w:rsidRPr="003F50B6">
              <w:rPr>
                <w:rFonts w:asciiTheme="minorHAnsi" w:eastAsia="Times New Roman" w:hAnsiTheme="minorHAnsi" w:cstheme="minorHAnsi"/>
                <w:sz w:val="20"/>
                <w:szCs w:val="20"/>
                <w:lang w:val="fr-FR" w:eastAsia="en-GB"/>
              </w:rPr>
              <w:t xml:space="preserve">s, </w:t>
            </w:r>
            <w:r w:rsidR="00E20B85" w:rsidRPr="003F50B6">
              <w:rPr>
                <w:rFonts w:asciiTheme="minorHAnsi" w:eastAsia="Times New Roman" w:hAnsiTheme="minorHAnsi" w:cstheme="minorHAnsi"/>
                <w:sz w:val="20"/>
                <w:szCs w:val="20"/>
                <w:lang w:val="fr-FR" w:eastAsia="en-GB"/>
              </w:rPr>
              <w:t>t</w:t>
            </w:r>
            <w:r w:rsidRPr="003F50B6">
              <w:rPr>
                <w:rFonts w:asciiTheme="minorHAnsi" w:eastAsia="Times New Roman" w:hAnsiTheme="minorHAnsi" w:cstheme="minorHAnsi"/>
                <w:sz w:val="20"/>
                <w:szCs w:val="20"/>
                <w:lang w:val="fr-FR" w:eastAsia="en-GB"/>
              </w:rPr>
              <w:t>ra</w:t>
            </w:r>
            <w:r w:rsidR="00816531" w:rsidRPr="003F50B6">
              <w:rPr>
                <w:rFonts w:asciiTheme="minorHAnsi" w:eastAsia="Times New Roman" w:hAnsiTheme="minorHAnsi" w:cstheme="minorHAnsi"/>
                <w:sz w:val="20"/>
                <w:szCs w:val="20"/>
                <w:lang w:val="fr-FR" w:eastAsia="en-GB"/>
              </w:rPr>
              <w:t>ductions</w:t>
            </w:r>
            <w:r w:rsidRPr="003F50B6">
              <w:rPr>
                <w:rFonts w:asciiTheme="minorHAnsi" w:eastAsia="Times New Roman" w:hAnsiTheme="minorHAnsi" w:cstheme="minorHAnsi"/>
                <w:sz w:val="20"/>
                <w:szCs w:val="20"/>
                <w:lang w:val="fr-FR" w:eastAsia="en-GB"/>
              </w:rPr>
              <w:t xml:space="preserve">, </w:t>
            </w:r>
            <w:r w:rsidR="00E20B85" w:rsidRPr="003F50B6">
              <w:rPr>
                <w:rFonts w:asciiTheme="minorHAnsi" w:eastAsia="Times New Roman" w:hAnsiTheme="minorHAnsi" w:cstheme="minorHAnsi"/>
                <w:sz w:val="20"/>
                <w:szCs w:val="20"/>
                <w:lang w:val="fr-FR" w:eastAsia="en-GB"/>
              </w:rPr>
              <w:t>p</w:t>
            </w:r>
            <w:r w:rsidRPr="003F50B6">
              <w:rPr>
                <w:rFonts w:asciiTheme="minorHAnsi" w:eastAsia="Times New Roman" w:hAnsiTheme="minorHAnsi" w:cstheme="minorHAnsi"/>
                <w:sz w:val="20"/>
                <w:szCs w:val="20"/>
                <w:lang w:val="fr-FR" w:eastAsia="en-GB"/>
              </w:rPr>
              <w:t xml:space="preserve">ublications </w:t>
            </w:r>
            <w:r w:rsidR="00816531" w:rsidRPr="003F50B6">
              <w:rPr>
                <w:rFonts w:asciiTheme="minorHAnsi" w:eastAsia="Times New Roman" w:hAnsiTheme="minorHAnsi" w:cstheme="minorHAnsi"/>
                <w:sz w:val="20"/>
                <w:szCs w:val="20"/>
                <w:lang w:val="fr-FR" w:eastAsia="en-GB"/>
              </w:rPr>
              <w:t>et</w:t>
            </w:r>
            <w:r w:rsidR="00E20B85" w:rsidRPr="003F50B6">
              <w:rPr>
                <w:rFonts w:asciiTheme="minorHAnsi" w:eastAsia="Times New Roman" w:hAnsiTheme="minorHAnsi" w:cstheme="minorHAnsi"/>
                <w:sz w:val="20"/>
                <w:szCs w:val="20"/>
                <w:lang w:val="fr-FR" w:eastAsia="en-GB"/>
              </w:rPr>
              <w:t xml:space="preserve"> rapports</w:t>
            </w:r>
          </w:p>
        </w:tc>
        <w:tc>
          <w:tcPr>
            <w:tcW w:w="1134" w:type="dxa"/>
            <w:tcBorders>
              <w:top w:val="nil"/>
              <w:left w:val="nil"/>
              <w:bottom w:val="single" w:sz="4" w:space="0" w:color="auto"/>
              <w:right w:val="single" w:sz="4" w:space="0" w:color="auto"/>
            </w:tcBorders>
          </w:tcPr>
          <w:p w14:paraId="49C834BE" w14:textId="54710DC9" w:rsidR="005D0A19" w:rsidRPr="003F50B6" w:rsidRDefault="005D0A19" w:rsidP="00483E42">
            <w:pPr>
              <w:ind w:left="0" w:firstLine="0"/>
              <w:jc w:val="right"/>
              <w:rPr>
                <w:rFonts w:asciiTheme="minorHAnsi" w:eastAsia="Times New Roman" w:hAnsiTheme="minorHAnsi" w:cstheme="minorHAnsi"/>
                <w:sz w:val="20"/>
                <w:szCs w:val="20"/>
                <w:lang w:val="fr-FR" w:eastAsia="en-GB"/>
              </w:rPr>
            </w:pPr>
            <w:r w:rsidRPr="003F50B6">
              <w:rPr>
                <w:rFonts w:asciiTheme="minorHAnsi" w:eastAsia="Times New Roman" w:hAnsiTheme="minorHAnsi" w:cstheme="minorHAnsi"/>
                <w:sz w:val="20"/>
                <w:szCs w:val="20"/>
                <w:lang w:val="fr-FR" w:eastAsia="en-GB"/>
              </w:rPr>
              <w:t>60</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5DD4B3C2" w14:textId="6113A5B0" w:rsidR="005D0A19" w:rsidRPr="003F50B6" w:rsidRDefault="005D0A19" w:rsidP="00483E42">
            <w:pPr>
              <w:ind w:left="0" w:firstLine="0"/>
              <w:jc w:val="right"/>
              <w:rPr>
                <w:rFonts w:asciiTheme="minorHAnsi" w:eastAsia="Times New Roman" w:hAnsiTheme="minorHAnsi" w:cstheme="minorHAnsi"/>
                <w:sz w:val="20"/>
                <w:szCs w:val="20"/>
                <w:lang w:val="fr-FR" w:eastAsia="en-GB"/>
              </w:rPr>
            </w:pPr>
            <w:r w:rsidRPr="003F50B6">
              <w:rPr>
                <w:rFonts w:asciiTheme="minorHAnsi" w:eastAsia="Times New Roman" w:hAnsiTheme="minorHAnsi" w:cstheme="minorHAnsi"/>
                <w:sz w:val="20"/>
                <w:szCs w:val="20"/>
                <w:lang w:val="fr-FR" w:eastAsia="en-GB"/>
              </w:rPr>
              <w:t>60</w:t>
            </w:r>
          </w:p>
        </w:tc>
        <w:tc>
          <w:tcPr>
            <w:tcW w:w="1134" w:type="dxa"/>
            <w:tcBorders>
              <w:top w:val="nil"/>
              <w:left w:val="nil"/>
              <w:bottom w:val="single" w:sz="4" w:space="0" w:color="auto"/>
              <w:right w:val="single" w:sz="4" w:space="0" w:color="auto"/>
            </w:tcBorders>
            <w:shd w:val="clear" w:color="auto" w:fill="auto"/>
            <w:noWrap/>
            <w:vAlign w:val="center"/>
          </w:tcPr>
          <w:p w14:paraId="440108F8" w14:textId="77777777" w:rsidR="005D0A19" w:rsidRPr="003F50B6" w:rsidRDefault="005D0A19" w:rsidP="00483E42">
            <w:pPr>
              <w:ind w:left="0" w:firstLine="0"/>
              <w:jc w:val="right"/>
              <w:rPr>
                <w:rFonts w:asciiTheme="minorHAnsi" w:eastAsia="Times New Roman" w:hAnsiTheme="minorHAnsi" w:cstheme="minorHAnsi"/>
                <w:sz w:val="20"/>
                <w:szCs w:val="20"/>
                <w:lang w:val="fr-FR" w:eastAsia="en-GB"/>
              </w:rPr>
            </w:pPr>
            <w:r w:rsidRPr="003F50B6">
              <w:rPr>
                <w:rFonts w:asciiTheme="minorHAnsi" w:eastAsia="Times New Roman" w:hAnsiTheme="minorHAnsi" w:cstheme="minorHAnsi"/>
                <w:sz w:val="20"/>
                <w:szCs w:val="20"/>
                <w:lang w:val="fr-FR" w:eastAsia="en-GB"/>
              </w:rPr>
              <w:t>60</w:t>
            </w:r>
          </w:p>
        </w:tc>
        <w:tc>
          <w:tcPr>
            <w:tcW w:w="993" w:type="dxa"/>
            <w:tcBorders>
              <w:top w:val="nil"/>
              <w:left w:val="nil"/>
              <w:bottom w:val="single" w:sz="4" w:space="0" w:color="auto"/>
              <w:right w:val="single" w:sz="4" w:space="0" w:color="auto"/>
            </w:tcBorders>
            <w:shd w:val="clear" w:color="auto" w:fill="auto"/>
            <w:noWrap/>
            <w:vAlign w:val="center"/>
          </w:tcPr>
          <w:p w14:paraId="76C1F6B8" w14:textId="77777777" w:rsidR="005D0A19" w:rsidRPr="003F50B6" w:rsidRDefault="005D0A19" w:rsidP="00483E42">
            <w:pPr>
              <w:ind w:left="0" w:firstLine="0"/>
              <w:jc w:val="right"/>
              <w:rPr>
                <w:rFonts w:asciiTheme="minorHAnsi" w:eastAsia="Times New Roman" w:hAnsiTheme="minorHAnsi" w:cstheme="minorHAnsi"/>
                <w:color w:val="000000"/>
                <w:sz w:val="20"/>
                <w:szCs w:val="20"/>
                <w:lang w:val="fr-FR" w:eastAsia="en-GB"/>
              </w:rPr>
            </w:pPr>
            <w:r w:rsidRPr="003F50B6">
              <w:rPr>
                <w:rFonts w:asciiTheme="minorHAnsi" w:eastAsia="Times New Roman" w:hAnsiTheme="minorHAnsi" w:cstheme="minorHAnsi"/>
                <w:color w:val="000000"/>
                <w:sz w:val="20"/>
                <w:szCs w:val="20"/>
                <w:lang w:val="fr-FR" w:eastAsia="en-GB"/>
              </w:rPr>
              <w:t>60</w:t>
            </w:r>
          </w:p>
        </w:tc>
        <w:tc>
          <w:tcPr>
            <w:tcW w:w="1275" w:type="dxa"/>
            <w:tcBorders>
              <w:top w:val="nil"/>
              <w:left w:val="nil"/>
              <w:bottom w:val="single" w:sz="4" w:space="0" w:color="auto"/>
              <w:right w:val="single" w:sz="4" w:space="0" w:color="auto"/>
            </w:tcBorders>
            <w:shd w:val="clear" w:color="auto" w:fill="auto"/>
            <w:noWrap/>
            <w:vAlign w:val="center"/>
          </w:tcPr>
          <w:p w14:paraId="0A22EEE0" w14:textId="77777777" w:rsidR="005D0A19" w:rsidRPr="003F50B6" w:rsidRDefault="005D0A19" w:rsidP="00483E42">
            <w:pPr>
              <w:ind w:left="0" w:firstLine="0"/>
              <w:jc w:val="right"/>
              <w:rPr>
                <w:rFonts w:asciiTheme="minorHAnsi" w:eastAsia="Times New Roman" w:hAnsiTheme="minorHAnsi" w:cstheme="minorHAnsi"/>
                <w:sz w:val="20"/>
                <w:szCs w:val="20"/>
                <w:lang w:val="fr-FR" w:eastAsia="en-GB"/>
              </w:rPr>
            </w:pPr>
            <w:r w:rsidRPr="003F50B6">
              <w:rPr>
                <w:rFonts w:asciiTheme="minorHAnsi" w:eastAsia="Times New Roman" w:hAnsiTheme="minorHAnsi" w:cstheme="minorHAnsi"/>
                <w:sz w:val="20"/>
                <w:szCs w:val="20"/>
                <w:lang w:val="fr-FR" w:eastAsia="en-GB"/>
              </w:rPr>
              <w:t>180</w:t>
            </w:r>
          </w:p>
        </w:tc>
      </w:tr>
      <w:tr w:rsidR="005D0A19" w:rsidRPr="00A4333E" w14:paraId="6BD53FAA" w14:textId="77777777" w:rsidTr="00EF4718">
        <w:tc>
          <w:tcPr>
            <w:tcW w:w="3690" w:type="dxa"/>
            <w:tcBorders>
              <w:top w:val="nil"/>
              <w:left w:val="single" w:sz="4" w:space="0" w:color="auto"/>
              <w:bottom w:val="single" w:sz="4" w:space="0" w:color="auto"/>
              <w:right w:val="single" w:sz="4" w:space="0" w:color="auto"/>
            </w:tcBorders>
            <w:shd w:val="clear" w:color="auto" w:fill="auto"/>
            <w:noWrap/>
            <w:vAlign w:val="center"/>
          </w:tcPr>
          <w:p w14:paraId="2D396C36" w14:textId="72BA3A79" w:rsidR="005D0A19" w:rsidRPr="003F50B6" w:rsidRDefault="00E20B85" w:rsidP="00483E42">
            <w:pPr>
              <w:ind w:left="0" w:firstLine="0"/>
              <w:rPr>
                <w:rFonts w:asciiTheme="minorHAnsi" w:eastAsia="Times New Roman" w:hAnsiTheme="minorHAnsi" w:cstheme="minorHAnsi"/>
                <w:sz w:val="20"/>
                <w:szCs w:val="20"/>
                <w:lang w:val="fr-FR" w:eastAsia="en-GB"/>
              </w:rPr>
            </w:pPr>
            <w:r w:rsidRPr="003F50B6">
              <w:rPr>
                <w:rFonts w:asciiTheme="minorHAnsi" w:eastAsia="Times New Roman" w:hAnsiTheme="minorHAnsi" w:cstheme="minorHAnsi"/>
                <w:sz w:val="20"/>
                <w:szCs w:val="20"/>
                <w:lang w:val="fr-FR" w:eastAsia="en-GB"/>
              </w:rPr>
              <w:t>Appui et développement du Web/TI</w:t>
            </w:r>
          </w:p>
        </w:tc>
        <w:tc>
          <w:tcPr>
            <w:tcW w:w="1134" w:type="dxa"/>
            <w:tcBorders>
              <w:top w:val="nil"/>
              <w:left w:val="nil"/>
              <w:bottom w:val="single" w:sz="4" w:space="0" w:color="auto"/>
              <w:right w:val="single" w:sz="4" w:space="0" w:color="auto"/>
            </w:tcBorders>
          </w:tcPr>
          <w:p w14:paraId="23A11195" w14:textId="6193DA3C" w:rsidR="005D0A19" w:rsidRPr="003F50B6" w:rsidRDefault="005D0A19" w:rsidP="00483E42">
            <w:pPr>
              <w:ind w:left="0" w:firstLine="0"/>
              <w:jc w:val="right"/>
              <w:rPr>
                <w:rFonts w:asciiTheme="minorHAnsi" w:eastAsia="Times New Roman" w:hAnsiTheme="minorHAnsi" w:cstheme="minorHAnsi"/>
                <w:sz w:val="20"/>
                <w:szCs w:val="20"/>
                <w:lang w:val="fr-FR" w:eastAsia="en-GB"/>
              </w:rPr>
            </w:pPr>
            <w:r w:rsidRPr="003F50B6">
              <w:rPr>
                <w:rFonts w:asciiTheme="minorHAnsi" w:eastAsia="Times New Roman" w:hAnsiTheme="minorHAnsi" w:cstheme="minorHAnsi"/>
                <w:sz w:val="20"/>
                <w:szCs w:val="20"/>
                <w:lang w:val="fr-FR" w:eastAsia="en-GB"/>
              </w:rPr>
              <w:t>56</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0EF90EE4" w14:textId="209C34C4" w:rsidR="005D0A19" w:rsidRPr="003F50B6" w:rsidRDefault="005D0A19" w:rsidP="00483E42">
            <w:pPr>
              <w:ind w:left="0" w:firstLine="0"/>
              <w:jc w:val="right"/>
              <w:rPr>
                <w:rFonts w:asciiTheme="minorHAnsi" w:eastAsia="Times New Roman" w:hAnsiTheme="minorHAnsi" w:cstheme="minorHAnsi"/>
                <w:sz w:val="20"/>
                <w:szCs w:val="20"/>
                <w:lang w:val="fr-FR" w:eastAsia="en-GB"/>
              </w:rPr>
            </w:pPr>
            <w:r w:rsidRPr="003F50B6">
              <w:rPr>
                <w:rFonts w:asciiTheme="minorHAnsi" w:eastAsia="Times New Roman" w:hAnsiTheme="minorHAnsi" w:cstheme="minorHAnsi"/>
                <w:sz w:val="20"/>
                <w:szCs w:val="20"/>
                <w:lang w:val="fr-FR" w:eastAsia="en-GB"/>
              </w:rPr>
              <w:t>56</w:t>
            </w:r>
          </w:p>
        </w:tc>
        <w:tc>
          <w:tcPr>
            <w:tcW w:w="1134" w:type="dxa"/>
            <w:tcBorders>
              <w:top w:val="nil"/>
              <w:left w:val="nil"/>
              <w:bottom w:val="single" w:sz="4" w:space="0" w:color="auto"/>
              <w:right w:val="single" w:sz="4" w:space="0" w:color="auto"/>
            </w:tcBorders>
            <w:shd w:val="clear" w:color="auto" w:fill="auto"/>
            <w:noWrap/>
            <w:vAlign w:val="center"/>
          </w:tcPr>
          <w:p w14:paraId="03BCE7F2" w14:textId="77777777" w:rsidR="005D0A19" w:rsidRPr="003F50B6" w:rsidRDefault="005D0A19" w:rsidP="00483E42">
            <w:pPr>
              <w:ind w:left="0" w:firstLine="0"/>
              <w:jc w:val="right"/>
              <w:rPr>
                <w:rFonts w:asciiTheme="minorHAnsi" w:eastAsia="Times New Roman" w:hAnsiTheme="minorHAnsi" w:cstheme="minorHAnsi"/>
                <w:sz w:val="20"/>
                <w:szCs w:val="20"/>
                <w:lang w:val="fr-FR" w:eastAsia="en-GB"/>
              </w:rPr>
            </w:pPr>
            <w:r w:rsidRPr="003F50B6">
              <w:rPr>
                <w:rFonts w:asciiTheme="minorHAnsi" w:eastAsia="Times New Roman" w:hAnsiTheme="minorHAnsi" w:cstheme="minorHAnsi"/>
                <w:sz w:val="20"/>
                <w:szCs w:val="20"/>
                <w:lang w:val="fr-FR" w:eastAsia="en-GB"/>
              </w:rPr>
              <w:t>56</w:t>
            </w:r>
          </w:p>
        </w:tc>
        <w:tc>
          <w:tcPr>
            <w:tcW w:w="993" w:type="dxa"/>
            <w:tcBorders>
              <w:top w:val="nil"/>
              <w:left w:val="nil"/>
              <w:bottom w:val="single" w:sz="4" w:space="0" w:color="auto"/>
              <w:right w:val="single" w:sz="4" w:space="0" w:color="auto"/>
            </w:tcBorders>
            <w:shd w:val="clear" w:color="auto" w:fill="auto"/>
            <w:noWrap/>
            <w:vAlign w:val="center"/>
          </w:tcPr>
          <w:p w14:paraId="011ADB5A" w14:textId="77777777" w:rsidR="005D0A19" w:rsidRPr="003F50B6" w:rsidRDefault="005D0A19" w:rsidP="00483E42">
            <w:pPr>
              <w:ind w:left="0" w:firstLine="0"/>
              <w:jc w:val="right"/>
              <w:rPr>
                <w:rFonts w:asciiTheme="minorHAnsi" w:eastAsia="Times New Roman" w:hAnsiTheme="minorHAnsi" w:cstheme="minorHAnsi"/>
                <w:color w:val="000000"/>
                <w:sz w:val="20"/>
                <w:szCs w:val="20"/>
                <w:lang w:val="fr-FR" w:eastAsia="en-GB"/>
              </w:rPr>
            </w:pPr>
            <w:r w:rsidRPr="003F50B6">
              <w:rPr>
                <w:rFonts w:asciiTheme="minorHAnsi" w:eastAsia="Times New Roman" w:hAnsiTheme="minorHAnsi" w:cstheme="minorHAnsi"/>
                <w:color w:val="000000"/>
                <w:sz w:val="20"/>
                <w:szCs w:val="20"/>
                <w:lang w:val="fr-FR" w:eastAsia="en-GB"/>
              </w:rPr>
              <w:t>56</w:t>
            </w:r>
          </w:p>
        </w:tc>
        <w:tc>
          <w:tcPr>
            <w:tcW w:w="1275" w:type="dxa"/>
            <w:tcBorders>
              <w:top w:val="nil"/>
              <w:left w:val="nil"/>
              <w:bottom w:val="single" w:sz="4" w:space="0" w:color="auto"/>
              <w:right w:val="single" w:sz="4" w:space="0" w:color="auto"/>
            </w:tcBorders>
            <w:shd w:val="clear" w:color="auto" w:fill="auto"/>
            <w:noWrap/>
            <w:vAlign w:val="center"/>
          </w:tcPr>
          <w:p w14:paraId="7E5DB427" w14:textId="77777777" w:rsidR="005D0A19" w:rsidRPr="003F50B6" w:rsidRDefault="005D0A19" w:rsidP="00483E42">
            <w:pPr>
              <w:ind w:left="0" w:firstLine="0"/>
              <w:jc w:val="right"/>
              <w:rPr>
                <w:rFonts w:asciiTheme="minorHAnsi" w:eastAsia="Times New Roman" w:hAnsiTheme="minorHAnsi" w:cstheme="minorHAnsi"/>
                <w:sz w:val="20"/>
                <w:szCs w:val="20"/>
                <w:lang w:val="fr-FR" w:eastAsia="en-GB"/>
              </w:rPr>
            </w:pPr>
            <w:r w:rsidRPr="003F50B6">
              <w:rPr>
                <w:rFonts w:asciiTheme="minorHAnsi" w:eastAsia="Times New Roman" w:hAnsiTheme="minorHAnsi" w:cstheme="minorHAnsi"/>
                <w:sz w:val="20"/>
                <w:szCs w:val="20"/>
                <w:lang w:val="fr-FR" w:eastAsia="en-GB"/>
              </w:rPr>
              <w:t>168</w:t>
            </w:r>
          </w:p>
        </w:tc>
      </w:tr>
      <w:tr w:rsidR="005D0A19" w:rsidRPr="00A4333E" w14:paraId="0D76CE64" w14:textId="77777777" w:rsidTr="00EF4718">
        <w:tc>
          <w:tcPr>
            <w:tcW w:w="3690" w:type="dxa"/>
            <w:tcBorders>
              <w:top w:val="nil"/>
              <w:left w:val="single" w:sz="4" w:space="0" w:color="auto"/>
              <w:bottom w:val="single" w:sz="4" w:space="0" w:color="auto"/>
              <w:right w:val="single" w:sz="4" w:space="0" w:color="auto"/>
            </w:tcBorders>
            <w:shd w:val="clear" w:color="auto" w:fill="auto"/>
            <w:noWrap/>
            <w:vAlign w:val="center"/>
          </w:tcPr>
          <w:p w14:paraId="6EF8601B" w14:textId="6D623415" w:rsidR="005D0A19" w:rsidRPr="003F50B6" w:rsidRDefault="00E20B85" w:rsidP="00483E42">
            <w:pPr>
              <w:ind w:left="0" w:firstLine="0"/>
              <w:rPr>
                <w:rFonts w:asciiTheme="minorHAnsi" w:eastAsia="Times New Roman" w:hAnsiTheme="minorHAnsi" w:cstheme="minorHAnsi"/>
                <w:sz w:val="20"/>
                <w:szCs w:val="20"/>
                <w:lang w:val="fr-FR" w:eastAsia="en-GB"/>
              </w:rPr>
            </w:pPr>
            <w:r w:rsidRPr="003F50B6">
              <w:rPr>
                <w:rFonts w:asciiTheme="minorHAnsi" w:eastAsia="Times New Roman" w:hAnsiTheme="minorHAnsi" w:cstheme="minorHAnsi"/>
                <w:sz w:val="20"/>
                <w:szCs w:val="20"/>
                <w:lang w:val="fr-FR" w:eastAsia="en-GB"/>
              </w:rPr>
              <w:t>Voyages</w:t>
            </w:r>
          </w:p>
        </w:tc>
        <w:tc>
          <w:tcPr>
            <w:tcW w:w="1134" w:type="dxa"/>
            <w:tcBorders>
              <w:top w:val="nil"/>
              <w:left w:val="nil"/>
              <w:bottom w:val="single" w:sz="4" w:space="0" w:color="auto"/>
              <w:right w:val="single" w:sz="4" w:space="0" w:color="auto"/>
            </w:tcBorders>
          </w:tcPr>
          <w:p w14:paraId="3BE5303D" w14:textId="1EA41A3F" w:rsidR="005D0A19" w:rsidRPr="003F50B6" w:rsidRDefault="005D0A19" w:rsidP="00483E42">
            <w:pPr>
              <w:ind w:left="0" w:firstLine="0"/>
              <w:jc w:val="right"/>
              <w:rPr>
                <w:rFonts w:asciiTheme="minorHAnsi" w:eastAsia="Times New Roman" w:hAnsiTheme="minorHAnsi" w:cstheme="minorHAnsi"/>
                <w:sz w:val="20"/>
                <w:szCs w:val="20"/>
                <w:lang w:val="fr-FR" w:eastAsia="en-GB"/>
              </w:rPr>
            </w:pPr>
            <w:r w:rsidRPr="003F50B6">
              <w:rPr>
                <w:rFonts w:asciiTheme="minorHAnsi" w:eastAsia="Times New Roman" w:hAnsiTheme="minorHAnsi" w:cstheme="minorHAnsi"/>
                <w:sz w:val="20"/>
                <w:szCs w:val="20"/>
                <w:lang w:val="fr-FR" w:eastAsia="en-GB"/>
              </w:rPr>
              <w:t>10</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498BD5AF" w14:textId="752C3474" w:rsidR="005D0A19" w:rsidRPr="003F50B6" w:rsidDel="00A6664E" w:rsidRDefault="005D0A19" w:rsidP="00483E42">
            <w:pPr>
              <w:ind w:left="0" w:firstLine="0"/>
              <w:jc w:val="right"/>
              <w:rPr>
                <w:rFonts w:asciiTheme="minorHAnsi" w:eastAsia="Times New Roman" w:hAnsiTheme="minorHAnsi" w:cstheme="minorHAnsi"/>
                <w:sz w:val="20"/>
                <w:szCs w:val="20"/>
                <w:lang w:val="fr-FR" w:eastAsia="en-GB"/>
              </w:rPr>
            </w:pPr>
            <w:r w:rsidRPr="003F50B6">
              <w:rPr>
                <w:rFonts w:asciiTheme="minorHAnsi" w:eastAsia="Times New Roman" w:hAnsiTheme="minorHAnsi" w:cstheme="minorHAnsi"/>
                <w:sz w:val="20"/>
                <w:szCs w:val="20"/>
                <w:lang w:val="fr-FR" w:eastAsia="en-GB"/>
              </w:rPr>
              <w:t>10</w:t>
            </w:r>
          </w:p>
        </w:tc>
        <w:tc>
          <w:tcPr>
            <w:tcW w:w="1134" w:type="dxa"/>
            <w:tcBorders>
              <w:top w:val="nil"/>
              <w:left w:val="nil"/>
              <w:bottom w:val="single" w:sz="4" w:space="0" w:color="auto"/>
              <w:right w:val="single" w:sz="4" w:space="0" w:color="auto"/>
            </w:tcBorders>
            <w:shd w:val="clear" w:color="auto" w:fill="auto"/>
            <w:noWrap/>
            <w:vAlign w:val="center"/>
          </w:tcPr>
          <w:p w14:paraId="14916761" w14:textId="77777777" w:rsidR="005D0A19" w:rsidRPr="003F50B6" w:rsidDel="00A6664E" w:rsidRDefault="005D0A19" w:rsidP="00483E42">
            <w:pPr>
              <w:ind w:left="0" w:firstLine="0"/>
              <w:jc w:val="right"/>
              <w:rPr>
                <w:rFonts w:asciiTheme="minorHAnsi" w:eastAsia="Times New Roman" w:hAnsiTheme="minorHAnsi" w:cstheme="minorHAnsi"/>
                <w:sz w:val="20"/>
                <w:szCs w:val="20"/>
                <w:lang w:val="fr-FR" w:eastAsia="en-GB"/>
              </w:rPr>
            </w:pPr>
            <w:r w:rsidRPr="003F50B6">
              <w:rPr>
                <w:rFonts w:asciiTheme="minorHAnsi" w:eastAsia="Times New Roman" w:hAnsiTheme="minorHAnsi" w:cstheme="minorHAnsi"/>
                <w:sz w:val="20"/>
                <w:szCs w:val="20"/>
                <w:lang w:val="fr-FR" w:eastAsia="en-GB"/>
              </w:rPr>
              <w:t>10</w:t>
            </w:r>
          </w:p>
        </w:tc>
        <w:tc>
          <w:tcPr>
            <w:tcW w:w="993" w:type="dxa"/>
            <w:tcBorders>
              <w:top w:val="nil"/>
              <w:left w:val="nil"/>
              <w:bottom w:val="single" w:sz="4" w:space="0" w:color="auto"/>
              <w:right w:val="single" w:sz="4" w:space="0" w:color="auto"/>
            </w:tcBorders>
            <w:shd w:val="clear" w:color="auto" w:fill="auto"/>
            <w:noWrap/>
            <w:vAlign w:val="center"/>
          </w:tcPr>
          <w:p w14:paraId="2937AEAF" w14:textId="77777777" w:rsidR="005D0A19" w:rsidRPr="003F50B6" w:rsidDel="00A6664E" w:rsidRDefault="005D0A19" w:rsidP="00483E42">
            <w:pPr>
              <w:ind w:left="0" w:firstLine="0"/>
              <w:jc w:val="right"/>
              <w:rPr>
                <w:rFonts w:asciiTheme="minorHAnsi" w:eastAsia="Times New Roman" w:hAnsiTheme="minorHAnsi" w:cstheme="minorHAnsi"/>
                <w:color w:val="000000"/>
                <w:sz w:val="20"/>
                <w:szCs w:val="20"/>
                <w:lang w:val="fr-FR" w:eastAsia="en-GB"/>
              </w:rPr>
            </w:pPr>
            <w:r w:rsidRPr="003F50B6">
              <w:rPr>
                <w:rFonts w:asciiTheme="minorHAnsi" w:eastAsia="Times New Roman" w:hAnsiTheme="minorHAnsi" w:cstheme="minorHAnsi"/>
                <w:color w:val="000000"/>
                <w:sz w:val="20"/>
                <w:szCs w:val="20"/>
                <w:lang w:val="fr-FR" w:eastAsia="en-GB"/>
              </w:rPr>
              <w:t>10</w:t>
            </w:r>
          </w:p>
        </w:tc>
        <w:tc>
          <w:tcPr>
            <w:tcW w:w="1275" w:type="dxa"/>
            <w:tcBorders>
              <w:top w:val="nil"/>
              <w:left w:val="nil"/>
              <w:bottom w:val="single" w:sz="4" w:space="0" w:color="auto"/>
              <w:right w:val="single" w:sz="4" w:space="0" w:color="auto"/>
            </w:tcBorders>
            <w:shd w:val="clear" w:color="auto" w:fill="auto"/>
            <w:noWrap/>
            <w:vAlign w:val="center"/>
          </w:tcPr>
          <w:p w14:paraId="58353D20" w14:textId="77777777" w:rsidR="005D0A19" w:rsidRPr="003F50B6" w:rsidDel="00A6664E" w:rsidRDefault="005D0A19" w:rsidP="00483E42">
            <w:pPr>
              <w:ind w:left="0" w:firstLine="0"/>
              <w:jc w:val="right"/>
              <w:rPr>
                <w:rFonts w:asciiTheme="minorHAnsi" w:eastAsia="Times New Roman" w:hAnsiTheme="minorHAnsi" w:cstheme="minorHAnsi"/>
                <w:sz w:val="20"/>
                <w:szCs w:val="20"/>
                <w:lang w:val="fr-FR" w:eastAsia="en-GB"/>
              </w:rPr>
            </w:pPr>
            <w:r w:rsidRPr="003F50B6">
              <w:rPr>
                <w:rFonts w:asciiTheme="minorHAnsi" w:eastAsia="Times New Roman" w:hAnsiTheme="minorHAnsi" w:cstheme="minorHAnsi"/>
                <w:sz w:val="20"/>
                <w:szCs w:val="20"/>
                <w:lang w:val="fr-FR" w:eastAsia="en-GB"/>
              </w:rPr>
              <w:t>30</w:t>
            </w:r>
          </w:p>
        </w:tc>
      </w:tr>
      <w:tr w:rsidR="005D0A19" w:rsidRPr="00A4333E" w14:paraId="20EC21B7" w14:textId="77777777" w:rsidTr="00EF4718">
        <w:tc>
          <w:tcPr>
            <w:tcW w:w="3690" w:type="dxa"/>
            <w:tcBorders>
              <w:top w:val="nil"/>
              <w:left w:val="single" w:sz="4" w:space="0" w:color="auto"/>
              <w:bottom w:val="single" w:sz="4" w:space="0" w:color="auto"/>
              <w:right w:val="single" w:sz="4" w:space="0" w:color="auto"/>
            </w:tcBorders>
            <w:shd w:val="clear" w:color="000000" w:fill="C4D79B"/>
            <w:noWrap/>
            <w:vAlign w:val="center"/>
          </w:tcPr>
          <w:p w14:paraId="21D89D09" w14:textId="3012AEB2" w:rsidR="005D0A19" w:rsidRPr="003F50B6" w:rsidRDefault="005D0A19" w:rsidP="00483E42">
            <w:pPr>
              <w:ind w:left="0" w:firstLine="0"/>
              <w:rPr>
                <w:rFonts w:asciiTheme="minorHAnsi" w:eastAsia="Times New Roman" w:hAnsiTheme="minorHAnsi" w:cstheme="minorHAnsi"/>
                <w:b/>
                <w:bCs/>
                <w:sz w:val="20"/>
                <w:szCs w:val="20"/>
                <w:lang w:val="fr-FR" w:eastAsia="en-GB"/>
              </w:rPr>
            </w:pPr>
            <w:r w:rsidRPr="003F50B6">
              <w:rPr>
                <w:rFonts w:asciiTheme="minorHAnsi" w:eastAsia="Times New Roman" w:hAnsiTheme="minorHAnsi" w:cstheme="minorHAnsi"/>
                <w:b/>
                <w:bCs/>
                <w:sz w:val="20"/>
                <w:szCs w:val="20"/>
                <w:lang w:val="fr-FR" w:eastAsia="en-GB"/>
              </w:rPr>
              <w:t xml:space="preserve">C. </w:t>
            </w:r>
            <w:r w:rsidR="00E20B85" w:rsidRPr="003F50B6">
              <w:rPr>
                <w:rFonts w:asciiTheme="minorHAnsi" w:eastAsia="Times New Roman" w:hAnsiTheme="minorHAnsi" w:cstheme="minorHAnsi"/>
                <w:b/>
                <w:bCs/>
                <w:sz w:val="20"/>
                <w:szCs w:val="20"/>
                <w:lang w:val="fr-FR" w:eastAsia="en-GB"/>
              </w:rPr>
              <w:t>Appui et conseils aux régions</w:t>
            </w:r>
          </w:p>
        </w:tc>
        <w:tc>
          <w:tcPr>
            <w:tcW w:w="1134" w:type="dxa"/>
            <w:tcBorders>
              <w:top w:val="nil"/>
              <w:left w:val="nil"/>
              <w:bottom w:val="single" w:sz="4" w:space="0" w:color="auto"/>
              <w:right w:val="single" w:sz="4" w:space="0" w:color="auto"/>
            </w:tcBorders>
            <w:shd w:val="clear" w:color="000000" w:fill="C4D79B"/>
          </w:tcPr>
          <w:p w14:paraId="424BBA39" w14:textId="669541D5" w:rsidR="005D0A19" w:rsidRPr="003F50B6" w:rsidRDefault="005D0A19" w:rsidP="00483E42">
            <w:pPr>
              <w:ind w:left="0" w:firstLine="0"/>
              <w:jc w:val="right"/>
              <w:rPr>
                <w:rFonts w:asciiTheme="minorHAnsi" w:eastAsia="Times New Roman" w:hAnsiTheme="minorHAnsi" w:cstheme="minorHAnsi"/>
                <w:b/>
                <w:bCs/>
                <w:color w:val="000000"/>
                <w:sz w:val="20"/>
                <w:szCs w:val="20"/>
                <w:lang w:val="fr-FR" w:eastAsia="en-GB"/>
              </w:rPr>
            </w:pPr>
            <w:r w:rsidRPr="003F50B6">
              <w:rPr>
                <w:rFonts w:asciiTheme="minorHAnsi" w:eastAsia="Times New Roman" w:hAnsiTheme="minorHAnsi" w:cstheme="minorHAnsi"/>
                <w:b/>
                <w:bCs/>
                <w:color w:val="000000"/>
                <w:sz w:val="20"/>
                <w:szCs w:val="20"/>
                <w:lang w:val="fr-FR" w:eastAsia="en-GB"/>
              </w:rPr>
              <w:t>1,237</w:t>
            </w:r>
          </w:p>
        </w:tc>
        <w:tc>
          <w:tcPr>
            <w:tcW w:w="1134" w:type="dxa"/>
            <w:tcBorders>
              <w:top w:val="nil"/>
              <w:left w:val="single" w:sz="4" w:space="0" w:color="auto"/>
              <w:bottom w:val="single" w:sz="4" w:space="0" w:color="auto"/>
              <w:right w:val="single" w:sz="4" w:space="0" w:color="auto"/>
            </w:tcBorders>
            <w:shd w:val="clear" w:color="000000" w:fill="C4D79B"/>
            <w:noWrap/>
            <w:vAlign w:val="center"/>
          </w:tcPr>
          <w:p w14:paraId="0E0D196C" w14:textId="627875CA" w:rsidR="005D0A19" w:rsidRPr="003F50B6" w:rsidRDefault="005D0A19" w:rsidP="00483E42">
            <w:pPr>
              <w:ind w:left="0" w:firstLine="0"/>
              <w:jc w:val="right"/>
              <w:rPr>
                <w:rFonts w:asciiTheme="minorHAnsi" w:eastAsia="Times New Roman" w:hAnsiTheme="minorHAnsi" w:cstheme="minorHAnsi"/>
                <w:b/>
                <w:bCs/>
                <w:color w:val="000000"/>
                <w:sz w:val="20"/>
                <w:szCs w:val="20"/>
                <w:lang w:val="fr-FR" w:eastAsia="en-GB"/>
              </w:rPr>
            </w:pPr>
            <w:r w:rsidRPr="003F50B6">
              <w:rPr>
                <w:rFonts w:asciiTheme="minorHAnsi" w:eastAsia="Times New Roman" w:hAnsiTheme="minorHAnsi" w:cstheme="minorHAnsi"/>
                <w:b/>
                <w:bCs/>
                <w:color w:val="000000"/>
                <w:sz w:val="20"/>
                <w:szCs w:val="20"/>
                <w:lang w:val="fr-FR" w:eastAsia="en-GB"/>
              </w:rPr>
              <w:t>1,309</w:t>
            </w:r>
          </w:p>
        </w:tc>
        <w:tc>
          <w:tcPr>
            <w:tcW w:w="1134" w:type="dxa"/>
            <w:tcBorders>
              <w:top w:val="nil"/>
              <w:left w:val="nil"/>
              <w:bottom w:val="single" w:sz="4" w:space="0" w:color="auto"/>
              <w:right w:val="single" w:sz="4" w:space="0" w:color="auto"/>
            </w:tcBorders>
            <w:shd w:val="clear" w:color="000000" w:fill="C4D79B"/>
            <w:noWrap/>
            <w:vAlign w:val="center"/>
          </w:tcPr>
          <w:p w14:paraId="2794EBB9" w14:textId="77777777" w:rsidR="005D0A19" w:rsidRPr="003F50B6" w:rsidRDefault="005D0A19" w:rsidP="00483E42">
            <w:pPr>
              <w:ind w:left="0" w:firstLine="0"/>
              <w:jc w:val="right"/>
              <w:rPr>
                <w:rFonts w:asciiTheme="minorHAnsi" w:eastAsia="Times New Roman" w:hAnsiTheme="minorHAnsi" w:cstheme="minorHAnsi"/>
                <w:b/>
                <w:bCs/>
                <w:color w:val="000000"/>
                <w:sz w:val="20"/>
                <w:szCs w:val="20"/>
                <w:lang w:val="fr-FR" w:eastAsia="en-GB"/>
              </w:rPr>
            </w:pPr>
            <w:r w:rsidRPr="003F50B6">
              <w:rPr>
                <w:rFonts w:asciiTheme="minorHAnsi" w:eastAsia="Times New Roman" w:hAnsiTheme="minorHAnsi" w:cstheme="minorHAnsi"/>
                <w:b/>
                <w:bCs/>
                <w:color w:val="000000"/>
                <w:sz w:val="20"/>
                <w:szCs w:val="20"/>
                <w:lang w:val="fr-FR" w:eastAsia="en-GB"/>
              </w:rPr>
              <w:t>1,316</w:t>
            </w:r>
          </w:p>
        </w:tc>
        <w:tc>
          <w:tcPr>
            <w:tcW w:w="993" w:type="dxa"/>
            <w:tcBorders>
              <w:top w:val="nil"/>
              <w:left w:val="nil"/>
              <w:bottom w:val="single" w:sz="4" w:space="0" w:color="auto"/>
              <w:right w:val="single" w:sz="4" w:space="0" w:color="auto"/>
            </w:tcBorders>
            <w:shd w:val="clear" w:color="000000" w:fill="C4D79B"/>
            <w:noWrap/>
            <w:vAlign w:val="center"/>
          </w:tcPr>
          <w:p w14:paraId="1723E77C" w14:textId="77777777" w:rsidR="005D0A19" w:rsidRPr="003F50B6" w:rsidRDefault="005D0A19" w:rsidP="00483E42">
            <w:pPr>
              <w:ind w:left="0" w:firstLine="0"/>
              <w:jc w:val="right"/>
              <w:rPr>
                <w:rFonts w:asciiTheme="minorHAnsi" w:eastAsia="Times New Roman" w:hAnsiTheme="minorHAnsi" w:cstheme="minorHAnsi"/>
                <w:b/>
                <w:bCs/>
                <w:color w:val="000000"/>
                <w:sz w:val="20"/>
                <w:szCs w:val="20"/>
                <w:lang w:val="fr-FR" w:eastAsia="en-GB"/>
              </w:rPr>
            </w:pPr>
            <w:r w:rsidRPr="003F50B6">
              <w:rPr>
                <w:rFonts w:asciiTheme="minorHAnsi" w:eastAsia="Times New Roman" w:hAnsiTheme="minorHAnsi" w:cstheme="minorHAnsi"/>
                <w:b/>
                <w:bCs/>
                <w:color w:val="000000"/>
                <w:sz w:val="20"/>
                <w:szCs w:val="20"/>
                <w:lang w:val="fr-FR" w:eastAsia="en-GB"/>
              </w:rPr>
              <w:t>1,318</w:t>
            </w:r>
          </w:p>
        </w:tc>
        <w:tc>
          <w:tcPr>
            <w:tcW w:w="1275" w:type="dxa"/>
            <w:tcBorders>
              <w:top w:val="nil"/>
              <w:left w:val="nil"/>
              <w:bottom w:val="single" w:sz="4" w:space="0" w:color="auto"/>
              <w:right w:val="single" w:sz="4" w:space="0" w:color="auto"/>
            </w:tcBorders>
            <w:shd w:val="clear" w:color="000000" w:fill="C4D79B"/>
            <w:noWrap/>
            <w:vAlign w:val="center"/>
          </w:tcPr>
          <w:p w14:paraId="57743A44" w14:textId="77777777" w:rsidR="005D0A19" w:rsidRPr="003F50B6" w:rsidRDefault="005D0A19" w:rsidP="00483E42">
            <w:pPr>
              <w:ind w:left="0" w:firstLine="0"/>
              <w:jc w:val="right"/>
              <w:rPr>
                <w:rFonts w:asciiTheme="minorHAnsi" w:eastAsia="Times New Roman" w:hAnsiTheme="minorHAnsi" w:cstheme="minorHAnsi"/>
                <w:b/>
                <w:bCs/>
                <w:color w:val="000000"/>
                <w:sz w:val="20"/>
                <w:szCs w:val="20"/>
                <w:lang w:val="fr-FR" w:eastAsia="en-GB"/>
              </w:rPr>
            </w:pPr>
            <w:r w:rsidRPr="003F50B6">
              <w:rPr>
                <w:rFonts w:asciiTheme="minorHAnsi" w:eastAsia="Times New Roman" w:hAnsiTheme="minorHAnsi" w:cstheme="minorHAnsi"/>
                <w:b/>
                <w:bCs/>
                <w:color w:val="000000"/>
                <w:sz w:val="20"/>
                <w:szCs w:val="20"/>
                <w:lang w:val="fr-FR" w:eastAsia="en-GB"/>
              </w:rPr>
              <w:t>3,943</w:t>
            </w:r>
          </w:p>
        </w:tc>
      </w:tr>
      <w:tr w:rsidR="005D0A19" w:rsidRPr="00A4333E" w14:paraId="7EE18C79" w14:textId="77777777" w:rsidTr="00EF4718">
        <w:tc>
          <w:tcPr>
            <w:tcW w:w="3690" w:type="dxa"/>
            <w:tcBorders>
              <w:top w:val="nil"/>
              <w:left w:val="single" w:sz="4" w:space="0" w:color="auto"/>
              <w:bottom w:val="single" w:sz="4" w:space="0" w:color="auto"/>
              <w:right w:val="single" w:sz="4" w:space="0" w:color="auto"/>
            </w:tcBorders>
            <w:shd w:val="clear" w:color="auto" w:fill="auto"/>
            <w:noWrap/>
            <w:vAlign w:val="center"/>
          </w:tcPr>
          <w:p w14:paraId="1DD6293F" w14:textId="5EECB61E" w:rsidR="005D0A19" w:rsidRPr="003F50B6" w:rsidRDefault="00E20B85" w:rsidP="00483E42">
            <w:pPr>
              <w:ind w:left="0" w:firstLine="0"/>
              <w:rPr>
                <w:rFonts w:asciiTheme="minorHAnsi" w:eastAsia="Times New Roman" w:hAnsiTheme="minorHAnsi" w:cstheme="minorHAnsi"/>
                <w:sz w:val="20"/>
                <w:szCs w:val="20"/>
                <w:lang w:val="fr-FR" w:eastAsia="en-GB"/>
              </w:rPr>
            </w:pPr>
            <w:r w:rsidRPr="003F50B6">
              <w:rPr>
                <w:rFonts w:asciiTheme="minorHAnsi" w:hAnsiTheme="minorHAnsi" w:cstheme="minorHAnsi"/>
                <w:sz w:val="20"/>
                <w:szCs w:val="20"/>
                <w:lang w:val="fr-FR"/>
              </w:rPr>
              <w:t>Salaires, charges sociales et autres prestations</w:t>
            </w:r>
          </w:p>
        </w:tc>
        <w:tc>
          <w:tcPr>
            <w:tcW w:w="1134" w:type="dxa"/>
            <w:tcBorders>
              <w:top w:val="nil"/>
              <w:left w:val="nil"/>
              <w:bottom w:val="single" w:sz="4" w:space="0" w:color="auto"/>
              <w:right w:val="single" w:sz="4" w:space="0" w:color="auto"/>
            </w:tcBorders>
          </w:tcPr>
          <w:p w14:paraId="5977F6B0" w14:textId="29F68889" w:rsidR="005D0A19" w:rsidRPr="003F50B6" w:rsidRDefault="005D0A19" w:rsidP="00483E42">
            <w:pPr>
              <w:ind w:left="0" w:firstLine="0"/>
              <w:jc w:val="right"/>
              <w:rPr>
                <w:rFonts w:asciiTheme="minorHAnsi" w:eastAsia="Times New Roman" w:hAnsiTheme="minorHAnsi" w:cstheme="minorHAnsi"/>
                <w:sz w:val="20"/>
                <w:szCs w:val="20"/>
                <w:lang w:val="fr-FR" w:eastAsia="en-GB"/>
              </w:rPr>
            </w:pPr>
            <w:r w:rsidRPr="003F50B6">
              <w:rPr>
                <w:rFonts w:asciiTheme="minorHAnsi" w:eastAsia="Times New Roman" w:hAnsiTheme="minorHAnsi" w:cstheme="minorHAnsi"/>
                <w:sz w:val="20"/>
                <w:szCs w:val="20"/>
                <w:lang w:val="fr-FR" w:eastAsia="en-GB"/>
              </w:rPr>
              <w:t>1,170</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3BF91F78" w14:textId="6E33EF80" w:rsidR="005D0A19" w:rsidRPr="003F50B6" w:rsidRDefault="005D0A19" w:rsidP="00483E42">
            <w:pPr>
              <w:ind w:left="0" w:firstLine="0"/>
              <w:jc w:val="right"/>
              <w:rPr>
                <w:rFonts w:asciiTheme="minorHAnsi" w:eastAsia="Times New Roman" w:hAnsiTheme="minorHAnsi" w:cstheme="minorHAnsi"/>
                <w:sz w:val="20"/>
                <w:szCs w:val="20"/>
                <w:lang w:val="fr-FR" w:eastAsia="en-GB"/>
              </w:rPr>
            </w:pPr>
            <w:r w:rsidRPr="003F50B6">
              <w:rPr>
                <w:rFonts w:asciiTheme="minorHAnsi" w:eastAsia="Times New Roman" w:hAnsiTheme="minorHAnsi" w:cstheme="minorHAnsi"/>
                <w:sz w:val="20"/>
                <w:szCs w:val="20"/>
                <w:lang w:val="fr-FR" w:eastAsia="en-GB"/>
              </w:rPr>
              <w:t>1,242</w:t>
            </w:r>
          </w:p>
        </w:tc>
        <w:tc>
          <w:tcPr>
            <w:tcW w:w="1134" w:type="dxa"/>
            <w:tcBorders>
              <w:top w:val="nil"/>
              <w:left w:val="nil"/>
              <w:bottom w:val="single" w:sz="4" w:space="0" w:color="auto"/>
              <w:right w:val="single" w:sz="4" w:space="0" w:color="auto"/>
            </w:tcBorders>
            <w:shd w:val="clear" w:color="auto" w:fill="auto"/>
            <w:noWrap/>
            <w:vAlign w:val="center"/>
          </w:tcPr>
          <w:p w14:paraId="5F39004E" w14:textId="77777777" w:rsidR="005D0A19" w:rsidRPr="003F50B6" w:rsidRDefault="005D0A19" w:rsidP="00483E42">
            <w:pPr>
              <w:ind w:left="0" w:firstLine="0"/>
              <w:jc w:val="right"/>
              <w:rPr>
                <w:rFonts w:asciiTheme="minorHAnsi" w:eastAsia="Times New Roman" w:hAnsiTheme="minorHAnsi" w:cstheme="minorHAnsi"/>
                <w:sz w:val="20"/>
                <w:szCs w:val="20"/>
                <w:lang w:val="fr-FR" w:eastAsia="en-GB"/>
              </w:rPr>
            </w:pPr>
            <w:r w:rsidRPr="003F50B6">
              <w:rPr>
                <w:rFonts w:asciiTheme="minorHAnsi" w:eastAsia="Times New Roman" w:hAnsiTheme="minorHAnsi" w:cstheme="minorHAnsi"/>
                <w:sz w:val="20"/>
                <w:szCs w:val="20"/>
                <w:lang w:val="fr-FR" w:eastAsia="en-GB"/>
              </w:rPr>
              <w:t>1,249</w:t>
            </w:r>
          </w:p>
        </w:tc>
        <w:tc>
          <w:tcPr>
            <w:tcW w:w="993" w:type="dxa"/>
            <w:tcBorders>
              <w:top w:val="nil"/>
              <w:left w:val="nil"/>
              <w:bottom w:val="single" w:sz="4" w:space="0" w:color="auto"/>
              <w:right w:val="single" w:sz="4" w:space="0" w:color="auto"/>
            </w:tcBorders>
            <w:shd w:val="clear" w:color="auto" w:fill="auto"/>
            <w:noWrap/>
            <w:vAlign w:val="center"/>
          </w:tcPr>
          <w:p w14:paraId="28CD95A4" w14:textId="77777777" w:rsidR="005D0A19" w:rsidRPr="003F50B6" w:rsidRDefault="005D0A19" w:rsidP="00483E42">
            <w:pPr>
              <w:ind w:left="0" w:firstLine="0"/>
              <w:jc w:val="right"/>
              <w:rPr>
                <w:rFonts w:asciiTheme="minorHAnsi" w:eastAsia="Times New Roman" w:hAnsiTheme="minorHAnsi" w:cstheme="minorHAnsi"/>
                <w:color w:val="000000"/>
                <w:sz w:val="20"/>
                <w:szCs w:val="20"/>
                <w:lang w:val="fr-FR" w:eastAsia="en-GB"/>
              </w:rPr>
            </w:pPr>
            <w:r w:rsidRPr="003F50B6">
              <w:rPr>
                <w:rFonts w:asciiTheme="minorHAnsi" w:eastAsia="Times New Roman" w:hAnsiTheme="minorHAnsi" w:cstheme="minorHAnsi"/>
                <w:color w:val="000000"/>
                <w:sz w:val="20"/>
                <w:szCs w:val="20"/>
                <w:lang w:val="fr-FR" w:eastAsia="en-GB"/>
              </w:rPr>
              <w:t>1,251</w:t>
            </w:r>
          </w:p>
        </w:tc>
        <w:tc>
          <w:tcPr>
            <w:tcW w:w="1275" w:type="dxa"/>
            <w:tcBorders>
              <w:top w:val="nil"/>
              <w:left w:val="nil"/>
              <w:bottom w:val="single" w:sz="4" w:space="0" w:color="auto"/>
              <w:right w:val="single" w:sz="4" w:space="0" w:color="auto"/>
            </w:tcBorders>
            <w:shd w:val="clear" w:color="auto" w:fill="auto"/>
            <w:noWrap/>
            <w:vAlign w:val="center"/>
          </w:tcPr>
          <w:p w14:paraId="71F27E3B" w14:textId="77777777" w:rsidR="005D0A19" w:rsidRPr="003F50B6" w:rsidRDefault="005D0A19" w:rsidP="00483E42">
            <w:pPr>
              <w:ind w:left="0" w:firstLine="0"/>
              <w:jc w:val="right"/>
              <w:rPr>
                <w:rFonts w:asciiTheme="minorHAnsi" w:eastAsia="Times New Roman" w:hAnsiTheme="minorHAnsi" w:cstheme="minorHAnsi"/>
                <w:sz w:val="20"/>
                <w:szCs w:val="20"/>
                <w:lang w:val="fr-FR" w:eastAsia="en-GB"/>
              </w:rPr>
            </w:pPr>
            <w:r w:rsidRPr="003F50B6">
              <w:rPr>
                <w:rFonts w:asciiTheme="minorHAnsi" w:eastAsia="Times New Roman" w:hAnsiTheme="minorHAnsi" w:cstheme="minorHAnsi"/>
                <w:sz w:val="20"/>
                <w:szCs w:val="20"/>
                <w:lang w:val="fr-FR" w:eastAsia="en-GB"/>
              </w:rPr>
              <w:t>3,742</w:t>
            </w:r>
          </w:p>
        </w:tc>
      </w:tr>
      <w:tr w:rsidR="005D0A19" w:rsidRPr="00A4333E" w14:paraId="277C56FA" w14:textId="77777777" w:rsidTr="00EF4718">
        <w:tc>
          <w:tcPr>
            <w:tcW w:w="3690" w:type="dxa"/>
            <w:tcBorders>
              <w:top w:val="nil"/>
              <w:left w:val="single" w:sz="4" w:space="0" w:color="auto"/>
              <w:bottom w:val="single" w:sz="4" w:space="0" w:color="auto"/>
              <w:right w:val="single" w:sz="4" w:space="0" w:color="auto"/>
            </w:tcBorders>
            <w:shd w:val="clear" w:color="auto" w:fill="auto"/>
            <w:noWrap/>
            <w:vAlign w:val="center"/>
          </w:tcPr>
          <w:p w14:paraId="2DD705A7" w14:textId="1A376636" w:rsidR="005D0A19" w:rsidRPr="003F50B6" w:rsidRDefault="00EC2718" w:rsidP="00483E42">
            <w:pPr>
              <w:ind w:left="0" w:firstLine="0"/>
              <w:rPr>
                <w:rFonts w:asciiTheme="minorHAnsi" w:eastAsia="Times New Roman" w:hAnsiTheme="minorHAnsi" w:cstheme="minorHAnsi"/>
                <w:sz w:val="20"/>
                <w:szCs w:val="20"/>
                <w:lang w:val="fr-FR" w:eastAsia="en-GB"/>
              </w:rPr>
            </w:pPr>
            <w:r w:rsidRPr="003F50B6">
              <w:rPr>
                <w:rFonts w:asciiTheme="minorHAnsi" w:hAnsiTheme="minorHAnsi" w:cstheme="minorHAnsi"/>
                <w:sz w:val="20"/>
                <w:szCs w:val="20"/>
                <w:lang w:val="fr-FR"/>
              </w:rPr>
              <w:t>Voyages</w:t>
            </w:r>
          </w:p>
        </w:tc>
        <w:tc>
          <w:tcPr>
            <w:tcW w:w="1134" w:type="dxa"/>
            <w:tcBorders>
              <w:top w:val="nil"/>
              <w:left w:val="nil"/>
              <w:bottom w:val="single" w:sz="4" w:space="0" w:color="auto"/>
              <w:right w:val="single" w:sz="4" w:space="0" w:color="auto"/>
            </w:tcBorders>
          </w:tcPr>
          <w:p w14:paraId="252CF947" w14:textId="569DA31C" w:rsidR="005D0A19" w:rsidRPr="003F50B6" w:rsidRDefault="005D0A19" w:rsidP="00483E42">
            <w:pPr>
              <w:ind w:left="0" w:firstLine="0"/>
              <w:jc w:val="right"/>
              <w:rPr>
                <w:rFonts w:asciiTheme="minorHAnsi" w:eastAsia="Times New Roman" w:hAnsiTheme="minorHAnsi" w:cstheme="minorHAnsi"/>
                <w:sz w:val="20"/>
                <w:szCs w:val="20"/>
                <w:lang w:val="fr-FR" w:eastAsia="en-GB"/>
              </w:rPr>
            </w:pPr>
            <w:r w:rsidRPr="003F50B6">
              <w:rPr>
                <w:rFonts w:asciiTheme="minorHAnsi" w:eastAsia="Times New Roman" w:hAnsiTheme="minorHAnsi" w:cstheme="minorHAnsi"/>
                <w:sz w:val="20"/>
                <w:szCs w:val="20"/>
                <w:lang w:val="fr-FR" w:eastAsia="en-GB"/>
              </w:rPr>
              <w:t>67</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2D00AFB6" w14:textId="6A3F9B12" w:rsidR="005D0A19" w:rsidRPr="003F50B6" w:rsidRDefault="005D0A19" w:rsidP="00483E42">
            <w:pPr>
              <w:ind w:left="0" w:firstLine="0"/>
              <w:jc w:val="right"/>
              <w:rPr>
                <w:rFonts w:asciiTheme="minorHAnsi" w:eastAsia="Times New Roman" w:hAnsiTheme="minorHAnsi" w:cstheme="minorHAnsi"/>
                <w:sz w:val="20"/>
                <w:szCs w:val="20"/>
                <w:lang w:val="fr-FR" w:eastAsia="en-GB"/>
              </w:rPr>
            </w:pPr>
            <w:r w:rsidRPr="003F50B6">
              <w:rPr>
                <w:rFonts w:asciiTheme="minorHAnsi" w:eastAsia="Times New Roman" w:hAnsiTheme="minorHAnsi" w:cstheme="minorHAnsi"/>
                <w:sz w:val="20"/>
                <w:szCs w:val="20"/>
                <w:lang w:val="fr-FR" w:eastAsia="en-GB"/>
              </w:rPr>
              <w:t>67</w:t>
            </w:r>
          </w:p>
        </w:tc>
        <w:tc>
          <w:tcPr>
            <w:tcW w:w="1134" w:type="dxa"/>
            <w:tcBorders>
              <w:top w:val="nil"/>
              <w:left w:val="nil"/>
              <w:bottom w:val="single" w:sz="4" w:space="0" w:color="auto"/>
              <w:right w:val="single" w:sz="4" w:space="0" w:color="auto"/>
            </w:tcBorders>
            <w:shd w:val="clear" w:color="auto" w:fill="auto"/>
            <w:noWrap/>
            <w:vAlign w:val="center"/>
          </w:tcPr>
          <w:p w14:paraId="0E619D01" w14:textId="77777777" w:rsidR="005D0A19" w:rsidRPr="003F50B6" w:rsidRDefault="005D0A19" w:rsidP="00483E42">
            <w:pPr>
              <w:ind w:left="0" w:firstLine="0"/>
              <w:jc w:val="right"/>
              <w:rPr>
                <w:rFonts w:asciiTheme="minorHAnsi" w:eastAsia="Times New Roman" w:hAnsiTheme="minorHAnsi" w:cstheme="minorHAnsi"/>
                <w:sz w:val="20"/>
                <w:szCs w:val="20"/>
                <w:lang w:val="fr-FR" w:eastAsia="en-GB"/>
              </w:rPr>
            </w:pPr>
            <w:r w:rsidRPr="003F50B6">
              <w:rPr>
                <w:rFonts w:asciiTheme="minorHAnsi" w:eastAsia="Times New Roman" w:hAnsiTheme="minorHAnsi" w:cstheme="minorHAnsi"/>
                <w:sz w:val="20"/>
                <w:szCs w:val="20"/>
                <w:lang w:val="fr-FR" w:eastAsia="en-GB"/>
              </w:rPr>
              <w:t>67</w:t>
            </w:r>
          </w:p>
        </w:tc>
        <w:tc>
          <w:tcPr>
            <w:tcW w:w="993" w:type="dxa"/>
            <w:tcBorders>
              <w:top w:val="nil"/>
              <w:left w:val="nil"/>
              <w:bottom w:val="single" w:sz="4" w:space="0" w:color="auto"/>
              <w:right w:val="single" w:sz="4" w:space="0" w:color="auto"/>
            </w:tcBorders>
            <w:shd w:val="clear" w:color="auto" w:fill="auto"/>
            <w:noWrap/>
            <w:vAlign w:val="center"/>
          </w:tcPr>
          <w:p w14:paraId="51D0F891" w14:textId="77777777" w:rsidR="005D0A19" w:rsidRPr="003F50B6" w:rsidRDefault="005D0A19" w:rsidP="00483E42">
            <w:pPr>
              <w:ind w:left="0" w:firstLine="0"/>
              <w:jc w:val="right"/>
              <w:rPr>
                <w:rFonts w:asciiTheme="minorHAnsi" w:eastAsia="Times New Roman" w:hAnsiTheme="minorHAnsi" w:cstheme="minorHAnsi"/>
                <w:color w:val="000000"/>
                <w:sz w:val="20"/>
                <w:szCs w:val="20"/>
                <w:lang w:val="fr-FR" w:eastAsia="en-GB"/>
              </w:rPr>
            </w:pPr>
            <w:r w:rsidRPr="003F50B6">
              <w:rPr>
                <w:rFonts w:asciiTheme="minorHAnsi" w:eastAsia="Times New Roman" w:hAnsiTheme="minorHAnsi" w:cstheme="minorHAnsi"/>
                <w:color w:val="000000"/>
                <w:sz w:val="20"/>
                <w:szCs w:val="20"/>
                <w:lang w:val="fr-FR" w:eastAsia="en-GB"/>
              </w:rPr>
              <w:t>67</w:t>
            </w:r>
          </w:p>
        </w:tc>
        <w:tc>
          <w:tcPr>
            <w:tcW w:w="1275" w:type="dxa"/>
            <w:tcBorders>
              <w:top w:val="nil"/>
              <w:left w:val="nil"/>
              <w:bottom w:val="single" w:sz="4" w:space="0" w:color="auto"/>
              <w:right w:val="single" w:sz="4" w:space="0" w:color="auto"/>
            </w:tcBorders>
            <w:shd w:val="clear" w:color="auto" w:fill="auto"/>
            <w:noWrap/>
            <w:vAlign w:val="center"/>
          </w:tcPr>
          <w:p w14:paraId="58DCBE46" w14:textId="77777777" w:rsidR="005D0A19" w:rsidRPr="003F50B6" w:rsidRDefault="005D0A19" w:rsidP="00483E42">
            <w:pPr>
              <w:ind w:left="0" w:firstLine="0"/>
              <w:jc w:val="right"/>
              <w:rPr>
                <w:rFonts w:asciiTheme="minorHAnsi" w:eastAsia="Times New Roman" w:hAnsiTheme="minorHAnsi" w:cstheme="minorHAnsi"/>
                <w:sz w:val="20"/>
                <w:szCs w:val="20"/>
                <w:lang w:val="fr-FR" w:eastAsia="en-GB"/>
              </w:rPr>
            </w:pPr>
            <w:r w:rsidRPr="003F50B6">
              <w:rPr>
                <w:rFonts w:asciiTheme="minorHAnsi" w:eastAsia="Times New Roman" w:hAnsiTheme="minorHAnsi" w:cstheme="minorHAnsi"/>
                <w:sz w:val="20"/>
                <w:szCs w:val="20"/>
                <w:lang w:val="fr-FR" w:eastAsia="en-GB"/>
              </w:rPr>
              <w:t>201</w:t>
            </w:r>
          </w:p>
        </w:tc>
      </w:tr>
      <w:tr w:rsidR="005D0A19" w:rsidRPr="00A4333E" w14:paraId="20CA2729" w14:textId="77777777" w:rsidTr="00EF4718">
        <w:tc>
          <w:tcPr>
            <w:tcW w:w="3690" w:type="dxa"/>
            <w:tcBorders>
              <w:top w:val="nil"/>
              <w:left w:val="single" w:sz="4" w:space="0" w:color="auto"/>
              <w:bottom w:val="single" w:sz="4" w:space="0" w:color="auto"/>
              <w:right w:val="single" w:sz="4" w:space="0" w:color="auto"/>
            </w:tcBorders>
            <w:shd w:val="clear" w:color="000000" w:fill="C4D79B"/>
            <w:noWrap/>
            <w:vAlign w:val="center"/>
          </w:tcPr>
          <w:p w14:paraId="68217C99" w14:textId="15FA9799" w:rsidR="005D0A19" w:rsidRPr="003F50B6" w:rsidRDefault="005D0A19" w:rsidP="00483E42">
            <w:pPr>
              <w:ind w:left="0" w:firstLine="0"/>
              <w:rPr>
                <w:rFonts w:asciiTheme="minorHAnsi" w:eastAsia="Times New Roman" w:hAnsiTheme="minorHAnsi" w:cstheme="minorHAnsi"/>
                <w:b/>
                <w:bCs/>
                <w:sz w:val="20"/>
                <w:szCs w:val="20"/>
                <w:lang w:val="fr-FR" w:eastAsia="en-GB"/>
              </w:rPr>
            </w:pPr>
            <w:r w:rsidRPr="003F50B6">
              <w:rPr>
                <w:rFonts w:asciiTheme="minorHAnsi" w:eastAsia="Times New Roman" w:hAnsiTheme="minorHAnsi" w:cstheme="minorHAnsi"/>
                <w:b/>
                <w:bCs/>
                <w:sz w:val="20"/>
                <w:szCs w:val="20"/>
                <w:lang w:val="fr-FR" w:eastAsia="en-GB"/>
              </w:rPr>
              <w:t xml:space="preserve">D. </w:t>
            </w:r>
            <w:r w:rsidR="00EC2718" w:rsidRPr="003F50B6">
              <w:rPr>
                <w:rFonts w:asciiTheme="minorHAnsi" w:eastAsia="Times New Roman" w:hAnsiTheme="minorHAnsi" w:cstheme="minorHAnsi"/>
                <w:b/>
                <w:bCs/>
                <w:sz w:val="20"/>
                <w:szCs w:val="20"/>
                <w:lang w:val="fr-FR" w:eastAsia="en-GB"/>
              </w:rPr>
              <w:t>Appui aux Initiatives régionales</w:t>
            </w:r>
          </w:p>
        </w:tc>
        <w:tc>
          <w:tcPr>
            <w:tcW w:w="1134" w:type="dxa"/>
            <w:tcBorders>
              <w:top w:val="nil"/>
              <w:left w:val="nil"/>
              <w:bottom w:val="single" w:sz="4" w:space="0" w:color="auto"/>
              <w:right w:val="single" w:sz="4" w:space="0" w:color="auto"/>
            </w:tcBorders>
            <w:shd w:val="clear" w:color="000000" w:fill="C4D79B"/>
          </w:tcPr>
          <w:p w14:paraId="16217369" w14:textId="3E908685" w:rsidR="005D0A19" w:rsidRPr="003F50B6" w:rsidRDefault="005D0A19" w:rsidP="00483E42">
            <w:pPr>
              <w:ind w:left="0" w:firstLine="0"/>
              <w:jc w:val="right"/>
              <w:rPr>
                <w:rFonts w:asciiTheme="minorHAnsi" w:eastAsia="Times New Roman" w:hAnsiTheme="minorHAnsi" w:cstheme="minorHAnsi"/>
                <w:b/>
                <w:bCs/>
                <w:color w:val="000000"/>
                <w:sz w:val="20"/>
                <w:szCs w:val="20"/>
                <w:lang w:val="fr-FR" w:eastAsia="en-GB"/>
              </w:rPr>
            </w:pPr>
            <w:r w:rsidRPr="003F50B6">
              <w:rPr>
                <w:rFonts w:asciiTheme="minorHAnsi" w:eastAsia="Times New Roman" w:hAnsiTheme="minorHAnsi" w:cstheme="minorHAnsi"/>
                <w:b/>
                <w:bCs/>
                <w:color w:val="000000"/>
                <w:sz w:val="20"/>
                <w:szCs w:val="20"/>
                <w:lang w:val="fr-FR" w:eastAsia="en-GB"/>
              </w:rPr>
              <w:t>100</w:t>
            </w:r>
          </w:p>
        </w:tc>
        <w:tc>
          <w:tcPr>
            <w:tcW w:w="1134" w:type="dxa"/>
            <w:tcBorders>
              <w:top w:val="nil"/>
              <w:left w:val="single" w:sz="4" w:space="0" w:color="auto"/>
              <w:bottom w:val="single" w:sz="4" w:space="0" w:color="auto"/>
              <w:right w:val="single" w:sz="4" w:space="0" w:color="auto"/>
            </w:tcBorders>
            <w:shd w:val="clear" w:color="000000" w:fill="C4D79B"/>
            <w:noWrap/>
            <w:vAlign w:val="center"/>
          </w:tcPr>
          <w:p w14:paraId="67B5FA3B" w14:textId="4963D64F" w:rsidR="005D0A19" w:rsidRPr="003F50B6" w:rsidRDefault="005D0A19" w:rsidP="00483E42">
            <w:pPr>
              <w:ind w:left="0" w:firstLine="0"/>
              <w:jc w:val="right"/>
              <w:rPr>
                <w:rFonts w:asciiTheme="minorHAnsi" w:eastAsia="Times New Roman" w:hAnsiTheme="minorHAnsi" w:cstheme="minorHAnsi"/>
                <w:b/>
                <w:bCs/>
                <w:color w:val="000000"/>
                <w:sz w:val="20"/>
                <w:szCs w:val="20"/>
                <w:lang w:val="fr-FR" w:eastAsia="en-GB"/>
              </w:rPr>
            </w:pPr>
            <w:r w:rsidRPr="003F50B6">
              <w:rPr>
                <w:rFonts w:asciiTheme="minorHAnsi" w:eastAsia="Times New Roman" w:hAnsiTheme="minorHAnsi" w:cstheme="minorHAnsi"/>
                <w:b/>
                <w:bCs/>
                <w:color w:val="000000"/>
                <w:sz w:val="20"/>
                <w:szCs w:val="20"/>
                <w:lang w:val="fr-FR" w:eastAsia="en-GB"/>
              </w:rPr>
              <w:t>100</w:t>
            </w:r>
          </w:p>
        </w:tc>
        <w:tc>
          <w:tcPr>
            <w:tcW w:w="1134" w:type="dxa"/>
            <w:tcBorders>
              <w:top w:val="nil"/>
              <w:left w:val="nil"/>
              <w:bottom w:val="single" w:sz="4" w:space="0" w:color="auto"/>
              <w:right w:val="single" w:sz="4" w:space="0" w:color="auto"/>
            </w:tcBorders>
            <w:shd w:val="clear" w:color="000000" w:fill="C4D79B"/>
            <w:noWrap/>
            <w:vAlign w:val="center"/>
          </w:tcPr>
          <w:p w14:paraId="4B4DA4EA" w14:textId="77777777" w:rsidR="005D0A19" w:rsidRPr="003F50B6" w:rsidRDefault="005D0A19" w:rsidP="00483E42">
            <w:pPr>
              <w:ind w:left="0" w:firstLine="0"/>
              <w:jc w:val="right"/>
              <w:rPr>
                <w:rFonts w:asciiTheme="minorHAnsi" w:eastAsia="Times New Roman" w:hAnsiTheme="minorHAnsi" w:cstheme="minorHAnsi"/>
                <w:b/>
                <w:bCs/>
                <w:color w:val="000000"/>
                <w:sz w:val="20"/>
                <w:szCs w:val="20"/>
                <w:lang w:val="fr-FR" w:eastAsia="en-GB"/>
              </w:rPr>
            </w:pPr>
            <w:r w:rsidRPr="003F50B6">
              <w:rPr>
                <w:rFonts w:asciiTheme="minorHAnsi" w:eastAsia="Times New Roman" w:hAnsiTheme="minorHAnsi" w:cstheme="minorHAnsi"/>
                <w:b/>
                <w:bCs/>
                <w:color w:val="000000"/>
                <w:sz w:val="20"/>
                <w:szCs w:val="20"/>
                <w:lang w:val="fr-FR" w:eastAsia="en-GB"/>
              </w:rPr>
              <w:t>100</w:t>
            </w:r>
          </w:p>
        </w:tc>
        <w:tc>
          <w:tcPr>
            <w:tcW w:w="993" w:type="dxa"/>
            <w:tcBorders>
              <w:top w:val="nil"/>
              <w:left w:val="nil"/>
              <w:bottom w:val="single" w:sz="4" w:space="0" w:color="auto"/>
              <w:right w:val="single" w:sz="4" w:space="0" w:color="auto"/>
            </w:tcBorders>
            <w:shd w:val="clear" w:color="000000" w:fill="C4D79B"/>
            <w:noWrap/>
            <w:vAlign w:val="center"/>
          </w:tcPr>
          <w:p w14:paraId="7CBC8C08" w14:textId="77777777" w:rsidR="005D0A19" w:rsidRPr="003F50B6" w:rsidRDefault="005D0A19" w:rsidP="00483E42">
            <w:pPr>
              <w:ind w:left="0" w:firstLine="0"/>
              <w:jc w:val="right"/>
              <w:rPr>
                <w:rFonts w:asciiTheme="minorHAnsi" w:eastAsia="Times New Roman" w:hAnsiTheme="minorHAnsi" w:cstheme="minorHAnsi"/>
                <w:b/>
                <w:bCs/>
                <w:color w:val="000000"/>
                <w:sz w:val="20"/>
                <w:szCs w:val="20"/>
                <w:lang w:val="fr-FR" w:eastAsia="en-GB"/>
              </w:rPr>
            </w:pPr>
            <w:r w:rsidRPr="003F50B6">
              <w:rPr>
                <w:rFonts w:asciiTheme="minorHAnsi" w:eastAsia="Times New Roman" w:hAnsiTheme="minorHAnsi" w:cstheme="minorHAnsi"/>
                <w:b/>
                <w:bCs/>
                <w:color w:val="000000"/>
                <w:sz w:val="20"/>
                <w:szCs w:val="20"/>
                <w:lang w:val="fr-FR" w:eastAsia="en-GB"/>
              </w:rPr>
              <w:t>100</w:t>
            </w:r>
          </w:p>
        </w:tc>
        <w:tc>
          <w:tcPr>
            <w:tcW w:w="1275" w:type="dxa"/>
            <w:tcBorders>
              <w:top w:val="nil"/>
              <w:left w:val="nil"/>
              <w:bottom w:val="single" w:sz="4" w:space="0" w:color="auto"/>
              <w:right w:val="single" w:sz="4" w:space="0" w:color="auto"/>
            </w:tcBorders>
            <w:shd w:val="clear" w:color="000000" w:fill="C4D79B"/>
            <w:noWrap/>
            <w:vAlign w:val="center"/>
          </w:tcPr>
          <w:p w14:paraId="685505BE" w14:textId="77777777" w:rsidR="005D0A19" w:rsidRPr="003F50B6" w:rsidRDefault="005D0A19" w:rsidP="00483E42">
            <w:pPr>
              <w:ind w:left="0" w:firstLine="0"/>
              <w:jc w:val="right"/>
              <w:rPr>
                <w:rFonts w:asciiTheme="minorHAnsi" w:eastAsia="Times New Roman" w:hAnsiTheme="minorHAnsi" w:cstheme="minorHAnsi"/>
                <w:b/>
                <w:bCs/>
                <w:color w:val="000000"/>
                <w:sz w:val="20"/>
                <w:szCs w:val="20"/>
                <w:lang w:val="fr-FR" w:eastAsia="en-GB"/>
              </w:rPr>
            </w:pPr>
            <w:r w:rsidRPr="003F50B6">
              <w:rPr>
                <w:rFonts w:asciiTheme="minorHAnsi" w:eastAsia="Times New Roman" w:hAnsiTheme="minorHAnsi" w:cstheme="minorHAnsi"/>
                <w:b/>
                <w:bCs/>
                <w:color w:val="000000"/>
                <w:sz w:val="20"/>
                <w:szCs w:val="20"/>
                <w:lang w:val="fr-FR" w:eastAsia="en-GB"/>
              </w:rPr>
              <w:t>300</w:t>
            </w:r>
          </w:p>
        </w:tc>
      </w:tr>
      <w:tr w:rsidR="005D0A19" w:rsidRPr="00A4333E" w14:paraId="02161FC7" w14:textId="77777777" w:rsidTr="00EF4718">
        <w:tc>
          <w:tcPr>
            <w:tcW w:w="3690" w:type="dxa"/>
            <w:tcBorders>
              <w:top w:val="nil"/>
              <w:left w:val="single" w:sz="4" w:space="0" w:color="auto"/>
              <w:bottom w:val="single" w:sz="4" w:space="0" w:color="auto"/>
              <w:right w:val="single" w:sz="4" w:space="0" w:color="auto"/>
            </w:tcBorders>
            <w:shd w:val="clear" w:color="auto" w:fill="auto"/>
            <w:noWrap/>
            <w:vAlign w:val="center"/>
          </w:tcPr>
          <w:p w14:paraId="064D2145" w14:textId="08655194" w:rsidR="005D0A19" w:rsidRPr="003F50B6" w:rsidRDefault="00EC2718" w:rsidP="00483E42">
            <w:pPr>
              <w:ind w:left="0" w:firstLine="0"/>
              <w:rPr>
                <w:rFonts w:asciiTheme="minorHAnsi" w:eastAsia="Times New Roman" w:hAnsiTheme="minorHAnsi" w:cstheme="minorHAnsi"/>
                <w:sz w:val="20"/>
                <w:szCs w:val="20"/>
                <w:lang w:val="fr-FR" w:eastAsia="en-GB"/>
              </w:rPr>
            </w:pPr>
            <w:r w:rsidRPr="003F50B6">
              <w:rPr>
                <w:rFonts w:asciiTheme="minorHAnsi" w:eastAsia="Times New Roman" w:hAnsiTheme="minorHAnsi" w:cstheme="minorHAnsi"/>
                <w:sz w:val="20"/>
                <w:szCs w:val="20"/>
                <w:lang w:val="fr-FR" w:eastAsia="en-GB"/>
              </w:rPr>
              <w:t>Réseaux et centres régionaux</w:t>
            </w:r>
          </w:p>
        </w:tc>
        <w:tc>
          <w:tcPr>
            <w:tcW w:w="1134" w:type="dxa"/>
            <w:tcBorders>
              <w:top w:val="nil"/>
              <w:left w:val="nil"/>
              <w:bottom w:val="single" w:sz="4" w:space="0" w:color="auto"/>
              <w:right w:val="single" w:sz="4" w:space="0" w:color="auto"/>
            </w:tcBorders>
          </w:tcPr>
          <w:p w14:paraId="0F871C1F" w14:textId="684AB067" w:rsidR="005D0A19" w:rsidRPr="003F50B6" w:rsidRDefault="005D0A19" w:rsidP="00483E42">
            <w:pPr>
              <w:ind w:left="0" w:firstLine="0"/>
              <w:jc w:val="right"/>
              <w:rPr>
                <w:rFonts w:asciiTheme="minorHAnsi" w:eastAsia="Times New Roman" w:hAnsiTheme="minorHAnsi" w:cstheme="minorHAnsi"/>
                <w:sz w:val="20"/>
                <w:szCs w:val="20"/>
                <w:lang w:val="fr-FR" w:eastAsia="en-GB"/>
              </w:rPr>
            </w:pPr>
            <w:r w:rsidRPr="003F50B6">
              <w:rPr>
                <w:rFonts w:asciiTheme="minorHAnsi" w:eastAsia="Times New Roman" w:hAnsiTheme="minorHAnsi" w:cstheme="minorHAnsi"/>
                <w:sz w:val="20"/>
                <w:szCs w:val="20"/>
                <w:lang w:val="fr-FR" w:eastAsia="en-GB"/>
              </w:rPr>
              <w:t>100</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58021195" w14:textId="1C554D67" w:rsidR="005D0A19" w:rsidRPr="003F50B6" w:rsidRDefault="005D0A19" w:rsidP="00483E42">
            <w:pPr>
              <w:ind w:left="0" w:firstLine="0"/>
              <w:jc w:val="right"/>
              <w:rPr>
                <w:rFonts w:asciiTheme="minorHAnsi" w:eastAsia="Times New Roman" w:hAnsiTheme="minorHAnsi" w:cstheme="minorHAnsi"/>
                <w:sz w:val="20"/>
                <w:szCs w:val="20"/>
                <w:lang w:val="fr-FR" w:eastAsia="en-GB"/>
              </w:rPr>
            </w:pPr>
            <w:r w:rsidRPr="003F50B6">
              <w:rPr>
                <w:rFonts w:asciiTheme="minorHAnsi" w:eastAsia="Times New Roman" w:hAnsiTheme="minorHAnsi" w:cstheme="minorHAnsi"/>
                <w:sz w:val="20"/>
                <w:szCs w:val="20"/>
                <w:lang w:val="fr-FR" w:eastAsia="en-GB"/>
              </w:rPr>
              <w:t>100</w:t>
            </w:r>
          </w:p>
        </w:tc>
        <w:tc>
          <w:tcPr>
            <w:tcW w:w="1134" w:type="dxa"/>
            <w:tcBorders>
              <w:top w:val="nil"/>
              <w:left w:val="nil"/>
              <w:bottom w:val="single" w:sz="4" w:space="0" w:color="auto"/>
              <w:right w:val="single" w:sz="4" w:space="0" w:color="auto"/>
            </w:tcBorders>
            <w:shd w:val="clear" w:color="auto" w:fill="auto"/>
            <w:noWrap/>
            <w:vAlign w:val="center"/>
          </w:tcPr>
          <w:p w14:paraId="62695FD6" w14:textId="77777777" w:rsidR="005D0A19" w:rsidRPr="003F50B6" w:rsidRDefault="005D0A19" w:rsidP="00483E42">
            <w:pPr>
              <w:ind w:left="0" w:firstLine="0"/>
              <w:jc w:val="right"/>
              <w:rPr>
                <w:rFonts w:asciiTheme="minorHAnsi" w:eastAsia="Times New Roman" w:hAnsiTheme="minorHAnsi" w:cstheme="minorHAnsi"/>
                <w:sz w:val="20"/>
                <w:szCs w:val="20"/>
                <w:lang w:val="fr-FR" w:eastAsia="en-GB"/>
              </w:rPr>
            </w:pPr>
            <w:r w:rsidRPr="003F50B6">
              <w:rPr>
                <w:rFonts w:asciiTheme="minorHAnsi" w:eastAsia="Times New Roman" w:hAnsiTheme="minorHAnsi" w:cstheme="minorHAnsi"/>
                <w:sz w:val="20"/>
                <w:szCs w:val="20"/>
                <w:lang w:val="fr-FR" w:eastAsia="en-GB"/>
              </w:rPr>
              <w:t>100</w:t>
            </w:r>
          </w:p>
        </w:tc>
        <w:tc>
          <w:tcPr>
            <w:tcW w:w="993" w:type="dxa"/>
            <w:tcBorders>
              <w:top w:val="nil"/>
              <w:left w:val="nil"/>
              <w:bottom w:val="single" w:sz="4" w:space="0" w:color="auto"/>
              <w:right w:val="single" w:sz="4" w:space="0" w:color="auto"/>
            </w:tcBorders>
            <w:shd w:val="clear" w:color="auto" w:fill="auto"/>
            <w:noWrap/>
            <w:vAlign w:val="center"/>
          </w:tcPr>
          <w:p w14:paraId="7F8E855B" w14:textId="77777777" w:rsidR="005D0A19" w:rsidRPr="003F50B6" w:rsidRDefault="005D0A19" w:rsidP="00483E42">
            <w:pPr>
              <w:ind w:left="0" w:firstLine="0"/>
              <w:jc w:val="right"/>
              <w:rPr>
                <w:rFonts w:asciiTheme="minorHAnsi" w:eastAsia="Times New Roman" w:hAnsiTheme="minorHAnsi" w:cstheme="minorHAnsi"/>
                <w:color w:val="000000"/>
                <w:sz w:val="20"/>
                <w:szCs w:val="20"/>
                <w:lang w:val="fr-FR" w:eastAsia="en-GB"/>
              </w:rPr>
            </w:pPr>
            <w:r w:rsidRPr="003F50B6">
              <w:rPr>
                <w:rFonts w:asciiTheme="minorHAnsi" w:eastAsia="Times New Roman" w:hAnsiTheme="minorHAnsi" w:cstheme="minorHAnsi"/>
                <w:color w:val="000000"/>
                <w:sz w:val="20"/>
                <w:szCs w:val="20"/>
                <w:lang w:val="fr-FR" w:eastAsia="en-GB"/>
              </w:rPr>
              <w:t>100</w:t>
            </w:r>
          </w:p>
        </w:tc>
        <w:tc>
          <w:tcPr>
            <w:tcW w:w="1275" w:type="dxa"/>
            <w:tcBorders>
              <w:top w:val="nil"/>
              <w:left w:val="nil"/>
              <w:bottom w:val="single" w:sz="4" w:space="0" w:color="auto"/>
              <w:right w:val="single" w:sz="4" w:space="0" w:color="auto"/>
            </w:tcBorders>
            <w:shd w:val="clear" w:color="auto" w:fill="auto"/>
            <w:noWrap/>
            <w:vAlign w:val="center"/>
          </w:tcPr>
          <w:p w14:paraId="199EF47D" w14:textId="77777777" w:rsidR="005D0A19" w:rsidRPr="003F50B6" w:rsidRDefault="005D0A19" w:rsidP="00483E42">
            <w:pPr>
              <w:ind w:left="0" w:firstLine="0"/>
              <w:jc w:val="right"/>
              <w:rPr>
                <w:rFonts w:asciiTheme="minorHAnsi" w:eastAsia="Times New Roman" w:hAnsiTheme="minorHAnsi" w:cstheme="minorHAnsi"/>
                <w:sz w:val="20"/>
                <w:szCs w:val="20"/>
                <w:lang w:val="fr-FR" w:eastAsia="en-GB"/>
              </w:rPr>
            </w:pPr>
            <w:r w:rsidRPr="003F50B6">
              <w:rPr>
                <w:rFonts w:asciiTheme="minorHAnsi" w:eastAsia="Times New Roman" w:hAnsiTheme="minorHAnsi" w:cstheme="minorHAnsi"/>
                <w:sz w:val="20"/>
                <w:szCs w:val="20"/>
                <w:lang w:val="fr-FR" w:eastAsia="en-GB"/>
              </w:rPr>
              <w:t>300</w:t>
            </w:r>
          </w:p>
        </w:tc>
      </w:tr>
      <w:tr w:rsidR="005D0A19" w:rsidRPr="00A4333E" w14:paraId="29B7993B" w14:textId="77777777" w:rsidTr="00EF4718">
        <w:tc>
          <w:tcPr>
            <w:tcW w:w="3690" w:type="dxa"/>
            <w:tcBorders>
              <w:top w:val="nil"/>
              <w:left w:val="single" w:sz="4" w:space="0" w:color="auto"/>
              <w:bottom w:val="single" w:sz="4" w:space="0" w:color="auto"/>
              <w:right w:val="single" w:sz="4" w:space="0" w:color="auto"/>
            </w:tcBorders>
            <w:shd w:val="clear" w:color="000000" w:fill="C4D79B"/>
            <w:noWrap/>
            <w:vAlign w:val="center"/>
          </w:tcPr>
          <w:p w14:paraId="25CDC9E5" w14:textId="034215A4" w:rsidR="005D0A19" w:rsidRPr="003F50B6" w:rsidRDefault="005D0A19" w:rsidP="00483E42">
            <w:pPr>
              <w:ind w:left="0" w:firstLine="0"/>
              <w:rPr>
                <w:rFonts w:asciiTheme="minorHAnsi" w:eastAsia="Times New Roman" w:hAnsiTheme="minorHAnsi" w:cstheme="minorHAnsi"/>
                <w:b/>
                <w:bCs/>
                <w:sz w:val="20"/>
                <w:szCs w:val="20"/>
                <w:lang w:val="fr-FR" w:eastAsia="en-GB"/>
              </w:rPr>
            </w:pPr>
            <w:r w:rsidRPr="003F50B6">
              <w:rPr>
                <w:rFonts w:asciiTheme="minorHAnsi" w:eastAsia="Times New Roman" w:hAnsiTheme="minorHAnsi" w:cstheme="minorHAnsi"/>
                <w:b/>
                <w:bCs/>
                <w:sz w:val="20"/>
                <w:szCs w:val="20"/>
                <w:lang w:val="fr-FR" w:eastAsia="en-GB"/>
              </w:rPr>
              <w:t>E. Science</w:t>
            </w:r>
            <w:r w:rsidR="00447ECB" w:rsidRPr="003F50B6">
              <w:rPr>
                <w:rFonts w:asciiTheme="minorHAnsi" w:eastAsia="Times New Roman" w:hAnsiTheme="minorHAnsi" w:cstheme="minorHAnsi"/>
                <w:b/>
                <w:bCs/>
                <w:sz w:val="20"/>
                <w:szCs w:val="20"/>
                <w:lang w:val="fr-FR" w:eastAsia="en-GB"/>
              </w:rPr>
              <w:t>s</w:t>
            </w:r>
            <w:r w:rsidRPr="003F50B6">
              <w:rPr>
                <w:rFonts w:asciiTheme="minorHAnsi" w:eastAsia="Times New Roman" w:hAnsiTheme="minorHAnsi" w:cstheme="minorHAnsi"/>
                <w:b/>
                <w:bCs/>
                <w:sz w:val="20"/>
                <w:szCs w:val="20"/>
                <w:lang w:val="fr-FR" w:eastAsia="en-GB"/>
              </w:rPr>
              <w:t xml:space="preserve"> </w:t>
            </w:r>
            <w:r w:rsidR="00447ECB" w:rsidRPr="003F50B6">
              <w:rPr>
                <w:rFonts w:asciiTheme="minorHAnsi" w:eastAsia="Times New Roman" w:hAnsiTheme="minorHAnsi" w:cstheme="minorHAnsi"/>
                <w:b/>
                <w:bCs/>
                <w:sz w:val="20"/>
                <w:szCs w:val="20"/>
                <w:lang w:val="fr-FR" w:eastAsia="en-GB"/>
              </w:rPr>
              <w:t>et</w:t>
            </w:r>
            <w:r w:rsidRPr="003F50B6">
              <w:rPr>
                <w:rFonts w:asciiTheme="minorHAnsi" w:eastAsia="Times New Roman" w:hAnsiTheme="minorHAnsi" w:cstheme="minorHAnsi"/>
                <w:b/>
                <w:bCs/>
                <w:sz w:val="20"/>
                <w:szCs w:val="20"/>
                <w:lang w:val="fr-FR" w:eastAsia="en-GB"/>
              </w:rPr>
              <w:t xml:space="preserve"> Poli</w:t>
            </w:r>
            <w:r w:rsidR="00447ECB" w:rsidRPr="003F50B6">
              <w:rPr>
                <w:rFonts w:asciiTheme="minorHAnsi" w:eastAsia="Times New Roman" w:hAnsiTheme="minorHAnsi" w:cstheme="minorHAnsi"/>
                <w:b/>
                <w:bCs/>
                <w:sz w:val="20"/>
                <w:szCs w:val="20"/>
                <w:lang w:val="fr-FR" w:eastAsia="en-GB"/>
              </w:rPr>
              <w:t>tiques</w:t>
            </w:r>
          </w:p>
        </w:tc>
        <w:tc>
          <w:tcPr>
            <w:tcW w:w="1134" w:type="dxa"/>
            <w:tcBorders>
              <w:top w:val="nil"/>
              <w:left w:val="nil"/>
              <w:bottom w:val="single" w:sz="4" w:space="0" w:color="auto"/>
              <w:right w:val="single" w:sz="4" w:space="0" w:color="auto"/>
            </w:tcBorders>
            <w:shd w:val="clear" w:color="000000" w:fill="C4D79B"/>
          </w:tcPr>
          <w:p w14:paraId="5A2FC258" w14:textId="11811547" w:rsidR="005D0A19" w:rsidRPr="003F50B6" w:rsidRDefault="005D0A19" w:rsidP="00483E42">
            <w:pPr>
              <w:ind w:left="0" w:firstLine="0"/>
              <w:jc w:val="right"/>
              <w:rPr>
                <w:rFonts w:asciiTheme="minorHAnsi" w:eastAsia="Times New Roman" w:hAnsiTheme="minorHAnsi" w:cstheme="minorHAnsi"/>
                <w:b/>
                <w:bCs/>
                <w:color w:val="000000"/>
                <w:sz w:val="20"/>
                <w:szCs w:val="20"/>
                <w:lang w:val="fr-FR" w:eastAsia="en-GB"/>
              </w:rPr>
            </w:pPr>
            <w:r w:rsidRPr="003F50B6">
              <w:rPr>
                <w:rFonts w:asciiTheme="minorHAnsi" w:eastAsia="Times New Roman" w:hAnsiTheme="minorHAnsi" w:cstheme="minorHAnsi"/>
                <w:b/>
                <w:bCs/>
                <w:color w:val="000000"/>
                <w:sz w:val="20"/>
                <w:szCs w:val="20"/>
                <w:lang w:val="fr-FR" w:eastAsia="en-GB"/>
              </w:rPr>
              <w:t>839</w:t>
            </w:r>
          </w:p>
        </w:tc>
        <w:tc>
          <w:tcPr>
            <w:tcW w:w="1134" w:type="dxa"/>
            <w:tcBorders>
              <w:top w:val="nil"/>
              <w:left w:val="single" w:sz="4" w:space="0" w:color="auto"/>
              <w:bottom w:val="single" w:sz="4" w:space="0" w:color="auto"/>
              <w:right w:val="single" w:sz="4" w:space="0" w:color="auto"/>
            </w:tcBorders>
            <w:shd w:val="clear" w:color="000000" w:fill="C4D79B"/>
            <w:noWrap/>
            <w:vAlign w:val="center"/>
          </w:tcPr>
          <w:p w14:paraId="62C71D4D" w14:textId="4D4E917A" w:rsidR="005D0A19" w:rsidRPr="003F50B6" w:rsidRDefault="005D0A19" w:rsidP="00483E42">
            <w:pPr>
              <w:ind w:left="0" w:firstLine="0"/>
              <w:jc w:val="right"/>
              <w:rPr>
                <w:rFonts w:asciiTheme="minorHAnsi" w:eastAsia="Times New Roman" w:hAnsiTheme="minorHAnsi" w:cstheme="minorHAnsi"/>
                <w:b/>
                <w:bCs/>
                <w:color w:val="000000"/>
                <w:sz w:val="20"/>
                <w:szCs w:val="20"/>
                <w:lang w:val="fr-FR" w:eastAsia="en-GB"/>
              </w:rPr>
            </w:pPr>
            <w:r w:rsidRPr="003F50B6">
              <w:rPr>
                <w:rFonts w:asciiTheme="minorHAnsi" w:eastAsia="Times New Roman" w:hAnsiTheme="minorHAnsi" w:cstheme="minorHAnsi"/>
                <w:b/>
                <w:bCs/>
                <w:color w:val="000000"/>
                <w:sz w:val="20"/>
                <w:szCs w:val="20"/>
                <w:lang w:val="fr-FR" w:eastAsia="en-GB"/>
              </w:rPr>
              <w:t>840</w:t>
            </w:r>
          </w:p>
        </w:tc>
        <w:tc>
          <w:tcPr>
            <w:tcW w:w="1134" w:type="dxa"/>
            <w:tcBorders>
              <w:top w:val="nil"/>
              <w:left w:val="nil"/>
              <w:bottom w:val="single" w:sz="4" w:space="0" w:color="auto"/>
              <w:right w:val="single" w:sz="4" w:space="0" w:color="auto"/>
            </w:tcBorders>
            <w:shd w:val="clear" w:color="000000" w:fill="C4D79B"/>
            <w:noWrap/>
            <w:vAlign w:val="center"/>
          </w:tcPr>
          <w:p w14:paraId="0BBBEBEB" w14:textId="77777777" w:rsidR="005D0A19" w:rsidRPr="003F50B6" w:rsidRDefault="005D0A19" w:rsidP="00483E42">
            <w:pPr>
              <w:ind w:left="0" w:firstLine="0"/>
              <w:jc w:val="right"/>
              <w:rPr>
                <w:rFonts w:asciiTheme="minorHAnsi" w:eastAsia="Times New Roman" w:hAnsiTheme="minorHAnsi" w:cstheme="minorHAnsi"/>
                <w:b/>
                <w:bCs/>
                <w:color w:val="000000"/>
                <w:sz w:val="20"/>
                <w:szCs w:val="20"/>
                <w:lang w:val="fr-FR" w:eastAsia="en-GB"/>
              </w:rPr>
            </w:pPr>
            <w:r w:rsidRPr="003F50B6">
              <w:rPr>
                <w:rFonts w:asciiTheme="minorHAnsi" w:eastAsia="Times New Roman" w:hAnsiTheme="minorHAnsi" w:cstheme="minorHAnsi"/>
                <w:b/>
                <w:bCs/>
                <w:color w:val="000000"/>
                <w:sz w:val="20"/>
                <w:szCs w:val="20"/>
                <w:lang w:val="fr-FR" w:eastAsia="en-GB"/>
              </w:rPr>
              <w:t>817</w:t>
            </w:r>
          </w:p>
        </w:tc>
        <w:tc>
          <w:tcPr>
            <w:tcW w:w="993" w:type="dxa"/>
            <w:tcBorders>
              <w:top w:val="nil"/>
              <w:left w:val="nil"/>
              <w:bottom w:val="single" w:sz="4" w:space="0" w:color="auto"/>
              <w:right w:val="single" w:sz="4" w:space="0" w:color="auto"/>
            </w:tcBorders>
            <w:shd w:val="clear" w:color="000000" w:fill="C4D79B"/>
            <w:noWrap/>
            <w:vAlign w:val="center"/>
          </w:tcPr>
          <w:p w14:paraId="43563AC9" w14:textId="77777777" w:rsidR="005D0A19" w:rsidRPr="003F50B6" w:rsidRDefault="005D0A19" w:rsidP="00483E42">
            <w:pPr>
              <w:ind w:left="0" w:firstLine="0"/>
              <w:jc w:val="right"/>
              <w:rPr>
                <w:rFonts w:asciiTheme="minorHAnsi" w:eastAsia="Times New Roman" w:hAnsiTheme="minorHAnsi" w:cstheme="minorHAnsi"/>
                <w:b/>
                <w:bCs/>
                <w:color w:val="000000"/>
                <w:sz w:val="20"/>
                <w:szCs w:val="20"/>
                <w:lang w:val="fr-FR" w:eastAsia="en-GB"/>
              </w:rPr>
            </w:pPr>
            <w:r w:rsidRPr="003F50B6">
              <w:rPr>
                <w:rFonts w:asciiTheme="minorHAnsi" w:eastAsia="Times New Roman" w:hAnsiTheme="minorHAnsi" w:cstheme="minorHAnsi"/>
                <w:b/>
                <w:bCs/>
                <w:color w:val="000000"/>
                <w:sz w:val="20"/>
                <w:szCs w:val="20"/>
                <w:lang w:val="fr-FR" w:eastAsia="en-GB"/>
              </w:rPr>
              <w:t>820</w:t>
            </w:r>
          </w:p>
        </w:tc>
        <w:tc>
          <w:tcPr>
            <w:tcW w:w="1275" w:type="dxa"/>
            <w:tcBorders>
              <w:top w:val="nil"/>
              <w:left w:val="nil"/>
              <w:bottom w:val="single" w:sz="4" w:space="0" w:color="auto"/>
              <w:right w:val="single" w:sz="4" w:space="0" w:color="auto"/>
            </w:tcBorders>
            <w:shd w:val="clear" w:color="000000" w:fill="C4D79B"/>
            <w:noWrap/>
            <w:vAlign w:val="center"/>
          </w:tcPr>
          <w:p w14:paraId="5E1A157F" w14:textId="77777777" w:rsidR="005D0A19" w:rsidRPr="003F50B6" w:rsidRDefault="005D0A19" w:rsidP="00483E42">
            <w:pPr>
              <w:ind w:left="0" w:firstLine="0"/>
              <w:jc w:val="right"/>
              <w:rPr>
                <w:rFonts w:asciiTheme="minorHAnsi" w:eastAsia="Times New Roman" w:hAnsiTheme="minorHAnsi" w:cstheme="minorHAnsi"/>
                <w:b/>
                <w:bCs/>
                <w:color w:val="000000"/>
                <w:sz w:val="20"/>
                <w:szCs w:val="20"/>
                <w:lang w:val="fr-FR" w:eastAsia="en-GB"/>
              </w:rPr>
            </w:pPr>
            <w:r w:rsidRPr="003F50B6">
              <w:rPr>
                <w:rFonts w:asciiTheme="minorHAnsi" w:eastAsia="Times New Roman" w:hAnsiTheme="minorHAnsi" w:cstheme="minorHAnsi"/>
                <w:b/>
                <w:bCs/>
                <w:color w:val="000000"/>
                <w:sz w:val="20"/>
                <w:szCs w:val="20"/>
                <w:lang w:val="fr-FR" w:eastAsia="en-GB"/>
              </w:rPr>
              <w:t>2,477</w:t>
            </w:r>
          </w:p>
        </w:tc>
      </w:tr>
      <w:tr w:rsidR="005D0A19" w:rsidRPr="00A4333E" w14:paraId="681EE089" w14:textId="77777777" w:rsidTr="00EF4718">
        <w:tc>
          <w:tcPr>
            <w:tcW w:w="3690" w:type="dxa"/>
            <w:tcBorders>
              <w:top w:val="nil"/>
              <w:left w:val="single" w:sz="4" w:space="0" w:color="auto"/>
              <w:bottom w:val="single" w:sz="4" w:space="0" w:color="auto"/>
              <w:right w:val="single" w:sz="4" w:space="0" w:color="auto"/>
            </w:tcBorders>
            <w:shd w:val="clear" w:color="auto" w:fill="auto"/>
            <w:noWrap/>
            <w:vAlign w:val="center"/>
          </w:tcPr>
          <w:p w14:paraId="037E3C16" w14:textId="404DB75A" w:rsidR="005D0A19" w:rsidRPr="003F50B6" w:rsidRDefault="00EC2718" w:rsidP="00483E42">
            <w:pPr>
              <w:ind w:left="0" w:firstLine="0"/>
              <w:rPr>
                <w:rFonts w:asciiTheme="minorHAnsi" w:eastAsia="Times New Roman" w:hAnsiTheme="minorHAnsi" w:cstheme="minorHAnsi"/>
                <w:sz w:val="20"/>
                <w:szCs w:val="20"/>
                <w:lang w:val="fr-FR" w:eastAsia="en-GB"/>
              </w:rPr>
            </w:pPr>
            <w:r w:rsidRPr="003F50B6">
              <w:rPr>
                <w:rFonts w:asciiTheme="minorHAnsi" w:hAnsiTheme="minorHAnsi" w:cstheme="minorHAnsi"/>
                <w:sz w:val="20"/>
                <w:szCs w:val="20"/>
                <w:lang w:val="fr-FR"/>
              </w:rPr>
              <w:t>Salaires, charges sociales et autres prestations</w:t>
            </w:r>
          </w:p>
        </w:tc>
        <w:tc>
          <w:tcPr>
            <w:tcW w:w="1134" w:type="dxa"/>
            <w:tcBorders>
              <w:top w:val="nil"/>
              <w:left w:val="nil"/>
              <w:bottom w:val="single" w:sz="4" w:space="0" w:color="auto"/>
              <w:right w:val="single" w:sz="4" w:space="0" w:color="auto"/>
            </w:tcBorders>
          </w:tcPr>
          <w:p w14:paraId="24DDBDC4" w14:textId="3ACE62AF" w:rsidR="005D0A19" w:rsidRPr="003F50B6" w:rsidRDefault="005D0A19" w:rsidP="00483E42">
            <w:pPr>
              <w:ind w:left="0" w:firstLine="0"/>
              <w:jc w:val="right"/>
              <w:rPr>
                <w:rFonts w:asciiTheme="minorHAnsi" w:eastAsia="Times New Roman" w:hAnsiTheme="minorHAnsi" w:cstheme="minorHAnsi"/>
                <w:sz w:val="20"/>
                <w:szCs w:val="20"/>
                <w:lang w:val="fr-FR" w:eastAsia="en-GB"/>
              </w:rPr>
            </w:pPr>
            <w:r w:rsidRPr="003F50B6">
              <w:rPr>
                <w:rFonts w:asciiTheme="minorHAnsi" w:eastAsia="Times New Roman" w:hAnsiTheme="minorHAnsi" w:cstheme="minorHAnsi"/>
                <w:sz w:val="20"/>
                <w:szCs w:val="20"/>
                <w:lang w:val="fr-FR" w:eastAsia="en-GB"/>
              </w:rPr>
              <w:t>651</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1CD3CEB1" w14:textId="753F9FAE" w:rsidR="005D0A19" w:rsidRPr="003F50B6" w:rsidRDefault="005D0A19" w:rsidP="00483E42">
            <w:pPr>
              <w:ind w:left="0" w:firstLine="0"/>
              <w:jc w:val="right"/>
              <w:rPr>
                <w:rFonts w:asciiTheme="minorHAnsi" w:eastAsia="Times New Roman" w:hAnsiTheme="minorHAnsi" w:cstheme="minorHAnsi"/>
                <w:sz w:val="20"/>
                <w:szCs w:val="20"/>
                <w:lang w:val="fr-FR" w:eastAsia="en-GB"/>
              </w:rPr>
            </w:pPr>
            <w:r w:rsidRPr="003F50B6">
              <w:rPr>
                <w:rFonts w:asciiTheme="minorHAnsi" w:eastAsia="Times New Roman" w:hAnsiTheme="minorHAnsi" w:cstheme="minorHAnsi"/>
                <w:sz w:val="20"/>
                <w:szCs w:val="20"/>
                <w:lang w:val="fr-FR" w:eastAsia="en-GB"/>
              </w:rPr>
              <w:t>652</w:t>
            </w:r>
          </w:p>
        </w:tc>
        <w:tc>
          <w:tcPr>
            <w:tcW w:w="1134" w:type="dxa"/>
            <w:tcBorders>
              <w:top w:val="nil"/>
              <w:left w:val="nil"/>
              <w:bottom w:val="single" w:sz="4" w:space="0" w:color="auto"/>
              <w:right w:val="single" w:sz="4" w:space="0" w:color="auto"/>
            </w:tcBorders>
            <w:shd w:val="clear" w:color="auto" w:fill="auto"/>
            <w:noWrap/>
            <w:vAlign w:val="center"/>
          </w:tcPr>
          <w:p w14:paraId="04AD26B5" w14:textId="77777777" w:rsidR="005D0A19" w:rsidRPr="003F50B6" w:rsidRDefault="005D0A19" w:rsidP="00483E42">
            <w:pPr>
              <w:ind w:left="0" w:firstLine="0"/>
              <w:jc w:val="right"/>
              <w:rPr>
                <w:rFonts w:asciiTheme="minorHAnsi" w:eastAsia="Times New Roman" w:hAnsiTheme="minorHAnsi" w:cstheme="minorHAnsi"/>
                <w:sz w:val="20"/>
                <w:szCs w:val="20"/>
                <w:lang w:val="fr-FR" w:eastAsia="en-GB"/>
              </w:rPr>
            </w:pPr>
            <w:r w:rsidRPr="003F50B6">
              <w:rPr>
                <w:rFonts w:asciiTheme="minorHAnsi" w:eastAsia="Times New Roman" w:hAnsiTheme="minorHAnsi" w:cstheme="minorHAnsi"/>
                <w:sz w:val="20"/>
                <w:szCs w:val="20"/>
                <w:lang w:val="fr-FR" w:eastAsia="en-GB"/>
              </w:rPr>
              <w:t>649</w:t>
            </w:r>
          </w:p>
        </w:tc>
        <w:tc>
          <w:tcPr>
            <w:tcW w:w="993" w:type="dxa"/>
            <w:tcBorders>
              <w:top w:val="nil"/>
              <w:left w:val="nil"/>
              <w:bottom w:val="single" w:sz="4" w:space="0" w:color="auto"/>
              <w:right w:val="single" w:sz="4" w:space="0" w:color="auto"/>
            </w:tcBorders>
            <w:shd w:val="clear" w:color="auto" w:fill="auto"/>
            <w:noWrap/>
            <w:vAlign w:val="center"/>
          </w:tcPr>
          <w:p w14:paraId="01B2AF65" w14:textId="77777777" w:rsidR="005D0A19" w:rsidRPr="003F50B6" w:rsidRDefault="005D0A19" w:rsidP="00483E42">
            <w:pPr>
              <w:ind w:left="0" w:firstLine="0"/>
              <w:jc w:val="right"/>
              <w:rPr>
                <w:rFonts w:asciiTheme="minorHAnsi" w:eastAsia="Times New Roman" w:hAnsiTheme="minorHAnsi" w:cstheme="minorHAnsi"/>
                <w:color w:val="000000"/>
                <w:sz w:val="20"/>
                <w:szCs w:val="20"/>
                <w:lang w:val="fr-FR" w:eastAsia="en-GB"/>
              </w:rPr>
            </w:pPr>
            <w:r w:rsidRPr="003F50B6">
              <w:rPr>
                <w:rFonts w:asciiTheme="minorHAnsi" w:eastAsia="Times New Roman" w:hAnsiTheme="minorHAnsi" w:cstheme="minorHAnsi"/>
                <w:color w:val="000000"/>
                <w:sz w:val="20"/>
                <w:szCs w:val="20"/>
                <w:lang w:val="fr-FR" w:eastAsia="en-GB"/>
              </w:rPr>
              <w:t>652</w:t>
            </w:r>
          </w:p>
        </w:tc>
        <w:tc>
          <w:tcPr>
            <w:tcW w:w="1275" w:type="dxa"/>
            <w:tcBorders>
              <w:top w:val="nil"/>
              <w:left w:val="nil"/>
              <w:bottom w:val="single" w:sz="4" w:space="0" w:color="auto"/>
              <w:right w:val="single" w:sz="4" w:space="0" w:color="auto"/>
            </w:tcBorders>
            <w:shd w:val="clear" w:color="auto" w:fill="auto"/>
            <w:noWrap/>
            <w:vAlign w:val="center"/>
          </w:tcPr>
          <w:p w14:paraId="3EFF6DAA" w14:textId="77777777" w:rsidR="005D0A19" w:rsidRPr="003F50B6" w:rsidRDefault="005D0A19" w:rsidP="00483E42">
            <w:pPr>
              <w:ind w:left="0" w:firstLine="0"/>
              <w:jc w:val="right"/>
              <w:rPr>
                <w:rFonts w:asciiTheme="minorHAnsi" w:eastAsia="Times New Roman" w:hAnsiTheme="minorHAnsi" w:cstheme="minorHAnsi"/>
                <w:sz w:val="20"/>
                <w:szCs w:val="20"/>
                <w:lang w:val="fr-FR" w:eastAsia="en-GB"/>
              </w:rPr>
            </w:pPr>
            <w:r w:rsidRPr="003F50B6">
              <w:rPr>
                <w:rFonts w:asciiTheme="minorHAnsi" w:eastAsia="Times New Roman" w:hAnsiTheme="minorHAnsi" w:cstheme="minorHAnsi"/>
                <w:sz w:val="20"/>
                <w:szCs w:val="20"/>
                <w:lang w:val="fr-FR" w:eastAsia="en-GB"/>
              </w:rPr>
              <w:t>1,953</w:t>
            </w:r>
          </w:p>
        </w:tc>
      </w:tr>
      <w:tr w:rsidR="005D0A19" w:rsidRPr="00A4333E" w14:paraId="3926D699" w14:textId="77777777" w:rsidTr="00EF4718">
        <w:tc>
          <w:tcPr>
            <w:tcW w:w="3690" w:type="dxa"/>
            <w:tcBorders>
              <w:top w:val="nil"/>
              <w:left w:val="single" w:sz="4" w:space="0" w:color="auto"/>
              <w:bottom w:val="single" w:sz="4" w:space="0" w:color="auto"/>
              <w:right w:val="single" w:sz="4" w:space="0" w:color="auto"/>
            </w:tcBorders>
            <w:shd w:val="clear" w:color="auto" w:fill="auto"/>
            <w:noWrap/>
            <w:vAlign w:val="center"/>
          </w:tcPr>
          <w:p w14:paraId="0398C715" w14:textId="1CE95A32" w:rsidR="005D0A19" w:rsidRPr="003F50B6" w:rsidRDefault="00EC2718" w:rsidP="00483E42">
            <w:pPr>
              <w:ind w:left="0" w:firstLine="0"/>
              <w:rPr>
                <w:rFonts w:asciiTheme="minorHAnsi" w:eastAsia="Times New Roman" w:hAnsiTheme="minorHAnsi" w:cstheme="minorHAnsi"/>
                <w:sz w:val="20"/>
                <w:szCs w:val="20"/>
                <w:lang w:val="fr-FR" w:eastAsia="en-GB"/>
              </w:rPr>
            </w:pPr>
            <w:r w:rsidRPr="003F50B6">
              <w:rPr>
                <w:rFonts w:asciiTheme="minorHAnsi" w:eastAsia="Times New Roman" w:hAnsiTheme="minorHAnsi" w:cstheme="minorHAnsi"/>
                <w:sz w:val="20"/>
                <w:szCs w:val="20"/>
                <w:lang w:val="fr-FR" w:eastAsia="en-GB"/>
              </w:rPr>
              <w:t>Mise en oeuvre du programme du GEST</w:t>
            </w:r>
          </w:p>
        </w:tc>
        <w:tc>
          <w:tcPr>
            <w:tcW w:w="1134" w:type="dxa"/>
            <w:tcBorders>
              <w:top w:val="nil"/>
              <w:left w:val="nil"/>
              <w:bottom w:val="single" w:sz="4" w:space="0" w:color="auto"/>
              <w:right w:val="single" w:sz="4" w:space="0" w:color="auto"/>
            </w:tcBorders>
          </w:tcPr>
          <w:p w14:paraId="61EBD1D0" w14:textId="6D4EEFA2" w:rsidR="005D0A19" w:rsidRPr="003F50B6" w:rsidRDefault="005D0A19" w:rsidP="00483E42">
            <w:pPr>
              <w:ind w:left="0" w:firstLine="0"/>
              <w:jc w:val="right"/>
              <w:rPr>
                <w:rFonts w:asciiTheme="minorHAnsi" w:eastAsia="Times New Roman" w:hAnsiTheme="minorHAnsi" w:cstheme="minorHAnsi"/>
                <w:sz w:val="20"/>
                <w:szCs w:val="20"/>
                <w:lang w:val="fr-FR" w:eastAsia="en-GB"/>
              </w:rPr>
            </w:pPr>
            <w:r w:rsidRPr="003F50B6">
              <w:rPr>
                <w:rFonts w:asciiTheme="minorHAnsi" w:eastAsia="Times New Roman" w:hAnsiTheme="minorHAnsi" w:cstheme="minorHAnsi"/>
                <w:sz w:val="20"/>
                <w:szCs w:val="20"/>
                <w:lang w:val="fr-FR" w:eastAsia="en-GB"/>
              </w:rPr>
              <w:t>35</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171A25E8" w14:textId="69C5BCE0" w:rsidR="005D0A19" w:rsidRPr="003F50B6" w:rsidRDefault="005D0A19" w:rsidP="00483E42">
            <w:pPr>
              <w:ind w:left="0" w:firstLine="0"/>
              <w:jc w:val="right"/>
              <w:rPr>
                <w:rFonts w:asciiTheme="minorHAnsi" w:eastAsia="Times New Roman" w:hAnsiTheme="minorHAnsi" w:cstheme="minorHAnsi"/>
                <w:sz w:val="20"/>
                <w:szCs w:val="20"/>
                <w:lang w:val="fr-FR" w:eastAsia="en-GB"/>
              </w:rPr>
            </w:pPr>
            <w:r w:rsidRPr="003F50B6">
              <w:rPr>
                <w:rFonts w:asciiTheme="minorHAnsi" w:eastAsia="Times New Roman" w:hAnsiTheme="minorHAnsi" w:cstheme="minorHAnsi"/>
                <w:sz w:val="20"/>
                <w:szCs w:val="20"/>
                <w:lang w:val="fr-FR" w:eastAsia="en-GB"/>
              </w:rPr>
              <w:t>35</w:t>
            </w:r>
          </w:p>
        </w:tc>
        <w:tc>
          <w:tcPr>
            <w:tcW w:w="1134" w:type="dxa"/>
            <w:tcBorders>
              <w:top w:val="nil"/>
              <w:left w:val="nil"/>
              <w:bottom w:val="single" w:sz="4" w:space="0" w:color="auto"/>
              <w:right w:val="single" w:sz="4" w:space="0" w:color="auto"/>
            </w:tcBorders>
            <w:shd w:val="clear" w:color="auto" w:fill="auto"/>
            <w:noWrap/>
            <w:vAlign w:val="center"/>
          </w:tcPr>
          <w:p w14:paraId="612CEE60" w14:textId="77777777" w:rsidR="005D0A19" w:rsidRPr="003F50B6" w:rsidRDefault="005D0A19" w:rsidP="00483E42">
            <w:pPr>
              <w:ind w:left="0" w:firstLine="0"/>
              <w:jc w:val="right"/>
              <w:rPr>
                <w:rFonts w:asciiTheme="minorHAnsi" w:eastAsia="Times New Roman" w:hAnsiTheme="minorHAnsi" w:cstheme="minorHAnsi"/>
                <w:sz w:val="20"/>
                <w:szCs w:val="20"/>
                <w:lang w:val="fr-FR" w:eastAsia="en-GB"/>
              </w:rPr>
            </w:pPr>
            <w:r w:rsidRPr="003F50B6">
              <w:rPr>
                <w:rFonts w:asciiTheme="minorHAnsi" w:eastAsia="Times New Roman" w:hAnsiTheme="minorHAnsi" w:cstheme="minorHAnsi"/>
                <w:sz w:val="20"/>
                <w:szCs w:val="20"/>
                <w:lang w:val="fr-FR" w:eastAsia="en-GB"/>
              </w:rPr>
              <w:t>35</w:t>
            </w:r>
          </w:p>
        </w:tc>
        <w:tc>
          <w:tcPr>
            <w:tcW w:w="993" w:type="dxa"/>
            <w:tcBorders>
              <w:top w:val="nil"/>
              <w:left w:val="nil"/>
              <w:bottom w:val="single" w:sz="4" w:space="0" w:color="auto"/>
              <w:right w:val="single" w:sz="4" w:space="0" w:color="auto"/>
            </w:tcBorders>
            <w:shd w:val="clear" w:color="auto" w:fill="auto"/>
            <w:noWrap/>
            <w:vAlign w:val="center"/>
          </w:tcPr>
          <w:p w14:paraId="13C1C274" w14:textId="77777777" w:rsidR="005D0A19" w:rsidRPr="003F50B6" w:rsidRDefault="005D0A19" w:rsidP="00483E42">
            <w:pPr>
              <w:ind w:left="0" w:firstLine="0"/>
              <w:jc w:val="right"/>
              <w:rPr>
                <w:rFonts w:asciiTheme="minorHAnsi" w:eastAsia="Times New Roman" w:hAnsiTheme="minorHAnsi" w:cstheme="minorHAnsi"/>
                <w:color w:val="000000"/>
                <w:sz w:val="20"/>
                <w:szCs w:val="20"/>
                <w:lang w:val="fr-FR" w:eastAsia="en-GB"/>
              </w:rPr>
            </w:pPr>
            <w:r w:rsidRPr="003F50B6">
              <w:rPr>
                <w:rFonts w:asciiTheme="minorHAnsi" w:eastAsia="Times New Roman" w:hAnsiTheme="minorHAnsi" w:cstheme="minorHAnsi"/>
                <w:color w:val="000000"/>
                <w:sz w:val="20"/>
                <w:szCs w:val="20"/>
                <w:lang w:val="fr-FR" w:eastAsia="en-GB"/>
              </w:rPr>
              <w:t>35</w:t>
            </w:r>
          </w:p>
        </w:tc>
        <w:tc>
          <w:tcPr>
            <w:tcW w:w="1275" w:type="dxa"/>
            <w:tcBorders>
              <w:top w:val="nil"/>
              <w:left w:val="nil"/>
              <w:bottom w:val="single" w:sz="4" w:space="0" w:color="auto"/>
              <w:right w:val="single" w:sz="4" w:space="0" w:color="auto"/>
            </w:tcBorders>
            <w:shd w:val="clear" w:color="auto" w:fill="auto"/>
            <w:noWrap/>
            <w:vAlign w:val="center"/>
          </w:tcPr>
          <w:p w14:paraId="0B4D8CFF" w14:textId="77777777" w:rsidR="005D0A19" w:rsidRPr="003F50B6" w:rsidRDefault="005D0A19" w:rsidP="00483E42">
            <w:pPr>
              <w:ind w:left="0" w:firstLine="0"/>
              <w:jc w:val="right"/>
              <w:rPr>
                <w:rFonts w:asciiTheme="minorHAnsi" w:eastAsia="Times New Roman" w:hAnsiTheme="minorHAnsi" w:cstheme="minorHAnsi"/>
                <w:sz w:val="20"/>
                <w:szCs w:val="20"/>
                <w:lang w:val="fr-FR" w:eastAsia="en-GB"/>
              </w:rPr>
            </w:pPr>
            <w:r w:rsidRPr="003F50B6">
              <w:rPr>
                <w:rFonts w:asciiTheme="minorHAnsi" w:eastAsia="Times New Roman" w:hAnsiTheme="minorHAnsi" w:cstheme="minorHAnsi"/>
                <w:sz w:val="20"/>
                <w:szCs w:val="20"/>
                <w:lang w:val="fr-FR" w:eastAsia="en-GB"/>
              </w:rPr>
              <w:t>105</w:t>
            </w:r>
          </w:p>
        </w:tc>
      </w:tr>
      <w:tr w:rsidR="005D0A19" w:rsidRPr="00A4333E" w14:paraId="107A1310" w14:textId="77777777" w:rsidTr="00EF4718">
        <w:tc>
          <w:tcPr>
            <w:tcW w:w="3690" w:type="dxa"/>
            <w:tcBorders>
              <w:top w:val="nil"/>
              <w:left w:val="single" w:sz="4" w:space="0" w:color="auto"/>
              <w:bottom w:val="single" w:sz="4" w:space="0" w:color="auto"/>
              <w:right w:val="single" w:sz="4" w:space="0" w:color="auto"/>
            </w:tcBorders>
            <w:shd w:val="clear" w:color="auto" w:fill="auto"/>
            <w:noWrap/>
            <w:vAlign w:val="center"/>
          </w:tcPr>
          <w:p w14:paraId="22037BC2" w14:textId="41FC7F30" w:rsidR="005D0A19" w:rsidRPr="003F50B6" w:rsidRDefault="00447ECB" w:rsidP="00483E42">
            <w:pPr>
              <w:ind w:left="0" w:firstLine="0"/>
              <w:rPr>
                <w:rFonts w:asciiTheme="minorHAnsi" w:eastAsia="Times New Roman" w:hAnsiTheme="minorHAnsi" w:cstheme="minorHAnsi"/>
                <w:sz w:val="20"/>
                <w:szCs w:val="20"/>
                <w:lang w:val="fr-FR" w:eastAsia="en-GB"/>
              </w:rPr>
            </w:pPr>
            <w:r w:rsidRPr="003F50B6">
              <w:rPr>
                <w:rFonts w:asciiTheme="minorHAnsi" w:eastAsia="Times New Roman" w:hAnsiTheme="minorHAnsi" w:cstheme="minorHAnsi"/>
                <w:sz w:val="20"/>
                <w:szCs w:val="20"/>
                <w:lang w:val="fr-FR" w:eastAsia="en-GB"/>
              </w:rPr>
              <w:t>Déplacements du Président du GEST</w:t>
            </w:r>
          </w:p>
        </w:tc>
        <w:tc>
          <w:tcPr>
            <w:tcW w:w="1134" w:type="dxa"/>
            <w:tcBorders>
              <w:top w:val="nil"/>
              <w:left w:val="nil"/>
              <w:bottom w:val="single" w:sz="4" w:space="0" w:color="auto"/>
              <w:right w:val="single" w:sz="4" w:space="0" w:color="auto"/>
            </w:tcBorders>
          </w:tcPr>
          <w:p w14:paraId="6ED8D93E" w14:textId="084C1B2E" w:rsidR="005D0A19" w:rsidRPr="003F50B6" w:rsidRDefault="005D0A19" w:rsidP="00483E42">
            <w:pPr>
              <w:ind w:left="0" w:firstLine="0"/>
              <w:jc w:val="right"/>
              <w:rPr>
                <w:rFonts w:asciiTheme="minorHAnsi" w:eastAsia="Times New Roman" w:hAnsiTheme="minorHAnsi" w:cstheme="minorHAnsi"/>
                <w:sz w:val="20"/>
                <w:szCs w:val="20"/>
                <w:lang w:val="fr-FR" w:eastAsia="en-GB"/>
              </w:rPr>
            </w:pPr>
            <w:r w:rsidRPr="003F50B6">
              <w:rPr>
                <w:rFonts w:asciiTheme="minorHAnsi" w:eastAsia="Times New Roman" w:hAnsiTheme="minorHAnsi" w:cstheme="minorHAnsi"/>
                <w:sz w:val="20"/>
                <w:szCs w:val="20"/>
                <w:lang w:val="fr-FR" w:eastAsia="en-GB"/>
              </w:rPr>
              <w:t>5</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7AAF8296" w14:textId="2EDCFCBE" w:rsidR="005D0A19" w:rsidRPr="003F50B6" w:rsidDel="00A6664E" w:rsidRDefault="005D0A19" w:rsidP="00483E42">
            <w:pPr>
              <w:ind w:left="0" w:firstLine="0"/>
              <w:jc w:val="right"/>
              <w:rPr>
                <w:rFonts w:asciiTheme="minorHAnsi" w:eastAsia="Times New Roman" w:hAnsiTheme="minorHAnsi" w:cstheme="minorHAnsi"/>
                <w:sz w:val="20"/>
                <w:szCs w:val="20"/>
                <w:lang w:val="fr-FR" w:eastAsia="en-GB"/>
              </w:rPr>
            </w:pPr>
            <w:r w:rsidRPr="003F50B6">
              <w:rPr>
                <w:rFonts w:asciiTheme="minorHAnsi" w:eastAsia="Times New Roman" w:hAnsiTheme="minorHAnsi" w:cstheme="minorHAnsi"/>
                <w:sz w:val="20"/>
                <w:szCs w:val="20"/>
                <w:lang w:val="fr-FR" w:eastAsia="en-GB"/>
              </w:rPr>
              <w:t>5</w:t>
            </w:r>
          </w:p>
        </w:tc>
        <w:tc>
          <w:tcPr>
            <w:tcW w:w="1134" w:type="dxa"/>
            <w:tcBorders>
              <w:top w:val="nil"/>
              <w:left w:val="nil"/>
              <w:bottom w:val="single" w:sz="4" w:space="0" w:color="auto"/>
              <w:right w:val="single" w:sz="4" w:space="0" w:color="auto"/>
            </w:tcBorders>
            <w:shd w:val="clear" w:color="auto" w:fill="auto"/>
            <w:noWrap/>
            <w:vAlign w:val="center"/>
          </w:tcPr>
          <w:p w14:paraId="3A31AEC7" w14:textId="77777777" w:rsidR="005D0A19" w:rsidRPr="003F50B6" w:rsidDel="00A6664E" w:rsidRDefault="005D0A19" w:rsidP="00483E42">
            <w:pPr>
              <w:ind w:left="0" w:firstLine="0"/>
              <w:jc w:val="right"/>
              <w:rPr>
                <w:rFonts w:asciiTheme="minorHAnsi" w:eastAsia="Times New Roman" w:hAnsiTheme="minorHAnsi" w:cstheme="minorHAnsi"/>
                <w:sz w:val="20"/>
                <w:szCs w:val="20"/>
                <w:lang w:val="fr-FR" w:eastAsia="en-GB"/>
              </w:rPr>
            </w:pPr>
            <w:r w:rsidRPr="003F50B6">
              <w:rPr>
                <w:rFonts w:asciiTheme="minorHAnsi" w:eastAsia="Times New Roman" w:hAnsiTheme="minorHAnsi" w:cstheme="minorHAnsi"/>
                <w:sz w:val="20"/>
                <w:szCs w:val="20"/>
                <w:lang w:val="fr-FR" w:eastAsia="en-GB"/>
              </w:rPr>
              <w:t>5</w:t>
            </w:r>
          </w:p>
        </w:tc>
        <w:tc>
          <w:tcPr>
            <w:tcW w:w="993" w:type="dxa"/>
            <w:tcBorders>
              <w:top w:val="nil"/>
              <w:left w:val="nil"/>
              <w:bottom w:val="single" w:sz="4" w:space="0" w:color="auto"/>
              <w:right w:val="single" w:sz="4" w:space="0" w:color="auto"/>
            </w:tcBorders>
            <w:shd w:val="clear" w:color="auto" w:fill="auto"/>
            <w:noWrap/>
            <w:vAlign w:val="center"/>
          </w:tcPr>
          <w:p w14:paraId="1F0ACC8E" w14:textId="77777777" w:rsidR="005D0A19" w:rsidRPr="003F50B6" w:rsidDel="00A6664E" w:rsidRDefault="005D0A19" w:rsidP="00483E42">
            <w:pPr>
              <w:ind w:left="0" w:firstLine="0"/>
              <w:jc w:val="right"/>
              <w:rPr>
                <w:rFonts w:asciiTheme="minorHAnsi" w:eastAsia="Times New Roman" w:hAnsiTheme="minorHAnsi" w:cstheme="minorHAnsi"/>
                <w:color w:val="000000"/>
                <w:sz w:val="20"/>
                <w:szCs w:val="20"/>
                <w:lang w:val="fr-FR" w:eastAsia="en-GB"/>
              </w:rPr>
            </w:pPr>
            <w:r w:rsidRPr="003F50B6">
              <w:rPr>
                <w:rFonts w:asciiTheme="minorHAnsi" w:eastAsia="Times New Roman" w:hAnsiTheme="minorHAnsi" w:cstheme="minorHAnsi"/>
                <w:color w:val="000000"/>
                <w:sz w:val="20"/>
                <w:szCs w:val="20"/>
                <w:lang w:val="fr-FR" w:eastAsia="en-GB"/>
              </w:rPr>
              <w:t>5</w:t>
            </w:r>
          </w:p>
        </w:tc>
        <w:tc>
          <w:tcPr>
            <w:tcW w:w="1275" w:type="dxa"/>
            <w:tcBorders>
              <w:top w:val="nil"/>
              <w:left w:val="nil"/>
              <w:bottom w:val="single" w:sz="4" w:space="0" w:color="auto"/>
              <w:right w:val="single" w:sz="4" w:space="0" w:color="auto"/>
            </w:tcBorders>
            <w:shd w:val="clear" w:color="auto" w:fill="auto"/>
            <w:noWrap/>
            <w:vAlign w:val="center"/>
          </w:tcPr>
          <w:p w14:paraId="7C562944" w14:textId="77777777" w:rsidR="005D0A19" w:rsidRPr="003F50B6" w:rsidDel="00A6664E" w:rsidRDefault="005D0A19" w:rsidP="00483E42">
            <w:pPr>
              <w:ind w:left="0" w:firstLine="0"/>
              <w:jc w:val="right"/>
              <w:rPr>
                <w:rFonts w:asciiTheme="minorHAnsi" w:eastAsia="Times New Roman" w:hAnsiTheme="minorHAnsi" w:cstheme="minorHAnsi"/>
                <w:sz w:val="20"/>
                <w:szCs w:val="20"/>
                <w:lang w:val="fr-FR" w:eastAsia="en-GB"/>
              </w:rPr>
            </w:pPr>
            <w:r w:rsidRPr="003F50B6">
              <w:rPr>
                <w:rFonts w:asciiTheme="minorHAnsi" w:eastAsia="Times New Roman" w:hAnsiTheme="minorHAnsi" w:cstheme="minorHAnsi"/>
                <w:sz w:val="20"/>
                <w:szCs w:val="20"/>
                <w:lang w:val="fr-FR" w:eastAsia="en-GB"/>
              </w:rPr>
              <w:t>15</w:t>
            </w:r>
          </w:p>
        </w:tc>
      </w:tr>
      <w:tr w:rsidR="005D0A19" w:rsidRPr="00A4333E" w14:paraId="3E6568F0" w14:textId="77777777" w:rsidTr="00EF4718">
        <w:tc>
          <w:tcPr>
            <w:tcW w:w="3690" w:type="dxa"/>
            <w:tcBorders>
              <w:top w:val="nil"/>
              <w:left w:val="single" w:sz="4" w:space="0" w:color="auto"/>
              <w:bottom w:val="single" w:sz="4" w:space="0" w:color="auto"/>
              <w:right w:val="single" w:sz="4" w:space="0" w:color="auto"/>
            </w:tcBorders>
            <w:shd w:val="clear" w:color="auto" w:fill="auto"/>
            <w:noWrap/>
            <w:vAlign w:val="center"/>
          </w:tcPr>
          <w:p w14:paraId="3639FBF1" w14:textId="71532F5D" w:rsidR="005D0A19" w:rsidRPr="003F50B6" w:rsidRDefault="00447ECB" w:rsidP="00483E42">
            <w:pPr>
              <w:ind w:left="0" w:firstLine="0"/>
              <w:rPr>
                <w:rFonts w:asciiTheme="minorHAnsi" w:eastAsia="Times New Roman" w:hAnsiTheme="minorHAnsi" w:cstheme="minorHAnsi"/>
                <w:sz w:val="20"/>
                <w:szCs w:val="20"/>
                <w:lang w:val="fr-FR" w:eastAsia="en-GB"/>
              </w:rPr>
            </w:pPr>
            <w:r w:rsidRPr="003F50B6">
              <w:rPr>
                <w:rFonts w:asciiTheme="minorHAnsi" w:eastAsia="Times New Roman" w:hAnsiTheme="minorHAnsi" w:cstheme="minorHAnsi"/>
                <w:sz w:val="20"/>
                <w:szCs w:val="20"/>
                <w:lang w:val="fr-FR" w:eastAsia="en-GB"/>
              </w:rPr>
              <w:t>Réunions du GEST</w:t>
            </w:r>
          </w:p>
        </w:tc>
        <w:tc>
          <w:tcPr>
            <w:tcW w:w="1134" w:type="dxa"/>
            <w:tcBorders>
              <w:top w:val="nil"/>
              <w:left w:val="nil"/>
              <w:bottom w:val="single" w:sz="4" w:space="0" w:color="auto"/>
              <w:right w:val="single" w:sz="4" w:space="0" w:color="auto"/>
            </w:tcBorders>
          </w:tcPr>
          <w:p w14:paraId="43E6ABAB" w14:textId="35694BF8" w:rsidR="005D0A19" w:rsidRPr="003F50B6" w:rsidRDefault="005D0A19" w:rsidP="00483E42">
            <w:pPr>
              <w:ind w:left="0" w:firstLine="0"/>
              <w:jc w:val="right"/>
              <w:rPr>
                <w:rFonts w:asciiTheme="minorHAnsi" w:eastAsia="Times New Roman" w:hAnsiTheme="minorHAnsi" w:cstheme="minorHAnsi"/>
                <w:sz w:val="20"/>
                <w:szCs w:val="20"/>
                <w:lang w:val="fr-FR" w:eastAsia="en-GB"/>
              </w:rPr>
            </w:pPr>
            <w:r w:rsidRPr="003F50B6">
              <w:rPr>
                <w:rFonts w:asciiTheme="minorHAnsi" w:eastAsia="Times New Roman" w:hAnsiTheme="minorHAnsi" w:cstheme="minorHAnsi"/>
                <w:sz w:val="20"/>
                <w:szCs w:val="20"/>
                <w:lang w:val="fr-FR" w:eastAsia="en-GB"/>
              </w:rPr>
              <w:t>50</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6983300E" w14:textId="1012FFA9" w:rsidR="005D0A19" w:rsidRPr="003F50B6" w:rsidRDefault="005D0A19" w:rsidP="00483E42">
            <w:pPr>
              <w:ind w:left="0" w:firstLine="0"/>
              <w:jc w:val="right"/>
              <w:rPr>
                <w:rFonts w:asciiTheme="minorHAnsi" w:eastAsia="Times New Roman" w:hAnsiTheme="minorHAnsi" w:cstheme="minorHAnsi"/>
                <w:sz w:val="20"/>
                <w:szCs w:val="20"/>
                <w:lang w:val="fr-FR" w:eastAsia="en-GB"/>
              </w:rPr>
            </w:pPr>
            <w:r w:rsidRPr="003F50B6">
              <w:rPr>
                <w:rFonts w:asciiTheme="minorHAnsi" w:eastAsia="Times New Roman" w:hAnsiTheme="minorHAnsi" w:cstheme="minorHAnsi"/>
                <w:sz w:val="20"/>
                <w:szCs w:val="20"/>
                <w:lang w:val="fr-FR" w:eastAsia="en-GB"/>
              </w:rPr>
              <w:t>50</w:t>
            </w:r>
          </w:p>
        </w:tc>
        <w:tc>
          <w:tcPr>
            <w:tcW w:w="1134" w:type="dxa"/>
            <w:tcBorders>
              <w:top w:val="nil"/>
              <w:left w:val="nil"/>
              <w:bottom w:val="single" w:sz="4" w:space="0" w:color="auto"/>
              <w:right w:val="single" w:sz="4" w:space="0" w:color="auto"/>
            </w:tcBorders>
            <w:shd w:val="clear" w:color="auto" w:fill="auto"/>
            <w:noWrap/>
            <w:vAlign w:val="center"/>
          </w:tcPr>
          <w:p w14:paraId="68D76B51" w14:textId="77777777" w:rsidR="005D0A19" w:rsidRPr="003F50B6" w:rsidRDefault="005D0A19" w:rsidP="00483E42">
            <w:pPr>
              <w:ind w:left="0" w:firstLine="0"/>
              <w:jc w:val="right"/>
              <w:rPr>
                <w:rFonts w:asciiTheme="minorHAnsi" w:eastAsia="Times New Roman" w:hAnsiTheme="minorHAnsi" w:cstheme="minorHAnsi"/>
                <w:sz w:val="20"/>
                <w:szCs w:val="20"/>
                <w:lang w:val="fr-FR" w:eastAsia="en-GB"/>
              </w:rPr>
            </w:pPr>
            <w:r w:rsidRPr="003F50B6">
              <w:rPr>
                <w:rFonts w:asciiTheme="minorHAnsi" w:eastAsia="Times New Roman" w:hAnsiTheme="minorHAnsi" w:cstheme="minorHAnsi"/>
                <w:sz w:val="20"/>
                <w:szCs w:val="20"/>
                <w:lang w:val="fr-FR" w:eastAsia="en-GB"/>
              </w:rPr>
              <w:t>50</w:t>
            </w:r>
          </w:p>
        </w:tc>
        <w:tc>
          <w:tcPr>
            <w:tcW w:w="993" w:type="dxa"/>
            <w:tcBorders>
              <w:top w:val="nil"/>
              <w:left w:val="nil"/>
              <w:bottom w:val="single" w:sz="4" w:space="0" w:color="auto"/>
              <w:right w:val="single" w:sz="4" w:space="0" w:color="auto"/>
            </w:tcBorders>
            <w:shd w:val="clear" w:color="auto" w:fill="auto"/>
            <w:noWrap/>
            <w:vAlign w:val="center"/>
          </w:tcPr>
          <w:p w14:paraId="2B3CE149" w14:textId="77777777" w:rsidR="005D0A19" w:rsidRPr="003F50B6" w:rsidRDefault="005D0A19" w:rsidP="00483E42">
            <w:pPr>
              <w:ind w:left="0" w:firstLine="0"/>
              <w:jc w:val="right"/>
              <w:rPr>
                <w:rFonts w:asciiTheme="minorHAnsi" w:eastAsia="Times New Roman" w:hAnsiTheme="minorHAnsi" w:cstheme="minorHAnsi"/>
                <w:color w:val="000000"/>
                <w:sz w:val="20"/>
                <w:szCs w:val="20"/>
                <w:lang w:val="fr-FR" w:eastAsia="en-GB"/>
              </w:rPr>
            </w:pPr>
            <w:r w:rsidRPr="003F50B6">
              <w:rPr>
                <w:rFonts w:asciiTheme="minorHAnsi" w:eastAsia="Times New Roman" w:hAnsiTheme="minorHAnsi" w:cstheme="minorHAnsi"/>
                <w:color w:val="000000"/>
                <w:sz w:val="20"/>
                <w:szCs w:val="20"/>
                <w:lang w:val="fr-FR" w:eastAsia="en-GB"/>
              </w:rPr>
              <w:t>50</w:t>
            </w:r>
          </w:p>
        </w:tc>
        <w:tc>
          <w:tcPr>
            <w:tcW w:w="1275" w:type="dxa"/>
            <w:tcBorders>
              <w:top w:val="nil"/>
              <w:left w:val="nil"/>
              <w:bottom w:val="single" w:sz="4" w:space="0" w:color="auto"/>
              <w:right w:val="single" w:sz="4" w:space="0" w:color="auto"/>
            </w:tcBorders>
            <w:shd w:val="clear" w:color="auto" w:fill="auto"/>
            <w:noWrap/>
            <w:vAlign w:val="center"/>
          </w:tcPr>
          <w:p w14:paraId="599B85B5" w14:textId="77777777" w:rsidR="005D0A19" w:rsidRPr="003F50B6" w:rsidRDefault="005D0A19" w:rsidP="00483E42">
            <w:pPr>
              <w:ind w:left="0" w:firstLine="0"/>
              <w:jc w:val="right"/>
              <w:rPr>
                <w:rFonts w:asciiTheme="minorHAnsi" w:eastAsia="Times New Roman" w:hAnsiTheme="minorHAnsi" w:cstheme="minorHAnsi"/>
                <w:sz w:val="20"/>
                <w:szCs w:val="20"/>
                <w:lang w:val="fr-FR" w:eastAsia="en-GB"/>
              </w:rPr>
            </w:pPr>
            <w:r w:rsidRPr="003F50B6">
              <w:rPr>
                <w:rFonts w:asciiTheme="minorHAnsi" w:eastAsia="Times New Roman" w:hAnsiTheme="minorHAnsi" w:cstheme="minorHAnsi"/>
                <w:sz w:val="20"/>
                <w:szCs w:val="20"/>
                <w:lang w:val="fr-FR" w:eastAsia="en-GB"/>
              </w:rPr>
              <w:t>150</w:t>
            </w:r>
          </w:p>
        </w:tc>
      </w:tr>
      <w:tr w:rsidR="005D0A19" w:rsidRPr="00A4333E" w14:paraId="291ECFA5" w14:textId="77777777" w:rsidTr="003F50B6">
        <w:tc>
          <w:tcPr>
            <w:tcW w:w="3690" w:type="dxa"/>
            <w:tcBorders>
              <w:top w:val="nil"/>
              <w:left w:val="single" w:sz="4" w:space="0" w:color="auto"/>
              <w:bottom w:val="single" w:sz="4" w:space="0" w:color="auto"/>
              <w:right w:val="single" w:sz="4" w:space="0" w:color="auto"/>
            </w:tcBorders>
            <w:shd w:val="clear" w:color="auto" w:fill="auto"/>
            <w:noWrap/>
            <w:vAlign w:val="center"/>
          </w:tcPr>
          <w:p w14:paraId="5377A683" w14:textId="43047B88" w:rsidR="005D0A19" w:rsidRPr="003F50B6" w:rsidRDefault="00447ECB" w:rsidP="00483E42">
            <w:pPr>
              <w:ind w:left="0" w:firstLine="0"/>
              <w:rPr>
                <w:rFonts w:asciiTheme="minorHAnsi" w:eastAsia="Times New Roman" w:hAnsiTheme="minorHAnsi" w:cstheme="minorHAnsi"/>
                <w:sz w:val="20"/>
                <w:szCs w:val="20"/>
                <w:lang w:val="fr-FR" w:eastAsia="en-GB"/>
              </w:rPr>
            </w:pPr>
            <w:r w:rsidRPr="003F50B6">
              <w:rPr>
                <w:rFonts w:asciiTheme="minorHAnsi" w:eastAsia="Times New Roman" w:hAnsiTheme="minorHAnsi" w:cstheme="minorHAnsi"/>
                <w:sz w:val="20"/>
                <w:szCs w:val="20"/>
                <w:lang w:val="fr-FR" w:eastAsia="en-GB"/>
              </w:rPr>
              <w:t>Service d’information sur les Sites Ramsar (entretien et développement)</w:t>
            </w:r>
          </w:p>
        </w:tc>
        <w:tc>
          <w:tcPr>
            <w:tcW w:w="1134" w:type="dxa"/>
            <w:tcBorders>
              <w:top w:val="nil"/>
              <w:left w:val="nil"/>
              <w:bottom w:val="single" w:sz="4" w:space="0" w:color="auto"/>
              <w:right w:val="single" w:sz="4" w:space="0" w:color="auto"/>
            </w:tcBorders>
          </w:tcPr>
          <w:p w14:paraId="60547D57" w14:textId="07B67512" w:rsidR="005D0A19" w:rsidRPr="003F50B6" w:rsidRDefault="005D0A19" w:rsidP="00483E42">
            <w:pPr>
              <w:ind w:left="0" w:firstLine="0"/>
              <w:jc w:val="right"/>
              <w:rPr>
                <w:rFonts w:asciiTheme="minorHAnsi" w:eastAsia="Times New Roman" w:hAnsiTheme="minorHAnsi" w:cstheme="minorHAnsi"/>
                <w:sz w:val="20"/>
                <w:szCs w:val="20"/>
                <w:lang w:val="fr-FR" w:eastAsia="en-GB"/>
              </w:rPr>
            </w:pPr>
            <w:r w:rsidRPr="003F50B6">
              <w:rPr>
                <w:rFonts w:asciiTheme="minorHAnsi" w:eastAsia="Times New Roman" w:hAnsiTheme="minorHAnsi" w:cstheme="minorHAnsi"/>
                <w:sz w:val="20"/>
                <w:szCs w:val="20"/>
                <w:lang w:val="fr-FR" w:eastAsia="en-GB"/>
              </w:rPr>
              <w:t>80</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303BDBF0" w14:textId="03549E95" w:rsidR="005D0A19" w:rsidRPr="003F50B6" w:rsidRDefault="005D0A19" w:rsidP="00483E42">
            <w:pPr>
              <w:ind w:left="0" w:firstLine="0"/>
              <w:jc w:val="right"/>
              <w:rPr>
                <w:rFonts w:asciiTheme="minorHAnsi" w:eastAsia="Times New Roman" w:hAnsiTheme="minorHAnsi" w:cstheme="minorHAnsi"/>
                <w:sz w:val="20"/>
                <w:szCs w:val="20"/>
                <w:lang w:val="fr-FR" w:eastAsia="en-GB"/>
              </w:rPr>
            </w:pPr>
            <w:r w:rsidRPr="003F50B6">
              <w:rPr>
                <w:rFonts w:asciiTheme="minorHAnsi" w:eastAsia="Times New Roman" w:hAnsiTheme="minorHAnsi" w:cstheme="minorHAnsi"/>
                <w:sz w:val="20"/>
                <w:szCs w:val="20"/>
                <w:lang w:val="fr-FR" w:eastAsia="en-GB"/>
              </w:rPr>
              <w:t>80</w:t>
            </w:r>
          </w:p>
        </w:tc>
        <w:tc>
          <w:tcPr>
            <w:tcW w:w="1134" w:type="dxa"/>
            <w:tcBorders>
              <w:top w:val="nil"/>
              <w:left w:val="nil"/>
              <w:bottom w:val="single" w:sz="4" w:space="0" w:color="auto"/>
              <w:right w:val="single" w:sz="4" w:space="0" w:color="auto"/>
            </w:tcBorders>
            <w:shd w:val="clear" w:color="auto" w:fill="auto"/>
            <w:noWrap/>
            <w:vAlign w:val="center"/>
          </w:tcPr>
          <w:p w14:paraId="037152B1" w14:textId="77777777" w:rsidR="005D0A19" w:rsidRPr="003F50B6" w:rsidRDefault="005D0A19" w:rsidP="00483E42">
            <w:pPr>
              <w:ind w:left="0" w:firstLine="0"/>
              <w:jc w:val="right"/>
              <w:rPr>
                <w:rFonts w:asciiTheme="minorHAnsi" w:eastAsia="Times New Roman" w:hAnsiTheme="minorHAnsi" w:cstheme="minorHAnsi"/>
                <w:sz w:val="20"/>
                <w:szCs w:val="20"/>
                <w:lang w:val="fr-FR" w:eastAsia="en-GB"/>
              </w:rPr>
            </w:pPr>
            <w:r w:rsidRPr="003F50B6">
              <w:rPr>
                <w:rFonts w:asciiTheme="minorHAnsi" w:eastAsia="Times New Roman" w:hAnsiTheme="minorHAnsi" w:cstheme="minorHAnsi"/>
                <w:sz w:val="20"/>
                <w:szCs w:val="20"/>
                <w:lang w:val="fr-FR" w:eastAsia="en-GB"/>
              </w:rPr>
              <w:t>60</w:t>
            </w:r>
          </w:p>
        </w:tc>
        <w:tc>
          <w:tcPr>
            <w:tcW w:w="993" w:type="dxa"/>
            <w:tcBorders>
              <w:top w:val="nil"/>
              <w:left w:val="nil"/>
              <w:bottom w:val="single" w:sz="4" w:space="0" w:color="auto"/>
              <w:right w:val="single" w:sz="4" w:space="0" w:color="auto"/>
            </w:tcBorders>
            <w:shd w:val="clear" w:color="auto" w:fill="auto"/>
            <w:noWrap/>
            <w:vAlign w:val="center"/>
          </w:tcPr>
          <w:p w14:paraId="2D7E153C" w14:textId="77777777" w:rsidR="005D0A19" w:rsidRPr="003F50B6" w:rsidRDefault="005D0A19" w:rsidP="00483E42">
            <w:pPr>
              <w:ind w:left="0" w:firstLine="0"/>
              <w:jc w:val="right"/>
              <w:rPr>
                <w:rFonts w:asciiTheme="minorHAnsi" w:eastAsia="Times New Roman" w:hAnsiTheme="minorHAnsi" w:cstheme="minorHAnsi"/>
                <w:color w:val="000000"/>
                <w:sz w:val="20"/>
                <w:szCs w:val="20"/>
                <w:lang w:val="fr-FR" w:eastAsia="en-GB"/>
              </w:rPr>
            </w:pPr>
            <w:r w:rsidRPr="003F50B6">
              <w:rPr>
                <w:rFonts w:asciiTheme="minorHAnsi" w:eastAsia="Times New Roman" w:hAnsiTheme="minorHAnsi" w:cstheme="minorHAnsi"/>
                <w:color w:val="000000"/>
                <w:sz w:val="20"/>
                <w:szCs w:val="20"/>
                <w:lang w:val="fr-FR" w:eastAsia="en-GB"/>
              </w:rPr>
              <w:t>60</w:t>
            </w:r>
          </w:p>
        </w:tc>
        <w:tc>
          <w:tcPr>
            <w:tcW w:w="1275" w:type="dxa"/>
            <w:tcBorders>
              <w:top w:val="nil"/>
              <w:left w:val="nil"/>
              <w:bottom w:val="single" w:sz="4" w:space="0" w:color="auto"/>
              <w:right w:val="single" w:sz="4" w:space="0" w:color="auto"/>
            </w:tcBorders>
            <w:shd w:val="clear" w:color="auto" w:fill="auto"/>
            <w:noWrap/>
            <w:vAlign w:val="center"/>
          </w:tcPr>
          <w:p w14:paraId="59017CD5" w14:textId="77777777" w:rsidR="005D0A19" w:rsidRPr="003F50B6" w:rsidRDefault="005D0A19" w:rsidP="00483E42">
            <w:pPr>
              <w:ind w:left="0" w:firstLine="0"/>
              <w:jc w:val="right"/>
              <w:rPr>
                <w:rFonts w:asciiTheme="minorHAnsi" w:eastAsia="Times New Roman" w:hAnsiTheme="minorHAnsi" w:cstheme="minorHAnsi"/>
                <w:sz w:val="20"/>
                <w:szCs w:val="20"/>
                <w:lang w:val="fr-FR" w:eastAsia="en-GB"/>
              </w:rPr>
            </w:pPr>
            <w:r w:rsidRPr="003F50B6">
              <w:rPr>
                <w:rFonts w:asciiTheme="minorHAnsi" w:eastAsia="Times New Roman" w:hAnsiTheme="minorHAnsi" w:cstheme="minorHAnsi"/>
                <w:sz w:val="20"/>
                <w:szCs w:val="20"/>
                <w:lang w:val="fr-FR" w:eastAsia="en-GB"/>
              </w:rPr>
              <w:t>200</w:t>
            </w:r>
          </w:p>
        </w:tc>
      </w:tr>
      <w:tr w:rsidR="005D0A19" w:rsidRPr="00A4333E" w14:paraId="73374A79" w14:textId="77777777" w:rsidTr="003F50B6">
        <w:tc>
          <w:tcPr>
            <w:tcW w:w="36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10C5BC" w14:textId="210E170B" w:rsidR="005D0A19" w:rsidRPr="003F50B6" w:rsidRDefault="00EC2718" w:rsidP="00483E42">
            <w:pPr>
              <w:ind w:left="0" w:firstLine="0"/>
              <w:rPr>
                <w:rFonts w:asciiTheme="minorHAnsi" w:eastAsia="Times New Roman" w:hAnsiTheme="minorHAnsi" w:cstheme="minorHAnsi"/>
                <w:sz w:val="20"/>
                <w:szCs w:val="20"/>
                <w:lang w:val="fr-FR" w:eastAsia="en-GB"/>
              </w:rPr>
            </w:pPr>
            <w:r w:rsidRPr="003F50B6">
              <w:rPr>
                <w:rFonts w:asciiTheme="minorHAnsi" w:hAnsiTheme="minorHAnsi" w:cstheme="minorHAnsi"/>
                <w:sz w:val="20"/>
                <w:szCs w:val="20"/>
                <w:lang w:val="fr-FR"/>
              </w:rPr>
              <w:t>Voyages</w:t>
            </w:r>
          </w:p>
        </w:tc>
        <w:tc>
          <w:tcPr>
            <w:tcW w:w="1134" w:type="dxa"/>
            <w:tcBorders>
              <w:top w:val="single" w:sz="4" w:space="0" w:color="auto"/>
              <w:left w:val="nil"/>
              <w:bottom w:val="single" w:sz="4" w:space="0" w:color="auto"/>
              <w:right w:val="single" w:sz="4" w:space="0" w:color="auto"/>
            </w:tcBorders>
          </w:tcPr>
          <w:p w14:paraId="1071FE9E" w14:textId="48B6BBBE" w:rsidR="005D0A19" w:rsidRPr="003F50B6" w:rsidRDefault="005D0A19" w:rsidP="00483E42">
            <w:pPr>
              <w:ind w:left="0" w:firstLine="0"/>
              <w:jc w:val="right"/>
              <w:rPr>
                <w:rFonts w:asciiTheme="minorHAnsi" w:eastAsia="Times New Roman" w:hAnsiTheme="minorHAnsi" w:cstheme="minorHAnsi"/>
                <w:sz w:val="20"/>
                <w:szCs w:val="20"/>
                <w:lang w:val="fr-FR" w:eastAsia="en-GB"/>
              </w:rPr>
            </w:pPr>
            <w:r w:rsidRPr="003F50B6">
              <w:rPr>
                <w:rFonts w:asciiTheme="minorHAnsi" w:eastAsia="Times New Roman" w:hAnsiTheme="minorHAnsi" w:cstheme="minorHAnsi"/>
                <w:sz w:val="20"/>
                <w:szCs w:val="20"/>
                <w:lang w:val="fr-FR" w:eastAsia="en-GB"/>
              </w:rPr>
              <w:t>18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7E7A25" w14:textId="245949D4" w:rsidR="005D0A19" w:rsidRPr="003F50B6" w:rsidDel="00A6664E" w:rsidRDefault="005D0A19" w:rsidP="00483E42">
            <w:pPr>
              <w:ind w:left="0" w:firstLine="0"/>
              <w:jc w:val="right"/>
              <w:rPr>
                <w:rFonts w:asciiTheme="minorHAnsi" w:eastAsia="Times New Roman" w:hAnsiTheme="minorHAnsi" w:cstheme="minorHAnsi"/>
                <w:sz w:val="20"/>
                <w:szCs w:val="20"/>
                <w:lang w:val="fr-FR" w:eastAsia="en-GB"/>
              </w:rPr>
            </w:pPr>
            <w:r w:rsidRPr="003F50B6">
              <w:rPr>
                <w:rFonts w:asciiTheme="minorHAnsi" w:eastAsia="Times New Roman" w:hAnsiTheme="minorHAnsi" w:cstheme="minorHAnsi"/>
                <w:sz w:val="20"/>
                <w:szCs w:val="20"/>
                <w:lang w:val="fr-FR" w:eastAsia="en-GB"/>
              </w:rPr>
              <w:t>18</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03207D71" w14:textId="77777777" w:rsidR="005D0A19" w:rsidRPr="003F50B6" w:rsidDel="00A6664E" w:rsidRDefault="005D0A19" w:rsidP="00483E42">
            <w:pPr>
              <w:ind w:left="0" w:firstLine="0"/>
              <w:jc w:val="right"/>
              <w:rPr>
                <w:rFonts w:asciiTheme="minorHAnsi" w:eastAsia="Times New Roman" w:hAnsiTheme="minorHAnsi" w:cstheme="minorHAnsi"/>
                <w:sz w:val="20"/>
                <w:szCs w:val="20"/>
                <w:lang w:val="fr-FR" w:eastAsia="en-GB"/>
              </w:rPr>
            </w:pPr>
            <w:r w:rsidRPr="003F50B6">
              <w:rPr>
                <w:rFonts w:asciiTheme="minorHAnsi" w:eastAsia="Times New Roman" w:hAnsiTheme="minorHAnsi" w:cstheme="minorHAnsi"/>
                <w:sz w:val="20"/>
                <w:szCs w:val="20"/>
                <w:lang w:val="fr-FR" w:eastAsia="en-GB"/>
              </w:rPr>
              <w:t>18</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1078FAAC" w14:textId="77777777" w:rsidR="005D0A19" w:rsidRPr="003F50B6" w:rsidDel="00A6664E" w:rsidRDefault="005D0A19" w:rsidP="00483E42">
            <w:pPr>
              <w:ind w:left="0" w:firstLine="0"/>
              <w:jc w:val="right"/>
              <w:rPr>
                <w:rFonts w:asciiTheme="minorHAnsi" w:eastAsia="Times New Roman" w:hAnsiTheme="minorHAnsi" w:cstheme="minorHAnsi"/>
                <w:color w:val="000000"/>
                <w:sz w:val="20"/>
                <w:szCs w:val="20"/>
                <w:lang w:val="fr-FR" w:eastAsia="en-GB"/>
              </w:rPr>
            </w:pPr>
            <w:r w:rsidRPr="003F50B6">
              <w:rPr>
                <w:rFonts w:asciiTheme="minorHAnsi" w:eastAsia="Times New Roman" w:hAnsiTheme="minorHAnsi" w:cstheme="minorHAnsi"/>
                <w:color w:val="000000"/>
                <w:sz w:val="20"/>
                <w:szCs w:val="20"/>
                <w:lang w:val="fr-FR" w:eastAsia="en-GB"/>
              </w:rPr>
              <w:t>18</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0C3548D2" w14:textId="77777777" w:rsidR="005D0A19" w:rsidRPr="003F50B6" w:rsidDel="00A6664E" w:rsidRDefault="005D0A19" w:rsidP="00483E42">
            <w:pPr>
              <w:ind w:left="0" w:firstLine="0"/>
              <w:jc w:val="right"/>
              <w:rPr>
                <w:rFonts w:asciiTheme="minorHAnsi" w:eastAsia="Times New Roman" w:hAnsiTheme="minorHAnsi" w:cstheme="minorHAnsi"/>
                <w:sz w:val="20"/>
                <w:szCs w:val="20"/>
                <w:lang w:val="fr-FR" w:eastAsia="en-GB"/>
              </w:rPr>
            </w:pPr>
            <w:r w:rsidRPr="003F50B6">
              <w:rPr>
                <w:rFonts w:asciiTheme="minorHAnsi" w:eastAsia="Times New Roman" w:hAnsiTheme="minorHAnsi" w:cstheme="minorHAnsi"/>
                <w:sz w:val="20"/>
                <w:szCs w:val="20"/>
                <w:lang w:val="fr-FR" w:eastAsia="en-GB"/>
              </w:rPr>
              <w:t>54</w:t>
            </w:r>
          </w:p>
        </w:tc>
      </w:tr>
      <w:tr w:rsidR="005D0A19" w:rsidRPr="00A4333E" w14:paraId="0454F1D9" w14:textId="77777777" w:rsidTr="003F50B6">
        <w:tc>
          <w:tcPr>
            <w:tcW w:w="3690" w:type="dxa"/>
            <w:tcBorders>
              <w:top w:val="single" w:sz="4" w:space="0" w:color="auto"/>
              <w:left w:val="single" w:sz="4" w:space="0" w:color="auto"/>
              <w:bottom w:val="single" w:sz="4" w:space="0" w:color="auto"/>
              <w:right w:val="single" w:sz="4" w:space="0" w:color="auto"/>
            </w:tcBorders>
            <w:shd w:val="clear" w:color="000000" w:fill="C4D79B"/>
            <w:noWrap/>
            <w:vAlign w:val="center"/>
          </w:tcPr>
          <w:p w14:paraId="2B30E7EA" w14:textId="77777777" w:rsidR="005D0A19" w:rsidRPr="003F50B6" w:rsidRDefault="005D0A19" w:rsidP="003F50B6">
            <w:pPr>
              <w:keepNext/>
              <w:ind w:left="0" w:firstLine="0"/>
              <w:rPr>
                <w:rFonts w:asciiTheme="minorHAnsi" w:eastAsia="Times New Roman" w:hAnsiTheme="minorHAnsi" w:cstheme="minorHAnsi"/>
                <w:b/>
                <w:bCs/>
                <w:sz w:val="20"/>
                <w:szCs w:val="20"/>
                <w:lang w:val="fr-FR" w:eastAsia="en-GB"/>
              </w:rPr>
            </w:pPr>
            <w:r w:rsidRPr="003F50B6">
              <w:rPr>
                <w:rFonts w:asciiTheme="minorHAnsi" w:eastAsia="Times New Roman" w:hAnsiTheme="minorHAnsi" w:cstheme="minorHAnsi"/>
                <w:b/>
                <w:bCs/>
                <w:sz w:val="20"/>
                <w:szCs w:val="20"/>
                <w:lang w:val="fr-FR" w:eastAsia="en-GB"/>
              </w:rPr>
              <w:lastRenderedPageBreak/>
              <w:t>G. Administration</w:t>
            </w:r>
          </w:p>
        </w:tc>
        <w:tc>
          <w:tcPr>
            <w:tcW w:w="1134" w:type="dxa"/>
            <w:tcBorders>
              <w:top w:val="single" w:sz="4" w:space="0" w:color="auto"/>
              <w:left w:val="nil"/>
              <w:bottom w:val="single" w:sz="4" w:space="0" w:color="auto"/>
              <w:right w:val="single" w:sz="4" w:space="0" w:color="auto"/>
            </w:tcBorders>
            <w:shd w:val="clear" w:color="000000" w:fill="C4D79B"/>
          </w:tcPr>
          <w:p w14:paraId="749CCF29" w14:textId="5900F805" w:rsidR="005D0A19" w:rsidRPr="003F50B6" w:rsidRDefault="005D0A19" w:rsidP="003F50B6">
            <w:pPr>
              <w:keepNext/>
              <w:ind w:left="0" w:firstLine="0"/>
              <w:jc w:val="right"/>
              <w:rPr>
                <w:rFonts w:asciiTheme="minorHAnsi" w:eastAsia="Times New Roman" w:hAnsiTheme="minorHAnsi" w:cstheme="minorHAnsi"/>
                <w:b/>
                <w:bCs/>
                <w:color w:val="000000"/>
                <w:sz w:val="20"/>
                <w:szCs w:val="20"/>
                <w:lang w:val="fr-FR" w:eastAsia="en-GB"/>
              </w:rPr>
            </w:pPr>
            <w:r w:rsidRPr="003F50B6">
              <w:rPr>
                <w:rFonts w:asciiTheme="minorHAnsi" w:eastAsia="Times New Roman" w:hAnsiTheme="minorHAnsi" w:cstheme="minorHAnsi"/>
                <w:b/>
                <w:bCs/>
                <w:color w:val="000000"/>
                <w:sz w:val="20"/>
                <w:szCs w:val="20"/>
                <w:lang w:val="fr-FR" w:eastAsia="en-GB"/>
              </w:rPr>
              <w:t>481</w:t>
            </w:r>
          </w:p>
        </w:tc>
        <w:tc>
          <w:tcPr>
            <w:tcW w:w="1134" w:type="dxa"/>
            <w:tcBorders>
              <w:top w:val="single" w:sz="4" w:space="0" w:color="auto"/>
              <w:left w:val="single" w:sz="4" w:space="0" w:color="auto"/>
              <w:bottom w:val="single" w:sz="4" w:space="0" w:color="auto"/>
              <w:right w:val="single" w:sz="4" w:space="0" w:color="auto"/>
            </w:tcBorders>
            <w:shd w:val="clear" w:color="000000" w:fill="C4D79B"/>
            <w:noWrap/>
            <w:vAlign w:val="center"/>
          </w:tcPr>
          <w:p w14:paraId="0E3DBB7A" w14:textId="0041BA82" w:rsidR="005D0A19" w:rsidRPr="003F50B6" w:rsidRDefault="005D0A19" w:rsidP="003F50B6">
            <w:pPr>
              <w:keepNext/>
              <w:ind w:left="0" w:firstLine="0"/>
              <w:jc w:val="right"/>
              <w:rPr>
                <w:rFonts w:asciiTheme="minorHAnsi" w:eastAsia="Times New Roman" w:hAnsiTheme="minorHAnsi" w:cstheme="minorHAnsi"/>
                <w:b/>
                <w:bCs/>
                <w:color w:val="000000"/>
                <w:sz w:val="20"/>
                <w:szCs w:val="20"/>
                <w:lang w:val="fr-FR" w:eastAsia="en-GB"/>
              </w:rPr>
            </w:pPr>
            <w:r w:rsidRPr="003F50B6">
              <w:rPr>
                <w:rFonts w:asciiTheme="minorHAnsi" w:eastAsia="Times New Roman" w:hAnsiTheme="minorHAnsi" w:cstheme="minorHAnsi"/>
                <w:b/>
                <w:bCs/>
                <w:color w:val="000000"/>
                <w:sz w:val="20"/>
                <w:szCs w:val="20"/>
                <w:lang w:val="fr-FR" w:eastAsia="en-GB"/>
              </w:rPr>
              <w:t>474</w:t>
            </w:r>
          </w:p>
        </w:tc>
        <w:tc>
          <w:tcPr>
            <w:tcW w:w="1134" w:type="dxa"/>
            <w:tcBorders>
              <w:top w:val="single" w:sz="4" w:space="0" w:color="auto"/>
              <w:left w:val="nil"/>
              <w:bottom w:val="single" w:sz="4" w:space="0" w:color="auto"/>
              <w:right w:val="single" w:sz="4" w:space="0" w:color="auto"/>
            </w:tcBorders>
            <w:shd w:val="clear" w:color="000000" w:fill="C4D79B"/>
            <w:noWrap/>
            <w:vAlign w:val="center"/>
          </w:tcPr>
          <w:p w14:paraId="714DE506" w14:textId="77777777" w:rsidR="005D0A19" w:rsidRPr="003F50B6" w:rsidRDefault="005D0A19" w:rsidP="003F50B6">
            <w:pPr>
              <w:keepNext/>
              <w:ind w:left="0" w:firstLine="0"/>
              <w:jc w:val="right"/>
              <w:rPr>
                <w:rFonts w:asciiTheme="minorHAnsi" w:eastAsia="Times New Roman" w:hAnsiTheme="minorHAnsi" w:cstheme="minorHAnsi"/>
                <w:b/>
                <w:bCs/>
                <w:color w:val="000000"/>
                <w:sz w:val="20"/>
                <w:szCs w:val="20"/>
                <w:lang w:val="fr-FR" w:eastAsia="en-GB"/>
              </w:rPr>
            </w:pPr>
            <w:r w:rsidRPr="003F50B6">
              <w:rPr>
                <w:rFonts w:asciiTheme="minorHAnsi" w:eastAsia="Times New Roman" w:hAnsiTheme="minorHAnsi" w:cstheme="minorHAnsi"/>
                <w:b/>
                <w:bCs/>
                <w:color w:val="000000"/>
                <w:sz w:val="20"/>
                <w:szCs w:val="20"/>
                <w:lang w:val="fr-FR" w:eastAsia="en-GB"/>
              </w:rPr>
              <w:t>478</w:t>
            </w:r>
          </w:p>
        </w:tc>
        <w:tc>
          <w:tcPr>
            <w:tcW w:w="993" w:type="dxa"/>
            <w:tcBorders>
              <w:top w:val="single" w:sz="4" w:space="0" w:color="auto"/>
              <w:left w:val="nil"/>
              <w:bottom w:val="single" w:sz="4" w:space="0" w:color="auto"/>
              <w:right w:val="single" w:sz="4" w:space="0" w:color="auto"/>
            </w:tcBorders>
            <w:shd w:val="clear" w:color="000000" w:fill="C4D79B"/>
            <w:noWrap/>
            <w:vAlign w:val="center"/>
          </w:tcPr>
          <w:p w14:paraId="54580FBD" w14:textId="77777777" w:rsidR="005D0A19" w:rsidRPr="003F50B6" w:rsidRDefault="005D0A19" w:rsidP="003F50B6">
            <w:pPr>
              <w:keepNext/>
              <w:ind w:left="0" w:firstLine="0"/>
              <w:jc w:val="right"/>
              <w:rPr>
                <w:rFonts w:asciiTheme="minorHAnsi" w:eastAsia="Times New Roman" w:hAnsiTheme="minorHAnsi" w:cstheme="minorHAnsi"/>
                <w:b/>
                <w:bCs/>
                <w:color w:val="000000"/>
                <w:sz w:val="20"/>
                <w:szCs w:val="20"/>
                <w:lang w:val="fr-FR" w:eastAsia="en-GB"/>
              </w:rPr>
            </w:pPr>
            <w:r w:rsidRPr="003F50B6">
              <w:rPr>
                <w:rFonts w:asciiTheme="minorHAnsi" w:eastAsia="Times New Roman" w:hAnsiTheme="minorHAnsi" w:cstheme="minorHAnsi"/>
                <w:b/>
                <w:bCs/>
                <w:color w:val="000000"/>
                <w:sz w:val="20"/>
                <w:szCs w:val="20"/>
                <w:lang w:val="fr-FR" w:eastAsia="en-GB"/>
              </w:rPr>
              <w:t>478</w:t>
            </w:r>
          </w:p>
        </w:tc>
        <w:tc>
          <w:tcPr>
            <w:tcW w:w="1275" w:type="dxa"/>
            <w:tcBorders>
              <w:top w:val="single" w:sz="4" w:space="0" w:color="auto"/>
              <w:left w:val="nil"/>
              <w:bottom w:val="single" w:sz="4" w:space="0" w:color="auto"/>
              <w:right w:val="single" w:sz="4" w:space="0" w:color="auto"/>
            </w:tcBorders>
            <w:shd w:val="clear" w:color="000000" w:fill="C4D79B"/>
            <w:noWrap/>
            <w:vAlign w:val="center"/>
          </w:tcPr>
          <w:p w14:paraId="5160A98A" w14:textId="77777777" w:rsidR="005D0A19" w:rsidRPr="003F50B6" w:rsidRDefault="005D0A19" w:rsidP="003F50B6">
            <w:pPr>
              <w:keepNext/>
              <w:ind w:left="0" w:firstLine="0"/>
              <w:jc w:val="right"/>
              <w:rPr>
                <w:rFonts w:asciiTheme="minorHAnsi" w:eastAsia="Times New Roman" w:hAnsiTheme="minorHAnsi" w:cstheme="minorHAnsi"/>
                <w:b/>
                <w:bCs/>
                <w:color w:val="000000"/>
                <w:sz w:val="20"/>
                <w:szCs w:val="20"/>
                <w:lang w:val="fr-FR" w:eastAsia="en-GB"/>
              </w:rPr>
            </w:pPr>
            <w:r w:rsidRPr="003F50B6">
              <w:rPr>
                <w:rFonts w:asciiTheme="minorHAnsi" w:eastAsia="Times New Roman" w:hAnsiTheme="minorHAnsi" w:cstheme="minorHAnsi"/>
                <w:b/>
                <w:bCs/>
                <w:color w:val="000000"/>
                <w:sz w:val="20"/>
                <w:szCs w:val="20"/>
                <w:lang w:val="fr-FR" w:eastAsia="en-GB"/>
              </w:rPr>
              <w:t>1,430</w:t>
            </w:r>
          </w:p>
        </w:tc>
      </w:tr>
      <w:tr w:rsidR="005D0A19" w:rsidRPr="00A4333E" w14:paraId="624A46AD" w14:textId="77777777" w:rsidTr="00EF4718">
        <w:tc>
          <w:tcPr>
            <w:tcW w:w="3690" w:type="dxa"/>
            <w:tcBorders>
              <w:top w:val="nil"/>
              <w:left w:val="single" w:sz="4" w:space="0" w:color="auto"/>
              <w:bottom w:val="single" w:sz="4" w:space="0" w:color="auto"/>
              <w:right w:val="single" w:sz="4" w:space="0" w:color="auto"/>
            </w:tcBorders>
            <w:shd w:val="clear" w:color="auto" w:fill="auto"/>
            <w:noWrap/>
            <w:vAlign w:val="center"/>
          </w:tcPr>
          <w:p w14:paraId="49CEB5B9" w14:textId="415FD469" w:rsidR="005D0A19" w:rsidRPr="003F50B6" w:rsidRDefault="00EC2718" w:rsidP="00483E42">
            <w:pPr>
              <w:ind w:left="0" w:firstLine="0"/>
              <w:rPr>
                <w:rFonts w:asciiTheme="minorHAnsi" w:eastAsia="Times New Roman" w:hAnsiTheme="minorHAnsi" w:cstheme="minorHAnsi"/>
                <w:sz w:val="20"/>
                <w:szCs w:val="20"/>
                <w:lang w:val="fr-FR" w:eastAsia="en-GB"/>
              </w:rPr>
            </w:pPr>
            <w:r w:rsidRPr="003F50B6">
              <w:rPr>
                <w:rFonts w:asciiTheme="minorHAnsi" w:hAnsiTheme="minorHAnsi" w:cstheme="minorHAnsi"/>
                <w:sz w:val="20"/>
                <w:szCs w:val="20"/>
                <w:lang w:val="fr-FR"/>
              </w:rPr>
              <w:t>Salaires, charges sociales et autres prestations</w:t>
            </w:r>
          </w:p>
        </w:tc>
        <w:tc>
          <w:tcPr>
            <w:tcW w:w="1134" w:type="dxa"/>
            <w:tcBorders>
              <w:top w:val="nil"/>
              <w:left w:val="nil"/>
              <w:bottom w:val="single" w:sz="4" w:space="0" w:color="auto"/>
              <w:right w:val="single" w:sz="4" w:space="0" w:color="auto"/>
            </w:tcBorders>
          </w:tcPr>
          <w:p w14:paraId="0C8EA191" w14:textId="5370AEDC" w:rsidR="005D0A19" w:rsidRPr="003F50B6" w:rsidRDefault="005D0A19" w:rsidP="00483E42">
            <w:pPr>
              <w:ind w:left="0" w:firstLine="0"/>
              <w:jc w:val="right"/>
              <w:rPr>
                <w:rFonts w:asciiTheme="minorHAnsi" w:eastAsia="Times New Roman" w:hAnsiTheme="minorHAnsi" w:cstheme="minorHAnsi"/>
                <w:sz w:val="20"/>
                <w:szCs w:val="20"/>
                <w:lang w:val="fr-FR" w:eastAsia="en-GB"/>
              </w:rPr>
            </w:pPr>
            <w:r w:rsidRPr="003F50B6">
              <w:rPr>
                <w:rFonts w:asciiTheme="minorHAnsi" w:eastAsia="Times New Roman" w:hAnsiTheme="minorHAnsi" w:cstheme="minorHAnsi"/>
                <w:sz w:val="20"/>
                <w:szCs w:val="20"/>
                <w:lang w:val="fr-FR" w:eastAsia="en-GB"/>
              </w:rPr>
              <w:t>337</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1A1E5446" w14:textId="3EC4521B" w:rsidR="005D0A19" w:rsidRPr="003F50B6" w:rsidRDefault="005D0A19" w:rsidP="00483E42">
            <w:pPr>
              <w:ind w:left="0" w:firstLine="0"/>
              <w:jc w:val="right"/>
              <w:rPr>
                <w:rFonts w:asciiTheme="minorHAnsi" w:eastAsia="Times New Roman" w:hAnsiTheme="minorHAnsi" w:cstheme="minorHAnsi"/>
                <w:sz w:val="20"/>
                <w:szCs w:val="20"/>
                <w:lang w:val="fr-FR" w:eastAsia="en-GB"/>
              </w:rPr>
            </w:pPr>
            <w:r w:rsidRPr="003F50B6">
              <w:rPr>
                <w:rFonts w:asciiTheme="minorHAnsi" w:eastAsia="Times New Roman" w:hAnsiTheme="minorHAnsi" w:cstheme="minorHAnsi"/>
                <w:sz w:val="20"/>
                <w:szCs w:val="20"/>
                <w:lang w:val="fr-FR" w:eastAsia="en-GB"/>
              </w:rPr>
              <w:t>331</w:t>
            </w:r>
          </w:p>
        </w:tc>
        <w:tc>
          <w:tcPr>
            <w:tcW w:w="1134" w:type="dxa"/>
            <w:tcBorders>
              <w:top w:val="nil"/>
              <w:left w:val="nil"/>
              <w:bottom w:val="single" w:sz="4" w:space="0" w:color="auto"/>
              <w:right w:val="single" w:sz="4" w:space="0" w:color="auto"/>
            </w:tcBorders>
            <w:shd w:val="clear" w:color="auto" w:fill="auto"/>
            <w:noWrap/>
            <w:vAlign w:val="center"/>
          </w:tcPr>
          <w:p w14:paraId="1893C1A5" w14:textId="77777777" w:rsidR="005D0A19" w:rsidRPr="003F50B6" w:rsidRDefault="005D0A19" w:rsidP="00483E42">
            <w:pPr>
              <w:ind w:left="0" w:firstLine="0"/>
              <w:jc w:val="right"/>
              <w:rPr>
                <w:rFonts w:asciiTheme="minorHAnsi" w:eastAsia="Times New Roman" w:hAnsiTheme="minorHAnsi" w:cstheme="minorHAnsi"/>
                <w:sz w:val="20"/>
                <w:szCs w:val="20"/>
                <w:lang w:val="fr-FR" w:eastAsia="en-GB"/>
              </w:rPr>
            </w:pPr>
            <w:r w:rsidRPr="003F50B6">
              <w:rPr>
                <w:rFonts w:asciiTheme="minorHAnsi" w:eastAsia="Times New Roman" w:hAnsiTheme="minorHAnsi" w:cstheme="minorHAnsi"/>
                <w:sz w:val="20"/>
                <w:szCs w:val="20"/>
                <w:lang w:val="fr-FR" w:eastAsia="en-GB"/>
              </w:rPr>
              <w:t>331</w:t>
            </w:r>
          </w:p>
        </w:tc>
        <w:tc>
          <w:tcPr>
            <w:tcW w:w="993" w:type="dxa"/>
            <w:tcBorders>
              <w:top w:val="nil"/>
              <w:left w:val="nil"/>
              <w:bottom w:val="single" w:sz="4" w:space="0" w:color="auto"/>
              <w:right w:val="single" w:sz="4" w:space="0" w:color="auto"/>
            </w:tcBorders>
            <w:shd w:val="clear" w:color="auto" w:fill="auto"/>
            <w:noWrap/>
            <w:vAlign w:val="center"/>
          </w:tcPr>
          <w:p w14:paraId="7778A3F7" w14:textId="77777777" w:rsidR="005D0A19" w:rsidRPr="003F50B6" w:rsidRDefault="005D0A19" w:rsidP="00483E42">
            <w:pPr>
              <w:ind w:left="0" w:firstLine="0"/>
              <w:jc w:val="right"/>
              <w:rPr>
                <w:rFonts w:asciiTheme="minorHAnsi" w:eastAsia="Times New Roman" w:hAnsiTheme="minorHAnsi" w:cstheme="minorHAnsi"/>
                <w:color w:val="000000"/>
                <w:sz w:val="20"/>
                <w:szCs w:val="20"/>
                <w:lang w:val="fr-FR" w:eastAsia="en-GB"/>
              </w:rPr>
            </w:pPr>
            <w:r w:rsidRPr="003F50B6">
              <w:rPr>
                <w:rFonts w:asciiTheme="minorHAnsi" w:eastAsia="Times New Roman" w:hAnsiTheme="minorHAnsi" w:cstheme="minorHAnsi"/>
                <w:color w:val="000000"/>
                <w:sz w:val="20"/>
                <w:szCs w:val="20"/>
                <w:lang w:val="fr-FR" w:eastAsia="en-GB"/>
              </w:rPr>
              <w:t>331</w:t>
            </w:r>
          </w:p>
        </w:tc>
        <w:tc>
          <w:tcPr>
            <w:tcW w:w="1275" w:type="dxa"/>
            <w:tcBorders>
              <w:top w:val="nil"/>
              <w:left w:val="nil"/>
              <w:bottom w:val="single" w:sz="4" w:space="0" w:color="auto"/>
              <w:right w:val="single" w:sz="4" w:space="0" w:color="auto"/>
            </w:tcBorders>
            <w:shd w:val="clear" w:color="auto" w:fill="auto"/>
            <w:noWrap/>
            <w:vAlign w:val="center"/>
          </w:tcPr>
          <w:p w14:paraId="6A373071" w14:textId="77777777" w:rsidR="005D0A19" w:rsidRPr="003F50B6" w:rsidRDefault="005D0A19" w:rsidP="00483E42">
            <w:pPr>
              <w:ind w:left="0" w:firstLine="0"/>
              <w:jc w:val="right"/>
              <w:rPr>
                <w:rFonts w:asciiTheme="minorHAnsi" w:eastAsia="Times New Roman" w:hAnsiTheme="minorHAnsi" w:cstheme="minorHAnsi"/>
                <w:sz w:val="20"/>
                <w:szCs w:val="20"/>
                <w:lang w:val="fr-FR" w:eastAsia="en-GB"/>
              </w:rPr>
            </w:pPr>
            <w:r w:rsidRPr="003F50B6">
              <w:rPr>
                <w:rFonts w:asciiTheme="minorHAnsi" w:eastAsia="Times New Roman" w:hAnsiTheme="minorHAnsi" w:cstheme="minorHAnsi"/>
                <w:sz w:val="20"/>
                <w:szCs w:val="20"/>
                <w:lang w:val="fr-FR" w:eastAsia="en-GB"/>
              </w:rPr>
              <w:t>993</w:t>
            </w:r>
          </w:p>
        </w:tc>
      </w:tr>
      <w:tr w:rsidR="005D0A19" w:rsidRPr="00A4333E" w14:paraId="48A9F315" w14:textId="77777777" w:rsidTr="00EF4718">
        <w:tc>
          <w:tcPr>
            <w:tcW w:w="3690" w:type="dxa"/>
            <w:tcBorders>
              <w:top w:val="nil"/>
              <w:left w:val="single" w:sz="4" w:space="0" w:color="auto"/>
              <w:bottom w:val="single" w:sz="4" w:space="0" w:color="auto"/>
              <w:right w:val="single" w:sz="4" w:space="0" w:color="auto"/>
            </w:tcBorders>
            <w:shd w:val="clear" w:color="auto" w:fill="auto"/>
            <w:noWrap/>
            <w:vAlign w:val="center"/>
          </w:tcPr>
          <w:p w14:paraId="56863CB4" w14:textId="49BEF547" w:rsidR="005D0A19" w:rsidRPr="003F50B6" w:rsidRDefault="00447ECB" w:rsidP="00483E42">
            <w:pPr>
              <w:ind w:left="0" w:firstLine="0"/>
              <w:rPr>
                <w:rFonts w:asciiTheme="minorHAnsi" w:eastAsia="Times New Roman" w:hAnsiTheme="minorHAnsi" w:cstheme="minorHAnsi"/>
                <w:sz w:val="20"/>
                <w:szCs w:val="20"/>
                <w:lang w:val="fr-FR" w:eastAsia="en-GB"/>
              </w:rPr>
            </w:pPr>
            <w:r w:rsidRPr="003F50B6">
              <w:rPr>
                <w:rFonts w:asciiTheme="minorHAnsi" w:eastAsia="Times New Roman" w:hAnsiTheme="minorHAnsi" w:cstheme="minorHAnsi"/>
                <w:sz w:val="20"/>
                <w:szCs w:val="20"/>
                <w:lang w:val="fr-FR" w:eastAsia="en-GB"/>
              </w:rPr>
              <w:t>Recrutement et indemnités de départ</w:t>
            </w:r>
          </w:p>
        </w:tc>
        <w:tc>
          <w:tcPr>
            <w:tcW w:w="1134" w:type="dxa"/>
            <w:tcBorders>
              <w:top w:val="nil"/>
              <w:left w:val="nil"/>
              <w:bottom w:val="single" w:sz="4" w:space="0" w:color="auto"/>
              <w:right w:val="single" w:sz="4" w:space="0" w:color="auto"/>
            </w:tcBorders>
          </w:tcPr>
          <w:p w14:paraId="58AE40C4" w14:textId="4E8CCC75" w:rsidR="005D0A19" w:rsidRPr="003F50B6" w:rsidRDefault="005D0A19" w:rsidP="00483E42">
            <w:pPr>
              <w:ind w:left="0" w:firstLine="0"/>
              <w:jc w:val="right"/>
              <w:rPr>
                <w:rFonts w:asciiTheme="minorHAnsi" w:eastAsia="Times New Roman" w:hAnsiTheme="minorHAnsi" w:cstheme="minorHAnsi"/>
                <w:sz w:val="20"/>
                <w:szCs w:val="20"/>
                <w:lang w:val="fr-FR" w:eastAsia="en-GB"/>
              </w:rPr>
            </w:pPr>
            <w:r w:rsidRPr="003F50B6">
              <w:rPr>
                <w:rFonts w:asciiTheme="minorHAnsi" w:eastAsia="Times New Roman" w:hAnsiTheme="minorHAnsi" w:cstheme="minorHAnsi"/>
                <w:sz w:val="20"/>
                <w:szCs w:val="20"/>
                <w:lang w:val="fr-FR" w:eastAsia="en-GB"/>
              </w:rPr>
              <w:t>49</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76D3A7C5" w14:textId="56D8DD4A" w:rsidR="005D0A19" w:rsidRPr="003F50B6" w:rsidRDefault="005D0A19" w:rsidP="00483E42">
            <w:pPr>
              <w:ind w:left="0" w:firstLine="0"/>
              <w:jc w:val="right"/>
              <w:rPr>
                <w:rFonts w:asciiTheme="minorHAnsi" w:eastAsia="Times New Roman" w:hAnsiTheme="minorHAnsi" w:cstheme="minorHAnsi"/>
                <w:sz w:val="20"/>
                <w:szCs w:val="20"/>
                <w:lang w:val="fr-FR" w:eastAsia="en-GB"/>
              </w:rPr>
            </w:pPr>
            <w:r w:rsidRPr="003F50B6">
              <w:rPr>
                <w:rFonts w:asciiTheme="minorHAnsi" w:eastAsia="Times New Roman" w:hAnsiTheme="minorHAnsi" w:cstheme="minorHAnsi"/>
                <w:sz w:val="20"/>
                <w:szCs w:val="20"/>
                <w:lang w:val="fr-FR" w:eastAsia="en-GB"/>
              </w:rPr>
              <w:t>48</w:t>
            </w:r>
          </w:p>
        </w:tc>
        <w:tc>
          <w:tcPr>
            <w:tcW w:w="1134" w:type="dxa"/>
            <w:tcBorders>
              <w:top w:val="nil"/>
              <w:left w:val="nil"/>
              <w:bottom w:val="single" w:sz="4" w:space="0" w:color="auto"/>
              <w:right w:val="single" w:sz="4" w:space="0" w:color="auto"/>
            </w:tcBorders>
            <w:shd w:val="clear" w:color="auto" w:fill="auto"/>
            <w:noWrap/>
            <w:vAlign w:val="center"/>
          </w:tcPr>
          <w:p w14:paraId="30D81D5D" w14:textId="77777777" w:rsidR="005D0A19" w:rsidRPr="003F50B6" w:rsidRDefault="005D0A19" w:rsidP="00483E42">
            <w:pPr>
              <w:ind w:left="0" w:firstLine="0"/>
              <w:jc w:val="right"/>
              <w:rPr>
                <w:rFonts w:asciiTheme="minorHAnsi" w:eastAsia="Times New Roman" w:hAnsiTheme="minorHAnsi" w:cstheme="minorHAnsi"/>
                <w:sz w:val="20"/>
                <w:szCs w:val="20"/>
                <w:lang w:val="fr-FR" w:eastAsia="en-GB"/>
              </w:rPr>
            </w:pPr>
            <w:r w:rsidRPr="003F50B6">
              <w:rPr>
                <w:rFonts w:asciiTheme="minorHAnsi" w:eastAsia="Times New Roman" w:hAnsiTheme="minorHAnsi" w:cstheme="minorHAnsi"/>
                <w:sz w:val="20"/>
                <w:szCs w:val="20"/>
                <w:lang w:val="fr-FR" w:eastAsia="en-GB"/>
              </w:rPr>
              <w:t>52</w:t>
            </w:r>
          </w:p>
        </w:tc>
        <w:tc>
          <w:tcPr>
            <w:tcW w:w="993" w:type="dxa"/>
            <w:tcBorders>
              <w:top w:val="nil"/>
              <w:left w:val="nil"/>
              <w:bottom w:val="single" w:sz="4" w:space="0" w:color="auto"/>
              <w:right w:val="single" w:sz="4" w:space="0" w:color="auto"/>
            </w:tcBorders>
            <w:shd w:val="clear" w:color="auto" w:fill="auto"/>
            <w:noWrap/>
            <w:vAlign w:val="center"/>
          </w:tcPr>
          <w:p w14:paraId="6DEB48BB" w14:textId="77777777" w:rsidR="005D0A19" w:rsidRPr="003F50B6" w:rsidRDefault="005D0A19" w:rsidP="00483E42">
            <w:pPr>
              <w:ind w:left="0" w:firstLine="0"/>
              <w:jc w:val="right"/>
              <w:rPr>
                <w:rFonts w:asciiTheme="minorHAnsi" w:eastAsia="Times New Roman" w:hAnsiTheme="minorHAnsi" w:cstheme="minorHAnsi"/>
                <w:color w:val="000000"/>
                <w:sz w:val="20"/>
                <w:szCs w:val="20"/>
                <w:lang w:val="fr-FR" w:eastAsia="en-GB"/>
              </w:rPr>
            </w:pPr>
            <w:r w:rsidRPr="003F50B6">
              <w:rPr>
                <w:rFonts w:asciiTheme="minorHAnsi" w:eastAsia="Times New Roman" w:hAnsiTheme="minorHAnsi" w:cstheme="minorHAnsi"/>
                <w:color w:val="000000"/>
                <w:sz w:val="20"/>
                <w:szCs w:val="20"/>
                <w:lang w:val="fr-FR" w:eastAsia="en-GB"/>
              </w:rPr>
              <w:t>52</w:t>
            </w:r>
          </w:p>
        </w:tc>
        <w:tc>
          <w:tcPr>
            <w:tcW w:w="1275" w:type="dxa"/>
            <w:tcBorders>
              <w:top w:val="nil"/>
              <w:left w:val="nil"/>
              <w:bottom w:val="single" w:sz="4" w:space="0" w:color="auto"/>
              <w:right w:val="single" w:sz="4" w:space="0" w:color="auto"/>
            </w:tcBorders>
            <w:shd w:val="clear" w:color="auto" w:fill="auto"/>
            <w:noWrap/>
            <w:vAlign w:val="center"/>
          </w:tcPr>
          <w:p w14:paraId="765226DD" w14:textId="77777777" w:rsidR="005D0A19" w:rsidRPr="003F50B6" w:rsidRDefault="005D0A19" w:rsidP="00483E42">
            <w:pPr>
              <w:ind w:left="0" w:firstLine="0"/>
              <w:jc w:val="right"/>
              <w:rPr>
                <w:rFonts w:asciiTheme="minorHAnsi" w:eastAsia="Times New Roman" w:hAnsiTheme="minorHAnsi" w:cstheme="minorHAnsi"/>
                <w:sz w:val="20"/>
                <w:szCs w:val="20"/>
                <w:lang w:val="fr-FR" w:eastAsia="en-GB"/>
              </w:rPr>
            </w:pPr>
            <w:r w:rsidRPr="003F50B6">
              <w:rPr>
                <w:rFonts w:asciiTheme="minorHAnsi" w:eastAsia="Times New Roman" w:hAnsiTheme="minorHAnsi" w:cstheme="minorHAnsi"/>
                <w:sz w:val="20"/>
                <w:szCs w:val="20"/>
                <w:lang w:val="fr-FR" w:eastAsia="en-GB"/>
              </w:rPr>
              <w:t>152</w:t>
            </w:r>
          </w:p>
        </w:tc>
      </w:tr>
      <w:tr w:rsidR="005D0A19" w:rsidRPr="00A4333E" w14:paraId="650A00F3" w14:textId="77777777" w:rsidTr="00EF4718">
        <w:tc>
          <w:tcPr>
            <w:tcW w:w="3690" w:type="dxa"/>
            <w:tcBorders>
              <w:top w:val="nil"/>
              <w:left w:val="single" w:sz="4" w:space="0" w:color="auto"/>
              <w:bottom w:val="single" w:sz="4" w:space="0" w:color="auto"/>
              <w:right w:val="single" w:sz="4" w:space="0" w:color="auto"/>
            </w:tcBorders>
            <w:shd w:val="clear" w:color="auto" w:fill="auto"/>
            <w:noWrap/>
            <w:vAlign w:val="center"/>
          </w:tcPr>
          <w:p w14:paraId="3ADF3DC7" w14:textId="77A1D27C" w:rsidR="005D0A19" w:rsidRPr="003F50B6" w:rsidRDefault="00447ECB" w:rsidP="00483E42">
            <w:pPr>
              <w:ind w:left="0" w:firstLine="0"/>
              <w:rPr>
                <w:rFonts w:asciiTheme="minorHAnsi" w:eastAsia="Times New Roman" w:hAnsiTheme="minorHAnsi" w:cstheme="minorHAnsi"/>
                <w:sz w:val="20"/>
                <w:szCs w:val="20"/>
                <w:lang w:val="fr-FR" w:eastAsia="en-GB"/>
              </w:rPr>
            </w:pPr>
            <w:r w:rsidRPr="003F50B6">
              <w:rPr>
                <w:rFonts w:asciiTheme="minorHAnsi" w:eastAsia="Times New Roman" w:hAnsiTheme="minorHAnsi" w:cstheme="minorHAnsi"/>
                <w:sz w:val="20"/>
                <w:szCs w:val="20"/>
                <w:lang w:val="fr-FR" w:eastAsia="en-GB"/>
              </w:rPr>
              <w:t>Équipements/Fournitures de bureau</w:t>
            </w:r>
          </w:p>
        </w:tc>
        <w:tc>
          <w:tcPr>
            <w:tcW w:w="1134" w:type="dxa"/>
            <w:tcBorders>
              <w:top w:val="nil"/>
              <w:left w:val="nil"/>
              <w:bottom w:val="single" w:sz="4" w:space="0" w:color="auto"/>
              <w:right w:val="single" w:sz="4" w:space="0" w:color="auto"/>
            </w:tcBorders>
          </w:tcPr>
          <w:p w14:paraId="431F55DA" w14:textId="27B3A3FC" w:rsidR="005D0A19" w:rsidRPr="003F50B6" w:rsidRDefault="005D0A19" w:rsidP="00483E42">
            <w:pPr>
              <w:ind w:left="0" w:firstLine="0"/>
              <w:jc w:val="right"/>
              <w:rPr>
                <w:rFonts w:asciiTheme="minorHAnsi" w:eastAsia="Times New Roman" w:hAnsiTheme="minorHAnsi" w:cstheme="minorHAnsi"/>
                <w:sz w:val="20"/>
                <w:szCs w:val="20"/>
                <w:lang w:val="fr-FR" w:eastAsia="en-GB"/>
              </w:rPr>
            </w:pPr>
            <w:r w:rsidRPr="003F50B6">
              <w:rPr>
                <w:rFonts w:asciiTheme="minorHAnsi" w:eastAsia="Times New Roman" w:hAnsiTheme="minorHAnsi" w:cstheme="minorHAnsi"/>
                <w:sz w:val="20"/>
                <w:szCs w:val="20"/>
                <w:lang w:val="fr-FR" w:eastAsia="en-GB"/>
              </w:rPr>
              <w:t>95</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2151CA45" w14:textId="2FF773B9" w:rsidR="005D0A19" w:rsidRPr="003F50B6" w:rsidRDefault="005D0A19" w:rsidP="00483E42">
            <w:pPr>
              <w:ind w:left="0" w:firstLine="0"/>
              <w:jc w:val="right"/>
              <w:rPr>
                <w:rFonts w:asciiTheme="minorHAnsi" w:eastAsia="Times New Roman" w:hAnsiTheme="minorHAnsi" w:cstheme="minorHAnsi"/>
                <w:sz w:val="20"/>
                <w:szCs w:val="20"/>
                <w:lang w:val="fr-FR" w:eastAsia="en-GB"/>
              </w:rPr>
            </w:pPr>
            <w:r w:rsidRPr="003F50B6">
              <w:rPr>
                <w:rFonts w:asciiTheme="minorHAnsi" w:eastAsia="Times New Roman" w:hAnsiTheme="minorHAnsi" w:cstheme="minorHAnsi"/>
                <w:sz w:val="20"/>
                <w:szCs w:val="20"/>
                <w:lang w:val="fr-FR" w:eastAsia="en-GB"/>
              </w:rPr>
              <w:t>95</w:t>
            </w:r>
          </w:p>
        </w:tc>
        <w:tc>
          <w:tcPr>
            <w:tcW w:w="1134" w:type="dxa"/>
            <w:tcBorders>
              <w:top w:val="nil"/>
              <w:left w:val="nil"/>
              <w:bottom w:val="single" w:sz="4" w:space="0" w:color="auto"/>
              <w:right w:val="single" w:sz="4" w:space="0" w:color="auto"/>
            </w:tcBorders>
            <w:shd w:val="clear" w:color="auto" w:fill="auto"/>
            <w:noWrap/>
            <w:vAlign w:val="center"/>
          </w:tcPr>
          <w:p w14:paraId="59C97DC6" w14:textId="77777777" w:rsidR="005D0A19" w:rsidRPr="003F50B6" w:rsidRDefault="005D0A19" w:rsidP="00483E42">
            <w:pPr>
              <w:ind w:left="0" w:firstLine="0"/>
              <w:jc w:val="right"/>
              <w:rPr>
                <w:rFonts w:asciiTheme="minorHAnsi" w:eastAsia="Times New Roman" w:hAnsiTheme="minorHAnsi" w:cstheme="minorHAnsi"/>
                <w:sz w:val="20"/>
                <w:szCs w:val="20"/>
                <w:lang w:val="fr-FR" w:eastAsia="en-GB"/>
              </w:rPr>
            </w:pPr>
            <w:r w:rsidRPr="003F50B6">
              <w:rPr>
                <w:rFonts w:asciiTheme="minorHAnsi" w:eastAsia="Times New Roman" w:hAnsiTheme="minorHAnsi" w:cstheme="minorHAnsi"/>
                <w:sz w:val="20"/>
                <w:szCs w:val="20"/>
                <w:lang w:val="fr-FR" w:eastAsia="en-GB"/>
              </w:rPr>
              <w:t>95</w:t>
            </w:r>
          </w:p>
        </w:tc>
        <w:tc>
          <w:tcPr>
            <w:tcW w:w="993" w:type="dxa"/>
            <w:tcBorders>
              <w:top w:val="nil"/>
              <w:left w:val="nil"/>
              <w:bottom w:val="single" w:sz="4" w:space="0" w:color="auto"/>
              <w:right w:val="single" w:sz="4" w:space="0" w:color="auto"/>
            </w:tcBorders>
            <w:shd w:val="clear" w:color="auto" w:fill="auto"/>
            <w:noWrap/>
            <w:vAlign w:val="center"/>
          </w:tcPr>
          <w:p w14:paraId="21EB046D" w14:textId="77777777" w:rsidR="005D0A19" w:rsidRPr="003F50B6" w:rsidRDefault="005D0A19" w:rsidP="00483E42">
            <w:pPr>
              <w:ind w:left="0" w:firstLine="0"/>
              <w:jc w:val="right"/>
              <w:rPr>
                <w:rFonts w:asciiTheme="minorHAnsi" w:eastAsia="Times New Roman" w:hAnsiTheme="minorHAnsi" w:cstheme="minorHAnsi"/>
                <w:color w:val="000000"/>
                <w:sz w:val="20"/>
                <w:szCs w:val="20"/>
                <w:lang w:val="fr-FR" w:eastAsia="en-GB"/>
              </w:rPr>
            </w:pPr>
            <w:r w:rsidRPr="003F50B6">
              <w:rPr>
                <w:rFonts w:asciiTheme="minorHAnsi" w:eastAsia="Times New Roman" w:hAnsiTheme="minorHAnsi" w:cstheme="minorHAnsi"/>
                <w:color w:val="000000"/>
                <w:sz w:val="20"/>
                <w:szCs w:val="20"/>
                <w:lang w:val="fr-FR" w:eastAsia="en-GB"/>
              </w:rPr>
              <w:t>95</w:t>
            </w:r>
          </w:p>
        </w:tc>
        <w:tc>
          <w:tcPr>
            <w:tcW w:w="1275" w:type="dxa"/>
            <w:tcBorders>
              <w:top w:val="nil"/>
              <w:left w:val="nil"/>
              <w:bottom w:val="single" w:sz="4" w:space="0" w:color="auto"/>
              <w:right w:val="single" w:sz="4" w:space="0" w:color="auto"/>
            </w:tcBorders>
            <w:shd w:val="clear" w:color="auto" w:fill="auto"/>
            <w:noWrap/>
            <w:vAlign w:val="center"/>
          </w:tcPr>
          <w:p w14:paraId="501587DD" w14:textId="77777777" w:rsidR="005D0A19" w:rsidRPr="003F50B6" w:rsidRDefault="005D0A19" w:rsidP="00483E42">
            <w:pPr>
              <w:ind w:left="0" w:firstLine="0"/>
              <w:jc w:val="right"/>
              <w:rPr>
                <w:rFonts w:asciiTheme="minorHAnsi" w:eastAsia="Times New Roman" w:hAnsiTheme="minorHAnsi" w:cstheme="minorHAnsi"/>
                <w:sz w:val="20"/>
                <w:szCs w:val="20"/>
                <w:lang w:val="fr-FR" w:eastAsia="en-GB"/>
              </w:rPr>
            </w:pPr>
            <w:r w:rsidRPr="003F50B6">
              <w:rPr>
                <w:rFonts w:asciiTheme="minorHAnsi" w:eastAsia="Times New Roman" w:hAnsiTheme="minorHAnsi" w:cstheme="minorHAnsi"/>
                <w:sz w:val="20"/>
                <w:szCs w:val="20"/>
                <w:lang w:val="fr-FR" w:eastAsia="en-GB"/>
              </w:rPr>
              <w:t>285</w:t>
            </w:r>
          </w:p>
        </w:tc>
      </w:tr>
      <w:tr w:rsidR="005D0A19" w:rsidRPr="00A4333E" w14:paraId="5A9D91E4" w14:textId="77777777" w:rsidTr="00EF4718">
        <w:tc>
          <w:tcPr>
            <w:tcW w:w="3690" w:type="dxa"/>
            <w:tcBorders>
              <w:top w:val="nil"/>
              <w:left w:val="single" w:sz="4" w:space="0" w:color="auto"/>
              <w:bottom w:val="single" w:sz="4" w:space="0" w:color="auto"/>
              <w:right w:val="single" w:sz="4" w:space="0" w:color="auto"/>
            </w:tcBorders>
            <w:shd w:val="clear" w:color="auto" w:fill="auto"/>
            <w:noWrap/>
            <w:vAlign w:val="center"/>
          </w:tcPr>
          <w:p w14:paraId="4BD3580C" w14:textId="5D61F089" w:rsidR="005D0A19" w:rsidRPr="003F50B6" w:rsidRDefault="00447ECB" w:rsidP="00447ECB">
            <w:pPr>
              <w:pStyle w:val="NormalWeb"/>
              <w:rPr>
                <w:rFonts w:asciiTheme="minorHAnsi" w:eastAsia="Times New Roman" w:hAnsiTheme="minorHAnsi" w:cstheme="minorHAnsi"/>
                <w:sz w:val="20"/>
                <w:szCs w:val="20"/>
                <w:lang w:val="fr-FR"/>
              </w:rPr>
            </w:pPr>
            <w:r w:rsidRPr="003F50B6">
              <w:rPr>
                <w:rFonts w:asciiTheme="minorHAnsi" w:hAnsiTheme="minorHAnsi" w:cstheme="minorHAnsi"/>
                <w:sz w:val="20"/>
                <w:szCs w:val="20"/>
                <w:lang w:val="fr-FR"/>
              </w:rPr>
              <w:t xml:space="preserve">Planification/renforcement des capacités </w:t>
            </w:r>
          </w:p>
        </w:tc>
        <w:tc>
          <w:tcPr>
            <w:tcW w:w="1134" w:type="dxa"/>
            <w:tcBorders>
              <w:top w:val="nil"/>
              <w:left w:val="nil"/>
              <w:bottom w:val="single" w:sz="4" w:space="0" w:color="auto"/>
              <w:right w:val="single" w:sz="4" w:space="0" w:color="auto"/>
            </w:tcBorders>
          </w:tcPr>
          <w:p w14:paraId="7A79F26A" w14:textId="31A6C51A" w:rsidR="005D0A19" w:rsidRPr="003F50B6" w:rsidRDefault="005D0A19" w:rsidP="00483E42">
            <w:pPr>
              <w:ind w:left="0" w:firstLine="0"/>
              <w:jc w:val="right"/>
              <w:rPr>
                <w:rFonts w:asciiTheme="minorHAnsi" w:eastAsia="Times New Roman" w:hAnsiTheme="minorHAnsi" w:cstheme="minorHAnsi"/>
                <w:sz w:val="20"/>
                <w:szCs w:val="20"/>
                <w:lang w:val="fr-FR" w:eastAsia="en-GB"/>
              </w:rPr>
            </w:pPr>
            <w:r w:rsidRPr="003F50B6">
              <w:rPr>
                <w:rFonts w:asciiTheme="minorHAnsi" w:eastAsia="Times New Roman" w:hAnsiTheme="minorHAnsi" w:cstheme="minorHAnsi"/>
                <w:sz w:val="20"/>
                <w:szCs w:val="20"/>
                <w:lang w:val="fr-FR" w:eastAsia="en-GB"/>
              </w:rPr>
              <w:t>0</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05E5A22C" w14:textId="242D5747" w:rsidR="005D0A19" w:rsidRPr="003F50B6" w:rsidRDefault="005D0A19" w:rsidP="00483E42">
            <w:pPr>
              <w:ind w:left="0" w:firstLine="0"/>
              <w:jc w:val="right"/>
              <w:rPr>
                <w:rFonts w:asciiTheme="minorHAnsi" w:eastAsia="Times New Roman" w:hAnsiTheme="minorHAnsi" w:cstheme="minorHAnsi"/>
                <w:sz w:val="20"/>
                <w:szCs w:val="20"/>
                <w:lang w:val="fr-FR" w:eastAsia="en-GB"/>
              </w:rPr>
            </w:pPr>
            <w:r w:rsidRPr="003F50B6">
              <w:rPr>
                <w:rFonts w:asciiTheme="minorHAnsi" w:eastAsia="Times New Roman" w:hAnsiTheme="minorHAnsi" w:cstheme="minorHAnsi"/>
                <w:sz w:val="20"/>
                <w:szCs w:val="20"/>
                <w:lang w:val="fr-FR" w:eastAsia="en-GB"/>
              </w:rPr>
              <w:t>0</w:t>
            </w:r>
          </w:p>
        </w:tc>
        <w:tc>
          <w:tcPr>
            <w:tcW w:w="1134" w:type="dxa"/>
            <w:tcBorders>
              <w:top w:val="nil"/>
              <w:left w:val="nil"/>
              <w:bottom w:val="single" w:sz="4" w:space="0" w:color="auto"/>
              <w:right w:val="single" w:sz="4" w:space="0" w:color="auto"/>
            </w:tcBorders>
            <w:shd w:val="clear" w:color="auto" w:fill="auto"/>
            <w:noWrap/>
            <w:vAlign w:val="center"/>
          </w:tcPr>
          <w:p w14:paraId="558B3558" w14:textId="77777777" w:rsidR="005D0A19" w:rsidRPr="003F50B6" w:rsidRDefault="005D0A19" w:rsidP="00483E42">
            <w:pPr>
              <w:ind w:left="0" w:firstLine="0"/>
              <w:jc w:val="right"/>
              <w:rPr>
                <w:rFonts w:asciiTheme="minorHAnsi" w:eastAsia="Times New Roman" w:hAnsiTheme="minorHAnsi" w:cstheme="minorHAnsi"/>
                <w:sz w:val="20"/>
                <w:szCs w:val="20"/>
                <w:lang w:val="fr-FR" w:eastAsia="en-GB"/>
              </w:rPr>
            </w:pPr>
            <w:r w:rsidRPr="003F50B6">
              <w:rPr>
                <w:rFonts w:asciiTheme="minorHAnsi" w:eastAsia="Times New Roman" w:hAnsiTheme="minorHAnsi" w:cstheme="minorHAnsi"/>
                <w:sz w:val="20"/>
                <w:szCs w:val="20"/>
                <w:lang w:val="fr-FR" w:eastAsia="en-GB"/>
              </w:rPr>
              <w:t> 0</w:t>
            </w:r>
          </w:p>
        </w:tc>
        <w:tc>
          <w:tcPr>
            <w:tcW w:w="993" w:type="dxa"/>
            <w:tcBorders>
              <w:top w:val="nil"/>
              <w:left w:val="nil"/>
              <w:bottom w:val="single" w:sz="4" w:space="0" w:color="auto"/>
              <w:right w:val="single" w:sz="4" w:space="0" w:color="auto"/>
            </w:tcBorders>
            <w:shd w:val="clear" w:color="auto" w:fill="auto"/>
            <w:noWrap/>
            <w:vAlign w:val="center"/>
          </w:tcPr>
          <w:p w14:paraId="588A561F" w14:textId="77777777" w:rsidR="005D0A19" w:rsidRPr="003F50B6" w:rsidRDefault="005D0A19" w:rsidP="00483E42">
            <w:pPr>
              <w:ind w:left="0" w:firstLine="0"/>
              <w:jc w:val="right"/>
              <w:rPr>
                <w:rFonts w:asciiTheme="minorHAnsi" w:eastAsia="Times New Roman" w:hAnsiTheme="minorHAnsi" w:cstheme="minorHAnsi"/>
                <w:color w:val="000000"/>
                <w:sz w:val="20"/>
                <w:szCs w:val="20"/>
                <w:lang w:val="fr-FR" w:eastAsia="en-GB"/>
              </w:rPr>
            </w:pPr>
            <w:r w:rsidRPr="003F50B6">
              <w:rPr>
                <w:rFonts w:asciiTheme="minorHAnsi" w:eastAsia="Times New Roman" w:hAnsiTheme="minorHAnsi" w:cstheme="minorHAnsi"/>
                <w:color w:val="000000"/>
                <w:sz w:val="20"/>
                <w:szCs w:val="20"/>
                <w:lang w:val="fr-FR" w:eastAsia="en-GB"/>
              </w:rPr>
              <w:t>0</w:t>
            </w:r>
          </w:p>
        </w:tc>
        <w:tc>
          <w:tcPr>
            <w:tcW w:w="1275" w:type="dxa"/>
            <w:tcBorders>
              <w:top w:val="nil"/>
              <w:left w:val="nil"/>
              <w:bottom w:val="single" w:sz="4" w:space="0" w:color="auto"/>
              <w:right w:val="single" w:sz="4" w:space="0" w:color="auto"/>
            </w:tcBorders>
            <w:shd w:val="clear" w:color="auto" w:fill="auto"/>
            <w:noWrap/>
            <w:vAlign w:val="center"/>
          </w:tcPr>
          <w:p w14:paraId="4E16C558" w14:textId="77777777" w:rsidR="005D0A19" w:rsidRPr="003F50B6" w:rsidRDefault="005D0A19" w:rsidP="00483E42">
            <w:pPr>
              <w:ind w:left="0" w:firstLine="0"/>
              <w:jc w:val="right"/>
              <w:rPr>
                <w:rFonts w:asciiTheme="minorHAnsi" w:eastAsia="Times New Roman" w:hAnsiTheme="minorHAnsi" w:cstheme="minorHAnsi"/>
                <w:sz w:val="20"/>
                <w:szCs w:val="20"/>
                <w:lang w:val="fr-FR" w:eastAsia="en-GB"/>
              </w:rPr>
            </w:pPr>
            <w:r w:rsidRPr="003F50B6">
              <w:rPr>
                <w:rFonts w:asciiTheme="minorHAnsi" w:eastAsia="Times New Roman" w:hAnsiTheme="minorHAnsi" w:cstheme="minorHAnsi"/>
                <w:sz w:val="20"/>
                <w:szCs w:val="20"/>
                <w:lang w:val="fr-FR" w:eastAsia="en-GB"/>
              </w:rPr>
              <w:t>0</w:t>
            </w:r>
          </w:p>
        </w:tc>
      </w:tr>
      <w:tr w:rsidR="005D0A19" w:rsidRPr="00A4333E" w14:paraId="3DE51273" w14:textId="77777777" w:rsidTr="00EF4718">
        <w:tc>
          <w:tcPr>
            <w:tcW w:w="3690" w:type="dxa"/>
            <w:tcBorders>
              <w:top w:val="nil"/>
              <w:left w:val="single" w:sz="4" w:space="0" w:color="auto"/>
              <w:bottom w:val="single" w:sz="4" w:space="0" w:color="auto"/>
              <w:right w:val="single" w:sz="4" w:space="0" w:color="auto"/>
            </w:tcBorders>
            <w:shd w:val="clear" w:color="000000" w:fill="C4D79B"/>
            <w:noWrap/>
            <w:vAlign w:val="center"/>
          </w:tcPr>
          <w:p w14:paraId="69F2B842" w14:textId="37120C35" w:rsidR="005D0A19" w:rsidRPr="003F50B6" w:rsidRDefault="005D0A19" w:rsidP="00136426">
            <w:pPr>
              <w:pStyle w:val="NormalWeb"/>
              <w:shd w:val="clear" w:color="auto" w:fill="C1D699"/>
              <w:rPr>
                <w:rFonts w:asciiTheme="minorHAnsi" w:eastAsia="Times New Roman" w:hAnsiTheme="minorHAnsi" w:cstheme="minorHAnsi"/>
                <w:sz w:val="20"/>
                <w:szCs w:val="20"/>
                <w:lang w:val="fr-FR"/>
              </w:rPr>
            </w:pPr>
            <w:r w:rsidRPr="003F50B6">
              <w:rPr>
                <w:rFonts w:asciiTheme="minorHAnsi" w:eastAsia="Times New Roman" w:hAnsiTheme="minorHAnsi" w:cstheme="minorHAnsi"/>
                <w:b/>
                <w:bCs/>
                <w:sz w:val="20"/>
                <w:szCs w:val="20"/>
                <w:lang w:val="fr-FR" w:eastAsia="en-GB"/>
              </w:rPr>
              <w:t xml:space="preserve">H. </w:t>
            </w:r>
            <w:r w:rsidR="00136426" w:rsidRPr="003F50B6">
              <w:rPr>
                <w:rFonts w:asciiTheme="minorHAnsi" w:hAnsiTheme="minorHAnsi" w:cstheme="minorHAnsi"/>
                <w:b/>
                <w:bCs/>
                <w:sz w:val="20"/>
                <w:szCs w:val="20"/>
                <w:lang w:val="fr-FR"/>
              </w:rPr>
              <w:t xml:space="preserve">Services au Comité permanent </w:t>
            </w:r>
          </w:p>
        </w:tc>
        <w:tc>
          <w:tcPr>
            <w:tcW w:w="1134" w:type="dxa"/>
            <w:tcBorders>
              <w:top w:val="nil"/>
              <w:left w:val="nil"/>
              <w:bottom w:val="single" w:sz="4" w:space="0" w:color="auto"/>
              <w:right w:val="single" w:sz="4" w:space="0" w:color="auto"/>
            </w:tcBorders>
            <w:shd w:val="clear" w:color="000000" w:fill="C4D79B"/>
          </w:tcPr>
          <w:p w14:paraId="7E7889D4" w14:textId="3525D02C" w:rsidR="005D0A19" w:rsidRPr="003F50B6" w:rsidRDefault="005D0A19" w:rsidP="00483E42">
            <w:pPr>
              <w:ind w:left="0" w:firstLine="0"/>
              <w:jc w:val="right"/>
              <w:rPr>
                <w:rFonts w:asciiTheme="minorHAnsi" w:eastAsia="Times New Roman" w:hAnsiTheme="minorHAnsi" w:cstheme="minorHAnsi"/>
                <w:b/>
                <w:bCs/>
                <w:color w:val="000000"/>
                <w:sz w:val="20"/>
                <w:szCs w:val="20"/>
                <w:lang w:val="fr-FR" w:eastAsia="en-GB"/>
              </w:rPr>
            </w:pPr>
            <w:r w:rsidRPr="003F50B6">
              <w:rPr>
                <w:rFonts w:asciiTheme="minorHAnsi" w:eastAsia="Times New Roman" w:hAnsiTheme="minorHAnsi" w:cstheme="minorHAnsi"/>
                <w:b/>
                <w:bCs/>
                <w:color w:val="000000"/>
                <w:sz w:val="20"/>
                <w:szCs w:val="20"/>
                <w:lang w:val="fr-FR" w:eastAsia="en-GB"/>
              </w:rPr>
              <w:t>150</w:t>
            </w:r>
          </w:p>
        </w:tc>
        <w:tc>
          <w:tcPr>
            <w:tcW w:w="1134" w:type="dxa"/>
            <w:tcBorders>
              <w:top w:val="nil"/>
              <w:left w:val="single" w:sz="4" w:space="0" w:color="auto"/>
              <w:bottom w:val="single" w:sz="4" w:space="0" w:color="auto"/>
              <w:right w:val="single" w:sz="4" w:space="0" w:color="auto"/>
            </w:tcBorders>
            <w:shd w:val="clear" w:color="000000" w:fill="C4D79B"/>
            <w:noWrap/>
            <w:vAlign w:val="center"/>
          </w:tcPr>
          <w:p w14:paraId="1F93B36A" w14:textId="3355D27B" w:rsidR="005D0A19" w:rsidRPr="003F50B6" w:rsidRDefault="005D0A19" w:rsidP="00483E42">
            <w:pPr>
              <w:ind w:left="0" w:firstLine="0"/>
              <w:jc w:val="right"/>
              <w:rPr>
                <w:rFonts w:asciiTheme="minorHAnsi" w:eastAsia="Times New Roman" w:hAnsiTheme="minorHAnsi" w:cstheme="minorHAnsi"/>
                <w:b/>
                <w:bCs/>
                <w:color w:val="000000"/>
                <w:sz w:val="20"/>
                <w:szCs w:val="20"/>
                <w:lang w:val="fr-FR" w:eastAsia="en-GB"/>
              </w:rPr>
            </w:pPr>
            <w:r w:rsidRPr="003F50B6">
              <w:rPr>
                <w:rFonts w:asciiTheme="minorHAnsi" w:eastAsia="Times New Roman" w:hAnsiTheme="minorHAnsi" w:cstheme="minorHAnsi"/>
                <w:b/>
                <w:bCs/>
                <w:color w:val="000000"/>
                <w:sz w:val="20"/>
                <w:szCs w:val="20"/>
                <w:lang w:val="fr-FR" w:eastAsia="en-GB"/>
              </w:rPr>
              <w:t>150</w:t>
            </w:r>
          </w:p>
        </w:tc>
        <w:tc>
          <w:tcPr>
            <w:tcW w:w="1134" w:type="dxa"/>
            <w:tcBorders>
              <w:top w:val="nil"/>
              <w:left w:val="nil"/>
              <w:bottom w:val="single" w:sz="4" w:space="0" w:color="auto"/>
              <w:right w:val="single" w:sz="4" w:space="0" w:color="auto"/>
            </w:tcBorders>
            <w:shd w:val="clear" w:color="000000" w:fill="C4D79B"/>
            <w:noWrap/>
            <w:vAlign w:val="center"/>
          </w:tcPr>
          <w:p w14:paraId="0056B185" w14:textId="77777777" w:rsidR="005D0A19" w:rsidRPr="003F50B6" w:rsidRDefault="005D0A19" w:rsidP="00483E42">
            <w:pPr>
              <w:ind w:left="0" w:firstLine="0"/>
              <w:jc w:val="right"/>
              <w:rPr>
                <w:rFonts w:asciiTheme="minorHAnsi" w:eastAsia="Times New Roman" w:hAnsiTheme="minorHAnsi" w:cstheme="minorHAnsi"/>
                <w:b/>
                <w:bCs/>
                <w:color w:val="000000"/>
                <w:sz w:val="20"/>
                <w:szCs w:val="20"/>
                <w:lang w:val="fr-FR" w:eastAsia="en-GB"/>
              </w:rPr>
            </w:pPr>
            <w:r w:rsidRPr="003F50B6">
              <w:rPr>
                <w:rFonts w:asciiTheme="minorHAnsi" w:eastAsia="Times New Roman" w:hAnsiTheme="minorHAnsi" w:cstheme="minorHAnsi"/>
                <w:b/>
                <w:bCs/>
                <w:color w:val="000000"/>
                <w:sz w:val="20"/>
                <w:szCs w:val="20"/>
                <w:lang w:val="fr-FR" w:eastAsia="en-GB"/>
              </w:rPr>
              <w:t>150</w:t>
            </w:r>
          </w:p>
        </w:tc>
        <w:tc>
          <w:tcPr>
            <w:tcW w:w="993" w:type="dxa"/>
            <w:tcBorders>
              <w:top w:val="nil"/>
              <w:left w:val="nil"/>
              <w:bottom w:val="single" w:sz="4" w:space="0" w:color="auto"/>
              <w:right w:val="single" w:sz="4" w:space="0" w:color="auto"/>
            </w:tcBorders>
            <w:shd w:val="clear" w:color="000000" w:fill="C4D79B"/>
            <w:noWrap/>
            <w:vAlign w:val="center"/>
          </w:tcPr>
          <w:p w14:paraId="18E4DDC9" w14:textId="77777777" w:rsidR="005D0A19" w:rsidRPr="003F50B6" w:rsidRDefault="005D0A19" w:rsidP="00483E42">
            <w:pPr>
              <w:ind w:left="0" w:firstLine="0"/>
              <w:jc w:val="right"/>
              <w:rPr>
                <w:rFonts w:asciiTheme="minorHAnsi" w:eastAsia="Times New Roman" w:hAnsiTheme="minorHAnsi" w:cstheme="minorHAnsi"/>
                <w:b/>
                <w:bCs/>
                <w:color w:val="000000"/>
                <w:sz w:val="20"/>
                <w:szCs w:val="20"/>
                <w:lang w:val="fr-FR" w:eastAsia="en-GB"/>
              </w:rPr>
            </w:pPr>
            <w:r w:rsidRPr="003F50B6">
              <w:rPr>
                <w:rFonts w:asciiTheme="minorHAnsi" w:eastAsia="Times New Roman" w:hAnsiTheme="minorHAnsi" w:cstheme="minorHAnsi"/>
                <w:b/>
                <w:bCs/>
                <w:color w:val="000000"/>
                <w:sz w:val="20"/>
                <w:szCs w:val="20"/>
                <w:lang w:val="fr-FR" w:eastAsia="en-GB"/>
              </w:rPr>
              <w:t>150</w:t>
            </w:r>
          </w:p>
        </w:tc>
        <w:tc>
          <w:tcPr>
            <w:tcW w:w="1275" w:type="dxa"/>
            <w:tcBorders>
              <w:top w:val="nil"/>
              <w:left w:val="nil"/>
              <w:bottom w:val="single" w:sz="4" w:space="0" w:color="auto"/>
              <w:right w:val="single" w:sz="4" w:space="0" w:color="auto"/>
            </w:tcBorders>
            <w:shd w:val="clear" w:color="000000" w:fill="C4D79B"/>
            <w:noWrap/>
            <w:vAlign w:val="center"/>
          </w:tcPr>
          <w:p w14:paraId="1F1D30C7" w14:textId="77777777" w:rsidR="005D0A19" w:rsidRPr="003F50B6" w:rsidRDefault="005D0A19" w:rsidP="00483E42">
            <w:pPr>
              <w:ind w:left="0" w:firstLine="0"/>
              <w:jc w:val="right"/>
              <w:rPr>
                <w:rFonts w:asciiTheme="minorHAnsi" w:eastAsia="Times New Roman" w:hAnsiTheme="minorHAnsi" w:cstheme="minorHAnsi"/>
                <w:b/>
                <w:bCs/>
                <w:color w:val="000000"/>
                <w:sz w:val="20"/>
                <w:szCs w:val="20"/>
                <w:lang w:val="fr-FR" w:eastAsia="en-GB"/>
              </w:rPr>
            </w:pPr>
            <w:r w:rsidRPr="003F50B6">
              <w:rPr>
                <w:rFonts w:asciiTheme="minorHAnsi" w:eastAsia="Times New Roman" w:hAnsiTheme="minorHAnsi" w:cstheme="minorHAnsi"/>
                <w:b/>
                <w:bCs/>
                <w:color w:val="000000"/>
                <w:sz w:val="20"/>
                <w:szCs w:val="20"/>
                <w:lang w:val="fr-FR" w:eastAsia="en-GB"/>
              </w:rPr>
              <w:t>450</w:t>
            </w:r>
          </w:p>
        </w:tc>
      </w:tr>
      <w:tr w:rsidR="005D0A19" w:rsidRPr="00A4333E" w14:paraId="4197F454" w14:textId="77777777" w:rsidTr="00EF4718">
        <w:tc>
          <w:tcPr>
            <w:tcW w:w="3690" w:type="dxa"/>
            <w:tcBorders>
              <w:top w:val="nil"/>
              <w:left w:val="single" w:sz="4" w:space="0" w:color="auto"/>
              <w:bottom w:val="single" w:sz="4" w:space="0" w:color="auto"/>
              <w:right w:val="single" w:sz="4" w:space="0" w:color="auto"/>
            </w:tcBorders>
            <w:shd w:val="clear" w:color="auto" w:fill="auto"/>
            <w:noWrap/>
            <w:vAlign w:val="center"/>
          </w:tcPr>
          <w:p w14:paraId="18018EC3" w14:textId="255E5788" w:rsidR="005D0A19" w:rsidRPr="003F50B6" w:rsidRDefault="00136426" w:rsidP="00483E42">
            <w:pPr>
              <w:ind w:left="0" w:firstLine="0"/>
              <w:rPr>
                <w:rFonts w:asciiTheme="minorHAnsi" w:eastAsia="Times New Roman" w:hAnsiTheme="minorHAnsi" w:cstheme="minorHAnsi"/>
                <w:sz w:val="20"/>
                <w:szCs w:val="20"/>
                <w:lang w:val="fr-FR" w:eastAsia="en-GB"/>
              </w:rPr>
            </w:pPr>
            <w:r w:rsidRPr="003F50B6">
              <w:rPr>
                <w:rFonts w:asciiTheme="minorHAnsi" w:eastAsia="Times New Roman" w:hAnsiTheme="minorHAnsi" w:cstheme="minorHAnsi"/>
                <w:sz w:val="20"/>
                <w:szCs w:val="20"/>
                <w:lang w:val="fr-FR" w:eastAsia="en-GB"/>
              </w:rPr>
              <w:t>Appui aux délégués du Comité permanent</w:t>
            </w:r>
          </w:p>
        </w:tc>
        <w:tc>
          <w:tcPr>
            <w:tcW w:w="1134" w:type="dxa"/>
            <w:tcBorders>
              <w:top w:val="nil"/>
              <w:left w:val="nil"/>
              <w:bottom w:val="single" w:sz="4" w:space="0" w:color="auto"/>
              <w:right w:val="single" w:sz="4" w:space="0" w:color="auto"/>
            </w:tcBorders>
          </w:tcPr>
          <w:p w14:paraId="1EBE8AEC" w14:textId="2594033F" w:rsidR="005D0A19" w:rsidRPr="003F50B6" w:rsidRDefault="005D0A19" w:rsidP="00483E42">
            <w:pPr>
              <w:ind w:left="0" w:firstLine="0"/>
              <w:jc w:val="right"/>
              <w:rPr>
                <w:rFonts w:asciiTheme="minorHAnsi" w:eastAsia="Times New Roman" w:hAnsiTheme="minorHAnsi" w:cstheme="minorHAnsi"/>
                <w:sz w:val="20"/>
                <w:szCs w:val="20"/>
                <w:lang w:val="fr-FR" w:eastAsia="en-GB"/>
              </w:rPr>
            </w:pPr>
            <w:r w:rsidRPr="003F50B6">
              <w:rPr>
                <w:rFonts w:asciiTheme="minorHAnsi" w:eastAsia="Times New Roman" w:hAnsiTheme="minorHAnsi" w:cstheme="minorHAnsi"/>
                <w:sz w:val="20"/>
                <w:szCs w:val="20"/>
                <w:lang w:val="fr-FR" w:eastAsia="en-GB"/>
              </w:rPr>
              <w:t>45</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0ECE7F2C" w14:textId="714C7F5A" w:rsidR="005D0A19" w:rsidRPr="003F50B6" w:rsidRDefault="005D0A19" w:rsidP="00483E42">
            <w:pPr>
              <w:ind w:left="0" w:firstLine="0"/>
              <w:jc w:val="right"/>
              <w:rPr>
                <w:rFonts w:asciiTheme="minorHAnsi" w:eastAsia="Times New Roman" w:hAnsiTheme="minorHAnsi" w:cstheme="minorHAnsi"/>
                <w:sz w:val="20"/>
                <w:szCs w:val="20"/>
                <w:lang w:val="fr-FR" w:eastAsia="en-GB"/>
              </w:rPr>
            </w:pPr>
            <w:r w:rsidRPr="003F50B6">
              <w:rPr>
                <w:rFonts w:asciiTheme="minorHAnsi" w:eastAsia="Times New Roman" w:hAnsiTheme="minorHAnsi" w:cstheme="minorHAnsi"/>
                <w:sz w:val="20"/>
                <w:szCs w:val="20"/>
                <w:lang w:val="fr-FR" w:eastAsia="en-GB"/>
              </w:rPr>
              <w:t>45</w:t>
            </w:r>
          </w:p>
        </w:tc>
        <w:tc>
          <w:tcPr>
            <w:tcW w:w="1134" w:type="dxa"/>
            <w:tcBorders>
              <w:top w:val="nil"/>
              <w:left w:val="nil"/>
              <w:bottom w:val="single" w:sz="4" w:space="0" w:color="auto"/>
              <w:right w:val="single" w:sz="4" w:space="0" w:color="auto"/>
            </w:tcBorders>
            <w:shd w:val="clear" w:color="auto" w:fill="auto"/>
            <w:noWrap/>
            <w:vAlign w:val="center"/>
          </w:tcPr>
          <w:p w14:paraId="22F17488" w14:textId="77777777" w:rsidR="005D0A19" w:rsidRPr="003F50B6" w:rsidRDefault="005D0A19" w:rsidP="00483E42">
            <w:pPr>
              <w:ind w:left="0" w:firstLine="0"/>
              <w:jc w:val="right"/>
              <w:rPr>
                <w:rFonts w:asciiTheme="minorHAnsi" w:eastAsia="Times New Roman" w:hAnsiTheme="minorHAnsi" w:cstheme="minorHAnsi"/>
                <w:sz w:val="20"/>
                <w:szCs w:val="20"/>
                <w:lang w:val="fr-FR" w:eastAsia="en-GB"/>
              </w:rPr>
            </w:pPr>
            <w:r w:rsidRPr="003F50B6">
              <w:rPr>
                <w:rFonts w:asciiTheme="minorHAnsi" w:eastAsia="Times New Roman" w:hAnsiTheme="minorHAnsi" w:cstheme="minorHAnsi"/>
                <w:sz w:val="20"/>
                <w:szCs w:val="20"/>
                <w:lang w:val="fr-FR" w:eastAsia="en-GB"/>
              </w:rPr>
              <w:t>45</w:t>
            </w:r>
          </w:p>
        </w:tc>
        <w:tc>
          <w:tcPr>
            <w:tcW w:w="993" w:type="dxa"/>
            <w:tcBorders>
              <w:top w:val="nil"/>
              <w:left w:val="nil"/>
              <w:bottom w:val="single" w:sz="4" w:space="0" w:color="auto"/>
              <w:right w:val="single" w:sz="4" w:space="0" w:color="auto"/>
            </w:tcBorders>
            <w:shd w:val="clear" w:color="auto" w:fill="auto"/>
            <w:noWrap/>
            <w:vAlign w:val="center"/>
          </w:tcPr>
          <w:p w14:paraId="24104C11" w14:textId="77777777" w:rsidR="005D0A19" w:rsidRPr="003F50B6" w:rsidRDefault="005D0A19" w:rsidP="00483E42">
            <w:pPr>
              <w:ind w:left="0" w:firstLine="0"/>
              <w:jc w:val="right"/>
              <w:rPr>
                <w:rFonts w:asciiTheme="minorHAnsi" w:eastAsia="Times New Roman" w:hAnsiTheme="minorHAnsi" w:cstheme="minorHAnsi"/>
                <w:color w:val="000000"/>
                <w:sz w:val="20"/>
                <w:szCs w:val="20"/>
                <w:lang w:val="fr-FR" w:eastAsia="en-GB"/>
              </w:rPr>
            </w:pPr>
            <w:r w:rsidRPr="003F50B6">
              <w:rPr>
                <w:rFonts w:asciiTheme="minorHAnsi" w:eastAsia="Times New Roman" w:hAnsiTheme="minorHAnsi" w:cstheme="minorHAnsi"/>
                <w:color w:val="000000"/>
                <w:sz w:val="20"/>
                <w:szCs w:val="20"/>
                <w:lang w:val="fr-FR" w:eastAsia="en-GB"/>
              </w:rPr>
              <w:t>45</w:t>
            </w:r>
          </w:p>
        </w:tc>
        <w:tc>
          <w:tcPr>
            <w:tcW w:w="1275" w:type="dxa"/>
            <w:tcBorders>
              <w:top w:val="nil"/>
              <w:left w:val="nil"/>
              <w:bottom w:val="single" w:sz="4" w:space="0" w:color="auto"/>
              <w:right w:val="single" w:sz="4" w:space="0" w:color="auto"/>
            </w:tcBorders>
            <w:shd w:val="clear" w:color="auto" w:fill="auto"/>
            <w:noWrap/>
            <w:vAlign w:val="center"/>
          </w:tcPr>
          <w:p w14:paraId="2042E6AB" w14:textId="77777777" w:rsidR="005D0A19" w:rsidRPr="003F50B6" w:rsidRDefault="005D0A19" w:rsidP="00483E42">
            <w:pPr>
              <w:ind w:left="0" w:firstLine="0"/>
              <w:jc w:val="right"/>
              <w:rPr>
                <w:rFonts w:asciiTheme="minorHAnsi" w:eastAsia="Times New Roman" w:hAnsiTheme="minorHAnsi" w:cstheme="minorHAnsi"/>
                <w:sz w:val="20"/>
                <w:szCs w:val="20"/>
                <w:lang w:val="fr-FR" w:eastAsia="en-GB"/>
              </w:rPr>
            </w:pPr>
            <w:r w:rsidRPr="003F50B6">
              <w:rPr>
                <w:rFonts w:asciiTheme="minorHAnsi" w:eastAsia="Times New Roman" w:hAnsiTheme="minorHAnsi" w:cstheme="minorHAnsi"/>
                <w:sz w:val="20"/>
                <w:szCs w:val="20"/>
                <w:lang w:val="fr-FR" w:eastAsia="en-GB"/>
              </w:rPr>
              <w:t>135</w:t>
            </w:r>
          </w:p>
        </w:tc>
      </w:tr>
      <w:tr w:rsidR="005D0A19" w:rsidRPr="00A4333E" w14:paraId="3F47C0E5" w14:textId="77777777" w:rsidTr="00EF4718">
        <w:tc>
          <w:tcPr>
            <w:tcW w:w="3690" w:type="dxa"/>
            <w:tcBorders>
              <w:top w:val="nil"/>
              <w:left w:val="single" w:sz="4" w:space="0" w:color="auto"/>
              <w:bottom w:val="single" w:sz="4" w:space="0" w:color="auto"/>
              <w:right w:val="single" w:sz="4" w:space="0" w:color="auto"/>
            </w:tcBorders>
            <w:shd w:val="clear" w:color="auto" w:fill="auto"/>
            <w:noWrap/>
            <w:vAlign w:val="center"/>
          </w:tcPr>
          <w:p w14:paraId="7D851BEB" w14:textId="3D338BB9" w:rsidR="005D0A19" w:rsidRPr="003F50B6" w:rsidRDefault="00136426" w:rsidP="00136426">
            <w:pPr>
              <w:pStyle w:val="NormalWeb"/>
              <w:rPr>
                <w:rFonts w:asciiTheme="minorHAnsi" w:eastAsia="Times New Roman" w:hAnsiTheme="minorHAnsi" w:cstheme="minorHAnsi"/>
                <w:sz w:val="20"/>
                <w:szCs w:val="20"/>
                <w:lang w:val="fr-FR"/>
              </w:rPr>
            </w:pPr>
            <w:r w:rsidRPr="003F50B6">
              <w:rPr>
                <w:rFonts w:asciiTheme="minorHAnsi" w:hAnsiTheme="minorHAnsi" w:cstheme="minorHAnsi"/>
                <w:sz w:val="20"/>
                <w:szCs w:val="20"/>
                <w:lang w:val="fr-FR"/>
              </w:rPr>
              <w:t>Réunions du Comité permanent</w:t>
            </w:r>
          </w:p>
        </w:tc>
        <w:tc>
          <w:tcPr>
            <w:tcW w:w="1134" w:type="dxa"/>
            <w:tcBorders>
              <w:top w:val="nil"/>
              <w:left w:val="nil"/>
              <w:bottom w:val="single" w:sz="4" w:space="0" w:color="auto"/>
              <w:right w:val="single" w:sz="4" w:space="0" w:color="auto"/>
            </w:tcBorders>
          </w:tcPr>
          <w:p w14:paraId="6325F4F1" w14:textId="4364D86E" w:rsidR="005D0A19" w:rsidRPr="003F50B6" w:rsidRDefault="005D0A19" w:rsidP="00483E42">
            <w:pPr>
              <w:ind w:left="0" w:firstLine="0"/>
              <w:jc w:val="right"/>
              <w:rPr>
                <w:rFonts w:asciiTheme="minorHAnsi" w:eastAsia="Times New Roman" w:hAnsiTheme="minorHAnsi" w:cstheme="minorHAnsi"/>
                <w:sz w:val="20"/>
                <w:szCs w:val="20"/>
                <w:lang w:val="fr-FR" w:eastAsia="en-GB"/>
              </w:rPr>
            </w:pPr>
            <w:r w:rsidRPr="003F50B6">
              <w:rPr>
                <w:rFonts w:asciiTheme="minorHAnsi" w:eastAsia="Times New Roman" w:hAnsiTheme="minorHAnsi" w:cstheme="minorHAnsi"/>
                <w:sz w:val="20"/>
                <w:szCs w:val="20"/>
                <w:lang w:val="fr-FR" w:eastAsia="en-GB"/>
              </w:rPr>
              <w:t>10</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768D0BAA" w14:textId="0EE43084" w:rsidR="005D0A19" w:rsidRPr="003F50B6" w:rsidRDefault="005D0A19" w:rsidP="00483E42">
            <w:pPr>
              <w:ind w:left="0" w:firstLine="0"/>
              <w:jc w:val="right"/>
              <w:rPr>
                <w:rFonts w:asciiTheme="minorHAnsi" w:eastAsia="Times New Roman" w:hAnsiTheme="minorHAnsi" w:cstheme="minorHAnsi"/>
                <w:sz w:val="20"/>
                <w:szCs w:val="20"/>
                <w:lang w:val="fr-FR" w:eastAsia="en-GB"/>
              </w:rPr>
            </w:pPr>
            <w:r w:rsidRPr="003F50B6">
              <w:rPr>
                <w:rFonts w:asciiTheme="minorHAnsi" w:eastAsia="Times New Roman" w:hAnsiTheme="minorHAnsi" w:cstheme="minorHAnsi"/>
                <w:sz w:val="20"/>
                <w:szCs w:val="20"/>
                <w:lang w:val="fr-FR" w:eastAsia="en-GB"/>
              </w:rPr>
              <w:t>10</w:t>
            </w:r>
          </w:p>
        </w:tc>
        <w:tc>
          <w:tcPr>
            <w:tcW w:w="1134" w:type="dxa"/>
            <w:tcBorders>
              <w:top w:val="nil"/>
              <w:left w:val="nil"/>
              <w:bottom w:val="single" w:sz="4" w:space="0" w:color="auto"/>
              <w:right w:val="single" w:sz="4" w:space="0" w:color="auto"/>
            </w:tcBorders>
            <w:shd w:val="clear" w:color="auto" w:fill="auto"/>
            <w:noWrap/>
            <w:vAlign w:val="center"/>
          </w:tcPr>
          <w:p w14:paraId="1C057E5C" w14:textId="77777777" w:rsidR="005D0A19" w:rsidRPr="003F50B6" w:rsidRDefault="005D0A19" w:rsidP="00483E42">
            <w:pPr>
              <w:ind w:left="0" w:firstLine="0"/>
              <w:jc w:val="right"/>
              <w:rPr>
                <w:rFonts w:asciiTheme="minorHAnsi" w:eastAsia="Times New Roman" w:hAnsiTheme="minorHAnsi" w:cstheme="minorHAnsi"/>
                <w:sz w:val="20"/>
                <w:szCs w:val="20"/>
                <w:lang w:val="fr-FR" w:eastAsia="en-GB"/>
              </w:rPr>
            </w:pPr>
            <w:r w:rsidRPr="003F50B6">
              <w:rPr>
                <w:rFonts w:asciiTheme="minorHAnsi" w:eastAsia="Times New Roman" w:hAnsiTheme="minorHAnsi" w:cstheme="minorHAnsi"/>
                <w:sz w:val="20"/>
                <w:szCs w:val="20"/>
                <w:lang w:val="fr-FR" w:eastAsia="en-GB"/>
              </w:rPr>
              <w:t>10</w:t>
            </w:r>
          </w:p>
        </w:tc>
        <w:tc>
          <w:tcPr>
            <w:tcW w:w="993" w:type="dxa"/>
            <w:tcBorders>
              <w:top w:val="nil"/>
              <w:left w:val="nil"/>
              <w:bottom w:val="single" w:sz="4" w:space="0" w:color="auto"/>
              <w:right w:val="single" w:sz="4" w:space="0" w:color="auto"/>
            </w:tcBorders>
            <w:shd w:val="clear" w:color="auto" w:fill="auto"/>
            <w:noWrap/>
            <w:vAlign w:val="center"/>
          </w:tcPr>
          <w:p w14:paraId="19CD3DCE" w14:textId="77777777" w:rsidR="005D0A19" w:rsidRPr="003F50B6" w:rsidRDefault="005D0A19" w:rsidP="00483E42">
            <w:pPr>
              <w:ind w:left="0" w:firstLine="0"/>
              <w:jc w:val="right"/>
              <w:rPr>
                <w:rFonts w:asciiTheme="minorHAnsi" w:eastAsia="Times New Roman" w:hAnsiTheme="minorHAnsi" w:cstheme="minorHAnsi"/>
                <w:color w:val="000000"/>
                <w:sz w:val="20"/>
                <w:szCs w:val="20"/>
                <w:lang w:val="fr-FR" w:eastAsia="en-GB"/>
              </w:rPr>
            </w:pPr>
            <w:r w:rsidRPr="003F50B6">
              <w:rPr>
                <w:rFonts w:asciiTheme="minorHAnsi" w:eastAsia="Times New Roman" w:hAnsiTheme="minorHAnsi" w:cstheme="minorHAnsi"/>
                <w:color w:val="000000"/>
                <w:sz w:val="20"/>
                <w:szCs w:val="20"/>
                <w:lang w:val="fr-FR" w:eastAsia="en-GB"/>
              </w:rPr>
              <w:t>10</w:t>
            </w:r>
          </w:p>
        </w:tc>
        <w:tc>
          <w:tcPr>
            <w:tcW w:w="1275" w:type="dxa"/>
            <w:tcBorders>
              <w:top w:val="nil"/>
              <w:left w:val="nil"/>
              <w:bottom w:val="single" w:sz="4" w:space="0" w:color="auto"/>
              <w:right w:val="single" w:sz="4" w:space="0" w:color="auto"/>
            </w:tcBorders>
            <w:shd w:val="clear" w:color="auto" w:fill="auto"/>
            <w:noWrap/>
            <w:vAlign w:val="center"/>
          </w:tcPr>
          <w:p w14:paraId="71C8CC05" w14:textId="77777777" w:rsidR="005D0A19" w:rsidRPr="003F50B6" w:rsidRDefault="005D0A19" w:rsidP="00483E42">
            <w:pPr>
              <w:ind w:left="0" w:firstLine="0"/>
              <w:jc w:val="right"/>
              <w:rPr>
                <w:rFonts w:asciiTheme="minorHAnsi" w:eastAsia="Times New Roman" w:hAnsiTheme="minorHAnsi" w:cstheme="minorHAnsi"/>
                <w:sz w:val="20"/>
                <w:szCs w:val="20"/>
                <w:lang w:val="fr-FR" w:eastAsia="en-GB"/>
              </w:rPr>
            </w:pPr>
            <w:r w:rsidRPr="003F50B6">
              <w:rPr>
                <w:rFonts w:asciiTheme="minorHAnsi" w:eastAsia="Times New Roman" w:hAnsiTheme="minorHAnsi" w:cstheme="minorHAnsi"/>
                <w:sz w:val="20"/>
                <w:szCs w:val="20"/>
                <w:lang w:val="fr-FR" w:eastAsia="en-GB"/>
              </w:rPr>
              <w:t>30</w:t>
            </w:r>
          </w:p>
        </w:tc>
      </w:tr>
      <w:tr w:rsidR="005D0A19" w:rsidRPr="00A4333E" w14:paraId="44431FBA" w14:textId="77777777" w:rsidTr="00EF4718">
        <w:tc>
          <w:tcPr>
            <w:tcW w:w="36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BFEC61" w14:textId="6DBF8FC4" w:rsidR="005D0A19" w:rsidRPr="003F50B6" w:rsidRDefault="00136426" w:rsidP="00483E42">
            <w:pPr>
              <w:ind w:left="0" w:firstLine="0"/>
              <w:rPr>
                <w:rFonts w:asciiTheme="minorHAnsi" w:eastAsia="Times New Roman" w:hAnsiTheme="minorHAnsi" w:cstheme="minorHAnsi"/>
                <w:sz w:val="20"/>
                <w:szCs w:val="20"/>
                <w:lang w:val="fr-FR" w:eastAsia="en-GB"/>
              </w:rPr>
            </w:pPr>
            <w:r w:rsidRPr="003F50B6">
              <w:rPr>
                <w:rFonts w:asciiTheme="minorHAnsi" w:eastAsia="Times New Roman" w:hAnsiTheme="minorHAnsi" w:cstheme="minorHAnsi"/>
                <w:sz w:val="20"/>
                <w:szCs w:val="20"/>
                <w:lang w:val="fr-FR" w:eastAsia="en-GB"/>
              </w:rPr>
              <w:t>Services de traduction pour le Comité permanent</w:t>
            </w:r>
          </w:p>
        </w:tc>
        <w:tc>
          <w:tcPr>
            <w:tcW w:w="1134" w:type="dxa"/>
            <w:tcBorders>
              <w:top w:val="single" w:sz="4" w:space="0" w:color="auto"/>
              <w:left w:val="nil"/>
              <w:bottom w:val="single" w:sz="4" w:space="0" w:color="auto"/>
              <w:right w:val="single" w:sz="4" w:space="0" w:color="auto"/>
            </w:tcBorders>
          </w:tcPr>
          <w:p w14:paraId="2F6B245B" w14:textId="66582D48" w:rsidR="005D0A19" w:rsidRPr="003F50B6" w:rsidRDefault="005D0A19" w:rsidP="00483E42">
            <w:pPr>
              <w:ind w:left="0" w:firstLine="0"/>
              <w:jc w:val="right"/>
              <w:rPr>
                <w:rFonts w:asciiTheme="minorHAnsi" w:eastAsia="Times New Roman" w:hAnsiTheme="minorHAnsi" w:cstheme="minorHAnsi"/>
                <w:sz w:val="20"/>
                <w:szCs w:val="20"/>
                <w:lang w:val="fr-FR" w:eastAsia="en-GB"/>
              </w:rPr>
            </w:pPr>
            <w:r w:rsidRPr="003F50B6">
              <w:rPr>
                <w:rFonts w:asciiTheme="minorHAnsi" w:eastAsia="Times New Roman" w:hAnsiTheme="minorHAnsi" w:cstheme="minorHAnsi"/>
                <w:sz w:val="20"/>
                <w:szCs w:val="20"/>
                <w:lang w:val="fr-FR" w:eastAsia="en-GB"/>
              </w:rPr>
              <w:t>60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DC2140" w14:textId="4232BC35" w:rsidR="005D0A19" w:rsidRPr="003F50B6" w:rsidRDefault="005D0A19" w:rsidP="00483E42">
            <w:pPr>
              <w:ind w:left="0" w:firstLine="0"/>
              <w:jc w:val="right"/>
              <w:rPr>
                <w:rFonts w:asciiTheme="minorHAnsi" w:eastAsia="Times New Roman" w:hAnsiTheme="minorHAnsi" w:cstheme="minorHAnsi"/>
                <w:sz w:val="20"/>
                <w:szCs w:val="20"/>
                <w:lang w:val="fr-FR" w:eastAsia="en-GB"/>
              </w:rPr>
            </w:pPr>
            <w:r w:rsidRPr="003F50B6">
              <w:rPr>
                <w:rFonts w:asciiTheme="minorHAnsi" w:eastAsia="Times New Roman" w:hAnsiTheme="minorHAnsi" w:cstheme="minorHAnsi"/>
                <w:sz w:val="20"/>
                <w:szCs w:val="20"/>
                <w:lang w:val="fr-FR" w:eastAsia="en-GB"/>
              </w:rPr>
              <w:t>60</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0EF47031" w14:textId="77777777" w:rsidR="005D0A19" w:rsidRPr="003F50B6" w:rsidRDefault="005D0A19" w:rsidP="00483E42">
            <w:pPr>
              <w:ind w:left="0" w:firstLine="0"/>
              <w:jc w:val="right"/>
              <w:rPr>
                <w:rFonts w:asciiTheme="minorHAnsi" w:eastAsia="Times New Roman" w:hAnsiTheme="minorHAnsi" w:cstheme="minorHAnsi"/>
                <w:sz w:val="20"/>
                <w:szCs w:val="20"/>
                <w:lang w:val="fr-FR" w:eastAsia="en-GB"/>
              </w:rPr>
            </w:pPr>
            <w:r w:rsidRPr="003F50B6">
              <w:rPr>
                <w:rFonts w:asciiTheme="minorHAnsi" w:eastAsia="Times New Roman" w:hAnsiTheme="minorHAnsi" w:cstheme="minorHAnsi"/>
                <w:sz w:val="20"/>
                <w:szCs w:val="20"/>
                <w:lang w:val="fr-FR" w:eastAsia="en-GB"/>
              </w:rPr>
              <w:t>60</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5280B668" w14:textId="77777777" w:rsidR="005D0A19" w:rsidRPr="003F50B6" w:rsidRDefault="005D0A19" w:rsidP="00483E42">
            <w:pPr>
              <w:ind w:left="0" w:firstLine="0"/>
              <w:jc w:val="right"/>
              <w:rPr>
                <w:rFonts w:asciiTheme="minorHAnsi" w:eastAsia="Times New Roman" w:hAnsiTheme="minorHAnsi" w:cstheme="minorHAnsi"/>
                <w:color w:val="000000"/>
                <w:sz w:val="20"/>
                <w:szCs w:val="20"/>
                <w:lang w:val="fr-FR" w:eastAsia="en-GB"/>
              </w:rPr>
            </w:pPr>
            <w:r w:rsidRPr="003F50B6">
              <w:rPr>
                <w:rFonts w:asciiTheme="minorHAnsi" w:eastAsia="Times New Roman" w:hAnsiTheme="minorHAnsi" w:cstheme="minorHAnsi"/>
                <w:color w:val="000000"/>
                <w:sz w:val="20"/>
                <w:szCs w:val="20"/>
                <w:lang w:val="fr-FR" w:eastAsia="en-GB"/>
              </w:rPr>
              <w:t>60</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2EE28CDF" w14:textId="77777777" w:rsidR="005D0A19" w:rsidRPr="003F50B6" w:rsidRDefault="005D0A19" w:rsidP="00483E42">
            <w:pPr>
              <w:ind w:left="0" w:firstLine="0"/>
              <w:jc w:val="right"/>
              <w:rPr>
                <w:rFonts w:asciiTheme="minorHAnsi" w:eastAsia="Times New Roman" w:hAnsiTheme="minorHAnsi" w:cstheme="minorHAnsi"/>
                <w:sz w:val="20"/>
                <w:szCs w:val="20"/>
                <w:lang w:val="fr-FR" w:eastAsia="en-GB"/>
              </w:rPr>
            </w:pPr>
            <w:r w:rsidRPr="003F50B6">
              <w:rPr>
                <w:rFonts w:asciiTheme="minorHAnsi" w:eastAsia="Times New Roman" w:hAnsiTheme="minorHAnsi" w:cstheme="minorHAnsi"/>
                <w:sz w:val="20"/>
                <w:szCs w:val="20"/>
                <w:lang w:val="fr-FR" w:eastAsia="en-GB"/>
              </w:rPr>
              <w:t>180</w:t>
            </w:r>
          </w:p>
        </w:tc>
      </w:tr>
      <w:tr w:rsidR="005D0A19" w:rsidRPr="00A4333E" w14:paraId="741D1B4A" w14:textId="77777777" w:rsidTr="00EF4718">
        <w:tc>
          <w:tcPr>
            <w:tcW w:w="36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24FECE" w14:textId="4EF64C4E" w:rsidR="005D0A19" w:rsidRPr="003F50B6" w:rsidRDefault="00136426" w:rsidP="00483E42">
            <w:pPr>
              <w:ind w:left="0" w:firstLine="0"/>
              <w:rPr>
                <w:rFonts w:asciiTheme="minorHAnsi" w:eastAsia="Times New Roman" w:hAnsiTheme="minorHAnsi" w:cstheme="minorHAnsi"/>
                <w:sz w:val="20"/>
                <w:szCs w:val="20"/>
                <w:lang w:val="fr-FR" w:eastAsia="en-GB"/>
              </w:rPr>
            </w:pPr>
            <w:r w:rsidRPr="003F50B6">
              <w:rPr>
                <w:rFonts w:asciiTheme="minorHAnsi" w:eastAsia="Times New Roman" w:hAnsiTheme="minorHAnsi" w:cstheme="minorHAnsi"/>
                <w:sz w:val="20"/>
                <w:szCs w:val="20"/>
                <w:lang w:val="fr-FR" w:eastAsia="en-GB"/>
              </w:rPr>
              <w:t>Services d’interprétation simultanée lors des réunions du Comité permanent</w:t>
            </w:r>
          </w:p>
        </w:tc>
        <w:tc>
          <w:tcPr>
            <w:tcW w:w="1134" w:type="dxa"/>
            <w:tcBorders>
              <w:top w:val="single" w:sz="4" w:space="0" w:color="auto"/>
              <w:left w:val="nil"/>
              <w:bottom w:val="single" w:sz="4" w:space="0" w:color="auto"/>
              <w:right w:val="single" w:sz="4" w:space="0" w:color="auto"/>
            </w:tcBorders>
            <w:vAlign w:val="center"/>
          </w:tcPr>
          <w:p w14:paraId="128D9D5E" w14:textId="7D8667C3" w:rsidR="005D0A19" w:rsidRPr="003F50B6" w:rsidRDefault="005D0A19" w:rsidP="00EF4718">
            <w:pPr>
              <w:ind w:left="0" w:firstLine="0"/>
              <w:jc w:val="right"/>
              <w:rPr>
                <w:rFonts w:asciiTheme="minorHAnsi" w:eastAsia="Times New Roman" w:hAnsiTheme="minorHAnsi" w:cstheme="minorHAnsi"/>
                <w:sz w:val="20"/>
                <w:szCs w:val="20"/>
                <w:lang w:val="fr-FR" w:eastAsia="en-GB"/>
              </w:rPr>
            </w:pPr>
            <w:r w:rsidRPr="003F50B6">
              <w:rPr>
                <w:rFonts w:asciiTheme="minorHAnsi" w:eastAsia="Times New Roman" w:hAnsiTheme="minorHAnsi" w:cstheme="minorHAnsi"/>
                <w:sz w:val="20"/>
                <w:szCs w:val="20"/>
                <w:lang w:val="fr-FR" w:eastAsia="en-GB"/>
              </w:rPr>
              <w:t>35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5015AD" w14:textId="3C5E8E80" w:rsidR="005D0A19" w:rsidRPr="003F50B6" w:rsidRDefault="005D0A19" w:rsidP="00483E42">
            <w:pPr>
              <w:ind w:left="0" w:firstLine="0"/>
              <w:jc w:val="right"/>
              <w:rPr>
                <w:rFonts w:asciiTheme="minorHAnsi" w:eastAsia="Times New Roman" w:hAnsiTheme="minorHAnsi" w:cstheme="minorHAnsi"/>
                <w:sz w:val="20"/>
                <w:szCs w:val="20"/>
                <w:lang w:val="fr-FR" w:eastAsia="en-GB"/>
              </w:rPr>
            </w:pPr>
            <w:r w:rsidRPr="003F50B6">
              <w:rPr>
                <w:rFonts w:asciiTheme="minorHAnsi" w:eastAsia="Times New Roman" w:hAnsiTheme="minorHAnsi" w:cstheme="minorHAnsi"/>
                <w:sz w:val="20"/>
                <w:szCs w:val="20"/>
                <w:lang w:val="fr-FR" w:eastAsia="en-GB"/>
              </w:rPr>
              <w:t>35</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375C7CD1" w14:textId="77777777" w:rsidR="005D0A19" w:rsidRPr="003F50B6" w:rsidRDefault="005D0A19" w:rsidP="00483E42">
            <w:pPr>
              <w:ind w:left="0" w:firstLine="0"/>
              <w:jc w:val="right"/>
              <w:rPr>
                <w:rFonts w:asciiTheme="minorHAnsi" w:eastAsia="Times New Roman" w:hAnsiTheme="minorHAnsi" w:cstheme="minorHAnsi"/>
                <w:sz w:val="20"/>
                <w:szCs w:val="20"/>
                <w:lang w:val="fr-FR" w:eastAsia="en-GB"/>
              </w:rPr>
            </w:pPr>
            <w:r w:rsidRPr="003F50B6">
              <w:rPr>
                <w:rFonts w:asciiTheme="minorHAnsi" w:eastAsia="Times New Roman" w:hAnsiTheme="minorHAnsi" w:cstheme="minorHAnsi"/>
                <w:sz w:val="20"/>
                <w:szCs w:val="20"/>
                <w:lang w:val="fr-FR" w:eastAsia="en-GB"/>
              </w:rPr>
              <w:t>35</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722D3823" w14:textId="77777777" w:rsidR="005D0A19" w:rsidRPr="003F50B6" w:rsidRDefault="005D0A19" w:rsidP="00483E42">
            <w:pPr>
              <w:ind w:left="0" w:firstLine="0"/>
              <w:jc w:val="right"/>
              <w:rPr>
                <w:rFonts w:asciiTheme="minorHAnsi" w:eastAsia="Times New Roman" w:hAnsiTheme="minorHAnsi" w:cstheme="minorHAnsi"/>
                <w:color w:val="000000"/>
                <w:sz w:val="20"/>
                <w:szCs w:val="20"/>
                <w:lang w:val="fr-FR" w:eastAsia="en-GB"/>
              </w:rPr>
            </w:pPr>
            <w:r w:rsidRPr="003F50B6">
              <w:rPr>
                <w:rFonts w:asciiTheme="minorHAnsi" w:eastAsia="Times New Roman" w:hAnsiTheme="minorHAnsi" w:cstheme="minorHAnsi"/>
                <w:color w:val="000000"/>
                <w:sz w:val="20"/>
                <w:szCs w:val="20"/>
                <w:lang w:val="fr-FR" w:eastAsia="en-GB"/>
              </w:rPr>
              <w:t>35</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4BCF8B3A" w14:textId="77777777" w:rsidR="005D0A19" w:rsidRPr="003F50B6" w:rsidRDefault="005D0A19" w:rsidP="00483E42">
            <w:pPr>
              <w:ind w:left="0" w:firstLine="0"/>
              <w:jc w:val="right"/>
              <w:rPr>
                <w:rFonts w:asciiTheme="minorHAnsi" w:eastAsia="Times New Roman" w:hAnsiTheme="minorHAnsi" w:cstheme="minorHAnsi"/>
                <w:sz w:val="20"/>
                <w:szCs w:val="20"/>
                <w:lang w:val="fr-FR" w:eastAsia="en-GB"/>
              </w:rPr>
            </w:pPr>
            <w:r w:rsidRPr="003F50B6">
              <w:rPr>
                <w:rFonts w:asciiTheme="minorHAnsi" w:eastAsia="Times New Roman" w:hAnsiTheme="minorHAnsi" w:cstheme="minorHAnsi"/>
                <w:sz w:val="20"/>
                <w:szCs w:val="20"/>
                <w:lang w:val="fr-FR" w:eastAsia="en-GB"/>
              </w:rPr>
              <w:t>105</w:t>
            </w:r>
          </w:p>
        </w:tc>
      </w:tr>
      <w:tr w:rsidR="005D0A19" w:rsidRPr="00A4333E" w14:paraId="04D32294" w14:textId="77777777" w:rsidTr="00EF4718">
        <w:tc>
          <w:tcPr>
            <w:tcW w:w="3690" w:type="dxa"/>
            <w:tcBorders>
              <w:top w:val="nil"/>
              <w:left w:val="single" w:sz="4" w:space="0" w:color="auto"/>
              <w:bottom w:val="single" w:sz="4" w:space="0" w:color="auto"/>
              <w:right w:val="single" w:sz="4" w:space="0" w:color="auto"/>
            </w:tcBorders>
            <w:shd w:val="clear" w:color="000000" w:fill="C4D79B"/>
            <w:vAlign w:val="center"/>
          </w:tcPr>
          <w:p w14:paraId="1BACE351" w14:textId="2097A448" w:rsidR="005D0A19" w:rsidRPr="003F50B6" w:rsidRDefault="005D0A19" w:rsidP="00136426">
            <w:pPr>
              <w:pStyle w:val="NormalWeb"/>
              <w:shd w:val="clear" w:color="auto" w:fill="C1D699"/>
              <w:rPr>
                <w:rFonts w:asciiTheme="minorHAnsi" w:eastAsia="Times New Roman" w:hAnsiTheme="minorHAnsi" w:cstheme="minorHAnsi"/>
                <w:sz w:val="20"/>
                <w:szCs w:val="20"/>
                <w:lang w:val="fr-FR"/>
              </w:rPr>
            </w:pPr>
            <w:r w:rsidRPr="003F50B6">
              <w:rPr>
                <w:rFonts w:asciiTheme="minorHAnsi" w:eastAsia="Times New Roman" w:hAnsiTheme="minorHAnsi" w:cstheme="minorHAnsi"/>
                <w:b/>
                <w:bCs/>
                <w:sz w:val="20"/>
                <w:szCs w:val="20"/>
                <w:lang w:val="fr-FR" w:eastAsia="en-GB"/>
              </w:rPr>
              <w:t xml:space="preserve">I. </w:t>
            </w:r>
            <w:r w:rsidR="00136426" w:rsidRPr="003F50B6">
              <w:rPr>
                <w:rFonts w:asciiTheme="minorHAnsi" w:hAnsiTheme="minorHAnsi" w:cstheme="minorHAnsi"/>
                <w:b/>
                <w:bCs/>
                <w:sz w:val="20"/>
                <w:szCs w:val="20"/>
                <w:lang w:val="fr-FR"/>
              </w:rPr>
              <w:t xml:space="preserve">Coûts des services administratifs de l’UICN (maximum) </w:t>
            </w:r>
          </w:p>
        </w:tc>
        <w:tc>
          <w:tcPr>
            <w:tcW w:w="1134" w:type="dxa"/>
            <w:tcBorders>
              <w:top w:val="nil"/>
              <w:left w:val="nil"/>
              <w:bottom w:val="single" w:sz="4" w:space="0" w:color="auto"/>
              <w:right w:val="single" w:sz="4" w:space="0" w:color="auto"/>
            </w:tcBorders>
            <w:shd w:val="clear" w:color="000000" w:fill="C4D79B"/>
          </w:tcPr>
          <w:p w14:paraId="3141B99B" w14:textId="42A1CE6A" w:rsidR="005D0A19" w:rsidRPr="003F50B6" w:rsidRDefault="005D0A19" w:rsidP="00483E42">
            <w:pPr>
              <w:ind w:left="0" w:firstLine="0"/>
              <w:jc w:val="right"/>
              <w:rPr>
                <w:rFonts w:asciiTheme="minorHAnsi" w:eastAsia="Times New Roman" w:hAnsiTheme="minorHAnsi" w:cstheme="minorHAnsi"/>
                <w:b/>
                <w:bCs/>
                <w:color w:val="000000"/>
                <w:sz w:val="20"/>
                <w:szCs w:val="20"/>
                <w:lang w:val="fr-FR" w:eastAsia="en-GB"/>
              </w:rPr>
            </w:pPr>
            <w:r w:rsidRPr="003F50B6">
              <w:rPr>
                <w:rFonts w:asciiTheme="minorHAnsi" w:eastAsia="Times New Roman" w:hAnsiTheme="minorHAnsi" w:cstheme="minorHAnsi"/>
                <w:b/>
                <w:bCs/>
                <w:color w:val="000000"/>
                <w:sz w:val="20"/>
                <w:szCs w:val="20"/>
                <w:lang w:val="fr-FR" w:eastAsia="en-GB"/>
              </w:rPr>
              <w:t>541</w:t>
            </w:r>
          </w:p>
        </w:tc>
        <w:tc>
          <w:tcPr>
            <w:tcW w:w="1134" w:type="dxa"/>
            <w:tcBorders>
              <w:top w:val="nil"/>
              <w:left w:val="single" w:sz="4" w:space="0" w:color="auto"/>
              <w:bottom w:val="single" w:sz="4" w:space="0" w:color="auto"/>
              <w:right w:val="single" w:sz="4" w:space="0" w:color="auto"/>
            </w:tcBorders>
            <w:shd w:val="clear" w:color="000000" w:fill="C4D79B"/>
            <w:noWrap/>
            <w:vAlign w:val="center"/>
          </w:tcPr>
          <w:p w14:paraId="52995099" w14:textId="5DDAE2F5" w:rsidR="005D0A19" w:rsidRPr="003F50B6" w:rsidRDefault="005D0A19" w:rsidP="00483E42">
            <w:pPr>
              <w:ind w:left="0" w:firstLine="0"/>
              <w:jc w:val="right"/>
              <w:rPr>
                <w:rFonts w:asciiTheme="minorHAnsi" w:eastAsia="Times New Roman" w:hAnsiTheme="minorHAnsi" w:cstheme="minorHAnsi"/>
                <w:b/>
                <w:bCs/>
                <w:color w:val="000000"/>
                <w:sz w:val="20"/>
                <w:szCs w:val="20"/>
                <w:lang w:val="fr-FR" w:eastAsia="en-GB"/>
              </w:rPr>
            </w:pPr>
            <w:r w:rsidRPr="003F50B6">
              <w:rPr>
                <w:rFonts w:asciiTheme="minorHAnsi" w:eastAsia="Times New Roman" w:hAnsiTheme="minorHAnsi" w:cstheme="minorHAnsi"/>
                <w:b/>
                <w:bCs/>
                <w:color w:val="000000"/>
                <w:sz w:val="20"/>
                <w:szCs w:val="20"/>
                <w:lang w:val="fr-FR" w:eastAsia="en-GB"/>
              </w:rPr>
              <w:t>541</w:t>
            </w:r>
          </w:p>
        </w:tc>
        <w:tc>
          <w:tcPr>
            <w:tcW w:w="1134" w:type="dxa"/>
            <w:tcBorders>
              <w:top w:val="nil"/>
              <w:left w:val="nil"/>
              <w:bottom w:val="single" w:sz="4" w:space="0" w:color="auto"/>
              <w:right w:val="single" w:sz="4" w:space="0" w:color="auto"/>
            </w:tcBorders>
            <w:shd w:val="clear" w:color="000000" w:fill="C4D79B"/>
            <w:noWrap/>
            <w:vAlign w:val="center"/>
          </w:tcPr>
          <w:p w14:paraId="5EB5E3EF" w14:textId="77777777" w:rsidR="005D0A19" w:rsidRPr="003F50B6" w:rsidRDefault="005D0A19" w:rsidP="00483E42">
            <w:pPr>
              <w:ind w:left="0" w:firstLine="0"/>
              <w:jc w:val="right"/>
              <w:rPr>
                <w:rFonts w:asciiTheme="minorHAnsi" w:eastAsia="Times New Roman" w:hAnsiTheme="minorHAnsi" w:cstheme="minorHAnsi"/>
                <w:b/>
                <w:bCs/>
                <w:color w:val="000000"/>
                <w:sz w:val="20"/>
                <w:szCs w:val="20"/>
                <w:lang w:val="fr-FR" w:eastAsia="en-GB"/>
              </w:rPr>
            </w:pPr>
            <w:r w:rsidRPr="003F50B6">
              <w:rPr>
                <w:rFonts w:asciiTheme="minorHAnsi" w:eastAsia="Times New Roman" w:hAnsiTheme="minorHAnsi" w:cstheme="minorHAnsi"/>
                <w:b/>
                <w:bCs/>
                <w:color w:val="000000"/>
                <w:sz w:val="20"/>
                <w:szCs w:val="20"/>
                <w:lang w:val="fr-FR" w:eastAsia="en-GB"/>
              </w:rPr>
              <w:t>541</w:t>
            </w:r>
          </w:p>
        </w:tc>
        <w:tc>
          <w:tcPr>
            <w:tcW w:w="993" w:type="dxa"/>
            <w:tcBorders>
              <w:top w:val="nil"/>
              <w:left w:val="nil"/>
              <w:bottom w:val="single" w:sz="4" w:space="0" w:color="auto"/>
              <w:right w:val="single" w:sz="4" w:space="0" w:color="auto"/>
            </w:tcBorders>
            <w:shd w:val="clear" w:color="000000" w:fill="C4D79B"/>
            <w:noWrap/>
            <w:vAlign w:val="center"/>
          </w:tcPr>
          <w:p w14:paraId="02F62650" w14:textId="77777777" w:rsidR="005D0A19" w:rsidRPr="003F50B6" w:rsidRDefault="005D0A19" w:rsidP="00483E42">
            <w:pPr>
              <w:ind w:left="0" w:firstLine="0"/>
              <w:jc w:val="right"/>
              <w:rPr>
                <w:rFonts w:asciiTheme="minorHAnsi" w:eastAsia="Times New Roman" w:hAnsiTheme="minorHAnsi" w:cstheme="minorHAnsi"/>
                <w:b/>
                <w:bCs/>
                <w:color w:val="000000"/>
                <w:sz w:val="20"/>
                <w:szCs w:val="20"/>
                <w:lang w:val="fr-FR" w:eastAsia="en-GB"/>
              </w:rPr>
            </w:pPr>
            <w:r w:rsidRPr="003F50B6">
              <w:rPr>
                <w:rFonts w:asciiTheme="minorHAnsi" w:eastAsia="Times New Roman" w:hAnsiTheme="minorHAnsi" w:cstheme="minorHAnsi"/>
                <w:b/>
                <w:bCs/>
                <w:color w:val="000000"/>
                <w:sz w:val="20"/>
                <w:szCs w:val="20"/>
                <w:lang w:val="fr-FR" w:eastAsia="en-GB"/>
              </w:rPr>
              <w:t>541</w:t>
            </w:r>
          </w:p>
        </w:tc>
        <w:tc>
          <w:tcPr>
            <w:tcW w:w="1275" w:type="dxa"/>
            <w:tcBorders>
              <w:top w:val="nil"/>
              <w:left w:val="nil"/>
              <w:bottom w:val="single" w:sz="4" w:space="0" w:color="auto"/>
              <w:right w:val="single" w:sz="4" w:space="0" w:color="auto"/>
            </w:tcBorders>
            <w:shd w:val="clear" w:color="000000" w:fill="C4D79B"/>
            <w:noWrap/>
            <w:vAlign w:val="center"/>
          </w:tcPr>
          <w:p w14:paraId="3828806A" w14:textId="77777777" w:rsidR="005D0A19" w:rsidRPr="003F50B6" w:rsidRDefault="005D0A19" w:rsidP="00483E42">
            <w:pPr>
              <w:ind w:left="0" w:firstLine="0"/>
              <w:jc w:val="right"/>
              <w:rPr>
                <w:rFonts w:asciiTheme="minorHAnsi" w:eastAsia="Times New Roman" w:hAnsiTheme="minorHAnsi" w:cstheme="minorHAnsi"/>
                <w:b/>
                <w:bCs/>
                <w:color w:val="000000"/>
                <w:sz w:val="20"/>
                <w:szCs w:val="20"/>
                <w:lang w:val="fr-FR" w:eastAsia="en-GB"/>
              </w:rPr>
            </w:pPr>
            <w:r w:rsidRPr="003F50B6">
              <w:rPr>
                <w:rFonts w:asciiTheme="minorHAnsi" w:eastAsia="Times New Roman" w:hAnsiTheme="minorHAnsi" w:cstheme="minorHAnsi"/>
                <w:b/>
                <w:bCs/>
                <w:color w:val="000000"/>
                <w:sz w:val="20"/>
                <w:szCs w:val="20"/>
                <w:lang w:val="fr-FR" w:eastAsia="en-GB"/>
              </w:rPr>
              <w:t>1,623</w:t>
            </w:r>
          </w:p>
        </w:tc>
      </w:tr>
      <w:tr w:rsidR="005D0A19" w:rsidRPr="00A4333E" w14:paraId="7A794414" w14:textId="77777777" w:rsidTr="00EF4718">
        <w:tc>
          <w:tcPr>
            <w:tcW w:w="3690" w:type="dxa"/>
            <w:tcBorders>
              <w:top w:val="nil"/>
              <w:left w:val="single" w:sz="4" w:space="0" w:color="auto"/>
              <w:bottom w:val="single" w:sz="4" w:space="0" w:color="auto"/>
              <w:right w:val="single" w:sz="4" w:space="0" w:color="auto"/>
            </w:tcBorders>
            <w:shd w:val="clear" w:color="auto" w:fill="auto"/>
            <w:noWrap/>
            <w:vAlign w:val="center"/>
          </w:tcPr>
          <w:p w14:paraId="32E2377F" w14:textId="4647B355" w:rsidR="005D0A19" w:rsidRPr="003F50B6" w:rsidRDefault="00195018" w:rsidP="00483E42">
            <w:pPr>
              <w:ind w:left="0" w:firstLine="0"/>
              <w:rPr>
                <w:rFonts w:asciiTheme="minorHAnsi" w:eastAsia="Times New Roman" w:hAnsiTheme="minorHAnsi" w:cstheme="minorHAnsi"/>
                <w:sz w:val="20"/>
                <w:szCs w:val="20"/>
                <w:lang w:val="fr-FR" w:eastAsia="en-GB"/>
              </w:rPr>
            </w:pPr>
            <w:r w:rsidRPr="003F50B6">
              <w:rPr>
                <w:rFonts w:asciiTheme="minorHAnsi" w:eastAsia="Times New Roman" w:hAnsiTheme="minorHAnsi" w:cstheme="minorHAnsi"/>
                <w:sz w:val="20"/>
                <w:szCs w:val="20"/>
                <w:lang w:val="fr-FR" w:eastAsia="en-GB"/>
              </w:rPr>
              <w:t>Administration, ressources humaines, services financiers &amp; informatiques</w:t>
            </w:r>
          </w:p>
        </w:tc>
        <w:tc>
          <w:tcPr>
            <w:tcW w:w="1134" w:type="dxa"/>
            <w:tcBorders>
              <w:top w:val="single" w:sz="4" w:space="0" w:color="auto"/>
              <w:left w:val="nil"/>
              <w:bottom w:val="single" w:sz="4" w:space="0" w:color="auto"/>
              <w:right w:val="single" w:sz="4" w:space="0" w:color="auto"/>
            </w:tcBorders>
            <w:vAlign w:val="center"/>
          </w:tcPr>
          <w:p w14:paraId="08DCA4EF" w14:textId="1B9AD39B" w:rsidR="005D0A19" w:rsidRPr="003F50B6" w:rsidRDefault="005D0A19" w:rsidP="00EF4718">
            <w:pPr>
              <w:ind w:left="0" w:firstLine="0"/>
              <w:jc w:val="right"/>
              <w:rPr>
                <w:rFonts w:asciiTheme="minorHAnsi" w:eastAsia="Times New Roman" w:hAnsiTheme="minorHAnsi" w:cstheme="minorHAnsi"/>
                <w:sz w:val="20"/>
                <w:szCs w:val="20"/>
                <w:lang w:val="fr-FR" w:eastAsia="en-GB"/>
              </w:rPr>
            </w:pPr>
            <w:r w:rsidRPr="003F50B6">
              <w:rPr>
                <w:rFonts w:asciiTheme="minorHAnsi" w:eastAsia="Times New Roman" w:hAnsiTheme="minorHAnsi" w:cstheme="minorHAnsi"/>
                <w:sz w:val="20"/>
                <w:szCs w:val="20"/>
                <w:lang w:val="fr-FR" w:eastAsia="en-GB"/>
              </w:rPr>
              <w:t>541</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2B77D1AA" w14:textId="417A38AA" w:rsidR="005D0A19" w:rsidRPr="003F50B6" w:rsidRDefault="005D0A19" w:rsidP="00483E42">
            <w:pPr>
              <w:ind w:left="0" w:firstLine="0"/>
              <w:jc w:val="right"/>
              <w:rPr>
                <w:rFonts w:asciiTheme="minorHAnsi" w:eastAsia="Times New Roman" w:hAnsiTheme="minorHAnsi" w:cstheme="minorHAnsi"/>
                <w:sz w:val="20"/>
                <w:szCs w:val="20"/>
                <w:lang w:val="fr-FR" w:eastAsia="en-GB"/>
              </w:rPr>
            </w:pPr>
            <w:r w:rsidRPr="003F50B6">
              <w:rPr>
                <w:rFonts w:asciiTheme="minorHAnsi" w:eastAsia="Times New Roman" w:hAnsiTheme="minorHAnsi" w:cstheme="minorHAnsi"/>
                <w:sz w:val="20"/>
                <w:szCs w:val="20"/>
                <w:lang w:val="fr-FR" w:eastAsia="en-GB"/>
              </w:rPr>
              <w:t>541</w:t>
            </w:r>
          </w:p>
        </w:tc>
        <w:tc>
          <w:tcPr>
            <w:tcW w:w="1134" w:type="dxa"/>
            <w:tcBorders>
              <w:top w:val="nil"/>
              <w:left w:val="nil"/>
              <w:bottom w:val="single" w:sz="4" w:space="0" w:color="auto"/>
              <w:right w:val="single" w:sz="4" w:space="0" w:color="auto"/>
            </w:tcBorders>
            <w:shd w:val="clear" w:color="auto" w:fill="auto"/>
            <w:noWrap/>
            <w:vAlign w:val="center"/>
          </w:tcPr>
          <w:p w14:paraId="2EB32806" w14:textId="77777777" w:rsidR="005D0A19" w:rsidRPr="003F50B6" w:rsidRDefault="005D0A19" w:rsidP="00483E42">
            <w:pPr>
              <w:ind w:left="0" w:firstLine="0"/>
              <w:jc w:val="right"/>
              <w:rPr>
                <w:rFonts w:asciiTheme="minorHAnsi" w:eastAsia="Times New Roman" w:hAnsiTheme="minorHAnsi" w:cstheme="minorHAnsi"/>
                <w:sz w:val="20"/>
                <w:szCs w:val="20"/>
                <w:lang w:val="fr-FR" w:eastAsia="en-GB"/>
              </w:rPr>
            </w:pPr>
            <w:r w:rsidRPr="003F50B6">
              <w:rPr>
                <w:rFonts w:asciiTheme="minorHAnsi" w:eastAsia="Times New Roman" w:hAnsiTheme="minorHAnsi" w:cstheme="minorHAnsi"/>
                <w:sz w:val="20"/>
                <w:szCs w:val="20"/>
                <w:lang w:val="fr-FR" w:eastAsia="en-GB"/>
              </w:rPr>
              <w:t>541</w:t>
            </w:r>
          </w:p>
        </w:tc>
        <w:tc>
          <w:tcPr>
            <w:tcW w:w="993" w:type="dxa"/>
            <w:tcBorders>
              <w:top w:val="nil"/>
              <w:left w:val="nil"/>
              <w:bottom w:val="single" w:sz="4" w:space="0" w:color="auto"/>
              <w:right w:val="single" w:sz="4" w:space="0" w:color="auto"/>
            </w:tcBorders>
            <w:shd w:val="clear" w:color="auto" w:fill="auto"/>
            <w:noWrap/>
            <w:vAlign w:val="center"/>
          </w:tcPr>
          <w:p w14:paraId="2A1329AD" w14:textId="77777777" w:rsidR="005D0A19" w:rsidRPr="003F50B6" w:rsidRDefault="005D0A19" w:rsidP="00483E42">
            <w:pPr>
              <w:ind w:left="0" w:firstLine="0"/>
              <w:jc w:val="right"/>
              <w:rPr>
                <w:rFonts w:asciiTheme="minorHAnsi" w:eastAsia="Times New Roman" w:hAnsiTheme="minorHAnsi" w:cstheme="minorHAnsi"/>
                <w:color w:val="000000"/>
                <w:sz w:val="20"/>
                <w:szCs w:val="20"/>
                <w:lang w:val="fr-FR" w:eastAsia="en-GB"/>
              </w:rPr>
            </w:pPr>
            <w:r w:rsidRPr="003F50B6">
              <w:rPr>
                <w:rFonts w:asciiTheme="minorHAnsi" w:eastAsia="Times New Roman" w:hAnsiTheme="minorHAnsi" w:cstheme="minorHAnsi"/>
                <w:color w:val="000000"/>
                <w:sz w:val="20"/>
                <w:szCs w:val="20"/>
                <w:lang w:val="fr-FR" w:eastAsia="en-GB"/>
              </w:rPr>
              <w:t>541</w:t>
            </w:r>
          </w:p>
        </w:tc>
        <w:tc>
          <w:tcPr>
            <w:tcW w:w="1275" w:type="dxa"/>
            <w:tcBorders>
              <w:top w:val="nil"/>
              <w:left w:val="nil"/>
              <w:bottom w:val="single" w:sz="4" w:space="0" w:color="auto"/>
              <w:right w:val="single" w:sz="4" w:space="0" w:color="auto"/>
            </w:tcBorders>
            <w:shd w:val="clear" w:color="auto" w:fill="auto"/>
            <w:noWrap/>
            <w:vAlign w:val="center"/>
          </w:tcPr>
          <w:p w14:paraId="3C328DDE" w14:textId="77777777" w:rsidR="005D0A19" w:rsidRPr="003F50B6" w:rsidRDefault="005D0A19" w:rsidP="00483E42">
            <w:pPr>
              <w:ind w:left="0" w:firstLine="0"/>
              <w:jc w:val="right"/>
              <w:rPr>
                <w:rFonts w:asciiTheme="minorHAnsi" w:eastAsia="Times New Roman" w:hAnsiTheme="minorHAnsi" w:cstheme="minorHAnsi"/>
                <w:sz w:val="20"/>
                <w:szCs w:val="20"/>
                <w:lang w:val="fr-FR" w:eastAsia="en-GB"/>
              </w:rPr>
            </w:pPr>
            <w:r w:rsidRPr="003F50B6">
              <w:rPr>
                <w:rFonts w:asciiTheme="minorHAnsi" w:eastAsia="Times New Roman" w:hAnsiTheme="minorHAnsi" w:cstheme="minorHAnsi"/>
                <w:sz w:val="20"/>
                <w:szCs w:val="20"/>
                <w:lang w:val="fr-FR" w:eastAsia="en-GB"/>
              </w:rPr>
              <w:t>1,623</w:t>
            </w:r>
          </w:p>
        </w:tc>
      </w:tr>
      <w:tr w:rsidR="005D0A19" w:rsidRPr="00A4333E" w14:paraId="495592D1" w14:textId="77777777" w:rsidTr="00EF4718">
        <w:tc>
          <w:tcPr>
            <w:tcW w:w="3690" w:type="dxa"/>
            <w:tcBorders>
              <w:top w:val="nil"/>
              <w:left w:val="single" w:sz="4" w:space="0" w:color="auto"/>
              <w:bottom w:val="single" w:sz="4" w:space="0" w:color="auto"/>
              <w:right w:val="single" w:sz="4" w:space="0" w:color="auto"/>
            </w:tcBorders>
            <w:shd w:val="clear" w:color="000000" w:fill="C4D79B"/>
            <w:noWrap/>
            <w:vAlign w:val="center"/>
          </w:tcPr>
          <w:p w14:paraId="1935A995" w14:textId="6BCB4930" w:rsidR="005D0A19" w:rsidRPr="003F50B6" w:rsidRDefault="005D0A19" w:rsidP="00195018">
            <w:pPr>
              <w:pStyle w:val="NormalWeb"/>
              <w:shd w:val="clear" w:color="auto" w:fill="C1D699"/>
              <w:rPr>
                <w:rFonts w:asciiTheme="minorHAnsi" w:eastAsia="Times New Roman" w:hAnsiTheme="minorHAnsi" w:cstheme="minorHAnsi"/>
                <w:sz w:val="20"/>
                <w:szCs w:val="20"/>
                <w:lang w:val="fr-FR"/>
              </w:rPr>
            </w:pPr>
            <w:r w:rsidRPr="003F50B6">
              <w:rPr>
                <w:rFonts w:asciiTheme="minorHAnsi" w:eastAsia="Times New Roman" w:hAnsiTheme="minorHAnsi" w:cstheme="minorHAnsi"/>
                <w:b/>
                <w:bCs/>
                <w:sz w:val="20"/>
                <w:szCs w:val="20"/>
                <w:lang w:val="fr-FR" w:eastAsia="en-GB"/>
              </w:rPr>
              <w:t xml:space="preserve">J. </w:t>
            </w:r>
            <w:r w:rsidR="00195018" w:rsidRPr="003F50B6">
              <w:rPr>
                <w:rFonts w:asciiTheme="minorHAnsi" w:hAnsiTheme="minorHAnsi" w:cstheme="minorHAnsi"/>
                <w:b/>
                <w:bCs/>
                <w:sz w:val="20"/>
                <w:szCs w:val="20"/>
                <w:lang w:val="fr-FR"/>
              </w:rPr>
              <w:t xml:space="preserve">Divers – Fonds de réserve </w:t>
            </w:r>
          </w:p>
        </w:tc>
        <w:tc>
          <w:tcPr>
            <w:tcW w:w="1134" w:type="dxa"/>
            <w:tcBorders>
              <w:top w:val="single" w:sz="4" w:space="0" w:color="auto"/>
              <w:left w:val="nil"/>
              <w:bottom w:val="single" w:sz="4" w:space="0" w:color="auto"/>
              <w:right w:val="single" w:sz="4" w:space="0" w:color="auto"/>
            </w:tcBorders>
            <w:shd w:val="clear" w:color="000000" w:fill="C4D79B"/>
          </w:tcPr>
          <w:p w14:paraId="63736CBB" w14:textId="20422FDF" w:rsidR="005D0A19" w:rsidRPr="003F50B6" w:rsidRDefault="005D0A19" w:rsidP="00483E42">
            <w:pPr>
              <w:ind w:left="0" w:firstLine="0"/>
              <w:jc w:val="right"/>
              <w:rPr>
                <w:rFonts w:asciiTheme="minorHAnsi" w:eastAsia="Times New Roman" w:hAnsiTheme="minorHAnsi" w:cstheme="minorHAnsi"/>
                <w:b/>
                <w:bCs/>
                <w:color w:val="000000"/>
                <w:sz w:val="20"/>
                <w:szCs w:val="20"/>
                <w:lang w:val="fr-FR" w:eastAsia="en-GB"/>
              </w:rPr>
            </w:pPr>
            <w:r w:rsidRPr="003F50B6">
              <w:rPr>
                <w:rFonts w:asciiTheme="minorHAnsi" w:eastAsia="Times New Roman" w:hAnsiTheme="minorHAnsi" w:cstheme="minorHAnsi"/>
                <w:b/>
                <w:bCs/>
                <w:color w:val="000000"/>
                <w:sz w:val="20"/>
                <w:szCs w:val="20"/>
                <w:lang w:val="fr-FR" w:eastAsia="en-GB"/>
              </w:rPr>
              <w:t>109</w:t>
            </w:r>
          </w:p>
        </w:tc>
        <w:tc>
          <w:tcPr>
            <w:tcW w:w="1134" w:type="dxa"/>
            <w:tcBorders>
              <w:top w:val="nil"/>
              <w:left w:val="single" w:sz="4" w:space="0" w:color="auto"/>
              <w:bottom w:val="single" w:sz="4" w:space="0" w:color="auto"/>
              <w:right w:val="single" w:sz="4" w:space="0" w:color="auto"/>
            </w:tcBorders>
            <w:shd w:val="clear" w:color="000000" w:fill="C4D79B"/>
            <w:noWrap/>
            <w:vAlign w:val="center"/>
          </w:tcPr>
          <w:p w14:paraId="3AB7656A" w14:textId="13B009C4" w:rsidR="005D0A19" w:rsidRPr="003F50B6" w:rsidRDefault="005D0A19" w:rsidP="00483E42">
            <w:pPr>
              <w:ind w:left="0" w:firstLine="0"/>
              <w:jc w:val="right"/>
              <w:rPr>
                <w:rFonts w:asciiTheme="minorHAnsi" w:eastAsia="Times New Roman" w:hAnsiTheme="minorHAnsi" w:cstheme="minorHAnsi"/>
                <w:b/>
                <w:bCs/>
                <w:color w:val="000000"/>
                <w:sz w:val="20"/>
                <w:szCs w:val="20"/>
                <w:lang w:val="fr-FR" w:eastAsia="en-GB"/>
              </w:rPr>
            </w:pPr>
            <w:r w:rsidRPr="003F50B6">
              <w:rPr>
                <w:rFonts w:asciiTheme="minorHAnsi" w:eastAsia="Times New Roman" w:hAnsiTheme="minorHAnsi" w:cstheme="minorHAnsi"/>
                <w:b/>
                <w:bCs/>
                <w:color w:val="000000"/>
                <w:sz w:val="20"/>
                <w:szCs w:val="20"/>
                <w:lang w:val="fr-FR" w:eastAsia="en-GB"/>
              </w:rPr>
              <w:t>109</w:t>
            </w:r>
          </w:p>
        </w:tc>
        <w:tc>
          <w:tcPr>
            <w:tcW w:w="1134" w:type="dxa"/>
            <w:tcBorders>
              <w:top w:val="nil"/>
              <w:left w:val="nil"/>
              <w:bottom w:val="single" w:sz="4" w:space="0" w:color="auto"/>
              <w:right w:val="single" w:sz="4" w:space="0" w:color="auto"/>
            </w:tcBorders>
            <w:shd w:val="clear" w:color="000000" w:fill="C4D79B"/>
            <w:noWrap/>
            <w:vAlign w:val="center"/>
          </w:tcPr>
          <w:p w14:paraId="28BA5466" w14:textId="77777777" w:rsidR="005D0A19" w:rsidRPr="003F50B6" w:rsidRDefault="005D0A19" w:rsidP="00483E42">
            <w:pPr>
              <w:ind w:left="0" w:firstLine="0"/>
              <w:jc w:val="right"/>
              <w:rPr>
                <w:rFonts w:asciiTheme="minorHAnsi" w:eastAsia="Times New Roman" w:hAnsiTheme="minorHAnsi" w:cstheme="minorHAnsi"/>
                <w:b/>
                <w:bCs/>
                <w:color w:val="000000"/>
                <w:sz w:val="20"/>
                <w:szCs w:val="20"/>
                <w:lang w:val="fr-FR" w:eastAsia="en-GB"/>
              </w:rPr>
            </w:pPr>
            <w:r w:rsidRPr="003F50B6">
              <w:rPr>
                <w:rFonts w:asciiTheme="minorHAnsi" w:eastAsia="Times New Roman" w:hAnsiTheme="minorHAnsi" w:cstheme="minorHAnsi"/>
                <w:b/>
                <w:bCs/>
                <w:color w:val="000000"/>
                <w:sz w:val="20"/>
                <w:szCs w:val="20"/>
                <w:lang w:val="fr-FR" w:eastAsia="en-GB"/>
              </w:rPr>
              <w:t>109</w:t>
            </w:r>
          </w:p>
        </w:tc>
        <w:tc>
          <w:tcPr>
            <w:tcW w:w="993" w:type="dxa"/>
            <w:tcBorders>
              <w:top w:val="nil"/>
              <w:left w:val="nil"/>
              <w:bottom w:val="single" w:sz="4" w:space="0" w:color="auto"/>
              <w:right w:val="single" w:sz="4" w:space="0" w:color="auto"/>
            </w:tcBorders>
            <w:shd w:val="clear" w:color="000000" w:fill="C4D79B"/>
            <w:noWrap/>
            <w:vAlign w:val="center"/>
          </w:tcPr>
          <w:p w14:paraId="0F448C13" w14:textId="77777777" w:rsidR="005D0A19" w:rsidRPr="003F50B6" w:rsidRDefault="005D0A19" w:rsidP="00483E42">
            <w:pPr>
              <w:ind w:left="0" w:firstLine="0"/>
              <w:jc w:val="right"/>
              <w:rPr>
                <w:rFonts w:asciiTheme="minorHAnsi" w:eastAsia="Times New Roman" w:hAnsiTheme="minorHAnsi" w:cstheme="minorHAnsi"/>
                <w:b/>
                <w:bCs/>
                <w:color w:val="000000"/>
                <w:sz w:val="20"/>
                <w:szCs w:val="20"/>
                <w:lang w:val="fr-FR" w:eastAsia="en-GB"/>
              </w:rPr>
            </w:pPr>
            <w:r w:rsidRPr="003F50B6">
              <w:rPr>
                <w:rFonts w:asciiTheme="minorHAnsi" w:eastAsia="Times New Roman" w:hAnsiTheme="minorHAnsi" w:cstheme="minorHAnsi"/>
                <w:b/>
                <w:bCs/>
                <w:color w:val="000000"/>
                <w:sz w:val="20"/>
                <w:szCs w:val="20"/>
                <w:lang w:val="fr-FR" w:eastAsia="en-GB"/>
              </w:rPr>
              <w:t>109</w:t>
            </w:r>
          </w:p>
        </w:tc>
        <w:tc>
          <w:tcPr>
            <w:tcW w:w="1275" w:type="dxa"/>
            <w:tcBorders>
              <w:top w:val="nil"/>
              <w:left w:val="nil"/>
              <w:bottom w:val="single" w:sz="4" w:space="0" w:color="auto"/>
              <w:right w:val="single" w:sz="4" w:space="0" w:color="auto"/>
            </w:tcBorders>
            <w:shd w:val="clear" w:color="000000" w:fill="C4D79B"/>
            <w:noWrap/>
            <w:vAlign w:val="center"/>
          </w:tcPr>
          <w:p w14:paraId="53BE5F29" w14:textId="77777777" w:rsidR="005D0A19" w:rsidRPr="003F50B6" w:rsidRDefault="005D0A19" w:rsidP="00483E42">
            <w:pPr>
              <w:ind w:left="0" w:firstLine="0"/>
              <w:jc w:val="right"/>
              <w:rPr>
                <w:rFonts w:asciiTheme="minorHAnsi" w:eastAsia="Times New Roman" w:hAnsiTheme="minorHAnsi" w:cstheme="minorHAnsi"/>
                <w:b/>
                <w:bCs/>
                <w:color w:val="000000"/>
                <w:sz w:val="20"/>
                <w:szCs w:val="20"/>
                <w:lang w:val="fr-FR" w:eastAsia="en-GB"/>
              </w:rPr>
            </w:pPr>
            <w:r w:rsidRPr="003F50B6">
              <w:rPr>
                <w:rFonts w:asciiTheme="minorHAnsi" w:eastAsia="Times New Roman" w:hAnsiTheme="minorHAnsi" w:cstheme="minorHAnsi"/>
                <w:b/>
                <w:bCs/>
                <w:color w:val="000000"/>
                <w:sz w:val="20"/>
                <w:szCs w:val="20"/>
                <w:lang w:val="fr-FR" w:eastAsia="en-GB"/>
              </w:rPr>
              <w:t>327</w:t>
            </w:r>
          </w:p>
        </w:tc>
      </w:tr>
      <w:tr w:rsidR="005D0A19" w:rsidRPr="00A4333E" w14:paraId="2708E707" w14:textId="77777777" w:rsidTr="00EF4718">
        <w:tc>
          <w:tcPr>
            <w:tcW w:w="3690" w:type="dxa"/>
            <w:tcBorders>
              <w:top w:val="nil"/>
              <w:left w:val="single" w:sz="4" w:space="0" w:color="auto"/>
              <w:bottom w:val="single" w:sz="4" w:space="0" w:color="auto"/>
              <w:right w:val="single" w:sz="4" w:space="0" w:color="auto"/>
            </w:tcBorders>
            <w:shd w:val="clear" w:color="auto" w:fill="auto"/>
            <w:noWrap/>
            <w:vAlign w:val="center"/>
          </w:tcPr>
          <w:p w14:paraId="72EE3D7B" w14:textId="09A31127" w:rsidR="005D0A19" w:rsidRPr="003F50B6" w:rsidRDefault="00195018" w:rsidP="00195018">
            <w:pPr>
              <w:pStyle w:val="NormalWeb"/>
              <w:rPr>
                <w:rFonts w:asciiTheme="minorHAnsi" w:eastAsia="Times New Roman" w:hAnsiTheme="minorHAnsi" w:cstheme="minorHAnsi"/>
                <w:sz w:val="20"/>
                <w:szCs w:val="20"/>
                <w:lang w:val="fr-FR"/>
              </w:rPr>
            </w:pPr>
            <w:r w:rsidRPr="003F50B6">
              <w:rPr>
                <w:rFonts w:asciiTheme="minorHAnsi" w:hAnsiTheme="minorHAnsi" w:cstheme="minorHAnsi"/>
                <w:sz w:val="20"/>
                <w:szCs w:val="20"/>
                <w:lang w:val="fr-FR"/>
              </w:rPr>
              <w:t>Provisions pour le personnel</w:t>
            </w:r>
          </w:p>
        </w:tc>
        <w:tc>
          <w:tcPr>
            <w:tcW w:w="1134" w:type="dxa"/>
            <w:tcBorders>
              <w:top w:val="single" w:sz="4" w:space="0" w:color="auto"/>
              <w:left w:val="nil"/>
              <w:bottom w:val="single" w:sz="4" w:space="0" w:color="auto"/>
              <w:right w:val="single" w:sz="4" w:space="0" w:color="auto"/>
            </w:tcBorders>
          </w:tcPr>
          <w:p w14:paraId="6F3C15C4" w14:textId="16A7C6F2" w:rsidR="005D0A19" w:rsidRPr="003F50B6" w:rsidRDefault="005D0A19" w:rsidP="00483E42">
            <w:pPr>
              <w:ind w:left="0" w:firstLine="0"/>
              <w:jc w:val="right"/>
              <w:rPr>
                <w:rFonts w:asciiTheme="minorHAnsi" w:eastAsia="Times New Roman" w:hAnsiTheme="minorHAnsi" w:cstheme="minorHAnsi"/>
                <w:sz w:val="20"/>
                <w:szCs w:val="20"/>
                <w:lang w:val="fr-FR" w:eastAsia="en-GB"/>
              </w:rPr>
            </w:pPr>
            <w:r w:rsidRPr="003F50B6">
              <w:rPr>
                <w:rFonts w:asciiTheme="minorHAnsi" w:eastAsia="Times New Roman" w:hAnsiTheme="minorHAnsi" w:cstheme="minorHAnsi"/>
                <w:sz w:val="20"/>
                <w:szCs w:val="20"/>
                <w:lang w:val="fr-FR" w:eastAsia="en-GB"/>
              </w:rPr>
              <w:t>20</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38B9848E" w14:textId="5E1F3B8A" w:rsidR="005D0A19" w:rsidRPr="003F50B6" w:rsidRDefault="005D0A19" w:rsidP="00483E42">
            <w:pPr>
              <w:ind w:left="0" w:firstLine="0"/>
              <w:jc w:val="right"/>
              <w:rPr>
                <w:rFonts w:asciiTheme="minorHAnsi" w:eastAsia="Times New Roman" w:hAnsiTheme="minorHAnsi" w:cstheme="minorHAnsi"/>
                <w:sz w:val="20"/>
                <w:szCs w:val="20"/>
                <w:lang w:val="fr-FR" w:eastAsia="en-GB"/>
              </w:rPr>
            </w:pPr>
            <w:r w:rsidRPr="003F50B6">
              <w:rPr>
                <w:rFonts w:asciiTheme="minorHAnsi" w:eastAsia="Times New Roman" w:hAnsiTheme="minorHAnsi" w:cstheme="minorHAnsi"/>
                <w:sz w:val="20"/>
                <w:szCs w:val="20"/>
                <w:lang w:val="fr-FR" w:eastAsia="en-GB"/>
              </w:rPr>
              <w:t>20</w:t>
            </w:r>
          </w:p>
        </w:tc>
        <w:tc>
          <w:tcPr>
            <w:tcW w:w="1134" w:type="dxa"/>
            <w:tcBorders>
              <w:top w:val="nil"/>
              <w:left w:val="nil"/>
              <w:bottom w:val="single" w:sz="4" w:space="0" w:color="auto"/>
              <w:right w:val="single" w:sz="4" w:space="0" w:color="auto"/>
            </w:tcBorders>
            <w:shd w:val="clear" w:color="auto" w:fill="auto"/>
            <w:noWrap/>
            <w:vAlign w:val="center"/>
          </w:tcPr>
          <w:p w14:paraId="401F1294" w14:textId="77777777" w:rsidR="005D0A19" w:rsidRPr="003F50B6" w:rsidRDefault="005D0A19" w:rsidP="00483E42">
            <w:pPr>
              <w:ind w:left="0" w:firstLine="0"/>
              <w:jc w:val="right"/>
              <w:rPr>
                <w:rFonts w:asciiTheme="minorHAnsi" w:eastAsia="Times New Roman" w:hAnsiTheme="minorHAnsi" w:cstheme="minorHAnsi"/>
                <w:sz w:val="20"/>
                <w:szCs w:val="20"/>
                <w:lang w:val="fr-FR" w:eastAsia="en-GB"/>
              </w:rPr>
            </w:pPr>
            <w:r w:rsidRPr="003F50B6">
              <w:rPr>
                <w:rFonts w:asciiTheme="minorHAnsi" w:eastAsia="Times New Roman" w:hAnsiTheme="minorHAnsi" w:cstheme="minorHAnsi"/>
                <w:sz w:val="20"/>
                <w:szCs w:val="20"/>
                <w:lang w:val="fr-FR" w:eastAsia="en-GB"/>
              </w:rPr>
              <w:t>20</w:t>
            </w:r>
          </w:p>
        </w:tc>
        <w:tc>
          <w:tcPr>
            <w:tcW w:w="993" w:type="dxa"/>
            <w:tcBorders>
              <w:top w:val="nil"/>
              <w:left w:val="nil"/>
              <w:bottom w:val="single" w:sz="4" w:space="0" w:color="auto"/>
              <w:right w:val="single" w:sz="4" w:space="0" w:color="auto"/>
            </w:tcBorders>
            <w:shd w:val="clear" w:color="auto" w:fill="auto"/>
            <w:noWrap/>
            <w:vAlign w:val="center"/>
          </w:tcPr>
          <w:p w14:paraId="03188D30" w14:textId="77777777" w:rsidR="005D0A19" w:rsidRPr="003F50B6" w:rsidRDefault="005D0A19" w:rsidP="00483E42">
            <w:pPr>
              <w:ind w:left="0" w:firstLine="0"/>
              <w:jc w:val="right"/>
              <w:rPr>
                <w:rFonts w:asciiTheme="minorHAnsi" w:eastAsia="Times New Roman" w:hAnsiTheme="minorHAnsi" w:cstheme="minorHAnsi"/>
                <w:color w:val="000000"/>
                <w:sz w:val="20"/>
                <w:szCs w:val="20"/>
                <w:lang w:val="fr-FR" w:eastAsia="en-GB"/>
              </w:rPr>
            </w:pPr>
            <w:r w:rsidRPr="003F50B6">
              <w:rPr>
                <w:rFonts w:asciiTheme="minorHAnsi" w:eastAsia="Times New Roman" w:hAnsiTheme="minorHAnsi" w:cstheme="minorHAnsi"/>
                <w:color w:val="000000"/>
                <w:sz w:val="20"/>
                <w:szCs w:val="20"/>
                <w:lang w:val="fr-FR" w:eastAsia="en-GB"/>
              </w:rPr>
              <w:t>20</w:t>
            </w:r>
          </w:p>
        </w:tc>
        <w:tc>
          <w:tcPr>
            <w:tcW w:w="1275" w:type="dxa"/>
            <w:tcBorders>
              <w:top w:val="nil"/>
              <w:left w:val="nil"/>
              <w:bottom w:val="single" w:sz="4" w:space="0" w:color="auto"/>
              <w:right w:val="single" w:sz="4" w:space="0" w:color="auto"/>
            </w:tcBorders>
            <w:shd w:val="clear" w:color="auto" w:fill="auto"/>
            <w:noWrap/>
            <w:vAlign w:val="center"/>
          </w:tcPr>
          <w:p w14:paraId="5FED209C" w14:textId="77777777" w:rsidR="005D0A19" w:rsidRPr="003F50B6" w:rsidRDefault="005D0A19" w:rsidP="00483E42">
            <w:pPr>
              <w:ind w:left="0" w:firstLine="0"/>
              <w:jc w:val="right"/>
              <w:rPr>
                <w:rFonts w:asciiTheme="minorHAnsi" w:eastAsia="Times New Roman" w:hAnsiTheme="minorHAnsi" w:cstheme="minorHAnsi"/>
                <w:sz w:val="20"/>
                <w:szCs w:val="20"/>
                <w:lang w:val="fr-FR" w:eastAsia="en-GB"/>
              </w:rPr>
            </w:pPr>
            <w:r w:rsidRPr="003F50B6">
              <w:rPr>
                <w:rFonts w:asciiTheme="minorHAnsi" w:eastAsia="Times New Roman" w:hAnsiTheme="minorHAnsi" w:cstheme="minorHAnsi"/>
                <w:sz w:val="20"/>
                <w:szCs w:val="20"/>
                <w:lang w:val="fr-FR" w:eastAsia="en-GB"/>
              </w:rPr>
              <w:t>60</w:t>
            </w:r>
          </w:p>
        </w:tc>
      </w:tr>
      <w:tr w:rsidR="005D0A19" w:rsidRPr="00A4333E" w14:paraId="3475651C" w14:textId="77777777" w:rsidTr="00EF4718">
        <w:tc>
          <w:tcPr>
            <w:tcW w:w="3690" w:type="dxa"/>
            <w:tcBorders>
              <w:top w:val="nil"/>
              <w:left w:val="single" w:sz="4" w:space="0" w:color="auto"/>
              <w:bottom w:val="single" w:sz="4" w:space="0" w:color="auto"/>
              <w:right w:val="single" w:sz="4" w:space="0" w:color="auto"/>
            </w:tcBorders>
            <w:shd w:val="clear" w:color="auto" w:fill="auto"/>
            <w:noWrap/>
            <w:vAlign w:val="center"/>
          </w:tcPr>
          <w:p w14:paraId="1B93C6AB" w14:textId="7BA2D887" w:rsidR="005D0A19" w:rsidRPr="003F50B6" w:rsidRDefault="00195018" w:rsidP="00195018">
            <w:pPr>
              <w:pStyle w:val="NormalWeb"/>
              <w:rPr>
                <w:rFonts w:asciiTheme="minorHAnsi" w:eastAsia="Times New Roman" w:hAnsiTheme="minorHAnsi" w:cstheme="minorHAnsi"/>
                <w:sz w:val="20"/>
                <w:szCs w:val="20"/>
                <w:lang w:val="fr-FR"/>
              </w:rPr>
            </w:pPr>
            <w:r w:rsidRPr="003F50B6">
              <w:rPr>
                <w:rFonts w:asciiTheme="minorHAnsi" w:hAnsiTheme="minorHAnsi" w:cstheme="minorHAnsi"/>
                <w:sz w:val="20"/>
                <w:szCs w:val="20"/>
                <w:lang w:val="fr-FR"/>
              </w:rPr>
              <w:t xml:space="preserve">Provisions pour contributions impayées </w:t>
            </w:r>
          </w:p>
        </w:tc>
        <w:tc>
          <w:tcPr>
            <w:tcW w:w="1134" w:type="dxa"/>
            <w:tcBorders>
              <w:top w:val="single" w:sz="4" w:space="0" w:color="auto"/>
              <w:left w:val="nil"/>
              <w:bottom w:val="single" w:sz="4" w:space="0" w:color="auto"/>
              <w:right w:val="single" w:sz="4" w:space="0" w:color="auto"/>
            </w:tcBorders>
          </w:tcPr>
          <w:p w14:paraId="1D124C85" w14:textId="21FC390E" w:rsidR="005D0A19" w:rsidRPr="003F50B6" w:rsidRDefault="005D0A19" w:rsidP="00483E42">
            <w:pPr>
              <w:ind w:left="0" w:firstLine="0"/>
              <w:jc w:val="right"/>
              <w:rPr>
                <w:rFonts w:asciiTheme="minorHAnsi" w:eastAsia="Times New Roman" w:hAnsiTheme="minorHAnsi" w:cstheme="minorHAnsi"/>
                <w:sz w:val="20"/>
                <w:szCs w:val="20"/>
                <w:lang w:val="fr-FR" w:eastAsia="en-GB"/>
              </w:rPr>
            </w:pPr>
            <w:r w:rsidRPr="003F50B6">
              <w:rPr>
                <w:rFonts w:asciiTheme="minorHAnsi" w:eastAsia="Times New Roman" w:hAnsiTheme="minorHAnsi" w:cstheme="minorHAnsi"/>
                <w:sz w:val="20"/>
                <w:szCs w:val="20"/>
                <w:lang w:val="fr-FR" w:eastAsia="en-GB"/>
              </w:rPr>
              <w:t>30</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0F3960C5" w14:textId="6F1BEAF9" w:rsidR="005D0A19" w:rsidRPr="003F50B6" w:rsidRDefault="005D0A19" w:rsidP="00483E42">
            <w:pPr>
              <w:ind w:left="0" w:firstLine="0"/>
              <w:jc w:val="right"/>
              <w:rPr>
                <w:rFonts w:asciiTheme="minorHAnsi" w:eastAsia="Times New Roman" w:hAnsiTheme="minorHAnsi" w:cstheme="minorHAnsi"/>
                <w:sz w:val="20"/>
                <w:szCs w:val="20"/>
                <w:lang w:val="fr-FR" w:eastAsia="en-GB"/>
              </w:rPr>
            </w:pPr>
            <w:r w:rsidRPr="003F50B6">
              <w:rPr>
                <w:rFonts w:asciiTheme="minorHAnsi" w:eastAsia="Times New Roman" w:hAnsiTheme="minorHAnsi" w:cstheme="minorHAnsi"/>
                <w:sz w:val="20"/>
                <w:szCs w:val="20"/>
                <w:lang w:val="fr-FR" w:eastAsia="en-GB"/>
              </w:rPr>
              <w:t>30</w:t>
            </w:r>
          </w:p>
        </w:tc>
        <w:tc>
          <w:tcPr>
            <w:tcW w:w="1134" w:type="dxa"/>
            <w:tcBorders>
              <w:top w:val="nil"/>
              <w:left w:val="nil"/>
              <w:bottom w:val="single" w:sz="4" w:space="0" w:color="auto"/>
              <w:right w:val="single" w:sz="4" w:space="0" w:color="auto"/>
            </w:tcBorders>
            <w:shd w:val="clear" w:color="auto" w:fill="auto"/>
            <w:noWrap/>
            <w:vAlign w:val="center"/>
          </w:tcPr>
          <w:p w14:paraId="27422675" w14:textId="77777777" w:rsidR="005D0A19" w:rsidRPr="003F50B6" w:rsidRDefault="005D0A19" w:rsidP="00483E42">
            <w:pPr>
              <w:ind w:left="0" w:firstLine="0"/>
              <w:jc w:val="right"/>
              <w:rPr>
                <w:rFonts w:asciiTheme="minorHAnsi" w:eastAsia="Times New Roman" w:hAnsiTheme="minorHAnsi" w:cstheme="minorHAnsi"/>
                <w:sz w:val="20"/>
                <w:szCs w:val="20"/>
                <w:lang w:val="fr-FR" w:eastAsia="en-GB"/>
              </w:rPr>
            </w:pPr>
            <w:r w:rsidRPr="003F50B6">
              <w:rPr>
                <w:rFonts w:asciiTheme="minorHAnsi" w:eastAsia="Times New Roman" w:hAnsiTheme="minorHAnsi" w:cstheme="minorHAnsi"/>
                <w:sz w:val="20"/>
                <w:szCs w:val="20"/>
                <w:lang w:val="fr-FR" w:eastAsia="en-GB"/>
              </w:rPr>
              <w:t>30</w:t>
            </w:r>
          </w:p>
        </w:tc>
        <w:tc>
          <w:tcPr>
            <w:tcW w:w="993" w:type="dxa"/>
            <w:tcBorders>
              <w:top w:val="nil"/>
              <w:left w:val="nil"/>
              <w:bottom w:val="single" w:sz="4" w:space="0" w:color="auto"/>
              <w:right w:val="single" w:sz="4" w:space="0" w:color="auto"/>
            </w:tcBorders>
            <w:shd w:val="clear" w:color="auto" w:fill="auto"/>
            <w:noWrap/>
            <w:vAlign w:val="center"/>
          </w:tcPr>
          <w:p w14:paraId="2FCA1585" w14:textId="77777777" w:rsidR="005D0A19" w:rsidRPr="003F50B6" w:rsidRDefault="005D0A19" w:rsidP="00483E42">
            <w:pPr>
              <w:ind w:left="0" w:firstLine="0"/>
              <w:jc w:val="right"/>
              <w:rPr>
                <w:rFonts w:asciiTheme="minorHAnsi" w:eastAsia="Times New Roman" w:hAnsiTheme="minorHAnsi" w:cstheme="minorHAnsi"/>
                <w:color w:val="000000"/>
                <w:sz w:val="20"/>
                <w:szCs w:val="20"/>
                <w:lang w:val="fr-FR" w:eastAsia="en-GB"/>
              </w:rPr>
            </w:pPr>
            <w:r w:rsidRPr="003F50B6">
              <w:rPr>
                <w:rFonts w:asciiTheme="minorHAnsi" w:eastAsia="Times New Roman" w:hAnsiTheme="minorHAnsi" w:cstheme="minorHAnsi"/>
                <w:color w:val="000000"/>
                <w:sz w:val="20"/>
                <w:szCs w:val="20"/>
                <w:lang w:val="fr-FR" w:eastAsia="en-GB"/>
              </w:rPr>
              <w:t>30</w:t>
            </w:r>
          </w:p>
        </w:tc>
        <w:tc>
          <w:tcPr>
            <w:tcW w:w="1275" w:type="dxa"/>
            <w:tcBorders>
              <w:top w:val="nil"/>
              <w:left w:val="nil"/>
              <w:bottom w:val="single" w:sz="4" w:space="0" w:color="auto"/>
              <w:right w:val="single" w:sz="4" w:space="0" w:color="auto"/>
            </w:tcBorders>
            <w:shd w:val="clear" w:color="auto" w:fill="auto"/>
            <w:noWrap/>
            <w:vAlign w:val="center"/>
          </w:tcPr>
          <w:p w14:paraId="76A85FF0" w14:textId="77777777" w:rsidR="005D0A19" w:rsidRPr="003F50B6" w:rsidRDefault="005D0A19" w:rsidP="00483E42">
            <w:pPr>
              <w:ind w:left="0" w:firstLine="0"/>
              <w:jc w:val="right"/>
              <w:rPr>
                <w:rFonts w:asciiTheme="minorHAnsi" w:eastAsia="Times New Roman" w:hAnsiTheme="minorHAnsi" w:cstheme="minorHAnsi"/>
                <w:sz w:val="20"/>
                <w:szCs w:val="20"/>
                <w:lang w:val="fr-FR" w:eastAsia="en-GB"/>
              </w:rPr>
            </w:pPr>
            <w:r w:rsidRPr="003F50B6">
              <w:rPr>
                <w:rFonts w:asciiTheme="minorHAnsi" w:eastAsia="Times New Roman" w:hAnsiTheme="minorHAnsi" w:cstheme="minorHAnsi"/>
                <w:sz w:val="20"/>
                <w:szCs w:val="20"/>
                <w:lang w:val="fr-FR" w:eastAsia="en-GB"/>
              </w:rPr>
              <w:t>90</w:t>
            </w:r>
          </w:p>
        </w:tc>
      </w:tr>
      <w:tr w:rsidR="005D0A19" w:rsidRPr="00A4333E" w14:paraId="4212530D" w14:textId="77777777" w:rsidTr="00EF4718">
        <w:tc>
          <w:tcPr>
            <w:tcW w:w="3690" w:type="dxa"/>
            <w:tcBorders>
              <w:top w:val="single" w:sz="4" w:space="0" w:color="auto"/>
              <w:left w:val="single" w:sz="4" w:space="0" w:color="auto"/>
              <w:bottom w:val="nil"/>
              <w:right w:val="single" w:sz="4" w:space="0" w:color="auto"/>
            </w:tcBorders>
            <w:shd w:val="clear" w:color="auto" w:fill="auto"/>
            <w:noWrap/>
            <w:vAlign w:val="center"/>
          </w:tcPr>
          <w:p w14:paraId="16B4C4CE" w14:textId="7EA81614" w:rsidR="005D0A19" w:rsidRPr="003F50B6" w:rsidRDefault="005D0A19" w:rsidP="00483E42">
            <w:pPr>
              <w:ind w:left="0" w:firstLine="0"/>
              <w:rPr>
                <w:rFonts w:asciiTheme="minorHAnsi" w:eastAsia="Times New Roman" w:hAnsiTheme="minorHAnsi" w:cstheme="minorHAnsi"/>
                <w:sz w:val="20"/>
                <w:szCs w:val="20"/>
                <w:lang w:val="fr-FR" w:eastAsia="en-GB"/>
              </w:rPr>
            </w:pPr>
            <w:r w:rsidRPr="003F50B6">
              <w:rPr>
                <w:rFonts w:asciiTheme="minorHAnsi" w:eastAsia="Times New Roman" w:hAnsiTheme="minorHAnsi" w:cstheme="minorHAnsi"/>
                <w:sz w:val="20"/>
                <w:szCs w:val="20"/>
                <w:lang w:val="fr-FR" w:eastAsia="en-GB"/>
              </w:rPr>
              <w:t>Services</w:t>
            </w:r>
            <w:r w:rsidR="00195018" w:rsidRPr="003F50B6">
              <w:rPr>
                <w:rFonts w:asciiTheme="minorHAnsi" w:eastAsia="Times New Roman" w:hAnsiTheme="minorHAnsi" w:cstheme="minorHAnsi"/>
                <w:sz w:val="20"/>
                <w:szCs w:val="20"/>
                <w:lang w:val="fr-FR" w:eastAsia="en-GB"/>
              </w:rPr>
              <w:t xml:space="preserve"> juridiques</w:t>
            </w:r>
          </w:p>
        </w:tc>
        <w:tc>
          <w:tcPr>
            <w:tcW w:w="1134" w:type="dxa"/>
            <w:tcBorders>
              <w:top w:val="single" w:sz="4" w:space="0" w:color="auto"/>
              <w:left w:val="nil"/>
              <w:bottom w:val="single" w:sz="4" w:space="0" w:color="auto"/>
              <w:right w:val="single" w:sz="4" w:space="0" w:color="auto"/>
            </w:tcBorders>
          </w:tcPr>
          <w:p w14:paraId="56CA2D67" w14:textId="0E2D3FE2" w:rsidR="005D0A19" w:rsidRPr="003F50B6" w:rsidRDefault="005D0A19" w:rsidP="00483E42">
            <w:pPr>
              <w:ind w:left="0" w:firstLine="0"/>
              <w:jc w:val="right"/>
              <w:rPr>
                <w:rFonts w:asciiTheme="minorHAnsi" w:eastAsia="Times New Roman" w:hAnsiTheme="minorHAnsi" w:cstheme="minorHAnsi"/>
                <w:sz w:val="20"/>
                <w:szCs w:val="20"/>
                <w:lang w:val="fr-FR" w:eastAsia="en-GB"/>
              </w:rPr>
            </w:pPr>
            <w:r w:rsidRPr="003F50B6">
              <w:rPr>
                <w:rFonts w:asciiTheme="minorHAnsi" w:eastAsia="Times New Roman" w:hAnsiTheme="minorHAnsi" w:cstheme="minorHAnsi"/>
                <w:sz w:val="20"/>
                <w:szCs w:val="20"/>
                <w:lang w:val="fr-FR" w:eastAsia="en-GB"/>
              </w:rPr>
              <w:t>59</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2FEEE050" w14:textId="620E39BF" w:rsidR="005D0A19" w:rsidRPr="003F50B6" w:rsidRDefault="005D0A19" w:rsidP="00483E42">
            <w:pPr>
              <w:ind w:left="0" w:firstLine="0"/>
              <w:jc w:val="right"/>
              <w:rPr>
                <w:rFonts w:asciiTheme="minorHAnsi" w:eastAsia="Times New Roman" w:hAnsiTheme="minorHAnsi" w:cstheme="minorHAnsi"/>
                <w:sz w:val="20"/>
                <w:szCs w:val="20"/>
                <w:lang w:val="fr-FR" w:eastAsia="en-GB"/>
              </w:rPr>
            </w:pPr>
            <w:r w:rsidRPr="003F50B6">
              <w:rPr>
                <w:rFonts w:asciiTheme="minorHAnsi" w:eastAsia="Times New Roman" w:hAnsiTheme="minorHAnsi" w:cstheme="minorHAnsi"/>
                <w:sz w:val="20"/>
                <w:szCs w:val="20"/>
                <w:lang w:val="fr-FR" w:eastAsia="en-GB"/>
              </w:rPr>
              <w:t>59</w:t>
            </w:r>
          </w:p>
        </w:tc>
        <w:tc>
          <w:tcPr>
            <w:tcW w:w="1134" w:type="dxa"/>
            <w:tcBorders>
              <w:top w:val="nil"/>
              <w:left w:val="nil"/>
              <w:bottom w:val="single" w:sz="4" w:space="0" w:color="auto"/>
              <w:right w:val="single" w:sz="4" w:space="0" w:color="auto"/>
            </w:tcBorders>
            <w:shd w:val="clear" w:color="auto" w:fill="auto"/>
            <w:noWrap/>
            <w:vAlign w:val="center"/>
          </w:tcPr>
          <w:p w14:paraId="7A202FDB" w14:textId="77777777" w:rsidR="005D0A19" w:rsidRPr="003F50B6" w:rsidRDefault="005D0A19" w:rsidP="00483E42">
            <w:pPr>
              <w:ind w:left="0" w:firstLine="0"/>
              <w:jc w:val="right"/>
              <w:rPr>
                <w:rFonts w:asciiTheme="minorHAnsi" w:eastAsia="Times New Roman" w:hAnsiTheme="minorHAnsi" w:cstheme="minorHAnsi"/>
                <w:sz w:val="20"/>
                <w:szCs w:val="20"/>
                <w:lang w:val="fr-FR" w:eastAsia="en-GB"/>
              </w:rPr>
            </w:pPr>
            <w:r w:rsidRPr="003F50B6">
              <w:rPr>
                <w:rFonts w:asciiTheme="minorHAnsi" w:eastAsia="Times New Roman" w:hAnsiTheme="minorHAnsi" w:cstheme="minorHAnsi"/>
                <w:sz w:val="20"/>
                <w:szCs w:val="20"/>
                <w:lang w:val="fr-FR" w:eastAsia="en-GB"/>
              </w:rPr>
              <w:t>59</w:t>
            </w:r>
          </w:p>
        </w:tc>
        <w:tc>
          <w:tcPr>
            <w:tcW w:w="993" w:type="dxa"/>
            <w:tcBorders>
              <w:top w:val="single" w:sz="4" w:space="0" w:color="auto"/>
              <w:left w:val="nil"/>
              <w:bottom w:val="nil"/>
              <w:right w:val="single" w:sz="4" w:space="0" w:color="auto"/>
            </w:tcBorders>
            <w:shd w:val="clear" w:color="auto" w:fill="auto"/>
            <w:noWrap/>
            <w:vAlign w:val="center"/>
          </w:tcPr>
          <w:p w14:paraId="3FD8D9BF" w14:textId="77777777" w:rsidR="005D0A19" w:rsidRPr="003F50B6" w:rsidRDefault="005D0A19" w:rsidP="00483E42">
            <w:pPr>
              <w:ind w:left="0" w:firstLine="0"/>
              <w:jc w:val="right"/>
              <w:rPr>
                <w:rFonts w:asciiTheme="minorHAnsi" w:eastAsia="Times New Roman" w:hAnsiTheme="minorHAnsi" w:cstheme="minorHAnsi"/>
                <w:color w:val="000000"/>
                <w:sz w:val="20"/>
                <w:szCs w:val="20"/>
                <w:lang w:val="fr-FR" w:eastAsia="en-GB"/>
              </w:rPr>
            </w:pPr>
            <w:r w:rsidRPr="003F50B6">
              <w:rPr>
                <w:rFonts w:asciiTheme="minorHAnsi" w:eastAsia="Times New Roman" w:hAnsiTheme="minorHAnsi" w:cstheme="minorHAnsi"/>
                <w:color w:val="000000"/>
                <w:sz w:val="20"/>
                <w:szCs w:val="20"/>
                <w:lang w:val="fr-FR" w:eastAsia="en-GB"/>
              </w:rPr>
              <w:t>59</w:t>
            </w:r>
          </w:p>
        </w:tc>
        <w:tc>
          <w:tcPr>
            <w:tcW w:w="1275" w:type="dxa"/>
            <w:tcBorders>
              <w:top w:val="nil"/>
              <w:left w:val="nil"/>
              <w:bottom w:val="single" w:sz="4" w:space="0" w:color="auto"/>
              <w:right w:val="single" w:sz="4" w:space="0" w:color="auto"/>
            </w:tcBorders>
            <w:shd w:val="clear" w:color="auto" w:fill="auto"/>
            <w:noWrap/>
            <w:vAlign w:val="center"/>
          </w:tcPr>
          <w:p w14:paraId="7D265185" w14:textId="77777777" w:rsidR="005D0A19" w:rsidRPr="003F50B6" w:rsidRDefault="005D0A19" w:rsidP="00483E42">
            <w:pPr>
              <w:ind w:left="0" w:firstLine="0"/>
              <w:jc w:val="right"/>
              <w:rPr>
                <w:rFonts w:asciiTheme="minorHAnsi" w:eastAsia="Times New Roman" w:hAnsiTheme="minorHAnsi" w:cstheme="minorHAnsi"/>
                <w:sz w:val="20"/>
                <w:szCs w:val="20"/>
                <w:lang w:val="fr-FR" w:eastAsia="en-GB"/>
              </w:rPr>
            </w:pPr>
            <w:r w:rsidRPr="003F50B6">
              <w:rPr>
                <w:rFonts w:asciiTheme="minorHAnsi" w:eastAsia="Times New Roman" w:hAnsiTheme="minorHAnsi" w:cstheme="minorHAnsi"/>
                <w:sz w:val="20"/>
                <w:szCs w:val="20"/>
                <w:lang w:val="fr-FR" w:eastAsia="en-GB"/>
              </w:rPr>
              <w:t>177</w:t>
            </w:r>
          </w:p>
        </w:tc>
      </w:tr>
      <w:tr w:rsidR="005D0A19" w:rsidRPr="00A4333E" w14:paraId="3CFD267C" w14:textId="77777777" w:rsidTr="00EF4718">
        <w:tc>
          <w:tcPr>
            <w:tcW w:w="3690" w:type="dxa"/>
            <w:tcBorders>
              <w:top w:val="single" w:sz="4" w:space="0" w:color="auto"/>
              <w:left w:val="single" w:sz="4" w:space="0" w:color="auto"/>
              <w:bottom w:val="single" w:sz="4" w:space="0" w:color="auto"/>
              <w:right w:val="single" w:sz="4" w:space="0" w:color="auto"/>
            </w:tcBorders>
            <w:shd w:val="clear" w:color="000000" w:fill="C4D79B"/>
            <w:noWrap/>
            <w:vAlign w:val="center"/>
          </w:tcPr>
          <w:p w14:paraId="5408FDC0" w14:textId="6B030B1F" w:rsidR="005D0A19" w:rsidRPr="003F50B6" w:rsidRDefault="00195018" w:rsidP="00483E42">
            <w:pPr>
              <w:ind w:left="0" w:firstLine="0"/>
              <w:rPr>
                <w:rFonts w:asciiTheme="minorHAnsi" w:eastAsia="Times New Roman" w:hAnsiTheme="minorHAnsi" w:cstheme="minorHAnsi"/>
                <w:b/>
                <w:bCs/>
                <w:color w:val="1F497D"/>
                <w:sz w:val="20"/>
                <w:szCs w:val="20"/>
                <w:lang w:val="fr-FR" w:eastAsia="en-GB"/>
              </w:rPr>
            </w:pPr>
            <w:r w:rsidRPr="003F50B6">
              <w:rPr>
                <w:rFonts w:asciiTheme="minorHAnsi" w:eastAsia="Times New Roman" w:hAnsiTheme="minorHAnsi" w:cstheme="minorHAnsi"/>
                <w:b/>
                <w:bCs/>
                <w:color w:val="1F497D"/>
                <w:sz w:val="20"/>
                <w:szCs w:val="20"/>
                <w:lang w:val="fr-FR" w:eastAsia="en-GB"/>
              </w:rPr>
              <w:t xml:space="preserve">MONTANT </w:t>
            </w:r>
            <w:r w:rsidR="005D0A19" w:rsidRPr="003F50B6">
              <w:rPr>
                <w:rFonts w:asciiTheme="minorHAnsi" w:eastAsia="Times New Roman" w:hAnsiTheme="minorHAnsi" w:cstheme="minorHAnsi"/>
                <w:b/>
                <w:bCs/>
                <w:color w:val="1F497D"/>
                <w:sz w:val="20"/>
                <w:szCs w:val="20"/>
                <w:lang w:val="fr-FR" w:eastAsia="en-GB"/>
              </w:rPr>
              <w:t xml:space="preserve">TOTAL </w:t>
            </w:r>
            <w:r w:rsidRPr="003F50B6">
              <w:rPr>
                <w:rFonts w:asciiTheme="minorHAnsi" w:eastAsia="Times New Roman" w:hAnsiTheme="minorHAnsi" w:cstheme="minorHAnsi"/>
                <w:b/>
                <w:bCs/>
                <w:color w:val="1F497D"/>
                <w:sz w:val="20"/>
                <w:szCs w:val="20"/>
                <w:lang w:val="fr-FR" w:eastAsia="en-GB"/>
              </w:rPr>
              <w:t>DES DÉPENSES</w:t>
            </w:r>
          </w:p>
        </w:tc>
        <w:tc>
          <w:tcPr>
            <w:tcW w:w="1134" w:type="dxa"/>
            <w:tcBorders>
              <w:top w:val="single" w:sz="4" w:space="0" w:color="auto"/>
              <w:left w:val="nil"/>
              <w:bottom w:val="single" w:sz="4" w:space="0" w:color="auto"/>
              <w:right w:val="single" w:sz="4" w:space="0" w:color="auto"/>
            </w:tcBorders>
            <w:shd w:val="clear" w:color="000000" w:fill="C4D79B"/>
          </w:tcPr>
          <w:p w14:paraId="20F31D9E" w14:textId="068692E4" w:rsidR="005D0A19" w:rsidRPr="003F50B6" w:rsidRDefault="005D0A19" w:rsidP="00483E42">
            <w:pPr>
              <w:ind w:left="0" w:firstLine="0"/>
              <w:jc w:val="right"/>
              <w:rPr>
                <w:rFonts w:asciiTheme="minorHAnsi" w:eastAsia="Times New Roman" w:hAnsiTheme="minorHAnsi" w:cstheme="minorHAnsi"/>
                <w:b/>
                <w:bCs/>
                <w:color w:val="000000"/>
                <w:sz w:val="20"/>
                <w:szCs w:val="20"/>
                <w:lang w:val="fr-FR" w:eastAsia="en-GB"/>
              </w:rPr>
            </w:pPr>
            <w:r w:rsidRPr="003F50B6">
              <w:rPr>
                <w:rFonts w:asciiTheme="minorHAnsi" w:eastAsia="Times New Roman" w:hAnsiTheme="minorHAnsi" w:cstheme="minorHAnsi"/>
                <w:b/>
                <w:bCs/>
                <w:color w:val="000000"/>
                <w:sz w:val="20"/>
                <w:szCs w:val="20"/>
                <w:lang w:val="fr-FR" w:eastAsia="en-GB"/>
              </w:rPr>
              <w:t>5,081</w:t>
            </w:r>
          </w:p>
        </w:tc>
        <w:tc>
          <w:tcPr>
            <w:tcW w:w="1134" w:type="dxa"/>
            <w:tcBorders>
              <w:top w:val="single" w:sz="4" w:space="0" w:color="auto"/>
              <w:left w:val="single" w:sz="4" w:space="0" w:color="auto"/>
              <w:bottom w:val="single" w:sz="4" w:space="0" w:color="auto"/>
              <w:right w:val="single" w:sz="4" w:space="0" w:color="auto"/>
            </w:tcBorders>
            <w:shd w:val="clear" w:color="000000" w:fill="C4D79B"/>
            <w:noWrap/>
            <w:vAlign w:val="center"/>
          </w:tcPr>
          <w:p w14:paraId="77FB9B65" w14:textId="253C9A2B" w:rsidR="005D0A19" w:rsidRPr="003F50B6" w:rsidRDefault="005D0A19" w:rsidP="00483E42">
            <w:pPr>
              <w:ind w:left="0" w:firstLine="0"/>
              <w:jc w:val="right"/>
              <w:rPr>
                <w:rFonts w:asciiTheme="minorHAnsi" w:eastAsia="Times New Roman" w:hAnsiTheme="minorHAnsi" w:cstheme="minorHAnsi"/>
                <w:b/>
                <w:bCs/>
                <w:color w:val="000000"/>
                <w:sz w:val="20"/>
                <w:szCs w:val="20"/>
                <w:lang w:val="fr-FR" w:eastAsia="en-GB"/>
              </w:rPr>
            </w:pPr>
            <w:r w:rsidRPr="003F50B6">
              <w:rPr>
                <w:rFonts w:asciiTheme="minorHAnsi" w:eastAsia="Times New Roman" w:hAnsiTheme="minorHAnsi" w:cstheme="minorHAnsi"/>
                <w:b/>
                <w:bCs/>
                <w:color w:val="000000"/>
                <w:sz w:val="20"/>
                <w:szCs w:val="20"/>
                <w:lang w:val="fr-FR" w:eastAsia="en-GB"/>
              </w:rPr>
              <w:t>5,081</w:t>
            </w:r>
          </w:p>
        </w:tc>
        <w:tc>
          <w:tcPr>
            <w:tcW w:w="1134" w:type="dxa"/>
            <w:tcBorders>
              <w:top w:val="single" w:sz="4" w:space="0" w:color="auto"/>
              <w:left w:val="nil"/>
              <w:bottom w:val="single" w:sz="4" w:space="0" w:color="auto"/>
              <w:right w:val="single" w:sz="4" w:space="0" w:color="auto"/>
            </w:tcBorders>
            <w:shd w:val="clear" w:color="000000" w:fill="C4D79B"/>
            <w:noWrap/>
            <w:vAlign w:val="center"/>
          </w:tcPr>
          <w:p w14:paraId="0A855A12" w14:textId="77777777" w:rsidR="005D0A19" w:rsidRPr="003F50B6" w:rsidRDefault="005D0A19" w:rsidP="00483E42">
            <w:pPr>
              <w:ind w:left="0" w:firstLine="0"/>
              <w:jc w:val="right"/>
              <w:rPr>
                <w:rFonts w:asciiTheme="minorHAnsi" w:eastAsia="Times New Roman" w:hAnsiTheme="minorHAnsi" w:cstheme="minorHAnsi"/>
                <w:b/>
                <w:bCs/>
                <w:color w:val="000000"/>
                <w:sz w:val="20"/>
                <w:szCs w:val="20"/>
                <w:lang w:val="fr-FR" w:eastAsia="en-GB"/>
              </w:rPr>
            </w:pPr>
            <w:r w:rsidRPr="003F50B6">
              <w:rPr>
                <w:rFonts w:asciiTheme="minorHAnsi" w:eastAsia="Times New Roman" w:hAnsiTheme="minorHAnsi" w:cstheme="minorHAnsi"/>
                <w:b/>
                <w:bCs/>
                <w:color w:val="000000"/>
                <w:sz w:val="20"/>
                <w:szCs w:val="20"/>
                <w:lang w:val="fr-FR" w:eastAsia="en-GB"/>
              </w:rPr>
              <w:t>5,081</w:t>
            </w:r>
          </w:p>
        </w:tc>
        <w:tc>
          <w:tcPr>
            <w:tcW w:w="993" w:type="dxa"/>
            <w:tcBorders>
              <w:top w:val="single" w:sz="4" w:space="0" w:color="auto"/>
              <w:left w:val="nil"/>
              <w:bottom w:val="single" w:sz="4" w:space="0" w:color="auto"/>
              <w:right w:val="single" w:sz="4" w:space="0" w:color="auto"/>
            </w:tcBorders>
            <w:shd w:val="clear" w:color="000000" w:fill="C4D79B"/>
            <w:noWrap/>
            <w:vAlign w:val="center"/>
          </w:tcPr>
          <w:p w14:paraId="38DD1911" w14:textId="77777777" w:rsidR="005D0A19" w:rsidRPr="003F50B6" w:rsidRDefault="005D0A19" w:rsidP="00483E42">
            <w:pPr>
              <w:ind w:left="0" w:firstLine="0"/>
              <w:jc w:val="right"/>
              <w:rPr>
                <w:rFonts w:asciiTheme="minorHAnsi" w:eastAsia="Times New Roman" w:hAnsiTheme="minorHAnsi" w:cstheme="minorHAnsi"/>
                <w:b/>
                <w:bCs/>
                <w:color w:val="000000"/>
                <w:sz w:val="20"/>
                <w:szCs w:val="20"/>
                <w:lang w:val="fr-FR" w:eastAsia="en-GB"/>
              </w:rPr>
            </w:pPr>
            <w:r w:rsidRPr="003F50B6">
              <w:rPr>
                <w:rFonts w:asciiTheme="minorHAnsi" w:eastAsia="Times New Roman" w:hAnsiTheme="minorHAnsi" w:cstheme="minorHAnsi"/>
                <w:b/>
                <w:bCs/>
                <w:color w:val="000000"/>
                <w:sz w:val="20"/>
                <w:szCs w:val="20"/>
                <w:lang w:val="fr-FR" w:eastAsia="en-GB"/>
              </w:rPr>
              <w:t>5,081</w:t>
            </w:r>
          </w:p>
        </w:tc>
        <w:tc>
          <w:tcPr>
            <w:tcW w:w="1275" w:type="dxa"/>
            <w:tcBorders>
              <w:top w:val="nil"/>
              <w:left w:val="nil"/>
              <w:bottom w:val="single" w:sz="4" w:space="0" w:color="auto"/>
              <w:right w:val="single" w:sz="4" w:space="0" w:color="auto"/>
            </w:tcBorders>
            <w:shd w:val="clear" w:color="000000" w:fill="C4D79B"/>
            <w:noWrap/>
            <w:vAlign w:val="center"/>
          </w:tcPr>
          <w:p w14:paraId="15176151" w14:textId="77777777" w:rsidR="005D0A19" w:rsidRPr="003F50B6" w:rsidRDefault="005D0A19" w:rsidP="00483E42">
            <w:pPr>
              <w:ind w:left="0" w:firstLine="0"/>
              <w:jc w:val="right"/>
              <w:rPr>
                <w:rFonts w:asciiTheme="minorHAnsi" w:eastAsia="Times New Roman" w:hAnsiTheme="minorHAnsi" w:cstheme="minorHAnsi"/>
                <w:b/>
                <w:bCs/>
                <w:color w:val="000000"/>
                <w:sz w:val="20"/>
                <w:szCs w:val="20"/>
                <w:lang w:val="fr-FR" w:eastAsia="en-GB"/>
              </w:rPr>
            </w:pPr>
            <w:r w:rsidRPr="003F50B6">
              <w:rPr>
                <w:rFonts w:asciiTheme="minorHAnsi" w:eastAsia="Times New Roman" w:hAnsiTheme="minorHAnsi" w:cstheme="minorHAnsi"/>
                <w:b/>
                <w:bCs/>
                <w:color w:val="000000"/>
                <w:sz w:val="20"/>
                <w:szCs w:val="20"/>
                <w:lang w:val="fr-FR" w:eastAsia="en-GB"/>
              </w:rPr>
              <w:t>15,243</w:t>
            </w:r>
          </w:p>
        </w:tc>
      </w:tr>
      <w:tr w:rsidR="005D0A19" w:rsidRPr="00A4333E" w14:paraId="4FF060F6" w14:textId="77777777" w:rsidTr="00EF4718">
        <w:tc>
          <w:tcPr>
            <w:tcW w:w="3690" w:type="dxa"/>
            <w:tcBorders>
              <w:top w:val="single" w:sz="4" w:space="0" w:color="auto"/>
              <w:left w:val="single" w:sz="4" w:space="0" w:color="auto"/>
              <w:bottom w:val="single" w:sz="4" w:space="0" w:color="auto"/>
              <w:right w:val="single" w:sz="4" w:space="0" w:color="auto"/>
            </w:tcBorders>
            <w:shd w:val="clear" w:color="000000" w:fill="auto"/>
            <w:noWrap/>
            <w:vAlign w:val="center"/>
          </w:tcPr>
          <w:p w14:paraId="5CBC449E" w14:textId="77777777" w:rsidR="005D0A19" w:rsidRPr="003F50B6" w:rsidRDefault="005D0A19" w:rsidP="00483E42">
            <w:pPr>
              <w:ind w:left="0" w:firstLine="0"/>
              <w:rPr>
                <w:rFonts w:asciiTheme="minorHAnsi" w:eastAsia="Times New Roman" w:hAnsiTheme="minorHAnsi" w:cstheme="minorHAnsi"/>
                <w:b/>
                <w:bCs/>
                <w:color w:val="1F497D"/>
                <w:sz w:val="20"/>
                <w:szCs w:val="20"/>
                <w:lang w:val="fr-FR" w:eastAsia="en-GB"/>
              </w:rPr>
            </w:pPr>
          </w:p>
        </w:tc>
        <w:tc>
          <w:tcPr>
            <w:tcW w:w="1134" w:type="dxa"/>
            <w:tcBorders>
              <w:top w:val="single" w:sz="4" w:space="0" w:color="auto"/>
              <w:left w:val="nil"/>
              <w:bottom w:val="single" w:sz="4" w:space="0" w:color="auto"/>
              <w:right w:val="single" w:sz="4" w:space="0" w:color="auto"/>
            </w:tcBorders>
            <w:shd w:val="clear" w:color="000000" w:fill="auto"/>
          </w:tcPr>
          <w:p w14:paraId="3DA1420E" w14:textId="77777777" w:rsidR="005D0A19" w:rsidRPr="003F50B6" w:rsidRDefault="005D0A19" w:rsidP="00483E42">
            <w:pPr>
              <w:ind w:left="0" w:firstLine="0"/>
              <w:jc w:val="right"/>
              <w:rPr>
                <w:rFonts w:asciiTheme="minorHAnsi" w:eastAsia="Times New Roman" w:hAnsiTheme="minorHAnsi" w:cstheme="minorHAnsi"/>
                <w:b/>
                <w:bCs/>
                <w:color w:val="000000"/>
                <w:sz w:val="20"/>
                <w:szCs w:val="20"/>
                <w:lang w:val="fr-FR" w:eastAsia="en-GB"/>
              </w:rPr>
            </w:pPr>
          </w:p>
        </w:tc>
        <w:tc>
          <w:tcPr>
            <w:tcW w:w="1134" w:type="dxa"/>
            <w:tcBorders>
              <w:top w:val="single" w:sz="4" w:space="0" w:color="auto"/>
              <w:left w:val="single" w:sz="4" w:space="0" w:color="auto"/>
              <w:bottom w:val="single" w:sz="4" w:space="0" w:color="auto"/>
              <w:right w:val="single" w:sz="4" w:space="0" w:color="auto"/>
            </w:tcBorders>
            <w:shd w:val="clear" w:color="000000" w:fill="auto"/>
            <w:noWrap/>
            <w:vAlign w:val="center"/>
          </w:tcPr>
          <w:p w14:paraId="6E6FF910" w14:textId="77777777" w:rsidR="005D0A19" w:rsidRPr="003F50B6" w:rsidRDefault="005D0A19" w:rsidP="00483E42">
            <w:pPr>
              <w:ind w:left="0" w:firstLine="0"/>
              <w:jc w:val="right"/>
              <w:rPr>
                <w:rFonts w:asciiTheme="minorHAnsi" w:eastAsia="Times New Roman" w:hAnsiTheme="minorHAnsi" w:cstheme="minorHAnsi"/>
                <w:b/>
                <w:bCs/>
                <w:color w:val="000000"/>
                <w:sz w:val="20"/>
                <w:szCs w:val="20"/>
                <w:lang w:val="fr-FR" w:eastAsia="en-GB"/>
              </w:rPr>
            </w:pPr>
          </w:p>
        </w:tc>
        <w:tc>
          <w:tcPr>
            <w:tcW w:w="1134" w:type="dxa"/>
            <w:tcBorders>
              <w:top w:val="single" w:sz="4" w:space="0" w:color="auto"/>
              <w:left w:val="nil"/>
              <w:bottom w:val="single" w:sz="4" w:space="0" w:color="auto"/>
              <w:right w:val="single" w:sz="4" w:space="0" w:color="auto"/>
            </w:tcBorders>
            <w:shd w:val="clear" w:color="000000" w:fill="auto"/>
            <w:noWrap/>
            <w:vAlign w:val="center"/>
          </w:tcPr>
          <w:p w14:paraId="58B2BCD1" w14:textId="77777777" w:rsidR="005D0A19" w:rsidRPr="003F50B6" w:rsidRDefault="005D0A19" w:rsidP="00483E42">
            <w:pPr>
              <w:ind w:left="0" w:firstLine="0"/>
              <w:jc w:val="right"/>
              <w:rPr>
                <w:rFonts w:asciiTheme="minorHAnsi" w:eastAsia="Times New Roman" w:hAnsiTheme="minorHAnsi" w:cstheme="minorHAnsi"/>
                <w:b/>
                <w:bCs/>
                <w:color w:val="000000"/>
                <w:sz w:val="20"/>
                <w:szCs w:val="20"/>
                <w:lang w:val="fr-FR" w:eastAsia="en-GB"/>
              </w:rPr>
            </w:pPr>
          </w:p>
        </w:tc>
        <w:tc>
          <w:tcPr>
            <w:tcW w:w="993" w:type="dxa"/>
            <w:tcBorders>
              <w:top w:val="single" w:sz="4" w:space="0" w:color="auto"/>
              <w:left w:val="nil"/>
              <w:bottom w:val="single" w:sz="4" w:space="0" w:color="auto"/>
              <w:right w:val="single" w:sz="4" w:space="0" w:color="auto"/>
            </w:tcBorders>
            <w:shd w:val="clear" w:color="000000" w:fill="auto"/>
            <w:noWrap/>
            <w:vAlign w:val="center"/>
          </w:tcPr>
          <w:p w14:paraId="5C028E3E" w14:textId="77777777" w:rsidR="005D0A19" w:rsidRPr="003F50B6" w:rsidRDefault="005D0A19" w:rsidP="00483E42">
            <w:pPr>
              <w:ind w:left="0" w:firstLine="0"/>
              <w:jc w:val="right"/>
              <w:rPr>
                <w:rFonts w:asciiTheme="minorHAnsi" w:eastAsia="Times New Roman" w:hAnsiTheme="minorHAnsi" w:cstheme="minorHAnsi"/>
                <w:b/>
                <w:bCs/>
                <w:color w:val="000000"/>
                <w:sz w:val="20"/>
                <w:szCs w:val="20"/>
                <w:lang w:val="fr-FR" w:eastAsia="en-GB"/>
              </w:rPr>
            </w:pPr>
          </w:p>
        </w:tc>
        <w:tc>
          <w:tcPr>
            <w:tcW w:w="1275" w:type="dxa"/>
            <w:tcBorders>
              <w:top w:val="single" w:sz="4" w:space="0" w:color="auto"/>
              <w:left w:val="nil"/>
              <w:bottom w:val="single" w:sz="4" w:space="0" w:color="auto"/>
              <w:right w:val="single" w:sz="4" w:space="0" w:color="auto"/>
            </w:tcBorders>
            <w:shd w:val="clear" w:color="000000" w:fill="auto"/>
            <w:noWrap/>
            <w:vAlign w:val="center"/>
          </w:tcPr>
          <w:p w14:paraId="6917C513" w14:textId="07E74239" w:rsidR="005D0A19" w:rsidRPr="003F50B6" w:rsidRDefault="005D0A19" w:rsidP="00195018">
            <w:pPr>
              <w:ind w:left="0" w:firstLine="0"/>
              <w:jc w:val="center"/>
              <w:rPr>
                <w:rFonts w:asciiTheme="minorHAnsi" w:eastAsia="Times New Roman" w:hAnsiTheme="minorHAnsi" w:cstheme="minorHAnsi"/>
                <w:b/>
                <w:bCs/>
                <w:color w:val="000000"/>
                <w:sz w:val="20"/>
                <w:szCs w:val="20"/>
                <w:lang w:val="fr-FR" w:eastAsia="en-GB"/>
              </w:rPr>
            </w:pPr>
          </w:p>
        </w:tc>
      </w:tr>
      <w:tr w:rsidR="005D0A19" w:rsidRPr="00A4333E" w14:paraId="39864485" w14:textId="77777777" w:rsidTr="00EF4718">
        <w:tc>
          <w:tcPr>
            <w:tcW w:w="3690" w:type="dxa"/>
            <w:tcBorders>
              <w:top w:val="single" w:sz="4" w:space="0" w:color="auto"/>
              <w:left w:val="single" w:sz="4" w:space="0" w:color="auto"/>
              <w:bottom w:val="single" w:sz="4" w:space="0" w:color="auto"/>
              <w:right w:val="single" w:sz="4" w:space="0" w:color="auto"/>
            </w:tcBorders>
            <w:shd w:val="clear" w:color="000000" w:fill="auto"/>
            <w:noWrap/>
            <w:vAlign w:val="center"/>
          </w:tcPr>
          <w:p w14:paraId="05635BAF" w14:textId="71E046FD" w:rsidR="005D0A19" w:rsidRPr="003F50B6" w:rsidRDefault="00195018" w:rsidP="00483E42">
            <w:pPr>
              <w:ind w:left="0" w:firstLine="0"/>
              <w:rPr>
                <w:rFonts w:asciiTheme="minorHAnsi" w:eastAsia="Times New Roman" w:hAnsiTheme="minorHAnsi" w:cstheme="minorHAnsi"/>
                <w:b/>
                <w:bCs/>
                <w:sz w:val="20"/>
                <w:szCs w:val="20"/>
                <w:lang w:val="fr-FR" w:eastAsia="en-GB"/>
              </w:rPr>
            </w:pPr>
            <w:r w:rsidRPr="003F50B6">
              <w:rPr>
                <w:rFonts w:asciiTheme="minorHAnsi" w:eastAsia="Times New Roman" w:hAnsiTheme="minorHAnsi" w:cstheme="minorHAnsi"/>
                <w:b/>
                <w:bCs/>
                <w:sz w:val="20"/>
                <w:szCs w:val="20"/>
                <w:lang w:val="fr-FR" w:eastAsia="en-GB"/>
              </w:rPr>
              <w:t xml:space="preserve">MONTANT </w:t>
            </w:r>
            <w:r w:rsidR="005D0A19" w:rsidRPr="003F50B6">
              <w:rPr>
                <w:rFonts w:asciiTheme="minorHAnsi" w:eastAsia="Times New Roman" w:hAnsiTheme="minorHAnsi" w:cstheme="minorHAnsi"/>
                <w:b/>
                <w:bCs/>
                <w:sz w:val="20"/>
                <w:szCs w:val="20"/>
                <w:lang w:val="fr-FR" w:eastAsia="en-GB"/>
              </w:rPr>
              <w:t xml:space="preserve">TOTAL </w:t>
            </w:r>
            <w:r w:rsidRPr="003F50B6">
              <w:rPr>
                <w:rFonts w:asciiTheme="minorHAnsi" w:eastAsia="Times New Roman" w:hAnsiTheme="minorHAnsi" w:cstheme="minorHAnsi"/>
                <w:b/>
                <w:bCs/>
                <w:sz w:val="20"/>
                <w:szCs w:val="20"/>
                <w:lang w:val="fr-FR" w:eastAsia="en-GB"/>
              </w:rPr>
              <w:t xml:space="preserve">DES </w:t>
            </w:r>
            <w:r w:rsidR="005D0A19" w:rsidRPr="003F50B6">
              <w:rPr>
                <w:rFonts w:asciiTheme="minorHAnsi" w:eastAsia="Times New Roman" w:hAnsiTheme="minorHAnsi" w:cstheme="minorHAnsi"/>
                <w:b/>
                <w:bCs/>
                <w:sz w:val="20"/>
                <w:szCs w:val="20"/>
                <w:lang w:val="fr-FR" w:eastAsia="en-GB"/>
              </w:rPr>
              <w:t>SALA</w:t>
            </w:r>
            <w:r w:rsidRPr="003F50B6">
              <w:rPr>
                <w:rFonts w:asciiTheme="minorHAnsi" w:eastAsia="Times New Roman" w:hAnsiTheme="minorHAnsi" w:cstheme="minorHAnsi"/>
                <w:b/>
                <w:bCs/>
                <w:sz w:val="20"/>
                <w:szCs w:val="20"/>
                <w:lang w:val="fr-FR" w:eastAsia="en-GB"/>
              </w:rPr>
              <w:t xml:space="preserve">IRES ET DES COÛTS QUI LEUR SONT </w:t>
            </w:r>
            <w:r w:rsidR="00976BDC" w:rsidRPr="003F50B6">
              <w:rPr>
                <w:rFonts w:asciiTheme="minorHAnsi" w:eastAsia="Times New Roman" w:hAnsiTheme="minorHAnsi" w:cstheme="minorHAnsi"/>
                <w:b/>
                <w:bCs/>
                <w:sz w:val="20"/>
                <w:szCs w:val="20"/>
                <w:lang w:val="fr-FR" w:eastAsia="en-GB"/>
              </w:rPr>
              <w:t>ASSOCIÉS</w:t>
            </w:r>
          </w:p>
        </w:tc>
        <w:tc>
          <w:tcPr>
            <w:tcW w:w="1134" w:type="dxa"/>
            <w:tcBorders>
              <w:top w:val="single" w:sz="4" w:space="0" w:color="auto"/>
              <w:left w:val="nil"/>
              <w:bottom w:val="single" w:sz="4" w:space="0" w:color="auto"/>
              <w:right w:val="single" w:sz="4" w:space="0" w:color="auto"/>
            </w:tcBorders>
            <w:shd w:val="clear" w:color="000000" w:fill="auto"/>
          </w:tcPr>
          <w:p w14:paraId="4FC10078" w14:textId="6799E51D" w:rsidR="005D0A19" w:rsidRPr="003F50B6" w:rsidRDefault="005D0A19" w:rsidP="00483E42">
            <w:pPr>
              <w:ind w:left="0" w:firstLine="0"/>
              <w:jc w:val="right"/>
              <w:rPr>
                <w:rFonts w:asciiTheme="minorHAnsi" w:eastAsia="Times New Roman" w:hAnsiTheme="minorHAnsi" w:cstheme="minorHAnsi"/>
                <w:b/>
                <w:bCs/>
                <w:color w:val="000000"/>
                <w:sz w:val="20"/>
                <w:szCs w:val="20"/>
                <w:lang w:val="fr-FR" w:eastAsia="en-GB"/>
              </w:rPr>
            </w:pPr>
            <w:r w:rsidRPr="003F50B6">
              <w:rPr>
                <w:rFonts w:asciiTheme="minorHAnsi" w:eastAsia="Times New Roman" w:hAnsiTheme="minorHAnsi" w:cstheme="minorHAnsi"/>
                <w:b/>
                <w:bCs/>
                <w:color w:val="000000"/>
                <w:sz w:val="20"/>
                <w:szCs w:val="20"/>
                <w:lang w:val="fr-FR" w:eastAsia="en-GB"/>
              </w:rPr>
              <w:t>3,586</w:t>
            </w:r>
          </w:p>
        </w:tc>
        <w:tc>
          <w:tcPr>
            <w:tcW w:w="1134" w:type="dxa"/>
            <w:tcBorders>
              <w:top w:val="single" w:sz="4" w:space="0" w:color="auto"/>
              <w:left w:val="single" w:sz="4" w:space="0" w:color="auto"/>
              <w:bottom w:val="single" w:sz="4" w:space="0" w:color="auto"/>
              <w:right w:val="single" w:sz="4" w:space="0" w:color="auto"/>
            </w:tcBorders>
            <w:shd w:val="clear" w:color="000000" w:fill="auto"/>
            <w:noWrap/>
            <w:vAlign w:val="center"/>
          </w:tcPr>
          <w:p w14:paraId="3A3BE8C4" w14:textId="004E2411" w:rsidR="005D0A19" w:rsidRPr="003F50B6" w:rsidRDefault="00F21BAF" w:rsidP="00483E42">
            <w:pPr>
              <w:ind w:left="0" w:firstLine="0"/>
              <w:jc w:val="right"/>
              <w:rPr>
                <w:rFonts w:asciiTheme="minorHAnsi" w:eastAsia="Times New Roman" w:hAnsiTheme="minorHAnsi" w:cstheme="minorHAnsi"/>
                <w:b/>
                <w:bCs/>
                <w:color w:val="000000"/>
                <w:sz w:val="20"/>
                <w:szCs w:val="20"/>
                <w:lang w:val="fr-FR" w:eastAsia="en-GB"/>
              </w:rPr>
            </w:pPr>
            <w:r w:rsidRPr="003F50B6">
              <w:rPr>
                <w:rFonts w:asciiTheme="minorHAnsi" w:eastAsia="Times New Roman" w:hAnsiTheme="minorHAnsi" w:cstheme="minorHAnsi"/>
                <w:b/>
                <w:bCs/>
                <w:color w:val="000000"/>
                <w:sz w:val="20"/>
                <w:szCs w:val="20"/>
                <w:lang w:val="fr-FR" w:eastAsia="en-GB"/>
              </w:rPr>
              <w:t>3,586</w:t>
            </w:r>
          </w:p>
        </w:tc>
        <w:tc>
          <w:tcPr>
            <w:tcW w:w="1134" w:type="dxa"/>
            <w:tcBorders>
              <w:top w:val="single" w:sz="4" w:space="0" w:color="auto"/>
              <w:left w:val="nil"/>
              <w:bottom w:val="single" w:sz="4" w:space="0" w:color="auto"/>
              <w:right w:val="single" w:sz="4" w:space="0" w:color="auto"/>
            </w:tcBorders>
            <w:shd w:val="clear" w:color="000000" w:fill="auto"/>
            <w:noWrap/>
            <w:vAlign w:val="center"/>
          </w:tcPr>
          <w:p w14:paraId="275D73A2" w14:textId="1AFE9CC4" w:rsidR="005D0A19" w:rsidRPr="003F50B6" w:rsidRDefault="00F21BAF" w:rsidP="00483E42">
            <w:pPr>
              <w:ind w:left="0" w:firstLine="0"/>
              <w:jc w:val="right"/>
              <w:rPr>
                <w:rFonts w:asciiTheme="minorHAnsi" w:eastAsia="Times New Roman" w:hAnsiTheme="minorHAnsi" w:cstheme="minorHAnsi"/>
                <w:b/>
                <w:bCs/>
                <w:color w:val="000000"/>
                <w:sz w:val="20"/>
                <w:szCs w:val="20"/>
                <w:lang w:val="fr-FR" w:eastAsia="en-GB"/>
              </w:rPr>
            </w:pPr>
            <w:r w:rsidRPr="003F50B6">
              <w:rPr>
                <w:rFonts w:asciiTheme="minorHAnsi" w:eastAsia="Times New Roman" w:hAnsiTheme="minorHAnsi" w:cstheme="minorHAnsi"/>
                <w:b/>
                <w:bCs/>
                <w:color w:val="000000"/>
                <w:sz w:val="20"/>
                <w:szCs w:val="20"/>
                <w:lang w:val="fr-FR" w:eastAsia="en-GB"/>
              </w:rPr>
              <w:t>3,603</w:t>
            </w:r>
          </w:p>
        </w:tc>
        <w:tc>
          <w:tcPr>
            <w:tcW w:w="993" w:type="dxa"/>
            <w:tcBorders>
              <w:top w:val="single" w:sz="4" w:space="0" w:color="auto"/>
              <w:left w:val="nil"/>
              <w:bottom w:val="single" w:sz="4" w:space="0" w:color="auto"/>
              <w:right w:val="single" w:sz="4" w:space="0" w:color="auto"/>
            </w:tcBorders>
            <w:shd w:val="clear" w:color="000000" w:fill="auto"/>
            <w:noWrap/>
            <w:vAlign w:val="center"/>
          </w:tcPr>
          <w:p w14:paraId="4729CBD1" w14:textId="72B121E3" w:rsidR="005D0A19" w:rsidRPr="003F50B6" w:rsidRDefault="00F21BAF" w:rsidP="00483E42">
            <w:pPr>
              <w:ind w:left="0" w:firstLine="0"/>
              <w:jc w:val="right"/>
              <w:rPr>
                <w:rFonts w:asciiTheme="minorHAnsi" w:eastAsia="Times New Roman" w:hAnsiTheme="minorHAnsi" w:cstheme="minorHAnsi"/>
                <w:b/>
                <w:bCs/>
                <w:color w:val="000000"/>
                <w:sz w:val="20"/>
                <w:szCs w:val="20"/>
                <w:lang w:val="fr-FR" w:eastAsia="en-GB"/>
              </w:rPr>
            </w:pPr>
            <w:r w:rsidRPr="003F50B6">
              <w:rPr>
                <w:rFonts w:asciiTheme="minorHAnsi" w:eastAsia="Times New Roman" w:hAnsiTheme="minorHAnsi" w:cstheme="minorHAnsi"/>
                <w:b/>
                <w:bCs/>
                <w:color w:val="000000"/>
                <w:sz w:val="20"/>
                <w:szCs w:val="20"/>
                <w:lang w:val="fr-FR" w:eastAsia="en-GB"/>
              </w:rPr>
              <w:t>3,603</w:t>
            </w:r>
          </w:p>
        </w:tc>
        <w:tc>
          <w:tcPr>
            <w:tcW w:w="1275" w:type="dxa"/>
            <w:tcBorders>
              <w:top w:val="single" w:sz="4" w:space="0" w:color="auto"/>
              <w:left w:val="nil"/>
              <w:bottom w:val="single" w:sz="4" w:space="0" w:color="auto"/>
              <w:right w:val="single" w:sz="4" w:space="0" w:color="auto"/>
            </w:tcBorders>
            <w:shd w:val="clear" w:color="000000" w:fill="auto"/>
            <w:noWrap/>
            <w:vAlign w:val="center"/>
          </w:tcPr>
          <w:p w14:paraId="297CF315" w14:textId="5EB469D3" w:rsidR="005D0A19" w:rsidRPr="003F50B6" w:rsidRDefault="00F21BAF" w:rsidP="00483E42">
            <w:pPr>
              <w:ind w:left="0" w:firstLine="0"/>
              <w:jc w:val="right"/>
              <w:rPr>
                <w:rFonts w:asciiTheme="minorHAnsi" w:eastAsia="Times New Roman" w:hAnsiTheme="minorHAnsi" w:cstheme="minorHAnsi"/>
                <w:b/>
                <w:bCs/>
                <w:color w:val="000000"/>
                <w:sz w:val="20"/>
                <w:szCs w:val="20"/>
                <w:lang w:val="fr-FR" w:eastAsia="en-GB"/>
              </w:rPr>
            </w:pPr>
            <w:r w:rsidRPr="003F50B6">
              <w:rPr>
                <w:rFonts w:asciiTheme="minorHAnsi" w:eastAsia="Times New Roman" w:hAnsiTheme="minorHAnsi" w:cstheme="minorHAnsi"/>
                <w:b/>
                <w:bCs/>
                <w:color w:val="000000"/>
                <w:sz w:val="20"/>
                <w:szCs w:val="20"/>
                <w:lang w:val="fr-FR" w:eastAsia="en-GB"/>
              </w:rPr>
              <w:t>10,792</w:t>
            </w:r>
          </w:p>
        </w:tc>
      </w:tr>
      <w:tr w:rsidR="005D0A19" w:rsidRPr="00A4333E" w14:paraId="16E6A848" w14:textId="77777777" w:rsidTr="00EF4718">
        <w:tc>
          <w:tcPr>
            <w:tcW w:w="3690" w:type="dxa"/>
            <w:tcBorders>
              <w:top w:val="single" w:sz="4" w:space="0" w:color="auto"/>
              <w:left w:val="single" w:sz="4" w:space="0" w:color="auto"/>
              <w:bottom w:val="single" w:sz="4" w:space="0" w:color="auto"/>
              <w:right w:val="single" w:sz="4" w:space="0" w:color="auto"/>
            </w:tcBorders>
            <w:shd w:val="clear" w:color="000000" w:fill="auto"/>
            <w:noWrap/>
            <w:vAlign w:val="center"/>
          </w:tcPr>
          <w:p w14:paraId="19B29D13" w14:textId="688F5033" w:rsidR="005D0A19" w:rsidRPr="003F50B6" w:rsidRDefault="00316852" w:rsidP="00483E42">
            <w:pPr>
              <w:ind w:left="0" w:firstLine="0"/>
              <w:rPr>
                <w:rFonts w:asciiTheme="minorHAnsi" w:eastAsia="Times New Roman" w:hAnsiTheme="minorHAnsi" w:cstheme="minorHAnsi"/>
                <w:bCs/>
                <w:sz w:val="20"/>
                <w:szCs w:val="20"/>
                <w:lang w:val="fr-FR" w:eastAsia="en-GB"/>
              </w:rPr>
            </w:pPr>
            <w:r w:rsidRPr="003F50B6">
              <w:rPr>
                <w:rFonts w:asciiTheme="minorHAnsi" w:eastAsia="Times New Roman" w:hAnsiTheme="minorHAnsi" w:cstheme="minorHAnsi"/>
                <w:bCs/>
                <w:sz w:val="20"/>
                <w:szCs w:val="20"/>
                <w:lang w:val="fr-FR" w:eastAsia="en-GB"/>
              </w:rPr>
              <w:t xml:space="preserve">% </w:t>
            </w:r>
            <w:r w:rsidR="00976BDC" w:rsidRPr="003F50B6">
              <w:rPr>
                <w:rFonts w:asciiTheme="minorHAnsi" w:eastAsia="Times New Roman" w:hAnsiTheme="minorHAnsi" w:cstheme="minorHAnsi"/>
                <w:bCs/>
                <w:sz w:val="20"/>
                <w:szCs w:val="20"/>
                <w:lang w:val="fr-FR" w:eastAsia="en-GB"/>
              </w:rPr>
              <w:t xml:space="preserve">du </w:t>
            </w:r>
            <w:r w:rsidRPr="003F50B6">
              <w:rPr>
                <w:rFonts w:asciiTheme="minorHAnsi" w:eastAsia="Times New Roman" w:hAnsiTheme="minorHAnsi" w:cstheme="minorHAnsi"/>
                <w:bCs/>
                <w:sz w:val="20"/>
                <w:szCs w:val="20"/>
                <w:lang w:val="fr-FR" w:eastAsia="en-GB"/>
              </w:rPr>
              <w:t xml:space="preserve">total </w:t>
            </w:r>
            <w:r w:rsidR="00976BDC" w:rsidRPr="003F50B6">
              <w:rPr>
                <w:rFonts w:asciiTheme="minorHAnsi" w:eastAsia="Times New Roman" w:hAnsiTheme="minorHAnsi" w:cstheme="minorHAnsi"/>
                <w:bCs/>
                <w:sz w:val="20"/>
                <w:szCs w:val="20"/>
                <w:lang w:val="fr-FR" w:eastAsia="en-GB"/>
              </w:rPr>
              <w:t xml:space="preserve">des </w:t>
            </w:r>
            <w:r w:rsidRPr="003F50B6">
              <w:rPr>
                <w:rFonts w:asciiTheme="minorHAnsi" w:eastAsia="Times New Roman" w:hAnsiTheme="minorHAnsi" w:cstheme="minorHAnsi"/>
                <w:bCs/>
                <w:sz w:val="20"/>
                <w:szCs w:val="20"/>
                <w:lang w:val="fr-FR" w:eastAsia="en-GB"/>
              </w:rPr>
              <w:t>sala</w:t>
            </w:r>
            <w:r w:rsidR="00976BDC" w:rsidRPr="003F50B6">
              <w:rPr>
                <w:rFonts w:asciiTheme="minorHAnsi" w:eastAsia="Times New Roman" w:hAnsiTheme="minorHAnsi" w:cstheme="minorHAnsi"/>
                <w:bCs/>
                <w:sz w:val="20"/>
                <w:szCs w:val="20"/>
                <w:lang w:val="fr-FR" w:eastAsia="en-GB"/>
              </w:rPr>
              <w:t xml:space="preserve">ires et des coûts qui leur sont associés dans le budget </w:t>
            </w:r>
            <w:r w:rsidRPr="003F50B6">
              <w:rPr>
                <w:rFonts w:asciiTheme="minorHAnsi" w:eastAsia="Times New Roman" w:hAnsiTheme="minorHAnsi" w:cstheme="minorHAnsi"/>
                <w:bCs/>
                <w:sz w:val="20"/>
                <w:szCs w:val="20"/>
                <w:lang w:val="fr-FR" w:eastAsia="en-GB"/>
              </w:rPr>
              <w:t>total</w:t>
            </w:r>
          </w:p>
        </w:tc>
        <w:tc>
          <w:tcPr>
            <w:tcW w:w="1134" w:type="dxa"/>
            <w:tcBorders>
              <w:top w:val="single" w:sz="4" w:space="0" w:color="auto"/>
              <w:left w:val="nil"/>
              <w:bottom w:val="single" w:sz="4" w:space="0" w:color="auto"/>
              <w:right w:val="single" w:sz="4" w:space="0" w:color="auto"/>
            </w:tcBorders>
            <w:shd w:val="clear" w:color="000000" w:fill="auto"/>
            <w:vAlign w:val="center"/>
          </w:tcPr>
          <w:p w14:paraId="7440AA0E" w14:textId="7CBEA9E5" w:rsidR="005D0A19" w:rsidRPr="003F50B6" w:rsidRDefault="005D0A19" w:rsidP="00EF4718">
            <w:pPr>
              <w:ind w:left="0" w:firstLine="0"/>
              <w:jc w:val="right"/>
              <w:rPr>
                <w:rFonts w:asciiTheme="minorHAnsi" w:eastAsia="Times New Roman" w:hAnsiTheme="minorHAnsi" w:cstheme="minorHAnsi"/>
                <w:bCs/>
                <w:color w:val="000000"/>
                <w:sz w:val="20"/>
                <w:szCs w:val="20"/>
                <w:lang w:val="fr-FR" w:eastAsia="en-GB"/>
              </w:rPr>
            </w:pPr>
            <w:r w:rsidRPr="003F50B6">
              <w:rPr>
                <w:rFonts w:asciiTheme="minorHAnsi" w:eastAsia="Times New Roman" w:hAnsiTheme="minorHAnsi" w:cstheme="minorHAnsi"/>
                <w:bCs/>
                <w:color w:val="000000"/>
                <w:sz w:val="20"/>
                <w:szCs w:val="20"/>
                <w:lang w:val="fr-FR" w:eastAsia="en-GB"/>
              </w:rPr>
              <w:t>71%</w:t>
            </w:r>
          </w:p>
        </w:tc>
        <w:tc>
          <w:tcPr>
            <w:tcW w:w="1134" w:type="dxa"/>
            <w:tcBorders>
              <w:top w:val="single" w:sz="4" w:space="0" w:color="auto"/>
              <w:left w:val="single" w:sz="4" w:space="0" w:color="auto"/>
              <w:bottom w:val="single" w:sz="4" w:space="0" w:color="auto"/>
              <w:right w:val="single" w:sz="4" w:space="0" w:color="auto"/>
            </w:tcBorders>
            <w:shd w:val="clear" w:color="000000" w:fill="auto"/>
            <w:noWrap/>
            <w:vAlign w:val="center"/>
          </w:tcPr>
          <w:p w14:paraId="6FC8D837" w14:textId="193465CD" w:rsidR="005D0A19" w:rsidRPr="003F50B6" w:rsidRDefault="00F21BAF" w:rsidP="00483E42">
            <w:pPr>
              <w:ind w:left="0" w:firstLine="0"/>
              <w:jc w:val="right"/>
              <w:rPr>
                <w:rFonts w:asciiTheme="minorHAnsi" w:eastAsia="Times New Roman" w:hAnsiTheme="minorHAnsi" w:cstheme="minorHAnsi"/>
                <w:bCs/>
                <w:color w:val="000000"/>
                <w:sz w:val="20"/>
                <w:szCs w:val="20"/>
                <w:lang w:val="fr-FR" w:eastAsia="en-GB"/>
              </w:rPr>
            </w:pPr>
            <w:r w:rsidRPr="003F50B6">
              <w:rPr>
                <w:rFonts w:asciiTheme="minorHAnsi" w:eastAsia="Times New Roman" w:hAnsiTheme="minorHAnsi" w:cstheme="minorHAnsi"/>
                <w:bCs/>
                <w:color w:val="000000"/>
                <w:sz w:val="20"/>
                <w:szCs w:val="20"/>
                <w:lang w:val="fr-FR" w:eastAsia="en-GB"/>
              </w:rPr>
              <w:t>71%</w:t>
            </w:r>
          </w:p>
        </w:tc>
        <w:tc>
          <w:tcPr>
            <w:tcW w:w="1134" w:type="dxa"/>
            <w:tcBorders>
              <w:top w:val="single" w:sz="4" w:space="0" w:color="auto"/>
              <w:left w:val="nil"/>
              <w:bottom w:val="single" w:sz="4" w:space="0" w:color="auto"/>
              <w:right w:val="single" w:sz="4" w:space="0" w:color="auto"/>
            </w:tcBorders>
            <w:shd w:val="clear" w:color="000000" w:fill="auto"/>
            <w:noWrap/>
            <w:vAlign w:val="center"/>
          </w:tcPr>
          <w:p w14:paraId="071B9D03" w14:textId="4E40D88B" w:rsidR="005D0A19" w:rsidRPr="003F50B6" w:rsidRDefault="00F21BAF" w:rsidP="00483E42">
            <w:pPr>
              <w:ind w:left="0" w:firstLine="0"/>
              <w:jc w:val="right"/>
              <w:rPr>
                <w:rFonts w:asciiTheme="minorHAnsi" w:eastAsia="Times New Roman" w:hAnsiTheme="minorHAnsi" w:cstheme="minorHAnsi"/>
                <w:bCs/>
                <w:color w:val="000000"/>
                <w:sz w:val="20"/>
                <w:szCs w:val="20"/>
                <w:lang w:val="fr-FR" w:eastAsia="en-GB"/>
              </w:rPr>
            </w:pPr>
            <w:r w:rsidRPr="003F50B6">
              <w:rPr>
                <w:rFonts w:asciiTheme="minorHAnsi" w:eastAsia="Times New Roman" w:hAnsiTheme="minorHAnsi" w:cstheme="minorHAnsi"/>
                <w:bCs/>
                <w:color w:val="000000"/>
                <w:sz w:val="20"/>
                <w:szCs w:val="20"/>
                <w:lang w:val="fr-FR" w:eastAsia="en-GB"/>
              </w:rPr>
              <w:t>71%</w:t>
            </w:r>
          </w:p>
        </w:tc>
        <w:tc>
          <w:tcPr>
            <w:tcW w:w="993" w:type="dxa"/>
            <w:tcBorders>
              <w:top w:val="single" w:sz="4" w:space="0" w:color="auto"/>
              <w:left w:val="nil"/>
              <w:bottom w:val="single" w:sz="4" w:space="0" w:color="auto"/>
              <w:right w:val="single" w:sz="4" w:space="0" w:color="auto"/>
            </w:tcBorders>
            <w:shd w:val="clear" w:color="000000" w:fill="auto"/>
            <w:noWrap/>
            <w:vAlign w:val="center"/>
          </w:tcPr>
          <w:p w14:paraId="49632646" w14:textId="76EF1DC6" w:rsidR="005D0A19" w:rsidRPr="003F50B6" w:rsidRDefault="00F21BAF" w:rsidP="00483E42">
            <w:pPr>
              <w:ind w:left="0" w:firstLine="0"/>
              <w:jc w:val="right"/>
              <w:rPr>
                <w:rFonts w:asciiTheme="minorHAnsi" w:eastAsia="Times New Roman" w:hAnsiTheme="minorHAnsi" w:cstheme="minorHAnsi"/>
                <w:bCs/>
                <w:color w:val="000000"/>
                <w:sz w:val="20"/>
                <w:szCs w:val="20"/>
                <w:lang w:val="fr-FR" w:eastAsia="en-GB"/>
              </w:rPr>
            </w:pPr>
            <w:r w:rsidRPr="003F50B6">
              <w:rPr>
                <w:rFonts w:asciiTheme="minorHAnsi" w:eastAsia="Times New Roman" w:hAnsiTheme="minorHAnsi" w:cstheme="minorHAnsi"/>
                <w:bCs/>
                <w:color w:val="000000"/>
                <w:sz w:val="20"/>
                <w:szCs w:val="20"/>
                <w:lang w:val="fr-FR" w:eastAsia="en-GB"/>
              </w:rPr>
              <w:t>71%</w:t>
            </w:r>
          </w:p>
        </w:tc>
        <w:tc>
          <w:tcPr>
            <w:tcW w:w="1275" w:type="dxa"/>
            <w:tcBorders>
              <w:top w:val="single" w:sz="4" w:space="0" w:color="auto"/>
              <w:left w:val="nil"/>
              <w:bottom w:val="single" w:sz="4" w:space="0" w:color="auto"/>
              <w:right w:val="single" w:sz="4" w:space="0" w:color="auto"/>
            </w:tcBorders>
            <w:shd w:val="clear" w:color="000000" w:fill="auto"/>
            <w:noWrap/>
            <w:vAlign w:val="center"/>
          </w:tcPr>
          <w:p w14:paraId="7BC02F61" w14:textId="602E6B2C" w:rsidR="005D0A19" w:rsidRPr="003F50B6" w:rsidRDefault="00F21BAF" w:rsidP="00483E42">
            <w:pPr>
              <w:ind w:left="0" w:firstLine="0"/>
              <w:jc w:val="right"/>
              <w:rPr>
                <w:rFonts w:asciiTheme="minorHAnsi" w:eastAsia="Times New Roman" w:hAnsiTheme="minorHAnsi" w:cstheme="minorHAnsi"/>
                <w:bCs/>
                <w:color w:val="000000"/>
                <w:sz w:val="20"/>
                <w:szCs w:val="20"/>
                <w:lang w:val="fr-FR" w:eastAsia="en-GB"/>
              </w:rPr>
            </w:pPr>
            <w:r w:rsidRPr="003F50B6">
              <w:rPr>
                <w:rFonts w:asciiTheme="minorHAnsi" w:eastAsia="Times New Roman" w:hAnsiTheme="minorHAnsi" w:cstheme="minorHAnsi"/>
                <w:bCs/>
                <w:color w:val="000000"/>
                <w:sz w:val="20"/>
                <w:szCs w:val="20"/>
                <w:lang w:val="fr-FR" w:eastAsia="en-GB"/>
              </w:rPr>
              <w:t>71%</w:t>
            </w:r>
          </w:p>
        </w:tc>
      </w:tr>
      <w:tr w:rsidR="005D0A19" w:rsidRPr="00A4333E" w14:paraId="2D97BC45" w14:textId="77777777" w:rsidTr="00EF4718">
        <w:tc>
          <w:tcPr>
            <w:tcW w:w="3690" w:type="dxa"/>
            <w:tcBorders>
              <w:top w:val="single" w:sz="4" w:space="0" w:color="auto"/>
              <w:left w:val="single" w:sz="4" w:space="0" w:color="auto"/>
              <w:bottom w:val="single" w:sz="4" w:space="0" w:color="auto"/>
              <w:right w:val="single" w:sz="4" w:space="0" w:color="auto"/>
            </w:tcBorders>
            <w:shd w:val="clear" w:color="000000" w:fill="auto"/>
            <w:noWrap/>
            <w:vAlign w:val="center"/>
          </w:tcPr>
          <w:p w14:paraId="57CDE0D0" w14:textId="06FDFBF8" w:rsidR="005D0A19" w:rsidRPr="003F50B6" w:rsidRDefault="00976BDC" w:rsidP="00483E42">
            <w:pPr>
              <w:ind w:left="0" w:firstLine="0"/>
              <w:rPr>
                <w:rFonts w:asciiTheme="minorHAnsi" w:eastAsia="Times New Roman" w:hAnsiTheme="minorHAnsi" w:cstheme="minorHAnsi"/>
                <w:b/>
                <w:bCs/>
                <w:sz w:val="20"/>
                <w:szCs w:val="20"/>
                <w:lang w:val="fr-FR" w:eastAsia="en-GB"/>
              </w:rPr>
            </w:pPr>
            <w:r w:rsidRPr="003F50B6">
              <w:rPr>
                <w:rFonts w:asciiTheme="minorHAnsi" w:eastAsia="Times New Roman" w:hAnsiTheme="minorHAnsi" w:cstheme="minorHAnsi"/>
                <w:b/>
                <w:bCs/>
                <w:sz w:val="20"/>
                <w:szCs w:val="20"/>
                <w:lang w:val="fr-FR" w:eastAsia="en-GB"/>
              </w:rPr>
              <w:t xml:space="preserve">MONTANT </w:t>
            </w:r>
            <w:r w:rsidR="005D0A19" w:rsidRPr="003F50B6">
              <w:rPr>
                <w:rFonts w:asciiTheme="minorHAnsi" w:eastAsia="Times New Roman" w:hAnsiTheme="minorHAnsi" w:cstheme="minorHAnsi"/>
                <w:b/>
                <w:bCs/>
                <w:sz w:val="20"/>
                <w:szCs w:val="20"/>
                <w:lang w:val="fr-FR" w:eastAsia="en-GB"/>
              </w:rPr>
              <w:t xml:space="preserve">TOTAL </w:t>
            </w:r>
            <w:r w:rsidRPr="003F50B6">
              <w:rPr>
                <w:rFonts w:asciiTheme="minorHAnsi" w:eastAsia="Times New Roman" w:hAnsiTheme="minorHAnsi" w:cstheme="minorHAnsi"/>
                <w:b/>
                <w:bCs/>
                <w:sz w:val="20"/>
                <w:szCs w:val="20"/>
                <w:lang w:val="fr-FR" w:eastAsia="en-GB"/>
              </w:rPr>
              <w:t>DES FRAIS DE VOYAGES</w:t>
            </w:r>
          </w:p>
        </w:tc>
        <w:tc>
          <w:tcPr>
            <w:tcW w:w="1134" w:type="dxa"/>
            <w:tcBorders>
              <w:top w:val="single" w:sz="4" w:space="0" w:color="auto"/>
              <w:left w:val="nil"/>
              <w:bottom w:val="single" w:sz="4" w:space="0" w:color="auto"/>
              <w:right w:val="single" w:sz="4" w:space="0" w:color="auto"/>
            </w:tcBorders>
            <w:shd w:val="clear" w:color="000000" w:fill="auto"/>
          </w:tcPr>
          <w:p w14:paraId="1036657B" w14:textId="35A3FDF4" w:rsidR="005D0A19" w:rsidRPr="003F50B6" w:rsidRDefault="00F21BAF" w:rsidP="00483E42">
            <w:pPr>
              <w:ind w:left="0" w:firstLine="0"/>
              <w:jc w:val="right"/>
              <w:rPr>
                <w:rFonts w:asciiTheme="minorHAnsi" w:eastAsia="Times New Roman" w:hAnsiTheme="minorHAnsi" w:cstheme="minorHAnsi"/>
                <w:b/>
                <w:bCs/>
                <w:color w:val="000000"/>
                <w:sz w:val="20"/>
                <w:szCs w:val="20"/>
                <w:lang w:val="fr-FR" w:eastAsia="en-GB"/>
              </w:rPr>
            </w:pPr>
            <w:r w:rsidRPr="003F50B6">
              <w:rPr>
                <w:rFonts w:asciiTheme="minorHAnsi" w:eastAsia="Times New Roman" w:hAnsiTheme="minorHAnsi" w:cstheme="minorHAnsi"/>
                <w:b/>
                <w:bCs/>
                <w:color w:val="000000"/>
                <w:sz w:val="20"/>
                <w:szCs w:val="20"/>
                <w:lang w:val="fr-FR" w:eastAsia="en-GB"/>
              </w:rPr>
              <w:t>135</w:t>
            </w:r>
          </w:p>
        </w:tc>
        <w:tc>
          <w:tcPr>
            <w:tcW w:w="1134" w:type="dxa"/>
            <w:tcBorders>
              <w:top w:val="single" w:sz="4" w:space="0" w:color="auto"/>
              <w:left w:val="single" w:sz="4" w:space="0" w:color="auto"/>
              <w:bottom w:val="single" w:sz="4" w:space="0" w:color="auto"/>
              <w:right w:val="single" w:sz="4" w:space="0" w:color="auto"/>
            </w:tcBorders>
            <w:shd w:val="clear" w:color="000000" w:fill="auto"/>
            <w:noWrap/>
            <w:vAlign w:val="center"/>
          </w:tcPr>
          <w:p w14:paraId="11DFD1F7" w14:textId="0E8C5A2E" w:rsidR="005D0A19" w:rsidRPr="003F50B6" w:rsidRDefault="00F21BAF" w:rsidP="00483E42">
            <w:pPr>
              <w:ind w:left="0" w:firstLine="0"/>
              <w:jc w:val="right"/>
              <w:rPr>
                <w:rFonts w:asciiTheme="minorHAnsi" w:eastAsia="Times New Roman" w:hAnsiTheme="minorHAnsi" w:cstheme="minorHAnsi"/>
                <w:b/>
                <w:bCs/>
                <w:color w:val="000000"/>
                <w:sz w:val="20"/>
                <w:szCs w:val="20"/>
                <w:lang w:val="fr-FR" w:eastAsia="en-GB"/>
              </w:rPr>
            </w:pPr>
            <w:r w:rsidRPr="003F50B6">
              <w:rPr>
                <w:rFonts w:asciiTheme="minorHAnsi" w:eastAsia="Times New Roman" w:hAnsiTheme="minorHAnsi" w:cstheme="minorHAnsi"/>
                <w:b/>
                <w:bCs/>
                <w:color w:val="000000"/>
                <w:sz w:val="20"/>
                <w:szCs w:val="20"/>
                <w:lang w:val="fr-FR" w:eastAsia="en-GB"/>
              </w:rPr>
              <w:t>135</w:t>
            </w:r>
          </w:p>
        </w:tc>
        <w:tc>
          <w:tcPr>
            <w:tcW w:w="1134" w:type="dxa"/>
            <w:tcBorders>
              <w:top w:val="single" w:sz="4" w:space="0" w:color="auto"/>
              <w:left w:val="nil"/>
              <w:bottom w:val="single" w:sz="4" w:space="0" w:color="auto"/>
              <w:right w:val="single" w:sz="4" w:space="0" w:color="auto"/>
            </w:tcBorders>
            <w:shd w:val="clear" w:color="000000" w:fill="auto"/>
            <w:noWrap/>
            <w:vAlign w:val="center"/>
          </w:tcPr>
          <w:p w14:paraId="52869FA3" w14:textId="675DAD6C" w:rsidR="005D0A19" w:rsidRPr="003F50B6" w:rsidRDefault="00F21BAF" w:rsidP="00483E42">
            <w:pPr>
              <w:ind w:left="0" w:firstLine="0"/>
              <w:jc w:val="right"/>
              <w:rPr>
                <w:rFonts w:asciiTheme="minorHAnsi" w:eastAsia="Times New Roman" w:hAnsiTheme="minorHAnsi" w:cstheme="minorHAnsi"/>
                <w:b/>
                <w:bCs/>
                <w:color w:val="000000"/>
                <w:sz w:val="20"/>
                <w:szCs w:val="20"/>
                <w:lang w:val="fr-FR" w:eastAsia="en-GB"/>
              </w:rPr>
            </w:pPr>
            <w:r w:rsidRPr="003F50B6">
              <w:rPr>
                <w:rFonts w:asciiTheme="minorHAnsi" w:eastAsia="Times New Roman" w:hAnsiTheme="minorHAnsi" w:cstheme="minorHAnsi"/>
                <w:b/>
                <w:bCs/>
                <w:color w:val="000000"/>
                <w:sz w:val="20"/>
                <w:szCs w:val="20"/>
                <w:lang w:val="fr-FR" w:eastAsia="en-GB"/>
              </w:rPr>
              <w:t>135</w:t>
            </w:r>
          </w:p>
        </w:tc>
        <w:tc>
          <w:tcPr>
            <w:tcW w:w="993" w:type="dxa"/>
            <w:tcBorders>
              <w:top w:val="single" w:sz="4" w:space="0" w:color="auto"/>
              <w:left w:val="nil"/>
              <w:bottom w:val="single" w:sz="4" w:space="0" w:color="auto"/>
              <w:right w:val="single" w:sz="4" w:space="0" w:color="auto"/>
            </w:tcBorders>
            <w:shd w:val="clear" w:color="000000" w:fill="auto"/>
            <w:noWrap/>
            <w:vAlign w:val="center"/>
          </w:tcPr>
          <w:p w14:paraId="11A6FED1" w14:textId="747E2C0B" w:rsidR="005D0A19" w:rsidRPr="003F50B6" w:rsidRDefault="00F21BAF" w:rsidP="00483E42">
            <w:pPr>
              <w:ind w:left="0" w:firstLine="0"/>
              <w:jc w:val="right"/>
              <w:rPr>
                <w:rFonts w:asciiTheme="minorHAnsi" w:eastAsia="Times New Roman" w:hAnsiTheme="minorHAnsi" w:cstheme="minorHAnsi"/>
                <w:b/>
                <w:bCs/>
                <w:color w:val="000000"/>
                <w:sz w:val="20"/>
                <w:szCs w:val="20"/>
                <w:lang w:val="fr-FR" w:eastAsia="en-GB"/>
              </w:rPr>
            </w:pPr>
            <w:r w:rsidRPr="003F50B6">
              <w:rPr>
                <w:rFonts w:asciiTheme="minorHAnsi" w:eastAsia="Times New Roman" w:hAnsiTheme="minorHAnsi" w:cstheme="minorHAnsi"/>
                <w:b/>
                <w:bCs/>
                <w:color w:val="000000"/>
                <w:sz w:val="20"/>
                <w:szCs w:val="20"/>
                <w:lang w:val="fr-FR" w:eastAsia="en-GB"/>
              </w:rPr>
              <w:t>135</w:t>
            </w:r>
          </w:p>
        </w:tc>
        <w:tc>
          <w:tcPr>
            <w:tcW w:w="1275" w:type="dxa"/>
            <w:tcBorders>
              <w:top w:val="single" w:sz="4" w:space="0" w:color="auto"/>
              <w:left w:val="nil"/>
              <w:bottom w:val="single" w:sz="4" w:space="0" w:color="auto"/>
              <w:right w:val="single" w:sz="4" w:space="0" w:color="auto"/>
            </w:tcBorders>
            <w:shd w:val="clear" w:color="000000" w:fill="auto"/>
            <w:noWrap/>
            <w:vAlign w:val="center"/>
          </w:tcPr>
          <w:p w14:paraId="4E8A6028" w14:textId="01F72646" w:rsidR="005D0A19" w:rsidRPr="003F50B6" w:rsidRDefault="00F21BAF" w:rsidP="00483E42">
            <w:pPr>
              <w:ind w:left="0" w:firstLine="0"/>
              <w:jc w:val="right"/>
              <w:rPr>
                <w:rFonts w:asciiTheme="minorHAnsi" w:eastAsia="Times New Roman" w:hAnsiTheme="minorHAnsi" w:cstheme="minorHAnsi"/>
                <w:b/>
                <w:bCs/>
                <w:color w:val="000000"/>
                <w:sz w:val="20"/>
                <w:szCs w:val="20"/>
                <w:lang w:val="fr-FR" w:eastAsia="en-GB"/>
              </w:rPr>
            </w:pPr>
            <w:r w:rsidRPr="003F50B6">
              <w:rPr>
                <w:rFonts w:asciiTheme="minorHAnsi" w:eastAsia="Times New Roman" w:hAnsiTheme="minorHAnsi" w:cstheme="minorHAnsi"/>
                <w:b/>
                <w:bCs/>
                <w:color w:val="000000"/>
                <w:sz w:val="20"/>
                <w:szCs w:val="20"/>
                <w:lang w:val="fr-FR" w:eastAsia="en-GB"/>
              </w:rPr>
              <w:t>405</w:t>
            </w:r>
          </w:p>
        </w:tc>
      </w:tr>
      <w:tr w:rsidR="005D0A19" w:rsidRPr="00A4333E" w14:paraId="56B875C4" w14:textId="77777777" w:rsidTr="00EF4718">
        <w:tc>
          <w:tcPr>
            <w:tcW w:w="3690" w:type="dxa"/>
            <w:tcBorders>
              <w:top w:val="single" w:sz="4" w:space="0" w:color="auto"/>
              <w:left w:val="single" w:sz="4" w:space="0" w:color="auto"/>
              <w:bottom w:val="single" w:sz="4" w:space="0" w:color="auto"/>
              <w:right w:val="single" w:sz="4" w:space="0" w:color="auto"/>
            </w:tcBorders>
            <w:shd w:val="clear" w:color="000000" w:fill="auto"/>
            <w:noWrap/>
            <w:vAlign w:val="center"/>
          </w:tcPr>
          <w:p w14:paraId="384D3366" w14:textId="1D4B1CEB" w:rsidR="005D0A19" w:rsidRPr="003F50B6" w:rsidRDefault="00316852" w:rsidP="00483E42">
            <w:pPr>
              <w:ind w:left="0" w:firstLine="0"/>
              <w:rPr>
                <w:rFonts w:asciiTheme="minorHAnsi" w:eastAsia="Times New Roman" w:hAnsiTheme="minorHAnsi" w:cstheme="minorHAnsi"/>
                <w:bCs/>
                <w:sz w:val="20"/>
                <w:szCs w:val="20"/>
                <w:lang w:val="fr-FR" w:eastAsia="en-GB"/>
              </w:rPr>
            </w:pPr>
            <w:r w:rsidRPr="003F50B6">
              <w:rPr>
                <w:rFonts w:asciiTheme="minorHAnsi" w:eastAsia="Times New Roman" w:hAnsiTheme="minorHAnsi" w:cstheme="minorHAnsi"/>
                <w:bCs/>
                <w:sz w:val="20"/>
                <w:szCs w:val="20"/>
                <w:lang w:val="fr-FR" w:eastAsia="en-GB"/>
              </w:rPr>
              <w:t>%</w:t>
            </w:r>
            <w:r w:rsidR="00EF4718" w:rsidRPr="003F50B6">
              <w:rPr>
                <w:rFonts w:asciiTheme="minorHAnsi" w:eastAsia="Times New Roman" w:hAnsiTheme="minorHAnsi" w:cstheme="minorHAnsi"/>
                <w:bCs/>
                <w:sz w:val="20"/>
                <w:szCs w:val="20"/>
                <w:lang w:val="fr-FR" w:eastAsia="en-GB"/>
              </w:rPr>
              <w:t xml:space="preserve"> </w:t>
            </w:r>
            <w:r w:rsidR="00976BDC" w:rsidRPr="003F50B6">
              <w:rPr>
                <w:rFonts w:asciiTheme="minorHAnsi" w:eastAsia="Times New Roman" w:hAnsiTheme="minorHAnsi" w:cstheme="minorHAnsi"/>
                <w:bCs/>
                <w:sz w:val="20"/>
                <w:szCs w:val="20"/>
                <w:lang w:val="fr-FR" w:eastAsia="en-GB"/>
              </w:rPr>
              <w:t xml:space="preserve">du </w:t>
            </w:r>
            <w:r w:rsidRPr="003F50B6">
              <w:rPr>
                <w:rFonts w:asciiTheme="minorHAnsi" w:eastAsia="Times New Roman" w:hAnsiTheme="minorHAnsi" w:cstheme="minorHAnsi"/>
                <w:bCs/>
                <w:sz w:val="20"/>
                <w:szCs w:val="20"/>
                <w:lang w:val="fr-FR" w:eastAsia="en-GB"/>
              </w:rPr>
              <w:t xml:space="preserve">total </w:t>
            </w:r>
            <w:r w:rsidR="00976BDC" w:rsidRPr="003F50B6">
              <w:rPr>
                <w:rFonts w:asciiTheme="minorHAnsi" w:eastAsia="Times New Roman" w:hAnsiTheme="minorHAnsi" w:cstheme="minorHAnsi"/>
                <w:bCs/>
                <w:sz w:val="20"/>
                <w:szCs w:val="20"/>
                <w:lang w:val="fr-FR" w:eastAsia="en-GB"/>
              </w:rPr>
              <w:t xml:space="preserve">des frais de voyage dans le </w:t>
            </w:r>
            <w:r w:rsidRPr="003F50B6">
              <w:rPr>
                <w:rFonts w:asciiTheme="minorHAnsi" w:eastAsia="Times New Roman" w:hAnsiTheme="minorHAnsi" w:cstheme="minorHAnsi"/>
                <w:bCs/>
                <w:sz w:val="20"/>
                <w:szCs w:val="20"/>
                <w:lang w:val="fr-FR" w:eastAsia="en-GB"/>
              </w:rPr>
              <w:t>budget</w:t>
            </w:r>
          </w:p>
        </w:tc>
        <w:tc>
          <w:tcPr>
            <w:tcW w:w="1134" w:type="dxa"/>
            <w:tcBorders>
              <w:top w:val="single" w:sz="4" w:space="0" w:color="auto"/>
              <w:left w:val="nil"/>
              <w:bottom w:val="single" w:sz="4" w:space="0" w:color="auto"/>
              <w:right w:val="single" w:sz="4" w:space="0" w:color="auto"/>
            </w:tcBorders>
            <w:shd w:val="clear" w:color="000000" w:fill="auto"/>
          </w:tcPr>
          <w:p w14:paraId="04B9A2C8" w14:textId="1FB69823" w:rsidR="005D0A19" w:rsidRPr="003F50B6" w:rsidRDefault="00F21BAF" w:rsidP="00483E42">
            <w:pPr>
              <w:ind w:left="0" w:firstLine="0"/>
              <w:jc w:val="right"/>
              <w:rPr>
                <w:rFonts w:asciiTheme="minorHAnsi" w:eastAsia="Times New Roman" w:hAnsiTheme="minorHAnsi" w:cstheme="minorHAnsi"/>
                <w:bCs/>
                <w:color w:val="000000"/>
                <w:sz w:val="20"/>
                <w:szCs w:val="20"/>
                <w:lang w:val="fr-FR" w:eastAsia="en-GB"/>
              </w:rPr>
            </w:pPr>
            <w:r w:rsidRPr="003F50B6">
              <w:rPr>
                <w:rFonts w:asciiTheme="minorHAnsi" w:eastAsia="Times New Roman" w:hAnsiTheme="minorHAnsi" w:cstheme="minorHAnsi"/>
                <w:bCs/>
                <w:color w:val="000000"/>
                <w:sz w:val="20"/>
                <w:szCs w:val="20"/>
                <w:lang w:val="fr-FR" w:eastAsia="en-GB"/>
              </w:rPr>
              <w:t>3%</w:t>
            </w:r>
          </w:p>
        </w:tc>
        <w:tc>
          <w:tcPr>
            <w:tcW w:w="1134" w:type="dxa"/>
            <w:tcBorders>
              <w:top w:val="single" w:sz="4" w:space="0" w:color="auto"/>
              <w:left w:val="single" w:sz="4" w:space="0" w:color="auto"/>
              <w:bottom w:val="single" w:sz="4" w:space="0" w:color="auto"/>
              <w:right w:val="single" w:sz="4" w:space="0" w:color="auto"/>
            </w:tcBorders>
            <w:shd w:val="clear" w:color="000000" w:fill="auto"/>
            <w:noWrap/>
            <w:vAlign w:val="center"/>
          </w:tcPr>
          <w:p w14:paraId="60A67426" w14:textId="0A97D2BC" w:rsidR="005D0A19" w:rsidRPr="003F50B6" w:rsidRDefault="00F21BAF" w:rsidP="00483E42">
            <w:pPr>
              <w:ind w:left="0" w:firstLine="0"/>
              <w:jc w:val="right"/>
              <w:rPr>
                <w:rFonts w:asciiTheme="minorHAnsi" w:eastAsia="Times New Roman" w:hAnsiTheme="minorHAnsi" w:cstheme="minorHAnsi"/>
                <w:bCs/>
                <w:color w:val="000000"/>
                <w:sz w:val="20"/>
                <w:szCs w:val="20"/>
                <w:lang w:val="fr-FR" w:eastAsia="en-GB"/>
              </w:rPr>
            </w:pPr>
            <w:r w:rsidRPr="003F50B6">
              <w:rPr>
                <w:rFonts w:asciiTheme="minorHAnsi" w:eastAsia="Times New Roman" w:hAnsiTheme="minorHAnsi" w:cstheme="minorHAnsi"/>
                <w:bCs/>
                <w:color w:val="000000"/>
                <w:sz w:val="20"/>
                <w:szCs w:val="20"/>
                <w:lang w:val="fr-FR" w:eastAsia="en-GB"/>
              </w:rPr>
              <w:t>3%</w:t>
            </w:r>
          </w:p>
        </w:tc>
        <w:tc>
          <w:tcPr>
            <w:tcW w:w="1134" w:type="dxa"/>
            <w:tcBorders>
              <w:top w:val="single" w:sz="4" w:space="0" w:color="auto"/>
              <w:left w:val="nil"/>
              <w:bottom w:val="single" w:sz="4" w:space="0" w:color="auto"/>
              <w:right w:val="single" w:sz="4" w:space="0" w:color="auto"/>
            </w:tcBorders>
            <w:shd w:val="clear" w:color="000000" w:fill="auto"/>
            <w:noWrap/>
            <w:vAlign w:val="center"/>
          </w:tcPr>
          <w:p w14:paraId="6CC2B70F" w14:textId="1D759876" w:rsidR="005D0A19" w:rsidRPr="003F50B6" w:rsidRDefault="00F21BAF" w:rsidP="00483E42">
            <w:pPr>
              <w:ind w:left="0" w:firstLine="0"/>
              <w:jc w:val="right"/>
              <w:rPr>
                <w:rFonts w:asciiTheme="minorHAnsi" w:eastAsia="Times New Roman" w:hAnsiTheme="minorHAnsi" w:cstheme="minorHAnsi"/>
                <w:bCs/>
                <w:color w:val="000000"/>
                <w:sz w:val="20"/>
                <w:szCs w:val="20"/>
                <w:lang w:val="fr-FR" w:eastAsia="en-GB"/>
              </w:rPr>
            </w:pPr>
            <w:r w:rsidRPr="003F50B6">
              <w:rPr>
                <w:rFonts w:asciiTheme="minorHAnsi" w:eastAsia="Times New Roman" w:hAnsiTheme="minorHAnsi" w:cstheme="minorHAnsi"/>
                <w:bCs/>
                <w:color w:val="000000"/>
                <w:sz w:val="20"/>
                <w:szCs w:val="20"/>
                <w:lang w:val="fr-FR" w:eastAsia="en-GB"/>
              </w:rPr>
              <w:t>3%</w:t>
            </w:r>
          </w:p>
        </w:tc>
        <w:tc>
          <w:tcPr>
            <w:tcW w:w="993" w:type="dxa"/>
            <w:tcBorders>
              <w:top w:val="single" w:sz="4" w:space="0" w:color="auto"/>
              <w:left w:val="nil"/>
              <w:bottom w:val="single" w:sz="4" w:space="0" w:color="auto"/>
              <w:right w:val="single" w:sz="4" w:space="0" w:color="auto"/>
            </w:tcBorders>
            <w:shd w:val="clear" w:color="000000" w:fill="auto"/>
            <w:noWrap/>
            <w:vAlign w:val="center"/>
          </w:tcPr>
          <w:p w14:paraId="04F5B1D0" w14:textId="1A5A2E54" w:rsidR="005D0A19" w:rsidRPr="003F50B6" w:rsidRDefault="00F21BAF" w:rsidP="00483E42">
            <w:pPr>
              <w:ind w:left="0" w:firstLine="0"/>
              <w:jc w:val="right"/>
              <w:rPr>
                <w:rFonts w:asciiTheme="minorHAnsi" w:eastAsia="Times New Roman" w:hAnsiTheme="minorHAnsi" w:cstheme="minorHAnsi"/>
                <w:bCs/>
                <w:color w:val="000000"/>
                <w:sz w:val="20"/>
                <w:szCs w:val="20"/>
                <w:lang w:val="fr-FR" w:eastAsia="en-GB"/>
              </w:rPr>
            </w:pPr>
            <w:r w:rsidRPr="003F50B6">
              <w:rPr>
                <w:rFonts w:asciiTheme="minorHAnsi" w:eastAsia="Times New Roman" w:hAnsiTheme="minorHAnsi" w:cstheme="minorHAnsi"/>
                <w:bCs/>
                <w:color w:val="000000"/>
                <w:sz w:val="20"/>
                <w:szCs w:val="20"/>
                <w:lang w:val="fr-FR" w:eastAsia="en-GB"/>
              </w:rPr>
              <w:t>3%</w:t>
            </w:r>
          </w:p>
        </w:tc>
        <w:tc>
          <w:tcPr>
            <w:tcW w:w="1275" w:type="dxa"/>
            <w:tcBorders>
              <w:top w:val="single" w:sz="4" w:space="0" w:color="auto"/>
              <w:left w:val="nil"/>
              <w:bottom w:val="single" w:sz="4" w:space="0" w:color="auto"/>
              <w:right w:val="single" w:sz="4" w:space="0" w:color="auto"/>
            </w:tcBorders>
            <w:shd w:val="clear" w:color="000000" w:fill="auto"/>
            <w:noWrap/>
            <w:vAlign w:val="center"/>
          </w:tcPr>
          <w:p w14:paraId="60B339AC" w14:textId="3F3E82CF" w:rsidR="005D0A19" w:rsidRPr="003F50B6" w:rsidRDefault="00F21BAF" w:rsidP="00483E42">
            <w:pPr>
              <w:ind w:left="0" w:firstLine="0"/>
              <w:jc w:val="right"/>
              <w:rPr>
                <w:rFonts w:asciiTheme="minorHAnsi" w:eastAsia="Times New Roman" w:hAnsiTheme="minorHAnsi" w:cstheme="minorHAnsi"/>
                <w:bCs/>
                <w:color w:val="000000"/>
                <w:sz w:val="20"/>
                <w:szCs w:val="20"/>
                <w:lang w:val="fr-FR" w:eastAsia="en-GB"/>
              </w:rPr>
            </w:pPr>
            <w:r w:rsidRPr="003F50B6">
              <w:rPr>
                <w:rFonts w:asciiTheme="minorHAnsi" w:eastAsia="Times New Roman" w:hAnsiTheme="minorHAnsi" w:cstheme="minorHAnsi"/>
                <w:bCs/>
                <w:color w:val="000000"/>
                <w:sz w:val="20"/>
                <w:szCs w:val="20"/>
                <w:lang w:val="fr-FR" w:eastAsia="en-GB"/>
              </w:rPr>
              <w:t>3%</w:t>
            </w:r>
          </w:p>
        </w:tc>
      </w:tr>
    </w:tbl>
    <w:p w14:paraId="56BA3684" w14:textId="77777777" w:rsidR="005C1B09" w:rsidRPr="00A4333E" w:rsidRDefault="005C1B09" w:rsidP="005C1B09">
      <w:pPr>
        <w:rPr>
          <w:rFonts w:cs="Arial"/>
          <w:b/>
          <w:lang w:val="fr-FR"/>
        </w:rPr>
      </w:pPr>
    </w:p>
    <w:p w14:paraId="2DDF452D" w14:textId="77777777" w:rsidR="005C1B09" w:rsidRPr="00A4333E" w:rsidRDefault="005C1B09" w:rsidP="00A217FF">
      <w:pPr>
        <w:pStyle w:val="ListParagraph"/>
        <w:ind w:left="0" w:firstLine="0"/>
        <w:contextualSpacing w:val="0"/>
        <w:rPr>
          <w:rFonts w:cs="Arial"/>
          <w:b/>
          <w:lang w:val="fr-FR"/>
        </w:rPr>
      </w:pPr>
    </w:p>
    <w:p w14:paraId="2B8BA9A0" w14:textId="77777777" w:rsidR="007E63D8" w:rsidRPr="00A4333E" w:rsidRDefault="007E63D8" w:rsidP="00A217FF">
      <w:pPr>
        <w:pStyle w:val="ListParagraph"/>
        <w:ind w:left="0" w:firstLine="0"/>
        <w:contextualSpacing w:val="0"/>
        <w:rPr>
          <w:rFonts w:cs="Arial"/>
          <w:b/>
          <w:lang w:val="fr-FR"/>
        </w:rPr>
      </w:pPr>
    </w:p>
    <w:p w14:paraId="68DA7208" w14:textId="77777777" w:rsidR="007E63D8" w:rsidRPr="00A4333E" w:rsidRDefault="007E63D8" w:rsidP="006C5088">
      <w:pPr>
        <w:pStyle w:val="ListParagraph"/>
        <w:ind w:left="0" w:firstLine="0"/>
        <w:contextualSpacing w:val="0"/>
        <w:rPr>
          <w:rFonts w:cs="Arial"/>
          <w:b/>
          <w:lang w:val="fr-FR"/>
        </w:rPr>
      </w:pPr>
    </w:p>
    <w:p w14:paraId="33A40573" w14:textId="77777777" w:rsidR="00F96963" w:rsidRPr="00A4333E" w:rsidRDefault="00F96963">
      <w:pPr>
        <w:rPr>
          <w:rFonts w:cs="Arial"/>
          <w:b/>
          <w:lang w:val="fr-FR"/>
        </w:rPr>
      </w:pPr>
      <w:r w:rsidRPr="00A4333E">
        <w:rPr>
          <w:rFonts w:cs="Arial"/>
          <w:b/>
          <w:lang w:val="fr-FR"/>
        </w:rPr>
        <w:br w:type="page"/>
      </w:r>
    </w:p>
    <w:p w14:paraId="3E58B650" w14:textId="65A13052" w:rsidR="00CE1F5D" w:rsidRPr="00A4333E" w:rsidRDefault="00E0612A" w:rsidP="00CE1F5D">
      <w:pPr>
        <w:rPr>
          <w:rFonts w:asciiTheme="minorHAnsi" w:eastAsia="Times New Roman" w:hAnsiTheme="minorHAnsi" w:cs="Arial"/>
          <w:b/>
          <w:bCs/>
          <w:color w:val="000000"/>
          <w:sz w:val="24"/>
          <w:szCs w:val="24"/>
          <w:lang w:val="fr-FR" w:eastAsia="en-GB"/>
        </w:rPr>
      </w:pPr>
      <w:r w:rsidRPr="00A4333E">
        <w:rPr>
          <w:rFonts w:asciiTheme="minorHAnsi" w:eastAsia="Times New Roman" w:hAnsiTheme="minorHAnsi" w:cs="Arial"/>
          <w:b/>
          <w:bCs/>
          <w:color w:val="000000"/>
          <w:sz w:val="24"/>
          <w:szCs w:val="24"/>
          <w:lang w:val="fr-FR" w:eastAsia="en-GB"/>
        </w:rPr>
        <w:lastRenderedPageBreak/>
        <w:t>Annex</w:t>
      </w:r>
      <w:r w:rsidR="00552EBF" w:rsidRPr="00A4333E">
        <w:rPr>
          <w:rFonts w:asciiTheme="minorHAnsi" w:eastAsia="Times New Roman" w:hAnsiTheme="minorHAnsi" w:cs="Arial"/>
          <w:b/>
          <w:bCs/>
          <w:color w:val="000000"/>
          <w:sz w:val="24"/>
          <w:szCs w:val="24"/>
          <w:lang w:val="fr-FR" w:eastAsia="en-GB"/>
        </w:rPr>
        <w:t>e</w:t>
      </w:r>
      <w:r w:rsidRPr="00A4333E">
        <w:rPr>
          <w:rFonts w:asciiTheme="minorHAnsi" w:eastAsia="Times New Roman" w:hAnsiTheme="minorHAnsi" w:cs="Arial"/>
          <w:b/>
          <w:bCs/>
          <w:color w:val="000000"/>
          <w:sz w:val="24"/>
          <w:szCs w:val="24"/>
          <w:lang w:val="fr-FR" w:eastAsia="en-GB"/>
        </w:rPr>
        <w:t xml:space="preserve"> 3</w:t>
      </w:r>
    </w:p>
    <w:p w14:paraId="5EF2941B" w14:textId="5130DD63" w:rsidR="00CE1F5D" w:rsidRPr="00A4333E" w:rsidRDefault="004600F3" w:rsidP="00CE1F5D">
      <w:pPr>
        <w:rPr>
          <w:rFonts w:asciiTheme="minorHAnsi" w:eastAsia="Times New Roman" w:hAnsiTheme="minorHAnsi" w:cs="Arial"/>
          <w:b/>
          <w:bCs/>
          <w:color w:val="000000"/>
          <w:sz w:val="24"/>
          <w:szCs w:val="24"/>
          <w:lang w:val="fr-FR" w:eastAsia="en-GB"/>
        </w:rPr>
      </w:pPr>
      <w:r w:rsidRPr="00A4333E">
        <w:rPr>
          <w:rFonts w:asciiTheme="minorHAnsi" w:eastAsia="Times New Roman" w:hAnsiTheme="minorHAnsi" w:cs="Arial"/>
          <w:b/>
          <w:bCs/>
          <w:color w:val="000000"/>
          <w:sz w:val="24"/>
          <w:szCs w:val="24"/>
          <w:lang w:val="fr-FR" w:eastAsia="en-GB"/>
        </w:rPr>
        <w:t xml:space="preserve">État des contributions facturées au 31 décembre 2021 (en CHF) </w:t>
      </w:r>
    </w:p>
    <w:p w14:paraId="1B28B9D6" w14:textId="7E41EA2A" w:rsidR="00CE1F5D" w:rsidRPr="00A4333E" w:rsidRDefault="00CE1F5D" w:rsidP="00CE1F5D">
      <w:pPr>
        <w:rPr>
          <w:rFonts w:cs="Arial"/>
          <w:lang w:val="fr-FR"/>
        </w:rPr>
      </w:pPr>
    </w:p>
    <w:tbl>
      <w:tblPr>
        <w:tblStyle w:val="PlainTable1"/>
        <w:tblW w:w="1020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2086"/>
        <w:gridCol w:w="901"/>
        <w:gridCol w:w="901"/>
        <w:gridCol w:w="901"/>
        <w:gridCol w:w="902"/>
        <w:gridCol w:w="902"/>
        <w:gridCol w:w="902"/>
        <w:gridCol w:w="902"/>
        <w:gridCol w:w="902"/>
        <w:gridCol w:w="902"/>
      </w:tblGrid>
      <w:tr w:rsidR="005C1B09" w:rsidRPr="00A4333E" w14:paraId="5F1739AA" w14:textId="77777777" w:rsidTr="00B938B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838" w:type="dxa"/>
            <w:vMerge w:val="restart"/>
            <w:shd w:val="clear" w:color="auto" w:fill="DBE5F1" w:themeFill="accent1" w:themeFillTint="33"/>
            <w:noWrap/>
            <w:vAlign w:val="center"/>
            <w:hideMark/>
          </w:tcPr>
          <w:p w14:paraId="10A03DDD" w14:textId="38E17549" w:rsidR="005C1B09" w:rsidRPr="00A4333E" w:rsidRDefault="00552EBF" w:rsidP="00483E42">
            <w:pPr>
              <w:ind w:left="0" w:firstLine="0"/>
              <w:jc w:val="center"/>
              <w:rPr>
                <w:rFonts w:asciiTheme="minorHAnsi" w:eastAsia="Times New Roman" w:hAnsiTheme="minorHAnsi" w:cstheme="minorHAnsi"/>
                <w:bCs w:val="0"/>
                <w:color w:val="000000"/>
                <w:sz w:val="20"/>
                <w:szCs w:val="20"/>
                <w:lang w:val="fr-FR" w:eastAsia="en-GB"/>
              </w:rPr>
            </w:pPr>
            <w:r w:rsidRPr="00A4333E">
              <w:rPr>
                <w:rFonts w:asciiTheme="minorHAnsi" w:eastAsia="Times New Roman" w:hAnsiTheme="minorHAnsi" w:cstheme="minorHAnsi"/>
                <w:bCs w:val="0"/>
                <w:color w:val="000000"/>
                <w:sz w:val="20"/>
                <w:szCs w:val="20"/>
                <w:lang w:val="fr-FR" w:eastAsia="en-GB"/>
              </w:rPr>
              <w:t>Pays</w:t>
            </w:r>
          </w:p>
        </w:tc>
        <w:tc>
          <w:tcPr>
            <w:tcW w:w="794" w:type="dxa"/>
            <w:gridSpan w:val="3"/>
            <w:shd w:val="clear" w:color="auto" w:fill="DBE5F1" w:themeFill="accent1" w:themeFillTint="33"/>
            <w:vAlign w:val="center"/>
            <w:hideMark/>
          </w:tcPr>
          <w:p w14:paraId="6E71F4FD" w14:textId="4159690D" w:rsidR="005C1B09" w:rsidRPr="0099411D" w:rsidRDefault="004600F3" w:rsidP="0099411D">
            <w:pPr>
              <w:ind w:left="0" w:firstLine="0"/>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Cs w:val="0"/>
                <w:color w:val="000000"/>
                <w:sz w:val="20"/>
                <w:szCs w:val="20"/>
                <w:lang w:val="fr-FR" w:eastAsia="en-GB"/>
              </w:rPr>
            </w:pPr>
            <w:r w:rsidRPr="0099411D">
              <w:rPr>
                <w:rFonts w:asciiTheme="minorHAnsi" w:eastAsia="Times New Roman" w:hAnsiTheme="minorHAnsi" w:cstheme="minorHAnsi"/>
                <w:bCs w:val="0"/>
                <w:color w:val="000000"/>
                <w:sz w:val="20"/>
                <w:szCs w:val="20"/>
                <w:lang w:val="fr-FR" w:eastAsia="en-GB"/>
              </w:rPr>
              <w:t xml:space="preserve">État au 1er janvier </w:t>
            </w:r>
            <w:r w:rsidR="005C1B09" w:rsidRPr="00A4333E">
              <w:rPr>
                <w:rFonts w:asciiTheme="minorHAnsi" w:eastAsia="Times New Roman" w:hAnsiTheme="minorHAnsi" w:cstheme="minorHAnsi"/>
                <w:bCs w:val="0"/>
                <w:color w:val="000000"/>
                <w:sz w:val="20"/>
                <w:szCs w:val="20"/>
                <w:lang w:val="fr-FR" w:eastAsia="en-GB"/>
              </w:rPr>
              <w:t xml:space="preserve"> 2021</w:t>
            </w:r>
          </w:p>
        </w:tc>
        <w:tc>
          <w:tcPr>
            <w:tcW w:w="794" w:type="dxa"/>
            <w:gridSpan w:val="3"/>
            <w:shd w:val="clear" w:color="auto" w:fill="DBE5F1" w:themeFill="accent1" w:themeFillTint="33"/>
            <w:vAlign w:val="center"/>
            <w:hideMark/>
          </w:tcPr>
          <w:p w14:paraId="24D08679" w14:textId="6088FAF4" w:rsidR="005C1B09" w:rsidRPr="00A4333E" w:rsidRDefault="005C1B09" w:rsidP="00483E42">
            <w:pPr>
              <w:ind w:left="0" w:firstLine="0"/>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Cs w:val="0"/>
                <w:color w:val="000000"/>
                <w:sz w:val="20"/>
                <w:szCs w:val="20"/>
                <w:lang w:val="fr-FR" w:eastAsia="en-GB"/>
              </w:rPr>
            </w:pPr>
            <w:r w:rsidRPr="00A4333E">
              <w:rPr>
                <w:rFonts w:asciiTheme="minorHAnsi" w:eastAsia="Times New Roman" w:hAnsiTheme="minorHAnsi" w:cstheme="minorHAnsi"/>
                <w:bCs w:val="0"/>
                <w:color w:val="000000"/>
                <w:sz w:val="20"/>
                <w:szCs w:val="20"/>
                <w:lang w:val="fr-FR" w:eastAsia="en-GB"/>
              </w:rPr>
              <w:t>Re</w:t>
            </w:r>
            <w:r w:rsidR="004600F3" w:rsidRPr="00A4333E">
              <w:rPr>
                <w:rFonts w:asciiTheme="minorHAnsi" w:eastAsia="Times New Roman" w:hAnsiTheme="minorHAnsi" w:cstheme="minorHAnsi"/>
                <w:bCs w:val="0"/>
                <w:color w:val="000000"/>
                <w:sz w:val="20"/>
                <w:szCs w:val="20"/>
                <w:lang w:val="fr-FR" w:eastAsia="en-GB"/>
              </w:rPr>
              <w:t>çu en</w:t>
            </w:r>
            <w:r w:rsidRPr="00A4333E">
              <w:rPr>
                <w:rFonts w:asciiTheme="minorHAnsi" w:eastAsia="Times New Roman" w:hAnsiTheme="minorHAnsi" w:cstheme="minorHAnsi"/>
                <w:bCs w:val="0"/>
                <w:color w:val="000000"/>
                <w:sz w:val="20"/>
                <w:szCs w:val="20"/>
                <w:lang w:val="fr-FR" w:eastAsia="en-GB"/>
              </w:rPr>
              <w:t xml:space="preserve"> 2021</w:t>
            </w:r>
          </w:p>
        </w:tc>
        <w:tc>
          <w:tcPr>
            <w:tcW w:w="794" w:type="dxa"/>
            <w:gridSpan w:val="3"/>
            <w:shd w:val="clear" w:color="auto" w:fill="DBE5F1" w:themeFill="accent1" w:themeFillTint="33"/>
            <w:vAlign w:val="center"/>
            <w:hideMark/>
          </w:tcPr>
          <w:p w14:paraId="6EC38D78" w14:textId="4CFA843A" w:rsidR="005C1B09" w:rsidRPr="00A4333E" w:rsidRDefault="004600F3" w:rsidP="00483E42">
            <w:pPr>
              <w:ind w:left="0" w:firstLine="0"/>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Cs w:val="0"/>
                <w:color w:val="000000"/>
                <w:sz w:val="20"/>
                <w:szCs w:val="20"/>
                <w:lang w:val="fr-FR" w:eastAsia="en-GB"/>
              </w:rPr>
            </w:pPr>
            <w:r w:rsidRPr="00A4333E">
              <w:rPr>
                <w:rFonts w:asciiTheme="minorHAnsi" w:eastAsia="Times New Roman" w:hAnsiTheme="minorHAnsi" w:cstheme="minorHAnsi"/>
                <w:bCs w:val="0"/>
                <w:color w:val="000000"/>
                <w:sz w:val="20"/>
                <w:szCs w:val="20"/>
                <w:lang w:val="fr-FR" w:eastAsia="en-GB"/>
              </w:rPr>
              <w:t xml:space="preserve">État au </w:t>
            </w:r>
            <w:r w:rsidR="005C1B09" w:rsidRPr="00A4333E">
              <w:rPr>
                <w:rFonts w:asciiTheme="minorHAnsi" w:eastAsia="Times New Roman" w:hAnsiTheme="minorHAnsi" w:cstheme="minorHAnsi"/>
                <w:bCs w:val="0"/>
                <w:color w:val="000000"/>
                <w:sz w:val="20"/>
                <w:szCs w:val="20"/>
                <w:lang w:val="fr-FR" w:eastAsia="en-GB"/>
              </w:rPr>
              <w:t xml:space="preserve">31 </w:t>
            </w:r>
            <w:r w:rsidRPr="00A4333E">
              <w:rPr>
                <w:rFonts w:asciiTheme="minorHAnsi" w:eastAsia="Times New Roman" w:hAnsiTheme="minorHAnsi" w:cstheme="minorHAnsi"/>
                <w:bCs w:val="0"/>
                <w:color w:val="000000"/>
                <w:sz w:val="20"/>
                <w:szCs w:val="20"/>
                <w:lang w:val="fr-FR" w:eastAsia="en-GB"/>
              </w:rPr>
              <w:t>décembre</w:t>
            </w:r>
            <w:r w:rsidR="005C1B09" w:rsidRPr="00A4333E">
              <w:rPr>
                <w:rFonts w:asciiTheme="minorHAnsi" w:eastAsia="Times New Roman" w:hAnsiTheme="minorHAnsi" w:cstheme="minorHAnsi"/>
                <w:bCs w:val="0"/>
                <w:color w:val="000000"/>
                <w:sz w:val="20"/>
                <w:szCs w:val="20"/>
                <w:lang w:val="fr-FR" w:eastAsia="en-GB"/>
              </w:rPr>
              <w:t xml:space="preserve"> 2021</w:t>
            </w:r>
          </w:p>
        </w:tc>
      </w:tr>
      <w:tr w:rsidR="005C1B09" w:rsidRPr="0074795C" w14:paraId="1659E22A" w14:textId="77777777" w:rsidTr="00B938B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838" w:type="dxa"/>
            <w:vMerge/>
            <w:shd w:val="clear" w:color="auto" w:fill="DBE5F1" w:themeFill="accent1" w:themeFillTint="33"/>
            <w:hideMark/>
          </w:tcPr>
          <w:p w14:paraId="190C1F61" w14:textId="77777777" w:rsidR="005C1B09" w:rsidRPr="00A4333E" w:rsidRDefault="005C1B09" w:rsidP="00483E42">
            <w:pPr>
              <w:ind w:left="0" w:firstLine="0"/>
              <w:jc w:val="center"/>
              <w:rPr>
                <w:rFonts w:asciiTheme="minorHAnsi" w:eastAsia="Times New Roman" w:hAnsiTheme="minorHAnsi" w:cstheme="minorHAnsi"/>
                <w:bCs w:val="0"/>
                <w:color w:val="000000"/>
                <w:sz w:val="20"/>
                <w:szCs w:val="20"/>
                <w:lang w:val="fr-FR" w:eastAsia="en-GB"/>
              </w:rPr>
            </w:pPr>
          </w:p>
        </w:tc>
        <w:tc>
          <w:tcPr>
            <w:tcW w:w="794" w:type="dxa"/>
            <w:shd w:val="clear" w:color="auto" w:fill="DBE5F1" w:themeFill="accent1" w:themeFillTint="33"/>
            <w:vAlign w:val="center"/>
            <w:hideMark/>
          </w:tcPr>
          <w:p w14:paraId="011C7FF1" w14:textId="15523812" w:rsidR="005C1B09" w:rsidRPr="0099411D" w:rsidRDefault="005C1B09" w:rsidP="00B938BE">
            <w:pPr>
              <w:ind w:left="0" w:firstLine="0"/>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Cs w:val="0"/>
                <w:color w:val="000000"/>
                <w:spacing w:val="-14"/>
                <w:sz w:val="19"/>
                <w:szCs w:val="19"/>
                <w:lang w:val="fr-FR" w:eastAsia="en-GB"/>
              </w:rPr>
            </w:pPr>
            <w:r w:rsidRPr="0099411D">
              <w:rPr>
                <w:rFonts w:asciiTheme="minorHAnsi" w:eastAsia="Times New Roman" w:hAnsiTheme="minorHAnsi" w:cstheme="minorHAnsi"/>
                <w:bCs w:val="0"/>
                <w:color w:val="000000"/>
                <w:spacing w:val="-14"/>
                <w:sz w:val="19"/>
                <w:szCs w:val="19"/>
                <w:lang w:val="fr-FR" w:eastAsia="en-GB"/>
              </w:rPr>
              <w:t>No</w:t>
            </w:r>
            <w:r w:rsidR="004600F3" w:rsidRPr="0099411D">
              <w:rPr>
                <w:rFonts w:asciiTheme="minorHAnsi" w:eastAsia="Times New Roman" w:hAnsiTheme="minorHAnsi" w:cstheme="minorHAnsi"/>
                <w:bCs w:val="0"/>
                <w:color w:val="000000"/>
                <w:spacing w:val="-14"/>
                <w:sz w:val="19"/>
                <w:szCs w:val="19"/>
                <w:lang w:val="fr-FR" w:eastAsia="en-GB"/>
              </w:rPr>
              <w:t xml:space="preserve">n reçu </w:t>
            </w:r>
            <w:r w:rsidR="00012303" w:rsidRPr="0099411D">
              <w:rPr>
                <w:rFonts w:asciiTheme="minorHAnsi" w:eastAsia="Times New Roman" w:hAnsiTheme="minorHAnsi" w:cstheme="minorHAnsi"/>
                <w:bCs w:val="0"/>
                <w:color w:val="000000"/>
                <w:spacing w:val="-14"/>
                <w:sz w:val="19"/>
                <w:szCs w:val="19"/>
                <w:lang w:val="fr-FR" w:eastAsia="en-GB"/>
              </w:rPr>
              <w:t>pour les années précédentes</w:t>
            </w:r>
          </w:p>
        </w:tc>
        <w:tc>
          <w:tcPr>
            <w:tcW w:w="794" w:type="dxa"/>
            <w:shd w:val="clear" w:color="auto" w:fill="DBE5F1" w:themeFill="accent1" w:themeFillTint="33"/>
            <w:vAlign w:val="center"/>
            <w:hideMark/>
          </w:tcPr>
          <w:p w14:paraId="3D6500C4" w14:textId="321FB97F" w:rsidR="005C1B09" w:rsidRPr="0099411D" w:rsidRDefault="00012303" w:rsidP="00B938BE">
            <w:pPr>
              <w:ind w:left="0" w:firstLine="0"/>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Cs w:val="0"/>
                <w:color w:val="000000"/>
                <w:spacing w:val="-14"/>
                <w:sz w:val="19"/>
                <w:szCs w:val="19"/>
                <w:lang w:val="fr-FR" w:eastAsia="en-GB"/>
              </w:rPr>
            </w:pPr>
            <w:r w:rsidRPr="0099411D">
              <w:rPr>
                <w:rFonts w:asciiTheme="minorHAnsi" w:eastAsia="Times New Roman" w:hAnsiTheme="minorHAnsi" w:cstheme="minorHAnsi"/>
                <w:bCs w:val="0"/>
                <w:color w:val="000000"/>
                <w:spacing w:val="-14"/>
                <w:sz w:val="19"/>
                <w:szCs w:val="19"/>
                <w:lang w:val="fr-FR" w:eastAsia="en-GB"/>
              </w:rPr>
              <w:t>Prévu pour</w:t>
            </w:r>
            <w:r w:rsidR="005C1B09" w:rsidRPr="0099411D">
              <w:rPr>
                <w:rFonts w:asciiTheme="minorHAnsi" w:eastAsia="Times New Roman" w:hAnsiTheme="minorHAnsi" w:cstheme="minorHAnsi"/>
                <w:bCs w:val="0"/>
                <w:color w:val="000000"/>
                <w:spacing w:val="-14"/>
                <w:sz w:val="19"/>
                <w:szCs w:val="19"/>
                <w:lang w:val="fr-FR" w:eastAsia="en-GB"/>
              </w:rPr>
              <w:t xml:space="preserve"> 2021</w:t>
            </w:r>
          </w:p>
        </w:tc>
        <w:tc>
          <w:tcPr>
            <w:tcW w:w="794" w:type="dxa"/>
            <w:shd w:val="clear" w:color="auto" w:fill="DBE5F1" w:themeFill="accent1" w:themeFillTint="33"/>
            <w:vAlign w:val="center"/>
            <w:hideMark/>
          </w:tcPr>
          <w:p w14:paraId="66DB2C3B" w14:textId="7139464A" w:rsidR="005C1B09" w:rsidRPr="0099411D" w:rsidRDefault="005C1B09" w:rsidP="00B938BE">
            <w:pPr>
              <w:ind w:left="0" w:firstLine="0"/>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Cs w:val="0"/>
                <w:color w:val="000000"/>
                <w:spacing w:val="-14"/>
                <w:sz w:val="19"/>
                <w:szCs w:val="19"/>
                <w:lang w:val="fr-FR" w:eastAsia="en-GB"/>
              </w:rPr>
            </w:pPr>
            <w:r w:rsidRPr="0099411D">
              <w:rPr>
                <w:rFonts w:asciiTheme="minorHAnsi" w:eastAsia="Times New Roman" w:hAnsiTheme="minorHAnsi" w:cstheme="minorHAnsi"/>
                <w:bCs w:val="0"/>
                <w:color w:val="000000"/>
                <w:spacing w:val="-14"/>
                <w:sz w:val="19"/>
                <w:szCs w:val="19"/>
                <w:lang w:val="fr-FR" w:eastAsia="en-GB"/>
              </w:rPr>
              <w:t>Pa</w:t>
            </w:r>
            <w:r w:rsidR="00012303" w:rsidRPr="0099411D">
              <w:rPr>
                <w:rFonts w:asciiTheme="minorHAnsi" w:eastAsia="Times New Roman" w:hAnsiTheme="minorHAnsi" w:cstheme="minorHAnsi"/>
                <w:bCs w:val="0"/>
                <w:color w:val="000000"/>
                <w:spacing w:val="-14"/>
                <w:sz w:val="19"/>
                <w:szCs w:val="19"/>
                <w:lang w:val="fr-FR" w:eastAsia="en-GB"/>
              </w:rPr>
              <w:t>yé pour les années à venir</w:t>
            </w:r>
          </w:p>
        </w:tc>
        <w:tc>
          <w:tcPr>
            <w:tcW w:w="794" w:type="dxa"/>
            <w:shd w:val="clear" w:color="auto" w:fill="DBE5F1" w:themeFill="accent1" w:themeFillTint="33"/>
            <w:vAlign w:val="center"/>
            <w:hideMark/>
          </w:tcPr>
          <w:p w14:paraId="013CAE40" w14:textId="4C539617" w:rsidR="005C1B09" w:rsidRPr="0099411D" w:rsidRDefault="00012303" w:rsidP="00B938BE">
            <w:pPr>
              <w:ind w:left="0" w:firstLine="0"/>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Cs w:val="0"/>
                <w:color w:val="000000"/>
                <w:spacing w:val="-14"/>
                <w:sz w:val="19"/>
                <w:szCs w:val="19"/>
                <w:lang w:val="fr-FR" w:eastAsia="en-GB"/>
              </w:rPr>
            </w:pPr>
            <w:r w:rsidRPr="0099411D">
              <w:rPr>
                <w:rFonts w:asciiTheme="minorHAnsi" w:eastAsia="Times New Roman" w:hAnsiTheme="minorHAnsi" w:cstheme="minorHAnsi"/>
                <w:bCs w:val="0"/>
                <w:color w:val="000000"/>
                <w:spacing w:val="-14"/>
                <w:sz w:val="19"/>
                <w:szCs w:val="19"/>
                <w:lang w:val="fr-FR" w:eastAsia="en-GB"/>
              </w:rPr>
              <w:t>Pour les années précédentes</w:t>
            </w:r>
          </w:p>
        </w:tc>
        <w:tc>
          <w:tcPr>
            <w:tcW w:w="794" w:type="dxa"/>
            <w:shd w:val="clear" w:color="auto" w:fill="DBE5F1" w:themeFill="accent1" w:themeFillTint="33"/>
            <w:vAlign w:val="center"/>
            <w:hideMark/>
          </w:tcPr>
          <w:p w14:paraId="0FF5866C" w14:textId="2DCD1718" w:rsidR="005C1B09" w:rsidRPr="0099411D" w:rsidRDefault="00012303" w:rsidP="00B938BE">
            <w:pPr>
              <w:ind w:left="0" w:firstLine="0"/>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Cs w:val="0"/>
                <w:color w:val="000000"/>
                <w:spacing w:val="-14"/>
                <w:sz w:val="19"/>
                <w:szCs w:val="19"/>
                <w:lang w:val="fr-FR" w:eastAsia="en-GB"/>
              </w:rPr>
            </w:pPr>
            <w:r w:rsidRPr="0099411D">
              <w:rPr>
                <w:rFonts w:asciiTheme="minorHAnsi" w:eastAsia="Times New Roman" w:hAnsiTheme="minorHAnsi" w:cstheme="minorHAnsi"/>
                <w:bCs w:val="0"/>
                <w:color w:val="000000"/>
                <w:spacing w:val="-14"/>
                <w:sz w:val="19"/>
                <w:szCs w:val="19"/>
                <w:lang w:val="fr-FR" w:eastAsia="en-GB"/>
              </w:rPr>
              <w:t>Pour</w:t>
            </w:r>
            <w:r w:rsidR="005C1B09" w:rsidRPr="0099411D">
              <w:rPr>
                <w:rFonts w:asciiTheme="minorHAnsi" w:eastAsia="Times New Roman" w:hAnsiTheme="minorHAnsi" w:cstheme="minorHAnsi"/>
                <w:bCs w:val="0"/>
                <w:color w:val="000000"/>
                <w:spacing w:val="-14"/>
                <w:sz w:val="19"/>
                <w:szCs w:val="19"/>
                <w:lang w:val="fr-FR" w:eastAsia="en-GB"/>
              </w:rPr>
              <w:t xml:space="preserve"> 2021</w:t>
            </w:r>
          </w:p>
        </w:tc>
        <w:tc>
          <w:tcPr>
            <w:tcW w:w="794" w:type="dxa"/>
            <w:shd w:val="clear" w:color="auto" w:fill="DBE5F1" w:themeFill="accent1" w:themeFillTint="33"/>
            <w:vAlign w:val="center"/>
            <w:hideMark/>
          </w:tcPr>
          <w:p w14:paraId="5932A76A" w14:textId="43790786" w:rsidR="005C1B09" w:rsidRPr="0099411D" w:rsidRDefault="00012303" w:rsidP="00B938BE">
            <w:pPr>
              <w:ind w:left="0" w:firstLine="0"/>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Cs w:val="0"/>
                <w:color w:val="000000"/>
                <w:spacing w:val="-14"/>
                <w:sz w:val="19"/>
                <w:szCs w:val="19"/>
                <w:lang w:val="fr-FR" w:eastAsia="en-GB"/>
              </w:rPr>
            </w:pPr>
            <w:r w:rsidRPr="0099411D">
              <w:rPr>
                <w:rFonts w:asciiTheme="minorHAnsi" w:eastAsia="Times New Roman" w:hAnsiTheme="minorHAnsi" w:cstheme="minorHAnsi"/>
                <w:bCs w:val="0"/>
                <w:color w:val="000000"/>
                <w:spacing w:val="-14"/>
                <w:sz w:val="19"/>
                <w:szCs w:val="19"/>
                <w:lang w:val="fr-FR" w:eastAsia="en-GB"/>
              </w:rPr>
              <w:t xml:space="preserve">Pour les années </w:t>
            </w:r>
            <w:r w:rsidR="005C1B09" w:rsidRPr="0099411D">
              <w:rPr>
                <w:rFonts w:asciiTheme="minorHAnsi" w:eastAsia="Times New Roman" w:hAnsiTheme="minorHAnsi" w:cstheme="minorHAnsi"/>
                <w:bCs w:val="0"/>
                <w:color w:val="000000"/>
                <w:spacing w:val="-14"/>
                <w:sz w:val="19"/>
                <w:szCs w:val="19"/>
                <w:lang w:val="fr-FR" w:eastAsia="en-GB"/>
              </w:rPr>
              <w:t>future</w:t>
            </w:r>
            <w:r w:rsidRPr="0099411D">
              <w:rPr>
                <w:rFonts w:asciiTheme="minorHAnsi" w:eastAsia="Times New Roman" w:hAnsiTheme="minorHAnsi" w:cstheme="minorHAnsi"/>
                <w:bCs w:val="0"/>
                <w:color w:val="000000"/>
                <w:spacing w:val="-14"/>
                <w:sz w:val="19"/>
                <w:szCs w:val="19"/>
                <w:lang w:val="fr-FR" w:eastAsia="en-GB"/>
              </w:rPr>
              <w:t>s</w:t>
            </w:r>
          </w:p>
        </w:tc>
        <w:tc>
          <w:tcPr>
            <w:tcW w:w="794" w:type="dxa"/>
            <w:shd w:val="clear" w:color="auto" w:fill="DBE5F1" w:themeFill="accent1" w:themeFillTint="33"/>
            <w:vAlign w:val="center"/>
            <w:hideMark/>
          </w:tcPr>
          <w:p w14:paraId="074D6C1C" w14:textId="72CA5D7B" w:rsidR="005C1B09" w:rsidRPr="0099411D" w:rsidRDefault="00012303" w:rsidP="00B938BE">
            <w:pPr>
              <w:ind w:left="0" w:firstLine="0"/>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Cs w:val="0"/>
                <w:color w:val="000000"/>
                <w:spacing w:val="-14"/>
                <w:sz w:val="19"/>
                <w:szCs w:val="19"/>
                <w:lang w:val="fr-FR" w:eastAsia="en-GB"/>
              </w:rPr>
            </w:pPr>
            <w:r w:rsidRPr="0099411D">
              <w:rPr>
                <w:rFonts w:asciiTheme="minorHAnsi" w:eastAsia="Times New Roman" w:hAnsiTheme="minorHAnsi" w:cstheme="minorHAnsi"/>
                <w:bCs w:val="0"/>
                <w:color w:val="000000"/>
                <w:spacing w:val="-14"/>
                <w:sz w:val="19"/>
                <w:szCs w:val="19"/>
                <w:lang w:val="fr-FR" w:eastAsia="en-GB"/>
              </w:rPr>
              <w:t>Non r</w:t>
            </w:r>
            <w:r w:rsidR="0099411D">
              <w:rPr>
                <w:rFonts w:asciiTheme="minorHAnsi" w:eastAsia="Times New Roman" w:hAnsiTheme="minorHAnsi" w:cstheme="minorHAnsi"/>
                <w:bCs w:val="0"/>
                <w:color w:val="000000"/>
                <w:spacing w:val="-14"/>
                <w:sz w:val="19"/>
                <w:szCs w:val="19"/>
                <w:lang w:val="fr-FR" w:eastAsia="en-GB"/>
              </w:rPr>
              <w:t>eçu pour les années précédentes</w:t>
            </w:r>
          </w:p>
        </w:tc>
        <w:tc>
          <w:tcPr>
            <w:tcW w:w="794" w:type="dxa"/>
            <w:shd w:val="clear" w:color="auto" w:fill="DBE5F1" w:themeFill="accent1" w:themeFillTint="33"/>
            <w:vAlign w:val="center"/>
            <w:hideMark/>
          </w:tcPr>
          <w:p w14:paraId="40391AD4" w14:textId="05E0FEC7" w:rsidR="005C1B09" w:rsidRPr="0099411D" w:rsidRDefault="005C1B09" w:rsidP="00B938BE">
            <w:pPr>
              <w:ind w:left="0" w:firstLine="0"/>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Cs w:val="0"/>
                <w:color w:val="000000"/>
                <w:spacing w:val="-14"/>
                <w:sz w:val="19"/>
                <w:szCs w:val="19"/>
                <w:lang w:val="fr-FR" w:eastAsia="en-GB"/>
              </w:rPr>
            </w:pPr>
            <w:r w:rsidRPr="0099411D">
              <w:rPr>
                <w:rFonts w:asciiTheme="minorHAnsi" w:eastAsia="Times New Roman" w:hAnsiTheme="minorHAnsi" w:cstheme="minorHAnsi"/>
                <w:bCs w:val="0"/>
                <w:color w:val="000000"/>
                <w:spacing w:val="-14"/>
                <w:sz w:val="19"/>
                <w:szCs w:val="19"/>
                <w:lang w:val="fr-FR" w:eastAsia="en-GB"/>
              </w:rPr>
              <w:t>No</w:t>
            </w:r>
            <w:r w:rsidR="00012303" w:rsidRPr="0099411D">
              <w:rPr>
                <w:rFonts w:asciiTheme="minorHAnsi" w:eastAsia="Times New Roman" w:hAnsiTheme="minorHAnsi" w:cstheme="minorHAnsi"/>
                <w:bCs w:val="0"/>
                <w:color w:val="000000"/>
                <w:spacing w:val="-14"/>
                <w:sz w:val="19"/>
                <w:szCs w:val="19"/>
                <w:lang w:val="fr-FR" w:eastAsia="en-GB"/>
              </w:rPr>
              <w:t>n</w:t>
            </w:r>
            <w:r w:rsidRPr="0099411D">
              <w:rPr>
                <w:rFonts w:asciiTheme="minorHAnsi" w:eastAsia="Times New Roman" w:hAnsiTheme="minorHAnsi" w:cstheme="minorHAnsi"/>
                <w:bCs w:val="0"/>
                <w:color w:val="000000"/>
                <w:spacing w:val="-14"/>
                <w:sz w:val="19"/>
                <w:szCs w:val="19"/>
                <w:lang w:val="fr-FR" w:eastAsia="en-GB"/>
              </w:rPr>
              <w:t xml:space="preserve"> re</w:t>
            </w:r>
            <w:r w:rsidR="00012303" w:rsidRPr="0099411D">
              <w:rPr>
                <w:rFonts w:asciiTheme="minorHAnsi" w:eastAsia="Times New Roman" w:hAnsiTheme="minorHAnsi" w:cstheme="minorHAnsi"/>
                <w:bCs w:val="0"/>
                <w:color w:val="000000"/>
                <w:spacing w:val="-14"/>
                <w:sz w:val="19"/>
                <w:szCs w:val="19"/>
                <w:lang w:val="fr-FR" w:eastAsia="en-GB"/>
              </w:rPr>
              <w:t>çu</w:t>
            </w:r>
            <w:r w:rsidRPr="0099411D">
              <w:rPr>
                <w:rFonts w:asciiTheme="minorHAnsi" w:eastAsia="Times New Roman" w:hAnsiTheme="minorHAnsi" w:cstheme="minorHAnsi"/>
                <w:bCs w:val="0"/>
                <w:color w:val="000000"/>
                <w:spacing w:val="-14"/>
                <w:sz w:val="19"/>
                <w:szCs w:val="19"/>
                <w:lang w:val="fr-FR" w:eastAsia="en-GB"/>
              </w:rPr>
              <w:t xml:space="preserve"> </w:t>
            </w:r>
            <w:r w:rsidR="00012303" w:rsidRPr="0099411D">
              <w:rPr>
                <w:rFonts w:asciiTheme="minorHAnsi" w:eastAsia="Times New Roman" w:hAnsiTheme="minorHAnsi" w:cstheme="minorHAnsi"/>
                <w:bCs w:val="0"/>
                <w:color w:val="000000"/>
                <w:spacing w:val="-14"/>
                <w:sz w:val="19"/>
                <w:szCs w:val="19"/>
                <w:lang w:val="fr-FR" w:eastAsia="en-GB"/>
              </w:rPr>
              <w:t xml:space="preserve">pour </w:t>
            </w:r>
            <w:r w:rsidRPr="0099411D">
              <w:rPr>
                <w:rFonts w:asciiTheme="minorHAnsi" w:eastAsia="Times New Roman" w:hAnsiTheme="minorHAnsi" w:cstheme="minorHAnsi"/>
                <w:bCs w:val="0"/>
                <w:color w:val="000000"/>
                <w:spacing w:val="-14"/>
                <w:sz w:val="19"/>
                <w:szCs w:val="19"/>
                <w:lang w:val="fr-FR" w:eastAsia="en-GB"/>
              </w:rPr>
              <w:t>2021</w:t>
            </w:r>
          </w:p>
        </w:tc>
        <w:tc>
          <w:tcPr>
            <w:tcW w:w="794" w:type="dxa"/>
            <w:shd w:val="clear" w:color="auto" w:fill="DBE5F1" w:themeFill="accent1" w:themeFillTint="33"/>
            <w:vAlign w:val="center"/>
            <w:hideMark/>
          </w:tcPr>
          <w:p w14:paraId="69C71ABE" w14:textId="164234BD" w:rsidR="005C1B09" w:rsidRPr="0099411D" w:rsidRDefault="005C1B09" w:rsidP="00B938BE">
            <w:pPr>
              <w:ind w:left="0" w:firstLine="0"/>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Cs w:val="0"/>
                <w:color w:val="000000"/>
                <w:spacing w:val="-14"/>
                <w:sz w:val="19"/>
                <w:szCs w:val="19"/>
                <w:lang w:val="fr-FR" w:eastAsia="en-GB"/>
              </w:rPr>
            </w:pPr>
            <w:r w:rsidRPr="0099411D">
              <w:rPr>
                <w:rFonts w:asciiTheme="minorHAnsi" w:eastAsia="Times New Roman" w:hAnsiTheme="minorHAnsi" w:cstheme="minorHAnsi"/>
                <w:bCs w:val="0"/>
                <w:color w:val="000000"/>
                <w:spacing w:val="-14"/>
                <w:sz w:val="19"/>
                <w:szCs w:val="19"/>
                <w:lang w:val="fr-FR" w:eastAsia="en-GB"/>
              </w:rPr>
              <w:t>Re</w:t>
            </w:r>
            <w:r w:rsidR="00012303" w:rsidRPr="0099411D">
              <w:rPr>
                <w:rFonts w:asciiTheme="minorHAnsi" w:eastAsia="Times New Roman" w:hAnsiTheme="minorHAnsi" w:cstheme="minorHAnsi"/>
                <w:bCs w:val="0"/>
                <w:color w:val="000000"/>
                <w:spacing w:val="-14"/>
                <w:sz w:val="19"/>
                <w:szCs w:val="19"/>
                <w:lang w:val="fr-FR" w:eastAsia="en-GB"/>
              </w:rPr>
              <w:t>çu pour les années futires</w:t>
            </w:r>
          </w:p>
        </w:tc>
      </w:tr>
      <w:tr w:rsidR="002E149D" w:rsidRPr="00A4333E" w14:paraId="18813910" w14:textId="77777777" w:rsidTr="00B938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noWrap/>
            <w:hideMark/>
          </w:tcPr>
          <w:p w14:paraId="109F6691" w14:textId="77777777" w:rsidR="002E149D" w:rsidRPr="00A4333E" w:rsidRDefault="002E149D" w:rsidP="00483E42">
            <w:pPr>
              <w:ind w:left="0" w:firstLine="0"/>
              <w:rPr>
                <w:rFonts w:asciiTheme="minorHAnsi" w:eastAsia="Times New Roman" w:hAnsiTheme="minorHAnsi" w:cstheme="minorHAnsi"/>
                <w:b w:val="0"/>
                <w:bCs w:val="0"/>
                <w:color w:val="000000"/>
                <w:sz w:val="20"/>
                <w:szCs w:val="20"/>
                <w:lang w:val="fr-FR" w:eastAsia="en-GB"/>
              </w:rPr>
            </w:pPr>
            <w:r w:rsidRPr="00A4333E">
              <w:rPr>
                <w:rFonts w:asciiTheme="minorHAnsi" w:eastAsia="Times New Roman" w:hAnsiTheme="minorHAnsi" w:cstheme="minorHAnsi"/>
                <w:b w:val="0"/>
                <w:bCs w:val="0"/>
                <w:color w:val="000000"/>
                <w:sz w:val="20"/>
                <w:szCs w:val="20"/>
                <w:lang w:val="fr-FR" w:eastAsia="en-GB"/>
              </w:rPr>
              <w:t>Afrique du Sud</w:t>
            </w:r>
          </w:p>
        </w:tc>
        <w:tc>
          <w:tcPr>
            <w:tcW w:w="794" w:type="dxa"/>
            <w:vAlign w:val="center"/>
            <w:hideMark/>
          </w:tcPr>
          <w:p w14:paraId="4E2E7CC0"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13,313 </w:t>
            </w:r>
          </w:p>
        </w:tc>
        <w:tc>
          <w:tcPr>
            <w:tcW w:w="794" w:type="dxa"/>
            <w:vAlign w:val="center"/>
            <w:hideMark/>
          </w:tcPr>
          <w:p w14:paraId="6874B4CE"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13,313 </w:t>
            </w:r>
          </w:p>
        </w:tc>
        <w:tc>
          <w:tcPr>
            <w:tcW w:w="794" w:type="dxa"/>
            <w:vAlign w:val="center"/>
            <w:hideMark/>
          </w:tcPr>
          <w:p w14:paraId="6049219E"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709BA1FB"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13,313 </w:t>
            </w:r>
          </w:p>
        </w:tc>
        <w:tc>
          <w:tcPr>
            <w:tcW w:w="794" w:type="dxa"/>
            <w:vAlign w:val="center"/>
            <w:hideMark/>
          </w:tcPr>
          <w:p w14:paraId="1DA2167E"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6E45A06F"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0028B92A"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35543708"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13,313 </w:t>
            </w:r>
          </w:p>
        </w:tc>
        <w:tc>
          <w:tcPr>
            <w:tcW w:w="794" w:type="dxa"/>
            <w:vAlign w:val="center"/>
            <w:hideMark/>
          </w:tcPr>
          <w:p w14:paraId="7ACFFF47"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w:t>
            </w:r>
          </w:p>
        </w:tc>
      </w:tr>
      <w:tr w:rsidR="002E149D" w:rsidRPr="00A4333E" w14:paraId="3384D734" w14:textId="77777777" w:rsidTr="00B938BE">
        <w:tc>
          <w:tcPr>
            <w:cnfStyle w:val="001000000000" w:firstRow="0" w:lastRow="0" w:firstColumn="1" w:lastColumn="0" w:oddVBand="0" w:evenVBand="0" w:oddHBand="0" w:evenHBand="0" w:firstRowFirstColumn="0" w:firstRowLastColumn="0" w:lastRowFirstColumn="0" w:lastRowLastColumn="0"/>
            <w:tcW w:w="1838" w:type="dxa"/>
            <w:noWrap/>
            <w:hideMark/>
          </w:tcPr>
          <w:p w14:paraId="3076CE70" w14:textId="77777777" w:rsidR="002E149D" w:rsidRPr="00A4333E" w:rsidRDefault="002E149D" w:rsidP="00483E42">
            <w:pPr>
              <w:ind w:left="0" w:firstLine="0"/>
              <w:rPr>
                <w:rFonts w:asciiTheme="minorHAnsi" w:eastAsia="Times New Roman" w:hAnsiTheme="minorHAnsi" w:cstheme="minorHAnsi"/>
                <w:b w:val="0"/>
                <w:bCs w:val="0"/>
                <w:color w:val="000000"/>
                <w:sz w:val="20"/>
                <w:szCs w:val="20"/>
                <w:lang w:val="fr-FR" w:eastAsia="en-GB"/>
              </w:rPr>
            </w:pPr>
            <w:r w:rsidRPr="00A4333E">
              <w:rPr>
                <w:rFonts w:asciiTheme="minorHAnsi" w:eastAsia="Times New Roman" w:hAnsiTheme="minorHAnsi" w:cstheme="minorHAnsi"/>
                <w:b w:val="0"/>
                <w:bCs w:val="0"/>
                <w:color w:val="000000"/>
                <w:sz w:val="20"/>
                <w:szCs w:val="20"/>
                <w:lang w:val="fr-FR" w:eastAsia="en-GB"/>
              </w:rPr>
              <w:t>Albanie</w:t>
            </w:r>
          </w:p>
        </w:tc>
        <w:tc>
          <w:tcPr>
            <w:tcW w:w="794" w:type="dxa"/>
            <w:vAlign w:val="center"/>
            <w:hideMark/>
          </w:tcPr>
          <w:p w14:paraId="58DA7E4B"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67 </w:t>
            </w:r>
          </w:p>
        </w:tc>
        <w:tc>
          <w:tcPr>
            <w:tcW w:w="794" w:type="dxa"/>
            <w:vAlign w:val="center"/>
            <w:hideMark/>
          </w:tcPr>
          <w:p w14:paraId="512BFAC2"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1,000 </w:t>
            </w:r>
          </w:p>
        </w:tc>
        <w:tc>
          <w:tcPr>
            <w:tcW w:w="794" w:type="dxa"/>
            <w:vAlign w:val="center"/>
            <w:hideMark/>
          </w:tcPr>
          <w:p w14:paraId="1F3FB374"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69D42DD9"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67 </w:t>
            </w:r>
          </w:p>
        </w:tc>
        <w:tc>
          <w:tcPr>
            <w:tcW w:w="794" w:type="dxa"/>
            <w:vAlign w:val="center"/>
            <w:hideMark/>
          </w:tcPr>
          <w:p w14:paraId="0BEFCD54"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1,000 </w:t>
            </w:r>
          </w:p>
        </w:tc>
        <w:tc>
          <w:tcPr>
            <w:tcW w:w="794" w:type="dxa"/>
            <w:vAlign w:val="center"/>
            <w:hideMark/>
          </w:tcPr>
          <w:p w14:paraId="09A4CDC9"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12774953"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0544BC90"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w:t>
            </w:r>
          </w:p>
        </w:tc>
        <w:tc>
          <w:tcPr>
            <w:tcW w:w="794" w:type="dxa"/>
            <w:vAlign w:val="center"/>
            <w:hideMark/>
          </w:tcPr>
          <w:p w14:paraId="390297C3"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w:t>
            </w:r>
          </w:p>
        </w:tc>
      </w:tr>
      <w:tr w:rsidR="002E149D" w:rsidRPr="00A4333E" w14:paraId="43CFEC65" w14:textId="77777777" w:rsidTr="00B938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noWrap/>
            <w:hideMark/>
          </w:tcPr>
          <w:p w14:paraId="0A40A4AF" w14:textId="77777777" w:rsidR="002E149D" w:rsidRPr="00A4333E" w:rsidRDefault="002E149D" w:rsidP="00483E42">
            <w:pPr>
              <w:ind w:left="0" w:firstLine="0"/>
              <w:rPr>
                <w:rFonts w:asciiTheme="minorHAnsi" w:eastAsia="Times New Roman" w:hAnsiTheme="minorHAnsi" w:cstheme="minorHAnsi"/>
                <w:b w:val="0"/>
                <w:bCs w:val="0"/>
                <w:color w:val="000000"/>
                <w:sz w:val="20"/>
                <w:szCs w:val="20"/>
                <w:lang w:val="fr-FR" w:eastAsia="en-GB"/>
              </w:rPr>
            </w:pPr>
            <w:r w:rsidRPr="00A4333E">
              <w:rPr>
                <w:rFonts w:asciiTheme="minorHAnsi" w:eastAsia="Times New Roman" w:hAnsiTheme="minorHAnsi" w:cstheme="minorHAnsi"/>
                <w:b w:val="0"/>
                <w:bCs w:val="0"/>
                <w:color w:val="000000"/>
                <w:sz w:val="20"/>
                <w:szCs w:val="20"/>
                <w:lang w:val="fr-FR" w:eastAsia="en-GB"/>
              </w:rPr>
              <w:t>Algérie</w:t>
            </w:r>
          </w:p>
        </w:tc>
        <w:tc>
          <w:tcPr>
            <w:tcW w:w="794" w:type="dxa"/>
            <w:hideMark/>
          </w:tcPr>
          <w:p w14:paraId="6CFA894A"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w:t>
            </w:r>
          </w:p>
        </w:tc>
        <w:tc>
          <w:tcPr>
            <w:tcW w:w="794" w:type="dxa"/>
            <w:hideMark/>
          </w:tcPr>
          <w:p w14:paraId="6271D32B"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6,755 </w:t>
            </w:r>
          </w:p>
        </w:tc>
        <w:tc>
          <w:tcPr>
            <w:tcW w:w="794" w:type="dxa"/>
            <w:hideMark/>
          </w:tcPr>
          <w:p w14:paraId="43BEF90E"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hideMark/>
          </w:tcPr>
          <w:p w14:paraId="10655F29"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hideMark/>
          </w:tcPr>
          <w:p w14:paraId="1C006FE7"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6,755 </w:t>
            </w:r>
          </w:p>
        </w:tc>
        <w:tc>
          <w:tcPr>
            <w:tcW w:w="794" w:type="dxa"/>
            <w:hideMark/>
          </w:tcPr>
          <w:p w14:paraId="57D1B9BF"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hideMark/>
          </w:tcPr>
          <w:p w14:paraId="23CFC382"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w:t>
            </w:r>
          </w:p>
        </w:tc>
        <w:tc>
          <w:tcPr>
            <w:tcW w:w="794" w:type="dxa"/>
            <w:hideMark/>
          </w:tcPr>
          <w:p w14:paraId="748C1403"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w:t>
            </w:r>
          </w:p>
        </w:tc>
        <w:tc>
          <w:tcPr>
            <w:tcW w:w="794" w:type="dxa"/>
            <w:hideMark/>
          </w:tcPr>
          <w:p w14:paraId="3CE8A35D"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r>
      <w:tr w:rsidR="002E149D" w:rsidRPr="00A4333E" w14:paraId="103CE0AA" w14:textId="77777777" w:rsidTr="00B938BE">
        <w:tc>
          <w:tcPr>
            <w:cnfStyle w:val="001000000000" w:firstRow="0" w:lastRow="0" w:firstColumn="1" w:lastColumn="0" w:oddVBand="0" w:evenVBand="0" w:oddHBand="0" w:evenHBand="0" w:firstRowFirstColumn="0" w:firstRowLastColumn="0" w:lastRowFirstColumn="0" w:lastRowLastColumn="0"/>
            <w:tcW w:w="1838" w:type="dxa"/>
            <w:noWrap/>
            <w:hideMark/>
          </w:tcPr>
          <w:p w14:paraId="1AACAEB8" w14:textId="77777777" w:rsidR="002E149D" w:rsidRPr="00A4333E" w:rsidRDefault="002E149D" w:rsidP="00483E42">
            <w:pPr>
              <w:ind w:left="0" w:firstLine="0"/>
              <w:rPr>
                <w:rFonts w:asciiTheme="minorHAnsi" w:eastAsia="Times New Roman" w:hAnsiTheme="minorHAnsi" w:cstheme="minorHAnsi"/>
                <w:b w:val="0"/>
                <w:bCs w:val="0"/>
                <w:color w:val="000000"/>
                <w:sz w:val="20"/>
                <w:szCs w:val="20"/>
                <w:lang w:val="fr-FR" w:eastAsia="en-GB"/>
              </w:rPr>
            </w:pPr>
            <w:r w:rsidRPr="00A4333E">
              <w:rPr>
                <w:rFonts w:asciiTheme="minorHAnsi" w:eastAsia="Times New Roman" w:hAnsiTheme="minorHAnsi" w:cstheme="minorHAnsi"/>
                <w:b w:val="0"/>
                <w:bCs w:val="0"/>
                <w:color w:val="000000"/>
                <w:sz w:val="20"/>
                <w:szCs w:val="20"/>
                <w:lang w:val="fr-FR" w:eastAsia="en-GB"/>
              </w:rPr>
              <w:t>Allemagne</w:t>
            </w:r>
          </w:p>
        </w:tc>
        <w:tc>
          <w:tcPr>
            <w:tcW w:w="794" w:type="dxa"/>
            <w:vAlign w:val="center"/>
            <w:hideMark/>
          </w:tcPr>
          <w:p w14:paraId="6DB77C04"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331DA7FB"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298,081 </w:t>
            </w:r>
          </w:p>
        </w:tc>
        <w:tc>
          <w:tcPr>
            <w:tcW w:w="794" w:type="dxa"/>
            <w:vAlign w:val="center"/>
            <w:hideMark/>
          </w:tcPr>
          <w:p w14:paraId="13C20BD9"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164D3823"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2B6F41F3"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298,081 </w:t>
            </w:r>
          </w:p>
        </w:tc>
        <w:tc>
          <w:tcPr>
            <w:tcW w:w="794" w:type="dxa"/>
            <w:vAlign w:val="center"/>
            <w:hideMark/>
          </w:tcPr>
          <w:p w14:paraId="6641D9B2"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07497A61"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28E88041"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w:t>
            </w:r>
          </w:p>
        </w:tc>
        <w:tc>
          <w:tcPr>
            <w:tcW w:w="794" w:type="dxa"/>
            <w:vAlign w:val="center"/>
            <w:hideMark/>
          </w:tcPr>
          <w:p w14:paraId="7A8D0D1C"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w:t>
            </w:r>
          </w:p>
        </w:tc>
      </w:tr>
      <w:tr w:rsidR="002E149D" w:rsidRPr="00A4333E" w14:paraId="631678C7" w14:textId="77777777" w:rsidTr="00B938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noWrap/>
            <w:hideMark/>
          </w:tcPr>
          <w:p w14:paraId="0A83860B" w14:textId="77777777" w:rsidR="002E149D" w:rsidRPr="00A4333E" w:rsidRDefault="002E149D" w:rsidP="00483E42">
            <w:pPr>
              <w:ind w:left="0" w:firstLine="0"/>
              <w:rPr>
                <w:rFonts w:asciiTheme="minorHAnsi" w:eastAsia="Times New Roman" w:hAnsiTheme="minorHAnsi" w:cstheme="minorHAnsi"/>
                <w:b w:val="0"/>
                <w:bCs w:val="0"/>
                <w:color w:val="000000"/>
                <w:sz w:val="20"/>
                <w:szCs w:val="20"/>
                <w:lang w:val="fr-FR" w:eastAsia="en-GB"/>
              </w:rPr>
            </w:pPr>
            <w:r w:rsidRPr="00A4333E">
              <w:rPr>
                <w:rFonts w:asciiTheme="minorHAnsi" w:eastAsia="Times New Roman" w:hAnsiTheme="minorHAnsi" w:cstheme="minorHAnsi"/>
                <w:b w:val="0"/>
                <w:bCs w:val="0"/>
                <w:color w:val="000000"/>
                <w:sz w:val="20"/>
                <w:szCs w:val="20"/>
                <w:lang w:val="fr-FR" w:eastAsia="en-GB"/>
              </w:rPr>
              <w:t>Andorre</w:t>
            </w:r>
          </w:p>
        </w:tc>
        <w:tc>
          <w:tcPr>
            <w:tcW w:w="794" w:type="dxa"/>
            <w:vAlign w:val="center"/>
            <w:hideMark/>
          </w:tcPr>
          <w:p w14:paraId="72BA14E2"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67C0077A"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1,000 </w:t>
            </w:r>
          </w:p>
        </w:tc>
        <w:tc>
          <w:tcPr>
            <w:tcW w:w="794" w:type="dxa"/>
            <w:vAlign w:val="center"/>
            <w:hideMark/>
          </w:tcPr>
          <w:p w14:paraId="4CEBCA62"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0CBFDD22"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3793186D"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1,000 </w:t>
            </w:r>
          </w:p>
        </w:tc>
        <w:tc>
          <w:tcPr>
            <w:tcW w:w="794" w:type="dxa"/>
            <w:vAlign w:val="center"/>
            <w:hideMark/>
          </w:tcPr>
          <w:p w14:paraId="211CD47B"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6A104614"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0D5D4D7A"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w:t>
            </w:r>
          </w:p>
        </w:tc>
        <w:tc>
          <w:tcPr>
            <w:tcW w:w="794" w:type="dxa"/>
            <w:vAlign w:val="center"/>
            <w:hideMark/>
          </w:tcPr>
          <w:p w14:paraId="4F71FD7D"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w:t>
            </w:r>
          </w:p>
        </w:tc>
      </w:tr>
      <w:tr w:rsidR="002E149D" w:rsidRPr="00A4333E" w14:paraId="58B3C29E" w14:textId="77777777" w:rsidTr="00B938BE">
        <w:tc>
          <w:tcPr>
            <w:cnfStyle w:val="001000000000" w:firstRow="0" w:lastRow="0" w:firstColumn="1" w:lastColumn="0" w:oddVBand="0" w:evenVBand="0" w:oddHBand="0" w:evenHBand="0" w:firstRowFirstColumn="0" w:firstRowLastColumn="0" w:lastRowFirstColumn="0" w:lastRowLastColumn="0"/>
            <w:tcW w:w="1838" w:type="dxa"/>
            <w:noWrap/>
            <w:hideMark/>
          </w:tcPr>
          <w:p w14:paraId="7024585C" w14:textId="77777777" w:rsidR="002E149D" w:rsidRPr="00A4333E" w:rsidRDefault="002E149D" w:rsidP="00483E42">
            <w:pPr>
              <w:ind w:left="0" w:firstLine="0"/>
              <w:rPr>
                <w:rFonts w:asciiTheme="minorHAnsi" w:eastAsia="Times New Roman" w:hAnsiTheme="minorHAnsi" w:cstheme="minorHAnsi"/>
                <w:b w:val="0"/>
                <w:bCs w:val="0"/>
                <w:color w:val="000000"/>
                <w:sz w:val="20"/>
                <w:szCs w:val="20"/>
                <w:lang w:val="fr-FR" w:eastAsia="en-GB"/>
              </w:rPr>
            </w:pPr>
            <w:r w:rsidRPr="00A4333E">
              <w:rPr>
                <w:rFonts w:asciiTheme="minorHAnsi" w:eastAsia="Times New Roman" w:hAnsiTheme="minorHAnsi" w:cstheme="minorHAnsi"/>
                <w:b w:val="0"/>
                <w:bCs w:val="0"/>
                <w:color w:val="000000"/>
                <w:sz w:val="20"/>
                <w:szCs w:val="20"/>
                <w:lang w:val="fr-FR" w:eastAsia="en-GB"/>
              </w:rPr>
              <w:t>Antigua-et- Barbuda</w:t>
            </w:r>
          </w:p>
        </w:tc>
        <w:tc>
          <w:tcPr>
            <w:tcW w:w="794" w:type="dxa"/>
            <w:vAlign w:val="center"/>
            <w:hideMark/>
          </w:tcPr>
          <w:p w14:paraId="3D5EBB1B"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13,000 </w:t>
            </w:r>
          </w:p>
        </w:tc>
        <w:tc>
          <w:tcPr>
            <w:tcW w:w="794" w:type="dxa"/>
            <w:vAlign w:val="center"/>
            <w:hideMark/>
          </w:tcPr>
          <w:p w14:paraId="763CD40C"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1,000 </w:t>
            </w:r>
          </w:p>
        </w:tc>
        <w:tc>
          <w:tcPr>
            <w:tcW w:w="794" w:type="dxa"/>
            <w:vAlign w:val="center"/>
            <w:hideMark/>
          </w:tcPr>
          <w:p w14:paraId="169FB704"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083CC23D"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1DF450F7"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40D2CD0D"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721143D6"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13,000 </w:t>
            </w:r>
          </w:p>
        </w:tc>
        <w:tc>
          <w:tcPr>
            <w:tcW w:w="794" w:type="dxa"/>
            <w:vAlign w:val="center"/>
            <w:hideMark/>
          </w:tcPr>
          <w:p w14:paraId="1B6459F6"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1,000 </w:t>
            </w:r>
          </w:p>
        </w:tc>
        <w:tc>
          <w:tcPr>
            <w:tcW w:w="794" w:type="dxa"/>
            <w:vAlign w:val="center"/>
            <w:hideMark/>
          </w:tcPr>
          <w:p w14:paraId="73DBF786"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w:t>
            </w:r>
          </w:p>
        </w:tc>
      </w:tr>
      <w:tr w:rsidR="002E149D" w:rsidRPr="00A4333E" w14:paraId="1135C77C" w14:textId="77777777" w:rsidTr="00B938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noWrap/>
            <w:hideMark/>
          </w:tcPr>
          <w:p w14:paraId="033E19D1" w14:textId="77777777" w:rsidR="002E149D" w:rsidRPr="00A4333E" w:rsidRDefault="002E149D" w:rsidP="00483E42">
            <w:pPr>
              <w:ind w:left="0" w:firstLine="0"/>
              <w:rPr>
                <w:rFonts w:asciiTheme="minorHAnsi" w:eastAsia="Times New Roman" w:hAnsiTheme="minorHAnsi" w:cstheme="minorHAnsi"/>
                <w:b w:val="0"/>
                <w:bCs w:val="0"/>
                <w:color w:val="000000"/>
                <w:sz w:val="20"/>
                <w:szCs w:val="20"/>
                <w:lang w:val="fr-FR" w:eastAsia="en-GB"/>
              </w:rPr>
            </w:pPr>
            <w:r w:rsidRPr="00A4333E">
              <w:rPr>
                <w:rFonts w:asciiTheme="minorHAnsi" w:eastAsia="Times New Roman" w:hAnsiTheme="minorHAnsi" w:cstheme="minorHAnsi"/>
                <w:b w:val="0"/>
                <w:bCs w:val="0"/>
                <w:color w:val="000000"/>
                <w:sz w:val="20"/>
                <w:szCs w:val="20"/>
                <w:lang w:val="fr-FR" w:eastAsia="en-GB"/>
              </w:rPr>
              <w:t>Argentine</w:t>
            </w:r>
          </w:p>
        </w:tc>
        <w:tc>
          <w:tcPr>
            <w:tcW w:w="794" w:type="dxa"/>
            <w:vAlign w:val="center"/>
            <w:hideMark/>
          </w:tcPr>
          <w:p w14:paraId="0071286B"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89,584 </w:t>
            </w:r>
          </w:p>
        </w:tc>
        <w:tc>
          <w:tcPr>
            <w:tcW w:w="794" w:type="dxa"/>
            <w:vAlign w:val="center"/>
            <w:hideMark/>
          </w:tcPr>
          <w:p w14:paraId="10283AE9"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44,786 </w:t>
            </w:r>
          </w:p>
        </w:tc>
        <w:tc>
          <w:tcPr>
            <w:tcW w:w="794" w:type="dxa"/>
            <w:vAlign w:val="center"/>
            <w:hideMark/>
          </w:tcPr>
          <w:p w14:paraId="7268C34B"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38190C57"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44,798 </w:t>
            </w:r>
          </w:p>
        </w:tc>
        <w:tc>
          <w:tcPr>
            <w:tcW w:w="794" w:type="dxa"/>
            <w:vAlign w:val="center"/>
            <w:hideMark/>
          </w:tcPr>
          <w:p w14:paraId="33FB2778"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4525F378"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5BFA2A5E"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44,786 </w:t>
            </w:r>
          </w:p>
        </w:tc>
        <w:tc>
          <w:tcPr>
            <w:tcW w:w="794" w:type="dxa"/>
            <w:vAlign w:val="center"/>
            <w:hideMark/>
          </w:tcPr>
          <w:p w14:paraId="273847F1"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44,786 </w:t>
            </w:r>
          </w:p>
        </w:tc>
        <w:tc>
          <w:tcPr>
            <w:tcW w:w="794" w:type="dxa"/>
            <w:vAlign w:val="center"/>
            <w:hideMark/>
          </w:tcPr>
          <w:p w14:paraId="352CC2B1"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w:t>
            </w:r>
          </w:p>
        </w:tc>
      </w:tr>
      <w:tr w:rsidR="002E149D" w:rsidRPr="00A4333E" w14:paraId="4F576E8E" w14:textId="77777777" w:rsidTr="00B938BE">
        <w:tc>
          <w:tcPr>
            <w:cnfStyle w:val="001000000000" w:firstRow="0" w:lastRow="0" w:firstColumn="1" w:lastColumn="0" w:oddVBand="0" w:evenVBand="0" w:oddHBand="0" w:evenHBand="0" w:firstRowFirstColumn="0" w:firstRowLastColumn="0" w:lastRowFirstColumn="0" w:lastRowLastColumn="0"/>
            <w:tcW w:w="1838" w:type="dxa"/>
            <w:noWrap/>
            <w:hideMark/>
          </w:tcPr>
          <w:p w14:paraId="5732A8F3" w14:textId="77777777" w:rsidR="002E149D" w:rsidRPr="00A4333E" w:rsidRDefault="002E149D" w:rsidP="00483E42">
            <w:pPr>
              <w:ind w:left="0" w:firstLine="0"/>
              <w:rPr>
                <w:rFonts w:asciiTheme="minorHAnsi" w:eastAsia="Times New Roman" w:hAnsiTheme="minorHAnsi" w:cstheme="minorHAnsi"/>
                <w:b w:val="0"/>
                <w:bCs w:val="0"/>
                <w:color w:val="000000"/>
                <w:sz w:val="20"/>
                <w:szCs w:val="20"/>
                <w:lang w:val="fr-FR" w:eastAsia="en-GB"/>
              </w:rPr>
            </w:pPr>
            <w:r w:rsidRPr="00A4333E">
              <w:rPr>
                <w:rFonts w:asciiTheme="minorHAnsi" w:eastAsia="Times New Roman" w:hAnsiTheme="minorHAnsi" w:cstheme="minorHAnsi"/>
                <w:b w:val="0"/>
                <w:bCs w:val="0"/>
                <w:color w:val="000000"/>
                <w:sz w:val="20"/>
                <w:szCs w:val="20"/>
                <w:lang w:val="fr-FR" w:eastAsia="en-GB"/>
              </w:rPr>
              <w:t>Arménie</w:t>
            </w:r>
          </w:p>
        </w:tc>
        <w:tc>
          <w:tcPr>
            <w:tcW w:w="794" w:type="dxa"/>
            <w:vAlign w:val="center"/>
            <w:hideMark/>
          </w:tcPr>
          <w:p w14:paraId="4D88685D"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05189BD1"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1,000 </w:t>
            </w:r>
          </w:p>
        </w:tc>
        <w:tc>
          <w:tcPr>
            <w:tcW w:w="794" w:type="dxa"/>
            <w:vAlign w:val="center"/>
            <w:hideMark/>
          </w:tcPr>
          <w:p w14:paraId="1C1E6736"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556A44A1"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68D7AF4D"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1,000 </w:t>
            </w:r>
          </w:p>
        </w:tc>
        <w:tc>
          <w:tcPr>
            <w:tcW w:w="794" w:type="dxa"/>
            <w:vAlign w:val="center"/>
            <w:hideMark/>
          </w:tcPr>
          <w:p w14:paraId="356CFC82"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311FD168"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2CB155E1"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w:t>
            </w:r>
          </w:p>
        </w:tc>
        <w:tc>
          <w:tcPr>
            <w:tcW w:w="794" w:type="dxa"/>
            <w:vAlign w:val="center"/>
            <w:hideMark/>
          </w:tcPr>
          <w:p w14:paraId="2A385D13"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w:t>
            </w:r>
          </w:p>
        </w:tc>
      </w:tr>
      <w:tr w:rsidR="002E149D" w:rsidRPr="00A4333E" w14:paraId="6360C7B6" w14:textId="77777777" w:rsidTr="00B938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noWrap/>
            <w:hideMark/>
          </w:tcPr>
          <w:p w14:paraId="68391074" w14:textId="77777777" w:rsidR="002E149D" w:rsidRPr="00A4333E" w:rsidRDefault="002E149D" w:rsidP="00483E42">
            <w:pPr>
              <w:ind w:left="0" w:firstLine="0"/>
              <w:rPr>
                <w:rFonts w:asciiTheme="minorHAnsi" w:eastAsia="Times New Roman" w:hAnsiTheme="minorHAnsi" w:cstheme="minorHAnsi"/>
                <w:b w:val="0"/>
                <w:bCs w:val="0"/>
                <w:color w:val="000000"/>
                <w:sz w:val="20"/>
                <w:szCs w:val="20"/>
                <w:lang w:val="fr-FR" w:eastAsia="en-GB"/>
              </w:rPr>
            </w:pPr>
            <w:r w:rsidRPr="00A4333E">
              <w:rPr>
                <w:rFonts w:asciiTheme="minorHAnsi" w:eastAsia="Times New Roman" w:hAnsiTheme="minorHAnsi" w:cstheme="minorHAnsi"/>
                <w:b w:val="0"/>
                <w:bCs w:val="0"/>
                <w:color w:val="000000"/>
                <w:sz w:val="20"/>
                <w:szCs w:val="20"/>
                <w:lang w:val="fr-FR" w:eastAsia="en-GB"/>
              </w:rPr>
              <w:t>Australie</w:t>
            </w:r>
          </w:p>
        </w:tc>
        <w:tc>
          <w:tcPr>
            <w:tcW w:w="794" w:type="dxa"/>
            <w:vAlign w:val="center"/>
            <w:hideMark/>
          </w:tcPr>
          <w:p w14:paraId="70392E4B"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5CB1F29F"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108,171 </w:t>
            </w:r>
          </w:p>
        </w:tc>
        <w:tc>
          <w:tcPr>
            <w:tcW w:w="794" w:type="dxa"/>
            <w:vAlign w:val="center"/>
            <w:hideMark/>
          </w:tcPr>
          <w:p w14:paraId="31B5B5DF"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108,171 </w:t>
            </w:r>
          </w:p>
        </w:tc>
        <w:tc>
          <w:tcPr>
            <w:tcW w:w="794" w:type="dxa"/>
            <w:vAlign w:val="center"/>
            <w:hideMark/>
          </w:tcPr>
          <w:p w14:paraId="230F0C5F"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135A629E"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0D861387"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108,071 </w:t>
            </w:r>
          </w:p>
        </w:tc>
        <w:tc>
          <w:tcPr>
            <w:tcW w:w="794" w:type="dxa"/>
            <w:vAlign w:val="center"/>
            <w:hideMark/>
          </w:tcPr>
          <w:p w14:paraId="6BA7EA7F"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23DBFCC7"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w:t>
            </w:r>
          </w:p>
        </w:tc>
        <w:tc>
          <w:tcPr>
            <w:tcW w:w="794" w:type="dxa"/>
            <w:vAlign w:val="center"/>
            <w:hideMark/>
          </w:tcPr>
          <w:p w14:paraId="497D34D6"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108,071 </w:t>
            </w:r>
          </w:p>
        </w:tc>
      </w:tr>
      <w:tr w:rsidR="002E149D" w:rsidRPr="00A4333E" w14:paraId="1BA0F893" w14:textId="77777777" w:rsidTr="00B938BE">
        <w:tc>
          <w:tcPr>
            <w:cnfStyle w:val="001000000000" w:firstRow="0" w:lastRow="0" w:firstColumn="1" w:lastColumn="0" w:oddVBand="0" w:evenVBand="0" w:oddHBand="0" w:evenHBand="0" w:firstRowFirstColumn="0" w:firstRowLastColumn="0" w:lastRowFirstColumn="0" w:lastRowLastColumn="0"/>
            <w:tcW w:w="1838" w:type="dxa"/>
            <w:noWrap/>
            <w:hideMark/>
          </w:tcPr>
          <w:p w14:paraId="12DA8662" w14:textId="77777777" w:rsidR="002E149D" w:rsidRPr="00A4333E" w:rsidRDefault="002E149D" w:rsidP="00483E42">
            <w:pPr>
              <w:ind w:left="0" w:firstLine="0"/>
              <w:rPr>
                <w:rFonts w:asciiTheme="minorHAnsi" w:eastAsia="Times New Roman" w:hAnsiTheme="minorHAnsi" w:cstheme="minorHAnsi"/>
                <w:b w:val="0"/>
                <w:bCs w:val="0"/>
                <w:color w:val="000000"/>
                <w:sz w:val="20"/>
                <w:szCs w:val="20"/>
                <w:lang w:val="fr-FR" w:eastAsia="en-GB"/>
              </w:rPr>
            </w:pPr>
            <w:r w:rsidRPr="00A4333E">
              <w:rPr>
                <w:rFonts w:asciiTheme="minorHAnsi" w:eastAsia="Times New Roman" w:hAnsiTheme="minorHAnsi" w:cstheme="minorHAnsi"/>
                <w:b w:val="0"/>
                <w:bCs w:val="0"/>
                <w:color w:val="000000"/>
                <w:sz w:val="20"/>
                <w:szCs w:val="20"/>
                <w:lang w:val="fr-FR" w:eastAsia="en-GB"/>
              </w:rPr>
              <w:t>Autriche</w:t>
            </w:r>
          </w:p>
        </w:tc>
        <w:tc>
          <w:tcPr>
            <w:tcW w:w="794" w:type="dxa"/>
            <w:vAlign w:val="center"/>
            <w:hideMark/>
          </w:tcPr>
          <w:p w14:paraId="64621B57"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22BFCC39"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33,136 </w:t>
            </w:r>
          </w:p>
        </w:tc>
        <w:tc>
          <w:tcPr>
            <w:tcW w:w="794" w:type="dxa"/>
            <w:vAlign w:val="center"/>
            <w:hideMark/>
          </w:tcPr>
          <w:p w14:paraId="330A6499"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30C21CC5"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21D68D95"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33,136 </w:t>
            </w:r>
          </w:p>
        </w:tc>
        <w:tc>
          <w:tcPr>
            <w:tcW w:w="794" w:type="dxa"/>
            <w:vAlign w:val="center"/>
            <w:hideMark/>
          </w:tcPr>
          <w:p w14:paraId="3F0242B4"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54C5C85C"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42A44A83"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w:t>
            </w:r>
          </w:p>
        </w:tc>
        <w:tc>
          <w:tcPr>
            <w:tcW w:w="794" w:type="dxa"/>
            <w:vAlign w:val="center"/>
            <w:hideMark/>
          </w:tcPr>
          <w:p w14:paraId="33CB5C4E"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w:t>
            </w:r>
          </w:p>
        </w:tc>
      </w:tr>
      <w:tr w:rsidR="002E149D" w:rsidRPr="00A4333E" w14:paraId="1C3DF061" w14:textId="77777777" w:rsidTr="00B938BE">
        <w:trPr>
          <w:cnfStyle w:val="000000100000" w:firstRow="0" w:lastRow="0" w:firstColumn="0" w:lastColumn="0" w:oddVBand="0" w:evenVBand="0" w:oddHBand="1" w:evenHBand="0" w:firstRowFirstColumn="0" w:firstRowLastColumn="0" w:lastRowFirstColumn="0" w:lastRowLastColumn="0"/>
          <w:trHeight w:val="71"/>
        </w:trPr>
        <w:tc>
          <w:tcPr>
            <w:cnfStyle w:val="001000000000" w:firstRow="0" w:lastRow="0" w:firstColumn="1" w:lastColumn="0" w:oddVBand="0" w:evenVBand="0" w:oddHBand="0" w:evenHBand="0" w:firstRowFirstColumn="0" w:firstRowLastColumn="0" w:lastRowFirstColumn="0" w:lastRowLastColumn="0"/>
            <w:tcW w:w="1838" w:type="dxa"/>
            <w:noWrap/>
            <w:hideMark/>
          </w:tcPr>
          <w:p w14:paraId="096CE9E2" w14:textId="012814BF" w:rsidR="002E149D" w:rsidRPr="00A4333E" w:rsidRDefault="003D64E6" w:rsidP="00483E42">
            <w:pPr>
              <w:ind w:left="0" w:firstLine="0"/>
              <w:rPr>
                <w:rFonts w:asciiTheme="minorHAnsi" w:eastAsia="Times New Roman" w:hAnsiTheme="minorHAnsi" w:cstheme="minorHAnsi"/>
                <w:b w:val="0"/>
                <w:bCs w:val="0"/>
                <w:color w:val="000000"/>
                <w:sz w:val="20"/>
                <w:szCs w:val="20"/>
                <w:lang w:val="fr-FR" w:eastAsia="en-GB"/>
              </w:rPr>
            </w:pPr>
            <w:r w:rsidRPr="00A4333E">
              <w:rPr>
                <w:rFonts w:asciiTheme="minorHAnsi" w:eastAsia="Times New Roman" w:hAnsiTheme="minorHAnsi" w:cstheme="minorHAnsi"/>
                <w:b w:val="0"/>
                <w:bCs w:val="0"/>
                <w:color w:val="000000"/>
                <w:sz w:val="20"/>
                <w:szCs w:val="20"/>
                <w:lang w:val="fr-FR" w:eastAsia="en-GB"/>
              </w:rPr>
              <w:t>Azerbaïdjan</w:t>
            </w:r>
          </w:p>
        </w:tc>
        <w:tc>
          <w:tcPr>
            <w:tcW w:w="794" w:type="dxa"/>
            <w:vAlign w:val="center"/>
            <w:hideMark/>
          </w:tcPr>
          <w:p w14:paraId="32554BB5"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0D4638F9"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2,398 </w:t>
            </w:r>
          </w:p>
        </w:tc>
        <w:tc>
          <w:tcPr>
            <w:tcW w:w="794" w:type="dxa"/>
            <w:vAlign w:val="center"/>
            <w:hideMark/>
          </w:tcPr>
          <w:p w14:paraId="5A04503E"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728745AB"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4A88A795"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2,398 </w:t>
            </w:r>
          </w:p>
        </w:tc>
        <w:tc>
          <w:tcPr>
            <w:tcW w:w="794" w:type="dxa"/>
            <w:vAlign w:val="center"/>
            <w:hideMark/>
          </w:tcPr>
          <w:p w14:paraId="7791DFB5"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32402821"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625039C0"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w:t>
            </w:r>
          </w:p>
        </w:tc>
        <w:tc>
          <w:tcPr>
            <w:tcW w:w="794" w:type="dxa"/>
            <w:vAlign w:val="center"/>
            <w:hideMark/>
          </w:tcPr>
          <w:p w14:paraId="3AC46AB2"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w:t>
            </w:r>
          </w:p>
        </w:tc>
      </w:tr>
      <w:tr w:rsidR="002E149D" w:rsidRPr="00A4333E" w14:paraId="65AC22AE" w14:textId="77777777" w:rsidTr="00B938BE">
        <w:tc>
          <w:tcPr>
            <w:cnfStyle w:val="001000000000" w:firstRow="0" w:lastRow="0" w:firstColumn="1" w:lastColumn="0" w:oddVBand="0" w:evenVBand="0" w:oddHBand="0" w:evenHBand="0" w:firstRowFirstColumn="0" w:firstRowLastColumn="0" w:lastRowFirstColumn="0" w:lastRowLastColumn="0"/>
            <w:tcW w:w="1838" w:type="dxa"/>
            <w:noWrap/>
            <w:hideMark/>
          </w:tcPr>
          <w:p w14:paraId="0F3B782E" w14:textId="77777777" w:rsidR="002E149D" w:rsidRPr="00A4333E" w:rsidRDefault="002E149D" w:rsidP="00483E42">
            <w:pPr>
              <w:ind w:left="0" w:firstLine="0"/>
              <w:rPr>
                <w:rFonts w:asciiTheme="minorHAnsi" w:eastAsia="Times New Roman" w:hAnsiTheme="minorHAnsi" w:cstheme="minorHAnsi"/>
                <w:b w:val="0"/>
                <w:bCs w:val="0"/>
                <w:color w:val="000000"/>
                <w:sz w:val="20"/>
                <w:szCs w:val="20"/>
                <w:lang w:val="fr-FR" w:eastAsia="en-GB"/>
              </w:rPr>
            </w:pPr>
            <w:r w:rsidRPr="00A4333E">
              <w:rPr>
                <w:rFonts w:asciiTheme="minorHAnsi" w:eastAsia="Times New Roman" w:hAnsiTheme="minorHAnsi" w:cstheme="minorHAnsi"/>
                <w:b w:val="0"/>
                <w:bCs w:val="0"/>
                <w:color w:val="000000"/>
                <w:sz w:val="20"/>
                <w:szCs w:val="20"/>
                <w:lang w:val="fr-FR" w:eastAsia="en-GB"/>
              </w:rPr>
              <w:t>Bahamas</w:t>
            </w:r>
          </w:p>
        </w:tc>
        <w:tc>
          <w:tcPr>
            <w:tcW w:w="794" w:type="dxa"/>
            <w:vAlign w:val="center"/>
            <w:hideMark/>
          </w:tcPr>
          <w:p w14:paraId="777E465D"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2,058 </w:t>
            </w:r>
          </w:p>
        </w:tc>
        <w:tc>
          <w:tcPr>
            <w:tcW w:w="794" w:type="dxa"/>
            <w:vAlign w:val="center"/>
            <w:hideMark/>
          </w:tcPr>
          <w:p w14:paraId="425E4CD4"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1,000 </w:t>
            </w:r>
          </w:p>
        </w:tc>
        <w:tc>
          <w:tcPr>
            <w:tcW w:w="794" w:type="dxa"/>
            <w:vAlign w:val="center"/>
            <w:hideMark/>
          </w:tcPr>
          <w:p w14:paraId="36B64259"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091C284D"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2,058 </w:t>
            </w:r>
          </w:p>
        </w:tc>
        <w:tc>
          <w:tcPr>
            <w:tcW w:w="794" w:type="dxa"/>
            <w:vAlign w:val="center"/>
            <w:hideMark/>
          </w:tcPr>
          <w:p w14:paraId="1842CEE4"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5607CE27"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047C9965"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3B156865"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1,000 </w:t>
            </w:r>
          </w:p>
        </w:tc>
        <w:tc>
          <w:tcPr>
            <w:tcW w:w="794" w:type="dxa"/>
            <w:vAlign w:val="center"/>
            <w:hideMark/>
          </w:tcPr>
          <w:p w14:paraId="3F52C714"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w:t>
            </w:r>
          </w:p>
        </w:tc>
      </w:tr>
      <w:tr w:rsidR="002E149D" w:rsidRPr="00A4333E" w14:paraId="7D23AD7F" w14:textId="77777777" w:rsidTr="00B938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noWrap/>
            <w:hideMark/>
          </w:tcPr>
          <w:p w14:paraId="17BB53F1" w14:textId="77777777" w:rsidR="002E149D" w:rsidRPr="00A4333E" w:rsidRDefault="002E149D" w:rsidP="00483E42">
            <w:pPr>
              <w:ind w:left="0" w:firstLine="0"/>
              <w:rPr>
                <w:rFonts w:asciiTheme="minorHAnsi" w:eastAsia="Times New Roman" w:hAnsiTheme="minorHAnsi" w:cstheme="minorHAnsi"/>
                <w:b w:val="0"/>
                <w:bCs w:val="0"/>
                <w:color w:val="000000"/>
                <w:sz w:val="20"/>
                <w:szCs w:val="20"/>
                <w:lang w:val="fr-FR" w:eastAsia="en-GB"/>
              </w:rPr>
            </w:pPr>
            <w:r w:rsidRPr="00A4333E">
              <w:rPr>
                <w:rFonts w:asciiTheme="minorHAnsi" w:eastAsia="Times New Roman" w:hAnsiTheme="minorHAnsi" w:cstheme="minorHAnsi"/>
                <w:b w:val="0"/>
                <w:bCs w:val="0"/>
                <w:color w:val="000000"/>
                <w:sz w:val="20"/>
                <w:szCs w:val="20"/>
                <w:lang w:val="fr-FR" w:eastAsia="en-GB"/>
              </w:rPr>
              <w:t>Bahreïn</w:t>
            </w:r>
          </w:p>
        </w:tc>
        <w:tc>
          <w:tcPr>
            <w:tcW w:w="794" w:type="dxa"/>
            <w:vAlign w:val="center"/>
            <w:hideMark/>
          </w:tcPr>
          <w:p w14:paraId="088FF927"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2,447 </w:t>
            </w:r>
          </w:p>
        </w:tc>
        <w:tc>
          <w:tcPr>
            <w:tcW w:w="794" w:type="dxa"/>
            <w:vAlign w:val="center"/>
            <w:hideMark/>
          </w:tcPr>
          <w:p w14:paraId="16561447"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2,447 </w:t>
            </w:r>
          </w:p>
        </w:tc>
        <w:tc>
          <w:tcPr>
            <w:tcW w:w="794" w:type="dxa"/>
            <w:vAlign w:val="center"/>
            <w:hideMark/>
          </w:tcPr>
          <w:p w14:paraId="7F54A9BA"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6E003EC7"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2,447 </w:t>
            </w:r>
          </w:p>
        </w:tc>
        <w:tc>
          <w:tcPr>
            <w:tcW w:w="794" w:type="dxa"/>
            <w:vAlign w:val="center"/>
            <w:hideMark/>
          </w:tcPr>
          <w:p w14:paraId="1A753C06"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2,247 </w:t>
            </w:r>
          </w:p>
        </w:tc>
        <w:tc>
          <w:tcPr>
            <w:tcW w:w="794" w:type="dxa"/>
            <w:vAlign w:val="center"/>
            <w:hideMark/>
          </w:tcPr>
          <w:p w14:paraId="1E8C8308"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0F8B7D03"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75478AEB"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200 </w:t>
            </w:r>
          </w:p>
        </w:tc>
        <w:tc>
          <w:tcPr>
            <w:tcW w:w="794" w:type="dxa"/>
            <w:vAlign w:val="center"/>
            <w:hideMark/>
          </w:tcPr>
          <w:p w14:paraId="54A9475D"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w:t>
            </w:r>
          </w:p>
        </w:tc>
      </w:tr>
      <w:tr w:rsidR="002E149D" w:rsidRPr="00A4333E" w14:paraId="3CF3A6A7" w14:textId="77777777" w:rsidTr="00B938BE">
        <w:tc>
          <w:tcPr>
            <w:cnfStyle w:val="001000000000" w:firstRow="0" w:lastRow="0" w:firstColumn="1" w:lastColumn="0" w:oddVBand="0" w:evenVBand="0" w:oddHBand="0" w:evenHBand="0" w:firstRowFirstColumn="0" w:firstRowLastColumn="0" w:lastRowFirstColumn="0" w:lastRowLastColumn="0"/>
            <w:tcW w:w="1838" w:type="dxa"/>
            <w:noWrap/>
            <w:hideMark/>
          </w:tcPr>
          <w:p w14:paraId="5CC3E4DC" w14:textId="77777777" w:rsidR="002E149D" w:rsidRPr="00A4333E" w:rsidRDefault="002E149D" w:rsidP="00483E42">
            <w:pPr>
              <w:ind w:left="0" w:firstLine="0"/>
              <w:rPr>
                <w:rFonts w:asciiTheme="minorHAnsi" w:eastAsia="Times New Roman" w:hAnsiTheme="minorHAnsi" w:cstheme="minorHAnsi"/>
                <w:b w:val="0"/>
                <w:bCs w:val="0"/>
                <w:color w:val="000000"/>
                <w:sz w:val="20"/>
                <w:szCs w:val="20"/>
                <w:lang w:val="fr-FR" w:eastAsia="en-GB"/>
              </w:rPr>
            </w:pPr>
            <w:r w:rsidRPr="00A4333E">
              <w:rPr>
                <w:rFonts w:asciiTheme="minorHAnsi" w:eastAsia="Times New Roman" w:hAnsiTheme="minorHAnsi" w:cstheme="minorHAnsi"/>
                <w:b w:val="0"/>
                <w:bCs w:val="0"/>
                <w:color w:val="000000"/>
                <w:sz w:val="20"/>
                <w:szCs w:val="20"/>
                <w:lang w:val="fr-FR" w:eastAsia="en-GB"/>
              </w:rPr>
              <w:t>Bangladesh</w:t>
            </w:r>
          </w:p>
        </w:tc>
        <w:tc>
          <w:tcPr>
            <w:tcW w:w="794" w:type="dxa"/>
            <w:vAlign w:val="center"/>
            <w:hideMark/>
          </w:tcPr>
          <w:p w14:paraId="622FB259"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1,000 </w:t>
            </w:r>
          </w:p>
        </w:tc>
        <w:tc>
          <w:tcPr>
            <w:tcW w:w="794" w:type="dxa"/>
            <w:vAlign w:val="center"/>
            <w:hideMark/>
          </w:tcPr>
          <w:p w14:paraId="5AD9E5C9"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1,000 </w:t>
            </w:r>
          </w:p>
        </w:tc>
        <w:tc>
          <w:tcPr>
            <w:tcW w:w="794" w:type="dxa"/>
            <w:vAlign w:val="center"/>
            <w:hideMark/>
          </w:tcPr>
          <w:p w14:paraId="7451279C"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68697279"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30596DE4"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71D986D0"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4115C23D"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1,000 </w:t>
            </w:r>
          </w:p>
        </w:tc>
        <w:tc>
          <w:tcPr>
            <w:tcW w:w="794" w:type="dxa"/>
            <w:vAlign w:val="center"/>
            <w:hideMark/>
          </w:tcPr>
          <w:p w14:paraId="7AC96E8E"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1,000 </w:t>
            </w:r>
          </w:p>
        </w:tc>
        <w:tc>
          <w:tcPr>
            <w:tcW w:w="794" w:type="dxa"/>
            <w:vAlign w:val="center"/>
            <w:hideMark/>
          </w:tcPr>
          <w:p w14:paraId="1CA339F8"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w:t>
            </w:r>
          </w:p>
        </w:tc>
      </w:tr>
      <w:tr w:rsidR="002E149D" w:rsidRPr="00A4333E" w14:paraId="71F67981" w14:textId="77777777" w:rsidTr="00B938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noWrap/>
            <w:hideMark/>
          </w:tcPr>
          <w:p w14:paraId="6A4D1A0D" w14:textId="77777777" w:rsidR="002E149D" w:rsidRPr="00A4333E" w:rsidRDefault="002E149D" w:rsidP="00483E42">
            <w:pPr>
              <w:ind w:left="0" w:firstLine="0"/>
              <w:rPr>
                <w:rFonts w:asciiTheme="minorHAnsi" w:eastAsia="Times New Roman" w:hAnsiTheme="minorHAnsi" w:cstheme="minorHAnsi"/>
                <w:b w:val="0"/>
                <w:bCs w:val="0"/>
                <w:color w:val="000000"/>
                <w:sz w:val="20"/>
                <w:szCs w:val="20"/>
                <w:lang w:val="fr-FR" w:eastAsia="en-GB"/>
              </w:rPr>
            </w:pPr>
            <w:r w:rsidRPr="00A4333E">
              <w:rPr>
                <w:rFonts w:asciiTheme="minorHAnsi" w:eastAsia="Times New Roman" w:hAnsiTheme="minorHAnsi" w:cstheme="minorHAnsi"/>
                <w:b w:val="0"/>
                <w:bCs w:val="0"/>
                <w:color w:val="000000"/>
                <w:sz w:val="20"/>
                <w:szCs w:val="20"/>
                <w:lang w:val="fr-FR" w:eastAsia="en-GB"/>
              </w:rPr>
              <w:t>Barbade</w:t>
            </w:r>
          </w:p>
        </w:tc>
        <w:tc>
          <w:tcPr>
            <w:tcW w:w="794" w:type="dxa"/>
            <w:vAlign w:val="center"/>
            <w:hideMark/>
          </w:tcPr>
          <w:p w14:paraId="2AED4635"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6BAB1ECA"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1,000 </w:t>
            </w:r>
          </w:p>
        </w:tc>
        <w:tc>
          <w:tcPr>
            <w:tcW w:w="794" w:type="dxa"/>
            <w:vAlign w:val="center"/>
            <w:hideMark/>
          </w:tcPr>
          <w:p w14:paraId="1EC92CC9"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26C7E92C"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5E4901C4"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1,000 </w:t>
            </w:r>
          </w:p>
        </w:tc>
        <w:tc>
          <w:tcPr>
            <w:tcW w:w="794" w:type="dxa"/>
            <w:vAlign w:val="center"/>
            <w:hideMark/>
          </w:tcPr>
          <w:p w14:paraId="31D5B2AA"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6E340443"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5C947CBE"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w:t>
            </w:r>
          </w:p>
        </w:tc>
        <w:tc>
          <w:tcPr>
            <w:tcW w:w="794" w:type="dxa"/>
            <w:vAlign w:val="center"/>
            <w:hideMark/>
          </w:tcPr>
          <w:p w14:paraId="47826F59"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w:t>
            </w:r>
          </w:p>
        </w:tc>
      </w:tr>
      <w:tr w:rsidR="002E149D" w:rsidRPr="00A4333E" w14:paraId="7072DF41" w14:textId="77777777" w:rsidTr="00B938BE">
        <w:tc>
          <w:tcPr>
            <w:cnfStyle w:val="001000000000" w:firstRow="0" w:lastRow="0" w:firstColumn="1" w:lastColumn="0" w:oddVBand="0" w:evenVBand="0" w:oddHBand="0" w:evenHBand="0" w:firstRowFirstColumn="0" w:firstRowLastColumn="0" w:lastRowFirstColumn="0" w:lastRowLastColumn="0"/>
            <w:tcW w:w="1838" w:type="dxa"/>
            <w:noWrap/>
            <w:hideMark/>
          </w:tcPr>
          <w:p w14:paraId="17A03158" w14:textId="77777777" w:rsidR="002E149D" w:rsidRPr="00A4333E" w:rsidRDefault="002E149D" w:rsidP="00483E42">
            <w:pPr>
              <w:ind w:left="0" w:firstLine="0"/>
              <w:rPr>
                <w:rFonts w:asciiTheme="minorHAnsi" w:eastAsia="Times New Roman" w:hAnsiTheme="minorHAnsi" w:cstheme="minorHAnsi"/>
                <w:b w:val="0"/>
                <w:bCs w:val="0"/>
                <w:color w:val="000000"/>
                <w:sz w:val="20"/>
                <w:szCs w:val="20"/>
                <w:lang w:val="fr-FR" w:eastAsia="en-GB"/>
              </w:rPr>
            </w:pPr>
            <w:r w:rsidRPr="00A4333E">
              <w:rPr>
                <w:rFonts w:asciiTheme="minorHAnsi" w:eastAsia="Times New Roman" w:hAnsiTheme="minorHAnsi" w:cstheme="minorHAnsi"/>
                <w:b w:val="0"/>
                <w:bCs w:val="0"/>
                <w:color w:val="000000"/>
                <w:sz w:val="20"/>
                <w:szCs w:val="20"/>
                <w:lang w:val="fr-FR" w:eastAsia="en-GB"/>
              </w:rPr>
              <w:t>Bélarus</w:t>
            </w:r>
          </w:p>
        </w:tc>
        <w:tc>
          <w:tcPr>
            <w:tcW w:w="794" w:type="dxa"/>
            <w:vAlign w:val="center"/>
            <w:hideMark/>
          </w:tcPr>
          <w:p w14:paraId="7791AA99"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2A4AA12D"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2,398 </w:t>
            </w:r>
          </w:p>
        </w:tc>
        <w:tc>
          <w:tcPr>
            <w:tcW w:w="794" w:type="dxa"/>
            <w:vAlign w:val="center"/>
            <w:hideMark/>
          </w:tcPr>
          <w:p w14:paraId="0C15FCEA"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42944E03"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4E819AFC"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2,398 </w:t>
            </w:r>
          </w:p>
        </w:tc>
        <w:tc>
          <w:tcPr>
            <w:tcW w:w="794" w:type="dxa"/>
            <w:vAlign w:val="center"/>
            <w:hideMark/>
          </w:tcPr>
          <w:p w14:paraId="5D23A3D7"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3B515755"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3A9024C2"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w:t>
            </w:r>
          </w:p>
        </w:tc>
        <w:tc>
          <w:tcPr>
            <w:tcW w:w="794" w:type="dxa"/>
            <w:vAlign w:val="center"/>
            <w:hideMark/>
          </w:tcPr>
          <w:p w14:paraId="46DEE7E4"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w:t>
            </w:r>
          </w:p>
        </w:tc>
      </w:tr>
      <w:tr w:rsidR="002E149D" w:rsidRPr="00A4333E" w14:paraId="15E95374" w14:textId="77777777" w:rsidTr="00B938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noWrap/>
            <w:hideMark/>
          </w:tcPr>
          <w:p w14:paraId="01EBC11F" w14:textId="77777777" w:rsidR="002E149D" w:rsidRPr="00A4333E" w:rsidRDefault="002E149D" w:rsidP="00483E42">
            <w:pPr>
              <w:ind w:left="0" w:firstLine="0"/>
              <w:rPr>
                <w:rFonts w:asciiTheme="minorHAnsi" w:eastAsia="Times New Roman" w:hAnsiTheme="minorHAnsi" w:cstheme="minorHAnsi"/>
                <w:b w:val="0"/>
                <w:bCs w:val="0"/>
                <w:color w:val="000000"/>
                <w:sz w:val="20"/>
                <w:szCs w:val="20"/>
                <w:lang w:val="fr-FR" w:eastAsia="en-GB"/>
              </w:rPr>
            </w:pPr>
            <w:r w:rsidRPr="00A4333E">
              <w:rPr>
                <w:rFonts w:asciiTheme="minorHAnsi" w:eastAsia="Times New Roman" w:hAnsiTheme="minorHAnsi" w:cstheme="minorHAnsi"/>
                <w:b w:val="0"/>
                <w:bCs w:val="0"/>
                <w:color w:val="000000"/>
                <w:sz w:val="20"/>
                <w:szCs w:val="20"/>
                <w:lang w:val="fr-FR" w:eastAsia="en-GB"/>
              </w:rPr>
              <w:t>Belgique</w:t>
            </w:r>
          </w:p>
        </w:tc>
        <w:tc>
          <w:tcPr>
            <w:tcW w:w="794" w:type="dxa"/>
            <w:vAlign w:val="center"/>
            <w:hideMark/>
          </w:tcPr>
          <w:p w14:paraId="4C5C6328"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0F54C569"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40,185 </w:t>
            </w:r>
          </w:p>
        </w:tc>
        <w:tc>
          <w:tcPr>
            <w:tcW w:w="794" w:type="dxa"/>
            <w:vAlign w:val="center"/>
            <w:hideMark/>
          </w:tcPr>
          <w:p w14:paraId="42260963"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4842F64D"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4BEFD1EC"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40,185 </w:t>
            </w:r>
          </w:p>
        </w:tc>
        <w:tc>
          <w:tcPr>
            <w:tcW w:w="794" w:type="dxa"/>
            <w:vAlign w:val="center"/>
            <w:hideMark/>
          </w:tcPr>
          <w:p w14:paraId="4A551E6E"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3E7D37AE"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64CDE041"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w:t>
            </w:r>
          </w:p>
        </w:tc>
        <w:tc>
          <w:tcPr>
            <w:tcW w:w="794" w:type="dxa"/>
            <w:vAlign w:val="center"/>
            <w:hideMark/>
          </w:tcPr>
          <w:p w14:paraId="492119D8"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w:t>
            </w:r>
          </w:p>
        </w:tc>
      </w:tr>
      <w:tr w:rsidR="002E149D" w:rsidRPr="00A4333E" w14:paraId="3615D159" w14:textId="77777777" w:rsidTr="00B938BE">
        <w:tc>
          <w:tcPr>
            <w:cnfStyle w:val="001000000000" w:firstRow="0" w:lastRow="0" w:firstColumn="1" w:lastColumn="0" w:oddVBand="0" w:evenVBand="0" w:oddHBand="0" w:evenHBand="0" w:firstRowFirstColumn="0" w:firstRowLastColumn="0" w:lastRowFirstColumn="0" w:lastRowLastColumn="0"/>
            <w:tcW w:w="1838" w:type="dxa"/>
            <w:noWrap/>
            <w:hideMark/>
          </w:tcPr>
          <w:p w14:paraId="333356C4" w14:textId="77777777" w:rsidR="002E149D" w:rsidRPr="00A4333E" w:rsidRDefault="002E149D" w:rsidP="00483E42">
            <w:pPr>
              <w:ind w:left="0" w:firstLine="0"/>
              <w:rPr>
                <w:rFonts w:asciiTheme="minorHAnsi" w:eastAsia="Times New Roman" w:hAnsiTheme="minorHAnsi" w:cstheme="minorHAnsi"/>
                <w:b w:val="0"/>
                <w:bCs w:val="0"/>
                <w:color w:val="000000"/>
                <w:sz w:val="20"/>
                <w:szCs w:val="20"/>
                <w:lang w:val="fr-FR" w:eastAsia="en-GB"/>
              </w:rPr>
            </w:pPr>
            <w:r w:rsidRPr="00A4333E">
              <w:rPr>
                <w:rFonts w:asciiTheme="minorHAnsi" w:eastAsia="Times New Roman" w:hAnsiTheme="minorHAnsi" w:cstheme="minorHAnsi"/>
                <w:b w:val="0"/>
                <w:bCs w:val="0"/>
                <w:color w:val="000000"/>
                <w:sz w:val="20"/>
                <w:szCs w:val="20"/>
                <w:lang w:val="fr-FR" w:eastAsia="en-GB"/>
              </w:rPr>
              <w:t>Belize</w:t>
            </w:r>
          </w:p>
        </w:tc>
        <w:tc>
          <w:tcPr>
            <w:tcW w:w="794" w:type="dxa"/>
            <w:vAlign w:val="center"/>
            <w:hideMark/>
          </w:tcPr>
          <w:p w14:paraId="53947DEF"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9,000 </w:t>
            </w:r>
          </w:p>
        </w:tc>
        <w:tc>
          <w:tcPr>
            <w:tcW w:w="794" w:type="dxa"/>
            <w:vAlign w:val="center"/>
            <w:hideMark/>
          </w:tcPr>
          <w:p w14:paraId="02B026C6"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1,000 </w:t>
            </w:r>
          </w:p>
        </w:tc>
        <w:tc>
          <w:tcPr>
            <w:tcW w:w="794" w:type="dxa"/>
            <w:vAlign w:val="center"/>
            <w:hideMark/>
          </w:tcPr>
          <w:p w14:paraId="3ACC3174"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4691F979"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691C68A0"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01E6C1E2"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0CA8A2F8"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9,000 </w:t>
            </w:r>
          </w:p>
        </w:tc>
        <w:tc>
          <w:tcPr>
            <w:tcW w:w="794" w:type="dxa"/>
            <w:vAlign w:val="center"/>
            <w:hideMark/>
          </w:tcPr>
          <w:p w14:paraId="3C80A97C"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1,000 </w:t>
            </w:r>
          </w:p>
        </w:tc>
        <w:tc>
          <w:tcPr>
            <w:tcW w:w="794" w:type="dxa"/>
            <w:vAlign w:val="center"/>
            <w:hideMark/>
          </w:tcPr>
          <w:p w14:paraId="2EF2DD05"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w:t>
            </w:r>
          </w:p>
        </w:tc>
      </w:tr>
      <w:tr w:rsidR="002E149D" w:rsidRPr="00A4333E" w14:paraId="7FE838EF" w14:textId="77777777" w:rsidTr="00B938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noWrap/>
            <w:hideMark/>
          </w:tcPr>
          <w:p w14:paraId="7E0D1693" w14:textId="77777777" w:rsidR="002E149D" w:rsidRPr="00A4333E" w:rsidRDefault="002E149D" w:rsidP="00483E42">
            <w:pPr>
              <w:ind w:left="0" w:firstLine="0"/>
              <w:rPr>
                <w:rFonts w:asciiTheme="minorHAnsi" w:eastAsia="Times New Roman" w:hAnsiTheme="minorHAnsi" w:cstheme="minorHAnsi"/>
                <w:b w:val="0"/>
                <w:bCs w:val="0"/>
                <w:color w:val="000000"/>
                <w:sz w:val="20"/>
                <w:szCs w:val="20"/>
                <w:lang w:val="fr-FR" w:eastAsia="en-GB"/>
              </w:rPr>
            </w:pPr>
            <w:r w:rsidRPr="00A4333E">
              <w:rPr>
                <w:rFonts w:asciiTheme="minorHAnsi" w:eastAsia="Times New Roman" w:hAnsiTheme="minorHAnsi" w:cstheme="minorHAnsi"/>
                <w:b w:val="0"/>
                <w:bCs w:val="0"/>
                <w:color w:val="000000"/>
                <w:sz w:val="20"/>
                <w:szCs w:val="20"/>
                <w:lang w:val="fr-FR" w:eastAsia="en-GB"/>
              </w:rPr>
              <w:t>Bénin</w:t>
            </w:r>
          </w:p>
        </w:tc>
        <w:tc>
          <w:tcPr>
            <w:tcW w:w="794" w:type="dxa"/>
            <w:vAlign w:val="center"/>
            <w:hideMark/>
          </w:tcPr>
          <w:p w14:paraId="5727FE09"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1,000 </w:t>
            </w:r>
          </w:p>
        </w:tc>
        <w:tc>
          <w:tcPr>
            <w:tcW w:w="794" w:type="dxa"/>
            <w:vAlign w:val="center"/>
            <w:hideMark/>
          </w:tcPr>
          <w:p w14:paraId="34498A31"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1,000 </w:t>
            </w:r>
          </w:p>
        </w:tc>
        <w:tc>
          <w:tcPr>
            <w:tcW w:w="794" w:type="dxa"/>
            <w:vAlign w:val="center"/>
            <w:hideMark/>
          </w:tcPr>
          <w:p w14:paraId="04475B5D"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40889EEE"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5445E760"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18CA42B1"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226D3A99"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1,000 </w:t>
            </w:r>
          </w:p>
        </w:tc>
        <w:tc>
          <w:tcPr>
            <w:tcW w:w="794" w:type="dxa"/>
            <w:vAlign w:val="center"/>
            <w:hideMark/>
          </w:tcPr>
          <w:p w14:paraId="536DBF32"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1,000 </w:t>
            </w:r>
          </w:p>
        </w:tc>
        <w:tc>
          <w:tcPr>
            <w:tcW w:w="794" w:type="dxa"/>
            <w:vAlign w:val="center"/>
            <w:hideMark/>
          </w:tcPr>
          <w:p w14:paraId="344CC32C"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w:t>
            </w:r>
          </w:p>
        </w:tc>
      </w:tr>
      <w:tr w:rsidR="002E149D" w:rsidRPr="00A4333E" w14:paraId="4422641F" w14:textId="77777777" w:rsidTr="00B938BE">
        <w:tc>
          <w:tcPr>
            <w:cnfStyle w:val="001000000000" w:firstRow="0" w:lastRow="0" w:firstColumn="1" w:lastColumn="0" w:oddVBand="0" w:evenVBand="0" w:oddHBand="0" w:evenHBand="0" w:firstRowFirstColumn="0" w:firstRowLastColumn="0" w:lastRowFirstColumn="0" w:lastRowLastColumn="0"/>
            <w:tcW w:w="1838" w:type="dxa"/>
            <w:noWrap/>
            <w:hideMark/>
          </w:tcPr>
          <w:p w14:paraId="0ADD33BF" w14:textId="77777777" w:rsidR="002E149D" w:rsidRPr="00A4333E" w:rsidRDefault="002E149D" w:rsidP="00483E42">
            <w:pPr>
              <w:ind w:left="0" w:firstLine="0"/>
              <w:rPr>
                <w:rFonts w:asciiTheme="minorHAnsi" w:eastAsia="Times New Roman" w:hAnsiTheme="minorHAnsi" w:cstheme="minorHAnsi"/>
                <w:b w:val="0"/>
                <w:bCs w:val="0"/>
                <w:color w:val="000000"/>
                <w:sz w:val="20"/>
                <w:szCs w:val="20"/>
                <w:lang w:val="fr-FR" w:eastAsia="en-GB"/>
              </w:rPr>
            </w:pPr>
            <w:r w:rsidRPr="00A4333E">
              <w:rPr>
                <w:rFonts w:asciiTheme="minorHAnsi" w:eastAsia="Times New Roman" w:hAnsiTheme="minorHAnsi" w:cstheme="minorHAnsi"/>
                <w:b w:val="0"/>
                <w:bCs w:val="0"/>
                <w:color w:val="000000"/>
                <w:sz w:val="20"/>
                <w:szCs w:val="20"/>
                <w:lang w:val="fr-FR" w:eastAsia="en-GB"/>
              </w:rPr>
              <w:t>Bhoutan</w:t>
            </w:r>
          </w:p>
        </w:tc>
        <w:tc>
          <w:tcPr>
            <w:tcW w:w="794" w:type="dxa"/>
            <w:vAlign w:val="center"/>
            <w:hideMark/>
          </w:tcPr>
          <w:p w14:paraId="6316D0DF"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1,000 </w:t>
            </w:r>
          </w:p>
        </w:tc>
        <w:tc>
          <w:tcPr>
            <w:tcW w:w="794" w:type="dxa"/>
            <w:vAlign w:val="center"/>
            <w:hideMark/>
          </w:tcPr>
          <w:p w14:paraId="7D57D479"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1,000 </w:t>
            </w:r>
          </w:p>
        </w:tc>
        <w:tc>
          <w:tcPr>
            <w:tcW w:w="794" w:type="dxa"/>
            <w:vAlign w:val="center"/>
            <w:hideMark/>
          </w:tcPr>
          <w:p w14:paraId="2D7F2184"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01358CAA"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1,000 </w:t>
            </w:r>
          </w:p>
        </w:tc>
        <w:tc>
          <w:tcPr>
            <w:tcW w:w="794" w:type="dxa"/>
            <w:vAlign w:val="center"/>
            <w:hideMark/>
          </w:tcPr>
          <w:p w14:paraId="7E6202B6"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1,000 </w:t>
            </w:r>
          </w:p>
        </w:tc>
        <w:tc>
          <w:tcPr>
            <w:tcW w:w="794" w:type="dxa"/>
            <w:vAlign w:val="center"/>
            <w:hideMark/>
          </w:tcPr>
          <w:p w14:paraId="110EFFB9"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0775281D"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34909416"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w:t>
            </w:r>
          </w:p>
        </w:tc>
        <w:tc>
          <w:tcPr>
            <w:tcW w:w="794" w:type="dxa"/>
            <w:vAlign w:val="center"/>
            <w:hideMark/>
          </w:tcPr>
          <w:p w14:paraId="298DE8A2"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w:t>
            </w:r>
          </w:p>
        </w:tc>
      </w:tr>
      <w:tr w:rsidR="002E149D" w:rsidRPr="00A4333E" w14:paraId="6FF46794" w14:textId="77777777" w:rsidTr="00B938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noWrap/>
            <w:hideMark/>
          </w:tcPr>
          <w:p w14:paraId="7667C7DC" w14:textId="77777777" w:rsidR="002E149D" w:rsidRPr="00A4333E" w:rsidRDefault="002E149D" w:rsidP="00483E42">
            <w:pPr>
              <w:ind w:left="0" w:firstLine="0"/>
              <w:rPr>
                <w:rFonts w:asciiTheme="minorHAnsi" w:eastAsia="Times New Roman" w:hAnsiTheme="minorHAnsi" w:cstheme="minorHAnsi"/>
                <w:b w:val="0"/>
                <w:bCs w:val="0"/>
                <w:color w:val="000000"/>
                <w:sz w:val="20"/>
                <w:szCs w:val="20"/>
                <w:lang w:val="fr-FR" w:eastAsia="en-GB"/>
              </w:rPr>
            </w:pPr>
            <w:r w:rsidRPr="00A4333E">
              <w:rPr>
                <w:rFonts w:asciiTheme="minorHAnsi" w:eastAsia="Times New Roman" w:hAnsiTheme="minorHAnsi" w:cstheme="minorHAnsi"/>
                <w:b w:val="0"/>
                <w:bCs w:val="0"/>
                <w:color w:val="000000"/>
                <w:sz w:val="20"/>
                <w:szCs w:val="20"/>
                <w:lang w:val="fr-FR" w:eastAsia="en-GB"/>
              </w:rPr>
              <w:t>Bolivie (État plurinational de)</w:t>
            </w:r>
          </w:p>
        </w:tc>
        <w:tc>
          <w:tcPr>
            <w:tcW w:w="794" w:type="dxa"/>
            <w:vAlign w:val="center"/>
            <w:hideMark/>
          </w:tcPr>
          <w:p w14:paraId="066B3185"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3,000 </w:t>
            </w:r>
          </w:p>
        </w:tc>
        <w:tc>
          <w:tcPr>
            <w:tcW w:w="794" w:type="dxa"/>
            <w:vAlign w:val="center"/>
            <w:hideMark/>
          </w:tcPr>
          <w:p w14:paraId="595772B0"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1,000 </w:t>
            </w:r>
          </w:p>
        </w:tc>
        <w:tc>
          <w:tcPr>
            <w:tcW w:w="794" w:type="dxa"/>
            <w:vAlign w:val="center"/>
            <w:hideMark/>
          </w:tcPr>
          <w:p w14:paraId="0AD7ACB2"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0F08EB94"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2,000 </w:t>
            </w:r>
          </w:p>
        </w:tc>
        <w:tc>
          <w:tcPr>
            <w:tcW w:w="794" w:type="dxa"/>
            <w:vAlign w:val="center"/>
            <w:hideMark/>
          </w:tcPr>
          <w:p w14:paraId="6442481B"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5DD52E9D"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566A3212"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1,000 </w:t>
            </w:r>
          </w:p>
        </w:tc>
        <w:tc>
          <w:tcPr>
            <w:tcW w:w="794" w:type="dxa"/>
            <w:vAlign w:val="center"/>
            <w:hideMark/>
          </w:tcPr>
          <w:p w14:paraId="430FD21A"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1,000 </w:t>
            </w:r>
          </w:p>
        </w:tc>
        <w:tc>
          <w:tcPr>
            <w:tcW w:w="794" w:type="dxa"/>
            <w:vAlign w:val="center"/>
            <w:hideMark/>
          </w:tcPr>
          <w:p w14:paraId="50FC090F"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w:t>
            </w:r>
          </w:p>
        </w:tc>
      </w:tr>
      <w:tr w:rsidR="002E149D" w:rsidRPr="00A4333E" w14:paraId="600625B5" w14:textId="77777777" w:rsidTr="00B938BE">
        <w:tc>
          <w:tcPr>
            <w:cnfStyle w:val="001000000000" w:firstRow="0" w:lastRow="0" w:firstColumn="1" w:lastColumn="0" w:oddVBand="0" w:evenVBand="0" w:oddHBand="0" w:evenHBand="0" w:firstRowFirstColumn="0" w:firstRowLastColumn="0" w:lastRowFirstColumn="0" w:lastRowLastColumn="0"/>
            <w:tcW w:w="1838" w:type="dxa"/>
            <w:noWrap/>
            <w:hideMark/>
          </w:tcPr>
          <w:p w14:paraId="0E367E86" w14:textId="77777777" w:rsidR="002E149D" w:rsidRPr="00A4333E" w:rsidRDefault="002E149D" w:rsidP="00483E42">
            <w:pPr>
              <w:ind w:left="0" w:firstLine="0"/>
              <w:rPr>
                <w:rFonts w:asciiTheme="minorHAnsi" w:eastAsia="Times New Roman" w:hAnsiTheme="minorHAnsi" w:cstheme="minorHAnsi"/>
                <w:b w:val="0"/>
                <w:bCs w:val="0"/>
                <w:color w:val="000000"/>
                <w:sz w:val="20"/>
                <w:szCs w:val="20"/>
                <w:lang w:val="fr-FR" w:eastAsia="en-GB"/>
              </w:rPr>
            </w:pPr>
            <w:r w:rsidRPr="00A4333E">
              <w:rPr>
                <w:rFonts w:asciiTheme="minorHAnsi" w:eastAsia="Times New Roman" w:hAnsiTheme="minorHAnsi" w:cstheme="minorHAnsi"/>
                <w:b w:val="0"/>
                <w:bCs w:val="0"/>
                <w:color w:val="000000"/>
                <w:sz w:val="20"/>
                <w:szCs w:val="20"/>
                <w:lang w:val="fr-FR" w:eastAsia="en-GB"/>
              </w:rPr>
              <w:t>Bosnie-Herzégovine</w:t>
            </w:r>
          </w:p>
        </w:tc>
        <w:tc>
          <w:tcPr>
            <w:tcW w:w="794" w:type="dxa"/>
            <w:vAlign w:val="center"/>
            <w:hideMark/>
          </w:tcPr>
          <w:p w14:paraId="5BA08191"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37977BEE"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1,000 </w:t>
            </w:r>
          </w:p>
        </w:tc>
        <w:tc>
          <w:tcPr>
            <w:tcW w:w="794" w:type="dxa"/>
            <w:vAlign w:val="center"/>
            <w:hideMark/>
          </w:tcPr>
          <w:p w14:paraId="497A34A6"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7042A050"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470D1F5D"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5D7907D4"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072E3014"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11F71D80"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1,000 </w:t>
            </w:r>
          </w:p>
        </w:tc>
        <w:tc>
          <w:tcPr>
            <w:tcW w:w="794" w:type="dxa"/>
            <w:vAlign w:val="center"/>
            <w:hideMark/>
          </w:tcPr>
          <w:p w14:paraId="50336DBF"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w:t>
            </w:r>
          </w:p>
        </w:tc>
      </w:tr>
      <w:tr w:rsidR="002E149D" w:rsidRPr="00A4333E" w14:paraId="0BEDBA4D" w14:textId="77777777" w:rsidTr="00B938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noWrap/>
            <w:hideMark/>
          </w:tcPr>
          <w:p w14:paraId="66E16B1E" w14:textId="77777777" w:rsidR="002E149D" w:rsidRPr="00A4333E" w:rsidRDefault="002E149D" w:rsidP="00483E42">
            <w:pPr>
              <w:ind w:left="0" w:firstLine="0"/>
              <w:rPr>
                <w:rFonts w:asciiTheme="minorHAnsi" w:eastAsia="Times New Roman" w:hAnsiTheme="minorHAnsi" w:cstheme="minorHAnsi"/>
                <w:b w:val="0"/>
                <w:bCs w:val="0"/>
                <w:color w:val="000000"/>
                <w:sz w:val="20"/>
                <w:szCs w:val="20"/>
                <w:lang w:val="fr-FR" w:eastAsia="en-GB"/>
              </w:rPr>
            </w:pPr>
            <w:r w:rsidRPr="00A4333E">
              <w:rPr>
                <w:rFonts w:asciiTheme="minorHAnsi" w:eastAsia="Times New Roman" w:hAnsiTheme="minorHAnsi" w:cstheme="minorHAnsi"/>
                <w:b w:val="0"/>
                <w:bCs w:val="0"/>
                <w:color w:val="000000"/>
                <w:sz w:val="20"/>
                <w:szCs w:val="20"/>
                <w:lang w:val="fr-FR" w:eastAsia="en-GB"/>
              </w:rPr>
              <w:t>Botswana</w:t>
            </w:r>
          </w:p>
        </w:tc>
        <w:tc>
          <w:tcPr>
            <w:tcW w:w="794" w:type="dxa"/>
            <w:vAlign w:val="center"/>
            <w:hideMark/>
          </w:tcPr>
          <w:p w14:paraId="70D739FC"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4,000 </w:t>
            </w:r>
          </w:p>
        </w:tc>
        <w:tc>
          <w:tcPr>
            <w:tcW w:w="794" w:type="dxa"/>
            <w:vAlign w:val="center"/>
            <w:hideMark/>
          </w:tcPr>
          <w:p w14:paraId="0BD85B75"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1,000 </w:t>
            </w:r>
          </w:p>
        </w:tc>
        <w:tc>
          <w:tcPr>
            <w:tcW w:w="794" w:type="dxa"/>
            <w:vAlign w:val="center"/>
            <w:hideMark/>
          </w:tcPr>
          <w:p w14:paraId="063941FE"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5DA56060"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4,000 </w:t>
            </w:r>
          </w:p>
        </w:tc>
        <w:tc>
          <w:tcPr>
            <w:tcW w:w="794" w:type="dxa"/>
            <w:vAlign w:val="center"/>
            <w:hideMark/>
          </w:tcPr>
          <w:p w14:paraId="2C6F1812"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1,000 </w:t>
            </w:r>
          </w:p>
        </w:tc>
        <w:tc>
          <w:tcPr>
            <w:tcW w:w="794" w:type="dxa"/>
            <w:vAlign w:val="center"/>
            <w:hideMark/>
          </w:tcPr>
          <w:p w14:paraId="3CFB322C"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0BC08E57"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7521569A"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w:t>
            </w:r>
          </w:p>
        </w:tc>
        <w:tc>
          <w:tcPr>
            <w:tcW w:w="794" w:type="dxa"/>
            <w:vAlign w:val="center"/>
            <w:hideMark/>
          </w:tcPr>
          <w:p w14:paraId="1B04383A"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w:t>
            </w:r>
          </w:p>
        </w:tc>
      </w:tr>
      <w:tr w:rsidR="002E149D" w:rsidRPr="00A4333E" w14:paraId="016DB012" w14:textId="77777777" w:rsidTr="00B938BE">
        <w:tc>
          <w:tcPr>
            <w:cnfStyle w:val="001000000000" w:firstRow="0" w:lastRow="0" w:firstColumn="1" w:lastColumn="0" w:oddVBand="0" w:evenVBand="0" w:oddHBand="0" w:evenHBand="0" w:firstRowFirstColumn="0" w:firstRowLastColumn="0" w:lastRowFirstColumn="0" w:lastRowLastColumn="0"/>
            <w:tcW w:w="1838" w:type="dxa"/>
            <w:noWrap/>
            <w:hideMark/>
          </w:tcPr>
          <w:p w14:paraId="3A10DC69" w14:textId="77777777" w:rsidR="002E149D" w:rsidRPr="00A4333E" w:rsidRDefault="002E149D" w:rsidP="00483E42">
            <w:pPr>
              <w:ind w:left="0" w:firstLine="0"/>
              <w:rPr>
                <w:rFonts w:asciiTheme="minorHAnsi" w:eastAsia="Times New Roman" w:hAnsiTheme="minorHAnsi" w:cstheme="minorHAnsi"/>
                <w:b w:val="0"/>
                <w:bCs w:val="0"/>
                <w:color w:val="000000"/>
                <w:sz w:val="20"/>
                <w:szCs w:val="20"/>
                <w:lang w:val="fr-FR" w:eastAsia="en-GB"/>
              </w:rPr>
            </w:pPr>
            <w:r w:rsidRPr="00A4333E">
              <w:rPr>
                <w:rFonts w:asciiTheme="minorHAnsi" w:eastAsia="Times New Roman" w:hAnsiTheme="minorHAnsi" w:cstheme="minorHAnsi"/>
                <w:b w:val="0"/>
                <w:bCs w:val="0"/>
                <w:color w:val="000000"/>
                <w:sz w:val="20"/>
                <w:szCs w:val="20"/>
                <w:lang w:val="fr-FR" w:eastAsia="en-GB"/>
              </w:rPr>
              <w:t>Brésil</w:t>
            </w:r>
          </w:p>
        </w:tc>
        <w:tc>
          <w:tcPr>
            <w:tcW w:w="794" w:type="dxa"/>
            <w:vAlign w:val="center"/>
            <w:hideMark/>
          </w:tcPr>
          <w:p w14:paraId="33E48A14"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288,625 </w:t>
            </w:r>
          </w:p>
        </w:tc>
        <w:tc>
          <w:tcPr>
            <w:tcW w:w="794" w:type="dxa"/>
            <w:vAlign w:val="center"/>
            <w:hideMark/>
          </w:tcPr>
          <w:p w14:paraId="6191E440"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144,293 </w:t>
            </w:r>
          </w:p>
        </w:tc>
        <w:tc>
          <w:tcPr>
            <w:tcW w:w="794" w:type="dxa"/>
            <w:vAlign w:val="center"/>
            <w:hideMark/>
          </w:tcPr>
          <w:p w14:paraId="34EE53ED"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36167B6C"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288,625 </w:t>
            </w:r>
          </w:p>
        </w:tc>
        <w:tc>
          <w:tcPr>
            <w:tcW w:w="794" w:type="dxa"/>
            <w:vAlign w:val="center"/>
            <w:hideMark/>
          </w:tcPr>
          <w:p w14:paraId="1789AD49"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17C99533"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2B6D8A8A"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24688EC6"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144,293 </w:t>
            </w:r>
          </w:p>
        </w:tc>
        <w:tc>
          <w:tcPr>
            <w:tcW w:w="794" w:type="dxa"/>
            <w:vAlign w:val="center"/>
            <w:hideMark/>
          </w:tcPr>
          <w:p w14:paraId="5A3A1613"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w:t>
            </w:r>
          </w:p>
        </w:tc>
      </w:tr>
      <w:tr w:rsidR="002E149D" w:rsidRPr="00A4333E" w14:paraId="553904FC" w14:textId="77777777" w:rsidTr="00B938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noWrap/>
            <w:hideMark/>
          </w:tcPr>
          <w:p w14:paraId="68085BDB" w14:textId="77777777" w:rsidR="002E149D" w:rsidRPr="00A4333E" w:rsidRDefault="002E149D" w:rsidP="00483E42">
            <w:pPr>
              <w:ind w:left="0" w:firstLine="0"/>
              <w:rPr>
                <w:rFonts w:asciiTheme="minorHAnsi" w:eastAsia="Times New Roman" w:hAnsiTheme="minorHAnsi" w:cstheme="minorHAnsi"/>
                <w:b w:val="0"/>
                <w:bCs w:val="0"/>
                <w:color w:val="000000"/>
                <w:sz w:val="20"/>
                <w:szCs w:val="20"/>
                <w:lang w:val="fr-FR" w:eastAsia="en-GB"/>
              </w:rPr>
            </w:pPr>
            <w:r w:rsidRPr="00A4333E">
              <w:rPr>
                <w:rFonts w:asciiTheme="minorHAnsi" w:eastAsia="Times New Roman" w:hAnsiTheme="minorHAnsi" w:cstheme="minorHAnsi"/>
                <w:b w:val="0"/>
                <w:bCs w:val="0"/>
                <w:color w:val="000000"/>
                <w:sz w:val="20"/>
                <w:szCs w:val="20"/>
                <w:lang w:val="fr-FR" w:eastAsia="en-GB"/>
              </w:rPr>
              <w:t>Bulgarie</w:t>
            </w:r>
          </w:p>
        </w:tc>
        <w:tc>
          <w:tcPr>
            <w:tcW w:w="794" w:type="dxa"/>
            <w:vAlign w:val="center"/>
            <w:hideMark/>
          </w:tcPr>
          <w:p w14:paraId="23B8DF0A"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065158F4"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2,252 </w:t>
            </w:r>
          </w:p>
        </w:tc>
        <w:tc>
          <w:tcPr>
            <w:tcW w:w="794" w:type="dxa"/>
            <w:vAlign w:val="center"/>
            <w:hideMark/>
          </w:tcPr>
          <w:p w14:paraId="79CE45B4"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79550C03"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4EBAD895"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2,252 </w:t>
            </w:r>
          </w:p>
        </w:tc>
        <w:tc>
          <w:tcPr>
            <w:tcW w:w="794" w:type="dxa"/>
            <w:vAlign w:val="center"/>
            <w:hideMark/>
          </w:tcPr>
          <w:p w14:paraId="7113B1F4"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1B9ED813"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37D42340"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w:t>
            </w:r>
          </w:p>
        </w:tc>
        <w:tc>
          <w:tcPr>
            <w:tcW w:w="794" w:type="dxa"/>
            <w:vAlign w:val="center"/>
            <w:hideMark/>
          </w:tcPr>
          <w:p w14:paraId="605919A0"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w:t>
            </w:r>
          </w:p>
        </w:tc>
      </w:tr>
      <w:tr w:rsidR="002E149D" w:rsidRPr="00A4333E" w14:paraId="1FB8D2A2" w14:textId="77777777" w:rsidTr="00B938BE">
        <w:tc>
          <w:tcPr>
            <w:cnfStyle w:val="001000000000" w:firstRow="0" w:lastRow="0" w:firstColumn="1" w:lastColumn="0" w:oddVBand="0" w:evenVBand="0" w:oddHBand="0" w:evenHBand="0" w:firstRowFirstColumn="0" w:firstRowLastColumn="0" w:lastRowFirstColumn="0" w:lastRowLastColumn="0"/>
            <w:tcW w:w="1838" w:type="dxa"/>
            <w:noWrap/>
            <w:hideMark/>
          </w:tcPr>
          <w:p w14:paraId="07812D0A" w14:textId="77777777" w:rsidR="002E149D" w:rsidRPr="00A4333E" w:rsidRDefault="002E149D" w:rsidP="00483E42">
            <w:pPr>
              <w:ind w:left="0" w:firstLine="0"/>
              <w:rPr>
                <w:rFonts w:asciiTheme="minorHAnsi" w:eastAsia="Times New Roman" w:hAnsiTheme="minorHAnsi" w:cstheme="minorHAnsi"/>
                <w:b w:val="0"/>
                <w:bCs w:val="0"/>
                <w:color w:val="000000"/>
                <w:sz w:val="20"/>
                <w:szCs w:val="20"/>
                <w:lang w:val="fr-FR" w:eastAsia="en-GB"/>
              </w:rPr>
            </w:pPr>
            <w:r w:rsidRPr="00A4333E">
              <w:rPr>
                <w:rFonts w:asciiTheme="minorHAnsi" w:eastAsia="Times New Roman" w:hAnsiTheme="minorHAnsi" w:cstheme="minorHAnsi"/>
                <w:b w:val="0"/>
                <w:bCs w:val="0"/>
                <w:color w:val="000000"/>
                <w:sz w:val="20"/>
                <w:szCs w:val="20"/>
                <w:lang w:val="fr-FR" w:eastAsia="en-GB"/>
              </w:rPr>
              <w:t>Burkina Faso</w:t>
            </w:r>
          </w:p>
        </w:tc>
        <w:tc>
          <w:tcPr>
            <w:tcW w:w="794" w:type="dxa"/>
            <w:vAlign w:val="center"/>
            <w:hideMark/>
          </w:tcPr>
          <w:p w14:paraId="01A984EB"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2,824 </w:t>
            </w:r>
          </w:p>
        </w:tc>
        <w:tc>
          <w:tcPr>
            <w:tcW w:w="794" w:type="dxa"/>
            <w:vAlign w:val="center"/>
            <w:hideMark/>
          </w:tcPr>
          <w:p w14:paraId="5F5CEC42"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1,000 </w:t>
            </w:r>
          </w:p>
        </w:tc>
        <w:tc>
          <w:tcPr>
            <w:tcW w:w="794" w:type="dxa"/>
            <w:vAlign w:val="center"/>
            <w:hideMark/>
          </w:tcPr>
          <w:p w14:paraId="0AE0855C"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6268D025"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6A05FE58"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02FB6D2F"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0298572E"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2,824 </w:t>
            </w:r>
          </w:p>
        </w:tc>
        <w:tc>
          <w:tcPr>
            <w:tcW w:w="794" w:type="dxa"/>
            <w:vAlign w:val="center"/>
            <w:hideMark/>
          </w:tcPr>
          <w:p w14:paraId="29552E8C"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1,000 </w:t>
            </w:r>
          </w:p>
        </w:tc>
        <w:tc>
          <w:tcPr>
            <w:tcW w:w="794" w:type="dxa"/>
            <w:vAlign w:val="center"/>
            <w:hideMark/>
          </w:tcPr>
          <w:p w14:paraId="43E76920"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w:t>
            </w:r>
          </w:p>
        </w:tc>
      </w:tr>
      <w:tr w:rsidR="002E149D" w:rsidRPr="00A4333E" w14:paraId="6BC8B471" w14:textId="77777777" w:rsidTr="00B938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noWrap/>
            <w:hideMark/>
          </w:tcPr>
          <w:p w14:paraId="10755ACF" w14:textId="77777777" w:rsidR="002E149D" w:rsidRPr="00A4333E" w:rsidRDefault="002E149D" w:rsidP="00483E42">
            <w:pPr>
              <w:ind w:left="0" w:firstLine="0"/>
              <w:rPr>
                <w:rFonts w:asciiTheme="minorHAnsi" w:eastAsia="Times New Roman" w:hAnsiTheme="minorHAnsi" w:cstheme="minorHAnsi"/>
                <w:b w:val="0"/>
                <w:bCs w:val="0"/>
                <w:color w:val="000000"/>
                <w:sz w:val="20"/>
                <w:szCs w:val="20"/>
                <w:lang w:val="fr-FR" w:eastAsia="en-GB"/>
              </w:rPr>
            </w:pPr>
            <w:r w:rsidRPr="00A4333E">
              <w:rPr>
                <w:rFonts w:asciiTheme="minorHAnsi" w:eastAsia="Times New Roman" w:hAnsiTheme="minorHAnsi" w:cstheme="minorHAnsi"/>
                <w:b w:val="0"/>
                <w:bCs w:val="0"/>
                <w:color w:val="000000"/>
                <w:sz w:val="20"/>
                <w:szCs w:val="20"/>
                <w:lang w:val="fr-FR" w:eastAsia="en-GB"/>
              </w:rPr>
              <w:t>Burundi</w:t>
            </w:r>
          </w:p>
        </w:tc>
        <w:tc>
          <w:tcPr>
            <w:tcW w:w="794" w:type="dxa"/>
            <w:vAlign w:val="center"/>
            <w:hideMark/>
          </w:tcPr>
          <w:p w14:paraId="01297565"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6,151 </w:t>
            </w:r>
          </w:p>
        </w:tc>
        <w:tc>
          <w:tcPr>
            <w:tcW w:w="794" w:type="dxa"/>
            <w:vAlign w:val="center"/>
            <w:hideMark/>
          </w:tcPr>
          <w:p w14:paraId="2E894E07"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1,000 </w:t>
            </w:r>
          </w:p>
        </w:tc>
        <w:tc>
          <w:tcPr>
            <w:tcW w:w="794" w:type="dxa"/>
            <w:vAlign w:val="center"/>
            <w:hideMark/>
          </w:tcPr>
          <w:p w14:paraId="64832E12"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178B517B"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56C18AE3"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59FA10F0"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6968A54C"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6,151 </w:t>
            </w:r>
          </w:p>
        </w:tc>
        <w:tc>
          <w:tcPr>
            <w:tcW w:w="794" w:type="dxa"/>
            <w:vAlign w:val="center"/>
            <w:hideMark/>
          </w:tcPr>
          <w:p w14:paraId="6E9A33D7"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1,000 </w:t>
            </w:r>
          </w:p>
        </w:tc>
        <w:tc>
          <w:tcPr>
            <w:tcW w:w="794" w:type="dxa"/>
            <w:vAlign w:val="center"/>
            <w:hideMark/>
          </w:tcPr>
          <w:p w14:paraId="2CC3BA24"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w:t>
            </w:r>
          </w:p>
        </w:tc>
      </w:tr>
      <w:tr w:rsidR="002E149D" w:rsidRPr="00A4333E" w14:paraId="46936E97" w14:textId="77777777" w:rsidTr="00B938BE">
        <w:tc>
          <w:tcPr>
            <w:cnfStyle w:val="001000000000" w:firstRow="0" w:lastRow="0" w:firstColumn="1" w:lastColumn="0" w:oddVBand="0" w:evenVBand="0" w:oddHBand="0" w:evenHBand="0" w:firstRowFirstColumn="0" w:firstRowLastColumn="0" w:lastRowFirstColumn="0" w:lastRowLastColumn="0"/>
            <w:tcW w:w="1838" w:type="dxa"/>
            <w:noWrap/>
            <w:hideMark/>
          </w:tcPr>
          <w:p w14:paraId="0DBF4A31" w14:textId="77777777" w:rsidR="002E149D" w:rsidRPr="00A4333E" w:rsidRDefault="002E149D" w:rsidP="00483E42">
            <w:pPr>
              <w:ind w:left="0" w:firstLine="0"/>
              <w:rPr>
                <w:rFonts w:asciiTheme="minorHAnsi" w:eastAsia="Times New Roman" w:hAnsiTheme="minorHAnsi" w:cstheme="minorHAnsi"/>
                <w:b w:val="0"/>
                <w:bCs w:val="0"/>
                <w:color w:val="000000"/>
                <w:sz w:val="20"/>
                <w:szCs w:val="20"/>
                <w:lang w:val="fr-FR" w:eastAsia="en-GB"/>
              </w:rPr>
            </w:pPr>
            <w:r w:rsidRPr="00A4333E">
              <w:rPr>
                <w:rFonts w:asciiTheme="minorHAnsi" w:eastAsia="Times New Roman" w:hAnsiTheme="minorHAnsi" w:cstheme="minorHAnsi"/>
                <w:b w:val="0"/>
                <w:bCs w:val="0"/>
                <w:color w:val="000000"/>
                <w:sz w:val="20"/>
                <w:szCs w:val="20"/>
                <w:lang w:val="fr-FR" w:eastAsia="en-GB"/>
              </w:rPr>
              <w:t>Cabo Verde</w:t>
            </w:r>
          </w:p>
        </w:tc>
        <w:tc>
          <w:tcPr>
            <w:tcW w:w="794" w:type="dxa"/>
            <w:vAlign w:val="center"/>
            <w:hideMark/>
          </w:tcPr>
          <w:p w14:paraId="7E8DE614"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15,000 </w:t>
            </w:r>
          </w:p>
        </w:tc>
        <w:tc>
          <w:tcPr>
            <w:tcW w:w="794" w:type="dxa"/>
            <w:vAlign w:val="center"/>
            <w:hideMark/>
          </w:tcPr>
          <w:p w14:paraId="24C09AE2"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1,000 </w:t>
            </w:r>
          </w:p>
        </w:tc>
        <w:tc>
          <w:tcPr>
            <w:tcW w:w="794" w:type="dxa"/>
            <w:vAlign w:val="center"/>
            <w:hideMark/>
          </w:tcPr>
          <w:p w14:paraId="0C028F45"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593F0243"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6146A705"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6E824D1F"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17D58418"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15,000 </w:t>
            </w:r>
          </w:p>
        </w:tc>
        <w:tc>
          <w:tcPr>
            <w:tcW w:w="794" w:type="dxa"/>
            <w:vAlign w:val="center"/>
            <w:hideMark/>
          </w:tcPr>
          <w:p w14:paraId="75393A7F"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1,000 </w:t>
            </w:r>
          </w:p>
        </w:tc>
        <w:tc>
          <w:tcPr>
            <w:tcW w:w="794" w:type="dxa"/>
            <w:vAlign w:val="center"/>
            <w:hideMark/>
          </w:tcPr>
          <w:p w14:paraId="2F8619AA"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w:t>
            </w:r>
          </w:p>
        </w:tc>
      </w:tr>
      <w:tr w:rsidR="002E149D" w:rsidRPr="00A4333E" w14:paraId="22A225D9" w14:textId="77777777" w:rsidTr="00B938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noWrap/>
            <w:hideMark/>
          </w:tcPr>
          <w:p w14:paraId="21067CE9" w14:textId="77777777" w:rsidR="002E149D" w:rsidRPr="00A4333E" w:rsidRDefault="002E149D" w:rsidP="00483E42">
            <w:pPr>
              <w:ind w:left="0" w:firstLine="0"/>
              <w:rPr>
                <w:rFonts w:asciiTheme="minorHAnsi" w:eastAsia="Times New Roman" w:hAnsiTheme="minorHAnsi" w:cstheme="minorHAnsi"/>
                <w:b w:val="0"/>
                <w:bCs w:val="0"/>
                <w:color w:val="000000"/>
                <w:sz w:val="20"/>
                <w:szCs w:val="20"/>
                <w:lang w:val="fr-FR" w:eastAsia="en-GB"/>
              </w:rPr>
            </w:pPr>
            <w:r w:rsidRPr="00A4333E">
              <w:rPr>
                <w:rFonts w:asciiTheme="minorHAnsi" w:eastAsia="Times New Roman" w:hAnsiTheme="minorHAnsi" w:cstheme="minorHAnsi"/>
                <w:b w:val="0"/>
                <w:bCs w:val="0"/>
                <w:color w:val="000000"/>
                <w:sz w:val="20"/>
                <w:szCs w:val="20"/>
                <w:lang w:val="fr-FR" w:eastAsia="en-GB"/>
              </w:rPr>
              <w:t>Cambodge</w:t>
            </w:r>
          </w:p>
        </w:tc>
        <w:tc>
          <w:tcPr>
            <w:tcW w:w="794" w:type="dxa"/>
            <w:vAlign w:val="center"/>
            <w:hideMark/>
          </w:tcPr>
          <w:p w14:paraId="10F2B942"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1,000 </w:t>
            </w:r>
          </w:p>
        </w:tc>
        <w:tc>
          <w:tcPr>
            <w:tcW w:w="794" w:type="dxa"/>
            <w:vAlign w:val="center"/>
            <w:hideMark/>
          </w:tcPr>
          <w:p w14:paraId="4AB9DECF"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1,000 </w:t>
            </w:r>
          </w:p>
        </w:tc>
        <w:tc>
          <w:tcPr>
            <w:tcW w:w="794" w:type="dxa"/>
            <w:vAlign w:val="center"/>
            <w:hideMark/>
          </w:tcPr>
          <w:p w14:paraId="57A59020"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05970F2B"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0F2D9B8C"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63B502CE"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32397479"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1,000 </w:t>
            </w:r>
          </w:p>
        </w:tc>
        <w:tc>
          <w:tcPr>
            <w:tcW w:w="794" w:type="dxa"/>
            <w:vAlign w:val="center"/>
            <w:hideMark/>
          </w:tcPr>
          <w:p w14:paraId="6136256A"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1,000 </w:t>
            </w:r>
          </w:p>
        </w:tc>
        <w:tc>
          <w:tcPr>
            <w:tcW w:w="794" w:type="dxa"/>
            <w:vAlign w:val="center"/>
            <w:hideMark/>
          </w:tcPr>
          <w:p w14:paraId="75463D14"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w:t>
            </w:r>
          </w:p>
        </w:tc>
      </w:tr>
      <w:tr w:rsidR="002E149D" w:rsidRPr="00A4333E" w14:paraId="28893698" w14:textId="77777777" w:rsidTr="00B938BE">
        <w:tc>
          <w:tcPr>
            <w:cnfStyle w:val="001000000000" w:firstRow="0" w:lastRow="0" w:firstColumn="1" w:lastColumn="0" w:oddVBand="0" w:evenVBand="0" w:oddHBand="0" w:evenHBand="0" w:firstRowFirstColumn="0" w:firstRowLastColumn="0" w:lastRowFirstColumn="0" w:lastRowLastColumn="0"/>
            <w:tcW w:w="1838" w:type="dxa"/>
            <w:noWrap/>
            <w:hideMark/>
          </w:tcPr>
          <w:p w14:paraId="4192B9CB" w14:textId="77777777" w:rsidR="002E149D" w:rsidRPr="00A4333E" w:rsidRDefault="002E149D" w:rsidP="00483E42">
            <w:pPr>
              <w:ind w:left="0" w:firstLine="0"/>
              <w:rPr>
                <w:rFonts w:asciiTheme="minorHAnsi" w:eastAsia="Times New Roman" w:hAnsiTheme="minorHAnsi" w:cstheme="minorHAnsi"/>
                <w:b w:val="0"/>
                <w:bCs w:val="0"/>
                <w:color w:val="000000"/>
                <w:sz w:val="20"/>
                <w:szCs w:val="20"/>
                <w:lang w:val="fr-FR" w:eastAsia="en-GB"/>
              </w:rPr>
            </w:pPr>
            <w:r w:rsidRPr="00A4333E">
              <w:rPr>
                <w:rFonts w:asciiTheme="minorHAnsi" w:eastAsia="Times New Roman" w:hAnsiTheme="minorHAnsi" w:cstheme="minorHAnsi"/>
                <w:b w:val="0"/>
                <w:bCs w:val="0"/>
                <w:color w:val="000000"/>
                <w:sz w:val="20"/>
                <w:szCs w:val="20"/>
                <w:lang w:val="fr-FR" w:eastAsia="en-GB"/>
              </w:rPr>
              <w:t>Cameroun</w:t>
            </w:r>
          </w:p>
        </w:tc>
        <w:tc>
          <w:tcPr>
            <w:tcW w:w="794" w:type="dxa"/>
            <w:vAlign w:val="center"/>
            <w:hideMark/>
          </w:tcPr>
          <w:p w14:paraId="34EE70EC"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9,247 </w:t>
            </w:r>
          </w:p>
        </w:tc>
        <w:tc>
          <w:tcPr>
            <w:tcW w:w="794" w:type="dxa"/>
            <w:vAlign w:val="center"/>
            <w:hideMark/>
          </w:tcPr>
          <w:p w14:paraId="3A6ECED9"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1,000 </w:t>
            </w:r>
          </w:p>
        </w:tc>
        <w:tc>
          <w:tcPr>
            <w:tcW w:w="794" w:type="dxa"/>
            <w:vAlign w:val="center"/>
            <w:hideMark/>
          </w:tcPr>
          <w:p w14:paraId="48022EC0"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16C86660"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210C368F"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6C95E2F0"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4D300CF8"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9,247 </w:t>
            </w:r>
          </w:p>
        </w:tc>
        <w:tc>
          <w:tcPr>
            <w:tcW w:w="794" w:type="dxa"/>
            <w:vAlign w:val="center"/>
            <w:hideMark/>
          </w:tcPr>
          <w:p w14:paraId="476E62A1"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1,000 </w:t>
            </w:r>
          </w:p>
        </w:tc>
        <w:tc>
          <w:tcPr>
            <w:tcW w:w="794" w:type="dxa"/>
            <w:vAlign w:val="center"/>
            <w:hideMark/>
          </w:tcPr>
          <w:p w14:paraId="70CAA0D6"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w:t>
            </w:r>
          </w:p>
        </w:tc>
      </w:tr>
      <w:tr w:rsidR="002E149D" w:rsidRPr="00A4333E" w14:paraId="0A716EA8" w14:textId="77777777" w:rsidTr="00B938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noWrap/>
            <w:hideMark/>
          </w:tcPr>
          <w:p w14:paraId="33001AA5" w14:textId="77777777" w:rsidR="002E149D" w:rsidRPr="00A4333E" w:rsidRDefault="002E149D" w:rsidP="00483E42">
            <w:pPr>
              <w:ind w:left="0" w:firstLine="0"/>
              <w:rPr>
                <w:rFonts w:asciiTheme="minorHAnsi" w:eastAsia="Times New Roman" w:hAnsiTheme="minorHAnsi" w:cstheme="minorHAnsi"/>
                <w:b w:val="0"/>
                <w:bCs w:val="0"/>
                <w:color w:val="000000"/>
                <w:sz w:val="20"/>
                <w:szCs w:val="20"/>
                <w:lang w:val="fr-FR" w:eastAsia="en-GB"/>
              </w:rPr>
            </w:pPr>
            <w:r w:rsidRPr="00A4333E">
              <w:rPr>
                <w:rFonts w:asciiTheme="minorHAnsi" w:eastAsia="Times New Roman" w:hAnsiTheme="minorHAnsi" w:cstheme="minorHAnsi"/>
                <w:b w:val="0"/>
                <w:bCs w:val="0"/>
                <w:color w:val="000000"/>
                <w:sz w:val="20"/>
                <w:szCs w:val="20"/>
                <w:lang w:val="fr-FR" w:eastAsia="en-GB"/>
              </w:rPr>
              <w:t>Canada</w:t>
            </w:r>
          </w:p>
        </w:tc>
        <w:tc>
          <w:tcPr>
            <w:tcW w:w="794" w:type="dxa"/>
            <w:vAlign w:val="center"/>
            <w:hideMark/>
          </w:tcPr>
          <w:p w14:paraId="260AF2FA"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0D181BCB"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133,818 </w:t>
            </w:r>
          </w:p>
        </w:tc>
        <w:tc>
          <w:tcPr>
            <w:tcW w:w="794" w:type="dxa"/>
            <w:vAlign w:val="center"/>
            <w:hideMark/>
          </w:tcPr>
          <w:p w14:paraId="70EEEC59"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155,442 </w:t>
            </w:r>
          </w:p>
        </w:tc>
        <w:tc>
          <w:tcPr>
            <w:tcW w:w="794" w:type="dxa"/>
            <w:vAlign w:val="center"/>
            <w:hideMark/>
          </w:tcPr>
          <w:p w14:paraId="18EDF59D"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7BF4556F"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677E7583"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134,845 </w:t>
            </w:r>
          </w:p>
        </w:tc>
        <w:tc>
          <w:tcPr>
            <w:tcW w:w="794" w:type="dxa"/>
            <w:vAlign w:val="center"/>
            <w:hideMark/>
          </w:tcPr>
          <w:p w14:paraId="796F1BE5"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368E2351"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w:t>
            </w:r>
          </w:p>
        </w:tc>
        <w:tc>
          <w:tcPr>
            <w:tcW w:w="794" w:type="dxa"/>
            <w:vAlign w:val="center"/>
            <w:hideMark/>
          </w:tcPr>
          <w:p w14:paraId="05EDAF79"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156,469 </w:t>
            </w:r>
          </w:p>
        </w:tc>
      </w:tr>
      <w:tr w:rsidR="002E149D" w:rsidRPr="00A4333E" w14:paraId="4FD3D4FA" w14:textId="77777777" w:rsidTr="00B938BE">
        <w:tc>
          <w:tcPr>
            <w:cnfStyle w:val="001000000000" w:firstRow="0" w:lastRow="0" w:firstColumn="1" w:lastColumn="0" w:oddVBand="0" w:evenVBand="0" w:oddHBand="0" w:evenHBand="0" w:firstRowFirstColumn="0" w:firstRowLastColumn="0" w:lastRowFirstColumn="0" w:lastRowLastColumn="0"/>
            <w:tcW w:w="1838" w:type="dxa"/>
            <w:noWrap/>
            <w:hideMark/>
          </w:tcPr>
          <w:p w14:paraId="3CAED143" w14:textId="77777777" w:rsidR="002E149D" w:rsidRPr="00A4333E" w:rsidRDefault="002E149D" w:rsidP="00483E42">
            <w:pPr>
              <w:ind w:left="0" w:firstLine="0"/>
              <w:rPr>
                <w:rFonts w:asciiTheme="minorHAnsi" w:eastAsia="Times New Roman" w:hAnsiTheme="minorHAnsi" w:cstheme="minorHAnsi"/>
                <w:b w:val="0"/>
                <w:bCs w:val="0"/>
                <w:color w:val="000000"/>
                <w:sz w:val="20"/>
                <w:szCs w:val="20"/>
                <w:lang w:val="fr-FR" w:eastAsia="en-GB"/>
              </w:rPr>
            </w:pPr>
            <w:r w:rsidRPr="00A4333E">
              <w:rPr>
                <w:rFonts w:asciiTheme="minorHAnsi" w:eastAsia="Times New Roman" w:hAnsiTheme="minorHAnsi" w:cstheme="minorHAnsi"/>
                <w:b w:val="0"/>
                <w:bCs w:val="0"/>
                <w:color w:val="000000"/>
                <w:sz w:val="20"/>
                <w:szCs w:val="20"/>
                <w:lang w:val="fr-FR" w:eastAsia="en-GB"/>
              </w:rPr>
              <w:t>Chili</w:t>
            </w:r>
          </w:p>
        </w:tc>
        <w:tc>
          <w:tcPr>
            <w:tcW w:w="794" w:type="dxa"/>
            <w:vAlign w:val="center"/>
            <w:hideMark/>
          </w:tcPr>
          <w:p w14:paraId="199ED3F4"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33,783 </w:t>
            </w:r>
          </w:p>
        </w:tc>
        <w:tc>
          <w:tcPr>
            <w:tcW w:w="794" w:type="dxa"/>
            <w:vAlign w:val="center"/>
            <w:hideMark/>
          </w:tcPr>
          <w:p w14:paraId="7D35FE98"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19,921 </w:t>
            </w:r>
          </w:p>
        </w:tc>
        <w:tc>
          <w:tcPr>
            <w:tcW w:w="794" w:type="dxa"/>
            <w:vAlign w:val="center"/>
            <w:hideMark/>
          </w:tcPr>
          <w:p w14:paraId="1B750DF3"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74A4D926"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15,825 </w:t>
            </w:r>
          </w:p>
        </w:tc>
        <w:tc>
          <w:tcPr>
            <w:tcW w:w="794" w:type="dxa"/>
            <w:vAlign w:val="center"/>
            <w:hideMark/>
          </w:tcPr>
          <w:p w14:paraId="732B77A5"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6599E40F"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5BCEFBAC"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17,959 </w:t>
            </w:r>
          </w:p>
        </w:tc>
        <w:tc>
          <w:tcPr>
            <w:tcW w:w="794" w:type="dxa"/>
            <w:vAlign w:val="center"/>
            <w:hideMark/>
          </w:tcPr>
          <w:p w14:paraId="2E99E8BA"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19,921 </w:t>
            </w:r>
          </w:p>
        </w:tc>
        <w:tc>
          <w:tcPr>
            <w:tcW w:w="794" w:type="dxa"/>
            <w:vAlign w:val="center"/>
            <w:hideMark/>
          </w:tcPr>
          <w:p w14:paraId="6181E8FB"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w:t>
            </w:r>
          </w:p>
        </w:tc>
      </w:tr>
      <w:tr w:rsidR="002E149D" w:rsidRPr="00A4333E" w14:paraId="115781EB" w14:textId="77777777" w:rsidTr="00B938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noWrap/>
            <w:hideMark/>
          </w:tcPr>
          <w:p w14:paraId="0C9E54F6" w14:textId="77777777" w:rsidR="002E149D" w:rsidRPr="00A4333E" w:rsidRDefault="002E149D" w:rsidP="00483E42">
            <w:pPr>
              <w:ind w:left="0" w:firstLine="0"/>
              <w:rPr>
                <w:rFonts w:asciiTheme="minorHAnsi" w:eastAsia="Times New Roman" w:hAnsiTheme="minorHAnsi" w:cstheme="minorHAnsi"/>
                <w:b w:val="0"/>
                <w:bCs w:val="0"/>
                <w:color w:val="000000"/>
                <w:sz w:val="20"/>
                <w:szCs w:val="20"/>
                <w:lang w:val="fr-FR" w:eastAsia="en-GB"/>
              </w:rPr>
            </w:pPr>
            <w:r w:rsidRPr="00A4333E">
              <w:rPr>
                <w:rFonts w:asciiTheme="minorHAnsi" w:eastAsia="Times New Roman" w:hAnsiTheme="minorHAnsi" w:cstheme="minorHAnsi"/>
                <w:b w:val="0"/>
                <w:bCs w:val="0"/>
                <w:color w:val="000000"/>
                <w:sz w:val="20"/>
                <w:szCs w:val="20"/>
                <w:lang w:val="fr-FR" w:eastAsia="en-GB"/>
              </w:rPr>
              <w:t>Chine</w:t>
            </w:r>
          </w:p>
        </w:tc>
        <w:tc>
          <w:tcPr>
            <w:tcW w:w="794" w:type="dxa"/>
            <w:vAlign w:val="center"/>
            <w:hideMark/>
          </w:tcPr>
          <w:p w14:paraId="312E288D"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52D67221"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587,595 </w:t>
            </w:r>
          </w:p>
        </w:tc>
        <w:tc>
          <w:tcPr>
            <w:tcW w:w="794" w:type="dxa"/>
            <w:vAlign w:val="center"/>
            <w:hideMark/>
          </w:tcPr>
          <w:p w14:paraId="07E52BB7"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7DCAC925"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67937D16"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587,595 </w:t>
            </w:r>
          </w:p>
        </w:tc>
        <w:tc>
          <w:tcPr>
            <w:tcW w:w="794" w:type="dxa"/>
            <w:vAlign w:val="center"/>
            <w:hideMark/>
          </w:tcPr>
          <w:p w14:paraId="20329D85"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50D1B9B4"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18CE05AF"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w:t>
            </w:r>
          </w:p>
        </w:tc>
        <w:tc>
          <w:tcPr>
            <w:tcW w:w="794" w:type="dxa"/>
            <w:vAlign w:val="center"/>
            <w:hideMark/>
          </w:tcPr>
          <w:p w14:paraId="32BCD581"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w:t>
            </w:r>
          </w:p>
        </w:tc>
      </w:tr>
      <w:tr w:rsidR="002E149D" w:rsidRPr="00A4333E" w14:paraId="7C85C7E0" w14:textId="77777777" w:rsidTr="00B938BE">
        <w:tc>
          <w:tcPr>
            <w:cnfStyle w:val="001000000000" w:firstRow="0" w:lastRow="0" w:firstColumn="1" w:lastColumn="0" w:oddVBand="0" w:evenVBand="0" w:oddHBand="0" w:evenHBand="0" w:firstRowFirstColumn="0" w:firstRowLastColumn="0" w:lastRowFirstColumn="0" w:lastRowLastColumn="0"/>
            <w:tcW w:w="1838" w:type="dxa"/>
            <w:noWrap/>
            <w:hideMark/>
          </w:tcPr>
          <w:p w14:paraId="651FD5DB" w14:textId="77777777" w:rsidR="002E149D" w:rsidRPr="00A4333E" w:rsidRDefault="002E149D" w:rsidP="00483E42">
            <w:pPr>
              <w:ind w:left="0" w:firstLine="0"/>
              <w:rPr>
                <w:rFonts w:asciiTheme="minorHAnsi" w:eastAsia="Times New Roman" w:hAnsiTheme="minorHAnsi" w:cstheme="minorHAnsi"/>
                <w:b w:val="0"/>
                <w:bCs w:val="0"/>
                <w:color w:val="000000"/>
                <w:sz w:val="20"/>
                <w:szCs w:val="20"/>
                <w:lang w:val="fr-FR" w:eastAsia="en-GB"/>
              </w:rPr>
            </w:pPr>
            <w:r w:rsidRPr="00A4333E">
              <w:rPr>
                <w:rFonts w:asciiTheme="minorHAnsi" w:eastAsia="Times New Roman" w:hAnsiTheme="minorHAnsi" w:cstheme="minorHAnsi"/>
                <w:b w:val="0"/>
                <w:bCs w:val="0"/>
                <w:color w:val="000000"/>
                <w:sz w:val="20"/>
                <w:szCs w:val="20"/>
                <w:lang w:val="fr-FR" w:eastAsia="en-GB"/>
              </w:rPr>
              <w:t>Chypres</w:t>
            </w:r>
          </w:p>
        </w:tc>
        <w:tc>
          <w:tcPr>
            <w:tcW w:w="794" w:type="dxa"/>
            <w:vAlign w:val="center"/>
            <w:hideMark/>
          </w:tcPr>
          <w:p w14:paraId="115C2953"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17AA04CF"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1,762 </w:t>
            </w:r>
          </w:p>
        </w:tc>
        <w:tc>
          <w:tcPr>
            <w:tcW w:w="794" w:type="dxa"/>
            <w:vAlign w:val="center"/>
            <w:hideMark/>
          </w:tcPr>
          <w:p w14:paraId="708740C1"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0FCC17DD"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23BC348E"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1,762 </w:t>
            </w:r>
          </w:p>
        </w:tc>
        <w:tc>
          <w:tcPr>
            <w:tcW w:w="794" w:type="dxa"/>
            <w:vAlign w:val="center"/>
            <w:hideMark/>
          </w:tcPr>
          <w:p w14:paraId="0638F911"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52B7AD9C"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6B8C087E"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w:t>
            </w:r>
          </w:p>
        </w:tc>
        <w:tc>
          <w:tcPr>
            <w:tcW w:w="794" w:type="dxa"/>
            <w:vAlign w:val="center"/>
            <w:hideMark/>
          </w:tcPr>
          <w:p w14:paraId="762ECD45"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w:t>
            </w:r>
          </w:p>
        </w:tc>
      </w:tr>
      <w:tr w:rsidR="002E149D" w:rsidRPr="00A4333E" w14:paraId="76A2B829" w14:textId="77777777" w:rsidTr="00B938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noWrap/>
            <w:hideMark/>
          </w:tcPr>
          <w:p w14:paraId="3351C74C" w14:textId="77777777" w:rsidR="002E149D" w:rsidRPr="00A4333E" w:rsidRDefault="002E149D" w:rsidP="00483E42">
            <w:pPr>
              <w:ind w:left="0" w:firstLine="0"/>
              <w:rPr>
                <w:rFonts w:asciiTheme="minorHAnsi" w:eastAsia="Times New Roman" w:hAnsiTheme="minorHAnsi" w:cstheme="minorHAnsi"/>
                <w:b w:val="0"/>
                <w:bCs w:val="0"/>
                <w:color w:val="000000"/>
                <w:sz w:val="20"/>
                <w:szCs w:val="20"/>
                <w:lang w:val="fr-FR" w:eastAsia="en-GB"/>
              </w:rPr>
            </w:pPr>
            <w:r w:rsidRPr="00A4333E">
              <w:rPr>
                <w:rFonts w:asciiTheme="minorHAnsi" w:eastAsia="Times New Roman" w:hAnsiTheme="minorHAnsi" w:cstheme="minorHAnsi"/>
                <w:b w:val="0"/>
                <w:bCs w:val="0"/>
                <w:color w:val="000000"/>
                <w:sz w:val="20"/>
                <w:szCs w:val="20"/>
                <w:lang w:val="fr-FR" w:eastAsia="en-GB"/>
              </w:rPr>
              <w:t>Colombie</w:t>
            </w:r>
          </w:p>
        </w:tc>
        <w:tc>
          <w:tcPr>
            <w:tcW w:w="794" w:type="dxa"/>
            <w:vAlign w:val="center"/>
            <w:hideMark/>
          </w:tcPr>
          <w:p w14:paraId="6357903D"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43,941 </w:t>
            </w:r>
          </w:p>
        </w:tc>
        <w:tc>
          <w:tcPr>
            <w:tcW w:w="794" w:type="dxa"/>
            <w:vAlign w:val="center"/>
            <w:hideMark/>
          </w:tcPr>
          <w:p w14:paraId="31456800"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14,096 </w:t>
            </w:r>
          </w:p>
        </w:tc>
        <w:tc>
          <w:tcPr>
            <w:tcW w:w="794" w:type="dxa"/>
            <w:vAlign w:val="center"/>
            <w:hideMark/>
          </w:tcPr>
          <w:p w14:paraId="4EB39ACC"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5B4652EF"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42,691 </w:t>
            </w:r>
          </w:p>
        </w:tc>
        <w:tc>
          <w:tcPr>
            <w:tcW w:w="794" w:type="dxa"/>
            <w:vAlign w:val="center"/>
            <w:hideMark/>
          </w:tcPr>
          <w:p w14:paraId="33E877F6"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784EE9BC"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0669DB8B"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1,250 </w:t>
            </w:r>
          </w:p>
        </w:tc>
        <w:tc>
          <w:tcPr>
            <w:tcW w:w="794" w:type="dxa"/>
            <w:vAlign w:val="center"/>
            <w:hideMark/>
          </w:tcPr>
          <w:p w14:paraId="26181BEB"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14,096 </w:t>
            </w:r>
          </w:p>
        </w:tc>
        <w:tc>
          <w:tcPr>
            <w:tcW w:w="794" w:type="dxa"/>
            <w:vAlign w:val="center"/>
            <w:hideMark/>
          </w:tcPr>
          <w:p w14:paraId="05F3D799"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w:t>
            </w:r>
          </w:p>
        </w:tc>
      </w:tr>
      <w:tr w:rsidR="002E149D" w:rsidRPr="00A4333E" w14:paraId="3458430C" w14:textId="77777777" w:rsidTr="00B938BE">
        <w:tc>
          <w:tcPr>
            <w:cnfStyle w:val="001000000000" w:firstRow="0" w:lastRow="0" w:firstColumn="1" w:lastColumn="0" w:oddVBand="0" w:evenVBand="0" w:oddHBand="0" w:evenHBand="0" w:firstRowFirstColumn="0" w:firstRowLastColumn="0" w:lastRowFirstColumn="0" w:lastRowLastColumn="0"/>
            <w:tcW w:w="1838" w:type="dxa"/>
            <w:noWrap/>
            <w:hideMark/>
          </w:tcPr>
          <w:p w14:paraId="5B7FE3D8" w14:textId="77777777" w:rsidR="002E149D" w:rsidRPr="00A4333E" w:rsidRDefault="002E149D" w:rsidP="00483E42">
            <w:pPr>
              <w:ind w:left="0" w:firstLine="0"/>
              <w:rPr>
                <w:rFonts w:asciiTheme="minorHAnsi" w:eastAsia="Times New Roman" w:hAnsiTheme="minorHAnsi" w:cstheme="minorHAnsi"/>
                <w:b w:val="0"/>
                <w:bCs w:val="0"/>
                <w:color w:val="000000"/>
                <w:sz w:val="20"/>
                <w:szCs w:val="20"/>
                <w:lang w:val="fr-FR" w:eastAsia="en-GB"/>
              </w:rPr>
            </w:pPr>
            <w:r w:rsidRPr="00A4333E">
              <w:rPr>
                <w:rFonts w:asciiTheme="minorHAnsi" w:eastAsia="Times New Roman" w:hAnsiTheme="minorHAnsi" w:cstheme="minorHAnsi"/>
                <w:b w:val="0"/>
                <w:bCs w:val="0"/>
                <w:color w:val="000000"/>
                <w:sz w:val="20"/>
                <w:szCs w:val="20"/>
                <w:lang w:val="fr-FR" w:eastAsia="en-GB"/>
              </w:rPr>
              <w:t>Comores</w:t>
            </w:r>
          </w:p>
        </w:tc>
        <w:tc>
          <w:tcPr>
            <w:tcW w:w="794" w:type="dxa"/>
            <w:vAlign w:val="center"/>
            <w:hideMark/>
          </w:tcPr>
          <w:p w14:paraId="5454C57C"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8,000 </w:t>
            </w:r>
          </w:p>
        </w:tc>
        <w:tc>
          <w:tcPr>
            <w:tcW w:w="794" w:type="dxa"/>
            <w:vAlign w:val="center"/>
            <w:hideMark/>
          </w:tcPr>
          <w:p w14:paraId="53291517"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1,000 </w:t>
            </w:r>
          </w:p>
        </w:tc>
        <w:tc>
          <w:tcPr>
            <w:tcW w:w="794" w:type="dxa"/>
            <w:vAlign w:val="center"/>
            <w:hideMark/>
          </w:tcPr>
          <w:p w14:paraId="6A1AF489"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27241C2A"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2F593C6B"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0D6FA174"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0E9184AF"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8,000 </w:t>
            </w:r>
          </w:p>
        </w:tc>
        <w:tc>
          <w:tcPr>
            <w:tcW w:w="794" w:type="dxa"/>
            <w:vAlign w:val="center"/>
            <w:hideMark/>
          </w:tcPr>
          <w:p w14:paraId="7F9BE11F"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1,000 </w:t>
            </w:r>
          </w:p>
        </w:tc>
        <w:tc>
          <w:tcPr>
            <w:tcW w:w="794" w:type="dxa"/>
            <w:vAlign w:val="center"/>
            <w:hideMark/>
          </w:tcPr>
          <w:p w14:paraId="1A186145"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w:t>
            </w:r>
          </w:p>
        </w:tc>
      </w:tr>
      <w:tr w:rsidR="002E149D" w:rsidRPr="00A4333E" w14:paraId="75CBBC7A" w14:textId="77777777" w:rsidTr="00B938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noWrap/>
            <w:hideMark/>
          </w:tcPr>
          <w:p w14:paraId="3910F8EE" w14:textId="77777777" w:rsidR="002E149D" w:rsidRPr="00A4333E" w:rsidRDefault="002E149D" w:rsidP="00483E42">
            <w:pPr>
              <w:ind w:left="0" w:firstLine="0"/>
              <w:rPr>
                <w:rFonts w:asciiTheme="minorHAnsi" w:eastAsia="Times New Roman" w:hAnsiTheme="minorHAnsi" w:cstheme="minorHAnsi"/>
                <w:b w:val="0"/>
                <w:bCs w:val="0"/>
                <w:color w:val="000000"/>
                <w:sz w:val="20"/>
                <w:szCs w:val="20"/>
                <w:lang w:val="fr-FR" w:eastAsia="en-GB"/>
              </w:rPr>
            </w:pPr>
            <w:r w:rsidRPr="00A4333E">
              <w:rPr>
                <w:rFonts w:asciiTheme="minorHAnsi" w:eastAsia="Times New Roman" w:hAnsiTheme="minorHAnsi" w:cstheme="minorHAnsi"/>
                <w:b w:val="0"/>
                <w:bCs w:val="0"/>
                <w:color w:val="000000"/>
                <w:sz w:val="20"/>
                <w:szCs w:val="20"/>
                <w:lang w:val="fr-FR" w:eastAsia="en-GB"/>
              </w:rPr>
              <w:t>Congo</w:t>
            </w:r>
          </w:p>
        </w:tc>
        <w:tc>
          <w:tcPr>
            <w:tcW w:w="794" w:type="dxa"/>
            <w:vAlign w:val="center"/>
            <w:hideMark/>
          </w:tcPr>
          <w:p w14:paraId="5B2A8692"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7,000 </w:t>
            </w:r>
          </w:p>
        </w:tc>
        <w:tc>
          <w:tcPr>
            <w:tcW w:w="794" w:type="dxa"/>
            <w:vAlign w:val="center"/>
            <w:hideMark/>
          </w:tcPr>
          <w:p w14:paraId="09796D27"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1,000 </w:t>
            </w:r>
          </w:p>
        </w:tc>
        <w:tc>
          <w:tcPr>
            <w:tcW w:w="794" w:type="dxa"/>
            <w:vAlign w:val="center"/>
            <w:hideMark/>
          </w:tcPr>
          <w:p w14:paraId="125D2A0B"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1B22964E"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18ECEB8E"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5415696C"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547A2EF9"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7,000 </w:t>
            </w:r>
          </w:p>
        </w:tc>
        <w:tc>
          <w:tcPr>
            <w:tcW w:w="794" w:type="dxa"/>
            <w:vAlign w:val="center"/>
            <w:hideMark/>
          </w:tcPr>
          <w:p w14:paraId="6E68DF05"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1,000 </w:t>
            </w:r>
          </w:p>
        </w:tc>
        <w:tc>
          <w:tcPr>
            <w:tcW w:w="794" w:type="dxa"/>
            <w:vAlign w:val="center"/>
            <w:hideMark/>
          </w:tcPr>
          <w:p w14:paraId="4840B77B"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w:t>
            </w:r>
          </w:p>
        </w:tc>
      </w:tr>
      <w:tr w:rsidR="002E149D" w:rsidRPr="00A4333E" w14:paraId="27094BE6" w14:textId="77777777" w:rsidTr="00B938BE">
        <w:tc>
          <w:tcPr>
            <w:cnfStyle w:val="001000000000" w:firstRow="0" w:lastRow="0" w:firstColumn="1" w:lastColumn="0" w:oddVBand="0" w:evenVBand="0" w:oddHBand="0" w:evenHBand="0" w:firstRowFirstColumn="0" w:firstRowLastColumn="0" w:lastRowFirstColumn="0" w:lastRowLastColumn="0"/>
            <w:tcW w:w="1838" w:type="dxa"/>
            <w:noWrap/>
            <w:hideMark/>
          </w:tcPr>
          <w:p w14:paraId="240A8983" w14:textId="77777777" w:rsidR="002E149D" w:rsidRPr="00A4333E" w:rsidRDefault="002E149D" w:rsidP="00483E42">
            <w:pPr>
              <w:ind w:left="0" w:firstLine="0"/>
              <w:rPr>
                <w:rFonts w:asciiTheme="minorHAnsi" w:eastAsia="Times New Roman" w:hAnsiTheme="minorHAnsi" w:cstheme="minorHAnsi"/>
                <w:b w:val="0"/>
                <w:bCs w:val="0"/>
                <w:color w:val="000000"/>
                <w:sz w:val="20"/>
                <w:szCs w:val="20"/>
                <w:lang w:val="fr-FR" w:eastAsia="en-GB"/>
              </w:rPr>
            </w:pPr>
            <w:r w:rsidRPr="00A4333E">
              <w:rPr>
                <w:rFonts w:asciiTheme="minorHAnsi" w:eastAsia="Times New Roman" w:hAnsiTheme="minorHAnsi" w:cstheme="minorHAnsi"/>
                <w:b w:val="0"/>
                <w:bCs w:val="0"/>
                <w:color w:val="000000"/>
                <w:sz w:val="20"/>
                <w:szCs w:val="20"/>
                <w:lang w:val="fr-FR" w:eastAsia="en-GB"/>
              </w:rPr>
              <w:lastRenderedPageBreak/>
              <w:t>Costa Rica</w:t>
            </w:r>
          </w:p>
        </w:tc>
        <w:tc>
          <w:tcPr>
            <w:tcW w:w="794" w:type="dxa"/>
            <w:vAlign w:val="center"/>
            <w:hideMark/>
          </w:tcPr>
          <w:p w14:paraId="434A1D5D"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2,313 </w:t>
            </w:r>
          </w:p>
        </w:tc>
        <w:tc>
          <w:tcPr>
            <w:tcW w:w="794" w:type="dxa"/>
            <w:vAlign w:val="center"/>
            <w:hideMark/>
          </w:tcPr>
          <w:p w14:paraId="0D554A29"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3,035 </w:t>
            </w:r>
          </w:p>
        </w:tc>
        <w:tc>
          <w:tcPr>
            <w:tcW w:w="794" w:type="dxa"/>
            <w:vAlign w:val="center"/>
            <w:hideMark/>
          </w:tcPr>
          <w:p w14:paraId="1C0AC46A"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641DCEDA"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669571CF"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0E3C12A1"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31A36AB4"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2,313 </w:t>
            </w:r>
          </w:p>
        </w:tc>
        <w:tc>
          <w:tcPr>
            <w:tcW w:w="794" w:type="dxa"/>
            <w:vAlign w:val="center"/>
            <w:hideMark/>
          </w:tcPr>
          <w:p w14:paraId="6541486A"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3,035 </w:t>
            </w:r>
          </w:p>
        </w:tc>
        <w:tc>
          <w:tcPr>
            <w:tcW w:w="794" w:type="dxa"/>
            <w:vAlign w:val="center"/>
            <w:hideMark/>
          </w:tcPr>
          <w:p w14:paraId="14840039"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w:t>
            </w:r>
          </w:p>
        </w:tc>
      </w:tr>
      <w:tr w:rsidR="002E149D" w:rsidRPr="00A4333E" w14:paraId="63ABEB33" w14:textId="77777777" w:rsidTr="00B938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noWrap/>
            <w:hideMark/>
          </w:tcPr>
          <w:p w14:paraId="2AB16B15" w14:textId="77777777" w:rsidR="002E149D" w:rsidRPr="00A4333E" w:rsidRDefault="002E149D" w:rsidP="00483E42">
            <w:pPr>
              <w:ind w:left="0" w:firstLine="0"/>
              <w:rPr>
                <w:rFonts w:asciiTheme="minorHAnsi" w:eastAsia="Times New Roman" w:hAnsiTheme="minorHAnsi" w:cstheme="minorHAnsi"/>
                <w:b w:val="0"/>
                <w:bCs w:val="0"/>
                <w:color w:val="000000"/>
                <w:sz w:val="20"/>
                <w:szCs w:val="20"/>
                <w:lang w:val="fr-FR" w:eastAsia="en-GB"/>
              </w:rPr>
            </w:pPr>
            <w:r w:rsidRPr="00A4333E">
              <w:rPr>
                <w:rFonts w:asciiTheme="minorHAnsi" w:eastAsia="Times New Roman" w:hAnsiTheme="minorHAnsi" w:cstheme="minorHAnsi"/>
                <w:b w:val="0"/>
                <w:bCs w:val="0"/>
                <w:color w:val="000000"/>
                <w:sz w:val="20"/>
                <w:szCs w:val="20"/>
                <w:lang w:val="fr-FR" w:eastAsia="en-GB"/>
              </w:rPr>
              <w:t>Côte d'Ivoire</w:t>
            </w:r>
          </w:p>
        </w:tc>
        <w:tc>
          <w:tcPr>
            <w:tcW w:w="794" w:type="dxa"/>
            <w:vAlign w:val="center"/>
            <w:hideMark/>
          </w:tcPr>
          <w:p w14:paraId="7365C4C4"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2,844 </w:t>
            </w:r>
          </w:p>
        </w:tc>
        <w:tc>
          <w:tcPr>
            <w:tcW w:w="794" w:type="dxa"/>
            <w:vAlign w:val="center"/>
            <w:hideMark/>
          </w:tcPr>
          <w:p w14:paraId="223A7FA0"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1,000 </w:t>
            </w:r>
          </w:p>
        </w:tc>
        <w:tc>
          <w:tcPr>
            <w:tcW w:w="794" w:type="dxa"/>
            <w:vAlign w:val="center"/>
            <w:hideMark/>
          </w:tcPr>
          <w:p w14:paraId="393EF0AC"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3EA3BE44"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2,844 </w:t>
            </w:r>
          </w:p>
        </w:tc>
        <w:tc>
          <w:tcPr>
            <w:tcW w:w="794" w:type="dxa"/>
            <w:vAlign w:val="center"/>
            <w:hideMark/>
          </w:tcPr>
          <w:p w14:paraId="2AC710FE"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1,000 </w:t>
            </w:r>
          </w:p>
        </w:tc>
        <w:tc>
          <w:tcPr>
            <w:tcW w:w="794" w:type="dxa"/>
            <w:vAlign w:val="center"/>
            <w:hideMark/>
          </w:tcPr>
          <w:p w14:paraId="31E3B565"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2,740 </w:t>
            </w:r>
          </w:p>
        </w:tc>
        <w:tc>
          <w:tcPr>
            <w:tcW w:w="794" w:type="dxa"/>
            <w:vAlign w:val="center"/>
            <w:hideMark/>
          </w:tcPr>
          <w:p w14:paraId="07B2A45C"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6B580787"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w:t>
            </w:r>
          </w:p>
        </w:tc>
        <w:tc>
          <w:tcPr>
            <w:tcW w:w="794" w:type="dxa"/>
            <w:vAlign w:val="center"/>
            <w:hideMark/>
          </w:tcPr>
          <w:p w14:paraId="2B25C965"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2,740 </w:t>
            </w:r>
          </w:p>
        </w:tc>
      </w:tr>
      <w:tr w:rsidR="002E149D" w:rsidRPr="00A4333E" w14:paraId="0D153B9E" w14:textId="77777777" w:rsidTr="00B938BE">
        <w:tc>
          <w:tcPr>
            <w:cnfStyle w:val="001000000000" w:firstRow="0" w:lastRow="0" w:firstColumn="1" w:lastColumn="0" w:oddVBand="0" w:evenVBand="0" w:oddHBand="0" w:evenHBand="0" w:firstRowFirstColumn="0" w:firstRowLastColumn="0" w:lastRowFirstColumn="0" w:lastRowLastColumn="0"/>
            <w:tcW w:w="1838" w:type="dxa"/>
            <w:noWrap/>
            <w:hideMark/>
          </w:tcPr>
          <w:p w14:paraId="556AF69E" w14:textId="77777777" w:rsidR="002E149D" w:rsidRPr="00A4333E" w:rsidRDefault="002E149D" w:rsidP="00483E42">
            <w:pPr>
              <w:ind w:left="0" w:firstLine="0"/>
              <w:rPr>
                <w:rFonts w:asciiTheme="minorHAnsi" w:eastAsia="Times New Roman" w:hAnsiTheme="minorHAnsi" w:cstheme="minorHAnsi"/>
                <w:b w:val="0"/>
                <w:bCs w:val="0"/>
                <w:color w:val="000000"/>
                <w:sz w:val="20"/>
                <w:szCs w:val="20"/>
                <w:lang w:val="fr-FR" w:eastAsia="en-GB"/>
              </w:rPr>
            </w:pPr>
            <w:r w:rsidRPr="00A4333E">
              <w:rPr>
                <w:rFonts w:asciiTheme="minorHAnsi" w:eastAsia="Times New Roman" w:hAnsiTheme="minorHAnsi" w:cstheme="minorHAnsi"/>
                <w:b w:val="0"/>
                <w:bCs w:val="0"/>
                <w:color w:val="000000"/>
                <w:sz w:val="20"/>
                <w:szCs w:val="20"/>
                <w:lang w:val="fr-FR" w:eastAsia="en-GB"/>
              </w:rPr>
              <w:t>Croatie</w:t>
            </w:r>
          </w:p>
        </w:tc>
        <w:tc>
          <w:tcPr>
            <w:tcW w:w="794" w:type="dxa"/>
            <w:vAlign w:val="center"/>
            <w:hideMark/>
          </w:tcPr>
          <w:p w14:paraId="0383E53E"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75FE26D4"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3,769 </w:t>
            </w:r>
          </w:p>
        </w:tc>
        <w:tc>
          <w:tcPr>
            <w:tcW w:w="794" w:type="dxa"/>
            <w:vAlign w:val="center"/>
            <w:hideMark/>
          </w:tcPr>
          <w:p w14:paraId="322492C5"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401F5DDE"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0E60E05F"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3,769 </w:t>
            </w:r>
          </w:p>
        </w:tc>
        <w:tc>
          <w:tcPr>
            <w:tcW w:w="794" w:type="dxa"/>
            <w:vAlign w:val="center"/>
            <w:hideMark/>
          </w:tcPr>
          <w:p w14:paraId="358C645E"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65F34B67"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41A0A5C7"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w:t>
            </w:r>
          </w:p>
        </w:tc>
        <w:tc>
          <w:tcPr>
            <w:tcW w:w="794" w:type="dxa"/>
            <w:vAlign w:val="center"/>
            <w:hideMark/>
          </w:tcPr>
          <w:p w14:paraId="4B04AAB2"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w:t>
            </w:r>
          </w:p>
        </w:tc>
      </w:tr>
      <w:tr w:rsidR="002E149D" w:rsidRPr="00A4333E" w14:paraId="74D325F4" w14:textId="77777777" w:rsidTr="00B938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noWrap/>
            <w:hideMark/>
          </w:tcPr>
          <w:p w14:paraId="029CE4C9" w14:textId="77777777" w:rsidR="002E149D" w:rsidRPr="00A4333E" w:rsidRDefault="002E149D" w:rsidP="00483E42">
            <w:pPr>
              <w:ind w:left="0" w:firstLine="0"/>
              <w:rPr>
                <w:rFonts w:asciiTheme="minorHAnsi" w:eastAsia="Times New Roman" w:hAnsiTheme="minorHAnsi" w:cstheme="minorHAnsi"/>
                <w:b w:val="0"/>
                <w:bCs w:val="0"/>
                <w:color w:val="000000"/>
                <w:sz w:val="20"/>
                <w:szCs w:val="20"/>
                <w:lang w:val="fr-FR" w:eastAsia="en-GB"/>
              </w:rPr>
            </w:pPr>
            <w:r w:rsidRPr="00A4333E">
              <w:rPr>
                <w:rFonts w:asciiTheme="minorHAnsi" w:eastAsia="Times New Roman" w:hAnsiTheme="minorHAnsi" w:cstheme="minorHAnsi"/>
                <w:b w:val="0"/>
                <w:bCs w:val="0"/>
                <w:color w:val="000000"/>
                <w:sz w:val="20"/>
                <w:szCs w:val="20"/>
                <w:lang w:val="fr-FR" w:eastAsia="en-GB"/>
              </w:rPr>
              <w:t>Cuba</w:t>
            </w:r>
          </w:p>
        </w:tc>
        <w:tc>
          <w:tcPr>
            <w:tcW w:w="794" w:type="dxa"/>
            <w:vAlign w:val="center"/>
            <w:hideMark/>
          </w:tcPr>
          <w:p w14:paraId="580191F7"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24,336 </w:t>
            </w:r>
          </w:p>
        </w:tc>
        <w:tc>
          <w:tcPr>
            <w:tcW w:w="794" w:type="dxa"/>
            <w:vAlign w:val="center"/>
            <w:hideMark/>
          </w:tcPr>
          <w:p w14:paraId="4F498B3F"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3,916 </w:t>
            </w:r>
          </w:p>
        </w:tc>
        <w:tc>
          <w:tcPr>
            <w:tcW w:w="794" w:type="dxa"/>
            <w:vAlign w:val="center"/>
            <w:hideMark/>
          </w:tcPr>
          <w:p w14:paraId="536FCA8D"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02BA54D3"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4154CEB6"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6D8AEE77"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05EB2D9D"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24,336 </w:t>
            </w:r>
          </w:p>
        </w:tc>
        <w:tc>
          <w:tcPr>
            <w:tcW w:w="794" w:type="dxa"/>
            <w:vAlign w:val="center"/>
            <w:hideMark/>
          </w:tcPr>
          <w:p w14:paraId="2A41A68B"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3,916 </w:t>
            </w:r>
          </w:p>
        </w:tc>
        <w:tc>
          <w:tcPr>
            <w:tcW w:w="794" w:type="dxa"/>
            <w:vAlign w:val="center"/>
            <w:hideMark/>
          </w:tcPr>
          <w:p w14:paraId="339EF96A"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w:t>
            </w:r>
          </w:p>
        </w:tc>
      </w:tr>
      <w:tr w:rsidR="002E149D" w:rsidRPr="00A4333E" w14:paraId="1D41E4E1" w14:textId="77777777" w:rsidTr="00B938BE">
        <w:tc>
          <w:tcPr>
            <w:cnfStyle w:val="001000000000" w:firstRow="0" w:lastRow="0" w:firstColumn="1" w:lastColumn="0" w:oddVBand="0" w:evenVBand="0" w:oddHBand="0" w:evenHBand="0" w:firstRowFirstColumn="0" w:firstRowLastColumn="0" w:lastRowFirstColumn="0" w:lastRowLastColumn="0"/>
            <w:tcW w:w="1838" w:type="dxa"/>
            <w:noWrap/>
            <w:hideMark/>
          </w:tcPr>
          <w:p w14:paraId="636408A9" w14:textId="77777777" w:rsidR="002E149D" w:rsidRPr="00A4333E" w:rsidRDefault="002E149D" w:rsidP="00483E42">
            <w:pPr>
              <w:ind w:left="0" w:firstLine="0"/>
              <w:rPr>
                <w:rFonts w:asciiTheme="minorHAnsi" w:eastAsia="Times New Roman" w:hAnsiTheme="minorHAnsi" w:cstheme="minorHAnsi"/>
                <w:b w:val="0"/>
                <w:bCs w:val="0"/>
                <w:color w:val="000000"/>
                <w:sz w:val="20"/>
                <w:szCs w:val="20"/>
                <w:lang w:val="fr-FR" w:eastAsia="en-GB"/>
              </w:rPr>
            </w:pPr>
            <w:r w:rsidRPr="00A4333E">
              <w:rPr>
                <w:rFonts w:asciiTheme="minorHAnsi" w:eastAsia="Times New Roman" w:hAnsiTheme="minorHAnsi" w:cstheme="minorHAnsi"/>
                <w:b w:val="0"/>
                <w:bCs w:val="0"/>
                <w:color w:val="000000"/>
                <w:sz w:val="20"/>
                <w:szCs w:val="20"/>
                <w:lang w:val="fr-FR" w:eastAsia="en-GB"/>
              </w:rPr>
              <w:t>Danemark</w:t>
            </w:r>
          </w:p>
        </w:tc>
        <w:tc>
          <w:tcPr>
            <w:tcW w:w="794" w:type="dxa"/>
            <w:vAlign w:val="center"/>
            <w:hideMark/>
          </w:tcPr>
          <w:p w14:paraId="0FAD2186"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7FEBDB41"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27,116 </w:t>
            </w:r>
          </w:p>
        </w:tc>
        <w:tc>
          <w:tcPr>
            <w:tcW w:w="794" w:type="dxa"/>
            <w:vAlign w:val="center"/>
            <w:hideMark/>
          </w:tcPr>
          <w:p w14:paraId="16475B0E"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4A7CE71A"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34BAA112"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27,116 </w:t>
            </w:r>
          </w:p>
        </w:tc>
        <w:tc>
          <w:tcPr>
            <w:tcW w:w="794" w:type="dxa"/>
            <w:vAlign w:val="center"/>
            <w:hideMark/>
          </w:tcPr>
          <w:p w14:paraId="76C1F418"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09BE44A4"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635C0E3C"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w:t>
            </w:r>
          </w:p>
        </w:tc>
        <w:tc>
          <w:tcPr>
            <w:tcW w:w="794" w:type="dxa"/>
            <w:vAlign w:val="center"/>
            <w:hideMark/>
          </w:tcPr>
          <w:p w14:paraId="5D9AF8A6"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w:t>
            </w:r>
          </w:p>
        </w:tc>
      </w:tr>
      <w:tr w:rsidR="002E149D" w:rsidRPr="00A4333E" w14:paraId="06A34B2C" w14:textId="77777777" w:rsidTr="00B938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noWrap/>
            <w:hideMark/>
          </w:tcPr>
          <w:p w14:paraId="03F646C9" w14:textId="77777777" w:rsidR="002E149D" w:rsidRPr="00A4333E" w:rsidRDefault="002E149D" w:rsidP="00483E42">
            <w:pPr>
              <w:ind w:left="0" w:firstLine="0"/>
              <w:rPr>
                <w:rFonts w:asciiTheme="minorHAnsi" w:eastAsia="Times New Roman" w:hAnsiTheme="minorHAnsi" w:cstheme="minorHAnsi"/>
                <w:b w:val="0"/>
                <w:bCs w:val="0"/>
                <w:color w:val="000000"/>
                <w:sz w:val="20"/>
                <w:szCs w:val="20"/>
                <w:lang w:val="fr-FR" w:eastAsia="en-GB"/>
              </w:rPr>
            </w:pPr>
            <w:r w:rsidRPr="00A4333E">
              <w:rPr>
                <w:rFonts w:asciiTheme="minorHAnsi" w:eastAsia="Times New Roman" w:hAnsiTheme="minorHAnsi" w:cstheme="minorHAnsi"/>
                <w:b w:val="0"/>
                <w:bCs w:val="0"/>
                <w:color w:val="000000"/>
                <w:sz w:val="20"/>
                <w:szCs w:val="20"/>
                <w:lang w:val="fr-FR" w:eastAsia="en-GB"/>
              </w:rPr>
              <w:t>Djibouti</w:t>
            </w:r>
          </w:p>
        </w:tc>
        <w:tc>
          <w:tcPr>
            <w:tcW w:w="794" w:type="dxa"/>
            <w:vAlign w:val="center"/>
            <w:hideMark/>
          </w:tcPr>
          <w:p w14:paraId="1A064598"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18,000 </w:t>
            </w:r>
          </w:p>
        </w:tc>
        <w:tc>
          <w:tcPr>
            <w:tcW w:w="794" w:type="dxa"/>
            <w:vAlign w:val="center"/>
            <w:hideMark/>
          </w:tcPr>
          <w:p w14:paraId="7DA89103"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1,000 </w:t>
            </w:r>
          </w:p>
        </w:tc>
        <w:tc>
          <w:tcPr>
            <w:tcW w:w="794" w:type="dxa"/>
            <w:vAlign w:val="center"/>
            <w:hideMark/>
          </w:tcPr>
          <w:p w14:paraId="46D01427"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37A203F2"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5D7E2458"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4B451E1B"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35A0DF5B"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18,000 </w:t>
            </w:r>
          </w:p>
        </w:tc>
        <w:tc>
          <w:tcPr>
            <w:tcW w:w="794" w:type="dxa"/>
            <w:vAlign w:val="center"/>
            <w:hideMark/>
          </w:tcPr>
          <w:p w14:paraId="77A56EF6"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1,000 </w:t>
            </w:r>
          </w:p>
        </w:tc>
        <w:tc>
          <w:tcPr>
            <w:tcW w:w="794" w:type="dxa"/>
            <w:vAlign w:val="center"/>
            <w:hideMark/>
          </w:tcPr>
          <w:p w14:paraId="209EC975"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w:t>
            </w:r>
          </w:p>
        </w:tc>
      </w:tr>
      <w:tr w:rsidR="002E149D" w:rsidRPr="00A4333E" w14:paraId="65115BC6" w14:textId="77777777" w:rsidTr="00B938BE">
        <w:tc>
          <w:tcPr>
            <w:cnfStyle w:val="001000000000" w:firstRow="0" w:lastRow="0" w:firstColumn="1" w:lastColumn="0" w:oddVBand="0" w:evenVBand="0" w:oddHBand="0" w:evenHBand="0" w:firstRowFirstColumn="0" w:firstRowLastColumn="0" w:lastRowFirstColumn="0" w:lastRowLastColumn="0"/>
            <w:tcW w:w="1838" w:type="dxa"/>
            <w:noWrap/>
            <w:hideMark/>
          </w:tcPr>
          <w:p w14:paraId="41879D44" w14:textId="77777777" w:rsidR="002E149D" w:rsidRPr="00A4333E" w:rsidRDefault="002E149D" w:rsidP="00483E42">
            <w:pPr>
              <w:ind w:left="0" w:firstLine="0"/>
              <w:rPr>
                <w:rFonts w:asciiTheme="minorHAnsi" w:eastAsia="Times New Roman" w:hAnsiTheme="minorHAnsi" w:cstheme="minorHAnsi"/>
                <w:b w:val="0"/>
                <w:bCs w:val="0"/>
                <w:color w:val="000000"/>
                <w:sz w:val="20"/>
                <w:szCs w:val="20"/>
                <w:lang w:val="fr-FR" w:eastAsia="en-GB"/>
              </w:rPr>
            </w:pPr>
            <w:r w:rsidRPr="00A4333E">
              <w:rPr>
                <w:rFonts w:asciiTheme="minorHAnsi" w:eastAsia="Times New Roman" w:hAnsiTheme="minorHAnsi" w:cstheme="minorHAnsi"/>
                <w:b w:val="0"/>
                <w:bCs w:val="0"/>
                <w:color w:val="000000"/>
                <w:sz w:val="20"/>
                <w:szCs w:val="20"/>
                <w:lang w:val="fr-FR" w:eastAsia="en-GB"/>
              </w:rPr>
              <w:t>Égypte</w:t>
            </w:r>
          </w:p>
        </w:tc>
        <w:tc>
          <w:tcPr>
            <w:tcW w:w="794" w:type="dxa"/>
            <w:vAlign w:val="center"/>
            <w:hideMark/>
          </w:tcPr>
          <w:p w14:paraId="0AA92215"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158D3415"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9,104 </w:t>
            </w:r>
          </w:p>
        </w:tc>
        <w:tc>
          <w:tcPr>
            <w:tcW w:w="794" w:type="dxa"/>
            <w:vAlign w:val="center"/>
            <w:hideMark/>
          </w:tcPr>
          <w:p w14:paraId="6513C2CC"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4224FCA7"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1FFD65C4"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9,104 </w:t>
            </w:r>
          </w:p>
        </w:tc>
        <w:tc>
          <w:tcPr>
            <w:tcW w:w="794" w:type="dxa"/>
            <w:vAlign w:val="center"/>
            <w:hideMark/>
          </w:tcPr>
          <w:p w14:paraId="5735D489"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47277EC9"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5137B7E4"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w:t>
            </w:r>
          </w:p>
        </w:tc>
        <w:tc>
          <w:tcPr>
            <w:tcW w:w="794" w:type="dxa"/>
            <w:vAlign w:val="center"/>
            <w:hideMark/>
          </w:tcPr>
          <w:p w14:paraId="61967B9F"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w:t>
            </w:r>
          </w:p>
        </w:tc>
      </w:tr>
      <w:tr w:rsidR="002E149D" w:rsidRPr="00A4333E" w14:paraId="10A4A4FE" w14:textId="77777777" w:rsidTr="00B938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noWrap/>
            <w:hideMark/>
          </w:tcPr>
          <w:p w14:paraId="65FAB30A" w14:textId="77777777" w:rsidR="002E149D" w:rsidRPr="00A4333E" w:rsidRDefault="002E149D" w:rsidP="00483E42">
            <w:pPr>
              <w:ind w:left="0" w:firstLine="0"/>
              <w:rPr>
                <w:rFonts w:asciiTheme="minorHAnsi" w:eastAsia="Times New Roman" w:hAnsiTheme="minorHAnsi" w:cstheme="minorHAnsi"/>
                <w:b w:val="0"/>
                <w:bCs w:val="0"/>
                <w:color w:val="000000"/>
                <w:sz w:val="20"/>
                <w:szCs w:val="20"/>
                <w:lang w:val="fr-FR" w:eastAsia="en-GB"/>
              </w:rPr>
            </w:pPr>
            <w:r w:rsidRPr="00A4333E">
              <w:rPr>
                <w:rFonts w:asciiTheme="minorHAnsi" w:eastAsia="Times New Roman" w:hAnsiTheme="minorHAnsi" w:cstheme="minorHAnsi"/>
                <w:b w:val="0"/>
                <w:bCs w:val="0"/>
                <w:color w:val="000000"/>
                <w:sz w:val="20"/>
                <w:szCs w:val="20"/>
                <w:lang w:val="fr-FR" w:eastAsia="en-GB"/>
              </w:rPr>
              <w:t>El Salvador</w:t>
            </w:r>
          </w:p>
        </w:tc>
        <w:tc>
          <w:tcPr>
            <w:tcW w:w="794" w:type="dxa"/>
            <w:vAlign w:val="center"/>
            <w:hideMark/>
          </w:tcPr>
          <w:p w14:paraId="5DB366FD"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1,036 </w:t>
            </w:r>
          </w:p>
        </w:tc>
        <w:tc>
          <w:tcPr>
            <w:tcW w:w="794" w:type="dxa"/>
            <w:vAlign w:val="center"/>
            <w:hideMark/>
          </w:tcPr>
          <w:p w14:paraId="4682E861"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1,000 </w:t>
            </w:r>
          </w:p>
        </w:tc>
        <w:tc>
          <w:tcPr>
            <w:tcW w:w="794" w:type="dxa"/>
            <w:vAlign w:val="center"/>
            <w:hideMark/>
          </w:tcPr>
          <w:p w14:paraId="27199D5E"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1CB6E79B"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1,036 </w:t>
            </w:r>
          </w:p>
        </w:tc>
        <w:tc>
          <w:tcPr>
            <w:tcW w:w="794" w:type="dxa"/>
            <w:vAlign w:val="center"/>
            <w:hideMark/>
          </w:tcPr>
          <w:p w14:paraId="2FDFF196"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1 </w:t>
            </w:r>
          </w:p>
        </w:tc>
        <w:tc>
          <w:tcPr>
            <w:tcW w:w="794" w:type="dxa"/>
            <w:vAlign w:val="center"/>
            <w:hideMark/>
          </w:tcPr>
          <w:p w14:paraId="3D43DDE3"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w:t>
            </w:r>
          </w:p>
        </w:tc>
        <w:tc>
          <w:tcPr>
            <w:tcW w:w="794" w:type="dxa"/>
            <w:vAlign w:val="center"/>
            <w:hideMark/>
          </w:tcPr>
          <w:p w14:paraId="6FA4117F"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044032A5"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999 </w:t>
            </w:r>
          </w:p>
        </w:tc>
        <w:tc>
          <w:tcPr>
            <w:tcW w:w="794" w:type="dxa"/>
            <w:vAlign w:val="center"/>
            <w:hideMark/>
          </w:tcPr>
          <w:p w14:paraId="2DE3A102"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w:t>
            </w:r>
          </w:p>
        </w:tc>
      </w:tr>
      <w:tr w:rsidR="002E149D" w:rsidRPr="00A4333E" w14:paraId="2B9C2C72" w14:textId="77777777" w:rsidTr="00B938BE">
        <w:tc>
          <w:tcPr>
            <w:cnfStyle w:val="001000000000" w:firstRow="0" w:lastRow="0" w:firstColumn="1" w:lastColumn="0" w:oddVBand="0" w:evenVBand="0" w:oddHBand="0" w:evenHBand="0" w:firstRowFirstColumn="0" w:firstRowLastColumn="0" w:lastRowFirstColumn="0" w:lastRowLastColumn="0"/>
            <w:tcW w:w="1838" w:type="dxa"/>
            <w:noWrap/>
            <w:hideMark/>
          </w:tcPr>
          <w:p w14:paraId="175A60E5" w14:textId="77777777" w:rsidR="002E149D" w:rsidRPr="00A4333E" w:rsidRDefault="002E149D" w:rsidP="00483E42">
            <w:pPr>
              <w:ind w:left="0" w:firstLine="0"/>
              <w:rPr>
                <w:rFonts w:asciiTheme="minorHAnsi" w:eastAsia="Times New Roman" w:hAnsiTheme="minorHAnsi" w:cstheme="minorHAnsi"/>
                <w:b w:val="0"/>
                <w:bCs w:val="0"/>
                <w:color w:val="000000"/>
                <w:sz w:val="20"/>
                <w:szCs w:val="20"/>
                <w:lang w:val="fr-FR" w:eastAsia="en-GB"/>
              </w:rPr>
            </w:pPr>
            <w:r w:rsidRPr="00A4333E">
              <w:rPr>
                <w:rFonts w:asciiTheme="minorHAnsi" w:eastAsia="Times New Roman" w:hAnsiTheme="minorHAnsi" w:cstheme="minorHAnsi"/>
                <w:b w:val="0"/>
                <w:bCs w:val="0"/>
                <w:color w:val="000000"/>
                <w:sz w:val="20"/>
                <w:szCs w:val="20"/>
                <w:lang w:val="fr-FR" w:eastAsia="en-GB"/>
              </w:rPr>
              <w:t>Émirats arabes unis</w:t>
            </w:r>
          </w:p>
        </w:tc>
        <w:tc>
          <w:tcPr>
            <w:tcW w:w="794" w:type="dxa"/>
            <w:vAlign w:val="center"/>
            <w:hideMark/>
          </w:tcPr>
          <w:p w14:paraId="0143E2A6"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245AA949"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30,151 </w:t>
            </w:r>
          </w:p>
        </w:tc>
        <w:tc>
          <w:tcPr>
            <w:tcW w:w="794" w:type="dxa"/>
            <w:vAlign w:val="center"/>
            <w:hideMark/>
          </w:tcPr>
          <w:p w14:paraId="451D2B17"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0B0AE0F8"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3B655087"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30,151 </w:t>
            </w:r>
          </w:p>
        </w:tc>
        <w:tc>
          <w:tcPr>
            <w:tcW w:w="794" w:type="dxa"/>
            <w:vAlign w:val="center"/>
            <w:hideMark/>
          </w:tcPr>
          <w:p w14:paraId="38CF1AFE"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7C4B54D7"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7102C2C0"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w:t>
            </w:r>
          </w:p>
        </w:tc>
        <w:tc>
          <w:tcPr>
            <w:tcW w:w="794" w:type="dxa"/>
            <w:vAlign w:val="center"/>
            <w:hideMark/>
          </w:tcPr>
          <w:p w14:paraId="11F62954"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w:t>
            </w:r>
          </w:p>
        </w:tc>
      </w:tr>
      <w:tr w:rsidR="002E149D" w:rsidRPr="00A4333E" w14:paraId="2CC94B47" w14:textId="77777777" w:rsidTr="00B938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noWrap/>
            <w:hideMark/>
          </w:tcPr>
          <w:p w14:paraId="2161DC58" w14:textId="77777777" w:rsidR="002E149D" w:rsidRPr="00A4333E" w:rsidRDefault="002E149D" w:rsidP="00483E42">
            <w:pPr>
              <w:ind w:left="0" w:firstLine="0"/>
              <w:rPr>
                <w:rFonts w:asciiTheme="minorHAnsi" w:eastAsia="Times New Roman" w:hAnsiTheme="minorHAnsi" w:cstheme="minorHAnsi"/>
                <w:b w:val="0"/>
                <w:bCs w:val="0"/>
                <w:color w:val="000000"/>
                <w:sz w:val="20"/>
                <w:szCs w:val="20"/>
                <w:lang w:val="fr-FR" w:eastAsia="en-GB"/>
              </w:rPr>
            </w:pPr>
            <w:r w:rsidRPr="00A4333E">
              <w:rPr>
                <w:rFonts w:asciiTheme="minorHAnsi" w:eastAsia="Times New Roman" w:hAnsiTheme="minorHAnsi" w:cstheme="minorHAnsi"/>
                <w:b w:val="0"/>
                <w:bCs w:val="0"/>
                <w:color w:val="000000"/>
                <w:sz w:val="20"/>
                <w:szCs w:val="20"/>
                <w:lang w:val="fr-FR" w:eastAsia="en-GB"/>
              </w:rPr>
              <w:t>Équateur</w:t>
            </w:r>
          </w:p>
        </w:tc>
        <w:tc>
          <w:tcPr>
            <w:tcW w:w="794" w:type="dxa"/>
            <w:vAlign w:val="center"/>
            <w:hideMark/>
          </w:tcPr>
          <w:p w14:paraId="424EE805"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12,017 </w:t>
            </w:r>
          </w:p>
        </w:tc>
        <w:tc>
          <w:tcPr>
            <w:tcW w:w="794" w:type="dxa"/>
            <w:vAlign w:val="center"/>
            <w:hideMark/>
          </w:tcPr>
          <w:p w14:paraId="6827EFAA"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3,916 </w:t>
            </w:r>
          </w:p>
        </w:tc>
        <w:tc>
          <w:tcPr>
            <w:tcW w:w="794" w:type="dxa"/>
            <w:vAlign w:val="center"/>
            <w:hideMark/>
          </w:tcPr>
          <w:p w14:paraId="5F224384"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40851B56"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4D7679CC"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552B72DB"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7EE21D09"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12,017 </w:t>
            </w:r>
          </w:p>
        </w:tc>
        <w:tc>
          <w:tcPr>
            <w:tcW w:w="794" w:type="dxa"/>
            <w:vAlign w:val="center"/>
            <w:hideMark/>
          </w:tcPr>
          <w:p w14:paraId="4380EE89"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3,916 </w:t>
            </w:r>
          </w:p>
        </w:tc>
        <w:tc>
          <w:tcPr>
            <w:tcW w:w="794" w:type="dxa"/>
            <w:vAlign w:val="center"/>
            <w:hideMark/>
          </w:tcPr>
          <w:p w14:paraId="444BD8CF"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w:t>
            </w:r>
          </w:p>
        </w:tc>
      </w:tr>
      <w:tr w:rsidR="002E149D" w:rsidRPr="00A4333E" w14:paraId="30B56122" w14:textId="77777777" w:rsidTr="00B938BE">
        <w:tc>
          <w:tcPr>
            <w:cnfStyle w:val="001000000000" w:firstRow="0" w:lastRow="0" w:firstColumn="1" w:lastColumn="0" w:oddVBand="0" w:evenVBand="0" w:oddHBand="0" w:evenHBand="0" w:firstRowFirstColumn="0" w:firstRowLastColumn="0" w:lastRowFirstColumn="0" w:lastRowLastColumn="0"/>
            <w:tcW w:w="1838" w:type="dxa"/>
            <w:noWrap/>
            <w:hideMark/>
          </w:tcPr>
          <w:p w14:paraId="4159A09C" w14:textId="77777777" w:rsidR="002E149D" w:rsidRPr="00A4333E" w:rsidRDefault="002E149D" w:rsidP="00483E42">
            <w:pPr>
              <w:ind w:left="0" w:firstLine="0"/>
              <w:rPr>
                <w:rFonts w:asciiTheme="minorHAnsi" w:eastAsia="Times New Roman" w:hAnsiTheme="minorHAnsi" w:cstheme="minorHAnsi"/>
                <w:b w:val="0"/>
                <w:bCs w:val="0"/>
                <w:color w:val="000000"/>
                <w:sz w:val="20"/>
                <w:szCs w:val="20"/>
                <w:lang w:val="fr-FR" w:eastAsia="en-GB"/>
              </w:rPr>
            </w:pPr>
            <w:r w:rsidRPr="00A4333E">
              <w:rPr>
                <w:rFonts w:asciiTheme="minorHAnsi" w:eastAsia="Times New Roman" w:hAnsiTheme="minorHAnsi" w:cstheme="minorHAnsi"/>
                <w:b w:val="0"/>
                <w:bCs w:val="0"/>
                <w:color w:val="000000"/>
                <w:sz w:val="20"/>
                <w:szCs w:val="20"/>
                <w:lang w:val="fr-FR" w:eastAsia="en-GB"/>
              </w:rPr>
              <w:t>Espagne</w:t>
            </w:r>
          </w:p>
        </w:tc>
        <w:tc>
          <w:tcPr>
            <w:tcW w:w="794" w:type="dxa"/>
            <w:vAlign w:val="center"/>
            <w:hideMark/>
          </w:tcPr>
          <w:p w14:paraId="267354E5"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105,038 </w:t>
            </w:r>
          </w:p>
        </w:tc>
        <w:tc>
          <w:tcPr>
            <w:tcW w:w="794" w:type="dxa"/>
            <w:vAlign w:val="center"/>
            <w:hideMark/>
          </w:tcPr>
          <w:p w14:paraId="318C8EF6"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105,038 </w:t>
            </w:r>
          </w:p>
        </w:tc>
        <w:tc>
          <w:tcPr>
            <w:tcW w:w="794" w:type="dxa"/>
            <w:vAlign w:val="center"/>
            <w:hideMark/>
          </w:tcPr>
          <w:p w14:paraId="78554EED"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7BC1D8F3"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105,038 </w:t>
            </w:r>
          </w:p>
        </w:tc>
        <w:tc>
          <w:tcPr>
            <w:tcW w:w="794" w:type="dxa"/>
            <w:vAlign w:val="center"/>
            <w:hideMark/>
          </w:tcPr>
          <w:p w14:paraId="56ACD00C"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105,038 </w:t>
            </w:r>
          </w:p>
        </w:tc>
        <w:tc>
          <w:tcPr>
            <w:tcW w:w="794" w:type="dxa"/>
            <w:vAlign w:val="center"/>
            <w:hideMark/>
          </w:tcPr>
          <w:p w14:paraId="3EB63A3F"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6FE54D37"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4AD01803"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w:t>
            </w:r>
          </w:p>
        </w:tc>
        <w:tc>
          <w:tcPr>
            <w:tcW w:w="794" w:type="dxa"/>
            <w:vAlign w:val="center"/>
            <w:hideMark/>
          </w:tcPr>
          <w:p w14:paraId="2C360D9F"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w:t>
            </w:r>
          </w:p>
        </w:tc>
      </w:tr>
      <w:tr w:rsidR="002E149D" w:rsidRPr="00A4333E" w14:paraId="61CEE551" w14:textId="77777777" w:rsidTr="00B938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noWrap/>
            <w:hideMark/>
          </w:tcPr>
          <w:p w14:paraId="395C1D0F" w14:textId="77777777" w:rsidR="002E149D" w:rsidRPr="00A4333E" w:rsidRDefault="002E149D" w:rsidP="00483E42">
            <w:pPr>
              <w:ind w:left="0" w:firstLine="0"/>
              <w:rPr>
                <w:rFonts w:asciiTheme="minorHAnsi" w:eastAsia="Times New Roman" w:hAnsiTheme="minorHAnsi" w:cstheme="minorHAnsi"/>
                <w:b w:val="0"/>
                <w:bCs w:val="0"/>
                <w:color w:val="000000"/>
                <w:sz w:val="20"/>
                <w:szCs w:val="20"/>
                <w:lang w:val="fr-FR" w:eastAsia="en-GB"/>
              </w:rPr>
            </w:pPr>
            <w:r w:rsidRPr="00A4333E">
              <w:rPr>
                <w:rFonts w:asciiTheme="minorHAnsi" w:eastAsia="Times New Roman" w:hAnsiTheme="minorHAnsi" w:cstheme="minorHAnsi"/>
                <w:b w:val="0"/>
                <w:bCs w:val="0"/>
                <w:color w:val="000000"/>
                <w:sz w:val="20"/>
                <w:szCs w:val="20"/>
                <w:lang w:val="fr-FR" w:eastAsia="en-GB"/>
              </w:rPr>
              <w:t>Estonie</w:t>
            </w:r>
          </w:p>
        </w:tc>
        <w:tc>
          <w:tcPr>
            <w:tcW w:w="794" w:type="dxa"/>
            <w:vAlign w:val="center"/>
            <w:hideMark/>
          </w:tcPr>
          <w:p w14:paraId="1DD39BC6"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5A0BADCE"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1,909 </w:t>
            </w:r>
          </w:p>
        </w:tc>
        <w:tc>
          <w:tcPr>
            <w:tcW w:w="794" w:type="dxa"/>
            <w:vAlign w:val="center"/>
            <w:hideMark/>
          </w:tcPr>
          <w:p w14:paraId="0D179E7E"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5E27F567"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3DFE6202"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1,909 </w:t>
            </w:r>
          </w:p>
        </w:tc>
        <w:tc>
          <w:tcPr>
            <w:tcW w:w="794" w:type="dxa"/>
            <w:vAlign w:val="center"/>
            <w:hideMark/>
          </w:tcPr>
          <w:p w14:paraId="6302CEA6"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7DBEB408"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180D8F2B"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w:t>
            </w:r>
          </w:p>
        </w:tc>
        <w:tc>
          <w:tcPr>
            <w:tcW w:w="794" w:type="dxa"/>
            <w:vAlign w:val="center"/>
            <w:hideMark/>
          </w:tcPr>
          <w:p w14:paraId="5B3A2CA0"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w:t>
            </w:r>
          </w:p>
        </w:tc>
      </w:tr>
      <w:tr w:rsidR="002E149D" w:rsidRPr="00A4333E" w14:paraId="02793D37" w14:textId="77777777" w:rsidTr="00B938BE">
        <w:tc>
          <w:tcPr>
            <w:cnfStyle w:val="001000000000" w:firstRow="0" w:lastRow="0" w:firstColumn="1" w:lastColumn="0" w:oddVBand="0" w:evenVBand="0" w:oddHBand="0" w:evenHBand="0" w:firstRowFirstColumn="0" w:firstRowLastColumn="0" w:lastRowFirstColumn="0" w:lastRowLastColumn="0"/>
            <w:tcW w:w="1838" w:type="dxa"/>
            <w:noWrap/>
            <w:hideMark/>
          </w:tcPr>
          <w:p w14:paraId="5940438B" w14:textId="77777777" w:rsidR="002E149D" w:rsidRPr="00A4333E" w:rsidRDefault="002E149D" w:rsidP="00483E42">
            <w:pPr>
              <w:ind w:left="0" w:firstLine="0"/>
              <w:rPr>
                <w:rFonts w:asciiTheme="minorHAnsi" w:eastAsia="Times New Roman" w:hAnsiTheme="minorHAnsi" w:cstheme="minorHAnsi"/>
                <w:b w:val="0"/>
                <w:bCs w:val="0"/>
                <w:color w:val="000000"/>
                <w:sz w:val="20"/>
                <w:szCs w:val="20"/>
                <w:lang w:val="fr-FR" w:eastAsia="en-GB"/>
              </w:rPr>
            </w:pPr>
            <w:r w:rsidRPr="00A4333E">
              <w:rPr>
                <w:rFonts w:asciiTheme="minorHAnsi" w:eastAsia="Times New Roman" w:hAnsiTheme="minorHAnsi" w:cstheme="minorHAnsi"/>
                <w:b w:val="0"/>
                <w:bCs w:val="0"/>
                <w:color w:val="000000"/>
                <w:sz w:val="20"/>
                <w:szCs w:val="20"/>
                <w:lang w:val="fr-FR" w:eastAsia="en-GB"/>
              </w:rPr>
              <w:t>Eswatini</w:t>
            </w:r>
          </w:p>
        </w:tc>
        <w:tc>
          <w:tcPr>
            <w:tcW w:w="794" w:type="dxa"/>
            <w:vAlign w:val="center"/>
            <w:hideMark/>
          </w:tcPr>
          <w:p w14:paraId="116C13A6"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1,000 </w:t>
            </w:r>
          </w:p>
        </w:tc>
        <w:tc>
          <w:tcPr>
            <w:tcW w:w="794" w:type="dxa"/>
            <w:vAlign w:val="center"/>
            <w:hideMark/>
          </w:tcPr>
          <w:p w14:paraId="7A3A8D36"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1,000 </w:t>
            </w:r>
          </w:p>
        </w:tc>
        <w:tc>
          <w:tcPr>
            <w:tcW w:w="794" w:type="dxa"/>
            <w:vAlign w:val="center"/>
            <w:hideMark/>
          </w:tcPr>
          <w:p w14:paraId="33483C84"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75465D01"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1,000 </w:t>
            </w:r>
          </w:p>
        </w:tc>
        <w:tc>
          <w:tcPr>
            <w:tcW w:w="794" w:type="dxa"/>
            <w:vAlign w:val="center"/>
            <w:hideMark/>
          </w:tcPr>
          <w:p w14:paraId="276AF364"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4D07F8E7"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45E48AE3"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6BB0FF8D"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1,000 </w:t>
            </w:r>
          </w:p>
        </w:tc>
        <w:tc>
          <w:tcPr>
            <w:tcW w:w="794" w:type="dxa"/>
            <w:vAlign w:val="center"/>
            <w:hideMark/>
          </w:tcPr>
          <w:p w14:paraId="0048C34E"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w:t>
            </w:r>
          </w:p>
        </w:tc>
      </w:tr>
      <w:tr w:rsidR="002E149D" w:rsidRPr="00A4333E" w14:paraId="4D9063A7" w14:textId="77777777" w:rsidTr="00B938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noWrap/>
            <w:hideMark/>
          </w:tcPr>
          <w:p w14:paraId="002E0B1A" w14:textId="77777777" w:rsidR="002E149D" w:rsidRPr="00A4333E" w:rsidRDefault="002E149D" w:rsidP="00483E42">
            <w:pPr>
              <w:ind w:left="0" w:firstLine="0"/>
              <w:rPr>
                <w:rFonts w:asciiTheme="minorHAnsi" w:eastAsia="Times New Roman" w:hAnsiTheme="minorHAnsi" w:cstheme="minorHAnsi"/>
                <w:b w:val="0"/>
                <w:bCs w:val="0"/>
                <w:color w:val="000000"/>
                <w:sz w:val="20"/>
                <w:szCs w:val="20"/>
                <w:lang w:val="fr-FR" w:eastAsia="en-GB"/>
              </w:rPr>
            </w:pPr>
            <w:r w:rsidRPr="00A4333E">
              <w:rPr>
                <w:rFonts w:asciiTheme="minorHAnsi" w:eastAsia="Times New Roman" w:hAnsiTheme="minorHAnsi" w:cstheme="minorHAnsi"/>
                <w:b w:val="0"/>
                <w:bCs w:val="0"/>
                <w:color w:val="000000"/>
                <w:sz w:val="20"/>
                <w:szCs w:val="20"/>
                <w:lang w:val="fr-FR" w:eastAsia="en-GB"/>
              </w:rPr>
              <w:t>États-Unis d’Amérique</w:t>
            </w:r>
          </w:p>
        </w:tc>
        <w:tc>
          <w:tcPr>
            <w:tcW w:w="794" w:type="dxa"/>
            <w:vAlign w:val="center"/>
            <w:hideMark/>
          </w:tcPr>
          <w:p w14:paraId="016C9511"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 </w:t>
            </w:r>
          </w:p>
        </w:tc>
        <w:tc>
          <w:tcPr>
            <w:tcW w:w="794" w:type="dxa"/>
            <w:vAlign w:val="center"/>
            <w:hideMark/>
          </w:tcPr>
          <w:p w14:paraId="3D9F5C58"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1,065,801 </w:t>
            </w:r>
          </w:p>
        </w:tc>
        <w:tc>
          <w:tcPr>
            <w:tcW w:w="794" w:type="dxa"/>
            <w:vAlign w:val="center"/>
            <w:hideMark/>
          </w:tcPr>
          <w:p w14:paraId="25A66728"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7BD027A5"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7B8DD508"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1,056,519 </w:t>
            </w:r>
          </w:p>
        </w:tc>
        <w:tc>
          <w:tcPr>
            <w:tcW w:w="794" w:type="dxa"/>
            <w:vAlign w:val="center"/>
            <w:hideMark/>
          </w:tcPr>
          <w:p w14:paraId="0B3289EC"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2CE1D982"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 </w:t>
            </w:r>
          </w:p>
        </w:tc>
        <w:tc>
          <w:tcPr>
            <w:tcW w:w="794" w:type="dxa"/>
            <w:vAlign w:val="center"/>
            <w:hideMark/>
          </w:tcPr>
          <w:p w14:paraId="6F622199"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9,282 </w:t>
            </w:r>
          </w:p>
        </w:tc>
        <w:tc>
          <w:tcPr>
            <w:tcW w:w="794" w:type="dxa"/>
            <w:vAlign w:val="center"/>
            <w:hideMark/>
          </w:tcPr>
          <w:p w14:paraId="22AFCE77"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w:t>
            </w:r>
          </w:p>
        </w:tc>
      </w:tr>
      <w:tr w:rsidR="002E149D" w:rsidRPr="00A4333E" w14:paraId="53D3DD56" w14:textId="77777777" w:rsidTr="00B938BE">
        <w:tc>
          <w:tcPr>
            <w:cnfStyle w:val="001000000000" w:firstRow="0" w:lastRow="0" w:firstColumn="1" w:lastColumn="0" w:oddVBand="0" w:evenVBand="0" w:oddHBand="0" w:evenHBand="0" w:firstRowFirstColumn="0" w:firstRowLastColumn="0" w:lastRowFirstColumn="0" w:lastRowLastColumn="0"/>
            <w:tcW w:w="1838" w:type="dxa"/>
            <w:noWrap/>
            <w:hideMark/>
          </w:tcPr>
          <w:p w14:paraId="374BCEE4" w14:textId="77777777" w:rsidR="002E149D" w:rsidRPr="00A4333E" w:rsidRDefault="002E149D" w:rsidP="00483E42">
            <w:pPr>
              <w:ind w:left="0" w:firstLine="0"/>
              <w:rPr>
                <w:rFonts w:asciiTheme="minorHAnsi" w:eastAsia="Times New Roman" w:hAnsiTheme="minorHAnsi" w:cstheme="minorHAnsi"/>
                <w:b w:val="0"/>
                <w:bCs w:val="0"/>
                <w:color w:val="000000"/>
                <w:sz w:val="20"/>
                <w:szCs w:val="20"/>
                <w:lang w:val="fr-FR" w:eastAsia="en-GB"/>
              </w:rPr>
            </w:pPr>
            <w:r w:rsidRPr="00A4333E">
              <w:rPr>
                <w:rFonts w:asciiTheme="minorHAnsi" w:eastAsia="Times New Roman" w:hAnsiTheme="minorHAnsi" w:cstheme="minorHAnsi"/>
                <w:b w:val="0"/>
                <w:bCs w:val="0"/>
                <w:color w:val="000000"/>
                <w:sz w:val="20"/>
                <w:szCs w:val="20"/>
                <w:lang w:val="fr-FR" w:eastAsia="en-GB"/>
              </w:rPr>
              <w:t>Fédération de Russie</w:t>
            </w:r>
          </w:p>
        </w:tc>
        <w:tc>
          <w:tcPr>
            <w:tcW w:w="794" w:type="dxa"/>
            <w:vAlign w:val="center"/>
            <w:hideMark/>
          </w:tcPr>
          <w:p w14:paraId="724CD6C5"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08D82A86"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117,715 </w:t>
            </w:r>
          </w:p>
        </w:tc>
        <w:tc>
          <w:tcPr>
            <w:tcW w:w="794" w:type="dxa"/>
            <w:vAlign w:val="center"/>
            <w:hideMark/>
          </w:tcPr>
          <w:p w14:paraId="67E3F9F8"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2FF98E24"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13CEB5E6"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117,715 </w:t>
            </w:r>
          </w:p>
        </w:tc>
        <w:tc>
          <w:tcPr>
            <w:tcW w:w="794" w:type="dxa"/>
            <w:vAlign w:val="center"/>
            <w:hideMark/>
          </w:tcPr>
          <w:p w14:paraId="7C250295"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32E0F9A7"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7BD64851"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w:t>
            </w:r>
          </w:p>
        </w:tc>
        <w:tc>
          <w:tcPr>
            <w:tcW w:w="794" w:type="dxa"/>
            <w:vAlign w:val="center"/>
            <w:hideMark/>
          </w:tcPr>
          <w:p w14:paraId="66A144A8"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w:t>
            </w:r>
          </w:p>
        </w:tc>
      </w:tr>
      <w:tr w:rsidR="002E149D" w:rsidRPr="00A4333E" w14:paraId="4343CFDD" w14:textId="77777777" w:rsidTr="00B938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noWrap/>
            <w:hideMark/>
          </w:tcPr>
          <w:p w14:paraId="01DF1333" w14:textId="77777777" w:rsidR="002E149D" w:rsidRPr="00A4333E" w:rsidRDefault="002E149D" w:rsidP="00483E42">
            <w:pPr>
              <w:ind w:left="0" w:firstLine="0"/>
              <w:rPr>
                <w:rFonts w:asciiTheme="minorHAnsi" w:eastAsia="Times New Roman" w:hAnsiTheme="minorHAnsi" w:cstheme="minorHAnsi"/>
                <w:b w:val="0"/>
                <w:bCs w:val="0"/>
                <w:color w:val="000000"/>
                <w:sz w:val="20"/>
                <w:szCs w:val="20"/>
                <w:lang w:val="fr-FR" w:eastAsia="en-GB"/>
              </w:rPr>
            </w:pPr>
            <w:r w:rsidRPr="00A4333E">
              <w:rPr>
                <w:rFonts w:asciiTheme="minorHAnsi" w:eastAsia="Times New Roman" w:hAnsiTheme="minorHAnsi" w:cstheme="minorHAnsi"/>
                <w:b w:val="0"/>
                <w:bCs w:val="0"/>
                <w:color w:val="000000"/>
                <w:sz w:val="20"/>
                <w:szCs w:val="20"/>
                <w:lang w:val="fr-FR" w:eastAsia="en-GB"/>
              </w:rPr>
              <w:t>Fidji</w:t>
            </w:r>
          </w:p>
        </w:tc>
        <w:tc>
          <w:tcPr>
            <w:tcW w:w="794" w:type="dxa"/>
            <w:vAlign w:val="center"/>
            <w:hideMark/>
          </w:tcPr>
          <w:p w14:paraId="65F02EAB"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4A3B373B"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1,000 </w:t>
            </w:r>
          </w:p>
        </w:tc>
        <w:tc>
          <w:tcPr>
            <w:tcW w:w="794" w:type="dxa"/>
            <w:vAlign w:val="center"/>
            <w:hideMark/>
          </w:tcPr>
          <w:p w14:paraId="5CC2AC7F"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33606AB7"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14EABB82"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0C283994"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7E35A3F3"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6ADFA287"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1,000 </w:t>
            </w:r>
          </w:p>
        </w:tc>
        <w:tc>
          <w:tcPr>
            <w:tcW w:w="794" w:type="dxa"/>
            <w:vAlign w:val="center"/>
            <w:hideMark/>
          </w:tcPr>
          <w:p w14:paraId="206AFB9F"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w:t>
            </w:r>
          </w:p>
        </w:tc>
      </w:tr>
      <w:tr w:rsidR="002E149D" w:rsidRPr="00A4333E" w14:paraId="10049523" w14:textId="77777777" w:rsidTr="00B938BE">
        <w:tc>
          <w:tcPr>
            <w:cnfStyle w:val="001000000000" w:firstRow="0" w:lastRow="0" w:firstColumn="1" w:lastColumn="0" w:oddVBand="0" w:evenVBand="0" w:oddHBand="0" w:evenHBand="0" w:firstRowFirstColumn="0" w:firstRowLastColumn="0" w:lastRowFirstColumn="0" w:lastRowLastColumn="0"/>
            <w:tcW w:w="1838" w:type="dxa"/>
            <w:noWrap/>
            <w:hideMark/>
          </w:tcPr>
          <w:p w14:paraId="1B8A279B" w14:textId="77777777" w:rsidR="002E149D" w:rsidRPr="00A4333E" w:rsidRDefault="002E149D" w:rsidP="00483E42">
            <w:pPr>
              <w:ind w:left="0" w:firstLine="0"/>
              <w:rPr>
                <w:rFonts w:asciiTheme="minorHAnsi" w:eastAsia="Times New Roman" w:hAnsiTheme="minorHAnsi" w:cstheme="minorHAnsi"/>
                <w:b w:val="0"/>
                <w:bCs w:val="0"/>
                <w:color w:val="000000"/>
                <w:sz w:val="20"/>
                <w:szCs w:val="20"/>
                <w:lang w:val="fr-FR" w:eastAsia="en-GB"/>
              </w:rPr>
            </w:pPr>
            <w:r w:rsidRPr="00A4333E">
              <w:rPr>
                <w:rFonts w:asciiTheme="minorHAnsi" w:eastAsia="Times New Roman" w:hAnsiTheme="minorHAnsi" w:cstheme="minorHAnsi"/>
                <w:b w:val="0"/>
                <w:bCs w:val="0"/>
                <w:color w:val="000000"/>
                <w:sz w:val="20"/>
                <w:szCs w:val="20"/>
                <w:lang w:val="fr-FR" w:eastAsia="en-GB"/>
              </w:rPr>
              <w:t>Finlande</w:t>
            </w:r>
          </w:p>
        </w:tc>
        <w:tc>
          <w:tcPr>
            <w:tcW w:w="794" w:type="dxa"/>
            <w:vAlign w:val="center"/>
            <w:hideMark/>
          </w:tcPr>
          <w:p w14:paraId="1E1E2261"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05199824"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20,606 </w:t>
            </w:r>
          </w:p>
        </w:tc>
        <w:tc>
          <w:tcPr>
            <w:tcW w:w="794" w:type="dxa"/>
            <w:vAlign w:val="center"/>
            <w:hideMark/>
          </w:tcPr>
          <w:p w14:paraId="41EE59B2"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6FF3D97A"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78EB1906"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20,606 </w:t>
            </w:r>
          </w:p>
        </w:tc>
        <w:tc>
          <w:tcPr>
            <w:tcW w:w="794" w:type="dxa"/>
            <w:vAlign w:val="center"/>
            <w:hideMark/>
          </w:tcPr>
          <w:p w14:paraId="6E2BF72F"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27B6B798"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27ADFCE4"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w:t>
            </w:r>
          </w:p>
        </w:tc>
        <w:tc>
          <w:tcPr>
            <w:tcW w:w="794" w:type="dxa"/>
            <w:vAlign w:val="center"/>
            <w:hideMark/>
          </w:tcPr>
          <w:p w14:paraId="58CB72EB"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w:t>
            </w:r>
          </w:p>
        </w:tc>
      </w:tr>
      <w:tr w:rsidR="002E149D" w:rsidRPr="00A4333E" w14:paraId="1094ABEF" w14:textId="77777777" w:rsidTr="00B938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noWrap/>
            <w:hideMark/>
          </w:tcPr>
          <w:p w14:paraId="1ADA2B8B" w14:textId="77777777" w:rsidR="002E149D" w:rsidRPr="00A4333E" w:rsidRDefault="002E149D" w:rsidP="00483E42">
            <w:pPr>
              <w:ind w:left="0" w:firstLine="0"/>
              <w:rPr>
                <w:rFonts w:asciiTheme="minorHAnsi" w:eastAsia="Times New Roman" w:hAnsiTheme="minorHAnsi" w:cstheme="minorHAnsi"/>
                <w:b w:val="0"/>
                <w:bCs w:val="0"/>
                <w:color w:val="000000"/>
                <w:sz w:val="20"/>
                <w:szCs w:val="20"/>
                <w:lang w:val="fr-FR" w:eastAsia="en-GB"/>
              </w:rPr>
            </w:pPr>
            <w:r w:rsidRPr="00A4333E">
              <w:rPr>
                <w:rFonts w:asciiTheme="minorHAnsi" w:eastAsia="Times New Roman" w:hAnsiTheme="minorHAnsi" w:cstheme="minorHAnsi"/>
                <w:b w:val="0"/>
                <w:bCs w:val="0"/>
                <w:color w:val="000000"/>
                <w:sz w:val="20"/>
                <w:szCs w:val="20"/>
                <w:lang w:val="fr-FR" w:eastAsia="en-GB"/>
              </w:rPr>
              <w:t>France</w:t>
            </w:r>
          </w:p>
        </w:tc>
        <w:tc>
          <w:tcPr>
            <w:tcW w:w="794" w:type="dxa"/>
            <w:vAlign w:val="center"/>
            <w:hideMark/>
          </w:tcPr>
          <w:p w14:paraId="3EC54671"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312C39D0"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216,684 </w:t>
            </w:r>
          </w:p>
        </w:tc>
        <w:tc>
          <w:tcPr>
            <w:tcW w:w="794" w:type="dxa"/>
            <w:vAlign w:val="center"/>
            <w:hideMark/>
          </w:tcPr>
          <w:p w14:paraId="08B2B576"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216,684 </w:t>
            </w:r>
          </w:p>
        </w:tc>
        <w:tc>
          <w:tcPr>
            <w:tcW w:w="794" w:type="dxa"/>
            <w:vAlign w:val="center"/>
            <w:hideMark/>
          </w:tcPr>
          <w:p w14:paraId="4AE81BA0"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4578A5F6"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4083AA3B"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216,684 </w:t>
            </w:r>
          </w:p>
        </w:tc>
        <w:tc>
          <w:tcPr>
            <w:tcW w:w="794" w:type="dxa"/>
            <w:vAlign w:val="center"/>
            <w:hideMark/>
          </w:tcPr>
          <w:p w14:paraId="16266770"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5A5AEA89"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w:t>
            </w:r>
          </w:p>
        </w:tc>
        <w:tc>
          <w:tcPr>
            <w:tcW w:w="794" w:type="dxa"/>
            <w:vAlign w:val="center"/>
            <w:hideMark/>
          </w:tcPr>
          <w:p w14:paraId="6CE4621C"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216,684 </w:t>
            </w:r>
          </w:p>
        </w:tc>
      </w:tr>
      <w:tr w:rsidR="002E149D" w:rsidRPr="00A4333E" w14:paraId="39C844BB" w14:textId="77777777" w:rsidTr="00B938BE">
        <w:tc>
          <w:tcPr>
            <w:cnfStyle w:val="001000000000" w:firstRow="0" w:lastRow="0" w:firstColumn="1" w:lastColumn="0" w:oddVBand="0" w:evenVBand="0" w:oddHBand="0" w:evenHBand="0" w:firstRowFirstColumn="0" w:firstRowLastColumn="0" w:lastRowFirstColumn="0" w:lastRowLastColumn="0"/>
            <w:tcW w:w="1838" w:type="dxa"/>
            <w:noWrap/>
            <w:hideMark/>
          </w:tcPr>
          <w:p w14:paraId="3294A8B2" w14:textId="77777777" w:rsidR="002E149D" w:rsidRPr="00A4333E" w:rsidRDefault="002E149D" w:rsidP="00483E42">
            <w:pPr>
              <w:ind w:left="0" w:firstLine="0"/>
              <w:rPr>
                <w:rFonts w:asciiTheme="minorHAnsi" w:eastAsia="Times New Roman" w:hAnsiTheme="minorHAnsi" w:cstheme="minorHAnsi"/>
                <w:b w:val="0"/>
                <w:bCs w:val="0"/>
                <w:color w:val="000000"/>
                <w:sz w:val="20"/>
                <w:szCs w:val="20"/>
                <w:lang w:val="fr-FR" w:eastAsia="en-GB"/>
              </w:rPr>
            </w:pPr>
            <w:r w:rsidRPr="00A4333E">
              <w:rPr>
                <w:rFonts w:asciiTheme="minorHAnsi" w:eastAsia="Times New Roman" w:hAnsiTheme="minorHAnsi" w:cstheme="minorHAnsi"/>
                <w:b w:val="0"/>
                <w:bCs w:val="0"/>
                <w:color w:val="000000"/>
                <w:sz w:val="20"/>
                <w:szCs w:val="20"/>
                <w:lang w:val="fr-FR" w:eastAsia="en-GB"/>
              </w:rPr>
              <w:t>Gabon</w:t>
            </w:r>
          </w:p>
        </w:tc>
        <w:tc>
          <w:tcPr>
            <w:tcW w:w="794" w:type="dxa"/>
            <w:vAlign w:val="center"/>
            <w:hideMark/>
          </w:tcPr>
          <w:p w14:paraId="0C188956"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2,236 </w:t>
            </w:r>
          </w:p>
        </w:tc>
        <w:tc>
          <w:tcPr>
            <w:tcW w:w="794" w:type="dxa"/>
            <w:vAlign w:val="center"/>
            <w:hideMark/>
          </w:tcPr>
          <w:p w14:paraId="24596576"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1,000 </w:t>
            </w:r>
          </w:p>
        </w:tc>
        <w:tc>
          <w:tcPr>
            <w:tcW w:w="794" w:type="dxa"/>
            <w:vAlign w:val="center"/>
            <w:hideMark/>
          </w:tcPr>
          <w:p w14:paraId="149622B5"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5EBE2E21"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40FC808E"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31DC95E3"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766EF82F"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2,236 </w:t>
            </w:r>
          </w:p>
        </w:tc>
        <w:tc>
          <w:tcPr>
            <w:tcW w:w="794" w:type="dxa"/>
            <w:vAlign w:val="center"/>
            <w:hideMark/>
          </w:tcPr>
          <w:p w14:paraId="1A34114C"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1,000 </w:t>
            </w:r>
          </w:p>
        </w:tc>
        <w:tc>
          <w:tcPr>
            <w:tcW w:w="794" w:type="dxa"/>
            <w:vAlign w:val="center"/>
            <w:hideMark/>
          </w:tcPr>
          <w:p w14:paraId="5A884B94"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w:t>
            </w:r>
          </w:p>
        </w:tc>
      </w:tr>
      <w:tr w:rsidR="002E149D" w:rsidRPr="00A4333E" w14:paraId="457354BF" w14:textId="77777777" w:rsidTr="00B938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noWrap/>
            <w:hideMark/>
          </w:tcPr>
          <w:p w14:paraId="53019D36" w14:textId="77777777" w:rsidR="002E149D" w:rsidRPr="00A4333E" w:rsidRDefault="002E149D" w:rsidP="00483E42">
            <w:pPr>
              <w:ind w:left="0" w:firstLine="0"/>
              <w:rPr>
                <w:rFonts w:asciiTheme="minorHAnsi" w:eastAsia="Times New Roman" w:hAnsiTheme="minorHAnsi" w:cstheme="minorHAnsi"/>
                <w:b w:val="0"/>
                <w:bCs w:val="0"/>
                <w:color w:val="000000"/>
                <w:sz w:val="20"/>
                <w:szCs w:val="20"/>
                <w:lang w:val="fr-FR" w:eastAsia="en-GB"/>
              </w:rPr>
            </w:pPr>
            <w:r w:rsidRPr="00A4333E">
              <w:rPr>
                <w:rFonts w:asciiTheme="minorHAnsi" w:eastAsia="Times New Roman" w:hAnsiTheme="minorHAnsi" w:cstheme="minorHAnsi"/>
                <w:b w:val="0"/>
                <w:bCs w:val="0"/>
                <w:color w:val="000000"/>
                <w:sz w:val="20"/>
                <w:szCs w:val="20"/>
                <w:lang w:val="fr-FR" w:eastAsia="en-GB"/>
              </w:rPr>
              <w:t>Gambie</w:t>
            </w:r>
          </w:p>
        </w:tc>
        <w:tc>
          <w:tcPr>
            <w:tcW w:w="794" w:type="dxa"/>
            <w:vAlign w:val="center"/>
            <w:hideMark/>
          </w:tcPr>
          <w:p w14:paraId="7FF9144E"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9,261 </w:t>
            </w:r>
          </w:p>
        </w:tc>
        <w:tc>
          <w:tcPr>
            <w:tcW w:w="794" w:type="dxa"/>
            <w:vAlign w:val="center"/>
            <w:hideMark/>
          </w:tcPr>
          <w:p w14:paraId="118CDF90"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1,000 </w:t>
            </w:r>
          </w:p>
        </w:tc>
        <w:tc>
          <w:tcPr>
            <w:tcW w:w="794" w:type="dxa"/>
            <w:vAlign w:val="center"/>
            <w:hideMark/>
          </w:tcPr>
          <w:p w14:paraId="64694817"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35FF7DB6"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2586836A"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346C3A3F"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37035A54"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9,261 </w:t>
            </w:r>
          </w:p>
        </w:tc>
        <w:tc>
          <w:tcPr>
            <w:tcW w:w="794" w:type="dxa"/>
            <w:vAlign w:val="center"/>
            <w:hideMark/>
          </w:tcPr>
          <w:p w14:paraId="16AD2162"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1,000 </w:t>
            </w:r>
          </w:p>
        </w:tc>
        <w:tc>
          <w:tcPr>
            <w:tcW w:w="794" w:type="dxa"/>
            <w:vAlign w:val="center"/>
            <w:hideMark/>
          </w:tcPr>
          <w:p w14:paraId="0AE6706A"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w:t>
            </w:r>
          </w:p>
        </w:tc>
      </w:tr>
      <w:tr w:rsidR="002E149D" w:rsidRPr="00A4333E" w14:paraId="7065585D" w14:textId="77777777" w:rsidTr="00B938BE">
        <w:tc>
          <w:tcPr>
            <w:cnfStyle w:val="001000000000" w:firstRow="0" w:lastRow="0" w:firstColumn="1" w:lastColumn="0" w:oddVBand="0" w:evenVBand="0" w:oddHBand="0" w:evenHBand="0" w:firstRowFirstColumn="0" w:firstRowLastColumn="0" w:lastRowFirstColumn="0" w:lastRowLastColumn="0"/>
            <w:tcW w:w="1838" w:type="dxa"/>
            <w:noWrap/>
            <w:hideMark/>
          </w:tcPr>
          <w:p w14:paraId="7486ECBD" w14:textId="77777777" w:rsidR="002E149D" w:rsidRPr="00A4333E" w:rsidRDefault="002E149D" w:rsidP="00483E42">
            <w:pPr>
              <w:ind w:left="0" w:firstLine="0"/>
              <w:rPr>
                <w:rFonts w:asciiTheme="minorHAnsi" w:eastAsia="Times New Roman" w:hAnsiTheme="minorHAnsi" w:cstheme="minorHAnsi"/>
                <w:b w:val="0"/>
                <w:bCs w:val="0"/>
                <w:color w:val="000000"/>
                <w:sz w:val="20"/>
                <w:szCs w:val="20"/>
                <w:lang w:val="fr-FR" w:eastAsia="en-GB"/>
              </w:rPr>
            </w:pPr>
            <w:r w:rsidRPr="00A4333E">
              <w:rPr>
                <w:rFonts w:asciiTheme="minorHAnsi" w:eastAsia="Times New Roman" w:hAnsiTheme="minorHAnsi" w:cstheme="minorHAnsi"/>
                <w:b w:val="0"/>
                <w:bCs w:val="0"/>
                <w:color w:val="000000"/>
                <w:sz w:val="20"/>
                <w:szCs w:val="20"/>
                <w:lang w:val="fr-FR" w:eastAsia="en-GB"/>
              </w:rPr>
              <w:t>Georgie</w:t>
            </w:r>
          </w:p>
        </w:tc>
        <w:tc>
          <w:tcPr>
            <w:tcW w:w="794" w:type="dxa"/>
            <w:vAlign w:val="center"/>
            <w:hideMark/>
          </w:tcPr>
          <w:p w14:paraId="77350831"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4888319E"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1,000 </w:t>
            </w:r>
          </w:p>
        </w:tc>
        <w:tc>
          <w:tcPr>
            <w:tcW w:w="794" w:type="dxa"/>
            <w:vAlign w:val="center"/>
            <w:hideMark/>
          </w:tcPr>
          <w:p w14:paraId="2BE450F1"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7101FF85"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74B48694"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1,000 </w:t>
            </w:r>
          </w:p>
        </w:tc>
        <w:tc>
          <w:tcPr>
            <w:tcW w:w="794" w:type="dxa"/>
            <w:vAlign w:val="center"/>
            <w:hideMark/>
          </w:tcPr>
          <w:p w14:paraId="4C9BBFF2"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0E1F7B36"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68C6875A"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w:t>
            </w:r>
          </w:p>
        </w:tc>
        <w:tc>
          <w:tcPr>
            <w:tcW w:w="794" w:type="dxa"/>
            <w:vAlign w:val="center"/>
            <w:hideMark/>
          </w:tcPr>
          <w:p w14:paraId="23438581"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w:t>
            </w:r>
          </w:p>
        </w:tc>
      </w:tr>
      <w:tr w:rsidR="002E149D" w:rsidRPr="00A4333E" w14:paraId="25719598" w14:textId="77777777" w:rsidTr="00B938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noWrap/>
            <w:hideMark/>
          </w:tcPr>
          <w:p w14:paraId="7AFBD1F5" w14:textId="77777777" w:rsidR="002E149D" w:rsidRPr="00A4333E" w:rsidRDefault="002E149D" w:rsidP="00483E42">
            <w:pPr>
              <w:ind w:left="0" w:firstLine="0"/>
              <w:rPr>
                <w:rFonts w:asciiTheme="minorHAnsi" w:eastAsia="Times New Roman" w:hAnsiTheme="minorHAnsi" w:cstheme="minorHAnsi"/>
                <w:b w:val="0"/>
                <w:bCs w:val="0"/>
                <w:color w:val="000000"/>
                <w:sz w:val="20"/>
                <w:szCs w:val="20"/>
                <w:lang w:val="fr-FR" w:eastAsia="en-GB"/>
              </w:rPr>
            </w:pPr>
            <w:r w:rsidRPr="00A4333E">
              <w:rPr>
                <w:rFonts w:asciiTheme="minorHAnsi" w:eastAsia="Times New Roman" w:hAnsiTheme="minorHAnsi" w:cstheme="minorHAnsi"/>
                <w:b w:val="0"/>
                <w:bCs w:val="0"/>
                <w:color w:val="000000"/>
                <w:sz w:val="20"/>
                <w:szCs w:val="20"/>
                <w:lang w:val="fr-FR" w:eastAsia="en-GB"/>
              </w:rPr>
              <w:t>Ghana</w:t>
            </w:r>
          </w:p>
        </w:tc>
        <w:tc>
          <w:tcPr>
            <w:tcW w:w="794" w:type="dxa"/>
            <w:vAlign w:val="center"/>
            <w:hideMark/>
          </w:tcPr>
          <w:p w14:paraId="29B28CAE"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3,979 </w:t>
            </w:r>
          </w:p>
        </w:tc>
        <w:tc>
          <w:tcPr>
            <w:tcW w:w="794" w:type="dxa"/>
            <w:vAlign w:val="center"/>
            <w:hideMark/>
          </w:tcPr>
          <w:p w14:paraId="41CBBF9C"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1,000 </w:t>
            </w:r>
          </w:p>
        </w:tc>
        <w:tc>
          <w:tcPr>
            <w:tcW w:w="794" w:type="dxa"/>
            <w:vAlign w:val="center"/>
            <w:hideMark/>
          </w:tcPr>
          <w:p w14:paraId="408299B1"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6D4EE2DB"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3,979 </w:t>
            </w:r>
          </w:p>
        </w:tc>
        <w:tc>
          <w:tcPr>
            <w:tcW w:w="794" w:type="dxa"/>
            <w:vAlign w:val="center"/>
            <w:hideMark/>
          </w:tcPr>
          <w:p w14:paraId="0661D74F"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13 </w:t>
            </w:r>
          </w:p>
        </w:tc>
        <w:tc>
          <w:tcPr>
            <w:tcW w:w="794" w:type="dxa"/>
            <w:vAlign w:val="center"/>
            <w:hideMark/>
          </w:tcPr>
          <w:p w14:paraId="728DACF7"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40317392"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442B7AFC"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987 </w:t>
            </w:r>
          </w:p>
        </w:tc>
        <w:tc>
          <w:tcPr>
            <w:tcW w:w="794" w:type="dxa"/>
            <w:vAlign w:val="center"/>
            <w:hideMark/>
          </w:tcPr>
          <w:p w14:paraId="5319F24F"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w:t>
            </w:r>
          </w:p>
        </w:tc>
      </w:tr>
      <w:tr w:rsidR="002E149D" w:rsidRPr="00A4333E" w14:paraId="2AD39A32" w14:textId="77777777" w:rsidTr="00B938BE">
        <w:tc>
          <w:tcPr>
            <w:cnfStyle w:val="001000000000" w:firstRow="0" w:lastRow="0" w:firstColumn="1" w:lastColumn="0" w:oddVBand="0" w:evenVBand="0" w:oddHBand="0" w:evenHBand="0" w:firstRowFirstColumn="0" w:firstRowLastColumn="0" w:lastRowFirstColumn="0" w:lastRowLastColumn="0"/>
            <w:tcW w:w="1838" w:type="dxa"/>
            <w:noWrap/>
            <w:hideMark/>
          </w:tcPr>
          <w:p w14:paraId="1184BA58" w14:textId="77777777" w:rsidR="002E149D" w:rsidRPr="00A4333E" w:rsidRDefault="002E149D" w:rsidP="00483E42">
            <w:pPr>
              <w:ind w:left="0" w:firstLine="0"/>
              <w:rPr>
                <w:rFonts w:asciiTheme="minorHAnsi" w:eastAsia="Times New Roman" w:hAnsiTheme="minorHAnsi" w:cstheme="minorHAnsi"/>
                <w:b w:val="0"/>
                <w:bCs w:val="0"/>
                <w:color w:val="000000"/>
                <w:sz w:val="20"/>
                <w:szCs w:val="20"/>
                <w:lang w:val="fr-FR" w:eastAsia="en-GB"/>
              </w:rPr>
            </w:pPr>
            <w:r w:rsidRPr="00A4333E">
              <w:rPr>
                <w:rFonts w:asciiTheme="minorHAnsi" w:eastAsia="Times New Roman" w:hAnsiTheme="minorHAnsi" w:cstheme="minorHAnsi"/>
                <w:b w:val="0"/>
                <w:bCs w:val="0"/>
                <w:color w:val="000000"/>
                <w:sz w:val="20"/>
                <w:szCs w:val="20"/>
                <w:lang w:val="fr-FR" w:eastAsia="en-GB"/>
              </w:rPr>
              <w:t>Grèce</w:t>
            </w:r>
          </w:p>
        </w:tc>
        <w:tc>
          <w:tcPr>
            <w:tcW w:w="794" w:type="dxa"/>
            <w:vAlign w:val="center"/>
            <w:hideMark/>
          </w:tcPr>
          <w:p w14:paraId="2BED7871"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503262EA"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17,914 </w:t>
            </w:r>
          </w:p>
        </w:tc>
        <w:tc>
          <w:tcPr>
            <w:tcW w:w="794" w:type="dxa"/>
            <w:vAlign w:val="center"/>
            <w:hideMark/>
          </w:tcPr>
          <w:p w14:paraId="38097902"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5E741EF0"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27D3B588"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17,914 </w:t>
            </w:r>
          </w:p>
        </w:tc>
        <w:tc>
          <w:tcPr>
            <w:tcW w:w="794" w:type="dxa"/>
            <w:vAlign w:val="center"/>
            <w:hideMark/>
          </w:tcPr>
          <w:p w14:paraId="7FE7DBCC"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7CE8268E"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711C02C1"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w:t>
            </w:r>
          </w:p>
        </w:tc>
        <w:tc>
          <w:tcPr>
            <w:tcW w:w="794" w:type="dxa"/>
            <w:vAlign w:val="center"/>
            <w:hideMark/>
          </w:tcPr>
          <w:p w14:paraId="5AA298FA"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w:t>
            </w:r>
          </w:p>
        </w:tc>
      </w:tr>
      <w:tr w:rsidR="002E149D" w:rsidRPr="00A4333E" w14:paraId="6FC98651" w14:textId="77777777" w:rsidTr="00B938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noWrap/>
            <w:hideMark/>
          </w:tcPr>
          <w:p w14:paraId="12CF2ECF" w14:textId="77777777" w:rsidR="002E149D" w:rsidRPr="00A4333E" w:rsidRDefault="002E149D" w:rsidP="00483E42">
            <w:pPr>
              <w:ind w:left="0" w:firstLine="0"/>
              <w:rPr>
                <w:rFonts w:asciiTheme="minorHAnsi" w:eastAsia="Times New Roman" w:hAnsiTheme="minorHAnsi" w:cstheme="minorHAnsi"/>
                <w:b w:val="0"/>
                <w:bCs w:val="0"/>
                <w:color w:val="000000"/>
                <w:sz w:val="20"/>
                <w:szCs w:val="20"/>
                <w:lang w:val="fr-FR" w:eastAsia="en-GB"/>
              </w:rPr>
            </w:pPr>
            <w:r w:rsidRPr="00A4333E">
              <w:rPr>
                <w:rFonts w:asciiTheme="minorHAnsi" w:eastAsia="Times New Roman" w:hAnsiTheme="minorHAnsi" w:cstheme="minorHAnsi"/>
                <w:b w:val="0"/>
                <w:bCs w:val="0"/>
                <w:color w:val="000000"/>
                <w:sz w:val="20"/>
                <w:szCs w:val="20"/>
                <w:lang w:val="fr-FR" w:eastAsia="en-GB"/>
              </w:rPr>
              <w:t>Grenade</w:t>
            </w:r>
          </w:p>
        </w:tc>
        <w:tc>
          <w:tcPr>
            <w:tcW w:w="794" w:type="dxa"/>
            <w:vAlign w:val="center"/>
            <w:hideMark/>
          </w:tcPr>
          <w:p w14:paraId="314368FB"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8,000 </w:t>
            </w:r>
          </w:p>
        </w:tc>
        <w:tc>
          <w:tcPr>
            <w:tcW w:w="794" w:type="dxa"/>
            <w:vAlign w:val="center"/>
            <w:hideMark/>
          </w:tcPr>
          <w:p w14:paraId="021F3E5A"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1,000 </w:t>
            </w:r>
          </w:p>
        </w:tc>
        <w:tc>
          <w:tcPr>
            <w:tcW w:w="794" w:type="dxa"/>
            <w:vAlign w:val="center"/>
            <w:hideMark/>
          </w:tcPr>
          <w:p w14:paraId="03A7BC05"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54E4BD92"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66496BE2"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29BCB690"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47B476A6"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8,000 </w:t>
            </w:r>
          </w:p>
        </w:tc>
        <w:tc>
          <w:tcPr>
            <w:tcW w:w="794" w:type="dxa"/>
            <w:vAlign w:val="center"/>
            <w:hideMark/>
          </w:tcPr>
          <w:p w14:paraId="71388AF4"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1,000 </w:t>
            </w:r>
          </w:p>
        </w:tc>
        <w:tc>
          <w:tcPr>
            <w:tcW w:w="794" w:type="dxa"/>
            <w:vAlign w:val="center"/>
            <w:hideMark/>
          </w:tcPr>
          <w:p w14:paraId="2137ABE0"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w:t>
            </w:r>
          </w:p>
        </w:tc>
      </w:tr>
      <w:tr w:rsidR="002E149D" w:rsidRPr="00A4333E" w14:paraId="617507A5" w14:textId="77777777" w:rsidTr="00B938BE">
        <w:tc>
          <w:tcPr>
            <w:cnfStyle w:val="001000000000" w:firstRow="0" w:lastRow="0" w:firstColumn="1" w:lastColumn="0" w:oddVBand="0" w:evenVBand="0" w:oddHBand="0" w:evenHBand="0" w:firstRowFirstColumn="0" w:firstRowLastColumn="0" w:lastRowFirstColumn="0" w:lastRowLastColumn="0"/>
            <w:tcW w:w="1838" w:type="dxa"/>
            <w:noWrap/>
            <w:hideMark/>
          </w:tcPr>
          <w:p w14:paraId="2132B861" w14:textId="77777777" w:rsidR="002E149D" w:rsidRPr="00A4333E" w:rsidRDefault="002E149D" w:rsidP="00483E42">
            <w:pPr>
              <w:ind w:left="0" w:firstLine="0"/>
              <w:rPr>
                <w:rFonts w:asciiTheme="minorHAnsi" w:eastAsia="Times New Roman" w:hAnsiTheme="minorHAnsi" w:cstheme="minorHAnsi"/>
                <w:b w:val="0"/>
                <w:bCs w:val="0"/>
                <w:color w:val="000000"/>
                <w:sz w:val="20"/>
                <w:szCs w:val="20"/>
                <w:lang w:val="fr-FR" w:eastAsia="en-GB"/>
              </w:rPr>
            </w:pPr>
            <w:r w:rsidRPr="00A4333E">
              <w:rPr>
                <w:rFonts w:asciiTheme="minorHAnsi" w:eastAsia="Times New Roman" w:hAnsiTheme="minorHAnsi" w:cstheme="minorHAnsi"/>
                <w:b w:val="0"/>
                <w:bCs w:val="0"/>
                <w:color w:val="000000"/>
                <w:sz w:val="20"/>
                <w:szCs w:val="20"/>
                <w:lang w:val="fr-FR" w:eastAsia="en-GB"/>
              </w:rPr>
              <w:t>Guatemala</w:t>
            </w:r>
          </w:p>
        </w:tc>
        <w:tc>
          <w:tcPr>
            <w:tcW w:w="794" w:type="dxa"/>
            <w:vAlign w:val="center"/>
            <w:hideMark/>
          </w:tcPr>
          <w:p w14:paraId="31D82AE5"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1,762 </w:t>
            </w:r>
          </w:p>
        </w:tc>
        <w:tc>
          <w:tcPr>
            <w:tcW w:w="794" w:type="dxa"/>
            <w:vAlign w:val="center"/>
            <w:hideMark/>
          </w:tcPr>
          <w:p w14:paraId="4CF25BDF"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1,762 </w:t>
            </w:r>
          </w:p>
        </w:tc>
        <w:tc>
          <w:tcPr>
            <w:tcW w:w="794" w:type="dxa"/>
            <w:vAlign w:val="center"/>
            <w:hideMark/>
          </w:tcPr>
          <w:p w14:paraId="08BB5B33"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16A65732"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066BDE54"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733CE2BA"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01D2EBD7"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1,762 </w:t>
            </w:r>
          </w:p>
        </w:tc>
        <w:tc>
          <w:tcPr>
            <w:tcW w:w="794" w:type="dxa"/>
            <w:vAlign w:val="center"/>
            <w:hideMark/>
          </w:tcPr>
          <w:p w14:paraId="13AE4ABC"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1,762 </w:t>
            </w:r>
          </w:p>
        </w:tc>
        <w:tc>
          <w:tcPr>
            <w:tcW w:w="794" w:type="dxa"/>
            <w:vAlign w:val="center"/>
            <w:hideMark/>
          </w:tcPr>
          <w:p w14:paraId="2075C78C"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w:t>
            </w:r>
          </w:p>
        </w:tc>
      </w:tr>
      <w:tr w:rsidR="002E149D" w:rsidRPr="00A4333E" w14:paraId="5F6A4A61" w14:textId="77777777" w:rsidTr="00B938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noWrap/>
            <w:hideMark/>
          </w:tcPr>
          <w:p w14:paraId="61B33136" w14:textId="77777777" w:rsidR="002E149D" w:rsidRPr="00A4333E" w:rsidRDefault="002E149D" w:rsidP="00483E42">
            <w:pPr>
              <w:ind w:left="0" w:firstLine="0"/>
              <w:rPr>
                <w:rFonts w:asciiTheme="minorHAnsi" w:eastAsia="Times New Roman" w:hAnsiTheme="minorHAnsi" w:cstheme="minorHAnsi"/>
                <w:b w:val="0"/>
                <w:bCs w:val="0"/>
                <w:color w:val="000000"/>
                <w:sz w:val="20"/>
                <w:szCs w:val="20"/>
                <w:lang w:val="fr-FR" w:eastAsia="en-GB"/>
              </w:rPr>
            </w:pPr>
            <w:r w:rsidRPr="00A4333E">
              <w:rPr>
                <w:rFonts w:asciiTheme="minorHAnsi" w:eastAsia="Times New Roman" w:hAnsiTheme="minorHAnsi" w:cstheme="minorHAnsi"/>
                <w:b w:val="0"/>
                <w:bCs w:val="0"/>
                <w:color w:val="000000"/>
                <w:sz w:val="20"/>
                <w:szCs w:val="20"/>
                <w:lang w:val="fr-FR" w:eastAsia="en-GB"/>
              </w:rPr>
              <w:t>Guinée</w:t>
            </w:r>
          </w:p>
        </w:tc>
        <w:tc>
          <w:tcPr>
            <w:tcW w:w="794" w:type="dxa"/>
            <w:vAlign w:val="center"/>
            <w:hideMark/>
          </w:tcPr>
          <w:p w14:paraId="3273D084"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7,000 </w:t>
            </w:r>
          </w:p>
        </w:tc>
        <w:tc>
          <w:tcPr>
            <w:tcW w:w="794" w:type="dxa"/>
            <w:vAlign w:val="center"/>
            <w:hideMark/>
          </w:tcPr>
          <w:p w14:paraId="20132103"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1,000 </w:t>
            </w:r>
          </w:p>
        </w:tc>
        <w:tc>
          <w:tcPr>
            <w:tcW w:w="794" w:type="dxa"/>
            <w:vAlign w:val="center"/>
            <w:hideMark/>
          </w:tcPr>
          <w:p w14:paraId="18E62764"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5081DCC0"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20FE9F26"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632C2FC5"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313196E6"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7,000 </w:t>
            </w:r>
          </w:p>
        </w:tc>
        <w:tc>
          <w:tcPr>
            <w:tcW w:w="794" w:type="dxa"/>
            <w:vAlign w:val="center"/>
            <w:hideMark/>
          </w:tcPr>
          <w:p w14:paraId="5676B278"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1,000 </w:t>
            </w:r>
          </w:p>
        </w:tc>
        <w:tc>
          <w:tcPr>
            <w:tcW w:w="794" w:type="dxa"/>
            <w:vAlign w:val="center"/>
            <w:hideMark/>
          </w:tcPr>
          <w:p w14:paraId="22A99949"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w:t>
            </w:r>
          </w:p>
        </w:tc>
      </w:tr>
      <w:tr w:rsidR="002E149D" w:rsidRPr="00A4333E" w14:paraId="6C99BECF" w14:textId="77777777" w:rsidTr="00B938BE">
        <w:tc>
          <w:tcPr>
            <w:cnfStyle w:val="001000000000" w:firstRow="0" w:lastRow="0" w:firstColumn="1" w:lastColumn="0" w:oddVBand="0" w:evenVBand="0" w:oddHBand="0" w:evenHBand="0" w:firstRowFirstColumn="0" w:firstRowLastColumn="0" w:lastRowFirstColumn="0" w:lastRowLastColumn="0"/>
            <w:tcW w:w="1838" w:type="dxa"/>
            <w:noWrap/>
            <w:hideMark/>
          </w:tcPr>
          <w:p w14:paraId="0BB4424F" w14:textId="77777777" w:rsidR="002E149D" w:rsidRPr="00A4333E" w:rsidRDefault="002E149D" w:rsidP="00483E42">
            <w:pPr>
              <w:ind w:left="0" w:firstLine="0"/>
              <w:rPr>
                <w:rFonts w:asciiTheme="minorHAnsi" w:eastAsia="Times New Roman" w:hAnsiTheme="minorHAnsi" w:cstheme="minorHAnsi"/>
                <w:b w:val="0"/>
                <w:bCs w:val="0"/>
                <w:color w:val="000000"/>
                <w:sz w:val="20"/>
                <w:szCs w:val="20"/>
                <w:lang w:val="fr-FR" w:eastAsia="en-GB"/>
              </w:rPr>
            </w:pPr>
            <w:r w:rsidRPr="00A4333E">
              <w:rPr>
                <w:rFonts w:asciiTheme="minorHAnsi" w:eastAsia="Times New Roman" w:hAnsiTheme="minorHAnsi" w:cstheme="minorHAnsi"/>
                <w:b w:val="0"/>
                <w:bCs w:val="0"/>
                <w:color w:val="000000"/>
                <w:sz w:val="20"/>
                <w:szCs w:val="20"/>
                <w:lang w:val="fr-FR" w:eastAsia="en-GB"/>
              </w:rPr>
              <w:t>Guinée équatoriale</w:t>
            </w:r>
          </w:p>
        </w:tc>
        <w:tc>
          <w:tcPr>
            <w:tcW w:w="794" w:type="dxa"/>
            <w:vAlign w:val="center"/>
            <w:hideMark/>
          </w:tcPr>
          <w:p w14:paraId="1D6086BA"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7,000 </w:t>
            </w:r>
          </w:p>
        </w:tc>
        <w:tc>
          <w:tcPr>
            <w:tcW w:w="794" w:type="dxa"/>
            <w:vAlign w:val="center"/>
            <w:hideMark/>
          </w:tcPr>
          <w:p w14:paraId="1B1D3FA0"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1,000 </w:t>
            </w:r>
          </w:p>
        </w:tc>
        <w:tc>
          <w:tcPr>
            <w:tcW w:w="794" w:type="dxa"/>
            <w:vAlign w:val="center"/>
            <w:hideMark/>
          </w:tcPr>
          <w:p w14:paraId="4C1E9D7D"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4D8C9F5F"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26CAECFC"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51F2417C"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55C705E4"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7,000 </w:t>
            </w:r>
          </w:p>
        </w:tc>
        <w:tc>
          <w:tcPr>
            <w:tcW w:w="794" w:type="dxa"/>
            <w:vAlign w:val="center"/>
            <w:hideMark/>
          </w:tcPr>
          <w:p w14:paraId="4F39DF7B"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1,000 </w:t>
            </w:r>
          </w:p>
        </w:tc>
        <w:tc>
          <w:tcPr>
            <w:tcW w:w="794" w:type="dxa"/>
            <w:vAlign w:val="center"/>
            <w:hideMark/>
          </w:tcPr>
          <w:p w14:paraId="7A3F61D9"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w:t>
            </w:r>
          </w:p>
        </w:tc>
      </w:tr>
      <w:tr w:rsidR="002E149D" w:rsidRPr="00A4333E" w14:paraId="09E05D7D" w14:textId="77777777" w:rsidTr="00B938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noWrap/>
            <w:hideMark/>
          </w:tcPr>
          <w:p w14:paraId="613A0A80" w14:textId="77777777" w:rsidR="002E149D" w:rsidRPr="00A4333E" w:rsidRDefault="002E149D" w:rsidP="00483E42">
            <w:pPr>
              <w:ind w:left="0" w:firstLine="0"/>
              <w:rPr>
                <w:rFonts w:asciiTheme="minorHAnsi" w:eastAsia="Times New Roman" w:hAnsiTheme="minorHAnsi" w:cstheme="minorHAnsi"/>
                <w:b w:val="0"/>
                <w:bCs w:val="0"/>
                <w:color w:val="000000"/>
                <w:sz w:val="20"/>
                <w:szCs w:val="20"/>
                <w:lang w:val="fr-FR" w:eastAsia="en-GB"/>
              </w:rPr>
            </w:pPr>
            <w:r w:rsidRPr="00A4333E">
              <w:rPr>
                <w:rFonts w:asciiTheme="minorHAnsi" w:eastAsia="Times New Roman" w:hAnsiTheme="minorHAnsi" w:cstheme="minorHAnsi"/>
                <w:b w:val="0"/>
                <w:bCs w:val="0"/>
                <w:color w:val="000000"/>
                <w:sz w:val="20"/>
                <w:szCs w:val="20"/>
                <w:lang w:val="fr-FR" w:eastAsia="en-GB"/>
              </w:rPr>
              <w:t>Guinée-Bissau</w:t>
            </w:r>
          </w:p>
        </w:tc>
        <w:tc>
          <w:tcPr>
            <w:tcW w:w="794" w:type="dxa"/>
            <w:vAlign w:val="center"/>
            <w:hideMark/>
          </w:tcPr>
          <w:p w14:paraId="0AB1C1B8"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13,110 </w:t>
            </w:r>
          </w:p>
        </w:tc>
        <w:tc>
          <w:tcPr>
            <w:tcW w:w="794" w:type="dxa"/>
            <w:vAlign w:val="center"/>
            <w:hideMark/>
          </w:tcPr>
          <w:p w14:paraId="606174ED"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1,000 </w:t>
            </w:r>
          </w:p>
        </w:tc>
        <w:tc>
          <w:tcPr>
            <w:tcW w:w="794" w:type="dxa"/>
            <w:vAlign w:val="center"/>
            <w:hideMark/>
          </w:tcPr>
          <w:p w14:paraId="15CF9412"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57704690"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094FDBDB"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57B2165B"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66108AEE"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13,110 </w:t>
            </w:r>
          </w:p>
        </w:tc>
        <w:tc>
          <w:tcPr>
            <w:tcW w:w="794" w:type="dxa"/>
            <w:vAlign w:val="center"/>
            <w:hideMark/>
          </w:tcPr>
          <w:p w14:paraId="23AEBF8E"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1,000 </w:t>
            </w:r>
          </w:p>
        </w:tc>
        <w:tc>
          <w:tcPr>
            <w:tcW w:w="794" w:type="dxa"/>
            <w:vAlign w:val="center"/>
            <w:hideMark/>
          </w:tcPr>
          <w:p w14:paraId="01F75E11"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w:t>
            </w:r>
          </w:p>
        </w:tc>
      </w:tr>
      <w:tr w:rsidR="002E149D" w:rsidRPr="00A4333E" w14:paraId="773665EB" w14:textId="77777777" w:rsidTr="00B938BE">
        <w:tc>
          <w:tcPr>
            <w:cnfStyle w:val="001000000000" w:firstRow="0" w:lastRow="0" w:firstColumn="1" w:lastColumn="0" w:oddVBand="0" w:evenVBand="0" w:oddHBand="0" w:evenHBand="0" w:firstRowFirstColumn="0" w:firstRowLastColumn="0" w:lastRowFirstColumn="0" w:lastRowLastColumn="0"/>
            <w:tcW w:w="1838" w:type="dxa"/>
            <w:noWrap/>
            <w:hideMark/>
          </w:tcPr>
          <w:p w14:paraId="7F6F376F" w14:textId="77777777" w:rsidR="002E149D" w:rsidRPr="00A4333E" w:rsidRDefault="002E149D" w:rsidP="00483E42">
            <w:pPr>
              <w:ind w:left="0" w:firstLine="0"/>
              <w:rPr>
                <w:rFonts w:asciiTheme="minorHAnsi" w:eastAsia="Times New Roman" w:hAnsiTheme="minorHAnsi" w:cstheme="minorHAnsi"/>
                <w:b w:val="0"/>
                <w:bCs w:val="0"/>
                <w:color w:val="000000"/>
                <w:sz w:val="20"/>
                <w:szCs w:val="20"/>
                <w:lang w:val="fr-FR" w:eastAsia="en-GB"/>
              </w:rPr>
            </w:pPr>
            <w:r w:rsidRPr="00A4333E">
              <w:rPr>
                <w:rFonts w:asciiTheme="minorHAnsi" w:eastAsia="Times New Roman" w:hAnsiTheme="minorHAnsi" w:cstheme="minorHAnsi"/>
                <w:b w:val="0"/>
                <w:bCs w:val="0"/>
                <w:color w:val="000000"/>
                <w:sz w:val="20"/>
                <w:szCs w:val="20"/>
                <w:lang w:val="fr-FR" w:eastAsia="en-GB"/>
              </w:rPr>
              <w:t>Honduras</w:t>
            </w:r>
          </w:p>
        </w:tc>
        <w:tc>
          <w:tcPr>
            <w:tcW w:w="794" w:type="dxa"/>
            <w:vAlign w:val="center"/>
            <w:hideMark/>
          </w:tcPr>
          <w:p w14:paraId="68AEA8E7"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1,997 </w:t>
            </w:r>
          </w:p>
        </w:tc>
        <w:tc>
          <w:tcPr>
            <w:tcW w:w="794" w:type="dxa"/>
            <w:vAlign w:val="center"/>
            <w:hideMark/>
          </w:tcPr>
          <w:p w14:paraId="0F92A620"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1,000 </w:t>
            </w:r>
          </w:p>
        </w:tc>
        <w:tc>
          <w:tcPr>
            <w:tcW w:w="794" w:type="dxa"/>
            <w:vAlign w:val="center"/>
            <w:hideMark/>
          </w:tcPr>
          <w:p w14:paraId="07FBC4F0"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60BEDE36"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155FB235"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13446702"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423083B4"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1,997 </w:t>
            </w:r>
          </w:p>
        </w:tc>
        <w:tc>
          <w:tcPr>
            <w:tcW w:w="794" w:type="dxa"/>
            <w:vAlign w:val="center"/>
            <w:hideMark/>
          </w:tcPr>
          <w:p w14:paraId="5A397146"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1,000 </w:t>
            </w:r>
          </w:p>
        </w:tc>
        <w:tc>
          <w:tcPr>
            <w:tcW w:w="794" w:type="dxa"/>
            <w:vAlign w:val="center"/>
            <w:hideMark/>
          </w:tcPr>
          <w:p w14:paraId="68BB5EF2"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w:t>
            </w:r>
          </w:p>
        </w:tc>
      </w:tr>
      <w:tr w:rsidR="002E149D" w:rsidRPr="00A4333E" w14:paraId="069C0C74" w14:textId="77777777" w:rsidTr="00B938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noWrap/>
            <w:hideMark/>
          </w:tcPr>
          <w:p w14:paraId="7CF0D9CF" w14:textId="2673E120" w:rsidR="002E149D" w:rsidRPr="00A4333E" w:rsidRDefault="003D64E6" w:rsidP="00483E42">
            <w:pPr>
              <w:ind w:left="0" w:firstLine="0"/>
              <w:rPr>
                <w:rFonts w:asciiTheme="minorHAnsi" w:eastAsia="Times New Roman" w:hAnsiTheme="minorHAnsi" w:cstheme="minorHAnsi"/>
                <w:b w:val="0"/>
                <w:bCs w:val="0"/>
                <w:color w:val="000000"/>
                <w:sz w:val="20"/>
                <w:szCs w:val="20"/>
                <w:lang w:val="fr-FR" w:eastAsia="en-GB"/>
              </w:rPr>
            </w:pPr>
            <w:r w:rsidRPr="00A4333E">
              <w:rPr>
                <w:rFonts w:asciiTheme="minorHAnsi" w:eastAsia="Times New Roman" w:hAnsiTheme="minorHAnsi" w:cstheme="minorHAnsi"/>
                <w:b w:val="0"/>
                <w:bCs w:val="0"/>
                <w:color w:val="000000"/>
                <w:sz w:val="20"/>
                <w:szCs w:val="20"/>
                <w:lang w:val="fr-FR" w:eastAsia="en-GB"/>
              </w:rPr>
              <w:t>Hongrie</w:t>
            </w:r>
          </w:p>
        </w:tc>
        <w:tc>
          <w:tcPr>
            <w:tcW w:w="794" w:type="dxa"/>
            <w:vAlign w:val="center"/>
            <w:hideMark/>
          </w:tcPr>
          <w:p w14:paraId="3EE0DAB4"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5332F2A6"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10,083 </w:t>
            </w:r>
          </w:p>
        </w:tc>
        <w:tc>
          <w:tcPr>
            <w:tcW w:w="794" w:type="dxa"/>
            <w:vAlign w:val="center"/>
            <w:hideMark/>
          </w:tcPr>
          <w:p w14:paraId="64939A2D"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0D8EA251"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33F5BB78"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10,083 </w:t>
            </w:r>
          </w:p>
        </w:tc>
        <w:tc>
          <w:tcPr>
            <w:tcW w:w="794" w:type="dxa"/>
            <w:vAlign w:val="center"/>
            <w:hideMark/>
          </w:tcPr>
          <w:p w14:paraId="7525AD5A"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41784FD4"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3F9B54DA"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w:t>
            </w:r>
          </w:p>
        </w:tc>
        <w:tc>
          <w:tcPr>
            <w:tcW w:w="794" w:type="dxa"/>
            <w:vAlign w:val="center"/>
            <w:hideMark/>
          </w:tcPr>
          <w:p w14:paraId="45130B0F"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w:t>
            </w:r>
          </w:p>
        </w:tc>
      </w:tr>
      <w:tr w:rsidR="002E149D" w:rsidRPr="00A4333E" w14:paraId="570783EB" w14:textId="77777777" w:rsidTr="00B938BE">
        <w:tc>
          <w:tcPr>
            <w:cnfStyle w:val="001000000000" w:firstRow="0" w:lastRow="0" w:firstColumn="1" w:lastColumn="0" w:oddVBand="0" w:evenVBand="0" w:oddHBand="0" w:evenHBand="0" w:firstRowFirstColumn="0" w:firstRowLastColumn="0" w:lastRowFirstColumn="0" w:lastRowLastColumn="0"/>
            <w:tcW w:w="1838" w:type="dxa"/>
            <w:noWrap/>
            <w:hideMark/>
          </w:tcPr>
          <w:p w14:paraId="2B9674FD" w14:textId="77777777" w:rsidR="002E149D" w:rsidRPr="00A4333E" w:rsidRDefault="002E149D" w:rsidP="00483E42">
            <w:pPr>
              <w:ind w:left="0" w:firstLine="0"/>
              <w:rPr>
                <w:rFonts w:asciiTheme="minorHAnsi" w:eastAsia="Times New Roman" w:hAnsiTheme="minorHAnsi" w:cstheme="minorHAnsi"/>
                <w:b w:val="0"/>
                <w:bCs w:val="0"/>
                <w:color w:val="000000"/>
                <w:sz w:val="20"/>
                <w:szCs w:val="20"/>
                <w:lang w:val="fr-FR" w:eastAsia="en-GB"/>
              </w:rPr>
            </w:pPr>
            <w:r w:rsidRPr="00A4333E">
              <w:rPr>
                <w:rFonts w:asciiTheme="minorHAnsi" w:eastAsia="Times New Roman" w:hAnsiTheme="minorHAnsi" w:cstheme="minorHAnsi"/>
                <w:b w:val="0"/>
                <w:bCs w:val="0"/>
                <w:color w:val="000000"/>
                <w:sz w:val="20"/>
                <w:szCs w:val="20"/>
                <w:lang w:val="fr-FR" w:eastAsia="en-GB"/>
              </w:rPr>
              <w:t xml:space="preserve">Îles Marshall </w:t>
            </w:r>
          </w:p>
        </w:tc>
        <w:tc>
          <w:tcPr>
            <w:tcW w:w="794" w:type="dxa"/>
            <w:vAlign w:val="center"/>
            <w:hideMark/>
          </w:tcPr>
          <w:p w14:paraId="4612E640"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5,161 </w:t>
            </w:r>
          </w:p>
        </w:tc>
        <w:tc>
          <w:tcPr>
            <w:tcW w:w="794" w:type="dxa"/>
            <w:vAlign w:val="center"/>
            <w:hideMark/>
          </w:tcPr>
          <w:p w14:paraId="5E180502"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1,000 </w:t>
            </w:r>
          </w:p>
        </w:tc>
        <w:tc>
          <w:tcPr>
            <w:tcW w:w="794" w:type="dxa"/>
            <w:vAlign w:val="center"/>
            <w:hideMark/>
          </w:tcPr>
          <w:p w14:paraId="5A84FCCF"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3AE37E4C"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4470EF11"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3B9047A0"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2918A6E8"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5,161 </w:t>
            </w:r>
          </w:p>
        </w:tc>
        <w:tc>
          <w:tcPr>
            <w:tcW w:w="794" w:type="dxa"/>
            <w:vAlign w:val="center"/>
            <w:hideMark/>
          </w:tcPr>
          <w:p w14:paraId="31C7EDB2"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1,000 </w:t>
            </w:r>
          </w:p>
        </w:tc>
        <w:tc>
          <w:tcPr>
            <w:tcW w:w="794" w:type="dxa"/>
            <w:vAlign w:val="center"/>
            <w:hideMark/>
          </w:tcPr>
          <w:p w14:paraId="5DF69037"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w:t>
            </w:r>
          </w:p>
        </w:tc>
      </w:tr>
      <w:tr w:rsidR="002E149D" w:rsidRPr="00A4333E" w14:paraId="56BE6B95" w14:textId="77777777" w:rsidTr="00B938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noWrap/>
            <w:hideMark/>
          </w:tcPr>
          <w:p w14:paraId="565CA476" w14:textId="77777777" w:rsidR="002E149D" w:rsidRPr="00A4333E" w:rsidRDefault="002E149D" w:rsidP="00483E42">
            <w:pPr>
              <w:ind w:left="0" w:firstLine="0"/>
              <w:rPr>
                <w:rFonts w:asciiTheme="minorHAnsi" w:eastAsia="Times New Roman" w:hAnsiTheme="minorHAnsi" w:cstheme="minorHAnsi"/>
                <w:b w:val="0"/>
                <w:bCs w:val="0"/>
                <w:color w:val="000000"/>
                <w:sz w:val="20"/>
                <w:szCs w:val="20"/>
                <w:lang w:val="fr-FR" w:eastAsia="en-GB"/>
              </w:rPr>
            </w:pPr>
            <w:r w:rsidRPr="00A4333E">
              <w:rPr>
                <w:rFonts w:asciiTheme="minorHAnsi" w:eastAsia="Times New Roman" w:hAnsiTheme="minorHAnsi" w:cstheme="minorHAnsi"/>
                <w:b w:val="0"/>
                <w:bCs w:val="0"/>
                <w:color w:val="000000"/>
                <w:sz w:val="20"/>
                <w:szCs w:val="20"/>
                <w:lang w:val="fr-FR" w:eastAsia="en-GB"/>
              </w:rPr>
              <w:t>Inde</w:t>
            </w:r>
          </w:p>
        </w:tc>
        <w:tc>
          <w:tcPr>
            <w:tcW w:w="794" w:type="dxa"/>
            <w:vAlign w:val="center"/>
            <w:hideMark/>
          </w:tcPr>
          <w:p w14:paraId="3B1E37C2"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114DCEBE"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40,821 </w:t>
            </w:r>
          </w:p>
        </w:tc>
        <w:tc>
          <w:tcPr>
            <w:tcW w:w="794" w:type="dxa"/>
            <w:vAlign w:val="center"/>
            <w:hideMark/>
          </w:tcPr>
          <w:p w14:paraId="71010A84"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4FFD4C55"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436645C0"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40,821 </w:t>
            </w:r>
          </w:p>
        </w:tc>
        <w:tc>
          <w:tcPr>
            <w:tcW w:w="794" w:type="dxa"/>
            <w:vAlign w:val="center"/>
            <w:hideMark/>
          </w:tcPr>
          <w:p w14:paraId="458EADAB"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0DA94793"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322B8CB3"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w:t>
            </w:r>
          </w:p>
        </w:tc>
        <w:tc>
          <w:tcPr>
            <w:tcW w:w="794" w:type="dxa"/>
            <w:vAlign w:val="center"/>
            <w:hideMark/>
          </w:tcPr>
          <w:p w14:paraId="4BC16EA4"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w:t>
            </w:r>
          </w:p>
        </w:tc>
      </w:tr>
      <w:tr w:rsidR="002E149D" w:rsidRPr="00A4333E" w14:paraId="10E65267" w14:textId="77777777" w:rsidTr="00B938BE">
        <w:tc>
          <w:tcPr>
            <w:cnfStyle w:val="001000000000" w:firstRow="0" w:lastRow="0" w:firstColumn="1" w:lastColumn="0" w:oddVBand="0" w:evenVBand="0" w:oddHBand="0" w:evenHBand="0" w:firstRowFirstColumn="0" w:firstRowLastColumn="0" w:lastRowFirstColumn="0" w:lastRowLastColumn="0"/>
            <w:tcW w:w="1838" w:type="dxa"/>
            <w:noWrap/>
            <w:hideMark/>
          </w:tcPr>
          <w:p w14:paraId="62322372" w14:textId="77777777" w:rsidR="002E149D" w:rsidRPr="00A4333E" w:rsidRDefault="002E149D" w:rsidP="00483E42">
            <w:pPr>
              <w:ind w:left="0" w:firstLine="0"/>
              <w:rPr>
                <w:rFonts w:asciiTheme="minorHAnsi" w:eastAsia="Times New Roman" w:hAnsiTheme="minorHAnsi" w:cstheme="minorHAnsi"/>
                <w:b w:val="0"/>
                <w:bCs w:val="0"/>
                <w:color w:val="000000"/>
                <w:sz w:val="20"/>
                <w:szCs w:val="20"/>
                <w:lang w:val="fr-FR" w:eastAsia="en-GB"/>
              </w:rPr>
            </w:pPr>
            <w:r w:rsidRPr="00A4333E">
              <w:rPr>
                <w:rFonts w:asciiTheme="minorHAnsi" w:eastAsia="Times New Roman" w:hAnsiTheme="minorHAnsi" w:cstheme="minorHAnsi"/>
                <w:b w:val="0"/>
                <w:bCs w:val="0"/>
                <w:color w:val="000000"/>
                <w:sz w:val="20"/>
                <w:szCs w:val="20"/>
                <w:lang w:val="fr-FR" w:eastAsia="en-GB"/>
              </w:rPr>
              <w:t>Indonésie</w:t>
            </w:r>
          </w:p>
        </w:tc>
        <w:tc>
          <w:tcPr>
            <w:tcW w:w="794" w:type="dxa"/>
            <w:vAlign w:val="center"/>
            <w:hideMark/>
          </w:tcPr>
          <w:p w14:paraId="3886B0F8"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26,578 </w:t>
            </w:r>
          </w:p>
        </w:tc>
        <w:tc>
          <w:tcPr>
            <w:tcW w:w="794" w:type="dxa"/>
            <w:vAlign w:val="center"/>
            <w:hideMark/>
          </w:tcPr>
          <w:p w14:paraId="223FEACB"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26,578 </w:t>
            </w:r>
          </w:p>
        </w:tc>
        <w:tc>
          <w:tcPr>
            <w:tcW w:w="794" w:type="dxa"/>
            <w:vAlign w:val="center"/>
            <w:hideMark/>
          </w:tcPr>
          <w:p w14:paraId="091F3947"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0DE50FDE"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26,578 </w:t>
            </w:r>
          </w:p>
        </w:tc>
        <w:tc>
          <w:tcPr>
            <w:tcW w:w="794" w:type="dxa"/>
            <w:vAlign w:val="center"/>
            <w:hideMark/>
          </w:tcPr>
          <w:p w14:paraId="279E7E88"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0668FACE"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046A6AAF"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018B77BF"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26,578 </w:t>
            </w:r>
          </w:p>
        </w:tc>
        <w:tc>
          <w:tcPr>
            <w:tcW w:w="794" w:type="dxa"/>
            <w:vAlign w:val="center"/>
            <w:hideMark/>
          </w:tcPr>
          <w:p w14:paraId="5E7D8864"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w:t>
            </w:r>
          </w:p>
        </w:tc>
      </w:tr>
      <w:tr w:rsidR="002E149D" w:rsidRPr="00A4333E" w14:paraId="3B4E99F3" w14:textId="77777777" w:rsidTr="00B938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noWrap/>
            <w:hideMark/>
          </w:tcPr>
          <w:p w14:paraId="6EF3F1D6" w14:textId="77777777" w:rsidR="002E149D" w:rsidRPr="00A4333E" w:rsidRDefault="002E149D" w:rsidP="00483E42">
            <w:pPr>
              <w:ind w:left="0" w:firstLine="0"/>
              <w:rPr>
                <w:rFonts w:asciiTheme="minorHAnsi" w:eastAsia="Times New Roman" w:hAnsiTheme="minorHAnsi" w:cstheme="minorHAnsi"/>
                <w:b w:val="0"/>
                <w:bCs w:val="0"/>
                <w:color w:val="000000"/>
                <w:sz w:val="20"/>
                <w:szCs w:val="20"/>
                <w:lang w:val="fr-FR" w:eastAsia="en-GB"/>
              </w:rPr>
            </w:pPr>
            <w:r w:rsidRPr="00A4333E">
              <w:rPr>
                <w:rFonts w:asciiTheme="minorHAnsi" w:eastAsia="Times New Roman" w:hAnsiTheme="minorHAnsi" w:cstheme="minorHAnsi"/>
                <w:b w:val="0"/>
                <w:bCs w:val="0"/>
                <w:color w:val="000000"/>
                <w:sz w:val="20"/>
                <w:szCs w:val="20"/>
                <w:lang w:val="fr-FR" w:eastAsia="en-GB"/>
              </w:rPr>
              <w:t>Iran (République islamique de)</w:t>
            </w:r>
          </w:p>
        </w:tc>
        <w:tc>
          <w:tcPr>
            <w:tcW w:w="794" w:type="dxa"/>
            <w:vAlign w:val="center"/>
            <w:hideMark/>
          </w:tcPr>
          <w:p w14:paraId="1F919654"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56,126 </w:t>
            </w:r>
          </w:p>
        </w:tc>
        <w:tc>
          <w:tcPr>
            <w:tcW w:w="794" w:type="dxa"/>
            <w:vAlign w:val="center"/>
            <w:hideMark/>
          </w:tcPr>
          <w:p w14:paraId="2F40EA76"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19,480 </w:t>
            </w:r>
          </w:p>
        </w:tc>
        <w:tc>
          <w:tcPr>
            <w:tcW w:w="794" w:type="dxa"/>
            <w:vAlign w:val="center"/>
            <w:hideMark/>
          </w:tcPr>
          <w:p w14:paraId="686F7174"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16605F03"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19,785 </w:t>
            </w:r>
          </w:p>
        </w:tc>
        <w:tc>
          <w:tcPr>
            <w:tcW w:w="794" w:type="dxa"/>
            <w:vAlign w:val="center"/>
            <w:hideMark/>
          </w:tcPr>
          <w:p w14:paraId="0A29B0D6"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7C71C4CD"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3397DC1E"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36,342 </w:t>
            </w:r>
          </w:p>
        </w:tc>
        <w:tc>
          <w:tcPr>
            <w:tcW w:w="794" w:type="dxa"/>
            <w:vAlign w:val="center"/>
            <w:hideMark/>
          </w:tcPr>
          <w:p w14:paraId="63E43740"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19,480 </w:t>
            </w:r>
          </w:p>
        </w:tc>
        <w:tc>
          <w:tcPr>
            <w:tcW w:w="794" w:type="dxa"/>
            <w:vAlign w:val="center"/>
            <w:hideMark/>
          </w:tcPr>
          <w:p w14:paraId="45286F9C"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w:t>
            </w:r>
          </w:p>
        </w:tc>
      </w:tr>
      <w:tr w:rsidR="002E149D" w:rsidRPr="00A4333E" w14:paraId="0AB10763" w14:textId="77777777" w:rsidTr="00B938BE">
        <w:tc>
          <w:tcPr>
            <w:cnfStyle w:val="001000000000" w:firstRow="0" w:lastRow="0" w:firstColumn="1" w:lastColumn="0" w:oddVBand="0" w:evenVBand="0" w:oddHBand="0" w:evenHBand="0" w:firstRowFirstColumn="0" w:firstRowLastColumn="0" w:lastRowFirstColumn="0" w:lastRowLastColumn="0"/>
            <w:tcW w:w="1838" w:type="dxa"/>
            <w:noWrap/>
            <w:hideMark/>
          </w:tcPr>
          <w:p w14:paraId="5174D6CB" w14:textId="77777777" w:rsidR="002E149D" w:rsidRPr="00A4333E" w:rsidRDefault="002E149D" w:rsidP="00483E42">
            <w:pPr>
              <w:ind w:left="0" w:firstLine="0"/>
              <w:rPr>
                <w:rFonts w:asciiTheme="minorHAnsi" w:eastAsia="Times New Roman" w:hAnsiTheme="minorHAnsi" w:cstheme="minorHAnsi"/>
                <w:b w:val="0"/>
                <w:bCs w:val="0"/>
                <w:color w:val="000000"/>
                <w:sz w:val="20"/>
                <w:szCs w:val="20"/>
                <w:lang w:val="fr-FR" w:eastAsia="en-GB"/>
              </w:rPr>
            </w:pPr>
            <w:r w:rsidRPr="00A4333E">
              <w:rPr>
                <w:rFonts w:asciiTheme="minorHAnsi" w:eastAsia="Times New Roman" w:hAnsiTheme="minorHAnsi" w:cstheme="minorHAnsi"/>
                <w:b w:val="0"/>
                <w:bCs w:val="0"/>
                <w:color w:val="000000"/>
                <w:sz w:val="20"/>
                <w:szCs w:val="20"/>
                <w:lang w:val="fr-FR" w:eastAsia="en-GB"/>
              </w:rPr>
              <w:t>Iraq</w:t>
            </w:r>
          </w:p>
        </w:tc>
        <w:tc>
          <w:tcPr>
            <w:tcW w:w="794" w:type="dxa"/>
            <w:vAlign w:val="center"/>
            <w:hideMark/>
          </w:tcPr>
          <w:p w14:paraId="0A610995"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18,938 </w:t>
            </w:r>
          </w:p>
        </w:tc>
        <w:tc>
          <w:tcPr>
            <w:tcW w:w="794" w:type="dxa"/>
            <w:vAlign w:val="center"/>
            <w:hideMark/>
          </w:tcPr>
          <w:p w14:paraId="47B958D1"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6,314 </w:t>
            </w:r>
          </w:p>
        </w:tc>
        <w:tc>
          <w:tcPr>
            <w:tcW w:w="794" w:type="dxa"/>
            <w:vAlign w:val="center"/>
            <w:hideMark/>
          </w:tcPr>
          <w:p w14:paraId="2C9132E7"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595A8DC0"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01FCE3AF"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5DB75763"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5DA04E40"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18,938 </w:t>
            </w:r>
          </w:p>
        </w:tc>
        <w:tc>
          <w:tcPr>
            <w:tcW w:w="794" w:type="dxa"/>
            <w:vAlign w:val="center"/>
            <w:hideMark/>
          </w:tcPr>
          <w:p w14:paraId="69E6E38F"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6,314 </w:t>
            </w:r>
          </w:p>
        </w:tc>
        <w:tc>
          <w:tcPr>
            <w:tcW w:w="794" w:type="dxa"/>
            <w:vAlign w:val="center"/>
            <w:hideMark/>
          </w:tcPr>
          <w:p w14:paraId="59B4DDE2"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w:t>
            </w:r>
          </w:p>
        </w:tc>
      </w:tr>
      <w:tr w:rsidR="002E149D" w:rsidRPr="00A4333E" w14:paraId="191C19BB" w14:textId="77777777" w:rsidTr="00B938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noWrap/>
            <w:hideMark/>
          </w:tcPr>
          <w:p w14:paraId="4475241A" w14:textId="77777777" w:rsidR="002E149D" w:rsidRPr="00A4333E" w:rsidRDefault="002E149D" w:rsidP="00483E42">
            <w:pPr>
              <w:ind w:left="0" w:firstLine="0"/>
              <w:rPr>
                <w:rFonts w:asciiTheme="minorHAnsi" w:eastAsia="Times New Roman" w:hAnsiTheme="minorHAnsi" w:cstheme="minorHAnsi"/>
                <w:b w:val="0"/>
                <w:bCs w:val="0"/>
                <w:color w:val="000000"/>
                <w:sz w:val="20"/>
                <w:szCs w:val="20"/>
                <w:lang w:val="fr-FR" w:eastAsia="en-GB"/>
              </w:rPr>
            </w:pPr>
            <w:r w:rsidRPr="00A4333E">
              <w:rPr>
                <w:rFonts w:asciiTheme="minorHAnsi" w:eastAsia="Times New Roman" w:hAnsiTheme="minorHAnsi" w:cstheme="minorHAnsi"/>
                <w:b w:val="0"/>
                <w:bCs w:val="0"/>
                <w:color w:val="000000"/>
                <w:sz w:val="20"/>
                <w:szCs w:val="20"/>
                <w:lang w:val="fr-FR" w:eastAsia="en-GB"/>
              </w:rPr>
              <w:t>Irlande</w:t>
            </w:r>
          </w:p>
        </w:tc>
        <w:tc>
          <w:tcPr>
            <w:tcW w:w="794" w:type="dxa"/>
            <w:vAlign w:val="center"/>
            <w:hideMark/>
          </w:tcPr>
          <w:p w14:paraId="5CF6C9B1"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02A479C0"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18,159 </w:t>
            </w:r>
          </w:p>
        </w:tc>
        <w:tc>
          <w:tcPr>
            <w:tcW w:w="794" w:type="dxa"/>
            <w:vAlign w:val="center"/>
            <w:hideMark/>
          </w:tcPr>
          <w:p w14:paraId="7ADF642F"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2,220 </w:t>
            </w:r>
          </w:p>
        </w:tc>
        <w:tc>
          <w:tcPr>
            <w:tcW w:w="794" w:type="dxa"/>
            <w:vAlign w:val="center"/>
            <w:hideMark/>
          </w:tcPr>
          <w:p w14:paraId="67134A12"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6A0D9424"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15,939 </w:t>
            </w:r>
          </w:p>
        </w:tc>
        <w:tc>
          <w:tcPr>
            <w:tcW w:w="794" w:type="dxa"/>
            <w:vAlign w:val="center"/>
            <w:hideMark/>
          </w:tcPr>
          <w:p w14:paraId="25F90FBB"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5EDD4CED"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6ADD11B0"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w:t>
            </w:r>
          </w:p>
        </w:tc>
        <w:tc>
          <w:tcPr>
            <w:tcW w:w="794" w:type="dxa"/>
            <w:vAlign w:val="center"/>
            <w:hideMark/>
          </w:tcPr>
          <w:p w14:paraId="3DFC74DD"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w:t>
            </w:r>
          </w:p>
        </w:tc>
      </w:tr>
      <w:tr w:rsidR="002E149D" w:rsidRPr="00A4333E" w14:paraId="2E0DF132" w14:textId="77777777" w:rsidTr="00B938BE">
        <w:tc>
          <w:tcPr>
            <w:cnfStyle w:val="001000000000" w:firstRow="0" w:lastRow="0" w:firstColumn="1" w:lastColumn="0" w:oddVBand="0" w:evenVBand="0" w:oddHBand="0" w:evenHBand="0" w:firstRowFirstColumn="0" w:firstRowLastColumn="0" w:lastRowFirstColumn="0" w:lastRowLastColumn="0"/>
            <w:tcW w:w="1838" w:type="dxa"/>
            <w:noWrap/>
            <w:hideMark/>
          </w:tcPr>
          <w:p w14:paraId="6613CD6F" w14:textId="62E464B9" w:rsidR="002E149D" w:rsidRPr="00A4333E" w:rsidRDefault="003D64E6" w:rsidP="00483E42">
            <w:pPr>
              <w:ind w:left="0" w:firstLine="0"/>
              <w:rPr>
                <w:rFonts w:asciiTheme="minorHAnsi" w:eastAsia="Times New Roman" w:hAnsiTheme="minorHAnsi" w:cstheme="minorHAnsi"/>
                <w:b w:val="0"/>
                <w:bCs w:val="0"/>
                <w:color w:val="000000"/>
                <w:sz w:val="20"/>
                <w:szCs w:val="20"/>
                <w:lang w:val="fr-FR" w:eastAsia="en-GB"/>
              </w:rPr>
            </w:pPr>
            <w:r w:rsidRPr="00A4333E">
              <w:rPr>
                <w:rFonts w:asciiTheme="minorHAnsi" w:eastAsia="Times New Roman" w:hAnsiTheme="minorHAnsi" w:cstheme="minorHAnsi"/>
                <w:b w:val="0"/>
                <w:bCs w:val="0"/>
                <w:color w:val="000000"/>
                <w:sz w:val="20"/>
                <w:szCs w:val="20"/>
                <w:lang w:val="fr-FR" w:eastAsia="en-GB"/>
              </w:rPr>
              <w:t>Islande</w:t>
            </w:r>
          </w:p>
        </w:tc>
        <w:tc>
          <w:tcPr>
            <w:tcW w:w="794" w:type="dxa"/>
            <w:vAlign w:val="center"/>
            <w:hideMark/>
          </w:tcPr>
          <w:p w14:paraId="20BD0580"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0E88C1BD"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1,370 </w:t>
            </w:r>
          </w:p>
        </w:tc>
        <w:tc>
          <w:tcPr>
            <w:tcW w:w="794" w:type="dxa"/>
            <w:vAlign w:val="center"/>
            <w:hideMark/>
          </w:tcPr>
          <w:p w14:paraId="2F7D3904"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7201219F"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3073C26E"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1,370 </w:t>
            </w:r>
          </w:p>
        </w:tc>
        <w:tc>
          <w:tcPr>
            <w:tcW w:w="794" w:type="dxa"/>
            <w:vAlign w:val="center"/>
            <w:hideMark/>
          </w:tcPr>
          <w:p w14:paraId="63F6BE91"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0BF99AE5"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01B7EAFC"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w:t>
            </w:r>
          </w:p>
        </w:tc>
        <w:tc>
          <w:tcPr>
            <w:tcW w:w="794" w:type="dxa"/>
            <w:vAlign w:val="center"/>
            <w:hideMark/>
          </w:tcPr>
          <w:p w14:paraId="07BE63F9"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w:t>
            </w:r>
          </w:p>
        </w:tc>
      </w:tr>
      <w:tr w:rsidR="002E149D" w:rsidRPr="00A4333E" w14:paraId="4C3EDDAE" w14:textId="77777777" w:rsidTr="00B938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noWrap/>
            <w:hideMark/>
          </w:tcPr>
          <w:p w14:paraId="67EADC4D" w14:textId="77777777" w:rsidR="002E149D" w:rsidRPr="00A4333E" w:rsidRDefault="002E149D" w:rsidP="00483E42">
            <w:pPr>
              <w:ind w:left="0" w:firstLine="0"/>
              <w:rPr>
                <w:rFonts w:asciiTheme="minorHAnsi" w:eastAsia="Times New Roman" w:hAnsiTheme="minorHAnsi" w:cstheme="minorHAnsi"/>
                <w:b w:val="0"/>
                <w:bCs w:val="0"/>
                <w:color w:val="000000"/>
                <w:sz w:val="20"/>
                <w:szCs w:val="20"/>
                <w:lang w:val="fr-FR" w:eastAsia="en-GB"/>
              </w:rPr>
            </w:pPr>
            <w:r w:rsidRPr="00A4333E">
              <w:rPr>
                <w:rFonts w:asciiTheme="minorHAnsi" w:eastAsia="Times New Roman" w:hAnsiTheme="minorHAnsi" w:cstheme="minorHAnsi"/>
                <w:b w:val="0"/>
                <w:bCs w:val="0"/>
                <w:color w:val="000000"/>
                <w:sz w:val="20"/>
                <w:szCs w:val="20"/>
                <w:lang w:val="fr-FR" w:eastAsia="en-GB"/>
              </w:rPr>
              <w:t>Israël</w:t>
            </w:r>
          </w:p>
        </w:tc>
        <w:tc>
          <w:tcPr>
            <w:tcW w:w="794" w:type="dxa"/>
            <w:vAlign w:val="center"/>
            <w:hideMark/>
          </w:tcPr>
          <w:p w14:paraId="38125C10"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23,984 </w:t>
            </w:r>
          </w:p>
        </w:tc>
        <w:tc>
          <w:tcPr>
            <w:tcW w:w="794" w:type="dxa"/>
            <w:vAlign w:val="center"/>
            <w:hideMark/>
          </w:tcPr>
          <w:p w14:paraId="3362AB21"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23,984 </w:t>
            </w:r>
          </w:p>
        </w:tc>
        <w:tc>
          <w:tcPr>
            <w:tcW w:w="794" w:type="dxa"/>
            <w:vAlign w:val="center"/>
            <w:hideMark/>
          </w:tcPr>
          <w:p w14:paraId="6B4BD83E"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57B3B8C2"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24C3DC98"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08F27F33"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5A06820C"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23,984 </w:t>
            </w:r>
          </w:p>
        </w:tc>
        <w:tc>
          <w:tcPr>
            <w:tcW w:w="794" w:type="dxa"/>
            <w:vAlign w:val="center"/>
            <w:hideMark/>
          </w:tcPr>
          <w:p w14:paraId="46B7DAE1"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23,984 </w:t>
            </w:r>
          </w:p>
        </w:tc>
        <w:tc>
          <w:tcPr>
            <w:tcW w:w="794" w:type="dxa"/>
            <w:vAlign w:val="center"/>
            <w:hideMark/>
          </w:tcPr>
          <w:p w14:paraId="1654BF62"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w:t>
            </w:r>
          </w:p>
        </w:tc>
      </w:tr>
      <w:tr w:rsidR="002E149D" w:rsidRPr="00A4333E" w14:paraId="7FCFC215" w14:textId="77777777" w:rsidTr="00B938BE">
        <w:tc>
          <w:tcPr>
            <w:cnfStyle w:val="001000000000" w:firstRow="0" w:lastRow="0" w:firstColumn="1" w:lastColumn="0" w:oddVBand="0" w:evenVBand="0" w:oddHBand="0" w:evenHBand="0" w:firstRowFirstColumn="0" w:firstRowLastColumn="0" w:lastRowFirstColumn="0" w:lastRowLastColumn="0"/>
            <w:tcW w:w="1838" w:type="dxa"/>
            <w:noWrap/>
            <w:hideMark/>
          </w:tcPr>
          <w:p w14:paraId="22CB3634" w14:textId="77777777" w:rsidR="002E149D" w:rsidRPr="00A4333E" w:rsidRDefault="002E149D" w:rsidP="00483E42">
            <w:pPr>
              <w:ind w:left="0" w:firstLine="0"/>
              <w:rPr>
                <w:rFonts w:asciiTheme="minorHAnsi" w:eastAsia="Times New Roman" w:hAnsiTheme="minorHAnsi" w:cstheme="minorHAnsi"/>
                <w:b w:val="0"/>
                <w:bCs w:val="0"/>
                <w:color w:val="000000"/>
                <w:sz w:val="20"/>
                <w:szCs w:val="20"/>
                <w:lang w:val="fr-FR" w:eastAsia="en-GB"/>
              </w:rPr>
            </w:pPr>
            <w:r w:rsidRPr="00A4333E">
              <w:rPr>
                <w:rFonts w:asciiTheme="minorHAnsi" w:eastAsia="Times New Roman" w:hAnsiTheme="minorHAnsi" w:cstheme="minorHAnsi"/>
                <w:b w:val="0"/>
                <w:bCs w:val="0"/>
                <w:color w:val="000000"/>
                <w:sz w:val="20"/>
                <w:szCs w:val="20"/>
                <w:lang w:val="fr-FR" w:eastAsia="en-GB"/>
              </w:rPr>
              <w:t>Italie</w:t>
            </w:r>
          </w:p>
        </w:tc>
        <w:tc>
          <w:tcPr>
            <w:tcW w:w="794" w:type="dxa"/>
            <w:vAlign w:val="center"/>
            <w:hideMark/>
          </w:tcPr>
          <w:p w14:paraId="68EB2222"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1F8969DD"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161,864 </w:t>
            </w:r>
          </w:p>
        </w:tc>
        <w:tc>
          <w:tcPr>
            <w:tcW w:w="794" w:type="dxa"/>
            <w:vAlign w:val="center"/>
            <w:hideMark/>
          </w:tcPr>
          <w:p w14:paraId="75AF1242"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585C590C"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69D110ED"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161,864 </w:t>
            </w:r>
          </w:p>
        </w:tc>
        <w:tc>
          <w:tcPr>
            <w:tcW w:w="794" w:type="dxa"/>
            <w:vAlign w:val="center"/>
            <w:hideMark/>
          </w:tcPr>
          <w:p w14:paraId="14833FB3"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0A2F6336"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56FDD666"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w:t>
            </w:r>
          </w:p>
        </w:tc>
        <w:tc>
          <w:tcPr>
            <w:tcW w:w="794" w:type="dxa"/>
            <w:vAlign w:val="center"/>
            <w:hideMark/>
          </w:tcPr>
          <w:p w14:paraId="6316E157"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w:t>
            </w:r>
          </w:p>
        </w:tc>
      </w:tr>
      <w:tr w:rsidR="002E149D" w:rsidRPr="00A4333E" w14:paraId="6DB2A629" w14:textId="77777777" w:rsidTr="00B938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noWrap/>
            <w:hideMark/>
          </w:tcPr>
          <w:p w14:paraId="6055AD04" w14:textId="77777777" w:rsidR="002E149D" w:rsidRPr="00A4333E" w:rsidRDefault="002E149D" w:rsidP="00483E42">
            <w:pPr>
              <w:ind w:left="0" w:firstLine="0"/>
              <w:rPr>
                <w:rFonts w:asciiTheme="minorHAnsi" w:eastAsia="Times New Roman" w:hAnsiTheme="minorHAnsi" w:cstheme="minorHAnsi"/>
                <w:b w:val="0"/>
                <w:bCs w:val="0"/>
                <w:color w:val="000000"/>
                <w:sz w:val="20"/>
                <w:szCs w:val="20"/>
                <w:lang w:val="fr-FR" w:eastAsia="en-GB"/>
              </w:rPr>
            </w:pPr>
            <w:r w:rsidRPr="00A4333E">
              <w:rPr>
                <w:rFonts w:asciiTheme="minorHAnsi" w:eastAsia="Times New Roman" w:hAnsiTheme="minorHAnsi" w:cstheme="minorHAnsi"/>
                <w:b w:val="0"/>
                <w:bCs w:val="0"/>
                <w:color w:val="000000"/>
                <w:sz w:val="20"/>
                <w:szCs w:val="20"/>
                <w:lang w:val="fr-FR" w:eastAsia="en-GB"/>
              </w:rPr>
              <w:lastRenderedPageBreak/>
              <w:t>Jamaïque</w:t>
            </w:r>
          </w:p>
        </w:tc>
        <w:tc>
          <w:tcPr>
            <w:tcW w:w="794" w:type="dxa"/>
            <w:vAlign w:val="center"/>
            <w:hideMark/>
          </w:tcPr>
          <w:p w14:paraId="51DB695D"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6965F8BD"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1,000 </w:t>
            </w:r>
          </w:p>
        </w:tc>
        <w:tc>
          <w:tcPr>
            <w:tcW w:w="794" w:type="dxa"/>
            <w:vAlign w:val="center"/>
            <w:hideMark/>
          </w:tcPr>
          <w:p w14:paraId="08045057"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35 </w:t>
            </w:r>
          </w:p>
        </w:tc>
        <w:tc>
          <w:tcPr>
            <w:tcW w:w="794" w:type="dxa"/>
            <w:vAlign w:val="center"/>
            <w:hideMark/>
          </w:tcPr>
          <w:p w14:paraId="288ADFBD"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72B63019"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965 </w:t>
            </w:r>
          </w:p>
        </w:tc>
        <w:tc>
          <w:tcPr>
            <w:tcW w:w="794" w:type="dxa"/>
            <w:vAlign w:val="center"/>
            <w:hideMark/>
          </w:tcPr>
          <w:p w14:paraId="52601223"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35 </w:t>
            </w:r>
          </w:p>
        </w:tc>
        <w:tc>
          <w:tcPr>
            <w:tcW w:w="794" w:type="dxa"/>
            <w:vAlign w:val="center"/>
            <w:hideMark/>
          </w:tcPr>
          <w:p w14:paraId="4AA4A7A6"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29C06A77"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w:t>
            </w:r>
          </w:p>
        </w:tc>
        <w:tc>
          <w:tcPr>
            <w:tcW w:w="794" w:type="dxa"/>
            <w:vAlign w:val="center"/>
            <w:hideMark/>
          </w:tcPr>
          <w:p w14:paraId="55C124EE"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35 </w:t>
            </w:r>
          </w:p>
        </w:tc>
      </w:tr>
      <w:tr w:rsidR="002E149D" w:rsidRPr="00A4333E" w14:paraId="4F872D8A" w14:textId="77777777" w:rsidTr="00B938BE">
        <w:tc>
          <w:tcPr>
            <w:cnfStyle w:val="001000000000" w:firstRow="0" w:lastRow="0" w:firstColumn="1" w:lastColumn="0" w:oddVBand="0" w:evenVBand="0" w:oddHBand="0" w:evenHBand="0" w:firstRowFirstColumn="0" w:firstRowLastColumn="0" w:lastRowFirstColumn="0" w:lastRowLastColumn="0"/>
            <w:tcW w:w="1838" w:type="dxa"/>
            <w:noWrap/>
            <w:hideMark/>
          </w:tcPr>
          <w:p w14:paraId="799D5BB7" w14:textId="77777777" w:rsidR="002E149D" w:rsidRPr="00A4333E" w:rsidRDefault="002E149D" w:rsidP="00483E42">
            <w:pPr>
              <w:ind w:left="0" w:firstLine="0"/>
              <w:rPr>
                <w:rFonts w:asciiTheme="minorHAnsi" w:eastAsia="Times New Roman" w:hAnsiTheme="minorHAnsi" w:cstheme="minorHAnsi"/>
                <w:b w:val="0"/>
                <w:bCs w:val="0"/>
                <w:color w:val="000000"/>
                <w:sz w:val="20"/>
                <w:szCs w:val="20"/>
                <w:lang w:val="fr-FR" w:eastAsia="en-GB"/>
              </w:rPr>
            </w:pPr>
            <w:r w:rsidRPr="00A4333E">
              <w:rPr>
                <w:rFonts w:asciiTheme="minorHAnsi" w:eastAsia="Times New Roman" w:hAnsiTheme="minorHAnsi" w:cstheme="minorHAnsi"/>
                <w:b w:val="0"/>
                <w:bCs w:val="0"/>
                <w:color w:val="000000"/>
                <w:sz w:val="20"/>
                <w:szCs w:val="20"/>
                <w:lang w:val="fr-FR" w:eastAsia="en-GB"/>
              </w:rPr>
              <w:t>Japon</w:t>
            </w:r>
          </w:p>
        </w:tc>
        <w:tc>
          <w:tcPr>
            <w:tcW w:w="794" w:type="dxa"/>
            <w:vAlign w:val="center"/>
            <w:hideMark/>
          </w:tcPr>
          <w:p w14:paraId="24D4802E"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07463291"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419,173 </w:t>
            </w:r>
          </w:p>
        </w:tc>
        <w:tc>
          <w:tcPr>
            <w:tcW w:w="794" w:type="dxa"/>
            <w:vAlign w:val="center"/>
            <w:hideMark/>
          </w:tcPr>
          <w:p w14:paraId="2B0E8D97"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685A9413"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75EF7BE9"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419,173 </w:t>
            </w:r>
          </w:p>
        </w:tc>
        <w:tc>
          <w:tcPr>
            <w:tcW w:w="794" w:type="dxa"/>
            <w:vAlign w:val="center"/>
            <w:hideMark/>
          </w:tcPr>
          <w:p w14:paraId="7F717FC5"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403F9896"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62CD7B3F"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w:t>
            </w:r>
          </w:p>
        </w:tc>
        <w:tc>
          <w:tcPr>
            <w:tcW w:w="794" w:type="dxa"/>
            <w:vAlign w:val="center"/>
            <w:hideMark/>
          </w:tcPr>
          <w:p w14:paraId="7FFE0809"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w:t>
            </w:r>
          </w:p>
        </w:tc>
      </w:tr>
      <w:tr w:rsidR="002E149D" w:rsidRPr="00A4333E" w14:paraId="78EAEF52" w14:textId="77777777" w:rsidTr="00B938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noWrap/>
            <w:hideMark/>
          </w:tcPr>
          <w:p w14:paraId="0FEAF31C" w14:textId="77777777" w:rsidR="002E149D" w:rsidRPr="00A4333E" w:rsidRDefault="002E149D" w:rsidP="00483E42">
            <w:pPr>
              <w:ind w:left="0" w:firstLine="0"/>
              <w:rPr>
                <w:rFonts w:asciiTheme="minorHAnsi" w:eastAsia="Times New Roman" w:hAnsiTheme="minorHAnsi" w:cstheme="minorHAnsi"/>
                <w:b w:val="0"/>
                <w:bCs w:val="0"/>
                <w:color w:val="000000"/>
                <w:sz w:val="20"/>
                <w:szCs w:val="20"/>
                <w:lang w:val="fr-FR" w:eastAsia="en-GB"/>
              </w:rPr>
            </w:pPr>
            <w:r w:rsidRPr="00A4333E">
              <w:rPr>
                <w:rFonts w:asciiTheme="minorHAnsi" w:eastAsia="Times New Roman" w:hAnsiTheme="minorHAnsi" w:cstheme="minorHAnsi"/>
                <w:b w:val="0"/>
                <w:bCs w:val="0"/>
                <w:color w:val="000000"/>
                <w:sz w:val="20"/>
                <w:szCs w:val="20"/>
                <w:lang w:val="fr-FR" w:eastAsia="en-GB"/>
              </w:rPr>
              <w:t>Jordanie</w:t>
            </w:r>
          </w:p>
        </w:tc>
        <w:tc>
          <w:tcPr>
            <w:tcW w:w="794" w:type="dxa"/>
            <w:vAlign w:val="center"/>
            <w:hideMark/>
          </w:tcPr>
          <w:p w14:paraId="437D22D5"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1,000 </w:t>
            </w:r>
          </w:p>
        </w:tc>
        <w:tc>
          <w:tcPr>
            <w:tcW w:w="794" w:type="dxa"/>
            <w:vAlign w:val="center"/>
            <w:hideMark/>
          </w:tcPr>
          <w:p w14:paraId="32AE1EEB"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1,028 </w:t>
            </w:r>
          </w:p>
        </w:tc>
        <w:tc>
          <w:tcPr>
            <w:tcW w:w="794" w:type="dxa"/>
            <w:vAlign w:val="center"/>
            <w:hideMark/>
          </w:tcPr>
          <w:p w14:paraId="5CE4F988"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5745C047"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1,000 </w:t>
            </w:r>
          </w:p>
        </w:tc>
        <w:tc>
          <w:tcPr>
            <w:tcW w:w="794" w:type="dxa"/>
            <w:vAlign w:val="center"/>
            <w:hideMark/>
          </w:tcPr>
          <w:p w14:paraId="29EE56E2"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3787F5F1"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75F2F038"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03F6941A"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1,028 </w:t>
            </w:r>
          </w:p>
        </w:tc>
        <w:tc>
          <w:tcPr>
            <w:tcW w:w="794" w:type="dxa"/>
            <w:vAlign w:val="center"/>
            <w:hideMark/>
          </w:tcPr>
          <w:p w14:paraId="259C5162"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w:t>
            </w:r>
          </w:p>
        </w:tc>
      </w:tr>
      <w:tr w:rsidR="002E149D" w:rsidRPr="00A4333E" w14:paraId="7A4CF0D6" w14:textId="77777777" w:rsidTr="00B938BE">
        <w:tc>
          <w:tcPr>
            <w:cnfStyle w:val="001000000000" w:firstRow="0" w:lastRow="0" w:firstColumn="1" w:lastColumn="0" w:oddVBand="0" w:evenVBand="0" w:oddHBand="0" w:evenHBand="0" w:firstRowFirstColumn="0" w:firstRowLastColumn="0" w:lastRowFirstColumn="0" w:lastRowLastColumn="0"/>
            <w:tcW w:w="1838" w:type="dxa"/>
            <w:noWrap/>
            <w:hideMark/>
          </w:tcPr>
          <w:p w14:paraId="67EC0B02" w14:textId="77777777" w:rsidR="002E149D" w:rsidRPr="00A4333E" w:rsidRDefault="002E149D" w:rsidP="00483E42">
            <w:pPr>
              <w:ind w:left="0" w:firstLine="0"/>
              <w:rPr>
                <w:rFonts w:asciiTheme="minorHAnsi" w:eastAsia="Times New Roman" w:hAnsiTheme="minorHAnsi" w:cstheme="minorHAnsi"/>
                <w:b w:val="0"/>
                <w:bCs w:val="0"/>
                <w:color w:val="000000"/>
                <w:sz w:val="20"/>
                <w:szCs w:val="20"/>
                <w:lang w:val="fr-FR" w:eastAsia="en-GB"/>
              </w:rPr>
            </w:pPr>
            <w:r w:rsidRPr="00A4333E">
              <w:rPr>
                <w:rFonts w:asciiTheme="minorHAnsi" w:eastAsia="Times New Roman" w:hAnsiTheme="minorHAnsi" w:cstheme="minorHAnsi"/>
                <w:b w:val="0"/>
                <w:bCs w:val="0"/>
                <w:color w:val="000000"/>
                <w:sz w:val="20"/>
                <w:szCs w:val="20"/>
                <w:lang w:val="fr-FR" w:eastAsia="en-GB"/>
              </w:rPr>
              <w:t>Kazakhstan</w:t>
            </w:r>
          </w:p>
        </w:tc>
        <w:tc>
          <w:tcPr>
            <w:tcW w:w="794" w:type="dxa"/>
            <w:vAlign w:val="center"/>
            <w:hideMark/>
          </w:tcPr>
          <w:p w14:paraId="656F2D0E"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7520706A"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8,712 </w:t>
            </w:r>
          </w:p>
        </w:tc>
        <w:tc>
          <w:tcPr>
            <w:tcW w:w="794" w:type="dxa"/>
            <w:vAlign w:val="center"/>
            <w:hideMark/>
          </w:tcPr>
          <w:p w14:paraId="788575C9"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330493C9"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51A651EC"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8,712 </w:t>
            </w:r>
          </w:p>
        </w:tc>
        <w:tc>
          <w:tcPr>
            <w:tcW w:w="794" w:type="dxa"/>
            <w:vAlign w:val="center"/>
            <w:hideMark/>
          </w:tcPr>
          <w:p w14:paraId="74A1A4A5"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78364CF1"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5632B542"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w:t>
            </w:r>
          </w:p>
        </w:tc>
        <w:tc>
          <w:tcPr>
            <w:tcW w:w="794" w:type="dxa"/>
            <w:vAlign w:val="center"/>
            <w:hideMark/>
          </w:tcPr>
          <w:p w14:paraId="72607A9E"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w:t>
            </w:r>
          </w:p>
        </w:tc>
      </w:tr>
      <w:tr w:rsidR="002E149D" w:rsidRPr="00A4333E" w14:paraId="05336661" w14:textId="77777777" w:rsidTr="00B938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noWrap/>
            <w:hideMark/>
          </w:tcPr>
          <w:p w14:paraId="74C0423E" w14:textId="77777777" w:rsidR="002E149D" w:rsidRPr="00A4333E" w:rsidRDefault="002E149D" w:rsidP="00483E42">
            <w:pPr>
              <w:ind w:left="0" w:firstLine="0"/>
              <w:rPr>
                <w:rFonts w:asciiTheme="minorHAnsi" w:eastAsia="Times New Roman" w:hAnsiTheme="minorHAnsi" w:cstheme="minorHAnsi"/>
                <w:b w:val="0"/>
                <w:bCs w:val="0"/>
                <w:color w:val="000000"/>
                <w:sz w:val="20"/>
                <w:szCs w:val="20"/>
                <w:lang w:val="fr-FR" w:eastAsia="en-GB"/>
              </w:rPr>
            </w:pPr>
            <w:r w:rsidRPr="00A4333E">
              <w:rPr>
                <w:rFonts w:asciiTheme="minorHAnsi" w:eastAsia="Times New Roman" w:hAnsiTheme="minorHAnsi" w:cstheme="minorHAnsi"/>
                <w:b w:val="0"/>
                <w:bCs w:val="0"/>
                <w:color w:val="000000"/>
                <w:sz w:val="20"/>
                <w:szCs w:val="20"/>
                <w:lang w:val="fr-FR" w:eastAsia="en-GB"/>
              </w:rPr>
              <w:t>Kenya</w:t>
            </w:r>
          </w:p>
        </w:tc>
        <w:tc>
          <w:tcPr>
            <w:tcW w:w="794" w:type="dxa"/>
            <w:vAlign w:val="center"/>
            <w:hideMark/>
          </w:tcPr>
          <w:p w14:paraId="0EBA3226"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1,175 </w:t>
            </w:r>
          </w:p>
        </w:tc>
        <w:tc>
          <w:tcPr>
            <w:tcW w:w="794" w:type="dxa"/>
            <w:vAlign w:val="center"/>
            <w:hideMark/>
          </w:tcPr>
          <w:p w14:paraId="18228565"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1,175 </w:t>
            </w:r>
          </w:p>
        </w:tc>
        <w:tc>
          <w:tcPr>
            <w:tcW w:w="794" w:type="dxa"/>
            <w:vAlign w:val="center"/>
            <w:hideMark/>
          </w:tcPr>
          <w:p w14:paraId="7F641FE5"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3F289AD7"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1,175 </w:t>
            </w:r>
          </w:p>
        </w:tc>
        <w:tc>
          <w:tcPr>
            <w:tcW w:w="794" w:type="dxa"/>
            <w:vAlign w:val="center"/>
            <w:hideMark/>
          </w:tcPr>
          <w:p w14:paraId="13C8ED52"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1,175 </w:t>
            </w:r>
          </w:p>
        </w:tc>
        <w:tc>
          <w:tcPr>
            <w:tcW w:w="794" w:type="dxa"/>
            <w:vAlign w:val="center"/>
            <w:hideMark/>
          </w:tcPr>
          <w:p w14:paraId="1E4513A5"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5B0F64E6"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789EC217"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w:t>
            </w:r>
          </w:p>
        </w:tc>
        <w:tc>
          <w:tcPr>
            <w:tcW w:w="794" w:type="dxa"/>
            <w:vAlign w:val="center"/>
            <w:hideMark/>
          </w:tcPr>
          <w:p w14:paraId="7D88D3D4"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w:t>
            </w:r>
          </w:p>
        </w:tc>
      </w:tr>
      <w:tr w:rsidR="002E149D" w:rsidRPr="00A4333E" w14:paraId="0D35749D" w14:textId="77777777" w:rsidTr="00B938BE">
        <w:tc>
          <w:tcPr>
            <w:cnfStyle w:val="001000000000" w:firstRow="0" w:lastRow="0" w:firstColumn="1" w:lastColumn="0" w:oddVBand="0" w:evenVBand="0" w:oddHBand="0" w:evenHBand="0" w:firstRowFirstColumn="0" w:firstRowLastColumn="0" w:lastRowFirstColumn="0" w:lastRowLastColumn="0"/>
            <w:tcW w:w="1838" w:type="dxa"/>
            <w:noWrap/>
            <w:hideMark/>
          </w:tcPr>
          <w:p w14:paraId="1FEB3C2E" w14:textId="77777777" w:rsidR="002E149D" w:rsidRPr="00A4333E" w:rsidRDefault="002E149D" w:rsidP="00483E42">
            <w:pPr>
              <w:ind w:left="0" w:firstLine="0"/>
              <w:rPr>
                <w:rFonts w:asciiTheme="minorHAnsi" w:eastAsia="Times New Roman" w:hAnsiTheme="minorHAnsi" w:cstheme="minorHAnsi"/>
                <w:b w:val="0"/>
                <w:bCs w:val="0"/>
                <w:color w:val="000000"/>
                <w:sz w:val="20"/>
                <w:szCs w:val="20"/>
                <w:lang w:val="fr-FR" w:eastAsia="en-GB"/>
              </w:rPr>
            </w:pPr>
            <w:r w:rsidRPr="00A4333E">
              <w:rPr>
                <w:rFonts w:asciiTheme="minorHAnsi" w:eastAsia="Times New Roman" w:hAnsiTheme="minorHAnsi" w:cstheme="minorHAnsi"/>
                <w:b w:val="0"/>
                <w:bCs w:val="0"/>
                <w:color w:val="000000"/>
                <w:sz w:val="20"/>
                <w:szCs w:val="20"/>
                <w:lang w:val="fr-FR" w:eastAsia="en-GB"/>
              </w:rPr>
              <w:t>Kirghizistan</w:t>
            </w:r>
          </w:p>
        </w:tc>
        <w:tc>
          <w:tcPr>
            <w:tcW w:w="794" w:type="dxa"/>
            <w:vAlign w:val="center"/>
            <w:hideMark/>
          </w:tcPr>
          <w:p w14:paraId="1E70793E"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1,000 </w:t>
            </w:r>
          </w:p>
        </w:tc>
        <w:tc>
          <w:tcPr>
            <w:tcW w:w="794" w:type="dxa"/>
            <w:vAlign w:val="center"/>
            <w:hideMark/>
          </w:tcPr>
          <w:p w14:paraId="5BE812C4"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1,000 </w:t>
            </w:r>
          </w:p>
        </w:tc>
        <w:tc>
          <w:tcPr>
            <w:tcW w:w="794" w:type="dxa"/>
            <w:vAlign w:val="center"/>
            <w:hideMark/>
          </w:tcPr>
          <w:p w14:paraId="7124E1D6"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2EF8B984"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16F1D0A7"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55DE4606"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4B31263A"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1,000 </w:t>
            </w:r>
          </w:p>
        </w:tc>
        <w:tc>
          <w:tcPr>
            <w:tcW w:w="794" w:type="dxa"/>
            <w:vAlign w:val="center"/>
            <w:hideMark/>
          </w:tcPr>
          <w:p w14:paraId="379454F0"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1,000 </w:t>
            </w:r>
          </w:p>
        </w:tc>
        <w:tc>
          <w:tcPr>
            <w:tcW w:w="794" w:type="dxa"/>
            <w:vAlign w:val="center"/>
            <w:hideMark/>
          </w:tcPr>
          <w:p w14:paraId="508B5B2C"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w:t>
            </w:r>
          </w:p>
        </w:tc>
      </w:tr>
      <w:tr w:rsidR="002E149D" w:rsidRPr="00A4333E" w14:paraId="05DE81C9" w14:textId="77777777" w:rsidTr="00B938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noWrap/>
            <w:hideMark/>
          </w:tcPr>
          <w:p w14:paraId="56C76567" w14:textId="77777777" w:rsidR="002E149D" w:rsidRPr="00A4333E" w:rsidRDefault="002E149D" w:rsidP="00483E42">
            <w:pPr>
              <w:ind w:left="0" w:firstLine="0"/>
              <w:rPr>
                <w:rFonts w:asciiTheme="minorHAnsi" w:eastAsia="Times New Roman" w:hAnsiTheme="minorHAnsi" w:cstheme="minorHAnsi"/>
                <w:b w:val="0"/>
                <w:bCs w:val="0"/>
                <w:color w:val="000000"/>
                <w:sz w:val="20"/>
                <w:szCs w:val="20"/>
                <w:lang w:val="fr-FR" w:eastAsia="en-GB"/>
              </w:rPr>
            </w:pPr>
            <w:r w:rsidRPr="00A4333E">
              <w:rPr>
                <w:rFonts w:asciiTheme="minorHAnsi" w:eastAsia="Times New Roman" w:hAnsiTheme="minorHAnsi" w:cstheme="minorHAnsi"/>
                <w:b w:val="0"/>
                <w:bCs w:val="0"/>
                <w:color w:val="000000"/>
                <w:sz w:val="20"/>
                <w:szCs w:val="20"/>
                <w:lang w:val="fr-FR" w:eastAsia="en-GB"/>
              </w:rPr>
              <w:t>Kiribati</w:t>
            </w:r>
          </w:p>
        </w:tc>
        <w:tc>
          <w:tcPr>
            <w:tcW w:w="794" w:type="dxa"/>
            <w:vAlign w:val="center"/>
            <w:hideMark/>
          </w:tcPr>
          <w:p w14:paraId="3A8A0D5D"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1,000 </w:t>
            </w:r>
          </w:p>
        </w:tc>
        <w:tc>
          <w:tcPr>
            <w:tcW w:w="794" w:type="dxa"/>
            <w:vAlign w:val="center"/>
            <w:hideMark/>
          </w:tcPr>
          <w:p w14:paraId="5D2F86AB"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1,000 </w:t>
            </w:r>
          </w:p>
        </w:tc>
        <w:tc>
          <w:tcPr>
            <w:tcW w:w="794" w:type="dxa"/>
            <w:vAlign w:val="center"/>
            <w:hideMark/>
          </w:tcPr>
          <w:p w14:paraId="034E3ED1"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6BCC9298"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1,000 </w:t>
            </w:r>
          </w:p>
        </w:tc>
        <w:tc>
          <w:tcPr>
            <w:tcW w:w="794" w:type="dxa"/>
            <w:vAlign w:val="center"/>
            <w:hideMark/>
          </w:tcPr>
          <w:p w14:paraId="2220B3AE"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1,000 </w:t>
            </w:r>
          </w:p>
        </w:tc>
        <w:tc>
          <w:tcPr>
            <w:tcW w:w="794" w:type="dxa"/>
            <w:vAlign w:val="center"/>
            <w:hideMark/>
          </w:tcPr>
          <w:p w14:paraId="5B99D853"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380CD83F"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5FD0B889"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w:t>
            </w:r>
          </w:p>
        </w:tc>
        <w:tc>
          <w:tcPr>
            <w:tcW w:w="794" w:type="dxa"/>
            <w:vAlign w:val="center"/>
            <w:hideMark/>
          </w:tcPr>
          <w:p w14:paraId="65443CD4"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w:t>
            </w:r>
          </w:p>
        </w:tc>
      </w:tr>
      <w:tr w:rsidR="002E149D" w:rsidRPr="00A4333E" w14:paraId="177EF34B" w14:textId="77777777" w:rsidTr="00B938BE">
        <w:tc>
          <w:tcPr>
            <w:cnfStyle w:val="001000000000" w:firstRow="0" w:lastRow="0" w:firstColumn="1" w:lastColumn="0" w:oddVBand="0" w:evenVBand="0" w:oddHBand="0" w:evenHBand="0" w:firstRowFirstColumn="0" w:firstRowLastColumn="0" w:lastRowFirstColumn="0" w:lastRowLastColumn="0"/>
            <w:tcW w:w="1838" w:type="dxa"/>
            <w:noWrap/>
            <w:hideMark/>
          </w:tcPr>
          <w:p w14:paraId="4425BDA8" w14:textId="77777777" w:rsidR="002E149D" w:rsidRPr="00A4333E" w:rsidRDefault="002E149D" w:rsidP="00483E42">
            <w:pPr>
              <w:ind w:left="0" w:firstLine="0"/>
              <w:rPr>
                <w:rFonts w:asciiTheme="minorHAnsi" w:eastAsia="Times New Roman" w:hAnsiTheme="minorHAnsi" w:cstheme="minorHAnsi"/>
                <w:b w:val="0"/>
                <w:bCs w:val="0"/>
                <w:color w:val="000000"/>
                <w:sz w:val="20"/>
                <w:szCs w:val="20"/>
                <w:lang w:val="fr-FR" w:eastAsia="en-GB"/>
              </w:rPr>
            </w:pPr>
            <w:r w:rsidRPr="00A4333E">
              <w:rPr>
                <w:rFonts w:asciiTheme="minorHAnsi" w:eastAsia="Times New Roman" w:hAnsiTheme="minorHAnsi" w:cstheme="minorHAnsi"/>
                <w:b w:val="0"/>
                <w:bCs w:val="0"/>
                <w:color w:val="000000"/>
                <w:sz w:val="20"/>
                <w:szCs w:val="20"/>
                <w:lang w:val="fr-FR" w:eastAsia="en-GB"/>
              </w:rPr>
              <w:t>Koweït</w:t>
            </w:r>
          </w:p>
        </w:tc>
        <w:tc>
          <w:tcPr>
            <w:tcW w:w="794" w:type="dxa"/>
            <w:vAlign w:val="center"/>
            <w:hideMark/>
          </w:tcPr>
          <w:p w14:paraId="76E9B45D"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24,672 </w:t>
            </w:r>
          </w:p>
        </w:tc>
        <w:tc>
          <w:tcPr>
            <w:tcW w:w="794" w:type="dxa"/>
            <w:vAlign w:val="center"/>
            <w:hideMark/>
          </w:tcPr>
          <w:p w14:paraId="7EB947EC"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12,334 </w:t>
            </w:r>
          </w:p>
        </w:tc>
        <w:tc>
          <w:tcPr>
            <w:tcW w:w="794" w:type="dxa"/>
            <w:vAlign w:val="center"/>
            <w:hideMark/>
          </w:tcPr>
          <w:p w14:paraId="2509178E"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68D96EF0"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12,334 </w:t>
            </w:r>
          </w:p>
        </w:tc>
        <w:tc>
          <w:tcPr>
            <w:tcW w:w="794" w:type="dxa"/>
            <w:vAlign w:val="center"/>
            <w:hideMark/>
          </w:tcPr>
          <w:p w14:paraId="7881CA8C"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26444323"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23D06D4F"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12,338 </w:t>
            </w:r>
          </w:p>
        </w:tc>
        <w:tc>
          <w:tcPr>
            <w:tcW w:w="794" w:type="dxa"/>
            <w:vAlign w:val="center"/>
            <w:hideMark/>
          </w:tcPr>
          <w:p w14:paraId="0DFE3024"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12,334 </w:t>
            </w:r>
          </w:p>
        </w:tc>
        <w:tc>
          <w:tcPr>
            <w:tcW w:w="794" w:type="dxa"/>
            <w:vAlign w:val="center"/>
            <w:hideMark/>
          </w:tcPr>
          <w:p w14:paraId="6B8990A5"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w:t>
            </w:r>
          </w:p>
        </w:tc>
      </w:tr>
      <w:tr w:rsidR="002E149D" w:rsidRPr="00A4333E" w14:paraId="53E5C276" w14:textId="77777777" w:rsidTr="00B938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noWrap/>
            <w:hideMark/>
          </w:tcPr>
          <w:p w14:paraId="7C4846B4" w14:textId="77777777" w:rsidR="002E149D" w:rsidRPr="00A4333E" w:rsidRDefault="002E149D" w:rsidP="00483E42">
            <w:pPr>
              <w:ind w:left="0" w:firstLine="0"/>
              <w:rPr>
                <w:rFonts w:asciiTheme="minorHAnsi" w:eastAsia="Times New Roman" w:hAnsiTheme="minorHAnsi" w:cstheme="minorHAnsi"/>
                <w:b w:val="0"/>
                <w:bCs w:val="0"/>
                <w:color w:val="000000"/>
                <w:sz w:val="20"/>
                <w:szCs w:val="20"/>
                <w:lang w:val="fr-FR" w:eastAsia="en-GB"/>
              </w:rPr>
            </w:pPr>
            <w:r w:rsidRPr="00A4333E">
              <w:rPr>
                <w:rFonts w:asciiTheme="minorHAnsi" w:eastAsia="Times New Roman" w:hAnsiTheme="minorHAnsi" w:cstheme="minorHAnsi"/>
                <w:b w:val="0"/>
                <w:bCs w:val="0"/>
                <w:color w:val="000000"/>
                <w:sz w:val="20"/>
                <w:szCs w:val="20"/>
                <w:lang w:val="fr-FR" w:eastAsia="en-GB"/>
              </w:rPr>
              <w:t>Lesotho</w:t>
            </w:r>
          </w:p>
        </w:tc>
        <w:tc>
          <w:tcPr>
            <w:tcW w:w="794" w:type="dxa"/>
            <w:vAlign w:val="center"/>
            <w:hideMark/>
          </w:tcPr>
          <w:p w14:paraId="7BCD6C03"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4,000 </w:t>
            </w:r>
          </w:p>
        </w:tc>
        <w:tc>
          <w:tcPr>
            <w:tcW w:w="794" w:type="dxa"/>
            <w:vAlign w:val="center"/>
            <w:hideMark/>
          </w:tcPr>
          <w:p w14:paraId="12B59C6A"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1,000 </w:t>
            </w:r>
          </w:p>
        </w:tc>
        <w:tc>
          <w:tcPr>
            <w:tcW w:w="794" w:type="dxa"/>
            <w:vAlign w:val="center"/>
            <w:hideMark/>
          </w:tcPr>
          <w:p w14:paraId="5C3E4295"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5B8D312F"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4,000 </w:t>
            </w:r>
          </w:p>
        </w:tc>
        <w:tc>
          <w:tcPr>
            <w:tcW w:w="794" w:type="dxa"/>
            <w:vAlign w:val="center"/>
            <w:hideMark/>
          </w:tcPr>
          <w:p w14:paraId="52A4B6DC"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1,000 </w:t>
            </w:r>
          </w:p>
        </w:tc>
        <w:tc>
          <w:tcPr>
            <w:tcW w:w="794" w:type="dxa"/>
            <w:vAlign w:val="center"/>
            <w:hideMark/>
          </w:tcPr>
          <w:p w14:paraId="1407E726"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2,205 </w:t>
            </w:r>
          </w:p>
        </w:tc>
        <w:tc>
          <w:tcPr>
            <w:tcW w:w="794" w:type="dxa"/>
            <w:vAlign w:val="center"/>
            <w:hideMark/>
          </w:tcPr>
          <w:p w14:paraId="0E3B4C63"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13EE328E"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w:t>
            </w:r>
          </w:p>
        </w:tc>
        <w:tc>
          <w:tcPr>
            <w:tcW w:w="794" w:type="dxa"/>
            <w:vAlign w:val="center"/>
            <w:hideMark/>
          </w:tcPr>
          <w:p w14:paraId="34163B17"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2,205 </w:t>
            </w:r>
          </w:p>
        </w:tc>
      </w:tr>
      <w:tr w:rsidR="002E149D" w:rsidRPr="00A4333E" w14:paraId="1598875B" w14:textId="77777777" w:rsidTr="00B938BE">
        <w:tc>
          <w:tcPr>
            <w:cnfStyle w:val="001000000000" w:firstRow="0" w:lastRow="0" w:firstColumn="1" w:lastColumn="0" w:oddVBand="0" w:evenVBand="0" w:oddHBand="0" w:evenHBand="0" w:firstRowFirstColumn="0" w:firstRowLastColumn="0" w:lastRowFirstColumn="0" w:lastRowLastColumn="0"/>
            <w:tcW w:w="1838" w:type="dxa"/>
            <w:noWrap/>
            <w:hideMark/>
          </w:tcPr>
          <w:p w14:paraId="3062124B" w14:textId="77777777" w:rsidR="002E149D" w:rsidRPr="00A4333E" w:rsidRDefault="002E149D" w:rsidP="00483E42">
            <w:pPr>
              <w:ind w:left="0" w:firstLine="0"/>
              <w:rPr>
                <w:rFonts w:asciiTheme="minorHAnsi" w:eastAsia="Times New Roman" w:hAnsiTheme="minorHAnsi" w:cstheme="minorHAnsi"/>
                <w:b w:val="0"/>
                <w:bCs w:val="0"/>
                <w:color w:val="000000"/>
                <w:sz w:val="20"/>
                <w:szCs w:val="20"/>
                <w:lang w:val="fr-FR" w:eastAsia="en-GB"/>
              </w:rPr>
            </w:pPr>
            <w:r w:rsidRPr="00A4333E">
              <w:rPr>
                <w:rFonts w:asciiTheme="minorHAnsi" w:eastAsia="Times New Roman" w:hAnsiTheme="minorHAnsi" w:cstheme="minorHAnsi"/>
                <w:b w:val="0"/>
                <w:bCs w:val="0"/>
                <w:color w:val="000000"/>
                <w:sz w:val="20"/>
                <w:szCs w:val="20"/>
                <w:lang w:val="fr-FR" w:eastAsia="en-GB"/>
              </w:rPr>
              <w:t>Lettonie</w:t>
            </w:r>
          </w:p>
        </w:tc>
        <w:tc>
          <w:tcPr>
            <w:tcW w:w="794" w:type="dxa"/>
            <w:vAlign w:val="center"/>
            <w:hideMark/>
          </w:tcPr>
          <w:p w14:paraId="3D649087"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5609573E"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2,300 </w:t>
            </w:r>
          </w:p>
        </w:tc>
        <w:tc>
          <w:tcPr>
            <w:tcW w:w="794" w:type="dxa"/>
            <w:vAlign w:val="center"/>
            <w:hideMark/>
          </w:tcPr>
          <w:p w14:paraId="3F64DB50"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1B3E5439"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4131BF1C"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2,300 </w:t>
            </w:r>
          </w:p>
        </w:tc>
        <w:tc>
          <w:tcPr>
            <w:tcW w:w="794" w:type="dxa"/>
            <w:vAlign w:val="center"/>
            <w:hideMark/>
          </w:tcPr>
          <w:p w14:paraId="2C7D7C0D"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650CC142"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355EE635"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w:t>
            </w:r>
          </w:p>
        </w:tc>
        <w:tc>
          <w:tcPr>
            <w:tcW w:w="794" w:type="dxa"/>
            <w:vAlign w:val="center"/>
            <w:hideMark/>
          </w:tcPr>
          <w:p w14:paraId="14B241F1"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w:t>
            </w:r>
          </w:p>
        </w:tc>
      </w:tr>
      <w:tr w:rsidR="002E149D" w:rsidRPr="00A4333E" w14:paraId="55D583F8" w14:textId="77777777" w:rsidTr="00B938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noWrap/>
            <w:hideMark/>
          </w:tcPr>
          <w:p w14:paraId="178D6881" w14:textId="77777777" w:rsidR="002E149D" w:rsidRPr="00A4333E" w:rsidRDefault="002E149D" w:rsidP="00483E42">
            <w:pPr>
              <w:ind w:left="0" w:firstLine="0"/>
              <w:rPr>
                <w:rFonts w:asciiTheme="minorHAnsi" w:eastAsia="Times New Roman" w:hAnsiTheme="minorHAnsi" w:cstheme="minorHAnsi"/>
                <w:b w:val="0"/>
                <w:bCs w:val="0"/>
                <w:color w:val="000000"/>
                <w:sz w:val="20"/>
                <w:szCs w:val="20"/>
                <w:lang w:val="fr-FR" w:eastAsia="en-GB"/>
              </w:rPr>
            </w:pPr>
            <w:r w:rsidRPr="00A4333E">
              <w:rPr>
                <w:rFonts w:asciiTheme="minorHAnsi" w:eastAsia="Times New Roman" w:hAnsiTheme="minorHAnsi" w:cstheme="minorHAnsi"/>
                <w:b w:val="0"/>
                <w:bCs w:val="0"/>
                <w:color w:val="000000"/>
                <w:sz w:val="20"/>
                <w:szCs w:val="20"/>
                <w:lang w:val="fr-FR" w:eastAsia="en-GB"/>
              </w:rPr>
              <w:t>Liban</w:t>
            </w:r>
          </w:p>
        </w:tc>
        <w:tc>
          <w:tcPr>
            <w:tcW w:w="794" w:type="dxa"/>
            <w:vAlign w:val="center"/>
            <w:hideMark/>
          </w:tcPr>
          <w:p w14:paraId="26EEEA6A"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9,705 </w:t>
            </w:r>
          </w:p>
        </w:tc>
        <w:tc>
          <w:tcPr>
            <w:tcW w:w="794" w:type="dxa"/>
            <w:vAlign w:val="center"/>
            <w:hideMark/>
          </w:tcPr>
          <w:p w14:paraId="36A3BE46"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2,300 </w:t>
            </w:r>
          </w:p>
        </w:tc>
        <w:tc>
          <w:tcPr>
            <w:tcW w:w="794" w:type="dxa"/>
            <w:vAlign w:val="center"/>
            <w:hideMark/>
          </w:tcPr>
          <w:p w14:paraId="42C74E22"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730D4BDC"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60242B22"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6697AD10"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63D7265D"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9,705 </w:t>
            </w:r>
          </w:p>
        </w:tc>
        <w:tc>
          <w:tcPr>
            <w:tcW w:w="794" w:type="dxa"/>
            <w:vAlign w:val="center"/>
            <w:hideMark/>
          </w:tcPr>
          <w:p w14:paraId="4FE798AC"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2,300 </w:t>
            </w:r>
          </w:p>
        </w:tc>
        <w:tc>
          <w:tcPr>
            <w:tcW w:w="794" w:type="dxa"/>
            <w:vAlign w:val="center"/>
            <w:hideMark/>
          </w:tcPr>
          <w:p w14:paraId="02D8E4FE"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w:t>
            </w:r>
          </w:p>
        </w:tc>
      </w:tr>
      <w:tr w:rsidR="002E149D" w:rsidRPr="00A4333E" w14:paraId="2B05AC7F" w14:textId="77777777" w:rsidTr="00B938BE">
        <w:tc>
          <w:tcPr>
            <w:cnfStyle w:val="001000000000" w:firstRow="0" w:lastRow="0" w:firstColumn="1" w:lastColumn="0" w:oddVBand="0" w:evenVBand="0" w:oddHBand="0" w:evenHBand="0" w:firstRowFirstColumn="0" w:firstRowLastColumn="0" w:lastRowFirstColumn="0" w:lastRowLastColumn="0"/>
            <w:tcW w:w="1838" w:type="dxa"/>
            <w:noWrap/>
            <w:hideMark/>
          </w:tcPr>
          <w:p w14:paraId="7B349490" w14:textId="77777777" w:rsidR="002E149D" w:rsidRPr="00A4333E" w:rsidRDefault="002E149D" w:rsidP="00483E42">
            <w:pPr>
              <w:ind w:left="0" w:firstLine="0"/>
              <w:rPr>
                <w:rFonts w:asciiTheme="minorHAnsi" w:eastAsia="Times New Roman" w:hAnsiTheme="minorHAnsi" w:cstheme="minorHAnsi"/>
                <w:b w:val="0"/>
                <w:bCs w:val="0"/>
                <w:color w:val="000000"/>
                <w:sz w:val="20"/>
                <w:szCs w:val="20"/>
                <w:lang w:val="fr-FR" w:eastAsia="en-GB"/>
              </w:rPr>
            </w:pPr>
            <w:r w:rsidRPr="00A4333E">
              <w:rPr>
                <w:rFonts w:asciiTheme="minorHAnsi" w:eastAsia="Times New Roman" w:hAnsiTheme="minorHAnsi" w:cstheme="minorHAnsi"/>
                <w:b w:val="0"/>
                <w:bCs w:val="0"/>
                <w:color w:val="000000"/>
                <w:sz w:val="20"/>
                <w:szCs w:val="20"/>
                <w:lang w:val="fr-FR" w:eastAsia="en-GB"/>
              </w:rPr>
              <w:t>Libéria</w:t>
            </w:r>
          </w:p>
        </w:tc>
        <w:tc>
          <w:tcPr>
            <w:tcW w:w="794" w:type="dxa"/>
            <w:vAlign w:val="center"/>
            <w:hideMark/>
          </w:tcPr>
          <w:p w14:paraId="2B34567E"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15,110 </w:t>
            </w:r>
          </w:p>
        </w:tc>
        <w:tc>
          <w:tcPr>
            <w:tcW w:w="794" w:type="dxa"/>
            <w:vAlign w:val="center"/>
            <w:hideMark/>
          </w:tcPr>
          <w:p w14:paraId="11E6F51F"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1,000 </w:t>
            </w:r>
          </w:p>
        </w:tc>
        <w:tc>
          <w:tcPr>
            <w:tcW w:w="794" w:type="dxa"/>
            <w:vAlign w:val="center"/>
            <w:hideMark/>
          </w:tcPr>
          <w:p w14:paraId="64565577"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5F19A0B4"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7536F77F"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58C1C8BC"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1D3EA90B"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15,110 </w:t>
            </w:r>
          </w:p>
        </w:tc>
        <w:tc>
          <w:tcPr>
            <w:tcW w:w="794" w:type="dxa"/>
            <w:vAlign w:val="center"/>
            <w:hideMark/>
          </w:tcPr>
          <w:p w14:paraId="07E7CF2F"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1,000 </w:t>
            </w:r>
          </w:p>
        </w:tc>
        <w:tc>
          <w:tcPr>
            <w:tcW w:w="794" w:type="dxa"/>
            <w:vAlign w:val="center"/>
            <w:hideMark/>
          </w:tcPr>
          <w:p w14:paraId="6303FCCA"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w:t>
            </w:r>
          </w:p>
        </w:tc>
      </w:tr>
      <w:tr w:rsidR="002E149D" w:rsidRPr="00A4333E" w14:paraId="084F3151" w14:textId="77777777" w:rsidTr="00B938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noWrap/>
            <w:hideMark/>
          </w:tcPr>
          <w:p w14:paraId="13B7592F" w14:textId="77777777" w:rsidR="002E149D" w:rsidRPr="00A4333E" w:rsidRDefault="002E149D" w:rsidP="00483E42">
            <w:pPr>
              <w:ind w:left="0" w:firstLine="0"/>
              <w:rPr>
                <w:rFonts w:asciiTheme="minorHAnsi" w:eastAsia="Times New Roman" w:hAnsiTheme="minorHAnsi" w:cstheme="minorHAnsi"/>
                <w:b w:val="0"/>
                <w:bCs w:val="0"/>
                <w:color w:val="000000"/>
                <w:sz w:val="20"/>
                <w:szCs w:val="20"/>
                <w:lang w:val="fr-FR" w:eastAsia="en-GB"/>
              </w:rPr>
            </w:pPr>
            <w:r w:rsidRPr="00A4333E">
              <w:rPr>
                <w:rFonts w:asciiTheme="minorHAnsi" w:eastAsia="Times New Roman" w:hAnsiTheme="minorHAnsi" w:cstheme="minorHAnsi"/>
                <w:b w:val="0"/>
                <w:bCs w:val="0"/>
                <w:color w:val="000000"/>
                <w:sz w:val="20"/>
                <w:szCs w:val="20"/>
                <w:lang w:val="fr-FR" w:eastAsia="en-GB"/>
              </w:rPr>
              <w:t>Libye</w:t>
            </w:r>
          </w:p>
        </w:tc>
        <w:tc>
          <w:tcPr>
            <w:tcW w:w="794" w:type="dxa"/>
            <w:vAlign w:val="center"/>
            <w:hideMark/>
          </w:tcPr>
          <w:p w14:paraId="7BE519C4"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55,683 </w:t>
            </w:r>
          </w:p>
        </w:tc>
        <w:tc>
          <w:tcPr>
            <w:tcW w:w="794" w:type="dxa"/>
            <w:vAlign w:val="center"/>
            <w:hideMark/>
          </w:tcPr>
          <w:p w14:paraId="1F1A6F2A"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1,468 </w:t>
            </w:r>
          </w:p>
        </w:tc>
        <w:tc>
          <w:tcPr>
            <w:tcW w:w="794" w:type="dxa"/>
            <w:vAlign w:val="center"/>
            <w:hideMark/>
          </w:tcPr>
          <w:p w14:paraId="54275494"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03E4A60F"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75C33D53"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5E149BFA"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57B0A55A"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55,683 </w:t>
            </w:r>
          </w:p>
        </w:tc>
        <w:tc>
          <w:tcPr>
            <w:tcW w:w="794" w:type="dxa"/>
            <w:vAlign w:val="center"/>
            <w:hideMark/>
          </w:tcPr>
          <w:p w14:paraId="2EC45E3D"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1,468 </w:t>
            </w:r>
          </w:p>
        </w:tc>
        <w:tc>
          <w:tcPr>
            <w:tcW w:w="794" w:type="dxa"/>
            <w:vAlign w:val="center"/>
            <w:hideMark/>
          </w:tcPr>
          <w:p w14:paraId="3E601D42"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w:t>
            </w:r>
          </w:p>
        </w:tc>
      </w:tr>
      <w:tr w:rsidR="002E149D" w:rsidRPr="00A4333E" w14:paraId="07B09881" w14:textId="77777777" w:rsidTr="00B938BE">
        <w:tc>
          <w:tcPr>
            <w:cnfStyle w:val="001000000000" w:firstRow="0" w:lastRow="0" w:firstColumn="1" w:lastColumn="0" w:oddVBand="0" w:evenVBand="0" w:oddHBand="0" w:evenHBand="0" w:firstRowFirstColumn="0" w:firstRowLastColumn="0" w:lastRowFirstColumn="0" w:lastRowLastColumn="0"/>
            <w:tcW w:w="1838" w:type="dxa"/>
            <w:noWrap/>
            <w:hideMark/>
          </w:tcPr>
          <w:p w14:paraId="612396B6" w14:textId="77777777" w:rsidR="002E149D" w:rsidRPr="00A4333E" w:rsidRDefault="002E149D" w:rsidP="00483E42">
            <w:pPr>
              <w:ind w:left="0" w:firstLine="0"/>
              <w:rPr>
                <w:rFonts w:asciiTheme="minorHAnsi" w:eastAsia="Times New Roman" w:hAnsiTheme="minorHAnsi" w:cstheme="minorHAnsi"/>
                <w:b w:val="0"/>
                <w:bCs w:val="0"/>
                <w:color w:val="000000"/>
                <w:sz w:val="20"/>
                <w:szCs w:val="20"/>
                <w:lang w:val="fr-FR" w:eastAsia="en-GB"/>
              </w:rPr>
            </w:pPr>
            <w:r w:rsidRPr="00A4333E">
              <w:rPr>
                <w:rFonts w:asciiTheme="minorHAnsi" w:eastAsia="Times New Roman" w:hAnsiTheme="minorHAnsi" w:cstheme="minorHAnsi"/>
                <w:b w:val="0"/>
                <w:bCs w:val="0"/>
                <w:color w:val="000000"/>
                <w:sz w:val="20"/>
                <w:szCs w:val="20"/>
                <w:lang w:val="fr-FR" w:eastAsia="en-GB"/>
              </w:rPr>
              <w:t>Liechtenstein</w:t>
            </w:r>
          </w:p>
        </w:tc>
        <w:tc>
          <w:tcPr>
            <w:tcW w:w="794" w:type="dxa"/>
            <w:vAlign w:val="center"/>
            <w:hideMark/>
          </w:tcPr>
          <w:p w14:paraId="2D59BD5A"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66C1FB7C"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1,000 </w:t>
            </w:r>
          </w:p>
        </w:tc>
        <w:tc>
          <w:tcPr>
            <w:tcW w:w="794" w:type="dxa"/>
            <w:vAlign w:val="center"/>
            <w:hideMark/>
          </w:tcPr>
          <w:p w14:paraId="3AD9C36D"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4F2AFE58"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3F6C5654"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1,000 </w:t>
            </w:r>
          </w:p>
        </w:tc>
        <w:tc>
          <w:tcPr>
            <w:tcW w:w="794" w:type="dxa"/>
            <w:vAlign w:val="center"/>
            <w:hideMark/>
          </w:tcPr>
          <w:p w14:paraId="3A389E9F"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292A05E4"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4C30C449"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w:t>
            </w:r>
          </w:p>
        </w:tc>
        <w:tc>
          <w:tcPr>
            <w:tcW w:w="794" w:type="dxa"/>
            <w:vAlign w:val="center"/>
            <w:hideMark/>
          </w:tcPr>
          <w:p w14:paraId="05E6F0CD"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w:t>
            </w:r>
          </w:p>
        </w:tc>
      </w:tr>
      <w:tr w:rsidR="002E149D" w:rsidRPr="00A4333E" w14:paraId="4593BA48" w14:textId="77777777" w:rsidTr="00B938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noWrap/>
            <w:hideMark/>
          </w:tcPr>
          <w:p w14:paraId="1CD750E7" w14:textId="5F9BF3D2" w:rsidR="002E149D" w:rsidRPr="00A4333E" w:rsidRDefault="003D64E6" w:rsidP="00483E42">
            <w:pPr>
              <w:ind w:left="0" w:firstLine="0"/>
              <w:rPr>
                <w:rFonts w:asciiTheme="minorHAnsi" w:eastAsia="Times New Roman" w:hAnsiTheme="minorHAnsi" w:cstheme="minorHAnsi"/>
                <w:b w:val="0"/>
                <w:bCs w:val="0"/>
                <w:color w:val="000000"/>
                <w:sz w:val="20"/>
                <w:szCs w:val="20"/>
                <w:lang w:val="fr-FR" w:eastAsia="en-GB"/>
              </w:rPr>
            </w:pPr>
            <w:r w:rsidRPr="00A4333E">
              <w:rPr>
                <w:rFonts w:asciiTheme="minorHAnsi" w:eastAsia="Times New Roman" w:hAnsiTheme="minorHAnsi" w:cstheme="minorHAnsi"/>
                <w:b w:val="0"/>
                <w:bCs w:val="0"/>
                <w:color w:val="000000"/>
                <w:sz w:val="20"/>
                <w:szCs w:val="20"/>
                <w:lang w:val="fr-FR" w:eastAsia="en-GB"/>
              </w:rPr>
              <w:t>Lituanie</w:t>
            </w:r>
          </w:p>
        </w:tc>
        <w:tc>
          <w:tcPr>
            <w:tcW w:w="794" w:type="dxa"/>
            <w:vAlign w:val="center"/>
            <w:hideMark/>
          </w:tcPr>
          <w:p w14:paraId="0B475EB3"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4C08B605"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3,475 </w:t>
            </w:r>
          </w:p>
        </w:tc>
        <w:tc>
          <w:tcPr>
            <w:tcW w:w="794" w:type="dxa"/>
            <w:vAlign w:val="center"/>
            <w:hideMark/>
          </w:tcPr>
          <w:p w14:paraId="053BB21D"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5E2CC346"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764C2BDE"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3,475 </w:t>
            </w:r>
          </w:p>
        </w:tc>
        <w:tc>
          <w:tcPr>
            <w:tcW w:w="794" w:type="dxa"/>
            <w:vAlign w:val="center"/>
            <w:hideMark/>
          </w:tcPr>
          <w:p w14:paraId="633BE2E0"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0B7B95B4"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1F2AC434"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w:t>
            </w:r>
          </w:p>
        </w:tc>
        <w:tc>
          <w:tcPr>
            <w:tcW w:w="794" w:type="dxa"/>
            <w:vAlign w:val="center"/>
            <w:hideMark/>
          </w:tcPr>
          <w:p w14:paraId="46B5C001"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w:t>
            </w:r>
          </w:p>
        </w:tc>
      </w:tr>
      <w:tr w:rsidR="002E149D" w:rsidRPr="00A4333E" w14:paraId="4305ABC0" w14:textId="77777777" w:rsidTr="00B938BE">
        <w:tc>
          <w:tcPr>
            <w:cnfStyle w:val="001000000000" w:firstRow="0" w:lastRow="0" w:firstColumn="1" w:lastColumn="0" w:oddVBand="0" w:evenVBand="0" w:oddHBand="0" w:evenHBand="0" w:firstRowFirstColumn="0" w:firstRowLastColumn="0" w:lastRowFirstColumn="0" w:lastRowLastColumn="0"/>
            <w:tcW w:w="1838" w:type="dxa"/>
            <w:noWrap/>
            <w:hideMark/>
          </w:tcPr>
          <w:p w14:paraId="4F5E46C7" w14:textId="77777777" w:rsidR="002E149D" w:rsidRPr="00A4333E" w:rsidRDefault="002E149D" w:rsidP="00483E42">
            <w:pPr>
              <w:ind w:left="0" w:firstLine="0"/>
              <w:rPr>
                <w:rFonts w:asciiTheme="minorHAnsi" w:eastAsia="Times New Roman" w:hAnsiTheme="minorHAnsi" w:cstheme="minorHAnsi"/>
                <w:b w:val="0"/>
                <w:bCs w:val="0"/>
                <w:color w:val="000000"/>
                <w:sz w:val="20"/>
                <w:szCs w:val="20"/>
                <w:lang w:val="fr-FR" w:eastAsia="en-GB"/>
              </w:rPr>
            </w:pPr>
            <w:r w:rsidRPr="00A4333E">
              <w:rPr>
                <w:rFonts w:asciiTheme="minorHAnsi" w:eastAsia="Times New Roman" w:hAnsiTheme="minorHAnsi" w:cstheme="minorHAnsi"/>
                <w:b w:val="0"/>
                <w:bCs w:val="0"/>
                <w:color w:val="000000"/>
                <w:sz w:val="20"/>
                <w:szCs w:val="20"/>
                <w:lang w:val="fr-FR" w:eastAsia="en-GB"/>
              </w:rPr>
              <w:t>Luxembourg</w:t>
            </w:r>
          </w:p>
        </w:tc>
        <w:tc>
          <w:tcPr>
            <w:tcW w:w="794" w:type="dxa"/>
            <w:vAlign w:val="center"/>
            <w:hideMark/>
          </w:tcPr>
          <w:p w14:paraId="6ECE2C56"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7687DC98"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3,279 </w:t>
            </w:r>
          </w:p>
        </w:tc>
        <w:tc>
          <w:tcPr>
            <w:tcW w:w="794" w:type="dxa"/>
            <w:vAlign w:val="center"/>
            <w:hideMark/>
          </w:tcPr>
          <w:p w14:paraId="5526AF13"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48174F7B"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41510AE2"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3,279 </w:t>
            </w:r>
          </w:p>
        </w:tc>
        <w:tc>
          <w:tcPr>
            <w:tcW w:w="794" w:type="dxa"/>
            <w:vAlign w:val="center"/>
            <w:hideMark/>
          </w:tcPr>
          <w:p w14:paraId="5D1B5AD7"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7D78C2AB"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1CD10EC9"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w:t>
            </w:r>
          </w:p>
        </w:tc>
        <w:tc>
          <w:tcPr>
            <w:tcW w:w="794" w:type="dxa"/>
            <w:vAlign w:val="center"/>
            <w:hideMark/>
          </w:tcPr>
          <w:p w14:paraId="1B3107D1"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w:t>
            </w:r>
          </w:p>
        </w:tc>
      </w:tr>
      <w:tr w:rsidR="002E149D" w:rsidRPr="00A4333E" w14:paraId="61E65AF2" w14:textId="77777777" w:rsidTr="00B938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noWrap/>
            <w:hideMark/>
          </w:tcPr>
          <w:p w14:paraId="4B9AC1E3" w14:textId="77777777" w:rsidR="002E149D" w:rsidRPr="00A4333E" w:rsidRDefault="002E149D" w:rsidP="00483E42">
            <w:pPr>
              <w:ind w:left="0" w:firstLine="0"/>
              <w:rPr>
                <w:rFonts w:asciiTheme="minorHAnsi" w:eastAsia="Times New Roman" w:hAnsiTheme="minorHAnsi" w:cstheme="minorHAnsi"/>
                <w:b w:val="0"/>
                <w:bCs w:val="0"/>
                <w:color w:val="000000"/>
                <w:sz w:val="20"/>
                <w:szCs w:val="20"/>
                <w:lang w:val="fr-FR" w:eastAsia="en-GB"/>
              </w:rPr>
            </w:pPr>
            <w:r w:rsidRPr="00A4333E">
              <w:rPr>
                <w:rFonts w:asciiTheme="minorHAnsi" w:eastAsia="Times New Roman" w:hAnsiTheme="minorHAnsi" w:cstheme="minorHAnsi"/>
                <w:b w:val="0"/>
                <w:bCs w:val="0"/>
                <w:color w:val="000000"/>
                <w:sz w:val="20"/>
                <w:szCs w:val="20"/>
                <w:lang w:val="fr-FR" w:eastAsia="en-GB"/>
              </w:rPr>
              <w:t>Macédoine du Nord</w:t>
            </w:r>
          </w:p>
        </w:tc>
        <w:tc>
          <w:tcPr>
            <w:tcW w:w="794" w:type="dxa"/>
            <w:vAlign w:val="center"/>
            <w:hideMark/>
          </w:tcPr>
          <w:p w14:paraId="0B0CF2D7"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9,000 </w:t>
            </w:r>
          </w:p>
        </w:tc>
        <w:tc>
          <w:tcPr>
            <w:tcW w:w="794" w:type="dxa"/>
            <w:vAlign w:val="center"/>
            <w:hideMark/>
          </w:tcPr>
          <w:p w14:paraId="0ACCDFA0"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1,000 </w:t>
            </w:r>
          </w:p>
        </w:tc>
        <w:tc>
          <w:tcPr>
            <w:tcW w:w="794" w:type="dxa"/>
            <w:vAlign w:val="center"/>
            <w:hideMark/>
          </w:tcPr>
          <w:p w14:paraId="70ABB578"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065DAD37"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52CACAC1"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48D13BA9"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1DEA8B4D"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9,000 </w:t>
            </w:r>
          </w:p>
        </w:tc>
        <w:tc>
          <w:tcPr>
            <w:tcW w:w="794" w:type="dxa"/>
            <w:vAlign w:val="center"/>
            <w:hideMark/>
          </w:tcPr>
          <w:p w14:paraId="49EED8B2"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1,000 </w:t>
            </w:r>
          </w:p>
        </w:tc>
        <w:tc>
          <w:tcPr>
            <w:tcW w:w="794" w:type="dxa"/>
            <w:vAlign w:val="center"/>
            <w:hideMark/>
          </w:tcPr>
          <w:p w14:paraId="6AFC08B1"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w:t>
            </w:r>
          </w:p>
        </w:tc>
      </w:tr>
      <w:tr w:rsidR="002E149D" w:rsidRPr="00A4333E" w14:paraId="3547D934" w14:textId="77777777" w:rsidTr="00B938BE">
        <w:tc>
          <w:tcPr>
            <w:cnfStyle w:val="001000000000" w:firstRow="0" w:lastRow="0" w:firstColumn="1" w:lastColumn="0" w:oddVBand="0" w:evenVBand="0" w:oddHBand="0" w:evenHBand="0" w:firstRowFirstColumn="0" w:firstRowLastColumn="0" w:lastRowFirstColumn="0" w:lastRowLastColumn="0"/>
            <w:tcW w:w="1838" w:type="dxa"/>
            <w:noWrap/>
            <w:hideMark/>
          </w:tcPr>
          <w:p w14:paraId="5D3BDE70" w14:textId="77777777" w:rsidR="002E149D" w:rsidRPr="00A4333E" w:rsidRDefault="002E149D" w:rsidP="00483E42">
            <w:pPr>
              <w:ind w:left="0" w:firstLine="0"/>
              <w:rPr>
                <w:rFonts w:asciiTheme="minorHAnsi" w:eastAsia="Times New Roman" w:hAnsiTheme="minorHAnsi" w:cstheme="minorHAnsi"/>
                <w:b w:val="0"/>
                <w:bCs w:val="0"/>
                <w:color w:val="000000"/>
                <w:sz w:val="20"/>
                <w:szCs w:val="20"/>
                <w:lang w:val="fr-FR" w:eastAsia="en-GB"/>
              </w:rPr>
            </w:pPr>
            <w:r w:rsidRPr="00A4333E">
              <w:rPr>
                <w:rFonts w:asciiTheme="minorHAnsi" w:eastAsia="Times New Roman" w:hAnsiTheme="minorHAnsi" w:cstheme="minorHAnsi"/>
                <w:b w:val="0"/>
                <w:bCs w:val="0"/>
                <w:color w:val="000000"/>
                <w:sz w:val="20"/>
                <w:szCs w:val="20"/>
                <w:lang w:val="fr-FR" w:eastAsia="en-GB"/>
              </w:rPr>
              <w:t>Madagascar</w:t>
            </w:r>
          </w:p>
        </w:tc>
        <w:tc>
          <w:tcPr>
            <w:tcW w:w="794" w:type="dxa"/>
            <w:vAlign w:val="center"/>
            <w:hideMark/>
          </w:tcPr>
          <w:p w14:paraId="5CD15770"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66143AFA"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1,000 </w:t>
            </w:r>
          </w:p>
        </w:tc>
        <w:tc>
          <w:tcPr>
            <w:tcW w:w="794" w:type="dxa"/>
            <w:vAlign w:val="center"/>
            <w:hideMark/>
          </w:tcPr>
          <w:p w14:paraId="31277A1D"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52847696"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3EC64058"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1,000 </w:t>
            </w:r>
          </w:p>
        </w:tc>
        <w:tc>
          <w:tcPr>
            <w:tcW w:w="794" w:type="dxa"/>
            <w:vAlign w:val="center"/>
            <w:hideMark/>
          </w:tcPr>
          <w:p w14:paraId="569F405E"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36752C2B"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482C352D"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w:t>
            </w:r>
          </w:p>
        </w:tc>
        <w:tc>
          <w:tcPr>
            <w:tcW w:w="794" w:type="dxa"/>
            <w:vAlign w:val="center"/>
            <w:hideMark/>
          </w:tcPr>
          <w:p w14:paraId="6300EB18"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w:t>
            </w:r>
          </w:p>
        </w:tc>
      </w:tr>
      <w:tr w:rsidR="002E149D" w:rsidRPr="00A4333E" w14:paraId="284D1A46" w14:textId="77777777" w:rsidTr="00B938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noWrap/>
            <w:hideMark/>
          </w:tcPr>
          <w:p w14:paraId="20645F6F" w14:textId="77777777" w:rsidR="002E149D" w:rsidRPr="00A4333E" w:rsidRDefault="002E149D" w:rsidP="00483E42">
            <w:pPr>
              <w:ind w:left="0" w:firstLine="0"/>
              <w:rPr>
                <w:rFonts w:asciiTheme="minorHAnsi" w:eastAsia="Times New Roman" w:hAnsiTheme="minorHAnsi" w:cstheme="minorHAnsi"/>
                <w:b w:val="0"/>
                <w:bCs w:val="0"/>
                <w:color w:val="000000"/>
                <w:sz w:val="20"/>
                <w:szCs w:val="20"/>
                <w:lang w:val="fr-FR" w:eastAsia="en-GB"/>
              </w:rPr>
            </w:pPr>
            <w:r w:rsidRPr="00A4333E">
              <w:rPr>
                <w:rFonts w:asciiTheme="minorHAnsi" w:eastAsia="Times New Roman" w:hAnsiTheme="minorHAnsi" w:cstheme="minorHAnsi"/>
                <w:b w:val="0"/>
                <w:bCs w:val="0"/>
                <w:color w:val="000000"/>
                <w:sz w:val="20"/>
                <w:szCs w:val="20"/>
                <w:lang w:val="fr-FR" w:eastAsia="en-GB"/>
              </w:rPr>
              <w:t>Malaisie</w:t>
            </w:r>
          </w:p>
        </w:tc>
        <w:tc>
          <w:tcPr>
            <w:tcW w:w="794" w:type="dxa"/>
            <w:vAlign w:val="center"/>
            <w:hideMark/>
          </w:tcPr>
          <w:p w14:paraId="45ADDA00"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39910013"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16,691 </w:t>
            </w:r>
          </w:p>
        </w:tc>
        <w:tc>
          <w:tcPr>
            <w:tcW w:w="794" w:type="dxa"/>
            <w:vAlign w:val="center"/>
            <w:hideMark/>
          </w:tcPr>
          <w:p w14:paraId="0ABCBD16"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05AEA2DA"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17AA3EF8"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16,691 </w:t>
            </w:r>
          </w:p>
        </w:tc>
        <w:tc>
          <w:tcPr>
            <w:tcW w:w="794" w:type="dxa"/>
            <w:vAlign w:val="center"/>
            <w:hideMark/>
          </w:tcPr>
          <w:p w14:paraId="793E654A"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69C0C6BC"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23950812"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w:t>
            </w:r>
          </w:p>
        </w:tc>
        <w:tc>
          <w:tcPr>
            <w:tcW w:w="794" w:type="dxa"/>
            <w:vAlign w:val="center"/>
            <w:hideMark/>
          </w:tcPr>
          <w:p w14:paraId="276351FD"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w:t>
            </w:r>
          </w:p>
        </w:tc>
      </w:tr>
      <w:tr w:rsidR="002E149D" w:rsidRPr="00A4333E" w14:paraId="4C0ED3EB" w14:textId="77777777" w:rsidTr="00B938BE">
        <w:tc>
          <w:tcPr>
            <w:cnfStyle w:val="001000000000" w:firstRow="0" w:lastRow="0" w:firstColumn="1" w:lastColumn="0" w:oddVBand="0" w:evenVBand="0" w:oddHBand="0" w:evenHBand="0" w:firstRowFirstColumn="0" w:firstRowLastColumn="0" w:lastRowFirstColumn="0" w:lastRowLastColumn="0"/>
            <w:tcW w:w="1838" w:type="dxa"/>
            <w:noWrap/>
            <w:hideMark/>
          </w:tcPr>
          <w:p w14:paraId="30F5AE39" w14:textId="77777777" w:rsidR="002E149D" w:rsidRPr="00A4333E" w:rsidRDefault="002E149D" w:rsidP="00483E42">
            <w:pPr>
              <w:ind w:left="0" w:firstLine="0"/>
              <w:rPr>
                <w:rFonts w:asciiTheme="minorHAnsi" w:eastAsia="Times New Roman" w:hAnsiTheme="minorHAnsi" w:cstheme="minorHAnsi"/>
                <w:b w:val="0"/>
                <w:bCs w:val="0"/>
                <w:color w:val="000000"/>
                <w:sz w:val="20"/>
                <w:szCs w:val="20"/>
                <w:lang w:val="fr-FR" w:eastAsia="en-GB"/>
              </w:rPr>
            </w:pPr>
            <w:r w:rsidRPr="00A4333E">
              <w:rPr>
                <w:rFonts w:asciiTheme="minorHAnsi" w:eastAsia="Times New Roman" w:hAnsiTheme="minorHAnsi" w:cstheme="minorHAnsi"/>
                <w:b w:val="0"/>
                <w:bCs w:val="0"/>
                <w:color w:val="000000"/>
                <w:sz w:val="20"/>
                <w:szCs w:val="20"/>
                <w:lang w:val="fr-FR" w:eastAsia="en-GB"/>
              </w:rPr>
              <w:t>Malawi</w:t>
            </w:r>
          </w:p>
        </w:tc>
        <w:tc>
          <w:tcPr>
            <w:tcW w:w="794" w:type="dxa"/>
            <w:vAlign w:val="center"/>
            <w:hideMark/>
          </w:tcPr>
          <w:p w14:paraId="5C297C6C"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4,000 </w:t>
            </w:r>
          </w:p>
        </w:tc>
        <w:tc>
          <w:tcPr>
            <w:tcW w:w="794" w:type="dxa"/>
            <w:vAlign w:val="center"/>
            <w:hideMark/>
          </w:tcPr>
          <w:p w14:paraId="3E973285"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1,000 </w:t>
            </w:r>
          </w:p>
        </w:tc>
        <w:tc>
          <w:tcPr>
            <w:tcW w:w="794" w:type="dxa"/>
            <w:vAlign w:val="center"/>
            <w:hideMark/>
          </w:tcPr>
          <w:p w14:paraId="4979F8C0"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6748AED2"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6A679CA8"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23F1C83A"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0D9B21D4"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4,000 </w:t>
            </w:r>
          </w:p>
        </w:tc>
        <w:tc>
          <w:tcPr>
            <w:tcW w:w="794" w:type="dxa"/>
            <w:vAlign w:val="center"/>
            <w:hideMark/>
          </w:tcPr>
          <w:p w14:paraId="136D83CE"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1,000 </w:t>
            </w:r>
          </w:p>
        </w:tc>
        <w:tc>
          <w:tcPr>
            <w:tcW w:w="794" w:type="dxa"/>
            <w:vAlign w:val="center"/>
            <w:hideMark/>
          </w:tcPr>
          <w:p w14:paraId="6B663BBE"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w:t>
            </w:r>
          </w:p>
        </w:tc>
      </w:tr>
      <w:tr w:rsidR="002E149D" w:rsidRPr="00A4333E" w14:paraId="20DC085A" w14:textId="77777777" w:rsidTr="00B938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noWrap/>
            <w:hideMark/>
          </w:tcPr>
          <w:p w14:paraId="6FE4CDC9" w14:textId="77777777" w:rsidR="002E149D" w:rsidRPr="00A4333E" w:rsidRDefault="002E149D" w:rsidP="00483E42">
            <w:pPr>
              <w:ind w:left="0" w:firstLine="0"/>
              <w:rPr>
                <w:rFonts w:asciiTheme="minorHAnsi" w:eastAsia="Times New Roman" w:hAnsiTheme="minorHAnsi" w:cstheme="minorHAnsi"/>
                <w:b w:val="0"/>
                <w:bCs w:val="0"/>
                <w:color w:val="000000"/>
                <w:sz w:val="20"/>
                <w:szCs w:val="20"/>
                <w:lang w:val="fr-FR" w:eastAsia="en-GB"/>
              </w:rPr>
            </w:pPr>
            <w:r w:rsidRPr="00A4333E">
              <w:rPr>
                <w:rFonts w:asciiTheme="minorHAnsi" w:eastAsia="Times New Roman" w:hAnsiTheme="minorHAnsi" w:cstheme="minorHAnsi"/>
                <w:b w:val="0"/>
                <w:bCs w:val="0"/>
                <w:color w:val="000000"/>
                <w:sz w:val="20"/>
                <w:szCs w:val="20"/>
                <w:lang w:val="fr-FR" w:eastAsia="en-GB"/>
              </w:rPr>
              <w:t>Mali</w:t>
            </w:r>
          </w:p>
        </w:tc>
        <w:tc>
          <w:tcPr>
            <w:tcW w:w="794" w:type="dxa"/>
            <w:vAlign w:val="center"/>
            <w:hideMark/>
          </w:tcPr>
          <w:p w14:paraId="37B79C0B"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19EA2DF0"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1,000 </w:t>
            </w:r>
          </w:p>
        </w:tc>
        <w:tc>
          <w:tcPr>
            <w:tcW w:w="794" w:type="dxa"/>
            <w:vAlign w:val="center"/>
            <w:hideMark/>
          </w:tcPr>
          <w:p w14:paraId="47F0FECB"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4,055 </w:t>
            </w:r>
          </w:p>
        </w:tc>
        <w:tc>
          <w:tcPr>
            <w:tcW w:w="794" w:type="dxa"/>
            <w:vAlign w:val="center"/>
            <w:hideMark/>
          </w:tcPr>
          <w:p w14:paraId="036B8AD7"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4FBA0C75"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1,005 </w:t>
            </w:r>
          </w:p>
        </w:tc>
        <w:tc>
          <w:tcPr>
            <w:tcW w:w="794" w:type="dxa"/>
            <w:vAlign w:val="center"/>
            <w:hideMark/>
          </w:tcPr>
          <w:p w14:paraId="2F7CC0BE"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5FFB0380"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3BC23478"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w:t>
            </w:r>
          </w:p>
        </w:tc>
        <w:tc>
          <w:tcPr>
            <w:tcW w:w="794" w:type="dxa"/>
            <w:vAlign w:val="center"/>
            <w:hideMark/>
          </w:tcPr>
          <w:p w14:paraId="2463B9CF"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4,060 </w:t>
            </w:r>
          </w:p>
        </w:tc>
      </w:tr>
      <w:tr w:rsidR="002E149D" w:rsidRPr="00A4333E" w14:paraId="3EE5865B" w14:textId="77777777" w:rsidTr="00B938BE">
        <w:tc>
          <w:tcPr>
            <w:cnfStyle w:val="001000000000" w:firstRow="0" w:lastRow="0" w:firstColumn="1" w:lastColumn="0" w:oddVBand="0" w:evenVBand="0" w:oddHBand="0" w:evenHBand="0" w:firstRowFirstColumn="0" w:firstRowLastColumn="0" w:lastRowFirstColumn="0" w:lastRowLastColumn="0"/>
            <w:tcW w:w="1838" w:type="dxa"/>
            <w:noWrap/>
            <w:hideMark/>
          </w:tcPr>
          <w:p w14:paraId="3439297B" w14:textId="77777777" w:rsidR="002E149D" w:rsidRPr="00A4333E" w:rsidRDefault="002E149D" w:rsidP="00483E42">
            <w:pPr>
              <w:ind w:left="0" w:firstLine="0"/>
              <w:rPr>
                <w:rFonts w:asciiTheme="minorHAnsi" w:eastAsia="Times New Roman" w:hAnsiTheme="minorHAnsi" w:cstheme="minorHAnsi"/>
                <w:b w:val="0"/>
                <w:bCs w:val="0"/>
                <w:color w:val="000000"/>
                <w:sz w:val="20"/>
                <w:szCs w:val="20"/>
                <w:lang w:val="fr-FR" w:eastAsia="en-GB"/>
              </w:rPr>
            </w:pPr>
            <w:r w:rsidRPr="00A4333E">
              <w:rPr>
                <w:rFonts w:asciiTheme="minorHAnsi" w:eastAsia="Times New Roman" w:hAnsiTheme="minorHAnsi" w:cstheme="minorHAnsi"/>
                <w:b w:val="0"/>
                <w:bCs w:val="0"/>
                <w:color w:val="000000"/>
                <w:sz w:val="20"/>
                <w:szCs w:val="20"/>
                <w:lang w:val="fr-FR" w:eastAsia="en-GB"/>
              </w:rPr>
              <w:t>Malte</w:t>
            </w:r>
          </w:p>
        </w:tc>
        <w:tc>
          <w:tcPr>
            <w:tcW w:w="794" w:type="dxa"/>
            <w:vAlign w:val="center"/>
            <w:hideMark/>
          </w:tcPr>
          <w:p w14:paraId="0FF923C9"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63DE9029"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1,000 </w:t>
            </w:r>
          </w:p>
        </w:tc>
        <w:tc>
          <w:tcPr>
            <w:tcW w:w="794" w:type="dxa"/>
            <w:vAlign w:val="center"/>
            <w:hideMark/>
          </w:tcPr>
          <w:p w14:paraId="6C4D734C"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724D14DB"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12260548"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1,000 </w:t>
            </w:r>
          </w:p>
        </w:tc>
        <w:tc>
          <w:tcPr>
            <w:tcW w:w="794" w:type="dxa"/>
            <w:vAlign w:val="center"/>
            <w:hideMark/>
          </w:tcPr>
          <w:p w14:paraId="57A5480A"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7AC979E7"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1E567DB1"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w:t>
            </w:r>
          </w:p>
        </w:tc>
        <w:tc>
          <w:tcPr>
            <w:tcW w:w="794" w:type="dxa"/>
            <w:vAlign w:val="center"/>
            <w:hideMark/>
          </w:tcPr>
          <w:p w14:paraId="7720C2FE"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w:t>
            </w:r>
          </w:p>
        </w:tc>
      </w:tr>
      <w:tr w:rsidR="002E149D" w:rsidRPr="00A4333E" w14:paraId="38810CAF" w14:textId="77777777" w:rsidTr="00B938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noWrap/>
            <w:hideMark/>
          </w:tcPr>
          <w:p w14:paraId="0660231C" w14:textId="77777777" w:rsidR="002E149D" w:rsidRPr="00A4333E" w:rsidRDefault="002E149D" w:rsidP="00483E42">
            <w:pPr>
              <w:ind w:left="0" w:firstLine="0"/>
              <w:rPr>
                <w:rFonts w:asciiTheme="minorHAnsi" w:eastAsia="Times New Roman" w:hAnsiTheme="minorHAnsi" w:cstheme="minorHAnsi"/>
                <w:b w:val="0"/>
                <w:bCs w:val="0"/>
                <w:color w:val="000000"/>
                <w:sz w:val="20"/>
                <w:szCs w:val="20"/>
                <w:lang w:val="fr-FR" w:eastAsia="en-GB"/>
              </w:rPr>
            </w:pPr>
            <w:r w:rsidRPr="00A4333E">
              <w:rPr>
                <w:rFonts w:asciiTheme="minorHAnsi" w:eastAsia="Times New Roman" w:hAnsiTheme="minorHAnsi" w:cstheme="minorHAnsi"/>
                <w:b w:val="0"/>
                <w:bCs w:val="0"/>
                <w:color w:val="000000"/>
                <w:sz w:val="20"/>
                <w:szCs w:val="20"/>
                <w:lang w:val="fr-FR" w:eastAsia="en-GB"/>
              </w:rPr>
              <w:t>Maroc</w:t>
            </w:r>
          </w:p>
        </w:tc>
        <w:tc>
          <w:tcPr>
            <w:tcW w:w="794" w:type="dxa"/>
            <w:vAlign w:val="center"/>
            <w:hideMark/>
          </w:tcPr>
          <w:p w14:paraId="312F98AD"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5,385 </w:t>
            </w:r>
          </w:p>
        </w:tc>
        <w:tc>
          <w:tcPr>
            <w:tcW w:w="794" w:type="dxa"/>
            <w:vAlign w:val="center"/>
            <w:hideMark/>
          </w:tcPr>
          <w:p w14:paraId="0A0104D6"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2,692 </w:t>
            </w:r>
          </w:p>
        </w:tc>
        <w:tc>
          <w:tcPr>
            <w:tcW w:w="794" w:type="dxa"/>
            <w:vAlign w:val="center"/>
            <w:hideMark/>
          </w:tcPr>
          <w:p w14:paraId="64232D01"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34826019"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5,385 </w:t>
            </w:r>
          </w:p>
        </w:tc>
        <w:tc>
          <w:tcPr>
            <w:tcW w:w="794" w:type="dxa"/>
            <w:vAlign w:val="center"/>
            <w:hideMark/>
          </w:tcPr>
          <w:p w14:paraId="08AD65AB"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7F2208A4"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57B26C45"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72F07419"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2,692 </w:t>
            </w:r>
          </w:p>
        </w:tc>
        <w:tc>
          <w:tcPr>
            <w:tcW w:w="794" w:type="dxa"/>
            <w:vAlign w:val="center"/>
            <w:hideMark/>
          </w:tcPr>
          <w:p w14:paraId="0DA2C58B"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w:t>
            </w:r>
          </w:p>
        </w:tc>
      </w:tr>
      <w:tr w:rsidR="002E149D" w:rsidRPr="00A4333E" w14:paraId="3DB40276" w14:textId="77777777" w:rsidTr="00B938BE">
        <w:tc>
          <w:tcPr>
            <w:cnfStyle w:val="001000000000" w:firstRow="0" w:lastRow="0" w:firstColumn="1" w:lastColumn="0" w:oddVBand="0" w:evenVBand="0" w:oddHBand="0" w:evenHBand="0" w:firstRowFirstColumn="0" w:firstRowLastColumn="0" w:lastRowFirstColumn="0" w:lastRowLastColumn="0"/>
            <w:tcW w:w="1838" w:type="dxa"/>
            <w:noWrap/>
            <w:hideMark/>
          </w:tcPr>
          <w:p w14:paraId="49D06F57" w14:textId="77777777" w:rsidR="002E149D" w:rsidRPr="00A4333E" w:rsidRDefault="002E149D" w:rsidP="00483E42">
            <w:pPr>
              <w:ind w:left="0" w:firstLine="0"/>
              <w:rPr>
                <w:rFonts w:asciiTheme="minorHAnsi" w:eastAsia="Times New Roman" w:hAnsiTheme="minorHAnsi" w:cstheme="minorHAnsi"/>
                <w:b w:val="0"/>
                <w:bCs w:val="0"/>
                <w:color w:val="000000"/>
                <w:sz w:val="20"/>
                <w:szCs w:val="20"/>
                <w:lang w:val="fr-FR" w:eastAsia="en-GB"/>
              </w:rPr>
            </w:pPr>
            <w:r w:rsidRPr="00A4333E">
              <w:rPr>
                <w:rFonts w:asciiTheme="minorHAnsi" w:eastAsia="Times New Roman" w:hAnsiTheme="minorHAnsi" w:cstheme="minorHAnsi"/>
                <w:b w:val="0"/>
                <w:bCs w:val="0"/>
                <w:color w:val="000000"/>
                <w:sz w:val="20"/>
                <w:szCs w:val="20"/>
                <w:lang w:val="fr-FR" w:eastAsia="en-GB"/>
              </w:rPr>
              <w:t>Maurice</w:t>
            </w:r>
          </w:p>
        </w:tc>
        <w:tc>
          <w:tcPr>
            <w:tcW w:w="794" w:type="dxa"/>
            <w:vAlign w:val="center"/>
            <w:hideMark/>
          </w:tcPr>
          <w:p w14:paraId="5C4C274F"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1,000 </w:t>
            </w:r>
          </w:p>
        </w:tc>
        <w:tc>
          <w:tcPr>
            <w:tcW w:w="794" w:type="dxa"/>
            <w:vAlign w:val="center"/>
            <w:hideMark/>
          </w:tcPr>
          <w:p w14:paraId="708CDF35"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1,000 </w:t>
            </w:r>
          </w:p>
        </w:tc>
        <w:tc>
          <w:tcPr>
            <w:tcW w:w="794" w:type="dxa"/>
            <w:vAlign w:val="center"/>
            <w:hideMark/>
          </w:tcPr>
          <w:p w14:paraId="675BE877"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4BF212F1"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1,000 </w:t>
            </w:r>
          </w:p>
        </w:tc>
        <w:tc>
          <w:tcPr>
            <w:tcW w:w="794" w:type="dxa"/>
            <w:vAlign w:val="center"/>
            <w:hideMark/>
          </w:tcPr>
          <w:p w14:paraId="20CD8F1B"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1,000 </w:t>
            </w:r>
          </w:p>
        </w:tc>
        <w:tc>
          <w:tcPr>
            <w:tcW w:w="794" w:type="dxa"/>
            <w:vAlign w:val="center"/>
            <w:hideMark/>
          </w:tcPr>
          <w:p w14:paraId="08F7B356"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21A7AA62"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384037A9"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w:t>
            </w:r>
          </w:p>
        </w:tc>
        <w:tc>
          <w:tcPr>
            <w:tcW w:w="794" w:type="dxa"/>
            <w:vAlign w:val="center"/>
            <w:hideMark/>
          </w:tcPr>
          <w:p w14:paraId="12A421DE"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w:t>
            </w:r>
          </w:p>
        </w:tc>
      </w:tr>
      <w:tr w:rsidR="002E149D" w:rsidRPr="00A4333E" w14:paraId="43C06B9B" w14:textId="77777777" w:rsidTr="00B938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noWrap/>
            <w:hideMark/>
          </w:tcPr>
          <w:p w14:paraId="3DCF4747" w14:textId="77777777" w:rsidR="002E149D" w:rsidRPr="00A4333E" w:rsidRDefault="002E149D" w:rsidP="00483E42">
            <w:pPr>
              <w:ind w:left="0" w:firstLine="0"/>
              <w:rPr>
                <w:rFonts w:asciiTheme="minorHAnsi" w:eastAsia="Times New Roman" w:hAnsiTheme="minorHAnsi" w:cstheme="minorHAnsi"/>
                <w:b w:val="0"/>
                <w:bCs w:val="0"/>
                <w:color w:val="000000"/>
                <w:sz w:val="20"/>
                <w:szCs w:val="20"/>
                <w:lang w:val="fr-FR" w:eastAsia="en-GB"/>
              </w:rPr>
            </w:pPr>
            <w:r w:rsidRPr="00A4333E">
              <w:rPr>
                <w:rFonts w:asciiTheme="minorHAnsi" w:eastAsia="Times New Roman" w:hAnsiTheme="minorHAnsi" w:cstheme="minorHAnsi"/>
                <w:b w:val="0"/>
                <w:bCs w:val="0"/>
                <w:color w:val="000000"/>
                <w:sz w:val="20"/>
                <w:szCs w:val="20"/>
                <w:lang w:val="fr-FR" w:eastAsia="en-GB"/>
              </w:rPr>
              <w:t>Mauritanie</w:t>
            </w:r>
          </w:p>
        </w:tc>
        <w:tc>
          <w:tcPr>
            <w:tcW w:w="794" w:type="dxa"/>
            <w:vAlign w:val="center"/>
            <w:hideMark/>
          </w:tcPr>
          <w:p w14:paraId="53EE4389"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76A1C951"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1,000 </w:t>
            </w:r>
          </w:p>
        </w:tc>
        <w:tc>
          <w:tcPr>
            <w:tcW w:w="794" w:type="dxa"/>
            <w:vAlign w:val="center"/>
            <w:hideMark/>
          </w:tcPr>
          <w:p w14:paraId="37B50D81"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1,000 </w:t>
            </w:r>
          </w:p>
        </w:tc>
        <w:tc>
          <w:tcPr>
            <w:tcW w:w="794" w:type="dxa"/>
            <w:vAlign w:val="center"/>
            <w:hideMark/>
          </w:tcPr>
          <w:p w14:paraId="37D3E90D"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57A073BC"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4184CF3C"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1F0F05C5"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1E5D094C"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w:t>
            </w:r>
          </w:p>
        </w:tc>
        <w:tc>
          <w:tcPr>
            <w:tcW w:w="794" w:type="dxa"/>
            <w:vAlign w:val="center"/>
            <w:hideMark/>
          </w:tcPr>
          <w:p w14:paraId="723A5AF5"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w:t>
            </w:r>
          </w:p>
        </w:tc>
      </w:tr>
      <w:tr w:rsidR="002E149D" w:rsidRPr="00A4333E" w14:paraId="624C4471" w14:textId="77777777" w:rsidTr="00B938BE">
        <w:tc>
          <w:tcPr>
            <w:cnfStyle w:val="001000000000" w:firstRow="0" w:lastRow="0" w:firstColumn="1" w:lastColumn="0" w:oddVBand="0" w:evenVBand="0" w:oddHBand="0" w:evenHBand="0" w:firstRowFirstColumn="0" w:firstRowLastColumn="0" w:lastRowFirstColumn="0" w:lastRowLastColumn="0"/>
            <w:tcW w:w="1838" w:type="dxa"/>
            <w:noWrap/>
            <w:hideMark/>
          </w:tcPr>
          <w:p w14:paraId="47ECE3DD" w14:textId="77777777" w:rsidR="002E149D" w:rsidRPr="00A4333E" w:rsidRDefault="002E149D" w:rsidP="00483E42">
            <w:pPr>
              <w:ind w:left="0" w:firstLine="0"/>
              <w:rPr>
                <w:rFonts w:asciiTheme="minorHAnsi" w:eastAsia="Times New Roman" w:hAnsiTheme="minorHAnsi" w:cstheme="minorHAnsi"/>
                <w:b w:val="0"/>
                <w:bCs w:val="0"/>
                <w:color w:val="000000"/>
                <w:sz w:val="20"/>
                <w:szCs w:val="20"/>
                <w:lang w:val="fr-FR" w:eastAsia="en-GB"/>
              </w:rPr>
            </w:pPr>
            <w:r w:rsidRPr="00A4333E">
              <w:rPr>
                <w:rFonts w:asciiTheme="minorHAnsi" w:eastAsia="Times New Roman" w:hAnsiTheme="minorHAnsi" w:cstheme="minorHAnsi"/>
                <w:b w:val="0"/>
                <w:bCs w:val="0"/>
                <w:color w:val="000000"/>
                <w:sz w:val="20"/>
                <w:szCs w:val="20"/>
                <w:lang w:val="fr-FR" w:eastAsia="en-GB"/>
              </w:rPr>
              <w:t>Mexique</w:t>
            </w:r>
          </w:p>
        </w:tc>
        <w:tc>
          <w:tcPr>
            <w:tcW w:w="794" w:type="dxa"/>
            <w:vAlign w:val="center"/>
            <w:hideMark/>
          </w:tcPr>
          <w:p w14:paraId="65EE64DB"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05A02205"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63,238 </w:t>
            </w:r>
          </w:p>
        </w:tc>
        <w:tc>
          <w:tcPr>
            <w:tcW w:w="794" w:type="dxa"/>
            <w:vAlign w:val="center"/>
            <w:hideMark/>
          </w:tcPr>
          <w:p w14:paraId="6B45C1FA"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6E2F7B72"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2E9FA659"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63,238 </w:t>
            </w:r>
          </w:p>
        </w:tc>
        <w:tc>
          <w:tcPr>
            <w:tcW w:w="794" w:type="dxa"/>
            <w:vAlign w:val="center"/>
            <w:hideMark/>
          </w:tcPr>
          <w:p w14:paraId="3DBD6765"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263456F9"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40F95AA9"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w:t>
            </w:r>
          </w:p>
        </w:tc>
        <w:tc>
          <w:tcPr>
            <w:tcW w:w="794" w:type="dxa"/>
            <w:vAlign w:val="center"/>
            <w:hideMark/>
          </w:tcPr>
          <w:p w14:paraId="3917D4D2"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w:t>
            </w:r>
          </w:p>
        </w:tc>
      </w:tr>
      <w:tr w:rsidR="002E149D" w:rsidRPr="00A4333E" w14:paraId="0635B240" w14:textId="77777777" w:rsidTr="00B938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noWrap/>
            <w:hideMark/>
          </w:tcPr>
          <w:p w14:paraId="22EAA02F" w14:textId="77777777" w:rsidR="002E149D" w:rsidRPr="00A4333E" w:rsidRDefault="002E149D" w:rsidP="00483E42">
            <w:pPr>
              <w:ind w:left="0" w:firstLine="0"/>
              <w:rPr>
                <w:rFonts w:asciiTheme="minorHAnsi" w:eastAsia="Times New Roman" w:hAnsiTheme="minorHAnsi" w:cstheme="minorHAnsi"/>
                <w:b w:val="0"/>
                <w:bCs w:val="0"/>
                <w:color w:val="000000"/>
                <w:sz w:val="20"/>
                <w:szCs w:val="20"/>
                <w:lang w:val="fr-FR" w:eastAsia="en-GB"/>
              </w:rPr>
            </w:pPr>
            <w:r w:rsidRPr="00A4333E">
              <w:rPr>
                <w:rFonts w:asciiTheme="minorHAnsi" w:eastAsia="Times New Roman" w:hAnsiTheme="minorHAnsi" w:cstheme="minorHAnsi"/>
                <w:b w:val="0"/>
                <w:bCs w:val="0"/>
                <w:color w:val="000000"/>
                <w:sz w:val="20"/>
                <w:szCs w:val="20"/>
                <w:lang w:val="fr-FR" w:eastAsia="en-GB"/>
              </w:rPr>
              <w:t>Monaco</w:t>
            </w:r>
          </w:p>
        </w:tc>
        <w:tc>
          <w:tcPr>
            <w:tcW w:w="794" w:type="dxa"/>
            <w:vAlign w:val="center"/>
            <w:hideMark/>
          </w:tcPr>
          <w:p w14:paraId="1E0FEB97"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63CDC264"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1,000 </w:t>
            </w:r>
          </w:p>
        </w:tc>
        <w:tc>
          <w:tcPr>
            <w:tcW w:w="794" w:type="dxa"/>
            <w:vAlign w:val="center"/>
            <w:hideMark/>
          </w:tcPr>
          <w:p w14:paraId="67A75B8E"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1A703FA3"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5F461D04"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1,000 </w:t>
            </w:r>
          </w:p>
        </w:tc>
        <w:tc>
          <w:tcPr>
            <w:tcW w:w="794" w:type="dxa"/>
            <w:vAlign w:val="center"/>
            <w:hideMark/>
          </w:tcPr>
          <w:p w14:paraId="1FD40343"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238DEEE5"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17127A98"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w:t>
            </w:r>
          </w:p>
        </w:tc>
        <w:tc>
          <w:tcPr>
            <w:tcW w:w="794" w:type="dxa"/>
            <w:vAlign w:val="center"/>
            <w:hideMark/>
          </w:tcPr>
          <w:p w14:paraId="3AF5E3EC"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w:t>
            </w:r>
          </w:p>
        </w:tc>
      </w:tr>
      <w:tr w:rsidR="002E149D" w:rsidRPr="00A4333E" w14:paraId="094DDB0E" w14:textId="77777777" w:rsidTr="00B938BE">
        <w:tc>
          <w:tcPr>
            <w:cnfStyle w:val="001000000000" w:firstRow="0" w:lastRow="0" w:firstColumn="1" w:lastColumn="0" w:oddVBand="0" w:evenVBand="0" w:oddHBand="0" w:evenHBand="0" w:firstRowFirstColumn="0" w:firstRowLastColumn="0" w:lastRowFirstColumn="0" w:lastRowLastColumn="0"/>
            <w:tcW w:w="1838" w:type="dxa"/>
            <w:noWrap/>
            <w:hideMark/>
          </w:tcPr>
          <w:p w14:paraId="5503E8BC" w14:textId="77777777" w:rsidR="002E149D" w:rsidRPr="00A4333E" w:rsidRDefault="002E149D" w:rsidP="00483E42">
            <w:pPr>
              <w:ind w:left="0" w:firstLine="0"/>
              <w:rPr>
                <w:rFonts w:asciiTheme="minorHAnsi" w:eastAsia="Times New Roman" w:hAnsiTheme="minorHAnsi" w:cstheme="minorHAnsi"/>
                <w:b w:val="0"/>
                <w:bCs w:val="0"/>
                <w:color w:val="000000"/>
                <w:sz w:val="20"/>
                <w:szCs w:val="20"/>
                <w:lang w:val="fr-FR" w:eastAsia="en-GB"/>
              </w:rPr>
            </w:pPr>
            <w:r w:rsidRPr="00A4333E">
              <w:rPr>
                <w:rFonts w:asciiTheme="minorHAnsi" w:eastAsia="Times New Roman" w:hAnsiTheme="minorHAnsi" w:cstheme="minorHAnsi"/>
                <w:b w:val="0"/>
                <w:bCs w:val="0"/>
                <w:color w:val="000000"/>
                <w:sz w:val="20"/>
                <w:szCs w:val="20"/>
                <w:lang w:val="fr-FR" w:eastAsia="en-GB"/>
              </w:rPr>
              <w:t>Mongolie</w:t>
            </w:r>
          </w:p>
        </w:tc>
        <w:tc>
          <w:tcPr>
            <w:tcW w:w="794" w:type="dxa"/>
            <w:vAlign w:val="center"/>
            <w:hideMark/>
          </w:tcPr>
          <w:p w14:paraId="120469F0"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1,000 </w:t>
            </w:r>
          </w:p>
        </w:tc>
        <w:tc>
          <w:tcPr>
            <w:tcW w:w="794" w:type="dxa"/>
            <w:vAlign w:val="center"/>
            <w:hideMark/>
          </w:tcPr>
          <w:p w14:paraId="4E60D668"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1,000 </w:t>
            </w:r>
          </w:p>
        </w:tc>
        <w:tc>
          <w:tcPr>
            <w:tcW w:w="794" w:type="dxa"/>
            <w:vAlign w:val="center"/>
            <w:hideMark/>
          </w:tcPr>
          <w:p w14:paraId="740E32CA"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5FBF5582"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4A404C3E"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1FB9D592"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3742FCDC"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1,000 </w:t>
            </w:r>
          </w:p>
        </w:tc>
        <w:tc>
          <w:tcPr>
            <w:tcW w:w="794" w:type="dxa"/>
            <w:vAlign w:val="center"/>
            <w:hideMark/>
          </w:tcPr>
          <w:p w14:paraId="1FEB4DF4"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1,000 </w:t>
            </w:r>
          </w:p>
        </w:tc>
        <w:tc>
          <w:tcPr>
            <w:tcW w:w="794" w:type="dxa"/>
            <w:vAlign w:val="center"/>
            <w:hideMark/>
          </w:tcPr>
          <w:p w14:paraId="211A4ECD"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w:t>
            </w:r>
          </w:p>
        </w:tc>
      </w:tr>
      <w:tr w:rsidR="002E149D" w:rsidRPr="00A4333E" w14:paraId="73E4DDC1" w14:textId="77777777" w:rsidTr="00B938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noWrap/>
            <w:hideMark/>
          </w:tcPr>
          <w:p w14:paraId="0AD94DA1" w14:textId="77777777" w:rsidR="002E149D" w:rsidRPr="00A4333E" w:rsidRDefault="002E149D" w:rsidP="00483E42">
            <w:pPr>
              <w:ind w:left="0" w:firstLine="0"/>
              <w:rPr>
                <w:rFonts w:asciiTheme="minorHAnsi" w:eastAsia="Times New Roman" w:hAnsiTheme="minorHAnsi" w:cstheme="minorHAnsi"/>
                <w:b w:val="0"/>
                <w:bCs w:val="0"/>
                <w:color w:val="000000"/>
                <w:sz w:val="20"/>
                <w:szCs w:val="20"/>
                <w:lang w:val="fr-FR" w:eastAsia="en-GB"/>
              </w:rPr>
            </w:pPr>
            <w:r w:rsidRPr="00A4333E">
              <w:rPr>
                <w:rFonts w:asciiTheme="minorHAnsi" w:eastAsia="Times New Roman" w:hAnsiTheme="minorHAnsi" w:cstheme="minorHAnsi"/>
                <w:b w:val="0"/>
                <w:bCs w:val="0"/>
                <w:color w:val="000000"/>
                <w:sz w:val="20"/>
                <w:szCs w:val="20"/>
                <w:lang w:val="fr-FR" w:eastAsia="en-GB"/>
              </w:rPr>
              <w:t>Monténégro</w:t>
            </w:r>
          </w:p>
        </w:tc>
        <w:tc>
          <w:tcPr>
            <w:tcW w:w="794" w:type="dxa"/>
            <w:vAlign w:val="center"/>
            <w:hideMark/>
          </w:tcPr>
          <w:p w14:paraId="4D83CD0A"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545DD146"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1,000 </w:t>
            </w:r>
          </w:p>
        </w:tc>
        <w:tc>
          <w:tcPr>
            <w:tcW w:w="794" w:type="dxa"/>
            <w:vAlign w:val="center"/>
            <w:hideMark/>
          </w:tcPr>
          <w:p w14:paraId="2E323FB3"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58C284A0"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3966DCB8"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1,000 </w:t>
            </w:r>
          </w:p>
        </w:tc>
        <w:tc>
          <w:tcPr>
            <w:tcW w:w="794" w:type="dxa"/>
            <w:vAlign w:val="center"/>
            <w:hideMark/>
          </w:tcPr>
          <w:p w14:paraId="3A2E5C94"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1FA27C86"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378FE397"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w:t>
            </w:r>
          </w:p>
        </w:tc>
        <w:tc>
          <w:tcPr>
            <w:tcW w:w="794" w:type="dxa"/>
            <w:vAlign w:val="center"/>
            <w:hideMark/>
          </w:tcPr>
          <w:p w14:paraId="261AF990"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w:t>
            </w:r>
          </w:p>
        </w:tc>
      </w:tr>
      <w:tr w:rsidR="002E149D" w:rsidRPr="00A4333E" w14:paraId="19567794" w14:textId="77777777" w:rsidTr="00B938BE">
        <w:tc>
          <w:tcPr>
            <w:cnfStyle w:val="001000000000" w:firstRow="0" w:lastRow="0" w:firstColumn="1" w:lastColumn="0" w:oddVBand="0" w:evenVBand="0" w:oddHBand="0" w:evenHBand="0" w:firstRowFirstColumn="0" w:firstRowLastColumn="0" w:lastRowFirstColumn="0" w:lastRowLastColumn="0"/>
            <w:tcW w:w="1838" w:type="dxa"/>
            <w:noWrap/>
            <w:hideMark/>
          </w:tcPr>
          <w:p w14:paraId="2E1C2A27" w14:textId="77777777" w:rsidR="002E149D" w:rsidRPr="00A4333E" w:rsidRDefault="002E149D" w:rsidP="00483E42">
            <w:pPr>
              <w:ind w:left="0" w:firstLine="0"/>
              <w:rPr>
                <w:rFonts w:asciiTheme="minorHAnsi" w:eastAsia="Times New Roman" w:hAnsiTheme="minorHAnsi" w:cstheme="minorHAnsi"/>
                <w:b w:val="0"/>
                <w:bCs w:val="0"/>
                <w:color w:val="000000"/>
                <w:sz w:val="20"/>
                <w:szCs w:val="20"/>
                <w:lang w:val="fr-FR" w:eastAsia="en-GB"/>
              </w:rPr>
            </w:pPr>
            <w:r w:rsidRPr="00A4333E">
              <w:rPr>
                <w:rFonts w:asciiTheme="minorHAnsi" w:eastAsia="Times New Roman" w:hAnsiTheme="minorHAnsi" w:cstheme="minorHAnsi"/>
                <w:b w:val="0"/>
                <w:bCs w:val="0"/>
                <w:color w:val="000000"/>
                <w:sz w:val="20"/>
                <w:szCs w:val="20"/>
                <w:lang w:val="fr-FR" w:eastAsia="en-GB"/>
              </w:rPr>
              <w:t>Mozambique</w:t>
            </w:r>
          </w:p>
        </w:tc>
        <w:tc>
          <w:tcPr>
            <w:tcW w:w="794" w:type="dxa"/>
            <w:vAlign w:val="center"/>
            <w:hideMark/>
          </w:tcPr>
          <w:p w14:paraId="0989E985"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4,000 </w:t>
            </w:r>
          </w:p>
        </w:tc>
        <w:tc>
          <w:tcPr>
            <w:tcW w:w="794" w:type="dxa"/>
            <w:vAlign w:val="center"/>
            <w:hideMark/>
          </w:tcPr>
          <w:p w14:paraId="0AD05482"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1,000 </w:t>
            </w:r>
          </w:p>
        </w:tc>
        <w:tc>
          <w:tcPr>
            <w:tcW w:w="794" w:type="dxa"/>
            <w:vAlign w:val="center"/>
            <w:hideMark/>
          </w:tcPr>
          <w:p w14:paraId="7546B3C0"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346AB341"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7C6B8AAB"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44B3BBF4"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3E3E66F8"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4,000 </w:t>
            </w:r>
          </w:p>
        </w:tc>
        <w:tc>
          <w:tcPr>
            <w:tcW w:w="794" w:type="dxa"/>
            <w:vAlign w:val="center"/>
            <w:hideMark/>
          </w:tcPr>
          <w:p w14:paraId="7B00FE13"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1,000 </w:t>
            </w:r>
          </w:p>
        </w:tc>
        <w:tc>
          <w:tcPr>
            <w:tcW w:w="794" w:type="dxa"/>
            <w:vAlign w:val="center"/>
            <w:hideMark/>
          </w:tcPr>
          <w:p w14:paraId="702011C4"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w:t>
            </w:r>
          </w:p>
        </w:tc>
      </w:tr>
      <w:tr w:rsidR="002E149D" w:rsidRPr="00A4333E" w14:paraId="42368DFC" w14:textId="77777777" w:rsidTr="00B938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noWrap/>
            <w:hideMark/>
          </w:tcPr>
          <w:p w14:paraId="2536277C" w14:textId="77777777" w:rsidR="002E149D" w:rsidRPr="00A4333E" w:rsidRDefault="002E149D" w:rsidP="00483E42">
            <w:pPr>
              <w:ind w:left="0" w:firstLine="0"/>
              <w:rPr>
                <w:rFonts w:asciiTheme="minorHAnsi" w:eastAsia="Times New Roman" w:hAnsiTheme="minorHAnsi" w:cstheme="minorHAnsi"/>
                <w:b w:val="0"/>
                <w:bCs w:val="0"/>
                <w:color w:val="000000"/>
                <w:sz w:val="20"/>
                <w:szCs w:val="20"/>
                <w:lang w:val="fr-FR" w:eastAsia="en-GB"/>
              </w:rPr>
            </w:pPr>
            <w:r w:rsidRPr="00A4333E">
              <w:rPr>
                <w:rFonts w:asciiTheme="minorHAnsi" w:eastAsia="Times New Roman" w:hAnsiTheme="minorHAnsi" w:cstheme="minorHAnsi"/>
                <w:b w:val="0"/>
                <w:bCs w:val="0"/>
                <w:color w:val="000000"/>
                <w:sz w:val="20"/>
                <w:szCs w:val="20"/>
                <w:lang w:val="fr-FR" w:eastAsia="en-GB"/>
              </w:rPr>
              <w:t>Myanmar</w:t>
            </w:r>
          </w:p>
        </w:tc>
        <w:tc>
          <w:tcPr>
            <w:tcW w:w="794" w:type="dxa"/>
            <w:vAlign w:val="center"/>
            <w:hideMark/>
          </w:tcPr>
          <w:p w14:paraId="299574CC"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70 </w:t>
            </w:r>
          </w:p>
        </w:tc>
        <w:tc>
          <w:tcPr>
            <w:tcW w:w="794" w:type="dxa"/>
            <w:vAlign w:val="center"/>
            <w:hideMark/>
          </w:tcPr>
          <w:p w14:paraId="65AE8B27"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1,000 </w:t>
            </w:r>
          </w:p>
        </w:tc>
        <w:tc>
          <w:tcPr>
            <w:tcW w:w="794" w:type="dxa"/>
            <w:vAlign w:val="center"/>
            <w:hideMark/>
          </w:tcPr>
          <w:p w14:paraId="741D3739"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1FDC80AB"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70 </w:t>
            </w:r>
          </w:p>
        </w:tc>
        <w:tc>
          <w:tcPr>
            <w:tcW w:w="794" w:type="dxa"/>
            <w:vAlign w:val="center"/>
            <w:hideMark/>
          </w:tcPr>
          <w:p w14:paraId="6940D671"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1,000 </w:t>
            </w:r>
          </w:p>
        </w:tc>
        <w:tc>
          <w:tcPr>
            <w:tcW w:w="794" w:type="dxa"/>
            <w:vAlign w:val="center"/>
            <w:hideMark/>
          </w:tcPr>
          <w:p w14:paraId="776FA156"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108D5CDA"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1A2FCD5F"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w:t>
            </w:r>
          </w:p>
        </w:tc>
        <w:tc>
          <w:tcPr>
            <w:tcW w:w="794" w:type="dxa"/>
            <w:vAlign w:val="center"/>
            <w:hideMark/>
          </w:tcPr>
          <w:p w14:paraId="36E67580"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w:t>
            </w:r>
          </w:p>
        </w:tc>
      </w:tr>
      <w:tr w:rsidR="002E149D" w:rsidRPr="00A4333E" w14:paraId="5F85A77B" w14:textId="77777777" w:rsidTr="00B938BE">
        <w:tc>
          <w:tcPr>
            <w:cnfStyle w:val="001000000000" w:firstRow="0" w:lastRow="0" w:firstColumn="1" w:lastColumn="0" w:oddVBand="0" w:evenVBand="0" w:oddHBand="0" w:evenHBand="0" w:firstRowFirstColumn="0" w:firstRowLastColumn="0" w:lastRowFirstColumn="0" w:lastRowLastColumn="0"/>
            <w:tcW w:w="1838" w:type="dxa"/>
            <w:noWrap/>
            <w:hideMark/>
          </w:tcPr>
          <w:p w14:paraId="41F1D842" w14:textId="77777777" w:rsidR="002E149D" w:rsidRPr="00A4333E" w:rsidRDefault="002E149D" w:rsidP="00483E42">
            <w:pPr>
              <w:ind w:left="0" w:firstLine="0"/>
              <w:rPr>
                <w:rFonts w:asciiTheme="minorHAnsi" w:eastAsia="Times New Roman" w:hAnsiTheme="minorHAnsi" w:cstheme="minorHAnsi"/>
                <w:b w:val="0"/>
                <w:bCs w:val="0"/>
                <w:color w:val="000000"/>
                <w:sz w:val="20"/>
                <w:szCs w:val="20"/>
                <w:lang w:val="fr-FR" w:eastAsia="en-GB"/>
              </w:rPr>
            </w:pPr>
            <w:r w:rsidRPr="00A4333E">
              <w:rPr>
                <w:rFonts w:asciiTheme="minorHAnsi" w:eastAsia="Times New Roman" w:hAnsiTheme="minorHAnsi" w:cstheme="minorHAnsi"/>
                <w:b w:val="0"/>
                <w:bCs w:val="0"/>
                <w:color w:val="000000"/>
                <w:sz w:val="20"/>
                <w:szCs w:val="20"/>
                <w:lang w:val="fr-FR" w:eastAsia="en-GB"/>
              </w:rPr>
              <w:t>Namibie</w:t>
            </w:r>
          </w:p>
        </w:tc>
        <w:tc>
          <w:tcPr>
            <w:tcW w:w="794" w:type="dxa"/>
            <w:vAlign w:val="center"/>
            <w:hideMark/>
          </w:tcPr>
          <w:p w14:paraId="76024267"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1,000 </w:t>
            </w:r>
          </w:p>
        </w:tc>
        <w:tc>
          <w:tcPr>
            <w:tcW w:w="794" w:type="dxa"/>
            <w:vAlign w:val="center"/>
            <w:hideMark/>
          </w:tcPr>
          <w:p w14:paraId="4FBA4EDF"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1,000 </w:t>
            </w:r>
          </w:p>
        </w:tc>
        <w:tc>
          <w:tcPr>
            <w:tcW w:w="794" w:type="dxa"/>
            <w:vAlign w:val="center"/>
            <w:hideMark/>
          </w:tcPr>
          <w:p w14:paraId="397098C1"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2FA0F27D"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1,000 </w:t>
            </w:r>
          </w:p>
        </w:tc>
        <w:tc>
          <w:tcPr>
            <w:tcW w:w="794" w:type="dxa"/>
            <w:vAlign w:val="center"/>
            <w:hideMark/>
          </w:tcPr>
          <w:p w14:paraId="4C837F19"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6BAFCC2E"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5238E257"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6B501784"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1,000 </w:t>
            </w:r>
          </w:p>
        </w:tc>
        <w:tc>
          <w:tcPr>
            <w:tcW w:w="794" w:type="dxa"/>
            <w:vAlign w:val="center"/>
            <w:hideMark/>
          </w:tcPr>
          <w:p w14:paraId="7AA32314"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w:t>
            </w:r>
          </w:p>
        </w:tc>
      </w:tr>
      <w:tr w:rsidR="002E149D" w:rsidRPr="00A4333E" w14:paraId="35BD1AFC" w14:textId="77777777" w:rsidTr="00B938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noWrap/>
            <w:hideMark/>
          </w:tcPr>
          <w:p w14:paraId="25770535" w14:textId="77777777" w:rsidR="002E149D" w:rsidRPr="00A4333E" w:rsidRDefault="002E149D" w:rsidP="00483E42">
            <w:pPr>
              <w:ind w:left="0" w:firstLine="0"/>
              <w:rPr>
                <w:rFonts w:asciiTheme="minorHAnsi" w:eastAsia="Times New Roman" w:hAnsiTheme="minorHAnsi" w:cstheme="minorHAnsi"/>
                <w:b w:val="0"/>
                <w:bCs w:val="0"/>
                <w:color w:val="000000"/>
                <w:sz w:val="20"/>
                <w:szCs w:val="20"/>
                <w:lang w:val="fr-FR" w:eastAsia="en-GB"/>
              </w:rPr>
            </w:pPr>
            <w:r w:rsidRPr="00A4333E">
              <w:rPr>
                <w:rFonts w:asciiTheme="minorHAnsi" w:eastAsia="Times New Roman" w:hAnsiTheme="minorHAnsi" w:cstheme="minorHAnsi"/>
                <w:b w:val="0"/>
                <w:bCs w:val="0"/>
                <w:color w:val="000000"/>
                <w:sz w:val="20"/>
                <w:szCs w:val="20"/>
                <w:lang w:val="fr-FR" w:eastAsia="en-GB"/>
              </w:rPr>
              <w:t>Népal</w:t>
            </w:r>
          </w:p>
        </w:tc>
        <w:tc>
          <w:tcPr>
            <w:tcW w:w="794" w:type="dxa"/>
            <w:vAlign w:val="center"/>
            <w:hideMark/>
          </w:tcPr>
          <w:p w14:paraId="620F8ED4"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5,000 </w:t>
            </w:r>
          </w:p>
        </w:tc>
        <w:tc>
          <w:tcPr>
            <w:tcW w:w="794" w:type="dxa"/>
            <w:vAlign w:val="center"/>
            <w:hideMark/>
          </w:tcPr>
          <w:p w14:paraId="09E74D49"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1,000 </w:t>
            </w:r>
          </w:p>
        </w:tc>
        <w:tc>
          <w:tcPr>
            <w:tcW w:w="794" w:type="dxa"/>
            <w:vAlign w:val="center"/>
            <w:hideMark/>
          </w:tcPr>
          <w:p w14:paraId="098C9D13"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7272942D"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5,000 </w:t>
            </w:r>
          </w:p>
        </w:tc>
        <w:tc>
          <w:tcPr>
            <w:tcW w:w="794" w:type="dxa"/>
            <w:vAlign w:val="center"/>
            <w:hideMark/>
          </w:tcPr>
          <w:p w14:paraId="30AB7DFB"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1,000 </w:t>
            </w:r>
          </w:p>
        </w:tc>
        <w:tc>
          <w:tcPr>
            <w:tcW w:w="794" w:type="dxa"/>
            <w:vAlign w:val="center"/>
            <w:hideMark/>
          </w:tcPr>
          <w:p w14:paraId="3E0CD4EF"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0D51AAFF"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1119A7C5"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w:t>
            </w:r>
          </w:p>
        </w:tc>
        <w:tc>
          <w:tcPr>
            <w:tcW w:w="794" w:type="dxa"/>
            <w:vAlign w:val="center"/>
            <w:hideMark/>
          </w:tcPr>
          <w:p w14:paraId="2045EDB6"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w:t>
            </w:r>
          </w:p>
        </w:tc>
      </w:tr>
      <w:tr w:rsidR="002E149D" w:rsidRPr="00A4333E" w14:paraId="14BA9F29" w14:textId="77777777" w:rsidTr="00B938BE">
        <w:tc>
          <w:tcPr>
            <w:cnfStyle w:val="001000000000" w:firstRow="0" w:lastRow="0" w:firstColumn="1" w:lastColumn="0" w:oddVBand="0" w:evenVBand="0" w:oddHBand="0" w:evenHBand="0" w:firstRowFirstColumn="0" w:firstRowLastColumn="0" w:lastRowFirstColumn="0" w:lastRowLastColumn="0"/>
            <w:tcW w:w="1838" w:type="dxa"/>
            <w:noWrap/>
            <w:hideMark/>
          </w:tcPr>
          <w:p w14:paraId="32C11468" w14:textId="77777777" w:rsidR="002E149D" w:rsidRPr="00A4333E" w:rsidRDefault="002E149D" w:rsidP="00483E42">
            <w:pPr>
              <w:ind w:left="0" w:firstLine="0"/>
              <w:rPr>
                <w:rFonts w:asciiTheme="minorHAnsi" w:eastAsia="Times New Roman" w:hAnsiTheme="minorHAnsi" w:cstheme="minorHAnsi"/>
                <w:b w:val="0"/>
                <w:bCs w:val="0"/>
                <w:color w:val="000000"/>
                <w:sz w:val="20"/>
                <w:szCs w:val="20"/>
                <w:lang w:val="fr-FR" w:eastAsia="en-GB"/>
              </w:rPr>
            </w:pPr>
            <w:r w:rsidRPr="00A4333E">
              <w:rPr>
                <w:rFonts w:asciiTheme="minorHAnsi" w:eastAsia="Times New Roman" w:hAnsiTheme="minorHAnsi" w:cstheme="minorHAnsi"/>
                <w:b w:val="0"/>
                <w:bCs w:val="0"/>
                <w:color w:val="000000"/>
                <w:sz w:val="20"/>
                <w:szCs w:val="20"/>
                <w:lang w:val="fr-FR" w:eastAsia="en-GB"/>
              </w:rPr>
              <w:t>Nicaragua</w:t>
            </w:r>
          </w:p>
        </w:tc>
        <w:tc>
          <w:tcPr>
            <w:tcW w:w="794" w:type="dxa"/>
            <w:vAlign w:val="center"/>
            <w:hideMark/>
          </w:tcPr>
          <w:p w14:paraId="3438B1F9"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4,000 </w:t>
            </w:r>
          </w:p>
        </w:tc>
        <w:tc>
          <w:tcPr>
            <w:tcW w:w="794" w:type="dxa"/>
            <w:vAlign w:val="center"/>
            <w:hideMark/>
          </w:tcPr>
          <w:p w14:paraId="7E106F46"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1,000 </w:t>
            </w:r>
          </w:p>
        </w:tc>
        <w:tc>
          <w:tcPr>
            <w:tcW w:w="794" w:type="dxa"/>
            <w:vAlign w:val="center"/>
            <w:hideMark/>
          </w:tcPr>
          <w:p w14:paraId="5789DE1E"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5F1B1151"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2C744A43"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0451AD28"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4C6C8F94"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4,000 </w:t>
            </w:r>
          </w:p>
        </w:tc>
        <w:tc>
          <w:tcPr>
            <w:tcW w:w="794" w:type="dxa"/>
            <w:vAlign w:val="center"/>
            <w:hideMark/>
          </w:tcPr>
          <w:p w14:paraId="7BCCF582"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1,000 </w:t>
            </w:r>
          </w:p>
        </w:tc>
        <w:tc>
          <w:tcPr>
            <w:tcW w:w="794" w:type="dxa"/>
            <w:vAlign w:val="center"/>
            <w:hideMark/>
          </w:tcPr>
          <w:p w14:paraId="00F366C7"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w:t>
            </w:r>
          </w:p>
        </w:tc>
      </w:tr>
      <w:tr w:rsidR="002E149D" w:rsidRPr="00A4333E" w14:paraId="01DAE202" w14:textId="77777777" w:rsidTr="00B938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noWrap/>
            <w:hideMark/>
          </w:tcPr>
          <w:p w14:paraId="5678AA95" w14:textId="77777777" w:rsidR="002E149D" w:rsidRPr="00A4333E" w:rsidRDefault="002E149D" w:rsidP="00483E42">
            <w:pPr>
              <w:ind w:left="0" w:firstLine="0"/>
              <w:rPr>
                <w:rFonts w:asciiTheme="minorHAnsi" w:eastAsia="Times New Roman" w:hAnsiTheme="minorHAnsi" w:cstheme="minorHAnsi"/>
                <w:b w:val="0"/>
                <w:bCs w:val="0"/>
                <w:color w:val="000000"/>
                <w:sz w:val="20"/>
                <w:szCs w:val="20"/>
                <w:lang w:val="fr-FR" w:eastAsia="en-GB"/>
              </w:rPr>
            </w:pPr>
            <w:r w:rsidRPr="00A4333E">
              <w:rPr>
                <w:rFonts w:asciiTheme="minorHAnsi" w:eastAsia="Times New Roman" w:hAnsiTheme="minorHAnsi" w:cstheme="minorHAnsi"/>
                <w:b w:val="0"/>
                <w:bCs w:val="0"/>
                <w:color w:val="000000"/>
                <w:sz w:val="20"/>
                <w:szCs w:val="20"/>
                <w:lang w:val="fr-FR" w:eastAsia="en-GB"/>
              </w:rPr>
              <w:t>Niger</w:t>
            </w:r>
          </w:p>
        </w:tc>
        <w:tc>
          <w:tcPr>
            <w:tcW w:w="794" w:type="dxa"/>
            <w:vAlign w:val="center"/>
            <w:hideMark/>
          </w:tcPr>
          <w:p w14:paraId="6E34EE6E"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13,192 </w:t>
            </w:r>
          </w:p>
        </w:tc>
        <w:tc>
          <w:tcPr>
            <w:tcW w:w="794" w:type="dxa"/>
            <w:vAlign w:val="center"/>
            <w:hideMark/>
          </w:tcPr>
          <w:p w14:paraId="7FABE173"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1,000 </w:t>
            </w:r>
          </w:p>
        </w:tc>
        <w:tc>
          <w:tcPr>
            <w:tcW w:w="794" w:type="dxa"/>
            <w:vAlign w:val="center"/>
            <w:hideMark/>
          </w:tcPr>
          <w:p w14:paraId="7FF503C4"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759E744E"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5AE0C926"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7C919789"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786F4FB6"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13,192 </w:t>
            </w:r>
          </w:p>
        </w:tc>
        <w:tc>
          <w:tcPr>
            <w:tcW w:w="794" w:type="dxa"/>
            <w:vAlign w:val="center"/>
            <w:hideMark/>
          </w:tcPr>
          <w:p w14:paraId="6151FD84"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1,000 </w:t>
            </w:r>
          </w:p>
        </w:tc>
        <w:tc>
          <w:tcPr>
            <w:tcW w:w="794" w:type="dxa"/>
            <w:vAlign w:val="center"/>
            <w:hideMark/>
          </w:tcPr>
          <w:p w14:paraId="2177894C"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w:t>
            </w:r>
          </w:p>
        </w:tc>
      </w:tr>
      <w:tr w:rsidR="002E149D" w:rsidRPr="00A4333E" w14:paraId="065CF0F0" w14:textId="77777777" w:rsidTr="00B938BE">
        <w:tc>
          <w:tcPr>
            <w:cnfStyle w:val="001000000000" w:firstRow="0" w:lastRow="0" w:firstColumn="1" w:lastColumn="0" w:oddVBand="0" w:evenVBand="0" w:oddHBand="0" w:evenHBand="0" w:firstRowFirstColumn="0" w:firstRowLastColumn="0" w:lastRowFirstColumn="0" w:lastRowLastColumn="0"/>
            <w:tcW w:w="1838" w:type="dxa"/>
            <w:noWrap/>
            <w:hideMark/>
          </w:tcPr>
          <w:p w14:paraId="451D1F73" w14:textId="77777777" w:rsidR="002E149D" w:rsidRPr="00A4333E" w:rsidRDefault="002E149D" w:rsidP="00483E42">
            <w:pPr>
              <w:ind w:left="0" w:firstLine="0"/>
              <w:rPr>
                <w:rFonts w:asciiTheme="minorHAnsi" w:eastAsia="Times New Roman" w:hAnsiTheme="minorHAnsi" w:cstheme="minorHAnsi"/>
                <w:b w:val="0"/>
                <w:bCs w:val="0"/>
                <w:color w:val="000000"/>
                <w:sz w:val="20"/>
                <w:szCs w:val="20"/>
                <w:lang w:val="fr-FR" w:eastAsia="en-GB"/>
              </w:rPr>
            </w:pPr>
            <w:r w:rsidRPr="00A4333E">
              <w:rPr>
                <w:rFonts w:asciiTheme="minorHAnsi" w:eastAsia="Times New Roman" w:hAnsiTheme="minorHAnsi" w:cstheme="minorHAnsi"/>
                <w:b w:val="0"/>
                <w:bCs w:val="0"/>
                <w:color w:val="000000"/>
                <w:sz w:val="20"/>
                <w:szCs w:val="20"/>
                <w:lang w:val="fr-FR" w:eastAsia="en-GB"/>
              </w:rPr>
              <w:t>Nigéria</w:t>
            </w:r>
          </w:p>
        </w:tc>
        <w:tc>
          <w:tcPr>
            <w:tcW w:w="794" w:type="dxa"/>
            <w:vAlign w:val="center"/>
            <w:hideMark/>
          </w:tcPr>
          <w:p w14:paraId="094C4584"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95,917 </w:t>
            </w:r>
          </w:p>
        </w:tc>
        <w:tc>
          <w:tcPr>
            <w:tcW w:w="794" w:type="dxa"/>
            <w:vAlign w:val="center"/>
            <w:hideMark/>
          </w:tcPr>
          <w:p w14:paraId="4E138F0D"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12,236 </w:t>
            </w:r>
          </w:p>
        </w:tc>
        <w:tc>
          <w:tcPr>
            <w:tcW w:w="794" w:type="dxa"/>
            <w:vAlign w:val="center"/>
            <w:hideMark/>
          </w:tcPr>
          <w:p w14:paraId="5F63C51B"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118D7F6B"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7C5DE0D8"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3887A86B"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4754E4B7"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95,917 </w:t>
            </w:r>
          </w:p>
        </w:tc>
        <w:tc>
          <w:tcPr>
            <w:tcW w:w="794" w:type="dxa"/>
            <w:vAlign w:val="center"/>
            <w:hideMark/>
          </w:tcPr>
          <w:p w14:paraId="1ED72423"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12,236 </w:t>
            </w:r>
          </w:p>
        </w:tc>
        <w:tc>
          <w:tcPr>
            <w:tcW w:w="794" w:type="dxa"/>
            <w:vAlign w:val="center"/>
            <w:hideMark/>
          </w:tcPr>
          <w:p w14:paraId="3E921C85"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w:t>
            </w:r>
          </w:p>
        </w:tc>
      </w:tr>
      <w:tr w:rsidR="002E149D" w:rsidRPr="00A4333E" w14:paraId="47F5FA6B" w14:textId="77777777" w:rsidTr="00B938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noWrap/>
            <w:hideMark/>
          </w:tcPr>
          <w:p w14:paraId="3693D9C4" w14:textId="77777777" w:rsidR="002E149D" w:rsidRPr="00A4333E" w:rsidRDefault="002E149D" w:rsidP="00483E42">
            <w:pPr>
              <w:ind w:left="0" w:firstLine="0"/>
              <w:rPr>
                <w:rFonts w:asciiTheme="minorHAnsi" w:eastAsia="Times New Roman" w:hAnsiTheme="minorHAnsi" w:cstheme="minorHAnsi"/>
                <w:b w:val="0"/>
                <w:bCs w:val="0"/>
                <w:color w:val="000000"/>
                <w:sz w:val="20"/>
                <w:szCs w:val="20"/>
                <w:lang w:val="fr-FR" w:eastAsia="en-GB"/>
              </w:rPr>
            </w:pPr>
            <w:r w:rsidRPr="00A4333E">
              <w:rPr>
                <w:rFonts w:asciiTheme="minorHAnsi" w:eastAsia="Times New Roman" w:hAnsiTheme="minorHAnsi" w:cstheme="minorHAnsi"/>
                <w:b w:val="0"/>
                <w:bCs w:val="0"/>
                <w:color w:val="000000"/>
                <w:sz w:val="20"/>
                <w:szCs w:val="20"/>
                <w:lang w:val="fr-FR" w:eastAsia="en-GB"/>
              </w:rPr>
              <w:t>Norvège</w:t>
            </w:r>
          </w:p>
        </w:tc>
        <w:tc>
          <w:tcPr>
            <w:tcW w:w="794" w:type="dxa"/>
            <w:vAlign w:val="center"/>
            <w:hideMark/>
          </w:tcPr>
          <w:p w14:paraId="6115FEFB"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23E3C7AA"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36,905 </w:t>
            </w:r>
          </w:p>
        </w:tc>
        <w:tc>
          <w:tcPr>
            <w:tcW w:w="794" w:type="dxa"/>
            <w:vAlign w:val="center"/>
            <w:hideMark/>
          </w:tcPr>
          <w:p w14:paraId="746F8E7C"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76BA210E"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5D931995"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36,905 </w:t>
            </w:r>
          </w:p>
        </w:tc>
        <w:tc>
          <w:tcPr>
            <w:tcW w:w="794" w:type="dxa"/>
            <w:vAlign w:val="center"/>
            <w:hideMark/>
          </w:tcPr>
          <w:p w14:paraId="6F4960F0"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6D18C208"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69D8AE01"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w:t>
            </w:r>
          </w:p>
        </w:tc>
        <w:tc>
          <w:tcPr>
            <w:tcW w:w="794" w:type="dxa"/>
            <w:vAlign w:val="center"/>
            <w:hideMark/>
          </w:tcPr>
          <w:p w14:paraId="38985B5E"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w:t>
            </w:r>
          </w:p>
        </w:tc>
      </w:tr>
      <w:tr w:rsidR="002E149D" w:rsidRPr="00A4333E" w14:paraId="41240490" w14:textId="77777777" w:rsidTr="00B938BE">
        <w:tc>
          <w:tcPr>
            <w:cnfStyle w:val="001000000000" w:firstRow="0" w:lastRow="0" w:firstColumn="1" w:lastColumn="0" w:oddVBand="0" w:evenVBand="0" w:oddHBand="0" w:evenHBand="0" w:firstRowFirstColumn="0" w:firstRowLastColumn="0" w:lastRowFirstColumn="0" w:lastRowLastColumn="0"/>
            <w:tcW w:w="1838" w:type="dxa"/>
            <w:noWrap/>
            <w:hideMark/>
          </w:tcPr>
          <w:p w14:paraId="4294A979" w14:textId="77777777" w:rsidR="002E149D" w:rsidRPr="00A4333E" w:rsidRDefault="002E149D" w:rsidP="00483E42">
            <w:pPr>
              <w:ind w:left="0" w:firstLine="0"/>
              <w:rPr>
                <w:rFonts w:asciiTheme="minorHAnsi" w:eastAsia="Times New Roman" w:hAnsiTheme="minorHAnsi" w:cstheme="minorHAnsi"/>
                <w:b w:val="0"/>
                <w:bCs w:val="0"/>
                <w:color w:val="000000"/>
                <w:sz w:val="20"/>
                <w:szCs w:val="20"/>
                <w:lang w:val="fr-FR" w:eastAsia="en-GB"/>
              </w:rPr>
            </w:pPr>
            <w:r w:rsidRPr="00A4333E">
              <w:rPr>
                <w:rFonts w:asciiTheme="minorHAnsi" w:eastAsia="Times New Roman" w:hAnsiTheme="minorHAnsi" w:cstheme="minorHAnsi"/>
                <w:b w:val="0"/>
                <w:bCs w:val="0"/>
                <w:color w:val="000000"/>
                <w:sz w:val="20"/>
                <w:szCs w:val="20"/>
                <w:lang w:val="fr-FR" w:eastAsia="en-GB"/>
              </w:rPr>
              <w:t>Nouvelle-Zélande</w:t>
            </w:r>
          </w:p>
        </w:tc>
        <w:tc>
          <w:tcPr>
            <w:tcW w:w="794" w:type="dxa"/>
            <w:vAlign w:val="center"/>
            <w:hideMark/>
          </w:tcPr>
          <w:p w14:paraId="5C364F30"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2A88C22D"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14,243 </w:t>
            </w:r>
          </w:p>
        </w:tc>
        <w:tc>
          <w:tcPr>
            <w:tcW w:w="794" w:type="dxa"/>
            <w:vAlign w:val="center"/>
            <w:hideMark/>
          </w:tcPr>
          <w:p w14:paraId="5B8DF4BD"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6FF2DFEF"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5385B588"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14,243 </w:t>
            </w:r>
          </w:p>
        </w:tc>
        <w:tc>
          <w:tcPr>
            <w:tcW w:w="794" w:type="dxa"/>
            <w:vAlign w:val="center"/>
            <w:hideMark/>
          </w:tcPr>
          <w:p w14:paraId="4B91F6DA"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39B7D7DF"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5CE15536"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w:t>
            </w:r>
          </w:p>
        </w:tc>
        <w:tc>
          <w:tcPr>
            <w:tcW w:w="794" w:type="dxa"/>
            <w:vAlign w:val="center"/>
            <w:hideMark/>
          </w:tcPr>
          <w:p w14:paraId="4B8ED23B"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w:t>
            </w:r>
          </w:p>
        </w:tc>
      </w:tr>
      <w:tr w:rsidR="002E149D" w:rsidRPr="00A4333E" w14:paraId="6D562605" w14:textId="77777777" w:rsidTr="00B938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noWrap/>
            <w:hideMark/>
          </w:tcPr>
          <w:p w14:paraId="1DCFEE11" w14:textId="77777777" w:rsidR="002E149D" w:rsidRPr="00A4333E" w:rsidRDefault="002E149D" w:rsidP="00483E42">
            <w:pPr>
              <w:ind w:left="0" w:firstLine="0"/>
              <w:rPr>
                <w:rFonts w:asciiTheme="minorHAnsi" w:eastAsia="Times New Roman" w:hAnsiTheme="minorHAnsi" w:cstheme="minorHAnsi"/>
                <w:b w:val="0"/>
                <w:bCs w:val="0"/>
                <w:color w:val="000000"/>
                <w:sz w:val="20"/>
                <w:szCs w:val="20"/>
                <w:lang w:val="fr-FR" w:eastAsia="en-GB"/>
              </w:rPr>
            </w:pPr>
            <w:r w:rsidRPr="00A4333E">
              <w:rPr>
                <w:rFonts w:asciiTheme="minorHAnsi" w:eastAsia="Times New Roman" w:hAnsiTheme="minorHAnsi" w:cstheme="minorHAnsi"/>
                <w:b w:val="0"/>
                <w:bCs w:val="0"/>
                <w:color w:val="000000"/>
                <w:sz w:val="20"/>
                <w:szCs w:val="20"/>
                <w:lang w:val="fr-FR" w:eastAsia="en-GB"/>
              </w:rPr>
              <w:t>Oman</w:t>
            </w:r>
          </w:p>
        </w:tc>
        <w:tc>
          <w:tcPr>
            <w:tcW w:w="794" w:type="dxa"/>
            <w:vAlign w:val="center"/>
            <w:hideMark/>
          </w:tcPr>
          <w:p w14:paraId="4CECCF47"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21,762 </w:t>
            </w:r>
          </w:p>
        </w:tc>
        <w:tc>
          <w:tcPr>
            <w:tcW w:w="794" w:type="dxa"/>
            <w:vAlign w:val="center"/>
            <w:hideMark/>
          </w:tcPr>
          <w:p w14:paraId="33D8AD1D"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5,629 </w:t>
            </w:r>
          </w:p>
        </w:tc>
        <w:tc>
          <w:tcPr>
            <w:tcW w:w="794" w:type="dxa"/>
            <w:vAlign w:val="center"/>
            <w:hideMark/>
          </w:tcPr>
          <w:p w14:paraId="1A75EE9B"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394F6535"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21,762 </w:t>
            </w:r>
          </w:p>
        </w:tc>
        <w:tc>
          <w:tcPr>
            <w:tcW w:w="794" w:type="dxa"/>
            <w:vAlign w:val="center"/>
            <w:hideMark/>
          </w:tcPr>
          <w:p w14:paraId="35EA853C"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651 </w:t>
            </w:r>
          </w:p>
        </w:tc>
        <w:tc>
          <w:tcPr>
            <w:tcW w:w="794" w:type="dxa"/>
            <w:vAlign w:val="center"/>
            <w:hideMark/>
          </w:tcPr>
          <w:p w14:paraId="0106269E"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64042A60"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0EDAA0D0"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4,978 </w:t>
            </w:r>
          </w:p>
        </w:tc>
        <w:tc>
          <w:tcPr>
            <w:tcW w:w="794" w:type="dxa"/>
            <w:vAlign w:val="center"/>
            <w:hideMark/>
          </w:tcPr>
          <w:p w14:paraId="7457F4C5"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w:t>
            </w:r>
          </w:p>
        </w:tc>
      </w:tr>
      <w:tr w:rsidR="002E149D" w:rsidRPr="00A4333E" w14:paraId="6E755954" w14:textId="77777777" w:rsidTr="00B938BE">
        <w:tc>
          <w:tcPr>
            <w:cnfStyle w:val="001000000000" w:firstRow="0" w:lastRow="0" w:firstColumn="1" w:lastColumn="0" w:oddVBand="0" w:evenVBand="0" w:oddHBand="0" w:evenHBand="0" w:firstRowFirstColumn="0" w:firstRowLastColumn="0" w:lastRowFirstColumn="0" w:lastRowLastColumn="0"/>
            <w:tcW w:w="1838" w:type="dxa"/>
            <w:noWrap/>
            <w:hideMark/>
          </w:tcPr>
          <w:p w14:paraId="1CFD82C8" w14:textId="77777777" w:rsidR="002E149D" w:rsidRPr="00A4333E" w:rsidRDefault="002E149D" w:rsidP="00483E42">
            <w:pPr>
              <w:ind w:left="0" w:firstLine="0"/>
              <w:rPr>
                <w:rFonts w:asciiTheme="minorHAnsi" w:eastAsia="Times New Roman" w:hAnsiTheme="minorHAnsi" w:cstheme="minorHAnsi"/>
                <w:b w:val="0"/>
                <w:bCs w:val="0"/>
                <w:color w:val="000000"/>
                <w:sz w:val="20"/>
                <w:szCs w:val="20"/>
                <w:lang w:val="fr-FR" w:eastAsia="en-GB"/>
              </w:rPr>
            </w:pPr>
            <w:r w:rsidRPr="00A4333E">
              <w:rPr>
                <w:rFonts w:asciiTheme="minorHAnsi" w:eastAsia="Times New Roman" w:hAnsiTheme="minorHAnsi" w:cstheme="minorHAnsi"/>
                <w:b w:val="0"/>
                <w:bCs w:val="0"/>
                <w:color w:val="000000"/>
                <w:sz w:val="20"/>
                <w:szCs w:val="20"/>
                <w:lang w:val="fr-FR" w:eastAsia="en-GB"/>
              </w:rPr>
              <w:t>Ouganda</w:t>
            </w:r>
          </w:p>
        </w:tc>
        <w:tc>
          <w:tcPr>
            <w:tcW w:w="794" w:type="dxa"/>
            <w:vAlign w:val="center"/>
            <w:hideMark/>
          </w:tcPr>
          <w:p w14:paraId="448EFAF6"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1,000 </w:t>
            </w:r>
          </w:p>
        </w:tc>
        <w:tc>
          <w:tcPr>
            <w:tcW w:w="794" w:type="dxa"/>
            <w:vAlign w:val="center"/>
            <w:hideMark/>
          </w:tcPr>
          <w:p w14:paraId="3C3E9412"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1,000 </w:t>
            </w:r>
          </w:p>
        </w:tc>
        <w:tc>
          <w:tcPr>
            <w:tcW w:w="794" w:type="dxa"/>
            <w:vAlign w:val="center"/>
            <w:hideMark/>
          </w:tcPr>
          <w:p w14:paraId="47C3552C"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2BA762A3"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1,000 </w:t>
            </w:r>
          </w:p>
        </w:tc>
        <w:tc>
          <w:tcPr>
            <w:tcW w:w="794" w:type="dxa"/>
            <w:vAlign w:val="center"/>
            <w:hideMark/>
          </w:tcPr>
          <w:p w14:paraId="4F7FBF09"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1,000 </w:t>
            </w:r>
          </w:p>
        </w:tc>
        <w:tc>
          <w:tcPr>
            <w:tcW w:w="794" w:type="dxa"/>
            <w:vAlign w:val="center"/>
            <w:hideMark/>
          </w:tcPr>
          <w:p w14:paraId="72D0A278"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48F5CC81"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18B354E5"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w:t>
            </w:r>
          </w:p>
        </w:tc>
        <w:tc>
          <w:tcPr>
            <w:tcW w:w="794" w:type="dxa"/>
            <w:vAlign w:val="center"/>
            <w:hideMark/>
          </w:tcPr>
          <w:p w14:paraId="32CC9B7A"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w:t>
            </w:r>
          </w:p>
        </w:tc>
      </w:tr>
      <w:tr w:rsidR="002E149D" w:rsidRPr="00A4333E" w14:paraId="06A7C6CB" w14:textId="77777777" w:rsidTr="00B938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noWrap/>
            <w:hideMark/>
          </w:tcPr>
          <w:p w14:paraId="26F0ECB2" w14:textId="77777777" w:rsidR="002E149D" w:rsidRPr="00A4333E" w:rsidRDefault="002E149D" w:rsidP="00483E42">
            <w:pPr>
              <w:ind w:left="0" w:firstLine="0"/>
              <w:rPr>
                <w:rFonts w:asciiTheme="minorHAnsi" w:eastAsia="Times New Roman" w:hAnsiTheme="minorHAnsi" w:cstheme="minorHAnsi"/>
                <w:b w:val="0"/>
                <w:bCs w:val="0"/>
                <w:color w:val="000000"/>
                <w:sz w:val="20"/>
                <w:szCs w:val="20"/>
                <w:lang w:val="fr-FR" w:eastAsia="en-GB"/>
              </w:rPr>
            </w:pPr>
            <w:r w:rsidRPr="00A4333E">
              <w:rPr>
                <w:rFonts w:asciiTheme="minorHAnsi" w:eastAsia="Times New Roman" w:hAnsiTheme="minorHAnsi" w:cstheme="minorHAnsi"/>
                <w:b w:val="0"/>
                <w:bCs w:val="0"/>
                <w:color w:val="000000"/>
                <w:sz w:val="20"/>
                <w:szCs w:val="20"/>
                <w:lang w:val="fr-FR" w:eastAsia="en-GB"/>
              </w:rPr>
              <w:lastRenderedPageBreak/>
              <w:t>Ouzbékistan</w:t>
            </w:r>
          </w:p>
        </w:tc>
        <w:tc>
          <w:tcPr>
            <w:tcW w:w="794" w:type="dxa"/>
            <w:vAlign w:val="center"/>
            <w:hideMark/>
          </w:tcPr>
          <w:p w14:paraId="03B521D7"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16,188 </w:t>
            </w:r>
          </w:p>
        </w:tc>
        <w:tc>
          <w:tcPr>
            <w:tcW w:w="794" w:type="dxa"/>
            <w:vAlign w:val="center"/>
            <w:hideMark/>
          </w:tcPr>
          <w:p w14:paraId="56DFD8EC"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1,566 </w:t>
            </w:r>
          </w:p>
        </w:tc>
        <w:tc>
          <w:tcPr>
            <w:tcW w:w="794" w:type="dxa"/>
            <w:vAlign w:val="center"/>
            <w:hideMark/>
          </w:tcPr>
          <w:p w14:paraId="6491A8D4"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4306B7B7"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2,691 </w:t>
            </w:r>
          </w:p>
        </w:tc>
        <w:tc>
          <w:tcPr>
            <w:tcW w:w="794" w:type="dxa"/>
            <w:vAlign w:val="center"/>
            <w:hideMark/>
          </w:tcPr>
          <w:p w14:paraId="73C2B421"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0F854F3A"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083D13A7"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13,497 </w:t>
            </w:r>
          </w:p>
        </w:tc>
        <w:tc>
          <w:tcPr>
            <w:tcW w:w="794" w:type="dxa"/>
            <w:vAlign w:val="center"/>
            <w:hideMark/>
          </w:tcPr>
          <w:p w14:paraId="2A27AE42"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1,566 </w:t>
            </w:r>
          </w:p>
        </w:tc>
        <w:tc>
          <w:tcPr>
            <w:tcW w:w="794" w:type="dxa"/>
            <w:vAlign w:val="center"/>
            <w:hideMark/>
          </w:tcPr>
          <w:p w14:paraId="4F54E37B"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w:t>
            </w:r>
          </w:p>
        </w:tc>
      </w:tr>
      <w:tr w:rsidR="002E149D" w:rsidRPr="00A4333E" w14:paraId="5CD1EF16" w14:textId="77777777" w:rsidTr="00B938BE">
        <w:tc>
          <w:tcPr>
            <w:cnfStyle w:val="001000000000" w:firstRow="0" w:lastRow="0" w:firstColumn="1" w:lastColumn="0" w:oddVBand="0" w:evenVBand="0" w:oddHBand="0" w:evenHBand="0" w:firstRowFirstColumn="0" w:firstRowLastColumn="0" w:lastRowFirstColumn="0" w:lastRowLastColumn="0"/>
            <w:tcW w:w="1838" w:type="dxa"/>
            <w:noWrap/>
            <w:hideMark/>
          </w:tcPr>
          <w:p w14:paraId="6D821CCE" w14:textId="77777777" w:rsidR="002E149D" w:rsidRPr="00A4333E" w:rsidRDefault="002E149D" w:rsidP="00483E42">
            <w:pPr>
              <w:ind w:left="0" w:firstLine="0"/>
              <w:rPr>
                <w:rFonts w:asciiTheme="minorHAnsi" w:eastAsia="Times New Roman" w:hAnsiTheme="minorHAnsi" w:cstheme="minorHAnsi"/>
                <w:b w:val="0"/>
                <w:bCs w:val="0"/>
                <w:color w:val="000000"/>
                <w:sz w:val="20"/>
                <w:szCs w:val="20"/>
                <w:lang w:val="fr-FR" w:eastAsia="en-GB"/>
              </w:rPr>
            </w:pPr>
            <w:r w:rsidRPr="00A4333E">
              <w:rPr>
                <w:rFonts w:asciiTheme="minorHAnsi" w:eastAsia="Times New Roman" w:hAnsiTheme="minorHAnsi" w:cstheme="minorHAnsi"/>
                <w:b w:val="0"/>
                <w:bCs w:val="0"/>
                <w:color w:val="000000"/>
                <w:sz w:val="20"/>
                <w:szCs w:val="20"/>
                <w:lang w:val="fr-FR" w:eastAsia="en-GB"/>
              </w:rPr>
              <w:t>Pakistan</w:t>
            </w:r>
          </w:p>
        </w:tc>
        <w:tc>
          <w:tcPr>
            <w:tcW w:w="794" w:type="dxa"/>
            <w:vAlign w:val="center"/>
            <w:hideMark/>
          </w:tcPr>
          <w:p w14:paraId="3397FA7B"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7,366 </w:t>
            </w:r>
          </w:p>
        </w:tc>
        <w:tc>
          <w:tcPr>
            <w:tcW w:w="794" w:type="dxa"/>
            <w:vAlign w:val="center"/>
            <w:hideMark/>
          </w:tcPr>
          <w:p w14:paraId="68710D09"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5,629 </w:t>
            </w:r>
          </w:p>
        </w:tc>
        <w:tc>
          <w:tcPr>
            <w:tcW w:w="794" w:type="dxa"/>
            <w:vAlign w:val="center"/>
            <w:hideMark/>
          </w:tcPr>
          <w:p w14:paraId="540DEFA1"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35AED9C4"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3,551 </w:t>
            </w:r>
          </w:p>
        </w:tc>
        <w:tc>
          <w:tcPr>
            <w:tcW w:w="794" w:type="dxa"/>
            <w:vAlign w:val="center"/>
            <w:hideMark/>
          </w:tcPr>
          <w:p w14:paraId="0FE50BB9"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60FF71AD"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42B8DFE6"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3,815 </w:t>
            </w:r>
          </w:p>
        </w:tc>
        <w:tc>
          <w:tcPr>
            <w:tcW w:w="794" w:type="dxa"/>
            <w:vAlign w:val="center"/>
            <w:hideMark/>
          </w:tcPr>
          <w:p w14:paraId="49726387"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5,629 </w:t>
            </w:r>
          </w:p>
        </w:tc>
        <w:tc>
          <w:tcPr>
            <w:tcW w:w="794" w:type="dxa"/>
            <w:vAlign w:val="center"/>
            <w:hideMark/>
          </w:tcPr>
          <w:p w14:paraId="44611E3D"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w:t>
            </w:r>
          </w:p>
        </w:tc>
      </w:tr>
      <w:tr w:rsidR="002E149D" w:rsidRPr="00A4333E" w14:paraId="2FF1B01B" w14:textId="77777777" w:rsidTr="00B938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noWrap/>
            <w:hideMark/>
          </w:tcPr>
          <w:p w14:paraId="7CCE1287" w14:textId="77777777" w:rsidR="002E149D" w:rsidRPr="00A4333E" w:rsidRDefault="002E149D" w:rsidP="00483E42">
            <w:pPr>
              <w:ind w:left="0" w:firstLine="0"/>
              <w:rPr>
                <w:rFonts w:asciiTheme="minorHAnsi" w:eastAsia="Times New Roman" w:hAnsiTheme="minorHAnsi" w:cstheme="minorHAnsi"/>
                <w:b w:val="0"/>
                <w:bCs w:val="0"/>
                <w:color w:val="000000"/>
                <w:sz w:val="20"/>
                <w:szCs w:val="20"/>
                <w:lang w:val="fr-FR" w:eastAsia="en-GB"/>
              </w:rPr>
            </w:pPr>
            <w:r w:rsidRPr="00A4333E">
              <w:rPr>
                <w:rFonts w:asciiTheme="minorHAnsi" w:eastAsia="Times New Roman" w:hAnsiTheme="minorHAnsi" w:cstheme="minorHAnsi"/>
                <w:b w:val="0"/>
                <w:bCs w:val="0"/>
                <w:color w:val="000000"/>
                <w:sz w:val="20"/>
                <w:szCs w:val="20"/>
                <w:lang w:val="fr-FR" w:eastAsia="en-GB"/>
              </w:rPr>
              <w:t>Palaos</w:t>
            </w:r>
          </w:p>
        </w:tc>
        <w:tc>
          <w:tcPr>
            <w:tcW w:w="794" w:type="dxa"/>
            <w:vAlign w:val="center"/>
            <w:hideMark/>
          </w:tcPr>
          <w:p w14:paraId="08A9C8B2"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16,998 </w:t>
            </w:r>
          </w:p>
        </w:tc>
        <w:tc>
          <w:tcPr>
            <w:tcW w:w="794" w:type="dxa"/>
            <w:vAlign w:val="center"/>
            <w:hideMark/>
          </w:tcPr>
          <w:p w14:paraId="74850DAE"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1,000 </w:t>
            </w:r>
          </w:p>
        </w:tc>
        <w:tc>
          <w:tcPr>
            <w:tcW w:w="794" w:type="dxa"/>
            <w:vAlign w:val="center"/>
            <w:hideMark/>
          </w:tcPr>
          <w:p w14:paraId="2F6AD52E"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3081210D"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1,011 </w:t>
            </w:r>
          </w:p>
        </w:tc>
        <w:tc>
          <w:tcPr>
            <w:tcW w:w="794" w:type="dxa"/>
            <w:vAlign w:val="center"/>
            <w:hideMark/>
          </w:tcPr>
          <w:p w14:paraId="64DDB34E"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2834B165"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0886456A"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15,987 </w:t>
            </w:r>
          </w:p>
        </w:tc>
        <w:tc>
          <w:tcPr>
            <w:tcW w:w="794" w:type="dxa"/>
            <w:vAlign w:val="center"/>
            <w:hideMark/>
          </w:tcPr>
          <w:p w14:paraId="22219F31"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1,000 </w:t>
            </w:r>
          </w:p>
        </w:tc>
        <w:tc>
          <w:tcPr>
            <w:tcW w:w="794" w:type="dxa"/>
            <w:vAlign w:val="center"/>
            <w:hideMark/>
          </w:tcPr>
          <w:p w14:paraId="7EE4F0AA"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w:t>
            </w:r>
          </w:p>
        </w:tc>
      </w:tr>
      <w:tr w:rsidR="002E149D" w:rsidRPr="00A4333E" w14:paraId="28A54534" w14:textId="77777777" w:rsidTr="00B938BE">
        <w:tc>
          <w:tcPr>
            <w:cnfStyle w:val="001000000000" w:firstRow="0" w:lastRow="0" w:firstColumn="1" w:lastColumn="0" w:oddVBand="0" w:evenVBand="0" w:oddHBand="0" w:evenHBand="0" w:firstRowFirstColumn="0" w:firstRowLastColumn="0" w:lastRowFirstColumn="0" w:lastRowLastColumn="0"/>
            <w:tcW w:w="1838" w:type="dxa"/>
            <w:noWrap/>
            <w:hideMark/>
          </w:tcPr>
          <w:p w14:paraId="65FDC982" w14:textId="77777777" w:rsidR="002E149D" w:rsidRPr="00A4333E" w:rsidRDefault="002E149D" w:rsidP="00483E42">
            <w:pPr>
              <w:ind w:left="0" w:firstLine="0"/>
              <w:rPr>
                <w:rFonts w:asciiTheme="minorHAnsi" w:eastAsia="Times New Roman" w:hAnsiTheme="minorHAnsi" w:cstheme="minorHAnsi"/>
                <w:b w:val="0"/>
                <w:bCs w:val="0"/>
                <w:color w:val="000000"/>
                <w:sz w:val="20"/>
                <w:szCs w:val="20"/>
                <w:lang w:val="fr-FR" w:eastAsia="en-GB"/>
              </w:rPr>
            </w:pPr>
            <w:r w:rsidRPr="00A4333E">
              <w:rPr>
                <w:rFonts w:asciiTheme="minorHAnsi" w:eastAsia="Times New Roman" w:hAnsiTheme="minorHAnsi" w:cstheme="minorHAnsi"/>
                <w:b w:val="0"/>
                <w:bCs w:val="0"/>
                <w:color w:val="000000"/>
                <w:sz w:val="20"/>
                <w:szCs w:val="20"/>
                <w:lang w:val="fr-FR" w:eastAsia="en-GB"/>
              </w:rPr>
              <w:t>Panama</w:t>
            </w:r>
          </w:p>
        </w:tc>
        <w:tc>
          <w:tcPr>
            <w:tcW w:w="794" w:type="dxa"/>
            <w:vAlign w:val="center"/>
            <w:hideMark/>
          </w:tcPr>
          <w:p w14:paraId="542867ED"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2D27D7EC"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2,203 </w:t>
            </w:r>
          </w:p>
        </w:tc>
        <w:tc>
          <w:tcPr>
            <w:tcW w:w="794" w:type="dxa"/>
            <w:vAlign w:val="center"/>
            <w:hideMark/>
          </w:tcPr>
          <w:p w14:paraId="6C9356FE"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114 </w:t>
            </w:r>
          </w:p>
        </w:tc>
        <w:tc>
          <w:tcPr>
            <w:tcW w:w="794" w:type="dxa"/>
            <w:vAlign w:val="center"/>
            <w:hideMark/>
          </w:tcPr>
          <w:p w14:paraId="6B7D3B71"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3E5E50EB"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43530C61"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640ECA3D"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267180AB"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2,089 </w:t>
            </w:r>
          </w:p>
        </w:tc>
        <w:tc>
          <w:tcPr>
            <w:tcW w:w="794" w:type="dxa"/>
            <w:vAlign w:val="center"/>
            <w:hideMark/>
          </w:tcPr>
          <w:p w14:paraId="6B61F949"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w:t>
            </w:r>
          </w:p>
        </w:tc>
      </w:tr>
      <w:tr w:rsidR="002E149D" w:rsidRPr="00A4333E" w14:paraId="695B697E" w14:textId="77777777" w:rsidTr="00B938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noWrap/>
            <w:hideMark/>
          </w:tcPr>
          <w:p w14:paraId="675CB414" w14:textId="61BFE7EA" w:rsidR="002E149D" w:rsidRPr="00A4333E" w:rsidRDefault="003D64E6" w:rsidP="00483E42">
            <w:pPr>
              <w:ind w:left="0" w:firstLine="0"/>
              <w:rPr>
                <w:rFonts w:asciiTheme="minorHAnsi" w:eastAsia="Times New Roman" w:hAnsiTheme="minorHAnsi" w:cstheme="minorHAnsi"/>
                <w:b w:val="0"/>
                <w:bCs w:val="0"/>
                <w:color w:val="000000"/>
                <w:sz w:val="20"/>
                <w:szCs w:val="20"/>
                <w:lang w:val="fr-FR" w:eastAsia="en-GB"/>
              </w:rPr>
            </w:pPr>
            <w:r w:rsidRPr="00A4333E">
              <w:rPr>
                <w:rFonts w:asciiTheme="minorHAnsi" w:eastAsia="Times New Roman" w:hAnsiTheme="minorHAnsi" w:cstheme="minorHAnsi"/>
                <w:b w:val="0"/>
                <w:bCs w:val="0"/>
                <w:color w:val="000000"/>
                <w:sz w:val="20"/>
                <w:szCs w:val="20"/>
                <w:lang w:val="fr-FR" w:eastAsia="en-GB"/>
              </w:rPr>
              <w:t>Papouasie-Nouvelle-Guinée</w:t>
            </w:r>
          </w:p>
        </w:tc>
        <w:tc>
          <w:tcPr>
            <w:tcW w:w="794" w:type="dxa"/>
            <w:vAlign w:val="center"/>
            <w:hideMark/>
          </w:tcPr>
          <w:p w14:paraId="6A755B73"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4,000 </w:t>
            </w:r>
          </w:p>
        </w:tc>
        <w:tc>
          <w:tcPr>
            <w:tcW w:w="794" w:type="dxa"/>
            <w:vAlign w:val="center"/>
            <w:hideMark/>
          </w:tcPr>
          <w:p w14:paraId="3342321B"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1,000 </w:t>
            </w:r>
          </w:p>
        </w:tc>
        <w:tc>
          <w:tcPr>
            <w:tcW w:w="794" w:type="dxa"/>
            <w:vAlign w:val="center"/>
            <w:hideMark/>
          </w:tcPr>
          <w:p w14:paraId="0D88FBCC"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5B30673F"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6AF5C72F"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71E7341B"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4DC6EE83"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4,000 </w:t>
            </w:r>
          </w:p>
        </w:tc>
        <w:tc>
          <w:tcPr>
            <w:tcW w:w="794" w:type="dxa"/>
            <w:vAlign w:val="center"/>
            <w:hideMark/>
          </w:tcPr>
          <w:p w14:paraId="63B8F76C"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1,000 </w:t>
            </w:r>
          </w:p>
        </w:tc>
        <w:tc>
          <w:tcPr>
            <w:tcW w:w="794" w:type="dxa"/>
            <w:vAlign w:val="center"/>
            <w:hideMark/>
          </w:tcPr>
          <w:p w14:paraId="49F8D049"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w:t>
            </w:r>
          </w:p>
        </w:tc>
      </w:tr>
      <w:tr w:rsidR="002E149D" w:rsidRPr="00A4333E" w14:paraId="26E78689" w14:textId="77777777" w:rsidTr="00B938BE">
        <w:tc>
          <w:tcPr>
            <w:cnfStyle w:val="001000000000" w:firstRow="0" w:lastRow="0" w:firstColumn="1" w:lastColumn="0" w:oddVBand="0" w:evenVBand="0" w:oddHBand="0" w:evenHBand="0" w:firstRowFirstColumn="0" w:firstRowLastColumn="0" w:lastRowFirstColumn="0" w:lastRowLastColumn="0"/>
            <w:tcW w:w="1838" w:type="dxa"/>
            <w:noWrap/>
            <w:hideMark/>
          </w:tcPr>
          <w:p w14:paraId="72EAF2F8" w14:textId="77777777" w:rsidR="002E149D" w:rsidRPr="00A4333E" w:rsidRDefault="002E149D" w:rsidP="00483E42">
            <w:pPr>
              <w:ind w:left="0" w:firstLine="0"/>
              <w:rPr>
                <w:rFonts w:asciiTheme="minorHAnsi" w:eastAsia="Times New Roman" w:hAnsiTheme="minorHAnsi" w:cstheme="minorHAnsi"/>
                <w:b w:val="0"/>
                <w:bCs w:val="0"/>
                <w:color w:val="000000"/>
                <w:sz w:val="20"/>
                <w:szCs w:val="20"/>
                <w:lang w:val="fr-FR" w:eastAsia="en-GB"/>
              </w:rPr>
            </w:pPr>
            <w:r w:rsidRPr="00A4333E">
              <w:rPr>
                <w:rFonts w:asciiTheme="minorHAnsi" w:eastAsia="Times New Roman" w:hAnsiTheme="minorHAnsi" w:cstheme="minorHAnsi"/>
                <w:b w:val="0"/>
                <w:bCs w:val="0"/>
                <w:color w:val="000000"/>
                <w:sz w:val="20"/>
                <w:szCs w:val="20"/>
                <w:lang w:val="fr-FR" w:eastAsia="en-GB"/>
              </w:rPr>
              <w:t>Paraguay</w:t>
            </w:r>
          </w:p>
        </w:tc>
        <w:tc>
          <w:tcPr>
            <w:tcW w:w="794" w:type="dxa"/>
            <w:vAlign w:val="center"/>
            <w:hideMark/>
          </w:tcPr>
          <w:p w14:paraId="3A77F906"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1,217 </w:t>
            </w:r>
          </w:p>
        </w:tc>
        <w:tc>
          <w:tcPr>
            <w:tcW w:w="794" w:type="dxa"/>
            <w:vAlign w:val="center"/>
            <w:hideMark/>
          </w:tcPr>
          <w:p w14:paraId="2799286F"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1,000 </w:t>
            </w:r>
          </w:p>
        </w:tc>
        <w:tc>
          <w:tcPr>
            <w:tcW w:w="794" w:type="dxa"/>
            <w:vAlign w:val="center"/>
            <w:hideMark/>
          </w:tcPr>
          <w:p w14:paraId="39B0E837"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52C9612B"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1,217 </w:t>
            </w:r>
          </w:p>
        </w:tc>
        <w:tc>
          <w:tcPr>
            <w:tcW w:w="794" w:type="dxa"/>
            <w:vAlign w:val="center"/>
            <w:hideMark/>
          </w:tcPr>
          <w:p w14:paraId="12A18AA3"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1,000 </w:t>
            </w:r>
          </w:p>
        </w:tc>
        <w:tc>
          <w:tcPr>
            <w:tcW w:w="794" w:type="dxa"/>
            <w:vAlign w:val="center"/>
            <w:hideMark/>
          </w:tcPr>
          <w:p w14:paraId="5A5044CA"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546BCE5A"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46D82BC9"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w:t>
            </w:r>
          </w:p>
        </w:tc>
        <w:tc>
          <w:tcPr>
            <w:tcW w:w="794" w:type="dxa"/>
            <w:vAlign w:val="center"/>
            <w:hideMark/>
          </w:tcPr>
          <w:p w14:paraId="6E1496BB"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w:t>
            </w:r>
          </w:p>
        </w:tc>
      </w:tr>
      <w:tr w:rsidR="002E149D" w:rsidRPr="00A4333E" w14:paraId="6AB8D891" w14:textId="77777777" w:rsidTr="00B938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noWrap/>
            <w:hideMark/>
          </w:tcPr>
          <w:p w14:paraId="1B210053" w14:textId="77777777" w:rsidR="002E149D" w:rsidRPr="00A4333E" w:rsidRDefault="002E149D" w:rsidP="00483E42">
            <w:pPr>
              <w:ind w:left="0" w:firstLine="0"/>
              <w:rPr>
                <w:rFonts w:asciiTheme="minorHAnsi" w:eastAsia="Times New Roman" w:hAnsiTheme="minorHAnsi" w:cstheme="minorHAnsi"/>
                <w:b w:val="0"/>
                <w:bCs w:val="0"/>
                <w:color w:val="000000"/>
                <w:sz w:val="20"/>
                <w:szCs w:val="20"/>
                <w:lang w:val="fr-FR" w:eastAsia="en-GB"/>
              </w:rPr>
            </w:pPr>
            <w:r w:rsidRPr="00A4333E">
              <w:rPr>
                <w:rFonts w:asciiTheme="minorHAnsi" w:eastAsia="Times New Roman" w:hAnsiTheme="minorHAnsi" w:cstheme="minorHAnsi"/>
                <w:b w:val="0"/>
                <w:bCs w:val="0"/>
                <w:color w:val="000000"/>
                <w:sz w:val="20"/>
                <w:szCs w:val="20"/>
                <w:lang w:val="fr-FR" w:eastAsia="en-GB"/>
              </w:rPr>
              <w:t>Pays-Bas</w:t>
            </w:r>
          </w:p>
        </w:tc>
        <w:tc>
          <w:tcPr>
            <w:tcW w:w="794" w:type="dxa"/>
            <w:vAlign w:val="center"/>
            <w:hideMark/>
          </w:tcPr>
          <w:p w14:paraId="5C163FBA"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5C9798A9"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66,371 </w:t>
            </w:r>
          </w:p>
        </w:tc>
        <w:tc>
          <w:tcPr>
            <w:tcW w:w="794" w:type="dxa"/>
            <w:vAlign w:val="center"/>
            <w:hideMark/>
          </w:tcPr>
          <w:p w14:paraId="3EC88048"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2CEE31C9"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48F8A783"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66,371 </w:t>
            </w:r>
          </w:p>
        </w:tc>
        <w:tc>
          <w:tcPr>
            <w:tcW w:w="794" w:type="dxa"/>
            <w:vAlign w:val="center"/>
            <w:hideMark/>
          </w:tcPr>
          <w:p w14:paraId="063F2EF9"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40F9CCE4"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4A3616C7"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w:t>
            </w:r>
          </w:p>
        </w:tc>
        <w:tc>
          <w:tcPr>
            <w:tcW w:w="794" w:type="dxa"/>
            <w:vAlign w:val="center"/>
            <w:hideMark/>
          </w:tcPr>
          <w:p w14:paraId="1814A2DE"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w:t>
            </w:r>
          </w:p>
        </w:tc>
      </w:tr>
      <w:tr w:rsidR="002E149D" w:rsidRPr="00A4333E" w14:paraId="23566343" w14:textId="77777777" w:rsidTr="00B938BE">
        <w:tc>
          <w:tcPr>
            <w:cnfStyle w:val="001000000000" w:firstRow="0" w:lastRow="0" w:firstColumn="1" w:lastColumn="0" w:oddVBand="0" w:evenVBand="0" w:oddHBand="0" w:evenHBand="0" w:firstRowFirstColumn="0" w:firstRowLastColumn="0" w:lastRowFirstColumn="0" w:lastRowLastColumn="0"/>
            <w:tcW w:w="1838" w:type="dxa"/>
            <w:noWrap/>
            <w:hideMark/>
          </w:tcPr>
          <w:p w14:paraId="50591C2D" w14:textId="77777777" w:rsidR="002E149D" w:rsidRPr="00A4333E" w:rsidRDefault="002E149D" w:rsidP="00483E42">
            <w:pPr>
              <w:ind w:left="0" w:firstLine="0"/>
              <w:rPr>
                <w:rFonts w:asciiTheme="minorHAnsi" w:eastAsia="Times New Roman" w:hAnsiTheme="minorHAnsi" w:cstheme="minorHAnsi"/>
                <w:b w:val="0"/>
                <w:bCs w:val="0"/>
                <w:color w:val="000000"/>
                <w:sz w:val="20"/>
                <w:szCs w:val="20"/>
                <w:lang w:val="fr-FR" w:eastAsia="en-GB"/>
              </w:rPr>
            </w:pPr>
            <w:r w:rsidRPr="00A4333E">
              <w:rPr>
                <w:rFonts w:asciiTheme="minorHAnsi" w:eastAsia="Times New Roman" w:hAnsiTheme="minorHAnsi" w:cstheme="minorHAnsi"/>
                <w:b w:val="0"/>
                <w:bCs w:val="0"/>
                <w:color w:val="000000"/>
                <w:sz w:val="20"/>
                <w:szCs w:val="20"/>
                <w:lang w:val="fr-FR" w:eastAsia="en-GB"/>
              </w:rPr>
              <w:t>Pérou</w:t>
            </w:r>
          </w:p>
        </w:tc>
        <w:tc>
          <w:tcPr>
            <w:tcW w:w="794" w:type="dxa"/>
            <w:vAlign w:val="center"/>
            <w:hideMark/>
          </w:tcPr>
          <w:p w14:paraId="059ABA9A"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6,630 </w:t>
            </w:r>
          </w:p>
        </w:tc>
        <w:tc>
          <w:tcPr>
            <w:tcW w:w="794" w:type="dxa"/>
            <w:vAlign w:val="center"/>
            <w:hideMark/>
          </w:tcPr>
          <w:p w14:paraId="1BF547AA"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7,440 </w:t>
            </w:r>
          </w:p>
        </w:tc>
        <w:tc>
          <w:tcPr>
            <w:tcW w:w="794" w:type="dxa"/>
            <w:vAlign w:val="center"/>
            <w:hideMark/>
          </w:tcPr>
          <w:p w14:paraId="2BCB148F"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28E07696"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46321AA7"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0B35616C"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19E71D2A"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6,630 </w:t>
            </w:r>
          </w:p>
        </w:tc>
        <w:tc>
          <w:tcPr>
            <w:tcW w:w="794" w:type="dxa"/>
            <w:vAlign w:val="center"/>
            <w:hideMark/>
          </w:tcPr>
          <w:p w14:paraId="52569F2F"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7,440 </w:t>
            </w:r>
          </w:p>
        </w:tc>
        <w:tc>
          <w:tcPr>
            <w:tcW w:w="794" w:type="dxa"/>
            <w:vAlign w:val="center"/>
            <w:hideMark/>
          </w:tcPr>
          <w:p w14:paraId="6025C07D"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w:t>
            </w:r>
          </w:p>
        </w:tc>
      </w:tr>
      <w:tr w:rsidR="002E149D" w:rsidRPr="00A4333E" w14:paraId="3D9A5C22" w14:textId="77777777" w:rsidTr="00B938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noWrap/>
            <w:hideMark/>
          </w:tcPr>
          <w:p w14:paraId="442AD1BD" w14:textId="77777777" w:rsidR="002E149D" w:rsidRPr="00A4333E" w:rsidRDefault="002E149D" w:rsidP="00483E42">
            <w:pPr>
              <w:ind w:left="0" w:firstLine="0"/>
              <w:rPr>
                <w:rFonts w:asciiTheme="minorHAnsi" w:eastAsia="Times New Roman" w:hAnsiTheme="minorHAnsi" w:cstheme="minorHAnsi"/>
                <w:b w:val="0"/>
                <w:bCs w:val="0"/>
                <w:color w:val="000000"/>
                <w:sz w:val="20"/>
                <w:szCs w:val="20"/>
                <w:lang w:val="fr-FR" w:eastAsia="en-GB"/>
              </w:rPr>
            </w:pPr>
            <w:r w:rsidRPr="00A4333E">
              <w:rPr>
                <w:rFonts w:asciiTheme="minorHAnsi" w:eastAsia="Times New Roman" w:hAnsiTheme="minorHAnsi" w:cstheme="minorHAnsi"/>
                <w:b w:val="0"/>
                <w:bCs w:val="0"/>
                <w:color w:val="000000"/>
                <w:sz w:val="20"/>
                <w:szCs w:val="20"/>
                <w:lang w:val="fr-FR" w:eastAsia="en-GB"/>
              </w:rPr>
              <w:t>Philippines</w:t>
            </w:r>
          </w:p>
        </w:tc>
        <w:tc>
          <w:tcPr>
            <w:tcW w:w="794" w:type="dxa"/>
            <w:vAlign w:val="center"/>
            <w:hideMark/>
          </w:tcPr>
          <w:p w14:paraId="39BD15AE"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25F57BC5"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10,034 </w:t>
            </w:r>
          </w:p>
        </w:tc>
        <w:tc>
          <w:tcPr>
            <w:tcW w:w="794" w:type="dxa"/>
            <w:vAlign w:val="center"/>
            <w:hideMark/>
          </w:tcPr>
          <w:p w14:paraId="5599F9F3"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0F16C0C3"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76EDB860"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10,034 </w:t>
            </w:r>
          </w:p>
        </w:tc>
        <w:tc>
          <w:tcPr>
            <w:tcW w:w="794" w:type="dxa"/>
            <w:vAlign w:val="center"/>
            <w:hideMark/>
          </w:tcPr>
          <w:p w14:paraId="18C73C47"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2E603DF2"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3D3531B3"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w:t>
            </w:r>
          </w:p>
        </w:tc>
        <w:tc>
          <w:tcPr>
            <w:tcW w:w="794" w:type="dxa"/>
            <w:vAlign w:val="center"/>
            <w:hideMark/>
          </w:tcPr>
          <w:p w14:paraId="3CC07020"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w:t>
            </w:r>
          </w:p>
        </w:tc>
      </w:tr>
      <w:tr w:rsidR="002E149D" w:rsidRPr="00A4333E" w14:paraId="5591F7A8" w14:textId="77777777" w:rsidTr="00B938BE">
        <w:tc>
          <w:tcPr>
            <w:cnfStyle w:val="001000000000" w:firstRow="0" w:lastRow="0" w:firstColumn="1" w:lastColumn="0" w:oddVBand="0" w:evenVBand="0" w:oddHBand="0" w:evenHBand="0" w:firstRowFirstColumn="0" w:firstRowLastColumn="0" w:lastRowFirstColumn="0" w:lastRowLastColumn="0"/>
            <w:tcW w:w="1838" w:type="dxa"/>
            <w:noWrap/>
            <w:hideMark/>
          </w:tcPr>
          <w:p w14:paraId="65CD5C64" w14:textId="77777777" w:rsidR="002E149D" w:rsidRPr="00A4333E" w:rsidRDefault="002E149D" w:rsidP="00483E42">
            <w:pPr>
              <w:ind w:left="0" w:firstLine="0"/>
              <w:rPr>
                <w:rFonts w:asciiTheme="minorHAnsi" w:eastAsia="Times New Roman" w:hAnsiTheme="minorHAnsi" w:cstheme="minorHAnsi"/>
                <w:b w:val="0"/>
                <w:bCs w:val="0"/>
                <w:color w:val="000000"/>
                <w:sz w:val="20"/>
                <w:szCs w:val="20"/>
                <w:lang w:val="fr-FR" w:eastAsia="en-GB"/>
              </w:rPr>
            </w:pPr>
            <w:r w:rsidRPr="00A4333E">
              <w:rPr>
                <w:rFonts w:asciiTheme="minorHAnsi" w:eastAsia="Times New Roman" w:hAnsiTheme="minorHAnsi" w:cstheme="minorHAnsi"/>
                <w:b w:val="0"/>
                <w:bCs w:val="0"/>
                <w:color w:val="000000"/>
                <w:sz w:val="20"/>
                <w:szCs w:val="20"/>
                <w:lang w:val="fr-FR" w:eastAsia="en-GB"/>
              </w:rPr>
              <w:t>Pologne</w:t>
            </w:r>
          </w:p>
        </w:tc>
        <w:tc>
          <w:tcPr>
            <w:tcW w:w="794" w:type="dxa"/>
            <w:vAlign w:val="center"/>
            <w:hideMark/>
          </w:tcPr>
          <w:p w14:paraId="125E5294"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4792C0F8"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39,255 </w:t>
            </w:r>
          </w:p>
        </w:tc>
        <w:tc>
          <w:tcPr>
            <w:tcW w:w="794" w:type="dxa"/>
            <w:vAlign w:val="center"/>
            <w:hideMark/>
          </w:tcPr>
          <w:p w14:paraId="6401D5B0"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356FBAD9"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1A5FDE9E"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39,255 </w:t>
            </w:r>
          </w:p>
        </w:tc>
        <w:tc>
          <w:tcPr>
            <w:tcW w:w="794" w:type="dxa"/>
            <w:vAlign w:val="center"/>
            <w:hideMark/>
          </w:tcPr>
          <w:p w14:paraId="6AEC0752"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7BE1D044"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20FFCE18"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w:t>
            </w:r>
          </w:p>
        </w:tc>
        <w:tc>
          <w:tcPr>
            <w:tcW w:w="794" w:type="dxa"/>
            <w:vAlign w:val="center"/>
            <w:hideMark/>
          </w:tcPr>
          <w:p w14:paraId="10923F45"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w:t>
            </w:r>
          </w:p>
        </w:tc>
      </w:tr>
      <w:tr w:rsidR="002E149D" w:rsidRPr="00A4333E" w14:paraId="18D86B46" w14:textId="77777777" w:rsidTr="00B938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noWrap/>
            <w:hideMark/>
          </w:tcPr>
          <w:p w14:paraId="5BD6CDB5" w14:textId="77777777" w:rsidR="002E149D" w:rsidRPr="00A4333E" w:rsidRDefault="002E149D" w:rsidP="00483E42">
            <w:pPr>
              <w:ind w:left="0" w:firstLine="0"/>
              <w:rPr>
                <w:rFonts w:asciiTheme="minorHAnsi" w:eastAsia="Times New Roman" w:hAnsiTheme="minorHAnsi" w:cstheme="minorHAnsi"/>
                <w:b w:val="0"/>
                <w:bCs w:val="0"/>
                <w:color w:val="000000"/>
                <w:sz w:val="20"/>
                <w:szCs w:val="20"/>
                <w:lang w:val="fr-FR" w:eastAsia="en-GB"/>
              </w:rPr>
            </w:pPr>
            <w:r w:rsidRPr="00A4333E">
              <w:rPr>
                <w:rFonts w:asciiTheme="minorHAnsi" w:eastAsia="Times New Roman" w:hAnsiTheme="minorHAnsi" w:cstheme="minorHAnsi"/>
                <w:b w:val="0"/>
                <w:bCs w:val="0"/>
                <w:color w:val="000000"/>
                <w:sz w:val="20"/>
                <w:szCs w:val="20"/>
                <w:lang w:val="fr-FR" w:eastAsia="en-GB"/>
              </w:rPr>
              <w:t>Portugal</w:t>
            </w:r>
          </w:p>
        </w:tc>
        <w:tc>
          <w:tcPr>
            <w:tcW w:w="794" w:type="dxa"/>
            <w:vAlign w:val="center"/>
            <w:hideMark/>
          </w:tcPr>
          <w:p w14:paraId="5A9E8540"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0E6AC2B1"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17,131 </w:t>
            </w:r>
          </w:p>
        </w:tc>
        <w:tc>
          <w:tcPr>
            <w:tcW w:w="794" w:type="dxa"/>
            <w:vAlign w:val="center"/>
            <w:hideMark/>
          </w:tcPr>
          <w:p w14:paraId="30BBBCFE"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2D4E3B0F"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2D3C7FAC"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04FABF6E"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228E9F8D"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548BADBA"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17,131 </w:t>
            </w:r>
          </w:p>
        </w:tc>
        <w:tc>
          <w:tcPr>
            <w:tcW w:w="794" w:type="dxa"/>
            <w:vAlign w:val="center"/>
            <w:hideMark/>
          </w:tcPr>
          <w:p w14:paraId="0D9499AE"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w:t>
            </w:r>
          </w:p>
        </w:tc>
      </w:tr>
      <w:tr w:rsidR="002E149D" w:rsidRPr="00A4333E" w14:paraId="743935C7" w14:textId="77777777" w:rsidTr="00B938BE">
        <w:tc>
          <w:tcPr>
            <w:cnfStyle w:val="001000000000" w:firstRow="0" w:lastRow="0" w:firstColumn="1" w:lastColumn="0" w:oddVBand="0" w:evenVBand="0" w:oddHBand="0" w:evenHBand="0" w:firstRowFirstColumn="0" w:firstRowLastColumn="0" w:lastRowFirstColumn="0" w:lastRowLastColumn="0"/>
            <w:tcW w:w="1838" w:type="dxa"/>
            <w:noWrap/>
            <w:hideMark/>
          </w:tcPr>
          <w:p w14:paraId="419825B6" w14:textId="77777777" w:rsidR="002E149D" w:rsidRPr="00A4333E" w:rsidRDefault="002E149D" w:rsidP="00483E42">
            <w:pPr>
              <w:ind w:left="0" w:firstLine="0"/>
              <w:rPr>
                <w:rFonts w:asciiTheme="minorHAnsi" w:eastAsia="Times New Roman" w:hAnsiTheme="minorHAnsi" w:cstheme="minorHAnsi"/>
                <w:b w:val="0"/>
                <w:bCs w:val="0"/>
                <w:color w:val="000000"/>
                <w:sz w:val="20"/>
                <w:szCs w:val="20"/>
                <w:lang w:val="fr-FR" w:eastAsia="en-GB"/>
              </w:rPr>
            </w:pPr>
            <w:r w:rsidRPr="00A4333E">
              <w:rPr>
                <w:rFonts w:asciiTheme="minorHAnsi" w:eastAsia="Times New Roman" w:hAnsiTheme="minorHAnsi" w:cstheme="minorHAnsi"/>
                <w:b w:val="0"/>
                <w:bCs w:val="0"/>
                <w:color w:val="000000"/>
                <w:sz w:val="20"/>
                <w:szCs w:val="20"/>
                <w:lang w:val="fr-FR" w:eastAsia="en-GB"/>
              </w:rPr>
              <w:t>République arabe syrienne</w:t>
            </w:r>
          </w:p>
        </w:tc>
        <w:tc>
          <w:tcPr>
            <w:tcW w:w="794" w:type="dxa"/>
            <w:vAlign w:val="center"/>
            <w:hideMark/>
          </w:tcPr>
          <w:p w14:paraId="04EB8353"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4,348 </w:t>
            </w:r>
          </w:p>
        </w:tc>
        <w:tc>
          <w:tcPr>
            <w:tcW w:w="794" w:type="dxa"/>
            <w:vAlign w:val="center"/>
            <w:hideMark/>
          </w:tcPr>
          <w:p w14:paraId="5A19B036"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1,000 </w:t>
            </w:r>
          </w:p>
        </w:tc>
        <w:tc>
          <w:tcPr>
            <w:tcW w:w="794" w:type="dxa"/>
            <w:vAlign w:val="center"/>
            <w:hideMark/>
          </w:tcPr>
          <w:p w14:paraId="2689F623"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15B4737C"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46BF1C8F"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2CB782DA"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1723A410"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4,348 </w:t>
            </w:r>
          </w:p>
        </w:tc>
        <w:tc>
          <w:tcPr>
            <w:tcW w:w="794" w:type="dxa"/>
            <w:vAlign w:val="center"/>
            <w:hideMark/>
          </w:tcPr>
          <w:p w14:paraId="4D59BC80"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1,000 </w:t>
            </w:r>
          </w:p>
        </w:tc>
        <w:tc>
          <w:tcPr>
            <w:tcW w:w="794" w:type="dxa"/>
            <w:vAlign w:val="center"/>
            <w:hideMark/>
          </w:tcPr>
          <w:p w14:paraId="06A1474E"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w:t>
            </w:r>
          </w:p>
        </w:tc>
      </w:tr>
      <w:tr w:rsidR="002E149D" w:rsidRPr="00A4333E" w14:paraId="44449E65" w14:textId="77777777" w:rsidTr="00B938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noWrap/>
            <w:hideMark/>
          </w:tcPr>
          <w:p w14:paraId="51D10735" w14:textId="77777777" w:rsidR="002E149D" w:rsidRPr="00A4333E" w:rsidRDefault="002E149D" w:rsidP="00483E42">
            <w:pPr>
              <w:ind w:left="0" w:firstLine="0"/>
              <w:rPr>
                <w:rFonts w:asciiTheme="minorHAnsi" w:eastAsia="Times New Roman" w:hAnsiTheme="minorHAnsi" w:cstheme="minorHAnsi"/>
                <w:b w:val="0"/>
                <w:bCs w:val="0"/>
                <w:color w:val="000000"/>
                <w:sz w:val="20"/>
                <w:szCs w:val="20"/>
                <w:lang w:val="fr-FR" w:eastAsia="en-GB"/>
              </w:rPr>
            </w:pPr>
            <w:r w:rsidRPr="00A4333E">
              <w:rPr>
                <w:rFonts w:asciiTheme="minorHAnsi" w:eastAsia="Times New Roman" w:hAnsiTheme="minorHAnsi" w:cstheme="minorHAnsi"/>
                <w:b w:val="0"/>
                <w:bCs w:val="0"/>
                <w:color w:val="000000"/>
                <w:sz w:val="20"/>
                <w:szCs w:val="20"/>
                <w:lang w:val="fr-FR" w:eastAsia="en-GB"/>
              </w:rPr>
              <w:t>République centrafricaine</w:t>
            </w:r>
          </w:p>
        </w:tc>
        <w:tc>
          <w:tcPr>
            <w:tcW w:w="794" w:type="dxa"/>
            <w:vAlign w:val="center"/>
            <w:hideMark/>
          </w:tcPr>
          <w:p w14:paraId="5B0E5617"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2,605 </w:t>
            </w:r>
          </w:p>
        </w:tc>
        <w:tc>
          <w:tcPr>
            <w:tcW w:w="794" w:type="dxa"/>
            <w:vAlign w:val="center"/>
            <w:hideMark/>
          </w:tcPr>
          <w:p w14:paraId="5009A864"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1,000 </w:t>
            </w:r>
          </w:p>
        </w:tc>
        <w:tc>
          <w:tcPr>
            <w:tcW w:w="794" w:type="dxa"/>
            <w:vAlign w:val="center"/>
            <w:hideMark/>
          </w:tcPr>
          <w:p w14:paraId="1D8DDDB8"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667FAA11"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4AAC404B"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4D2B4939"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10A4F098"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2,605 </w:t>
            </w:r>
          </w:p>
        </w:tc>
        <w:tc>
          <w:tcPr>
            <w:tcW w:w="794" w:type="dxa"/>
            <w:vAlign w:val="center"/>
            <w:hideMark/>
          </w:tcPr>
          <w:p w14:paraId="22AEA560"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1,000 </w:t>
            </w:r>
          </w:p>
        </w:tc>
        <w:tc>
          <w:tcPr>
            <w:tcW w:w="794" w:type="dxa"/>
            <w:vAlign w:val="center"/>
            <w:hideMark/>
          </w:tcPr>
          <w:p w14:paraId="210B2985"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w:t>
            </w:r>
          </w:p>
        </w:tc>
      </w:tr>
      <w:tr w:rsidR="002E149D" w:rsidRPr="00A4333E" w14:paraId="0ABE7EA2" w14:textId="77777777" w:rsidTr="00B938BE">
        <w:tc>
          <w:tcPr>
            <w:cnfStyle w:val="001000000000" w:firstRow="0" w:lastRow="0" w:firstColumn="1" w:lastColumn="0" w:oddVBand="0" w:evenVBand="0" w:oddHBand="0" w:evenHBand="0" w:firstRowFirstColumn="0" w:firstRowLastColumn="0" w:lastRowFirstColumn="0" w:lastRowLastColumn="0"/>
            <w:tcW w:w="1838" w:type="dxa"/>
            <w:noWrap/>
            <w:hideMark/>
          </w:tcPr>
          <w:p w14:paraId="177D62AF" w14:textId="77777777" w:rsidR="002E149D" w:rsidRPr="00A4333E" w:rsidRDefault="002E149D" w:rsidP="00483E42">
            <w:pPr>
              <w:ind w:left="0" w:firstLine="0"/>
              <w:rPr>
                <w:rFonts w:asciiTheme="minorHAnsi" w:eastAsia="Times New Roman" w:hAnsiTheme="minorHAnsi" w:cstheme="minorHAnsi"/>
                <w:b w:val="0"/>
                <w:bCs w:val="0"/>
                <w:color w:val="000000"/>
                <w:sz w:val="20"/>
                <w:szCs w:val="20"/>
                <w:lang w:val="fr-FR" w:eastAsia="en-GB"/>
              </w:rPr>
            </w:pPr>
            <w:r w:rsidRPr="00A4333E">
              <w:rPr>
                <w:rFonts w:asciiTheme="minorHAnsi" w:eastAsia="Times New Roman" w:hAnsiTheme="minorHAnsi" w:cstheme="minorHAnsi"/>
                <w:b w:val="0"/>
                <w:bCs w:val="0"/>
                <w:color w:val="000000"/>
                <w:sz w:val="20"/>
                <w:szCs w:val="20"/>
                <w:lang w:val="fr-FR" w:eastAsia="en-GB"/>
              </w:rPr>
              <w:t>République de Corée</w:t>
            </w:r>
          </w:p>
        </w:tc>
        <w:tc>
          <w:tcPr>
            <w:tcW w:w="794" w:type="dxa"/>
            <w:vAlign w:val="center"/>
            <w:hideMark/>
          </w:tcPr>
          <w:p w14:paraId="403F8CD2"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610A256F"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110,960 </w:t>
            </w:r>
          </w:p>
        </w:tc>
        <w:tc>
          <w:tcPr>
            <w:tcW w:w="794" w:type="dxa"/>
            <w:vAlign w:val="center"/>
            <w:hideMark/>
          </w:tcPr>
          <w:p w14:paraId="5D4B08A9"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22982678"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420892B9"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110,960 </w:t>
            </w:r>
          </w:p>
        </w:tc>
        <w:tc>
          <w:tcPr>
            <w:tcW w:w="794" w:type="dxa"/>
            <w:vAlign w:val="center"/>
            <w:hideMark/>
          </w:tcPr>
          <w:p w14:paraId="5DF1A7D6"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1AC09469"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690A478D"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w:t>
            </w:r>
          </w:p>
        </w:tc>
        <w:tc>
          <w:tcPr>
            <w:tcW w:w="794" w:type="dxa"/>
            <w:vAlign w:val="center"/>
            <w:hideMark/>
          </w:tcPr>
          <w:p w14:paraId="4A67CA08"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w:t>
            </w:r>
          </w:p>
        </w:tc>
      </w:tr>
      <w:tr w:rsidR="002E149D" w:rsidRPr="00A4333E" w14:paraId="4A976937" w14:textId="77777777" w:rsidTr="00B938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noWrap/>
            <w:hideMark/>
          </w:tcPr>
          <w:p w14:paraId="490CCBA4" w14:textId="77777777" w:rsidR="002E149D" w:rsidRPr="00A4333E" w:rsidRDefault="002E149D" w:rsidP="00483E42">
            <w:pPr>
              <w:ind w:left="0" w:firstLine="0"/>
              <w:rPr>
                <w:rFonts w:asciiTheme="minorHAnsi" w:eastAsia="Times New Roman" w:hAnsiTheme="minorHAnsi" w:cstheme="minorHAnsi"/>
                <w:b w:val="0"/>
                <w:bCs w:val="0"/>
                <w:color w:val="000000"/>
                <w:sz w:val="20"/>
                <w:szCs w:val="20"/>
                <w:lang w:val="fr-FR" w:eastAsia="en-GB"/>
              </w:rPr>
            </w:pPr>
            <w:r w:rsidRPr="00A4333E">
              <w:rPr>
                <w:rFonts w:asciiTheme="minorHAnsi" w:eastAsia="Times New Roman" w:hAnsiTheme="minorHAnsi" w:cstheme="minorHAnsi"/>
                <w:b w:val="0"/>
                <w:bCs w:val="0"/>
                <w:color w:val="000000"/>
                <w:sz w:val="20"/>
                <w:szCs w:val="20"/>
                <w:lang w:val="fr-FR" w:eastAsia="en-GB"/>
              </w:rPr>
              <w:t xml:space="preserve">République de Moldova </w:t>
            </w:r>
          </w:p>
        </w:tc>
        <w:tc>
          <w:tcPr>
            <w:tcW w:w="794" w:type="dxa"/>
            <w:vAlign w:val="center"/>
            <w:hideMark/>
          </w:tcPr>
          <w:p w14:paraId="0AED34AA"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490A0851"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1,000 </w:t>
            </w:r>
          </w:p>
        </w:tc>
        <w:tc>
          <w:tcPr>
            <w:tcW w:w="794" w:type="dxa"/>
            <w:vAlign w:val="center"/>
            <w:hideMark/>
          </w:tcPr>
          <w:p w14:paraId="20EDEBDC"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627E27FE"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1CD129A5"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1F3767C6"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2B94DFB0"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095624BA"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1,000 </w:t>
            </w:r>
          </w:p>
        </w:tc>
        <w:tc>
          <w:tcPr>
            <w:tcW w:w="794" w:type="dxa"/>
            <w:vAlign w:val="center"/>
            <w:hideMark/>
          </w:tcPr>
          <w:p w14:paraId="48CBB97A"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w:t>
            </w:r>
          </w:p>
        </w:tc>
      </w:tr>
      <w:tr w:rsidR="002E149D" w:rsidRPr="00A4333E" w14:paraId="2124618A" w14:textId="77777777" w:rsidTr="00B938BE">
        <w:tc>
          <w:tcPr>
            <w:cnfStyle w:val="001000000000" w:firstRow="0" w:lastRow="0" w:firstColumn="1" w:lastColumn="0" w:oddVBand="0" w:evenVBand="0" w:oddHBand="0" w:evenHBand="0" w:firstRowFirstColumn="0" w:firstRowLastColumn="0" w:lastRowFirstColumn="0" w:lastRowLastColumn="0"/>
            <w:tcW w:w="1838" w:type="dxa"/>
            <w:noWrap/>
            <w:hideMark/>
          </w:tcPr>
          <w:p w14:paraId="2DAC5266" w14:textId="6317CE76" w:rsidR="002E149D" w:rsidRPr="00A4333E" w:rsidRDefault="002E149D" w:rsidP="00483E42">
            <w:pPr>
              <w:ind w:left="0" w:firstLine="0"/>
              <w:rPr>
                <w:rFonts w:asciiTheme="minorHAnsi" w:eastAsia="Times New Roman" w:hAnsiTheme="minorHAnsi" w:cstheme="minorHAnsi"/>
                <w:b w:val="0"/>
                <w:bCs w:val="0"/>
                <w:color w:val="000000"/>
                <w:sz w:val="20"/>
                <w:szCs w:val="20"/>
                <w:lang w:val="fr-FR" w:eastAsia="en-GB"/>
              </w:rPr>
            </w:pPr>
            <w:r w:rsidRPr="00A4333E">
              <w:rPr>
                <w:rFonts w:asciiTheme="minorHAnsi" w:eastAsia="Times New Roman" w:hAnsiTheme="minorHAnsi" w:cstheme="minorHAnsi"/>
                <w:b w:val="0"/>
                <w:bCs w:val="0"/>
                <w:color w:val="000000"/>
                <w:sz w:val="20"/>
                <w:szCs w:val="20"/>
                <w:lang w:val="fr-FR" w:eastAsia="en-GB"/>
              </w:rPr>
              <w:t xml:space="preserve">République </w:t>
            </w:r>
            <w:r w:rsidR="003D64E6" w:rsidRPr="00A4333E">
              <w:rPr>
                <w:rFonts w:asciiTheme="minorHAnsi" w:eastAsia="Times New Roman" w:hAnsiTheme="minorHAnsi" w:cstheme="minorHAnsi"/>
                <w:b w:val="0"/>
                <w:bCs w:val="0"/>
                <w:color w:val="000000"/>
                <w:sz w:val="20"/>
                <w:szCs w:val="20"/>
                <w:lang w:val="fr-FR" w:eastAsia="en-GB"/>
              </w:rPr>
              <w:t>démocratique</w:t>
            </w:r>
            <w:r w:rsidRPr="00A4333E">
              <w:rPr>
                <w:rFonts w:asciiTheme="minorHAnsi" w:eastAsia="Times New Roman" w:hAnsiTheme="minorHAnsi" w:cstheme="minorHAnsi"/>
                <w:b w:val="0"/>
                <w:bCs w:val="0"/>
                <w:color w:val="000000"/>
                <w:sz w:val="20"/>
                <w:szCs w:val="20"/>
                <w:lang w:val="fr-FR" w:eastAsia="en-GB"/>
              </w:rPr>
              <w:t xml:space="preserve"> du Congo</w:t>
            </w:r>
          </w:p>
        </w:tc>
        <w:tc>
          <w:tcPr>
            <w:tcW w:w="794" w:type="dxa"/>
            <w:vAlign w:val="center"/>
            <w:hideMark/>
          </w:tcPr>
          <w:p w14:paraId="46E1F0B7"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21,846 </w:t>
            </w:r>
          </w:p>
        </w:tc>
        <w:tc>
          <w:tcPr>
            <w:tcW w:w="794" w:type="dxa"/>
            <w:vAlign w:val="center"/>
            <w:hideMark/>
          </w:tcPr>
          <w:p w14:paraId="64DC7844"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1,000 </w:t>
            </w:r>
          </w:p>
        </w:tc>
        <w:tc>
          <w:tcPr>
            <w:tcW w:w="794" w:type="dxa"/>
            <w:vAlign w:val="center"/>
            <w:hideMark/>
          </w:tcPr>
          <w:p w14:paraId="78FEB618"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5E9CBE6A"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3E41C08D"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7B84A51B"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2ABEEC61"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21,846 </w:t>
            </w:r>
          </w:p>
        </w:tc>
        <w:tc>
          <w:tcPr>
            <w:tcW w:w="794" w:type="dxa"/>
            <w:vAlign w:val="center"/>
            <w:hideMark/>
          </w:tcPr>
          <w:p w14:paraId="797F0A8B"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1,000 </w:t>
            </w:r>
          </w:p>
        </w:tc>
        <w:tc>
          <w:tcPr>
            <w:tcW w:w="794" w:type="dxa"/>
            <w:vAlign w:val="center"/>
            <w:hideMark/>
          </w:tcPr>
          <w:p w14:paraId="19C47760"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w:t>
            </w:r>
          </w:p>
        </w:tc>
      </w:tr>
      <w:tr w:rsidR="002E149D" w:rsidRPr="00A4333E" w14:paraId="04D61743" w14:textId="77777777" w:rsidTr="00B938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noWrap/>
            <w:hideMark/>
          </w:tcPr>
          <w:p w14:paraId="0BBE9F70" w14:textId="77777777" w:rsidR="002E149D" w:rsidRPr="00A4333E" w:rsidRDefault="002E149D" w:rsidP="00483E42">
            <w:pPr>
              <w:ind w:left="0" w:firstLine="0"/>
              <w:rPr>
                <w:rFonts w:asciiTheme="minorHAnsi" w:eastAsia="Times New Roman" w:hAnsiTheme="minorHAnsi" w:cstheme="minorHAnsi"/>
                <w:b w:val="0"/>
                <w:bCs w:val="0"/>
                <w:color w:val="000000"/>
                <w:sz w:val="20"/>
                <w:szCs w:val="20"/>
                <w:lang w:val="fr-FR" w:eastAsia="en-GB"/>
              </w:rPr>
            </w:pPr>
            <w:r w:rsidRPr="00A4333E">
              <w:rPr>
                <w:rFonts w:asciiTheme="minorHAnsi" w:eastAsia="Times New Roman" w:hAnsiTheme="minorHAnsi" w:cstheme="minorHAnsi"/>
                <w:b w:val="0"/>
                <w:bCs w:val="0"/>
                <w:color w:val="000000"/>
                <w:sz w:val="20"/>
                <w:szCs w:val="20"/>
                <w:lang w:val="fr-FR" w:eastAsia="en-GB"/>
              </w:rPr>
              <w:t xml:space="preserve">République démocratique populaire de Corée </w:t>
            </w:r>
          </w:p>
        </w:tc>
        <w:tc>
          <w:tcPr>
            <w:tcW w:w="794" w:type="dxa"/>
            <w:vAlign w:val="center"/>
            <w:hideMark/>
          </w:tcPr>
          <w:p w14:paraId="2AF736EC"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2,583 </w:t>
            </w:r>
          </w:p>
        </w:tc>
        <w:tc>
          <w:tcPr>
            <w:tcW w:w="794" w:type="dxa"/>
            <w:vAlign w:val="center"/>
            <w:hideMark/>
          </w:tcPr>
          <w:p w14:paraId="6902CE27"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1,000 </w:t>
            </w:r>
          </w:p>
        </w:tc>
        <w:tc>
          <w:tcPr>
            <w:tcW w:w="794" w:type="dxa"/>
            <w:vAlign w:val="center"/>
            <w:hideMark/>
          </w:tcPr>
          <w:p w14:paraId="2BABA6E1"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732DD11D"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1,000 </w:t>
            </w:r>
          </w:p>
        </w:tc>
        <w:tc>
          <w:tcPr>
            <w:tcW w:w="794" w:type="dxa"/>
            <w:vAlign w:val="center"/>
            <w:hideMark/>
          </w:tcPr>
          <w:p w14:paraId="3FBC3B66"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333F8741"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2734A23B"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1,583 </w:t>
            </w:r>
          </w:p>
        </w:tc>
        <w:tc>
          <w:tcPr>
            <w:tcW w:w="794" w:type="dxa"/>
            <w:vAlign w:val="center"/>
            <w:hideMark/>
          </w:tcPr>
          <w:p w14:paraId="29406E34"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1,000 </w:t>
            </w:r>
          </w:p>
        </w:tc>
        <w:tc>
          <w:tcPr>
            <w:tcW w:w="794" w:type="dxa"/>
            <w:vAlign w:val="center"/>
            <w:hideMark/>
          </w:tcPr>
          <w:p w14:paraId="27D08048"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w:t>
            </w:r>
          </w:p>
        </w:tc>
      </w:tr>
      <w:tr w:rsidR="002E149D" w:rsidRPr="00A4333E" w14:paraId="2B058446" w14:textId="77777777" w:rsidTr="00B938BE">
        <w:tc>
          <w:tcPr>
            <w:cnfStyle w:val="001000000000" w:firstRow="0" w:lastRow="0" w:firstColumn="1" w:lastColumn="0" w:oddVBand="0" w:evenVBand="0" w:oddHBand="0" w:evenHBand="0" w:firstRowFirstColumn="0" w:firstRowLastColumn="0" w:lastRowFirstColumn="0" w:lastRowLastColumn="0"/>
            <w:tcW w:w="1838" w:type="dxa"/>
            <w:noWrap/>
            <w:hideMark/>
          </w:tcPr>
          <w:p w14:paraId="2447154C" w14:textId="77777777" w:rsidR="002E149D" w:rsidRPr="00A4333E" w:rsidRDefault="002E149D" w:rsidP="00483E42">
            <w:pPr>
              <w:ind w:left="0" w:firstLine="0"/>
              <w:rPr>
                <w:rFonts w:asciiTheme="minorHAnsi" w:eastAsia="Times New Roman" w:hAnsiTheme="minorHAnsi" w:cstheme="minorHAnsi"/>
                <w:b w:val="0"/>
                <w:bCs w:val="0"/>
                <w:color w:val="000000"/>
                <w:sz w:val="20"/>
                <w:szCs w:val="20"/>
                <w:lang w:val="fr-FR" w:eastAsia="en-GB"/>
              </w:rPr>
            </w:pPr>
            <w:r w:rsidRPr="00A4333E">
              <w:rPr>
                <w:rFonts w:asciiTheme="minorHAnsi" w:eastAsia="Times New Roman" w:hAnsiTheme="minorHAnsi" w:cstheme="minorHAnsi"/>
                <w:b w:val="0"/>
                <w:bCs w:val="0"/>
                <w:color w:val="000000"/>
                <w:sz w:val="20"/>
                <w:szCs w:val="20"/>
                <w:lang w:val="fr-FR" w:eastAsia="en-GB"/>
              </w:rPr>
              <w:t>République démocratique Populaire lao</w:t>
            </w:r>
          </w:p>
        </w:tc>
        <w:tc>
          <w:tcPr>
            <w:tcW w:w="794" w:type="dxa"/>
            <w:vAlign w:val="center"/>
            <w:hideMark/>
          </w:tcPr>
          <w:p w14:paraId="5608C1AD"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1,000 </w:t>
            </w:r>
          </w:p>
        </w:tc>
        <w:tc>
          <w:tcPr>
            <w:tcW w:w="794" w:type="dxa"/>
            <w:vAlign w:val="center"/>
            <w:hideMark/>
          </w:tcPr>
          <w:p w14:paraId="28FAE51D"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1,000 </w:t>
            </w:r>
          </w:p>
        </w:tc>
        <w:tc>
          <w:tcPr>
            <w:tcW w:w="794" w:type="dxa"/>
            <w:vAlign w:val="center"/>
            <w:hideMark/>
          </w:tcPr>
          <w:p w14:paraId="3C344627"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3C741DFC"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4DAF21E4"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52B3FD65"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5E0CF62A"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1,000 </w:t>
            </w:r>
          </w:p>
        </w:tc>
        <w:tc>
          <w:tcPr>
            <w:tcW w:w="794" w:type="dxa"/>
            <w:vAlign w:val="center"/>
            <w:hideMark/>
          </w:tcPr>
          <w:p w14:paraId="324C875E"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1,000 </w:t>
            </w:r>
          </w:p>
        </w:tc>
        <w:tc>
          <w:tcPr>
            <w:tcW w:w="794" w:type="dxa"/>
            <w:vAlign w:val="center"/>
            <w:hideMark/>
          </w:tcPr>
          <w:p w14:paraId="3CF20062"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w:t>
            </w:r>
          </w:p>
        </w:tc>
      </w:tr>
      <w:tr w:rsidR="002E149D" w:rsidRPr="00A4333E" w14:paraId="56BDD8CA" w14:textId="77777777" w:rsidTr="00B938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noWrap/>
            <w:hideMark/>
          </w:tcPr>
          <w:p w14:paraId="0DB02EA6" w14:textId="77777777" w:rsidR="002E149D" w:rsidRPr="00A4333E" w:rsidRDefault="002E149D" w:rsidP="00483E42">
            <w:pPr>
              <w:ind w:left="0" w:firstLine="0"/>
              <w:rPr>
                <w:rFonts w:asciiTheme="minorHAnsi" w:eastAsia="Times New Roman" w:hAnsiTheme="minorHAnsi" w:cstheme="minorHAnsi"/>
                <w:b w:val="0"/>
                <w:bCs w:val="0"/>
                <w:color w:val="000000"/>
                <w:sz w:val="20"/>
                <w:szCs w:val="20"/>
                <w:lang w:val="fr-FR" w:eastAsia="en-GB"/>
              </w:rPr>
            </w:pPr>
            <w:r w:rsidRPr="00A4333E">
              <w:rPr>
                <w:rFonts w:asciiTheme="minorHAnsi" w:eastAsia="Times New Roman" w:hAnsiTheme="minorHAnsi" w:cstheme="minorHAnsi"/>
                <w:b w:val="0"/>
                <w:bCs w:val="0"/>
                <w:color w:val="000000"/>
                <w:sz w:val="20"/>
                <w:szCs w:val="20"/>
                <w:lang w:val="fr-FR" w:eastAsia="en-GB"/>
              </w:rPr>
              <w:t>République dominicaine</w:t>
            </w:r>
          </w:p>
        </w:tc>
        <w:tc>
          <w:tcPr>
            <w:tcW w:w="794" w:type="dxa"/>
            <w:vAlign w:val="center"/>
            <w:hideMark/>
          </w:tcPr>
          <w:p w14:paraId="3AFA5924"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8,598 </w:t>
            </w:r>
          </w:p>
        </w:tc>
        <w:tc>
          <w:tcPr>
            <w:tcW w:w="794" w:type="dxa"/>
            <w:vAlign w:val="center"/>
            <w:hideMark/>
          </w:tcPr>
          <w:p w14:paraId="313A94D1"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2,594 </w:t>
            </w:r>
          </w:p>
        </w:tc>
        <w:tc>
          <w:tcPr>
            <w:tcW w:w="794" w:type="dxa"/>
            <w:vAlign w:val="center"/>
            <w:hideMark/>
          </w:tcPr>
          <w:p w14:paraId="2F6BEE7E"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5AA92612"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2,408 </w:t>
            </w:r>
          </w:p>
        </w:tc>
        <w:tc>
          <w:tcPr>
            <w:tcW w:w="794" w:type="dxa"/>
            <w:vAlign w:val="center"/>
            <w:hideMark/>
          </w:tcPr>
          <w:p w14:paraId="262679A0"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2D14B6FC"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0EBC9C72"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6,191 </w:t>
            </w:r>
          </w:p>
        </w:tc>
        <w:tc>
          <w:tcPr>
            <w:tcW w:w="794" w:type="dxa"/>
            <w:vAlign w:val="center"/>
            <w:hideMark/>
          </w:tcPr>
          <w:p w14:paraId="74CA6C0C"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2,594 </w:t>
            </w:r>
          </w:p>
        </w:tc>
        <w:tc>
          <w:tcPr>
            <w:tcW w:w="794" w:type="dxa"/>
            <w:vAlign w:val="center"/>
            <w:hideMark/>
          </w:tcPr>
          <w:p w14:paraId="149FEFC3"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w:t>
            </w:r>
          </w:p>
        </w:tc>
      </w:tr>
      <w:tr w:rsidR="002E149D" w:rsidRPr="00A4333E" w14:paraId="64BC6CED" w14:textId="77777777" w:rsidTr="00B938BE">
        <w:tc>
          <w:tcPr>
            <w:cnfStyle w:val="001000000000" w:firstRow="0" w:lastRow="0" w:firstColumn="1" w:lastColumn="0" w:oddVBand="0" w:evenVBand="0" w:oddHBand="0" w:evenHBand="0" w:firstRowFirstColumn="0" w:firstRowLastColumn="0" w:lastRowFirstColumn="0" w:lastRowLastColumn="0"/>
            <w:tcW w:w="1838" w:type="dxa"/>
            <w:noWrap/>
            <w:hideMark/>
          </w:tcPr>
          <w:p w14:paraId="4C32AC20" w14:textId="77777777" w:rsidR="002E149D" w:rsidRPr="00A4333E" w:rsidRDefault="002E149D" w:rsidP="00483E42">
            <w:pPr>
              <w:ind w:left="0" w:firstLine="0"/>
              <w:rPr>
                <w:rFonts w:asciiTheme="minorHAnsi" w:eastAsia="Times New Roman" w:hAnsiTheme="minorHAnsi" w:cstheme="minorHAnsi"/>
                <w:b w:val="0"/>
                <w:bCs w:val="0"/>
                <w:color w:val="000000"/>
                <w:sz w:val="20"/>
                <w:szCs w:val="20"/>
                <w:lang w:val="fr-FR" w:eastAsia="en-GB"/>
              </w:rPr>
            </w:pPr>
            <w:r w:rsidRPr="00A4333E">
              <w:rPr>
                <w:rFonts w:asciiTheme="minorHAnsi" w:eastAsia="Times New Roman" w:hAnsiTheme="minorHAnsi" w:cstheme="minorHAnsi"/>
                <w:b w:val="0"/>
                <w:bCs w:val="0"/>
                <w:color w:val="000000"/>
                <w:sz w:val="20"/>
                <w:szCs w:val="20"/>
                <w:lang w:val="fr-FR" w:eastAsia="en-GB"/>
              </w:rPr>
              <w:t>République-Unie de Tanzanie</w:t>
            </w:r>
          </w:p>
        </w:tc>
        <w:tc>
          <w:tcPr>
            <w:tcW w:w="794" w:type="dxa"/>
            <w:vAlign w:val="center"/>
            <w:hideMark/>
          </w:tcPr>
          <w:p w14:paraId="4F02334C"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11,000 </w:t>
            </w:r>
          </w:p>
        </w:tc>
        <w:tc>
          <w:tcPr>
            <w:tcW w:w="794" w:type="dxa"/>
            <w:vAlign w:val="center"/>
            <w:hideMark/>
          </w:tcPr>
          <w:p w14:paraId="2276C520"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1,000 </w:t>
            </w:r>
          </w:p>
        </w:tc>
        <w:tc>
          <w:tcPr>
            <w:tcW w:w="794" w:type="dxa"/>
            <w:vAlign w:val="center"/>
            <w:hideMark/>
          </w:tcPr>
          <w:p w14:paraId="41752049"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45646B2F"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1,000 </w:t>
            </w:r>
          </w:p>
        </w:tc>
        <w:tc>
          <w:tcPr>
            <w:tcW w:w="794" w:type="dxa"/>
            <w:vAlign w:val="center"/>
            <w:hideMark/>
          </w:tcPr>
          <w:p w14:paraId="3870BBAC"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57DC87E8"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4256A1A1"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10,000 </w:t>
            </w:r>
          </w:p>
        </w:tc>
        <w:tc>
          <w:tcPr>
            <w:tcW w:w="794" w:type="dxa"/>
            <w:vAlign w:val="center"/>
            <w:hideMark/>
          </w:tcPr>
          <w:p w14:paraId="108368DF"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1,000 </w:t>
            </w:r>
          </w:p>
        </w:tc>
        <w:tc>
          <w:tcPr>
            <w:tcW w:w="794" w:type="dxa"/>
            <w:vAlign w:val="center"/>
            <w:hideMark/>
          </w:tcPr>
          <w:p w14:paraId="1C5ADC26"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w:t>
            </w:r>
          </w:p>
        </w:tc>
      </w:tr>
      <w:tr w:rsidR="002E149D" w:rsidRPr="00A4333E" w14:paraId="24BD2E29" w14:textId="77777777" w:rsidTr="00B938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noWrap/>
            <w:hideMark/>
          </w:tcPr>
          <w:p w14:paraId="2BABB91C" w14:textId="77777777" w:rsidR="002E149D" w:rsidRPr="00A4333E" w:rsidRDefault="002E149D" w:rsidP="00483E42">
            <w:pPr>
              <w:ind w:left="0" w:firstLine="0"/>
              <w:rPr>
                <w:rFonts w:asciiTheme="minorHAnsi" w:eastAsia="Times New Roman" w:hAnsiTheme="minorHAnsi" w:cstheme="minorHAnsi"/>
                <w:b w:val="0"/>
                <w:bCs w:val="0"/>
                <w:color w:val="000000"/>
                <w:sz w:val="20"/>
                <w:szCs w:val="20"/>
                <w:lang w:val="fr-FR" w:eastAsia="en-GB"/>
              </w:rPr>
            </w:pPr>
            <w:r w:rsidRPr="00A4333E">
              <w:rPr>
                <w:rFonts w:asciiTheme="minorHAnsi" w:eastAsia="Times New Roman" w:hAnsiTheme="minorHAnsi" w:cstheme="minorHAnsi"/>
                <w:b w:val="0"/>
                <w:bCs w:val="0"/>
                <w:color w:val="000000"/>
                <w:sz w:val="20"/>
                <w:szCs w:val="20"/>
                <w:lang w:val="fr-FR" w:eastAsia="en-GB"/>
              </w:rPr>
              <w:t>Roumanie</w:t>
            </w:r>
          </w:p>
        </w:tc>
        <w:tc>
          <w:tcPr>
            <w:tcW w:w="794" w:type="dxa"/>
            <w:vAlign w:val="center"/>
            <w:hideMark/>
          </w:tcPr>
          <w:p w14:paraId="75E9280F"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0CB2ACD5"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9,691 </w:t>
            </w:r>
          </w:p>
        </w:tc>
        <w:tc>
          <w:tcPr>
            <w:tcW w:w="794" w:type="dxa"/>
            <w:vAlign w:val="center"/>
            <w:hideMark/>
          </w:tcPr>
          <w:p w14:paraId="3D9D11B7"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4DBD6502"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75D8DB29"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1B5CA124"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4B9EB59F"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22AA82E9"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9,691 </w:t>
            </w:r>
          </w:p>
        </w:tc>
        <w:tc>
          <w:tcPr>
            <w:tcW w:w="794" w:type="dxa"/>
            <w:vAlign w:val="center"/>
            <w:hideMark/>
          </w:tcPr>
          <w:p w14:paraId="026CD893"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w:t>
            </w:r>
          </w:p>
        </w:tc>
      </w:tr>
      <w:tr w:rsidR="002E149D" w:rsidRPr="00A4333E" w14:paraId="32ED43D6" w14:textId="77777777" w:rsidTr="00B938BE">
        <w:tc>
          <w:tcPr>
            <w:cnfStyle w:val="001000000000" w:firstRow="0" w:lastRow="0" w:firstColumn="1" w:lastColumn="0" w:oddVBand="0" w:evenVBand="0" w:oddHBand="0" w:evenHBand="0" w:firstRowFirstColumn="0" w:firstRowLastColumn="0" w:lastRowFirstColumn="0" w:lastRowLastColumn="0"/>
            <w:tcW w:w="1838" w:type="dxa"/>
            <w:noWrap/>
            <w:hideMark/>
          </w:tcPr>
          <w:p w14:paraId="08A09B90" w14:textId="77777777" w:rsidR="002E149D" w:rsidRPr="00A4333E" w:rsidRDefault="002E149D" w:rsidP="00483E42">
            <w:pPr>
              <w:ind w:left="0" w:firstLine="0"/>
              <w:rPr>
                <w:rFonts w:asciiTheme="minorHAnsi" w:eastAsia="Times New Roman" w:hAnsiTheme="minorHAnsi" w:cstheme="minorHAnsi"/>
                <w:b w:val="0"/>
                <w:bCs w:val="0"/>
                <w:color w:val="000000"/>
                <w:sz w:val="20"/>
                <w:szCs w:val="20"/>
                <w:lang w:val="fr-FR" w:eastAsia="en-GB"/>
              </w:rPr>
            </w:pPr>
            <w:r w:rsidRPr="00A4333E">
              <w:rPr>
                <w:rFonts w:asciiTheme="minorHAnsi" w:eastAsia="Times New Roman" w:hAnsiTheme="minorHAnsi" w:cstheme="minorHAnsi"/>
                <w:b w:val="0"/>
                <w:bCs w:val="0"/>
                <w:color w:val="000000"/>
                <w:sz w:val="20"/>
                <w:szCs w:val="20"/>
                <w:lang w:val="fr-FR" w:eastAsia="en-GB"/>
              </w:rPr>
              <w:t>Royaume-Uni de Grande-Bretagne et d’Irlande du Nord</w:t>
            </w:r>
          </w:p>
        </w:tc>
        <w:tc>
          <w:tcPr>
            <w:tcW w:w="794" w:type="dxa"/>
            <w:vAlign w:val="center"/>
            <w:hideMark/>
          </w:tcPr>
          <w:p w14:paraId="147CA46E"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0CBCBD85"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223,536 </w:t>
            </w:r>
          </w:p>
        </w:tc>
        <w:tc>
          <w:tcPr>
            <w:tcW w:w="794" w:type="dxa"/>
            <w:vAlign w:val="center"/>
            <w:hideMark/>
          </w:tcPr>
          <w:p w14:paraId="3FBF5B94"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61 </w:t>
            </w:r>
          </w:p>
        </w:tc>
        <w:tc>
          <w:tcPr>
            <w:tcW w:w="794" w:type="dxa"/>
            <w:vAlign w:val="center"/>
            <w:hideMark/>
          </w:tcPr>
          <w:p w14:paraId="2B290273"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5F4FCCC4"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223,475 </w:t>
            </w:r>
          </w:p>
        </w:tc>
        <w:tc>
          <w:tcPr>
            <w:tcW w:w="794" w:type="dxa"/>
            <w:vAlign w:val="center"/>
            <w:hideMark/>
          </w:tcPr>
          <w:p w14:paraId="136F76FD"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223,476 </w:t>
            </w:r>
          </w:p>
        </w:tc>
        <w:tc>
          <w:tcPr>
            <w:tcW w:w="794" w:type="dxa"/>
            <w:vAlign w:val="center"/>
            <w:hideMark/>
          </w:tcPr>
          <w:p w14:paraId="36347E16"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16D5D1FC"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w:t>
            </w:r>
          </w:p>
        </w:tc>
        <w:tc>
          <w:tcPr>
            <w:tcW w:w="794" w:type="dxa"/>
            <w:vAlign w:val="center"/>
            <w:hideMark/>
          </w:tcPr>
          <w:p w14:paraId="23E568AC"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223,476 </w:t>
            </w:r>
          </w:p>
        </w:tc>
      </w:tr>
      <w:tr w:rsidR="002E149D" w:rsidRPr="00A4333E" w14:paraId="163A6EFD" w14:textId="77777777" w:rsidTr="00B938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noWrap/>
            <w:hideMark/>
          </w:tcPr>
          <w:p w14:paraId="535028CE" w14:textId="77777777" w:rsidR="002E149D" w:rsidRPr="00A4333E" w:rsidRDefault="002E149D" w:rsidP="00483E42">
            <w:pPr>
              <w:ind w:left="0" w:firstLine="0"/>
              <w:rPr>
                <w:rFonts w:asciiTheme="minorHAnsi" w:eastAsia="Times New Roman" w:hAnsiTheme="minorHAnsi" w:cstheme="minorHAnsi"/>
                <w:b w:val="0"/>
                <w:bCs w:val="0"/>
                <w:color w:val="000000"/>
                <w:sz w:val="20"/>
                <w:szCs w:val="20"/>
                <w:lang w:val="fr-FR" w:eastAsia="en-GB"/>
              </w:rPr>
            </w:pPr>
            <w:r w:rsidRPr="00A4333E">
              <w:rPr>
                <w:rFonts w:asciiTheme="minorHAnsi" w:eastAsia="Times New Roman" w:hAnsiTheme="minorHAnsi" w:cstheme="minorHAnsi"/>
                <w:b w:val="0"/>
                <w:bCs w:val="0"/>
                <w:color w:val="000000"/>
                <w:sz w:val="20"/>
                <w:szCs w:val="20"/>
                <w:lang w:val="fr-FR" w:eastAsia="en-GB"/>
              </w:rPr>
              <w:t>Rwanda</w:t>
            </w:r>
          </w:p>
        </w:tc>
        <w:tc>
          <w:tcPr>
            <w:tcW w:w="794" w:type="dxa"/>
            <w:vAlign w:val="center"/>
            <w:hideMark/>
          </w:tcPr>
          <w:p w14:paraId="453A4C4A"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688D8A79"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1,000 </w:t>
            </w:r>
          </w:p>
        </w:tc>
        <w:tc>
          <w:tcPr>
            <w:tcW w:w="794" w:type="dxa"/>
            <w:vAlign w:val="center"/>
            <w:hideMark/>
          </w:tcPr>
          <w:p w14:paraId="19062AC3"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1CA33669"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3C6B1D22"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744963A9"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3E814115"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7FAA91AD"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1,000 </w:t>
            </w:r>
          </w:p>
        </w:tc>
        <w:tc>
          <w:tcPr>
            <w:tcW w:w="794" w:type="dxa"/>
            <w:vAlign w:val="center"/>
            <w:hideMark/>
          </w:tcPr>
          <w:p w14:paraId="4DA38BE3"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w:t>
            </w:r>
          </w:p>
        </w:tc>
      </w:tr>
      <w:tr w:rsidR="002E149D" w:rsidRPr="00A4333E" w14:paraId="27447D53" w14:textId="77777777" w:rsidTr="00B938BE">
        <w:tc>
          <w:tcPr>
            <w:cnfStyle w:val="001000000000" w:firstRow="0" w:lastRow="0" w:firstColumn="1" w:lastColumn="0" w:oddVBand="0" w:evenVBand="0" w:oddHBand="0" w:evenHBand="0" w:firstRowFirstColumn="0" w:firstRowLastColumn="0" w:lastRowFirstColumn="0" w:lastRowLastColumn="0"/>
            <w:tcW w:w="1838" w:type="dxa"/>
            <w:noWrap/>
            <w:hideMark/>
          </w:tcPr>
          <w:p w14:paraId="5AC0AC7C" w14:textId="77777777" w:rsidR="002E149D" w:rsidRPr="00A4333E" w:rsidRDefault="002E149D" w:rsidP="00483E42">
            <w:pPr>
              <w:ind w:left="0" w:firstLine="0"/>
              <w:rPr>
                <w:rFonts w:asciiTheme="minorHAnsi" w:eastAsia="Times New Roman" w:hAnsiTheme="minorHAnsi" w:cstheme="minorHAnsi"/>
                <w:b w:val="0"/>
                <w:bCs w:val="0"/>
                <w:color w:val="000000"/>
                <w:sz w:val="20"/>
                <w:szCs w:val="20"/>
                <w:lang w:val="fr-FR" w:eastAsia="en-GB"/>
              </w:rPr>
            </w:pPr>
            <w:r w:rsidRPr="00A4333E">
              <w:rPr>
                <w:rFonts w:asciiTheme="minorHAnsi" w:eastAsia="Times New Roman" w:hAnsiTheme="minorHAnsi" w:cstheme="minorHAnsi"/>
                <w:b w:val="0"/>
                <w:bCs w:val="0"/>
                <w:color w:val="000000"/>
                <w:sz w:val="20"/>
                <w:szCs w:val="20"/>
                <w:lang w:val="fr-FR" w:eastAsia="en-GB"/>
              </w:rPr>
              <w:t>Sainte-Lucie</w:t>
            </w:r>
          </w:p>
        </w:tc>
        <w:tc>
          <w:tcPr>
            <w:tcW w:w="794" w:type="dxa"/>
            <w:vAlign w:val="center"/>
            <w:hideMark/>
          </w:tcPr>
          <w:p w14:paraId="2CA60350"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77D9EDF9"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1,000 </w:t>
            </w:r>
          </w:p>
        </w:tc>
        <w:tc>
          <w:tcPr>
            <w:tcW w:w="794" w:type="dxa"/>
            <w:vAlign w:val="center"/>
            <w:hideMark/>
          </w:tcPr>
          <w:p w14:paraId="7E8B6875"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45334C36"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5BFF8942"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1,000 </w:t>
            </w:r>
          </w:p>
        </w:tc>
        <w:tc>
          <w:tcPr>
            <w:tcW w:w="794" w:type="dxa"/>
            <w:vAlign w:val="center"/>
            <w:hideMark/>
          </w:tcPr>
          <w:p w14:paraId="75419A6A"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70CDD4DB"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236BDB9B"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w:t>
            </w:r>
          </w:p>
        </w:tc>
        <w:tc>
          <w:tcPr>
            <w:tcW w:w="794" w:type="dxa"/>
            <w:vAlign w:val="center"/>
            <w:hideMark/>
          </w:tcPr>
          <w:p w14:paraId="7BD4A17F"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w:t>
            </w:r>
          </w:p>
        </w:tc>
      </w:tr>
      <w:tr w:rsidR="002E149D" w:rsidRPr="00A4333E" w14:paraId="35684F09" w14:textId="77777777" w:rsidTr="00B938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noWrap/>
            <w:hideMark/>
          </w:tcPr>
          <w:p w14:paraId="09889A1E" w14:textId="77777777" w:rsidR="002E149D" w:rsidRPr="00A4333E" w:rsidRDefault="002E149D" w:rsidP="00483E42">
            <w:pPr>
              <w:ind w:left="0" w:firstLine="0"/>
              <w:rPr>
                <w:rFonts w:asciiTheme="minorHAnsi" w:eastAsia="Times New Roman" w:hAnsiTheme="minorHAnsi" w:cstheme="minorHAnsi"/>
                <w:b w:val="0"/>
                <w:bCs w:val="0"/>
                <w:color w:val="000000"/>
                <w:sz w:val="20"/>
                <w:szCs w:val="20"/>
                <w:lang w:val="fr-FR" w:eastAsia="en-GB"/>
              </w:rPr>
            </w:pPr>
            <w:r w:rsidRPr="00A4333E">
              <w:rPr>
                <w:rFonts w:asciiTheme="minorHAnsi" w:eastAsia="Times New Roman" w:hAnsiTheme="minorHAnsi" w:cstheme="minorHAnsi"/>
                <w:b w:val="0"/>
                <w:bCs w:val="0"/>
                <w:color w:val="000000"/>
                <w:sz w:val="20"/>
                <w:szCs w:val="20"/>
                <w:lang w:val="fr-FR" w:eastAsia="en-GB"/>
              </w:rPr>
              <w:t>Samoa</w:t>
            </w:r>
          </w:p>
        </w:tc>
        <w:tc>
          <w:tcPr>
            <w:tcW w:w="794" w:type="dxa"/>
            <w:vAlign w:val="center"/>
            <w:hideMark/>
          </w:tcPr>
          <w:p w14:paraId="588D36E1"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2,000 </w:t>
            </w:r>
          </w:p>
        </w:tc>
        <w:tc>
          <w:tcPr>
            <w:tcW w:w="794" w:type="dxa"/>
            <w:vAlign w:val="center"/>
            <w:hideMark/>
          </w:tcPr>
          <w:p w14:paraId="3C7F489B"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1,000 </w:t>
            </w:r>
          </w:p>
        </w:tc>
        <w:tc>
          <w:tcPr>
            <w:tcW w:w="794" w:type="dxa"/>
            <w:vAlign w:val="center"/>
            <w:hideMark/>
          </w:tcPr>
          <w:p w14:paraId="7A11273D"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7F1B538E"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1,000 </w:t>
            </w:r>
          </w:p>
        </w:tc>
        <w:tc>
          <w:tcPr>
            <w:tcW w:w="794" w:type="dxa"/>
            <w:vAlign w:val="center"/>
            <w:hideMark/>
          </w:tcPr>
          <w:p w14:paraId="56616D4A"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72AA8FB7"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14584589"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1,000 </w:t>
            </w:r>
          </w:p>
        </w:tc>
        <w:tc>
          <w:tcPr>
            <w:tcW w:w="794" w:type="dxa"/>
            <w:vAlign w:val="center"/>
            <w:hideMark/>
          </w:tcPr>
          <w:p w14:paraId="19705B89"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1,000 </w:t>
            </w:r>
          </w:p>
        </w:tc>
        <w:tc>
          <w:tcPr>
            <w:tcW w:w="794" w:type="dxa"/>
            <w:vAlign w:val="center"/>
            <w:hideMark/>
          </w:tcPr>
          <w:p w14:paraId="0674442E"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w:t>
            </w:r>
          </w:p>
        </w:tc>
      </w:tr>
      <w:tr w:rsidR="002E149D" w:rsidRPr="00A4333E" w14:paraId="36228B11" w14:textId="77777777" w:rsidTr="00B938BE">
        <w:tc>
          <w:tcPr>
            <w:cnfStyle w:val="001000000000" w:firstRow="0" w:lastRow="0" w:firstColumn="1" w:lastColumn="0" w:oddVBand="0" w:evenVBand="0" w:oddHBand="0" w:evenHBand="0" w:firstRowFirstColumn="0" w:firstRowLastColumn="0" w:lastRowFirstColumn="0" w:lastRowLastColumn="0"/>
            <w:tcW w:w="1838" w:type="dxa"/>
            <w:noWrap/>
            <w:hideMark/>
          </w:tcPr>
          <w:p w14:paraId="7DACDA31" w14:textId="77777777" w:rsidR="002E149D" w:rsidRPr="00A4333E" w:rsidRDefault="002E149D" w:rsidP="00483E42">
            <w:pPr>
              <w:ind w:left="0" w:firstLine="0"/>
              <w:rPr>
                <w:rFonts w:asciiTheme="minorHAnsi" w:eastAsia="Times New Roman" w:hAnsiTheme="minorHAnsi" w:cstheme="minorHAnsi"/>
                <w:b w:val="0"/>
                <w:bCs w:val="0"/>
                <w:color w:val="000000"/>
                <w:sz w:val="20"/>
                <w:szCs w:val="20"/>
                <w:lang w:val="fr-FR" w:eastAsia="en-GB"/>
              </w:rPr>
            </w:pPr>
            <w:r w:rsidRPr="00A4333E">
              <w:rPr>
                <w:rFonts w:asciiTheme="minorHAnsi" w:eastAsia="Times New Roman" w:hAnsiTheme="minorHAnsi" w:cstheme="minorHAnsi"/>
                <w:b w:val="0"/>
                <w:bCs w:val="0"/>
                <w:color w:val="000000"/>
                <w:sz w:val="20"/>
                <w:szCs w:val="20"/>
                <w:lang w:val="fr-FR" w:eastAsia="en-GB"/>
              </w:rPr>
              <w:t>Sao Tomé-et- Principe</w:t>
            </w:r>
          </w:p>
        </w:tc>
        <w:tc>
          <w:tcPr>
            <w:tcW w:w="794" w:type="dxa"/>
            <w:vAlign w:val="center"/>
            <w:hideMark/>
          </w:tcPr>
          <w:p w14:paraId="6B3B8667"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14,000 </w:t>
            </w:r>
          </w:p>
        </w:tc>
        <w:tc>
          <w:tcPr>
            <w:tcW w:w="794" w:type="dxa"/>
            <w:vAlign w:val="center"/>
            <w:hideMark/>
          </w:tcPr>
          <w:p w14:paraId="65A02051"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1,000 </w:t>
            </w:r>
          </w:p>
        </w:tc>
        <w:tc>
          <w:tcPr>
            <w:tcW w:w="794" w:type="dxa"/>
            <w:vAlign w:val="center"/>
            <w:hideMark/>
          </w:tcPr>
          <w:p w14:paraId="4B04A9DA"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0CF4F5A7"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2C80B8E6"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61420FFE"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3E6C6535"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14,000 </w:t>
            </w:r>
          </w:p>
        </w:tc>
        <w:tc>
          <w:tcPr>
            <w:tcW w:w="794" w:type="dxa"/>
            <w:vAlign w:val="center"/>
            <w:hideMark/>
          </w:tcPr>
          <w:p w14:paraId="5F73653D"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1,000 </w:t>
            </w:r>
          </w:p>
        </w:tc>
        <w:tc>
          <w:tcPr>
            <w:tcW w:w="794" w:type="dxa"/>
            <w:vAlign w:val="center"/>
            <w:hideMark/>
          </w:tcPr>
          <w:p w14:paraId="68FFBDD5"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w:t>
            </w:r>
          </w:p>
        </w:tc>
      </w:tr>
      <w:tr w:rsidR="002E149D" w:rsidRPr="00A4333E" w14:paraId="20F6A185" w14:textId="77777777" w:rsidTr="00B938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noWrap/>
            <w:hideMark/>
          </w:tcPr>
          <w:p w14:paraId="663DDA39" w14:textId="77777777" w:rsidR="002E149D" w:rsidRPr="00A4333E" w:rsidRDefault="002E149D" w:rsidP="00483E42">
            <w:pPr>
              <w:ind w:left="0" w:firstLine="0"/>
              <w:rPr>
                <w:rFonts w:asciiTheme="minorHAnsi" w:eastAsia="Times New Roman" w:hAnsiTheme="minorHAnsi" w:cstheme="minorHAnsi"/>
                <w:b w:val="0"/>
                <w:bCs w:val="0"/>
                <w:color w:val="000000"/>
                <w:sz w:val="20"/>
                <w:szCs w:val="20"/>
                <w:lang w:val="fr-FR" w:eastAsia="en-GB"/>
              </w:rPr>
            </w:pPr>
            <w:r w:rsidRPr="00A4333E">
              <w:rPr>
                <w:rFonts w:asciiTheme="minorHAnsi" w:eastAsia="Times New Roman" w:hAnsiTheme="minorHAnsi" w:cstheme="minorHAnsi"/>
                <w:b w:val="0"/>
                <w:bCs w:val="0"/>
                <w:color w:val="000000"/>
                <w:sz w:val="20"/>
                <w:szCs w:val="20"/>
                <w:lang w:val="fr-FR" w:eastAsia="en-GB"/>
              </w:rPr>
              <w:t>Sénégal</w:t>
            </w:r>
          </w:p>
        </w:tc>
        <w:tc>
          <w:tcPr>
            <w:tcW w:w="794" w:type="dxa"/>
            <w:vAlign w:val="center"/>
            <w:hideMark/>
          </w:tcPr>
          <w:p w14:paraId="6DE9AEBF"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3,000 </w:t>
            </w:r>
          </w:p>
        </w:tc>
        <w:tc>
          <w:tcPr>
            <w:tcW w:w="794" w:type="dxa"/>
            <w:vAlign w:val="center"/>
            <w:hideMark/>
          </w:tcPr>
          <w:p w14:paraId="38E1C0C2"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1,000 </w:t>
            </w:r>
          </w:p>
        </w:tc>
        <w:tc>
          <w:tcPr>
            <w:tcW w:w="794" w:type="dxa"/>
            <w:vAlign w:val="center"/>
            <w:hideMark/>
          </w:tcPr>
          <w:p w14:paraId="47ACB78E"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480A9DB3"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5A50B112"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64A5DF98"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4A7FC52D"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3,000 </w:t>
            </w:r>
          </w:p>
        </w:tc>
        <w:tc>
          <w:tcPr>
            <w:tcW w:w="794" w:type="dxa"/>
            <w:vAlign w:val="center"/>
            <w:hideMark/>
          </w:tcPr>
          <w:p w14:paraId="22BC2BF6"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1,000 </w:t>
            </w:r>
          </w:p>
        </w:tc>
        <w:tc>
          <w:tcPr>
            <w:tcW w:w="794" w:type="dxa"/>
            <w:vAlign w:val="center"/>
            <w:hideMark/>
          </w:tcPr>
          <w:p w14:paraId="27EF4353"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w:t>
            </w:r>
          </w:p>
        </w:tc>
      </w:tr>
      <w:tr w:rsidR="002E149D" w:rsidRPr="00A4333E" w14:paraId="55AE0B48" w14:textId="77777777" w:rsidTr="00B938BE">
        <w:tc>
          <w:tcPr>
            <w:cnfStyle w:val="001000000000" w:firstRow="0" w:lastRow="0" w:firstColumn="1" w:lastColumn="0" w:oddVBand="0" w:evenVBand="0" w:oddHBand="0" w:evenHBand="0" w:firstRowFirstColumn="0" w:firstRowLastColumn="0" w:lastRowFirstColumn="0" w:lastRowLastColumn="0"/>
            <w:tcW w:w="1838" w:type="dxa"/>
            <w:noWrap/>
            <w:hideMark/>
          </w:tcPr>
          <w:p w14:paraId="309F210B" w14:textId="77777777" w:rsidR="002E149D" w:rsidRPr="00A4333E" w:rsidRDefault="002E149D" w:rsidP="00483E42">
            <w:pPr>
              <w:ind w:left="0" w:firstLine="0"/>
              <w:rPr>
                <w:rFonts w:asciiTheme="minorHAnsi" w:eastAsia="Times New Roman" w:hAnsiTheme="minorHAnsi" w:cstheme="minorHAnsi"/>
                <w:b w:val="0"/>
                <w:bCs w:val="0"/>
                <w:color w:val="000000"/>
                <w:sz w:val="20"/>
                <w:szCs w:val="20"/>
                <w:lang w:val="fr-FR" w:eastAsia="en-GB"/>
              </w:rPr>
            </w:pPr>
            <w:r w:rsidRPr="00A4333E">
              <w:rPr>
                <w:rFonts w:asciiTheme="minorHAnsi" w:eastAsia="Times New Roman" w:hAnsiTheme="minorHAnsi" w:cstheme="minorHAnsi"/>
                <w:b w:val="0"/>
                <w:bCs w:val="0"/>
                <w:color w:val="000000"/>
                <w:sz w:val="20"/>
                <w:szCs w:val="20"/>
                <w:lang w:val="fr-FR" w:eastAsia="en-GB"/>
              </w:rPr>
              <w:t>Serbie</w:t>
            </w:r>
          </w:p>
        </w:tc>
        <w:tc>
          <w:tcPr>
            <w:tcW w:w="794" w:type="dxa"/>
            <w:vAlign w:val="center"/>
            <w:hideMark/>
          </w:tcPr>
          <w:p w14:paraId="63C35F89"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593501FB"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1,370 </w:t>
            </w:r>
          </w:p>
        </w:tc>
        <w:tc>
          <w:tcPr>
            <w:tcW w:w="794" w:type="dxa"/>
            <w:vAlign w:val="center"/>
            <w:hideMark/>
          </w:tcPr>
          <w:p w14:paraId="6199D3A5"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65595C7F"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303E6222"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1,370 </w:t>
            </w:r>
          </w:p>
        </w:tc>
        <w:tc>
          <w:tcPr>
            <w:tcW w:w="794" w:type="dxa"/>
            <w:vAlign w:val="center"/>
            <w:hideMark/>
          </w:tcPr>
          <w:p w14:paraId="64477EB4"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25D49CC1"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688E5806"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w:t>
            </w:r>
          </w:p>
        </w:tc>
        <w:tc>
          <w:tcPr>
            <w:tcW w:w="794" w:type="dxa"/>
            <w:vAlign w:val="center"/>
            <w:hideMark/>
          </w:tcPr>
          <w:p w14:paraId="37D3DC0F"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w:t>
            </w:r>
          </w:p>
        </w:tc>
      </w:tr>
      <w:tr w:rsidR="002E149D" w:rsidRPr="00A4333E" w14:paraId="2103B5CC" w14:textId="77777777" w:rsidTr="00B938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noWrap/>
            <w:hideMark/>
          </w:tcPr>
          <w:p w14:paraId="10F3AF36" w14:textId="77777777" w:rsidR="002E149D" w:rsidRPr="00A4333E" w:rsidRDefault="002E149D" w:rsidP="00483E42">
            <w:pPr>
              <w:ind w:left="0" w:firstLine="0"/>
              <w:rPr>
                <w:rFonts w:asciiTheme="minorHAnsi" w:eastAsia="Times New Roman" w:hAnsiTheme="minorHAnsi" w:cstheme="minorHAnsi"/>
                <w:b w:val="0"/>
                <w:bCs w:val="0"/>
                <w:color w:val="000000"/>
                <w:sz w:val="20"/>
                <w:szCs w:val="20"/>
                <w:lang w:val="fr-FR" w:eastAsia="en-GB"/>
              </w:rPr>
            </w:pPr>
            <w:r w:rsidRPr="00A4333E">
              <w:rPr>
                <w:rFonts w:asciiTheme="minorHAnsi" w:eastAsia="Times New Roman" w:hAnsiTheme="minorHAnsi" w:cstheme="minorHAnsi"/>
                <w:b w:val="0"/>
                <w:bCs w:val="0"/>
                <w:color w:val="000000"/>
                <w:sz w:val="20"/>
                <w:szCs w:val="20"/>
                <w:lang w:val="fr-FR" w:eastAsia="en-GB"/>
              </w:rPr>
              <w:t>Seychelles</w:t>
            </w:r>
          </w:p>
        </w:tc>
        <w:tc>
          <w:tcPr>
            <w:tcW w:w="794" w:type="dxa"/>
            <w:vAlign w:val="center"/>
            <w:hideMark/>
          </w:tcPr>
          <w:p w14:paraId="6F956D3A"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2,000 </w:t>
            </w:r>
          </w:p>
        </w:tc>
        <w:tc>
          <w:tcPr>
            <w:tcW w:w="794" w:type="dxa"/>
            <w:vAlign w:val="center"/>
            <w:hideMark/>
          </w:tcPr>
          <w:p w14:paraId="528C3644"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1,000 </w:t>
            </w:r>
          </w:p>
        </w:tc>
        <w:tc>
          <w:tcPr>
            <w:tcW w:w="794" w:type="dxa"/>
            <w:vAlign w:val="center"/>
            <w:hideMark/>
          </w:tcPr>
          <w:p w14:paraId="680AB3A1"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7D9A1B06"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2,000 </w:t>
            </w:r>
          </w:p>
        </w:tc>
        <w:tc>
          <w:tcPr>
            <w:tcW w:w="794" w:type="dxa"/>
            <w:vAlign w:val="center"/>
            <w:hideMark/>
          </w:tcPr>
          <w:p w14:paraId="1C0BB8D5"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1,000 </w:t>
            </w:r>
          </w:p>
        </w:tc>
        <w:tc>
          <w:tcPr>
            <w:tcW w:w="794" w:type="dxa"/>
            <w:vAlign w:val="center"/>
            <w:hideMark/>
          </w:tcPr>
          <w:p w14:paraId="08BE7C67"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0EB737AA"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25DF29BC"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w:t>
            </w:r>
          </w:p>
        </w:tc>
        <w:tc>
          <w:tcPr>
            <w:tcW w:w="794" w:type="dxa"/>
            <w:vAlign w:val="center"/>
            <w:hideMark/>
          </w:tcPr>
          <w:p w14:paraId="7D50D4E1"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w:t>
            </w:r>
          </w:p>
        </w:tc>
      </w:tr>
      <w:tr w:rsidR="002E149D" w:rsidRPr="00A4333E" w14:paraId="72BD1C6B" w14:textId="77777777" w:rsidTr="00B938BE">
        <w:tc>
          <w:tcPr>
            <w:cnfStyle w:val="001000000000" w:firstRow="0" w:lastRow="0" w:firstColumn="1" w:lastColumn="0" w:oddVBand="0" w:evenVBand="0" w:oddHBand="0" w:evenHBand="0" w:firstRowFirstColumn="0" w:firstRowLastColumn="0" w:lastRowFirstColumn="0" w:lastRowLastColumn="0"/>
            <w:tcW w:w="1838" w:type="dxa"/>
            <w:noWrap/>
            <w:hideMark/>
          </w:tcPr>
          <w:p w14:paraId="266228E7" w14:textId="77777777" w:rsidR="002E149D" w:rsidRPr="00A4333E" w:rsidRDefault="002E149D" w:rsidP="00483E42">
            <w:pPr>
              <w:ind w:left="0" w:firstLine="0"/>
              <w:rPr>
                <w:rFonts w:asciiTheme="minorHAnsi" w:eastAsia="Times New Roman" w:hAnsiTheme="minorHAnsi" w:cstheme="minorHAnsi"/>
                <w:b w:val="0"/>
                <w:bCs w:val="0"/>
                <w:color w:val="000000"/>
                <w:sz w:val="20"/>
                <w:szCs w:val="20"/>
                <w:lang w:val="fr-FR" w:eastAsia="en-GB"/>
              </w:rPr>
            </w:pPr>
            <w:r w:rsidRPr="00A4333E">
              <w:rPr>
                <w:rFonts w:asciiTheme="minorHAnsi" w:eastAsia="Times New Roman" w:hAnsiTheme="minorHAnsi" w:cstheme="minorHAnsi"/>
                <w:b w:val="0"/>
                <w:bCs w:val="0"/>
                <w:color w:val="000000"/>
                <w:sz w:val="20"/>
                <w:szCs w:val="20"/>
                <w:lang w:val="fr-FR" w:eastAsia="en-GB"/>
              </w:rPr>
              <w:t>Sierra Leone</w:t>
            </w:r>
          </w:p>
        </w:tc>
        <w:tc>
          <w:tcPr>
            <w:tcW w:w="794" w:type="dxa"/>
            <w:vAlign w:val="center"/>
            <w:hideMark/>
          </w:tcPr>
          <w:p w14:paraId="1EC7FEEF"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4,377 </w:t>
            </w:r>
          </w:p>
        </w:tc>
        <w:tc>
          <w:tcPr>
            <w:tcW w:w="794" w:type="dxa"/>
            <w:vAlign w:val="center"/>
            <w:hideMark/>
          </w:tcPr>
          <w:p w14:paraId="798BE891"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1,000 </w:t>
            </w:r>
          </w:p>
        </w:tc>
        <w:tc>
          <w:tcPr>
            <w:tcW w:w="794" w:type="dxa"/>
            <w:vAlign w:val="center"/>
            <w:hideMark/>
          </w:tcPr>
          <w:p w14:paraId="07660967"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7083584E"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79DFA8C3"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145A2792"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61ACC0B6"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4,377 </w:t>
            </w:r>
          </w:p>
        </w:tc>
        <w:tc>
          <w:tcPr>
            <w:tcW w:w="794" w:type="dxa"/>
            <w:vAlign w:val="center"/>
            <w:hideMark/>
          </w:tcPr>
          <w:p w14:paraId="3B69FA8E"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1,000 </w:t>
            </w:r>
          </w:p>
        </w:tc>
        <w:tc>
          <w:tcPr>
            <w:tcW w:w="794" w:type="dxa"/>
            <w:vAlign w:val="center"/>
            <w:hideMark/>
          </w:tcPr>
          <w:p w14:paraId="6BBDFDC3"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w:t>
            </w:r>
          </w:p>
        </w:tc>
      </w:tr>
      <w:tr w:rsidR="002E149D" w:rsidRPr="00A4333E" w14:paraId="473029FA" w14:textId="77777777" w:rsidTr="00B938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noWrap/>
            <w:hideMark/>
          </w:tcPr>
          <w:p w14:paraId="5BF83B5E" w14:textId="77777777" w:rsidR="002E149D" w:rsidRPr="00A4333E" w:rsidRDefault="002E149D" w:rsidP="00483E42">
            <w:pPr>
              <w:ind w:left="0" w:firstLine="0"/>
              <w:rPr>
                <w:rFonts w:asciiTheme="minorHAnsi" w:eastAsia="Times New Roman" w:hAnsiTheme="minorHAnsi" w:cstheme="minorHAnsi"/>
                <w:b w:val="0"/>
                <w:bCs w:val="0"/>
                <w:color w:val="000000"/>
                <w:sz w:val="20"/>
                <w:szCs w:val="20"/>
                <w:lang w:val="fr-FR" w:eastAsia="en-GB"/>
              </w:rPr>
            </w:pPr>
            <w:r w:rsidRPr="00A4333E">
              <w:rPr>
                <w:rFonts w:asciiTheme="minorHAnsi" w:eastAsia="Times New Roman" w:hAnsiTheme="minorHAnsi" w:cstheme="minorHAnsi"/>
                <w:b w:val="0"/>
                <w:bCs w:val="0"/>
                <w:color w:val="000000"/>
                <w:sz w:val="20"/>
                <w:szCs w:val="20"/>
                <w:lang w:val="fr-FR" w:eastAsia="en-GB"/>
              </w:rPr>
              <w:t>Slovaquie</w:t>
            </w:r>
          </w:p>
        </w:tc>
        <w:tc>
          <w:tcPr>
            <w:tcW w:w="794" w:type="dxa"/>
            <w:vAlign w:val="center"/>
            <w:hideMark/>
          </w:tcPr>
          <w:p w14:paraId="5D0A60C9"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722FDE7A"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7,489 </w:t>
            </w:r>
          </w:p>
        </w:tc>
        <w:tc>
          <w:tcPr>
            <w:tcW w:w="794" w:type="dxa"/>
            <w:vAlign w:val="center"/>
            <w:hideMark/>
          </w:tcPr>
          <w:p w14:paraId="3176D7E5"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3745437C"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773AB6F9"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7,489 </w:t>
            </w:r>
          </w:p>
        </w:tc>
        <w:tc>
          <w:tcPr>
            <w:tcW w:w="794" w:type="dxa"/>
            <w:vAlign w:val="center"/>
            <w:hideMark/>
          </w:tcPr>
          <w:p w14:paraId="228A60E0"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31B332F0"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42B5F88E"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w:t>
            </w:r>
          </w:p>
        </w:tc>
        <w:tc>
          <w:tcPr>
            <w:tcW w:w="794" w:type="dxa"/>
            <w:vAlign w:val="center"/>
            <w:hideMark/>
          </w:tcPr>
          <w:p w14:paraId="5A0D317B"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w:t>
            </w:r>
          </w:p>
        </w:tc>
      </w:tr>
      <w:tr w:rsidR="002E149D" w:rsidRPr="00A4333E" w14:paraId="532D0834" w14:textId="77777777" w:rsidTr="00B938BE">
        <w:tc>
          <w:tcPr>
            <w:cnfStyle w:val="001000000000" w:firstRow="0" w:lastRow="0" w:firstColumn="1" w:lastColumn="0" w:oddVBand="0" w:evenVBand="0" w:oddHBand="0" w:evenHBand="0" w:firstRowFirstColumn="0" w:firstRowLastColumn="0" w:lastRowFirstColumn="0" w:lastRowLastColumn="0"/>
            <w:tcW w:w="1838" w:type="dxa"/>
            <w:noWrap/>
            <w:hideMark/>
          </w:tcPr>
          <w:p w14:paraId="1DC7440C" w14:textId="77777777" w:rsidR="002E149D" w:rsidRPr="00A4333E" w:rsidRDefault="002E149D" w:rsidP="00483E42">
            <w:pPr>
              <w:ind w:left="0" w:firstLine="0"/>
              <w:rPr>
                <w:rFonts w:asciiTheme="minorHAnsi" w:eastAsia="Times New Roman" w:hAnsiTheme="minorHAnsi" w:cstheme="minorHAnsi"/>
                <w:b w:val="0"/>
                <w:bCs w:val="0"/>
                <w:color w:val="000000"/>
                <w:sz w:val="20"/>
                <w:szCs w:val="20"/>
                <w:lang w:val="fr-FR" w:eastAsia="en-GB"/>
              </w:rPr>
            </w:pPr>
            <w:r w:rsidRPr="00A4333E">
              <w:rPr>
                <w:rFonts w:asciiTheme="minorHAnsi" w:eastAsia="Times New Roman" w:hAnsiTheme="minorHAnsi" w:cstheme="minorHAnsi"/>
                <w:b w:val="0"/>
                <w:bCs w:val="0"/>
                <w:color w:val="000000"/>
                <w:sz w:val="20"/>
                <w:szCs w:val="20"/>
                <w:lang w:val="fr-FR" w:eastAsia="en-GB"/>
              </w:rPr>
              <w:t>Slovénie</w:t>
            </w:r>
          </w:p>
        </w:tc>
        <w:tc>
          <w:tcPr>
            <w:tcW w:w="794" w:type="dxa"/>
            <w:vAlign w:val="center"/>
            <w:hideMark/>
          </w:tcPr>
          <w:p w14:paraId="008A4D3D"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54C1DE92"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3,720 </w:t>
            </w:r>
          </w:p>
        </w:tc>
        <w:tc>
          <w:tcPr>
            <w:tcW w:w="794" w:type="dxa"/>
            <w:vAlign w:val="center"/>
            <w:hideMark/>
          </w:tcPr>
          <w:p w14:paraId="2C8476D6"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70CFAEFB"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6A78B8B6"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3,720 </w:t>
            </w:r>
          </w:p>
        </w:tc>
        <w:tc>
          <w:tcPr>
            <w:tcW w:w="794" w:type="dxa"/>
            <w:vAlign w:val="center"/>
            <w:hideMark/>
          </w:tcPr>
          <w:p w14:paraId="3452FCC1"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6EB73B65"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066E963E"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w:t>
            </w:r>
          </w:p>
        </w:tc>
        <w:tc>
          <w:tcPr>
            <w:tcW w:w="794" w:type="dxa"/>
            <w:vAlign w:val="center"/>
            <w:hideMark/>
          </w:tcPr>
          <w:p w14:paraId="5B868870"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w:t>
            </w:r>
          </w:p>
        </w:tc>
      </w:tr>
      <w:tr w:rsidR="002E149D" w:rsidRPr="00A4333E" w14:paraId="6D8224B8" w14:textId="77777777" w:rsidTr="00B938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noWrap/>
            <w:hideMark/>
          </w:tcPr>
          <w:p w14:paraId="01A092BA" w14:textId="77777777" w:rsidR="002E149D" w:rsidRPr="00A4333E" w:rsidRDefault="002E149D" w:rsidP="00483E42">
            <w:pPr>
              <w:ind w:left="0" w:firstLine="0"/>
              <w:rPr>
                <w:rFonts w:asciiTheme="minorHAnsi" w:eastAsia="Times New Roman" w:hAnsiTheme="minorHAnsi" w:cstheme="minorHAnsi"/>
                <w:b w:val="0"/>
                <w:bCs w:val="0"/>
                <w:color w:val="000000"/>
                <w:sz w:val="20"/>
                <w:szCs w:val="20"/>
                <w:lang w:val="fr-FR" w:eastAsia="en-GB"/>
              </w:rPr>
            </w:pPr>
            <w:r w:rsidRPr="00A4333E">
              <w:rPr>
                <w:rFonts w:asciiTheme="minorHAnsi" w:eastAsia="Times New Roman" w:hAnsiTheme="minorHAnsi" w:cstheme="minorHAnsi"/>
                <w:b w:val="0"/>
                <w:bCs w:val="0"/>
                <w:color w:val="000000"/>
                <w:sz w:val="20"/>
                <w:szCs w:val="20"/>
                <w:lang w:val="fr-FR" w:eastAsia="en-GB"/>
              </w:rPr>
              <w:lastRenderedPageBreak/>
              <w:t>Soudan</w:t>
            </w:r>
          </w:p>
        </w:tc>
        <w:tc>
          <w:tcPr>
            <w:tcW w:w="794" w:type="dxa"/>
            <w:vAlign w:val="center"/>
            <w:hideMark/>
          </w:tcPr>
          <w:p w14:paraId="0829A943"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15,000 </w:t>
            </w:r>
          </w:p>
        </w:tc>
        <w:tc>
          <w:tcPr>
            <w:tcW w:w="794" w:type="dxa"/>
            <w:vAlign w:val="center"/>
            <w:hideMark/>
          </w:tcPr>
          <w:p w14:paraId="414F31F4"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1,000 </w:t>
            </w:r>
          </w:p>
        </w:tc>
        <w:tc>
          <w:tcPr>
            <w:tcW w:w="794" w:type="dxa"/>
            <w:vAlign w:val="center"/>
            <w:hideMark/>
          </w:tcPr>
          <w:p w14:paraId="163C2EFA"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1DE2FA00"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279D88ED"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619AA50B"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04BA72A3"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15,000 </w:t>
            </w:r>
          </w:p>
        </w:tc>
        <w:tc>
          <w:tcPr>
            <w:tcW w:w="794" w:type="dxa"/>
            <w:vAlign w:val="center"/>
            <w:hideMark/>
          </w:tcPr>
          <w:p w14:paraId="7FCC904E"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1,000 </w:t>
            </w:r>
          </w:p>
        </w:tc>
        <w:tc>
          <w:tcPr>
            <w:tcW w:w="794" w:type="dxa"/>
            <w:vAlign w:val="center"/>
            <w:hideMark/>
          </w:tcPr>
          <w:p w14:paraId="65C91045"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w:t>
            </w:r>
          </w:p>
        </w:tc>
      </w:tr>
      <w:tr w:rsidR="002E149D" w:rsidRPr="00A4333E" w14:paraId="56EDD9E7" w14:textId="77777777" w:rsidTr="00B938BE">
        <w:tc>
          <w:tcPr>
            <w:cnfStyle w:val="001000000000" w:firstRow="0" w:lastRow="0" w:firstColumn="1" w:lastColumn="0" w:oddVBand="0" w:evenVBand="0" w:oddHBand="0" w:evenHBand="0" w:firstRowFirstColumn="0" w:firstRowLastColumn="0" w:lastRowFirstColumn="0" w:lastRowLastColumn="0"/>
            <w:tcW w:w="1838" w:type="dxa"/>
            <w:noWrap/>
            <w:hideMark/>
          </w:tcPr>
          <w:p w14:paraId="34C79823" w14:textId="77777777" w:rsidR="002E149D" w:rsidRPr="00A4333E" w:rsidRDefault="002E149D" w:rsidP="00483E42">
            <w:pPr>
              <w:ind w:left="0" w:firstLine="0"/>
              <w:rPr>
                <w:rFonts w:asciiTheme="minorHAnsi" w:eastAsia="Times New Roman" w:hAnsiTheme="minorHAnsi" w:cstheme="minorHAnsi"/>
                <w:b w:val="0"/>
                <w:bCs w:val="0"/>
                <w:color w:val="000000"/>
                <w:sz w:val="20"/>
                <w:szCs w:val="20"/>
                <w:lang w:val="fr-FR" w:eastAsia="en-GB"/>
              </w:rPr>
            </w:pPr>
            <w:r w:rsidRPr="00A4333E">
              <w:rPr>
                <w:rFonts w:asciiTheme="minorHAnsi" w:eastAsia="Times New Roman" w:hAnsiTheme="minorHAnsi" w:cstheme="minorHAnsi"/>
                <w:b w:val="0"/>
                <w:bCs w:val="0"/>
                <w:color w:val="000000"/>
                <w:sz w:val="20"/>
                <w:szCs w:val="20"/>
                <w:lang w:val="fr-FR" w:eastAsia="en-GB"/>
              </w:rPr>
              <w:t>Soudan du Sud</w:t>
            </w:r>
          </w:p>
        </w:tc>
        <w:tc>
          <w:tcPr>
            <w:tcW w:w="794" w:type="dxa"/>
            <w:vAlign w:val="center"/>
            <w:hideMark/>
          </w:tcPr>
          <w:p w14:paraId="682442C4"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7,000 </w:t>
            </w:r>
          </w:p>
        </w:tc>
        <w:tc>
          <w:tcPr>
            <w:tcW w:w="794" w:type="dxa"/>
            <w:vAlign w:val="center"/>
            <w:hideMark/>
          </w:tcPr>
          <w:p w14:paraId="5222410E"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1,000 </w:t>
            </w:r>
          </w:p>
        </w:tc>
        <w:tc>
          <w:tcPr>
            <w:tcW w:w="794" w:type="dxa"/>
            <w:vAlign w:val="center"/>
            <w:hideMark/>
          </w:tcPr>
          <w:p w14:paraId="0726867D"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6C021910"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278868BC"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3726B9C2"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63B10990"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7,000 </w:t>
            </w:r>
          </w:p>
        </w:tc>
        <w:tc>
          <w:tcPr>
            <w:tcW w:w="794" w:type="dxa"/>
            <w:vAlign w:val="center"/>
            <w:hideMark/>
          </w:tcPr>
          <w:p w14:paraId="19C8BB19"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1,000 </w:t>
            </w:r>
          </w:p>
        </w:tc>
        <w:tc>
          <w:tcPr>
            <w:tcW w:w="794" w:type="dxa"/>
            <w:vAlign w:val="center"/>
            <w:hideMark/>
          </w:tcPr>
          <w:p w14:paraId="44BE6322"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w:t>
            </w:r>
          </w:p>
        </w:tc>
      </w:tr>
      <w:tr w:rsidR="002E149D" w:rsidRPr="00A4333E" w14:paraId="1B783383" w14:textId="77777777" w:rsidTr="00B938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noWrap/>
            <w:hideMark/>
          </w:tcPr>
          <w:p w14:paraId="7DCD68DA" w14:textId="77777777" w:rsidR="002E149D" w:rsidRPr="00A4333E" w:rsidRDefault="002E149D" w:rsidP="00483E42">
            <w:pPr>
              <w:ind w:left="0" w:firstLine="0"/>
              <w:rPr>
                <w:rFonts w:asciiTheme="minorHAnsi" w:eastAsia="Times New Roman" w:hAnsiTheme="minorHAnsi" w:cstheme="minorHAnsi"/>
                <w:b w:val="0"/>
                <w:bCs w:val="0"/>
                <w:color w:val="000000"/>
                <w:sz w:val="20"/>
                <w:szCs w:val="20"/>
                <w:lang w:val="fr-FR" w:eastAsia="en-GB"/>
              </w:rPr>
            </w:pPr>
            <w:r w:rsidRPr="00A4333E">
              <w:rPr>
                <w:rFonts w:asciiTheme="minorHAnsi" w:eastAsia="Times New Roman" w:hAnsiTheme="minorHAnsi" w:cstheme="minorHAnsi"/>
                <w:b w:val="0"/>
                <w:bCs w:val="0"/>
                <w:color w:val="000000"/>
                <w:sz w:val="20"/>
                <w:szCs w:val="20"/>
                <w:lang w:val="fr-FR" w:eastAsia="en-GB"/>
              </w:rPr>
              <w:t>Sri Lanka</w:t>
            </w:r>
          </w:p>
        </w:tc>
        <w:tc>
          <w:tcPr>
            <w:tcW w:w="794" w:type="dxa"/>
            <w:vAlign w:val="center"/>
            <w:hideMark/>
          </w:tcPr>
          <w:p w14:paraId="4C3C6FA7"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2,154 </w:t>
            </w:r>
          </w:p>
        </w:tc>
        <w:tc>
          <w:tcPr>
            <w:tcW w:w="794" w:type="dxa"/>
            <w:vAlign w:val="center"/>
            <w:hideMark/>
          </w:tcPr>
          <w:p w14:paraId="45942845"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2,154 </w:t>
            </w:r>
          </w:p>
        </w:tc>
        <w:tc>
          <w:tcPr>
            <w:tcW w:w="794" w:type="dxa"/>
            <w:vAlign w:val="center"/>
            <w:hideMark/>
          </w:tcPr>
          <w:p w14:paraId="5FD9A74C"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3BF3EC58"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17BECEBA"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0E0D787C"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35D3E864"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2,154 </w:t>
            </w:r>
          </w:p>
        </w:tc>
        <w:tc>
          <w:tcPr>
            <w:tcW w:w="794" w:type="dxa"/>
            <w:vAlign w:val="center"/>
            <w:hideMark/>
          </w:tcPr>
          <w:p w14:paraId="1D8718C6"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2,154 </w:t>
            </w:r>
          </w:p>
        </w:tc>
        <w:tc>
          <w:tcPr>
            <w:tcW w:w="794" w:type="dxa"/>
            <w:vAlign w:val="center"/>
            <w:hideMark/>
          </w:tcPr>
          <w:p w14:paraId="62CE329A"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w:t>
            </w:r>
          </w:p>
        </w:tc>
      </w:tr>
      <w:tr w:rsidR="002E149D" w:rsidRPr="00A4333E" w14:paraId="46A20BE6" w14:textId="77777777" w:rsidTr="00B938BE">
        <w:tc>
          <w:tcPr>
            <w:cnfStyle w:val="001000000000" w:firstRow="0" w:lastRow="0" w:firstColumn="1" w:lastColumn="0" w:oddVBand="0" w:evenVBand="0" w:oddHBand="0" w:evenHBand="0" w:firstRowFirstColumn="0" w:firstRowLastColumn="0" w:lastRowFirstColumn="0" w:lastRowLastColumn="0"/>
            <w:tcW w:w="1838" w:type="dxa"/>
            <w:noWrap/>
            <w:hideMark/>
          </w:tcPr>
          <w:p w14:paraId="6D5CDBD7" w14:textId="77777777" w:rsidR="002E149D" w:rsidRPr="00A4333E" w:rsidRDefault="002E149D" w:rsidP="00483E42">
            <w:pPr>
              <w:ind w:left="0" w:firstLine="0"/>
              <w:rPr>
                <w:rFonts w:asciiTheme="minorHAnsi" w:eastAsia="Times New Roman" w:hAnsiTheme="minorHAnsi" w:cstheme="minorHAnsi"/>
                <w:b w:val="0"/>
                <w:bCs w:val="0"/>
                <w:color w:val="000000"/>
                <w:sz w:val="20"/>
                <w:szCs w:val="20"/>
                <w:lang w:val="fr-FR" w:eastAsia="en-GB"/>
              </w:rPr>
            </w:pPr>
            <w:r w:rsidRPr="00A4333E">
              <w:rPr>
                <w:rFonts w:asciiTheme="minorHAnsi" w:eastAsia="Times New Roman" w:hAnsiTheme="minorHAnsi" w:cstheme="minorHAnsi"/>
                <w:b w:val="0"/>
                <w:bCs w:val="0"/>
                <w:color w:val="000000"/>
                <w:sz w:val="20"/>
                <w:szCs w:val="20"/>
                <w:lang w:val="fr-FR" w:eastAsia="en-GB"/>
              </w:rPr>
              <w:t>Suède</w:t>
            </w:r>
          </w:p>
        </w:tc>
        <w:tc>
          <w:tcPr>
            <w:tcW w:w="794" w:type="dxa"/>
            <w:vAlign w:val="center"/>
            <w:hideMark/>
          </w:tcPr>
          <w:p w14:paraId="1E6AAA3D"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7D11A59F"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44,345 </w:t>
            </w:r>
          </w:p>
        </w:tc>
        <w:tc>
          <w:tcPr>
            <w:tcW w:w="794" w:type="dxa"/>
            <w:vAlign w:val="center"/>
            <w:hideMark/>
          </w:tcPr>
          <w:p w14:paraId="290BBF32"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42B2B383"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5C9D73F7"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44,345 </w:t>
            </w:r>
          </w:p>
        </w:tc>
        <w:tc>
          <w:tcPr>
            <w:tcW w:w="794" w:type="dxa"/>
            <w:vAlign w:val="center"/>
            <w:hideMark/>
          </w:tcPr>
          <w:p w14:paraId="1F76C098"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29C75658"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5F48409D"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w:t>
            </w:r>
          </w:p>
        </w:tc>
        <w:tc>
          <w:tcPr>
            <w:tcW w:w="794" w:type="dxa"/>
            <w:vAlign w:val="center"/>
            <w:hideMark/>
          </w:tcPr>
          <w:p w14:paraId="71E3AE49"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w:t>
            </w:r>
          </w:p>
        </w:tc>
      </w:tr>
      <w:tr w:rsidR="002E149D" w:rsidRPr="00A4333E" w14:paraId="075AB884" w14:textId="77777777" w:rsidTr="00B938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noWrap/>
            <w:hideMark/>
          </w:tcPr>
          <w:p w14:paraId="51AF4740" w14:textId="77777777" w:rsidR="002E149D" w:rsidRPr="00A4333E" w:rsidRDefault="002E149D" w:rsidP="00483E42">
            <w:pPr>
              <w:ind w:left="0" w:firstLine="0"/>
              <w:rPr>
                <w:rFonts w:asciiTheme="minorHAnsi" w:eastAsia="Times New Roman" w:hAnsiTheme="minorHAnsi" w:cstheme="minorHAnsi"/>
                <w:b w:val="0"/>
                <w:bCs w:val="0"/>
                <w:color w:val="000000"/>
                <w:sz w:val="20"/>
                <w:szCs w:val="20"/>
                <w:lang w:val="fr-FR" w:eastAsia="en-GB"/>
              </w:rPr>
            </w:pPr>
            <w:r w:rsidRPr="00A4333E">
              <w:rPr>
                <w:rFonts w:asciiTheme="minorHAnsi" w:eastAsia="Times New Roman" w:hAnsiTheme="minorHAnsi" w:cstheme="minorHAnsi"/>
                <w:b w:val="0"/>
                <w:bCs w:val="0"/>
                <w:color w:val="000000"/>
                <w:sz w:val="20"/>
                <w:szCs w:val="20"/>
                <w:lang w:val="fr-FR" w:eastAsia="en-GB"/>
              </w:rPr>
              <w:t>Suisse</w:t>
            </w:r>
          </w:p>
        </w:tc>
        <w:tc>
          <w:tcPr>
            <w:tcW w:w="794" w:type="dxa"/>
            <w:vAlign w:val="center"/>
            <w:hideMark/>
          </w:tcPr>
          <w:p w14:paraId="4C4D5424"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4DA1C683"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56,337 </w:t>
            </w:r>
          </w:p>
        </w:tc>
        <w:tc>
          <w:tcPr>
            <w:tcW w:w="794" w:type="dxa"/>
            <w:vAlign w:val="center"/>
            <w:hideMark/>
          </w:tcPr>
          <w:p w14:paraId="52497CD6"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6846F123"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049DABED"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56,337 </w:t>
            </w:r>
          </w:p>
        </w:tc>
        <w:tc>
          <w:tcPr>
            <w:tcW w:w="794" w:type="dxa"/>
            <w:vAlign w:val="center"/>
            <w:hideMark/>
          </w:tcPr>
          <w:p w14:paraId="2FD95F44"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41288813"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4AF9089C"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w:t>
            </w:r>
          </w:p>
        </w:tc>
        <w:tc>
          <w:tcPr>
            <w:tcW w:w="794" w:type="dxa"/>
            <w:vAlign w:val="center"/>
            <w:hideMark/>
          </w:tcPr>
          <w:p w14:paraId="4ECC1BFE"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w:t>
            </w:r>
          </w:p>
        </w:tc>
      </w:tr>
      <w:tr w:rsidR="002E149D" w:rsidRPr="00A4333E" w14:paraId="7D006100" w14:textId="77777777" w:rsidTr="00B938BE">
        <w:tc>
          <w:tcPr>
            <w:cnfStyle w:val="001000000000" w:firstRow="0" w:lastRow="0" w:firstColumn="1" w:lastColumn="0" w:oddVBand="0" w:evenVBand="0" w:oddHBand="0" w:evenHBand="0" w:firstRowFirstColumn="0" w:firstRowLastColumn="0" w:lastRowFirstColumn="0" w:lastRowLastColumn="0"/>
            <w:tcW w:w="1838" w:type="dxa"/>
            <w:noWrap/>
            <w:hideMark/>
          </w:tcPr>
          <w:p w14:paraId="3E65603E" w14:textId="77777777" w:rsidR="002E149D" w:rsidRPr="00A4333E" w:rsidRDefault="002E149D" w:rsidP="00483E42">
            <w:pPr>
              <w:ind w:left="0" w:firstLine="0"/>
              <w:rPr>
                <w:rFonts w:asciiTheme="minorHAnsi" w:eastAsia="Times New Roman" w:hAnsiTheme="minorHAnsi" w:cstheme="minorHAnsi"/>
                <w:b w:val="0"/>
                <w:bCs w:val="0"/>
                <w:color w:val="000000"/>
                <w:sz w:val="20"/>
                <w:szCs w:val="20"/>
                <w:lang w:val="fr-FR" w:eastAsia="en-GB"/>
              </w:rPr>
            </w:pPr>
            <w:r w:rsidRPr="00A4333E">
              <w:rPr>
                <w:rFonts w:asciiTheme="minorHAnsi" w:eastAsia="Times New Roman" w:hAnsiTheme="minorHAnsi" w:cstheme="minorHAnsi"/>
                <w:b w:val="0"/>
                <w:bCs w:val="0"/>
                <w:color w:val="000000"/>
                <w:sz w:val="20"/>
                <w:szCs w:val="20"/>
                <w:lang w:val="fr-FR" w:eastAsia="en-GB"/>
              </w:rPr>
              <w:t>Suriname</w:t>
            </w:r>
          </w:p>
        </w:tc>
        <w:tc>
          <w:tcPr>
            <w:tcW w:w="794" w:type="dxa"/>
            <w:vAlign w:val="center"/>
            <w:hideMark/>
          </w:tcPr>
          <w:p w14:paraId="5229FE84"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6,000 </w:t>
            </w:r>
          </w:p>
        </w:tc>
        <w:tc>
          <w:tcPr>
            <w:tcW w:w="794" w:type="dxa"/>
            <w:vAlign w:val="center"/>
            <w:hideMark/>
          </w:tcPr>
          <w:p w14:paraId="3015FF8C"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1,000 </w:t>
            </w:r>
          </w:p>
        </w:tc>
        <w:tc>
          <w:tcPr>
            <w:tcW w:w="794" w:type="dxa"/>
            <w:vAlign w:val="center"/>
            <w:hideMark/>
          </w:tcPr>
          <w:p w14:paraId="56F95F6C"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37CE899A"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0981AAD8"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4E83E866"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35777948"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6,000 </w:t>
            </w:r>
          </w:p>
        </w:tc>
        <w:tc>
          <w:tcPr>
            <w:tcW w:w="794" w:type="dxa"/>
            <w:vAlign w:val="center"/>
            <w:hideMark/>
          </w:tcPr>
          <w:p w14:paraId="43748C08"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1,000 </w:t>
            </w:r>
          </w:p>
        </w:tc>
        <w:tc>
          <w:tcPr>
            <w:tcW w:w="794" w:type="dxa"/>
            <w:vAlign w:val="center"/>
            <w:hideMark/>
          </w:tcPr>
          <w:p w14:paraId="692CF6AE"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w:t>
            </w:r>
          </w:p>
        </w:tc>
      </w:tr>
      <w:tr w:rsidR="002E149D" w:rsidRPr="00A4333E" w14:paraId="3F119CD1" w14:textId="77777777" w:rsidTr="00B938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noWrap/>
            <w:hideMark/>
          </w:tcPr>
          <w:p w14:paraId="12963D81" w14:textId="77777777" w:rsidR="002E149D" w:rsidRPr="00A4333E" w:rsidRDefault="002E149D" w:rsidP="00483E42">
            <w:pPr>
              <w:ind w:left="0" w:firstLine="0"/>
              <w:rPr>
                <w:rFonts w:asciiTheme="minorHAnsi" w:eastAsia="Times New Roman" w:hAnsiTheme="minorHAnsi" w:cstheme="minorHAnsi"/>
                <w:b w:val="0"/>
                <w:bCs w:val="0"/>
                <w:color w:val="000000"/>
                <w:sz w:val="20"/>
                <w:szCs w:val="20"/>
                <w:lang w:val="fr-FR" w:eastAsia="en-GB"/>
              </w:rPr>
            </w:pPr>
            <w:r w:rsidRPr="00A4333E">
              <w:rPr>
                <w:rFonts w:asciiTheme="minorHAnsi" w:eastAsia="Times New Roman" w:hAnsiTheme="minorHAnsi" w:cstheme="minorHAnsi"/>
                <w:b w:val="0"/>
                <w:bCs w:val="0"/>
                <w:color w:val="000000"/>
                <w:sz w:val="20"/>
                <w:szCs w:val="20"/>
                <w:lang w:val="fr-FR" w:eastAsia="en-GB"/>
              </w:rPr>
              <w:t>Tadjikistan</w:t>
            </w:r>
          </w:p>
        </w:tc>
        <w:tc>
          <w:tcPr>
            <w:tcW w:w="794" w:type="dxa"/>
            <w:vAlign w:val="center"/>
            <w:hideMark/>
          </w:tcPr>
          <w:p w14:paraId="28C2451F"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1,000 </w:t>
            </w:r>
          </w:p>
        </w:tc>
        <w:tc>
          <w:tcPr>
            <w:tcW w:w="794" w:type="dxa"/>
            <w:vAlign w:val="center"/>
            <w:hideMark/>
          </w:tcPr>
          <w:p w14:paraId="3FE28623"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1,000 </w:t>
            </w:r>
          </w:p>
        </w:tc>
        <w:tc>
          <w:tcPr>
            <w:tcW w:w="794" w:type="dxa"/>
            <w:vAlign w:val="center"/>
            <w:hideMark/>
          </w:tcPr>
          <w:p w14:paraId="7040B851"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7DEBDFD4"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1,000 </w:t>
            </w:r>
          </w:p>
        </w:tc>
        <w:tc>
          <w:tcPr>
            <w:tcW w:w="794" w:type="dxa"/>
            <w:vAlign w:val="center"/>
            <w:hideMark/>
          </w:tcPr>
          <w:p w14:paraId="5CF6B123"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7EF685EB"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527C9263"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1008D049"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1,000 </w:t>
            </w:r>
          </w:p>
        </w:tc>
        <w:tc>
          <w:tcPr>
            <w:tcW w:w="794" w:type="dxa"/>
            <w:vAlign w:val="center"/>
            <w:hideMark/>
          </w:tcPr>
          <w:p w14:paraId="3D2B3EB6"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w:t>
            </w:r>
          </w:p>
        </w:tc>
      </w:tr>
      <w:tr w:rsidR="002E149D" w:rsidRPr="00A4333E" w14:paraId="172231CB" w14:textId="77777777" w:rsidTr="00B938BE">
        <w:tc>
          <w:tcPr>
            <w:cnfStyle w:val="001000000000" w:firstRow="0" w:lastRow="0" w:firstColumn="1" w:lastColumn="0" w:oddVBand="0" w:evenVBand="0" w:oddHBand="0" w:evenHBand="0" w:firstRowFirstColumn="0" w:firstRowLastColumn="0" w:lastRowFirstColumn="0" w:lastRowLastColumn="0"/>
            <w:tcW w:w="1838" w:type="dxa"/>
            <w:noWrap/>
            <w:hideMark/>
          </w:tcPr>
          <w:p w14:paraId="21B9C975" w14:textId="77777777" w:rsidR="002E149D" w:rsidRPr="00A4333E" w:rsidRDefault="002E149D" w:rsidP="00483E42">
            <w:pPr>
              <w:ind w:left="0" w:firstLine="0"/>
              <w:rPr>
                <w:rFonts w:asciiTheme="minorHAnsi" w:eastAsia="Times New Roman" w:hAnsiTheme="minorHAnsi" w:cstheme="minorHAnsi"/>
                <w:b w:val="0"/>
                <w:bCs w:val="0"/>
                <w:color w:val="000000"/>
                <w:sz w:val="20"/>
                <w:szCs w:val="20"/>
                <w:lang w:val="fr-FR" w:eastAsia="en-GB"/>
              </w:rPr>
            </w:pPr>
            <w:r w:rsidRPr="00A4333E">
              <w:rPr>
                <w:rFonts w:asciiTheme="minorHAnsi" w:eastAsia="Times New Roman" w:hAnsiTheme="minorHAnsi" w:cstheme="minorHAnsi"/>
                <w:b w:val="0"/>
                <w:bCs w:val="0"/>
                <w:color w:val="000000"/>
                <w:sz w:val="20"/>
                <w:szCs w:val="20"/>
                <w:lang w:val="fr-FR" w:eastAsia="en-GB"/>
              </w:rPr>
              <w:t>Tchad</w:t>
            </w:r>
          </w:p>
        </w:tc>
        <w:tc>
          <w:tcPr>
            <w:tcW w:w="794" w:type="dxa"/>
            <w:vAlign w:val="center"/>
            <w:hideMark/>
          </w:tcPr>
          <w:p w14:paraId="6F724493"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155 </w:t>
            </w:r>
          </w:p>
        </w:tc>
        <w:tc>
          <w:tcPr>
            <w:tcW w:w="794" w:type="dxa"/>
            <w:vAlign w:val="center"/>
            <w:hideMark/>
          </w:tcPr>
          <w:p w14:paraId="0DBDA8A7"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1,000 </w:t>
            </w:r>
          </w:p>
        </w:tc>
        <w:tc>
          <w:tcPr>
            <w:tcW w:w="794" w:type="dxa"/>
            <w:vAlign w:val="center"/>
            <w:hideMark/>
          </w:tcPr>
          <w:p w14:paraId="3FFBBBDA"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376261FA"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54558E1C"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71399D4A"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4A5406E9"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155 </w:t>
            </w:r>
          </w:p>
        </w:tc>
        <w:tc>
          <w:tcPr>
            <w:tcW w:w="794" w:type="dxa"/>
            <w:vAlign w:val="center"/>
            <w:hideMark/>
          </w:tcPr>
          <w:p w14:paraId="1499E932"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1,000 </w:t>
            </w:r>
          </w:p>
        </w:tc>
        <w:tc>
          <w:tcPr>
            <w:tcW w:w="794" w:type="dxa"/>
            <w:vAlign w:val="center"/>
            <w:hideMark/>
          </w:tcPr>
          <w:p w14:paraId="6F93E0C1"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w:t>
            </w:r>
          </w:p>
        </w:tc>
      </w:tr>
      <w:tr w:rsidR="002E149D" w:rsidRPr="00A4333E" w14:paraId="19DD77A9" w14:textId="77777777" w:rsidTr="00B938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noWrap/>
            <w:hideMark/>
          </w:tcPr>
          <w:p w14:paraId="15DCFEF5" w14:textId="77777777" w:rsidR="002E149D" w:rsidRPr="00A4333E" w:rsidRDefault="002E149D" w:rsidP="007F1BE5">
            <w:pPr>
              <w:ind w:left="0" w:firstLine="0"/>
              <w:rPr>
                <w:rFonts w:asciiTheme="minorHAnsi" w:eastAsia="Times New Roman" w:hAnsiTheme="minorHAnsi" w:cstheme="minorHAnsi"/>
                <w:b w:val="0"/>
                <w:bCs w:val="0"/>
                <w:color w:val="000000"/>
                <w:sz w:val="20"/>
                <w:szCs w:val="20"/>
                <w:lang w:val="fr-FR" w:eastAsia="en-GB"/>
              </w:rPr>
            </w:pPr>
            <w:r w:rsidRPr="00A4333E">
              <w:rPr>
                <w:rFonts w:asciiTheme="minorHAnsi" w:eastAsia="Times New Roman" w:hAnsiTheme="minorHAnsi" w:cstheme="minorHAnsi"/>
                <w:b w:val="0"/>
                <w:bCs w:val="0"/>
                <w:color w:val="000000"/>
                <w:sz w:val="20"/>
                <w:szCs w:val="20"/>
                <w:lang w:val="fr-FR" w:eastAsia="en-GB"/>
              </w:rPr>
              <w:t>Tchéquie</w:t>
            </w:r>
          </w:p>
        </w:tc>
        <w:tc>
          <w:tcPr>
            <w:tcW w:w="794" w:type="dxa"/>
            <w:vAlign w:val="center"/>
            <w:hideMark/>
          </w:tcPr>
          <w:p w14:paraId="5A2DB80C"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26FA834C"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15,222 </w:t>
            </w:r>
          </w:p>
        </w:tc>
        <w:tc>
          <w:tcPr>
            <w:tcW w:w="794" w:type="dxa"/>
            <w:vAlign w:val="center"/>
            <w:hideMark/>
          </w:tcPr>
          <w:p w14:paraId="738BB367"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15,222 </w:t>
            </w:r>
          </w:p>
        </w:tc>
        <w:tc>
          <w:tcPr>
            <w:tcW w:w="794" w:type="dxa"/>
            <w:vAlign w:val="center"/>
            <w:hideMark/>
          </w:tcPr>
          <w:p w14:paraId="516E6A7B"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13F7D876"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2637F04C"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15,218 </w:t>
            </w:r>
          </w:p>
        </w:tc>
        <w:tc>
          <w:tcPr>
            <w:tcW w:w="794" w:type="dxa"/>
            <w:vAlign w:val="center"/>
            <w:hideMark/>
          </w:tcPr>
          <w:p w14:paraId="4B0A6DBF"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6A2125EE"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14B90ABB"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15,218 </w:t>
            </w:r>
          </w:p>
        </w:tc>
      </w:tr>
      <w:tr w:rsidR="002E149D" w:rsidRPr="00A4333E" w14:paraId="7F249556" w14:textId="77777777" w:rsidTr="00B938BE">
        <w:tc>
          <w:tcPr>
            <w:cnfStyle w:val="001000000000" w:firstRow="0" w:lastRow="0" w:firstColumn="1" w:lastColumn="0" w:oddVBand="0" w:evenVBand="0" w:oddHBand="0" w:evenHBand="0" w:firstRowFirstColumn="0" w:firstRowLastColumn="0" w:lastRowFirstColumn="0" w:lastRowLastColumn="0"/>
            <w:tcW w:w="1838" w:type="dxa"/>
            <w:noWrap/>
            <w:hideMark/>
          </w:tcPr>
          <w:p w14:paraId="60444C0F" w14:textId="77777777" w:rsidR="002E149D" w:rsidRPr="00A4333E" w:rsidRDefault="002E149D" w:rsidP="00483E42">
            <w:pPr>
              <w:ind w:left="0" w:firstLine="0"/>
              <w:rPr>
                <w:rFonts w:asciiTheme="minorHAnsi" w:eastAsia="Times New Roman" w:hAnsiTheme="minorHAnsi" w:cstheme="minorHAnsi"/>
                <w:b w:val="0"/>
                <w:bCs w:val="0"/>
                <w:color w:val="000000"/>
                <w:sz w:val="20"/>
                <w:szCs w:val="20"/>
                <w:lang w:val="fr-FR" w:eastAsia="en-GB"/>
              </w:rPr>
            </w:pPr>
            <w:r w:rsidRPr="00A4333E">
              <w:rPr>
                <w:rFonts w:asciiTheme="minorHAnsi" w:eastAsia="Times New Roman" w:hAnsiTheme="minorHAnsi" w:cstheme="minorHAnsi"/>
                <w:b w:val="0"/>
                <w:bCs w:val="0"/>
                <w:color w:val="000000"/>
                <w:sz w:val="20"/>
                <w:szCs w:val="20"/>
                <w:lang w:val="fr-FR" w:eastAsia="en-GB"/>
              </w:rPr>
              <w:t>Thaïlande</w:t>
            </w:r>
          </w:p>
        </w:tc>
        <w:tc>
          <w:tcPr>
            <w:tcW w:w="794" w:type="dxa"/>
            <w:vAlign w:val="center"/>
            <w:hideMark/>
          </w:tcPr>
          <w:p w14:paraId="3726C819"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65D72918"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15,026 </w:t>
            </w:r>
          </w:p>
        </w:tc>
        <w:tc>
          <w:tcPr>
            <w:tcW w:w="794" w:type="dxa"/>
            <w:vAlign w:val="center"/>
            <w:hideMark/>
          </w:tcPr>
          <w:p w14:paraId="0A505889"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476138F1"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77D23FBA"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15,026 </w:t>
            </w:r>
          </w:p>
        </w:tc>
        <w:tc>
          <w:tcPr>
            <w:tcW w:w="794" w:type="dxa"/>
            <w:vAlign w:val="center"/>
            <w:hideMark/>
          </w:tcPr>
          <w:p w14:paraId="57E3BC07"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56B14351"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69704E0B"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w:t>
            </w:r>
          </w:p>
        </w:tc>
        <w:tc>
          <w:tcPr>
            <w:tcW w:w="794" w:type="dxa"/>
            <w:vAlign w:val="center"/>
            <w:hideMark/>
          </w:tcPr>
          <w:p w14:paraId="146EF11D"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w:t>
            </w:r>
          </w:p>
        </w:tc>
      </w:tr>
      <w:tr w:rsidR="002E149D" w:rsidRPr="00A4333E" w14:paraId="2F5F5FC1" w14:textId="77777777" w:rsidTr="00B938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noWrap/>
            <w:hideMark/>
          </w:tcPr>
          <w:p w14:paraId="39820019" w14:textId="77777777" w:rsidR="002E149D" w:rsidRPr="00A4333E" w:rsidRDefault="002E149D" w:rsidP="00483E42">
            <w:pPr>
              <w:ind w:left="0" w:firstLine="0"/>
              <w:rPr>
                <w:rFonts w:asciiTheme="minorHAnsi" w:eastAsia="Times New Roman" w:hAnsiTheme="minorHAnsi" w:cstheme="minorHAnsi"/>
                <w:b w:val="0"/>
                <w:bCs w:val="0"/>
                <w:color w:val="000000"/>
                <w:sz w:val="20"/>
                <w:szCs w:val="20"/>
                <w:lang w:val="fr-FR" w:eastAsia="en-GB"/>
              </w:rPr>
            </w:pPr>
            <w:r w:rsidRPr="00A4333E">
              <w:rPr>
                <w:rFonts w:asciiTheme="minorHAnsi" w:eastAsia="Times New Roman" w:hAnsiTheme="minorHAnsi" w:cstheme="minorHAnsi"/>
                <w:b w:val="0"/>
                <w:bCs w:val="0"/>
                <w:color w:val="000000"/>
                <w:sz w:val="20"/>
                <w:szCs w:val="20"/>
                <w:lang w:val="fr-FR" w:eastAsia="en-GB"/>
              </w:rPr>
              <w:t>Togo</w:t>
            </w:r>
          </w:p>
        </w:tc>
        <w:tc>
          <w:tcPr>
            <w:tcW w:w="794" w:type="dxa"/>
            <w:vAlign w:val="center"/>
            <w:hideMark/>
          </w:tcPr>
          <w:p w14:paraId="4B4AA2A9"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094F1699"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1,000 </w:t>
            </w:r>
          </w:p>
        </w:tc>
        <w:tc>
          <w:tcPr>
            <w:tcW w:w="794" w:type="dxa"/>
            <w:vAlign w:val="center"/>
            <w:hideMark/>
          </w:tcPr>
          <w:p w14:paraId="3A229FF5"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5D5F5291"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2CEF7957"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1,000 </w:t>
            </w:r>
          </w:p>
        </w:tc>
        <w:tc>
          <w:tcPr>
            <w:tcW w:w="794" w:type="dxa"/>
            <w:vAlign w:val="center"/>
            <w:hideMark/>
          </w:tcPr>
          <w:p w14:paraId="7A0ED153"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25814B60"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6C355CD7"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w:t>
            </w:r>
          </w:p>
        </w:tc>
        <w:tc>
          <w:tcPr>
            <w:tcW w:w="794" w:type="dxa"/>
            <w:vAlign w:val="center"/>
            <w:hideMark/>
          </w:tcPr>
          <w:p w14:paraId="5637A26F"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w:t>
            </w:r>
          </w:p>
        </w:tc>
      </w:tr>
      <w:tr w:rsidR="002E149D" w:rsidRPr="00A4333E" w14:paraId="229E53D5" w14:textId="77777777" w:rsidTr="00B938BE">
        <w:tc>
          <w:tcPr>
            <w:cnfStyle w:val="001000000000" w:firstRow="0" w:lastRow="0" w:firstColumn="1" w:lastColumn="0" w:oddVBand="0" w:evenVBand="0" w:oddHBand="0" w:evenHBand="0" w:firstRowFirstColumn="0" w:firstRowLastColumn="0" w:lastRowFirstColumn="0" w:lastRowLastColumn="0"/>
            <w:tcW w:w="1838" w:type="dxa"/>
            <w:noWrap/>
            <w:hideMark/>
          </w:tcPr>
          <w:p w14:paraId="78E94A5F" w14:textId="77777777" w:rsidR="002E149D" w:rsidRPr="00A4333E" w:rsidRDefault="002E149D" w:rsidP="00483E42">
            <w:pPr>
              <w:ind w:left="0" w:firstLine="0"/>
              <w:rPr>
                <w:rFonts w:asciiTheme="minorHAnsi" w:eastAsia="Times New Roman" w:hAnsiTheme="minorHAnsi" w:cstheme="minorHAnsi"/>
                <w:b w:val="0"/>
                <w:bCs w:val="0"/>
                <w:color w:val="000000"/>
                <w:sz w:val="20"/>
                <w:szCs w:val="20"/>
                <w:lang w:val="fr-FR" w:eastAsia="en-GB"/>
              </w:rPr>
            </w:pPr>
            <w:r w:rsidRPr="00A4333E">
              <w:rPr>
                <w:rFonts w:asciiTheme="minorHAnsi" w:eastAsia="Times New Roman" w:hAnsiTheme="minorHAnsi" w:cstheme="minorHAnsi"/>
                <w:b w:val="0"/>
                <w:bCs w:val="0"/>
                <w:color w:val="000000"/>
                <w:sz w:val="20"/>
                <w:szCs w:val="20"/>
                <w:lang w:val="fr-FR" w:eastAsia="en-GB"/>
              </w:rPr>
              <w:t>Trinité-et-Tobago</w:t>
            </w:r>
          </w:p>
        </w:tc>
        <w:tc>
          <w:tcPr>
            <w:tcW w:w="794" w:type="dxa"/>
            <w:vAlign w:val="center"/>
            <w:hideMark/>
          </w:tcPr>
          <w:p w14:paraId="28D727DB"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4,986 </w:t>
            </w:r>
          </w:p>
        </w:tc>
        <w:tc>
          <w:tcPr>
            <w:tcW w:w="794" w:type="dxa"/>
            <w:vAlign w:val="center"/>
            <w:hideMark/>
          </w:tcPr>
          <w:p w14:paraId="6120D473"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1,958 </w:t>
            </w:r>
          </w:p>
        </w:tc>
        <w:tc>
          <w:tcPr>
            <w:tcW w:w="794" w:type="dxa"/>
            <w:vAlign w:val="center"/>
            <w:hideMark/>
          </w:tcPr>
          <w:p w14:paraId="43831C17"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17D96FCE"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4,986 </w:t>
            </w:r>
          </w:p>
        </w:tc>
        <w:tc>
          <w:tcPr>
            <w:tcW w:w="794" w:type="dxa"/>
            <w:vAlign w:val="center"/>
            <w:hideMark/>
          </w:tcPr>
          <w:p w14:paraId="0BA2F653"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05D08262"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2B268DDE"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011D5432"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1,958 </w:t>
            </w:r>
          </w:p>
        </w:tc>
        <w:tc>
          <w:tcPr>
            <w:tcW w:w="794" w:type="dxa"/>
            <w:vAlign w:val="center"/>
            <w:hideMark/>
          </w:tcPr>
          <w:p w14:paraId="5D33ADC5"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w:t>
            </w:r>
          </w:p>
        </w:tc>
      </w:tr>
      <w:tr w:rsidR="002E149D" w:rsidRPr="00A4333E" w14:paraId="7E2E6958" w14:textId="77777777" w:rsidTr="00B938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noWrap/>
            <w:hideMark/>
          </w:tcPr>
          <w:p w14:paraId="2F02DB96" w14:textId="77777777" w:rsidR="002E149D" w:rsidRPr="00A4333E" w:rsidRDefault="002E149D" w:rsidP="00483E42">
            <w:pPr>
              <w:ind w:left="0" w:firstLine="0"/>
              <w:rPr>
                <w:rFonts w:asciiTheme="minorHAnsi" w:eastAsia="Times New Roman" w:hAnsiTheme="minorHAnsi" w:cstheme="minorHAnsi"/>
                <w:b w:val="0"/>
                <w:bCs w:val="0"/>
                <w:color w:val="000000"/>
                <w:sz w:val="20"/>
                <w:szCs w:val="20"/>
                <w:lang w:val="fr-FR" w:eastAsia="en-GB"/>
              </w:rPr>
            </w:pPr>
            <w:r w:rsidRPr="00A4333E">
              <w:rPr>
                <w:rFonts w:asciiTheme="minorHAnsi" w:eastAsia="Times New Roman" w:hAnsiTheme="minorHAnsi" w:cstheme="minorHAnsi"/>
                <w:b w:val="0"/>
                <w:bCs w:val="0"/>
                <w:color w:val="000000"/>
                <w:sz w:val="20"/>
                <w:szCs w:val="20"/>
                <w:lang w:val="fr-FR" w:eastAsia="en-GB"/>
              </w:rPr>
              <w:t>Tunisie</w:t>
            </w:r>
          </w:p>
        </w:tc>
        <w:tc>
          <w:tcPr>
            <w:tcW w:w="794" w:type="dxa"/>
            <w:vAlign w:val="center"/>
            <w:hideMark/>
          </w:tcPr>
          <w:p w14:paraId="1BAECEBA"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2,742 </w:t>
            </w:r>
          </w:p>
        </w:tc>
        <w:tc>
          <w:tcPr>
            <w:tcW w:w="794" w:type="dxa"/>
            <w:vAlign w:val="center"/>
            <w:hideMark/>
          </w:tcPr>
          <w:p w14:paraId="1C3D891E"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1,224 </w:t>
            </w:r>
          </w:p>
        </w:tc>
        <w:tc>
          <w:tcPr>
            <w:tcW w:w="794" w:type="dxa"/>
            <w:vAlign w:val="center"/>
            <w:hideMark/>
          </w:tcPr>
          <w:p w14:paraId="7FC20BAD"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5246EC80"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2,742 </w:t>
            </w:r>
          </w:p>
        </w:tc>
        <w:tc>
          <w:tcPr>
            <w:tcW w:w="794" w:type="dxa"/>
            <w:vAlign w:val="center"/>
            <w:hideMark/>
          </w:tcPr>
          <w:p w14:paraId="05EBBFB3"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1,224 </w:t>
            </w:r>
          </w:p>
        </w:tc>
        <w:tc>
          <w:tcPr>
            <w:tcW w:w="794" w:type="dxa"/>
            <w:vAlign w:val="center"/>
            <w:hideMark/>
          </w:tcPr>
          <w:p w14:paraId="4025D74C"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1,224 </w:t>
            </w:r>
          </w:p>
        </w:tc>
        <w:tc>
          <w:tcPr>
            <w:tcW w:w="794" w:type="dxa"/>
            <w:vAlign w:val="center"/>
            <w:hideMark/>
          </w:tcPr>
          <w:p w14:paraId="06C14AF7"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40659CBA"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w:t>
            </w:r>
          </w:p>
        </w:tc>
        <w:tc>
          <w:tcPr>
            <w:tcW w:w="794" w:type="dxa"/>
            <w:vAlign w:val="center"/>
            <w:hideMark/>
          </w:tcPr>
          <w:p w14:paraId="153A71DA"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1,224 </w:t>
            </w:r>
          </w:p>
        </w:tc>
      </w:tr>
      <w:tr w:rsidR="002E149D" w:rsidRPr="00A4333E" w14:paraId="0D275B03" w14:textId="77777777" w:rsidTr="00B938BE">
        <w:tc>
          <w:tcPr>
            <w:cnfStyle w:val="001000000000" w:firstRow="0" w:lastRow="0" w:firstColumn="1" w:lastColumn="0" w:oddVBand="0" w:evenVBand="0" w:oddHBand="0" w:evenHBand="0" w:firstRowFirstColumn="0" w:firstRowLastColumn="0" w:lastRowFirstColumn="0" w:lastRowLastColumn="0"/>
            <w:tcW w:w="1838" w:type="dxa"/>
            <w:noWrap/>
            <w:hideMark/>
          </w:tcPr>
          <w:p w14:paraId="558C5B2A" w14:textId="77777777" w:rsidR="002E149D" w:rsidRPr="00A4333E" w:rsidRDefault="002E149D" w:rsidP="00483E42">
            <w:pPr>
              <w:ind w:left="0" w:firstLine="0"/>
              <w:rPr>
                <w:rFonts w:asciiTheme="minorHAnsi" w:eastAsia="Times New Roman" w:hAnsiTheme="minorHAnsi" w:cstheme="minorHAnsi"/>
                <w:b w:val="0"/>
                <w:bCs w:val="0"/>
                <w:color w:val="000000"/>
                <w:sz w:val="20"/>
                <w:szCs w:val="20"/>
                <w:lang w:val="fr-FR" w:eastAsia="en-GB"/>
              </w:rPr>
            </w:pPr>
            <w:r w:rsidRPr="00A4333E">
              <w:rPr>
                <w:rFonts w:asciiTheme="minorHAnsi" w:eastAsia="Times New Roman" w:hAnsiTheme="minorHAnsi" w:cstheme="minorHAnsi"/>
                <w:b w:val="0"/>
                <w:bCs w:val="0"/>
                <w:color w:val="000000"/>
                <w:sz w:val="20"/>
                <w:szCs w:val="20"/>
                <w:lang w:val="fr-FR" w:eastAsia="en-GB"/>
              </w:rPr>
              <w:t>Turkménistan</w:t>
            </w:r>
          </w:p>
        </w:tc>
        <w:tc>
          <w:tcPr>
            <w:tcW w:w="794" w:type="dxa"/>
            <w:vAlign w:val="center"/>
            <w:hideMark/>
          </w:tcPr>
          <w:p w14:paraId="04924064"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10,044 </w:t>
            </w:r>
          </w:p>
        </w:tc>
        <w:tc>
          <w:tcPr>
            <w:tcW w:w="794" w:type="dxa"/>
            <w:vAlign w:val="center"/>
            <w:hideMark/>
          </w:tcPr>
          <w:p w14:paraId="79BCDF8B"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1,615 </w:t>
            </w:r>
          </w:p>
        </w:tc>
        <w:tc>
          <w:tcPr>
            <w:tcW w:w="794" w:type="dxa"/>
            <w:vAlign w:val="center"/>
            <w:hideMark/>
          </w:tcPr>
          <w:p w14:paraId="5DD8BF92"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5F3A296A"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5553BE7E"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08BFD2B3"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4202D839"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10,044 </w:t>
            </w:r>
          </w:p>
        </w:tc>
        <w:tc>
          <w:tcPr>
            <w:tcW w:w="794" w:type="dxa"/>
            <w:vAlign w:val="center"/>
            <w:hideMark/>
          </w:tcPr>
          <w:p w14:paraId="022DC938"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1,615 </w:t>
            </w:r>
          </w:p>
        </w:tc>
        <w:tc>
          <w:tcPr>
            <w:tcW w:w="794" w:type="dxa"/>
            <w:vAlign w:val="center"/>
            <w:hideMark/>
          </w:tcPr>
          <w:p w14:paraId="318D19E6"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w:t>
            </w:r>
          </w:p>
        </w:tc>
      </w:tr>
      <w:tr w:rsidR="002E149D" w:rsidRPr="00A4333E" w14:paraId="082C1765" w14:textId="77777777" w:rsidTr="00B938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noWrap/>
            <w:hideMark/>
          </w:tcPr>
          <w:p w14:paraId="39DB2D06" w14:textId="794CFD40" w:rsidR="002E149D" w:rsidRPr="00A4333E" w:rsidRDefault="002E4D22" w:rsidP="00483E42">
            <w:pPr>
              <w:ind w:left="0" w:firstLine="0"/>
              <w:rPr>
                <w:rFonts w:asciiTheme="minorHAnsi" w:eastAsia="Times New Roman" w:hAnsiTheme="minorHAnsi" w:cstheme="minorHAnsi"/>
                <w:b w:val="0"/>
                <w:bCs w:val="0"/>
                <w:color w:val="000000"/>
                <w:sz w:val="20"/>
                <w:szCs w:val="20"/>
                <w:lang w:val="fr-FR" w:eastAsia="en-GB"/>
              </w:rPr>
            </w:pPr>
            <w:r w:rsidRPr="00A4333E">
              <w:rPr>
                <w:rFonts w:asciiTheme="minorHAnsi" w:eastAsia="Times New Roman" w:hAnsiTheme="minorHAnsi" w:cstheme="minorHAnsi"/>
                <w:b w:val="0"/>
                <w:bCs w:val="0"/>
                <w:color w:val="000000"/>
                <w:sz w:val="20"/>
                <w:szCs w:val="20"/>
                <w:lang w:val="fr-FR" w:eastAsia="en-GB"/>
              </w:rPr>
              <w:t>Türkiye</w:t>
            </w:r>
          </w:p>
        </w:tc>
        <w:tc>
          <w:tcPr>
            <w:tcW w:w="794" w:type="dxa"/>
            <w:vAlign w:val="center"/>
            <w:hideMark/>
          </w:tcPr>
          <w:p w14:paraId="285B1C18"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4A518130"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67,105 </w:t>
            </w:r>
          </w:p>
        </w:tc>
        <w:tc>
          <w:tcPr>
            <w:tcW w:w="794" w:type="dxa"/>
            <w:vAlign w:val="center"/>
            <w:hideMark/>
          </w:tcPr>
          <w:p w14:paraId="33D5D851"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2DD87903"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64A73CE8"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67,105 </w:t>
            </w:r>
          </w:p>
        </w:tc>
        <w:tc>
          <w:tcPr>
            <w:tcW w:w="794" w:type="dxa"/>
            <w:vAlign w:val="center"/>
            <w:hideMark/>
          </w:tcPr>
          <w:p w14:paraId="7ED881CB"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52F85011"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1B2477D1"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w:t>
            </w:r>
          </w:p>
        </w:tc>
        <w:tc>
          <w:tcPr>
            <w:tcW w:w="794" w:type="dxa"/>
            <w:vAlign w:val="center"/>
            <w:hideMark/>
          </w:tcPr>
          <w:p w14:paraId="61154605"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w:t>
            </w:r>
          </w:p>
        </w:tc>
      </w:tr>
      <w:tr w:rsidR="002E149D" w:rsidRPr="00A4333E" w14:paraId="10C68527" w14:textId="77777777" w:rsidTr="00B938BE">
        <w:tc>
          <w:tcPr>
            <w:cnfStyle w:val="001000000000" w:firstRow="0" w:lastRow="0" w:firstColumn="1" w:lastColumn="0" w:oddVBand="0" w:evenVBand="0" w:oddHBand="0" w:evenHBand="0" w:firstRowFirstColumn="0" w:firstRowLastColumn="0" w:lastRowFirstColumn="0" w:lastRowLastColumn="0"/>
            <w:tcW w:w="1838" w:type="dxa"/>
            <w:noWrap/>
            <w:hideMark/>
          </w:tcPr>
          <w:p w14:paraId="1E8A2E8C" w14:textId="77777777" w:rsidR="002E149D" w:rsidRPr="00A4333E" w:rsidRDefault="002E149D" w:rsidP="00483E42">
            <w:pPr>
              <w:ind w:left="0" w:firstLine="0"/>
              <w:rPr>
                <w:rFonts w:asciiTheme="minorHAnsi" w:eastAsia="Times New Roman" w:hAnsiTheme="minorHAnsi" w:cstheme="minorHAnsi"/>
                <w:b w:val="0"/>
                <w:bCs w:val="0"/>
                <w:color w:val="000000"/>
                <w:sz w:val="20"/>
                <w:szCs w:val="20"/>
                <w:lang w:val="fr-FR" w:eastAsia="en-GB"/>
              </w:rPr>
            </w:pPr>
            <w:r w:rsidRPr="00A4333E">
              <w:rPr>
                <w:rFonts w:asciiTheme="minorHAnsi" w:eastAsia="Times New Roman" w:hAnsiTheme="minorHAnsi" w:cstheme="minorHAnsi"/>
                <w:b w:val="0"/>
                <w:bCs w:val="0"/>
                <w:color w:val="000000"/>
                <w:sz w:val="20"/>
                <w:szCs w:val="20"/>
                <w:lang w:val="fr-FR" w:eastAsia="en-GB"/>
              </w:rPr>
              <w:t>Ukraine</w:t>
            </w:r>
          </w:p>
        </w:tc>
        <w:tc>
          <w:tcPr>
            <w:tcW w:w="794" w:type="dxa"/>
            <w:vAlign w:val="center"/>
            <w:hideMark/>
          </w:tcPr>
          <w:p w14:paraId="362874D2"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2,790 </w:t>
            </w:r>
          </w:p>
        </w:tc>
        <w:tc>
          <w:tcPr>
            <w:tcW w:w="794" w:type="dxa"/>
            <w:vAlign w:val="center"/>
            <w:hideMark/>
          </w:tcPr>
          <w:p w14:paraId="49166C76"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2,790 </w:t>
            </w:r>
          </w:p>
        </w:tc>
        <w:tc>
          <w:tcPr>
            <w:tcW w:w="794" w:type="dxa"/>
            <w:vAlign w:val="center"/>
            <w:hideMark/>
          </w:tcPr>
          <w:p w14:paraId="7C4BD257"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03D14DE4"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0FA5E817"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6AC58009"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35CDD6A0"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2,790 </w:t>
            </w:r>
          </w:p>
        </w:tc>
        <w:tc>
          <w:tcPr>
            <w:tcW w:w="794" w:type="dxa"/>
            <w:vAlign w:val="center"/>
            <w:hideMark/>
          </w:tcPr>
          <w:p w14:paraId="34AF8D9F"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2,790 </w:t>
            </w:r>
          </w:p>
        </w:tc>
        <w:tc>
          <w:tcPr>
            <w:tcW w:w="794" w:type="dxa"/>
            <w:vAlign w:val="center"/>
            <w:hideMark/>
          </w:tcPr>
          <w:p w14:paraId="4DD8C9E7"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w:t>
            </w:r>
          </w:p>
        </w:tc>
      </w:tr>
      <w:tr w:rsidR="002E149D" w:rsidRPr="00A4333E" w14:paraId="6B7A74AA" w14:textId="77777777" w:rsidTr="00B938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noWrap/>
            <w:hideMark/>
          </w:tcPr>
          <w:p w14:paraId="2AEEE1AA" w14:textId="77777777" w:rsidR="002E149D" w:rsidRPr="00A4333E" w:rsidRDefault="002E149D" w:rsidP="00483E42">
            <w:pPr>
              <w:ind w:left="0" w:firstLine="0"/>
              <w:rPr>
                <w:rFonts w:asciiTheme="minorHAnsi" w:eastAsia="Times New Roman" w:hAnsiTheme="minorHAnsi" w:cstheme="minorHAnsi"/>
                <w:b w:val="0"/>
                <w:bCs w:val="0"/>
                <w:color w:val="000000"/>
                <w:sz w:val="20"/>
                <w:szCs w:val="20"/>
                <w:lang w:val="fr-FR" w:eastAsia="en-GB"/>
              </w:rPr>
            </w:pPr>
            <w:r w:rsidRPr="00A4333E">
              <w:rPr>
                <w:rFonts w:asciiTheme="minorHAnsi" w:eastAsia="Times New Roman" w:hAnsiTheme="minorHAnsi" w:cstheme="minorHAnsi"/>
                <w:b w:val="0"/>
                <w:bCs w:val="0"/>
                <w:color w:val="000000"/>
                <w:sz w:val="20"/>
                <w:szCs w:val="20"/>
                <w:lang w:val="fr-FR" w:eastAsia="en-GB"/>
              </w:rPr>
              <w:t>Uruguay</w:t>
            </w:r>
          </w:p>
        </w:tc>
        <w:tc>
          <w:tcPr>
            <w:tcW w:w="794" w:type="dxa"/>
            <w:vAlign w:val="center"/>
            <w:hideMark/>
          </w:tcPr>
          <w:p w14:paraId="29540EF3"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4,258 </w:t>
            </w:r>
          </w:p>
        </w:tc>
        <w:tc>
          <w:tcPr>
            <w:tcW w:w="794" w:type="dxa"/>
            <w:vAlign w:val="center"/>
            <w:hideMark/>
          </w:tcPr>
          <w:p w14:paraId="18CE521A"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4,258 </w:t>
            </w:r>
          </w:p>
        </w:tc>
        <w:tc>
          <w:tcPr>
            <w:tcW w:w="794" w:type="dxa"/>
            <w:vAlign w:val="center"/>
            <w:hideMark/>
          </w:tcPr>
          <w:p w14:paraId="3E307069"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63553220"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4,258 </w:t>
            </w:r>
          </w:p>
        </w:tc>
        <w:tc>
          <w:tcPr>
            <w:tcW w:w="794" w:type="dxa"/>
            <w:vAlign w:val="center"/>
            <w:hideMark/>
          </w:tcPr>
          <w:p w14:paraId="5670E87D"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4,258 </w:t>
            </w:r>
          </w:p>
        </w:tc>
        <w:tc>
          <w:tcPr>
            <w:tcW w:w="794" w:type="dxa"/>
            <w:vAlign w:val="center"/>
            <w:hideMark/>
          </w:tcPr>
          <w:p w14:paraId="4493EEB5"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7A3973C9"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091BE4A7"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w:t>
            </w:r>
          </w:p>
        </w:tc>
        <w:tc>
          <w:tcPr>
            <w:tcW w:w="794" w:type="dxa"/>
            <w:vAlign w:val="center"/>
            <w:hideMark/>
          </w:tcPr>
          <w:p w14:paraId="0E1F8D3F"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w:t>
            </w:r>
          </w:p>
        </w:tc>
      </w:tr>
      <w:tr w:rsidR="002E149D" w:rsidRPr="00A4333E" w14:paraId="745A9691" w14:textId="77777777" w:rsidTr="00B938BE">
        <w:tc>
          <w:tcPr>
            <w:cnfStyle w:val="001000000000" w:firstRow="0" w:lastRow="0" w:firstColumn="1" w:lastColumn="0" w:oddVBand="0" w:evenVBand="0" w:oddHBand="0" w:evenHBand="0" w:firstRowFirstColumn="0" w:firstRowLastColumn="0" w:lastRowFirstColumn="0" w:lastRowLastColumn="0"/>
            <w:tcW w:w="1838" w:type="dxa"/>
            <w:noWrap/>
            <w:hideMark/>
          </w:tcPr>
          <w:p w14:paraId="53DA823C" w14:textId="77777777" w:rsidR="002E149D" w:rsidRPr="00A4333E" w:rsidRDefault="002E149D" w:rsidP="00483E42">
            <w:pPr>
              <w:ind w:left="0" w:firstLine="0"/>
              <w:rPr>
                <w:rFonts w:asciiTheme="minorHAnsi" w:eastAsia="Times New Roman" w:hAnsiTheme="minorHAnsi" w:cstheme="minorHAnsi"/>
                <w:b w:val="0"/>
                <w:bCs w:val="0"/>
                <w:color w:val="000000"/>
                <w:sz w:val="20"/>
                <w:szCs w:val="20"/>
                <w:lang w:val="fr-FR" w:eastAsia="en-GB"/>
              </w:rPr>
            </w:pPr>
            <w:r w:rsidRPr="00A4333E">
              <w:rPr>
                <w:rFonts w:asciiTheme="minorHAnsi" w:eastAsia="Times New Roman" w:hAnsiTheme="minorHAnsi" w:cstheme="minorHAnsi"/>
                <w:b w:val="0"/>
                <w:bCs w:val="0"/>
                <w:color w:val="000000"/>
                <w:sz w:val="20"/>
                <w:szCs w:val="20"/>
                <w:lang w:val="fr-FR" w:eastAsia="en-GB"/>
              </w:rPr>
              <w:t>Vanuatu</w:t>
            </w:r>
          </w:p>
        </w:tc>
        <w:tc>
          <w:tcPr>
            <w:tcW w:w="794" w:type="dxa"/>
            <w:vAlign w:val="center"/>
            <w:hideMark/>
          </w:tcPr>
          <w:p w14:paraId="00C327F8"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59E10559"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1,000 </w:t>
            </w:r>
          </w:p>
        </w:tc>
        <w:tc>
          <w:tcPr>
            <w:tcW w:w="794" w:type="dxa"/>
            <w:vAlign w:val="center"/>
            <w:hideMark/>
          </w:tcPr>
          <w:p w14:paraId="28970046"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46 </w:t>
            </w:r>
          </w:p>
        </w:tc>
        <w:tc>
          <w:tcPr>
            <w:tcW w:w="794" w:type="dxa"/>
            <w:vAlign w:val="center"/>
            <w:hideMark/>
          </w:tcPr>
          <w:p w14:paraId="43F253AC"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4280C9F2"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954 </w:t>
            </w:r>
          </w:p>
        </w:tc>
        <w:tc>
          <w:tcPr>
            <w:tcW w:w="794" w:type="dxa"/>
            <w:vAlign w:val="center"/>
            <w:hideMark/>
          </w:tcPr>
          <w:p w14:paraId="61D0284C"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99 </w:t>
            </w:r>
          </w:p>
        </w:tc>
        <w:tc>
          <w:tcPr>
            <w:tcW w:w="794" w:type="dxa"/>
            <w:vAlign w:val="center"/>
            <w:hideMark/>
          </w:tcPr>
          <w:p w14:paraId="09A6CE38"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5F41EF51"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w:t>
            </w:r>
          </w:p>
        </w:tc>
        <w:tc>
          <w:tcPr>
            <w:tcW w:w="794" w:type="dxa"/>
            <w:vAlign w:val="center"/>
            <w:hideMark/>
          </w:tcPr>
          <w:p w14:paraId="7F86E05F"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99 </w:t>
            </w:r>
          </w:p>
        </w:tc>
      </w:tr>
      <w:tr w:rsidR="002E149D" w:rsidRPr="00A4333E" w14:paraId="652B9572" w14:textId="77777777" w:rsidTr="00B938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noWrap/>
            <w:hideMark/>
          </w:tcPr>
          <w:p w14:paraId="524F34D5" w14:textId="77777777" w:rsidR="002E149D" w:rsidRPr="00A4333E" w:rsidRDefault="002E149D" w:rsidP="00483E42">
            <w:pPr>
              <w:ind w:left="0" w:firstLine="0"/>
              <w:rPr>
                <w:rFonts w:asciiTheme="minorHAnsi" w:eastAsia="Times New Roman" w:hAnsiTheme="minorHAnsi" w:cstheme="minorHAnsi"/>
                <w:b w:val="0"/>
                <w:bCs w:val="0"/>
                <w:color w:val="000000"/>
                <w:sz w:val="20"/>
                <w:szCs w:val="20"/>
                <w:lang w:val="fr-FR" w:eastAsia="en-GB"/>
              </w:rPr>
            </w:pPr>
            <w:r w:rsidRPr="00A4333E">
              <w:rPr>
                <w:rFonts w:asciiTheme="minorHAnsi" w:eastAsia="Times New Roman" w:hAnsiTheme="minorHAnsi" w:cstheme="minorHAnsi"/>
                <w:b w:val="0"/>
                <w:bCs w:val="0"/>
                <w:color w:val="000000"/>
                <w:sz w:val="20"/>
                <w:szCs w:val="20"/>
                <w:lang w:val="fr-FR" w:eastAsia="en-GB"/>
              </w:rPr>
              <w:t>Venezuela (République bolivarienne du)</w:t>
            </w:r>
          </w:p>
        </w:tc>
        <w:tc>
          <w:tcPr>
            <w:tcW w:w="794" w:type="dxa"/>
            <w:vAlign w:val="center"/>
            <w:hideMark/>
          </w:tcPr>
          <w:p w14:paraId="43AAA878"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276,737 </w:t>
            </w:r>
          </w:p>
        </w:tc>
        <w:tc>
          <w:tcPr>
            <w:tcW w:w="794" w:type="dxa"/>
            <w:vAlign w:val="center"/>
            <w:hideMark/>
          </w:tcPr>
          <w:p w14:paraId="050DDC50"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35,633 </w:t>
            </w:r>
          </w:p>
        </w:tc>
        <w:tc>
          <w:tcPr>
            <w:tcW w:w="794" w:type="dxa"/>
            <w:vAlign w:val="center"/>
            <w:hideMark/>
          </w:tcPr>
          <w:p w14:paraId="7FC99EEF"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74E327AA"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497593E0"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3EB6E09A"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08D340D3"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276,737 </w:t>
            </w:r>
          </w:p>
        </w:tc>
        <w:tc>
          <w:tcPr>
            <w:tcW w:w="794" w:type="dxa"/>
            <w:vAlign w:val="center"/>
            <w:hideMark/>
          </w:tcPr>
          <w:p w14:paraId="2B6AA011"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35,633 </w:t>
            </w:r>
          </w:p>
        </w:tc>
        <w:tc>
          <w:tcPr>
            <w:tcW w:w="794" w:type="dxa"/>
            <w:vAlign w:val="center"/>
            <w:hideMark/>
          </w:tcPr>
          <w:p w14:paraId="348B759B"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w:t>
            </w:r>
          </w:p>
        </w:tc>
      </w:tr>
      <w:tr w:rsidR="002E149D" w:rsidRPr="00A4333E" w14:paraId="5BAF8300" w14:textId="77777777" w:rsidTr="00B938BE">
        <w:tc>
          <w:tcPr>
            <w:cnfStyle w:val="001000000000" w:firstRow="0" w:lastRow="0" w:firstColumn="1" w:lastColumn="0" w:oddVBand="0" w:evenVBand="0" w:oddHBand="0" w:evenHBand="0" w:firstRowFirstColumn="0" w:firstRowLastColumn="0" w:lastRowFirstColumn="0" w:lastRowLastColumn="0"/>
            <w:tcW w:w="1838" w:type="dxa"/>
            <w:noWrap/>
            <w:hideMark/>
          </w:tcPr>
          <w:p w14:paraId="541123F5" w14:textId="77777777" w:rsidR="002E149D" w:rsidRPr="00A4333E" w:rsidRDefault="002E149D" w:rsidP="00483E42">
            <w:pPr>
              <w:ind w:left="0" w:firstLine="0"/>
              <w:rPr>
                <w:rFonts w:asciiTheme="minorHAnsi" w:eastAsia="Times New Roman" w:hAnsiTheme="minorHAnsi" w:cstheme="minorHAnsi"/>
                <w:b w:val="0"/>
                <w:bCs w:val="0"/>
                <w:color w:val="000000"/>
                <w:sz w:val="20"/>
                <w:szCs w:val="20"/>
                <w:lang w:val="fr-FR" w:eastAsia="en-GB"/>
              </w:rPr>
            </w:pPr>
            <w:r w:rsidRPr="00A4333E">
              <w:rPr>
                <w:rFonts w:asciiTheme="minorHAnsi" w:eastAsia="Times New Roman" w:hAnsiTheme="minorHAnsi" w:cstheme="minorHAnsi"/>
                <w:b w:val="0"/>
                <w:bCs w:val="0"/>
                <w:color w:val="000000"/>
                <w:sz w:val="20"/>
                <w:szCs w:val="20"/>
                <w:lang w:val="fr-FR" w:eastAsia="en-GB"/>
              </w:rPr>
              <w:t>Viet Nam</w:t>
            </w:r>
          </w:p>
        </w:tc>
        <w:tc>
          <w:tcPr>
            <w:tcW w:w="794" w:type="dxa"/>
            <w:vAlign w:val="center"/>
            <w:hideMark/>
          </w:tcPr>
          <w:p w14:paraId="309D5D46"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20101628"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3,769 </w:t>
            </w:r>
          </w:p>
        </w:tc>
        <w:tc>
          <w:tcPr>
            <w:tcW w:w="794" w:type="dxa"/>
            <w:vAlign w:val="center"/>
            <w:hideMark/>
          </w:tcPr>
          <w:p w14:paraId="242EBA33"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2FA9FCD0"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27547993"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930 </w:t>
            </w:r>
          </w:p>
        </w:tc>
        <w:tc>
          <w:tcPr>
            <w:tcW w:w="794" w:type="dxa"/>
            <w:vAlign w:val="center"/>
            <w:hideMark/>
          </w:tcPr>
          <w:p w14:paraId="6EC8D737"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29F53884"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3F85EA35"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2,839 </w:t>
            </w:r>
          </w:p>
        </w:tc>
        <w:tc>
          <w:tcPr>
            <w:tcW w:w="794" w:type="dxa"/>
            <w:vAlign w:val="center"/>
            <w:hideMark/>
          </w:tcPr>
          <w:p w14:paraId="0F76CD52"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w:t>
            </w:r>
          </w:p>
        </w:tc>
      </w:tr>
      <w:tr w:rsidR="002E149D" w:rsidRPr="00A4333E" w14:paraId="6503FCC8" w14:textId="77777777" w:rsidTr="00B938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noWrap/>
            <w:hideMark/>
          </w:tcPr>
          <w:p w14:paraId="77418A63" w14:textId="77777777" w:rsidR="002E149D" w:rsidRPr="00A4333E" w:rsidRDefault="002E149D" w:rsidP="00483E42">
            <w:pPr>
              <w:ind w:left="0" w:firstLine="0"/>
              <w:rPr>
                <w:rFonts w:asciiTheme="minorHAnsi" w:eastAsia="Times New Roman" w:hAnsiTheme="minorHAnsi" w:cstheme="minorHAnsi"/>
                <w:b w:val="0"/>
                <w:bCs w:val="0"/>
                <w:color w:val="000000"/>
                <w:sz w:val="20"/>
                <w:szCs w:val="20"/>
                <w:lang w:val="fr-FR" w:eastAsia="en-GB"/>
              </w:rPr>
            </w:pPr>
            <w:r w:rsidRPr="00A4333E">
              <w:rPr>
                <w:rFonts w:asciiTheme="minorHAnsi" w:eastAsia="Times New Roman" w:hAnsiTheme="minorHAnsi" w:cstheme="minorHAnsi"/>
                <w:b w:val="0"/>
                <w:bCs w:val="0"/>
                <w:color w:val="000000"/>
                <w:sz w:val="20"/>
                <w:szCs w:val="20"/>
                <w:lang w:val="fr-FR" w:eastAsia="en-GB"/>
              </w:rPr>
              <w:t>Yémen</w:t>
            </w:r>
          </w:p>
        </w:tc>
        <w:tc>
          <w:tcPr>
            <w:tcW w:w="794" w:type="dxa"/>
            <w:vAlign w:val="center"/>
            <w:hideMark/>
          </w:tcPr>
          <w:p w14:paraId="2866EDAE"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13,000 </w:t>
            </w:r>
          </w:p>
        </w:tc>
        <w:tc>
          <w:tcPr>
            <w:tcW w:w="794" w:type="dxa"/>
            <w:vAlign w:val="center"/>
            <w:hideMark/>
          </w:tcPr>
          <w:p w14:paraId="0FB8ED7A"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1,000 </w:t>
            </w:r>
          </w:p>
        </w:tc>
        <w:tc>
          <w:tcPr>
            <w:tcW w:w="794" w:type="dxa"/>
            <w:vAlign w:val="center"/>
            <w:hideMark/>
          </w:tcPr>
          <w:p w14:paraId="447B1CD0"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420D39F2"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1074BF5A"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69DD8947"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72E861B9"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13,000 </w:t>
            </w:r>
          </w:p>
        </w:tc>
        <w:tc>
          <w:tcPr>
            <w:tcW w:w="794" w:type="dxa"/>
            <w:vAlign w:val="center"/>
            <w:hideMark/>
          </w:tcPr>
          <w:p w14:paraId="57F9FCDA"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1,000 </w:t>
            </w:r>
          </w:p>
        </w:tc>
        <w:tc>
          <w:tcPr>
            <w:tcW w:w="794" w:type="dxa"/>
            <w:vAlign w:val="center"/>
            <w:hideMark/>
          </w:tcPr>
          <w:p w14:paraId="2C6620C5"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w:t>
            </w:r>
          </w:p>
        </w:tc>
      </w:tr>
      <w:tr w:rsidR="002E149D" w:rsidRPr="00A4333E" w14:paraId="62E099CC" w14:textId="77777777" w:rsidTr="00B938BE">
        <w:tc>
          <w:tcPr>
            <w:cnfStyle w:val="001000000000" w:firstRow="0" w:lastRow="0" w:firstColumn="1" w:lastColumn="0" w:oddVBand="0" w:evenVBand="0" w:oddHBand="0" w:evenHBand="0" w:firstRowFirstColumn="0" w:firstRowLastColumn="0" w:lastRowFirstColumn="0" w:lastRowLastColumn="0"/>
            <w:tcW w:w="1838" w:type="dxa"/>
            <w:noWrap/>
            <w:hideMark/>
          </w:tcPr>
          <w:p w14:paraId="65056EFA" w14:textId="77777777" w:rsidR="002E149D" w:rsidRPr="00A4333E" w:rsidRDefault="002E149D" w:rsidP="00483E42">
            <w:pPr>
              <w:ind w:left="0" w:firstLine="0"/>
              <w:rPr>
                <w:rFonts w:asciiTheme="minorHAnsi" w:eastAsia="Times New Roman" w:hAnsiTheme="minorHAnsi" w:cstheme="minorHAnsi"/>
                <w:b w:val="0"/>
                <w:bCs w:val="0"/>
                <w:color w:val="000000"/>
                <w:sz w:val="20"/>
                <w:szCs w:val="20"/>
                <w:lang w:val="fr-FR" w:eastAsia="en-GB"/>
              </w:rPr>
            </w:pPr>
            <w:r w:rsidRPr="00A4333E">
              <w:rPr>
                <w:rFonts w:asciiTheme="minorHAnsi" w:eastAsia="Times New Roman" w:hAnsiTheme="minorHAnsi" w:cstheme="minorHAnsi"/>
                <w:b w:val="0"/>
                <w:bCs w:val="0"/>
                <w:color w:val="000000"/>
                <w:sz w:val="20"/>
                <w:szCs w:val="20"/>
                <w:lang w:val="fr-FR" w:eastAsia="en-GB"/>
              </w:rPr>
              <w:t>Zambie</w:t>
            </w:r>
          </w:p>
        </w:tc>
        <w:tc>
          <w:tcPr>
            <w:tcW w:w="794" w:type="dxa"/>
            <w:vAlign w:val="center"/>
            <w:hideMark/>
          </w:tcPr>
          <w:p w14:paraId="1C7F635C"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4,000 </w:t>
            </w:r>
          </w:p>
        </w:tc>
        <w:tc>
          <w:tcPr>
            <w:tcW w:w="794" w:type="dxa"/>
            <w:vAlign w:val="center"/>
            <w:hideMark/>
          </w:tcPr>
          <w:p w14:paraId="5E138188"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1,000 </w:t>
            </w:r>
          </w:p>
        </w:tc>
        <w:tc>
          <w:tcPr>
            <w:tcW w:w="794" w:type="dxa"/>
            <w:vAlign w:val="center"/>
            <w:hideMark/>
          </w:tcPr>
          <w:p w14:paraId="2D5D38B1"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6C54A28F"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05ED3400"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77F094C6"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638879A5"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4,000 </w:t>
            </w:r>
          </w:p>
        </w:tc>
        <w:tc>
          <w:tcPr>
            <w:tcW w:w="794" w:type="dxa"/>
            <w:vAlign w:val="center"/>
            <w:hideMark/>
          </w:tcPr>
          <w:p w14:paraId="05AFA9C1"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1,000 </w:t>
            </w:r>
          </w:p>
        </w:tc>
        <w:tc>
          <w:tcPr>
            <w:tcW w:w="794" w:type="dxa"/>
            <w:vAlign w:val="center"/>
            <w:hideMark/>
          </w:tcPr>
          <w:p w14:paraId="3F0FF96D" w14:textId="77777777" w:rsidR="002E149D" w:rsidRPr="00A4333E" w:rsidRDefault="002E149D"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w:t>
            </w:r>
          </w:p>
        </w:tc>
      </w:tr>
      <w:tr w:rsidR="002E149D" w:rsidRPr="00A4333E" w14:paraId="657A23DA" w14:textId="77777777" w:rsidTr="00B938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noWrap/>
            <w:hideMark/>
          </w:tcPr>
          <w:p w14:paraId="5D7900B9" w14:textId="77777777" w:rsidR="002E149D" w:rsidRPr="00A4333E" w:rsidRDefault="002E149D" w:rsidP="00483E42">
            <w:pPr>
              <w:ind w:left="0" w:firstLine="0"/>
              <w:rPr>
                <w:rFonts w:asciiTheme="minorHAnsi" w:eastAsia="Times New Roman" w:hAnsiTheme="minorHAnsi" w:cstheme="minorHAnsi"/>
                <w:b w:val="0"/>
                <w:bCs w:val="0"/>
                <w:color w:val="000000"/>
                <w:sz w:val="20"/>
                <w:szCs w:val="20"/>
                <w:lang w:val="fr-FR" w:eastAsia="en-GB"/>
              </w:rPr>
            </w:pPr>
            <w:r w:rsidRPr="00A4333E">
              <w:rPr>
                <w:rFonts w:asciiTheme="minorHAnsi" w:eastAsia="Times New Roman" w:hAnsiTheme="minorHAnsi" w:cstheme="minorHAnsi"/>
                <w:b w:val="0"/>
                <w:bCs w:val="0"/>
                <w:color w:val="000000"/>
                <w:sz w:val="20"/>
                <w:szCs w:val="20"/>
                <w:lang w:val="fr-FR" w:eastAsia="en-GB"/>
              </w:rPr>
              <w:t>Zimbabwe</w:t>
            </w:r>
          </w:p>
        </w:tc>
        <w:tc>
          <w:tcPr>
            <w:tcW w:w="794" w:type="dxa"/>
            <w:vAlign w:val="center"/>
            <w:hideMark/>
          </w:tcPr>
          <w:p w14:paraId="061D9C57"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8,000 </w:t>
            </w:r>
          </w:p>
        </w:tc>
        <w:tc>
          <w:tcPr>
            <w:tcW w:w="794" w:type="dxa"/>
            <w:vAlign w:val="center"/>
            <w:hideMark/>
          </w:tcPr>
          <w:p w14:paraId="390374FF"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1,000 </w:t>
            </w:r>
          </w:p>
        </w:tc>
        <w:tc>
          <w:tcPr>
            <w:tcW w:w="794" w:type="dxa"/>
            <w:vAlign w:val="center"/>
            <w:hideMark/>
          </w:tcPr>
          <w:p w14:paraId="54AC27BD"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6B7D53FA"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420B8140"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4E6A4F96"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 -</w:t>
            </w:r>
          </w:p>
        </w:tc>
        <w:tc>
          <w:tcPr>
            <w:tcW w:w="794" w:type="dxa"/>
            <w:vAlign w:val="center"/>
            <w:hideMark/>
          </w:tcPr>
          <w:p w14:paraId="5F7C1770"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8,000 </w:t>
            </w:r>
          </w:p>
        </w:tc>
        <w:tc>
          <w:tcPr>
            <w:tcW w:w="794" w:type="dxa"/>
            <w:vAlign w:val="center"/>
            <w:hideMark/>
          </w:tcPr>
          <w:p w14:paraId="369C1DBF"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 xml:space="preserve">1,000 </w:t>
            </w:r>
          </w:p>
        </w:tc>
        <w:tc>
          <w:tcPr>
            <w:tcW w:w="794" w:type="dxa"/>
            <w:vAlign w:val="center"/>
            <w:hideMark/>
          </w:tcPr>
          <w:p w14:paraId="1E2DFE1B" w14:textId="77777777" w:rsidR="002E149D" w:rsidRPr="00A4333E" w:rsidRDefault="002E149D"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val="fr-FR" w:eastAsia="en-GB"/>
              </w:rPr>
            </w:pPr>
            <w:r w:rsidRPr="00A4333E">
              <w:rPr>
                <w:rFonts w:asciiTheme="minorHAnsi" w:hAnsiTheme="minorHAnsi" w:cstheme="minorHAnsi"/>
                <w:sz w:val="20"/>
                <w:szCs w:val="20"/>
                <w:lang w:val="fr-FR"/>
              </w:rPr>
              <w:t>-</w:t>
            </w:r>
          </w:p>
        </w:tc>
      </w:tr>
      <w:tr w:rsidR="005C1B09" w:rsidRPr="00A4333E" w14:paraId="404C755D" w14:textId="77777777" w:rsidTr="00B938BE">
        <w:tc>
          <w:tcPr>
            <w:cnfStyle w:val="001000000000" w:firstRow="0" w:lastRow="0" w:firstColumn="1" w:lastColumn="0" w:oddVBand="0" w:evenVBand="0" w:oddHBand="0" w:evenHBand="0" w:firstRowFirstColumn="0" w:firstRowLastColumn="0" w:lastRowFirstColumn="0" w:lastRowLastColumn="0"/>
            <w:tcW w:w="1838" w:type="dxa"/>
            <w:shd w:val="clear" w:color="auto" w:fill="DBE5F1" w:themeFill="accent1" w:themeFillTint="33"/>
            <w:noWrap/>
            <w:hideMark/>
          </w:tcPr>
          <w:p w14:paraId="13343C50" w14:textId="77777777" w:rsidR="005C1B09" w:rsidRPr="00A4333E" w:rsidRDefault="005C1B09" w:rsidP="00483E42">
            <w:pPr>
              <w:ind w:left="0" w:firstLine="0"/>
              <w:rPr>
                <w:rFonts w:asciiTheme="minorHAnsi" w:eastAsia="Times New Roman" w:hAnsiTheme="minorHAnsi" w:cstheme="minorHAnsi"/>
                <w:bCs w:val="0"/>
                <w:color w:val="000000"/>
                <w:sz w:val="20"/>
                <w:szCs w:val="20"/>
                <w:lang w:val="fr-FR" w:eastAsia="en-GB"/>
              </w:rPr>
            </w:pPr>
            <w:r w:rsidRPr="00A4333E">
              <w:rPr>
                <w:rFonts w:asciiTheme="minorHAnsi" w:eastAsia="Times New Roman" w:hAnsiTheme="minorHAnsi" w:cstheme="minorHAnsi"/>
                <w:bCs w:val="0"/>
                <w:color w:val="000000"/>
                <w:sz w:val="20"/>
                <w:szCs w:val="20"/>
                <w:lang w:val="fr-FR" w:eastAsia="en-GB"/>
              </w:rPr>
              <w:t>Total</w:t>
            </w:r>
          </w:p>
        </w:tc>
        <w:tc>
          <w:tcPr>
            <w:tcW w:w="794" w:type="dxa"/>
            <w:shd w:val="clear" w:color="auto" w:fill="DBE5F1" w:themeFill="accent1" w:themeFillTint="33"/>
            <w:vAlign w:val="center"/>
            <w:hideMark/>
          </w:tcPr>
          <w:p w14:paraId="55FA8BF9" w14:textId="77777777" w:rsidR="005C1B09" w:rsidRPr="00A4333E"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color w:val="000000"/>
                <w:sz w:val="20"/>
                <w:szCs w:val="20"/>
                <w:lang w:val="fr-FR" w:eastAsia="en-GB"/>
              </w:rPr>
            </w:pPr>
            <w:r w:rsidRPr="00A4333E">
              <w:rPr>
                <w:rFonts w:asciiTheme="minorHAnsi" w:hAnsiTheme="minorHAnsi" w:cstheme="minorHAnsi"/>
                <w:b/>
                <w:bCs/>
                <w:color w:val="000000"/>
                <w:sz w:val="20"/>
                <w:szCs w:val="20"/>
                <w:lang w:val="fr-FR"/>
              </w:rPr>
              <w:t xml:space="preserve">1,674,049 </w:t>
            </w:r>
          </w:p>
        </w:tc>
        <w:tc>
          <w:tcPr>
            <w:tcW w:w="794" w:type="dxa"/>
            <w:shd w:val="clear" w:color="auto" w:fill="DBE5F1" w:themeFill="accent1" w:themeFillTint="33"/>
            <w:vAlign w:val="center"/>
            <w:hideMark/>
          </w:tcPr>
          <w:p w14:paraId="07D8B12B" w14:textId="77777777" w:rsidR="005C1B09" w:rsidRPr="00A4333E"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color w:val="000000"/>
                <w:sz w:val="20"/>
                <w:szCs w:val="20"/>
                <w:lang w:val="fr-FR" w:eastAsia="en-GB"/>
              </w:rPr>
            </w:pPr>
            <w:r w:rsidRPr="00A4333E">
              <w:rPr>
                <w:rFonts w:asciiTheme="minorHAnsi" w:hAnsiTheme="minorHAnsi" w:cstheme="minorHAnsi"/>
                <w:b/>
                <w:bCs/>
                <w:color w:val="000000"/>
                <w:sz w:val="20"/>
                <w:szCs w:val="20"/>
                <w:lang w:val="fr-FR"/>
              </w:rPr>
              <w:t xml:space="preserve">4,844,799 </w:t>
            </w:r>
          </w:p>
        </w:tc>
        <w:tc>
          <w:tcPr>
            <w:tcW w:w="794" w:type="dxa"/>
            <w:shd w:val="clear" w:color="auto" w:fill="DBE5F1" w:themeFill="accent1" w:themeFillTint="33"/>
            <w:vAlign w:val="center"/>
            <w:hideMark/>
          </w:tcPr>
          <w:p w14:paraId="1F116CB4" w14:textId="77777777" w:rsidR="005C1B09" w:rsidRPr="00A4333E"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color w:val="000000"/>
                <w:sz w:val="20"/>
                <w:szCs w:val="20"/>
                <w:lang w:val="fr-FR" w:eastAsia="en-GB"/>
              </w:rPr>
            </w:pPr>
            <w:r w:rsidRPr="00A4333E">
              <w:rPr>
                <w:rFonts w:asciiTheme="minorHAnsi" w:hAnsiTheme="minorHAnsi" w:cstheme="minorHAnsi"/>
                <w:b/>
                <w:bCs/>
                <w:color w:val="000000"/>
                <w:sz w:val="20"/>
                <w:szCs w:val="20"/>
                <w:lang w:val="fr-FR"/>
              </w:rPr>
              <w:t xml:space="preserve">503,050 </w:t>
            </w:r>
          </w:p>
        </w:tc>
        <w:tc>
          <w:tcPr>
            <w:tcW w:w="794" w:type="dxa"/>
            <w:shd w:val="clear" w:color="auto" w:fill="DBE5F1" w:themeFill="accent1" w:themeFillTint="33"/>
            <w:vAlign w:val="center"/>
            <w:hideMark/>
          </w:tcPr>
          <w:p w14:paraId="7A840410" w14:textId="77777777" w:rsidR="005C1B09" w:rsidRPr="00A4333E"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color w:val="000000"/>
                <w:spacing w:val="-4"/>
                <w:sz w:val="20"/>
                <w:szCs w:val="20"/>
                <w:lang w:val="fr-FR" w:eastAsia="en-GB"/>
              </w:rPr>
            </w:pPr>
            <w:r w:rsidRPr="00A4333E">
              <w:rPr>
                <w:rFonts w:asciiTheme="minorHAnsi" w:hAnsiTheme="minorHAnsi" w:cstheme="minorHAnsi"/>
                <w:b/>
                <w:bCs/>
                <w:color w:val="000000"/>
                <w:sz w:val="20"/>
                <w:szCs w:val="20"/>
                <w:lang w:val="fr-FR"/>
              </w:rPr>
              <w:t xml:space="preserve">660,673 </w:t>
            </w:r>
          </w:p>
        </w:tc>
        <w:tc>
          <w:tcPr>
            <w:tcW w:w="794" w:type="dxa"/>
            <w:shd w:val="clear" w:color="auto" w:fill="DBE5F1" w:themeFill="accent1" w:themeFillTint="33"/>
            <w:vAlign w:val="center"/>
            <w:hideMark/>
          </w:tcPr>
          <w:p w14:paraId="359CCF60" w14:textId="77777777" w:rsidR="005C1B09" w:rsidRPr="00A4333E"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color w:val="000000"/>
                <w:sz w:val="20"/>
                <w:szCs w:val="20"/>
                <w:lang w:val="fr-FR" w:eastAsia="en-GB"/>
              </w:rPr>
            </w:pPr>
            <w:r w:rsidRPr="00A4333E">
              <w:rPr>
                <w:rFonts w:asciiTheme="minorHAnsi" w:hAnsiTheme="minorHAnsi" w:cstheme="minorHAnsi"/>
                <w:b/>
                <w:bCs/>
                <w:color w:val="000000"/>
                <w:sz w:val="20"/>
                <w:szCs w:val="20"/>
                <w:lang w:val="fr-FR"/>
              </w:rPr>
              <w:t xml:space="preserve">3,844,406 </w:t>
            </w:r>
          </w:p>
        </w:tc>
        <w:tc>
          <w:tcPr>
            <w:tcW w:w="794" w:type="dxa"/>
            <w:shd w:val="clear" w:color="auto" w:fill="DBE5F1" w:themeFill="accent1" w:themeFillTint="33"/>
            <w:vAlign w:val="center"/>
            <w:hideMark/>
          </w:tcPr>
          <w:p w14:paraId="5BCC6F90" w14:textId="77777777" w:rsidR="005C1B09" w:rsidRPr="00A4333E"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color w:val="000000"/>
                <w:sz w:val="20"/>
                <w:szCs w:val="20"/>
                <w:lang w:val="fr-FR" w:eastAsia="en-GB"/>
              </w:rPr>
            </w:pPr>
            <w:r w:rsidRPr="00A4333E">
              <w:rPr>
                <w:rFonts w:asciiTheme="minorHAnsi" w:hAnsiTheme="minorHAnsi" w:cstheme="minorHAnsi"/>
                <w:b/>
                <w:bCs/>
                <w:color w:val="000000"/>
                <w:sz w:val="20"/>
                <w:szCs w:val="20"/>
                <w:lang w:val="fr-FR"/>
              </w:rPr>
              <w:t xml:space="preserve">704,597 </w:t>
            </w:r>
          </w:p>
        </w:tc>
        <w:tc>
          <w:tcPr>
            <w:tcW w:w="794" w:type="dxa"/>
            <w:shd w:val="clear" w:color="auto" w:fill="DBE5F1" w:themeFill="accent1" w:themeFillTint="33"/>
            <w:vAlign w:val="center"/>
            <w:hideMark/>
          </w:tcPr>
          <w:p w14:paraId="4CE0D169" w14:textId="77777777" w:rsidR="005C1B09" w:rsidRPr="00A4333E"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color w:val="000000"/>
                <w:sz w:val="20"/>
                <w:szCs w:val="20"/>
                <w:lang w:val="fr-FR" w:eastAsia="en-GB"/>
              </w:rPr>
            </w:pPr>
            <w:r w:rsidRPr="00A4333E">
              <w:rPr>
                <w:rFonts w:asciiTheme="minorHAnsi" w:hAnsiTheme="minorHAnsi" w:cstheme="minorHAnsi"/>
                <w:b/>
                <w:bCs/>
                <w:color w:val="000000"/>
                <w:sz w:val="20"/>
                <w:szCs w:val="20"/>
                <w:lang w:val="fr-FR"/>
              </w:rPr>
              <w:t xml:space="preserve">1,013,376 </w:t>
            </w:r>
          </w:p>
        </w:tc>
        <w:tc>
          <w:tcPr>
            <w:tcW w:w="794" w:type="dxa"/>
            <w:shd w:val="clear" w:color="auto" w:fill="DBE5F1" w:themeFill="accent1" w:themeFillTint="33"/>
            <w:vAlign w:val="center"/>
            <w:hideMark/>
          </w:tcPr>
          <w:p w14:paraId="67CE8AC6" w14:textId="77777777" w:rsidR="005C1B09" w:rsidRPr="00A4333E"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color w:val="000000"/>
                <w:sz w:val="20"/>
                <w:szCs w:val="20"/>
                <w:lang w:val="fr-FR" w:eastAsia="en-GB"/>
              </w:rPr>
            </w:pPr>
            <w:r w:rsidRPr="00A4333E">
              <w:rPr>
                <w:rFonts w:asciiTheme="minorHAnsi" w:hAnsiTheme="minorHAnsi" w:cstheme="minorHAnsi"/>
                <w:b/>
                <w:bCs/>
                <w:color w:val="000000"/>
                <w:sz w:val="20"/>
                <w:szCs w:val="20"/>
                <w:lang w:val="fr-FR"/>
              </w:rPr>
              <w:t xml:space="preserve">523,028 </w:t>
            </w:r>
          </w:p>
        </w:tc>
        <w:tc>
          <w:tcPr>
            <w:tcW w:w="794" w:type="dxa"/>
            <w:shd w:val="clear" w:color="auto" w:fill="DBE5F1" w:themeFill="accent1" w:themeFillTint="33"/>
            <w:vAlign w:val="center"/>
            <w:hideMark/>
          </w:tcPr>
          <w:p w14:paraId="79AEC1C4" w14:textId="77777777" w:rsidR="005C1B09" w:rsidRPr="00A4333E"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color w:val="000000"/>
                <w:sz w:val="20"/>
                <w:szCs w:val="20"/>
                <w:lang w:val="fr-FR" w:eastAsia="en-GB"/>
              </w:rPr>
            </w:pPr>
            <w:r w:rsidRPr="00A4333E">
              <w:rPr>
                <w:rFonts w:asciiTheme="minorHAnsi" w:hAnsiTheme="minorHAnsi" w:cstheme="minorHAnsi"/>
                <w:b/>
                <w:bCs/>
                <w:color w:val="000000"/>
                <w:sz w:val="20"/>
                <w:szCs w:val="20"/>
                <w:lang w:val="fr-FR"/>
              </w:rPr>
              <w:t xml:space="preserve">730,281 </w:t>
            </w:r>
          </w:p>
        </w:tc>
      </w:tr>
    </w:tbl>
    <w:p w14:paraId="41C141EC" w14:textId="3C69CC5F" w:rsidR="005C1B09" w:rsidRPr="00A4333E" w:rsidRDefault="005C1B09" w:rsidP="00CE1F5D">
      <w:pPr>
        <w:rPr>
          <w:rFonts w:cs="Arial"/>
          <w:lang w:val="fr-FR"/>
        </w:rPr>
      </w:pPr>
    </w:p>
    <w:p w14:paraId="03C99E4B" w14:textId="07FC6389" w:rsidR="00962719" w:rsidRPr="00A4333E" w:rsidRDefault="004A23AF" w:rsidP="00D4566C">
      <w:pPr>
        <w:ind w:left="0" w:firstLine="0"/>
        <w:rPr>
          <w:rFonts w:asciiTheme="minorHAnsi" w:eastAsia="Times New Roman" w:hAnsiTheme="minorHAnsi" w:cs="Arial"/>
          <w:sz w:val="20"/>
          <w:szCs w:val="20"/>
          <w:lang w:val="fr-FR" w:eastAsia="en-GB"/>
        </w:rPr>
      </w:pPr>
      <w:bookmarkStart w:id="2" w:name="RANGE!B1:L176"/>
      <w:bookmarkEnd w:id="2"/>
      <w:r w:rsidRPr="00A4333E">
        <w:rPr>
          <w:rFonts w:asciiTheme="minorHAnsi" w:eastAsia="Times New Roman" w:hAnsiTheme="minorHAnsi" w:cs="Arial"/>
          <w:sz w:val="20"/>
          <w:szCs w:val="20"/>
          <w:lang w:val="fr-FR" w:eastAsia="en-GB"/>
        </w:rPr>
        <w:t>Source</w:t>
      </w:r>
      <w:r w:rsidR="00BC5B54" w:rsidRPr="00A4333E">
        <w:rPr>
          <w:rFonts w:asciiTheme="minorHAnsi" w:eastAsia="Times New Roman" w:hAnsiTheme="minorHAnsi" w:cs="Arial"/>
          <w:sz w:val="20"/>
          <w:szCs w:val="20"/>
          <w:lang w:val="fr-FR" w:eastAsia="en-GB"/>
        </w:rPr>
        <w:t xml:space="preserve"> </w:t>
      </w:r>
      <w:r w:rsidR="00CE1F5D" w:rsidRPr="00A4333E">
        <w:rPr>
          <w:rFonts w:asciiTheme="minorHAnsi" w:eastAsia="Times New Roman" w:hAnsiTheme="minorHAnsi" w:cs="Arial"/>
          <w:sz w:val="20"/>
          <w:szCs w:val="20"/>
          <w:lang w:val="fr-FR" w:eastAsia="en-GB"/>
        </w:rPr>
        <w:t xml:space="preserve">: </w:t>
      </w:r>
      <w:r w:rsidR="00BA67DE" w:rsidRPr="00A4333E">
        <w:rPr>
          <w:rFonts w:asciiTheme="minorHAnsi" w:eastAsia="Times New Roman" w:hAnsiTheme="minorHAnsi" w:cs="Arial"/>
          <w:sz w:val="20"/>
          <w:szCs w:val="20"/>
          <w:lang w:val="fr-FR" w:eastAsia="en-GB"/>
        </w:rPr>
        <w:t>SC5</w:t>
      </w:r>
      <w:r w:rsidR="005C1B09" w:rsidRPr="00A4333E">
        <w:rPr>
          <w:rFonts w:asciiTheme="minorHAnsi" w:eastAsia="Times New Roman" w:hAnsiTheme="minorHAnsi" w:cs="Arial"/>
          <w:sz w:val="20"/>
          <w:szCs w:val="20"/>
          <w:lang w:val="fr-FR" w:eastAsia="en-GB"/>
        </w:rPr>
        <w:t>9/2022</w:t>
      </w:r>
      <w:r w:rsidR="00BA67DE" w:rsidRPr="00A4333E">
        <w:rPr>
          <w:rFonts w:asciiTheme="minorHAnsi" w:eastAsia="Times New Roman" w:hAnsiTheme="minorHAnsi" w:cs="Arial"/>
          <w:sz w:val="20"/>
          <w:szCs w:val="20"/>
          <w:lang w:val="fr-FR" w:eastAsia="en-GB"/>
        </w:rPr>
        <w:t>-</w:t>
      </w:r>
      <w:r w:rsidR="005C1B09" w:rsidRPr="00A4333E">
        <w:rPr>
          <w:rFonts w:asciiTheme="minorHAnsi" w:eastAsia="Times New Roman" w:hAnsiTheme="minorHAnsi" w:cs="Arial"/>
          <w:sz w:val="20"/>
          <w:szCs w:val="20"/>
          <w:lang w:val="fr-FR" w:eastAsia="en-GB"/>
        </w:rPr>
        <w:t>8</w:t>
      </w:r>
      <w:r w:rsidR="00BA67DE" w:rsidRPr="00A4333E">
        <w:rPr>
          <w:rFonts w:asciiTheme="minorHAnsi" w:eastAsia="Times New Roman" w:hAnsiTheme="minorHAnsi" w:cs="Arial"/>
          <w:sz w:val="20"/>
          <w:szCs w:val="20"/>
          <w:lang w:val="fr-FR" w:eastAsia="en-GB"/>
        </w:rPr>
        <w:t>.2 Annex</w:t>
      </w:r>
      <w:r w:rsidR="00BC5B54" w:rsidRPr="00A4333E">
        <w:rPr>
          <w:rFonts w:asciiTheme="minorHAnsi" w:eastAsia="Times New Roman" w:hAnsiTheme="minorHAnsi" w:cs="Arial"/>
          <w:sz w:val="20"/>
          <w:szCs w:val="20"/>
          <w:lang w:val="fr-FR" w:eastAsia="en-GB"/>
        </w:rPr>
        <w:t>e</w:t>
      </w:r>
      <w:r w:rsidR="00BA67DE" w:rsidRPr="00A4333E">
        <w:rPr>
          <w:rFonts w:asciiTheme="minorHAnsi" w:eastAsia="Times New Roman" w:hAnsiTheme="minorHAnsi" w:cs="Arial"/>
          <w:sz w:val="20"/>
          <w:szCs w:val="20"/>
          <w:lang w:val="fr-FR" w:eastAsia="en-GB"/>
        </w:rPr>
        <w:t xml:space="preserve"> 1</w:t>
      </w:r>
    </w:p>
    <w:sectPr w:rsidR="00962719" w:rsidRPr="00A4333E" w:rsidSect="00BA6428">
      <w:footerReference w:type="default" r:id="rId12"/>
      <w:pgSz w:w="11906" w:h="16838"/>
      <w:pgMar w:top="1440" w:right="1440" w:bottom="1440" w:left="1440"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E0A9BB" w16cex:dateUtc="2022-09-29T21: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77A5549" w16cid:durableId="26DC3312"/>
  <w16cid:commentId w16cid:paraId="3DA479CA" w16cid:durableId="26DC3313"/>
  <w16cid:commentId w16cid:paraId="79DACF7C" w16cid:durableId="26DC3314"/>
  <w16cid:commentId w16cid:paraId="04EDFF92" w16cid:durableId="26E0A9B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30226A" w14:textId="77777777" w:rsidR="0005234D" w:rsidRDefault="0005234D" w:rsidP="00DF2386">
      <w:r>
        <w:separator/>
      </w:r>
    </w:p>
  </w:endnote>
  <w:endnote w:type="continuationSeparator" w:id="0">
    <w:p w14:paraId="068D4105" w14:textId="77777777" w:rsidR="0005234D" w:rsidRDefault="0005234D" w:rsidP="00DF2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Yu Gothic UI"/>
    <w:panose1 w:val="02020609040205080304"/>
    <w:charset w:val="80"/>
    <w:family w:val="modern"/>
    <w:pitch w:val="fixed"/>
    <w:sig w:usb0="00000287" w:usb1="08070000"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72D56C" w14:textId="22F8E36E" w:rsidR="0005234D" w:rsidRPr="007856EC" w:rsidRDefault="0005234D" w:rsidP="00B938BE">
    <w:pPr>
      <w:pStyle w:val="Footer"/>
      <w:tabs>
        <w:tab w:val="clear" w:pos="9026"/>
        <w:tab w:val="left" w:pos="8789"/>
        <w:tab w:val="left" w:pos="13892"/>
      </w:tabs>
      <w:ind w:left="0" w:firstLine="0"/>
      <w:rPr>
        <w:sz w:val="20"/>
        <w:szCs w:val="20"/>
      </w:rPr>
    </w:pPr>
    <w:r>
      <w:rPr>
        <w:sz w:val="20"/>
        <w:szCs w:val="20"/>
      </w:rPr>
      <w:t>COP14 Doc.15</w:t>
    </w:r>
    <w:r>
      <w:rPr>
        <w:sz w:val="20"/>
        <w:szCs w:val="20"/>
      </w:rPr>
      <w:tab/>
    </w:r>
    <w:r>
      <w:rPr>
        <w:sz w:val="20"/>
        <w:szCs w:val="20"/>
      </w:rPr>
      <w:tab/>
    </w:r>
    <w:r w:rsidRPr="00BA6428">
      <w:rPr>
        <w:sz w:val="20"/>
        <w:szCs w:val="20"/>
      </w:rPr>
      <w:fldChar w:fldCharType="begin"/>
    </w:r>
    <w:r w:rsidRPr="00BA6428">
      <w:rPr>
        <w:sz w:val="20"/>
        <w:szCs w:val="20"/>
      </w:rPr>
      <w:instrText xml:space="preserve"> PAGE   \* MERGEFORMAT </w:instrText>
    </w:r>
    <w:r w:rsidRPr="00BA6428">
      <w:rPr>
        <w:sz w:val="20"/>
        <w:szCs w:val="20"/>
      </w:rPr>
      <w:fldChar w:fldCharType="separate"/>
    </w:r>
    <w:r w:rsidR="0074795C">
      <w:rPr>
        <w:noProof/>
        <w:sz w:val="20"/>
        <w:szCs w:val="20"/>
      </w:rPr>
      <w:t>4</w:t>
    </w:r>
    <w:r w:rsidRPr="00BA6428">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A3FA38" w14:textId="77777777" w:rsidR="0005234D" w:rsidRDefault="0005234D" w:rsidP="00DF2386">
      <w:r>
        <w:separator/>
      </w:r>
    </w:p>
  </w:footnote>
  <w:footnote w:type="continuationSeparator" w:id="0">
    <w:p w14:paraId="4AA796E8" w14:textId="77777777" w:rsidR="0005234D" w:rsidRDefault="0005234D" w:rsidP="00DF2386">
      <w:r>
        <w:continuationSeparator/>
      </w:r>
    </w:p>
  </w:footnote>
  <w:footnote w:id="1">
    <w:p w14:paraId="097508BB" w14:textId="575C575C" w:rsidR="0005234D" w:rsidRPr="00DA3041" w:rsidRDefault="0005234D" w:rsidP="00A73A28">
      <w:pPr>
        <w:pStyle w:val="FootnoteText"/>
        <w:ind w:left="0" w:firstLine="0"/>
        <w:rPr>
          <w:lang w:val="fr-FR"/>
        </w:rPr>
      </w:pPr>
      <w:r>
        <w:rPr>
          <w:rStyle w:val="FootnoteReference"/>
        </w:rPr>
        <w:footnoteRef/>
      </w:r>
      <w:r w:rsidRPr="00DA3041">
        <w:rPr>
          <w:lang w:val="fr-FR"/>
        </w:rPr>
        <w:t xml:space="preserve"> </w:t>
      </w:r>
      <w:r w:rsidR="00DA3041" w:rsidRPr="00DA3041">
        <w:rPr>
          <w:rFonts w:asciiTheme="minorHAnsi" w:eastAsia="Batang" w:hAnsiTheme="minorHAnsi"/>
          <w:color w:val="000000"/>
          <w:lang w:val="fr-FR" w:eastAsia="ko-KR"/>
        </w:rPr>
        <w:t>Voir</w:t>
      </w:r>
      <w:r w:rsidRPr="00DA3041">
        <w:rPr>
          <w:rFonts w:asciiTheme="minorHAnsi" w:eastAsia="Batang" w:hAnsiTheme="minorHAnsi"/>
          <w:color w:val="000000"/>
          <w:lang w:val="fr-FR" w:eastAsia="ko-KR"/>
        </w:rPr>
        <w:t xml:space="preserve"> </w:t>
      </w:r>
      <w:hyperlink r:id="rId1" w:history="1">
        <w:r w:rsidR="0033047D" w:rsidRPr="00DA3041">
          <w:rPr>
            <w:rStyle w:val="Hyperlink"/>
            <w:lang w:val="fr-FR"/>
          </w:rPr>
          <w:t>https://www.ramsar.org/fr/document/cop14-doc181-projet-de-resolution-sur-les-questions-financieres-et-budgetaires</w:t>
        </w:r>
      </w:hyperlink>
      <w:r w:rsidRPr="00DA3041">
        <w:rPr>
          <w:rFonts w:asciiTheme="minorHAnsi" w:eastAsia="Batang" w:hAnsiTheme="minorHAnsi"/>
          <w:color w:val="000000"/>
          <w:lang w:val="fr-FR" w:eastAsia="ko-KR"/>
        </w:rPr>
        <w:t>.</w:t>
      </w:r>
    </w:p>
  </w:footnote>
  <w:footnote w:id="2">
    <w:p w14:paraId="7D512DAA" w14:textId="7AE92389" w:rsidR="0005234D" w:rsidRPr="00DA3041" w:rsidRDefault="0005234D" w:rsidP="00A73A28">
      <w:pPr>
        <w:pStyle w:val="FootnoteText"/>
        <w:ind w:left="0" w:firstLine="0"/>
        <w:rPr>
          <w:lang w:val="fr-FR"/>
        </w:rPr>
      </w:pPr>
      <w:r>
        <w:rPr>
          <w:rStyle w:val="FootnoteReference"/>
        </w:rPr>
        <w:footnoteRef/>
      </w:r>
      <w:r w:rsidRPr="00DA3041">
        <w:rPr>
          <w:lang w:val="fr-FR"/>
        </w:rPr>
        <w:t xml:space="preserve"> </w:t>
      </w:r>
      <w:r w:rsidR="00DA3041" w:rsidRPr="00DA3041">
        <w:rPr>
          <w:rFonts w:asciiTheme="minorHAnsi" w:hAnsiTheme="minorHAnsi"/>
          <w:lang w:val="fr-FR"/>
        </w:rPr>
        <w:t xml:space="preserve">Voir </w:t>
      </w:r>
      <w:hyperlink r:id="rId2" w:history="1">
        <w:r w:rsidR="00DA3041" w:rsidRPr="00DA3041">
          <w:rPr>
            <w:rStyle w:val="Hyperlink"/>
            <w:lang w:val="fr-FR"/>
          </w:rPr>
          <w:t>https://www.ramsar.org/fr/document/sc592022-doc82-questions-financieres-et-budgetaires-etat-des-contributions-annuelles</w:t>
        </w:r>
      </w:hyperlink>
      <w:r w:rsidRPr="00DA3041">
        <w:rPr>
          <w:rFonts w:asciiTheme="minorHAnsi" w:hAnsiTheme="minorHAnsi"/>
          <w:lang w:val="fr-FR"/>
        </w:rPr>
        <w:t>.</w:t>
      </w:r>
    </w:p>
  </w:footnote>
  <w:footnote w:id="3">
    <w:p w14:paraId="6A438B28" w14:textId="69A767E3" w:rsidR="0005234D" w:rsidRPr="00DA3041" w:rsidRDefault="0005234D" w:rsidP="004E0FD7">
      <w:pPr>
        <w:pStyle w:val="FootnoteText"/>
        <w:ind w:left="0" w:firstLine="0"/>
        <w:rPr>
          <w:lang w:val="fr-FR"/>
        </w:rPr>
      </w:pPr>
      <w:r>
        <w:rPr>
          <w:rStyle w:val="FootnoteReference"/>
        </w:rPr>
        <w:footnoteRef/>
      </w:r>
      <w:r w:rsidRPr="00DA3041">
        <w:rPr>
          <w:lang w:val="fr-FR"/>
        </w:rPr>
        <w:t> </w:t>
      </w:r>
      <w:r w:rsidR="00DA3041" w:rsidRPr="00DA3041">
        <w:rPr>
          <w:lang w:val="fr-FR"/>
        </w:rPr>
        <w:t xml:space="preserve">Voir </w:t>
      </w:r>
      <w:hyperlink r:id="rId3" w:history="1">
        <w:r w:rsidR="00DA3041" w:rsidRPr="00D92235">
          <w:rPr>
            <w:rStyle w:val="Hyperlink"/>
            <w:lang w:val="fr-FR"/>
          </w:rPr>
          <w:t>https://www.ramsar.org/fr/document/sc592022-com2-rev1-rapport-du-sous-groupe-sur-les-finances-23-mai-2022</w:t>
        </w:r>
      </w:hyperlink>
      <w:r w:rsidRPr="00DA3041">
        <w:rPr>
          <w:rStyle w:val="FootnoteReference"/>
          <w:vertAlign w:val="baseline"/>
          <w:lang w:val="fr-FR"/>
        </w:rPr>
        <w:t>.</w:t>
      </w:r>
      <w:r w:rsidRPr="00DA3041">
        <w:rPr>
          <w:lang w:val="fr-FR"/>
        </w:rPr>
        <w:t xml:space="preserve">  </w:t>
      </w:r>
    </w:p>
  </w:footnote>
  <w:footnote w:id="4">
    <w:p w14:paraId="0FDD7151" w14:textId="51AC93B8" w:rsidR="0005234D" w:rsidRPr="00DA3041" w:rsidRDefault="0005234D" w:rsidP="00E061E3">
      <w:pPr>
        <w:pStyle w:val="FootnoteText"/>
        <w:ind w:left="0" w:firstLine="0"/>
        <w:rPr>
          <w:lang w:val="fr-FR"/>
        </w:rPr>
      </w:pPr>
      <w:r>
        <w:rPr>
          <w:rStyle w:val="FootnoteReference"/>
        </w:rPr>
        <w:footnoteRef/>
      </w:r>
      <w:r w:rsidRPr="00DA3041">
        <w:rPr>
          <w:lang w:val="fr-FR"/>
        </w:rPr>
        <w:t xml:space="preserve"> </w:t>
      </w:r>
      <w:r w:rsidR="00DA3041" w:rsidRPr="00DA3041">
        <w:rPr>
          <w:lang w:val="fr-FR"/>
        </w:rPr>
        <w:t xml:space="preserve">Voir </w:t>
      </w:r>
      <w:hyperlink r:id="rId4" w:history="1">
        <w:r w:rsidR="00DA3041" w:rsidRPr="00D92235">
          <w:rPr>
            <w:rStyle w:val="Hyperlink"/>
            <w:lang w:val="fr-FR"/>
          </w:rPr>
          <w:t>https://www.ramsar.org/fr/document/sc592022-doc83-scenarios-budgetaires-pour-2023-2025-et-projet-de-resolution-sur-les</w:t>
        </w:r>
      </w:hyperlink>
      <w:r w:rsidRPr="00DA3041">
        <w:rPr>
          <w:lang w:val="fr-FR"/>
        </w:rPr>
        <w:t>.</w:t>
      </w:r>
    </w:p>
  </w:footnote>
  <w:footnote w:id="5">
    <w:p w14:paraId="39B55F89" w14:textId="1FC42E01" w:rsidR="0005234D" w:rsidRPr="003F50B6" w:rsidRDefault="0005234D">
      <w:pPr>
        <w:pStyle w:val="FootnoteText"/>
        <w:rPr>
          <w:lang w:val="fr-FR"/>
        </w:rPr>
      </w:pPr>
      <w:r>
        <w:rPr>
          <w:rStyle w:val="FootnoteReference"/>
        </w:rPr>
        <w:footnoteRef/>
      </w:r>
      <w:r w:rsidRPr="003F50B6">
        <w:rPr>
          <w:lang w:val="fr-FR"/>
        </w:rPr>
        <w:t xml:space="preserve"> </w:t>
      </w:r>
      <w:hyperlink r:id="rId5" w:history="1">
        <w:r w:rsidR="003F50B6" w:rsidRPr="00D92235">
          <w:rPr>
            <w:rStyle w:val="Hyperlink"/>
            <w:lang w:val="fr-FR"/>
          </w:rPr>
          <w:t>https://www.ramsar.org/fr/document/resolution-xiii2-questions-financieres-et-budgetaires</w:t>
        </w:r>
      </w:hyperlink>
      <w:r w:rsidRPr="003F50B6">
        <w:rPr>
          <w:lang w:val="fr-FR"/>
        </w:rPr>
        <w:t>.</w:t>
      </w:r>
    </w:p>
  </w:footnote>
  <w:footnote w:id="6">
    <w:p w14:paraId="31BB3DA1" w14:textId="159F26AA" w:rsidR="0005234D" w:rsidRPr="00DA3041" w:rsidRDefault="0005234D" w:rsidP="003231A5">
      <w:pPr>
        <w:pStyle w:val="FootnoteText"/>
        <w:ind w:left="0" w:firstLine="0"/>
        <w:rPr>
          <w:lang w:val="fr-FR"/>
        </w:rPr>
      </w:pPr>
      <w:r>
        <w:rPr>
          <w:rStyle w:val="FootnoteReference"/>
        </w:rPr>
        <w:footnoteRef/>
      </w:r>
      <w:r w:rsidRPr="00DA3041">
        <w:rPr>
          <w:lang w:val="fr-FR"/>
        </w:rPr>
        <w:t xml:space="preserve"> </w:t>
      </w:r>
      <w:r w:rsidR="00DA3041" w:rsidRPr="00DA3041">
        <w:rPr>
          <w:lang w:val="fr-FR"/>
        </w:rPr>
        <w:t xml:space="preserve">Voir </w:t>
      </w:r>
      <w:hyperlink r:id="rId6" w:history="1">
        <w:r w:rsidR="003F50B6" w:rsidRPr="00D92235">
          <w:rPr>
            <w:rStyle w:val="Hyperlink"/>
            <w:lang w:val="fr-FR"/>
          </w:rPr>
          <w:t>https://www.ramsar.org/fr/document/sc592022-com2-rev1-rapport-du-sous-groupe-sur-les-finances-23-mai-2022</w:t>
        </w:r>
      </w:hyperlink>
      <w:r w:rsidRPr="00DA3041">
        <w:rPr>
          <w:lang w:val="fr-FR"/>
        </w:rPr>
        <w:t xml:space="preserve">. </w:t>
      </w:r>
    </w:p>
  </w:footnote>
  <w:footnote w:id="7">
    <w:p w14:paraId="602968AC" w14:textId="291B8B18" w:rsidR="0005234D" w:rsidRPr="00EF1ED0" w:rsidRDefault="0005234D" w:rsidP="00EC72C3">
      <w:pPr>
        <w:pStyle w:val="FootnoteText"/>
        <w:ind w:left="0" w:firstLine="0"/>
        <w:rPr>
          <w:lang w:val="fr-FR"/>
        </w:rPr>
      </w:pPr>
      <w:r>
        <w:rPr>
          <w:rStyle w:val="FootnoteReference"/>
        </w:rPr>
        <w:footnoteRef/>
      </w:r>
      <w:r w:rsidRPr="00EF1ED0">
        <w:rPr>
          <w:lang w:val="fr-FR"/>
        </w:rPr>
        <w:t xml:space="preserve"> </w:t>
      </w:r>
      <w:r w:rsidRPr="00EF1ED0">
        <w:rPr>
          <w:rFonts w:cs="Arial"/>
          <w:lang w:val="fr-FR"/>
        </w:rPr>
        <w:t xml:space="preserve">Le Secrétariat note que le </w:t>
      </w:r>
      <w:r>
        <w:rPr>
          <w:rFonts w:cs="Arial"/>
          <w:lang w:val="fr-FR"/>
        </w:rPr>
        <w:t xml:space="preserve">scénario </w:t>
      </w:r>
      <w:r w:rsidRPr="00EF1ED0">
        <w:rPr>
          <w:rFonts w:cs="Arial"/>
          <w:lang w:val="fr-FR"/>
        </w:rPr>
        <w:t>budg</w:t>
      </w:r>
      <w:r>
        <w:rPr>
          <w:rFonts w:cs="Arial"/>
          <w:lang w:val="fr-FR"/>
        </w:rPr>
        <w:t>é</w:t>
      </w:r>
      <w:r w:rsidRPr="00EF1ED0">
        <w:rPr>
          <w:rFonts w:cs="Arial"/>
          <w:lang w:val="fr-FR"/>
        </w:rPr>
        <w:t>t</w:t>
      </w:r>
      <w:r>
        <w:rPr>
          <w:rFonts w:cs="Arial"/>
          <w:lang w:val="fr-FR"/>
        </w:rPr>
        <w:t>aire</w:t>
      </w:r>
      <w:r w:rsidRPr="00EF1ED0">
        <w:rPr>
          <w:rFonts w:cs="Arial"/>
          <w:lang w:val="fr-FR"/>
        </w:rPr>
        <w:t xml:space="preserve"> présenté </w:t>
      </w:r>
      <w:r>
        <w:rPr>
          <w:rFonts w:cs="Arial"/>
          <w:lang w:val="fr-FR"/>
        </w:rPr>
        <w:t xml:space="preserve">comprend </w:t>
      </w:r>
      <w:r w:rsidRPr="00EF1ED0">
        <w:rPr>
          <w:rFonts w:cs="Arial"/>
          <w:lang w:val="fr-FR"/>
        </w:rPr>
        <w:t xml:space="preserve">des détails et des informations </w:t>
      </w:r>
      <w:r>
        <w:rPr>
          <w:rFonts w:cs="Arial"/>
          <w:lang w:val="fr-FR"/>
        </w:rPr>
        <w:t>de référence</w:t>
      </w:r>
      <w:r w:rsidRPr="00EF1ED0">
        <w:rPr>
          <w:rFonts w:cs="Arial"/>
          <w:lang w:val="fr-FR"/>
        </w:rPr>
        <w:t xml:space="preserve"> </w:t>
      </w:r>
      <w:r>
        <w:rPr>
          <w:rFonts w:cs="Arial"/>
          <w:lang w:val="fr-FR"/>
        </w:rPr>
        <w:t>issus des</w:t>
      </w:r>
      <w:r w:rsidRPr="00EF1ED0">
        <w:rPr>
          <w:rFonts w:cs="Arial"/>
          <w:lang w:val="fr-FR"/>
        </w:rPr>
        <w:t xml:space="preserve"> discussions et </w:t>
      </w:r>
      <w:r>
        <w:rPr>
          <w:rFonts w:cs="Arial"/>
          <w:lang w:val="fr-FR"/>
        </w:rPr>
        <w:t>des</w:t>
      </w:r>
      <w:r w:rsidRPr="00EF1ED0">
        <w:rPr>
          <w:rFonts w:cs="Arial"/>
          <w:lang w:val="fr-FR"/>
        </w:rPr>
        <w:t xml:space="preserve"> décisions du Sous-groupe sur les finances et d</w:t>
      </w:r>
      <w:r>
        <w:rPr>
          <w:rFonts w:cs="Arial"/>
          <w:lang w:val="fr-FR"/>
        </w:rPr>
        <w:t xml:space="preserve">e la </w:t>
      </w:r>
      <w:r w:rsidRPr="00EF1ED0">
        <w:rPr>
          <w:rFonts w:cs="Arial"/>
          <w:lang w:val="fr-FR"/>
        </w:rPr>
        <w:t xml:space="preserve">SC59/2022 pour aider les Parties contractantes à prendre une décision </w:t>
      </w:r>
      <w:r>
        <w:rPr>
          <w:rFonts w:cs="Arial"/>
          <w:lang w:val="fr-FR"/>
        </w:rPr>
        <w:t>relative au</w:t>
      </w:r>
      <w:r w:rsidRPr="00EF1ED0">
        <w:rPr>
          <w:rFonts w:cs="Arial"/>
          <w:lang w:val="fr-FR"/>
        </w:rPr>
        <w:t xml:space="preserve"> budget final à adopter. L</w:t>
      </w:r>
      <w:r>
        <w:rPr>
          <w:rFonts w:cs="Arial"/>
          <w:lang w:val="fr-FR"/>
        </w:rPr>
        <w:t>a</w:t>
      </w:r>
      <w:r w:rsidRPr="00EF1ED0">
        <w:rPr>
          <w:rFonts w:cs="Arial"/>
          <w:lang w:val="fr-FR"/>
        </w:rPr>
        <w:t xml:space="preserve"> résolution finale </w:t>
      </w:r>
      <w:r>
        <w:rPr>
          <w:rFonts w:cs="Arial"/>
          <w:lang w:val="fr-FR"/>
        </w:rPr>
        <w:t>e</w:t>
      </w:r>
      <w:r w:rsidRPr="00EF1ED0">
        <w:rPr>
          <w:rFonts w:cs="Arial"/>
          <w:lang w:val="fr-FR"/>
        </w:rPr>
        <w:t>s</w:t>
      </w:r>
      <w:r>
        <w:rPr>
          <w:rFonts w:cs="Arial"/>
          <w:lang w:val="fr-FR"/>
        </w:rPr>
        <w:t>t</w:t>
      </w:r>
      <w:r w:rsidRPr="00EF1ED0">
        <w:rPr>
          <w:rFonts w:cs="Arial"/>
          <w:lang w:val="fr-FR"/>
        </w:rPr>
        <w:t xml:space="preserve"> cohérent</w:t>
      </w:r>
      <w:r>
        <w:rPr>
          <w:rFonts w:cs="Arial"/>
          <w:lang w:val="fr-FR"/>
        </w:rPr>
        <w:t>e</w:t>
      </w:r>
      <w:r w:rsidRPr="00EF1ED0">
        <w:rPr>
          <w:rFonts w:cs="Arial"/>
          <w:lang w:val="fr-FR"/>
        </w:rPr>
        <w:t xml:space="preserve"> avec ce</w:t>
      </w:r>
      <w:r>
        <w:rPr>
          <w:rFonts w:cs="Arial"/>
          <w:lang w:val="fr-FR"/>
        </w:rPr>
        <w:t>lles</w:t>
      </w:r>
      <w:r w:rsidRPr="00EF1ED0">
        <w:rPr>
          <w:rFonts w:cs="Arial"/>
          <w:lang w:val="fr-FR"/>
        </w:rPr>
        <w:t xml:space="preserve"> des années précédentes et ne comprend</w:t>
      </w:r>
      <w:r>
        <w:rPr>
          <w:rFonts w:cs="Arial"/>
          <w:lang w:val="fr-FR"/>
        </w:rPr>
        <w:t xml:space="preserve"> que</w:t>
      </w:r>
      <w:r w:rsidRPr="00EF1ED0">
        <w:rPr>
          <w:rFonts w:cs="Arial"/>
          <w:lang w:val="fr-FR"/>
        </w:rPr>
        <w:t xml:space="preserve"> les totaux des principales catégories.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5E7DDD"/>
    <w:multiLevelType w:val="hybridMultilevel"/>
    <w:tmpl w:val="19CAB11E"/>
    <w:lvl w:ilvl="0" w:tplc="497CAC9A">
      <w:start w:val="2"/>
      <w:numFmt w:val="lowerLetter"/>
      <w:lvlText w:val="%1."/>
      <w:lvlJc w:val="left"/>
      <w:pPr>
        <w:ind w:left="860" w:hanging="435"/>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 w15:restartNumberingAfterBreak="0">
    <w:nsid w:val="29F43963"/>
    <w:multiLevelType w:val="multilevel"/>
    <w:tmpl w:val="8FC2955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5144E68"/>
    <w:multiLevelType w:val="hybridMultilevel"/>
    <w:tmpl w:val="A12475E6"/>
    <w:lvl w:ilvl="0" w:tplc="8018AFA2">
      <w:start w:val="1"/>
      <w:numFmt w:val="lowerLetter"/>
      <w:pStyle w:val="Listpara2"/>
      <w:lvlText w:val="%1."/>
      <w:lvlJc w:val="left"/>
      <w:pPr>
        <w:ind w:left="2030" w:hanging="360"/>
      </w:pPr>
      <w:rPr>
        <w:rFonts w:hint="default"/>
        <w:b w:val="0"/>
        <w:i w:val="0"/>
      </w:rPr>
    </w:lvl>
    <w:lvl w:ilvl="1" w:tplc="08090019" w:tentative="1">
      <w:start w:val="1"/>
      <w:numFmt w:val="lowerLetter"/>
      <w:lvlText w:val="%2."/>
      <w:lvlJc w:val="left"/>
      <w:pPr>
        <w:ind w:left="2750" w:hanging="360"/>
      </w:pPr>
    </w:lvl>
    <w:lvl w:ilvl="2" w:tplc="0809001B" w:tentative="1">
      <w:start w:val="1"/>
      <w:numFmt w:val="lowerRoman"/>
      <w:lvlText w:val="%3."/>
      <w:lvlJc w:val="right"/>
      <w:pPr>
        <w:ind w:left="3470" w:hanging="180"/>
      </w:pPr>
    </w:lvl>
    <w:lvl w:ilvl="3" w:tplc="0809000F" w:tentative="1">
      <w:start w:val="1"/>
      <w:numFmt w:val="decimal"/>
      <w:lvlText w:val="%4."/>
      <w:lvlJc w:val="left"/>
      <w:pPr>
        <w:ind w:left="4190" w:hanging="360"/>
      </w:pPr>
    </w:lvl>
    <w:lvl w:ilvl="4" w:tplc="08090019" w:tentative="1">
      <w:start w:val="1"/>
      <w:numFmt w:val="lowerLetter"/>
      <w:lvlText w:val="%5."/>
      <w:lvlJc w:val="left"/>
      <w:pPr>
        <w:ind w:left="4910" w:hanging="360"/>
      </w:pPr>
    </w:lvl>
    <w:lvl w:ilvl="5" w:tplc="0809001B" w:tentative="1">
      <w:start w:val="1"/>
      <w:numFmt w:val="lowerRoman"/>
      <w:lvlText w:val="%6."/>
      <w:lvlJc w:val="right"/>
      <w:pPr>
        <w:ind w:left="5630" w:hanging="180"/>
      </w:pPr>
    </w:lvl>
    <w:lvl w:ilvl="6" w:tplc="0809000F" w:tentative="1">
      <w:start w:val="1"/>
      <w:numFmt w:val="decimal"/>
      <w:lvlText w:val="%7."/>
      <w:lvlJc w:val="left"/>
      <w:pPr>
        <w:ind w:left="6350" w:hanging="360"/>
      </w:pPr>
    </w:lvl>
    <w:lvl w:ilvl="7" w:tplc="08090019" w:tentative="1">
      <w:start w:val="1"/>
      <w:numFmt w:val="lowerLetter"/>
      <w:lvlText w:val="%8."/>
      <w:lvlJc w:val="left"/>
      <w:pPr>
        <w:ind w:left="7070" w:hanging="360"/>
      </w:pPr>
    </w:lvl>
    <w:lvl w:ilvl="8" w:tplc="0809001B" w:tentative="1">
      <w:start w:val="1"/>
      <w:numFmt w:val="lowerRoman"/>
      <w:lvlText w:val="%9."/>
      <w:lvlJc w:val="right"/>
      <w:pPr>
        <w:ind w:left="7790" w:hanging="180"/>
      </w:pPr>
    </w:lvl>
  </w:abstractNum>
  <w:abstractNum w:abstractNumId="3" w15:restartNumberingAfterBreak="0">
    <w:nsid w:val="7B0420BB"/>
    <w:multiLevelType w:val="hybridMultilevel"/>
    <w:tmpl w:val="A3020D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oNotTrackFormatting/>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386"/>
    <w:rsid w:val="000007F0"/>
    <w:rsid w:val="000009DA"/>
    <w:rsid w:val="00005FED"/>
    <w:rsid w:val="00006F21"/>
    <w:rsid w:val="00010426"/>
    <w:rsid w:val="0001102A"/>
    <w:rsid w:val="00012303"/>
    <w:rsid w:val="000132F5"/>
    <w:rsid w:val="000133D1"/>
    <w:rsid w:val="0001357D"/>
    <w:rsid w:val="00013774"/>
    <w:rsid w:val="00014168"/>
    <w:rsid w:val="00017A16"/>
    <w:rsid w:val="00021393"/>
    <w:rsid w:val="00021B31"/>
    <w:rsid w:val="00022B87"/>
    <w:rsid w:val="00023130"/>
    <w:rsid w:val="0002479F"/>
    <w:rsid w:val="000260B4"/>
    <w:rsid w:val="00026E09"/>
    <w:rsid w:val="00027C99"/>
    <w:rsid w:val="000302D8"/>
    <w:rsid w:val="00034071"/>
    <w:rsid w:val="0003651E"/>
    <w:rsid w:val="00037CE0"/>
    <w:rsid w:val="00040DC4"/>
    <w:rsid w:val="00041808"/>
    <w:rsid w:val="00042392"/>
    <w:rsid w:val="00042791"/>
    <w:rsid w:val="0004295A"/>
    <w:rsid w:val="000445EA"/>
    <w:rsid w:val="000467E7"/>
    <w:rsid w:val="000475BC"/>
    <w:rsid w:val="0005215D"/>
    <w:rsid w:val="0005234D"/>
    <w:rsid w:val="00053929"/>
    <w:rsid w:val="00054C1C"/>
    <w:rsid w:val="00056BD1"/>
    <w:rsid w:val="00071253"/>
    <w:rsid w:val="00074791"/>
    <w:rsid w:val="00074DE8"/>
    <w:rsid w:val="000751A6"/>
    <w:rsid w:val="00075983"/>
    <w:rsid w:val="00077B46"/>
    <w:rsid w:val="00080177"/>
    <w:rsid w:val="00082217"/>
    <w:rsid w:val="00082DCB"/>
    <w:rsid w:val="00083151"/>
    <w:rsid w:val="00086C00"/>
    <w:rsid w:val="00087A13"/>
    <w:rsid w:val="000911E7"/>
    <w:rsid w:val="000937A7"/>
    <w:rsid w:val="00094DC0"/>
    <w:rsid w:val="00096371"/>
    <w:rsid w:val="000A0625"/>
    <w:rsid w:val="000A3D46"/>
    <w:rsid w:val="000A3E3E"/>
    <w:rsid w:val="000A3F5A"/>
    <w:rsid w:val="000A4604"/>
    <w:rsid w:val="000A4C26"/>
    <w:rsid w:val="000A5278"/>
    <w:rsid w:val="000A5EC4"/>
    <w:rsid w:val="000A605B"/>
    <w:rsid w:val="000A7AEC"/>
    <w:rsid w:val="000B1096"/>
    <w:rsid w:val="000B38AA"/>
    <w:rsid w:val="000B4073"/>
    <w:rsid w:val="000B522B"/>
    <w:rsid w:val="000C01EC"/>
    <w:rsid w:val="000C1C0D"/>
    <w:rsid w:val="000C2489"/>
    <w:rsid w:val="000C59E7"/>
    <w:rsid w:val="000D039A"/>
    <w:rsid w:val="000D0F6E"/>
    <w:rsid w:val="000D30FC"/>
    <w:rsid w:val="000D5C76"/>
    <w:rsid w:val="000E0F92"/>
    <w:rsid w:val="000E265D"/>
    <w:rsid w:val="000E2FA0"/>
    <w:rsid w:val="000E47E9"/>
    <w:rsid w:val="000E5F2A"/>
    <w:rsid w:val="000F0539"/>
    <w:rsid w:val="000F4DD0"/>
    <w:rsid w:val="000F6E38"/>
    <w:rsid w:val="000F76F7"/>
    <w:rsid w:val="00102D6A"/>
    <w:rsid w:val="0010479D"/>
    <w:rsid w:val="00104F7B"/>
    <w:rsid w:val="00105DC0"/>
    <w:rsid w:val="00106197"/>
    <w:rsid w:val="00116270"/>
    <w:rsid w:val="00117850"/>
    <w:rsid w:val="0012096C"/>
    <w:rsid w:val="00123AB5"/>
    <w:rsid w:val="0012720D"/>
    <w:rsid w:val="00127828"/>
    <w:rsid w:val="0013207C"/>
    <w:rsid w:val="0013260E"/>
    <w:rsid w:val="0013618C"/>
    <w:rsid w:val="00136426"/>
    <w:rsid w:val="00140698"/>
    <w:rsid w:val="00144A8F"/>
    <w:rsid w:val="001464AF"/>
    <w:rsid w:val="00147381"/>
    <w:rsid w:val="00150B17"/>
    <w:rsid w:val="00150BB8"/>
    <w:rsid w:val="0015544B"/>
    <w:rsid w:val="001605A0"/>
    <w:rsid w:val="001606A7"/>
    <w:rsid w:val="00161BDA"/>
    <w:rsid w:val="00163E30"/>
    <w:rsid w:val="001657F8"/>
    <w:rsid w:val="00165E2A"/>
    <w:rsid w:val="00166F05"/>
    <w:rsid w:val="001701E6"/>
    <w:rsid w:val="0017123E"/>
    <w:rsid w:val="00171618"/>
    <w:rsid w:val="001744EC"/>
    <w:rsid w:val="001819B1"/>
    <w:rsid w:val="0018239F"/>
    <w:rsid w:val="00184F41"/>
    <w:rsid w:val="00185F89"/>
    <w:rsid w:val="0018623B"/>
    <w:rsid w:val="00186BF9"/>
    <w:rsid w:val="001879A4"/>
    <w:rsid w:val="00190B6F"/>
    <w:rsid w:val="001912A8"/>
    <w:rsid w:val="00193656"/>
    <w:rsid w:val="0019366B"/>
    <w:rsid w:val="001936D6"/>
    <w:rsid w:val="00193F6D"/>
    <w:rsid w:val="00195018"/>
    <w:rsid w:val="00196C5B"/>
    <w:rsid w:val="00197225"/>
    <w:rsid w:val="001973A3"/>
    <w:rsid w:val="00197946"/>
    <w:rsid w:val="001A2D10"/>
    <w:rsid w:val="001A34B5"/>
    <w:rsid w:val="001A386F"/>
    <w:rsid w:val="001A48B1"/>
    <w:rsid w:val="001A57B1"/>
    <w:rsid w:val="001A694E"/>
    <w:rsid w:val="001A6C6E"/>
    <w:rsid w:val="001B1561"/>
    <w:rsid w:val="001B1CF0"/>
    <w:rsid w:val="001B4012"/>
    <w:rsid w:val="001B4EE4"/>
    <w:rsid w:val="001B583F"/>
    <w:rsid w:val="001B73D1"/>
    <w:rsid w:val="001B773B"/>
    <w:rsid w:val="001B79AE"/>
    <w:rsid w:val="001C022A"/>
    <w:rsid w:val="001C0E27"/>
    <w:rsid w:val="001C229A"/>
    <w:rsid w:val="001C22F2"/>
    <w:rsid w:val="001C3590"/>
    <w:rsid w:val="001C5E41"/>
    <w:rsid w:val="001C6805"/>
    <w:rsid w:val="001C77BC"/>
    <w:rsid w:val="001D0FDF"/>
    <w:rsid w:val="001D14A4"/>
    <w:rsid w:val="001D162C"/>
    <w:rsid w:val="001D20DF"/>
    <w:rsid w:val="001D42CA"/>
    <w:rsid w:val="001D48BB"/>
    <w:rsid w:val="001D5FC6"/>
    <w:rsid w:val="001D72DE"/>
    <w:rsid w:val="001E00E3"/>
    <w:rsid w:val="001E02FF"/>
    <w:rsid w:val="001E11E9"/>
    <w:rsid w:val="001E1A9E"/>
    <w:rsid w:val="001E1B19"/>
    <w:rsid w:val="001E22DA"/>
    <w:rsid w:val="001E4155"/>
    <w:rsid w:val="001E5FD0"/>
    <w:rsid w:val="001E683A"/>
    <w:rsid w:val="001F0F34"/>
    <w:rsid w:val="001F1724"/>
    <w:rsid w:val="001F2349"/>
    <w:rsid w:val="001F2749"/>
    <w:rsid w:val="001F4370"/>
    <w:rsid w:val="001F43AF"/>
    <w:rsid w:val="001F5C62"/>
    <w:rsid w:val="001F7C59"/>
    <w:rsid w:val="0020050E"/>
    <w:rsid w:val="002005D2"/>
    <w:rsid w:val="0020298B"/>
    <w:rsid w:val="00202BA5"/>
    <w:rsid w:val="002035D8"/>
    <w:rsid w:val="00204644"/>
    <w:rsid w:val="00206111"/>
    <w:rsid w:val="002116FA"/>
    <w:rsid w:val="00212850"/>
    <w:rsid w:val="00213702"/>
    <w:rsid w:val="002137E0"/>
    <w:rsid w:val="00213B27"/>
    <w:rsid w:val="00214C88"/>
    <w:rsid w:val="002207A7"/>
    <w:rsid w:val="00222FB0"/>
    <w:rsid w:val="00223428"/>
    <w:rsid w:val="00225647"/>
    <w:rsid w:val="00227712"/>
    <w:rsid w:val="00230DE2"/>
    <w:rsid w:val="002325C0"/>
    <w:rsid w:val="00233EC7"/>
    <w:rsid w:val="0023426A"/>
    <w:rsid w:val="00234D95"/>
    <w:rsid w:val="00234E62"/>
    <w:rsid w:val="00235282"/>
    <w:rsid w:val="0023550A"/>
    <w:rsid w:val="00236D86"/>
    <w:rsid w:val="00236EBD"/>
    <w:rsid w:val="00241217"/>
    <w:rsid w:val="00241822"/>
    <w:rsid w:val="0024313F"/>
    <w:rsid w:val="00245037"/>
    <w:rsid w:val="00246454"/>
    <w:rsid w:val="002602FF"/>
    <w:rsid w:val="002604DE"/>
    <w:rsid w:val="00260DF3"/>
    <w:rsid w:val="00261307"/>
    <w:rsid w:val="002676AF"/>
    <w:rsid w:val="00267D03"/>
    <w:rsid w:val="002703CE"/>
    <w:rsid w:val="00271A5C"/>
    <w:rsid w:val="00273D84"/>
    <w:rsid w:val="002741AC"/>
    <w:rsid w:val="002750A4"/>
    <w:rsid w:val="00275F13"/>
    <w:rsid w:val="00276352"/>
    <w:rsid w:val="00277A87"/>
    <w:rsid w:val="00277B11"/>
    <w:rsid w:val="002804D7"/>
    <w:rsid w:val="002819C0"/>
    <w:rsid w:val="00281C69"/>
    <w:rsid w:val="002822F8"/>
    <w:rsid w:val="002849A4"/>
    <w:rsid w:val="0028584C"/>
    <w:rsid w:val="002866BB"/>
    <w:rsid w:val="0028694E"/>
    <w:rsid w:val="0028729D"/>
    <w:rsid w:val="002873BB"/>
    <w:rsid w:val="002873E7"/>
    <w:rsid w:val="00290EA4"/>
    <w:rsid w:val="0029247A"/>
    <w:rsid w:val="0029320C"/>
    <w:rsid w:val="00295556"/>
    <w:rsid w:val="002957DC"/>
    <w:rsid w:val="00295BB5"/>
    <w:rsid w:val="00297F0F"/>
    <w:rsid w:val="002A2072"/>
    <w:rsid w:val="002A2B6A"/>
    <w:rsid w:val="002A391C"/>
    <w:rsid w:val="002A5A4D"/>
    <w:rsid w:val="002B0CEF"/>
    <w:rsid w:val="002B1C47"/>
    <w:rsid w:val="002B3EE6"/>
    <w:rsid w:val="002B4262"/>
    <w:rsid w:val="002C062C"/>
    <w:rsid w:val="002C3209"/>
    <w:rsid w:val="002C76D6"/>
    <w:rsid w:val="002D0566"/>
    <w:rsid w:val="002D28C5"/>
    <w:rsid w:val="002D300B"/>
    <w:rsid w:val="002D42FA"/>
    <w:rsid w:val="002D510D"/>
    <w:rsid w:val="002D5A4D"/>
    <w:rsid w:val="002D5E3E"/>
    <w:rsid w:val="002E149D"/>
    <w:rsid w:val="002E22AF"/>
    <w:rsid w:val="002E34F8"/>
    <w:rsid w:val="002E4D22"/>
    <w:rsid w:val="002E5B2A"/>
    <w:rsid w:val="002E660E"/>
    <w:rsid w:val="002F124A"/>
    <w:rsid w:val="002F1EDE"/>
    <w:rsid w:val="002F42C1"/>
    <w:rsid w:val="002F5502"/>
    <w:rsid w:val="002F6DAB"/>
    <w:rsid w:val="002F77F4"/>
    <w:rsid w:val="00300F08"/>
    <w:rsid w:val="00302925"/>
    <w:rsid w:val="00302B21"/>
    <w:rsid w:val="00307B39"/>
    <w:rsid w:val="003107B5"/>
    <w:rsid w:val="00311D22"/>
    <w:rsid w:val="003157C2"/>
    <w:rsid w:val="00316852"/>
    <w:rsid w:val="00316ECA"/>
    <w:rsid w:val="00321DDF"/>
    <w:rsid w:val="00322C05"/>
    <w:rsid w:val="003231A5"/>
    <w:rsid w:val="00323F11"/>
    <w:rsid w:val="00324398"/>
    <w:rsid w:val="0032775E"/>
    <w:rsid w:val="00327DFA"/>
    <w:rsid w:val="0033047D"/>
    <w:rsid w:val="00334F8D"/>
    <w:rsid w:val="00335704"/>
    <w:rsid w:val="00335AC9"/>
    <w:rsid w:val="003441D3"/>
    <w:rsid w:val="00345CB1"/>
    <w:rsid w:val="00346EFB"/>
    <w:rsid w:val="00350647"/>
    <w:rsid w:val="00352486"/>
    <w:rsid w:val="0035280A"/>
    <w:rsid w:val="00353914"/>
    <w:rsid w:val="0035654A"/>
    <w:rsid w:val="00356F77"/>
    <w:rsid w:val="0035719A"/>
    <w:rsid w:val="00357919"/>
    <w:rsid w:val="0035796C"/>
    <w:rsid w:val="00357EB1"/>
    <w:rsid w:val="00360DA7"/>
    <w:rsid w:val="00363957"/>
    <w:rsid w:val="00363A20"/>
    <w:rsid w:val="00363CF1"/>
    <w:rsid w:val="00366633"/>
    <w:rsid w:val="00370190"/>
    <w:rsid w:val="00372F20"/>
    <w:rsid w:val="00373C7B"/>
    <w:rsid w:val="00374AD7"/>
    <w:rsid w:val="00380D54"/>
    <w:rsid w:val="00382F90"/>
    <w:rsid w:val="003849AD"/>
    <w:rsid w:val="00384FC3"/>
    <w:rsid w:val="00385027"/>
    <w:rsid w:val="00386F15"/>
    <w:rsid w:val="00387103"/>
    <w:rsid w:val="003874CD"/>
    <w:rsid w:val="00391DA2"/>
    <w:rsid w:val="00393F28"/>
    <w:rsid w:val="003959F5"/>
    <w:rsid w:val="00395F30"/>
    <w:rsid w:val="003969AD"/>
    <w:rsid w:val="003970F7"/>
    <w:rsid w:val="0039739D"/>
    <w:rsid w:val="003A2A36"/>
    <w:rsid w:val="003A3804"/>
    <w:rsid w:val="003A52BE"/>
    <w:rsid w:val="003A5809"/>
    <w:rsid w:val="003A5866"/>
    <w:rsid w:val="003A69BF"/>
    <w:rsid w:val="003A6E9F"/>
    <w:rsid w:val="003A7CE6"/>
    <w:rsid w:val="003B571C"/>
    <w:rsid w:val="003B5846"/>
    <w:rsid w:val="003C1EA0"/>
    <w:rsid w:val="003C64E0"/>
    <w:rsid w:val="003C6E8D"/>
    <w:rsid w:val="003C770E"/>
    <w:rsid w:val="003C7CE6"/>
    <w:rsid w:val="003D01D9"/>
    <w:rsid w:val="003D0BF9"/>
    <w:rsid w:val="003D145E"/>
    <w:rsid w:val="003D2096"/>
    <w:rsid w:val="003D45F1"/>
    <w:rsid w:val="003D460E"/>
    <w:rsid w:val="003D4CD6"/>
    <w:rsid w:val="003D64E6"/>
    <w:rsid w:val="003E4877"/>
    <w:rsid w:val="003F0281"/>
    <w:rsid w:val="003F50B6"/>
    <w:rsid w:val="003F6377"/>
    <w:rsid w:val="003F7105"/>
    <w:rsid w:val="00400C43"/>
    <w:rsid w:val="004029A2"/>
    <w:rsid w:val="00407B60"/>
    <w:rsid w:val="004149AD"/>
    <w:rsid w:val="00415B3D"/>
    <w:rsid w:val="00417C1C"/>
    <w:rsid w:val="004228C7"/>
    <w:rsid w:val="00422BD2"/>
    <w:rsid w:val="00426DD9"/>
    <w:rsid w:val="0042798B"/>
    <w:rsid w:val="00430552"/>
    <w:rsid w:val="00431678"/>
    <w:rsid w:val="00431D65"/>
    <w:rsid w:val="00434913"/>
    <w:rsid w:val="00434B19"/>
    <w:rsid w:val="00435B71"/>
    <w:rsid w:val="00436E55"/>
    <w:rsid w:val="00441C17"/>
    <w:rsid w:val="00441EEB"/>
    <w:rsid w:val="00443D01"/>
    <w:rsid w:val="0044702A"/>
    <w:rsid w:val="004474F8"/>
    <w:rsid w:val="00447ECB"/>
    <w:rsid w:val="00454034"/>
    <w:rsid w:val="004600F3"/>
    <w:rsid w:val="0046079B"/>
    <w:rsid w:val="004639AC"/>
    <w:rsid w:val="004641E7"/>
    <w:rsid w:val="0046582F"/>
    <w:rsid w:val="004662E5"/>
    <w:rsid w:val="00466336"/>
    <w:rsid w:val="0046658E"/>
    <w:rsid w:val="004668DB"/>
    <w:rsid w:val="0046771B"/>
    <w:rsid w:val="00467A8D"/>
    <w:rsid w:val="0047081F"/>
    <w:rsid w:val="004717A4"/>
    <w:rsid w:val="00472BE5"/>
    <w:rsid w:val="00473818"/>
    <w:rsid w:val="00477550"/>
    <w:rsid w:val="00477A0A"/>
    <w:rsid w:val="00480679"/>
    <w:rsid w:val="00481D49"/>
    <w:rsid w:val="00482AC0"/>
    <w:rsid w:val="00483851"/>
    <w:rsid w:val="00483E42"/>
    <w:rsid w:val="00484041"/>
    <w:rsid w:val="004844A8"/>
    <w:rsid w:val="00487122"/>
    <w:rsid w:val="00491151"/>
    <w:rsid w:val="00491283"/>
    <w:rsid w:val="00491DF5"/>
    <w:rsid w:val="00496214"/>
    <w:rsid w:val="00496803"/>
    <w:rsid w:val="0049707C"/>
    <w:rsid w:val="004A0101"/>
    <w:rsid w:val="004A01E5"/>
    <w:rsid w:val="004A23AF"/>
    <w:rsid w:val="004A3251"/>
    <w:rsid w:val="004A3825"/>
    <w:rsid w:val="004A6E86"/>
    <w:rsid w:val="004B08CD"/>
    <w:rsid w:val="004B2272"/>
    <w:rsid w:val="004B4108"/>
    <w:rsid w:val="004B420F"/>
    <w:rsid w:val="004B4DF1"/>
    <w:rsid w:val="004B6688"/>
    <w:rsid w:val="004C2E05"/>
    <w:rsid w:val="004C55A5"/>
    <w:rsid w:val="004C670E"/>
    <w:rsid w:val="004C734F"/>
    <w:rsid w:val="004D1290"/>
    <w:rsid w:val="004D202E"/>
    <w:rsid w:val="004D241A"/>
    <w:rsid w:val="004D5634"/>
    <w:rsid w:val="004D5C67"/>
    <w:rsid w:val="004E0FD7"/>
    <w:rsid w:val="004E30D7"/>
    <w:rsid w:val="004E7B47"/>
    <w:rsid w:val="004F0C05"/>
    <w:rsid w:val="004F18A1"/>
    <w:rsid w:val="004F20C4"/>
    <w:rsid w:val="004F38CE"/>
    <w:rsid w:val="004F69CE"/>
    <w:rsid w:val="004F69FF"/>
    <w:rsid w:val="005004A7"/>
    <w:rsid w:val="005013DD"/>
    <w:rsid w:val="00502B42"/>
    <w:rsid w:val="00503517"/>
    <w:rsid w:val="00504C73"/>
    <w:rsid w:val="0051043B"/>
    <w:rsid w:val="0051145C"/>
    <w:rsid w:val="0051153F"/>
    <w:rsid w:val="00511762"/>
    <w:rsid w:val="0051296E"/>
    <w:rsid w:val="00512B7C"/>
    <w:rsid w:val="005148FC"/>
    <w:rsid w:val="00515A18"/>
    <w:rsid w:val="00516A43"/>
    <w:rsid w:val="00516DE4"/>
    <w:rsid w:val="00521308"/>
    <w:rsid w:val="00522533"/>
    <w:rsid w:val="005244A4"/>
    <w:rsid w:val="00524DDB"/>
    <w:rsid w:val="00527783"/>
    <w:rsid w:val="0053048D"/>
    <w:rsid w:val="00530B27"/>
    <w:rsid w:val="0053257A"/>
    <w:rsid w:val="0053307B"/>
    <w:rsid w:val="005331D2"/>
    <w:rsid w:val="005340AC"/>
    <w:rsid w:val="0053462D"/>
    <w:rsid w:val="005357CB"/>
    <w:rsid w:val="00536FAB"/>
    <w:rsid w:val="0054389C"/>
    <w:rsid w:val="00543E0D"/>
    <w:rsid w:val="005459B4"/>
    <w:rsid w:val="005464D2"/>
    <w:rsid w:val="00550B0D"/>
    <w:rsid w:val="00552A82"/>
    <w:rsid w:val="00552EBF"/>
    <w:rsid w:val="00553DEA"/>
    <w:rsid w:val="0056310E"/>
    <w:rsid w:val="00564CB5"/>
    <w:rsid w:val="00567A80"/>
    <w:rsid w:val="00572629"/>
    <w:rsid w:val="00580A3F"/>
    <w:rsid w:val="00580BAF"/>
    <w:rsid w:val="005814B5"/>
    <w:rsid w:val="00584886"/>
    <w:rsid w:val="005863D6"/>
    <w:rsid w:val="0059377F"/>
    <w:rsid w:val="005A0C33"/>
    <w:rsid w:val="005A188B"/>
    <w:rsid w:val="005A2183"/>
    <w:rsid w:val="005B0E16"/>
    <w:rsid w:val="005B5B11"/>
    <w:rsid w:val="005B73CA"/>
    <w:rsid w:val="005C1B09"/>
    <w:rsid w:val="005C5D59"/>
    <w:rsid w:val="005C6565"/>
    <w:rsid w:val="005D0475"/>
    <w:rsid w:val="005D0A19"/>
    <w:rsid w:val="005D35BD"/>
    <w:rsid w:val="005D3E9D"/>
    <w:rsid w:val="005D57D6"/>
    <w:rsid w:val="005E3166"/>
    <w:rsid w:val="005E32A8"/>
    <w:rsid w:val="005E4301"/>
    <w:rsid w:val="005E4453"/>
    <w:rsid w:val="005E4BF4"/>
    <w:rsid w:val="005E72A4"/>
    <w:rsid w:val="005E7310"/>
    <w:rsid w:val="005F1D0B"/>
    <w:rsid w:val="005F4BF4"/>
    <w:rsid w:val="005F5616"/>
    <w:rsid w:val="005F56E0"/>
    <w:rsid w:val="005F64E0"/>
    <w:rsid w:val="005F64EE"/>
    <w:rsid w:val="005F6A21"/>
    <w:rsid w:val="005F6AE1"/>
    <w:rsid w:val="0060119A"/>
    <w:rsid w:val="00603199"/>
    <w:rsid w:val="00606501"/>
    <w:rsid w:val="0060750B"/>
    <w:rsid w:val="00607AC7"/>
    <w:rsid w:val="0061020A"/>
    <w:rsid w:val="0061047C"/>
    <w:rsid w:val="00610530"/>
    <w:rsid w:val="006119BD"/>
    <w:rsid w:val="0061276F"/>
    <w:rsid w:val="006140AD"/>
    <w:rsid w:val="006175DE"/>
    <w:rsid w:val="006178CB"/>
    <w:rsid w:val="006211E5"/>
    <w:rsid w:val="00622F48"/>
    <w:rsid w:val="006241C1"/>
    <w:rsid w:val="006256D3"/>
    <w:rsid w:val="00627BB7"/>
    <w:rsid w:val="00630394"/>
    <w:rsid w:val="00630399"/>
    <w:rsid w:val="00632997"/>
    <w:rsid w:val="0063457D"/>
    <w:rsid w:val="00636D84"/>
    <w:rsid w:val="00637653"/>
    <w:rsid w:val="00637897"/>
    <w:rsid w:val="006409C6"/>
    <w:rsid w:val="00641220"/>
    <w:rsid w:val="006412FD"/>
    <w:rsid w:val="00643CA9"/>
    <w:rsid w:val="006449B6"/>
    <w:rsid w:val="00644A13"/>
    <w:rsid w:val="0064691F"/>
    <w:rsid w:val="0065136E"/>
    <w:rsid w:val="00651EA5"/>
    <w:rsid w:val="0065206D"/>
    <w:rsid w:val="0065617C"/>
    <w:rsid w:val="00660E1F"/>
    <w:rsid w:val="006619FF"/>
    <w:rsid w:val="00661D61"/>
    <w:rsid w:val="00662A6E"/>
    <w:rsid w:val="0066454A"/>
    <w:rsid w:val="00667DDD"/>
    <w:rsid w:val="006708E6"/>
    <w:rsid w:val="00670D71"/>
    <w:rsid w:val="00672D6E"/>
    <w:rsid w:val="00673291"/>
    <w:rsid w:val="00673C6A"/>
    <w:rsid w:val="0068090E"/>
    <w:rsid w:val="006836AC"/>
    <w:rsid w:val="00684CC3"/>
    <w:rsid w:val="00685BD5"/>
    <w:rsid w:val="00690016"/>
    <w:rsid w:val="00694C87"/>
    <w:rsid w:val="00694EAA"/>
    <w:rsid w:val="00695D82"/>
    <w:rsid w:val="00695F7A"/>
    <w:rsid w:val="006A1159"/>
    <w:rsid w:val="006A1992"/>
    <w:rsid w:val="006A22FF"/>
    <w:rsid w:val="006A2A7B"/>
    <w:rsid w:val="006A5564"/>
    <w:rsid w:val="006A7029"/>
    <w:rsid w:val="006A7D80"/>
    <w:rsid w:val="006B2831"/>
    <w:rsid w:val="006B5D16"/>
    <w:rsid w:val="006B6B2C"/>
    <w:rsid w:val="006B7BB7"/>
    <w:rsid w:val="006C05A5"/>
    <w:rsid w:val="006C0AD6"/>
    <w:rsid w:val="006C1D07"/>
    <w:rsid w:val="006C5088"/>
    <w:rsid w:val="006D0F96"/>
    <w:rsid w:val="006D3270"/>
    <w:rsid w:val="006D3CBA"/>
    <w:rsid w:val="006D3E0B"/>
    <w:rsid w:val="006D6374"/>
    <w:rsid w:val="006E140C"/>
    <w:rsid w:val="006E7DCE"/>
    <w:rsid w:val="006F3E3D"/>
    <w:rsid w:val="006F4B80"/>
    <w:rsid w:val="006F5254"/>
    <w:rsid w:val="006F6E6B"/>
    <w:rsid w:val="007009E2"/>
    <w:rsid w:val="00700E21"/>
    <w:rsid w:val="00704484"/>
    <w:rsid w:val="007050FF"/>
    <w:rsid w:val="00706CF5"/>
    <w:rsid w:val="0070759B"/>
    <w:rsid w:val="007148A0"/>
    <w:rsid w:val="00714D98"/>
    <w:rsid w:val="00717A1B"/>
    <w:rsid w:val="007204E3"/>
    <w:rsid w:val="00722C79"/>
    <w:rsid w:val="007236B4"/>
    <w:rsid w:val="00727C10"/>
    <w:rsid w:val="00730CBE"/>
    <w:rsid w:val="007329B2"/>
    <w:rsid w:val="00736A32"/>
    <w:rsid w:val="00737DB6"/>
    <w:rsid w:val="00740966"/>
    <w:rsid w:val="0074377E"/>
    <w:rsid w:val="00745F48"/>
    <w:rsid w:val="0074795C"/>
    <w:rsid w:val="00750259"/>
    <w:rsid w:val="00750E89"/>
    <w:rsid w:val="00750F17"/>
    <w:rsid w:val="007517AD"/>
    <w:rsid w:val="00752764"/>
    <w:rsid w:val="00752C1E"/>
    <w:rsid w:val="00754ED9"/>
    <w:rsid w:val="0076273C"/>
    <w:rsid w:val="007629C8"/>
    <w:rsid w:val="00763438"/>
    <w:rsid w:val="00764209"/>
    <w:rsid w:val="00766962"/>
    <w:rsid w:val="00767F54"/>
    <w:rsid w:val="00771A41"/>
    <w:rsid w:val="00771E27"/>
    <w:rsid w:val="00775287"/>
    <w:rsid w:val="00776B11"/>
    <w:rsid w:val="0078029B"/>
    <w:rsid w:val="00780D18"/>
    <w:rsid w:val="0078117B"/>
    <w:rsid w:val="007856EC"/>
    <w:rsid w:val="00786471"/>
    <w:rsid w:val="00786A11"/>
    <w:rsid w:val="00786D6D"/>
    <w:rsid w:val="00791D27"/>
    <w:rsid w:val="00792995"/>
    <w:rsid w:val="007936EA"/>
    <w:rsid w:val="00793E42"/>
    <w:rsid w:val="0079408E"/>
    <w:rsid w:val="007943EA"/>
    <w:rsid w:val="0079613F"/>
    <w:rsid w:val="00796355"/>
    <w:rsid w:val="007967B6"/>
    <w:rsid w:val="007976F6"/>
    <w:rsid w:val="007A0489"/>
    <w:rsid w:val="007A0880"/>
    <w:rsid w:val="007A1F2A"/>
    <w:rsid w:val="007A200C"/>
    <w:rsid w:val="007A224B"/>
    <w:rsid w:val="007A4861"/>
    <w:rsid w:val="007A653C"/>
    <w:rsid w:val="007A77F0"/>
    <w:rsid w:val="007B0AC8"/>
    <w:rsid w:val="007B3669"/>
    <w:rsid w:val="007B37B1"/>
    <w:rsid w:val="007B4739"/>
    <w:rsid w:val="007B676F"/>
    <w:rsid w:val="007B6A43"/>
    <w:rsid w:val="007C5B75"/>
    <w:rsid w:val="007C6F1D"/>
    <w:rsid w:val="007D064F"/>
    <w:rsid w:val="007D06F0"/>
    <w:rsid w:val="007D33F4"/>
    <w:rsid w:val="007D493C"/>
    <w:rsid w:val="007D49C3"/>
    <w:rsid w:val="007D5E1F"/>
    <w:rsid w:val="007D6721"/>
    <w:rsid w:val="007D788C"/>
    <w:rsid w:val="007E1946"/>
    <w:rsid w:val="007E2A3A"/>
    <w:rsid w:val="007E63D8"/>
    <w:rsid w:val="007F0899"/>
    <w:rsid w:val="007F1BE5"/>
    <w:rsid w:val="007F2DFF"/>
    <w:rsid w:val="007F3ABE"/>
    <w:rsid w:val="007F4106"/>
    <w:rsid w:val="007F64B3"/>
    <w:rsid w:val="00800EDD"/>
    <w:rsid w:val="00803C20"/>
    <w:rsid w:val="0080422A"/>
    <w:rsid w:val="00805122"/>
    <w:rsid w:val="008065B3"/>
    <w:rsid w:val="008066FA"/>
    <w:rsid w:val="00813385"/>
    <w:rsid w:val="00814323"/>
    <w:rsid w:val="00816531"/>
    <w:rsid w:val="00816C80"/>
    <w:rsid w:val="00822B7A"/>
    <w:rsid w:val="008276E0"/>
    <w:rsid w:val="0083226F"/>
    <w:rsid w:val="00832664"/>
    <w:rsid w:val="008328E9"/>
    <w:rsid w:val="0083353F"/>
    <w:rsid w:val="00834C7C"/>
    <w:rsid w:val="008353E3"/>
    <w:rsid w:val="00835833"/>
    <w:rsid w:val="00835BCB"/>
    <w:rsid w:val="00835CDC"/>
    <w:rsid w:val="00840733"/>
    <w:rsid w:val="00843DA3"/>
    <w:rsid w:val="008445F1"/>
    <w:rsid w:val="008446C3"/>
    <w:rsid w:val="00846F8F"/>
    <w:rsid w:val="008472A2"/>
    <w:rsid w:val="00850B09"/>
    <w:rsid w:val="008514F2"/>
    <w:rsid w:val="008530C1"/>
    <w:rsid w:val="00853A95"/>
    <w:rsid w:val="00857D5B"/>
    <w:rsid w:val="00860D2D"/>
    <w:rsid w:val="00863306"/>
    <w:rsid w:val="00863B9D"/>
    <w:rsid w:val="00863BE6"/>
    <w:rsid w:val="00865C43"/>
    <w:rsid w:val="00867775"/>
    <w:rsid w:val="0087029D"/>
    <w:rsid w:val="008702EC"/>
    <w:rsid w:val="00871145"/>
    <w:rsid w:val="00871E48"/>
    <w:rsid w:val="0087434C"/>
    <w:rsid w:val="00876B83"/>
    <w:rsid w:val="00876CEE"/>
    <w:rsid w:val="00877561"/>
    <w:rsid w:val="008775BC"/>
    <w:rsid w:val="00880C09"/>
    <w:rsid w:val="008813A4"/>
    <w:rsid w:val="00882F1B"/>
    <w:rsid w:val="00887B1C"/>
    <w:rsid w:val="008900A8"/>
    <w:rsid w:val="008926BA"/>
    <w:rsid w:val="00896FD6"/>
    <w:rsid w:val="00897620"/>
    <w:rsid w:val="008A24C2"/>
    <w:rsid w:val="008A5BFC"/>
    <w:rsid w:val="008A70CE"/>
    <w:rsid w:val="008B313D"/>
    <w:rsid w:val="008B4C81"/>
    <w:rsid w:val="008B5CED"/>
    <w:rsid w:val="008B6423"/>
    <w:rsid w:val="008C04B8"/>
    <w:rsid w:val="008C0B07"/>
    <w:rsid w:val="008C1A1A"/>
    <w:rsid w:val="008C25E4"/>
    <w:rsid w:val="008C2DAE"/>
    <w:rsid w:val="008C3FB1"/>
    <w:rsid w:val="008C6426"/>
    <w:rsid w:val="008C6E36"/>
    <w:rsid w:val="008C6E9B"/>
    <w:rsid w:val="008D2383"/>
    <w:rsid w:val="008D2C95"/>
    <w:rsid w:val="008E0C14"/>
    <w:rsid w:val="008E4DA6"/>
    <w:rsid w:val="008E50BB"/>
    <w:rsid w:val="008E620B"/>
    <w:rsid w:val="008E7AD9"/>
    <w:rsid w:val="008F130C"/>
    <w:rsid w:val="008F3863"/>
    <w:rsid w:val="008F43D2"/>
    <w:rsid w:val="008F4803"/>
    <w:rsid w:val="008F521D"/>
    <w:rsid w:val="008F6521"/>
    <w:rsid w:val="008F68AC"/>
    <w:rsid w:val="009015A7"/>
    <w:rsid w:val="00902768"/>
    <w:rsid w:val="009036E9"/>
    <w:rsid w:val="00903B37"/>
    <w:rsid w:val="009041D7"/>
    <w:rsid w:val="009053D9"/>
    <w:rsid w:val="009059A9"/>
    <w:rsid w:val="00906511"/>
    <w:rsid w:val="00906EAD"/>
    <w:rsid w:val="00911A36"/>
    <w:rsid w:val="009120AF"/>
    <w:rsid w:val="00912580"/>
    <w:rsid w:val="00913CF1"/>
    <w:rsid w:val="0091622F"/>
    <w:rsid w:val="0091743B"/>
    <w:rsid w:val="00922386"/>
    <w:rsid w:val="0092515E"/>
    <w:rsid w:val="0092540B"/>
    <w:rsid w:val="00926073"/>
    <w:rsid w:val="009308C1"/>
    <w:rsid w:val="009315CC"/>
    <w:rsid w:val="00932BB4"/>
    <w:rsid w:val="00933106"/>
    <w:rsid w:val="00933C52"/>
    <w:rsid w:val="00934E1B"/>
    <w:rsid w:val="00935277"/>
    <w:rsid w:val="00937D50"/>
    <w:rsid w:val="0094052C"/>
    <w:rsid w:val="00940B6C"/>
    <w:rsid w:val="009426A2"/>
    <w:rsid w:val="00942FBD"/>
    <w:rsid w:val="0094770B"/>
    <w:rsid w:val="00947D4A"/>
    <w:rsid w:val="00947E61"/>
    <w:rsid w:val="00951D88"/>
    <w:rsid w:val="009530BB"/>
    <w:rsid w:val="0095528F"/>
    <w:rsid w:val="00957260"/>
    <w:rsid w:val="009600AD"/>
    <w:rsid w:val="0096056C"/>
    <w:rsid w:val="00961848"/>
    <w:rsid w:val="00962719"/>
    <w:rsid w:val="009633F6"/>
    <w:rsid w:val="00963889"/>
    <w:rsid w:val="0096485E"/>
    <w:rsid w:val="00971CD2"/>
    <w:rsid w:val="00972459"/>
    <w:rsid w:val="00972C4F"/>
    <w:rsid w:val="00974E56"/>
    <w:rsid w:val="00976BDC"/>
    <w:rsid w:val="00977459"/>
    <w:rsid w:val="00977E6E"/>
    <w:rsid w:val="00981341"/>
    <w:rsid w:val="00984037"/>
    <w:rsid w:val="00986165"/>
    <w:rsid w:val="00990B67"/>
    <w:rsid w:val="00991BBD"/>
    <w:rsid w:val="00992343"/>
    <w:rsid w:val="009931FF"/>
    <w:rsid w:val="0099411D"/>
    <w:rsid w:val="00994B64"/>
    <w:rsid w:val="00996216"/>
    <w:rsid w:val="0099776D"/>
    <w:rsid w:val="009A3663"/>
    <w:rsid w:val="009A3F5D"/>
    <w:rsid w:val="009A515B"/>
    <w:rsid w:val="009A7332"/>
    <w:rsid w:val="009B1BB7"/>
    <w:rsid w:val="009B2267"/>
    <w:rsid w:val="009B2FCA"/>
    <w:rsid w:val="009B3176"/>
    <w:rsid w:val="009B525F"/>
    <w:rsid w:val="009B725F"/>
    <w:rsid w:val="009C0AF7"/>
    <w:rsid w:val="009C42FF"/>
    <w:rsid w:val="009C4DB1"/>
    <w:rsid w:val="009C561B"/>
    <w:rsid w:val="009C573B"/>
    <w:rsid w:val="009D0B00"/>
    <w:rsid w:val="009D0E20"/>
    <w:rsid w:val="009D4424"/>
    <w:rsid w:val="009D4F60"/>
    <w:rsid w:val="009D5773"/>
    <w:rsid w:val="009D5A89"/>
    <w:rsid w:val="009D7623"/>
    <w:rsid w:val="009E0AE8"/>
    <w:rsid w:val="009E1B4F"/>
    <w:rsid w:val="009E495F"/>
    <w:rsid w:val="009E4DDD"/>
    <w:rsid w:val="009E5374"/>
    <w:rsid w:val="009E6FD2"/>
    <w:rsid w:val="009F18B2"/>
    <w:rsid w:val="009F1E3B"/>
    <w:rsid w:val="009F343B"/>
    <w:rsid w:val="009F345D"/>
    <w:rsid w:val="009F3866"/>
    <w:rsid w:val="009F4FAE"/>
    <w:rsid w:val="009F63B2"/>
    <w:rsid w:val="009F65CE"/>
    <w:rsid w:val="009F6FBD"/>
    <w:rsid w:val="009F7A19"/>
    <w:rsid w:val="00A00F2B"/>
    <w:rsid w:val="00A01170"/>
    <w:rsid w:val="00A030A3"/>
    <w:rsid w:val="00A03DB2"/>
    <w:rsid w:val="00A05CF6"/>
    <w:rsid w:val="00A07DD2"/>
    <w:rsid w:val="00A108EA"/>
    <w:rsid w:val="00A13218"/>
    <w:rsid w:val="00A134B7"/>
    <w:rsid w:val="00A14E3E"/>
    <w:rsid w:val="00A1743D"/>
    <w:rsid w:val="00A21358"/>
    <w:rsid w:val="00A217FF"/>
    <w:rsid w:val="00A21936"/>
    <w:rsid w:val="00A227A3"/>
    <w:rsid w:val="00A242F6"/>
    <w:rsid w:val="00A25291"/>
    <w:rsid w:val="00A3265B"/>
    <w:rsid w:val="00A358D4"/>
    <w:rsid w:val="00A40842"/>
    <w:rsid w:val="00A4198B"/>
    <w:rsid w:val="00A423BC"/>
    <w:rsid w:val="00A4333E"/>
    <w:rsid w:val="00A433E8"/>
    <w:rsid w:val="00A47766"/>
    <w:rsid w:val="00A47C5E"/>
    <w:rsid w:val="00A516A0"/>
    <w:rsid w:val="00A517A7"/>
    <w:rsid w:val="00A53DA4"/>
    <w:rsid w:val="00A550B1"/>
    <w:rsid w:val="00A574C0"/>
    <w:rsid w:val="00A60B73"/>
    <w:rsid w:val="00A616A2"/>
    <w:rsid w:val="00A62ABF"/>
    <w:rsid w:val="00A645AB"/>
    <w:rsid w:val="00A64B8E"/>
    <w:rsid w:val="00A66677"/>
    <w:rsid w:val="00A67F2E"/>
    <w:rsid w:val="00A73A28"/>
    <w:rsid w:val="00A73BE7"/>
    <w:rsid w:val="00A75E4E"/>
    <w:rsid w:val="00A76012"/>
    <w:rsid w:val="00A768EA"/>
    <w:rsid w:val="00A80080"/>
    <w:rsid w:val="00A80648"/>
    <w:rsid w:val="00A80C35"/>
    <w:rsid w:val="00A80DBA"/>
    <w:rsid w:val="00A8332C"/>
    <w:rsid w:val="00A85369"/>
    <w:rsid w:val="00A877D3"/>
    <w:rsid w:val="00A91B0F"/>
    <w:rsid w:val="00A92149"/>
    <w:rsid w:val="00A94085"/>
    <w:rsid w:val="00AA0317"/>
    <w:rsid w:val="00AA063C"/>
    <w:rsid w:val="00AA084C"/>
    <w:rsid w:val="00AA1858"/>
    <w:rsid w:val="00AA24E2"/>
    <w:rsid w:val="00AA37AB"/>
    <w:rsid w:val="00AA50BD"/>
    <w:rsid w:val="00AA50DA"/>
    <w:rsid w:val="00AA510A"/>
    <w:rsid w:val="00AA5213"/>
    <w:rsid w:val="00AA6478"/>
    <w:rsid w:val="00AA6EAE"/>
    <w:rsid w:val="00AA77BF"/>
    <w:rsid w:val="00AB3A8C"/>
    <w:rsid w:val="00AB4951"/>
    <w:rsid w:val="00AB6113"/>
    <w:rsid w:val="00AB7B49"/>
    <w:rsid w:val="00AC2E85"/>
    <w:rsid w:val="00AC3BD0"/>
    <w:rsid w:val="00AC5D61"/>
    <w:rsid w:val="00AC600F"/>
    <w:rsid w:val="00AC6E97"/>
    <w:rsid w:val="00AD3495"/>
    <w:rsid w:val="00AD5296"/>
    <w:rsid w:val="00AD65E1"/>
    <w:rsid w:val="00AD7B95"/>
    <w:rsid w:val="00AE1F9C"/>
    <w:rsid w:val="00AE4EEA"/>
    <w:rsid w:val="00AF121D"/>
    <w:rsid w:val="00AF1B24"/>
    <w:rsid w:val="00AF2796"/>
    <w:rsid w:val="00AF3282"/>
    <w:rsid w:val="00AF3B92"/>
    <w:rsid w:val="00B00BB3"/>
    <w:rsid w:val="00B02FB3"/>
    <w:rsid w:val="00B059A6"/>
    <w:rsid w:val="00B05CC2"/>
    <w:rsid w:val="00B1292C"/>
    <w:rsid w:val="00B243ED"/>
    <w:rsid w:val="00B25283"/>
    <w:rsid w:val="00B27A27"/>
    <w:rsid w:val="00B27DC2"/>
    <w:rsid w:val="00B315A0"/>
    <w:rsid w:val="00B32E40"/>
    <w:rsid w:val="00B3437E"/>
    <w:rsid w:val="00B34A18"/>
    <w:rsid w:val="00B34C13"/>
    <w:rsid w:val="00B34D86"/>
    <w:rsid w:val="00B402F1"/>
    <w:rsid w:val="00B42A00"/>
    <w:rsid w:val="00B468CE"/>
    <w:rsid w:val="00B50C33"/>
    <w:rsid w:val="00B5172C"/>
    <w:rsid w:val="00B54F35"/>
    <w:rsid w:val="00B568F0"/>
    <w:rsid w:val="00B56EED"/>
    <w:rsid w:val="00B571DD"/>
    <w:rsid w:val="00B579CB"/>
    <w:rsid w:val="00B6147F"/>
    <w:rsid w:val="00B626CD"/>
    <w:rsid w:val="00B6314D"/>
    <w:rsid w:val="00B657C5"/>
    <w:rsid w:val="00B65E41"/>
    <w:rsid w:val="00B66787"/>
    <w:rsid w:val="00B66864"/>
    <w:rsid w:val="00B66E23"/>
    <w:rsid w:val="00B70083"/>
    <w:rsid w:val="00B72062"/>
    <w:rsid w:val="00B73978"/>
    <w:rsid w:val="00B73D0E"/>
    <w:rsid w:val="00B8058B"/>
    <w:rsid w:val="00B82513"/>
    <w:rsid w:val="00B8312D"/>
    <w:rsid w:val="00B8572A"/>
    <w:rsid w:val="00B85790"/>
    <w:rsid w:val="00B865B6"/>
    <w:rsid w:val="00B86C2E"/>
    <w:rsid w:val="00B87A76"/>
    <w:rsid w:val="00B9303A"/>
    <w:rsid w:val="00B9305E"/>
    <w:rsid w:val="00B938BE"/>
    <w:rsid w:val="00B94A19"/>
    <w:rsid w:val="00B961C4"/>
    <w:rsid w:val="00B96241"/>
    <w:rsid w:val="00BA41C3"/>
    <w:rsid w:val="00BA6428"/>
    <w:rsid w:val="00BA67DE"/>
    <w:rsid w:val="00BA6806"/>
    <w:rsid w:val="00BB14A9"/>
    <w:rsid w:val="00BB17A0"/>
    <w:rsid w:val="00BB198B"/>
    <w:rsid w:val="00BB28F6"/>
    <w:rsid w:val="00BB2ACA"/>
    <w:rsid w:val="00BB3705"/>
    <w:rsid w:val="00BB3B4B"/>
    <w:rsid w:val="00BB585D"/>
    <w:rsid w:val="00BC2609"/>
    <w:rsid w:val="00BC26DD"/>
    <w:rsid w:val="00BC3E79"/>
    <w:rsid w:val="00BC4468"/>
    <w:rsid w:val="00BC5B54"/>
    <w:rsid w:val="00BC6576"/>
    <w:rsid w:val="00BD3CE7"/>
    <w:rsid w:val="00BD4CE7"/>
    <w:rsid w:val="00BE00A9"/>
    <w:rsid w:val="00BE194C"/>
    <w:rsid w:val="00BE2F24"/>
    <w:rsid w:val="00BE38DF"/>
    <w:rsid w:val="00BE3D67"/>
    <w:rsid w:val="00BE5629"/>
    <w:rsid w:val="00BE764D"/>
    <w:rsid w:val="00BF000E"/>
    <w:rsid w:val="00BF28C7"/>
    <w:rsid w:val="00BF5DD8"/>
    <w:rsid w:val="00BF71C2"/>
    <w:rsid w:val="00C00144"/>
    <w:rsid w:val="00C0391B"/>
    <w:rsid w:val="00C03DD1"/>
    <w:rsid w:val="00C117BC"/>
    <w:rsid w:val="00C12DA1"/>
    <w:rsid w:val="00C13145"/>
    <w:rsid w:val="00C139A9"/>
    <w:rsid w:val="00C13A7C"/>
    <w:rsid w:val="00C14792"/>
    <w:rsid w:val="00C161BC"/>
    <w:rsid w:val="00C16975"/>
    <w:rsid w:val="00C21374"/>
    <w:rsid w:val="00C22789"/>
    <w:rsid w:val="00C24936"/>
    <w:rsid w:val="00C2572C"/>
    <w:rsid w:val="00C26BCE"/>
    <w:rsid w:val="00C274AE"/>
    <w:rsid w:val="00C305C9"/>
    <w:rsid w:val="00C34785"/>
    <w:rsid w:val="00C374A0"/>
    <w:rsid w:val="00C40A9A"/>
    <w:rsid w:val="00C40DCC"/>
    <w:rsid w:val="00C41420"/>
    <w:rsid w:val="00C416E9"/>
    <w:rsid w:val="00C42B0A"/>
    <w:rsid w:val="00C4610D"/>
    <w:rsid w:val="00C465EC"/>
    <w:rsid w:val="00C60C63"/>
    <w:rsid w:val="00C61012"/>
    <w:rsid w:val="00C616E6"/>
    <w:rsid w:val="00C62D50"/>
    <w:rsid w:val="00C642A9"/>
    <w:rsid w:val="00C64F4C"/>
    <w:rsid w:val="00C65446"/>
    <w:rsid w:val="00C65574"/>
    <w:rsid w:val="00C65D54"/>
    <w:rsid w:val="00C6757F"/>
    <w:rsid w:val="00C67C97"/>
    <w:rsid w:val="00C70EC0"/>
    <w:rsid w:val="00C7135A"/>
    <w:rsid w:val="00C71797"/>
    <w:rsid w:val="00C72A9C"/>
    <w:rsid w:val="00C75207"/>
    <w:rsid w:val="00C76FE7"/>
    <w:rsid w:val="00C77A51"/>
    <w:rsid w:val="00C83760"/>
    <w:rsid w:val="00C83C4D"/>
    <w:rsid w:val="00C83C66"/>
    <w:rsid w:val="00C83F07"/>
    <w:rsid w:val="00C84123"/>
    <w:rsid w:val="00C85553"/>
    <w:rsid w:val="00C857D3"/>
    <w:rsid w:val="00C866DA"/>
    <w:rsid w:val="00C90410"/>
    <w:rsid w:val="00C917C6"/>
    <w:rsid w:val="00C9304F"/>
    <w:rsid w:val="00CA1164"/>
    <w:rsid w:val="00CA17AC"/>
    <w:rsid w:val="00CA1968"/>
    <w:rsid w:val="00CA1CBE"/>
    <w:rsid w:val="00CA3EAA"/>
    <w:rsid w:val="00CA5A21"/>
    <w:rsid w:val="00CA6305"/>
    <w:rsid w:val="00CA6820"/>
    <w:rsid w:val="00CA6F5D"/>
    <w:rsid w:val="00CB0623"/>
    <w:rsid w:val="00CB2720"/>
    <w:rsid w:val="00CB276B"/>
    <w:rsid w:val="00CB4937"/>
    <w:rsid w:val="00CB62E4"/>
    <w:rsid w:val="00CB6541"/>
    <w:rsid w:val="00CC04B8"/>
    <w:rsid w:val="00CC14B9"/>
    <w:rsid w:val="00CC2FDD"/>
    <w:rsid w:val="00CC4078"/>
    <w:rsid w:val="00CC4D07"/>
    <w:rsid w:val="00CC6CC0"/>
    <w:rsid w:val="00CD1752"/>
    <w:rsid w:val="00CD381B"/>
    <w:rsid w:val="00CD4DD4"/>
    <w:rsid w:val="00CD5DAF"/>
    <w:rsid w:val="00CE1F5D"/>
    <w:rsid w:val="00CE338D"/>
    <w:rsid w:val="00CE35FA"/>
    <w:rsid w:val="00CE4795"/>
    <w:rsid w:val="00CE4F89"/>
    <w:rsid w:val="00CE644F"/>
    <w:rsid w:val="00CE7104"/>
    <w:rsid w:val="00CE750F"/>
    <w:rsid w:val="00CE778B"/>
    <w:rsid w:val="00CF1498"/>
    <w:rsid w:val="00CF3980"/>
    <w:rsid w:val="00CF4050"/>
    <w:rsid w:val="00CF43CF"/>
    <w:rsid w:val="00CF4437"/>
    <w:rsid w:val="00CF4997"/>
    <w:rsid w:val="00CF4E03"/>
    <w:rsid w:val="00CF6A1A"/>
    <w:rsid w:val="00CF7397"/>
    <w:rsid w:val="00D049B8"/>
    <w:rsid w:val="00D05A2B"/>
    <w:rsid w:val="00D06197"/>
    <w:rsid w:val="00D10585"/>
    <w:rsid w:val="00D12474"/>
    <w:rsid w:val="00D15464"/>
    <w:rsid w:val="00D160CB"/>
    <w:rsid w:val="00D20D16"/>
    <w:rsid w:val="00D2106F"/>
    <w:rsid w:val="00D213FB"/>
    <w:rsid w:val="00D245A1"/>
    <w:rsid w:val="00D24CB3"/>
    <w:rsid w:val="00D24E98"/>
    <w:rsid w:val="00D25B3B"/>
    <w:rsid w:val="00D2782E"/>
    <w:rsid w:val="00D27898"/>
    <w:rsid w:val="00D308C5"/>
    <w:rsid w:val="00D314E5"/>
    <w:rsid w:val="00D32543"/>
    <w:rsid w:val="00D32BA7"/>
    <w:rsid w:val="00D33BE6"/>
    <w:rsid w:val="00D3416D"/>
    <w:rsid w:val="00D3680D"/>
    <w:rsid w:val="00D36825"/>
    <w:rsid w:val="00D368D8"/>
    <w:rsid w:val="00D402F9"/>
    <w:rsid w:val="00D41049"/>
    <w:rsid w:val="00D415E2"/>
    <w:rsid w:val="00D42055"/>
    <w:rsid w:val="00D44E0C"/>
    <w:rsid w:val="00D4566C"/>
    <w:rsid w:val="00D4581F"/>
    <w:rsid w:val="00D45D56"/>
    <w:rsid w:val="00D45F79"/>
    <w:rsid w:val="00D47CF3"/>
    <w:rsid w:val="00D50FD6"/>
    <w:rsid w:val="00D56FB7"/>
    <w:rsid w:val="00D5729E"/>
    <w:rsid w:val="00D60B3D"/>
    <w:rsid w:val="00D617A4"/>
    <w:rsid w:val="00D64062"/>
    <w:rsid w:val="00D647C3"/>
    <w:rsid w:val="00D6650E"/>
    <w:rsid w:val="00D67844"/>
    <w:rsid w:val="00D707FA"/>
    <w:rsid w:val="00D77739"/>
    <w:rsid w:val="00D82C99"/>
    <w:rsid w:val="00D83BE5"/>
    <w:rsid w:val="00D83D91"/>
    <w:rsid w:val="00D91838"/>
    <w:rsid w:val="00D91897"/>
    <w:rsid w:val="00D9386E"/>
    <w:rsid w:val="00D93C16"/>
    <w:rsid w:val="00D94412"/>
    <w:rsid w:val="00D9633A"/>
    <w:rsid w:val="00D97562"/>
    <w:rsid w:val="00DA3041"/>
    <w:rsid w:val="00DA609B"/>
    <w:rsid w:val="00DB4C0C"/>
    <w:rsid w:val="00DB5BB2"/>
    <w:rsid w:val="00DC0DF4"/>
    <w:rsid w:val="00DD0BD9"/>
    <w:rsid w:val="00DD0F9D"/>
    <w:rsid w:val="00DD49B6"/>
    <w:rsid w:val="00DD4FC4"/>
    <w:rsid w:val="00DD6839"/>
    <w:rsid w:val="00DE0D42"/>
    <w:rsid w:val="00DE4ACF"/>
    <w:rsid w:val="00DF2386"/>
    <w:rsid w:val="00DF2C10"/>
    <w:rsid w:val="00DF2F8A"/>
    <w:rsid w:val="00DF5F99"/>
    <w:rsid w:val="00DF6B3E"/>
    <w:rsid w:val="00DF7FE7"/>
    <w:rsid w:val="00E016CC"/>
    <w:rsid w:val="00E042F9"/>
    <w:rsid w:val="00E058B9"/>
    <w:rsid w:val="00E0612A"/>
    <w:rsid w:val="00E061E3"/>
    <w:rsid w:val="00E1141E"/>
    <w:rsid w:val="00E12CA5"/>
    <w:rsid w:val="00E16CC7"/>
    <w:rsid w:val="00E17EE6"/>
    <w:rsid w:val="00E20094"/>
    <w:rsid w:val="00E20B85"/>
    <w:rsid w:val="00E21C66"/>
    <w:rsid w:val="00E22301"/>
    <w:rsid w:val="00E236B9"/>
    <w:rsid w:val="00E23B34"/>
    <w:rsid w:val="00E25075"/>
    <w:rsid w:val="00E30B98"/>
    <w:rsid w:val="00E319D3"/>
    <w:rsid w:val="00E37A47"/>
    <w:rsid w:val="00E42A55"/>
    <w:rsid w:val="00E4514F"/>
    <w:rsid w:val="00E46367"/>
    <w:rsid w:val="00E4663F"/>
    <w:rsid w:val="00E50224"/>
    <w:rsid w:val="00E604F4"/>
    <w:rsid w:val="00E61503"/>
    <w:rsid w:val="00E6313B"/>
    <w:rsid w:val="00E631A8"/>
    <w:rsid w:val="00E63F0B"/>
    <w:rsid w:val="00E642B6"/>
    <w:rsid w:val="00E70ABD"/>
    <w:rsid w:val="00E73B49"/>
    <w:rsid w:val="00E74C69"/>
    <w:rsid w:val="00E75CA2"/>
    <w:rsid w:val="00E7606D"/>
    <w:rsid w:val="00E77109"/>
    <w:rsid w:val="00E777F3"/>
    <w:rsid w:val="00E80FF3"/>
    <w:rsid w:val="00E82941"/>
    <w:rsid w:val="00E85C33"/>
    <w:rsid w:val="00E9257D"/>
    <w:rsid w:val="00E949F7"/>
    <w:rsid w:val="00E96B53"/>
    <w:rsid w:val="00EA0456"/>
    <w:rsid w:val="00EA196C"/>
    <w:rsid w:val="00EA3A7F"/>
    <w:rsid w:val="00EA5C9D"/>
    <w:rsid w:val="00EA5E82"/>
    <w:rsid w:val="00EB322D"/>
    <w:rsid w:val="00EB3F23"/>
    <w:rsid w:val="00EB6182"/>
    <w:rsid w:val="00EB6561"/>
    <w:rsid w:val="00EC2718"/>
    <w:rsid w:val="00EC3923"/>
    <w:rsid w:val="00EC588F"/>
    <w:rsid w:val="00EC72C3"/>
    <w:rsid w:val="00ED2630"/>
    <w:rsid w:val="00ED2A0B"/>
    <w:rsid w:val="00ED2B49"/>
    <w:rsid w:val="00ED3A8C"/>
    <w:rsid w:val="00ED3AEB"/>
    <w:rsid w:val="00ED4036"/>
    <w:rsid w:val="00ED536D"/>
    <w:rsid w:val="00ED5805"/>
    <w:rsid w:val="00ED6F22"/>
    <w:rsid w:val="00ED7225"/>
    <w:rsid w:val="00EE37D2"/>
    <w:rsid w:val="00EE4971"/>
    <w:rsid w:val="00EE5DC3"/>
    <w:rsid w:val="00EE60AF"/>
    <w:rsid w:val="00EE7641"/>
    <w:rsid w:val="00EE7F06"/>
    <w:rsid w:val="00EF1ED0"/>
    <w:rsid w:val="00EF27A8"/>
    <w:rsid w:val="00EF37C0"/>
    <w:rsid w:val="00EF3D80"/>
    <w:rsid w:val="00EF4718"/>
    <w:rsid w:val="00EF557F"/>
    <w:rsid w:val="00F00CA6"/>
    <w:rsid w:val="00F0628B"/>
    <w:rsid w:val="00F06D68"/>
    <w:rsid w:val="00F078F1"/>
    <w:rsid w:val="00F126E5"/>
    <w:rsid w:val="00F136F5"/>
    <w:rsid w:val="00F14404"/>
    <w:rsid w:val="00F15E14"/>
    <w:rsid w:val="00F207AC"/>
    <w:rsid w:val="00F20F57"/>
    <w:rsid w:val="00F21A80"/>
    <w:rsid w:val="00F21BAF"/>
    <w:rsid w:val="00F252C6"/>
    <w:rsid w:val="00F25929"/>
    <w:rsid w:val="00F26C2E"/>
    <w:rsid w:val="00F27FD2"/>
    <w:rsid w:val="00F32D03"/>
    <w:rsid w:val="00F331A5"/>
    <w:rsid w:val="00F33F24"/>
    <w:rsid w:val="00F344DE"/>
    <w:rsid w:val="00F3721E"/>
    <w:rsid w:val="00F40D7D"/>
    <w:rsid w:val="00F4516D"/>
    <w:rsid w:val="00F503EA"/>
    <w:rsid w:val="00F50A7A"/>
    <w:rsid w:val="00F50F8D"/>
    <w:rsid w:val="00F51485"/>
    <w:rsid w:val="00F52E89"/>
    <w:rsid w:val="00F548E2"/>
    <w:rsid w:val="00F55ABA"/>
    <w:rsid w:val="00F56BB7"/>
    <w:rsid w:val="00F57D79"/>
    <w:rsid w:val="00F60DF2"/>
    <w:rsid w:val="00F61980"/>
    <w:rsid w:val="00F61B79"/>
    <w:rsid w:val="00F70CA4"/>
    <w:rsid w:val="00F7138B"/>
    <w:rsid w:val="00F73E71"/>
    <w:rsid w:val="00F73EE2"/>
    <w:rsid w:val="00F80085"/>
    <w:rsid w:val="00F819EB"/>
    <w:rsid w:val="00F8382F"/>
    <w:rsid w:val="00F847E5"/>
    <w:rsid w:val="00F84F55"/>
    <w:rsid w:val="00F862BE"/>
    <w:rsid w:val="00F90014"/>
    <w:rsid w:val="00F93D0E"/>
    <w:rsid w:val="00F9634F"/>
    <w:rsid w:val="00F96963"/>
    <w:rsid w:val="00F9719A"/>
    <w:rsid w:val="00FA00D4"/>
    <w:rsid w:val="00FA276A"/>
    <w:rsid w:val="00FA2F4B"/>
    <w:rsid w:val="00FA393E"/>
    <w:rsid w:val="00FA4977"/>
    <w:rsid w:val="00FA5E54"/>
    <w:rsid w:val="00FA6159"/>
    <w:rsid w:val="00FB2AB2"/>
    <w:rsid w:val="00FB6EE7"/>
    <w:rsid w:val="00FB70D8"/>
    <w:rsid w:val="00FB7C64"/>
    <w:rsid w:val="00FC0A0E"/>
    <w:rsid w:val="00FC2EBB"/>
    <w:rsid w:val="00FC42BB"/>
    <w:rsid w:val="00FC6B33"/>
    <w:rsid w:val="00FC725D"/>
    <w:rsid w:val="00FC7890"/>
    <w:rsid w:val="00FC7A32"/>
    <w:rsid w:val="00FC7AC3"/>
    <w:rsid w:val="00FD0EEF"/>
    <w:rsid w:val="00FD1CE3"/>
    <w:rsid w:val="00FD27EB"/>
    <w:rsid w:val="00FD45EA"/>
    <w:rsid w:val="00FD692A"/>
    <w:rsid w:val="00FE34A2"/>
    <w:rsid w:val="00FE5EEB"/>
    <w:rsid w:val="00FF3BCE"/>
    <w:rsid w:val="00FF570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6314292"/>
  <w15:docId w15:val="{C28AB3F9-CB73-49BF-A256-C3C804427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ind w:left="425" w:hanging="425"/>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386"/>
    <w:rPr>
      <w:rFonts w:ascii="Calibri" w:eastAsia="Calibri" w:hAnsi="Calibri" w:cs="Times New Roman"/>
    </w:rPr>
  </w:style>
  <w:style w:type="paragraph" w:styleId="Heading1">
    <w:name w:val="heading 1"/>
    <w:basedOn w:val="Normal"/>
    <w:next w:val="Normal"/>
    <w:link w:val="Heading1Char"/>
    <w:uiPriority w:val="9"/>
    <w:qFormat/>
    <w:rsid w:val="005C1B0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DF2386"/>
    <w:rPr>
      <w:sz w:val="20"/>
      <w:szCs w:val="20"/>
    </w:rPr>
  </w:style>
  <w:style w:type="character" w:customStyle="1" w:styleId="FootnoteTextChar">
    <w:name w:val="Footnote Text Char"/>
    <w:basedOn w:val="DefaultParagraphFont"/>
    <w:link w:val="FootnoteText"/>
    <w:uiPriority w:val="99"/>
    <w:rsid w:val="00DF2386"/>
    <w:rPr>
      <w:rFonts w:ascii="Calibri" w:eastAsia="Calibri" w:hAnsi="Calibri" w:cs="Times New Roman"/>
      <w:sz w:val="20"/>
      <w:szCs w:val="20"/>
    </w:rPr>
  </w:style>
  <w:style w:type="paragraph" w:styleId="ListParagraph">
    <w:name w:val="List Paragraph"/>
    <w:basedOn w:val="Normal"/>
    <w:uiPriority w:val="34"/>
    <w:qFormat/>
    <w:rsid w:val="00DF2386"/>
    <w:pPr>
      <w:ind w:left="720"/>
      <w:contextualSpacing/>
    </w:pPr>
  </w:style>
  <w:style w:type="character" w:styleId="FootnoteReference">
    <w:name w:val="footnote reference"/>
    <w:basedOn w:val="DefaultParagraphFont"/>
    <w:uiPriority w:val="99"/>
    <w:semiHidden/>
    <w:unhideWhenUsed/>
    <w:rsid w:val="00DF2386"/>
    <w:rPr>
      <w:vertAlign w:val="superscript"/>
    </w:rPr>
  </w:style>
  <w:style w:type="character" w:styleId="CommentReference">
    <w:name w:val="annotation reference"/>
    <w:basedOn w:val="DefaultParagraphFont"/>
    <w:uiPriority w:val="99"/>
    <w:semiHidden/>
    <w:unhideWhenUsed/>
    <w:rsid w:val="00BC2609"/>
    <w:rPr>
      <w:sz w:val="16"/>
      <w:szCs w:val="16"/>
    </w:rPr>
  </w:style>
  <w:style w:type="paragraph" w:styleId="CommentText">
    <w:name w:val="annotation text"/>
    <w:basedOn w:val="Normal"/>
    <w:link w:val="CommentTextChar"/>
    <w:uiPriority w:val="99"/>
    <w:unhideWhenUsed/>
    <w:rsid w:val="00BC2609"/>
    <w:rPr>
      <w:sz w:val="20"/>
      <w:szCs w:val="20"/>
    </w:rPr>
  </w:style>
  <w:style w:type="character" w:customStyle="1" w:styleId="CommentTextChar">
    <w:name w:val="Comment Text Char"/>
    <w:basedOn w:val="DefaultParagraphFont"/>
    <w:link w:val="CommentText"/>
    <w:uiPriority w:val="99"/>
    <w:rsid w:val="00BC260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C2609"/>
    <w:rPr>
      <w:b/>
      <w:bCs/>
    </w:rPr>
  </w:style>
  <w:style w:type="character" w:customStyle="1" w:styleId="CommentSubjectChar">
    <w:name w:val="Comment Subject Char"/>
    <w:basedOn w:val="CommentTextChar"/>
    <w:link w:val="CommentSubject"/>
    <w:uiPriority w:val="99"/>
    <w:semiHidden/>
    <w:rsid w:val="00BC2609"/>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BC2609"/>
    <w:rPr>
      <w:rFonts w:ascii="Tahoma" w:hAnsi="Tahoma" w:cs="Tahoma"/>
      <w:sz w:val="16"/>
      <w:szCs w:val="16"/>
    </w:rPr>
  </w:style>
  <w:style w:type="character" w:customStyle="1" w:styleId="BalloonTextChar">
    <w:name w:val="Balloon Text Char"/>
    <w:basedOn w:val="DefaultParagraphFont"/>
    <w:link w:val="BalloonText"/>
    <w:uiPriority w:val="99"/>
    <w:semiHidden/>
    <w:rsid w:val="00BC2609"/>
    <w:rPr>
      <w:rFonts w:ascii="Tahoma" w:eastAsia="Calibri" w:hAnsi="Tahoma" w:cs="Tahoma"/>
      <w:sz w:val="16"/>
      <w:szCs w:val="16"/>
    </w:rPr>
  </w:style>
  <w:style w:type="paragraph" w:styleId="Revision">
    <w:name w:val="Revision"/>
    <w:hidden/>
    <w:uiPriority w:val="99"/>
    <w:semiHidden/>
    <w:rsid w:val="003A52BE"/>
    <w:rPr>
      <w:rFonts w:ascii="Calibri" w:eastAsia="Calibri" w:hAnsi="Calibri" w:cs="Times New Roman"/>
    </w:rPr>
  </w:style>
  <w:style w:type="paragraph" w:styleId="Header">
    <w:name w:val="header"/>
    <w:basedOn w:val="Normal"/>
    <w:link w:val="HeaderChar"/>
    <w:uiPriority w:val="99"/>
    <w:unhideWhenUsed/>
    <w:rsid w:val="00D245A1"/>
    <w:pPr>
      <w:tabs>
        <w:tab w:val="center" w:pos="4513"/>
        <w:tab w:val="right" w:pos="9026"/>
      </w:tabs>
    </w:pPr>
  </w:style>
  <w:style w:type="character" w:customStyle="1" w:styleId="HeaderChar">
    <w:name w:val="Header Char"/>
    <w:basedOn w:val="DefaultParagraphFont"/>
    <w:link w:val="Header"/>
    <w:uiPriority w:val="99"/>
    <w:rsid w:val="00D245A1"/>
    <w:rPr>
      <w:rFonts w:ascii="Calibri" w:eastAsia="Calibri" w:hAnsi="Calibri" w:cs="Times New Roman"/>
    </w:rPr>
  </w:style>
  <w:style w:type="paragraph" w:styleId="Footer">
    <w:name w:val="footer"/>
    <w:basedOn w:val="Normal"/>
    <w:link w:val="FooterChar"/>
    <w:uiPriority w:val="99"/>
    <w:unhideWhenUsed/>
    <w:qFormat/>
    <w:rsid w:val="00D245A1"/>
    <w:pPr>
      <w:tabs>
        <w:tab w:val="center" w:pos="4513"/>
        <w:tab w:val="right" w:pos="9026"/>
      </w:tabs>
    </w:pPr>
  </w:style>
  <w:style w:type="character" w:customStyle="1" w:styleId="FooterChar">
    <w:name w:val="Footer Char"/>
    <w:basedOn w:val="DefaultParagraphFont"/>
    <w:link w:val="Footer"/>
    <w:uiPriority w:val="99"/>
    <w:rsid w:val="00D245A1"/>
    <w:rPr>
      <w:rFonts w:ascii="Calibri" w:eastAsia="Calibri" w:hAnsi="Calibri" w:cs="Times New Roman"/>
    </w:rPr>
  </w:style>
  <w:style w:type="paragraph" w:customStyle="1" w:styleId="ColorfulList-Accent11">
    <w:name w:val="Colorful List - Accent 11"/>
    <w:basedOn w:val="Normal"/>
    <w:uiPriority w:val="34"/>
    <w:qFormat/>
    <w:rsid w:val="000C2489"/>
    <w:pPr>
      <w:ind w:left="720"/>
      <w:contextualSpacing/>
    </w:pPr>
  </w:style>
  <w:style w:type="character" w:styleId="Hyperlink">
    <w:name w:val="Hyperlink"/>
    <w:basedOn w:val="DefaultParagraphFont"/>
    <w:uiPriority w:val="99"/>
    <w:unhideWhenUsed/>
    <w:rsid w:val="00026E09"/>
    <w:rPr>
      <w:color w:val="0000FF" w:themeColor="hyperlink"/>
      <w:u w:val="single"/>
    </w:rPr>
  </w:style>
  <w:style w:type="table" w:styleId="TableGrid">
    <w:name w:val="Table Grid"/>
    <w:basedOn w:val="TableNormal"/>
    <w:uiPriority w:val="59"/>
    <w:rsid w:val="00026E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75F13"/>
    <w:rPr>
      <w:rFonts w:ascii="Calibri" w:eastAsia="Calibri" w:hAnsi="Calibri" w:cs="Times New Roman"/>
    </w:rPr>
  </w:style>
  <w:style w:type="paragraph" w:customStyle="1" w:styleId="MGfulltext">
    <w:name w:val="MG_fulltext"/>
    <w:basedOn w:val="Normal"/>
    <w:link w:val="MGfulltextChar"/>
    <w:qFormat/>
    <w:rsid w:val="00B32E40"/>
    <w:pPr>
      <w:spacing w:after="120"/>
      <w:ind w:left="0" w:firstLine="0"/>
    </w:pPr>
    <w:rPr>
      <w:rFonts w:ascii="Arial" w:eastAsia="Times New Roman" w:hAnsi="Arial" w:cs="Arial"/>
      <w:sz w:val="24"/>
      <w:szCs w:val="24"/>
      <w:lang w:val="en-US"/>
    </w:rPr>
  </w:style>
  <w:style w:type="character" w:customStyle="1" w:styleId="MGfulltextChar">
    <w:name w:val="MG_fulltext Char"/>
    <w:basedOn w:val="DefaultParagraphFont"/>
    <w:link w:val="MGfulltext"/>
    <w:rsid w:val="00B32E40"/>
    <w:rPr>
      <w:rFonts w:ascii="Arial" w:eastAsia="Times New Roman" w:hAnsi="Arial" w:cs="Arial"/>
      <w:sz w:val="24"/>
      <w:szCs w:val="24"/>
      <w:lang w:val="en-US"/>
    </w:rPr>
  </w:style>
  <w:style w:type="paragraph" w:customStyle="1" w:styleId="Default">
    <w:name w:val="Default"/>
    <w:basedOn w:val="Normal"/>
    <w:rsid w:val="00267D03"/>
    <w:pPr>
      <w:autoSpaceDE w:val="0"/>
      <w:autoSpaceDN w:val="0"/>
      <w:ind w:left="0" w:firstLine="0"/>
    </w:pPr>
    <w:rPr>
      <w:rFonts w:ascii="Arial" w:eastAsiaTheme="minorHAnsi" w:hAnsi="Arial" w:cs="Arial"/>
      <w:color w:val="000000"/>
      <w:sz w:val="24"/>
      <w:szCs w:val="24"/>
    </w:rPr>
  </w:style>
  <w:style w:type="character" w:styleId="FollowedHyperlink">
    <w:name w:val="FollowedHyperlink"/>
    <w:basedOn w:val="DefaultParagraphFont"/>
    <w:uiPriority w:val="99"/>
    <w:semiHidden/>
    <w:unhideWhenUsed/>
    <w:rsid w:val="006D0F96"/>
    <w:rPr>
      <w:color w:val="800080"/>
      <w:u w:val="single"/>
    </w:rPr>
  </w:style>
  <w:style w:type="paragraph" w:customStyle="1" w:styleId="xl65">
    <w:name w:val="xl65"/>
    <w:basedOn w:val="Normal"/>
    <w:rsid w:val="006D0F96"/>
    <w:pPr>
      <w:spacing w:before="100" w:beforeAutospacing="1" w:after="100" w:afterAutospacing="1"/>
      <w:ind w:left="0" w:firstLine="0"/>
      <w:textAlignment w:val="top"/>
    </w:pPr>
    <w:rPr>
      <w:rFonts w:eastAsia="Times New Roman"/>
      <w:b/>
      <w:bCs/>
      <w:sz w:val="24"/>
      <w:szCs w:val="24"/>
      <w:lang w:eastAsia="en-GB"/>
    </w:rPr>
  </w:style>
  <w:style w:type="paragraph" w:customStyle="1" w:styleId="xl67">
    <w:name w:val="xl67"/>
    <w:basedOn w:val="Normal"/>
    <w:rsid w:val="006D0F96"/>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ind w:left="0" w:firstLine="0"/>
      <w:jc w:val="center"/>
      <w:textAlignment w:val="top"/>
    </w:pPr>
    <w:rPr>
      <w:rFonts w:eastAsia="Times New Roman"/>
      <w:b/>
      <w:bCs/>
      <w:sz w:val="24"/>
      <w:szCs w:val="24"/>
      <w:lang w:eastAsia="en-GB"/>
    </w:rPr>
  </w:style>
  <w:style w:type="paragraph" w:customStyle="1" w:styleId="xl68">
    <w:name w:val="xl68"/>
    <w:basedOn w:val="Normal"/>
    <w:rsid w:val="006D0F96"/>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ind w:left="0" w:firstLine="0"/>
      <w:jc w:val="center"/>
      <w:textAlignment w:val="top"/>
    </w:pPr>
    <w:rPr>
      <w:rFonts w:eastAsia="Times New Roman"/>
      <w:b/>
      <w:bCs/>
      <w:sz w:val="24"/>
      <w:szCs w:val="24"/>
      <w:lang w:eastAsia="en-GB"/>
    </w:rPr>
  </w:style>
  <w:style w:type="paragraph" w:customStyle="1" w:styleId="xl69">
    <w:name w:val="xl69"/>
    <w:basedOn w:val="Normal"/>
    <w:rsid w:val="006D0F96"/>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ind w:left="0" w:firstLine="0"/>
      <w:jc w:val="center"/>
      <w:textAlignment w:val="top"/>
    </w:pPr>
    <w:rPr>
      <w:rFonts w:eastAsia="Times New Roman"/>
      <w:b/>
      <w:bCs/>
      <w:sz w:val="24"/>
      <w:szCs w:val="24"/>
      <w:lang w:eastAsia="en-GB"/>
    </w:rPr>
  </w:style>
  <w:style w:type="paragraph" w:customStyle="1" w:styleId="xl70">
    <w:name w:val="xl70"/>
    <w:basedOn w:val="Normal"/>
    <w:rsid w:val="006D0F96"/>
    <w:pPr>
      <w:pBdr>
        <w:top w:val="single" w:sz="4" w:space="0" w:color="auto"/>
        <w:left w:val="single" w:sz="4" w:space="0" w:color="auto"/>
        <w:bottom w:val="single" w:sz="4" w:space="0" w:color="auto"/>
        <w:right w:val="single" w:sz="4" w:space="0" w:color="auto"/>
      </w:pBdr>
      <w:spacing w:before="100" w:beforeAutospacing="1" w:after="100" w:afterAutospacing="1"/>
      <w:ind w:left="0" w:firstLine="0"/>
      <w:textAlignment w:val="center"/>
    </w:pPr>
    <w:rPr>
      <w:rFonts w:ascii="Times New Roman" w:eastAsia="Times New Roman" w:hAnsi="Times New Roman"/>
      <w:sz w:val="24"/>
      <w:szCs w:val="24"/>
      <w:lang w:eastAsia="en-GB"/>
    </w:rPr>
  </w:style>
  <w:style w:type="paragraph" w:customStyle="1" w:styleId="xl71">
    <w:name w:val="xl71"/>
    <w:basedOn w:val="Normal"/>
    <w:rsid w:val="006D0F96"/>
    <w:pPr>
      <w:pBdr>
        <w:top w:val="single" w:sz="4" w:space="0" w:color="auto"/>
        <w:left w:val="single" w:sz="4" w:space="0" w:color="auto"/>
        <w:bottom w:val="single" w:sz="4" w:space="0" w:color="auto"/>
        <w:right w:val="single" w:sz="4" w:space="0" w:color="auto"/>
      </w:pBdr>
      <w:spacing w:before="100" w:beforeAutospacing="1" w:after="100" w:afterAutospacing="1"/>
      <w:ind w:left="0" w:firstLine="0"/>
    </w:pPr>
    <w:rPr>
      <w:rFonts w:ascii="Times New Roman" w:eastAsia="Times New Roman" w:hAnsi="Times New Roman"/>
      <w:sz w:val="24"/>
      <w:szCs w:val="24"/>
      <w:lang w:eastAsia="en-GB"/>
    </w:rPr>
  </w:style>
  <w:style w:type="paragraph" w:customStyle="1" w:styleId="xl72">
    <w:name w:val="xl72"/>
    <w:basedOn w:val="Normal"/>
    <w:rsid w:val="006D0F96"/>
    <w:pPr>
      <w:pBdr>
        <w:top w:val="single" w:sz="4" w:space="0" w:color="auto"/>
        <w:left w:val="single" w:sz="4" w:space="0" w:color="auto"/>
        <w:bottom w:val="single" w:sz="4" w:space="0" w:color="auto"/>
        <w:right w:val="single" w:sz="4" w:space="0" w:color="auto"/>
      </w:pBdr>
      <w:spacing w:before="100" w:beforeAutospacing="1" w:after="100" w:afterAutospacing="1"/>
      <w:ind w:left="0" w:firstLine="0"/>
    </w:pPr>
    <w:rPr>
      <w:rFonts w:ascii="Times New Roman" w:eastAsia="Times New Roman" w:hAnsi="Times New Roman"/>
      <w:sz w:val="24"/>
      <w:szCs w:val="24"/>
      <w:lang w:eastAsia="en-GB"/>
    </w:rPr>
  </w:style>
  <w:style w:type="paragraph" w:customStyle="1" w:styleId="xl73">
    <w:name w:val="xl73"/>
    <w:basedOn w:val="Normal"/>
    <w:rsid w:val="006D0F96"/>
    <w:pPr>
      <w:pBdr>
        <w:top w:val="single" w:sz="4" w:space="0" w:color="auto"/>
        <w:left w:val="single" w:sz="4" w:space="0" w:color="auto"/>
        <w:bottom w:val="single" w:sz="4" w:space="0" w:color="auto"/>
        <w:right w:val="single" w:sz="4" w:space="0" w:color="auto"/>
      </w:pBdr>
      <w:spacing w:before="100" w:beforeAutospacing="1" w:after="100" w:afterAutospacing="1"/>
      <w:ind w:left="0" w:firstLine="0"/>
    </w:pPr>
    <w:rPr>
      <w:rFonts w:ascii="Times New Roman" w:eastAsia="Times New Roman" w:hAnsi="Times New Roman"/>
      <w:sz w:val="24"/>
      <w:szCs w:val="24"/>
      <w:lang w:eastAsia="en-GB"/>
    </w:rPr>
  </w:style>
  <w:style w:type="paragraph" w:customStyle="1" w:styleId="xl74">
    <w:name w:val="xl74"/>
    <w:basedOn w:val="Normal"/>
    <w:rsid w:val="006D0F96"/>
    <w:pPr>
      <w:pBdr>
        <w:top w:val="single" w:sz="4" w:space="0" w:color="auto"/>
        <w:left w:val="single" w:sz="4" w:space="0" w:color="auto"/>
        <w:bottom w:val="single" w:sz="4" w:space="0" w:color="auto"/>
        <w:right w:val="single" w:sz="4" w:space="0" w:color="auto"/>
      </w:pBdr>
      <w:spacing w:before="100" w:beforeAutospacing="1" w:after="100" w:afterAutospacing="1"/>
      <w:ind w:left="0" w:firstLine="0"/>
    </w:pPr>
    <w:rPr>
      <w:rFonts w:ascii="Times New Roman" w:eastAsia="Times New Roman" w:hAnsi="Times New Roman"/>
      <w:sz w:val="24"/>
      <w:szCs w:val="24"/>
      <w:lang w:eastAsia="en-GB"/>
    </w:rPr>
  </w:style>
  <w:style w:type="paragraph" w:customStyle="1" w:styleId="xl75">
    <w:name w:val="xl75"/>
    <w:basedOn w:val="Normal"/>
    <w:rsid w:val="006D0F96"/>
    <w:pPr>
      <w:pBdr>
        <w:top w:val="single" w:sz="4" w:space="0" w:color="auto"/>
        <w:left w:val="single" w:sz="4" w:space="0" w:color="auto"/>
        <w:bottom w:val="single" w:sz="4" w:space="0" w:color="auto"/>
        <w:right w:val="single" w:sz="4" w:space="0" w:color="auto"/>
      </w:pBdr>
      <w:spacing w:before="100" w:beforeAutospacing="1" w:after="100" w:afterAutospacing="1"/>
      <w:ind w:left="0" w:firstLine="0"/>
      <w:textAlignment w:val="center"/>
    </w:pPr>
    <w:rPr>
      <w:rFonts w:ascii="Times New Roman" w:eastAsia="Times New Roman" w:hAnsi="Times New Roman"/>
      <w:sz w:val="24"/>
      <w:szCs w:val="24"/>
      <w:lang w:eastAsia="en-GB"/>
    </w:rPr>
  </w:style>
  <w:style w:type="paragraph" w:customStyle="1" w:styleId="xl76">
    <w:name w:val="xl76"/>
    <w:basedOn w:val="Normal"/>
    <w:rsid w:val="006D0F9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0" w:firstLine="0"/>
    </w:pPr>
    <w:rPr>
      <w:rFonts w:ascii="Times New Roman" w:eastAsia="Times New Roman" w:hAnsi="Times New Roman"/>
      <w:sz w:val="24"/>
      <w:szCs w:val="24"/>
      <w:lang w:eastAsia="en-GB"/>
    </w:rPr>
  </w:style>
  <w:style w:type="paragraph" w:customStyle="1" w:styleId="xl77">
    <w:name w:val="xl77"/>
    <w:basedOn w:val="Normal"/>
    <w:rsid w:val="006D0F96"/>
    <w:pPr>
      <w:pBdr>
        <w:top w:val="single" w:sz="4" w:space="0" w:color="auto"/>
        <w:left w:val="single" w:sz="4" w:space="0" w:color="auto"/>
        <w:bottom w:val="single" w:sz="4" w:space="0" w:color="auto"/>
        <w:right w:val="single" w:sz="4" w:space="0" w:color="auto"/>
      </w:pBdr>
      <w:spacing w:before="100" w:beforeAutospacing="1" w:after="100" w:afterAutospacing="1"/>
      <w:ind w:left="0" w:firstLine="0"/>
    </w:pPr>
    <w:rPr>
      <w:rFonts w:ascii="Times New Roman" w:eastAsia="Times New Roman" w:hAnsi="Times New Roman"/>
      <w:sz w:val="24"/>
      <w:szCs w:val="24"/>
      <w:lang w:eastAsia="en-GB"/>
    </w:rPr>
  </w:style>
  <w:style w:type="paragraph" w:customStyle="1" w:styleId="xl78">
    <w:name w:val="xl78"/>
    <w:basedOn w:val="Normal"/>
    <w:rsid w:val="006D0F96"/>
    <w:pPr>
      <w:pBdr>
        <w:top w:val="single" w:sz="4" w:space="0" w:color="auto"/>
        <w:left w:val="single" w:sz="4" w:space="0" w:color="auto"/>
        <w:bottom w:val="single" w:sz="4" w:space="0" w:color="auto"/>
        <w:right w:val="single" w:sz="4" w:space="0" w:color="auto"/>
      </w:pBdr>
      <w:spacing w:before="100" w:beforeAutospacing="1" w:after="100" w:afterAutospacing="1"/>
      <w:ind w:left="0" w:firstLine="0"/>
    </w:pPr>
    <w:rPr>
      <w:rFonts w:ascii="Times New Roman" w:eastAsia="Times New Roman" w:hAnsi="Times New Roman"/>
      <w:sz w:val="24"/>
      <w:szCs w:val="24"/>
      <w:lang w:eastAsia="en-GB"/>
    </w:rPr>
  </w:style>
  <w:style w:type="paragraph" w:customStyle="1" w:styleId="xl79">
    <w:name w:val="xl79"/>
    <w:basedOn w:val="Normal"/>
    <w:rsid w:val="006D0F9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left="0" w:firstLine="0"/>
      <w:jc w:val="center"/>
      <w:textAlignment w:val="top"/>
    </w:pPr>
    <w:rPr>
      <w:rFonts w:eastAsia="Times New Roman"/>
      <w:b/>
      <w:bCs/>
      <w:sz w:val="24"/>
      <w:szCs w:val="24"/>
      <w:lang w:eastAsia="en-GB"/>
    </w:rPr>
  </w:style>
  <w:style w:type="paragraph" w:customStyle="1" w:styleId="xl80">
    <w:name w:val="xl80"/>
    <w:basedOn w:val="Normal"/>
    <w:rsid w:val="006D0F9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left="0" w:firstLine="0"/>
      <w:jc w:val="center"/>
      <w:textAlignment w:val="top"/>
    </w:pPr>
    <w:rPr>
      <w:rFonts w:eastAsia="Times New Roman"/>
      <w:b/>
      <w:bCs/>
      <w:sz w:val="24"/>
      <w:szCs w:val="24"/>
      <w:lang w:eastAsia="en-GB"/>
    </w:rPr>
  </w:style>
  <w:style w:type="paragraph" w:customStyle="1" w:styleId="xl81">
    <w:name w:val="xl81"/>
    <w:basedOn w:val="Normal"/>
    <w:rsid w:val="006D0F9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left="0" w:firstLine="0"/>
    </w:pPr>
    <w:rPr>
      <w:rFonts w:ascii="Times New Roman" w:eastAsia="Times New Roman" w:hAnsi="Times New Roman"/>
      <w:b/>
      <w:bCs/>
      <w:sz w:val="24"/>
      <w:szCs w:val="24"/>
      <w:lang w:eastAsia="en-GB"/>
    </w:rPr>
  </w:style>
  <w:style w:type="paragraph" w:customStyle="1" w:styleId="xl82">
    <w:name w:val="xl82"/>
    <w:basedOn w:val="Normal"/>
    <w:rsid w:val="006D0F9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left="0" w:firstLine="0"/>
    </w:pPr>
    <w:rPr>
      <w:rFonts w:ascii="Times New Roman" w:eastAsia="Times New Roman" w:hAnsi="Times New Roman"/>
      <w:sz w:val="24"/>
      <w:szCs w:val="24"/>
      <w:lang w:eastAsia="en-GB"/>
    </w:rPr>
  </w:style>
  <w:style w:type="paragraph" w:customStyle="1" w:styleId="xl83">
    <w:name w:val="xl83"/>
    <w:basedOn w:val="Normal"/>
    <w:rsid w:val="006D0F9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left="0" w:firstLine="0"/>
    </w:pPr>
    <w:rPr>
      <w:rFonts w:ascii="Times New Roman" w:eastAsia="Times New Roman" w:hAnsi="Times New Roman"/>
      <w:sz w:val="24"/>
      <w:szCs w:val="24"/>
      <w:lang w:eastAsia="en-GB"/>
    </w:rPr>
  </w:style>
  <w:style w:type="paragraph" w:customStyle="1" w:styleId="xl84">
    <w:name w:val="xl84"/>
    <w:basedOn w:val="Normal"/>
    <w:rsid w:val="006D0F9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left="0" w:firstLine="0"/>
    </w:pPr>
    <w:rPr>
      <w:rFonts w:ascii="Times New Roman" w:eastAsia="Times New Roman" w:hAnsi="Times New Roman"/>
      <w:b/>
      <w:bCs/>
      <w:sz w:val="24"/>
      <w:szCs w:val="24"/>
      <w:lang w:eastAsia="en-GB"/>
    </w:rPr>
  </w:style>
  <w:style w:type="paragraph" w:customStyle="1" w:styleId="xl85">
    <w:name w:val="xl85"/>
    <w:basedOn w:val="Normal"/>
    <w:rsid w:val="006D0F9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left="0" w:firstLine="0"/>
    </w:pPr>
    <w:rPr>
      <w:rFonts w:ascii="Times New Roman" w:eastAsia="Times New Roman" w:hAnsi="Times New Roman"/>
      <w:sz w:val="24"/>
      <w:szCs w:val="24"/>
      <w:lang w:eastAsia="en-GB"/>
    </w:rPr>
  </w:style>
  <w:style w:type="paragraph" w:customStyle="1" w:styleId="xl86">
    <w:name w:val="xl86"/>
    <w:basedOn w:val="Normal"/>
    <w:rsid w:val="006D0F9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ind w:left="0" w:firstLine="0"/>
    </w:pPr>
    <w:rPr>
      <w:rFonts w:ascii="Times New Roman" w:eastAsia="Times New Roman" w:hAnsi="Times New Roman"/>
      <w:b/>
      <w:bCs/>
      <w:sz w:val="24"/>
      <w:szCs w:val="24"/>
      <w:lang w:eastAsia="en-GB"/>
    </w:rPr>
  </w:style>
  <w:style w:type="paragraph" w:customStyle="1" w:styleId="xl87">
    <w:name w:val="xl87"/>
    <w:basedOn w:val="Normal"/>
    <w:rsid w:val="006D0F9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ind w:left="0" w:firstLine="0"/>
    </w:pPr>
    <w:rPr>
      <w:rFonts w:ascii="Times New Roman" w:eastAsia="Times New Roman" w:hAnsi="Times New Roman"/>
      <w:sz w:val="24"/>
      <w:szCs w:val="24"/>
      <w:lang w:eastAsia="en-GB"/>
    </w:rPr>
  </w:style>
  <w:style w:type="paragraph" w:customStyle="1" w:styleId="xl88">
    <w:name w:val="xl88"/>
    <w:basedOn w:val="Normal"/>
    <w:rsid w:val="006D0F9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ind w:left="0" w:firstLine="0"/>
    </w:pPr>
    <w:rPr>
      <w:rFonts w:ascii="Times New Roman" w:eastAsia="Times New Roman" w:hAnsi="Times New Roman"/>
      <w:b/>
      <w:bCs/>
      <w:sz w:val="24"/>
      <w:szCs w:val="24"/>
      <w:lang w:eastAsia="en-GB"/>
    </w:rPr>
  </w:style>
  <w:style w:type="paragraph" w:customStyle="1" w:styleId="xl89">
    <w:name w:val="xl89"/>
    <w:basedOn w:val="Normal"/>
    <w:rsid w:val="006D0F9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ind w:left="0" w:firstLine="0"/>
    </w:pPr>
    <w:rPr>
      <w:rFonts w:ascii="Times New Roman" w:eastAsia="Times New Roman" w:hAnsi="Times New Roman"/>
      <w:b/>
      <w:bCs/>
      <w:sz w:val="24"/>
      <w:szCs w:val="24"/>
      <w:lang w:eastAsia="en-GB"/>
    </w:rPr>
  </w:style>
  <w:style w:type="paragraph" w:customStyle="1" w:styleId="xl90">
    <w:name w:val="xl90"/>
    <w:basedOn w:val="Normal"/>
    <w:rsid w:val="006D0F9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ind w:left="0" w:firstLine="0"/>
    </w:pPr>
    <w:rPr>
      <w:rFonts w:ascii="Times New Roman" w:eastAsia="Times New Roman" w:hAnsi="Times New Roman"/>
      <w:b/>
      <w:bCs/>
      <w:sz w:val="24"/>
      <w:szCs w:val="24"/>
      <w:lang w:eastAsia="en-GB"/>
    </w:rPr>
  </w:style>
  <w:style w:type="character" w:styleId="Strong">
    <w:name w:val="Strong"/>
    <w:basedOn w:val="DefaultParagraphFont"/>
    <w:qFormat/>
    <w:rsid w:val="002D300B"/>
    <w:rPr>
      <w:b/>
      <w:bCs/>
    </w:rPr>
  </w:style>
  <w:style w:type="paragraph" w:styleId="BodyText">
    <w:name w:val="Body Text"/>
    <w:basedOn w:val="Normal"/>
    <w:link w:val="BodyTextChar"/>
    <w:uiPriority w:val="1"/>
    <w:qFormat/>
    <w:rsid w:val="00CE1F5D"/>
    <w:pPr>
      <w:widowControl w:val="0"/>
      <w:ind w:left="548" w:firstLine="0"/>
    </w:pPr>
    <w:rPr>
      <w:rFonts w:ascii="Arial" w:eastAsia="Arial" w:hAnsi="Arial" w:cstheme="minorBidi"/>
      <w:lang w:val="en-US"/>
    </w:rPr>
  </w:style>
  <w:style w:type="character" w:customStyle="1" w:styleId="BodyTextChar">
    <w:name w:val="Body Text Char"/>
    <w:basedOn w:val="DefaultParagraphFont"/>
    <w:link w:val="BodyText"/>
    <w:uiPriority w:val="1"/>
    <w:rsid w:val="00CE1F5D"/>
    <w:rPr>
      <w:rFonts w:ascii="Arial" w:eastAsia="Arial" w:hAnsi="Arial"/>
      <w:lang w:val="en-US"/>
    </w:rPr>
  </w:style>
  <w:style w:type="paragraph" w:customStyle="1" w:styleId="xl66">
    <w:name w:val="xl66"/>
    <w:basedOn w:val="Normal"/>
    <w:rsid w:val="00CE1F5D"/>
    <w:pPr>
      <w:spacing w:before="100" w:beforeAutospacing="1" w:after="100" w:afterAutospacing="1"/>
      <w:ind w:left="0" w:firstLine="0"/>
      <w:jc w:val="center"/>
      <w:textAlignment w:val="top"/>
    </w:pPr>
    <w:rPr>
      <w:rFonts w:ascii="Times New Roman" w:eastAsia="Times New Roman" w:hAnsi="Times New Roman"/>
      <w:sz w:val="24"/>
      <w:szCs w:val="24"/>
      <w:lang w:eastAsia="en-GB"/>
    </w:rPr>
  </w:style>
  <w:style w:type="paragraph" w:customStyle="1" w:styleId="xl91">
    <w:name w:val="xl91"/>
    <w:basedOn w:val="Normal"/>
    <w:rsid w:val="00CE1F5D"/>
    <w:pPr>
      <w:pBdr>
        <w:top w:val="double" w:sz="6" w:space="0" w:color="000000"/>
        <w:left w:val="double" w:sz="6" w:space="0" w:color="000000"/>
        <w:bottom w:val="double" w:sz="6" w:space="0" w:color="000000"/>
        <w:right w:val="double" w:sz="6" w:space="0" w:color="000000"/>
      </w:pBdr>
      <w:spacing w:before="100" w:beforeAutospacing="1" w:after="100" w:afterAutospacing="1"/>
      <w:ind w:left="0" w:firstLine="0"/>
      <w:jc w:val="right"/>
    </w:pPr>
    <w:rPr>
      <w:rFonts w:ascii="Times New Roman" w:eastAsia="Times New Roman" w:hAnsi="Times New Roman"/>
      <w:sz w:val="24"/>
      <w:szCs w:val="24"/>
      <w:lang w:eastAsia="en-GB"/>
    </w:rPr>
  </w:style>
  <w:style w:type="paragraph" w:customStyle="1" w:styleId="xl92">
    <w:name w:val="xl92"/>
    <w:basedOn w:val="Normal"/>
    <w:rsid w:val="00CE1F5D"/>
    <w:pPr>
      <w:pBdr>
        <w:top w:val="double" w:sz="6" w:space="0" w:color="000000"/>
        <w:left w:val="double" w:sz="6" w:space="0" w:color="000000"/>
        <w:bottom w:val="double" w:sz="6" w:space="0" w:color="000000"/>
        <w:right w:val="single" w:sz="12" w:space="0" w:color="000000"/>
      </w:pBdr>
      <w:spacing w:before="100" w:beforeAutospacing="1" w:after="100" w:afterAutospacing="1"/>
      <w:ind w:left="0" w:firstLine="0"/>
      <w:jc w:val="right"/>
    </w:pPr>
    <w:rPr>
      <w:rFonts w:ascii="Times New Roman" w:eastAsia="Times New Roman" w:hAnsi="Times New Roman"/>
      <w:sz w:val="24"/>
      <w:szCs w:val="24"/>
      <w:lang w:eastAsia="en-GB"/>
    </w:rPr>
  </w:style>
  <w:style w:type="paragraph" w:customStyle="1" w:styleId="xl93">
    <w:name w:val="xl93"/>
    <w:basedOn w:val="Normal"/>
    <w:rsid w:val="00CE1F5D"/>
    <w:pPr>
      <w:pBdr>
        <w:top w:val="single" w:sz="4" w:space="0" w:color="auto"/>
        <w:bottom w:val="single" w:sz="4" w:space="0" w:color="auto"/>
      </w:pBdr>
      <w:spacing w:before="100" w:beforeAutospacing="1" w:after="100" w:afterAutospacing="1"/>
      <w:ind w:left="0" w:firstLine="0"/>
      <w:jc w:val="right"/>
    </w:pPr>
    <w:rPr>
      <w:rFonts w:ascii="Times New Roman" w:eastAsia="Times New Roman" w:hAnsi="Times New Roman"/>
      <w:sz w:val="24"/>
      <w:szCs w:val="24"/>
      <w:lang w:eastAsia="en-GB"/>
    </w:rPr>
  </w:style>
  <w:style w:type="paragraph" w:customStyle="1" w:styleId="xl94">
    <w:name w:val="xl94"/>
    <w:basedOn w:val="Normal"/>
    <w:rsid w:val="00CE1F5D"/>
    <w:pPr>
      <w:pBdr>
        <w:top w:val="double" w:sz="6" w:space="0" w:color="000000"/>
        <w:left w:val="double" w:sz="6" w:space="0" w:color="000000"/>
        <w:bottom w:val="double" w:sz="6" w:space="0" w:color="000000"/>
        <w:right w:val="single" w:sz="8" w:space="0" w:color="auto"/>
      </w:pBdr>
      <w:spacing w:before="100" w:beforeAutospacing="1" w:after="100" w:afterAutospacing="1"/>
      <w:ind w:left="0" w:firstLine="0"/>
      <w:jc w:val="right"/>
    </w:pPr>
    <w:rPr>
      <w:rFonts w:ascii="Times New Roman" w:eastAsia="Times New Roman" w:hAnsi="Times New Roman"/>
      <w:sz w:val="24"/>
      <w:szCs w:val="24"/>
      <w:lang w:eastAsia="en-GB"/>
    </w:rPr>
  </w:style>
  <w:style w:type="paragraph" w:customStyle="1" w:styleId="xl95">
    <w:name w:val="xl95"/>
    <w:basedOn w:val="Normal"/>
    <w:rsid w:val="00CE1F5D"/>
    <w:pPr>
      <w:pBdr>
        <w:top w:val="double" w:sz="6" w:space="0" w:color="000000"/>
        <w:left w:val="double" w:sz="6" w:space="0" w:color="000000"/>
        <w:bottom w:val="double" w:sz="6" w:space="0" w:color="000000"/>
        <w:right w:val="double" w:sz="6" w:space="0" w:color="000000"/>
      </w:pBdr>
      <w:spacing w:before="100" w:beforeAutospacing="1" w:after="100" w:afterAutospacing="1"/>
      <w:ind w:left="0" w:firstLine="0"/>
      <w:jc w:val="right"/>
    </w:pPr>
    <w:rPr>
      <w:rFonts w:ascii="Times New Roman" w:eastAsia="Times New Roman" w:hAnsi="Times New Roman"/>
      <w:sz w:val="24"/>
      <w:szCs w:val="24"/>
      <w:lang w:eastAsia="en-GB"/>
    </w:rPr>
  </w:style>
  <w:style w:type="paragraph" w:customStyle="1" w:styleId="xl96">
    <w:name w:val="xl96"/>
    <w:basedOn w:val="Normal"/>
    <w:rsid w:val="00CE1F5D"/>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left="0" w:firstLine="0"/>
      <w:jc w:val="center"/>
    </w:pPr>
    <w:rPr>
      <w:rFonts w:eastAsia="Times New Roman"/>
      <w:b/>
      <w:bCs/>
      <w:sz w:val="26"/>
      <w:szCs w:val="26"/>
      <w:lang w:eastAsia="en-GB"/>
    </w:rPr>
  </w:style>
  <w:style w:type="paragraph" w:customStyle="1" w:styleId="xl97">
    <w:name w:val="xl97"/>
    <w:basedOn w:val="Normal"/>
    <w:rsid w:val="00CE1F5D"/>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left="0" w:firstLine="0"/>
      <w:jc w:val="right"/>
    </w:pPr>
    <w:rPr>
      <w:rFonts w:ascii="Times New Roman" w:eastAsia="Times New Roman" w:hAnsi="Times New Roman"/>
      <w:b/>
      <w:bCs/>
      <w:sz w:val="24"/>
      <w:szCs w:val="24"/>
      <w:lang w:eastAsia="en-GB"/>
    </w:rPr>
  </w:style>
  <w:style w:type="paragraph" w:customStyle="1" w:styleId="xl98">
    <w:name w:val="xl98"/>
    <w:basedOn w:val="Normal"/>
    <w:rsid w:val="00CE1F5D"/>
    <w:pPr>
      <w:pBdr>
        <w:top w:val="single" w:sz="8" w:space="0" w:color="auto"/>
        <w:bottom w:val="single" w:sz="4" w:space="0" w:color="auto"/>
      </w:pBdr>
      <w:shd w:val="clear" w:color="000000" w:fill="8DB4E2"/>
      <w:spacing w:before="100" w:beforeAutospacing="1" w:after="100" w:afterAutospacing="1"/>
      <w:ind w:left="0" w:firstLine="0"/>
      <w:jc w:val="center"/>
      <w:textAlignment w:val="top"/>
    </w:pPr>
    <w:rPr>
      <w:rFonts w:ascii="Times New Roman" w:eastAsia="Times New Roman" w:hAnsi="Times New Roman"/>
      <w:b/>
      <w:bCs/>
      <w:sz w:val="24"/>
      <w:szCs w:val="24"/>
      <w:lang w:eastAsia="en-GB"/>
    </w:rPr>
  </w:style>
  <w:style w:type="paragraph" w:customStyle="1" w:styleId="xl99">
    <w:name w:val="xl99"/>
    <w:basedOn w:val="Normal"/>
    <w:rsid w:val="00CE1F5D"/>
    <w:pPr>
      <w:pBdr>
        <w:top w:val="single" w:sz="8" w:space="0" w:color="auto"/>
        <w:left w:val="single" w:sz="8" w:space="0" w:color="auto"/>
        <w:right w:val="single" w:sz="4" w:space="0" w:color="auto"/>
      </w:pBdr>
      <w:shd w:val="clear" w:color="000000" w:fill="8DB4E2"/>
      <w:spacing w:before="100" w:beforeAutospacing="1" w:after="100" w:afterAutospacing="1"/>
      <w:ind w:left="0" w:firstLine="0"/>
      <w:jc w:val="center"/>
    </w:pPr>
    <w:rPr>
      <w:rFonts w:ascii="Times New Roman" w:eastAsia="Times New Roman" w:hAnsi="Times New Roman"/>
      <w:b/>
      <w:bCs/>
      <w:sz w:val="26"/>
      <w:szCs w:val="26"/>
      <w:lang w:eastAsia="en-GB"/>
    </w:rPr>
  </w:style>
  <w:style w:type="paragraph" w:customStyle="1" w:styleId="xl100">
    <w:name w:val="xl100"/>
    <w:basedOn w:val="Normal"/>
    <w:rsid w:val="00CE1F5D"/>
    <w:pPr>
      <w:pBdr>
        <w:left w:val="single" w:sz="8" w:space="0" w:color="auto"/>
        <w:bottom w:val="double" w:sz="6" w:space="0" w:color="000000"/>
        <w:right w:val="single" w:sz="4" w:space="0" w:color="auto"/>
      </w:pBdr>
      <w:shd w:val="clear" w:color="000000" w:fill="8DB4E2"/>
      <w:spacing w:before="100" w:beforeAutospacing="1" w:after="100" w:afterAutospacing="1"/>
      <w:ind w:left="0" w:firstLine="0"/>
      <w:jc w:val="center"/>
    </w:pPr>
    <w:rPr>
      <w:rFonts w:ascii="Times New Roman" w:eastAsia="Times New Roman" w:hAnsi="Times New Roman"/>
      <w:b/>
      <w:bCs/>
      <w:sz w:val="26"/>
      <w:szCs w:val="26"/>
      <w:lang w:eastAsia="en-GB"/>
    </w:rPr>
  </w:style>
  <w:style w:type="paragraph" w:customStyle="1" w:styleId="xl101">
    <w:name w:val="xl101"/>
    <w:basedOn w:val="Normal"/>
    <w:rsid w:val="00CE1F5D"/>
    <w:pPr>
      <w:pBdr>
        <w:top w:val="single" w:sz="8" w:space="0" w:color="auto"/>
        <w:left w:val="single" w:sz="4" w:space="0" w:color="auto"/>
        <w:bottom w:val="single" w:sz="4" w:space="0" w:color="auto"/>
      </w:pBdr>
      <w:shd w:val="clear" w:color="000000" w:fill="8DB4E2"/>
      <w:spacing w:before="100" w:beforeAutospacing="1" w:after="100" w:afterAutospacing="1"/>
      <w:ind w:left="0" w:firstLine="0"/>
      <w:jc w:val="center"/>
      <w:textAlignment w:val="top"/>
    </w:pPr>
    <w:rPr>
      <w:rFonts w:ascii="Times New Roman" w:eastAsia="Times New Roman" w:hAnsi="Times New Roman"/>
      <w:b/>
      <w:bCs/>
      <w:sz w:val="24"/>
      <w:szCs w:val="24"/>
      <w:lang w:eastAsia="en-GB"/>
    </w:rPr>
  </w:style>
  <w:style w:type="paragraph" w:customStyle="1" w:styleId="xl102">
    <w:name w:val="xl102"/>
    <w:basedOn w:val="Normal"/>
    <w:rsid w:val="00CE1F5D"/>
    <w:pPr>
      <w:pBdr>
        <w:top w:val="single" w:sz="8" w:space="0" w:color="auto"/>
        <w:bottom w:val="single" w:sz="4" w:space="0" w:color="auto"/>
        <w:right w:val="single" w:sz="8" w:space="0" w:color="auto"/>
      </w:pBdr>
      <w:shd w:val="clear" w:color="000000" w:fill="8DB4E2"/>
      <w:spacing w:before="100" w:beforeAutospacing="1" w:after="100" w:afterAutospacing="1"/>
      <w:ind w:left="0" w:firstLine="0"/>
      <w:jc w:val="center"/>
      <w:textAlignment w:val="top"/>
    </w:pPr>
    <w:rPr>
      <w:rFonts w:ascii="Times New Roman" w:eastAsia="Times New Roman" w:hAnsi="Times New Roman"/>
      <w:b/>
      <w:bCs/>
      <w:sz w:val="24"/>
      <w:szCs w:val="24"/>
      <w:lang w:eastAsia="en-GB"/>
    </w:rPr>
  </w:style>
  <w:style w:type="paragraph" w:customStyle="1" w:styleId="xl103">
    <w:name w:val="xl103"/>
    <w:basedOn w:val="Normal"/>
    <w:rsid w:val="00CE1F5D"/>
    <w:pPr>
      <w:pBdr>
        <w:top w:val="single" w:sz="8" w:space="0" w:color="auto"/>
        <w:left w:val="single" w:sz="8" w:space="0" w:color="auto"/>
        <w:bottom w:val="single" w:sz="4" w:space="0" w:color="auto"/>
      </w:pBdr>
      <w:shd w:val="clear" w:color="000000" w:fill="8DB4E2"/>
      <w:spacing w:before="100" w:beforeAutospacing="1" w:after="100" w:afterAutospacing="1"/>
      <w:ind w:left="0" w:firstLine="0"/>
      <w:jc w:val="center"/>
      <w:textAlignment w:val="top"/>
    </w:pPr>
    <w:rPr>
      <w:rFonts w:ascii="Times New Roman" w:eastAsia="Times New Roman" w:hAnsi="Times New Roman"/>
      <w:b/>
      <w:bCs/>
      <w:sz w:val="24"/>
      <w:szCs w:val="24"/>
      <w:lang w:eastAsia="en-GB"/>
    </w:rPr>
  </w:style>
  <w:style w:type="paragraph" w:customStyle="1" w:styleId="xl104">
    <w:name w:val="xl104"/>
    <w:basedOn w:val="Normal"/>
    <w:rsid w:val="00CE1F5D"/>
    <w:pPr>
      <w:pBdr>
        <w:top w:val="single" w:sz="8" w:space="0" w:color="auto"/>
        <w:left w:val="single" w:sz="12" w:space="0" w:color="000000"/>
        <w:bottom w:val="double" w:sz="6" w:space="0" w:color="000000"/>
      </w:pBdr>
      <w:shd w:val="clear" w:color="000000" w:fill="8DB4E2"/>
      <w:spacing w:before="100" w:beforeAutospacing="1" w:after="100" w:afterAutospacing="1"/>
      <w:ind w:left="0" w:firstLine="0"/>
      <w:jc w:val="center"/>
      <w:textAlignment w:val="top"/>
    </w:pPr>
    <w:rPr>
      <w:rFonts w:ascii="Times New Roman" w:eastAsia="Times New Roman" w:hAnsi="Times New Roman"/>
      <w:b/>
      <w:bCs/>
      <w:sz w:val="24"/>
      <w:szCs w:val="24"/>
      <w:lang w:eastAsia="en-GB"/>
    </w:rPr>
  </w:style>
  <w:style w:type="paragraph" w:customStyle="1" w:styleId="xl105">
    <w:name w:val="xl105"/>
    <w:basedOn w:val="Normal"/>
    <w:rsid w:val="00CE1F5D"/>
    <w:pPr>
      <w:pBdr>
        <w:top w:val="single" w:sz="8" w:space="0" w:color="auto"/>
        <w:bottom w:val="double" w:sz="6" w:space="0" w:color="000000"/>
      </w:pBdr>
      <w:shd w:val="clear" w:color="000000" w:fill="8DB4E2"/>
      <w:spacing w:before="100" w:beforeAutospacing="1" w:after="100" w:afterAutospacing="1"/>
      <w:ind w:left="0" w:firstLine="0"/>
      <w:jc w:val="center"/>
      <w:textAlignment w:val="top"/>
    </w:pPr>
    <w:rPr>
      <w:rFonts w:ascii="Times New Roman" w:eastAsia="Times New Roman" w:hAnsi="Times New Roman"/>
      <w:b/>
      <w:bCs/>
      <w:sz w:val="24"/>
      <w:szCs w:val="24"/>
      <w:lang w:eastAsia="en-GB"/>
    </w:rPr>
  </w:style>
  <w:style w:type="paragraph" w:customStyle="1" w:styleId="xl106">
    <w:name w:val="xl106"/>
    <w:basedOn w:val="Normal"/>
    <w:rsid w:val="00CE1F5D"/>
    <w:pPr>
      <w:pBdr>
        <w:top w:val="single" w:sz="8" w:space="0" w:color="auto"/>
        <w:bottom w:val="double" w:sz="6" w:space="0" w:color="000000"/>
        <w:right w:val="single" w:sz="8" w:space="0" w:color="auto"/>
      </w:pBdr>
      <w:shd w:val="clear" w:color="000000" w:fill="8DB4E2"/>
      <w:spacing w:before="100" w:beforeAutospacing="1" w:after="100" w:afterAutospacing="1"/>
      <w:ind w:left="0" w:firstLine="0"/>
      <w:jc w:val="center"/>
      <w:textAlignment w:val="top"/>
    </w:pPr>
    <w:rPr>
      <w:rFonts w:ascii="Times New Roman" w:eastAsia="Times New Roman" w:hAnsi="Times New Roman"/>
      <w:b/>
      <w:bCs/>
      <w:sz w:val="24"/>
      <w:szCs w:val="24"/>
      <w:lang w:eastAsia="en-GB"/>
    </w:rPr>
  </w:style>
  <w:style w:type="paragraph" w:customStyle="1" w:styleId="xl107">
    <w:name w:val="xl107"/>
    <w:basedOn w:val="Normal"/>
    <w:rsid w:val="00CE1F5D"/>
    <w:pPr>
      <w:spacing w:before="100" w:beforeAutospacing="1" w:after="100" w:afterAutospacing="1"/>
      <w:ind w:left="0" w:firstLine="0"/>
    </w:pPr>
    <w:rPr>
      <w:rFonts w:ascii="Times New Roman" w:eastAsia="Times New Roman" w:hAnsi="Times New Roman"/>
      <w:b/>
      <w:bCs/>
      <w:sz w:val="26"/>
      <w:szCs w:val="26"/>
      <w:lang w:eastAsia="en-GB"/>
    </w:rPr>
  </w:style>
  <w:style w:type="paragraph" w:customStyle="1" w:styleId="xl108">
    <w:name w:val="xl108"/>
    <w:basedOn w:val="Normal"/>
    <w:rsid w:val="00CE1F5D"/>
    <w:pPr>
      <w:pBdr>
        <w:top w:val="single" w:sz="8" w:space="0" w:color="auto"/>
        <w:bottom w:val="double" w:sz="6" w:space="0" w:color="000000"/>
      </w:pBdr>
      <w:shd w:val="clear" w:color="000000" w:fill="8DB4E2"/>
      <w:spacing w:before="100" w:beforeAutospacing="1" w:after="100" w:afterAutospacing="1"/>
      <w:ind w:left="0" w:firstLine="0"/>
      <w:jc w:val="center"/>
      <w:textAlignment w:val="top"/>
    </w:pPr>
    <w:rPr>
      <w:rFonts w:ascii="Times New Roman" w:eastAsia="Times New Roman" w:hAnsi="Times New Roman"/>
      <w:b/>
      <w:bCs/>
      <w:sz w:val="24"/>
      <w:szCs w:val="24"/>
      <w:lang w:eastAsia="en-GB"/>
    </w:rPr>
  </w:style>
  <w:style w:type="paragraph" w:customStyle="1" w:styleId="xl109">
    <w:name w:val="xl109"/>
    <w:basedOn w:val="Normal"/>
    <w:rsid w:val="00CE1F5D"/>
    <w:pPr>
      <w:pBdr>
        <w:top w:val="single" w:sz="8" w:space="0" w:color="auto"/>
        <w:bottom w:val="double" w:sz="6" w:space="0" w:color="000000"/>
        <w:right w:val="single" w:sz="8" w:space="0" w:color="auto"/>
      </w:pBdr>
      <w:shd w:val="clear" w:color="000000" w:fill="8DB4E2"/>
      <w:spacing w:before="100" w:beforeAutospacing="1" w:after="100" w:afterAutospacing="1"/>
      <w:ind w:left="0" w:firstLine="0"/>
      <w:jc w:val="center"/>
      <w:textAlignment w:val="top"/>
    </w:pPr>
    <w:rPr>
      <w:rFonts w:ascii="Times New Roman" w:eastAsia="Times New Roman" w:hAnsi="Times New Roman"/>
      <w:b/>
      <w:bCs/>
      <w:sz w:val="24"/>
      <w:szCs w:val="24"/>
      <w:lang w:eastAsia="en-GB"/>
    </w:rPr>
  </w:style>
  <w:style w:type="table" w:styleId="GridTable4-Accent1">
    <w:name w:val="Grid Table 4 Accent 1"/>
    <w:basedOn w:val="TableNormal"/>
    <w:uiPriority w:val="49"/>
    <w:rsid w:val="004B4DF1"/>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UnresolvedMention1">
    <w:name w:val="Unresolved Mention1"/>
    <w:basedOn w:val="DefaultParagraphFont"/>
    <w:uiPriority w:val="99"/>
    <w:semiHidden/>
    <w:unhideWhenUsed/>
    <w:rsid w:val="00CA6820"/>
    <w:rPr>
      <w:color w:val="605E5C"/>
      <w:shd w:val="clear" w:color="auto" w:fill="E1DFDD"/>
    </w:rPr>
  </w:style>
  <w:style w:type="character" w:customStyle="1" w:styleId="Heading1Char">
    <w:name w:val="Heading 1 Char"/>
    <w:basedOn w:val="DefaultParagraphFont"/>
    <w:link w:val="Heading1"/>
    <w:uiPriority w:val="9"/>
    <w:rsid w:val="005C1B09"/>
    <w:rPr>
      <w:rFonts w:asciiTheme="majorHAnsi" w:eastAsiaTheme="majorEastAsia" w:hAnsiTheme="majorHAnsi" w:cstheme="majorBidi"/>
      <w:b/>
      <w:bCs/>
      <w:color w:val="365F91" w:themeColor="accent1" w:themeShade="BF"/>
      <w:sz w:val="28"/>
      <w:szCs w:val="28"/>
    </w:rPr>
  </w:style>
  <w:style w:type="paragraph" w:customStyle="1" w:styleId="Standard">
    <w:name w:val="Standard"/>
    <w:rsid w:val="005C1B09"/>
    <w:pPr>
      <w:widowControl w:val="0"/>
      <w:suppressAutoHyphens/>
      <w:autoSpaceDN w:val="0"/>
      <w:textAlignment w:val="baseline"/>
    </w:pPr>
    <w:rPr>
      <w:rFonts w:ascii="Times New Roman" w:eastAsia="Arial Unicode MS" w:hAnsi="Times New Roman" w:cs="Arial Unicode MS"/>
      <w:kern w:val="3"/>
      <w:sz w:val="24"/>
      <w:szCs w:val="24"/>
      <w:lang w:eastAsia="zh-CN" w:bidi="hi-IN"/>
    </w:rPr>
  </w:style>
  <w:style w:type="paragraph" w:customStyle="1" w:styleId="Listpara2">
    <w:name w:val="List para 2"/>
    <w:basedOn w:val="Normal"/>
    <w:qFormat/>
    <w:rsid w:val="005C1B09"/>
    <w:pPr>
      <w:numPr>
        <w:numId w:val="2"/>
      </w:numPr>
      <w:contextualSpacing/>
    </w:pPr>
    <w:rPr>
      <w:rFonts w:asciiTheme="majorHAnsi" w:hAnsiTheme="majorHAnsi"/>
      <w:bCs/>
    </w:rPr>
  </w:style>
  <w:style w:type="table" w:styleId="PlainTable1">
    <w:name w:val="Plain Table 1"/>
    <w:basedOn w:val="TableNormal"/>
    <w:uiPriority w:val="41"/>
    <w:rsid w:val="005C1B0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10">
    <w:name w:val="Unresolved Mention1"/>
    <w:basedOn w:val="DefaultParagraphFont"/>
    <w:uiPriority w:val="99"/>
    <w:semiHidden/>
    <w:unhideWhenUsed/>
    <w:rsid w:val="005C1B09"/>
    <w:rPr>
      <w:color w:val="605E5C"/>
      <w:shd w:val="clear" w:color="auto" w:fill="E1DFDD"/>
    </w:rPr>
  </w:style>
  <w:style w:type="paragraph" w:styleId="NormalWeb">
    <w:name w:val="Normal (Web)"/>
    <w:basedOn w:val="Normal"/>
    <w:uiPriority w:val="99"/>
    <w:unhideWhenUsed/>
    <w:rsid w:val="00B059A6"/>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565056">
      <w:bodyDiv w:val="1"/>
      <w:marLeft w:val="0"/>
      <w:marRight w:val="0"/>
      <w:marTop w:val="0"/>
      <w:marBottom w:val="0"/>
      <w:divBdr>
        <w:top w:val="none" w:sz="0" w:space="0" w:color="auto"/>
        <w:left w:val="none" w:sz="0" w:space="0" w:color="auto"/>
        <w:bottom w:val="none" w:sz="0" w:space="0" w:color="auto"/>
        <w:right w:val="none" w:sz="0" w:space="0" w:color="auto"/>
      </w:divBdr>
    </w:div>
    <w:div w:id="71204755">
      <w:bodyDiv w:val="1"/>
      <w:marLeft w:val="0"/>
      <w:marRight w:val="0"/>
      <w:marTop w:val="0"/>
      <w:marBottom w:val="0"/>
      <w:divBdr>
        <w:top w:val="none" w:sz="0" w:space="0" w:color="auto"/>
        <w:left w:val="none" w:sz="0" w:space="0" w:color="auto"/>
        <w:bottom w:val="none" w:sz="0" w:space="0" w:color="auto"/>
        <w:right w:val="none" w:sz="0" w:space="0" w:color="auto"/>
      </w:divBdr>
    </w:div>
    <w:div w:id="128716690">
      <w:bodyDiv w:val="1"/>
      <w:marLeft w:val="0"/>
      <w:marRight w:val="0"/>
      <w:marTop w:val="0"/>
      <w:marBottom w:val="0"/>
      <w:divBdr>
        <w:top w:val="none" w:sz="0" w:space="0" w:color="auto"/>
        <w:left w:val="none" w:sz="0" w:space="0" w:color="auto"/>
        <w:bottom w:val="none" w:sz="0" w:space="0" w:color="auto"/>
        <w:right w:val="none" w:sz="0" w:space="0" w:color="auto"/>
      </w:divBdr>
    </w:div>
    <w:div w:id="246619735">
      <w:bodyDiv w:val="1"/>
      <w:marLeft w:val="0"/>
      <w:marRight w:val="0"/>
      <w:marTop w:val="0"/>
      <w:marBottom w:val="0"/>
      <w:divBdr>
        <w:top w:val="none" w:sz="0" w:space="0" w:color="auto"/>
        <w:left w:val="none" w:sz="0" w:space="0" w:color="auto"/>
        <w:bottom w:val="none" w:sz="0" w:space="0" w:color="auto"/>
        <w:right w:val="none" w:sz="0" w:space="0" w:color="auto"/>
      </w:divBdr>
    </w:div>
    <w:div w:id="253512191">
      <w:bodyDiv w:val="1"/>
      <w:marLeft w:val="0"/>
      <w:marRight w:val="0"/>
      <w:marTop w:val="0"/>
      <w:marBottom w:val="0"/>
      <w:divBdr>
        <w:top w:val="none" w:sz="0" w:space="0" w:color="auto"/>
        <w:left w:val="none" w:sz="0" w:space="0" w:color="auto"/>
        <w:bottom w:val="none" w:sz="0" w:space="0" w:color="auto"/>
        <w:right w:val="none" w:sz="0" w:space="0" w:color="auto"/>
      </w:divBdr>
    </w:div>
    <w:div w:id="302196301">
      <w:bodyDiv w:val="1"/>
      <w:marLeft w:val="0"/>
      <w:marRight w:val="0"/>
      <w:marTop w:val="0"/>
      <w:marBottom w:val="0"/>
      <w:divBdr>
        <w:top w:val="none" w:sz="0" w:space="0" w:color="auto"/>
        <w:left w:val="none" w:sz="0" w:space="0" w:color="auto"/>
        <w:bottom w:val="none" w:sz="0" w:space="0" w:color="auto"/>
        <w:right w:val="none" w:sz="0" w:space="0" w:color="auto"/>
      </w:divBdr>
      <w:divsChild>
        <w:div w:id="403913936">
          <w:marLeft w:val="0"/>
          <w:marRight w:val="0"/>
          <w:marTop w:val="0"/>
          <w:marBottom w:val="0"/>
          <w:divBdr>
            <w:top w:val="none" w:sz="0" w:space="0" w:color="auto"/>
            <w:left w:val="none" w:sz="0" w:space="0" w:color="auto"/>
            <w:bottom w:val="none" w:sz="0" w:space="0" w:color="auto"/>
            <w:right w:val="none" w:sz="0" w:space="0" w:color="auto"/>
          </w:divBdr>
          <w:divsChild>
            <w:div w:id="1880362676">
              <w:marLeft w:val="0"/>
              <w:marRight w:val="0"/>
              <w:marTop w:val="0"/>
              <w:marBottom w:val="0"/>
              <w:divBdr>
                <w:top w:val="none" w:sz="0" w:space="0" w:color="auto"/>
                <w:left w:val="none" w:sz="0" w:space="0" w:color="auto"/>
                <w:bottom w:val="none" w:sz="0" w:space="0" w:color="auto"/>
                <w:right w:val="none" w:sz="0" w:space="0" w:color="auto"/>
              </w:divBdr>
              <w:divsChild>
                <w:div w:id="186674013">
                  <w:marLeft w:val="0"/>
                  <w:marRight w:val="0"/>
                  <w:marTop w:val="0"/>
                  <w:marBottom w:val="0"/>
                  <w:divBdr>
                    <w:top w:val="none" w:sz="0" w:space="0" w:color="auto"/>
                    <w:left w:val="none" w:sz="0" w:space="0" w:color="auto"/>
                    <w:bottom w:val="none" w:sz="0" w:space="0" w:color="auto"/>
                    <w:right w:val="none" w:sz="0" w:space="0" w:color="auto"/>
                  </w:divBdr>
                  <w:divsChild>
                    <w:div w:id="46566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9874250">
      <w:bodyDiv w:val="1"/>
      <w:marLeft w:val="0"/>
      <w:marRight w:val="0"/>
      <w:marTop w:val="0"/>
      <w:marBottom w:val="0"/>
      <w:divBdr>
        <w:top w:val="none" w:sz="0" w:space="0" w:color="auto"/>
        <w:left w:val="none" w:sz="0" w:space="0" w:color="auto"/>
        <w:bottom w:val="none" w:sz="0" w:space="0" w:color="auto"/>
        <w:right w:val="none" w:sz="0" w:space="0" w:color="auto"/>
      </w:divBdr>
      <w:divsChild>
        <w:div w:id="2024894536">
          <w:marLeft w:val="0"/>
          <w:marRight w:val="0"/>
          <w:marTop w:val="0"/>
          <w:marBottom w:val="0"/>
          <w:divBdr>
            <w:top w:val="none" w:sz="0" w:space="0" w:color="auto"/>
            <w:left w:val="none" w:sz="0" w:space="0" w:color="auto"/>
            <w:bottom w:val="none" w:sz="0" w:space="0" w:color="auto"/>
            <w:right w:val="none" w:sz="0" w:space="0" w:color="auto"/>
          </w:divBdr>
          <w:divsChild>
            <w:div w:id="434062290">
              <w:marLeft w:val="0"/>
              <w:marRight w:val="0"/>
              <w:marTop w:val="0"/>
              <w:marBottom w:val="0"/>
              <w:divBdr>
                <w:top w:val="none" w:sz="0" w:space="0" w:color="auto"/>
                <w:left w:val="none" w:sz="0" w:space="0" w:color="auto"/>
                <w:bottom w:val="none" w:sz="0" w:space="0" w:color="auto"/>
                <w:right w:val="none" w:sz="0" w:space="0" w:color="auto"/>
              </w:divBdr>
              <w:divsChild>
                <w:div w:id="46362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6005049">
      <w:bodyDiv w:val="1"/>
      <w:marLeft w:val="0"/>
      <w:marRight w:val="0"/>
      <w:marTop w:val="0"/>
      <w:marBottom w:val="0"/>
      <w:divBdr>
        <w:top w:val="none" w:sz="0" w:space="0" w:color="auto"/>
        <w:left w:val="none" w:sz="0" w:space="0" w:color="auto"/>
        <w:bottom w:val="none" w:sz="0" w:space="0" w:color="auto"/>
        <w:right w:val="none" w:sz="0" w:space="0" w:color="auto"/>
      </w:divBdr>
    </w:div>
    <w:div w:id="337004696">
      <w:bodyDiv w:val="1"/>
      <w:marLeft w:val="0"/>
      <w:marRight w:val="0"/>
      <w:marTop w:val="0"/>
      <w:marBottom w:val="0"/>
      <w:divBdr>
        <w:top w:val="none" w:sz="0" w:space="0" w:color="auto"/>
        <w:left w:val="none" w:sz="0" w:space="0" w:color="auto"/>
        <w:bottom w:val="none" w:sz="0" w:space="0" w:color="auto"/>
        <w:right w:val="none" w:sz="0" w:space="0" w:color="auto"/>
      </w:divBdr>
      <w:divsChild>
        <w:div w:id="2013871509">
          <w:marLeft w:val="0"/>
          <w:marRight w:val="0"/>
          <w:marTop w:val="0"/>
          <w:marBottom w:val="0"/>
          <w:divBdr>
            <w:top w:val="none" w:sz="0" w:space="0" w:color="auto"/>
            <w:left w:val="none" w:sz="0" w:space="0" w:color="auto"/>
            <w:bottom w:val="none" w:sz="0" w:space="0" w:color="auto"/>
            <w:right w:val="none" w:sz="0" w:space="0" w:color="auto"/>
          </w:divBdr>
          <w:divsChild>
            <w:div w:id="874076633">
              <w:marLeft w:val="0"/>
              <w:marRight w:val="0"/>
              <w:marTop w:val="0"/>
              <w:marBottom w:val="0"/>
              <w:divBdr>
                <w:top w:val="none" w:sz="0" w:space="0" w:color="auto"/>
                <w:left w:val="none" w:sz="0" w:space="0" w:color="auto"/>
                <w:bottom w:val="none" w:sz="0" w:space="0" w:color="auto"/>
                <w:right w:val="none" w:sz="0" w:space="0" w:color="auto"/>
              </w:divBdr>
              <w:divsChild>
                <w:div w:id="164372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126847">
      <w:bodyDiv w:val="1"/>
      <w:marLeft w:val="0"/>
      <w:marRight w:val="0"/>
      <w:marTop w:val="0"/>
      <w:marBottom w:val="0"/>
      <w:divBdr>
        <w:top w:val="none" w:sz="0" w:space="0" w:color="auto"/>
        <w:left w:val="none" w:sz="0" w:space="0" w:color="auto"/>
        <w:bottom w:val="none" w:sz="0" w:space="0" w:color="auto"/>
        <w:right w:val="none" w:sz="0" w:space="0" w:color="auto"/>
      </w:divBdr>
    </w:div>
    <w:div w:id="350684159">
      <w:bodyDiv w:val="1"/>
      <w:marLeft w:val="0"/>
      <w:marRight w:val="0"/>
      <w:marTop w:val="0"/>
      <w:marBottom w:val="0"/>
      <w:divBdr>
        <w:top w:val="none" w:sz="0" w:space="0" w:color="auto"/>
        <w:left w:val="none" w:sz="0" w:space="0" w:color="auto"/>
        <w:bottom w:val="none" w:sz="0" w:space="0" w:color="auto"/>
        <w:right w:val="none" w:sz="0" w:space="0" w:color="auto"/>
      </w:divBdr>
      <w:divsChild>
        <w:div w:id="1295990182">
          <w:marLeft w:val="0"/>
          <w:marRight w:val="0"/>
          <w:marTop w:val="0"/>
          <w:marBottom w:val="0"/>
          <w:divBdr>
            <w:top w:val="none" w:sz="0" w:space="0" w:color="auto"/>
            <w:left w:val="none" w:sz="0" w:space="0" w:color="auto"/>
            <w:bottom w:val="none" w:sz="0" w:space="0" w:color="auto"/>
            <w:right w:val="none" w:sz="0" w:space="0" w:color="auto"/>
          </w:divBdr>
          <w:divsChild>
            <w:div w:id="49229496">
              <w:marLeft w:val="0"/>
              <w:marRight w:val="0"/>
              <w:marTop w:val="0"/>
              <w:marBottom w:val="0"/>
              <w:divBdr>
                <w:top w:val="none" w:sz="0" w:space="0" w:color="auto"/>
                <w:left w:val="none" w:sz="0" w:space="0" w:color="auto"/>
                <w:bottom w:val="none" w:sz="0" w:space="0" w:color="auto"/>
                <w:right w:val="none" w:sz="0" w:space="0" w:color="auto"/>
              </w:divBdr>
              <w:divsChild>
                <w:div w:id="6870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463431">
      <w:bodyDiv w:val="1"/>
      <w:marLeft w:val="0"/>
      <w:marRight w:val="0"/>
      <w:marTop w:val="0"/>
      <w:marBottom w:val="0"/>
      <w:divBdr>
        <w:top w:val="none" w:sz="0" w:space="0" w:color="auto"/>
        <w:left w:val="none" w:sz="0" w:space="0" w:color="auto"/>
        <w:bottom w:val="none" w:sz="0" w:space="0" w:color="auto"/>
        <w:right w:val="none" w:sz="0" w:space="0" w:color="auto"/>
      </w:divBdr>
    </w:div>
    <w:div w:id="367730706">
      <w:bodyDiv w:val="1"/>
      <w:marLeft w:val="0"/>
      <w:marRight w:val="0"/>
      <w:marTop w:val="0"/>
      <w:marBottom w:val="0"/>
      <w:divBdr>
        <w:top w:val="none" w:sz="0" w:space="0" w:color="auto"/>
        <w:left w:val="none" w:sz="0" w:space="0" w:color="auto"/>
        <w:bottom w:val="none" w:sz="0" w:space="0" w:color="auto"/>
        <w:right w:val="none" w:sz="0" w:space="0" w:color="auto"/>
      </w:divBdr>
      <w:divsChild>
        <w:div w:id="1362319797">
          <w:marLeft w:val="0"/>
          <w:marRight w:val="0"/>
          <w:marTop w:val="0"/>
          <w:marBottom w:val="0"/>
          <w:divBdr>
            <w:top w:val="none" w:sz="0" w:space="0" w:color="auto"/>
            <w:left w:val="none" w:sz="0" w:space="0" w:color="auto"/>
            <w:bottom w:val="none" w:sz="0" w:space="0" w:color="auto"/>
            <w:right w:val="none" w:sz="0" w:space="0" w:color="auto"/>
          </w:divBdr>
          <w:divsChild>
            <w:div w:id="523637743">
              <w:marLeft w:val="0"/>
              <w:marRight w:val="0"/>
              <w:marTop w:val="0"/>
              <w:marBottom w:val="0"/>
              <w:divBdr>
                <w:top w:val="none" w:sz="0" w:space="0" w:color="auto"/>
                <w:left w:val="none" w:sz="0" w:space="0" w:color="auto"/>
                <w:bottom w:val="none" w:sz="0" w:space="0" w:color="auto"/>
                <w:right w:val="none" w:sz="0" w:space="0" w:color="auto"/>
              </w:divBdr>
              <w:divsChild>
                <w:div w:id="2038920761">
                  <w:marLeft w:val="0"/>
                  <w:marRight w:val="0"/>
                  <w:marTop w:val="0"/>
                  <w:marBottom w:val="0"/>
                  <w:divBdr>
                    <w:top w:val="none" w:sz="0" w:space="0" w:color="auto"/>
                    <w:left w:val="none" w:sz="0" w:space="0" w:color="auto"/>
                    <w:bottom w:val="none" w:sz="0" w:space="0" w:color="auto"/>
                    <w:right w:val="none" w:sz="0" w:space="0" w:color="auto"/>
                  </w:divBdr>
                  <w:divsChild>
                    <w:div w:id="32100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8905340">
      <w:bodyDiv w:val="1"/>
      <w:marLeft w:val="0"/>
      <w:marRight w:val="0"/>
      <w:marTop w:val="0"/>
      <w:marBottom w:val="0"/>
      <w:divBdr>
        <w:top w:val="none" w:sz="0" w:space="0" w:color="auto"/>
        <w:left w:val="none" w:sz="0" w:space="0" w:color="auto"/>
        <w:bottom w:val="none" w:sz="0" w:space="0" w:color="auto"/>
        <w:right w:val="none" w:sz="0" w:space="0" w:color="auto"/>
      </w:divBdr>
      <w:divsChild>
        <w:div w:id="2057849792">
          <w:marLeft w:val="0"/>
          <w:marRight w:val="0"/>
          <w:marTop w:val="0"/>
          <w:marBottom w:val="0"/>
          <w:divBdr>
            <w:top w:val="none" w:sz="0" w:space="0" w:color="auto"/>
            <w:left w:val="none" w:sz="0" w:space="0" w:color="auto"/>
            <w:bottom w:val="none" w:sz="0" w:space="0" w:color="auto"/>
            <w:right w:val="none" w:sz="0" w:space="0" w:color="auto"/>
          </w:divBdr>
          <w:divsChild>
            <w:div w:id="1228690424">
              <w:marLeft w:val="0"/>
              <w:marRight w:val="0"/>
              <w:marTop w:val="0"/>
              <w:marBottom w:val="0"/>
              <w:divBdr>
                <w:top w:val="none" w:sz="0" w:space="0" w:color="auto"/>
                <w:left w:val="none" w:sz="0" w:space="0" w:color="auto"/>
                <w:bottom w:val="none" w:sz="0" w:space="0" w:color="auto"/>
                <w:right w:val="none" w:sz="0" w:space="0" w:color="auto"/>
              </w:divBdr>
              <w:divsChild>
                <w:div w:id="652178812">
                  <w:marLeft w:val="0"/>
                  <w:marRight w:val="0"/>
                  <w:marTop w:val="0"/>
                  <w:marBottom w:val="0"/>
                  <w:divBdr>
                    <w:top w:val="none" w:sz="0" w:space="0" w:color="auto"/>
                    <w:left w:val="none" w:sz="0" w:space="0" w:color="auto"/>
                    <w:bottom w:val="none" w:sz="0" w:space="0" w:color="auto"/>
                    <w:right w:val="none" w:sz="0" w:space="0" w:color="auto"/>
                  </w:divBdr>
                  <w:divsChild>
                    <w:div w:id="115503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6743028">
      <w:bodyDiv w:val="1"/>
      <w:marLeft w:val="0"/>
      <w:marRight w:val="0"/>
      <w:marTop w:val="0"/>
      <w:marBottom w:val="0"/>
      <w:divBdr>
        <w:top w:val="none" w:sz="0" w:space="0" w:color="auto"/>
        <w:left w:val="none" w:sz="0" w:space="0" w:color="auto"/>
        <w:bottom w:val="none" w:sz="0" w:space="0" w:color="auto"/>
        <w:right w:val="none" w:sz="0" w:space="0" w:color="auto"/>
      </w:divBdr>
      <w:divsChild>
        <w:div w:id="1296329586">
          <w:marLeft w:val="0"/>
          <w:marRight w:val="0"/>
          <w:marTop w:val="0"/>
          <w:marBottom w:val="0"/>
          <w:divBdr>
            <w:top w:val="none" w:sz="0" w:space="0" w:color="auto"/>
            <w:left w:val="none" w:sz="0" w:space="0" w:color="auto"/>
            <w:bottom w:val="none" w:sz="0" w:space="0" w:color="auto"/>
            <w:right w:val="none" w:sz="0" w:space="0" w:color="auto"/>
          </w:divBdr>
          <w:divsChild>
            <w:div w:id="87770529">
              <w:marLeft w:val="0"/>
              <w:marRight w:val="0"/>
              <w:marTop w:val="0"/>
              <w:marBottom w:val="0"/>
              <w:divBdr>
                <w:top w:val="none" w:sz="0" w:space="0" w:color="auto"/>
                <w:left w:val="none" w:sz="0" w:space="0" w:color="auto"/>
                <w:bottom w:val="none" w:sz="0" w:space="0" w:color="auto"/>
                <w:right w:val="none" w:sz="0" w:space="0" w:color="auto"/>
              </w:divBdr>
              <w:divsChild>
                <w:div w:id="1558005798">
                  <w:marLeft w:val="0"/>
                  <w:marRight w:val="0"/>
                  <w:marTop w:val="0"/>
                  <w:marBottom w:val="0"/>
                  <w:divBdr>
                    <w:top w:val="none" w:sz="0" w:space="0" w:color="auto"/>
                    <w:left w:val="none" w:sz="0" w:space="0" w:color="auto"/>
                    <w:bottom w:val="none" w:sz="0" w:space="0" w:color="auto"/>
                    <w:right w:val="none" w:sz="0" w:space="0" w:color="auto"/>
                  </w:divBdr>
                  <w:divsChild>
                    <w:div w:id="94169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0749514">
      <w:bodyDiv w:val="1"/>
      <w:marLeft w:val="0"/>
      <w:marRight w:val="0"/>
      <w:marTop w:val="0"/>
      <w:marBottom w:val="0"/>
      <w:divBdr>
        <w:top w:val="none" w:sz="0" w:space="0" w:color="auto"/>
        <w:left w:val="none" w:sz="0" w:space="0" w:color="auto"/>
        <w:bottom w:val="none" w:sz="0" w:space="0" w:color="auto"/>
        <w:right w:val="none" w:sz="0" w:space="0" w:color="auto"/>
      </w:divBdr>
      <w:divsChild>
        <w:div w:id="301935216">
          <w:marLeft w:val="0"/>
          <w:marRight w:val="0"/>
          <w:marTop w:val="0"/>
          <w:marBottom w:val="0"/>
          <w:divBdr>
            <w:top w:val="none" w:sz="0" w:space="0" w:color="auto"/>
            <w:left w:val="none" w:sz="0" w:space="0" w:color="auto"/>
            <w:bottom w:val="none" w:sz="0" w:space="0" w:color="auto"/>
            <w:right w:val="none" w:sz="0" w:space="0" w:color="auto"/>
          </w:divBdr>
          <w:divsChild>
            <w:div w:id="487013380">
              <w:marLeft w:val="0"/>
              <w:marRight w:val="0"/>
              <w:marTop w:val="0"/>
              <w:marBottom w:val="0"/>
              <w:divBdr>
                <w:top w:val="none" w:sz="0" w:space="0" w:color="auto"/>
                <w:left w:val="none" w:sz="0" w:space="0" w:color="auto"/>
                <w:bottom w:val="none" w:sz="0" w:space="0" w:color="auto"/>
                <w:right w:val="none" w:sz="0" w:space="0" w:color="auto"/>
              </w:divBdr>
              <w:divsChild>
                <w:div w:id="2263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895243">
      <w:bodyDiv w:val="1"/>
      <w:marLeft w:val="0"/>
      <w:marRight w:val="0"/>
      <w:marTop w:val="0"/>
      <w:marBottom w:val="0"/>
      <w:divBdr>
        <w:top w:val="none" w:sz="0" w:space="0" w:color="auto"/>
        <w:left w:val="none" w:sz="0" w:space="0" w:color="auto"/>
        <w:bottom w:val="none" w:sz="0" w:space="0" w:color="auto"/>
        <w:right w:val="none" w:sz="0" w:space="0" w:color="auto"/>
      </w:divBdr>
    </w:div>
    <w:div w:id="605239117">
      <w:bodyDiv w:val="1"/>
      <w:marLeft w:val="0"/>
      <w:marRight w:val="0"/>
      <w:marTop w:val="0"/>
      <w:marBottom w:val="0"/>
      <w:divBdr>
        <w:top w:val="none" w:sz="0" w:space="0" w:color="auto"/>
        <w:left w:val="none" w:sz="0" w:space="0" w:color="auto"/>
        <w:bottom w:val="none" w:sz="0" w:space="0" w:color="auto"/>
        <w:right w:val="none" w:sz="0" w:space="0" w:color="auto"/>
      </w:divBdr>
    </w:div>
    <w:div w:id="621114660">
      <w:bodyDiv w:val="1"/>
      <w:marLeft w:val="0"/>
      <w:marRight w:val="0"/>
      <w:marTop w:val="0"/>
      <w:marBottom w:val="0"/>
      <w:divBdr>
        <w:top w:val="none" w:sz="0" w:space="0" w:color="auto"/>
        <w:left w:val="none" w:sz="0" w:space="0" w:color="auto"/>
        <w:bottom w:val="none" w:sz="0" w:space="0" w:color="auto"/>
        <w:right w:val="none" w:sz="0" w:space="0" w:color="auto"/>
      </w:divBdr>
    </w:div>
    <w:div w:id="639967850">
      <w:bodyDiv w:val="1"/>
      <w:marLeft w:val="0"/>
      <w:marRight w:val="0"/>
      <w:marTop w:val="0"/>
      <w:marBottom w:val="0"/>
      <w:divBdr>
        <w:top w:val="none" w:sz="0" w:space="0" w:color="auto"/>
        <w:left w:val="none" w:sz="0" w:space="0" w:color="auto"/>
        <w:bottom w:val="none" w:sz="0" w:space="0" w:color="auto"/>
        <w:right w:val="none" w:sz="0" w:space="0" w:color="auto"/>
      </w:divBdr>
    </w:div>
    <w:div w:id="669060866">
      <w:bodyDiv w:val="1"/>
      <w:marLeft w:val="0"/>
      <w:marRight w:val="0"/>
      <w:marTop w:val="0"/>
      <w:marBottom w:val="0"/>
      <w:divBdr>
        <w:top w:val="none" w:sz="0" w:space="0" w:color="auto"/>
        <w:left w:val="none" w:sz="0" w:space="0" w:color="auto"/>
        <w:bottom w:val="none" w:sz="0" w:space="0" w:color="auto"/>
        <w:right w:val="none" w:sz="0" w:space="0" w:color="auto"/>
      </w:divBdr>
    </w:div>
    <w:div w:id="723677208">
      <w:bodyDiv w:val="1"/>
      <w:marLeft w:val="0"/>
      <w:marRight w:val="0"/>
      <w:marTop w:val="0"/>
      <w:marBottom w:val="0"/>
      <w:divBdr>
        <w:top w:val="none" w:sz="0" w:space="0" w:color="auto"/>
        <w:left w:val="none" w:sz="0" w:space="0" w:color="auto"/>
        <w:bottom w:val="none" w:sz="0" w:space="0" w:color="auto"/>
        <w:right w:val="none" w:sz="0" w:space="0" w:color="auto"/>
      </w:divBdr>
    </w:div>
    <w:div w:id="853228585">
      <w:bodyDiv w:val="1"/>
      <w:marLeft w:val="0"/>
      <w:marRight w:val="0"/>
      <w:marTop w:val="0"/>
      <w:marBottom w:val="0"/>
      <w:divBdr>
        <w:top w:val="none" w:sz="0" w:space="0" w:color="auto"/>
        <w:left w:val="none" w:sz="0" w:space="0" w:color="auto"/>
        <w:bottom w:val="none" w:sz="0" w:space="0" w:color="auto"/>
        <w:right w:val="none" w:sz="0" w:space="0" w:color="auto"/>
      </w:divBdr>
      <w:divsChild>
        <w:div w:id="190918404">
          <w:marLeft w:val="0"/>
          <w:marRight w:val="0"/>
          <w:marTop w:val="0"/>
          <w:marBottom w:val="0"/>
          <w:divBdr>
            <w:top w:val="none" w:sz="0" w:space="0" w:color="auto"/>
            <w:left w:val="none" w:sz="0" w:space="0" w:color="auto"/>
            <w:bottom w:val="none" w:sz="0" w:space="0" w:color="auto"/>
            <w:right w:val="none" w:sz="0" w:space="0" w:color="auto"/>
          </w:divBdr>
          <w:divsChild>
            <w:div w:id="1312294833">
              <w:marLeft w:val="0"/>
              <w:marRight w:val="0"/>
              <w:marTop w:val="0"/>
              <w:marBottom w:val="0"/>
              <w:divBdr>
                <w:top w:val="none" w:sz="0" w:space="0" w:color="auto"/>
                <w:left w:val="none" w:sz="0" w:space="0" w:color="auto"/>
                <w:bottom w:val="none" w:sz="0" w:space="0" w:color="auto"/>
                <w:right w:val="none" w:sz="0" w:space="0" w:color="auto"/>
              </w:divBdr>
              <w:divsChild>
                <w:div w:id="1027215700">
                  <w:marLeft w:val="0"/>
                  <w:marRight w:val="0"/>
                  <w:marTop w:val="0"/>
                  <w:marBottom w:val="0"/>
                  <w:divBdr>
                    <w:top w:val="none" w:sz="0" w:space="0" w:color="auto"/>
                    <w:left w:val="none" w:sz="0" w:space="0" w:color="auto"/>
                    <w:bottom w:val="none" w:sz="0" w:space="0" w:color="auto"/>
                    <w:right w:val="none" w:sz="0" w:space="0" w:color="auto"/>
                  </w:divBdr>
                  <w:divsChild>
                    <w:div w:id="86660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8363857">
      <w:bodyDiv w:val="1"/>
      <w:marLeft w:val="0"/>
      <w:marRight w:val="0"/>
      <w:marTop w:val="0"/>
      <w:marBottom w:val="0"/>
      <w:divBdr>
        <w:top w:val="none" w:sz="0" w:space="0" w:color="auto"/>
        <w:left w:val="none" w:sz="0" w:space="0" w:color="auto"/>
        <w:bottom w:val="none" w:sz="0" w:space="0" w:color="auto"/>
        <w:right w:val="none" w:sz="0" w:space="0" w:color="auto"/>
      </w:divBdr>
      <w:divsChild>
        <w:div w:id="548225567">
          <w:marLeft w:val="0"/>
          <w:marRight w:val="0"/>
          <w:marTop w:val="0"/>
          <w:marBottom w:val="0"/>
          <w:divBdr>
            <w:top w:val="none" w:sz="0" w:space="0" w:color="auto"/>
            <w:left w:val="none" w:sz="0" w:space="0" w:color="auto"/>
            <w:bottom w:val="none" w:sz="0" w:space="0" w:color="auto"/>
            <w:right w:val="none" w:sz="0" w:space="0" w:color="auto"/>
          </w:divBdr>
          <w:divsChild>
            <w:div w:id="1180311108">
              <w:marLeft w:val="0"/>
              <w:marRight w:val="0"/>
              <w:marTop w:val="0"/>
              <w:marBottom w:val="0"/>
              <w:divBdr>
                <w:top w:val="none" w:sz="0" w:space="0" w:color="auto"/>
                <w:left w:val="none" w:sz="0" w:space="0" w:color="auto"/>
                <w:bottom w:val="none" w:sz="0" w:space="0" w:color="auto"/>
                <w:right w:val="none" w:sz="0" w:space="0" w:color="auto"/>
              </w:divBdr>
              <w:divsChild>
                <w:div w:id="133989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461766">
      <w:bodyDiv w:val="1"/>
      <w:marLeft w:val="0"/>
      <w:marRight w:val="0"/>
      <w:marTop w:val="0"/>
      <w:marBottom w:val="0"/>
      <w:divBdr>
        <w:top w:val="none" w:sz="0" w:space="0" w:color="auto"/>
        <w:left w:val="none" w:sz="0" w:space="0" w:color="auto"/>
        <w:bottom w:val="none" w:sz="0" w:space="0" w:color="auto"/>
        <w:right w:val="none" w:sz="0" w:space="0" w:color="auto"/>
      </w:divBdr>
      <w:divsChild>
        <w:div w:id="2059354825">
          <w:marLeft w:val="0"/>
          <w:marRight w:val="0"/>
          <w:marTop w:val="0"/>
          <w:marBottom w:val="0"/>
          <w:divBdr>
            <w:top w:val="none" w:sz="0" w:space="0" w:color="auto"/>
            <w:left w:val="none" w:sz="0" w:space="0" w:color="auto"/>
            <w:bottom w:val="none" w:sz="0" w:space="0" w:color="auto"/>
            <w:right w:val="none" w:sz="0" w:space="0" w:color="auto"/>
          </w:divBdr>
          <w:divsChild>
            <w:div w:id="1797064491">
              <w:marLeft w:val="0"/>
              <w:marRight w:val="0"/>
              <w:marTop w:val="0"/>
              <w:marBottom w:val="0"/>
              <w:divBdr>
                <w:top w:val="none" w:sz="0" w:space="0" w:color="auto"/>
                <w:left w:val="none" w:sz="0" w:space="0" w:color="auto"/>
                <w:bottom w:val="none" w:sz="0" w:space="0" w:color="auto"/>
                <w:right w:val="none" w:sz="0" w:space="0" w:color="auto"/>
              </w:divBdr>
              <w:divsChild>
                <w:div w:id="1825858216">
                  <w:marLeft w:val="0"/>
                  <w:marRight w:val="0"/>
                  <w:marTop w:val="0"/>
                  <w:marBottom w:val="0"/>
                  <w:divBdr>
                    <w:top w:val="none" w:sz="0" w:space="0" w:color="auto"/>
                    <w:left w:val="none" w:sz="0" w:space="0" w:color="auto"/>
                    <w:bottom w:val="none" w:sz="0" w:space="0" w:color="auto"/>
                    <w:right w:val="none" w:sz="0" w:space="0" w:color="auto"/>
                  </w:divBdr>
                  <w:divsChild>
                    <w:div w:id="195435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6760095">
      <w:bodyDiv w:val="1"/>
      <w:marLeft w:val="0"/>
      <w:marRight w:val="0"/>
      <w:marTop w:val="0"/>
      <w:marBottom w:val="0"/>
      <w:divBdr>
        <w:top w:val="none" w:sz="0" w:space="0" w:color="auto"/>
        <w:left w:val="none" w:sz="0" w:space="0" w:color="auto"/>
        <w:bottom w:val="none" w:sz="0" w:space="0" w:color="auto"/>
        <w:right w:val="none" w:sz="0" w:space="0" w:color="auto"/>
      </w:divBdr>
      <w:divsChild>
        <w:div w:id="2123306207">
          <w:marLeft w:val="0"/>
          <w:marRight w:val="0"/>
          <w:marTop w:val="0"/>
          <w:marBottom w:val="0"/>
          <w:divBdr>
            <w:top w:val="none" w:sz="0" w:space="0" w:color="auto"/>
            <w:left w:val="none" w:sz="0" w:space="0" w:color="auto"/>
            <w:bottom w:val="none" w:sz="0" w:space="0" w:color="auto"/>
            <w:right w:val="none" w:sz="0" w:space="0" w:color="auto"/>
          </w:divBdr>
          <w:divsChild>
            <w:div w:id="1880432849">
              <w:marLeft w:val="0"/>
              <w:marRight w:val="0"/>
              <w:marTop w:val="0"/>
              <w:marBottom w:val="0"/>
              <w:divBdr>
                <w:top w:val="none" w:sz="0" w:space="0" w:color="auto"/>
                <w:left w:val="none" w:sz="0" w:space="0" w:color="auto"/>
                <w:bottom w:val="none" w:sz="0" w:space="0" w:color="auto"/>
                <w:right w:val="none" w:sz="0" w:space="0" w:color="auto"/>
              </w:divBdr>
              <w:divsChild>
                <w:div w:id="7605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684447">
      <w:bodyDiv w:val="1"/>
      <w:marLeft w:val="0"/>
      <w:marRight w:val="0"/>
      <w:marTop w:val="0"/>
      <w:marBottom w:val="0"/>
      <w:divBdr>
        <w:top w:val="none" w:sz="0" w:space="0" w:color="auto"/>
        <w:left w:val="none" w:sz="0" w:space="0" w:color="auto"/>
        <w:bottom w:val="none" w:sz="0" w:space="0" w:color="auto"/>
        <w:right w:val="none" w:sz="0" w:space="0" w:color="auto"/>
      </w:divBdr>
    </w:div>
    <w:div w:id="1013531611">
      <w:bodyDiv w:val="1"/>
      <w:marLeft w:val="0"/>
      <w:marRight w:val="0"/>
      <w:marTop w:val="0"/>
      <w:marBottom w:val="0"/>
      <w:divBdr>
        <w:top w:val="none" w:sz="0" w:space="0" w:color="auto"/>
        <w:left w:val="none" w:sz="0" w:space="0" w:color="auto"/>
        <w:bottom w:val="none" w:sz="0" w:space="0" w:color="auto"/>
        <w:right w:val="none" w:sz="0" w:space="0" w:color="auto"/>
      </w:divBdr>
    </w:div>
    <w:div w:id="1018314142">
      <w:bodyDiv w:val="1"/>
      <w:marLeft w:val="0"/>
      <w:marRight w:val="0"/>
      <w:marTop w:val="0"/>
      <w:marBottom w:val="0"/>
      <w:divBdr>
        <w:top w:val="none" w:sz="0" w:space="0" w:color="auto"/>
        <w:left w:val="none" w:sz="0" w:space="0" w:color="auto"/>
        <w:bottom w:val="none" w:sz="0" w:space="0" w:color="auto"/>
        <w:right w:val="none" w:sz="0" w:space="0" w:color="auto"/>
      </w:divBdr>
      <w:divsChild>
        <w:div w:id="1146243966">
          <w:marLeft w:val="0"/>
          <w:marRight w:val="0"/>
          <w:marTop w:val="0"/>
          <w:marBottom w:val="0"/>
          <w:divBdr>
            <w:top w:val="none" w:sz="0" w:space="0" w:color="auto"/>
            <w:left w:val="none" w:sz="0" w:space="0" w:color="auto"/>
            <w:bottom w:val="none" w:sz="0" w:space="0" w:color="auto"/>
            <w:right w:val="none" w:sz="0" w:space="0" w:color="auto"/>
          </w:divBdr>
          <w:divsChild>
            <w:div w:id="1574002780">
              <w:marLeft w:val="0"/>
              <w:marRight w:val="0"/>
              <w:marTop w:val="0"/>
              <w:marBottom w:val="0"/>
              <w:divBdr>
                <w:top w:val="none" w:sz="0" w:space="0" w:color="auto"/>
                <w:left w:val="none" w:sz="0" w:space="0" w:color="auto"/>
                <w:bottom w:val="none" w:sz="0" w:space="0" w:color="auto"/>
                <w:right w:val="none" w:sz="0" w:space="0" w:color="auto"/>
              </w:divBdr>
              <w:divsChild>
                <w:div w:id="875896092">
                  <w:marLeft w:val="0"/>
                  <w:marRight w:val="0"/>
                  <w:marTop w:val="0"/>
                  <w:marBottom w:val="0"/>
                  <w:divBdr>
                    <w:top w:val="none" w:sz="0" w:space="0" w:color="auto"/>
                    <w:left w:val="none" w:sz="0" w:space="0" w:color="auto"/>
                    <w:bottom w:val="none" w:sz="0" w:space="0" w:color="auto"/>
                    <w:right w:val="none" w:sz="0" w:space="0" w:color="auto"/>
                  </w:divBdr>
                  <w:divsChild>
                    <w:div w:id="56113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9794709">
      <w:bodyDiv w:val="1"/>
      <w:marLeft w:val="0"/>
      <w:marRight w:val="0"/>
      <w:marTop w:val="0"/>
      <w:marBottom w:val="0"/>
      <w:divBdr>
        <w:top w:val="none" w:sz="0" w:space="0" w:color="auto"/>
        <w:left w:val="none" w:sz="0" w:space="0" w:color="auto"/>
        <w:bottom w:val="none" w:sz="0" w:space="0" w:color="auto"/>
        <w:right w:val="none" w:sz="0" w:space="0" w:color="auto"/>
      </w:divBdr>
    </w:div>
    <w:div w:id="1138493017">
      <w:bodyDiv w:val="1"/>
      <w:marLeft w:val="0"/>
      <w:marRight w:val="0"/>
      <w:marTop w:val="0"/>
      <w:marBottom w:val="0"/>
      <w:divBdr>
        <w:top w:val="none" w:sz="0" w:space="0" w:color="auto"/>
        <w:left w:val="none" w:sz="0" w:space="0" w:color="auto"/>
        <w:bottom w:val="none" w:sz="0" w:space="0" w:color="auto"/>
        <w:right w:val="none" w:sz="0" w:space="0" w:color="auto"/>
      </w:divBdr>
      <w:divsChild>
        <w:div w:id="558636269">
          <w:marLeft w:val="0"/>
          <w:marRight w:val="0"/>
          <w:marTop w:val="0"/>
          <w:marBottom w:val="0"/>
          <w:divBdr>
            <w:top w:val="none" w:sz="0" w:space="0" w:color="auto"/>
            <w:left w:val="none" w:sz="0" w:space="0" w:color="auto"/>
            <w:bottom w:val="none" w:sz="0" w:space="0" w:color="auto"/>
            <w:right w:val="none" w:sz="0" w:space="0" w:color="auto"/>
          </w:divBdr>
          <w:divsChild>
            <w:div w:id="476000237">
              <w:marLeft w:val="0"/>
              <w:marRight w:val="0"/>
              <w:marTop w:val="0"/>
              <w:marBottom w:val="0"/>
              <w:divBdr>
                <w:top w:val="none" w:sz="0" w:space="0" w:color="auto"/>
                <w:left w:val="none" w:sz="0" w:space="0" w:color="auto"/>
                <w:bottom w:val="none" w:sz="0" w:space="0" w:color="auto"/>
                <w:right w:val="none" w:sz="0" w:space="0" w:color="auto"/>
              </w:divBdr>
              <w:divsChild>
                <w:div w:id="1935362521">
                  <w:marLeft w:val="0"/>
                  <w:marRight w:val="0"/>
                  <w:marTop w:val="0"/>
                  <w:marBottom w:val="0"/>
                  <w:divBdr>
                    <w:top w:val="none" w:sz="0" w:space="0" w:color="auto"/>
                    <w:left w:val="none" w:sz="0" w:space="0" w:color="auto"/>
                    <w:bottom w:val="none" w:sz="0" w:space="0" w:color="auto"/>
                    <w:right w:val="none" w:sz="0" w:space="0" w:color="auto"/>
                  </w:divBdr>
                  <w:divsChild>
                    <w:div w:id="19006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246568">
      <w:bodyDiv w:val="1"/>
      <w:marLeft w:val="0"/>
      <w:marRight w:val="0"/>
      <w:marTop w:val="0"/>
      <w:marBottom w:val="0"/>
      <w:divBdr>
        <w:top w:val="none" w:sz="0" w:space="0" w:color="auto"/>
        <w:left w:val="none" w:sz="0" w:space="0" w:color="auto"/>
        <w:bottom w:val="none" w:sz="0" w:space="0" w:color="auto"/>
        <w:right w:val="none" w:sz="0" w:space="0" w:color="auto"/>
      </w:divBdr>
    </w:div>
    <w:div w:id="1198934897">
      <w:bodyDiv w:val="1"/>
      <w:marLeft w:val="0"/>
      <w:marRight w:val="0"/>
      <w:marTop w:val="0"/>
      <w:marBottom w:val="0"/>
      <w:divBdr>
        <w:top w:val="none" w:sz="0" w:space="0" w:color="auto"/>
        <w:left w:val="none" w:sz="0" w:space="0" w:color="auto"/>
        <w:bottom w:val="none" w:sz="0" w:space="0" w:color="auto"/>
        <w:right w:val="none" w:sz="0" w:space="0" w:color="auto"/>
      </w:divBdr>
    </w:div>
    <w:div w:id="1302539324">
      <w:bodyDiv w:val="1"/>
      <w:marLeft w:val="0"/>
      <w:marRight w:val="0"/>
      <w:marTop w:val="0"/>
      <w:marBottom w:val="0"/>
      <w:divBdr>
        <w:top w:val="none" w:sz="0" w:space="0" w:color="auto"/>
        <w:left w:val="none" w:sz="0" w:space="0" w:color="auto"/>
        <w:bottom w:val="none" w:sz="0" w:space="0" w:color="auto"/>
        <w:right w:val="none" w:sz="0" w:space="0" w:color="auto"/>
      </w:divBdr>
    </w:div>
    <w:div w:id="1336878413">
      <w:bodyDiv w:val="1"/>
      <w:marLeft w:val="0"/>
      <w:marRight w:val="0"/>
      <w:marTop w:val="0"/>
      <w:marBottom w:val="0"/>
      <w:divBdr>
        <w:top w:val="none" w:sz="0" w:space="0" w:color="auto"/>
        <w:left w:val="none" w:sz="0" w:space="0" w:color="auto"/>
        <w:bottom w:val="none" w:sz="0" w:space="0" w:color="auto"/>
        <w:right w:val="none" w:sz="0" w:space="0" w:color="auto"/>
      </w:divBdr>
    </w:div>
    <w:div w:id="1445610359">
      <w:bodyDiv w:val="1"/>
      <w:marLeft w:val="0"/>
      <w:marRight w:val="0"/>
      <w:marTop w:val="0"/>
      <w:marBottom w:val="0"/>
      <w:divBdr>
        <w:top w:val="none" w:sz="0" w:space="0" w:color="auto"/>
        <w:left w:val="none" w:sz="0" w:space="0" w:color="auto"/>
        <w:bottom w:val="none" w:sz="0" w:space="0" w:color="auto"/>
        <w:right w:val="none" w:sz="0" w:space="0" w:color="auto"/>
      </w:divBdr>
    </w:div>
    <w:div w:id="1591426963">
      <w:bodyDiv w:val="1"/>
      <w:marLeft w:val="0"/>
      <w:marRight w:val="0"/>
      <w:marTop w:val="0"/>
      <w:marBottom w:val="0"/>
      <w:divBdr>
        <w:top w:val="none" w:sz="0" w:space="0" w:color="auto"/>
        <w:left w:val="none" w:sz="0" w:space="0" w:color="auto"/>
        <w:bottom w:val="none" w:sz="0" w:space="0" w:color="auto"/>
        <w:right w:val="none" w:sz="0" w:space="0" w:color="auto"/>
      </w:divBdr>
      <w:divsChild>
        <w:div w:id="125319585">
          <w:marLeft w:val="0"/>
          <w:marRight w:val="0"/>
          <w:marTop w:val="0"/>
          <w:marBottom w:val="0"/>
          <w:divBdr>
            <w:top w:val="none" w:sz="0" w:space="0" w:color="auto"/>
            <w:left w:val="none" w:sz="0" w:space="0" w:color="auto"/>
            <w:bottom w:val="none" w:sz="0" w:space="0" w:color="auto"/>
            <w:right w:val="none" w:sz="0" w:space="0" w:color="auto"/>
          </w:divBdr>
          <w:divsChild>
            <w:div w:id="582180130">
              <w:marLeft w:val="0"/>
              <w:marRight w:val="0"/>
              <w:marTop w:val="0"/>
              <w:marBottom w:val="0"/>
              <w:divBdr>
                <w:top w:val="none" w:sz="0" w:space="0" w:color="auto"/>
                <w:left w:val="none" w:sz="0" w:space="0" w:color="auto"/>
                <w:bottom w:val="none" w:sz="0" w:space="0" w:color="auto"/>
                <w:right w:val="none" w:sz="0" w:space="0" w:color="auto"/>
              </w:divBdr>
              <w:divsChild>
                <w:div w:id="44473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415641">
      <w:bodyDiv w:val="1"/>
      <w:marLeft w:val="0"/>
      <w:marRight w:val="0"/>
      <w:marTop w:val="0"/>
      <w:marBottom w:val="0"/>
      <w:divBdr>
        <w:top w:val="none" w:sz="0" w:space="0" w:color="auto"/>
        <w:left w:val="none" w:sz="0" w:space="0" w:color="auto"/>
        <w:bottom w:val="none" w:sz="0" w:space="0" w:color="auto"/>
        <w:right w:val="none" w:sz="0" w:space="0" w:color="auto"/>
      </w:divBdr>
    </w:div>
    <w:div w:id="1802764675">
      <w:bodyDiv w:val="1"/>
      <w:marLeft w:val="0"/>
      <w:marRight w:val="0"/>
      <w:marTop w:val="0"/>
      <w:marBottom w:val="0"/>
      <w:divBdr>
        <w:top w:val="none" w:sz="0" w:space="0" w:color="auto"/>
        <w:left w:val="none" w:sz="0" w:space="0" w:color="auto"/>
        <w:bottom w:val="none" w:sz="0" w:space="0" w:color="auto"/>
        <w:right w:val="none" w:sz="0" w:space="0" w:color="auto"/>
      </w:divBdr>
    </w:div>
    <w:div w:id="1808739248">
      <w:bodyDiv w:val="1"/>
      <w:marLeft w:val="0"/>
      <w:marRight w:val="0"/>
      <w:marTop w:val="0"/>
      <w:marBottom w:val="0"/>
      <w:divBdr>
        <w:top w:val="none" w:sz="0" w:space="0" w:color="auto"/>
        <w:left w:val="none" w:sz="0" w:space="0" w:color="auto"/>
        <w:bottom w:val="none" w:sz="0" w:space="0" w:color="auto"/>
        <w:right w:val="none" w:sz="0" w:space="0" w:color="auto"/>
      </w:divBdr>
      <w:divsChild>
        <w:div w:id="2109961460">
          <w:marLeft w:val="0"/>
          <w:marRight w:val="0"/>
          <w:marTop w:val="0"/>
          <w:marBottom w:val="0"/>
          <w:divBdr>
            <w:top w:val="none" w:sz="0" w:space="0" w:color="auto"/>
            <w:left w:val="none" w:sz="0" w:space="0" w:color="auto"/>
            <w:bottom w:val="none" w:sz="0" w:space="0" w:color="auto"/>
            <w:right w:val="none" w:sz="0" w:space="0" w:color="auto"/>
          </w:divBdr>
          <w:divsChild>
            <w:div w:id="869925001">
              <w:marLeft w:val="0"/>
              <w:marRight w:val="0"/>
              <w:marTop w:val="0"/>
              <w:marBottom w:val="0"/>
              <w:divBdr>
                <w:top w:val="none" w:sz="0" w:space="0" w:color="auto"/>
                <w:left w:val="none" w:sz="0" w:space="0" w:color="auto"/>
                <w:bottom w:val="none" w:sz="0" w:space="0" w:color="auto"/>
                <w:right w:val="none" w:sz="0" w:space="0" w:color="auto"/>
              </w:divBdr>
              <w:divsChild>
                <w:div w:id="19407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642347">
      <w:bodyDiv w:val="1"/>
      <w:marLeft w:val="0"/>
      <w:marRight w:val="0"/>
      <w:marTop w:val="0"/>
      <w:marBottom w:val="0"/>
      <w:divBdr>
        <w:top w:val="none" w:sz="0" w:space="0" w:color="auto"/>
        <w:left w:val="none" w:sz="0" w:space="0" w:color="auto"/>
        <w:bottom w:val="none" w:sz="0" w:space="0" w:color="auto"/>
        <w:right w:val="none" w:sz="0" w:space="0" w:color="auto"/>
      </w:divBdr>
    </w:div>
    <w:div w:id="1836333646">
      <w:bodyDiv w:val="1"/>
      <w:marLeft w:val="0"/>
      <w:marRight w:val="0"/>
      <w:marTop w:val="0"/>
      <w:marBottom w:val="0"/>
      <w:divBdr>
        <w:top w:val="none" w:sz="0" w:space="0" w:color="auto"/>
        <w:left w:val="none" w:sz="0" w:space="0" w:color="auto"/>
        <w:bottom w:val="none" w:sz="0" w:space="0" w:color="auto"/>
        <w:right w:val="none" w:sz="0" w:space="0" w:color="auto"/>
      </w:divBdr>
    </w:div>
    <w:div w:id="1845701630">
      <w:bodyDiv w:val="1"/>
      <w:marLeft w:val="0"/>
      <w:marRight w:val="0"/>
      <w:marTop w:val="0"/>
      <w:marBottom w:val="0"/>
      <w:divBdr>
        <w:top w:val="none" w:sz="0" w:space="0" w:color="auto"/>
        <w:left w:val="none" w:sz="0" w:space="0" w:color="auto"/>
        <w:bottom w:val="none" w:sz="0" w:space="0" w:color="auto"/>
        <w:right w:val="none" w:sz="0" w:space="0" w:color="auto"/>
      </w:divBdr>
    </w:div>
    <w:div w:id="1878590686">
      <w:bodyDiv w:val="1"/>
      <w:marLeft w:val="0"/>
      <w:marRight w:val="0"/>
      <w:marTop w:val="0"/>
      <w:marBottom w:val="0"/>
      <w:divBdr>
        <w:top w:val="none" w:sz="0" w:space="0" w:color="auto"/>
        <w:left w:val="none" w:sz="0" w:space="0" w:color="auto"/>
        <w:bottom w:val="none" w:sz="0" w:space="0" w:color="auto"/>
        <w:right w:val="none" w:sz="0" w:space="0" w:color="auto"/>
      </w:divBdr>
    </w:div>
    <w:div w:id="1914193516">
      <w:bodyDiv w:val="1"/>
      <w:marLeft w:val="0"/>
      <w:marRight w:val="0"/>
      <w:marTop w:val="0"/>
      <w:marBottom w:val="0"/>
      <w:divBdr>
        <w:top w:val="none" w:sz="0" w:space="0" w:color="auto"/>
        <w:left w:val="none" w:sz="0" w:space="0" w:color="auto"/>
        <w:bottom w:val="none" w:sz="0" w:space="0" w:color="auto"/>
        <w:right w:val="none" w:sz="0" w:space="0" w:color="auto"/>
      </w:divBdr>
    </w:div>
    <w:div w:id="1935891816">
      <w:bodyDiv w:val="1"/>
      <w:marLeft w:val="0"/>
      <w:marRight w:val="0"/>
      <w:marTop w:val="0"/>
      <w:marBottom w:val="0"/>
      <w:divBdr>
        <w:top w:val="none" w:sz="0" w:space="0" w:color="auto"/>
        <w:left w:val="none" w:sz="0" w:space="0" w:color="auto"/>
        <w:bottom w:val="none" w:sz="0" w:space="0" w:color="auto"/>
        <w:right w:val="none" w:sz="0" w:space="0" w:color="auto"/>
      </w:divBdr>
    </w:div>
    <w:div w:id="1991403017">
      <w:bodyDiv w:val="1"/>
      <w:marLeft w:val="0"/>
      <w:marRight w:val="0"/>
      <w:marTop w:val="0"/>
      <w:marBottom w:val="0"/>
      <w:divBdr>
        <w:top w:val="none" w:sz="0" w:space="0" w:color="auto"/>
        <w:left w:val="none" w:sz="0" w:space="0" w:color="auto"/>
        <w:bottom w:val="none" w:sz="0" w:space="0" w:color="auto"/>
        <w:right w:val="none" w:sz="0" w:space="0" w:color="auto"/>
      </w:divBdr>
    </w:div>
    <w:div w:id="2009746026">
      <w:bodyDiv w:val="1"/>
      <w:marLeft w:val="0"/>
      <w:marRight w:val="0"/>
      <w:marTop w:val="0"/>
      <w:marBottom w:val="0"/>
      <w:divBdr>
        <w:top w:val="none" w:sz="0" w:space="0" w:color="auto"/>
        <w:left w:val="none" w:sz="0" w:space="0" w:color="auto"/>
        <w:bottom w:val="none" w:sz="0" w:space="0" w:color="auto"/>
        <w:right w:val="none" w:sz="0" w:space="0" w:color="auto"/>
      </w:divBdr>
      <w:divsChild>
        <w:div w:id="851071595">
          <w:marLeft w:val="0"/>
          <w:marRight w:val="0"/>
          <w:marTop w:val="0"/>
          <w:marBottom w:val="0"/>
          <w:divBdr>
            <w:top w:val="none" w:sz="0" w:space="0" w:color="auto"/>
            <w:left w:val="none" w:sz="0" w:space="0" w:color="auto"/>
            <w:bottom w:val="none" w:sz="0" w:space="0" w:color="auto"/>
            <w:right w:val="none" w:sz="0" w:space="0" w:color="auto"/>
          </w:divBdr>
          <w:divsChild>
            <w:div w:id="1663969344">
              <w:marLeft w:val="0"/>
              <w:marRight w:val="0"/>
              <w:marTop w:val="0"/>
              <w:marBottom w:val="0"/>
              <w:divBdr>
                <w:top w:val="none" w:sz="0" w:space="0" w:color="auto"/>
                <w:left w:val="none" w:sz="0" w:space="0" w:color="auto"/>
                <w:bottom w:val="none" w:sz="0" w:space="0" w:color="auto"/>
                <w:right w:val="none" w:sz="0" w:space="0" w:color="auto"/>
              </w:divBdr>
              <w:divsChild>
                <w:div w:id="958343944">
                  <w:marLeft w:val="0"/>
                  <w:marRight w:val="0"/>
                  <w:marTop w:val="0"/>
                  <w:marBottom w:val="0"/>
                  <w:divBdr>
                    <w:top w:val="none" w:sz="0" w:space="0" w:color="auto"/>
                    <w:left w:val="none" w:sz="0" w:space="0" w:color="auto"/>
                    <w:bottom w:val="none" w:sz="0" w:space="0" w:color="auto"/>
                    <w:right w:val="none" w:sz="0" w:space="0" w:color="auto"/>
                  </w:divBdr>
                  <w:divsChild>
                    <w:div w:id="559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989665">
      <w:bodyDiv w:val="1"/>
      <w:marLeft w:val="0"/>
      <w:marRight w:val="0"/>
      <w:marTop w:val="0"/>
      <w:marBottom w:val="0"/>
      <w:divBdr>
        <w:top w:val="none" w:sz="0" w:space="0" w:color="auto"/>
        <w:left w:val="none" w:sz="0" w:space="0" w:color="auto"/>
        <w:bottom w:val="none" w:sz="0" w:space="0" w:color="auto"/>
        <w:right w:val="none" w:sz="0" w:space="0" w:color="auto"/>
      </w:divBdr>
      <w:divsChild>
        <w:div w:id="1696076130">
          <w:marLeft w:val="0"/>
          <w:marRight w:val="0"/>
          <w:marTop w:val="0"/>
          <w:marBottom w:val="0"/>
          <w:divBdr>
            <w:top w:val="none" w:sz="0" w:space="0" w:color="auto"/>
            <w:left w:val="none" w:sz="0" w:space="0" w:color="auto"/>
            <w:bottom w:val="none" w:sz="0" w:space="0" w:color="auto"/>
            <w:right w:val="none" w:sz="0" w:space="0" w:color="auto"/>
          </w:divBdr>
          <w:divsChild>
            <w:div w:id="1212957179">
              <w:marLeft w:val="0"/>
              <w:marRight w:val="0"/>
              <w:marTop w:val="0"/>
              <w:marBottom w:val="0"/>
              <w:divBdr>
                <w:top w:val="none" w:sz="0" w:space="0" w:color="auto"/>
                <w:left w:val="none" w:sz="0" w:space="0" w:color="auto"/>
                <w:bottom w:val="none" w:sz="0" w:space="0" w:color="auto"/>
                <w:right w:val="none" w:sz="0" w:space="0" w:color="auto"/>
              </w:divBdr>
              <w:divsChild>
                <w:div w:id="56507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967014">
      <w:bodyDiv w:val="1"/>
      <w:marLeft w:val="0"/>
      <w:marRight w:val="0"/>
      <w:marTop w:val="0"/>
      <w:marBottom w:val="0"/>
      <w:divBdr>
        <w:top w:val="none" w:sz="0" w:space="0" w:color="auto"/>
        <w:left w:val="none" w:sz="0" w:space="0" w:color="auto"/>
        <w:bottom w:val="none" w:sz="0" w:space="0" w:color="auto"/>
        <w:right w:val="none" w:sz="0" w:space="0" w:color="auto"/>
      </w:divBdr>
    </w:div>
    <w:div w:id="2135446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1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amsar.org/fr/document/convention-on-wetlands-monthly-status-of-assessed-contributions" TargetMode="External"/><Relationship Id="rId5" Type="http://schemas.openxmlformats.org/officeDocument/2006/relationships/numbering" Target="numbering.xm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ramsar.org/fr/document/sc592022-com2-rev1-rapport-du-sous-groupe-sur-les-finances-23-mai-2022" TargetMode="External"/><Relationship Id="rId2" Type="http://schemas.openxmlformats.org/officeDocument/2006/relationships/hyperlink" Target="https://www.ramsar.org/fr/document/sc592022-doc82-questions-financieres-et-budgetaires-etat-des-contributions-annuelles" TargetMode="External"/><Relationship Id="rId1" Type="http://schemas.openxmlformats.org/officeDocument/2006/relationships/hyperlink" Target="https://www.ramsar.org/fr/document/cop14-doc181-projet-de-resolution-sur-les-questions-financieres-et-budgetaires" TargetMode="External"/><Relationship Id="rId6" Type="http://schemas.openxmlformats.org/officeDocument/2006/relationships/hyperlink" Target="https://www.ramsar.org/fr/document/sc592022-com2-rev1-rapport-du-sous-groupe-sur-les-finances-23-mai-2022" TargetMode="External"/><Relationship Id="rId5" Type="http://schemas.openxmlformats.org/officeDocument/2006/relationships/hyperlink" Target="https://www.ramsar.org/fr/document/resolution-xiii2-questions-financieres-et-budgetaires" TargetMode="External"/><Relationship Id="rId4" Type="http://schemas.openxmlformats.org/officeDocument/2006/relationships/hyperlink" Target="https://www.ramsar.org/fr/document/sc592022-doc83-scenarios-budgetaires-pour-2023-2025-et-projet-de-resolution-sur-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C2866174F1EB4584C940634C144C32" ma:contentTypeVersion="13" ma:contentTypeDescription="Create a new document." ma:contentTypeScope="" ma:versionID="5013cc71c1859598a18b9ce7312ef195">
  <xsd:schema xmlns:xsd="http://www.w3.org/2001/XMLSchema" xmlns:xs="http://www.w3.org/2001/XMLSchema" xmlns:p="http://schemas.microsoft.com/office/2006/metadata/properties" xmlns:ns3="8c0b6b05-eb82-4bda-97e8-cd82d0d6b453" xmlns:ns4="aedd258d-19a7-41ba-8260-b0918f25313d" targetNamespace="http://schemas.microsoft.com/office/2006/metadata/properties" ma:root="true" ma:fieldsID="4e80ea02e018efc09e8a65ba00d312e4" ns3:_="" ns4:_="">
    <xsd:import namespace="8c0b6b05-eb82-4bda-97e8-cd82d0d6b453"/>
    <xsd:import namespace="aedd258d-19a7-41ba-8260-b0918f25313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0b6b05-eb82-4bda-97e8-cd82d0d6b4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dd258d-19a7-41ba-8260-b0918f25313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E329CF-AD15-467B-83E2-FE2EC862BE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0b6b05-eb82-4bda-97e8-cd82d0d6b453"/>
    <ds:schemaRef ds:uri="aedd258d-19a7-41ba-8260-b0918f2531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FA59D1-DF64-47A6-A56D-7AB82387348C}">
  <ds:schemaRefs>
    <ds:schemaRef ds:uri="8c0b6b05-eb82-4bda-97e8-cd82d0d6b453"/>
    <ds:schemaRef ds:uri="http://schemas.microsoft.com/office/infopath/2007/PartnerControls"/>
    <ds:schemaRef ds:uri="http://schemas.microsoft.com/office/2006/metadata/properties"/>
    <ds:schemaRef ds:uri="http://purl.org/dc/elements/1.1/"/>
    <ds:schemaRef ds:uri="http://schemas.microsoft.com/office/2006/documentManagement/types"/>
    <ds:schemaRef ds:uri="http://purl.org/dc/dcmitype/"/>
    <ds:schemaRef ds:uri="http://schemas.openxmlformats.org/package/2006/metadata/core-properties"/>
    <ds:schemaRef ds:uri="aedd258d-19a7-41ba-8260-b0918f25313d"/>
    <ds:schemaRef ds:uri="http://www.w3.org/XML/1998/namespace"/>
    <ds:schemaRef ds:uri="http://purl.org/dc/terms/"/>
  </ds:schemaRefs>
</ds:datastoreItem>
</file>

<file path=customXml/itemProps3.xml><?xml version="1.0" encoding="utf-8"?>
<ds:datastoreItem xmlns:ds="http://schemas.openxmlformats.org/officeDocument/2006/customXml" ds:itemID="{7D34C4B3-C46C-4E9E-881B-7C8702451B66}">
  <ds:schemaRefs>
    <ds:schemaRef ds:uri="http://schemas.microsoft.com/sharepoint/v3/contenttype/forms"/>
  </ds:schemaRefs>
</ds:datastoreItem>
</file>

<file path=customXml/itemProps4.xml><?xml version="1.0" encoding="utf-8"?>
<ds:datastoreItem xmlns:ds="http://schemas.openxmlformats.org/officeDocument/2006/customXml" ds:itemID="{4A20920C-8947-4DF4-93BD-EC010D6E2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16</Pages>
  <Words>5503</Words>
  <Characters>31371</Characters>
  <Application>Microsoft Office Word</Application>
  <DocSecurity>0</DocSecurity>
  <Lines>261</Lines>
  <Paragraphs>73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IUCN</Company>
  <LinksUpToDate>false</LinksUpToDate>
  <CharactersWithSpaces>36801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ruecker@ramsar.org</dc:creator>
  <cp:lastModifiedBy>Ed Jennings</cp:lastModifiedBy>
  <cp:revision>8</cp:revision>
  <cp:lastPrinted>2022-09-26T14:18:00Z</cp:lastPrinted>
  <dcterms:created xsi:type="dcterms:W3CDTF">2022-10-03T12:26:00Z</dcterms:created>
  <dcterms:modified xsi:type="dcterms:W3CDTF">2022-10-04T14:47:00Z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0x01010020C2866174F1EB4584C940634C144C32</vt:lpwstr>
  </property>
</Properties>
</file>