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6FEE6" w14:textId="77777777" w:rsidR="00A3137A" w:rsidRPr="00517C51" w:rsidRDefault="00A3137A" w:rsidP="00014E5C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>4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 Meeting of the Conference of the Contracting Parties</w:t>
      </w:r>
    </w:p>
    <w:p w14:paraId="600D9AD7" w14:textId="77777777" w:rsidR="00A3137A" w:rsidRPr="00517C51" w:rsidRDefault="00A3137A" w:rsidP="00014E5C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4BB4BFF5" w14:textId="77777777" w:rsidR="00AC0415" w:rsidRDefault="00AC0415" w:rsidP="00014E5C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04FA096B" w14:textId="6E54F12A" w:rsidR="00A3137A" w:rsidRPr="00517C51" w:rsidRDefault="00A3137A" w:rsidP="00014E5C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 xml:space="preserve">“Wetlands 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Actions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 xml:space="preserve">for 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>People and Nature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”</w:t>
      </w:r>
    </w:p>
    <w:p w14:paraId="07480326" w14:textId="43B77931" w:rsidR="00A3137A" w:rsidRDefault="00F71509" w:rsidP="00014E5C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F71509">
        <w:rPr>
          <w:rFonts w:eastAsia="Times New Roman" w:cstheme="majorHAnsi"/>
          <w:b/>
          <w:bCs/>
          <w:sz w:val="24"/>
          <w:szCs w:val="24"/>
          <w:lang w:val="en-US"/>
        </w:rPr>
        <w:t xml:space="preserve">Wuhan, China and </w:t>
      </w:r>
      <w:r w:rsidR="00A3137A">
        <w:rPr>
          <w:rFonts w:eastAsia="Times New Roman" w:cstheme="majorHAnsi"/>
          <w:b/>
          <w:bCs/>
          <w:sz w:val="24"/>
          <w:szCs w:val="24"/>
          <w:lang w:val="en-US"/>
        </w:rPr>
        <w:t>Geneva</w:t>
      </w:r>
      <w:r w:rsidR="00A3137A" w:rsidRPr="00517C51">
        <w:rPr>
          <w:rFonts w:eastAsia="Times New Roman" w:cstheme="majorHAnsi"/>
          <w:b/>
          <w:bCs/>
          <w:sz w:val="24"/>
          <w:szCs w:val="24"/>
          <w:lang w:val="en-US"/>
        </w:rPr>
        <w:t xml:space="preserve">, </w:t>
      </w:r>
      <w:r w:rsidR="00A3137A">
        <w:rPr>
          <w:rFonts w:eastAsia="Times New Roman" w:cstheme="majorHAnsi"/>
          <w:b/>
          <w:bCs/>
          <w:sz w:val="24"/>
          <w:szCs w:val="24"/>
          <w:lang w:val="en-US"/>
        </w:rPr>
        <w:t>Switzerland</w:t>
      </w:r>
      <w:r w:rsidR="00A3137A" w:rsidRPr="00517C51">
        <w:rPr>
          <w:rFonts w:eastAsia="Times New Roman" w:cstheme="majorHAnsi"/>
          <w:b/>
          <w:bCs/>
          <w:sz w:val="24"/>
          <w:szCs w:val="24"/>
          <w:lang w:val="en-US"/>
        </w:rPr>
        <w:t xml:space="preserve">, </w:t>
      </w:r>
      <w:r w:rsidR="00A3137A">
        <w:rPr>
          <w:rFonts w:eastAsia="Times New Roman" w:cstheme="majorHAnsi"/>
          <w:b/>
          <w:bCs/>
          <w:sz w:val="24"/>
          <w:szCs w:val="24"/>
          <w:lang w:val="en-US"/>
        </w:rPr>
        <w:t>5-13 November 2022</w:t>
      </w:r>
    </w:p>
    <w:p w14:paraId="773DF7F6" w14:textId="77777777" w:rsidR="00D76A1F" w:rsidRDefault="00D76A1F" w:rsidP="00A3137A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014E5C" w:rsidRPr="00014E5C" w14:paraId="53254F47" w14:textId="77777777" w:rsidTr="00EF645C">
        <w:tc>
          <w:tcPr>
            <w:tcW w:w="9016" w:type="dxa"/>
          </w:tcPr>
          <w:p w14:paraId="4B5D3E21" w14:textId="2CBCDFEC" w:rsidR="00014E5C" w:rsidRPr="00014E5C" w:rsidRDefault="00014E5C" w:rsidP="00A9797A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  <w:r w:rsidRPr="00014E5C"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  <w:t>Ramsar COP14 Doc.</w:t>
            </w:r>
            <w:r w:rsidR="00A9797A"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  <w:t>18.22</w:t>
            </w:r>
          </w:p>
        </w:tc>
      </w:tr>
    </w:tbl>
    <w:p w14:paraId="4F34F975" w14:textId="4A8CD484" w:rsidR="009C3857" w:rsidRPr="00014E5C" w:rsidRDefault="009C3857" w:rsidP="000944EB">
      <w:pPr>
        <w:rPr>
          <w:rFonts w:asciiTheme="minorHAnsi" w:hAnsiTheme="minorHAnsi" w:cstheme="minorHAnsi"/>
          <w:lang w:val="de-CH"/>
        </w:rPr>
      </w:pPr>
    </w:p>
    <w:p w14:paraId="17C1A26C" w14:textId="2C62F771" w:rsidR="00014E5C" w:rsidRPr="00014E5C" w:rsidRDefault="00014E5C" w:rsidP="000944EB">
      <w:pPr>
        <w:rPr>
          <w:rFonts w:asciiTheme="minorHAnsi" w:hAnsiTheme="minorHAnsi" w:cstheme="minorHAnsi"/>
          <w:lang w:val="de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4E5C" w:rsidRPr="00014E5C" w14:paraId="0FCAAC65" w14:textId="77777777" w:rsidTr="00014E5C">
        <w:tc>
          <w:tcPr>
            <w:tcW w:w="9016" w:type="dxa"/>
          </w:tcPr>
          <w:p w14:paraId="19BFEB79" w14:textId="5522ED6F" w:rsidR="00014E5C" w:rsidRPr="00014E5C" w:rsidRDefault="00014E5C" w:rsidP="000944EB">
            <w:pPr>
              <w:ind w:left="0" w:firstLine="0"/>
              <w:rPr>
                <w:rFonts w:eastAsia="Times New Roman" w:cstheme="majorHAnsi"/>
                <w:b/>
                <w:bCs/>
                <w:lang w:val="en-US"/>
              </w:rPr>
            </w:pPr>
            <w:r w:rsidRPr="00014E5C">
              <w:rPr>
                <w:rFonts w:eastAsia="Times New Roman" w:cstheme="majorHAnsi"/>
                <w:b/>
                <w:bCs/>
                <w:lang w:val="en-US"/>
              </w:rPr>
              <w:t>Note from the Secretariat:</w:t>
            </w:r>
          </w:p>
          <w:p w14:paraId="37FBA4F9" w14:textId="77777777" w:rsidR="00014E5C" w:rsidRPr="00014E5C" w:rsidRDefault="00014E5C" w:rsidP="000944EB">
            <w:pPr>
              <w:ind w:left="0" w:firstLine="0"/>
              <w:rPr>
                <w:rFonts w:eastAsia="Times New Roman" w:cstheme="majorHAnsi"/>
                <w:b/>
                <w:bCs/>
                <w:lang w:val="en-US"/>
              </w:rPr>
            </w:pPr>
          </w:p>
          <w:p w14:paraId="46BAB305" w14:textId="1B102332" w:rsidR="00014E5C" w:rsidRPr="00014E5C" w:rsidRDefault="00014E5C" w:rsidP="000944EB">
            <w:pPr>
              <w:ind w:left="0" w:firstLine="0"/>
              <w:rPr>
                <w:rFonts w:eastAsia="Times New Roman" w:cstheme="majorHAnsi"/>
                <w:b/>
                <w:bCs/>
                <w:lang w:val="en-US"/>
              </w:rPr>
            </w:pPr>
            <w:r w:rsidRPr="00014E5C">
              <w:rPr>
                <w:rFonts w:eastAsia="Times New Roman" w:cstheme="majorHAnsi"/>
                <w:bCs/>
                <w:lang w:val="en-US"/>
              </w:rPr>
              <w:t xml:space="preserve">At the resumed session of its 59th meeting, the Standing Committee in </w:t>
            </w:r>
            <w:r w:rsidRPr="00014E5C">
              <w:rPr>
                <w:bCs/>
              </w:rPr>
              <w:t xml:space="preserve">Decision </w:t>
            </w:r>
            <w:r w:rsidRPr="00014E5C">
              <w:t xml:space="preserve">SC59/2022-46 agreed to forward the draft resolution on the </w:t>
            </w:r>
            <w:r w:rsidRPr="00014E5C">
              <w:rPr>
                <w:i/>
              </w:rPr>
              <w:t>Establishment of the International Mangrove Center in the Framework of the Ramsar Convention</w:t>
            </w:r>
            <w:r w:rsidRPr="00014E5C">
              <w:t xml:space="preserve"> in document SC59/2022 Doc.24.16 to COP14 for its consideration, with the entire resolution in square brackets.</w:t>
            </w:r>
          </w:p>
          <w:p w14:paraId="6735A368" w14:textId="25F86EAD" w:rsidR="00014E5C" w:rsidRPr="00014E5C" w:rsidRDefault="00014E5C" w:rsidP="000944EB">
            <w:pPr>
              <w:ind w:left="0" w:firstLine="0"/>
              <w:rPr>
                <w:rFonts w:asciiTheme="minorHAnsi" w:hAnsiTheme="minorHAnsi" w:cstheme="minorHAnsi"/>
                <w:b/>
                <w:lang w:val="de-CH"/>
              </w:rPr>
            </w:pPr>
          </w:p>
        </w:tc>
      </w:tr>
    </w:tbl>
    <w:p w14:paraId="6BBB7AD2" w14:textId="77777777" w:rsidR="00014E5C" w:rsidRPr="00014E5C" w:rsidRDefault="00014E5C" w:rsidP="000944EB">
      <w:pPr>
        <w:rPr>
          <w:rFonts w:asciiTheme="minorHAnsi" w:hAnsiTheme="minorHAnsi" w:cstheme="minorHAnsi"/>
          <w:lang w:val="de-CH"/>
        </w:rPr>
      </w:pPr>
    </w:p>
    <w:p w14:paraId="4D3A5FEF" w14:textId="77777777" w:rsidR="009C3857" w:rsidRPr="00014E5C" w:rsidRDefault="009C3857" w:rsidP="000944EB">
      <w:pPr>
        <w:rPr>
          <w:rFonts w:asciiTheme="minorHAnsi" w:hAnsiTheme="minorHAnsi" w:cstheme="minorHAnsi"/>
          <w:lang w:val="de-CH"/>
        </w:rPr>
      </w:pPr>
    </w:p>
    <w:p w14:paraId="4885910B" w14:textId="53ED4491" w:rsidR="00380E68" w:rsidRPr="002356BE" w:rsidRDefault="009C3857" w:rsidP="00D2186C">
      <w:pPr>
        <w:ind w:right="16"/>
        <w:jc w:val="center"/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</w:pPr>
      <w:r w:rsidRPr="002356BE">
        <w:rPr>
          <w:rFonts w:asciiTheme="minorHAnsi" w:hAnsiTheme="minorHAnsi" w:cstheme="minorHAnsi"/>
          <w:b/>
          <w:bCs/>
          <w:sz w:val="28"/>
          <w:szCs w:val="28"/>
        </w:rPr>
        <w:t xml:space="preserve">Draft resolution on </w:t>
      </w:r>
      <w:r w:rsidRPr="002356BE"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  <w:t>e</w:t>
      </w:r>
      <w:r w:rsidR="00380E68" w:rsidRPr="002356BE"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  <w:t xml:space="preserve">stablishment of </w:t>
      </w:r>
      <w:r w:rsidR="00380E68" w:rsidRPr="002356BE">
        <w:rPr>
          <w:rFonts w:asciiTheme="minorHAnsi" w:eastAsia="仿宋" w:hAnsiTheme="minorHAnsi" w:cstheme="minorHAnsi"/>
          <w:b/>
          <w:sz w:val="28"/>
          <w:szCs w:val="28"/>
          <w:lang w:val="en-US" w:eastAsia="zh-CN"/>
        </w:rPr>
        <w:t xml:space="preserve">the </w:t>
      </w:r>
      <w:r w:rsidR="00380E68" w:rsidRPr="002356BE"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  <w:t>International Mangrove Center</w:t>
      </w:r>
    </w:p>
    <w:p w14:paraId="471A3800" w14:textId="2E66A88A" w:rsidR="00380E68" w:rsidRPr="002356BE" w:rsidRDefault="00380E68">
      <w:pPr>
        <w:ind w:right="16"/>
        <w:jc w:val="center"/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</w:pPr>
      <w:r w:rsidRPr="002356BE"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  <w:t xml:space="preserve">in the </w:t>
      </w:r>
      <w:r w:rsidR="00DF690B"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  <w:t>f</w:t>
      </w:r>
      <w:r w:rsidRPr="002356BE"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  <w:t xml:space="preserve">ramework of </w:t>
      </w:r>
      <w:r w:rsidRPr="002356BE">
        <w:rPr>
          <w:rFonts w:asciiTheme="minorHAnsi" w:eastAsia="仿宋" w:hAnsiTheme="minorHAnsi" w:cstheme="minorHAnsi"/>
          <w:b/>
          <w:sz w:val="28"/>
          <w:szCs w:val="28"/>
          <w:lang w:val="en-US" w:eastAsia="zh-CN"/>
        </w:rPr>
        <w:t xml:space="preserve">the </w:t>
      </w:r>
      <w:r w:rsidRPr="002356BE">
        <w:rPr>
          <w:rFonts w:asciiTheme="minorHAnsi" w:eastAsia="仿宋" w:hAnsiTheme="minorHAnsi" w:cstheme="minorHAnsi"/>
          <w:b/>
          <w:sz w:val="28"/>
          <w:szCs w:val="28"/>
          <w:lang w:val="en-AU" w:eastAsia="zh-CN"/>
        </w:rPr>
        <w:t>Ramsar Convention</w:t>
      </w:r>
    </w:p>
    <w:p w14:paraId="5CF8B4B2" w14:textId="2E1E16B2" w:rsidR="002356BE" w:rsidRDefault="002356BE" w:rsidP="002356BE">
      <w:pPr>
        <w:ind w:right="16"/>
        <w:rPr>
          <w:rFonts w:asciiTheme="minorHAnsi" w:eastAsia="仿宋" w:hAnsiTheme="minorHAnsi" w:cstheme="minorHAnsi"/>
          <w:b/>
          <w:sz w:val="24"/>
          <w:szCs w:val="24"/>
          <w:lang w:val="en-AU" w:eastAsia="zh-CN"/>
        </w:rPr>
      </w:pPr>
    </w:p>
    <w:p w14:paraId="53597046" w14:textId="1BABE41F" w:rsidR="002356BE" w:rsidRPr="002356BE" w:rsidRDefault="002356BE" w:rsidP="002356BE">
      <w:pPr>
        <w:ind w:left="0" w:right="16" w:firstLine="0"/>
        <w:rPr>
          <w:rFonts w:asciiTheme="minorHAnsi" w:eastAsia="仿宋" w:hAnsiTheme="minorHAnsi" w:cstheme="minorHAnsi"/>
          <w:b/>
          <w:i/>
          <w:sz w:val="24"/>
          <w:szCs w:val="24"/>
          <w:lang w:val="en-AU" w:eastAsia="zh-CN"/>
        </w:rPr>
      </w:pPr>
      <w:r w:rsidRPr="002356BE">
        <w:rPr>
          <w:i/>
        </w:rPr>
        <w:t xml:space="preserve">Submitted by China, cosponsored by </w:t>
      </w:r>
      <w:bookmarkStart w:id="0" w:name="_GoBack"/>
      <w:bookmarkEnd w:id="0"/>
      <w:r w:rsidRPr="002356BE">
        <w:rPr>
          <w:i/>
        </w:rPr>
        <w:t>Cambodia and Madagascar</w:t>
      </w:r>
    </w:p>
    <w:p w14:paraId="4481E4DD" w14:textId="77777777" w:rsidR="00D2186C" w:rsidRPr="002356BE" w:rsidRDefault="00D2186C" w:rsidP="00D2186C">
      <w:pPr>
        <w:ind w:right="16"/>
        <w:rPr>
          <w:rFonts w:asciiTheme="minorHAnsi" w:eastAsia="仿宋" w:hAnsiTheme="minorHAnsi" w:cstheme="minorHAnsi"/>
          <w:b/>
          <w:bCs/>
          <w:lang w:val="en-AU" w:eastAsia="zh-CN"/>
        </w:rPr>
      </w:pPr>
    </w:p>
    <w:p w14:paraId="53E32C25" w14:textId="506C4538" w:rsidR="00380E68" w:rsidRPr="00380E68" w:rsidRDefault="00380E68" w:rsidP="00D2186C">
      <w:pPr>
        <w:ind w:right="16"/>
        <w:rPr>
          <w:rFonts w:asciiTheme="minorHAnsi" w:eastAsia="仿宋" w:hAnsiTheme="minorHAnsi" w:cstheme="minorHAnsi"/>
          <w:color w:val="000000" w:themeColor="text1"/>
          <w:lang w:eastAsia="zh-CN"/>
        </w:rPr>
      </w:pPr>
    </w:p>
    <w:p w14:paraId="4D21609B" w14:textId="23E93855" w:rsidR="00380E68" w:rsidRPr="00014E5C" w:rsidRDefault="009C3857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bCs/>
          <w:lang w:val="en-US" w:eastAsia="zh-CN"/>
        </w:rPr>
        <w:t>1.</w:t>
      </w:r>
      <w:r w:rsidRPr="00014E5C">
        <w:rPr>
          <w:rFonts w:asciiTheme="minorHAnsi" w:eastAsia="仿宋" w:hAnsiTheme="minorHAnsi" w:cstheme="minorHAnsi"/>
          <w:bCs/>
          <w:lang w:val="en-US" w:eastAsia="zh-CN"/>
        </w:rPr>
        <w:tab/>
      </w:r>
      <w:r w:rsidR="00390591" w:rsidRPr="00014E5C">
        <w:rPr>
          <w:rFonts w:asciiTheme="minorHAnsi" w:eastAsia="仿宋" w:hAnsiTheme="minorHAnsi" w:cstheme="minorHAnsi"/>
          <w:b/>
          <w:bCs/>
          <w:lang w:val="en-US" w:eastAsia="zh-CN"/>
        </w:rPr>
        <w:t>[</w:t>
      </w:r>
      <w:r w:rsidR="00E749C3" w:rsidRPr="00014E5C">
        <w:rPr>
          <w:rFonts w:asciiTheme="minorHAnsi" w:eastAsia="仿宋" w:hAnsiTheme="minorHAnsi" w:cstheme="minorHAnsi"/>
          <w:bCs/>
          <w:lang w:val="en-US" w:eastAsia="zh-CN"/>
        </w:rPr>
        <w:t>RECOGNIZING</w:t>
      </w:r>
      <w:r w:rsidR="00E749C3" w:rsidRPr="00014E5C">
        <w:rPr>
          <w:rFonts w:asciiTheme="minorHAnsi" w:eastAsia="仿宋" w:hAnsiTheme="minorHAnsi" w:cstheme="minorHAnsi"/>
          <w:b/>
          <w:bCs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that</w:t>
      </w:r>
      <w:r w:rsidR="00380E68" w:rsidRPr="00014E5C">
        <w:rPr>
          <w:rFonts w:asciiTheme="minorHAnsi" w:eastAsia="仿宋" w:hAnsiTheme="minorHAnsi" w:cstheme="minorHAnsi"/>
          <w:b/>
          <w:bCs/>
          <w:lang w:val="en-US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mangroves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are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rich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in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biodiversity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,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and provide habitats for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371 endangered species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around the world.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Mangroves also offer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important fishery resources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.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More than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4.1 million mangrove fishers and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associated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communities globally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depend on mangrove ecosystems for livelihood.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It is estimated that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mangroves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reduce flooding risks to more than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15 million people and prevent more than $65 billion in property damages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every year. (The State of the Worlds Mangrove, GMA, 2021)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.</w:t>
      </w:r>
    </w:p>
    <w:p w14:paraId="1483F9FF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261A5D64" w14:textId="73D7886D" w:rsidR="00380E68" w:rsidRPr="00014E5C" w:rsidRDefault="009C3857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2.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E749C3" w:rsidRPr="00014E5C">
        <w:rPr>
          <w:rFonts w:asciiTheme="minorHAnsi" w:eastAsia="仿宋" w:hAnsiTheme="minorHAnsi" w:cstheme="minorHAnsi"/>
          <w:lang w:val="en-US" w:eastAsia="zh-CN"/>
        </w:rPr>
        <w:t>ACKNOWLEDGING</w:t>
      </w:r>
      <w:r w:rsidR="00E749C3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mangroves are the most important coastal blue carbon ecosystems, stocking 1,023 tons of carbon per hectare, which is 3 to 4 times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that of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tropical forest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(IUCN and Ramsar, 2020).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M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angroves store approximately 5.73 gigatons of carbon (conversion of 21 gigatons of CO</w:t>
      </w:r>
      <w:r w:rsidR="00380E68" w:rsidRPr="00014E5C">
        <w:rPr>
          <w:rFonts w:asciiTheme="minorHAnsi" w:eastAsia="仿宋" w:hAnsiTheme="minorHAnsi" w:cstheme="minorHAnsi"/>
          <w:vertAlign w:val="subscript"/>
          <w:lang w:val="en-AU" w:eastAsia="zh-CN"/>
        </w:rPr>
        <w:t>2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, GMA, 2021), with 1.61 gigatons in Ramsar sites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of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mangrove (GWO 2021). </w:t>
      </w:r>
    </w:p>
    <w:p w14:paraId="5C7D902E" w14:textId="77777777" w:rsidR="00380E68" w:rsidRPr="00014E5C" w:rsidRDefault="00380E68" w:rsidP="007861A0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58112028" w14:textId="4ED343E1" w:rsidR="00380E68" w:rsidRPr="00014E5C" w:rsidRDefault="009C3857" w:rsidP="007861A0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3.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E749C3" w:rsidRPr="00014E5C">
        <w:rPr>
          <w:rFonts w:asciiTheme="minorHAnsi" w:eastAsia="仿宋" w:hAnsiTheme="minorHAnsi" w:cstheme="minorHAnsi"/>
          <w:lang w:val="en-AU" w:eastAsia="zh-CN"/>
        </w:rPr>
        <w:t>NOT</w:t>
      </w:r>
      <w:r w:rsidR="00E749C3" w:rsidRPr="00014E5C">
        <w:rPr>
          <w:rFonts w:asciiTheme="minorHAnsi" w:eastAsia="仿宋" w:hAnsiTheme="minorHAnsi" w:cstheme="minorHAnsi"/>
          <w:lang w:val="en-US" w:eastAsia="zh-CN"/>
        </w:rPr>
        <w:t>ING</w:t>
      </w:r>
      <w:r w:rsidR="00E749C3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that the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total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area of mangroves is 13.8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-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15.2 million hectares, distributing in 118-124 countries (UN WOA, 2016). However, 35%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of 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mangrove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area was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lost in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the two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decades before 2000 (Millennium Ecosystem Assessment, 2005). The loss rate slow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ed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down in recent years and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declined to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2% during 2000-2016</w:t>
      </w:r>
      <w:r w:rsidR="00380E68" w:rsidRPr="00014E5C">
        <w:rPr>
          <w:rStyle w:val="FootnoteReference"/>
          <w:rFonts w:asciiTheme="minorHAnsi" w:eastAsia="仿宋" w:hAnsiTheme="minorHAnsi" w:cstheme="minorHAnsi"/>
          <w:lang w:val="en-AU" w:eastAsia="zh-CN"/>
        </w:rPr>
        <w:footnoteReference w:id="1"/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. There are also a few countries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with an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increasing area of mangroves,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including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China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where the area of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mangroves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has raised by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7,000 hectares in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the two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decades since 2001.</w:t>
      </w:r>
    </w:p>
    <w:p w14:paraId="240B8A81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69CD46E2" w14:textId="170C88B7" w:rsidR="00380E68" w:rsidRPr="00014E5C" w:rsidRDefault="009C3857" w:rsidP="00D2186C">
      <w:pPr>
        <w:rPr>
          <w:rFonts w:asciiTheme="minorHAnsi" w:eastAsia="仿宋" w:hAnsiTheme="minorHAnsi" w:cstheme="minorHAnsi"/>
          <w:highlight w:val="red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4.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E749C3" w:rsidRPr="00014E5C">
        <w:rPr>
          <w:rFonts w:asciiTheme="minorHAnsi" w:eastAsia="仿宋" w:hAnsiTheme="minorHAnsi" w:cstheme="minorHAnsi"/>
          <w:lang w:val="en-US" w:eastAsia="zh-CN"/>
        </w:rPr>
        <w:t>FURTHER N</w:t>
      </w:r>
      <w:r w:rsidR="00E749C3" w:rsidRPr="00014E5C">
        <w:rPr>
          <w:rFonts w:asciiTheme="minorHAnsi" w:eastAsia="仿宋" w:hAnsiTheme="minorHAnsi" w:cstheme="minorHAnsi"/>
          <w:lang w:val="en-AU" w:eastAsia="zh-CN"/>
        </w:rPr>
        <w:t>OT</w:t>
      </w:r>
      <w:r w:rsidR="00E749C3" w:rsidRPr="00014E5C">
        <w:rPr>
          <w:rFonts w:asciiTheme="minorHAnsi" w:eastAsia="仿宋" w:hAnsiTheme="minorHAnsi" w:cstheme="minorHAnsi"/>
          <w:lang w:val="en-US" w:eastAsia="zh-CN"/>
        </w:rPr>
        <w:t>ING</w:t>
      </w:r>
      <w:r w:rsidR="00E749C3" w:rsidRPr="00014E5C">
        <w:rPr>
          <w:rFonts w:asciiTheme="minorHAnsi" w:eastAsia="仿宋" w:hAnsiTheme="minorHAnsi" w:cstheme="minorHAnsi"/>
          <w:b/>
          <w:lang w:val="en-US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bCs/>
          <w:lang w:val="en-US" w:eastAsia="zh-CN"/>
        </w:rPr>
        <w:t>that</w:t>
      </w:r>
      <w:r w:rsidR="00380E68" w:rsidRPr="00014E5C">
        <w:rPr>
          <w:rFonts w:asciiTheme="minorHAnsi" w:eastAsia="仿宋" w:hAnsiTheme="minorHAnsi" w:cstheme="minorHAnsi"/>
          <w:bCs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over 660,000 hectares of mangrove area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lost since 1996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are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highly restorable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.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According to pilot projects,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the full return of ‘highly restorable’ areas could restore or stabilize about 0.35 gigatons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of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carbon (1.3 gigatons of CO</w:t>
      </w:r>
      <w:r w:rsidR="00380E68" w:rsidRPr="00014E5C">
        <w:rPr>
          <w:rFonts w:asciiTheme="minorHAnsi" w:eastAsia="仿宋" w:hAnsiTheme="minorHAnsi" w:cstheme="minorHAnsi"/>
          <w:vertAlign w:val="subscript"/>
          <w:lang w:val="en-AU" w:eastAsia="zh-CN"/>
        </w:rPr>
        <w:t>2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, GMA, 2021).</w:t>
      </w:r>
    </w:p>
    <w:p w14:paraId="03254C02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48E19E86" w14:textId="24C1E43A" w:rsidR="00380E68" w:rsidRPr="00014E5C" w:rsidRDefault="009C3857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lastRenderedPageBreak/>
        <w:t>5.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E749C3" w:rsidRPr="00014E5C">
        <w:rPr>
          <w:rFonts w:asciiTheme="minorHAnsi" w:eastAsia="仿宋" w:hAnsiTheme="minorHAnsi" w:cstheme="minorHAnsi"/>
          <w:bCs/>
          <w:lang w:val="en-AU" w:eastAsia="zh-CN"/>
        </w:rPr>
        <w:t>RECALL</w:t>
      </w:r>
      <w:r w:rsidR="00E749C3" w:rsidRPr="00014E5C">
        <w:rPr>
          <w:rFonts w:asciiTheme="minorHAnsi" w:eastAsia="仿宋" w:hAnsiTheme="minorHAnsi" w:cstheme="minorHAnsi"/>
          <w:bCs/>
          <w:lang w:val="en-US" w:eastAsia="zh-CN"/>
        </w:rPr>
        <w:t>ING</w:t>
      </w:r>
      <w:r w:rsidR="00E749C3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Resolution VIII.32 emphasiz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ing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the importance of mangrove ecosystems and international cooperation on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its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conservation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, and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Resolution XIII.14 call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ing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on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highlighting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and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promoting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conservation of coastal blue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carbon ecosystems, including mangroves.</w:t>
      </w:r>
    </w:p>
    <w:p w14:paraId="128B648F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089D7F52" w14:textId="6379C048" w:rsidR="00380E68" w:rsidRPr="00014E5C" w:rsidRDefault="009C3857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6.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E749C3" w:rsidRPr="00014E5C">
        <w:rPr>
          <w:rFonts w:asciiTheme="minorHAnsi" w:eastAsia="仿宋" w:hAnsiTheme="minorHAnsi" w:cstheme="minorHAnsi"/>
          <w:lang w:val="en-US" w:eastAsia="zh-CN"/>
        </w:rPr>
        <w:t>FURTHER RECALLING</w:t>
      </w:r>
      <w:r w:rsidR="00E749C3" w:rsidRPr="00014E5C">
        <w:rPr>
          <w:rFonts w:asciiTheme="minorHAnsi" w:eastAsia="仿宋" w:hAnsiTheme="minorHAnsi" w:cstheme="minorHAnsi"/>
          <w:b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bCs/>
          <w:lang w:val="en-US" w:eastAsia="zh-CN"/>
        </w:rPr>
        <w:t xml:space="preserve">that 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SC40 approved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the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Regional Initiative for the Integral Management and Wise Use of Mangroves and Coral Reefs in May 2009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, which has </w:t>
      </w:r>
      <w:r w:rsidR="00380E68" w:rsidRPr="00014E5C">
        <w:rPr>
          <w:rFonts w:asciiTheme="minorHAnsi" w:eastAsia="仿宋" w:hAnsiTheme="minorHAnsi" w:cstheme="minorHAnsi"/>
          <w:i/>
          <w:iCs/>
          <w:lang w:val="en-US" w:eastAsia="zh-CN"/>
        </w:rPr>
        <w:t>via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annual meetings and working groups</w:t>
      </w:r>
      <w:r w:rsidR="00380E68" w:rsidRPr="00014E5C">
        <w:rPr>
          <w:rFonts w:asciiTheme="minorHAnsi" w:eastAsia="仿宋" w:hAnsiTheme="minorHAnsi" w:cstheme="minorHAnsi"/>
          <w:lang w:eastAsia="zh-CN"/>
        </w:rPr>
        <w:t>. The Community of Ocean Actions for Mangroves was set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eastAsia="zh-CN"/>
        </w:rPr>
        <w:t xml:space="preserve">up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in the </w:t>
      </w:r>
      <w:r w:rsidR="00380E68" w:rsidRPr="00014E5C">
        <w:rPr>
          <w:rFonts w:asciiTheme="minorHAnsi" w:eastAsia="仿宋" w:hAnsiTheme="minorHAnsi" w:cstheme="minorHAnsi"/>
          <w:lang w:eastAsia="zh-CN"/>
        </w:rPr>
        <w:t xml:space="preserve">UN Ocean Conference in 2017,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involving</w:t>
      </w:r>
      <w:r w:rsidR="00380E68" w:rsidRPr="00014E5C">
        <w:rPr>
          <w:rFonts w:asciiTheme="minorHAnsi" w:eastAsia="仿宋" w:hAnsiTheme="minorHAnsi" w:cstheme="minorHAnsi"/>
          <w:lang w:eastAsia="zh-CN"/>
        </w:rPr>
        <w:t xml:space="preserve"> In 2018,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eastAsia="zh-CN"/>
        </w:rPr>
        <w:t xml:space="preserve">Conservation International (CI), the International Union for Conservation of Nature (IUCN), The Nature Conservancy (TNC), Wetlands International and World Wildlife Fund (WWF) formed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the </w:t>
      </w:r>
      <w:r w:rsidR="00380E68" w:rsidRPr="00014E5C">
        <w:rPr>
          <w:rFonts w:asciiTheme="minorHAnsi" w:eastAsia="仿宋" w:hAnsiTheme="minorHAnsi" w:cstheme="minorHAnsi"/>
          <w:lang w:eastAsia="zh-CN"/>
        </w:rPr>
        <w:t xml:space="preserve">Global Mangrove Alliance to promote NGOs and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other </w:t>
      </w:r>
      <w:r w:rsidR="00380E68" w:rsidRPr="00014E5C">
        <w:rPr>
          <w:rFonts w:asciiTheme="minorHAnsi" w:eastAsia="仿宋" w:hAnsiTheme="minorHAnsi" w:cstheme="minorHAnsi"/>
          <w:lang w:eastAsia="zh-CN"/>
        </w:rPr>
        <w:t>stakeholder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s</w:t>
      </w:r>
      <w:r w:rsidR="00380E68" w:rsidRPr="00014E5C">
        <w:rPr>
          <w:rFonts w:asciiTheme="minorHAnsi" w:eastAsia="仿宋" w:hAnsiTheme="minorHAnsi" w:cstheme="minorHAnsi"/>
          <w:lang w:eastAsia="zh-CN"/>
        </w:rPr>
        <w:t xml:space="preserve"> for conservation and restoration of mangrove ecosystems.</w:t>
      </w:r>
    </w:p>
    <w:p w14:paraId="1D2A1733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72C8D205" w14:textId="3901C917" w:rsidR="00380E68" w:rsidRPr="00014E5C" w:rsidRDefault="009C3857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7.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E749C3" w:rsidRPr="00014E5C">
        <w:rPr>
          <w:rFonts w:asciiTheme="minorHAnsi" w:eastAsia="仿宋" w:hAnsiTheme="minorHAnsi" w:cstheme="minorHAnsi"/>
          <w:lang w:val="en-AU" w:eastAsia="zh-CN"/>
        </w:rPr>
        <w:t>RECOGNIZ</w:t>
      </w:r>
      <w:r w:rsidR="00E749C3" w:rsidRPr="00014E5C">
        <w:rPr>
          <w:rFonts w:asciiTheme="minorHAnsi" w:eastAsia="仿宋" w:hAnsiTheme="minorHAnsi" w:cstheme="minorHAnsi"/>
          <w:lang w:val="en-US" w:eastAsia="zh-CN"/>
        </w:rPr>
        <w:t>ING</w:t>
      </w:r>
      <w:r w:rsidR="00E749C3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that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governments, academi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c communities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,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private sector, NGOs and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public are all stakeholders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in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mangroves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conservation and wise use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. However, governments play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a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fundamental role in national polic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y-making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, fund raising, technology development,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and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international cooperation. Governments of Contracting Parties are the main body to implement the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Ramsar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Convention,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CBD and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UNFCCC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etc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. Therefore, it is necessary to establish an inter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governmental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mechanism for mangrove conservation and restoration in the framework of the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Ramsar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Convention, to strengthen the role of governments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to address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challenges on mangroves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in collaboration with other relevant stakeholders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.</w:t>
      </w:r>
    </w:p>
    <w:p w14:paraId="0A2F1466" w14:textId="77777777" w:rsidR="00380E68" w:rsidRPr="00014E5C" w:rsidRDefault="00380E68" w:rsidP="00D2186C">
      <w:pPr>
        <w:ind w:leftChars="31" w:left="68" w:firstLine="0"/>
        <w:rPr>
          <w:rFonts w:asciiTheme="minorHAnsi" w:eastAsia="仿宋" w:hAnsiTheme="minorHAnsi" w:cstheme="minorHAnsi"/>
          <w:b/>
          <w:lang w:val="en-AU" w:eastAsia="zh-CN"/>
        </w:rPr>
      </w:pPr>
    </w:p>
    <w:p w14:paraId="4B2E3691" w14:textId="77777777" w:rsidR="00380E68" w:rsidRPr="00014E5C" w:rsidRDefault="00380E68" w:rsidP="00D2186C">
      <w:pPr>
        <w:pStyle w:val="DRSubHeading"/>
        <w:spacing w:after="0" w:line="240" w:lineRule="auto"/>
        <w:ind w:left="0"/>
        <w:rPr>
          <w:rFonts w:asciiTheme="minorHAnsi" w:eastAsia="仿宋" w:hAnsiTheme="minorHAnsi" w:cstheme="minorHAnsi"/>
        </w:rPr>
      </w:pPr>
      <w:r w:rsidRPr="00014E5C">
        <w:rPr>
          <w:rFonts w:asciiTheme="minorHAnsi" w:eastAsia="仿宋" w:hAnsiTheme="minorHAnsi" w:cstheme="minorHAnsi"/>
        </w:rPr>
        <w:t>THE CONFERENCE OF THE CONTRACTING PARTIES</w:t>
      </w:r>
    </w:p>
    <w:p w14:paraId="46F02447" w14:textId="77777777" w:rsidR="00380E68" w:rsidRPr="00014E5C" w:rsidRDefault="00380E68" w:rsidP="00D2186C">
      <w:pPr>
        <w:ind w:leftChars="31" w:left="68" w:firstLine="0"/>
        <w:rPr>
          <w:rFonts w:asciiTheme="minorHAnsi" w:eastAsia="仿宋" w:hAnsiTheme="minorHAnsi" w:cstheme="minorHAnsi"/>
          <w:lang w:val="en-AU" w:eastAsia="zh-CN"/>
        </w:rPr>
      </w:pPr>
    </w:p>
    <w:p w14:paraId="05AC9C33" w14:textId="741C442F" w:rsidR="00380E68" w:rsidRPr="00014E5C" w:rsidRDefault="005241FE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8.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D2186C" w:rsidRPr="00014E5C">
        <w:rPr>
          <w:rFonts w:asciiTheme="minorHAnsi" w:eastAsia="仿宋" w:hAnsiTheme="minorHAnsi" w:cstheme="minorHAnsi"/>
          <w:bCs/>
          <w:lang w:val="en-AU" w:eastAsia="zh-CN"/>
        </w:rPr>
        <w:t>WELCOMES</w:t>
      </w:r>
      <w:r w:rsidR="00D2186C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China to host an International Mangrove Center, which will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serve as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the Secretariat and technical service platform for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i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nternational mangrove cooperation in the framework of the Ramsar Convention.</w:t>
      </w:r>
    </w:p>
    <w:p w14:paraId="49F1134A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407DD1A7" w14:textId="63C983F3" w:rsidR="00380E68" w:rsidRPr="00014E5C" w:rsidRDefault="005241FE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9.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D2186C" w:rsidRPr="00014E5C">
        <w:rPr>
          <w:rFonts w:asciiTheme="minorHAnsi" w:eastAsia="仿宋" w:hAnsiTheme="minorHAnsi" w:cstheme="minorHAnsi"/>
          <w:bCs/>
          <w:lang w:val="en-AU" w:eastAsia="zh-CN"/>
        </w:rPr>
        <w:t>INVITES</w:t>
      </w:r>
      <w:r w:rsidR="00D2186C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Parties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and relevant stakeholders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to join this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i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nternational mangrove cooperation mechanism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for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technical exchanges, collaborative research, education and training,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and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pilot projects on conservation and restoration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, to protect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mangrove biodiversity and coastal blue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carbon ecosystem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s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, enhance mangrove ecosystem services and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resilience to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climate change.</w:t>
      </w:r>
    </w:p>
    <w:p w14:paraId="35E0D05B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0CA600FD" w14:textId="0F7CAACE" w:rsidR="00380E68" w:rsidRPr="00014E5C" w:rsidRDefault="005241FE" w:rsidP="00D2186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10.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D2186C" w:rsidRPr="00014E5C">
        <w:rPr>
          <w:rFonts w:asciiTheme="minorHAnsi" w:eastAsia="仿宋" w:hAnsiTheme="minorHAnsi" w:cstheme="minorHAnsi"/>
          <w:bCs/>
          <w:lang w:val="en-AU" w:eastAsia="zh-CN"/>
        </w:rPr>
        <w:t>REQUESTS</w:t>
      </w:r>
      <w:r w:rsidR="00D2186C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>STRP to provide scientific and technical support to the International Mangrove Center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, and r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equests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the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CEPA Oversight Panel to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facilitate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CEPA actions on mangroves.</w:t>
      </w:r>
    </w:p>
    <w:p w14:paraId="578099CA" w14:textId="77777777" w:rsidR="00380E68" w:rsidRPr="00014E5C" w:rsidRDefault="00380E68" w:rsidP="00D2186C">
      <w:pPr>
        <w:pStyle w:val="ListParagraph"/>
        <w:ind w:left="425"/>
        <w:rPr>
          <w:rFonts w:asciiTheme="minorHAnsi" w:eastAsia="仿宋" w:hAnsiTheme="minorHAnsi" w:cstheme="minorHAnsi"/>
          <w:lang w:val="en-AU" w:eastAsia="zh-CN"/>
        </w:rPr>
      </w:pPr>
    </w:p>
    <w:p w14:paraId="0E13B42C" w14:textId="0DF78BC4" w:rsidR="00F344DE" w:rsidRPr="00014E5C" w:rsidRDefault="005241FE" w:rsidP="00014E5C">
      <w:pPr>
        <w:rPr>
          <w:rFonts w:asciiTheme="minorHAnsi" w:eastAsia="仿宋" w:hAnsiTheme="minorHAnsi" w:cstheme="minorHAnsi"/>
          <w:lang w:val="en-AU" w:eastAsia="zh-CN"/>
        </w:rPr>
      </w:pPr>
      <w:r w:rsidRPr="00014E5C">
        <w:rPr>
          <w:rFonts w:asciiTheme="minorHAnsi" w:eastAsia="仿宋" w:hAnsiTheme="minorHAnsi" w:cstheme="minorHAnsi"/>
          <w:lang w:val="en-US" w:eastAsia="zh-CN"/>
        </w:rPr>
        <w:t>11.</w:t>
      </w:r>
      <w:r w:rsidRPr="00014E5C">
        <w:rPr>
          <w:rFonts w:asciiTheme="minorHAnsi" w:eastAsia="仿宋" w:hAnsiTheme="minorHAnsi" w:cstheme="minorHAnsi"/>
          <w:lang w:val="en-US" w:eastAsia="zh-CN"/>
        </w:rPr>
        <w:tab/>
      </w:r>
      <w:r w:rsidR="00D2186C" w:rsidRPr="00014E5C">
        <w:rPr>
          <w:rFonts w:asciiTheme="minorHAnsi" w:eastAsia="仿宋" w:hAnsiTheme="minorHAnsi" w:cstheme="minorHAnsi"/>
          <w:bCs/>
          <w:lang w:val="en-AU" w:eastAsia="zh-CN"/>
        </w:rPr>
        <w:t>REQUESTS</w:t>
      </w:r>
      <w:r w:rsidR="00D2186C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the Secretariat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to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 xml:space="preserve">provide support in 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coordination and communication </w:t>
      </w:r>
      <w:r w:rsidR="00380E68" w:rsidRPr="00014E5C">
        <w:rPr>
          <w:rFonts w:asciiTheme="minorHAnsi" w:eastAsia="仿宋" w:hAnsiTheme="minorHAnsi" w:cstheme="minorHAnsi"/>
          <w:lang w:val="en-US" w:eastAsia="zh-CN"/>
        </w:rPr>
        <w:t>with regard to</w:t>
      </w:r>
      <w:r w:rsidR="00380E68" w:rsidRPr="00014E5C">
        <w:rPr>
          <w:rFonts w:asciiTheme="minorHAnsi" w:eastAsia="仿宋" w:hAnsiTheme="minorHAnsi" w:cstheme="minorHAnsi"/>
          <w:lang w:val="en-AU" w:eastAsia="zh-CN"/>
        </w:rPr>
        <w:t xml:space="preserve"> the establishment and operation of the International Mangrove Center.</w:t>
      </w:r>
      <w:r w:rsidR="00A3137A" w:rsidRPr="00014E5C">
        <w:rPr>
          <w:rFonts w:asciiTheme="minorHAnsi" w:eastAsia="仿宋" w:hAnsiTheme="minorHAnsi" w:cstheme="minorHAnsi"/>
          <w:lang w:val="en-AU" w:eastAsia="zh-CN"/>
        </w:rPr>
        <w:t>]</w:t>
      </w:r>
    </w:p>
    <w:sectPr w:rsidR="00F344DE" w:rsidRPr="00014E5C" w:rsidSect="00014E5C">
      <w:headerReference w:type="default" r:id="rId11"/>
      <w:footerReference w:type="defaul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BE0C" w14:textId="77777777" w:rsidR="00B32084" w:rsidRDefault="00B32084" w:rsidP="00DF2386">
      <w:r>
        <w:separator/>
      </w:r>
    </w:p>
  </w:endnote>
  <w:endnote w:type="continuationSeparator" w:id="0">
    <w:p w14:paraId="3179134F" w14:textId="77777777" w:rsidR="00B32084" w:rsidRDefault="00B32084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72B2" w14:textId="11B3EC5F" w:rsidR="00F73E71" w:rsidRDefault="00D2186C" w:rsidP="002137E0">
    <w:pPr>
      <w:pStyle w:val="Header"/>
      <w:rPr>
        <w:noProof/>
      </w:rPr>
    </w:pPr>
    <w:r w:rsidRPr="00A9797A">
      <w:rPr>
        <w:rFonts w:asciiTheme="minorHAnsi" w:hAnsiTheme="minorHAnsi" w:cstheme="minorHAnsi"/>
        <w:sz w:val="20"/>
        <w:szCs w:val="20"/>
      </w:rPr>
      <w:t>COP14 Doc.</w:t>
    </w:r>
    <w:r w:rsidR="00A9797A" w:rsidRPr="00A9797A">
      <w:rPr>
        <w:rFonts w:asciiTheme="minorHAnsi" w:hAnsiTheme="minorHAnsi" w:cstheme="minorHAnsi"/>
        <w:sz w:val="20"/>
        <w:szCs w:val="20"/>
      </w:rPr>
      <w:t>18</w:t>
    </w:r>
    <w:r w:rsidR="00A9797A">
      <w:rPr>
        <w:rFonts w:asciiTheme="minorHAnsi" w:hAnsiTheme="minorHAnsi" w:cstheme="minorHAnsi"/>
        <w:sz w:val="20"/>
        <w:szCs w:val="20"/>
      </w:rPr>
      <w:t>.22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ED605C">
      <w:rPr>
        <w:rFonts w:asciiTheme="minorHAnsi" w:hAnsiTheme="minorHAnsi" w:cstheme="minorHAnsi"/>
        <w:sz w:val="20"/>
        <w:szCs w:val="20"/>
      </w:rPr>
      <w:fldChar w:fldCharType="begin"/>
    </w:r>
    <w:r w:rsidRPr="00ED605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D605C">
      <w:rPr>
        <w:rFonts w:asciiTheme="minorHAnsi" w:hAnsiTheme="minorHAnsi" w:cstheme="minorHAnsi"/>
        <w:sz w:val="20"/>
        <w:szCs w:val="20"/>
      </w:rPr>
      <w:fldChar w:fldCharType="separate"/>
    </w:r>
    <w:r w:rsidR="00E404E7">
      <w:rPr>
        <w:rFonts w:asciiTheme="minorHAnsi" w:hAnsiTheme="minorHAnsi" w:cstheme="minorHAnsi"/>
        <w:noProof/>
        <w:sz w:val="20"/>
        <w:szCs w:val="20"/>
      </w:rPr>
      <w:t>2</w:t>
    </w:r>
    <w:r w:rsidRPr="00ED605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CC94" w14:textId="2D033FDC" w:rsidR="00380E68" w:rsidRDefault="00380E68" w:rsidP="00380E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E0BC" w14:textId="77777777" w:rsidR="00B32084" w:rsidRDefault="00B32084" w:rsidP="00DF2386">
      <w:r>
        <w:separator/>
      </w:r>
    </w:p>
  </w:footnote>
  <w:footnote w:type="continuationSeparator" w:id="0">
    <w:p w14:paraId="75DE7FC0" w14:textId="77777777" w:rsidR="00B32084" w:rsidRDefault="00B32084" w:rsidP="00DF2386">
      <w:r>
        <w:continuationSeparator/>
      </w:r>
    </w:p>
  </w:footnote>
  <w:footnote w:id="1">
    <w:p w14:paraId="2CAB5BDB" w14:textId="77777777" w:rsidR="00380E68" w:rsidRPr="00AC0415" w:rsidRDefault="00380E68" w:rsidP="00380E68">
      <w:pPr>
        <w:pStyle w:val="FootnoteText"/>
        <w:rPr>
          <w:rFonts w:eastAsiaTheme="minorEastAsia"/>
          <w:lang w:val="sv-FI" w:eastAsia="zh-CN"/>
        </w:rPr>
      </w:pPr>
      <w:r>
        <w:rPr>
          <w:rStyle w:val="FootnoteReference"/>
        </w:rPr>
        <w:footnoteRef/>
      </w:r>
      <w:r w:rsidRPr="00AC0415">
        <w:rPr>
          <w:lang w:val="sv-FI"/>
        </w:rPr>
        <w:t xml:space="preserve"> </w:t>
      </w:r>
      <w:r w:rsidRPr="00AC0415">
        <w:rPr>
          <w:rFonts w:eastAsiaTheme="minorEastAsia"/>
          <w:lang w:val="sv-FI" w:eastAsia="zh-CN"/>
        </w:rPr>
        <w:t>Goldberg et al. 2020. https://doi.org/10.1111/gcb.15275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B7D2" w14:textId="77777777" w:rsidR="00F73E71" w:rsidRDefault="00F73E71">
    <w:pPr>
      <w:pStyle w:val="Header"/>
    </w:pPr>
  </w:p>
  <w:p w14:paraId="62D4BCDE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F332B7"/>
    <w:multiLevelType w:val="multilevel"/>
    <w:tmpl w:val="6AF332B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highligh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6F2C2E"/>
    <w:multiLevelType w:val="hybridMultilevel"/>
    <w:tmpl w:val="559A6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8"/>
  </w:num>
  <w:num w:numId="19">
    <w:abstractNumId w:val="27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4E5C"/>
    <w:rsid w:val="00017A16"/>
    <w:rsid w:val="00026E09"/>
    <w:rsid w:val="00037CE0"/>
    <w:rsid w:val="00042CCC"/>
    <w:rsid w:val="00051031"/>
    <w:rsid w:val="00053929"/>
    <w:rsid w:val="00074DE8"/>
    <w:rsid w:val="000944EB"/>
    <w:rsid w:val="000A3E3E"/>
    <w:rsid w:val="000C2489"/>
    <w:rsid w:val="000D5C76"/>
    <w:rsid w:val="000E2FA0"/>
    <w:rsid w:val="000E47E9"/>
    <w:rsid w:val="0012096C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356BE"/>
    <w:rsid w:val="00236CF5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2F6155"/>
    <w:rsid w:val="00324398"/>
    <w:rsid w:val="00380E68"/>
    <w:rsid w:val="00384FC3"/>
    <w:rsid w:val="00390591"/>
    <w:rsid w:val="003A3804"/>
    <w:rsid w:val="003A52BE"/>
    <w:rsid w:val="003A5866"/>
    <w:rsid w:val="003A6E9F"/>
    <w:rsid w:val="003C2D9F"/>
    <w:rsid w:val="003D4CD6"/>
    <w:rsid w:val="004228C7"/>
    <w:rsid w:val="0042798B"/>
    <w:rsid w:val="00434913"/>
    <w:rsid w:val="004474F8"/>
    <w:rsid w:val="00477550"/>
    <w:rsid w:val="004844A8"/>
    <w:rsid w:val="00496803"/>
    <w:rsid w:val="004B6688"/>
    <w:rsid w:val="005241FE"/>
    <w:rsid w:val="005244A4"/>
    <w:rsid w:val="00527783"/>
    <w:rsid w:val="00564A18"/>
    <w:rsid w:val="005814B5"/>
    <w:rsid w:val="00597B12"/>
    <w:rsid w:val="005D3E9D"/>
    <w:rsid w:val="006256D3"/>
    <w:rsid w:val="00627BB7"/>
    <w:rsid w:val="00631D08"/>
    <w:rsid w:val="00644A13"/>
    <w:rsid w:val="0065136E"/>
    <w:rsid w:val="00670D71"/>
    <w:rsid w:val="006E7DCE"/>
    <w:rsid w:val="007050FF"/>
    <w:rsid w:val="007201C7"/>
    <w:rsid w:val="00752764"/>
    <w:rsid w:val="00766962"/>
    <w:rsid w:val="00775287"/>
    <w:rsid w:val="007861A0"/>
    <w:rsid w:val="007D33F4"/>
    <w:rsid w:val="007D5536"/>
    <w:rsid w:val="007F3ABE"/>
    <w:rsid w:val="008328E9"/>
    <w:rsid w:val="00835BCB"/>
    <w:rsid w:val="00835CDC"/>
    <w:rsid w:val="00850B09"/>
    <w:rsid w:val="00863B9D"/>
    <w:rsid w:val="00863BE6"/>
    <w:rsid w:val="008775BC"/>
    <w:rsid w:val="00882F1B"/>
    <w:rsid w:val="008964EB"/>
    <w:rsid w:val="008A70CE"/>
    <w:rsid w:val="008C25E4"/>
    <w:rsid w:val="008C2DAE"/>
    <w:rsid w:val="008E7227"/>
    <w:rsid w:val="008F75D1"/>
    <w:rsid w:val="009059A9"/>
    <w:rsid w:val="00913F95"/>
    <w:rsid w:val="0092515E"/>
    <w:rsid w:val="00942FBD"/>
    <w:rsid w:val="0094770B"/>
    <w:rsid w:val="009B2267"/>
    <w:rsid w:val="009C3857"/>
    <w:rsid w:val="009E0AE8"/>
    <w:rsid w:val="009E5374"/>
    <w:rsid w:val="009F345D"/>
    <w:rsid w:val="00A13218"/>
    <w:rsid w:val="00A227A3"/>
    <w:rsid w:val="00A3137A"/>
    <w:rsid w:val="00A60B73"/>
    <w:rsid w:val="00A80080"/>
    <w:rsid w:val="00A9797A"/>
    <w:rsid w:val="00AB4951"/>
    <w:rsid w:val="00AC0415"/>
    <w:rsid w:val="00B315A0"/>
    <w:rsid w:val="00B32084"/>
    <w:rsid w:val="00B34A18"/>
    <w:rsid w:val="00B468CE"/>
    <w:rsid w:val="00B579CB"/>
    <w:rsid w:val="00B626CD"/>
    <w:rsid w:val="00B70083"/>
    <w:rsid w:val="00B83EF9"/>
    <w:rsid w:val="00B9629F"/>
    <w:rsid w:val="00BB28F6"/>
    <w:rsid w:val="00BB61B4"/>
    <w:rsid w:val="00BC2609"/>
    <w:rsid w:val="00C0528F"/>
    <w:rsid w:val="00C13145"/>
    <w:rsid w:val="00CE750F"/>
    <w:rsid w:val="00D160CB"/>
    <w:rsid w:val="00D2186C"/>
    <w:rsid w:val="00D245A1"/>
    <w:rsid w:val="00D415E2"/>
    <w:rsid w:val="00D42055"/>
    <w:rsid w:val="00D647C3"/>
    <w:rsid w:val="00D76A1F"/>
    <w:rsid w:val="00D9633A"/>
    <w:rsid w:val="00DF2386"/>
    <w:rsid w:val="00DF690B"/>
    <w:rsid w:val="00DF7FE7"/>
    <w:rsid w:val="00E07553"/>
    <w:rsid w:val="00E404E7"/>
    <w:rsid w:val="00E46367"/>
    <w:rsid w:val="00E47EA4"/>
    <w:rsid w:val="00E63F0B"/>
    <w:rsid w:val="00E749C3"/>
    <w:rsid w:val="00EA3A7F"/>
    <w:rsid w:val="00F078F1"/>
    <w:rsid w:val="00F32D03"/>
    <w:rsid w:val="00F344DE"/>
    <w:rsid w:val="00F71509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4256252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qFormat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RSubHeading">
    <w:name w:val="DR Sub Heading"/>
    <w:basedOn w:val="Normal"/>
    <w:link w:val="DRSubHeadingChar"/>
    <w:qFormat/>
    <w:rsid w:val="00380E68"/>
    <w:pPr>
      <w:widowControl w:val="0"/>
      <w:spacing w:after="240" w:line="276" w:lineRule="auto"/>
      <w:ind w:left="426" w:firstLine="0"/>
      <w:jc w:val="center"/>
    </w:pPr>
    <w:rPr>
      <w:rFonts w:ascii="Times New Roman" w:eastAsiaTheme="majorEastAsia" w:hAnsi="Times New Roman"/>
      <w:color w:val="000000" w:themeColor="text1"/>
      <w:lang w:eastAsia="en-GB"/>
    </w:rPr>
  </w:style>
  <w:style w:type="character" w:customStyle="1" w:styleId="DRSubHeadingChar">
    <w:name w:val="DR Sub Heading Char"/>
    <w:basedOn w:val="DefaultParagraphFont"/>
    <w:link w:val="DRSubHeading"/>
    <w:qFormat/>
    <w:rsid w:val="00380E68"/>
    <w:rPr>
      <w:rFonts w:ascii="Times New Roman" w:eastAsiaTheme="majorEastAsia" w:hAnsi="Times New Roman" w:cs="Times New Roman"/>
      <w:color w:val="000000" w:themeColor="text1"/>
      <w:lang w:eastAsia="en-GB"/>
    </w:rPr>
  </w:style>
  <w:style w:type="paragraph" w:customStyle="1" w:styleId="Default">
    <w:name w:val="Default"/>
    <w:rsid w:val="009C3857"/>
    <w:pPr>
      <w:autoSpaceDE w:val="0"/>
      <w:autoSpaceDN w:val="0"/>
      <w:adjustRightInd w:val="0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DFED-1517-4596-AE9C-489BCD2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D8BB8-6588-4BB8-B217-3D43AC5EF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C104-9E3F-42D7-A978-021CE9F6B2E5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c0b6b05-eb82-4bda-97e8-cd82d0d6b45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0B3A01-18D7-4276-8C0C-8F6D2773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Ed Jennings</cp:lastModifiedBy>
  <cp:revision>2</cp:revision>
  <cp:lastPrinted>2022-03-25T18:43:00Z</cp:lastPrinted>
  <dcterms:created xsi:type="dcterms:W3CDTF">2022-08-09T07:25:00Z</dcterms:created>
  <dcterms:modified xsi:type="dcterms:W3CDTF">2022-08-09T07:25:00Z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