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60A3B" w14:textId="77777777" w:rsidR="007F4938" w:rsidRPr="00553147" w:rsidRDefault="00C55C3F" w:rsidP="00C55C3F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14ª Conferencia de las Partes Contratantes </w:t>
      </w:r>
    </w:p>
    <w:p w14:paraId="0DC2C1F6" w14:textId="6A299C71" w:rsidR="00E024E2" w:rsidRPr="00553147" w:rsidRDefault="00C55C3F" w:rsidP="00C55C3F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en la Convención </w:t>
      </w:r>
      <w:r w:rsidR="00A64A5F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de Ramsar </w:t>
      </w:r>
      <w:r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sobre los Humedales</w:t>
      </w:r>
    </w:p>
    <w:p w14:paraId="0397C0E1" w14:textId="77777777" w:rsidR="00E024E2" w:rsidRPr="00553147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16E31E62" w14:textId="7816859C" w:rsidR="00D55975" w:rsidRPr="00553147" w:rsidRDefault="00E024E2" w:rsidP="007F4938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“</w:t>
      </w:r>
      <w:r w:rsidR="002C629F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Acción</w:t>
      </w:r>
      <w:r w:rsidR="00D55975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 en favor de los humedales para las personas y la naturaleza</w:t>
      </w:r>
      <w:r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”</w:t>
      </w:r>
    </w:p>
    <w:p w14:paraId="794993B1" w14:textId="541FC235" w:rsidR="00E024E2" w:rsidRPr="00553147" w:rsidRDefault="00D16194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Wuhan</w:t>
      </w:r>
      <w:r w:rsidR="00C55C3F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 (</w:t>
      </w:r>
      <w:r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China</w:t>
      </w:r>
      <w:r w:rsidR="00C55C3F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)</w:t>
      </w:r>
      <w:r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 </w:t>
      </w:r>
      <w:r w:rsidR="00C55C3F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y</w:t>
      </w:r>
      <w:r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 </w:t>
      </w:r>
      <w:r w:rsidR="00C55C3F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Ginebra (</w:t>
      </w:r>
      <w:r w:rsidR="00B52CE1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Suiza</w:t>
      </w:r>
      <w:r w:rsidR="00C55C3F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)</w:t>
      </w:r>
      <w:r w:rsidR="00B52CE1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,</w:t>
      </w:r>
      <w:r w:rsidR="00E024E2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 5</w:t>
      </w:r>
      <w:r w:rsidR="00C55C3F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 a </w:t>
      </w:r>
      <w:r w:rsidR="00E024E2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13 </w:t>
      </w:r>
      <w:r w:rsidR="00C55C3F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>de noviembre de</w:t>
      </w:r>
      <w:r w:rsidR="00E024E2" w:rsidRPr="00553147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 2022</w:t>
      </w:r>
    </w:p>
    <w:p w14:paraId="16B3F466" w14:textId="77777777" w:rsidR="00E024E2" w:rsidRPr="00553147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641"/>
        <w:gridCol w:w="4375"/>
      </w:tblGrid>
      <w:tr w:rsidR="00E024E2" w:rsidRPr="00553147" w14:paraId="4443E3AA" w14:textId="77777777" w:rsidTr="00FA0356">
        <w:tc>
          <w:tcPr>
            <w:tcW w:w="4708" w:type="dxa"/>
          </w:tcPr>
          <w:p w14:paraId="10B3B3B7" w14:textId="77777777" w:rsidR="00E024E2" w:rsidRPr="00553147" w:rsidRDefault="00E024E2" w:rsidP="003E5D4B">
            <w:pPr>
              <w:spacing w:line="240" w:lineRule="auto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426" w:type="dxa"/>
          </w:tcPr>
          <w:p w14:paraId="590231F8" w14:textId="73D10C08" w:rsidR="00E024E2" w:rsidRPr="00553147" w:rsidRDefault="00A20A43" w:rsidP="003058BC">
            <w:pPr>
              <w:spacing w:line="240" w:lineRule="auto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553147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Ramsar COP14 Doc.</w:t>
            </w:r>
            <w:r w:rsidR="00270C3D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3</w:t>
            </w:r>
            <w:r w:rsidR="003058BC" w:rsidRPr="00553147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.</w:t>
            </w:r>
            <w:r w:rsidR="00270C3D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1</w:t>
            </w:r>
          </w:p>
        </w:tc>
      </w:tr>
    </w:tbl>
    <w:p w14:paraId="4A3D9E3F" w14:textId="615D5EB3" w:rsidR="00DD5291" w:rsidRPr="00553147" w:rsidRDefault="00DD5291" w:rsidP="00FA0356">
      <w:pPr>
        <w:spacing w:line="240" w:lineRule="auto"/>
        <w:rPr>
          <w:rFonts w:cs="Times New Roman"/>
          <w:noProof/>
          <w:lang w:val="es-ES"/>
        </w:rPr>
      </w:pPr>
    </w:p>
    <w:p w14:paraId="18F1B987" w14:textId="38E350B4" w:rsidR="00FA0356" w:rsidRPr="00553147" w:rsidRDefault="00FA0356" w:rsidP="00FA0356">
      <w:pPr>
        <w:widowControl w:val="0"/>
        <w:spacing w:line="240" w:lineRule="auto"/>
        <w:rPr>
          <w:rFonts w:cstheme="minorHAnsi"/>
          <w:noProof/>
          <w:lang w:val="es-ES"/>
        </w:rPr>
      </w:pPr>
    </w:p>
    <w:p w14:paraId="69F17080" w14:textId="77777777" w:rsidR="00DD5291" w:rsidRPr="00553147" w:rsidRDefault="00DD5291" w:rsidP="00FA0356">
      <w:pPr>
        <w:spacing w:line="240" w:lineRule="auto"/>
        <w:jc w:val="center"/>
        <w:rPr>
          <w:rFonts w:cs="Times New Roman"/>
          <w:noProof/>
          <w:lang w:val="es-ES"/>
        </w:rPr>
      </w:pPr>
    </w:p>
    <w:p w14:paraId="0A96B207" w14:textId="35C780E0" w:rsidR="00FB2D43" w:rsidRPr="00553147" w:rsidRDefault="00893FC9" w:rsidP="00FA0356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es-ES"/>
        </w:rPr>
      </w:pPr>
      <w:r w:rsidRPr="00553147">
        <w:rPr>
          <w:rFonts w:cs="Times New Roman"/>
          <w:b/>
          <w:noProof/>
          <w:sz w:val="28"/>
          <w:szCs w:val="28"/>
          <w:lang w:val="es-ES"/>
        </w:rPr>
        <w:t>Orden del día p</w:t>
      </w:r>
      <w:r w:rsidR="0076274A" w:rsidRPr="00553147">
        <w:rPr>
          <w:rFonts w:cs="Times New Roman"/>
          <w:b/>
          <w:noProof/>
          <w:sz w:val="28"/>
          <w:szCs w:val="28"/>
          <w:lang w:val="es-ES"/>
        </w:rPr>
        <w:t>rovisional</w:t>
      </w:r>
    </w:p>
    <w:p w14:paraId="17C77728" w14:textId="71D7087A" w:rsidR="00BE19AD" w:rsidRPr="00553147" w:rsidRDefault="00BE19AD" w:rsidP="00BE19AD">
      <w:pPr>
        <w:spacing w:line="240" w:lineRule="auto"/>
        <w:rPr>
          <w:rFonts w:cs="Times New Roman"/>
          <w:b/>
          <w:noProof/>
          <w:lang w:val="es-ES"/>
        </w:rPr>
      </w:pPr>
    </w:p>
    <w:p w14:paraId="763392B2" w14:textId="77777777" w:rsidR="0076274A" w:rsidRPr="00553147" w:rsidRDefault="0076274A" w:rsidP="0076274A">
      <w:pPr>
        <w:spacing w:line="240" w:lineRule="auto"/>
        <w:rPr>
          <w:rFonts w:cs="Arial"/>
          <w:b/>
          <w:noProof/>
          <w:lang w:val="es-ES"/>
        </w:rPr>
      </w:pPr>
    </w:p>
    <w:p w14:paraId="338FBEF6" w14:textId="77777777" w:rsidR="0076274A" w:rsidRPr="00553147" w:rsidRDefault="0076274A" w:rsidP="0076274A">
      <w:pPr>
        <w:spacing w:line="240" w:lineRule="auto"/>
        <w:rPr>
          <w:rFonts w:cs="Arial"/>
          <w:b/>
          <w:noProof/>
          <w:lang w:val="es-ES"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6175"/>
        <w:gridCol w:w="1925"/>
      </w:tblGrid>
      <w:tr w:rsidR="0076274A" w:rsidRPr="00553147" w14:paraId="752317FE" w14:textId="77777777" w:rsidTr="001C6F9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9DA66E" w14:textId="77777777" w:rsidR="0076274A" w:rsidRPr="00553147" w:rsidRDefault="0076274A" w:rsidP="0012029C">
            <w:pPr>
              <w:keepNext/>
              <w:contextualSpacing/>
              <w:rPr>
                <w:b/>
                <w:bCs/>
                <w:noProof/>
                <w:lang w:val="es-ES"/>
              </w:rPr>
            </w:pPr>
          </w:p>
        </w:tc>
        <w:tc>
          <w:tcPr>
            <w:tcW w:w="6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06933E" w14:textId="0A9779A7" w:rsidR="0076274A" w:rsidRPr="00553147" w:rsidRDefault="00D55975" w:rsidP="0012029C">
            <w:pPr>
              <w:keepNext/>
              <w:contextualSpacing/>
              <w:rPr>
                <w:b/>
                <w:bCs/>
                <w:noProof/>
                <w:lang w:val="es-ES"/>
              </w:rPr>
            </w:pPr>
            <w:r w:rsidRPr="00553147">
              <w:rPr>
                <w:b/>
                <w:bCs/>
                <w:noProof/>
                <w:lang w:val="es-ES"/>
              </w:rPr>
              <w:t>Punto del orden del día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4B7DBB" w14:textId="07082B7B" w:rsidR="0076274A" w:rsidRPr="00553147" w:rsidRDefault="0076274A" w:rsidP="0012029C">
            <w:pPr>
              <w:keepNext/>
              <w:contextualSpacing/>
              <w:rPr>
                <w:b/>
                <w:bCs/>
                <w:noProof/>
                <w:lang w:val="es-ES"/>
              </w:rPr>
            </w:pPr>
            <w:r w:rsidRPr="00553147">
              <w:rPr>
                <w:b/>
                <w:bCs/>
                <w:noProof/>
                <w:lang w:val="es-ES"/>
              </w:rPr>
              <w:t>Document</w:t>
            </w:r>
            <w:r w:rsidR="00D55975" w:rsidRPr="00553147">
              <w:rPr>
                <w:b/>
                <w:bCs/>
                <w:noProof/>
                <w:lang w:val="es-ES"/>
              </w:rPr>
              <w:t>o</w:t>
            </w:r>
          </w:p>
        </w:tc>
      </w:tr>
      <w:tr w:rsidR="0076274A" w:rsidRPr="00553147" w14:paraId="136D1F06" w14:textId="77777777" w:rsidTr="001C6F9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E5C59CB" w14:textId="77777777" w:rsidR="0076274A" w:rsidRPr="00553147" w:rsidRDefault="0076274A" w:rsidP="0012029C">
            <w:pPr>
              <w:keepNext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ED9797" w14:textId="4ED7068F" w:rsidR="0076274A" w:rsidRPr="00553147" w:rsidRDefault="00D55975" w:rsidP="0012029C">
            <w:pPr>
              <w:keepNext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Apertura de la reunión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0DD4357" w14:textId="43EE3DB7" w:rsidR="0076274A" w:rsidRPr="00553147" w:rsidRDefault="00957AB4" w:rsidP="00D55975">
            <w:pPr>
              <w:keepNext/>
              <w:ind w:left="0" w:firstLine="0"/>
              <w:contextualSpacing/>
              <w:rPr>
                <w:bCs/>
                <w:noProof/>
                <w:lang w:val="es-ES"/>
              </w:rPr>
            </w:pPr>
            <w:r>
              <w:rPr>
                <w:bCs/>
                <w:noProof/>
                <w:lang w:val="es-ES"/>
              </w:rPr>
              <w:t>S</w:t>
            </w:r>
            <w:r w:rsidR="00D55975" w:rsidRPr="00553147">
              <w:rPr>
                <w:bCs/>
                <w:noProof/>
                <w:lang w:val="es-ES"/>
              </w:rPr>
              <w:t>in documento</w:t>
            </w:r>
          </w:p>
        </w:tc>
      </w:tr>
      <w:tr w:rsidR="0076274A" w:rsidRPr="00553147" w14:paraId="2C50FAB8" w14:textId="77777777" w:rsidTr="001C6F9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C4BE86B" w14:textId="77777777" w:rsidR="0076274A" w:rsidRPr="00553147" w:rsidRDefault="0076274A" w:rsidP="0012029C">
            <w:pPr>
              <w:keepNext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2.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6A5BEA3" w14:textId="77777777" w:rsidR="00D55975" w:rsidRPr="00553147" w:rsidRDefault="00D55975" w:rsidP="0012029C">
            <w:pPr>
              <w:keepNext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 xml:space="preserve">Declaraciones generales y discursos de apertura </w:t>
            </w:r>
          </w:p>
          <w:p w14:paraId="67203666" w14:textId="199D0F69" w:rsidR="00F074E2" w:rsidRPr="00553147" w:rsidRDefault="00D55975" w:rsidP="00ED6B39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Ceremonia de entrega de Premios Ramsar a la Conservación de los Humedales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9D3C59D" w14:textId="7B887B61" w:rsidR="0076274A" w:rsidRPr="00553147" w:rsidRDefault="00957AB4" w:rsidP="0012029C">
            <w:pPr>
              <w:keepNext/>
              <w:contextualSpacing/>
              <w:rPr>
                <w:bCs/>
                <w:noProof/>
                <w:lang w:val="es-ES"/>
              </w:rPr>
            </w:pPr>
            <w:r>
              <w:rPr>
                <w:bCs/>
                <w:noProof/>
                <w:lang w:val="es-ES"/>
              </w:rPr>
              <w:t>S</w:t>
            </w:r>
            <w:r w:rsidRPr="00553147">
              <w:rPr>
                <w:bCs/>
                <w:noProof/>
                <w:lang w:val="es-ES"/>
              </w:rPr>
              <w:t>in documento</w:t>
            </w:r>
          </w:p>
        </w:tc>
      </w:tr>
      <w:tr w:rsidR="0076274A" w:rsidRPr="00553147" w14:paraId="0E89A4DA" w14:textId="77777777" w:rsidTr="0012029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AF20C9" w14:textId="2F16FF2A" w:rsidR="0076274A" w:rsidRPr="00553147" w:rsidRDefault="00D55975" w:rsidP="0012029C">
            <w:pPr>
              <w:keepNext/>
              <w:contextualSpacing/>
              <w:rPr>
                <w:b/>
                <w:bCs/>
                <w:noProof/>
                <w:lang w:val="es-ES"/>
              </w:rPr>
            </w:pPr>
            <w:r w:rsidRPr="00553147">
              <w:rPr>
                <w:b/>
                <w:bCs/>
                <w:noProof/>
                <w:lang w:val="es-ES"/>
              </w:rPr>
              <w:t>Cuestiones de procedimiento</w:t>
            </w:r>
          </w:p>
        </w:tc>
      </w:tr>
      <w:tr w:rsidR="00D55975" w:rsidRPr="00270C3D" w14:paraId="29313959" w14:textId="77777777" w:rsidTr="001C6F96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185ECE7" w14:textId="77777777" w:rsidR="00D55975" w:rsidRPr="00553147" w:rsidRDefault="00D55975" w:rsidP="00D55975">
            <w:pPr>
              <w:keepNext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3.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9DE2C1E" w14:textId="23E9C3FC" w:rsidR="00D55975" w:rsidRPr="00553147" w:rsidRDefault="00D55975" w:rsidP="00D55975">
            <w:pPr>
              <w:keepNext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Adopción del orden del día y el programa de trabajo provisionales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4F3856" w14:textId="77777777" w:rsidR="00D55975" w:rsidRPr="00553147" w:rsidRDefault="00D55975" w:rsidP="00D55975">
            <w:pPr>
              <w:keepNext/>
              <w:contextualSpacing/>
              <w:rPr>
                <w:bCs/>
                <w:noProof/>
                <w:lang w:val="es-ES"/>
              </w:rPr>
            </w:pPr>
          </w:p>
        </w:tc>
      </w:tr>
      <w:tr w:rsidR="00674592" w:rsidRPr="00553147" w14:paraId="2CB01211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071D9C8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0ABCAE51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3.1</w:t>
            </w:r>
          </w:p>
        </w:tc>
        <w:tc>
          <w:tcPr>
            <w:tcW w:w="6175" w:type="dxa"/>
            <w:tcBorders>
              <w:bottom w:val="single" w:sz="2" w:space="0" w:color="auto"/>
            </w:tcBorders>
          </w:tcPr>
          <w:p w14:paraId="316576A4" w14:textId="2ECE968F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Orden del día provisional</w:t>
            </w:r>
          </w:p>
        </w:tc>
        <w:tc>
          <w:tcPr>
            <w:tcW w:w="1925" w:type="dxa"/>
            <w:tcBorders>
              <w:bottom w:val="single" w:sz="2" w:space="0" w:color="auto"/>
              <w:right w:val="single" w:sz="6" w:space="0" w:color="auto"/>
            </w:tcBorders>
          </w:tcPr>
          <w:p w14:paraId="3E49B4F6" w14:textId="28AF824E" w:rsidR="00674592" w:rsidRPr="00553147" w:rsidRDefault="00674592" w:rsidP="00674592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.3.1</w:t>
            </w:r>
          </w:p>
        </w:tc>
      </w:tr>
      <w:tr w:rsidR="00674592" w:rsidRPr="001C6F96" w14:paraId="70F09860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79B1E1B3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382C93D4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3.2</w:t>
            </w:r>
          </w:p>
        </w:tc>
        <w:tc>
          <w:tcPr>
            <w:tcW w:w="6175" w:type="dxa"/>
            <w:tcBorders>
              <w:bottom w:val="single" w:sz="2" w:space="0" w:color="auto"/>
            </w:tcBorders>
          </w:tcPr>
          <w:p w14:paraId="212FF2FA" w14:textId="33DB9396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Programa de trabajo provisional</w:t>
            </w:r>
          </w:p>
        </w:tc>
        <w:tc>
          <w:tcPr>
            <w:tcW w:w="1925" w:type="dxa"/>
            <w:tcBorders>
              <w:bottom w:val="single" w:sz="2" w:space="0" w:color="auto"/>
              <w:right w:val="single" w:sz="6" w:space="0" w:color="auto"/>
            </w:tcBorders>
          </w:tcPr>
          <w:p w14:paraId="7026A06E" w14:textId="77777777" w:rsidR="00674592" w:rsidRDefault="00674592" w:rsidP="00674592">
            <w:pPr>
              <w:contextualSpacing/>
              <w:rPr>
                <w:bCs/>
              </w:rPr>
            </w:pPr>
            <w:r w:rsidRPr="007747C1">
              <w:rPr>
                <w:bCs/>
              </w:rPr>
              <w:t>COP14 Doc.3.2.1</w:t>
            </w:r>
          </w:p>
          <w:p w14:paraId="14E5A1B6" w14:textId="77777777" w:rsidR="00674592" w:rsidRPr="007747C1" w:rsidRDefault="00674592" w:rsidP="00674592">
            <w:pPr>
              <w:contextualSpacing/>
              <w:rPr>
                <w:bCs/>
              </w:rPr>
            </w:pPr>
            <w:r w:rsidRPr="007747C1">
              <w:rPr>
                <w:bCs/>
              </w:rPr>
              <w:t>(Wuhan)</w:t>
            </w:r>
          </w:p>
          <w:p w14:paraId="48797F6F" w14:textId="77777777" w:rsidR="00674592" w:rsidRPr="007747C1" w:rsidRDefault="00674592" w:rsidP="00674592">
            <w:pPr>
              <w:contextualSpacing/>
              <w:rPr>
                <w:bCs/>
              </w:rPr>
            </w:pPr>
            <w:r w:rsidRPr="007747C1">
              <w:rPr>
                <w:bCs/>
              </w:rPr>
              <w:t>COP14 Doc.3.2.2</w:t>
            </w:r>
          </w:p>
          <w:p w14:paraId="478914D2" w14:textId="51CDFD9C" w:rsidR="00674592" w:rsidRPr="00553147" w:rsidRDefault="00674592" w:rsidP="00674592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7747C1">
              <w:rPr>
                <w:bCs/>
              </w:rPr>
              <w:t>(</w:t>
            </w:r>
            <w:r w:rsidRPr="00674592">
              <w:rPr>
                <w:bCs/>
              </w:rPr>
              <w:t>Ginebra</w:t>
            </w:r>
            <w:r w:rsidRPr="007747C1">
              <w:rPr>
                <w:bCs/>
              </w:rPr>
              <w:t>)</w:t>
            </w:r>
          </w:p>
        </w:tc>
      </w:tr>
      <w:tr w:rsidR="00674592" w:rsidRPr="00553147" w14:paraId="549F63B5" w14:textId="77777777" w:rsidTr="001C6F9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59127DC7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4.</w:t>
            </w:r>
          </w:p>
        </w:tc>
        <w:tc>
          <w:tcPr>
            <w:tcW w:w="6895" w:type="dxa"/>
            <w:gridSpan w:val="2"/>
          </w:tcPr>
          <w:p w14:paraId="35703281" w14:textId="5C2D3A2B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Aprobación del reglamento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2C4E5854" w14:textId="496AFC65" w:rsidR="00674592" w:rsidRPr="00553147" w:rsidRDefault="00674592" w:rsidP="00674592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.4</w:t>
            </w:r>
          </w:p>
        </w:tc>
      </w:tr>
      <w:tr w:rsidR="00957AB4" w:rsidRPr="00270C3D" w14:paraId="1815875D" w14:textId="77777777" w:rsidTr="001C6F9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611A9B9" w14:textId="7777777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5.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EA8FF8A" w14:textId="06C1E432" w:rsidR="00957AB4" w:rsidRPr="00553147" w:rsidRDefault="00957AB4" w:rsidP="00957AB4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Elección de la Presidencia y Vicepresidencias y palabras de la Presidencia</w:t>
            </w:r>
          </w:p>
        </w:tc>
        <w:tc>
          <w:tcPr>
            <w:tcW w:w="192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460291A" w14:textId="0301995A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144B98">
              <w:rPr>
                <w:bCs/>
                <w:noProof/>
                <w:lang w:val="es-ES"/>
              </w:rPr>
              <w:t>Sin documento</w:t>
            </w:r>
          </w:p>
        </w:tc>
      </w:tr>
      <w:tr w:rsidR="00957AB4" w:rsidRPr="00270C3D" w14:paraId="06341104" w14:textId="77777777" w:rsidTr="001C6F9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CF6C81D" w14:textId="7777777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6.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7267C564" w14:textId="004CD728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Nombramiento del Comité de Credenciales y de los demás comités</w:t>
            </w:r>
          </w:p>
        </w:tc>
        <w:tc>
          <w:tcPr>
            <w:tcW w:w="192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C8AC3" w14:textId="6F64BA4E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144B98">
              <w:rPr>
                <w:bCs/>
                <w:noProof/>
                <w:lang w:val="es-ES"/>
              </w:rPr>
              <w:t>Sin documento</w:t>
            </w:r>
          </w:p>
        </w:tc>
      </w:tr>
      <w:tr w:rsidR="00ED6B39" w:rsidRPr="00553147" w14:paraId="1BD4DF1D" w14:textId="77777777" w:rsidTr="001C6F9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67D8672" w14:textId="77777777" w:rsidR="00ED6B39" w:rsidRPr="00553147" w:rsidRDefault="00ED6B39" w:rsidP="00ED6B39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7.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89B7B89" w14:textId="45473C75" w:rsidR="00ED6B39" w:rsidRPr="00553147" w:rsidRDefault="00ED6B39" w:rsidP="00ED6B39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Admisión de observadores</w:t>
            </w:r>
          </w:p>
        </w:tc>
        <w:tc>
          <w:tcPr>
            <w:tcW w:w="192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DF127C" w14:textId="43DAA8CD" w:rsidR="00ED6B39" w:rsidRPr="00553147" w:rsidRDefault="00674592" w:rsidP="00ED6B39">
            <w:pPr>
              <w:contextualSpacing/>
              <w:rPr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.7</w:t>
            </w:r>
          </w:p>
        </w:tc>
      </w:tr>
      <w:tr w:rsidR="00ED6B39" w:rsidRPr="00553147" w14:paraId="5D8A43B7" w14:textId="77777777" w:rsidTr="0012029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801AA0" w14:textId="055471A6" w:rsidR="00ED6B39" w:rsidRPr="00553147" w:rsidRDefault="00ED6B39" w:rsidP="00ED6B39">
            <w:pPr>
              <w:contextualSpacing/>
              <w:rPr>
                <w:b/>
                <w:bCs/>
                <w:noProof/>
                <w:lang w:val="es-ES"/>
              </w:rPr>
            </w:pPr>
            <w:r w:rsidRPr="00553147">
              <w:rPr>
                <w:b/>
                <w:bCs/>
                <w:noProof/>
                <w:lang w:val="es-ES"/>
              </w:rPr>
              <w:t>Cuestiones administrativas</w:t>
            </w:r>
          </w:p>
        </w:tc>
      </w:tr>
      <w:tr w:rsidR="00ED6B39" w:rsidRPr="00270C3D" w14:paraId="3BE4916E" w14:textId="77777777" w:rsidTr="001C6F9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C54AA49" w14:textId="77777777" w:rsidR="00ED6B39" w:rsidRPr="00553147" w:rsidRDefault="00ED6B39" w:rsidP="00ED6B39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8.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7156E16" w14:textId="415FC9CF" w:rsidR="00ED6B39" w:rsidRPr="00553147" w:rsidRDefault="00ED6B39" w:rsidP="00ED6B39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Informe de la Presidencia del Comité Permanente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C2D2B58" w14:textId="224C3EAC" w:rsidR="00ED6B39" w:rsidRPr="00553147" w:rsidRDefault="00674592" w:rsidP="00ED6B39">
            <w:pPr>
              <w:contextualSpacing/>
              <w:rPr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.8</w:t>
            </w:r>
          </w:p>
        </w:tc>
      </w:tr>
      <w:tr w:rsidR="00AE1F4D" w:rsidRPr="00270C3D" w14:paraId="43B01EF5" w14:textId="77777777" w:rsidTr="001C6F9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4F1F0C2F" w14:textId="4FE72550" w:rsidR="00AE1F4D" w:rsidRPr="00553147" w:rsidRDefault="00AE1F4D" w:rsidP="0012029C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9.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5235956" w14:textId="50AD76F0" w:rsidR="00AE1F4D" w:rsidRPr="009B4DAB" w:rsidRDefault="009B4DAB" w:rsidP="00424373">
            <w:pPr>
              <w:ind w:left="0" w:firstLine="0"/>
              <w:contextualSpacing/>
              <w:rPr>
                <w:bCs/>
                <w:noProof/>
                <w:lang w:val="fr-FR"/>
              </w:rPr>
            </w:pPr>
            <w:r w:rsidRPr="009B4DAB">
              <w:rPr>
                <w:bCs/>
                <w:noProof/>
                <w:lang w:val="es-ES"/>
              </w:rPr>
              <w:t>Informe de la Secretaria General sobre la aplicación de la Convención</w:t>
            </w:r>
          </w:p>
        </w:tc>
        <w:tc>
          <w:tcPr>
            <w:tcW w:w="192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273884" w14:textId="77777777" w:rsidR="00AE1F4D" w:rsidRPr="00553147" w:rsidRDefault="00AE1F4D" w:rsidP="0012029C">
            <w:pPr>
              <w:contextualSpacing/>
              <w:rPr>
                <w:bCs/>
                <w:noProof/>
                <w:lang w:val="es-ES"/>
              </w:rPr>
            </w:pPr>
          </w:p>
        </w:tc>
      </w:tr>
      <w:tr w:rsidR="00674592" w:rsidRPr="00553147" w14:paraId="5BD2EB9B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56A07245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644CB607" w14:textId="5C221225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9.1</w:t>
            </w:r>
          </w:p>
        </w:tc>
        <w:tc>
          <w:tcPr>
            <w:tcW w:w="6175" w:type="dxa"/>
            <w:tcBorders>
              <w:bottom w:val="single" w:sz="2" w:space="0" w:color="auto"/>
            </w:tcBorders>
          </w:tcPr>
          <w:p w14:paraId="6DF01922" w14:textId="6C8218A1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Aplicación a escala mundial</w:t>
            </w:r>
          </w:p>
        </w:tc>
        <w:tc>
          <w:tcPr>
            <w:tcW w:w="1925" w:type="dxa"/>
            <w:tcBorders>
              <w:bottom w:val="single" w:sz="2" w:space="0" w:color="auto"/>
              <w:right w:val="single" w:sz="6" w:space="0" w:color="auto"/>
            </w:tcBorders>
          </w:tcPr>
          <w:p w14:paraId="2F013174" w14:textId="7FA5C3E1" w:rsidR="00674592" w:rsidRPr="00553147" w:rsidRDefault="00674592" w:rsidP="00674592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.9.1</w:t>
            </w:r>
          </w:p>
        </w:tc>
      </w:tr>
      <w:tr w:rsidR="00674592" w:rsidRPr="00553147" w14:paraId="5357260D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45A5898D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A9AC3CE" w14:textId="5B225456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9.2</w:t>
            </w:r>
          </w:p>
        </w:tc>
        <w:tc>
          <w:tcPr>
            <w:tcW w:w="6175" w:type="dxa"/>
            <w:tcBorders>
              <w:bottom w:val="single" w:sz="2" w:space="0" w:color="auto"/>
            </w:tcBorders>
          </w:tcPr>
          <w:p w14:paraId="1E56B105" w14:textId="493A73BE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lang w:val="es-ES"/>
              </w:rPr>
              <w:t>Trabajo de la Secretaría</w:t>
            </w:r>
          </w:p>
        </w:tc>
        <w:tc>
          <w:tcPr>
            <w:tcW w:w="1925" w:type="dxa"/>
            <w:tcBorders>
              <w:bottom w:val="single" w:sz="2" w:space="0" w:color="auto"/>
              <w:right w:val="single" w:sz="6" w:space="0" w:color="auto"/>
            </w:tcBorders>
          </w:tcPr>
          <w:p w14:paraId="7ED1D7F7" w14:textId="15589610" w:rsidR="00674592" w:rsidRPr="00553147" w:rsidRDefault="00674592" w:rsidP="00674592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.9.2</w:t>
            </w:r>
          </w:p>
        </w:tc>
      </w:tr>
      <w:tr w:rsidR="00674592" w:rsidRPr="00270C3D" w14:paraId="5A68166E" w14:textId="77777777" w:rsidTr="001C6F9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634A0323" w14:textId="26FD5FC9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10.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2967370C" w14:textId="5EBF3EC8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 xml:space="preserve">Informe de la </w:t>
            </w:r>
            <w:r w:rsidR="00163F83" w:rsidRPr="00163F83">
              <w:rPr>
                <w:bCs/>
                <w:noProof/>
                <w:lang w:val="es-ES"/>
              </w:rPr>
              <w:t xml:space="preserve">Secretaría </w:t>
            </w:r>
            <w:r w:rsidRPr="00553147">
              <w:rPr>
                <w:bCs/>
                <w:noProof/>
                <w:lang w:val="es-ES"/>
              </w:rPr>
              <w:t>de conformidad con el artículo 8.2 sobre la Lista de Humedales de Importancia Internacional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77B79F52" w14:textId="6080CF83" w:rsidR="00674592" w:rsidRPr="00553147" w:rsidRDefault="00674592" w:rsidP="001C6F96">
            <w:pPr>
              <w:tabs>
                <w:tab w:val="left" w:pos="2132"/>
              </w:tabs>
              <w:ind w:left="0" w:firstLine="0"/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.10</w:t>
            </w:r>
            <w:r w:rsidR="001C6F96">
              <w:rPr>
                <w:rFonts w:eastAsia="Times New Roman" w:cstheme="majorHAnsi"/>
                <w:bCs/>
                <w:lang w:val="en-US"/>
              </w:rPr>
              <w:t xml:space="preserve"> Rev.1</w:t>
            </w:r>
          </w:p>
        </w:tc>
      </w:tr>
      <w:tr w:rsidR="00674592" w:rsidRPr="00270C3D" w14:paraId="1A52D5F7" w14:textId="77777777" w:rsidTr="001C6F9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B14B5E8" w14:textId="656D9275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11.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4936423" w14:textId="388EB6D8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 xml:space="preserve">Informe sobre </w:t>
            </w:r>
            <w:r w:rsidR="00F13D95" w:rsidRPr="00F13D95">
              <w:rPr>
                <w:bCs/>
                <w:noProof/>
                <w:lang w:val="es-ES"/>
              </w:rPr>
              <w:t xml:space="preserve">la aplicación </w:t>
            </w:r>
            <w:r w:rsidRPr="00553147">
              <w:rPr>
                <w:bCs/>
                <w:noProof/>
                <w:lang w:val="es-ES"/>
              </w:rPr>
              <w:t>del Programa de CECoP 2016-2024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759145" w14:textId="44B01CD4" w:rsidR="00674592" w:rsidRPr="00553147" w:rsidRDefault="00674592" w:rsidP="00674592">
            <w:pPr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.11</w:t>
            </w:r>
          </w:p>
        </w:tc>
      </w:tr>
      <w:tr w:rsidR="00674592" w:rsidRPr="00270C3D" w14:paraId="0D777B83" w14:textId="77777777" w:rsidTr="001C6F9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EBA1344" w14:textId="0B77EA78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12.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3821AD4" w14:textId="630B0EB7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Informe de la Presidencia del Grupo de Examen Científico y Técnico (GECT)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4C0C0E" w14:textId="334EB9FF" w:rsidR="00674592" w:rsidRPr="00553147" w:rsidRDefault="00674592" w:rsidP="00674592">
            <w:pPr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.12</w:t>
            </w:r>
          </w:p>
        </w:tc>
      </w:tr>
      <w:tr w:rsidR="00480C03" w:rsidRPr="00270C3D" w14:paraId="2F2C9264" w14:textId="77777777" w:rsidTr="001C6F9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4701783" w14:textId="77777777" w:rsidR="00480C03" w:rsidRPr="00553147" w:rsidRDefault="00480C03" w:rsidP="00480C03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13.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0B42E618" w14:textId="6F6E4A4F" w:rsidR="00480C03" w:rsidRPr="00553147" w:rsidRDefault="00480C03" w:rsidP="00480C03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Cuestiones derivadas de las resoluciones y recomendaciones de las anteriores reuniones de la Conferencia de las Partes Contratantes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2081D09B" w14:textId="4A716A84" w:rsidR="00480C03" w:rsidRPr="00553147" w:rsidRDefault="00957AB4" w:rsidP="00480C03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>
              <w:rPr>
                <w:bCs/>
                <w:noProof/>
                <w:lang w:val="es-ES"/>
              </w:rPr>
              <w:t>S</w:t>
            </w:r>
            <w:r w:rsidRPr="00553147">
              <w:rPr>
                <w:bCs/>
                <w:noProof/>
                <w:lang w:val="es-ES"/>
              </w:rPr>
              <w:t>in documento</w:t>
            </w:r>
          </w:p>
        </w:tc>
      </w:tr>
      <w:tr w:rsidR="00674592" w:rsidRPr="00270C3D" w14:paraId="1C61230C" w14:textId="77777777" w:rsidTr="001C6F9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0D6C2539" w14:textId="353F302E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lastRenderedPageBreak/>
              <w:t>14.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08DCB10F" w14:textId="6307F3A2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spacing w:val="-2"/>
                <w:lang w:val="es-ES"/>
              </w:rPr>
              <w:t>Informe de la Secretaría sobre las repercusiones administrativas y financieras de los proyectos de resolución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15814C84" w14:textId="2DF2B503" w:rsidR="00674592" w:rsidRPr="00553147" w:rsidRDefault="00674592" w:rsidP="00674592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.14</w:t>
            </w:r>
          </w:p>
        </w:tc>
      </w:tr>
      <w:tr w:rsidR="00674592" w:rsidRPr="00270C3D" w14:paraId="1EAA3959" w14:textId="77777777" w:rsidTr="001C6F9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5BF8D620" w14:textId="64E7ACE8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15.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743B749F" w14:textId="4791F320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lang w:val="es-ES"/>
              </w:rPr>
              <w:t xml:space="preserve">Informe financiero para </w:t>
            </w:r>
            <w:r w:rsidRPr="00553147">
              <w:rPr>
                <w:bCs/>
                <w:noProof/>
                <w:lang w:val="es-ES"/>
              </w:rPr>
              <w:t xml:space="preserve">2019-2022 </w:t>
            </w:r>
            <w:r w:rsidRPr="00553147">
              <w:rPr>
                <w:noProof/>
                <w:lang w:val="es-ES"/>
              </w:rPr>
              <w:t xml:space="preserve">presentado por el Presidente del Subgrupo de Finanzas del Comité Permanente y presupuesto propuesto para el trienio </w:t>
            </w:r>
            <w:r w:rsidRPr="00553147">
              <w:rPr>
                <w:bCs/>
                <w:noProof/>
                <w:lang w:val="es-ES"/>
              </w:rPr>
              <w:t>2023-2025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27F5E04A" w14:textId="531711F9" w:rsidR="00674592" w:rsidRPr="00553147" w:rsidRDefault="00674592" w:rsidP="00674592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.15</w:t>
            </w:r>
          </w:p>
        </w:tc>
      </w:tr>
      <w:tr w:rsidR="00957AB4" w:rsidRPr="00270C3D" w14:paraId="6774299B" w14:textId="77777777" w:rsidTr="001C6F9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0366C33C" w14:textId="46FDBEE6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16.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185C753E" w14:textId="4B989B8D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Acreditación de Ciudad de Humedal: Presentación de los certificados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2E0A97F4" w14:textId="09FE661A" w:rsidR="00957AB4" w:rsidRPr="00553147" w:rsidRDefault="00957AB4" w:rsidP="00957AB4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B56DCD">
              <w:rPr>
                <w:bCs/>
                <w:noProof/>
                <w:lang w:val="es-ES"/>
              </w:rPr>
              <w:t>Sin documento</w:t>
            </w:r>
          </w:p>
        </w:tc>
      </w:tr>
      <w:tr w:rsidR="00957AB4" w:rsidRPr="00270C3D" w14:paraId="6D5736E5" w14:textId="77777777" w:rsidTr="001C6F9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050AE7" w14:textId="26D70CBD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17.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0480168A" w14:textId="0830D452" w:rsidR="00957AB4" w:rsidRPr="00553147" w:rsidRDefault="00957AB4" w:rsidP="00957AB4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Elección de las Partes Contratantes que integrarán el Comité Permanente durante el período 2022-2025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40ED5EB6" w14:textId="7F9FAFE9" w:rsidR="00957AB4" w:rsidRPr="00553147" w:rsidRDefault="00957AB4" w:rsidP="00957AB4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B56DCD">
              <w:rPr>
                <w:bCs/>
                <w:noProof/>
                <w:lang w:val="es-ES"/>
              </w:rPr>
              <w:t>Sin documento</w:t>
            </w:r>
          </w:p>
        </w:tc>
      </w:tr>
      <w:tr w:rsidR="00480C03" w:rsidRPr="00553147" w14:paraId="0382374B" w14:textId="77777777" w:rsidTr="0012029C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E1D3AC" w14:textId="30BF908D" w:rsidR="00480C03" w:rsidRPr="00553147" w:rsidRDefault="00480C03" w:rsidP="00480C03">
            <w:pPr>
              <w:keepNext/>
              <w:contextualSpacing/>
              <w:rPr>
                <w:b/>
                <w:bCs/>
                <w:noProof/>
                <w:lang w:val="es-ES"/>
              </w:rPr>
            </w:pPr>
            <w:r w:rsidRPr="00553147">
              <w:rPr>
                <w:b/>
                <w:bCs/>
                <w:noProof/>
                <w:lang w:val="es-ES"/>
              </w:rPr>
              <w:t>Proyectos de resolución</w:t>
            </w:r>
          </w:p>
        </w:tc>
      </w:tr>
      <w:tr w:rsidR="000A43C8" w:rsidRPr="00270C3D" w14:paraId="179C3DA1" w14:textId="77777777" w:rsidTr="001C6F9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514CC29B" w14:textId="77777777" w:rsidR="000A43C8" w:rsidRPr="00553147" w:rsidRDefault="000A43C8" w:rsidP="000A43C8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08D2A215" w14:textId="03FB1521" w:rsidR="000A43C8" w:rsidRPr="00553147" w:rsidRDefault="000A43C8" w:rsidP="000A43C8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spacing w:val="-2"/>
                <w:lang w:val="es-ES"/>
              </w:rPr>
              <w:t>Examen de los proyectos de resolución y de recomendación presentados por las Partes Contratantes y el Comité Permanente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13A0B714" w14:textId="77777777" w:rsidR="000A43C8" w:rsidRPr="00553147" w:rsidRDefault="000A43C8" w:rsidP="000A43C8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</w:p>
        </w:tc>
      </w:tr>
      <w:tr w:rsidR="00674592" w:rsidRPr="00270C3D" w14:paraId="345D3E12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5FF50847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564B6DE0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18.1</w:t>
            </w:r>
          </w:p>
        </w:tc>
        <w:tc>
          <w:tcPr>
            <w:tcW w:w="6175" w:type="dxa"/>
          </w:tcPr>
          <w:p w14:paraId="26C2FB4D" w14:textId="4BCFF19C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lang w:val="es-ES"/>
              </w:rPr>
              <w:t>Proyecto de resolución sobre cuestiones financieras y presupuestarias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212F730B" w14:textId="378219EB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.18.1</w:t>
            </w:r>
          </w:p>
        </w:tc>
      </w:tr>
      <w:tr w:rsidR="00674592" w:rsidRPr="00270C3D" w14:paraId="3C75FCF1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823008B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71D8C3B0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18.2</w:t>
            </w:r>
          </w:p>
        </w:tc>
        <w:tc>
          <w:tcPr>
            <w:tcW w:w="6175" w:type="dxa"/>
          </w:tcPr>
          <w:p w14:paraId="23D8260F" w14:textId="124664DC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las responsabilidades, funciones y composición del Comité Permanente y clasificación de los países por regiones en el marco de la Convención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3638CF50" w14:textId="152910EF" w:rsidR="00674592" w:rsidRPr="00553147" w:rsidRDefault="00674592" w:rsidP="00674592">
            <w:pPr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.18.2</w:t>
            </w:r>
          </w:p>
        </w:tc>
      </w:tr>
      <w:tr w:rsidR="00674592" w:rsidRPr="00270C3D" w14:paraId="7ACF8D31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5756AF7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54954F29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18.3</w:t>
            </w:r>
          </w:p>
        </w:tc>
        <w:tc>
          <w:tcPr>
            <w:tcW w:w="6175" w:type="dxa"/>
          </w:tcPr>
          <w:p w14:paraId="7F0AB208" w14:textId="74827398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la eficacia y eficiencia de la Convención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585CCA73" w14:textId="637B5C04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.18.3</w:t>
            </w:r>
          </w:p>
        </w:tc>
      </w:tr>
      <w:tr w:rsidR="00674592" w:rsidRPr="00270C3D" w14:paraId="504D9FBD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76894D4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52223E97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18.4</w:t>
            </w:r>
          </w:p>
        </w:tc>
        <w:tc>
          <w:tcPr>
            <w:tcW w:w="6175" w:type="dxa"/>
          </w:tcPr>
          <w:p w14:paraId="06C7FBD4" w14:textId="4C5607A0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el examen del Cuarto Plan Estratégico de la Convención sobre los Humedales, adiciones para el período comprendido entre la COP14 y la COP15 y elementos esenciales para el Quinto Plan Estratégico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4114A6BE" w14:textId="0E85F254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.18.4</w:t>
            </w:r>
          </w:p>
        </w:tc>
      </w:tr>
      <w:tr w:rsidR="00674592" w:rsidRPr="00270C3D" w14:paraId="6C944201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CF5F1E5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124DCF09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lang w:val="es-ES"/>
              </w:rPr>
              <w:t>18.5</w:t>
            </w:r>
          </w:p>
        </w:tc>
        <w:tc>
          <w:tcPr>
            <w:tcW w:w="6175" w:type="dxa"/>
          </w:tcPr>
          <w:p w14:paraId="4E0C54E0" w14:textId="4C5099C0" w:rsidR="00674592" w:rsidRPr="00270C3D" w:rsidRDefault="00674592" w:rsidP="00674592">
            <w:pPr>
              <w:ind w:left="0" w:firstLine="0"/>
              <w:contextualSpacing/>
              <w:rPr>
                <w:rFonts w:cs="Arial"/>
                <w:noProof/>
                <w:lang w:val="es-ES"/>
              </w:rPr>
            </w:pPr>
            <w:r w:rsidRPr="00270C3D">
              <w:rPr>
                <w:bCs/>
                <w:noProof/>
                <w:lang w:val="es-ES"/>
              </w:rPr>
              <w:t>Proyecto</w:t>
            </w:r>
            <w:r w:rsidRPr="00270C3D">
              <w:rPr>
                <w:rFonts w:cs="Arial"/>
                <w:noProof/>
                <w:lang w:val="es-ES"/>
              </w:rPr>
              <w:t xml:space="preserve"> </w:t>
            </w:r>
            <w:r w:rsidRPr="00270C3D">
              <w:rPr>
                <w:bCs/>
                <w:noProof/>
                <w:lang w:val="es-ES"/>
              </w:rPr>
              <w:t>de lista de resoluciones que ya no son aplicables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4A20EF97" w14:textId="2551B40C" w:rsidR="00674592" w:rsidRPr="00270C3D" w:rsidRDefault="001C6F96" w:rsidP="001C6F96">
            <w:pPr>
              <w:ind w:left="0" w:firstLine="0"/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>
              <w:rPr>
                <w:rFonts w:eastAsia="Times New Roman" w:cstheme="majorHAnsi"/>
                <w:bCs/>
                <w:lang w:val="es-ES"/>
              </w:rPr>
              <w:t>Si</w:t>
            </w:r>
            <w:r w:rsidRPr="001C6F96">
              <w:rPr>
                <w:rFonts w:eastAsia="Times New Roman" w:cstheme="majorHAnsi"/>
                <w:bCs/>
                <w:lang w:val="fr-FR"/>
              </w:rPr>
              <w:t>n documento: se incluye como Anexo 1 del proyecto de resolución en el documento COP14 Doc.18.6</w:t>
            </w:r>
          </w:p>
        </w:tc>
      </w:tr>
      <w:tr w:rsidR="00674592" w:rsidRPr="00270C3D" w14:paraId="34FA75CC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EB50B84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528770D6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18.6</w:t>
            </w:r>
          </w:p>
        </w:tc>
        <w:tc>
          <w:tcPr>
            <w:tcW w:w="6175" w:type="dxa"/>
          </w:tcPr>
          <w:p w14:paraId="3100B030" w14:textId="0F50F98D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opciones para continuar el examen de todas las resoluciones y decisiones anteriores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273F13D" w14:textId="0C9D4DFE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.18.6</w:t>
            </w:r>
          </w:p>
        </w:tc>
      </w:tr>
      <w:tr w:rsidR="00674592" w:rsidRPr="00270C3D" w14:paraId="4CDADBBB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785D547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3453B7D2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18.7</w:t>
            </w:r>
          </w:p>
        </w:tc>
        <w:tc>
          <w:tcPr>
            <w:tcW w:w="6175" w:type="dxa"/>
          </w:tcPr>
          <w:p w14:paraId="0ABFC185" w14:textId="5D1DFFA2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cómo estructurar, redactar y gestionar los documentos y mensajes de la Convención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796FB0B4" w14:textId="09C5C392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.18.7</w:t>
            </w:r>
          </w:p>
        </w:tc>
      </w:tr>
      <w:tr w:rsidR="00674592" w:rsidRPr="00270C3D" w14:paraId="63AFA424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32C75F8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5BB6672F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18.8</w:t>
            </w:r>
          </w:p>
        </w:tc>
        <w:tc>
          <w:tcPr>
            <w:tcW w:w="6175" w:type="dxa"/>
          </w:tcPr>
          <w:p w14:paraId="7FA169D6" w14:textId="4C537CBB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 xml:space="preserve">Proyecto de resolución sobre la mejora de la visibilidad de la Convención y las sinergias con otros acuerdos multilaterales sobre el medio ambiente e instituciones internacionales 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6E663FEF" w14:textId="02EC77A8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8</w:t>
            </w:r>
          </w:p>
        </w:tc>
      </w:tr>
      <w:tr w:rsidR="00674592" w:rsidRPr="00270C3D" w14:paraId="64F112A2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438DDB4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749E406B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rFonts w:eastAsia="Times New Roman" w:cstheme="majorHAnsi"/>
                <w:bCs/>
                <w:noProof/>
                <w:lang w:val="es-ES"/>
              </w:rPr>
              <w:t>18.9</w:t>
            </w:r>
          </w:p>
        </w:tc>
        <w:tc>
          <w:tcPr>
            <w:tcW w:w="6175" w:type="dxa"/>
          </w:tcPr>
          <w:p w14:paraId="761A36A3" w14:textId="2ECF83B9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las iniciativas regionales de Ramsar y su marco operativo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66AF0F76" w14:textId="44B723AD" w:rsidR="00674592" w:rsidRPr="00553147" w:rsidRDefault="00674592" w:rsidP="00674592">
            <w:pPr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9</w:t>
            </w:r>
          </w:p>
        </w:tc>
      </w:tr>
      <w:tr w:rsidR="00674592" w:rsidRPr="00270C3D" w14:paraId="5D8FE104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F64B8DB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26146188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18.10</w:t>
            </w:r>
          </w:p>
        </w:tc>
        <w:tc>
          <w:tcPr>
            <w:tcW w:w="6175" w:type="dxa"/>
          </w:tcPr>
          <w:p w14:paraId="76EE6C2E" w14:textId="461468F3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el nuevo enfoque de CECoP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33B90F62" w14:textId="40E06DCE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0</w:t>
            </w:r>
          </w:p>
        </w:tc>
      </w:tr>
      <w:tr w:rsidR="00674592" w:rsidRPr="00270C3D" w14:paraId="6AEF479F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3B83C0E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7DE4CA9C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18.11</w:t>
            </w:r>
          </w:p>
        </w:tc>
        <w:tc>
          <w:tcPr>
            <w:tcW w:w="6175" w:type="dxa"/>
          </w:tcPr>
          <w:p w14:paraId="4D3DC7AB" w14:textId="7A232827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los Premios Ramsar a la Conservación de los Humedales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5621D4D8" w14:textId="7CE14D07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1</w:t>
            </w:r>
          </w:p>
        </w:tc>
      </w:tr>
      <w:tr w:rsidR="00674592" w:rsidRPr="00270C3D" w14:paraId="3FB70A9C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89B80D7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00AAAF78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rFonts w:eastAsia="Times New Roman" w:cstheme="majorHAnsi"/>
                <w:bCs/>
                <w:noProof/>
                <w:lang w:val="es-ES"/>
              </w:rPr>
              <w:t>18.12</w:t>
            </w:r>
          </w:p>
        </w:tc>
        <w:tc>
          <w:tcPr>
            <w:tcW w:w="6175" w:type="dxa"/>
          </w:tcPr>
          <w:p w14:paraId="2F1A4FB5" w14:textId="5FA79D91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 xml:space="preserve">Proyecto de resolución sobre la actualización de la acreditación </w:t>
            </w:r>
            <w:r w:rsidRPr="00553147">
              <w:rPr>
                <w:bCs/>
                <w:noProof/>
                <w:lang w:val="es-ES"/>
              </w:rPr>
              <w:br/>
              <w:t>de Ciudad de Humedal de la Convención de Ramsar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1F70A6AD" w14:textId="6A54F389" w:rsidR="00674592" w:rsidRPr="00553147" w:rsidRDefault="00674592" w:rsidP="00674592">
            <w:pPr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2</w:t>
            </w:r>
          </w:p>
        </w:tc>
      </w:tr>
      <w:tr w:rsidR="00674592" w:rsidRPr="00270C3D" w14:paraId="1DDAC0A7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C1ED700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762B18BA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18.13</w:t>
            </w:r>
          </w:p>
        </w:tc>
        <w:tc>
          <w:tcPr>
            <w:tcW w:w="6175" w:type="dxa"/>
          </w:tcPr>
          <w:p w14:paraId="6E608FFA" w14:textId="1B916E45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la educación sobre los humedales en el sector de la educación formal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9806621" w14:textId="580FC17C" w:rsidR="00674592" w:rsidRPr="00553147" w:rsidRDefault="00674592" w:rsidP="00674592">
            <w:pPr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3</w:t>
            </w:r>
          </w:p>
        </w:tc>
      </w:tr>
      <w:tr w:rsidR="00674592" w:rsidRPr="00270C3D" w14:paraId="0315E79A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C1D9723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463C1D10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rFonts w:eastAsia="Times New Roman" w:cstheme="majorHAnsi"/>
                <w:bCs/>
                <w:noProof/>
                <w:lang w:val="es-ES"/>
              </w:rPr>
              <w:t>18.14</w:t>
            </w:r>
          </w:p>
        </w:tc>
        <w:tc>
          <w:tcPr>
            <w:tcW w:w="6175" w:type="dxa"/>
          </w:tcPr>
          <w:p w14:paraId="0B33D8B1" w14:textId="3C549FB0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 xml:space="preserve">Proyecto de resolución sobre el fortalecimiento </w:t>
            </w:r>
            <w:r w:rsidRPr="00553147">
              <w:rPr>
                <w:bCs/>
                <w:noProof/>
                <w:lang w:val="es-ES"/>
              </w:rPr>
              <w:br/>
              <w:t>de las conexiones de Ramsar a través de la juventud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5F0CA4AA" w14:textId="6F7E8F68" w:rsidR="00674592" w:rsidRPr="00553147" w:rsidRDefault="00674592" w:rsidP="00674592">
            <w:pPr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4</w:t>
            </w:r>
          </w:p>
        </w:tc>
      </w:tr>
      <w:tr w:rsidR="00674592" w:rsidRPr="00270C3D" w14:paraId="5026B615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A62AA40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362A5902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18.15</w:t>
            </w:r>
          </w:p>
        </w:tc>
        <w:tc>
          <w:tcPr>
            <w:tcW w:w="6175" w:type="dxa"/>
          </w:tcPr>
          <w:p w14:paraId="11A56098" w14:textId="75670EE3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el estado de los sitios de la Lista de Humedales de Importancia Internacional</w:t>
            </w:r>
            <w:r w:rsidRPr="00553147">
              <w:rPr>
                <w:b/>
                <w:noProof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107769E8" w14:textId="18CB0F93" w:rsidR="00674592" w:rsidRPr="00553147" w:rsidRDefault="00674592" w:rsidP="00674592">
            <w:pPr>
              <w:contextualSpacing/>
              <w:rPr>
                <w:rFonts w:eastAsia="Times New Roman" w:cstheme="majorHAnsi"/>
                <w:bCs/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5</w:t>
            </w:r>
          </w:p>
        </w:tc>
      </w:tr>
      <w:tr w:rsidR="00674592" w:rsidRPr="00270C3D" w14:paraId="3F604CE0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824246F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1D96AA3E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18.16</w:t>
            </w:r>
          </w:p>
        </w:tc>
        <w:tc>
          <w:tcPr>
            <w:tcW w:w="6175" w:type="dxa"/>
          </w:tcPr>
          <w:p w14:paraId="380DC000" w14:textId="3B600E10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la revisión de los criterios de Ramsar y desinscripción de los sitios incluidos en la lista de Ramsar situados en territorios no reconocidos por la ONU como parte del territorio del país que los presentó para su designación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28B91AD" w14:textId="41214974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6</w:t>
            </w:r>
          </w:p>
        </w:tc>
      </w:tr>
      <w:tr w:rsidR="00674592" w:rsidRPr="00270C3D" w14:paraId="0264CF50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C71FB9A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6BCE25B3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rFonts w:eastAsia="Times New Roman" w:cstheme="majorHAnsi"/>
                <w:bCs/>
                <w:noProof/>
                <w:lang w:val="es-ES"/>
              </w:rPr>
              <w:t>18.17</w:t>
            </w:r>
          </w:p>
        </w:tc>
        <w:tc>
          <w:tcPr>
            <w:tcW w:w="6175" w:type="dxa"/>
          </w:tcPr>
          <w:p w14:paraId="5E892D73" w14:textId="189B6E36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la aplicación futura de los aspectos científicos y técnicos de la Convención para 2023-2025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4FA1847F" w14:textId="350BB2D2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7</w:t>
            </w:r>
          </w:p>
        </w:tc>
      </w:tr>
      <w:tr w:rsidR="00674592" w:rsidRPr="00270C3D" w14:paraId="0CEFC91B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071D500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5A054FE5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18.18</w:t>
            </w:r>
          </w:p>
        </w:tc>
        <w:tc>
          <w:tcPr>
            <w:tcW w:w="6175" w:type="dxa"/>
          </w:tcPr>
          <w:p w14:paraId="18D6EE84" w14:textId="52C7FB55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 xml:space="preserve">Proyecto de resolución sobre la mejora de la conservación </w:t>
            </w:r>
            <w:r w:rsidRPr="00553147">
              <w:rPr>
                <w:bCs/>
                <w:noProof/>
                <w:lang w:val="es-ES"/>
              </w:rPr>
              <w:br/>
              <w:t>y gestión de pequeños humedales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8890E21" w14:textId="1CD7E74D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8</w:t>
            </w:r>
          </w:p>
        </w:tc>
      </w:tr>
      <w:tr w:rsidR="00674592" w:rsidRPr="00270C3D" w14:paraId="7F8D7724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602BE5D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124DE069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rFonts w:eastAsia="Times New Roman" w:cstheme="majorHAnsi"/>
                <w:bCs/>
                <w:noProof/>
                <w:lang w:val="es-ES"/>
              </w:rPr>
              <w:t>18.19</w:t>
            </w:r>
          </w:p>
        </w:tc>
        <w:tc>
          <w:tcPr>
            <w:tcW w:w="6175" w:type="dxa"/>
          </w:tcPr>
          <w:p w14:paraId="50A6E1D4" w14:textId="752E463D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la integración de la conservación y restauración de los humedales en la estrategia nacional de desarrollo sostenible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2D325902" w14:textId="21D1339D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9</w:t>
            </w:r>
          </w:p>
        </w:tc>
      </w:tr>
      <w:tr w:rsidR="00674592" w:rsidRPr="00270C3D" w14:paraId="69A524DB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120A2FA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0C193740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18.20</w:t>
            </w:r>
          </w:p>
        </w:tc>
        <w:tc>
          <w:tcPr>
            <w:tcW w:w="6175" w:type="dxa"/>
          </w:tcPr>
          <w:p w14:paraId="3E69516A" w14:textId="2A7C48B5" w:rsidR="00674592" w:rsidRPr="001C6F96" w:rsidRDefault="001C6F96" w:rsidP="00674592">
            <w:pPr>
              <w:ind w:left="0" w:firstLine="0"/>
              <w:contextualSpacing/>
              <w:rPr>
                <w:bCs/>
                <w:noProof/>
                <w:lang w:val="fr-FR"/>
              </w:rPr>
            </w:pPr>
            <w:r w:rsidRPr="001C6F96">
              <w:rPr>
                <w:bCs/>
                <w:noProof/>
                <w:lang w:val="es-ES"/>
              </w:rPr>
              <w:t>Proyecto de resolución sobre protección, manejo y restauración de los humedales como [soluciones basadas en la naturaleza] [enfoques basados en los ecosistemas] para hacer frente a la crisis climática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69652E11" w14:textId="2500FC50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20</w:t>
            </w:r>
            <w:r w:rsidR="001C6F96">
              <w:rPr>
                <w:rFonts w:eastAsia="Times New Roman" w:cstheme="majorHAnsi"/>
                <w:bCs/>
                <w:lang w:val="en-US"/>
              </w:rPr>
              <w:t xml:space="preserve"> Rev.1</w:t>
            </w:r>
          </w:p>
        </w:tc>
      </w:tr>
      <w:tr w:rsidR="00674592" w:rsidRPr="00270C3D" w14:paraId="47EDF56E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F83C7DC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7D974F1C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18.21</w:t>
            </w:r>
          </w:p>
        </w:tc>
        <w:tc>
          <w:tcPr>
            <w:tcW w:w="6175" w:type="dxa"/>
          </w:tcPr>
          <w:p w14:paraId="30C2DFAE" w14:textId="5711D83A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las estimaciones del tamaño de las poblaciones de aves acuáticas para apoyar las designaciones de nuevos sitios Ramsar con arreglo al Criterio 6 de Ramsar: uso de estimaciones alternativas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3F0BEF73" w14:textId="69B2D7E0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21</w:t>
            </w:r>
          </w:p>
        </w:tc>
      </w:tr>
      <w:tr w:rsidR="00674592" w:rsidRPr="00270C3D" w14:paraId="4123086E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EED50F5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4147923B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rFonts w:eastAsia="Times New Roman" w:cstheme="majorHAnsi"/>
                <w:bCs/>
                <w:noProof/>
                <w:lang w:val="es-ES"/>
              </w:rPr>
              <w:t>18.22</w:t>
            </w:r>
          </w:p>
        </w:tc>
        <w:tc>
          <w:tcPr>
            <w:tcW w:w="6175" w:type="dxa"/>
          </w:tcPr>
          <w:p w14:paraId="71C1C95B" w14:textId="64A370E6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Proyecto de resolución sobre la creación del Centro Internacional del Manglar en el marco de la Convención de Ramsar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3256A5CA" w14:textId="0D108C36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22</w:t>
            </w:r>
          </w:p>
        </w:tc>
      </w:tr>
      <w:tr w:rsidR="00674592" w:rsidRPr="00957AB4" w14:paraId="6F351164" w14:textId="77777777" w:rsidTr="001C6F9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80739D3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</w:p>
        </w:tc>
        <w:tc>
          <w:tcPr>
            <w:tcW w:w="720" w:type="dxa"/>
          </w:tcPr>
          <w:p w14:paraId="48425A00" w14:textId="77777777" w:rsidR="00674592" w:rsidRPr="00553147" w:rsidRDefault="00674592" w:rsidP="00674592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18.23</w:t>
            </w:r>
          </w:p>
        </w:tc>
        <w:tc>
          <w:tcPr>
            <w:tcW w:w="6175" w:type="dxa"/>
          </w:tcPr>
          <w:p w14:paraId="34837FB4" w14:textId="164FF74E" w:rsidR="00674592" w:rsidRPr="00553147" w:rsidRDefault="00674592" w:rsidP="00674592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 xml:space="preserve">Agradecimiento al país anfitrión, </w:t>
            </w:r>
            <w:r w:rsidR="003552DF" w:rsidRPr="003552DF">
              <w:rPr>
                <w:bCs/>
                <w:noProof/>
                <w:lang w:val="es-ES"/>
              </w:rPr>
              <w:t>la República Popular China</w:t>
            </w:r>
            <w:bookmarkStart w:id="0" w:name="_GoBack"/>
            <w:bookmarkEnd w:id="0"/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33C6DDBB" w14:textId="4EDFB34E" w:rsidR="00674592" w:rsidRPr="00553147" w:rsidRDefault="00674592" w:rsidP="00674592">
            <w:pPr>
              <w:contextualSpacing/>
              <w:rPr>
                <w:noProof/>
                <w:lang w:val="es-ES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23</w:t>
            </w:r>
          </w:p>
        </w:tc>
      </w:tr>
      <w:tr w:rsidR="00A0752B" w:rsidRPr="00553147" w14:paraId="679F8DC2" w14:textId="77777777" w:rsidTr="0012029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5DEED1" w14:textId="37DF460F" w:rsidR="00A0752B" w:rsidRPr="00553147" w:rsidRDefault="00A0752B" w:rsidP="00A0752B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/>
                <w:bCs/>
                <w:noProof/>
                <w:lang w:val="es-ES"/>
              </w:rPr>
              <w:t>Cuestiones de procedimiento</w:t>
            </w:r>
          </w:p>
        </w:tc>
      </w:tr>
      <w:tr w:rsidR="00A0752B" w:rsidRPr="00270C3D" w14:paraId="04825BF0" w14:textId="77777777" w:rsidTr="001C6F9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F0E3067" w14:textId="77777777" w:rsidR="00A0752B" w:rsidRPr="00553147" w:rsidRDefault="00A0752B" w:rsidP="00A0752B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19.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</w:tcBorders>
          </w:tcPr>
          <w:p w14:paraId="0E63D2F6" w14:textId="220B6747" w:rsidR="00A0752B" w:rsidRPr="00553147" w:rsidRDefault="00A0752B" w:rsidP="00A0752B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Informe del Comité de Credenciales</w:t>
            </w:r>
          </w:p>
        </w:tc>
        <w:tc>
          <w:tcPr>
            <w:tcW w:w="1925" w:type="dxa"/>
            <w:tcBorders>
              <w:top w:val="single" w:sz="6" w:space="0" w:color="auto"/>
              <w:right w:val="single" w:sz="6" w:space="0" w:color="auto"/>
            </w:tcBorders>
          </w:tcPr>
          <w:p w14:paraId="26A0DE71" w14:textId="0D8F8F83" w:rsidR="00A0752B" w:rsidRPr="00553147" w:rsidRDefault="00674592" w:rsidP="00A0752B">
            <w:pPr>
              <w:contextualSpacing/>
              <w:rPr>
                <w:bCs/>
                <w:noProof/>
                <w:lang w:val="es-ES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.19</w:t>
            </w:r>
          </w:p>
        </w:tc>
      </w:tr>
      <w:tr w:rsidR="00480C03" w:rsidRPr="00553147" w14:paraId="60A14B8D" w14:textId="77777777" w:rsidTr="0012029C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0DB339" w14:textId="735E9DF0" w:rsidR="00480C03" w:rsidRPr="00553147" w:rsidRDefault="000E2A41" w:rsidP="00480C03">
            <w:pPr>
              <w:contextualSpacing/>
              <w:rPr>
                <w:b/>
                <w:bCs/>
                <w:noProof/>
                <w:lang w:val="es-ES"/>
              </w:rPr>
            </w:pPr>
            <w:r w:rsidRPr="00553147">
              <w:rPr>
                <w:b/>
                <w:bCs/>
                <w:noProof/>
                <w:lang w:val="es-ES"/>
              </w:rPr>
              <w:t>Proyectos de resolución</w:t>
            </w:r>
            <w:r w:rsidR="00480C03" w:rsidRPr="00553147">
              <w:rPr>
                <w:b/>
                <w:bCs/>
                <w:noProof/>
                <w:lang w:val="es-ES"/>
              </w:rPr>
              <w:t xml:space="preserve"> </w:t>
            </w:r>
          </w:p>
        </w:tc>
      </w:tr>
      <w:tr w:rsidR="00957AB4" w:rsidRPr="00553147" w14:paraId="3F9B3582" w14:textId="77777777" w:rsidTr="001C6F9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26DC42C1" w14:textId="7777777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20.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6AF9BA7B" w14:textId="50522948" w:rsidR="00957AB4" w:rsidRPr="00553147" w:rsidRDefault="00957AB4" w:rsidP="00957AB4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spacing w:val="-2"/>
                <w:lang w:val="es-ES"/>
              </w:rPr>
              <w:t>Informe sobre las discusiones, conclusiones y recomendaciones de las sesiones anteriores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0973EEC2" w14:textId="7A5E122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0F4184">
              <w:rPr>
                <w:bCs/>
                <w:noProof/>
                <w:lang w:val="es-ES"/>
              </w:rPr>
              <w:t>Sin documento</w:t>
            </w:r>
          </w:p>
        </w:tc>
      </w:tr>
      <w:tr w:rsidR="00957AB4" w:rsidRPr="00270C3D" w14:paraId="21A7132B" w14:textId="77777777" w:rsidTr="001C6F9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40609C6F" w14:textId="7777777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21.</w:t>
            </w:r>
          </w:p>
        </w:tc>
        <w:tc>
          <w:tcPr>
            <w:tcW w:w="6895" w:type="dxa"/>
            <w:gridSpan w:val="2"/>
          </w:tcPr>
          <w:p w14:paraId="555E30DB" w14:textId="75157953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spacing w:val="-2"/>
                <w:lang w:val="es-ES"/>
              </w:rPr>
              <w:t>Aprobación de las resoluciones y recomendaciones de la Conferencia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198515EE" w14:textId="05EB4FF1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0F4184">
              <w:rPr>
                <w:bCs/>
                <w:noProof/>
                <w:lang w:val="es-ES"/>
              </w:rPr>
              <w:t>Sin documento</w:t>
            </w:r>
          </w:p>
        </w:tc>
      </w:tr>
      <w:tr w:rsidR="00480C03" w:rsidRPr="00553147" w14:paraId="3F7D95CA" w14:textId="77777777" w:rsidTr="0012029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972BF2" w14:textId="4F58FBE0" w:rsidR="00480C03" w:rsidRPr="00553147" w:rsidRDefault="000E2A41" w:rsidP="00480C03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/>
                <w:bCs/>
                <w:noProof/>
                <w:lang w:val="es-ES"/>
              </w:rPr>
              <w:t>Cuestiones de procedimiento</w:t>
            </w:r>
          </w:p>
        </w:tc>
      </w:tr>
      <w:tr w:rsidR="00957AB4" w:rsidRPr="00553147" w14:paraId="26D79763" w14:textId="77777777" w:rsidTr="001C6F9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4FE84D09" w14:textId="7777777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22.</w:t>
            </w:r>
          </w:p>
        </w:tc>
        <w:tc>
          <w:tcPr>
            <w:tcW w:w="6895" w:type="dxa"/>
            <w:gridSpan w:val="2"/>
          </w:tcPr>
          <w:p w14:paraId="1DE02644" w14:textId="4AE01827" w:rsidR="00957AB4" w:rsidRPr="00553147" w:rsidRDefault="00957AB4" w:rsidP="00957AB4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spacing w:val="-2"/>
                <w:lang w:val="es-ES"/>
              </w:rPr>
              <w:t>Fechas y lugar de la siguiente reunión ordinaria de la Conferencia de las Partes Contratantes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3B28C9EF" w14:textId="329D8C4A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1C15EF">
              <w:rPr>
                <w:bCs/>
                <w:noProof/>
                <w:lang w:val="es-ES"/>
              </w:rPr>
              <w:t>Sin documento</w:t>
            </w:r>
          </w:p>
        </w:tc>
      </w:tr>
      <w:tr w:rsidR="00957AB4" w:rsidRPr="00553147" w14:paraId="74C78AEE" w14:textId="77777777" w:rsidTr="001C6F9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37D78855" w14:textId="7777777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23.</w:t>
            </w:r>
          </w:p>
        </w:tc>
        <w:tc>
          <w:tcPr>
            <w:tcW w:w="6895" w:type="dxa"/>
            <w:gridSpan w:val="2"/>
          </w:tcPr>
          <w:p w14:paraId="6295F6C6" w14:textId="179AFAAA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spacing w:val="-2"/>
                <w:lang w:val="es-ES"/>
              </w:rPr>
              <w:t>Otros asuntos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2E28F83A" w14:textId="611BCE85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1C15EF">
              <w:rPr>
                <w:bCs/>
                <w:noProof/>
                <w:lang w:val="es-ES"/>
              </w:rPr>
              <w:t>Sin documento</w:t>
            </w:r>
          </w:p>
        </w:tc>
      </w:tr>
      <w:tr w:rsidR="00957AB4" w:rsidRPr="00270C3D" w14:paraId="06FBABA1" w14:textId="77777777" w:rsidTr="001C6F9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2629BFB4" w14:textId="7777777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24.</w:t>
            </w:r>
          </w:p>
        </w:tc>
        <w:tc>
          <w:tcPr>
            <w:tcW w:w="6895" w:type="dxa"/>
            <w:gridSpan w:val="2"/>
          </w:tcPr>
          <w:p w14:paraId="2AAC1DF4" w14:textId="02422FEF" w:rsidR="00957AB4" w:rsidRPr="00553147" w:rsidRDefault="00957AB4" w:rsidP="00957AB4">
            <w:pPr>
              <w:ind w:left="0" w:firstLine="0"/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spacing w:val="-2"/>
                <w:lang w:val="es-ES"/>
              </w:rPr>
              <w:t>Adopción del informe de la 14ª Reunión de la Conferencia de las Partes Contratantes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2805F102" w14:textId="02CEA3C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1C15EF">
              <w:rPr>
                <w:bCs/>
                <w:noProof/>
                <w:lang w:val="es-ES"/>
              </w:rPr>
              <w:t>Sin documento</w:t>
            </w:r>
          </w:p>
        </w:tc>
      </w:tr>
      <w:tr w:rsidR="00957AB4" w:rsidRPr="00553147" w14:paraId="2D1AF1D6" w14:textId="77777777" w:rsidTr="001C6F9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7FF3E10D" w14:textId="7777777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bCs/>
                <w:noProof/>
                <w:lang w:val="es-ES"/>
              </w:rPr>
              <w:t>25.</w:t>
            </w:r>
          </w:p>
        </w:tc>
        <w:tc>
          <w:tcPr>
            <w:tcW w:w="6895" w:type="dxa"/>
            <w:gridSpan w:val="2"/>
          </w:tcPr>
          <w:p w14:paraId="4A0DBE50" w14:textId="7E45AB07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553147">
              <w:rPr>
                <w:noProof/>
                <w:spacing w:val="-2"/>
                <w:lang w:val="es-ES"/>
              </w:rPr>
              <w:t>Clausura de la reunión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C4AD004" w14:textId="4C6DCC81" w:rsidR="00957AB4" w:rsidRPr="00553147" w:rsidRDefault="00957AB4" w:rsidP="00957AB4">
            <w:pPr>
              <w:contextualSpacing/>
              <w:rPr>
                <w:bCs/>
                <w:noProof/>
                <w:lang w:val="es-ES"/>
              </w:rPr>
            </w:pPr>
            <w:r w:rsidRPr="001C15EF">
              <w:rPr>
                <w:bCs/>
                <w:noProof/>
                <w:lang w:val="es-ES"/>
              </w:rPr>
              <w:t>Sin documento</w:t>
            </w:r>
          </w:p>
        </w:tc>
      </w:tr>
    </w:tbl>
    <w:p w14:paraId="7DBC640C" w14:textId="77777777" w:rsidR="0076274A" w:rsidRPr="00553147" w:rsidRDefault="0076274A" w:rsidP="0076274A">
      <w:pPr>
        <w:spacing w:line="240" w:lineRule="auto"/>
        <w:contextualSpacing/>
        <w:rPr>
          <w:bCs/>
          <w:noProof/>
          <w:lang w:val="es-ES"/>
        </w:rPr>
      </w:pPr>
    </w:p>
    <w:p w14:paraId="4DDDF2B9" w14:textId="64121C82" w:rsidR="000040BE" w:rsidRPr="00553147" w:rsidRDefault="000040BE" w:rsidP="00BE19AD">
      <w:pPr>
        <w:spacing w:line="240" w:lineRule="auto"/>
        <w:rPr>
          <w:rFonts w:cs="Times New Roman"/>
          <w:b/>
          <w:noProof/>
          <w:lang w:val="es-ES"/>
        </w:rPr>
      </w:pPr>
    </w:p>
    <w:sectPr w:rsidR="000040BE" w:rsidRPr="00553147" w:rsidSect="0008427D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C37E" w14:textId="77777777" w:rsidR="00E56D36" w:rsidRDefault="00E56D36" w:rsidP="00F241CA">
      <w:pPr>
        <w:spacing w:line="240" w:lineRule="auto"/>
      </w:pPr>
      <w:r>
        <w:separator/>
      </w:r>
    </w:p>
  </w:endnote>
  <w:endnote w:type="continuationSeparator" w:id="0">
    <w:p w14:paraId="217644B5" w14:textId="77777777" w:rsidR="00E56D36" w:rsidRDefault="00E56D36" w:rsidP="00F2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65D2C655" w:rsidR="00B16B31" w:rsidRPr="00545602" w:rsidRDefault="0083702F" w:rsidP="00545602">
    <w:pPr>
      <w:pStyle w:val="Footer"/>
      <w:rPr>
        <w:rFonts w:cstheme="minorHAnsi"/>
        <w:sz w:val="20"/>
        <w:szCs w:val="20"/>
      </w:rPr>
    </w:pPr>
    <w:r w:rsidRPr="003058BC">
      <w:rPr>
        <w:rFonts w:cstheme="minorHAnsi"/>
        <w:sz w:val="20"/>
        <w:szCs w:val="20"/>
      </w:rPr>
      <w:t>COP14 Doc.</w:t>
    </w:r>
    <w:r w:rsidR="00270C3D">
      <w:rPr>
        <w:rFonts w:cstheme="minorHAnsi"/>
        <w:sz w:val="20"/>
        <w:szCs w:val="20"/>
      </w:rPr>
      <w:t>3.1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3552DF">
          <w:rPr>
            <w:noProof/>
            <w:sz w:val="20"/>
            <w:szCs w:val="20"/>
          </w:rPr>
          <w:t>3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E56E3" w14:textId="77777777" w:rsidR="00E56D36" w:rsidRDefault="00E56D36" w:rsidP="00F241CA">
      <w:pPr>
        <w:spacing w:line="240" w:lineRule="auto"/>
      </w:pPr>
      <w:r>
        <w:separator/>
      </w:r>
    </w:p>
  </w:footnote>
  <w:footnote w:type="continuationSeparator" w:id="0">
    <w:p w14:paraId="12E4C4F6" w14:textId="77777777" w:rsidR="00E56D36" w:rsidRDefault="00E56D36" w:rsidP="00F24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2290A"/>
    <w:rsid w:val="00047703"/>
    <w:rsid w:val="00075EFE"/>
    <w:rsid w:val="0007766E"/>
    <w:rsid w:val="0008427D"/>
    <w:rsid w:val="00094916"/>
    <w:rsid w:val="00095637"/>
    <w:rsid w:val="000A43C8"/>
    <w:rsid w:val="000C2552"/>
    <w:rsid w:val="000D3012"/>
    <w:rsid w:val="000D6B9E"/>
    <w:rsid w:val="000E2A41"/>
    <w:rsid w:val="00163F83"/>
    <w:rsid w:val="00194305"/>
    <w:rsid w:val="001C6F96"/>
    <w:rsid w:val="00270C3D"/>
    <w:rsid w:val="00280ECD"/>
    <w:rsid w:val="002B6849"/>
    <w:rsid w:val="002C61D9"/>
    <w:rsid w:val="002C629F"/>
    <w:rsid w:val="002D7C08"/>
    <w:rsid w:val="003058BC"/>
    <w:rsid w:val="00316A8E"/>
    <w:rsid w:val="00332AA5"/>
    <w:rsid w:val="00335F0F"/>
    <w:rsid w:val="003552DF"/>
    <w:rsid w:val="00390671"/>
    <w:rsid w:val="003A3786"/>
    <w:rsid w:val="003C00AC"/>
    <w:rsid w:val="003C5378"/>
    <w:rsid w:val="003E33C7"/>
    <w:rsid w:val="00400CEF"/>
    <w:rsid w:val="004173B4"/>
    <w:rsid w:val="0042170B"/>
    <w:rsid w:val="00424373"/>
    <w:rsid w:val="00426B95"/>
    <w:rsid w:val="00480C03"/>
    <w:rsid w:val="00490D7F"/>
    <w:rsid w:val="004B346D"/>
    <w:rsid w:val="004F06E6"/>
    <w:rsid w:val="005022E1"/>
    <w:rsid w:val="00543CC0"/>
    <w:rsid w:val="00545602"/>
    <w:rsid w:val="005521F2"/>
    <w:rsid w:val="00553147"/>
    <w:rsid w:val="005A7096"/>
    <w:rsid w:val="005C09E5"/>
    <w:rsid w:val="005D2C50"/>
    <w:rsid w:val="005E3252"/>
    <w:rsid w:val="00600815"/>
    <w:rsid w:val="00661E6F"/>
    <w:rsid w:val="00674592"/>
    <w:rsid w:val="006951F6"/>
    <w:rsid w:val="0069560F"/>
    <w:rsid w:val="006A6288"/>
    <w:rsid w:val="007015A6"/>
    <w:rsid w:val="007327AD"/>
    <w:rsid w:val="00741D92"/>
    <w:rsid w:val="00743168"/>
    <w:rsid w:val="0076274A"/>
    <w:rsid w:val="00777AA4"/>
    <w:rsid w:val="007C418D"/>
    <w:rsid w:val="007D109B"/>
    <w:rsid w:val="007F056B"/>
    <w:rsid w:val="007F24C3"/>
    <w:rsid w:val="007F4938"/>
    <w:rsid w:val="00810AF5"/>
    <w:rsid w:val="00815AA8"/>
    <w:rsid w:val="00822CF6"/>
    <w:rsid w:val="00836100"/>
    <w:rsid w:val="0083702F"/>
    <w:rsid w:val="00847F7F"/>
    <w:rsid w:val="0085596D"/>
    <w:rsid w:val="00870DD7"/>
    <w:rsid w:val="00893FC9"/>
    <w:rsid w:val="008A00EB"/>
    <w:rsid w:val="008E1D06"/>
    <w:rsid w:val="008F56F2"/>
    <w:rsid w:val="00903343"/>
    <w:rsid w:val="009316B7"/>
    <w:rsid w:val="00957AB4"/>
    <w:rsid w:val="00964FCF"/>
    <w:rsid w:val="009B4DAB"/>
    <w:rsid w:val="00A04C31"/>
    <w:rsid w:val="00A0752B"/>
    <w:rsid w:val="00A17D87"/>
    <w:rsid w:val="00A20A43"/>
    <w:rsid w:val="00A34D34"/>
    <w:rsid w:val="00A64A5F"/>
    <w:rsid w:val="00AB64C9"/>
    <w:rsid w:val="00AD3AAD"/>
    <w:rsid w:val="00AE1F4D"/>
    <w:rsid w:val="00B00205"/>
    <w:rsid w:val="00B16B31"/>
    <w:rsid w:val="00B2670C"/>
    <w:rsid w:val="00B32C0A"/>
    <w:rsid w:val="00B3509D"/>
    <w:rsid w:val="00B37D43"/>
    <w:rsid w:val="00B52CE1"/>
    <w:rsid w:val="00B53152"/>
    <w:rsid w:val="00B7477C"/>
    <w:rsid w:val="00B805B3"/>
    <w:rsid w:val="00BE19AD"/>
    <w:rsid w:val="00C04314"/>
    <w:rsid w:val="00C04CB5"/>
    <w:rsid w:val="00C3651B"/>
    <w:rsid w:val="00C55C3F"/>
    <w:rsid w:val="00C61DF5"/>
    <w:rsid w:val="00C7682F"/>
    <w:rsid w:val="00CF1A77"/>
    <w:rsid w:val="00CF58B1"/>
    <w:rsid w:val="00D16194"/>
    <w:rsid w:val="00D20162"/>
    <w:rsid w:val="00D30F1D"/>
    <w:rsid w:val="00D41658"/>
    <w:rsid w:val="00D55975"/>
    <w:rsid w:val="00D57BCD"/>
    <w:rsid w:val="00D603E7"/>
    <w:rsid w:val="00D80F2E"/>
    <w:rsid w:val="00DA1CB0"/>
    <w:rsid w:val="00DA4438"/>
    <w:rsid w:val="00DA734E"/>
    <w:rsid w:val="00DD5291"/>
    <w:rsid w:val="00E024DB"/>
    <w:rsid w:val="00E024E2"/>
    <w:rsid w:val="00E15D42"/>
    <w:rsid w:val="00E56D36"/>
    <w:rsid w:val="00E91F06"/>
    <w:rsid w:val="00E97645"/>
    <w:rsid w:val="00EA6FCB"/>
    <w:rsid w:val="00ED4E8D"/>
    <w:rsid w:val="00ED6B39"/>
    <w:rsid w:val="00EF0F24"/>
    <w:rsid w:val="00EF4EA7"/>
    <w:rsid w:val="00F074E2"/>
    <w:rsid w:val="00F139B2"/>
    <w:rsid w:val="00F13D95"/>
    <w:rsid w:val="00F241CA"/>
    <w:rsid w:val="00F3013D"/>
    <w:rsid w:val="00F37F8A"/>
    <w:rsid w:val="00FA0356"/>
    <w:rsid w:val="00FA0B45"/>
    <w:rsid w:val="00FB2D43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55F9"/>
  <w15:docId w15:val="{F755E69A-B8E9-43F5-846D-A048298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55975"/>
    <w:rPr>
      <w:i/>
      <w:iCs/>
    </w:rPr>
  </w:style>
  <w:style w:type="character" w:customStyle="1" w:styleId="apple-converted-space">
    <w:name w:val="apple-converted-space"/>
    <w:basedOn w:val="DefaultParagraphFont"/>
    <w:rsid w:val="00D55975"/>
  </w:style>
  <w:style w:type="paragraph" w:customStyle="1" w:styleId="DRTitle">
    <w:name w:val="DR Title"/>
    <w:basedOn w:val="Normal"/>
    <w:link w:val="DRTitleChar"/>
    <w:qFormat/>
    <w:rsid w:val="00B37D43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 w:cs="Times New Roman"/>
      <w:b/>
      <w:bCs/>
      <w:sz w:val="28"/>
      <w:szCs w:val="28"/>
      <w:lang w:val="en-GB" w:eastAsia="el-GR"/>
    </w:rPr>
  </w:style>
  <w:style w:type="character" w:customStyle="1" w:styleId="DRTitleChar">
    <w:name w:val="DR Title Char"/>
    <w:basedOn w:val="DefaultParagraphFont"/>
    <w:link w:val="DRTitle"/>
    <w:rsid w:val="00B37D43"/>
    <w:rPr>
      <w:rFonts w:ascii="Trebuchet MS" w:eastAsiaTheme="minorEastAsia" w:hAnsi="Trebuchet MS" w:cs="Times New Roman"/>
      <w:b/>
      <w:bCs/>
      <w:sz w:val="28"/>
      <w:szCs w:val="28"/>
      <w:lang w:val="en-GB" w:eastAsia="el-GR"/>
    </w:rPr>
  </w:style>
  <w:style w:type="paragraph" w:styleId="NormalWeb">
    <w:name w:val="Normal (Web)"/>
    <w:basedOn w:val="Normal"/>
    <w:uiPriority w:val="99"/>
    <w:semiHidden/>
    <w:unhideWhenUsed/>
    <w:rsid w:val="007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5" ma:contentTypeDescription="Create a new document." ma:contentTypeScope="" ma:versionID="245d128595381047dca30d8e9b16eaf5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bf79ffd2eea56d0f5b00c3379733b6be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9DD2-3FC5-43A9-86A3-D74206D4722C}">
  <ds:schemaRefs>
    <ds:schemaRef ds:uri="c82bae87-54d2-4d35-9c82-c5c937f47684"/>
    <ds:schemaRef ds:uri="http://www.w3.org/XML/1998/namespace"/>
    <ds:schemaRef ds:uri="http://schemas.microsoft.com/office/2006/metadata/properties"/>
    <ds:schemaRef ds:uri="http://purl.org/dc/dcmitype/"/>
    <ds:schemaRef ds:uri="ed13e1a4-03b5-44b7-a6ed-2799c47f2e9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F7BC21-6F8C-4A18-9B2A-91C4898D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8DB41-7478-4770-80B7-117FC448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6464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Ed Jennings</cp:lastModifiedBy>
  <cp:revision>3</cp:revision>
  <cp:lastPrinted>2021-06-17T07:46:00Z</cp:lastPrinted>
  <dcterms:created xsi:type="dcterms:W3CDTF">2022-10-25T14:52:00Z</dcterms:created>
  <dcterms:modified xsi:type="dcterms:W3CDTF">2022-11-04T13:44:00Z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