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2AE5" w14:textId="77777777" w:rsidR="00C1222B" w:rsidRPr="00513D85" w:rsidRDefault="00C1222B" w:rsidP="00C1222B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1939"/>
        <w:rPr>
          <w:rFonts w:asciiTheme="minorHAnsi" w:hAnsiTheme="minorHAnsi" w:cstheme="minorHAnsi"/>
        </w:rPr>
      </w:pPr>
      <w:r w:rsidRPr="00513D85">
        <w:rPr>
          <w:rStyle w:val="jlqj4b"/>
          <w:rFonts w:asciiTheme="minorHAnsi" w:hAnsiTheme="minorHAnsi" w:cstheme="minorHAnsi"/>
        </w:rPr>
        <w:t>CONVENCIÓN SOBRE LOS HUMEDALES</w:t>
      </w:r>
      <w:r w:rsidRPr="00513D85">
        <w:rPr>
          <w:rFonts w:asciiTheme="minorHAnsi" w:hAnsiTheme="minorHAnsi" w:cstheme="minorHAnsi"/>
        </w:rPr>
        <w:t xml:space="preserve"> </w:t>
      </w:r>
    </w:p>
    <w:p w14:paraId="0C5B3F2E" w14:textId="77777777" w:rsidR="00C1222B" w:rsidRPr="00513D85" w:rsidRDefault="00C1222B" w:rsidP="00C1222B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1939"/>
        <w:rPr>
          <w:rFonts w:asciiTheme="minorHAnsi" w:hAnsiTheme="minorHAnsi" w:cstheme="minorHAnsi"/>
          <w:bCs/>
        </w:rPr>
      </w:pPr>
      <w:r w:rsidRPr="00513D85">
        <w:rPr>
          <w:rFonts w:asciiTheme="minorHAnsi" w:hAnsiTheme="minorHAnsi" w:cstheme="minorHAnsi"/>
          <w:bCs/>
        </w:rPr>
        <w:t xml:space="preserve">Tercera reunión extraordinaria de la Conferencia de las Partes Contratantes </w:t>
      </w:r>
    </w:p>
    <w:p w14:paraId="23936CBA" w14:textId="77777777" w:rsidR="00C1222B" w:rsidRPr="00513D85" w:rsidRDefault="00C1222B" w:rsidP="00C1222B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1939"/>
        <w:rPr>
          <w:rFonts w:asciiTheme="minorHAnsi" w:hAnsiTheme="minorHAnsi" w:cstheme="minorHAnsi"/>
          <w:bCs/>
        </w:rPr>
      </w:pPr>
      <w:r w:rsidRPr="00513D85">
        <w:rPr>
          <w:rFonts w:asciiTheme="minorHAnsi" w:hAnsiTheme="minorHAnsi" w:cstheme="minorHAnsi"/>
          <w:bCs/>
        </w:rPr>
        <w:t>25 a 29 de octubre de 2021 (reunión virtual)</w:t>
      </w:r>
    </w:p>
    <w:p w14:paraId="79018C18" w14:textId="77777777" w:rsidR="00C1222B" w:rsidRDefault="00C1222B" w:rsidP="00C1222B">
      <w:pPr>
        <w:spacing w:after="0" w:line="240" w:lineRule="auto"/>
        <w:ind w:right="2789"/>
        <w:rPr>
          <w:rFonts w:cs="Arial"/>
          <w:b/>
          <w:sz w:val="28"/>
          <w:szCs w:val="28"/>
        </w:rPr>
      </w:pPr>
    </w:p>
    <w:p w14:paraId="4B686197" w14:textId="77777777" w:rsidR="00C1222B" w:rsidRDefault="00C1222B" w:rsidP="00C1222B">
      <w:pPr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7E74B4D8" w14:textId="77777777" w:rsidR="00C1222B" w:rsidRDefault="00C1222B" w:rsidP="00C1222B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607C18">
        <w:rPr>
          <w:rFonts w:asciiTheme="minorHAnsi" w:eastAsiaTheme="minorEastAsia" w:hAnsiTheme="minorHAnsi" w:cstheme="minorBidi"/>
          <w:b/>
          <w:sz w:val="28"/>
        </w:rPr>
        <w:t>E</w:t>
      </w:r>
      <w:r>
        <w:rPr>
          <w:rFonts w:asciiTheme="minorHAnsi" w:eastAsiaTheme="minorEastAsia" w:hAnsiTheme="minorHAnsi" w:cstheme="minorBidi"/>
          <w:b/>
          <w:sz w:val="28"/>
        </w:rPr>
        <w:t>x</w:t>
      </w:r>
      <w:r w:rsidRPr="00607C18">
        <w:rPr>
          <w:rFonts w:asciiTheme="minorHAnsi" w:eastAsiaTheme="minorEastAsia" w:hAnsiTheme="minorHAnsi" w:cstheme="minorBidi"/>
          <w:b/>
          <w:sz w:val="28"/>
        </w:rPr>
        <w:t>COP</w:t>
      </w:r>
      <w:r>
        <w:rPr>
          <w:rFonts w:asciiTheme="minorHAnsi" w:eastAsiaTheme="minorEastAsia" w:hAnsiTheme="minorHAnsi" w:cstheme="minorBidi"/>
          <w:b/>
          <w:sz w:val="28"/>
        </w:rPr>
        <w:t>3</w:t>
      </w:r>
      <w:r w:rsidRPr="00607C18">
        <w:rPr>
          <w:rFonts w:asciiTheme="minorHAnsi" w:eastAsiaTheme="minorEastAsia" w:hAnsiTheme="minorHAnsi" w:cstheme="minorBidi"/>
          <w:b/>
          <w:sz w:val="28"/>
        </w:rPr>
        <w:t xml:space="preserve"> Doc.</w:t>
      </w:r>
      <w:r>
        <w:rPr>
          <w:rFonts w:asciiTheme="minorHAnsi" w:eastAsiaTheme="minorEastAsia" w:hAnsiTheme="minorHAnsi" w:cstheme="minorBidi"/>
          <w:b/>
          <w:sz w:val="28"/>
        </w:rPr>
        <w:t>7</w:t>
      </w:r>
    </w:p>
    <w:p w14:paraId="5E4ABE40" w14:textId="77777777" w:rsidR="00C1222B" w:rsidRDefault="00C1222B" w:rsidP="00C1222B">
      <w:pPr>
        <w:spacing w:after="0" w:line="240" w:lineRule="auto"/>
        <w:rPr>
          <w:rFonts w:cs="Arial"/>
          <w:b/>
          <w:sz w:val="28"/>
          <w:szCs w:val="28"/>
        </w:rPr>
      </w:pPr>
    </w:p>
    <w:p w14:paraId="6AC6DB3B" w14:textId="357500F5" w:rsidR="00B853B0" w:rsidRPr="00A75EE2" w:rsidRDefault="008E5056" w:rsidP="00C1222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A75EE2">
        <w:rPr>
          <w:b/>
          <w:sz w:val="28"/>
          <w:szCs w:val="28"/>
          <w:lang w:val="es-ES_tradnl"/>
        </w:rPr>
        <w:t>Ad</w:t>
      </w:r>
      <w:r w:rsidR="00A75EE2">
        <w:rPr>
          <w:b/>
          <w:sz w:val="28"/>
          <w:szCs w:val="28"/>
          <w:lang w:val="es-ES_tradnl"/>
        </w:rPr>
        <w:t>misión de observadores</w:t>
      </w:r>
    </w:p>
    <w:p w14:paraId="69D54C55" w14:textId="77777777" w:rsidR="00B853B0" w:rsidRPr="00C1222B" w:rsidRDefault="00B853B0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s-ES_tradnl"/>
        </w:rPr>
      </w:pPr>
    </w:p>
    <w:p w14:paraId="0FD1B777" w14:textId="1979D20B" w:rsidR="00617C4D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1.</w:t>
      </w:r>
      <w:r w:rsidRPr="00A75EE2">
        <w:rPr>
          <w:rFonts w:asciiTheme="minorHAnsi" w:hAnsiTheme="minorHAnsi"/>
          <w:lang w:val="es-ES_tradnl"/>
        </w:rPr>
        <w:tab/>
      </w:r>
      <w:r w:rsidR="00346C26" w:rsidRPr="00A75EE2">
        <w:rPr>
          <w:rFonts w:asciiTheme="minorHAnsi" w:hAnsiTheme="minorHAnsi"/>
          <w:lang w:val="es-ES_tradnl"/>
        </w:rPr>
        <w:t xml:space="preserve">El </w:t>
      </w:r>
      <w:r w:rsidR="00A75EE2" w:rsidRPr="00A75EE2">
        <w:rPr>
          <w:rFonts w:asciiTheme="minorHAnsi" w:hAnsiTheme="minorHAnsi"/>
          <w:lang w:val="es-ES_tradnl"/>
        </w:rPr>
        <w:t>reglamento</w:t>
      </w:r>
      <w:r w:rsidR="00346C26" w:rsidRPr="00A75EE2">
        <w:rPr>
          <w:rFonts w:asciiTheme="minorHAnsi" w:hAnsiTheme="minorHAnsi"/>
          <w:lang w:val="es-ES_tradnl"/>
        </w:rPr>
        <w:t xml:space="preserve"> de las reuniones de la Conferencia de las Partes Contratantes prevé la </w:t>
      </w:r>
      <w:r w:rsidR="00A75EE2" w:rsidRPr="00A75EE2">
        <w:rPr>
          <w:rFonts w:asciiTheme="minorHAnsi" w:hAnsiTheme="minorHAnsi"/>
          <w:lang w:val="es-ES_tradnl"/>
        </w:rPr>
        <w:t>participación</w:t>
      </w:r>
      <w:r w:rsidR="00346C26" w:rsidRPr="00A75EE2">
        <w:rPr>
          <w:rFonts w:asciiTheme="minorHAnsi" w:hAnsiTheme="minorHAnsi"/>
          <w:lang w:val="es-ES_tradnl"/>
        </w:rPr>
        <w:t xml:space="preserve"> de observadores en dos categorías</w:t>
      </w:r>
      <w:r w:rsidR="00F7595E" w:rsidRPr="00A75EE2">
        <w:rPr>
          <w:rFonts w:asciiTheme="minorHAnsi" w:hAnsiTheme="minorHAnsi"/>
          <w:lang w:val="es-ES_tradnl"/>
        </w:rPr>
        <w:t>:</w:t>
      </w:r>
    </w:p>
    <w:p w14:paraId="717BB3CE" w14:textId="77777777" w:rsidR="00C1222B" w:rsidRPr="00A75EE2" w:rsidRDefault="00C1222B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2C12B3F5" w14:textId="4EAC0D8F" w:rsidR="00F7595E" w:rsidRPr="00A75EE2" w:rsidRDefault="00346C26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las Naciones Unidas, sus organismos especializados y los Estados que</w:t>
      </w:r>
      <w:r w:rsidR="002375A3">
        <w:rPr>
          <w:rFonts w:asciiTheme="minorHAnsi" w:hAnsiTheme="minorHAnsi"/>
          <w:lang w:val="es-ES_tradnl"/>
        </w:rPr>
        <w:t xml:space="preserve"> no son Parte en la Convención</w:t>
      </w:r>
      <w:r w:rsidRPr="00A75EE2">
        <w:rPr>
          <w:rFonts w:asciiTheme="minorHAnsi" w:hAnsiTheme="minorHAnsi"/>
          <w:lang w:val="es-ES_tradnl"/>
        </w:rPr>
        <w:t>;</w:t>
      </w:r>
      <w:r w:rsidR="005B1BB9" w:rsidRPr="00A75EE2">
        <w:rPr>
          <w:rFonts w:asciiTheme="minorHAnsi" w:hAnsiTheme="minorHAnsi"/>
          <w:lang w:val="es-ES_tradnl"/>
        </w:rPr>
        <w:t xml:space="preserve"> </w:t>
      </w:r>
      <w:r w:rsidR="002375A3">
        <w:rPr>
          <w:rFonts w:asciiTheme="minorHAnsi" w:hAnsiTheme="minorHAnsi"/>
          <w:lang w:val="es-ES_tradnl"/>
        </w:rPr>
        <w:t>y</w:t>
      </w:r>
    </w:p>
    <w:p w14:paraId="174C56C2" w14:textId="528EA974" w:rsidR="005B1BB9" w:rsidRPr="00A75EE2" w:rsidRDefault="001C0FB8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cualquier </w:t>
      </w:r>
      <w:r w:rsidR="00346C26" w:rsidRPr="00A75EE2">
        <w:rPr>
          <w:rFonts w:asciiTheme="minorHAnsi" w:hAnsiTheme="minorHAnsi"/>
          <w:lang w:val="es-ES_tradnl"/>
        </w:rPr>
        <w:t>entidad o age</w:t>
      </w:r>
      <w:r>
        <w:rPr>
          <w:rFonts w:asciiTheme="minorHAnsi" w:hAnsiTheme="minorHAnsi"/>
          <w:lang w:val="es-ES_tradnl"/>
        </w:rPr>
        <w:t xml:space="preserve">ncia </w:t>
      </w:r>
      <w:r w:rsidR="00A77B37" w:rsidRPr="00A75EE2">
        <w:rPr>
          <w:rFonts w:asciiTheme="minorHAnsi" w:hAnsiTheme="minorHAnsi"/>
          <w:lang w:val="es-ES_tradnl"/>
        </w:rPr>
        <w:t>calificad</w:t>
      </w:r>
      <w:r>
        <w:rPr>
          <w:rFonts w:asciiTheme="minorHAnsi" w:hAnsiTheme="minorHAnsi"/>
          <w:lang w:val="es-ES_tradnl"/>
        </w:rPr>
        <w:t>a</w:t>
      </w:r>
      <w:r w:rsidR="00A77B37" w:rsidRPr="00A75EE2">
        <w:rPr>
          <w:rFonts w:asciiTheme="minorHAnsi" w:hAnsiTheme="minorHAnsi"/>
          <w:lang w:val="es-ES_tradnl"/>
        </w:rPr>
        <w:t xml:space="preserve"> en el ámbito de la conservación y el uso sostenible de los humedales</w:t>
      </w:r>
      <w:r w:rsidR="005B1BB9" w:rsidRPr="00A75EE2">
        <w:rPr>
          <w:rFonts w:asciiTheme="minorHAnsi" w:hAnsiTheme="minorHAnsi"/>
          <w:lang w:val="es-ES_tradnl"/>
        </w:rPr>
        <w:t>.</w:t>
      </w:r>
    </w:p>
    <w:p w14:paraId="7B780B1F" w14:textId="6130FB7A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5071C960" w14:textId="3DAAEF16" w:rsidR="005B1BB9" w:rsidRPr="00C1222B" w:rsidRDefault="00FD7A6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b/>
          <w:lang w:val="es-ES_tradnl"/>
        </w:rPr>
      </w:pPr>
      <w:r w:rsidRPr="00C1222B">
        <w:rPr>
          <w:rFonts w:asciiTheme="minorHAnsi" w:hAnsiTheme="minorHAnsi"/>
          <w:b/>
          <w:lang w:val="es-ES_tradnl"/>
        </w:rPr>
        <w:t>Las Naciones Unidas, sus organismos especializados y los Estados que no son Parte</w:t>
      </w:r>
    </w:p>
    <w:p w14:paraId="38473C18" w14:textId="77777777" w:rsidR="005B1BB9" w:rsidRPr="00A75EE2" w:rsidRDefault="005B1BB9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6C1A9569" w14:textId="1A7DDD95" w:rsidR="00617C4D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2</w:t>
      </w:r>
      <w:r w:rsidR="00AC1DD6" w:rsidRPr="00A75EE2">
        <w:rPr>
          <w:rFonts w:asciiTheme="minorHAnsi" w:hAnsiTheme="minorHAnsi"/>
          <w:lang w:val="es-ES_tradnl"/>
        </w:rPr>
        <w:t>.</w:t>
      </w:r>
      <w:r w:rsidR="00AC1DD6" w:rsidRPr="00A75EE2">
        <w:rPr>
          <w:rFonts w:asciiTheme="minorHAnsi" w:hAnsiTheme="minorHAnsi"/>
          <w:lang w:val="es-ES_tradnl"/>
        </w:rPr>
        <w:tab/>
      </w:r>
      <w:r w:rsidR="001739B1" w:rsidRPr="00A75EE2">
        <w:rPr>
          <w:rFonts w:asciiTheme="minorHAnsi" w:hAnsiTheme="minorHAnsi"/>
          <w:lang w:val="es-ES_tradnl"/>
        </w:rPr>
        <w:t xml:space="preserve">El artículo </w:t>
      </w:r>
      <w:r w:rsidR="00C95279" w:rsidRPr="00A75EE2">
        <w:rPr>
          <w:rFonts w:asciiTheme="minorHAnsi" w:hAnsiTheme="minorHAnsi"/>
          <w:lang w:val="es-ES_tradnl"/>
        </w:rPr>
        <w:t xml:space="preserve">6 </w:t>
      </w:r>
      <w:r w:rsidR="001739B1" w:rsidRPr="00A75EE2">
        <w:rPr>
          <w:rFonts w:asciiTheme="minorHAnsi" w:hAnsiTheme="minorHAnsi"/>
          <w:lang w:val="es-ES_tradnl"/>
        </w:rPr>
        <w:t xml:space="preserve">del reglamento </w:t>
      </w:r>
      <w:r w:rsidR="002375A3">
        <w:rPr>
          <w:rFonts w:asciiTheme="minorHAnsi" w:hAnsiTheme="minorHAnsi"/>
          <w:lang w:val="es-ES_tradnl"/>
        </w:rPr>
        <w:t xml:space="preserve">establece </w:t>
      </w:r>
      <w:r w:rsidR="00034E61" w:rsidRPr="00A75EE2">
        <w:rPr>
          <w:rFonts w:asciiTheme="minorHAnsi" w:hAnsiTheme="minorHAnsi"/>
          <w:lang w:val="es-ES_tradnl"/>
        </w:rPr>
        <w:t xml:space="preserve">que los observadores que representan a las Naciones Unidas, a sus organismos especializados y los Estados que no son Parte en la Convención pueden participar previa invitación </w:t>
      </w:r>
      <w:r w:rsidR="002375A3">
        <w:rPr>
          <w:rFonts w:asciiTheme="minorHAnsi" w:hAnsiTheme="minorHAnsi"/>
          <w:lang w:val="es-ES_tradnl"/>
        </w:rPr>
        <w:t>de la Presidencia</w:t>
      </w:r>
      <w:r w:rsidR="00034E61" w:rsidRPr="00A75EE2">
        <w:rPr>
          <w:rFonts w:asciiTheme="minorHAnsi" w:hAnsiTheme="minorHAnsi"/>
          <w:lang w:val="es-ES_tradnl"/>
        </w:rPr>
        <w:t>, “salvo que por lo menos un ter</w:t>
      </w:r>
      <w:r w:rsidR="002375A3">
        <w:rPr>
          <w:rFonts w:asciiTheme="minorHAnsi" w:hAnsiTheme="minorHAnsi"/>
          <w:lang w:val="es-ES_tradnl"/>
        </w:rPr>
        <w:t>cio de las Partes Contratantes</w:t>
      </w:r>
      <w:r w:rsidR="00034E61" w:rsidRPr="00A75EE2">
        <w:rPr>
          <w:rFonts w:asciiTheme="minorHAnsi" w:hAnsiTheme="minorHAnsi"/>
          <w:lang w:val="es-ES_tradnl"/>
        </w:rPr>
        <w:t xml:space="preserve"> presentes en la reunión se opongan”.</w:t>
      </w:r>
    </w:p>
    <w:p w14:paraId="153B04C8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3891B100" w14:textId="2101A003" w:rsidR="00CB69E7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3.</w:t>
      </w:r>
      <w:r w:rsidRPr="00A75EE2">
        <w:rPr>
          <w:rFonts w:asciiTheme="minorHAnsi" w:hAnsiTheme="minorHAnsi"/>
          <w:lang w:val="es-ES_tradnl"/>
        </w:rPr>
        <w:tab/>
      </w:r>
      <w:r w:rsidR="002375A3">
        <w:rPr>
          <w:rFonts w:asciiTheme="minorHAnsi" w:hAnsiTheme="minorHAnsi"/>
          <w:lang w:val="es-ES_tradnl"/>
        </w:rPr>
        <w:t>En lo que respecta a</w:t>
      </w:r>
      <w:r w:rsidR="00034E61" w:rsidRPr="00A75EE2">
        <w:rPr>
          <w:rFonts w:asciiTheme="minorHAnsi" w:hAnsiTheme="minorHAnsi"/>
          <w:lang w:val="es-ES_tradnl"/>
        </w:rPr>
        <w:t xml:space="preserve"> los observadores en esta categoría, la Secretaría había recibido las siguientes </w:t>
      </w:r>
      <w:r w:rsidR="00A75EE2" w:rsidRPr="00A75EE2">
        <w:rPr>
          <w:rFonts w:asciiTheme="minorHAnsi" w:hAnsiTheme="minorHAnsi"/>
          <w:lang w:val="es-ES_tradnl"/>
        </w:rPr>
        <w:t>preinscripciones</w:t>
      </w:r>
      <w:r w:rsidR="00034E61" w:rsidRPr="00A75EE2">
        <w:rPr>
          <w:rFonts w:asciiTheme="minorHAnsi" w:hAnsiTheme="minorHAnsi"/>
          <w:lang w:val="es-ES_tradnl"/>
        </w:rPr>
        <w:t xml:space="preserve"> a fecha de </w:t>
      </w:r>
      <w:r w:rsidR="00C1222B">
        <w:rPr>
          <w:rFonts w:asciiTheme="minorHAnsi" w:hAnsiTheme="minorHAnsi"/>
          <w:lang w:val="es-ES_tradnl"/>
        </w:rPr>
        <w:t>18</w:t>
      </w:r>
      <w:r w:rsidR="00034E61" w:rsidRPr="00A75EE2">
        <w:rPr>
          <w:rFonts w:asciiTheme="minorHAnsi" w:hAnsiTheme="minorHAnsi"/>
          <w:lang w:val="es-ES_tradnl"/>
        </w:rPr>
        <w:t xml:space="preserve"> de octubre de </w:t>
      </w:r>
      <w:r w:rsidR="00C1222B">
        <w:rPr>
          <w:rFonts w:asciiTheme="minorHAnsi" w:hAnsiTheme="minorHAnsi"/>
          <w:lang w:val="es-ES_tradnl"/>
        </w:rPr>
        <w:t>2021</w:t>
      </w:r>
      <w:r w:rsidR="000A273E" w:rsidRPr="00A75EE2">
        <w:rPr>
          <w:rFonts w:asciiTheme="minorHAnsi" w:hAnsiTheme="minorHAnsi"/>
          <w:lang w:val="es-ES_tradnl"/>
        </w:rPr>
        <w:t>:</w:t>
      </w:r>
    </w:p>
    <w:p w14:paraId="01D79BB6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77D4A51" w14:textId="281B0C6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Naciones Unidas y sus organismos especializados:</w:t>
      </w:r>
    </w:p>
    <w:p w14:paraId="6BEDC435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9017242" w14:textId="6B556172" w:rsidR="00490D1C" w:rsidRPr="00A75EE2" w:rsidRDefault="00BB1A54" w:rsidP="00490D1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Organización de las Naciones Unidas para la Alimentación y la Agricultura </w:t>
      </w:r>
      <w:r w:rsidR="00490D1C" w:rsidRPr="00A75EE2">
        <w:rPr>
          <w:rFonts w:asciiTheme="minorHAnsi" w:hAnsiTheme="minorHAnsi" w:cstheme="minorHAnsi"/>
          <w:color w:val="000000"/>
          <w:lang w:val="es-ES_tradnl" w:eastAsia="en-GB"/>
        </w:rPr>
        <w:t>(FAO)</w:t>
      </w:r>
    </w:p>
    <w:p w14:paraId="54174D7B" w14:textId="39EDF5D4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D0444AC" w14:textId="476E2F14" w:rsidR="000A273E" w:rsidRPr="00C1222B" w:rsidRDefault="00BB1A54" w:rsidP="00C1222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es-ES_tradnl"/>
        </w:rPr>
      </w:pPr>
      <w:r w:rsidRPr="00C1222B">
        <w:rPr>
          <w:rFonts w:asciiTheme="minorHAnsi" w:hAnsiTheme="minorHAnsi"/>
          <w:b/>
          <w:lang w:val="es-ES_tradnl"/>
        </w:rPr>
        <w:t xml:space="preserve">Entidades o agencias calificadas en el ámbito de la conservación y el uso </w:t>
      </w:r>
      <w:r w:rsidR="00B047F3" w:rsidRPr="00C1222B">
        <w:rPr>
          <w:rFonts w:asciiTheme="minorHAnsi" w:hAnsiTheme="minorHAnsi"/>
          <w:b/>
          <w:lang w:val="es-ES_tradnl"/>
        </w:rPr>
        <w:t>sostenible</w:t>
      </w:r>
      <w:r w:rsidRPr="00C1222B">
        <w:rPr>
          <w:rFonts w:asciiTheme="minorHAnsi" w:hAnsiTheme="minorHAnsi"/>
          <w:b/>
          <w:lang w:val="es-ES_tradnl"/>
        </w:rPr>
        <w:t xml:space="preserve"> de los humedales</w:t>
      </w:r>
    </w:p>
    <w:p w14:paraId="485E7CFD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0B3A4A3C" w14:textId="7D96CEE2" w:rsidR="009F56D8" w:rsidRPr="00A75EE2" w:rsidRDefault="00811DAC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 xml:space="preserve">4. </w:t>
      </w:r>
      <w:r w:rsidRPr="00A75EE2">
        <w:rPr>
          <w:lang w:val="es-ES_tradnl"/>
        </w:rPr>
        <w:tab/>
      </w:r>
      <w:r w:rsidR="00BB1A54" w:rsidRPr="00A75EE2">
        <w:rPr>
          <w:lang w:val="es-ES_tradnl"/>
        </w:rPr>
        <w:t xml:space="preserve">Los artículos </w:t>
      </w:r>
      <w:r w:rsidR="00C95279" w:rsidRPr="00A75EE2">
        <w:rPr>
          <w:lang w:val="es-ES_tradnl"/>
        </w:rPr>
        <w:t>7.1</w:t>
      </w:r>
      <w:r w:rsidR="00DA1A85" w:rsidRPr="00A75EE2">
        <w:rPr>
          <w:lang w:val="es-ES_tradnl"/>
        </w:rPr>
        <w:t xml:space="preserve"> </w:t>
      </w:r>
      <w:r w:rsidR="00BB1A54" w:rsidRPr="00A75EE2">
        <w:rPr>
          <w:lang w:val="es-ES_tradnl"/>
        </w:rPr>
        <w:t xml:space="preserve">y </w:t>
      </w:r>
      <w:r w:rsidR="00DA1A85" w:rsidRPr="00A75EE2">
        <w:rPr>
          <w:lang w:val="es-ES_tradnl"/>
        </w:rPr>
        <w:t>7.2</w:t>
      </w:r>
      <w:r w:rsidR="00C95279" w:rsidRPr="00A75EE2">
        <w:rPr>
          <w:rFonts w:asciiTheme="minorHAnsi" w:hAnsiTheme="minorHAnsi"/>
          <w:lang w:val="es-ES_tradnl"/>
        </w:rPr>
        <w:t xml:space="preserve"> </w:t>
      </w:r>
      <w:r w:rsidR="00064910">
        <w:rPr>
          <w:rFonts w:asciiTheme="minorHAnsi" w:hAnsiTheme="minorHAnsi"/>
          <w:lang w:val="es-ES_tradnl"/>
        </w:rPr>
        <w:t>tratan sobre</w:t>
      </w:r>
      <w:r w:rsidR="00BB1A54" w:rsidRPr="00A75EE2">
        <w:rPr>
          <w:rFonts w:asciiTheme="minorHAnsi" w:hAnsiTheme="minorHAnsi"/>
          <w:lang w:val="es-ES_tradnl"/>
        </w:rPr>
        <w:t xml:space="preserve"> la “Participación de otras entidades o agencias” </w:t>
      </w:r>
      <w:r w:rsidR="00B047F3">
        <w:rPr>
          <w:rFonts w:asciiTheme="minorHAnsi" w:hAnsiTheme="minorHAnsi"/>
          <w:lang w:val="es-ES_tradnl"/>
        </w:rPr>
        <w:t>y establecen lo siguiente</w:t>
      </w:r>
      <w:r w:rsidR="00BB1A54" w:rsidRPr="00A75EE2">
        <w:rPr>
          <w:rFonts w:asciiTheme="minorHAnsi" w:hAnsiTheme="minorHAnsi"/>
          <w:lang w:val="es-ES_tradnl"/>
        </w:rPr>
        <w:t>:</w:t>
      </w:r>
    </w:p>
    <w:p w14:paraId="563E9D9D" w14:textId="77777777" w:rsidR="00DA1A85" w:rsidRPr="00A75EE2" w:rsidRDefault="00DA1A85" w:rsidP="00DA1A85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es-ES_tradnl"/>
        </w:rPr>
      </w:pPr>
    </w:p>
    <w:p w14:paraId="3B316441" w14:textId="59958272" w:rsidR="00DA1A85" w:rsidRPr="00A75EE2" w:rsidRDefault="00AC1DD6" w:rsidP="00BB1A54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</w:t>
      </w:r>
      <w:r w:rsidR="00DA1A85" w:rsidRPr="00A75EE2">
        <w:rPr>
          <w:i/>
          <w:lang w:val="es-ES_tradnl"/>
        </w:rPr>
        <w:t>1.</w:t>
      </w:r>
      <w:r w:rsidR="00DA1A85" w:rsidRPr="00A75EE2">
        <w:rPr>
          <w:i/>
          <w:lang w:val="es-ES_tradnl"/>
        </w:rPr>
        <w:tab/>
      </w:r>
      <w:r w:rsidR="00BB1A54" w:rsidRPr="00A75EE2">
        <w:rPr>
          <w:i/>
          <w:lang w:val="es-ES_tradnl"/>
        </w:rPr>
        <w:t xml:space="preserve">Cualquier entidad o agencia, nacional o internacional, ya sea gubernamental o no gubernamental, calificada en el </w:t>
      </w:r>
      <w:r w:rsidR="00A75EE2" w:rsidRPr="00A75EE2">
        <w:rPr>
          <w:i/>
          <w:lang w:val="es-ES_tradnl"/>
        </w:rPr>
        <w:t>ámbito</w:t>
      </w:r>
      <w:r w:rsidR="00BB1A54" w:rsidRPr="00A75EE2">
        <w:rPr>
          <w:i/>
          <w:lang w:val="es-ES_tradnl"/>
        </w:rPr>
        <w:t xml:space="preserve"> de la </w:t>
      </w:r>
      <w:r w:rsidR="00A75EE2" w:rsidRPr="00A75EE2">
        <w:rPr>
          <w:i/>
          <w:lang w:val="es-ES_tradnl"/>
        </w:rPr>
        <w:t>conservación</w:t>
      </w:r>
      <w:r w:rsidR="00BB1A54" w:rsidRPr="00A75EE2">
        <w:rPr>
          <w:i/>
          <w:lang w:val="es-ES_tradnl"/>
        </w:rPr>
        <w:t xml:space="preserve"> y el uso sostenible de los humedales que haya transmitido a la </w:t>
      </w:r>
      <w:r w:rsidR="00A75EE2" w:rsidRPr="00A75EE2">
        <w:rPr>
          <w:i/>
          <w:lang w:val="es-ES_tradnl"/>
        </w:rPr>
        <w:t>Secretaría</w:t>
      </w:r>
      <w:r w:rsidR="00BB1A54" w:rsidRPr="00A75EE2">
        <w:rPr>
          <w:i/>
          <w:lang w:val="es-ES_tradnl"/>
        </w:rPr>
        <w:t xml:space="preserve"> su deseo de estar representada en las reuniones de la Conferencia de las Partes </w:t>
      </w:r>
      <w:r w:rsidR="00A75EE2">
        <w:rPr>
          <w:i/>
          <w:lang w:val="es-ES_tradnl"/>
        </w:rPr>
        <w:t>podrá estar</w:t>
      </w:r>
      <w:r w:rsidR="00BB1A54" w:rsidRPr="00A75EE2">
        <w:rPr>
          <w:i/>
          <w:lang w:val="es-ES_tradnl"/>
        </w:rPr>
        <w:t xml:space="preserve"> representada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por observadores, salvo que por lo menos un tercio de las Partes presentes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se opongan</w:t>
      </w:r>
      <w:r w:rsidR="00DA1A85" w:rsidRPr="00A75EE2">
        <w:rPr>
          <w:i/>
          <w:lang w:val="es-ES_tradnl"/>
        </w:rPr>
        <w:t xml:space="preserve">. </w:t>
      </w:r>
    </w:p>
    <w:p w14:paraId="70DFF1BE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</w:p>
    <w:p w14:paraId="5A4A07F3" w14:textId="5FA6A85C" w:rsidR="00DA1A85" w:rsidRPr="00A75EE2" w:rsidRDefault="00AC1DD6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7.2</w:t>
      </w:r>
      <w:r w:rsidRPr="00A75EE2">
        <w:rPr>
          <w:i/>
          <w:lang w:val="es-ES_tradnl"/>
        </w:rPr>
        <w:tab/>
      </w:r>
      <w:r w:rsidRPr="00A75EE2">
        <w:rPr>
          <w:i/>
          <w:lang w:val="es-ES_tradnl"/>
        </w:rPr>
        <w:tab/>
      </w:r>
      <w:r w:rsidR="00A75EE2">
        <w:rPr>
          <w:i/>
          <w:lang w:val="es-ES_tradnl"/>
        </w:rPr>
        <w:t>Las</w:t>
      </w:r>
      <w:r w:rsidR="00BB1A54" w:rsidRPr="00A75EE2">
        <w:rPr>
          <w:i/>
          <w:lang w:val="es-ES_tradnl"/>
        </w:rPr>
        <w:t xml:space="preserve"> entidades o agencias que deseen ser reconocidas como observadores para asistir a reuniones de la Conferencia de las Parte</w:t>
      </w:r>
      <w:r w:rsidR="00A75EE2">
        <w:rPr>
          <w:i/>
          <w:lang w:val="es-ES_tradnl"/>
        </w:rPr>
        <w:t>s deberán presentar documentación apropiada a la Secretarí</w:t>
      </w:r>
      <w:r w:rsidR="00BB1A54" w:rsidRPr="00A75EE2">
        <w:rPr>
          <w:i/>
          <w:lang w:val="es-ES_tradnl"/>
        </w:rPr>
        <w:t>a</w:t>
      </w:r>
      <w:r w:rsidR="00A75EE2">
        <w:rPr>
          <w:i/>
          <w:lang w:val="es-ES_tradnl"/>
        </w:rPr>
        <w:t xml:space="preserve"> tres meses antes de una reunió</w:t>
      </w:r>
      <w:r w:rsidR="00BB1A54" w:rsidRPr="00A75EE2">
        <w:rPr>
          <w:i/>
          <w:lang w:val="es-ES_tradnl"/>
        </w:rPr>
        <w:t>n ordinar</w:t>
      </w:r>
      <w:r w:rsidR="00A75EE2">
        <w:rPr>
          <w:i/>
          <w:lang w:val="es-ES_tradnl"/>
        </w:rPr>
        <w:t>ia y un mes antes de una reunió</w:t>
      </w:r>
      <w:r w:rsidR="00BB1A54" w:rsidRPr="00A75EE2">
        <w:rPr>
          <w:i/>
          <w:lang w:val="es-ES_tradnl"/>
        </w:rPr>
        <w:t>n extraordinaria para que la estudie.</w:t>
      </w:r>
    </w:p>
    <w:p w14:paraId="651FCDEA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es-ES_tradnl"/>
        </w:rPr>
      </w:pPr>
    </w:p>
    <w:p w14:paraId="64EA9AB3" w14:textId="09E15AEE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lastRenderedPageBreak/>
        <w:t>5.</w:t>
      </w:r>
      <w:r w:rsidRPr="00A75EE2">
        <w:rPr>
          <w:rFonts w:asciiTheme="minorHAnsi" w:hAnsiTheme="minorHAnsi" w:cs="Garamond"/>
          <w:lang w:val="es-ES_tradnl"/>
        </w:rPr>
        <w:tab/>
      </w:r>
      <w:r w:rsidR="00064910">
        <w:rPr>
          <w:rFonts w:asciiTheme="minorHAnsi" w:hAnsiTheme="minorHAnsi" w:cs="Garamond"/>
          <w:lang w:val="es-ES_tradnl"/>
        </w:rPr>
        <w:t xml:space="preserve">Con arreglo al </w:t>
      </w:r>
      <w:r w:rsidR="00BB1A54" w:rsidRPr="00A75EE2">
        <w:rPr>
          <w:rFonts w:asciiTheme="minorHAnsi" w:hAnsiTheme="minorHAnsi" w:cs="Garamond"/>
          <w:lang w:val="es-ES_tradnl"/>
        </w:rPr>
        <w:t xml:space="preserve">artículo </w:t>
      </w:r>
      <w:r w:rsidR="00064910">
        <w:rPr>
          <w:rFonts w:asciiTheme="minorHAnsi" w:hAnsiTheme="minorHAnsi" w:cs="Garamond"/>
          <w:lang w:val="es-ES_tradnl"/>
        </w:rPr>
        <w:t xml:space="preserve">7.7, </w:t>
      </w:r>
      <w:r w:rsidR="00BB1A54" w:rsidRPr="00A75EE2">
        <w:rPr>
          <w:rFonts w:asciiTheme="minorHAnsi" w:hAnsiTheme="minorHAnsi" w:cs="Garamond"/>
          <w:lang w:val="es-ES_tradnl"/>
        </w:rPr>
        <w:t xml:space="preserve">la Secretaría </w:t>
      </w:r>
      <w:r w:rsidR="00064910">
        <w:rPr>
          <w:rFonts w:asciiTheme="minorHAnsi" w:hAnsiTheme="minorHAnsi" w:cs="Garamond"/>
          <w:lang w:val="es-ES_tradnl"/>
        </w:rPr>
        <w:t>debe</w:t>
      </w:r>
      <w:r w:rsidR="00BB1A54" w:rsidRPr="00A75EE2">
        <w:rPr>
          <w:rFonts w:asciiTheme="minorHAnsi" w:hAnsiTheme="minorHAnsi" w:cs="Garamond"/>
          <w:lang w:val="es-ES_tradnl"/>
        </w:rPr>
        <w:t xml:space="preserve"> notificar a las entidades o agencias que hayan sido previamente admitidas de la fecha y el lugar de las reuniones de la Conferencia de las Partes “para que puedan estar </w:t>
      </w:r>
      <w:r w:rsidR="00A75EE2" w:rsidRPr="00A75EE2">
        <w:rPr>
          <w:rFonts w:asciiTheme="minorHAnsi" w:hAnsiTheme="minorHAnsi" w:cs="Garamond"/>
          <w:lang w:val="es-ES_tradnl"/>
        </w:rPr>
        <w:t>representadas</w:t>
      </w:r>
      <w:r w:rsidR="00BB1A54" w:rsidRPr="00A75EE2">
        <w:rPr>
          <w:rFonts w:asciiTheme="minorHAnsi" w:hAnsiTheme="minorHAnsi" w:cs="Garamond"/>
          <w:lang w:val="es-ES_tradnl"/>
        </w:rPr>
        <w:t>”.</w:t>
      </w:r>
    </w:p>
    <w:p w14:paraId="173DAF0E" w14:textId="6DF93530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F5A7003" w14:textId="1DECF43C" w:rsidR="005B4CA5" w:rsidRPr="00A75EE2" w:rsidRDefault="00BB1A54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 xml:space="preserve">Entidades o agencias </w:t>
      </w:r>
      <w:r w:rsidRPr="00E41B92">
        <w:rPr>
          <w:rFonts w:asciiTheme="minorHAnsi" w:hAnsiTheme="minorHAnsi" w:cs="Garamond"/>
          <w:u w:val="single"/>
          <w:lang w:val="es-ES_tradnl"/>
        </w:rPr>
        <w:t>previamente admitidas</w:t>
      </w:r>
    </w:p>
    <w:p w14:paraId="65E7E218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D99E18" w14:textId="00131F02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6.</w:t>
      </w: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lang w:val="es-ES_tradnl"/>
        </w:rPr>
        <w:t xml:space="preserve">Las siguientes entidades </w:t>
      </w:r>
      <w:r w:rsidR="00E41B92">
        <w:rPr>
          <w:rFonts w:asciiTheme="minorHAnsi" w:hAnsiTheme="minorHAnsi" w:cs="Garamond"/>
          <w:lang w:val="es-ES_tradnl"/>
        </w:rPr>
        <w:t xml:space="preserve">o </w:t>
      </w:r>
      <w:r w:rsidR="00BB1A54" w:rsidRPr="00A75EE2">
        <w:rPr>
          <w:rFonts w:asciiTheme="minorHAnsi" w:hAnsiTheme="minorHAnsi" w:cs="Garamond"/>
          <w:lang w:val="es-ES_tradnl"/>
        </w:rPr>
        <w:t xml:space="preserve">agencias </w:t>
      </w:r>
      <w:r w:rsidR="00A75EE2">
        <w:rPr>
          <w:rFonts w:asciiTheme="minorHAnsi" w:hAnsiTheme="minorHAnsi" w:cs="Garamond"/>
          <w:lang w:val="es-ES_tradnl"/>
        </w:rPr>
        <w:t>admitidas</w:t>
      </w:r>
      <w:r w:rsidR="00BB1A54" w:rsidRPr="00A75EE2">
        <w:rPr>
          <w:rFonts w:asciiTheme="minorHAnsi" w:hAnsiTheme="minorHAnsi" w:cs="Garamond"/>
          <w:lang w:val="es-ES_tradnl"/>
        </w:rPr>
        <w:t xml:space="preserve"> para ser representadas por observadores en </w:t>
      </w:r>
      <w:r w:rsidR="00662E76" w:rsidRPr="00A75EE2">
        <w:rPr>
          <w:rFonts w:asciiTheme="minorHAnsi" w:hAnsiTheme="minorHAnsi" w:cs="Garamond"/>
          <w:lang w:val="es-ES_tradnl"/>
        </w:rPr>
        <w:t xml:space="preserve">reuniones anteriores de la Conferencia de las Partes Contratantes se han inscrito para participar en la </w:t>
      </w:r>
      <w:r w:rsidR="00C1222B" w:rsidRPr="00C1222B">
        <w:rPr>
          <w:rFonts w:asciiTheme="minorHAnsi" w:hAnsiTheme="minorHAnsi" w:cs="Garamond"/>
          <w:lang w:val="es-ES_tradnl"/>
        </w:rPr>
        <w:t>Tercera reunión extraordinaria de la Conferencia de las Partes Contratantes</w:t>
      </w:r>
      <w:r w:rsidR="00662E76" w:rsidRPr="00A75EE2">
        <w:rPr>
          <w:rFonts w:asciiTheme="minorHAnsi" w:hAnsiTheme="minorHAnsi" w:cs="Garamond"/>
          <w:lang w:val="es-ES_tradnl"/>
        </w:rPr>
        <w:t>:</w:t>
      </w:r>
    </w:p>
    <w:p w14:paraId="4B49D393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es-ES_tradnl"/>
        </w:rPr>
      </w:pPr>
    </w:p>
    <w:p w14:paraId="6A46853E" w14:textId="5DC271C0" w:rsidR="00B15B43" w:rsidRPr="00C1222B" w:rsidRDefault="00C1222B" w:rsidP="004F7286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C1222B">
        <w:rPr>
          <w:rFonts w:asciiTheme="minorHAnsi" w:hAnsiTheme="minorHAnsi" w:cs="Garamond"/>
          <w:lang w:val="es-ES_tradnl"/>
        </w:rPr>
        <w:t>Entidades o agencias n</w:t>
      </w:r>
      <w:r w:rsidR="00B15B43" w:rsidRPr="00C1222B">
        <w:rPr>
          <w:rFonts w:asciiTheme="minorHAnsi" w:hAnsiTheme="minorHAnsi" w:cs="Garamond"/>
          <w:lang w:val="es-ES_tradnl"/>
        </w:rPr>
        <w:t>o</w:t>
      </w:r>
      <w:r w:rsidR="00662E76" w:rsidRPr="00C1222B">
        <w:rPr>
          <w:rFonts w:asciiTheme="minorHAnsi" w:hAnsiTheme="minorHAnsi" w:cs="Garamond"/>
          <w:lang w:val="es-ES_tradnl"/>
        </w:rPr>
        <w:t xml:space="preserve"> gubernamentales</w:t>
      </w:r>
      <w:r>
        <w:rPr>
          <w:rFonts w:asciiTheme="minorHAnsi" w:hAnsiTheme="minorHAnsi" w:cs="Garamond"/>
          <w:lang w:val="es-ES_tradnl"/>
        </w:rPr>
        <w:t>:</w:t>
      </w:r>
    </w:p>
    <w:p w14:paraId="3692BD5C" w14:textId="77777777" w:rsidR="005B4CA5" w:rsidRPr="00A75EE2" w:rsidRDefault="005B4CA5" w:rsidP="005B4CA5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7BFCAB02" w14:textId="78789E87" w:rsidR="004F7286" w:rsidRDefault="004F7286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EE6026">
        <w:rPr>
          <w:rFonts w:asciiTheme="minorHAnsi" w:hAnsiTheme="minorHAnsi" w:cstheme="minorHAnsi"/>
          <w:color w:val="000000"/>
          <w:lang w:val="fr-FR" w:eastAsia="en-GB"/>
        </w:rPr>
        <w:t>Ducks Unlimited Canada</w:t>
      </w:r>
    </w:p>
    <w:p w14:paraId="1C718FD0" w14:textId="76DC4980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Ramsar Network Japan</w:t>
      </w:r>
    </w:p>
    <w:p w14:paraId="5E12D5B0" w14:textId="2EB09802" w:rsidR="005B4CA5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Stetson University College of Law</w:t>
      </w:r>
    </w:p>
    <w:p w14:paraId="4A6AB75D" w14:textId="77777777" w:rsidR="004F7286" w:rsidRPr="00EE6026" w:rsidRDefault="004F7286" w:rsidP="004F7286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EE6026">
        <w:rPr>
          <w:rFonts w:asciiTheme="minorHAnsi" w:eastAsiaTheme="minorHAnsi" w:hAnsiTheme="minorHAnsi" w:cstheme="minorHAnsi"/>
          <w:lang w:val="en-GB"/>
        </w:rPr>
        <w:t>University at Buffalo School of Law</w:t>
      </w:r>
    </w:p>
    <w:p w14:paraId="5EFC5908" w14:textId="4B5D02AE" w:rsidR="005B4CA5" w:rsidRPr="00A75EE2" w:rsidRDefault="00D54939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Wetlands International Japón</w:t>
      </w:r>
    </w:p>
    <w:p w14:paraId="380814D3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87F85D" w14:textId="03678426" w:rsidR="005B4CA5" w:rsidRPr="00A13D2E" w:rsidRDefault="00D54939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13D2E">
        <w:rPr>
          <w:rFonts w:asciiTheme="minorHAnsi" w:hAnsiTheme="minorHAnsi" w:cs="Garamond"/>
          <w:u w:val="single"/>
          <w:lang w:val="es-ES_tradnl"/>
        </w:rPr>
        <w:t>Entidades o agencias que han solicitado su aprobación para participar y cumplen los criterios</w:t>
      </w:r>
    </w:p>
    <w:p w14:paraId="34716063" w14:textId="77777777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092B246" w14:textId="4D469D6F" w:rsidR="00637250" w:rsidRPr="00A75EE2" w:rsidRDefault="006D318C" w:rsidP="0063725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7</w:t>
      </w:r>
      <w:r w:rsidR="00637250" w:rsidRPr="00A75EE2">
        <w:rPr>
          <w:rFonts w:asciiTheme="minorHAnsi" w:hAnsiTheme="minorHAnsi" w:cs="Garamond"/>
          <w:lang w:val="es-ES_tradnl"/>
        </w:rPr>
        <w:t>.</w:t>
      </w:r>
      <w:r w:rsidR="00637250" w:rsidRPr="00A75EE2">
        <w:rPr>
          <w:rFonts w:asciiTheme="minorHAnsi" w:hAnsiTheme="minorHAnsi" w:cs="Garamond"/>
          <w:lang w:val="es-ES_tradnl"/>
        </w:rPr>
        <w:tab/>
      </w:r>
      <w:r w:rsidR="009C24A8" w:rsidRPr="009C24A8">
        <w:rPr>
          <w:rFonts w:asciiTheme="minorHAnsi" w:hAnsiTheme="minorHAnsi" w:cs="Garamond"/>
          <w:lang w:val="es-ES_tradnl"/>
        </w:rPr>
        <w:t>Ninguna entidad o agencia ha</w:t>
      </w:r>
      <w:bookmarkStart w:id="0" w:name="_GoBack"/>
      <w:bookmarkEnd w:id="0"/>
      <w:r w:rsidR="009C24A8" w:rsidRPr="009C24A8">
        <w:rPr>
          <w:rFonts w:asciiTheme="minorHAnsi" w:hAnsiTheme="minorHAnsi" w:cs="Garamond"/>
          <w:lang w:val="es-ES_tradnl"/>
        </w:rPr>
        <w:t xml:space="preserve"> comunicado a la Secretaría su deseo de ser reconocidas como observadores de acuerdo al artículo 7.2.</w:t>
      </w:r>
    </w:p>
    <w:p w14:paraId="2309201E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5E209E69" w14:textId="303760F3" w:rsidR="005B4CA5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Recom</w:t>
      </w:r>
      <w:r w:rsidR="00A75EE2" w:rsidRPr="00A75EE2">
        <w:rPr>
          <w:rFonts w:asciiTheme="minorHAnsi" w:hAnsiTheme="minorHAnsi" w:cs="Garamond"/>
          <w:u w:val="single"/>
          <w:lang w:val="es-ES_tradnl"/>
        </w:rPr>
        <w:t>endación</w:t>
      </w:r>
    </w:p>
    <w:p w14:paraId="254FB9A5" w14:textId="77777777" w:rsidR="00F27AA0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15AAEBC7" w14:textId="338C59D0" w:rsidR="00EB6303" w:rsidRPr="00A75EE2" w:rsidRDefault="004F7286" w:rsidP="004F7286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>8</w:t>
      </w:r>
      <w:r w:rsidR="00636699" w:rsidRPr="00A75EE2">
        <w:rPr>
          <w:rFonts w:asciiTheme="minorHAnsi" w:hAnsiTheme="minorHAnsi" w:cs="Garamond"/>
          <w:lang w:val="es-ES_tradnl"/>
        </w:rPr>
        <w:t>.</w:t>
      </w:r>
      <w:r w:rsidR="00636699"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>La Presidencia puede invitar a l</w:t>
      </w:r>
      <w:r w:rsidR="009C24A8">
        <w:rPr>
          <w:rFonts w:asciiTheme="minorHAnsi" w:hAnsiTheme="minorHAnsi" w:cs="Garamond"/>
          <w:lang w:val="es-ES_tradnl"/>
        </w:rPr>
        <w:t>a</w:t>
      </w:r>
      <w:r w:rsidR="00A75EE2" w:rsidRPr="00A75EE2">
        <w:rPr>
          <w:rFonts w:asciiTheme="minorHAnsi" w:hAnsiTheme="minorHAnsi" w:cs="Garamond"/>
          <w:lang w:val="es-ES_tradnl"/>
        </w:rPr>
        <w:t>s organizaciones enumerad</w:t>
      </w:r>
      <w:r w:rsidR="009C24A8">
        <w:rPr>
          <w:rFonts w:asciiTheme="minorHAnsi" w:hAnsiTheme="minorHAnsi" w:cs="Garamond"/>
          <w:lang w:val="es-ES_tradnl"/>
        </w:rPr>
        <w:t>a</w:t>
      </w:r>
      <w:r w:rsidR="00A75EE2" w:rsidRPr="00A75EE2">
        <w:rPr>
          <w:rFonts w:asciiTheme="minorHAnsi" w:hAnsiTheme="minorHAnsi" w:cs="Garamond"/>
          <w:lang w:val="es-ES_tradnl"/>
        </w:rPr>
        <w:t xml:space="preserve">s en </w:t>
      </w:r>
      <w:r w:rsidR="009C24A8">
        <w:rPr>
          <w:rFonts w:asciiTheme="minorHAnsi" w:hAnsiTheme="minorHAnsi" w:cs="Garamond"/>
          <w:lang w:val="es-ES_tradnl"/>
        </w:rPr>
        <w:t>los</w:t>
      </w:r>
      <w:r w:rsidR="00A75EE2" w:rsidRPr="00A75EE2">
        <w:rPr>
          <w:rFonts w:asciiTheme="minorHAnsi" w:hAnsiTheme="minorHAnsi" w:cs="Garamond"/>
          <w:lang w:val="es-ES_tradnl"/>
        </w:rPr>
        <w:t xml:space="preserve"> párrafo</w:t>
      </w:r>
      <w:r w:rsidR="009C24A8">
        <w:rPr>
          <w:rFonts w:asciiTheme="minorHAnsi" w:hAnsiTheme="minorHAnsi" w:cs="Garamond"/>
          <w:lang w:val="es-ES_tradnl"/>
        </w:rPr>
        <w:t>s</w:t>
      </w:r>
      <w:r w:rsidR="00A75EE2" w:rsidRPr="00A75EE2">
        <w:rPr>
          <w:rFonts w:asciiTheme="minorHAnsi" w:hAnsiTheme="minorHAnsi" w:cs="Garamond"/>
          <w:lang w:val="es-ES_tradnl"/>
        </w:rPr>
        <w:t xml:space="preserve"> 3 </w:t>
      </w:r>
      <w:r w:rsidR="009C24A8">
        <w:rPr>
          <w:rFonts w:asciiTheme="minorHAnsi" w:hAnsiTheme="minorHAnsi" w:cs="Garamond"/>
          <w:lang w:val="es-ES_tradnl"/>
        </w:rPr>
        <w:t xml:space="preserve">y 6 </w:t>
      </w:r>
      <w:r w:rsidR="00A75EE2" w:rsidRPr="00A75EE2">
        <w:rPr>
          <w:rFonts w:asciiTheme="minorHAnsi" w:hAnsiTheme="minorHAnsi" w:cs="Garamond"/>
          <w:lang w:val="es-ES_tradnl"/>
        </w:rPr>
        <w:t xml:space="preserve">para que sean </w:t>
      </w:r>
      <w:r w:rsidR="001C0FB8" w:rsidRPr="00A75EE2">
        <w:rPr>
          <w:rFonts w:asciiTheme="minorHAnsi" w:hAnsiTheme="minorHAnsi" w:cs="Garamond"/>
          <w:lang w:val="es-ES_tradnl"/>
        </w:rPr>
        <w:t>representados</w:t>
      </w:r>
      <w:r w:rsidR="00A75EE2" w:rsidRPr="00A75EE2">
        <w:rPr>
          <w:rFonts w:asciiTheme="minorHAnsi" w:hAnsiTheme="minorHAnsi" w:cs="Garamond"/>
          <w:lang w:val="es-ES_tradnl"/>
        </w:rPr>
        <w:t xml:space="preserve"> en calidad de observadores </w:t>
      </w:r>
      <w:r w:rsidR="001C0FB8" w:rsidRPr="00A75EE2">
        <w:rPr>
          <w:rFonts w:asciiTheme="minorHAnsi" w:hAnsiTheme="minorHAnsi" w:cs="Garamond"/>
          <w:lang w:val="es-ES_tradnl"/>
        </w:rPr>
        <w:t>en</w:t>
      </w:r>
      <w:r w:rsidR="00512C35">
        <w:rPr>
          <w:rFonts w:asciiTheme="minorHAnsi" w:hAnsiTheme="minorHAnsi" w:cs="Garamond"/>
          <w:lang w:val="es-ES_tradnl"/>
        </w:rPr>
        <w:t xml:space="preserve"> la reunión</w:t>
      </w:r>
      <w:r w:rsidR="00A75EE2" w:rsidRPr="00A75EE2">
        <w:rPr>
          <w:rFonts w:asciiTheme="minorHAnsi" w:hAnsiTheme="minorHAnsi" w:cs="Garamond"/>
          <w:lang w:val="es-ES_tradnl"/>
        </w:rPr>
        <w:t xml:space="preserve"> salvo que un tercio de las</w:t>
      </w:r>
      <w:r w:rsidR="00512C35">
        <w:rPr>
          <w:rFonts w:asciiTheme="minorHAnsi" w:hAnsiTheme="minorHAnsi" w:cs="Garamond"/>
          <w:lang w:val="es-ES_tradnl"/>
        </w:rPr>
        <w:t xml:space="preserve"> Partes presentes se opongan.</w:t>
      </w:r>
    </w:p>
    <w:sectPr w:rsidR="00EB6303" w:rsidRPr="00A75EE2" w:rsidSect="00C5173B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AB1C" w14:textId="77777777" w:rsidR="00B047F3" w:rsidRDefault="00B047F3" w:rsidP="00C5173B">
      <w:pPr>
        <w:spacing w:after="0" w:line="240" w:lineRule="auto"/>
      </w:pPr>
      <w:r>
        <w:separator/>
      </w:r>
    </w:p>
  </w:endnote>
  <w:endnote w:type="continuationSeparator" w:id="0">
    <w:p w14:paraId="0171F32D" w14:textId="77777777" w:rsidR="00B047F3" w:rsidRDefault="00B047F3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2" w14:textId="70335EF3" w:rsidR="00B047F3" w:rsidRPr="00C5173B" w:rsidRDefault="004F7286" w:rsidP="00C5173B">
    <w:pPr>
      <w:pStyle w:val="Footer"/>
    </w:pPr>
    <w:r w:rsidRPr="004F5650">
      <w:rPr>
        <w:rFonts w:asciiTheme="minorHAnsi" w:hAnsiTheme="minorHAnsi"/>
        <w:sz w:val="20"/>
        <w:szCs w:val="20"/>
      </w:rPr>
      <w:t xml:space="preserve">ExCOP3 </w:t>
    </w:r>
    <w:r w:rsidR="00B047F3" w:rsidRPr="00870418">
      <w:rPr>
        <w:rFonts w:asciiTheme="minorHAnsi" w:hAnsiTheme="minorHAnsi"/>
        <w:sz w:val="20"/>
        <w:szCs w:val="20"/>
      </w:rPr>
      <w:t>Doc.</w:t>
    </w:r>
    <w:r w:rsidR="00B047F3">
      <w:rPr>
        <w:rFonts w:asciiTheme="minorHAnsi" w:hAnsiTheme="minorHAnsi"/>
        <w:sz w:val="20"/>
        <w:szCs w:val="20"/>
      </w:rPr>
      <w:t>7</w:t>
    </w:r>
    <w:r w:rsidR="00B047F3" w:rsidRPr="00870418">
      <w:rPr>
        <w:rFonts w:asciiTheme="minorHAnsi" w:hAnsiTheme="minorHAnsi"/>
        <w:sz w:val="20"/>
        <w:szCs w:val="20"/>
      </w:rPr>
      <w:tab/>
    </w:r>
    <w:r w:rsidR="00B047F3" w:rsidRPr="00870418">
      <w:rPr>
        <w:rFonts w:asciiTheme="minorHAnsi" w:hAnsiTheme="minorHAnsi"/>
        <w:sz w:val="20"/>
        <w:szCs w:val="20"/>
      </w:rPr>
      <w:tab/>
    </w:r>
    <w:r w:rsidR="00B047F3" w:rsidRPr="00870418">
      <w:rPr>
        <w:rFonts w:asciiTheme="minorHAnsi" w:hAnsiTheme="minorHAnsi"/>
        <w:sz w:val="20"/>
        <w:szCs w:val="20"/>
      </w:rPr>
      <w:fldChar w:fldCharType="begin"/>
    </w:r>
    <w:r w:rsidR="00B047F3" w:rsidRPr="00870418">
      <w:rPr>
        <w:rFonts w:asciiTheme="minorHAnsi" w:hAnsiTheme="minorHAnsi"/>
        <w:sz w:val="20"/>
        <w:szCs w:val="20"/>
      </w:rPr>
      <w:instrText xml:space="preserve"> PAGE   \* MERGEFORMAT </w:instrText>
    </w:r>
    <w:r w:rsidR="00B047F3" w:rsidRPr="00870418">
      <w:rPr>
        <w:rFonts w:asciiTheme="minorHAnsi" w:hAnsiTheme="minorHAnsi"/>
        <w:sz w:val="20"/>
        <w:szCs w:val="20"/>
      </w:rPr>
      <w:fldChar w:fldCharType="separate"/>
    </w:r>
    <w:r w:rsidR="000F1648">
      <w:rPr>
        <w:rFonts w:asciiTheme="minorHAnsi" w:hAnsiTheme="minorHAnsi"/>
        <w:noProof/>
        <w:sz w:val="20"/>
        <w:szCs w:val="20"/>
      </w:rPr>
      <w:t>2</w:t>
    </w:r>
    <w:r w:rsidR="00B047F3" w:rsidRPr="0087041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86A5" w14:textId="77777777" w:rsidR="00B047F3" w:rsidRDefault="00B047F3" w:rsidP="00C5173B">
      <w:pPr>
        <w:spacing w:after="0" w:line="240" w:lineRule="auto"/>
      </w:pPr>
      <w:r>
        <w:separator/>
      </w:r>
    </w:p>
  </w:footnote>
  <w:footnote w:type="continuationSeparator" w:id="0">
    <w:p w14:paraId="67EDF75D" w14:textId="77777777" w:rsidR="00B047F3" w:rsidRDefault="00B047F3" w:rsidP="00C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17246"/>
    <w:multiLevelType w:val="multilevel"/>
    <w:tmpl w:val="77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83D2840"/>
    <w:multiLevelType w:val="multilevel"/>
    <w:tmpl w:val="945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91EB0"/>
    <w:multiLevelType w:val="hybridMultilevel"/>
    <w:tmpl w:val="6AE2FBA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D8"/>
    <w:rsid w:val="000008D6"/>
    <w:rsid w:val="00006B39"/>
    <w:rsid w:val="0001285C"/>
    <w:rsid w:val="00015E04"/>
    <w:rsid w:val="00021C94"/>
    <w:rsid w:val="00034E61"/>
    <w:rsid w:val="00060666"/>
    <w:rsid w:val="00064910"/>
    <w:rsid w:val="000929BA"/>
    <w:rsid w:val="00092A94"/>
    <w:rsid w:val="0009493A"/>
    <w:rsid w:val="000A273E"/>
    <w:rsid w:val="000A34DE"/>
    <w:rsid w:val="000B0404"/>
    <w:rsid w:val="000B14DE"/>
    <w:rsid w:val="000C2357"/>
    <w:rsid w:val="000D3C12"/>
    <w:rsid w:val="000D62F0"/>
    <w:rsid w:val="000F1648"/>
    <w:rsid w:val="000F4938"/>
    <w:rsid w:val="00104A41"/>
    <w:rsid w:val="00121253"/>
    <w:rsid w:val="00136DE8"/>
    <w:rsid w:val="00141775"/>
    <w:rsid w:val="001555A8"/>
    <w:rsid w:val="001640D5"/>
    <w:rsid w:val="00167ADA"/>
    <w:rsid w:val="001739B1"/>
    <w:rsid w:val="00183156"/>
    <w:rsid w:val="00187C95"/>
    <w:rsid w:val="00190836"/>
    <w:rsid w:val="001924EA"/>
    <w:rsid w:val="00194F27"/>
    <w:rsid w:val="001A4962"/>
    <w:rsid w:val="001A63A0"/>
    <w:rsid w:val="001B6568"/>
    <w:rsid w:val="001C0FB8"/>
    <w:rsid w:val="001F1377"/>
    <w:rsid w:val="00212724"/>
    <w:rsid w:val="00227390"/>
    <w:rsid w:val="00227C19"/>
    <w:rsid w:val="002320F7"/>
    <w:rsid w:val="002321E9"/>
    <w:rsid w:val="002375A3"/>
    <w:rsid w:val="002410F9"/>
    <w:rsid w:val="002467BE"/>
    <w:rsid w:val="00254142"/>
    <w:rsid w:val="00263CE9"/>
    <w:rsid w:val="002648D6"/>
    <w:rsid w:val="0026492C"/>
    <w:rsid w:val="00271D16"/>
    <w:rsid w:val="00272FD1"/>
    <w:rsid w:val="00273F3B"/>
    <w:rsid w:val="002749DD"/>
    <w:rsid w:val="002912DB"/>
    <w:rsid w:val="002947CC"/>
    <w:rsid w:val="00294824"/>
    <w:rsid w:val="00294D49"/>
    <w:rsid w:val="002956DC"/>
    <w:rsid w:val="002A47CD"/>
    <w:rsid w:val="002B751E"/>
    <w:rsid w:val="002E5690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6C26"/>
    <w:rsid w:val="00353BF5"/>
    <w:rsid w:val="00373F47"/>
    <w:rsid w:val="00380A66"/>
    <w:rsid w:val="00382308"/>
    <w:rsid w:val="00383D65"/>
    <w:rsid w:val="00393045"/>
    <w:rsid w:val="00395877"/>
    <w:rsid w:val="003D715D"/>
    <w:rsid w:val="003F40E1"/>
    <w:rsid w:val="00420737"/>
    <w:rsid w:val="004210F6"/>
    <w:rsid w:val="00426276"/>
    <w:rsid w:val="004279F4"/>
    <w:rsid w:val="00435D15"/>
    <w:rsid w:val="00442389"/>
    <w:rsid w:val="00444B34"/>
    <w:rsid w:val="00452FBE"/>
    <w:rsid w:val="00456081"/>
    <w:rsid w:val="004630FB"/>
    <w:rsid w:val="0048211C"/>
    <w:rsid w:val="00490946"/>
    <w:rsid w:val="00490D1C"/>
    <w:rsid w:val="004A0367"/>
    <w:rsid w:val="004A1E22"/>
    <w:rsid w:val="004A38AC"/>
    <w:rsid w:val="004A5875"/>
    <w:rsid w:val="004A68B9"/>
    <w:rsid w:val="004A7331"/>
    <w:rsid w:val="004B055A"/>
    <w:rsid w:val="004C13E5"/>
    <w:rsid w:val="004C19D4"/>
    <w:rsid w:val="004C2103"/>
    <w:rsid w:val="004D5B9A"/>
    <w:rsid w:val="004E0A78"/>
    <w:rsid w:val="004E658E"/>
    <w:rsid w:val="004E70C5"/>
    <w:rsid w:val="004F2C85"/>
    <w:rsid w:val="004F7286"/>
    <w:rsid w:val="0050243A"/>
    <w:rsid w:val="00505076"/>
    <w:rsid w:val="00512C35"/>
    <w:rsid w:val="00517C72"/>
    <w:rsid w:val="00532A55"/>
    <w:rsid w:val="00532CED"/>
    <w:rsid w:val="00537705"/>
    <w:rsid w:val="00552B89"/>
    <w:rsid w:val="00560716"/>
    <w:rsid w:val="00571101"/>
    <w:rsid w:val="00583BC5"/>
    <w:rsid w:val="005871AC"/>
    <w:rsid w:val="005951C7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05526"/>
    <w:rsid w:val="00617C4D"/>
    <w:rsid w:val="00625012"/>
    <w:rsid w:val="00636699"/>
    <w:rsid w:val="00637250"/>
    <w:rsid w:val="0063764B"/>
    <w:rsid w:val="006378B9"/>
    <w:rsid w:val="006415BC"/>
    <w:rsid w:val="0066048A"/>
    <w:rsid w:val="00662E76"/>
    <w:rsid w:val="0066583C"/>
    <w:rsid w:val="00673648"/>
    <w:rsid w:val="0068128F"/>
    <w:rsid w:val="00681C78"/>
    <w:rsid w:val="006947A5"/>
    <w:rsid w:val="00696D53"/>
    <w:rsid w:val="006A1C8D"/>
    <w:rsid w:val="006A73BE"/>
    <w:rsid w:val="006B051D"/>
    <w:rsid w:val="006B65E7"/>
    <w:rsid w:val="006D318C"/>
    <w:rsid w:val="006F4CAE"/>
    <w:rsid w:val="006F5F80"/>
    <w:rsid w:val="0071098A"/>
    <w:rsid w:val="00713BD1"/>
    <w:rsid w:val="00720176"/>
    <w:rsid w:val="00720460"/>
    <w:rsid w:val="007347CB"/>
    <w:rsid w:val="00742006"/>
    <w:rsid w:val="0075101C"/>
    <w:rsid w:val="00756887"/>
    <w:rsid w:val="00762915"/>
    <w:rsid w:val="00772528"/>
    <w:rsid w:val="00774CA8"/>
    <w:rsid w:val="00777B4C"/>
    <w:rsid w:val="00782A64"/>
    <w:rsid w:val="007909A6"/>
    <w:rsid w:val="007A3252"/>
    <w:rsid w:val="007A372F"/>
    <w:rsid w:val="007A5B7D"/>
    <w:rsid w:val="007B1503"/>
    <w:rsid w:val="007C0277"/>
    <w:rsid w:val="007D5E07"/>
    <w:rsid w:val="007D6A92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1B72"/>
    <w:rsid w:val="00853F59"/>
    <w:rsid w:val="00856F4D"/>
    <w:rsid w:val="00870638"/>
    <w:rsid w:val="00883D09"/>
    <w:rsid w:val="008A69D0"/>
    <w:rsid w:val="008E5056"/>
    <w:rsid w:val="009033A3"/>
    <w:rsid w:val="00910F79"/>
    <w:rsid w:val="009214FD"/>
    <w:rsid w:val="0092300D"/>
    <w:rsid w:val="00924B65"/>
    <w:rsid w:val="00924E02"/>
    <w:rsid w:val="00934629"/>
    <w:rsid w:val="009358FF"/>
    <w:rsid w:val="00945247"/>
    <w:rsid w:val="009462BD"/>
    <w:rsid w:val="009573B9"/>
    <w:rsid w:val="0096629C"/>
    <w:rsid w:val="00967587"/>
    <w:rsid w:val="00990468"/>
    <w:rsid w:val="00990965"/>
    <w:rsid w:val="00993A65"/>
    <w:rsid w:val="009A6681"/>
    <w:rsid w:val="009B0327"/>
    <w:rsid w:val="009B7088"/>
    <w:rsid w:val="009C113D"/>
    <w:rsid w:val="009C24A8"/>
    <w:rsid w:val="009D2210"/>
    <w:rsid w:val="009D3A95"/>
    <w:rsid w:val="009E00B9"/>
    <w:rsid w:val="009F56D8"/>
    <w:rsid w:val="009F7F86"/>
    <w:rsid w:val="00A02865"/>
    <w:rsid w:val="00A138B1"/>
    <w:rsid w:val="00A13D2E"/>
    <w:rsid w:val="00A25933"/>
    <w:rsid w:val="00A3112D"/>
    <w:rsid w:val="00A42809"/>
    <w:rsid w:val="00A45DFE"/>
    <w:rsid w:val="00A542F0"/>
    <w:rsid w:val="00A571A9"/>
    <w:rsid w:val="00A60F55"/>
    <w:rsid w:val="00A6168F"/>
    <w:rsid w:val="00A70045"/>
    <w:rsid w:val="00A70225"/>
    <w:rsid w:val="00A75EE2"/>
    <w:rsid w:val="00A775A7"/>
    <w:rsid w:val="00A77B37"/>
    <w:rsid w:val="00A81510"/>
    <w:rsid w:val="00A93888"/>
    <w:rsid w:val="00AA1589"/>
    <w:rsid w:val="00AB0BF1"/>
    <w:rsid w:val="00AB24DA"/>
    <w:rsid w:val="00AC1DD6"/>
    <w:rsid w:val="00B047F3"/>
    <w:rsid w:val="00B1143B"/>
    <w:rsid w:val="00B15B43"/>
    <w:rsid w:val="00B3591B"/>
    <w:rsid w:val="00B4132D"/>
    <w:rsid w:val="00B469B4"/>
    <w:rsid w:val="00B4767F"/>
    <w:rsid w:val="00B50BB9"/>
    <w:rsid w:val="00B71240"/>
    <w:rsid w:val="00B73842"/>
    <w:rsid w:val="00B853B0"/>
    <w:rsid w:val="00BA1797"/>
    <w:rsid w:val="00BA3A91"/>
    <w:rsid w:val="00BB1A54"/>
    <w:rsid w:val="00BB5859"/>
    <w:rsid w:val="00BD4B1D"/>
    <w:rsid w:val="00BD7645"/>
    <w:rsid w:val="00BE13CE"/>
    <w:rsid w:val="00BF1615"/>
    <w:rsid w:val="00C043A1"/>
    <w:rsid w:val="00C05EEC"/>
    <w:rsid w:val="00C076F4"/>
    <w:rsid w:val="00C1222B"/>
    <w:rsid w:val="00C1405A"/>
    <w:rsid w:val="00C16F24"/>
    <w:rsid w:val="00C34925"/>
    <w:rsid w:val="00C4026F"/>
    <w:rsid w:val="00C47465"/>
    <w:rsid w:val="00C50DCA"/>
    <w:rsid w:val="00C5173B"/>
    <w:rsid w:val="00C55D5B"/>
    <w:rsid w:val="00C56D7A"/>
    <w:rsid w:val="00C74CD5"/>
    <w:rsid w:val="00C760C9"/>
    <w:rsid w:val="00C95279"/>
    <w:rsid w:val="00CA42E1"/>
    <w:rsid w:val="00CB184C"/>
    <w:rsid w:val="00CB37FF"/>
    <w:rsid w:val="00CB69E7"/>
    <w:rsid w:val="00CB7E61"/>
    <w:rsid w:val="00CC1064"/>
    <w:rsid w:val="00CC2DC8"/>
    <w:rsid w:val="00CE051C"/>
    <w:rsid w:val="00CE08BC"/>
    <w:rsid w:val="00CE2DAF"/>
    <w:rsid w:val="00CE51F2"/>
    <w:rsid w:val="00CE5D52"/>
    <w:rsid w:val="00CE5D9C"/>
    <w:rsid w:val="00CF12BB"/>
    <w:rsid w:val="00D06578"/>
    <w:rsid w:val="00D13697"/>
    <w:rsid w:val="00D14BAE"/>
    <w:rsid w:val="00D233E9"/>
    <w:rsid w:val="00D2688E"/>
    <w:rsid w:val="00D268BC"/>
    <w:rsid w:val="00D271F4"/>
    <w:rsid w:val="00D349DF"/>
    <w:rsid w:val="00D527AC"/>
    <w:rsid w:val="00D539A3"/>
    <w:rsid w:val="00D54939"/>
    <w:rsid w:val="00D669C9"/>
    <w:rsid w:val="00D70817"/>
    <w:rsid w:val="00D8098E"/>
    <w:rsid w:val="00D851C7"/>
    <w:rsid w:val="00D854E2"/>
    <w:rsid w:val="00D87B21"/>
    <w:rsid w:val="00DA1A85"/>
    <w:rsid w:val="00DA5629"/>
    <w:rsid w:val="00DA6DFE"/>
    <w:rsid w:val="00DA78FF"/>
    <w:rsid w:val="00DD41F7"/>
    <w:rsid w:val="00DF043D"/>
    <w:rsid w:val="00E02D77"/>
    <w:rsid w:val="00E042B5"/>
    <w:rsid w:val="00E156DA"/>
    <w:rsid w:val="00E351FE"/>
    <w:rsid w:val="00E35A2F"/>
    <w:rsid w:val="00E41B92"/>
    <w:rsid w:val="00E5761B"/>
    <w:rsid w:val="00E60ED3"/>
    <w:rsid w:val="00E62AE4"/>
    <w:rsid w:val="00EA7882"/>
    <w:rsid w:val="00EB6303"/>
    <w:rsid w:val="00EC2C69"/>
    <w:rsid w:val="00EC3B37"/>
    <w:rsid w:val="00EC5C99"/>
    <w:rsid w:val="00ED0F4C"/>
    <w:rsid w:val="00ED3C3D"/>
    <w:rsid w:val="00ED4B42"/>
    <w:rsid w:val="00EE1818"/>
    <w:rsid w:val="00EE45B8"/>
    <w:rsid w:val="00F04B0A"/>
    <w:rsid w:val="00F20AB4"/>
    <w:rsid w:val="00F26E81"/>
    <w:rsid w:val="00F27448"/>
    <w:rsid w:val="00F27AA0"/>
    <w:rsid w:val="00F31ECF"/>
    <w:rsid w:val="00F51A12"/>
    <w:rsid w:val="00F738AE"/>
    <w:rsid w:val="00F740B8"/>
    <w:rsid w:val="00F7595E"/>
    <w:rsid w:val="00F82926"/>
    <w:rsid w:val="00FA17BF"/>
    <w:rsid w:val="00FA1DC9"/>
    <w:rsid w:val="00FB2D3E"/>
    <w:rsid w:val="00FB4A99"/>
    <w:rsid w:val="00FC30B4"/>
    <w:rsid w:val="00FD49FD"/>
    <w:rsid w:val="00FD6A78"/>
    <w:rsid w:val="00FD7A6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75D59D65-F27C-48D6-BCA5-957348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E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1A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jlqj4b">
    <w:name w:val="jlqj4b"/>
    <w:basedOn w:val="DefaultParagraphFont"/>
    <w:rsid w:val="00C1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3403</CharactersWithSpaces>
  <SharedDoc>false</SharedDoc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MVOTMA</dc:creator>
  <cp:lastModifiedBy>Ed Jennings</cp:lastModifiedBy>
  <cp:revision>5</cp:revision>
  <dcterms:created xsi:type="dcterms:W3CDTF">2021-10-20T13:16:00Z</dcterms:created>
  <dcterms:modified xsi:type="dcterms:W3CDTF">2021-10-20T14:05:00Z</dcterms:modified>
</cp:coreProperties>
</file>