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2FD0B" w14:textId="0EB399CA" w:rsidR="008C2B5A" w:rsidRPr="00A86C10" w:rsidRDefault="008C2B5A" w:rsidP="008C2B5A">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rPr>
          <w:rFonts w:cstheme="minorHAnsi"/>
          <w:lang w:val="es-ES"/>
        </w:rPr>
      </w:pPr>
      <w:r w:rsidRPr="00A86C10">
        <w:rPr>
          <w:rFonts w:cstheme="minorHAnsi"/>
          <w:lang w:val="es-ES"/>
        </w:rPr>
        <w:t>LA CONVENCIÓN SOBRE LOS HUMEDALES</w:t>
      </w:r>
    </w:p>
    <w:p w14:paraId="16C6CAE6" w14:textId="5D98EC7B" w:rsidR="00A53BC0" w:rsidRPr="00A86C10" w:rsidRDefault="00AF3EFC" w:rsidP="00A53BC0">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rPr>
          <w:rFonts w:cstheme="minorHAnsi"/>
          <w:lang w:val="es-ES"/>
        </w:rPr>
      </w:pPr>
      <w:r w:rsidRPr="00A86C10">
        <w:rPr>
          <w:rFonts w:cstheme="minorHAnsi"/>
          <w:lang w:val="es-ES"/>
        </w:rPr>
        <w:t>Procesos entre períodos de sesiones del Comité Permanente</w:t>
      </w:r>
      <w:r w:rsidR="00A53BC0" w:rsidRPr="00A86C10">
        <w:rPr>
          <w:rFonts w:cstheme="minorHAnsi"/>
          <w:lang w:val="es-ES"/>
        </w:rPr>
        <w:t xml:space="preserve"> </w:t>
      </w:r>
    </w:p>
    <w:p w14:paraId="291DAFF4" w14:textId="63E93FB4" w:rsidR="00755EE1" w:rsidRPr="00A86C10" w:rsidRDefault="00A53BC0" w:rsidP="00A53BC0">
      <w:pPr>
        <w:pBdr>
          <w:top w:val="single" w:sz="12" w:space="0" w:color="auto" w:shadow="1"/>
          <w:left w:val="single" w:sz="12" w:space="4" w:color="auto" w:shadow="1"/>
          <w:bottom w:val="single" w:sz="12" w:space="1" w:color="auto" w:shadow="1"/>
          <w:right w:val="single" w:sz="12" w:space="0" w:color="auto" w:shadow="1"/>
        </w:pBdr>
        <w:spacing w:after="0" w:line="240" w:lineRule="auto"/>
        <w:ind w:right="3215"/>
        <w:rPr>
          <w:rFonts w:cstheme="minorHAnsi"/>
          <w:lang w:val="es-ES"/>
        </w:rPr>
      </w:pPr>
      <w:r w:rsidRPr="00A86C10">
        <w:rPr>
          <w:rFonts w:cstheme="minorHAnsi"/>
          <w:lang w:val="es-ES"/>
        </w:rPr>
        <w:t>Sept</w:t>
      </w:r>
      <w:r w:rsidR="00AF3EFC" w:rsidRPr="00A86C10">
        <w:rPr>
          <w:rFonts w:cstheme="minorHAnsi"/>
          <w:lang w:val="es-ES"/>
        </w:rPr>
        <w:t xml:space="preserve">iembre de </w:t>
      </w:r>
      <w:r w:rsidRPr="00A86C10">
        <w:rPr>
          <w:rFonts w:cstheme="minorHAnsi"/>
          <w:lang w:val="es-ES"/>
        </w:rPr>
        <w:t xml:space="preserve">2020 – </w:t>
      </w:r>
      <w:r w:rsidR="007B5BB2">
        <w:rPr>
          <w:rFonts w:cstheme="minorHAnsi"/>
          <w:lang w:val="es-ES"/>
        </w:rPr>
        <w:t>mayo</w:t>
      </w:r>
      <w:r w:rsidR="00AF3EFC" w:rsidRPr="00A86C10">
        <w:rPr>
          <w:rFonts w:cstheme="minorHAnsi"/>
          <w:lang w:val="es-ES"/>
        </w:rPr>
        <w:t xml:space="preserve"> de </w:t>
      </w:r>
      <w:r w:rsidRPr="00A86C10">
        <w:rPr>
          <w:rFonts w:cstheme="minorHAnsi"/>
          <w:lang w:val="es-ES"/>
        </w:rPr>
        <w:t>2021</w:t>
      </w:r>
    </w:p>
    <w:p w14:paraId="03E11AC8" w14:textId="77777777" w:rsidR="000B54B6" w:rsidRPr="00A86C10" w:rsidRDefault="000B54B6" w:rsidP="00755EE1">
      <w:pPr>
        <w:spacing w:after="0" w:line="240" w:lineRule="auto"/>
        <w:rPr>
          <w:b/>
          <w:bCs/>
          <w:sz w:val="28"/>
          <w:szCs w:val="28"/>
          <w:lang w:val="es-ES"/>
        </w:rPr>
      </w:pPr>
    </w:p>
    <w:p w14:paraId="29F84B54" w14:textId="77777777" w:rsidR="00A53BC0" w:rsidRPr="00A86C10" w:rsidRDefault="00A53BC0" w:rsidP="00A53BC0">
      <w:pPr>
        <w:spacing w:after="0" w:line="240" w:lineRule="auto"/>
        <w:jc w:val="center"/>
        <w:rPr>
          <w:rFonts w:cs="Arial"/>
          <w:b/>
          <w:sz w:val="28"/>
          <w:szCs w:val="28"/>
          <w:lang w:val="es-ES"/>
        </w:rPr>
      </w:pPr>
    </w:p>
    <w:p w14:paraId="60DA4E21" w14:textId="5EA4D964" w:rsidR="00A53BC0" w:rsidRPr="00A86C10" w:rsidRDefault="00625555" w:rsidP="00A53BC0">
      <w:pPr>
        <w:spacing w:after="0" w:line="240" w:lineRule="auto"/>
        <w:jc w:val="center"/>
        <w:rPr>
          <w:rFonts w:cs="Arial"/>
          <w:b/>
          <w:sz w:val="28"/>
          <w:szCs w:val="28"/>
          <w:lang w:val="es-ES"/>
        </w:rPr>
      </w:pPr>
      <w:r>
        <w:rPr>
          <w:rFonts w:cs="Arial"/>
          <w:b/>
          <w:sz w:val="28"/>
          <w:szCs w:val="28"/>
          <w:lang w:val="es-ES"/>
        </w:rPr>
        <w:t>Lista</w:t>
      </w:r>
      <w:r w:rsidR="00AF3EFC" w:rsidRPr="00A86C10">
        <w:rPr>
          <w:rFonts w:cs="Arial"/>
          <w:b/>
          <w:sz w:val="28"/>
          <w:szCs w:val="28"/>
          <w:lang w:val="es-ES"/>
        </w:rPr>
        <w:t xml:space="preserve"> de las decisiones entre períodos de sesiones del Comité Permanente tras la celebración virtual de su 58ª reunión</w:t>
      </w:r>
      <w:r w:rsidR="00A53BC0" w:rsidRPr="00A86C10">
        <w:rPr>
          <w:rFonts w:cs="Arial"/>
          <w:b/>
          <w:sz w:val="28"/>
          <w:szCs w:val="28"/>
          <w:lang w:val="es-ES"/>
        </w:rPr>
        <w:t xml:space="preserve">, </w:t>
      </w:r>
      <w:r w:rsidR="00A53BC0" w:rsidRPr="00A86C10">
        <w:rPr>
          <w:rFonts w:cs="Arial"/>
          <w:b/>
          <w:sz w:val="28"/>
          <w:szCs w:val="28"/>
          <w:lang w:val="es-ES"/>
        </w:rPr>
        <w:br/>
      </w:r>
      <w:r w:rsidR="00AF3EFC" w:rsidRPr="00A86C10">
        <w:rPr>
          <w:rFonts w:cs="Arial"/>
          <w:b/>
          <w:sz w:val="28"/>
          <w:szCs w:val="28"/>
          <w:lang w:val="es-ES"/>
        </w:rPr>
        <w:t>septiembre de 2</w:t>
      </w:r>
      <w:r w:rsidR="00A53BC0" w:rsidRPr="00A86C10">
        <w:rPr>
          <w:rFonts w:cs="Arial"/>
          <w:b/>
          <w:sz w:val="28"/>
          <w:szCs w:val="28"/>
          <w:lang w:val="es-ES"/>
        </w:rPr>
        <w:t xml:space="preserve">020 – </w:t>
      </w:r>
      <w:r w:rsidR="007B5BB2">
        <w:rPr>
          <w:rFonts w:cs="Arial"/>
          <w:b/>
          <w:sz w:val="28"/>
          <w:szCs w:val="28"/>
          <w:lang w:val="es-ES"/>
        </w:rPr>
        <w:t>mayo</w:t>
      </w:r>
      <w:r w:rsidR="00AF3EFC" w:rsidRPr="00A86C10">
        <w:rPr>
          <w:rFonts w:cs="Arial"/>
          <w:b/>
          <w:sz w:val="28"/>
          <w:szCs w:val="28"/>
          <w:lang w:val="es-ES"/>
        </w:rPr>
        <w:t xml:space="preserve"> de </w:t>
      </w:r>
      <w:r w:rsidR="00A53BC0" w:rsidRPr="00A86C10">
        <w:rPr>
          <w:rFonts w:cs="Arial"/>
          <w:b/>
          <w:sz w:val="28"/>
          <w:szCs w:val="28"/>
          <w:lang w:val="es-ES"/>
        </w:rPr>
        <w:t>2021</w:t>
      </w:r>
      <w:r w:rsidR="00137665">
        <w:rPr>
          <w:rStyle w:val="FootnoteReference"/>
          <w:rFonts w:cs="Arial"/>
          <w:b/>
          <w:sz w:val="28"/>
          <w:szCs w:val="28"/>
          <w:lang w:val="es-ES"/>
        </w:rPr>
        <w:footnoteReference w:id="2"/>
      </w:r>
    </w:p>
    <w:p w14:paraId="267F3856" w14:textId="33A6D814" w:rsidR="00A53BC0" w:rsidRPr="00A86C10" w:rsidRDefault="00A53BC0" w:rsidP="00A53BC0">
      <w:pPr>
        <w:spacing w:after="0" w:line="240" w:lineRule="auto"/>
        <w:jc w:val="center"/>
        <w:rPr>
          <w:rFonts w:cs="Arial"/>
          <w:b/>
          <w:sz w:val="28"/>
          <w:szCs w:val="28"/>
          <w:lang w:val="es-ES"/>
        </w:rPr>
      </w:pPr>
    </w:p>
    <w:p w14:paraId="4300C43E" w14:textId="1A61F783" w:rsidR="00A53BC0" w:rsidRPr="00A86C10" w:rsidRDefault="00A53BC0" w:rsidP="00A53BC0">
      <w:pPr>
        <w:autoSpaceDE w:val="0"/>
        <w:autoSpaceDN w:val="0"/>
        <w:adjustRightInd w:val="0"/>
        <w:spacing w:after="0" w:line="240" w:lineRule="auto"/>
        <w:rPr>
          <w:rFonts w:cs="Arial"/>
          <w:u w:val="single"/>
          <w:lang w:val="es-ES"/>
        </w:rPr>
      </w:pPr>
      <w:r w:rsidRPr="00A86C10">
        <w:rPr>
          <w:rFonts w:cs="Arial"/>
          <w:u w:val="single"/>
          <w:lang w:val="es-ES"/>
        </w:rPr>
        <w:t>Not</w:t>
      </w:r>
      <w:r w:rsidR="00AF3EFC" w:rsidRPr="00A86C10">
        <w:rPr>
          <w:rFonts w:cs="Arial"/>
          <w:u w:val="single"/>
          <w:lang w:val="es-ES"/>
        </w:rPr>
        <w:t>a de la Secretaría</w:t>
      </w:r>
      <w:r w:rsidRPr="00A86C10">
        <w:rPr>
          <w:rFonts w:cs="Arial"/>
          <w:u w:val="single"/>
          <w:lang w:val="es-ES"/>
        </w:rPr>
        <w:t>:</w:t>
      </w:r>
    </w:p>
    <w:p w14:paraId="0F7546FB" w14:textId="77777777" w:rsidR="00A53BC0" w:rsidRPr="00A86C10" w:rsidRDefault="00A53BC0" w:rsidP="00A53BC0">
      <w:pPr>
        <w:autoSpaceDE w:val="0"/>
        <w:autoSpaceDN w:val="0"/>
        <w:adjustRightInd w:val="0"/>
        <w:spacing w:after="0" w:line="240" w:lineRule="auto"/>
        <w:rPr>
          <w:rFonts w:cs="Arial"/>
          <w:b/>
          <w:lang w:val="es-ES"/>
        </w:rPr>
      </w:pPr>
    </w:p>
    <w:p w14:paraId="2130D776" w14:textId="79733ED3" w:rsidR="00A53BC0" w:rsidRPr="00A86C10" w:rsidRDefault="00197505" w:rsidP="00A53BC0">
      <w:pPr>
        <w:autoSpaceDE w:val="0"/>
        <w:autoSpaceDN w:val="0"/>
        <w:adjustRightInd w:val="0"/>
        <w:spacing w:after="0" w:line="240" w:lineRule="auto"/>
        <w:rPr>
          <w:lang w:val="es-ES"/>
        </w:rPr>
      </w:pPr>
      <w:r w:rsidRPr="00A86C10">
        <w:rPr>
          <w:rFonts w:cs="Arial"/>
          <w:lang w:val="es-ES"/>
        </w:rPr>
        <w:t>A co</w:t>
      </w:r>
      <w:r w:rsidR="00AF3EFC" w:rsidRPr="00A86C10">
        <w:rPr>
          <w:rFonts w:cs="Arial"/>
          <w:lang w:val="es-ES"/>
        </w:rPr>
        <w:t xml:space="preserve">ntinuación se presenta </w:t>
      </w:r>
      <w:r w:rsidR="00625555">
        <w:rPr>
          <w:rFonts w:cs="Arial"/>
          <w:lang w:val="es-ES"/>
        </w:rPr>
        <w:t>una lista</w:t>
      </w:r>
      <w:r w:rsidR="00AF3EFC" w:rsidRPr="00A86C10">
        <w:rPr>
          <w:rFonts w:cs="Arial"/>
          <w:lang w:val="es-ES"/>
        </w:rPr>
        <w:t xml:space="preserve"> de las decisiones adoptadas entre períodos d</w:t>
      </w:r>
      <w:r w:rsidRPr="00A86C10">
        <w:rPr>
          <w:rFonts w:cs="Arial"/>
          <w:lang w:val="es-ES"/>
        </w:rPr>
        <w:t>e</w:t>
      </w:r>
      <w:r w:rsidR="00AF3EFC" w:rsidRPr="00A86C10">
        <w:rPr>
          <w:rFonts w:cs="Arial"/>
          <w:lang w:val="es-ES"/>
        </w:rPr>
        <w:t xml:space="preserve"> sesiones desde la celebración de la 58ª reunión del Comité Permanente</w:t>
      </w:r>
      <w:r w:rsidRPr="00A86C10">
        <w:rPr>
          <w:rFonts w:cs="Arial"/>
          <w:lang w:val="es-ES"/>
        </w:rPr>
        <w:t xml:space="preserve"> de forma virtual</w:t>
      </w:r>
      <w:r w:rsidR="00AF3EFC" w:rsidRPr="00A86C10">
        <w:rPr>
          <w:rFonts w:cs="Arial"/>
          <w:lang w:val="es-ES"/>
        </w:rPr>
        <w:t xml:space="preserve"> del 23 al 25 de junio de </w:t>
      </w:r>
      <w:r w:rsidR="00A53BC0" w:rsidRPr="00A86C10">
        <w:rPr>
          <w:rFonts w:cs="Arial"/>
          <w:lang w:val="es-ES"/>
        </w:rPr>
        <w:t>2020,</w:t>
      </w:r>
      <w:r w:rsidR="00AF3EFC" w:rsidRPr="00A86C10">
        <w:rPr>
          <w:rFonts w:cs="Arial"/>
          <w:lang w:val="es-ES"/>
        </w:rPr>
        <w:t xml:space="preserve"> de conformidad con la recomendación del Comité Ejecutivo al Comité Permanente sobre la continuación de sus actividades</w:t>
      </w:r>
      <w:r w:rsidR="00A53BC0" w:rsidRPr="00A86C10">
        <w:rPr>
          <w:lang w:val="es-ES"/>
        </w:rPr>
        <w:t>.</w:t>
      </w:r>
    </w:p>
    <w:p w14:paraId="69C6A042" w14:textId="77777777" w:rsidR="00A53BC0" w:rsidRPr="00A86C10" w:rsidRDefault="00A53BC0" w:rsidP="00A53BC0">
      <w:pPr>
        <w:autoSpaceDE w:val="0"/>
        <w:autoSpaceDN w:val="0"/>
        <w:adjustRightInd w:val="0"/>
        <w:spacing w:after="0" w:line="240" w:lineRule="auto"/>
        <w:rPr>
          <w:rFonts w:cs="Arial"/>
          <w:lang w:val="es-ES"/>
        </w:rPr>
      </w:pPr>
    </w:p>
    <w:p w14:paraId="03FEEE61" w14:textId="4A8723B8" w:rsidR="00A53BC0" w:rsidRPr="00A86C10" w:rsidRDefault="00AF3EFC" w:rsidP="00A53BC0">
      <w:pPr>
        <w:autoSpaceDE w:val="0"/>
        <w:autoSpaceDN w:val="0"/>
        <w:adjustRightInd w:val="0"/>
        <w:spacing w:after="0" w:line="240" w:lineRule="auto"/>
        <w:rPr>
          <w:rFonts w:cs="Arial"/>
          <w:lang w:val="es-ES"/>
        </w:rPr>
      </w:pPr>
      <w:r w:rsidRPr="00A86C10">
        <w:rPr>
          <w:rFonts w:cs="Arial"/>
          <w:lang w:val="es-ES"/>
        </w:rPr>
        <w:t>E</w:t>
      </w:r>
      <w:r w:rsidR="00197505" w:rsidRPr="00A86C10">
        <w:rPr>
          <w:rFonts w:cs="Arial"/>
          <w:lang w:val="es-ES"/>
        </w:rPr>
        <w:t>l presente</w:t>
      </w:r>
      <w:r w:rsidRPr="00A86C10">
        <w:rPr>
          <w:rFonts w:cs="Arial"/>
          <w:lang w:val="es-ES"/>
        </w:rPr>
        <w:t xml:space="preserve"> documento se actualizará con</w:t>
      </w:r>
      <w:r w:rsidR="00197505" w:rsidRPr="00A86C10">
        <w:rPr>
          <w:rFonts w:cs="Arial"/>
          <w:lang w:val="es-ES"/>
        </w:rPr>
        <w:t xml:space="preserve"> todas</w:t>
      </w:r>
      <w:r w:rsidRPr="00A86C10">
        <w:rPr>
          <w:rFonts w:cs="Arial"/>
          <w:lang w:val="es-ES"/>
        </w:rPr>
        <w:t xml:space="preserve"> las posibles decisiones futuras del Comité Permanente entre períodos de sesiones.</w:t>
      </w:r>
    </w:p>
    <w:p w14:paraId="47E5A36B" w14:textId="77777777" w:rsidR="00A53BC0" w:rsidRPr="00A86C10" w:rsidRDefault="00A53BC0" w:rsidP="00A53BC0">
      <w:pPr>
        <w:spacing w:after="0" w:line="240" w:lineRule="auto"/>
        <w:jc w:val="center"/>
        <w:rPr>
          <w:rFonts w:cs="Arial"/>
          <w:b/>
          <w:lang w:val="es-ES"/>
        </w:rPr>
      </w:pPr>
    </w:p>
    <w:p w14:paraId="4F0CA655" w14:textId="725A8374" w:rsidR="00E97C6E" w:rsidRPr="00A86C10" w:rsidRDefault="00E97C6E" w:rsidP="00DD4695">
      <w:pPr>
        <w:spacing w:after="0" w:line="240" w:lineRule="auto"/>
        <w:rPr>
          <w:rFonts w:asciiTheme="minorHAnsi" w:hAnsiTheme="minorHAnsi" w:cstheme="minorHAnsi"/>
          <w:b/>
          <w:bCs/>
          <w:lang w:val="es-ES"/>
        </w:rPr>
      </w:pPr>
    </w:p>
    <w:p w14:paraId="13DF8FD8" w14:textId="66901880" w:rsidR="0020739B" w:rsidRPr="00A86C10" w:rsidRDefault="0020739B" w:rsidP="0020739B">
      <w:pPr>
        <w:autoSpaceDE w:val="0"/>
        <w:autoSpaceDN w:val="0"/>
        <w:adjustRightInd w:val="0"/>
        <w:spacing w:after="0" w:line="240" w:lineRule="auto"/>
        <w:rPr>
          <w:rFonts w:cs="Arial"/>
          <w:color w:val="000000" w:themeColor="text1"/>
          <w:lang w:val="es-ES"/>
        </w:rPr>
      </w:pPr>
      <w:r w:rsidRPr="00A86C10">
        <w:rPr>
          <w:rFonts w:cs="Arial"/>
          <w:color w:val="000000" w:themeColor="text1"/>
          <w:lang w:val="es-ES"/>
        </w:rPr>
        <w:t>28</w:t>
      </w:r>
      <w:r w:rsidR="00A303E5" w:rsidRPr="00A86C10">
        <w:rPr>
          <w:rFonts w:cs="Arial"/>
          <w:color w:val="000000" w:themeColor="text1"/>
          <w:lang w:val="es-ES"/>
        </w:rPr>
        <w:t xml:space="preserve"> de septiembre de </w:t>
      </w:r>
      <w:r w:rsidRPr="00A86C10">
        <w:rPr>
          <w:rFonts w:cs="Arial"/>
          <w:color w:val="000000" w:themeColor="text1"/>
          <w:lang w:val="es-ES"/>
        </w:rPr>
        <w:t>2020</w:t>
      </w:r>
      <w:r w:rsidR="00A53BC0" w:rsidRPr="00A86C10">
        <w:rPr>
          <w:rFonts w:cs="Arial"/>
          <w:color w:val="000000" w:themeColor="text1"/>
          <w:lang w:val="es-ES"/>
        </w:rPr>
        <w:t>:</w:t>
      </w:r>
    </w:p>
    <w:p w14:paraId="2EF08510" w14:textId="77777777" w:rsidR="0020739B" w:rsidRPr="00A86C10" w:rsidRDefault="0020739B" w:rsidP="0020739B">
      <w:pPr>
        <w:autoSpaceDE w:val="0"/>
        <w:autoSpaceDN w:val="0"/>
        <w:adjustRightInd w:val="0"/>
        <w:spacing w:after="0" w:line="240" w:lineRule="auto"/>
        <w:rPr>
          <w:rFonts w:eastAsiaTheme="minorHAnsi" w:cs="Calibri"/>
          <w:color w:val="000000" w:themeColor="text1"/>
          <w:lang w:val="es-ES"/>
        </w:rPr>
      </w:pPr>
    </w:p>
    <w:p w14:paraId="5C2D8C5F" w14:textId="761E222F" w:rsidR="0020739B" w:rsidRPr="00A86C10" w:rsidRDefault="00AF3EFC" w:rsidP="0020739B">
      <w:pPr>
        <w:autoSpaceDE w:val="0"/>
        <w:autoSpaceDN w:val="0"/>
        <w:adjustRightInd w:val="0"/>
        <w:spacing w:after="0" w:line="240" w:lineRule="auto"/>
        <w:rPr>
          <w:rFonts w:eastAsiaTheme="minorHAnsi" w:cs="Calibri"/>
          <w:b/>
          <w:color w:val="000000" w:themeColor="text1"/>
          <w:lang w:val="es-ES"/>
        </w:rPr>
      </w:pPr>
      <w:r w:rsidRPr="00A86C10">
        <w:rPr>
          <w:rFonts w:asciiTheme="minorHAnsi" w:hAnsiTheme="minorHAnsi" w:cstheme="minorHAnsi"/>
          <w:b/>
          <w:bCs/>
          <w:lang w:val="es-ES"/>
        </w:rPr>
        <w:t xml:space="preserve">Decisión 01 </w:t>
      </w:r>
      <w:r w:rsidRPr="00A86C10">
        <w:rPr>
          <w:rFonts w:asciiTheme="minorHAnsi" w:hAnsiTheme="minorHAnsi" w:cstheme="minorHAnsi"/>
          <w:b/>
          <w:bCs/>
          <w:color w:val="000000" w:themeColor="text1"/>
          <w:lang w:val="es-ES"/>
        </w:rPr>
        <w:t xml:space="preserve">entre períodos de sesiones </w:t>
      </w:r>
      <w:r w:rsidRPr="00A86C10">
        <w:rPr>
          <w:rFonts w:asciiTheme="minorHAnsi" w:hAnsiTheme="minorHAnsi" w:cstheme="minorHAnsi"/>
          <w:b/>
          <w:bCs/>
          <w:lang w:val="es-ES"/>
        </w:rPr>
        <w:t xml:space="preserve">tras la reunión </w:t>
      </w:r>
      <w:r w:rsidR="001C110B" w:rsidRPr="00A86C10">
        <w:rPr>
          <w:rFonts w:asciiTheme="minorHAnsi" w:hAnsiTheme="minorHAnsi" w:cstheme="minorHAnsi"/>
          <w:b/>
          <w:bCs/>
          <w:lang w:val="es-ES"/>
        </w:rPr>
        <w:t>SC58</w:t>
      </w:r>
      <w:r w:rsidR="0020739B" w:rsidRPr="00A86C10">
        <w:rPr>
          <w:rFonts w:asciiTheme="minorHAnsi" w:hAnsiTheme="minorHAnsi" w:cstheme="minorHAnsi"/>
          <w:b/>
          <w:bCs/>
          <w:color w:val="000000" w:themeColor="text1"/>
          <w:lang w:val="es-ES"/>
        </w:rPr>
        <w:t xml:space="preserve">: </w:t>
      </w:r>
      <w:r w:rsidR="00A303E5" w:rsidRPr="00A86C10">
        <w:rPr>
          <w:rFonts w:asciiTheme="minorHAnsi" w:hAnsiTheme="minorHAnsi" w:cstheme="minorHAnsi"/>
          <w:b/>
          <w:bCs/>
          <w:color w:val="000000" w:themeColor="text1"/>
          <w:lang w:val="es-ES"/>
        </w:rPr>
        <w:t xml:space="preserve">El Comité Permanente decidió cancelar la reunión </w:t>
      </w:r>
      <w:r w:rsidR="0020739B" w:rsidRPr="00A86C10">
        <w:rPr>
          <w:rFonts w:eastAsiaTheme="minorHAnsi" w:cs="Calibri"/>
          <w:b/>
          <w:color w:val="000000" w:themeColor="text1"/>
          <w:lang w:val="es-ES"/>
        </w:rPr>
        <w:t>SC58</w:t>
      </w:r>
      <w:r w:rsidR="00A303E5" w:rsidRPr="00A86C10">
        <w:rPr>
          <w:rFonts w:eastAsiaTheme="minorHAnsi" w:cs="Calibri"/>
          <w:b/>
          <w:color w:val="000000" w:themeColor="text1"/>
          <w:lang w:val="es-ES"/>
        </w:rPr>
        <w:t xml:space="preserve"> y tratar en su 59ª reunión </w:t>
      </w:r>
      <w:r w:rsidR="0020739B" w:rsidRPr="00A86C10">
        <w:rPr>
          <w:rFonts w:eastAsiaTheme="minorHAnsi" w:cs="Calibri"/>
          <w:b/>
          <w:color w:val="000000" w:themeColor="text1"/>
          <w:lang w:val="es-ES"/>
        </w:rPr>
        <w:t xml:space="preserve">(SC59) </w:t>
      </w:r>
      <w:r w:rsidR="00A303E5" w:rsidRPr="00A86C10">
        <w:rPr>
          <w:rFonts w:eastAsiaTheme="minorHAnsi" w:cs="Calibri"/>
          <w:b/>
          <w:color w:val="000000" w:themeColor="text1"/>
          <w:lang w:val="es-ES"/>
        </w:rPr>
        <w:t xml:space="preserve">en </w:t>
      </w:r>
      <w:r w:rsidR="0020739B" w:rsidRPr="00A86C10">
        <w:rPr>
          <w:rFonts w:eastAsiaTheme="minorHAnsi" w:cs="Calibri"/>
          <w:b/>
          <w:color w:val="000000" w:themeColor="text1"/>
          <w:lang w:val="es-ES"/>
        </w:rPr>
        <w:t xml:space="preserve">2021 </w:t>
      </w:r>
      <w:r w:rsidR="00A303E5" w:rsidRPr="00A86C10">
        <w:rPr>
          <w:rFonts w:eastAsiaTheme="minorHAnsi" w:cs="Calibri"/>
          <w:b/>
          <w:color w:val="000000" w:themeColor="text1"/>
          <w:lang w:val="es-ES"/>
        </w:rPr>
        <w:t>los puntos pendientes del orden del día que no se trataron en las reuniones entre períodos de sesiones celebradas los días 2</w:t>
      </w:r>
      <w:r w:rsidR="0020739B" w:rsidRPr="00A86C10">
        <w:rPr>
          <w:rFonts w:eastAsiaTheme="minorHAnsi" w:cs="Calibri"/>
          <w:b/>
          <w:color w:val="000000" w:themeColor="text1"/>
          <w:lang w:val="es-ES"/>
        </w:rPr>
        <w:t xml:space="preserve">2 </w:t>
      </w:r>
      <w:r w:rsidR="00A303E5" w:rsidRPr="00A86C10">
        <w:rPr>
          <w:rFonts w:eastAsiaTheme="minorHAnsi" w:cs="Calibri"/>
          <w:b/>
          <w:color w:val="000000" w:themeColor="text1"/>
          <w:lang w:val="es-ES"/>
        </w:rPr>
        <w:t>y</w:t>
      </w:r>
      <w:r w:rsidR="0020739B" w:rsidRPr="00A86C10">
        <w:rPr>
          <w:rFonts w:eastAsiaTheme="minorHAnsi" w:cs="Calibri"/>
          <w:b/>
          <w:color w:val="000000" w:themeColor="text1"/>
          <w:lang w:val="es-ES"/>
        </w:rPr>
        <w:t xml:space="preserve"> 24 </w:t>
      </w:r>
      <w:r w:rsidR="00A303E5" w:rsidRPr="00A86C10">
        <w:rPr>
          <w:rFonts w:eastAsiaTheme="minorHAnsi" w:cs="Calibri"/>
          <w:b/>
          <w:color w:val="000000" w:themeColor="text1"/>
          <w:lang w:val="es-ES"/>
        </w:rPr>
        <w:t>de junio de</w:t>
      </w:r>
      <w:r w:rsidR="0020739B" w:rsidRPr="00A86C10">
        <w:rPr>
          <w:rFonts w:eastAsiaTheme="minorHAnsi" w:cs="Calibri"/>
          <w:b/>
          <w:color w:val="000000" w:themeColor="text1"/>
          <w:lang w:val="es-ES"/>
        </w:rPr>
        <w:t xml:space="preserve"> 2020. </w:t>
      </w:r>
    </w:p>
    <w:p w14:paraId="5A6EF3BC" w14:textId="77777777" w:rsidR="0020739B" w:rsidRPr="00A86C10" w:rsidRDefault="0020739B" w:rsidP="0020739B">
      <w:pPr>
        <w:autoSpaceDE w:val="0"/>
        <w:autoSpaceDN w:val="0"/>
        <w:adjustRightInd w:val="0"/>
        <w:spacing w:after="0" w:line="240" w:lineRule="auto"/>
        <w:rPr>
          <w:rFonts w:eastAsiaTheme="minorHAnsi" w:cs="Calibri"/>
          <w:b/>
          <w:color w:val="000000" w:themeColor="text1"/>
          <w:lang w:val="es-ES"/>
        </w:rPr>
      </w:pPr>
    </w:p>
    <w:p w14:paraId="6D8965EF" w14:textId="4F2D97C5" w:rsidR="0020739B" w:rsidRPr="00A86C10" w:rsidRDefault="00197505" w:rsidP="0020739B">
      <w:pPr>
        <w:autoSpaceDE w:val="0"/>
        <w:autoSpaceDN w:val="0"/>
        <w:adjustRightInd w:val="0"/>
        <w:spacing w:after="0" w:line="240" w:lineRule="auto"/>
        <w:rPr>
          <w:rFonts w:eastAsiaTheme="minorHAnsi" w:cs="Calibri"/>
          <w:b/>
          <w:color w:val="000000" w:themeColor="text1"/>
          <w:lang w:val="es-ES"/>
        </w:rPr>
      </w:pPr>
      <w:r w:rsidRPr="00A86C10">
        <w:rPr>
          <w:rFonts w:asciiTheme="minorHAnsi" w:hAnsiTheme="minorHAnsi" w:cstheme="minorHAnsi"/>
          <w:b/>
          <w:bCs/>
          <w:lang w:val="es-ES"/>
        </w:rPr>
        <w:t xml:space="preserve">Decisión 02 </w:t>
      </w:r>
      <w:r w:rsidRPr="00A86C10">
        <w:rPr>
          <w:rFonts w:asciiTheme="minorHAnsi" w:hAnsiTheme="minorHAnsi" w:cstheme="minorHAnsi"/>
          <w:b/>
          <w:bCs/>
          <w:color w:val="000000" w:themeColor="text1"/>
          <w:lang w:val="es-ES"/>
        </w:rPr>
        <w:t xml:space="preserve">entre períodos de sesiones </w:t>
      </w:r>
      <w:r w:rsidRPr="00A86C10">
        <w:rPr>
          <w:rFonts w:asciiTheme="minorHAnsi" w:hAnsiTheme="minorHAnsi" w:cstheme="minorHAnsi"/>
          <w:b/>
          <w:bCs/>
          <w:lang w:val="es-ES"/>
        </w:rPr>
        <w:t>tras la reunión SC58</w:t>
      </w:r>
      <w:r w:rsidR="0020739B" w:rsidRPr="00A86C10">
        <w:rPr>
          <w:rFonts w:asciiTheme="minorHAnsi" w:hAnsiTheme="minorHAnsi" w:cstheme="minorHAnsi"/>
          <w:b/>
          <w:bCs/>
          <w:color w:val="000000" w:themeColor="text1"/>
          <w:lang w:val="es-ES"/>
        </w:rPr>
        <w:t xml:space="preserve">: </w:t>
      </w:r>
      <w:r w:rsidR="00A303E5" w:rsidRPr="00A86C10">
        <w:rPr>
          <w:rFonts w:eastAsiaTheme="minorHAnsi" w:cs="Calibri"/>
          <w:b/>
          <w:color w:val="000000" w:themeColor="text1"/>
          <w:lang w:val="es-ES"/>
        </w:rPr>
        <w:t>El Comité Permanente</w:t>
      </w:r>
      <w:r w:rsidR="0020739B" w:rsidRPr="00A86C10">
        <w:rPr>
          <w:rFonts w:eastAsiaTheme="minorHAnsi" w:cs="Calibri"/>
          <w:b/>
          <w:color w:val="000000" w:themeColor="text1"/>
          <w:lang w:val="es-ES"/>
        </w:rPr>
        <w:t xml:space="preserve"> </w:t>
      </w:r>
      <w:r w:rsidR="00A303E5" w:rsidRPr="00A86C10">
        <w:rPr>
          <w:rFonts w:eastAsiaTheme="minorHAnsi" w:cs="Calibri"/>
          <w:b/>
          <w:color w:val="000000" w:themeColor="text1"/>
          <w:lang w:val="es-ES"/>
        </w:rPr>
        <w:t>decidió que las decisiones necesarias con arreglo al reglamento para que la 14ª reunión de la Conferencia de las Partes Contratantes (COP14</w:t>
      </w:r>
      <w:r w:rsidR="00271001" w:rsidRPr="00A86C10">
        <w:rPr>
          <w:rFonts w:eastAsiaTheme="minorHAnsi" w:cs="Calibri"/>
          <w:b/>
          <w:color w:val="000000" w:themeColor="text1"/>
          <w:lang w:val="es-ES"/>
        </w:rPr>
        <w:t>)</w:t>
      </w:r>
      <w:r w:rsidR="00A303E5" w:rsidRPr="00A86C10">
        <w:rPr>
          <w:rFonts w:eastAsiaTheme="minorHAnsi" w:cs="Calibri"/>
          <w:b/>
          <w:color w:val="000000" w:themeColor="text1"/>
          <w:lang w:val="es-ES"/>
        </w:rPr>
        <w:t xml:space="preserve"> se celebre según lo previsto se adopten entre períodos de sesiones, a saber: </w:t>
      </w:r>
      <w:r w:rsidR="0020739B" w:rsidRPr="00A86C10">
        <w:rPr>
          <w:rFonts w:eastAsiaTheme="minorHAnsi" w:cs="Calibri"/>
          <w:b/>
          <w:color w:val="000000" w:themeColor="text1"/>
          <w:lang w:val="es-ES"/>
        </w:rPr>
        <w:t xml:space="preserve">1) </w:t>
      </w:r>
      <w:r w:rsidR="00A303E5" w:rsidRPr="00A86C10">
        <w:rPr>
          <w:rFonts w:eastAsiaTheme="minorHAnsi" w:cs="Calibri"/>
          <w:b/>
          <w:color w:val="000000" w:themeColor="text1"/>
          <w:lang w:val="es-ES"/>
        </w:rPr>
        <w:t xml:space="preserve">aprobar las fechas y el orden del día provisional de la </w:t>
      </w:r>
      <w:r w:rsidR="0020739B" w:rsidRPr="00A86C10">
        <w:rPr>
          <w:rFonts w:eastAsiaTheme="minorHAnsi" w:cs="Calibri"/>
          <w:b/>
          <w:color w:val="000000" w:themeColor="text1"/>
          <w:lang w:val="es-ES"/>
        </w:rPr>
        <w:t xml:space="preserve">COP14; 2) </w:t>
      </w:r>
      <w:r w:rsidR="00A303E5" w:rsidRPr="00A86C10">
        <w:rPr>
          <w:rFonts w:eastAsiaTheme="minorHAnsi" w:cs="Calibri"/>
          <w:b/>
          <w:color w:val="000000" w:themeColor="text1"/>
          <w:lang w:val="es-ES"/>
        </w:rPr>
        <w:t xml:space="preserve">aprobar el procedimiento para preparar proyectos de resolución; y </w:t>
      </w:r>
      <w:r w:rsidR="0020739B" w:rsidRPr="00A86C10">
        <w:rPr>
          <w:rFonts w:eastAsiaTheme="minorHAnsi" w:cs="Calibri"/>
          <w:b/>
          <w:color w:val="000000" w:themeColor="text1"/>
          <w:lang w:val="es-ES"/>
        </w:rPr>
        <w:t xml:space="preserve">3) </w:t>
      </w:r>
      <w:r w:rsidR="00A303E5" w:rsidRPr="00A86C10">
        <w:rPr>
          <w:rFonts w:eastAsiaTheme="minorHAnsi" w:cs="Calibri"/>
          <w:b/>
          <w:color w:val="000000" w:themeColor="text1"/>
          <w:lang w:val="es-ES"/>
        </w:rPr>
        <w:t xml:space="preserve">aprobar las fechas de la reunión </w:t>
      </w:r>
      <w:r w:rsidR="0020739B" w:rsidRPr="00A86C10">
        <w:rPr>
          <w:rFonts w:eastAsiaTheme="minorHAnsi" w:cs="Calibri"/>
          <w:b/>
          <w:color w:val="000000" w:themeColor="text1"/>
          <w:lang w:val="es-ES"/>
        </w:rPr>
        <w:t>SC59</w:t>
      </w:r>
      <w:r w:rsidR="00A303E5" w:rsidRPr="00A86C10">
        <w:rPr>
          <w:rFonts w:eastAsiaTheme="minorHAnsi" w:cs="Calibri"/>
          <w:b/>
          <w:color w:val="000000" w:themeColor="text1"/>
          <w:lang w:val="es-ES"/>
        </w:rPr>
        <w:t xml:space="preserve"> en</w:t>
      </w:r>
      <w:r w:rsidR="0020739B" w:rsidRPr="00A86C10">
        <w:rPr>
          <w:rFonts w:eastAsiaTheme="minorHAnsi" w:cs="Calibri"/>
          <w:b/>
          <w:color w:val="000000" w:themeColor="text1"/>
          <w:lang w:val="es-ES"/>
        </w:rPr>
        <w:t xml:space="preserve"> 2021. </w:t>
      </w:r>
    </w:p>
    <w:p w14:paraId="4B187E94" w14:textId="77777777" w:rsidR="0020739B" w:rsidRPr="00A86C10" w:rsidRDefault="0020739B" w:rsidP="0020739B">
      <w:pPr>
        <w:autoSpaceDE w:val="0"/>
        <w:autoSpaceDN w:val="0"/>
        <w:adjustRightInd w:val="0"/>
        <w:spacing w:after="0" w:line="240" w:lineRule="auto"/>
        <w:rPr>
          <w:rFonts w:eastAsiaTheme="minorHAnsi" w:cs="Calibri"/>
          <w:b/>
          <w:color w:val="000000" w:themeColor="text1"/>
          <w:lang w:val="es-ES"/>
        </w:rPr>
      </w:pPr>
    </w:p>
    <w:p w14:paraId="05BCDE3E" w14:textId="22769C64" w:rsidR="0020739B" w:rsidRPr="00A86C10" w:rsidRDefault="00197505" w:rsidP="0020739B">
      <w:pPr>
        <w:autoSpaceDE w:val="0"/>
        <w:autoSpaceDN w:val="0"/>
        <w:adjustRightInd w:val="0"/>
        <w:spacing w:after="0" w:line="240" w:lineRule="auto"/>
        <w:rPr>
          <w:rFonts w:eastAsiaTheme="minorHAnsi" w:cs="Calibri"/>
          <w:b/>
          <w:color w:val="000000" w:themeColor="text1"/>
          <w:lang w:val="es-ES"/>
        </w:rPr>
      </w:pPr>
      <w:r w:rsidRPr="00A86C10">
        <w:rPr>
          <w:rFonts w:asciiTheme="minorHAnsi" w:hAnsiTheme="minorHAnsi" w:cstheme="minorHAnsi"/>
          <w:b/>
          <w:bCs/>
          <w:lang w:val="es-ES"/>
        </w:rPr>
        <w:t xml:space="preserve">Decisión 03 </w:t>
      </w:r>
      <w:r w:rsidRPr="00A86C10">
        <w:rPr>
          <w:rFonts w:asciiTheme="minorHAnsi" w:hAnsiTheme="minorHAnsi" w:cstheme="minorHAnsi"/>
          <w:b/>
          <w:bCs/>
          <w:color w:val="000000" w:themeColor="text1"/>
          <w:lang w:val="es-ES"/>
        </w:rPr>
        <w:t xml:space="preserve">entre períodos de sesiones </w:t>
      </w:r>
      <w:r w:rsidRPr="00A86C10">
        <w:rPr>
          <w:rFonts w:asciiTheme="minorHAnsi" w:hAnsiTheme="minorHAnsi" w:cstheme="minorHAnsi"/>
          <w:b/>
          <w:bCs/>
          <w:lang w:val="es-ES"/>
        </w:rPr>
        <w:t>tras la reunión SC58</w:t>
      </w:r>
      <w:r w:rsidR="0020739B" w:rsidRPr="00A86C10">
        <w:rPr>
          <w:rFonts w:asciiTheme="minorHAnsi" w:hAnsiTheme="minorHAnsi" w:cstheme="minorHAnsi"/>
          <w:b/>
          <w:bCs/>
          <w:color w:val="000000" w:themeColor="text1"/>
          <w:lang w:val="es-ES"/>
        </w:rPr>
        <w:t xml:space="preserve">: </w:t>
      </w:r>
      <w:r w:rsidR="00A303E5" w:rsidRPr="00A86C10">
        <w:rPr>
          <w:rFonts w:eastAsiaTheme="minorHAnsi" w:cs="Calibri"/>
          <w:b/>
          <w:color w:val="000000" w:themeColor="text1"/>
          <w:lang w:val="es-ES"/>
        </w:rPr>
        <w:t>El Comité Permanente</w:t>
      </w:r>
      <w:r w:rsidR="0020739B" w:rsidRPr="00A86C10">
        <w:rPr>
          <w:rFonts w:eastAsiaTheme="minorHAnsi" w:cs="Calibri"/>
          <w:b/>
          <w:color w:val="000000" w:themeColor="text1"/>
          <w:lang w:val="es-ES"/>
        </w:rPr>
        <w:t xml:space="preserve"> </w:t>
      </w:r>
      <w:r w:rsidR="00A303E5" w:rsidRPr="00A86C10">
        <w:rPr>
          <w:rFonts w:eastAsiaTheme="minorHAnsi" w:cs="Calibri"/>
          <w:b/>
          <w:color w:val="000000" w:themeColor="text1"/>
          <w:lang w:val="es-ES"/>
        </w:rPr>
        <w:t>insistió en que los grupos de trabajo y la Secretaría deben seguir trabajando en el marco de los mandatos existentes, que los grupos de trabajo pueden consultar al Comité Permanente en caso necesario, entre otras cosas mediante reuniones informativas, y que se agradecería recibir informes escritos sobre los avances de los grupos de trabajo. El Comité Permanente seguirá haciendo un seguimiento de la situación financiera de la Secretaría mediante los informes y recomendaciones de su Subgrupo de Finanzas</w:t>
      </w:r>
      <w:r w:rsidR="0020739B" w:rsidRPr="00A86C10">
        <w:rPr>
          <w:rFonts w:eastAsiaTheme="minorHAnsi" w:cs="Calibri"/>
          <w:b/>
          <w:color w:val="000000" w:themeColor="text1"/>
          <w:lang w:val="es-ES"/>
        </w:rPr>
        <w:t xml:space="preserve">. </w:t>
      </w:r>
    </w:p>
    <w:p w14:paraId="39A6A845" w14:textId="77777777" w:rsidR="0020739B" w:rsidRPr="00A86C10" w:rsidRDefault="0020739B" w:rsidP="0020739B">
      <w:pPr>
        <w:autoSpaceDE w:val="0"/>
        <w:autoSpaceDN w:val="0"/>
        <w:adjustRightInd w:val="0"/>
        <w:spacing w:after="0" w:line="240" w:lineRule="auto"/>
        <w:rPr>
          <w:rFonts w:eastAsiaTheme="minorHAnsi" w:cs="Calibri"/>
          <w:b/>
          <w:color w:val="000000" w:themeColor="text1"/>
          <w:lang w:val="es-ES"/>
        </w:rPr>
      </w:pPr>
    </w:p>
    <w:p w14:paraId="0A6CE4A5" w14:textId="01D0D3A9" w:rsidR="0020739B" w:rsidRPr="00A86C10" w:rsidRDefault="0020739B" w:rsidP="0020739B">
      <w:pPr>
        <w:autoSpaceDE w:val="0"/>
        <w:autoSpaceDN w:val="0"/>
        <w:adjustRightInd w:val="0"/>
        <w:spacing w:after="0" w:line="240" w:lineRule="auto"/>
        <w:rPr>
          <w:rFonts w:asciiTheme="minorHAnsi" w:hAnsiTheme="minorHAnsi" w:cstheme="minorHAnsi"/>
          <w:bCs/>
          <w:color w:val="000000" w:themeColor="text1"/>
          <w:lang w:val="es-ES"/>
        </w:rPr>
      </w:pPr>
      <w:r w:rsidRPr="00A86C10">
        <w:rPr>
          <w:rFonts w:asciiTheme="minorHAnsi" w:hAnsiTheme="minorHAnsi" w:cstheme="minorHAnsi"/>
          <w:bCs/>
          <w:color w:val="000000" w:themeColor="text1"/>
          <w:lang w:val="es-ES"/>
        </w:rPr>
        <w:t xml:space="preserve">3 </w:t>
      </w:r>
      <w:r w:rsidR="00A303E5" w:rsidRPr="00A86C10">
        <w:rPr>
          <w:rFonts w:asciiTheme="minorHAnsi" w:hAnsiTheme="minorHAnsi" w:cstheme="minorHAnsi"/>
          <w:bCs/>
          <w:color w:val="000000" w:themeColor="text1"/>
          <w:lang w:val="es-ES"/>
        </w:rPr>
        <w:t xml:space="preserve">de febrero de </w:t>
      </w:r>
      <w:r w:rsidRPr="00A86C10">
        <w:rPr>
          <w:rFonts w:asciiTheme="minorHAnsi" w:hAnsiTheme="minorHAnsi" w:cstheme="minorHAnsi"/>
          <w:bCs/>
          <w:color w:val="000000" w:themeColor="text1"/>
          <w:lang w:val="es-ES"/>
        </w:rPr>
        <w:t>2021</w:t>
      </w:r>
      <w:r w:rsidR="001C110B" w:rsidRPr="00A86C10">
        <w:rPr>
          <w:rFonts w:asciiTheme="minorHAnsi" w:hAnsiTheme="minorHAnsi" w:cstheme="minorHAnsi"/>
          <w:bCs/>
          <w:color w:val="000000" w:themeColor="text1"/>
          <w:lang w:val="es-ES"/>
        </w:rPr>
        <w:t>:</w:t>
      </w:r>
    </w:p>
    <w:p w14:paraId="0E8C4B29" w14:textId="77777777" w:rsidR="0020739B" w:rsidRPr="00A86C10" w:rsidRDefault="0020739B" w:rsidP="0020739B">
      <w:pPr>
        <w:autoSpaceDE w:val="0"/>
        <w:autoSpaceDN w:val="0"/>
        <w:adjustRightInd w:val="0"/>
        <w:spacing w:after="0" w:line="240" w:lineRule="auto"/>
        <w:rPr>
          <w:rFonts w:asciiTheme="minorHAnsi" w:hAnsiTheme="minorHAnsi" w:cstheme="minorHAnsi"/>
          <w:b/>
          <w:bCs/>
          <w:color w:val="000000" w:themeColor="text1"/>
          <w:lang w:val="es-ES"/>
        </w:rPr>
      </w:pPr>
    </w:p>
    <w:p w14:paraId="4DF7D50D" w14:textId="14F4412C" w:rsidR="0020739B" w:rsidRPr="00A86C10" w:rsidRDefault="00197505" w:rsidP="0020739B">
      <w:pPr>
        <w:autoSpaceDE w:val="0"/>
        <w:autoSpaceDN w:val="0"/>
        <w:adjustRightInd w:val="0"/>
        <w:spacing w:after="0" w:line="240" w:lineRule="auto"/>
        <w:rPr>
          <w:rFonts w:asciiTheme="minorHAnsi" w:hAnsiTheme="minorHAnsi" w:cstheme="minorHAnsi"/>
          <w:b/>
          <w:bCs/>
          <w:color w:val="000000" w:themeColor="text1"/>
          <w:lang w:val="es-ES"/>
        </w:rPr>
      </w:pPr>
      <w:r w:rsidRPr="00A86C10">
        <w:rPr>
          <w:rFonts w:asciiTheme="minorHAnsi" w:hAnsiTheme="minorHAnsi" w:cstheme="minorHAnsi"/>
          <w:b/>
          <w:bCs/>
          <w:lang w:val="es-ES"/>
        </w:rPr>
        <w:t xml:space="preserve">Decisión 04 </w:t>
      </w:r>
      <w:r w:rsidRPr="00A86C10">
        <w:rPr>
          <w:rFonts w:asciiTheme="minorHAnsi" w:hAnsiTheme="minorHAnsi" w:cstheme="minorHAnsi"/>
          <w:b/>
          <w:bCs/>
          <w:color w:val="000000" w:themeColor="text1"/>
          <w:lang w:val="es-ES"/>
        </w:rPr>
        <w:t xml:space="preserve">entre períodos de sesiones </w:t>
      </w:r>
      <w:r w:rsidRPr="00A86C10">
        <w:rPr>
          <w:rFonts w:asciiTheme="minorHAnsi" w:hAnsiTheme="minorHAnsi" w:cstheme="minorHAnsi"/>
          <w:b/>
          <w:bCs/>
          <w:lang w:val="es-ES"/>
        </w:rPr>
        <w:t>tras la reunión SC58</w:t>
      </w:r>
      <w:r w:rsidR="0020739B" w:rsidRPr="00A86C10">
        <w:rPr>
          <w:rFonts w:asciiTheme="minorHAnsi" w:hAnsiTheme="minorHAnsi" w:cstheme="minorHAnsi"/>
          <w:b/>
          <w:bCs/>
          <w:color w:val="000000" w:themeColor="text1"/>
          <w:lang w:val="es-ES"/>
        </w:rPr>
        <w:t xml:space="preserve">: </w:t>
      </w:r>
      <w:r w:rsidR="00A303E5" w:rsidRPr="00A86C10">
        <w:rPr>
          <w:rFonts w:asciiTheme="minorHAnsi" w:hAnsiTheme="minorHAnsi" w:cstheme="minorHAnsi"/>
          <w:b/>
          <w:bCs/>
          <w:color w:val="000000" w:themeColor="text1"/>
          <w:lang w:val="es-ES"/>
        </w:rPr>
        <w:t>El Comité Permanente</w:t>
      </w:r>
      <w:r w:rsidR="0020739B" w:rsidRPr="00A86C10">
        <w:rPr>
          <w:rFonts w:asciiTheme="minorHAnsi" w:hAnsiTheme="minorHAnsi" w:cstheme="minorHAnsi"/>
          <w:b/>
          <w:bCs/>
          <w:color w:val="000000" w:themeColor="text1"/>
          <w:lang w:val="es-ES"/>
        </w:rPr>
        <w:t xml:space="preserve"> </w:t>
      </w:r>
      <w:r w:rsidR="00A303E5" w:rsidRPr="00A86C10">
        <w:rPr>
          <w:rFonts w:asciiTheme="minorHAnsi" w:hAnsiTheme="minorHAnsi" w:cstheme="minorHAnsi"/>
          <w:b/>
          <w:bCs/>
          <w:color w:val="000000" w:themeColor="text1"/>
          <w:lang w:val="es-ES"/>
        </w:rPr>
        <w:t>reconoció el estado de las cuotas a 31 de diciembre de 2020 presentado en el cuadro “Estado de las cuotas al 31 de diciembre de 2020”</w:t>
      </w:r>
      <w:r w:rsidR="0020739B" w:rsidRPr="00A86C10">
        <w:rPr>
          <w:rFonts w:cs="Calibri"/>
          <w:b/>
          <w:color w:val="000000" w:themeColor="text1"/>
          <w:shd w:val="clear" w:color="auto" w:fill="FAFAFA"/>
          <w:lang w:val="es-ES"/>
        </w:rPr>
        <w:t>.</w:t>
      </w:r>
      <w:r w:rsidR="0020739B" w:rsidRPr="00A86C10">
        <w:rPr>
          <w:rStyle w:val="FootnoteReference"/>
          <w:rFonts w:cs="Calibri"/>
          <w:b/>
          <w:color w:val="000000" w:themeColor="text1"/>
          <w:shd w:val="clear" w:color="auto" w:fill="FAFAFA"/>
          <w:lang w:val="es-ES"/>
        </w:rPr>
        <w:footnoteReference w:id="3"/>
      </w:r>
    </w:p>
    <w:p w14:paraId="37B52206" w14:textId="77777777" w:rsidR="0020739B" w:rsidRPr="00A86C10" w:rsidRDefault="0020739B" w:rsidP="0020739B">
      <w:pPr>
        <w:autoSpaceDE w:val="0"/>
        <w:autoSpaceDN w:val="0"/>
        <w:adjustRightInd w:val="0"/>
        <w:spacing w:after="0" w:line="240" w:lineRule="auto"/>
        <w:rPr>
          <w:rFonts w:asciiTheme="minorHAnsi" w:hAnsiTheme="minorHAnsi" w:cstheme="minorHAnsi"/>
          <w:b/>
          <w:bCs/>
          <w:color w:val="000000" w:themeColor="text1"/>
          <w:lang w:val="es-ES"/>
        </w:rPr>
      </w:pPr>
    </w:p>
    <w:p w14:paraId="4DCCEFC6" w14:textId="3B338BE4" w:rsidR="0020739B" w:rsidRPr="00A86C10" w:rsidRDefault="0020739B" w:rsidP="001C110B">
      <w:pPr>
        <w:keepNext/>
        <w:autoSpaceDE w:val="0"/>
        <w:autoSpaceDN w:val="0"/>
        <w:adjustRightInd w:val="0"/>
        <w:spacing w:after="0" w:line="240" w:lineRule="auto"/>
        <w:rPr>
          <w:rFonts w:asciiTheme="minorHAnsi" w:hAnsiTheme="minorHAnsi" w:cstheme="minorHAnsi"/>
          <w:bCs/>
          <w:color w:val="000000" w:themeColor="text1"/>
          <w:lang w:val="es-ES"/>
        </w:rPr>
      </w:pPr>
      <w:r w:rsidRPr="00A86C10">
        <w:rPr>
          <w:rFonts w:asciiTheme="minorHAnsi" w:hAnsiTheme="minorHAnsi" w:cstheme="minorHAnsi"/>
          <w:bCs/>
          <w:color w:val="000000" w:themeColor="text1"/>
          <w:lang w:val="es-ES"/>
        </w:rPr>
        <w:t xml:space="preserve">12 </w:t>
      </w:r>
      <w:r w:rsidR="00705573" w:rsidRPr="00A86C10">
        <w:rPr>
          <w:rFonts w:asciiTheme="minorHAnsi" w:hAnsiTheme="minorHAnsi" w:cstheme="minorHAnsi"/>
          <w:bCs/>
          <w:color w:val="000000" w:themeColor="text1"/>
          <w:lang w:val="es-ES"/>
        </w:rPr>
        <w:t xml:space="preserve">de febrero de </w:t>
      </w:r>
      <w:r w:rsidRPr="00A86C10">
        <w:rPr>
          <w:rFonts w:asciiTheme="minorHAnsi" w:hAnsiTheme="minorHAnsi" w:cstheme="minorHAnsi"/>
          <w:bCs/>
          <w:color w:val="000000" w:themeColor="text1"/>
          <w:lang w:val="es-ES"/>
        </w:rPr>
        <w:t>2021</w:t>
      </w:r>
      <w:r w:rsidR="001C110B" w:rsidRPr="00A86C10">
        <w:rPr>
          <w:rFonts w:asciiTheme="minorHAnsi" w:hAnsiTheme="minorHAnsi" w:cstheme="minorHAnsi"/>
          <w:bCs/>
          <w:color w:val="000000" w:themeColor="text1"/>
          <w:lang w:val="es-ES"/>
        </w:rPr>
        <w:t>:</w:t>
      </w:r>
    </w:p>
    <w:p w14:paraId="77E8A3B9" w14:textId="4D3D7A4E" w:rsidR="0020739B" w:rsidRPr="00A86C10" w:rsidRDefault="001C110B" w:rsidP="0020739B">
      <w:pPr>
        <w:autoSpaceDE w:val="0"/>
        <w:autoSpaceDN w:val="0"/>
        <w:adjustRightInd w:val="0"/>
        <w:spacing w:after="0" w:line="240" w:lineRule="auto"/>
        <w:rPr>
          <w:rFonts w:asciiTheme="minorHAnsi" w:hAnsiTheme="minorHAnsi" w:cstheme="minorHAnsi"/>
          <w:bCs/>
          <w:color w:val="000000" w:themeColor="text1"/>
          <w:lang w:val="es-ES"/>
        </w:rPr>
      </w:pPr>
      <w:r w:rsidRPr="00A86C10">
        <w:rPr>
          <w:rFonts w:asciiTheme="minorHAnsi" w:hAnsiTheme="minorHAnsi" w:cstheme="minorHAnsi"/>
          <w:bCs/>
          <w:color w:val="000000" w:themeColor="text1"/>
          <w:lang w:val="es-ES"/>
        </w:rPr>
        <w:t xml:space="preserve"> </w:t>
      </w:r>
    </w:p>
    <w:p w14:paraId="32DDE386" w14:textId="3EE3270C" w:rsidR="0020739B" w:rsidRPr="00A86C10" w:rsidRDefault="00197505" w:rsidP="0020739B">
      <w:pPr>
        <w:autoSpaceDE w:val="0"/>
        <w:autoSpaceDN w:val="0"/>
        <w:adjustRightInd w:val="0"/>
        <w:spacing w:after="0" w:line="240" w:lineRule="auto"/>
        <w:rPr>
          <w:rFonts w:asciiTheme="minorHAnsi" w:hAnsiTheme="minorHAnsi" w:cstheme="minorHAnsi"/>
          <w:b/>
          <w:bCs/>
          <w:color w:val="000000" w:themeColor="text1"/>
          <w:lang w:val="es-ES"/>
        </w:rPr>
      </w:pPr>
      <w:r w:rsidRPr="00A86C10">
        <w:rPr>
          <w:rFonts w:asciiTheme="minorHAnsi" w:hAnsiTheme="minorHAnsi" w:cstheme="minorHAnsi"/>
          <w:b/>
          <w:bCs/>
          <w:lang w:val="es-ES"/>
        </w:rPr>
        <w:t xml:space="preserve">Decisión 05 </w:t>
      </w:r>
      <w:r w:rsidRPr="00A86C10">
        <w:rPr>
          <w:rFonts w:asciiTheme="minorHAnsi" w:hAnsiTheme="minorHAnsi" w:cstheme="minorHAnsi"/>
          <w:b/>
          <w:bCs/>
          <w:color w:val="000000" w:themeColor="text1"/>
          <w:lang w:val="es-ES"/>
        </w:rPr>
        <w:t xml:space="preserve">entre períodos de sesiones </w:t>
      </w:r>
      <w:r w:rsidRPr="00A86C10">
        <w:rPr>
          <w:rFonts w:asciiTheme="minorHAnsi" w:hAnsiTheme="minorHAnsi" w:cstheme="minorHAnsi"/>
          <w:b/>
          <w:bCs/>
          <w:lang w:val="es-ES"/>
        </w:rPr>
        <w:t>tras la reunión SC58</w:t>
      </w:r>
      <w:r w:rsidR="0020739B" w:rsidRPr="00A86C10">
        <w:rPr>
          <w:rFonts w:asciiTheme="minorHAnsi" w:hAnsiTheme="minorHAnsi" w:cstheme="minorHAnsi"/>
          <w:b/>
          <w:bCs/>
          <w:color w:val="000000" w:themeColor="text1"/>
          <w:lang w:val="es-ES"/>
        </w:rPr>
        <w:t xml:space="preserve">: </w:t>
      </w:r>
      <w:r w:rsidR="00A303E5" w:rsidRPr="00A86C10">
        <w:rPr>
          <w:rFonts w:asciiTheme="minorHAnsi" w:hAnsiTheme="minorHAnsi" w:cstheme="minorHAnsi"/>
          <w:b/>
          <w:bCs/>
          <w:color w:val="000000" w:themeColor="text1"/>
          <w:lang w:val="es-ES"/>
        </w:rPr>
        <w:t>El Comité Permanente</w:t>
      </w:r>
      <w:r w:rsidR="0020739B" w:rsidRPr="00A86C10">
        <w:rPr>
          <w:rFonts w:asciiTheme="minorHAnsi" w:hAnsiTheme="minorHAnsi" w:cstheme="minorHAnsi"/>
          <w:b/>
          <w:bCs/>
          <w:color w:val="000000" w:themeColor="text1"/>
          <w:lang w:val="es-ES"/>
        </w:rPr>
        <w:t xml:space="preserve"> ap</w:t>
      </w:r>
      <w:r w:rsidR="00705573" w:rsidRPr="00A86C10">
        <w:rPr>
          <w:rFonts w:asciiTheme="minorHAnsi" w:hAnsiTheme="minorHAnsi" w:cstheme="minorHAnsi"/>
          <w:b/>
          <w:bCs/>
          <w:color w:val="000000" w:themeColor="text1"/>
          <w:lang w:val="es-ES"/>
        </w:rPr>
        <w:t>rueba la asignación de los 10 000 francos suizos presupuestados restantes de la propuesta original de 25 000 francos suizos a dos de las cuatro iniciativas regionales de Ramsar candidatas en el contexto de la Decisión SC58-28 para sus actividades en 20</w:t>
      </w:r>
      <w:r w:rsidR="0020739B" w:rsidRPr="00A86C10">
        <w:rPr>
          <w:rFonts w:asciiTheme="minorHAnsi" w:hAnsiTheme="minorHAnsi" w:cstheme="minorHAnsi"/>
          <w:b/>
          <w:bCs/>
          <w:color w:val="000000" w:themeColor="text1"/>
          <w:lang w:val="es-ES"/>
        </w:rPr>
        <w:t>20,</w:t>
      </w:r>
      <w:r w:rsidR="00705573" w:rsidRPr="00A86C10">
        <w:rPr>
          <w:rFonts w:asciiTheme="minorHAnsi" w:hAnsiTheme="minorHAnsi" w:cstheme="minorHAnsi"/>
          <w:b/>
          <w:bCs/>
          <w:color w:val="000000" w:themeColor="text1"/>
          <w:lang w:val="es-ES"/>
        </w:rPr>
        <w:t xml:space="preserve"> con cargo a la partida D del presupuesto básico “Apoyo a las iniciativas regionales”. Las dos iniciativas son las Iniciativa Regional de Ramsar para Asia Central y la Iniciativa Regional Indobirmana de Ramsar</w:t>
      </w:r>
      <w:r w:rsidR="0020739B" w:rsidRPr="00A86C10">
        <w:rPr>
          <w:rFonts w:asciiTheme="minorHAnsi" w:hAnsiTheme="minorHAnsi" w:cstheme="minorHAnsi"/>
          <w:b/>
          <w:bCs/>
          <w:color w:val="000000" w:themeColor="text1"/>
          <w:lang w:val="es-ES"/>
        </w:rPr>
        <w:t>.</w:t>
      </w:r>
      <w:r w:rsidR="00F44FAF" w:rsidRPr="00A86C10">
        <w:rPr>
          <w:rStyle w:val="FootnoteReference"/>
          <w:rFonts w:asciiTheme="minorHAnsi" w:hAnsiTheme="minorHAnsi" w:cstheme="minorHAnsi"/>
          <w:b/>
          <w:bCs/>
          <w:color w:val="000000" w:themeColor="text1"/>
          <w:lang w:val="es-ES"/>
        </w:rPr>
        <w:footnoteReference w:id="4"/>
      </w:r>
    </w:p>
    <w:p w14:paraId="749E8EFD" w14:textId="77777777" w:rsidR="0020739B" w:rsidRPr="00A86C10" w:rsidRDefault="0020739B" w:rsidP="0020739B">
      <w:pPr>
        <w:autoSpaceDE w:val="0"/>
        <w:autoSpaceDN w:val="0"/>
        <w:adjustRightInd w:val="0"/>
        <w:spacing w:after="0" w:line="240" w:lineRule="auto"/>
        <w:rPr>
          <w:rFonts w:asciiTheme="minorHAnsi" w:hAnsiTheme="minorHAnsi" w:cstheme="minorHAnsi"/>
          <w:b/>
          <w:bCs/>
          <w:color w:val="000000" w:themeColor="text1"/>
          <w:lang w:val="es-ES"/>
        </w:rPr>
      </w:pPr>
    </w:p>
    <w:p w14:paraId="01E07CAB" w14:textId="1C6C3B6D" w:rsidR="0020739B" w:rsidRPr="00A86C10" w:rsidRDefault="0020739B" w:rsidP="0020739B">
      <w:pPr>
        <w:keepNext/>
        <w:autoSpaceDE w:val="0"/>
        <w:autoSpaceDN w:val="0"/>
        <w:adjustRightInd w:val="0"/>
        <w:spacing w:after="0" w:line="240" w:lineRule="auto"/>
        <w:rPr>
          <w:rFonts w:asciiTheme="minorHAnsi" w:hAnsiTheme="minorHAnsi" w:cstheme="minorHAnsi"/>
          <w:bCs/>
          <w:color w:val="000000" w:themeColor="text1"/>
          <w:lang w:val="es-ES"/>
        </w:rPr>
      </w:pPr>
      <w:r w:rsidRPr="00A86C10">
        <w:rPr>
          <w:rFonts w:asciiTheme="minorHAnsi" w:hAnsiTheme="minorHAnsi" w:cstheme="minorHAnsi"/>
          <w:bCs/>
          <w:color w:val="000000" w:themeColor="text1"/>
          <w:lang w:val="es-ES"/>
        </w:rPr>
        <w:t xml:space="preserve">18 </w:t>
      </w:r>
      <w:r w:rsidR="00705573" w:rsidRPr="00A86C10">
        <w:rPr>
          <w:rFonts w:asciiTheme="minorHAnsi" w:hAnsiTheme="minorHAnsi" w:cstheme="minorHAnsi"/>
          <w:bCs/>
          <w:color w:val="000000" w:themeColor="text1"/>
          <w:lang w:val="es-ES"/>
        </w:rPr>
        <w:t xml:space="preserve">de febrero de </w:t>
      </w:r>
      <w:r w:rsidRPr="00A86C10">
        <w:rPr>
          <w:rFonts w:asciiTheme="minorHAnsi" w:hAnsiTheme="minorHAnsi" w:cstheme="minorHAnsi"/>
          <w:bCs/>
          <w:color w:val="000000" w:themeColor="text1"/>
          <w:lang w:val="es-ES"/>
        </w:rPr>
        <w:t>2021</w:t>
      </w:r>
      <w:r w:rsidR="001C110B" w:rsidRPr="00A86C10">
        <w:rPr>
          <w:rFonts w:asciiTheme="minorHAnsi" w:hAnsiTheme="minorHAnsi" w:cstheme="minorHAnsi"/>
          <w:bCs/>
          <w:color w:val="000000" w:themeColor="text1"/>
          <w:lang w:val="es-ES"/>
        </w:rPr>
        <w:t>:</w:t>
      </w:r>
    </w:p>
    <w:p w14:paraId="48A5B1D9" w14:textId="77777777" w:rsidR="001C110B" w:rsidRPr="00A86C10" w:rsidRDefault="001C110B" w:rsidP="0020739B">
      <w:pPr>
        <w:autoSpaceDE w:val="0"/>
        <w:autoSpaceDN w:val="0"/>
        <w:adjustRightInd w:val="0"/>
        <w:spacing w:after="0" w:line="240" w:lineRule="auto"/>
        <w:rPr>
          <w:rFonts w:cs="Arial"/>
          <w:color w:val="000000" w:themeColor="text1"/>
          <w:lang w:val="es-ES"/>
        </w:rPr>
      </w:pPr>
    </w:p>
    <w:p w14:paraId="1C20A6E7" w14:textId="79A78C6F" w:rsidR="0020739B" w:rsidRPr="00A86C10" w:rsidRDefault="00197505" w:rsidP="0020739B">
      <w:pPr>
        <w:autoSpaceDE w:val="0"/>
        <w:autoSpaceDN w:val="0"/>
        <w:adjustRightInd w:val="0"/>
        <w:spacing w:after="0" w:line="240" w:lineRule="auto"/>
        <w:rPr>
          <w:rFonts w:asciiTheme="minorHAnsi" w:hAnsiTheme="minorHAnsi" w:cstheme="minorHAnsi"/>
          <w:b/>
          <w:bCs/>
          <w:color w:val="000000" w:themeColor="text1"/>
          <w:lang w:val="es-ES"/>
        </w:rPr>
      </w:pPr>
      <w:r w:rsidRPr="00A86C10">
        <w:rPr>
          <w:rFonts w:asciiTheme="minorHAnsi" w:hAnsiTheme="minorHAnsi" w:cstheme="minorHAnsi"/>
          <w:b/>
          <w:bCs/>
          <w:lang w:val="es-ES"/>
        </w:rPr>
        <w:t xml:space="preserve">Decisión 06 </w:t>
      </w:r>
      <w:r w:rsidRPr="00A86C10">
        <w:rPr>
          <w:rFonts w:asciiTheme="minorHAnsi" w:hAnsiTheme="minorHAnsi" w:cstheme="minorHAnsi"/>
          <w:b/>
          <w:bCs/>
          <w:color w:val="000000" w:themeColor="text1"/>
          <w:lang w:val="es-ES"/>
        </w:rPr>
        <w:t xml:space="preserve">entre períodos de sesiones </w:t>
      </w:r>
      <w:r w:rsidRPr="00A86C10">
        <w:rPr>
          <w:rFonts w:asciiTheme="minorHAnsi" w:hAnsiTheme="minorHAnsi" w:cstheme="minorHAnsi"/>
          <w:b/>
          <w:bCs/>
          <w:lang w:val="es-ES"/>
        </w:rPr>
        <w:t>tras la reunión SC58</w:t>
      </w:r>
      <w:r w:rsidR="0020739B" w:rsidRPr="00A86C10">
        <w:rPr>
          <w:rFonts w:asciiTheme="minorHAnsi" w:hAnsiTheme="minorHAnsi" w:cstheme="minorHAnsi"/>
          <w:b/>
          <w:bCs/>
          <w:color w:val="000000" w:themeColor="text1"/>
          <w:lang w:val="es-ES"/>
        </w:rPr>
        <w:t xml:space="preserve">: </w:t>
      </w:r>
      <w:r w:rsidR="00A303E5" w:rsidRPr="00A86C10">
        <w:rPr>
          <w:rFonts w:asciiTheme="minorHAnsi" w:hAnsiTheme="minorHAnsi" w:cstheme="minorHAnsi"/>
          <w:b/>
          <w:bCs/>
          <w:color w:val="000000" w:themeColor="text1"/>
          <w:lang w:val="es-ES"/>
        </w:rPr>
        <w:t>El Comité Permanente</w:t>
      </w:r>
      <w:r w:rsidR="0020739B" w:rsidRPr="00A86C10">
        <w:rPr>
          <w:rFonts w:asciiTheme="minorHAnsi" w:hAnsiTheme="minorHAnsi" w:cstheme="minorHAnsi"/>
          <w:b/>
          <w:bCs/>
          <w:color w:val="000000" w:themeColor="text1"/>
          <w:lang w:val="es-ES"/>
        </w:rPr>
        <w:t xml:space="preserve"> </w:t>
      </w:r>
      <w:r w:rsidR="00705573" w:rsidRPr="00A86C10">
        <w:rPr>
          <w:rFonts w:asciiTheme="minorHAnsi" w:hAnsiTheme="minorHAnsi" w:cstheme="minorHAnsi"/>
          <w:b/>
          <w:bCs/>
          <w:color w:val="000000" w:themeColor="text1"/>
          <w:lang w:val="es-ES"/>
        </w:rPr>
        <w:t xml:space="preserve">aprobó la celebración de la reunión </w:t>
      </w:r>
      <w:r w:rsidR="0020739B" w:rsidRPr="00A86C10">
        <w:rPr>
          <w:rFonts w:asciiTheme="minorHAnsi" w:hAnsiTheme="minorHAnsi" w:cstheme="minorHAnsi"/>
          <w:b/>
          <w:bCs/>
          <w:color w:val="000000" w:themeColor="text1"/>
          <w:lang w:val="es-ES"/>
        </w:rPr>
        <w:t xml:space="preserve">SC59 </w:t>
      </w:r>
      <w:r w:rsidR="00705573" w:rsidRPr="00A86C10">
        <w:rPr>
          <w:rFonts w:asciiTheme="minorHAnsi" w:hAnsiTheme="minorHAnsi" w:cstheme="minorHAnsi"/>
          <w:b/>
          <w:bCs/>
          <w:color w:val="000000" w:themeColor="text1"/>
          <w:lang w:val="es-ES"/>
        </w:rPr>
        <w:t>en Gland (Suiza) los días 21 a 25 de junio de 2021</w:t>
      </w:r>
      <w:r w:rsidR="0020739B" w:rsidRPr="00A86C10">
        <w:rPr>
          <w:rFonts w:asciiTheme="minorHAnsi" w:hAnsiTheme="minorHAnsi" w:cstheme="minorHAnsi"/>
          <w:b/>
          <w:bCs/>
          <w:color w:val="000000" w:themeColor="text1"/>
          <w:lang w:val="es-ES"/>
        </w:rPr>
        <w:t>.</w:t>
      </w:r>
    </w:p>
    <w:p w14:paraId="2BAFA9F6" w14:textId="77777777" w:rsidR="0020739B" w:rsidRPr="00A86C10" w:rsidRDefault="0020739B" w:rsidP="0020739B">
      <w:pPr>
        <w:autoSpaceDE w:val="0"/>
        <w:autoSpaceDN w:val="0"/>
        <w:adjustRightInd w:val="0"/>
        <w:spacing w:after="0" w:line="240" w:lineRule="auto"/>
        <w:rPr>
          <w:rFonts w:asciiTheme="minorHAnsi" w:hAnsiTheme="minorHAnsi" w:cstheme="minorHAnsi"/>
          <w:b/>
          <w:bCs/>
          <w:color w:val="000000" w:themeColor="text1"/>
          <w:lang w:val="es-ES"/>
        </w:rPr>
      </w:pPr>
    </w:p>
    <w:p w14:paraId="0D180522" w14:textId="29D2F268" w:rsidR="0020739B" w:rsidRPr="00A86C10" w:rsidRDefault="00197505" w:rsidP="0020739B">
      <w:pPr>
        <w:autoSpaceDE w:val="0"/>
        <w:autoSpaceDN w:val="0"/>
        <w:adjustRightInd w:val="0"/>
        <w:spacing w:after="0" w:line="240" w:lineRule="auto"/>
        <w:rPr>
          <w:rFonts w:asciiTheme="minorHAnsi" w:hAnsiTheme="minorHAnsi" w:cstheme="minorHAnsi"/>
          <w:b/>
          <w:bCs/>
          <w:color w:val="000000" w:themeColor="text1"/>
          <w:lang w:val="es-ES"/>
        </w:rPr>
      </w:pPr>
      <w:r w:rsidRPr="00A86C10">
        <w:rPr>
          <w:rFonts w:asciiTheme="minorHAnsi" w:hAnsiTheme="minorHAnsi" w:cstheme="minorHAnsi"/>
          <w:b/>
          <w:bCs/>
          <w:lang w:val="es-ES"/>
        </w:rPr>
        <w:t xml:space="preserve">Decisión 07 </w:t>
      </w:r>
      <w:r w:rsidRPr="00A86C10">
        <w:rPr>
          <w:rFonts w:asciiTheme="minorHAnsi" w:hAnsiTheme="minorHAnsi" w:cstheme="minorHAnsi"/>
          <w:b/>
          <w:bCs/>
          <w:color w:val="000000" w:themeColor="text1"/>
          <w:lang w:val="es-ES"/>
        </w:rPr>
        <w:t xml:space="preserve">entre períodos de sesiones </w:t>
      </w:r>
      <w:r w:rsidRPr="00A86C10">
        <w:rPr>
          <w:rFonts w:asciiTheme="minorHAnsi" w:hAnsiTheme="minorHAnsi" w:cstheme="minorHAnsi"/>
          <w:b/>
          <w:bCs/>
          <w:lang w:val="es-ES"/>
        </w:rPr>
        <w:t>tras la reunión SC58</w:t>
      </w:r>
      <w:r w:rsidR="0020739B" w:rsidRPr="00A86C10">
        <w:rPr>
          <w:rFonts w:asciiTheme="minorHAnsi" w:hAnsiTheme="minorHAnsi" w:cstheme="minorHAnsi"/>
          <w:b/>
          <w:bCs/>
          <w:color w:val="000000" w:themeColor="text1"/>
          <w:lang w:val="es-ES"/>
        </w:rPr>
        <w:t xml:space="preserve">: </w:t>
      </w:r>
      <w:r w:rsidR="00A303E5" w:rsidRPr="00A86C10">
        <w:rPr>
          <w:rFonts w:asciiTheme="minorHAnsi" w:hAnsiTheme="minorHAnsi" w:cstheme="minorHAnsi"/>
          <w:b/>
          <w:bCs/>
          <w:color w:val="000000" w:themeColor="text1"/>
          <w:lang w:val="es-ES"/>
        </w:rPr>
        <w:t>El Comité Permanente</w:t>
      </w:r>
      <w:r w:rsidR="0020739B" w:rsidRPr="00A86C10">
        <w:rPr>
          <w:rFonts w:asciiTheme="minorHAnsi" w:hAnsiTheme="minorHAnsi" w:cstheme="minorHAnsi"/>
          <w:b/>
          <w:bCs/>
          <w:color w:val="000000" w:themeColor="text1"/>
          <w:lang w:val="es-ES"/>
        </w:rPr>
        <w:t xml:space="preserve"> </w:t>
      </w:r>
      <w:r w:rsidR="00705573" w:rsidRPr="00A86C10">
        <w:rPr>
          <w:rFonts w:asciiTheme="minorHAnsi" w:hAnsiTheme="minorHAnsi" w:cstheme="minorHAnsi"/>
          <w:b/>
          <w:bCs/>
          <w:color w:val="000000" w:themeColor="text1"/>
          <w:lang w:val="es-ES"/>
        </w:rPr>
        <w:t xml:space="preserve">aprobó, en lo que respecta a los Premios Ramsar a la Conservación de los Humedales, la utilización de los criterios y el procedimiento aplicados durante el trienio </w:t>
      </w:r>
      <w:r w:rsidR="0020739B" w:rsidRPr="00A86C10">
        <w:rPr>
          <w:rFonts w:asciiTheme="minorHAnsi" w:hAnsiTheme="minorHAnsi" w:cstheme="minorHAnsi"/>
          <w:b/>
          <w:bCs/>
          <w:color w:val="000000" w:themeColor="text1"/>
          <w:lang w:val="es-ES"/>
        </w:rPr>
        <w:t xml:space="preserve">2016-2018 </w:t>
      </w:r>
      <w:r w:rsidR="00705573" w:rsidRPr="00A86C10">
        <w:rPr>
          <w:rFonts w:asciiTheme="minorHAnsi" w:hAnsiTheme="minorHAnsi" w:cstheme="minorHAnsi"/>
          <w:b/>
          <w:bCs/>
          <w:color w:val="000000" w:themeColor="text1"/>
          <w:lang w:val="es-ES"/>
        </w:rPr>
        <w:t xml:space="preserve">para seleccionar a los ganadores para la </w:t>
      </w:r>
      <w:r w:rsidR="0020739B" w:rsidRPr="00A86C10">
        <w:rPr>
          <w:rFonts w:asciiTheme="minorHAnsi" w:hAnsiTheme="minorHAnsi" w:cstheme="minorHAnsi"/>
          <w:b/>
          <w:bCs/>
          <w:color w:val="000000" w:themeColor="text1"/>
          <w:lang w:val="es-ES"/>
        </w:rPr>
        <w:t>COP14.</w:t>
      </w:r>
    </w:p>
    <w:p w14:paraId="6D8996C1" w14:textId="77777777" w:rsidR="0020739B" w:rsidRPr="00A86C10" w:rsidRDefault="0020739B" w:rsidP="0020739B">
      <w:pPr>
        <w:autoSpaceDE w:val="0"/>
        <w:autoSpaceDN w:val="0"/>
        <w:adjustRightInd w:val="0"/>
        <w:spacing w:after="0" w:line="240" w:lineRule="auto"/>
        <w:rPr>
          <w:rFonts w:asciiTheme="minorHAnsi" w:hAnsiTheme="minorHAnsi" w:cstheme="minorHAnsi"/>
          <w:b/>
          <w:bCs/>
          <w:color w:val="000000" w:themeColor="text1"/>
          <w:lang w:val="es-ES"/>
        </w:rPr>
      </w:pPr>
    </w:p>
    <w:p w14:paraId="318DB242" w14:textId="4031E6B7" w:rsidR="0020739B" w:rsidRPr="00A86C10" w:rsidRDefault="0020739B" w:rsidP="0020739B">
      <w:pPr>
        <w:autoSpaceDE w:val="0"/>
        <w:autoSpaceDN w:val="0"/>
        <w:adjustRightInd w:val="0"/>
        <w:spacing w:after="0" w:line="240" w:lineRule="auto"/>
        <w:rPr>
          <w:rFonts w:asciiTheme="minorHAnsi" w:hAnsiTheme="minorHAnsi" w:cstheme="minorHAnsi"/>
          <w:bCs/>
          <w:color w:val="000000" w:themeColor="text1"/>
          <w:lang w:val="es-ES"/>
        </w:rPr>
      </w:pPr>
      <w:r w:rsidRPr="00A86C10">
        <w:rPr>
          <w:rFonts w:asciiTheme="minorHAnsi" w:hAnsiTheme="minorHAnsi" w:cstheme="minorHAnsi"/>
          <w:bCs/>
          <w:color w:val="000000" w:themeColor="text1"/>
          <w:lang w:val="es-ES"/>
        </w:rPr>
        <w:t xml:space="preserve">26 </w:t>
      </w:r>
      <w:r w:rsidR="00705573" w:rsidRPr="00A86C10">
        <w:rPr>
          <w:rFonts w:asciiTheme="minorHAnsi" w:hAnsiTheme="minorHAnsi" w:cstheme="minorHAnsi"/>
          <w:bCs/>
          <w:color w:val="000000" w:themeColor="text1"/>
          <w:lang w:val="es-ES"/>
        </w:rPr>
        <w:t xml:space="preserve">de febrero de </w:t>
      </w:r>
      <w:r w:rsidRPr="00A86C10">
        <w:rPr>
          <w:rFonts w:asciiTheme="minorHAnsi" w:hAnsiTheme="minorHAnsi" w:cstheme="minorHAnsi"/>
          <w:bCs/>
          <w:color w:val="000000" w:themeColor="text1"/>
          <w:lang w:val="es-ES"/>
        </w:rPr>
        <w:t>2021</w:t>
      </w:r>
      <w:r w:rsidR="00067535" w:rsidRPr="00A86C10">
        <w:rPr>
          <w:rFonts w:asciiTheme="minorHAnsi" w:hAnsiTheme="minorHAnsi" w:cstheme="minorHAnsi"/>
          <w:bCs/>
          <w:color w:val="000000" w:themeColor="text1"/>
          <w:lang w:val="es-ES"/>
        </w:rPr>
        <w:t>:</w:t>
      </w:r>
    </w:p>
    <w:p w14:paraId="23FC6B30" w14:textId="77777777" w:rsidR="0020739B" w:rsidRPr="00A86C10" w:rsidRDefault="0020739B" w:rsidP="0020739B">
      <w:pPr>
        <w:autoSpaceDE w:val="0"/>
        <w:autoSpaceDN w:val="0"/>
        <w:adjustRightInd w:val="0"/>
        <w:spacing w:after="0" w:line="240" w:lineRule="auto"/>
        <w:rPr>
          <w:rFonts w:asciiTheme="minorHAnsi" w:hAnsiTheme="minorHAnsi" w:cstheme="minorHAnsi"/>
          <w:bCs/>
          <w:color w:val="000000" w:themeColor="text1"/>
          <w:lang w:val="es-ES"/>
        </w:rPr>
      </w:pPr>
    </w:p>
    <w:p w14:paraId="2CE3A3CF" w14:textId="28AA8992" w:rsidR="0020739B" w:rsidRPr="00A86C10" w:rsidRDefault="00197505" w:rsidP="0020739B">
      <w:pPr>
        <w:autoSpaceDE w:val="0"/>
        <w:autoSpaceDN w:val="0"/>
        <w:adjustRightInd w:val="0"/>
        <w:spacing w:after="0" w:line="240" w:lineRule="auto"/>
        <w:rPr>
          <w:rFonts w:asciiTheme="minorHAnsi" w:hAnsiTheme="minorHAnsi" w:cstheme="minorHAnsi"/>
          <w:b/>
          <w:bCs/>
          <w:color w:val="000000" w:themeColor="text1"/>
          <w:lang w:val="es-ES"/>
        </w:rPr>
      </w:pPr>
      <w:r w:rsidRPr="00A86C10">
        <w:rPr>
          <w:rFonts w:asciiTheme="minorHAnsi" w:hAnsiTheme="minorHAnsi" w:cstheme="minorHAnsi"/>
          <w:b/>
          <w:bCs/>
          <w:lang w:val="es-ES"/>
        </w:rPr>
        <w:t xml:space="preserve">Decisión 08 </w:t>
      </w:r>
      <w:r w:rsidRPr="00A86C10">
        <w:rPr>
          <w:rFonts w:asciiTheme="minorHAnsi" w:hAnsiTheme="minorHAnsi" w:cstheme="minorHAnsi"/>
          <w:b/>
          <w:bCs/>
          <w:color w:val="000000" w:themeColor="text1"/>
          <w:lang w:val="es-ES"/>
        </w:rPr>
        <w:t xml:space="preserve">entre períodos de sesiones </w:t>
      </w:r>
      <w:r w:rsidRPr="00A86C10">
        <w:rPr>
          <w:rFonts w:asciiTheme="minorHAnsi" w:hAnsiTheme="minorHAnsi" w:cstheme="minorHAnsi"/>
          <w:b/>
          <w:bCs/>
          <w:lang w:val="es-ES"/>
        </w:rPr>
        <w:t>tras la reunión SC58</w:t>
      </w:r>
      <w:r w:rsidR="0020739B" w:rsidRPr="00A86C10">
        <w:rPr>
          <w:rFonts w:asciiTheme="minorHAnsi" w:hAnsiTheme="minorHAnsi" w:cstheme="minorHAnsi"/>
          <w:b/>
          <w:bCs/>
          <w:color w:val="000000" w:themeColor="text1"/>
          <w:lang w:val="es-ES"/>
        </w:rPr>
        <w:t xml:space="preserve">: </w:t>
      </w:r>
      <w:r w:rsidR="00A303E5" w:rsidRPr="00A86C10">
        <w:rPr>
          <w:rFonts w:asciiTheme="minorHAnsi" w:hAnsiTheme="minorHAnsi" w:cstheme="minorHAnsi"/>
          <w:b/>
          <w:bCs/>
          <w:color w:val="000000" w:themeColor="text1"/>
          <w:lang w:val="es-ES"/>
        </w:rPr>
        <w:t>El Comité Permanente</w:t>
      </w:r>
      <w:r w:rsidR="0020739B" w:rsidRPr="00A86C10">
        <w:rPr>
          <w:rFonts w:asciiTheme="minorHAnsi" w:hAnsiTheme="minorHAnsi" w:cstheme="minorHAnsi"/>
          <w:b/>
          <w:bCs/>
          <w:color w:val="000000" w:themeColor="text1"/>
          <w:lang w:val="es-ES"/>
        </w:rPr>
        <w:t xml:space="preserve"> ap</w:t>
      </w:r>
      <w:r w:rsidR="00705573" w:rsidRPr="00A86C10">
        <w:rPr>
          <w:rFonts w:asciiTheme="minorHAnsi" w:hAnsiTheme="minorHAnsi" w:cstheme="minorHAnsi"/>
          <w:b/>
          <w:bCs/>
          <w:color w:val="000000" w:themeColor="text1"/>
          <w:lang w:val="es-ES"/>
        </w:rPr>
        <w:t xml:space="preserve">robó el orden del día de la COP14 con modificaciones propuestas por </w:t>
      </w:r>
      <w:r w:rsidR="00150C98" w:rsidRPr="00A86C10">
        <w:rPr>
          <w:rFonts w:asciiTheme="minorHAnsi" w:hAnsiTheme="minorHAnsi" w:cstheme="minorHAnsi"/>
          <w:b/>
          <w:bCs/>
          <w:color w:val="000000" w:themeColor="text1"/>
          <w:lang w:val="es-ES"/>
        </w:rPr>
        <w:t>miembros del Comité Permanente</w:t>
      </w:r>
      <w:r w:rsidR="0020739B" w:rsidRPr="00A86C10">
        <w:rPr>
          <w:rFonts w:asciiTheme="minorHAnsi" w:hAnsiTheme="minorHAnsi" w:cstheme="minorHAnsi"/>
          <w:b/>
          <w:bCs/>
          <w:color w:val="000000" w:themeColor="text1"/>
          <w:lang w:val="es-ES"/>
        </w:rPr>
        <w:t>.</w:t>
      </w:r>
      <w:r w:rsidR="0020739B" w:rsidRPr="00A86C10">
        <w:rPr>
          <w:rStyle w:val="FootnoteReference"/>
          <w:rFonts w:asciiTheme="minorHAnsi" w:hAnsiTheme="minorHAnsi" w:cstheme="minorHAnsi"/>
          <w:b/>
          <w:bCs/>
          <w:color w:val="000000" w:themeColor="text1"/>
          <w:lang w:val="es-ES"/>
        </w:rPr>
        <w:footnoteReference w:id="5"/>
      </w:r>
    </w:p>
    <w:p w14:paraId="341002EF" w14:textId="77777777" w:rsidR="0020739B" w:rsidRPr="00A86C10" w:rsidRDefault="0020739B" w:rsidP="0020739B">
      <w:pPr>
        <w:autoSpaceDE w:val="0"/>
        <w:autoSpaceDN w:val="0"/>
        <w:adjustRightInd w:val="0"/>
        <w:spacing w:after="0" w:line="240" w:lineRule="auto"/>
        <w:rPr>
          <w:rFonts w:asciiTheme="minorHAnsi" w:hAnsiTheme="minorHAnsi" w:cstheme="minorHAnsi"/>
          <w:b/>
          <w:bCs/>
          <w:color w:val="000000" w:themeColor="text1"/>
          <w:lang w:val="es-ES"/>
        </w:rPr>
      </w:pPr>
    </w:p>
    <w:p w14:paraId="538C38E6" w14:textId="30F6B834" w:rsidR="00067535" w:rsidRPr="00A86C10" w:rsidRDefault="00067535" w:rsidP="00067535">
      <w:pPr>
        <w:autoSpaceDE w:val="0"/>
        <w:autoSpaceDN w:val="0"/>
        <w:adjustRightInd w:val="0"/>
        <w:spacing w:after="0" w:line="240" w:lineRule="auto"/>
        <w:rPr>
          <w:rFonts w:asciiTheme="minorHAnsi" w:hAnsiTheme="minorHAnsi" w:cstheme="minorHAnsi"/>
          <w:bCs/>
          <w:lang w:val="es-ES"/>
        </w:rPr>
      </w:pPr>
      <w:r w:rsidRPr="00A86C10">
        <w:rPr>
          <w:rFonts w:asciiTheme="minorHAnsi" w:hAnsiTheme="minorHAnsi" w:cstheme="minorHAnsi"/>
          <w:bCs/>
          <w:lang w:val="es-ES"/>
        </w:rPr>
        <w:t xml:space="preserve">16 </w:t>
      </w:r>
      <w:r w:rsidR="00AF3EFC" w:rsidRPr="00A86C10">
        <w:rPr>
          <w:rFonts w:asciiTheme="minorHAnsi" w:hAnsiTheme="minorHAnsi" w:cstheme="minorHAnsi"/>
          <w:bCs/>
          <w:lang w:val="es-ES"/>
        </w:rPr>
        <w:t xml:space="preserve">de marzo de </w:t>
      </w:r>
      <w:r w:rsidRPr="00A86C10">
        <w:rPr>
          <w:rFonts w:asciiTheme="minorHAnsi" w:hAnsiTheme="minorHAnsi" w:cstheme="minorHAnsi"/>
          <w:bCs/>
          <w:lang w:val="es-ES"/>
        </w:rPr>
        <w:t>2021:</w:t>
      </w:r>
    </w:p>
    <w:p w14:paraId="456FA1FA" w14:textId="77777777" w:rsidR="00067535" w:rsidRPr="00A86C10" w:rsidRDefault="00067535" w:rsidP="00067535">
      <w:pPr>
        <w:autoSpaceDE w:val="0"/>
        <w:autoSpaceDN w:val="0"/>
        <w:adjustRightInd w:val="0"/>
        <w:spacing w:after="0" w:line="240" w:lineRule="auto"/>
        <w:rPr>
          <w:rFonts w:asciiTheme="minorHAnsi" w:hAnsiTheme="minorHAnsi" w:cstheme="minorHAnsi"/>
          <w:b/>
          <w:bCs/>
          <w:lang w:val="es-ES"/>
        </w:rPr>
      </w:pPr>
    </w:p>
    <w:p w14:paraId="66A5C62A" w14:textId="6301D24B" w:rsidR="00067535" w:rsidRPr="00AF3EFC" w:rsidRDefault="00197505" w:rsidP="00067535">
      <w:pPr>
        <w:autoSpaceDE w:val="0"/>
        <w:autoSpaceDN w:val="0"/>
        <w:adjustRightInd w:val="0"/>
        <w:spacing w:after="0" w:line="240" w:lineRule="auto"/>
        <w:rPr>
          <w:rFonts w:asciiTheme="minorHAnsi" w:hAnsiTheme="minorHAnsi" w:cstheme="minorHAnsi"/>
          <w:b/>
          <w:bCs/>
          <w:lang w:val="es-ES"/>
        </w:rPr>
      </w:pPr>
      <w:r w:rsidRPr="00A86C10">
        <w:rPr>
          <w:rFonts w:asciiTheme="minorHAnsi" w:hAnsiTheme="minorHAnsi" w:cstheme="minorHAnsi"/>
          <w:b/>
          <w:bCs/>
          <w:lang w:val="es-ES"/>
        </w:rPr>
        <w:t xml:space="preserve">Decisión 09 </w:t>
      </w:r>
      <w:r w:rsidRPr="00A86C10">
        <w:rPr>
          <w:rFonts w:asciiTheme="minorHAnsi" w:hAnsiTheme="minorHAnsi" w:cstheme="minorHAnsi"/>
          <w:b/>
          <w:bCs/>
          <w:color w:val="000000" w:themeColor="text1"/>
          <w:lang w:val="es-ES"/>
        </w:rPr>
        <w:t xml:space="preserve">entre períodos de sesiones </w:t>
      </w:r>
      <w:r w:rsidRPr="00A86C10">
        <w:rPr>
          <w:rFonts w:asciiTheme="minorHAnsi" w:hAnsiTheme="minorHAnsi" w:cstheme="minorHAnsi"/>
          <w:b/>
          <w:bCs/>
          <w:lang w:val="es-ES"/>
        </w:rPr>
        <w:t>tras la reunión SC58</w:t>
      </w:r>
      <w:r w:rsidR="00067535" w:rsidRPr="00A86C10">
        <w:rPr>
          <w:rFonts w:asciiTheme="minorHAnsi" w:hAnsiTheme="minorHAnsi" w:cstheme="minorHAnsi"/>
          <w:b/>
          <w:bCs/>
          <w:lang w:val="es-ES"/>
        </w:rPr>
        <w:t xml:space="preserve">: </w:t>
      </w:r>
      <w:r w:rsidR="00F44FAF" w:rsidRPr="00A86C10">
        <w:rPr>
          <w:b/>
          <w:bCs/>
          <w:lang w:val="es-ES"/>
        </w:rPr>
        <w:t>El Comité Permanente aprobó la asignación adicional de un máximo de 17 000 francos suizos de los fondos arrastrados de la partida presupuestaria “Servicios jurídicos” aprobada para 2020 para realizar un análisis financiero y de procedimiento de las opciones indicadas en el documento “</w:t>
      </w:r>
      <w:r w:rsidR="00F44FAF" w:rsidRPr="00A86C10">
        <w:rPr>
          <w:b/>
          <w:bCs/>
          <w:i/>
          <w:iCs/>
          <w:lang w:val="es-ES"/>
        </w:rPr>
        <w:t>Independent analysis on the legal status of the Secretariat of the Convention on Wetlands</w:t>
      </w:r>
      <w:r w:rsidR="00F44FAF" w:rsidRPr="00A86C10">
        <w:rPr>
          <w:b/>
          <w:bCs/>
          <w:lang w:val="es-ES"/>
        </w:rPr>
        <w:t>” [Análisis independiente de la condición jurídica de la Secretaría de la Convención sobre los Humedales] a fin de complementar el monto de 15 000 francos suizos asignados previamente según lo solicitó el Grupo de trabajo del Comité Permanente sobre la condición de observador, señalando no obstante que hubo opiniones divergentes en el Subgrupo respecto del momento y el nivel de financiación solicitado.</w:t>
      </w:r>
    </w:p>
    <w:p w14:paraId="654D5048" w14:textId="77777777" w:rsidR="0020739B" w:rsidRPr="00AF3EFC" w:rsidRDefault="0020739B" w:rsidP="0020739B">
      <w:pPr>
        <w:autoSpaceDE w:val="0"/>
        <w:autoSpaceDN w:val="0"/>
        <w:adjustRightInd w:val="0"/>
        <w:spacing w:after="0" w:line="240" w:lineRule="auto"/>
        <w:rPr>
          <w:rFonts w:asciiTheme="minorHAnsi" w:hAnsiTheme="minorHAnsi" w:cstheme="minorHAnsi"/>
          <w:b/>
          <w:bCs/>
          <w:color w:val="000000" w:themeColor="text1"/>
          <w:lang w:val="es-ES"/>
        </w:rPr>
      </w:pPr>
    </w:p>
    <w:p w14:paraId="1571FC31" w14:textId="2412D49B" w:rsidR="0020739B" w:rsidRPr="00333E69" w:rsidRDefault="00137665" w:rsidP="00DD4695">
      <w:pPr>
        <w:spacing w:after="0" w:line="240" w:lineRule="auto"/>
        <w:rPr>
          <w:rFonts w:asciiTheme="minorHAnsi" w:hAnsiTheme="minorHAnsi" w:cstheme="minorHAnsi"/>
          <w:bCs/>
          <w:color w:val="000000" w:themeColor="text1"/>
          <w:lang w:val="es-ES"/>
        </w:rPr>
      </w:pPr>
      <w:r w:rsidRPr="00333E69">
        <w:rPr>
          <w:rFonts w:asciiTheme="minorHAnsi" w:hAnsiTheme="minorHAnsi" w:cstheme="minorHAnsi"/>
          <w:bCs/>
          <w:color w:val="000000" w:themeColor="text1"/>
          <w:lang w:val="es-ES"/>
        </w:rPr>
        <w:t>29 de marzo de 2021:</w:t>
      </w:r>
    </w:p>
    <w:p w14:paraId="0172F8FB" w14:textId="43851453" w:rsidR="00137665" w:rsidRDefault="00137665" w:rsidP="00DD4695">
      <w:pPr>
        <w:spacing w:after="0" w:line="240" w:lineRule="auto"/>
        <w:rPr>
          <w:rFonts w:asciiTheme="minorHAnsi" w:hAnsiTheme="minorHAnsi" w:cstheme="minorHAnsi"/>
          <w:b/>
          <w:bCs/>
          <w:color w:val="000000" w:themeColor="text1"/>
          <w:lang w:val="es-ES"/>
        </w:rPr>
      </w:pPr>
    </w:p>
    <w:p w14:paraId="7085E2AE" w14:textId="634CE87F" w:rsidR="0020739B" w:rsidRDefault="00137665" w:rsidP="009A0BD4">
      <w:pPr>
        <w:autoSpaceDE w:val="0"/>
        <w:autoSpaceDN w:val="0"/>
        <w:adjustRightInd w:val="0"/>
        <w:spacing w:after="0" w:line="240" w:lineRule="auto"/>
        <w:rPr>
          <w:rFonts w:asciiTheme="minorHAnsi" w:hAnsiTheme="minorHAnsi" w:cstheme="minorHAnsi"/>
          <w:b/>
          <w:bCs/>
          <w:lang w:val="es-ES"/>
        </w:rPr>
      </w:pPr>
      <w:r w:rsidRPr="00A86C10">
        <w:rPr>
          <w:rFonts w:asciiTheme="minorHAnsi" w:hAnsiTheme="minorHAnsi" w:cstheme="minorHAnsi"/>
          <w:b/>
          <w:bCs/>
          <w:lang w:val="es-ES"/>
        </w:rPr>
        <w:t xml:space="preserve">Decisión </w:t>
      </w:r>
      <w:r>
        <w:rPr>
          <w:rFonts w:asciiTheme="minorHAnsi" w:hAnsiTheme="minorHAnsi" w:cstheme="minorHAnsi"/>
          <w:b/>
          <w:bCs/>
          <w:lang w:val="es-ES"/>
        </w:rPr>
        <w:t>10</w:t>
      </w:r>
      <w:r w:rsidRPr="00A86C10">
        <w:rPr>
          <w:rFonts w:asciiTheme="minorHAnsi" w:hAnsiTheme="minorHAnsi" w:cstheme="minorHAnsi"/>
          <w:b/>
          <w:bCs/>
          <w:lang w:val="es-ES"/>
        </w:rPr>
        <w:t xml:space="preserve"> </w:t>
      </w:r>
      <w:r w:rsidRPr="00137665">
        <w:rPr>
          <w:rFonts w:asciiTheme="minorHAnsi" w:hAnsiTheme="minorHAnsi" w:cstheme="minorHAnsi"/>
          <w:b/>
          <w:bCs/>
          <w:lang w:val="es-ES"/>
        </w:rPr>
        <w:t xml:space="preserve">entre períodos de sesiones </w:t>
      </w:r>
      <w:r w:rsidRPr="00A86C10">
        <w:rPr>
          <w:rFonts w:asciiTheme="minorHAnsi" w:hAnsiTheme="minorHAnsi" w:cstheme="minorHAnsi"/>
          <w:b/>
          <w:bCs/>
          <w:lang w:val="es-ES"/>
        </w:rPr>
        <w:t>tras la reunión SC58</w:t>
      </w:r>
      <w:r w:rsidRPr="00137665">
        <w:rPr>
          <w:rFonts w:asciiTheme="minorHAnsi" w:hAnsiTheme="minorHAnsi" w:cstheme="minorHAnsi"/>
          <w:b/>
          <w:bCs/>
          <w:lang w:val="es-ES"/>
        </w:rPr>
        <w:t>: El Comité Permanente aprobó el procedimiento para la preparación y el examen de los proyectos de resolución presentado en el documento modificado SC58 Doc.20.4 Rev.5, actualizado con comentarios que reflejan las contribuciones del grupo consultivo sobre el examen de las resoluciones y decisiones del Comité Permanente y las contribuciones de miembros del Comité Permanente.</w:t>
      </w:r>
      <w:r w:rsidR="009A0BD4">
        <w:rPr>
          <w:rStyle w:val="FootnoteReference"/>
          <w:rFonts w:asciiTheme="minorHAnsi" w:hAnsiTheme="minorHAnsi" w:cstheme="minorHAnsi"/>
          <w:b/>
          <w:bCs/>
          <w:lang w:val="es-ES"/>
        </w:rPr>
        <w:footnoteReference w:id="6"/>
      </w:r>
    </w:p>
    <w:p w14:paraId="18804CF8" w14:textId="075A19B5" w:rsidR="0059087B" w:rsidRDefault="0059087B" w:rsidP="009A0BD4">
      <w:pPr>
        <w:autoSpaceDE w:val="0"/>
        <w:autoSpaceDN w:val="0"/>
        <w:adjustRightInd w:val="0"/>
        <w:spacing w:after="0" w:line="240" w:lineRule="auto"/>
        <w:rPr>
          <w:rFonts w:asciiTheme="minorHAnsi" w:hAnsiTheme="minorHAnsi" w:cstheme="minorHAnsi"/>
          <w:b/>
          <w:bCs/>
          <w:lang w:val="es-ES"/>
        </w:rPr>
      </w:pPr>
    </w:p>
    <w:p w14:paraId="64A54069" w14:textId="104EFC40" w:rsidR="00333E69" w:rsidRPr="00333E69" w:rsidRDefault="00333E69" w:rsidP="00333E69">
      <w:pPr>
        <w:spacing w:after="0" w:line="240" w:lineRule="auto"/>
        <w:rPr>
          <w:rFonts w:asciiTheme="minorHAnsi" w:hAnsiTheme="minorHAnsi" w:cstheme="minorHAnsi"/>
          <w:bCs/>
          <w:color w:val="000000" w:themeColor="text1"/>
          <w:lang w:val="es-ES"/>
        </w:rPr>
      </w:pPr>
      <w:r w:rsidRPr="00333E69">
        <w:rPr>
          <w:rFonts w:asciiTheme="minorHAnsi" w:hAnsiTheme="minorHAnsi" w:cstheme="minorHAnsi"/>
          <w:bCs/>
          <w:color w:val="000000" w:themeColor="text1"/>
          <w:lang w:val="es-ES"/>
        </w:rPr>
        <w:lastRenderedPageBreak/>
        <w:t>2</w:t>
      </w:r>
      <w:r>
        <w:rPr>
          <w:rFonts w:asciiTheme="minorHAnsi" w:hAnsiTheme="minorHAnsi" w:cstheme="minorHAnsi"/>
          <w:bCs/>
          <w:color w:val="000000" w:themeColor="text1"/>
          <w:lang w:val="es-ES"/>
        </w:rPr>
        <w:t>0</w:t>
      </w:r>
      <w:r w:rsidRPr="00333E69">
        <w:rPr>
          <w:rFonts w:asciiTheme="minorHAnsi" w:hAnsiTheme="minorHAnsi" w:cstheme="minorHAnsi"/>
          <w:bCs/>
          <w:color w:val="000000" w:themeColor="text1"/>
          <w:lang w:val="es-ES"/>
        </w:rPr>
        <w:t xml:space="preserve"> de </w:t>
      </w:r>
      <w:r>
        <w:rPr>
          <w:rFonts w:asciiTheme="minorHAnsi" w:hAnsiTheme="minorHAnsi" w:cstheme="minorHAnsi"/>
          <w:bCs/>
          <w:color w:val="000000" w:themeColor="text1"/>
          <w:lang w:val="es-ES"/>
        </w:rPr>
        <w:t>mayo</w:t>
      </w:r>
      <w:r w:rsidRPr="00333E69">
        <w:rPr>
          <w:rFonts w:asciiTheme="minorHAnsi" w:hAnsiTheme="minorHAnsi" w:cstheme="minorHAnsi"/>
          <w:bCs/>
          <w:color w:val="000000" w:themeColor="text1"/>
          <w:lang w:val="es-ES"/>
        </w:rPr>
        <w:t xml:space="preserve"> de 2021:</w:t>
      </w:r>
    </w:p>
    <w:p w14:paraId="2698EE4D" w14:textId="77777777" w:rsidR="00333E69" w:rsidRPr="0059087B" w:rsidRDefault="00333E69" w:rsidP="009A0BD4">
      <w:pPr>
        <w:autoSpaceDE w:val="0"/>
        <w:autoSpaceDN w:val="0"/>
        <w:adjustRightInd w:val="0"/>
        <w:spacing w:after="0" w:line="240" w:lineRule="auto"/>
        <w:rPr>
          <w:rFonts w:asciiTheme="minorHAnsi" w:hAnsiTheme="minorHAnsi" w:cstheme="minorHAnsi"/>
          <w:b/>
          <w:bCs/>
          <w:lang w:val="es-ES"/>
        </w:rPr>
      </w:pPr>
    </w:p>
    <w:p w14:paraId="35EC7B0B" w14:textId="4C8201CD" w:rsidR="0059087B" w:rsidRPr="0059087B" w:rsidRDefault="0059087B" w:rsidP="00073C4A">
      <w:pPr>
        <w:pStyle w:val="NormalWeb"/>
        <w:spacing w:after="0"/>
        <w:rPr>
          <w:rFonts w:eastAsiaTheme="minorHAnsi"/>
          <w:b/>
          <w:i/>
          <w:sz w:val="22"/>
          <w:szCs w:val="22"/>
          <w:lang w:val="fr-FR"/>
        </w:rPr>
      </w:pPr>
      <w:r w:rsidRPr="0059087B">
        <w:rPr>
          <w:rFonts w:asciiTheme="minorHAnsi" w:hAnsiTheme="minorHAnsi" w:cstheme="minorHAnsi"/>
          <w:b/>
          <w:bCs/>
          <w:sz w:val="22"/>
          <w:szCs w:val="22"/>
          <w:lang w:val="es-ES"/>
        </w:rPr>
        <w:t>Decisión 1</w:t>
      </w:r>
      <w:r>
        <w:rPr>
          <w:rFonts w:asciiTheme="minorHAnsi" w:hAnsiTheme="minorHAnsi" w:cstheme="minorHAnsi"/>
          <w:b/>
          <w:bCs/>
          <w:sz w:val="22"/>
          <w:szCs w:val="22"/>
          <w:lang w:val="es-ES"/>
        </w:rPr>
        <w:t>1</w:t>
      </w:r>
      <w:r w:rsidRPr="0059087B">
        <w:rPr>
          <w:rFonts w:asciiTheme="minorHAnsi" w:hAnsiTheme="minorHAnsi" w:cstheme="minorHAnsi"/>
          <w:b/>
          <w:bCs/>
          <w:sz w:val="22"/>
          <w:szCs w:val="22"/>
          <w:lang w:val="es-ES"/>
        </w:rPr>
        <w:t xml:space="preserve"> entre períodos de sesiones tras la reunión SC58:</w:t>
      </w:r>
      <w:r w:rsidRPr="0059087B">
        <w:rPr>
          <w:rFonts w:asciiTheme="minorHAnsi" w:hAnsiTheme="minorHAnsi" w:cstheme="minorHAnsi"/>
          <w:b/>
          <w:bCs/>
          <w:i/>
          <w:sz w:val="22"/>
          <w:szCs w:val="22"/>
          <w:lang w:val="es-ES"/>
        </w:rPr>
        <w:t xml:space="preserve"> </w:t>
      </w:r>
      <w:r w:rsidRPr="0059087B">
        <w:rPr>
          <w:rStyle w:val="Emphasis"/>
          <w:rFonts w:ascii="Calibri" w:hAnsi="Calibri" w:cs="Calibri"/>
          <w:b/>
          <w:i w:val="0"/>
          <w:sz w:val="22"/>
          <w:szCs w:val="22"/>
          <w:lang w:val="fr-FR"/>
        </w:rPr>
        <w:t>El Comité Permanente encarga a la Secretaría que informe inmediatamente a las Partes Contratantes de que la 59ª reunión del Comité Permanente no se celebrará de manera presencial en junio de 2021, de que se está preparando un procedimiento para tratar cuestiones del orden del día de esa reunión, y de que se comunicará un nuevo calendario posible para la presentación de proyectos de resolución como parte del proceso revisado de preparación de la COP14.</w:t>
      </w:r>
    </w:p>
    <w:p w14:paraId="6C0FF85C" w14:textId="77777777" w:rsidR="00073C4A" w:rsidRDefault="00073C4A" w:rsidP="00073C4A">
      <w:pPr>
        <w:spacing w:after="0" w:line="240" w:lineRule="auto"/>
        <w:rPr>
          <w:rFonts w:asciiTheme="minorHAnsi" w:hAnsiTheme="minorHAnsi" w:cstheme="minorHAnsi"/>
          <w:bCs/>
          <w:color w:val="000000" w:themeColor="text1"/>
          <w:lang w:val="es-ES"/>
        </w:rPr>
      </w:pPr>
    </w:p>
    <w:p w14:paraId="466B1E7F" w14:textId="3A650B28" w:rsidR="00073C4A" w:rsidRPr="00333E69" w:rsidRDefault="00073C4A" w:rsidP="00073C4A">
      <w:pPr>
        <w:spacing w:after="0" w:line="240" w:lineRule="auto"/>
        <w:rPr>
          <w:rFonts w:asciiTheme="minorHAnsi" w:hAnsiTheme="minorHAnsi" w:cstheme="minorHAnsi"/>
          <w:bCs/>
          <w:color w:val="000000" w:themeColor="text1"/>
          <w:lang w:val="es-ES"/>
        </w:rPr>
      </w:pPr>
      <w:r w:rsidRPr="00333E69">
        <w:rPr>
          <w:rFonts w:asciiTheme="minorHAnsi" w:hAnsiTheme="minorHAnsi" w:cstheme="minorHAnsi"/>
          <w:bCs/>
          <w:color w:val="000000" w:themeColor="text1"/>
          <w:lang w:val="es-ES"/>
        </w:rPr>
        <w:t>2</w:t>
      </w:r>
      <w:r>
        <w:rPr>
          <w:rFonts w:asciiTheme="minorHAnsi" w:hAnsiTheme="minorHAnsi" w:cstheme="minorHAnsi"/>
          <w:bCs/>
          <w:color w:val="000000" w:themeColor="text1"/>
          <w:lang w:val="es-ES"/>
        </w:rPr>
        <w:t xml:space="preserve">7 </w:t>
      </w:r>
      <w:r w:rsidRPr="00333E69">
        <w:rPr>
          <w:rFonts w:asciiTheme="minorHAnsi" w:hAnsiTheme="minorHAnsi" w:cstheme="minorHAnsi"/>
          <w:bCs/>
          <w:color w:val="000000" w:themeColor="text1"/>
          <w:lang w:val="es-ES"/>
        </w:rPr>
        <w:t xml:space="preserve">de </w:t>
      </w:r>
      <w:r>
        <w:rPr>
          <w:rFonts w:asciiTheme="minorHAnsi" w:hAnsiTheme="minorHAnsi" w:cstheme="minorHAnsi"/>
          <w:bCs/>
          <w:color w:val="000000" w:themeColor="text1"/>
          <w:lang w:val="es-ES"/>
        </w:rPr>
        <w:t>mayo</w:t>
      </w:r>
      <w:r w:rsidRPr="00333E69">
        <w:rPr>
          <w:rFonts w:asciiTheme="minorHAnsi" w:hAnsiTheme="minorHAnsi" w:cstheme="minorHAnsi"/>
          <w:bCs/>
          <w:color w:val="000000" w:themeColor="text1"/>
          <w:lang w:val="es-ES"/>
        </w:rPr>
        <w:t xml:space="preserve"> de 2021:</w:t>
      </w:r>
    </w:p>
    <w:p w14:paraId="167DBD6A" w14:textId="49A9D1C0" w:rsidR="00073C4A" w:rsidRDefault="00073C4A" w:rsidP="00073C4A">
      <w:pPr>
        <w:autoSpaceDE w:val="0"/>
        <w:autoSpaceDN w:val="0"/>
        <w:adjustRightInd w:val="0"/>
        <w:spacing w:after="0" w:line="240" w:lineRule="auto"/>
        <w:rPr>
          <w:rFonts w:asciiTheme="minorHAnsi" w:hAnsiTheme="minorHAnsi" w:cstheme="minorHAnsi"/>
          <w:b/>
          <w:bCs/>
          <w:lang w:val="es-ES"/>
        </w:rPr>
      </w:pPr>
    </w:p>
    <w:p w14:paraId="57267849" w14:textId="77777777" w:rsidR="00073C4A" w:rsidRDefault="00073C4A" w:rsidP="00073C4A">
      <w:pPr>
        <w:spacing w:after="0" w:line="240" w:lineRule="auto"/>
        <w:rPr>
          <w:rFonts w:eastAsia="Malgun Gothic" w:cstheme="minorHAnsi"/>
          <w:b/>
          <w:lang w:val="es-ES"/>
        </w:rPr>
      </w:pPr>
      <w:r>
        <w:rPr>
          <w:rFonts w:eastAsia="Malgun Gothic" w:cstheme="minorHAnsi"/>
          <w:b/>
          <w:lang w:val="es-ES"/>
        </w:rPr>
        <w:t xml:space="preserve">Decisión 12 </w:t>
      </w:r>
      <w:r>
        <w:rPr>
          <w:rFonts w:asciiTheme="minorHAnsi" w:hAnsiTheme="minorHAnsi" w:cstheme="minorHAnsi"/>
          <w:b/>
          <w:bCs/>
          <w:lang w:val="es-ES"/>
        </w:rPr>
        <w:t xml:space="preserve">entre períodos de sesiones tras la reunión SC58: </w:t>
      </w:r>
      <w:r>
        <w:rPr>
          <w:rFonts w:eastAsia="Malgun Gothic" w:cstheme="minorHAnsi"/>
          <w:b/>
          <w:lang w:val="es-ES"/>
        </w:rPr>
        <w:t xml:space="preserve">El Comité Permanente toma nota de las consultas en curso del Subgrupo sobre la COP14 acerca de nuevas fechas para la COP14 en el cuarto trimestre de 2022. El Comité Permanente espera conocer las fechas de la COP14 lo antes posible.  </w:t>
      </w:r>
    </w:p>
    <w:p w14:paraId="2EE31F2D" w14:textId="049A9A38" w:rsidR="00073C4A" w:rsidRDefault="00073C4A" w:rsidP="00073C4A">
      <w:pPr>
        <w:spacing w:after="0" w:line="240" w:lineRule="auto"/>
        <w:rPr>
          <w:b/>
          <w:bCs/>
          <w:lang w:val="es-ES"/>
        </w:rPr>
      </w:pPr>
      <w:r>
        <w:rPr>
          <w:rFonts w:eastAsia="Malgun Gothic" w:cstheme="minorHAnsi"/>
          <w:b/>
          <w:lang w:val="es-ES"/>
        </w:rPr>
        <w:t xml:space="preserve"> </w:t>
      </w:r>
    </w:p>
    <w:p w14:paraId="5A2FD916" w14:textId="77777777" w:rsidR="00073C4A" w:rsidRDefault="00073C4A" w:rsidP="00073C4A">
      <w:pPr>
        <w:spacing w:after="0" w:line="240" w:lineRule="auto"/>
        <w:rPr>
          <w:rFonts w:eastAsia="Malgun Gothic" w:cstheme="minorHAnsi"/>
          <w:b/>
          <w:iCs/>
          <w:lang w:val="es-ES"/>
        </w:rPr>
      </w:pPr>
      <w:r>
        <w:rPr>
          <w:b/>
          <w:bCs/>
          <w:lang w:val="es-ES"/>
        </w:rPr>
        <w:t xml:space="preserve">Decisión 13 </w:t>
      </w:r>
      <w:r>
        <w:rPr>
          <w:rFonts w:asciiTheme="minorHAnsi" w:hAnsiTheme="minorHAnsi" w:cstheme="minorHAnsi"/>
          <w:b/>
          <w:bCs/>
          <w:lang w:val="es-ES"/>
        </w:rPr>
        <w:t xml:space="preserve">entre períodos de sesiones tras la reunión SC58: </w:t>
      </w:r>
      <w:r>
        <w:rPr>
          <w:rFonts w:eastAsia="Malgun Gothic" w:cstheme="minorHAnsi"/>
          <w:b/>
          <w:iCs/>
          <w:lang w:val="es-ES"/>
        </w:rPr>
        <w:t xml:space="preserve">El Comité Permanente encarga a la Secretaría que trabaje con el Equipo Ejecutivo para proponer: un procedimiento para determinar qué puntos del orden del día de la reunión SC59 son urgentes y deben abordarse entre sesiones (tales como el presupuesto y el plan de trabajo), qué asuntos se podrían aplazar, las reuniones regionales virtuales previas a la COP, una posible reunión presencial del Comité Permanente en 2022 y un posible nuevo calendario para la presentación de proyectos de resolución. Esta propuesta se presentará al Comité Permanente para que este la examine y tome una decisión al respecto. </w:t>
      </w:r>
    </w:p>
    <w:p w14:paraId="78A815BA" w14:textId="77777777" w:rsidR="00073C4A" w:rsidRDefault="00073C4A" w:rsidP="00073C4A">
      <w:pPr>
        <w:spacing w:after="0" w:line="240" w:lineRule="auto"/>
        <w:rPr>
          <w:b/>
          <w:bCs/>
          <w:lang w:val="es-ES"/>
        </w:rPr>
      </w:pPr>
    </w:p>
    <w:p w14:paraId="6356809F" w14:textId="77777777" w:rsidR="00073C4A" w:rsidRDefault="00073C4A" w:rsidP="00073C4A">
      <w:pPr>
        <w:spacing w:after="0" w:line="240" w:lineRule="auto"/>
        <w:rPr>
          <w:rFonts w:eastAsia="Malgun Gothic" w:cstheme="minorHAnsi"/>
          <w:b/>
          <w:iCs/>
          <w:lang w:val="es-ES"/>
        </w:rPr>
      </w:pPr>
      <w:r>
        <w:rPr>
          <w:b/>
          <w:bCs/>
          <w:lang w:val="es-ES"/>
        </w:rPr>
        <w:t xml:space="preserve">Decisión 14 </w:t>
      </w:r>
      <w:r>
        <w:rPr>
          <w:rFonts w:asciiTheme="minorHAnsi" w:hAnsiTheme="minorHAnsi" w:cstheme="minorHAnsi"/>
          <w:b/>
          <w:bCs/>
          <w:lang w:val="es-ES"/>
        </w:rPr>
        <w:t xml:space="preserve">entre períodos de sesiones tras la reunión SC58: </w:t>
      </w:r>
      <w:r>
        <w:rPr>
          <w:rFonts w:eastAsia="Malgun Gothic" w:cstheme="minorHAnsi"/>
          <w:b/>
          <w:iCs/>
          <w:lang w:val="es-ES"/>
        </w:rPr>
        <w:t>El Comité Permanente pide a la Secretaría que trabaje con el Equipo Ejecutivo para analizar los posibles aspectos jurídicos y consecuencias que puedan tener los cambios propuestos sobre otras cuestiones de gobernanza y proponer procedimientos para abordarlos.</w:t>
      </w:r>
    </w:p>
    <w:p w14:paraId="12E0A22C" w14:textId="77777777" w:rsidR="00073C4A" w:rsidRPr="0059087B" w:rsidRDefault="00073C4A" w:rsidP="00073C4A">
      <w:pPr>
        <w:autoSpaceDE w:val="0"/>
        <w:autoSpaceDN w:val="0"/>
        <w:adjustRightInd w:val="0"/>
        <w:spacing w:after="0" w:line="240" w:lineRule="auto"/>
        <w:rPr>
          <w:rFonts w:asciiTheme="minorHAnsi" w:hAnsiTheme="minorHAnsi" w:cstheme="minorHAnsi"/>
          <w:b/>
          <w:bCs/>
          <w:lang w:val="es-ES"/>
        </w:rPr>
      </w:pPr>
    </w:p>
    <w:p w14:paraId="0A7F9FFA" w14:textId="77777777" w:rsidR="0059087B" w:rsidRPr="009A0BD4" w:rsidRDefault="0059087B" w:rsidP="00073C4A">
      <w:pPr>
        <w:autoSpaceDE w:val="0"/>
        <w:autoSpaceDN w:val="0"/>
        <w:adjustRightInd w:val="0"/>
        <w:spacing w:after="0" w:line="240" w:lineRule="auto"/>
        <w:rPr>
          <w:rFonts w:asciiTheme="minorHAnsi" w:hAnsiTheme="minorHAnsi" w:cstheme="minorHAnsi"/>
          <w:b/>
          <w:bCs/>
          <w:lang w:val="es-ES"/>
        </w:rPr>
      </w:pPr>
    </w:p>
    <w:sectPr w:rsidR="0059087B" w:rsidRPr="009A0BD4" w:rsidSect="000B54B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772AC" w14:textId="77777777" w:rsidR="00792C0F" w:rsidRDefault="00792C0F" w:rsidP="00DF2386">
      <w:pPr>
        <w:spacing w:after="0" w:line="240" w:lineRule="auto"/>
      </w:pPr>
      <w:r>
        <w:separator/>
      </w:r>
    </w:p>
  </w:endnote>
  <w:endnote w:type="continuationSeparator" w:id="0">
    <w:p w14:paraId="409C983E" w14:textId="77777777" w:rsidR="00792C0F" w:rsidRDefault="00792C0F" w:rsidP="00DF2386">
      <w:pPr>
        <w:spacing w:after="0" w:line="240" w:lineRule="auto"/>
      </w:pPr>
      <w:r>
        <w:continuationSeparator/>
      </w:r>
    </w:p>
  </w:endnote>
  <w:endnote w:type="continuationNotice" w:id="1">
    <w:p w14:paraId="796FDB8D" w14:textId="77777777" w:rsidR="00792C0F" w:rsidRDefault="00792C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6F57C" w14:textId="77777777" w:rsidR="00166DB3" w:rsidRDefault="00166D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7AE6C" w14:textId="52FC6F16" w:rsidR="00724F9E" w:rsidRPr="00166DB3" w:rsidRDefault="00AF3EFC" w:rsidP="00DE2A73">
    <w:pPr>
      <w:pStyle w:val="Footer"/>
      <w:tabs>
        <w:tab w:val="clear" w:pos="4513"/>
      </w:tabs>
      <w:rPr>
        <w:sz w:val="20"/>
        <w:szCs w:val="20"/>
        <w:lang w:val="fr-FR"/>
      </w:rPr>
    </w:pPr>
    <w:r w:rsidRPr="00166DB3">
      <w:rPr>
        <w:rFonts w:cs="Arial"/>
        <w:sz w:val="20"/>
        <w:szCs w:val="20"/>
        <w:lang w:val="fr-FR"/>
      </w:rPr>
      <w:t xml:space="preserve">Decisiones entre períodos de sesiones del Comité Permanente, septiembre de </w:t>
    </w:r>
    <w:r w:rsidR="00DE2A73" w:rsidRPr="00166DB3">
      <w:rPr>
        <w:rFonts w:cs="Arial"/>
        <w:sz w:val="20"/>
        <w:szCs w:val="20"/>
        <w:lang w:val="fr-FR"/>
      </w:rPr>
      <w:t xml:space="preserve">2020 – </w:t>
    </w:r>
    <w:r w:rsidR="007B5BB2">
      <w:rPr>
        <w:rFonts w:cs="Arial"/>
        <w:sz w:val="20"/>
        <w:szCs w:val="20"/>
        <w:lang w:val="fr-FR"/>
      </w:rPr>
      <w:t>mayo</w:t>
    </w:r>
    <w:r w:rsidRPr="00166DB3">
      <w:rPr>
        <w:rFonts w:cs="Arial"/>
        <w:sz w:val="20"/>
        <w:szCs w:val="20"/>
        <w:lang w:val="fr-FR"/>
      </w:rPr>
      <w:t xml:space="preserve"> de 2021</w:t>
    </w:r>
    <w:r w:rsidR="00166DB3" w:rsidRPr="00166DB3">
      <w:rPr>
        <w:rFonts w:cs="Arial"/>
        <w:sz w:val="20"/>
        <w:szCs w:val="20"/>
        <w:lang w:val="fr-FR"/>
      </w:rPr>
      <w:tab/>
    </w:r>
    <w:r w:rsidR="00166DB3">
      <w:rPr>
        <w:rFonts w:cs="Arial"/>
        <w:sz w:val="20"/>
        <w:szCs w:val="20"/>
        <w:lang w:val="fr-FR"/>
      </w:rPr>
      <w:fldChar w:fldCharType="begin"/>
    </w:r>
    <w:r w:rsidR="00166DB3">
      <w:rPr>
        <w:rFonts w:cs="Arial"/>
        <w:sz w:val="20"/>
        <w:szCs w:val="20"/>
        <w:lang w:val="fr-FR"/>
      </w:rPr>
      <w:instrText xml:space="preserve"> PAGE  \* Arabic  \* MERGEFORMAT </w:instrText>
    </w:r>
    <w:r w:rsidR="00166DB3">
      <w:rPr>
        <w:rFonts w:cs="Arial"/>
        <w:sz w:val="20"/>
        <w:szCs w:val="20"/>
        <w:lang w:val="fr-FR"/>
      </w:rPr>
      <w:fldChar w:fldCharType="separate"/>
    </w:r>
    <w:r w:rsidR="00587F4D">
      <w:rPr>
        <w:rFonts w:cs="Arial"/>
        <w:noProof/>
        <w:sz w:val="20"/>
        <w:szCs w:val="20"/>
        <w:lang w:val="fr-FR"/>
      </w:rPr>
      <w:t>3</w:t>
    </w:r>
    <w:r w:rsidR="00166DB3">
      <w:rPr>
        <w:rFonts w:cs="Arial"/>
        <w:sz w:val="20"/>
        <w:szCs w:val="20"/>
        <w:lang w:val="fr-F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676C1" w14:textId="77777777" w:rsidR="00166DB3" w:rsidRDefault="00166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0A382" w14:textId="77777777" w:rsidR="00792C0F" w:rsidRDefault="00792C0F" w:rsidP="00DF2386">
      <w:pPr>
        <w:spacing w:after="0" w:line="240" w:lineRule="auto"/>
      </w:pPr>
      <w:r>
        <w:separator/>
      </w:r>
    </w:p>
  </w:footnote>
  <w:footnote w:type="continuationSeparator" w:id="0">
    <w:p w14:paraId="7FBB2B91" w14:textId="77777777" w:rsidR="00792C0F" w:rsidRDefault="00792C0F" w:rsidP="00DF2386">
      <w:pPr>
        <w:spacing w:after="0" w:line="240" w:lineRule="auto"/>
      </w:pPr>
      <w:r>
        <w:continuationSeparator/>
      </w:r>
    </w:p>
  </w:footnote>
  <w:footnote w:type="continuationNotice" w:id="1">
    <w:p w14:paraId="2AE28CA8" w14:textId="77777777" w:rsidR="00792C0F" w:rsidRDefault="00792C0F">
      <w:pPr>
        <w:spacing w:after="0" w:line="240" w:lineRule="auto"/>
      </w:pPr>
    </w:p>
  </w:footnote>
  <w:footnote w:id="2">
    <w:p w14:paraId="6B040DEE" w14:textId="75BB50DA" w:rsidR="00137665" w:rsidRPr="00137665" w:rsidRDefault="00137665">
      <w:pPr>
        <w:pStyle w:val="FootnoteText"/>
        <w:rPr>
          <w:lang w:val="fr-FR"/>
        </w:rPr>
      </w:pPr>
      <w:r>
        <w:rPr>
          <w:rStyle w:val="FootnoteReference"/>
        </w:rPr>
        <w:footnoteRef/>
      </w:r>
      <w:r w:rsidRPr="00137665">
        <w:rPr>
          <w:lang w:val="fr-FR"/>
        </w:rPr>
        <w:t xml:space="preserve"> Actualizada al </w:t>
      </w:r>
      <w:r w:rsidR="00073C4A">
        <w:rPr>
          <w:lang w:val="fr-FR"/>
        </w:rPr>
        <w:t>27</w:t>
      </w:r>
      <w:r w:rsidR="00985FAF">
        <w:rPr>
          <w:lang w:val="fr-FR"/>
        </w:rPr>
        <w:t xml:space="preserve"> de mayo</w:t>
      </w:r>
      <w:r w:rsidRPr="00137665">
        <w:rPr>
          <w:lang w:val="fr-FR"/>
        </w:rPr>
        <w:t xml:space="preserve"> de 2021.</w:t>
      </w:r>
    </w:p>
  </w:footnote>
  <w:footnote w:id="3">
    <w:p w14:paraId="620DC29B" w14:textId="3F57E0A8" w:rsidR="0020739B" w:rsidRPr="00A53BC0" w:rsidRDefault="0020739B" w:rsidP="0020739B">
      <w:pPr>
        <w:pStyle w:val="FootnoteText"/>
        <w:rPr>
          <w:lang w:val="fr-FR"/>
        </w:rPr>
      </w:pPr>
      <w:r>
        <w:rPr>
          <w:rStyle w:val="FootnoteReference"/>
        </w:rPr>
        <w:footnoteRef/>
      </w:r>
      <w:r w:rsidRPr="00A53BC0">
        <w:rPr>
          <w:lang w:val="fr-FR"/>
        </w:rPr>
        <w:t xml:space="preserve"> </w:t>
      </w:r>
      <w:r w:rsidR="00705573" w:rsidRPr="00A53BC0">
        <w:rPr>
          <w:lang w:val="fr-FR"/>
        </w:rPr>
        <w:t>Véase el estado de las cuotas a 31 de diciembre de</w:t>
      </w:r>
      <w:r w:rsidRPr="00A53BC0">
        <w:rPr>
          <w:lang w:val="fr-FR"/>
        </w:rPr>
        <w:t xml:space="preserve"> 2020: </w:t>
      </w:r>
      <w:hyperlink r:id="rId1" w:history="1">
        <w:r w:rsidR="00067535" w:rsidRPr="00F74D8F">
          <w:rPr>
            <w:rStyle w:val="Hyperlink"/>
            <w:lang w:val="fr-FR"/>
          </w:rPr>
          <w:t>https://www.ramsar.org/sites/default/files/documents/library/status_contributions_end2020_efs.pdf</w:t>
        </w:r>
      </w:hyperlink>
      <w:r w:rsidR="00067535">
        <w:rPr>
          <w:lang w:val="fr-FR"/>
        </w:rPr>
        <w:t xml:space="preserve"> </w:t>
      </w:r>
    </w:p>
  </w:footnote>
  <w:footnote w:id="4">
    <w:p w14:paraId="79D0B1A5" w14:textId="134584A2" w:rsidR="00F44FAF" w:rsidRPr="00F44FAF" w:rsidRDefault="00F44FAF">
      <w:pPr>
        <w:pStyle w:val="FootnoteText"/>
        <w:rPr>
          <w:lang w:val="fr-FR"/>
        </w:rPr>
      </w:pPr>
      <w:r>
        <w:rPr>
          <w:rStyle w:val="FootnoteReference"/>
        </w:rPr>
        <w:footnoteRef/>
      </w:r>
      <w:r w:rsidRPr="00F44FAF">
        <w:rPr>
          <w:lang w:val="fr-FR"/>
        </w:rPr>
        <w:t xml:space="preserve"> Véase el informe del Subgrupo de Finanzas</w:t>
      </w:r>
      <w:r>
        <w:rPr>
          <w:lang w:val="fr-FR"/>
        </w:rPr>
        <w:t xml:space="preserve"> (en inglés)</w:t>
      </w:r>
      <w:r w:rsidRPr="00F44FAF">
        <w:rPr>
          <w:lang w:val="fr-FR"/>
        </w:rPr>
        <w:t xml:space="preserve">: </w:t>
      </w:r>
      <w:hyperlink r:id="rId2" w:history="1">
        <w:r w:rsidRPr="00F74D8F">
          <w:rPr>
            <w:rStyle w:val="Hyperlink"/>
            <w:lang w:val="fr-FR"/>
          </w:rPr>
          <w:t>https://www.ramsar.org/sites/default/files/documents/library/report_subgroup_on_finance_20210113_e.pdf</w:t>
        </w:r>
      </w:hyperlink>
      <w:r>
        <w:rPr>
          <w:lang w:val="fr-FR"/>
        </w:rPr>
        <w:t xml:space="preserve"> </w:t>
      </w:r>
    </w:p>
  </w:footnote>
  <w:footnote w:id="5">
    <w:p w14:paraId="365DCBC5" w14:textId="6E21E438" w:rsidR="0020739B" w:rsidRPr="00A53BC0" w:rsidRDefault="0020739B" w:rsidP="0020739B">
      <w:pPr>
        <w:pStyle w:val="FootnoteText"/>
        <w:rPr>
          <w:lang w:val="fr-FR"/>
        </w:rPr>
      </w:pPr>
      <w:r>
        <w:rPr>
          <w:rStyle w:val="FootnoteReference"/>
        </w:rPr>
        <w:footnoteRef/>
      </w:r>
      <w:r w:rsidRPr="00A53BC0">
        <w:rPr>
          <w:lang w:val="fr-FR"/>
        </w:rPr>
        <w:t xml:space="preserve"> </w:t>
      </w:r>
      <w:r w:rsidR="00150C98" w:rsidRPr="00A53BC0">
        <w:rPr>
          <w:lang w:val="fr-FR"/>
        </w:rPr>
        <w:t>Véase el orden del día provisional modificado de la COP14</w:t>
      </w:r>
      <w:r w:rsidRPr="00A53BC0">
        <w:rPr>
          <w:lang w:val="fr-FR"/>
        </w:rPr>
        <w:t xml:space="preserve">: </w:t>
      </w:r>
      <w:hyperlink r:id="rId3" w:history="1">
        <w:r w:rsidR="00F44FAF" w:rsidRPr="00F74D8F">
          <w:rPr>
            <w:rStyle w:val="Hyperlink"/>
            <w:lang w:val="fr-FR"/>
          </w:rPr>
          <w:t>https://www.ramsar.org/sites/default/files/documents/library/cop14_provisional_agenda_s.pdf</w:t>
        </w:r>
      </w:hyperlink>
      <w:r w:rsidR="00F44FAF">
        <w:rPr>
          <w:lang w:val="fr-FR"/>
        </w:rPr>
        <w:t xml:space="preserve"> </w:t>
      </w:r>
    </w:p>
  </w:footnote>
  <w:footnote w:id="6">
    <w:p w14:paraId="55E62A1C" w14:textId="3E65639F" w:rsidR="009A0BD4" w:rsidRPr="009A0BD4" w:rsidRDefault="009A0BD4">
      <w:pPr>
        <w:pStyle w:val="FootnoteText"/>
        <w:rPr>
          <w:lang w:val="fr-FR"/>
        </w:rPr>
      </w:pPr>
      <w:r>
        <w:rPr>
          <w:rStyle w:val="FootnoteReference"/>
        </w:rPr>
        <w:footnoteRef/>
      </w:r>
      <w:r w:rsidRPr="009A0BD4">
        <w:rPr>
          <w:lang w:val="fr-FR"/>
        </w:rPr>
        <w:t xml:space="preserve"> </w:t>
      </w:r>
      <w:r w:rsidRPr="00F44FAF">
        <w:rPr>
          <w:lang w:val="fr-FR"/>
        </w:rPr>
        <w:t>Véase</w:t>
      </w:r>
      <w:r>
        <w:rPr>
          <w:lang w:val="fr-FR"/>
        </w:rPr>
        <w:t xml:space="preserve"> </w:t>
      </w:r>
      <w:hyperlink r:id="rId4" w:history="1">
        <w:r w:rsidR="00587F4D" w:rsidRPr="003F3833">
          <w:rPr>
            <w:rStyle w:val="Hyperlink"/>
          </w:rPr>
          <w:t>https://www.ramsar.org/es/documento/nota-orientativa-sobre-la-preparacion-de-los-proyectos-de-resolucion-como-anexo-1-del</w:t>
        </w:r>
      </w:hyperlink>
      <w:r w:rsidR="00587F4D">
        <w:t xml:space="preserve"> </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1C2A1" w14:textId="77777777" w:rsidR="00166DB3" w:rsidRDefault="00166D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8D3B0" w14:textId="77777777" w:rsidR="00166DB3" w:rsidRDefault="00166D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62E33" w14:textId="77777777" w:rsidR="00166DB3" w:rsidRDefault="00166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01BE04E2"/>
    <w:multiLevelType w:val="hybridMultilevel"/>
    <w:tmpl w:val="44F84E7A"/>
    <w:lvl w:ilvl="0" w:tplc="ED30EF76">
      <w:start w:val="1"/>
      <w:numFmt w:val="lowerRoman"/>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0F7B206E"/>
    <w:multiLevelType w:val="hybridMultilevel"/>
    <w:tmpl w:val="F6AE3930"/>
    <w:lvl w:ilvl="0" w:tplc="435210D4">
      <w:start w:val="1"/>
      <w:numFmt w:val="lowerLetter"/>
      <w:lvlText w:val="%1."/>
      <w:lvlJc w:val="left"/>
      <w:pPr>
        <w:ind w:left="927" w:hanging="360"/>
      </w:pPr>
      <w:rPr>
        <w:rFonts w:ascii="Calibri" w:hAnsi="Calibri" w:hint="default"/>
        <w:b/>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3" w15:restartNumberingAfterBreak="0">
    <w:nsid w:val="13B829DB"/>
    <w:multiLevelType w:val="hybridMultilevel"/>
    <w:tmpl w:val="539871BC"/>
    <w:lvl w:ilvl="0" w:tplc="08090017">
      <w:start w:val="1"/>
      <w:numFmt w:val="lowerLetter"/>
      <w:lvlText w:val="%1)"/>
      <w:lvlJc w:val="left"/>
      <w:pPr>
        <w:ind w:left="720" w:hanging="360"/>
      </w:pPr>
    </w:lvl>
    <w:lvl w:ilvl="1" w:tplc="D20A5684">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464368"/>
    <w:multiLevelType w:val="hybridMultilevel"/>
    <w:tmpl w:val="405EA072"/>
    <w:lvl w:ilvl="0" w:tplc="52D29C90">
      <w:start w:val="2"/>
      <w:numFmt w:val="lowerLetter"/>
      <w:lvlText w:val="%1)"/>
      <w:lvlJc w:val="left"/>
      <w:pPr>
        <w:ind w:left="479" w:hanging="360"/>
      </w:pPr>
      <w:rPr>
        <w:rFonts w:ascii="Calibri" w:eastAsia="Calibri" w:hAnsi="Calibri" w:cs="Calibri" w:hint="default"/>
        <w:spacing w:val="-1"/>
        <w:w w:val="99"/>
        <w:sz w:val="22"/>
        <w:szCs w:val="22"/>
      </w:rPr>
    </w:lvl>
    <w:lvl w:ilvl="1" w:tplc="E6AAC286">
      <w:start w:val="1"/>
      <w:numFmt w:val="lowerRoman"/>
      <w:lvlText w:val="%2."/>
      <w:lvlJc w:val="left"/>
      <w:pPr>
        <w:ind w:left="1199" w:hanging="466"/>
        <w:jc w:val="right"/>
      </w:pPr>
      <w:rPr>
        <w:rFonts w:ascii="Calibri" w:eastAsia="Calibri" w:hAnsi="Calibri" w:cs="Calibri" w:hint="default"/>
        <w:w w:val="99"/>
        <w:sz w:val="22"/>
        <w:szCs w:val="22"/>
      </w:rPr>
    </w:lvl>
    <w:lvl w:ilvl="2" w:tplc="1D383668">
      <w:numFmt w:val="bullet"/>
      <w:lvlText w:val="-"/>
      <w:lvlJc w:val="left"/>
      <w:pPr>
        <w:ind w:left="1919" w:hanging="180"/>
      </w:pPr>
      <w:rPr>
        <w:rFonts w:ascii="Calibri" w:eastAsia="Calibri" w:hAnsi="Calibri" w:cs="Calibri" w:hint="default"/>
        <w:w w:val="99"/>
        <w:sz w:val="22"/>
        <w:szCs w:val="22"/>
      </w:rPr>
    </w:lvl>
    <w:lvl w:ilvl="3" w:tplc="C394AC5C">
      <w:numFmt w:val="bullet"/>
      <w:lvlText w:val="•"/>
      <w:lvlJc w:val="left"/>
      <w:pPr>
        <w:ind w:left="2787" w:hanging="180"/>
      </w:pPr>
      <w:rPr>
        <w:rFonts w:hint="default"/>
      </w:rPr>
    </w:lvl>
    <w:lvl w:ilvl="4" w:tplc="C1240F76">
      <w:numFmt w:val="bullet"/>
      <w:lvlText w:val="•"/>
      <w:lvlJc w:val="left"/>
      <w:pPr>
        <w:ind w:left="3655" w:hanging="180"/>
      </w:pPr>
      <w:rPr>
        <w:rFonts w:hint="default"/>
      </w:rPr>
    </w:lvl>
    <w:lvl w:ilvl="5" w:tplc="A8E869C0">
      <w:numFmt w:val="bullet"/>
      <w:lvlText w:val="•"/>
      <w:lvlJc w:val="left"/>
      <w:pPr>
        <w:ind w:left="4523" w:hanging="180"/>
      </w:pPr>
      <w:rPr>
        <w:rFonts w:hint="default"/>
      </w:rPr>
    </w:lvl>
    <w:lvl w:ilvl="6" w:tplc="4560BEDA">
      <w:numFmt w:val="bullet"/>
      <w:lvlText w:val="•"/>
      <w:lvlJc w:val="left"/>
      <w:pPr>
        <w:ind w:left="5391" w:hanging="180"/>
      </w:pPr>
      <w:rPr>
        <w:rFonts w:hint="default"/>
      </w:rPr>
    </w:lvl>
    <w:lvl w:ilvl="7" w:tplc="5004412E">
      <w:numFmt w:val="bullet"/>
      <w:lvlText w:val="•"/>
      <w:lvlJc w:val="left"/>
      <w:pPr>
        <w:ind w:left="6259" w:hanging="180"/>
      </w:pPr>
      <w:rPr>
        <w:rFonts w:hint="default"/>
      </w:rPr>
    </w:lvl>
    <w:lvl w:ilvl="8" w:tplc="11FE808C">
      <w:numFmt w:val="bullet"/>
      <w:lvlText w:val="•"/>
      <w:lvlJc w:val="left"/>
      <w:pPr>
        <w:ind w:left="7128" w:hanging="180"/>
      </w:pPr>
      <w:rPr>
        <w:rFonts w:hint="default"/>
      </w:rPr>
    </w:lvl>
  </w:abstractNum>
  <w:abstractNum w:abstractNumId="5" w15:restartNumberingAfterBreak="0">
    <w:nsid w:val="1A474BDE"/>
    <w:multiLevelType w:val="hybridMultilevel"/>
    <w:tmpl w:val="8D7C420A"/>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22FEC"/>
    <w:multiLevelType w:val="hybridMultilevel"/>
    <w:tmpl w:val="7E609042"/>
    <w:lvl w:ilvl="0" w:tplc="4286943A">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82D62"/>
    <w:multiLevelType w:val="multilevel"/>
    <w:tmpl w:val="A82C3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E2933"/>
    <w:multiLevelType w:val="hybridMultilevel"/>
    <w:tmpl w:val="434E91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7B6D40"/>
    <w:multiLevelType w:val="hybridMultilevel"/>
    <w:tmpl w:val="3CD2A576"/>
    <w:lvl w:ilvl="0" w:tplc="1676FFB8">
      <w:start w:val="1"/>
      <w:numFmt w:val="decimal"/>
      <w:lvlText w:val="%1."/>
      <w:lvlJc w:val="left"/>
      <w:pPr>
        <w:ind w:left="814" w:hanging="360"/>
      </w:pPr>
      <w:rPr>
        <w:b w:val="0"/>
      </w:rPr>
    </w:lvl>
    <w:lvl w:ilvl="1" w:tplc="08090019" w:tentative="1">
      <w:start w:val="1"/>
      <w:numFmt w:val="lowerLetter"/>
      <w:lvlText w:val="%2."/>
      <w:lvlJc w:val="left"/>
      <w:pPr>
        <w:ind w:left="1534" w:hanging="360"/>
      </w:pPr>
    </w:lvl>
    <w:lvl w:ilvl="2" w:tplc="0809001B" w:tentative="1">
      <w:start w:val="1"/>
      <w:numFmt w:val="lowerRoman"/>
      <w:lvlText w:val="%3."/>
      <w:lvlJc w:val="right"/>
      <w:pPr>
        <w:ind w:left="2254" w:hanging="180"/>
      </w:pPr>
    </w:lvl>
    <w:lvl w:ilvl="3" w:tplc="0809000F" w:tentative="1">
      <w:start w:val="1"/>
      <w:numFmt w:val="decimal"/>
      <w:lvlText w:val="%4."/>
      <w:lvlJc w:val="left"/>
      <w:pPr>
        <w:ind w:left="2974" w:hanging="360"/>
      </w:pPr>
    </w:lvl>
    <w:lvl w:ilvl="4" w:tplc="08090019" w:tentative="1">
      <w:start w:val="1"/>
      <w:numFmt w:val="lowerLetter"/>
      <w:lvlText w:val="%5."/>
      <w:lvlJc w:val="left"/>
      <w:pPr>
        <w:ind w:left="3694" w:hanging="360"/>
      </w:pPr>
    </w:lvl>
    <w:lvl w:ilvl="5" w:tplc="0809001B" w:tentative="1">
      <w:start w:val="1"/>
      <w:numFmt w:val="lowerRoman"/>
      <w:lvlText w:val="%6."/>
      <w:lvlJc w:val="right"/>
      <w:pPr>
        <w:ind w:left="4414" w:hanging="180"/>
      </w:pPr>
    </w:lvl>
    <w:lvl w:ilvl="6" w:tplc="0809000F" w:tentative="1">
      <w:start w:val="1"/>
      <w:numFmt w:val="decimal"/>
      <w:lvlText w:val="%7."/>
      <w:lvlJc w:val="left"/>
      <w:pPr>
        <w:ind w:left="5134" w:hanging="360"/>
      </w:pPr>
    </w:lvl>
    <w:lvl w:ilvl="7" w:tplc="08090019" w:tentative="1">
      <w:start w:val="1"/>
      <w:numFmt w:val="lowerLetter"/>
      <w:lvlText w:val="%8."/>
      <w:lvlJc w:val="left"/>
      <w:pPr>
        <w:ind w:left="5854" w:hanging="360"/>
      </w:pPr>
    </w:lvl>
    <w:lvl w:ilvl="8" w:tplc="0809001B" w:tentative="1">
      <w:start w:val="1"/>
      <w:numFmt w:val="lowerRoman"/>
      <w:lvlText w:val="%9."/>
      <w:lvlJc w:val="right"/>
      <w:pPr>
        <w:ind w:left="6574" w:hanging="180"/>
      </w:pPr>
    </w:lvl>
  </w:abstractNum>
  <w:abstractNum w:abstractNumId="10" w15:restartNumberingAfterBreak="0">
    <w:nsid w:val="2FB8698E"/>
    <w:multiLevelType w:val="hybridMultilevel"/>
    <w:tmpl w:val="F73C6C9C"/>
    <w:lvl w:ilvl="0" w:tplc="26AA9B94">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307818A8"/>
    <w:multiLevelType w:val="hybridMultilevel"/>
    <w:tmpl w:val="20C6D3B8"/>
    <w:lvl w:ilvl="0" w:tplc="B0D21CB2">
      <w:numFmt w:val="bullet"/>
      <w:lvlText w:val="-"/>
      <w:lvlJc w:val="left"/>
      <w:pPr>
        <w:ind w:left="840" w:hanging="360"/>
      </w:pPr>
      <w:rPr>
        <w:rFonts w:ascii="Calibri" w:eastAsia="Times New Roman" w:hAnsi="Calibri" w:hint="default"/>
        <w:w w:val="99"/>
        <w:sz w:val="22"/>
      </w:rPr>
    </w:lvl>
    <w:lvl w:ilvl="1" w:tplc="20860192">
      <w:numFmt w:val="bullet"/>
      <w:lvlText w:val="•"/>
      <w:lvlJc w:val="left"/>
      <w:pPr>
        <w:ind w:left="1682" w:hanging="360"/>
      </w:pPr>
      <w:rPr>
        <w:rFonts w:hint="default"/>
      </w:rPr>
    </w:lvl>
    <w:lvl w:ilvl="2" w:tplc="B0927C22">
      <w:numFmt w:val="bullet"/>
      <w:lvlText w:val="•"/>
      <w:lvlJc w:val="left"/>
      <w:pPr>
        <w:ind w:left="2525" w:hanging="360"/>
      </w:pPr>
      <w:rPr>
        <w:rFonts w:hint="default"/>
      </w:rPr>
    </w:lvl>
    <w:lvl w:ilvl="3" w:tplc="A9A46F9C">
      <w:numFmt w:val="bullet"/>
      <w:lvlText w:val="•"/>
      <w:lvlJc w:val="left"/>
      <w:pPr>
        <w:ind w:left="3367" w:hanging="360"/>
      </w:pPr>
      <w:rPr>
        <w:rFonts w:hint="default"/>
      </w:rPr>
    </w:lvl>
    <w:lvl w:ilvl="4" w:tplc="208611D6">
      <w:numFmt w:val="bullet"/>
      <w:lvlText w:val="•"/>
      <w:lvlJc w:val="left"/>
      <w:pPr>
        <w:ind w:left="4210" w:hanging="360"/>
      </w:pPr>
      <w:rPr>
        <w:rFonts w:hint="default"/>
      </w:rPr>
    </w:lvl>
    <w:lvl w:ilvl="5" w:tplc="BE6A84CE">
      <w:numFmt w:val="bullet"/>
      <w:lvlText w:val="•"/>
      <w:lvlJc w:val="left"/>
      <w:pPr>
        <w:ind w:left="5052" w:hanging="360"/>
      </w:pPr>
      <w:rPr>
        <w:rFonts w:hint="default"/>
      </w:rPr>
    </w:lvl>
    <w:lvl w:ilvl="6" w:tplc="71BA66A0">
      <w:numFmt w:val="bullet"/>
      <w:lvlText w:val="•"/>
      <w:lvlJc w:val="left"/>
      <w:pPr>
        <w:ind w:left="5895" w:hanging="360"/>
      </w:pPr>
      <w:rPr>
        <w:rFonts w:hint="default"/>
      </w:rPr>
    </w:lvl>
    <w:lvl w:ilvl="7" w:tplc="7C4A89A6">
      <w:numFmt w:val="bullet"/>
      <w:lvlText w:val="•"/>
      <w:lvlJc w:val="left"/>
      <w:pPr>
        <w:ind w:left="6737" w:hanging="360"/>
      </w:pPr>
      <w:rPr>
        <w:rFonts w:hint="default"/>
      </w:rPr>
    </w:lvl>
    <w:lvl w:ilvl="8" w:tplc="4B822930">
      <w:numFmt w:val="bullet"/>
      <w:lvlText w:val="•"/>
      <w:lvlJc w:val="left"/>
      <w:pPr>
        <w:ind w:left="7580" w:hanging="360"/>
      </w:pPr>
      <w:rPr>
        <w:rFonts w:hint="default"/>
      </w:rPr>
    </w:lvl>
  </w:abstractNum>
  <w:abstractNum w:abstractNumId="12" w15:restartNumberingAfterBreak="0">
    <w:nsid w:val="30A2651E"/>
    <w:multiLevelType w:val="multilevel"/>
    <w:tmpl w:val="0C30EC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imes New Roman" w:hAnsi="Calibri" w:cs="Times New Roman" w:hint="default"/>
        <w:w w:val="99"/>
        <w:sz w:val="22"/>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472FC5"/>
    <w:multiLevelType w:val="hybridMultilevel"/>
    <w:tmpl w:val="12EC4346"/>
    <w:lvl w:ilvl="0" w:tplc="08090017">
      <w:start w:val="1"/>
      <w:numFmt w:val="lowerLetter"/>
      <w:lvlText w:val="%1)"/>
      <w:lvlJc w:val="left"/>
      <w:pPr>
        <w:ind w:left="720" w:hanging="360"/>
      </w:pPr>
    </w:lvl>
    <w:lvl w:ilvl="1" w:tplc="2FA4244A">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3A651E"/>
    <w:multiLevelType w:val="hybridMultilevel"/>
    <w:tmpl w:val="2C60AB2E"/>
    <w:lvl w:ilvl="0" w:tplc="4286943A">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F515856"/>
    <w:multiLevelType w:val="hybridMultilevel"/>
    <w:tmpl w:val="29562DC0"/>
    <w:lvl w:ilvl="0" w:tplc="923EDC06">
      <w:start w:val="4"/>
      <w:numFmt w:val="lowerLetter"/>
      <w:lvlText w:val="%1)"/>
      <w:lvlJc w:val="left"/>
      <w:pPr>
        <w:ind w:left="479" w:hanging="360"/>
      </w:pPr>
      <w:rPr>
        <w:rFonts w:ascii="Calibri" w:eastAsia="Calibri" w:hAnsi="Calibri" w:cs="Calibri" w:hint="default"/>
        <w:spacing w:val="-1"/>
        <w:w w:val="99"/>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864449"/>
    <w:multiLevelType w:val="hybridMultilevel"/>
    <w:tmpl w:val="CA04A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234026D"/>
    <w:multiLevelType w:val="hybridMultilevel"/>
    <w:tmpl w:val="A66E6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26ECA"/>
    <w:multiLevelType w:val="hybridMultilevel"/>
    <w:tmpl w:val="9A38EE0C"/>
    <w:lvl w:ilvl="0" w:tplc="C1C4F3D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C958CC"/>
    <w:multiLevelType w:val="hybridMultilevel"/>
    <w:tmpl w:val="E9F600F2"/>
    <w:lvl w:ilvl="0" w:tplc="040A001B">
      <w:start w:val="1"/>
      <w:numFmt w:val="lowerRoman"/>
      <w:lvlText w:val="%1."/>
      <w:lvlJc w:val="right"/>
      <w:pPr>
        <w:ind w:left="1210" w:hanging="360"/>
      </w:pPr>
    </w:lvl>
    <w:lvl w:ilvl="1" w:tplc="040A0019">
      <w:start w:val="1"/>
      <w:numFmt w:val="lowerLetter"/>
      <w:lvlText w:val="%2."/>
      <w:lvlJc w:val="left"/>
      <w:pPr>
        <w:ind w:left="1930" w:hanging="360"/>
      </w:pPr>
    </w:lvl>
    <w:lvl w:ilvl="2" w:tplc="040A001B" w:tentative="1">
      <w:start w:val="1"/>
      <w:numFmt w:val="lowerRoman"/>
      <w:lvlText w:val="%3."/>
      <w:lvlJc w:val="right"/>
      <w:pPr>
        <w:ind w:left="2650" w:hanging="180"/>
      </w:pPr>
    </w:lvl>
    <w:lvl w:ilvl="3" w:tplc="040A000F" w:tentative="1">
      <w:start w:val="1"/>
      <w:numFmt w:val="decimal"/>
      <w:lvlText w:val="%4."/>
      <w:lvlJc w:val="left"/>
      <w:pPr>
        <w:ind w:left="3370" w:hanging="360"/>
      </w:pPr>
    </w:lvl>
    <w:lvl w:ilvl="4" w:tplc="040A0019" w:tentative="1">
      <w:start w:val="1"/>
      <w:numFmt w:val="lowerLetter"/>
      <w:lvlText w:val="%5."/>
      <w:lvlJc w:val="left"/>
      <w:pPr>
        <w:ind w:left="4090" w:hanging="360"/>
      </w:pPr>
    </w:lvl>
    <w:lvl w:ilvl="5" w:tplc="040A001B" w:tentative="1">
      <w:start w:val="1"/>
      <w:numFmt w:val="lowerRoman"/>
      <w:lvlText w:val="%6."/>
      <w:lvlJc w:val="right"/>
      <w:pPr>
        <w:ind w:left="4810" w:hanging="180"/>
      </w:pPr>
    </w:lvl>
    <w:lvl w:ilvl="6" w:tplc="040A000F" w:tentative="1">
      <w:start w:val="1"/>
      <w:numFmt w:val="decimal"/>
      <w:lvlText w:val="%7."/>
      <w:lvlJc w:val="left"/>
      <w:pPr>
        <w:ind w:left="5530" w:hanging="360"/>
      </w:pPr>
    </w:lvl>
    <w:lvl w:ilvl="7" w:tplc="040A0019" w:tentative="1">
      <w:start w:val="1"/>
      <w:numFmt w:val="lowerLetter"/>
      <w:lvlText w:val="%8."/>
      <w:lvlJc w:val="left"/>
      <w:pPr>
        <w:ind w:left="6250" w:hanging="360"/>
      </w:pPr>
    </w:lvl>
    <w:lvl w:ilvl="8" w:tplc="040A001B" w:tentative="1">
      <w:start w:val="1"/>
      <w:numFmt w:val="lowerRoman"/>
      <w:lvlText w:val="%9."/>
      <w:lvlJc w:val="right"/>
      <w:pPr>
        <w:ind w:left="6970" w:hanging="180"/>
      </w:pPr>
    </w:lvl>
  </w:abstractNum>
  <w:abstractNum w:abstractNumId="20" w15:restartNumberingAfterBreak="0">
    <w:nsid w:val="4B5C57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DA90136"/>
    <w:multiLevelType w:val="hybridMultilevel"/>
    <w:tmpl w:val="33CEDE14"/>
    <w:lvl w:ilvl="0" w:tplc="4FC23FB6">
      <w:numFmt w:val="bullet"/>
      <w:lvlText w:val="-"/>
      <w:lvlJc w:val="left"/>
      <w:pPr>
        <w:ind w:left="960" w:hanging="360"/>
      </w:pPr>
      <w:rPr>
        <w:rFonts w:ascii="Calibri" w:eastAsia="Times New Roman" w:hAnsi="Calibri" w:hint="default"/>
        <w:w w:val="99"/>
        <w:sz w:val="22"/>
      </w:rPr>
    </w:lvl>
    <w:lvl w:ilvl="1" w:tplc="99E44D36">
      <w:numFmt w:val="bullet"/>
      <w:lvlText w:val="•"/>
      <w:lvlJc w:val="left"/>
      <w:pPr>
        <w:ind w:left="1800" w:hanging="360"/>
      </w:pPr>
      <w:rPr>
        <w:rFonts w:hint="default"/>
      </w:rPr>
    </w:lvl>
    <w:lvl w:ilvl="2" w:tplc="AA6804D6">
      <w:numFmt w:val="bullet"/>
      <w:lvlText w:val="•"/>
      <w:lvlJc w:val="left"/>
      <w:pPr>
        <w:ind w:left="2641" w:hanging="360"/>
      </w:pPr>
      <w:rPr>
        <w:rFonts w:hint="default"/>
      </w:rPr>
    </w:lvl>
    <w:lvl w:ilvl="3" w:tplc="FDF0A5D8">
      <w:numFmt w:val="bullet"/>
      <w:lvlText w:val="•"/>
      <w:lvlJc w:val="left"/>
      <w:pPr>
        <w:ind w:left="3481" w:hanging="360"/>
      </w:pPr>
      <w:rPr>
        <w:rFonts w:hint="default"/>
      </w:rPr>
    </w:lvl>
    <w:lvl w:ilvl="4" w:tplc="C5DC3932">
      <w:numFmt w:val="bullet"/>
      <w:lvlText w:val="•"/>
      <w:lvlJc w:val="left"/>
      <w:pPr>
        <w:ind w:left="4322" w:hanging="360"/>
      </w:pPr>
      <w:rPr>
        <w:rFonts w:hint="default"/>
      </w:rPr>
    </w:lvl>
    <w:lvl w:ilvl="5" w:tplc="87E02D58">
      <w:numFmt w:val="bullet"/>
      <w:lvlText w:val="•"/>
      <w:lvlJc w:val="left"/>
      <w:pPr>
        <w:ind w:left="5162" w:hanging="360"/>
      </w:pPr>
      <w:rPr>
        <w:rFonts w:hint="default"/>
      </w:rPr>
    </w:lvl>
    <w:lvl w:ilvl="6" w:tplc="EE8E6FD2">
      <w:numFmt w:val="bullet"/>
      <w:lvlText w:val="•"/>
      <w:lvlJc w:val="left"/>
      <w:pPr>
        <w:ind w:left="6003" w:hanging="360"/>
      </w:pPr>
      <w:rPr>
        <w:rFonts w:hint="default"/>
      </w:rPr>
    </w:lvl>
    <w:lvl w:ilvl="7" w:tplc="258488CC">
      <w:numFmt w:val="bullet"/>
      <w:lvlText w:val="•"/>
      <w:lvlJc w:val="left"/>
      <w:pPr>
        <w:ind w:left="6843" w:hanging="360"/>
      </w:pPr>
      <w:rPr>
        <w:rFonts w:hint="default"/>
      </w:rPr>
    </w:lvl>
    <w:lvl w:ilvl="8" w:tplc="7F54539C">
      <w:numFmt w:val="bullet"/>
      <w:lvlText w:val="•"/>
      <w:lvlJc w:val="left"/>
      <w:pPr>
        <w:ind w:left="7684" w:hanging="360"/>
      </w:pPr>
      <w:rPr>
        <w:rFonts w:hint="default"/>
      </w:rPr>
    </w:lvl>
  </w:abstractNum>
  <w:abstractNum w:abstractNumId="22" w15:restartNumberingAfterBreak="0">
    <w:nsid w:val="51C836AF"/>
    <w:multiLevelType w:val="hybridMultilevel"/>
    <w:tmpl w:val="4C6AE3B2"/>
    <w:lvl w:ilvl="0" w:tplc="08090003">
      <w:start w:val="1"/>
      <w:numFmt w:val="bullet"/>
      <w:lvlText w:val="o"/>
      <w:lvlJc w:val="left"/>
      <w:pPr>
        <w:ind w:left="1600" w:hanging="360"/>
      </w:pPr>
      <w:rPr>
        <w:rFonts w:ascii="Courier New" w:hAnsi="Courier New" w:cs="Courier New"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23" w15:restartNumberingAfterBreak="0">
    <w:nsid w:val="520667C0"/>
    <w:multiLevelType w:val="hybridMultilevel"/>
    <w:tmpl w:val="DF10F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E4B7B"/>
    <w:multiLevelType w:val="hybridMultilevel"/>
    <w:tmpl w:val="F7225AAA"/>
    <w:lvl w:ilvl="0" w:tplc="8F0AD8B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EC0307"/>
    <w:multiLevelType w:val="multilevel"/>
    <w:tmpl w:val="F602471E"/>
    <w:lvl w:ilvl="0">
      <w:start w:val="2"/>
      <w:numFmt w:val="decimal"/>
      <w:lvlText w:val="%1"/>
      <w:lvlJc w:val="left"/>
      <w:pPr>
        <w:ind w:left="435" w:hanging="435"/>
      </w:pPr>
      <w:rPr>
        <w:rFonts w:hint="default"/>
      </w:rPr>
    </w:lvl>
    <w:lvl w:ilvl="1">
      <w:start w:val="3"/>
      <w:numFmt w:val="decimal"/>
      <w:lvlText w:val="%1.%2"/>
      <w:lvlJc w:val="left"/>
      <w:pPr>
        <w:ind w:left="1155" w:hanging="435"/>
      </w:pPr>
      <w:rPr>
        <w:rFonts w:hint="default"/>
      </w:rPr>
    </w:lvl>
    <w:lvl w:ilvl="2">
      <w:start w:val="2"/>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15:restartNumberingAfterBreak="0">
    <w:nsid w:val="62DD7B56"/>
    <w:multiLevelType w:val="multilevel"/>
    <w:tmpl w:val="5C4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3D6CED"/>
    <w:multiLevelType w:val="hybridMultilevel"/>
    <w:tmpl w:val="43CEC38C"/>
    <w:lvl w:ilvl="0" w:tplc="A75C135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5913319"/>
    <w:multiLevelType w:val="multilevel"/>
    <w:tmpl w:val="5C2A136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29" w15:restartNumberingAfterBreak="0">
    <w:nsid w:val="659564C9"/>
    <w:multiLevelType w:val="hybridMultilevel"/>
    <w:tmpl w:val="C5DAE6F6"/>
    <w:lvl w:ilvl="0" w:tplc="4286943A">
      <w:start w:val="1"/>
      <w:numFmt w:val="bullet"/>
      <w:lvlText w:val="•"/>
      <w:lvlJc w:val="left"/>
      <w:pPr>
        <w:ind w:left="1440" w:hanging="360"/>
      </w:pPr>
      <w:rPr>
        <w:rFonts w:ascii="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EE6C39"/>
    <w:multiLevelType w:val="hybridMultilevel"/>
    <w:tmpl w:val="67FA695E"/>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1" w15:restartNumberingAfterBreak="0">
    <w:nsid w:val="6C5E1FBD"/>
    <w:multiLevelType w:val="multilevel"/>
    <w:tmpl w:val="9F8AED52"/>
    <w:lvl w:ilvl="0">
      <w:start w:val="1"/>
      <w:numFmt w:val="bullet"/>
      <w:lvlText w:val="o"/>
      <w:lvlJc w:val="left"/>
      <w:pPr>
        <w:tabs>
          <w:tab w:val="num" w:pos="360"/>
        </w:tabs>
        <w:ind w:left="360" w:hanging="360"/>
      </w:pPr>
      <w:rPr>
        <w:rFonts w:ascii="Courier New" w:hAnsi="Courier New" w:cs="Courier New"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2" w15:restartNumberingAfterBreak="0">
    <w:nsid w:val="6DF80635"/>
    <w:multiLevelType w:val="hybridMultilevel"/>
    <w:tmpl w:val="2BBC437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15:restartNumberingAfterBreak="0">
    <w:nsid w:val="6E84026B"/>
    <w:multiLevelType w:val="hybridMultilevel"/>
    <w:tmpl w:val="FDA40D42"/>
    <w:lvl w:ilvl="0" w:tplc="61182F0A">
      <w:start w:val="39"/>
      <w:numFmt w:val="bullet"/>
      <w:lvlText w:val="-"/>
      <w:lvlJc w:val="left"/>
      <w:pPr>
        <w:ind w:left="360" w:hanging="360"/>
      </w:pPr>
      <w:rPr>
        <w:rFonts w:ascii="Calibri" w:eastAsia="Calibri" w:hAnsi="Calibri" w:cstheme="minorHAnsi"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4" w15:restartNumberingAfterBreak="0">
    <w:nsid w:val="6F777161"/>
    <w:multiLevelType w:val="hybridMultilevel"/>
    <w:tmpl w:val="C630A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0827170"/>
    <w:multiLevelType w:val="hybridMultilevel"/>
    <w:tmpl w:val="090EB11C"/>
    <w:lvl w:ilvl="0" w:tplc="23E09A7C">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C03ADF"/>
    <w:multiLevelType w:val="multilevel"/>
    <w:tmpl w:val="8140D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791C17"/>
    <w:multiLevelType w:val="hybridMultilevel"/>
    <w:tmpl w:val="14EC1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BB15A4"/>
    <w:multiLevelType w:val="hybridMultilevel"/>
    <w:tmpl w:val="CF20BAD6"/>
    <w:lvl w:ilvl="0" w:tplc="ED30EF76">
      <w:start w:val="1"/>
      <w:numFmt w:val="lowerRoman"/>
      <w:lvlText w:val="%1."/>
      <w:lvlJc w:val="left"/>
      <w:pPr>
        <w:ind w:left="765" w:hanging="360"/>
      </w:pPr>
      <w:rPr>
        <w:rFonts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7"/>
  </w:num>
  <w:num w:numId="2">
    <w:abstractNumId w:val="30"/>
  </w:num>
  <w:num w:numId="3">
    <w:abstractNumId w:val="5"/>
  </w:num>
  <w:num w:numId="4">
    <w:abstractNumId w:val="6"/>
  </w:num>
  <w:num w:numId="5">
    <w:abstractNumId w:val="27"/>
  </w:num>
  <w:num w:numId="6">
    <w:abstractNumId w:val="0"/>
  </w:num>
  <w:num w:numId="7">
    <w:abstractNumId w:val="1"/>
  </w:num>
  <w:num w:numId="8">
    <w:abstractNumId w:val="38"/>
  </w:num>
  <w:num w:numId="9">
    <w:abstractNumId w:val="14"/>
  </w:num>
  <w:num w:numId="10">
    <w:abstractNumId w:val="29"/>
  </w:num>
  <w:num w:numId="11">
    <w:abstractNumId w:val="35"/>
  </w:num>
  <w:num w:numId="12">
    <w:abstractNumId w:val="24"/>
  </w:num>
  <w:num w:numId="13">
    <w:abstractNumId w:val="3"/>
  </w:num>
  <w:num w:numId="14">
    <w:abstractNumId w:val="9"/>
  </w:num>
  <w:num w:numId="15">
    <w:abstractNumId w:val="13"/>
  </w:num>
  <w:num w:numId="16">
    <w:abstractNumId w:val="8"/>
  </w:num>
  <w:num w:numId="17">
    <w:abstractNumId w:val="34"/>
  </w:num>
  <w:num w:numId="18">
    <w:abstractNumId w:val="18"/>
  </w:num>
  <w:num w:numId="19">
    <w:abstractNumId w:val="7"/>
  </w:num>
  <w:num w:numId="20">
    <w:abstractNumId w:val="17"/>
  </w:num>
  <w:num w:numId="21">
    <w:abstractNumId w:val="23"/>
  </w:num>
  <w:num w:numId="22">
    <w:abstractNumId w:val="22"/>
  </w:num>
  <w:num w:numId="23">
    <w:abstractNumId w:val="26"/>
  </w:num>
  <w:num w:numId="24">
    <w:abstractNumId w:val="36"/>
  </w:num>
  <w:num w:numId="25">
    <w:abstractNumId w:val="31"/>
  </w:num>
  <w:num w:numId="26">
    <w:abstractNumId w:val="20"/>
  </w:num>
  <w:num w:numId="27">
    <w:abstractNumId w:val="12"/>
  </w:num>
  <w:num w:numId="28">
    <w:abstractNumId w:val="32"/>
  </w:num>
  <w:num w:numId="29">
    <w:abstractNumId w:val="28"/>
  </w:num>
  <w:num w:numId="30">
    <w:abstractNumId w:val="16"/>
  </w:num>
  <w:num w:numId="31">
    <w:abstractNumId w:val="11"/>
  </w:num>
  <w:num w:numId="32">
    <w:abstractNumId w:val="4"/>
  </w:num>
  <w:num w:numId="33">
    <w:abstractNumId w:val="15"/>
  </w:num>
  <w:num w:numId="34">
    <w:abstractNumId w:val="33"/>
  </w:num>
  <w:num w:numId="35">
    <w:abstractNumId w:val="2"/>
  </w:num>
  <w:num w:numId="36">
    <w:abstractNumId w:val="19"/>
  </w:num>
  <w:num w:numId="37">
    <w:abstractNumId w:val="10"/>
  </w:num>
  <w:num w:numId="38">
    <w:abstractNumId w:val="21"/>
  </w:num>
  <w:num w:numId="3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ES" w:vendorID="64" w:dllVersion="4096" w:nlCheck="1" w:checkStyle="0"/>
  <w:activeWritingStyle w:appName="MSWord" w:lang="fr-FR" w:vendorID="64" w:dllVersion="4096" w:nlCheck="1" w:checkStyle="0"/>
  <w:activeWritingStyle w:appName="MSWord" w:lang="en-GB" w:vendorID="64" w:dllVersion="4096" w:nlCheck="1" w:checkStyle="0"/>
  <w:doNotTrackFormatting/>
  <w:defaultTabStop w:val="425"/>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B66"/>
    <w:rsid w:val="00004515"/>
    <w:rsid w:val="00006745"/>
    <w:rsid w:val="00007D7E"/>
    <w:rsid w:val="00011FE9"/>
    <w:rsid w:val="0001280D"/>
    <w:rsid w:val="00012FE9"/>
    <w:rsid w:val="000160BA"/>
    <w:rsid w:val="00017A16"/>
    <w:rsid w:val="00020093"/>
    <w:rsid w:val="00027735"/>
    <w:rsid w:val="00030B1D"/>
    <w:rsid w:val="000311C7"/>
    <w:rsid w:val="000325B1"/>
    <w:rsid w:val="00033E40"/>
    <w:rsid w:val="00034C1E"/>
    <w:rsid w:val="00035CCA"/>
    <w:rsid w:val="00036670"/>
    <w:rsid w:val="00037CE0"/>
    <w:rsid w:val="0004527F"/>
    <w:rsid w:val="00046781"/>
    <w:rsid w:val="00050008"/>
    <w:rsid w:val="000524CC"/>
    <w:rsid w:val="000525E0"/>
    <w:rsid w:val="00052EC3"/>
    <w:rsid w:val="00053929"/>
    <w:rsid w:val="000540F5"/>
    <w:rsid w:val="000547AB"/>
    <w:rsid w:val="0005784A"/>
    <w:rsid w:val="00057C7B"/>
    <w:rsid w:val="000602D4"/>
    <w:rsid w:val="000662FE"/>
    <w:rsid w:val="00067535"/>
    <w:rsid w:val="00070486"/>
    <w:rsid w:val="00072571"/>
    <w:rsid w:val="00073C4A"/>
    <w:rsid w:val="000743FE"/>
    <w:rsid w:val="00074DE8"/>
    <w:rsid w:val="0008208F"/>
    <w:rsid w:val="00082A48"/>
    <w:rsid w:val="00085666"/>
    <w:rsid w:val="00085D52"/>
    <w:rsid w:val="00086D7E"/>
    <w:rsid w:val="00087E71"/>
    <w:rsid w:val="00090F51"/>
    <w:rsid w:val="00096665"/>
    <w:rsid w:val="00096F49"/>
    <w:rsid w:val="000A0D7F"/>
    <w:rsid w:val="000A3656"/>
    <w:rsid w:val="000A3E3E"/>
    <w:rsid w:val="000A4129"/>
    <w:rsid w:val="000A70FC"/>
    <w:rsid w:val="000B03AB"/>
    <w:rsid w:val="000B0A7B"/>
    <w:rsid w:val="000B1148"/>
    <w:rsid w:val="000B2E45"/>
    <w:rsid w:val="000B4484"/>
    <w:rsid w:val="000B4A65"/>
    <w:rsid w:val="000B54B6"/>
    <w:rsid w:val="000B79ED"/>
    <w:rsid w:val="000C0CDC"/>
    <w:rsid w:val="000C0DF0"/>
    <w:rsid w:val="000C227D"/>
    <w:rsid w:val="000C66CA"/>
    <w:rsid w:val="000D0D3E"/>
    <w:rsid w:val="000D54DD"/>
    <w:rsid w:val="000D5C76"/>
    <w:rsid w:val="000D6871"/>
    <w:rsid w:val="000D795A"/>
    <w:rsid w:val="000D7F4E"/>
    <w:rsid w:val="000E2FA0"/>
    <w:rsid w:val="000E47E9"/>
    <w:rsid w:val="000E5BAA"/>
    <w:rsid w:val="000E64B4"/>
    <w:rsid w:val="000F0443"/>
    <w:rsid w:val="000F0D7C"/>
    <w:rsid w:val="000F30D7"/>
    <w:rsid w:val="000F4BF0"/>
    <w:rsid w:val="000F73E5"/>
    <w:rsid w:val="001005BA"/>
    <w:rsid w:val="00100B62"/>
    <w:rsid w:val="00110148"/>
    <w:rsid w:val="00111C1D"/>
    <w:rsid w:val="00112287"/>
    <w:rsid w:val="00115322"/>
    <w:rsid w:val="001160AB"/>
    <w:rsid w:val="00116A9E"/>
    <w:rsid w:val="001200B2"/>
    <w:rsid w:val="001208BC"/>
    <w:rsid w:val="0012096C"/>
    <w:rsid w:val="00121597"/>
    <w:rsid w:val="0012693D"/>
    <w:rsid w:val="0012777A"/>
    <w:rsid w:val="00127828"/>
    <w:rsid w:val="00127F23"/>
    <w:rsid w:val="001308F5"/>
    <w:rsid w:val="0013283B"/>
    <w:rsid w:val="0013509E"/>
    <w:rsid w:val="00135D51"/>
    <w:rsid w:val="001365A6"/>
    <w:rsid w:val="00137561"/>
    <w:rsid w:val="00137665"/>
    <w:rsid w:val="00141E98"/>
    <w:rsid w:val="00144975"/>
    <w:rsid w:val="00145080"/>
    <w:rsid w:val="00145C6A"/>
    <w:rsid w:val="00150004"/>
    <w:rsid w:val="001500B9"/>
    <w:rsid w:val="00150C98"/>
    <w:rsid w:val="00154D37"/>
    <w:rsid w:val="00160371"/>
    <w:rsid w:val="00161BDA"/>
    <w:rsid w:val="0016280B"/>
    <w:rsid w:val="00163246"/>
    <w:rsid w:val="00164D68"/>
    <w:rsid w:val="00165720"/>
    <w:rsid w:val="00166A78"/>
    <w:rsid w:val="00166DB3"/>
    <w:rsid w:val="00170956"/>
    <w:rsid w:val="0017099E"/>
    <w:rsid w:val="00171618"/>
    <w:rsid w:val="00172886"/>
    <w:rsid w:val="001759EE"/>
    <w:rsid w:val="001762BF"/>
    <w:rsid w:val="00176D2A"/>
    <w:rsid w:val="001819B1"/>
    <w:rsid w:val="00182658"/>
    <w:rsid w:val="00182BB7"/>
    <w:rsid w:val="001868D6"/>
    <w:rsid w:val="00187BFC"/>
    <w:rsid w:val="00190197"/>
    <w:rsid w:val="0019169D"/>
    <w:rsid w:val="00192951"/>
    <w:rsid w:val="00192DDE"/>
    <w:rsid w:val="00193FE5"/>
    <w:rsid w:val="00195A8C"/>
    <w:rsid w:val="00197505"/>
    <w:rsid w:val="001A123C"/>
    <w:rsid w:val="001A1CDC"/>
    <w:rsid w:val="001A46C7"/>
    <w:rsid w:val="001A48C7"/>
    <w:rsid w:val="001A7044"/>
    <w:rsid w:val="001B0870"/>
    <w:rsid w:val="001B1821"/>
    <w:rsid w:val="001C110B"/>
    <w:rsid w:val="001C291A"/>
    <w:rsid w:val="001C4484"/>
    <w:rsid w:val="001C5E41"/>
    <w:rsid w:val="001C77BC"/>
    <w:rsid w:val="001D1697"/>
    <w:rsid w:val="001D2720"/>
    <w:rsid w:val="001D3320"/>
    <w:rsid w:val="001D42C7"/>
    <w:rsid w:val="001D44B5"/>
    <w:rsid w:val="001D48BB"/>
    <w:rsid w:val="001D5C6D"/>
    <w:rsid w:val="001D640A"/>
    <w:rsid w:val="001E00E3"/>
    <w:rsid w:val="001E013F"/>
    <w:rsid w:val="001E2204"/>
    <w:rsid w:val="001E7909"/>
    <w:rsid w:val="001F2349"/>
    <w:rsid w:val="001F4E9C"/>
    <w:rsid w:val="001F6F26"/>
    <w:rsid w:val="001F715E"/>
    <w:rsid w:val="001F773C"/>
    <w:rsid w:val="00200199"/>
    <w:rsid w:val="002005D2"/>
    <w:rsid w:val="00201663"/>
    <w:rsid w:val="0020298B"/>
    <w:rsid w:val="002053F4"/>
    <w:rsid w:val="00206111"/>
    <w:rsid w:val="0020739B"/>
    <w:rsid w:val="002137E0"/>
    <w:rsid w:val="00217F8A"/>
    <w:rsid w:val="00223214"/>
    <w:rsid w:val="00224F8D"/>
    <w:rsid w:val="00225FB7"/>
    <w:rsid w:val="00227310"/>
    <w:rsid w:val="00230891"/>
    <w:rsid w:val="00230BAA"/>
    <w:rsid w:val="0023247B"/>
    <w:rsid w:val="00235440"/>
    <w:rsid w:val="00235DF4"/>
    <w:rsid w:val="00235E86"/>
    <w:rsid w:val="00236A9E"/>
    <w:rsid w:val="00243A5C"/>
    <w:rsid w:val="00245C73"/>
    <w:rsid w:val="00246E06"/>
    <w:rsid w:val="00246E5E"/>
    <w:rsid w:val="00247375"/>
    <w:rsid w:val="00254E49"/>
    <w:rsid w:val="00255544"/>
    <w:rsid w:val="00256C6B"/>
    <w:rsid w:val="00261880"/>
    <w:rsid w:val="0026231C"/>
    <w:rsid w:val="00262DF0"/>
    <w:rsid w:val="00263B44"/>
    <w:rsid w:val="002655B4"/>
    <w:rsid w:val="00266F2F"/>
    <w:rsid w:val="00270DEF"/>
    <w:rsid w:val="00271001"/>
    <w:rsid w:val="00272269"/>
    <w:rsid w:val="00272AFF"/>
    <w:rsid w:val="00273463"/>
    <w:rsid w:val="002741AC"/>
    <w:rsid w:val="002743AC"/>
    <w:rsid w:val="00274FD3"/>
    <w:rsid w:val="002759BB"/>
    <w:rsid w:val="00276814"/>
    <w:rsid w:val="00276E63"/>
    <w:rsid w:val="00277E5F"/>
    <w:rsid w:val="00280BF1"/>
    <w:rsid w:val="002811E4"/>
    <w:rsid w:val="002819C0"/>
    <w:rsid w:val="00282418"/>
    <w:rsid w:val="00282B18"/>
    <w:rsid w:val="0028719B"/>
    <w:rsid w:val="0029292E"/>
    <w:rsid w:val="002935C2"/>
    <w:rsid w:val="00293986"/>
    <w:rsid w:val="00295556"/>
    <w:rsid w:val="00295BB5"/>
    <w:rsid w:val="002A1BDE"/>
    <w:rsid w:val="002A47CA"/>
    <w:rsid w:val="002A5A4D"/>
    <w:rsid w:val="002A5ED2"/>
    <w:rsid w:val="002B17DF"/>
    <w:rsid w:val="002B3BEF"/>
    <w:rsid w:val="002B4262"/>
    <w:rsid w:val="002B60AB"/>
    <w:rsid w:val="002B64A4"/>
    <w:rsid w:val="002B6B2B"/>
    <w:rsid w:val="002B77B9"/>
    <w:rsid w:val="002C0750"/>
    <w:rsid w:val="002C728A"/>
    <w:rsid w:val="002C7F04"/>
    <w:rsid w:val="002D5A4D"/>
    <w:rsid w:val="002E002E"/>
    <w:rsid w:val="002E1520"/>
    <w:rsid w:val="002E2226"/>
    <w:rsid w:val="002E22AF"/>
    <w:rsid w:val="002E398D"/>
    <w:rsid w:val="002E3F59"/>
    <w:rsid w:val="002E4240"/>
    <w:rsid w:val="002E5902"/>
    <w:rsid w:val="002E653F"/>
    <w:rsid w:val="002F049E"/>
    <w:rsid w:val="002F38B2"/>
    <w:rsid w:val="002F4041"/>
    <w:rsid w:val="002F4302"/>
    <w:rsid w:val="002F4716"/>
    <w:rsid w:val="002F47A9"/>
    <w:rsid w:val="002F4CE2"/>
    <w:rsid w:val="002F6887"/>
    <w:rsid w:val="002F6D8C"/>
    <w:rsid w:val="003022E1"/>
    <w:rsid w:val="0030261B"/>
    <w:rsid w:val="0030486B"/>
    <w:rsid w:val="00305448"/>
    <w:rsid w:val="003067A9"/>
    <w:rsid w:val="0031281C"/>
    <w:rsid w:val="00313649"/>
    <w:rsid w:val="00314492"/>
    <w:rsid w:val="003170EB"/>
    <w:rsid w:val="00322441"/>
    <w:rsid w:val="00324398"/>
    <w:rsid w:val="003245B1"/>
    <w:rsid w:val="00326D9C"/>
    <w:rsid w:val="00326E14"/>
    <w:rsid w:val="003309B5"/>
    <w:rsid w:val="00333E69"/>
    <w:rsid w:val="00334BC4"/>
    <w:rsid w:val="00341A03"/>
    <w:rsid w:val="003458CB"/>
    <w:rsid w:val="00345F66"/>
    <w:rsid w:val="003460C9"/>
    <w:rsid w:val="003466CC"/>
    <w:rsid w:val="00351CCA"/>
    <w:rsid w:val="00351DB5"/>
    <w:rsid w:val="00356062"/>
    <w:rsid w:val="003576F6"/>
    <w:rsid w:val="00357C52"/>
    <w:rsid w:val="00374815"/>
    <w:rsid w:val="003767CF"/>
    <w:rsid w:val="003768F4"/>
    <w:rsid w:val="0038070B"/>
    <w:rsid w:val="00380805"/>
    <w:rsid w:val="00384FC3"/>
    <w:rsid w:val="003864C3"/>
    <w:rsid w:val="003872C7"/>
    <w:rsid w:val="00390AD7"/>
    <w:rsid w:val="00391429"/>
    <w:rsid w:val="00391FEF"/>
    <w:rsid w:val="00392538"/>
    <w:rsid w:val="0039424B"/>
    <w:rsid w:val="0039481A"/>
    <w:rsid w:val="00394FD7"/>
    <w:rsid w:val="00396359"/>
    <w:rsid w:val="003A3804"/>
    <w:rsid w:val="003A4C88"/>
    <w:rsid w:val="003A52BE"/>
    <w:rsid w:val="003A5866"/>
    <w:rsid w:val="003A6E9F"/>
    <w:rsid w:val="003B7627"/>
    <w:rsid w:val="003B7FB2"/>
    <w:rsid w:val="003C01A2"/>
    <w:rsid w:val="003C1504"/>
    <w:rsid w:val="003C3E13"/>
    <w:rsid w:val="003C55AB"/>
    <w:rsid w:val="003C6998"/>
    <w:rsid w:val="003D1784"/>
    <w:rsid w:val="003D356C"/>
    <w:rsid w:val="003D4853"/>
    <w:rsid w:val="003D4CD6"/>
    <w:rsid w:val="003D6306"/>
    <w:rsid w:val="003D72BC"/>
    <w:rsid w:val="003E2F84"/>
    <w:rsid w:val="003E6FD2"/>
    <w:rsid w:val="003E7A36"/>
    <w:rsid w:val="003F0567"/>
    <w:rsid w:val="003F10A4"/>
    <w:rsid w:val="003F242D"/>
    <w:rsid w:val="003F4E3C"/>
    <w:rsid w:val="004020D4"/>
    <w:rsid w:val="0040316C"/>
    <w:rsid w:val="00404B63"/>
    <w:rsid w:val="00404EAC"/>
    <w:rsid w:val="00406861"/>
    <w:rsid w:val="004108B3"/>
    <w:rsid w:val="00410920"/>
    <w:rsid w:val="004109FA"/>
    <w:rsid w:val="00414C26"/>
    <w:rsid w:val="00415642"/>
    <w:rsid w:val="004200D3"/>
    <w:rsid w:val="004228C7"/>
    <w:rsid w:val="00427063"/>
    <w:rsid w:val="00427605"/>
    <w:rsid w:val="0042798B"/>
    <w:rsid w:val="0043135C"/>
    <w:rsid w:val="00433AAA"/>
    <w:rsid w:val="00434913"/>
    <w:rsid w:val="004351EF"/>
    <w:rsid w:val="00436009"/>
    <w:rsid w:val="004371D1"/>
    <w:rsid w:val="004418D3"/>
    <w:rsid w:val="00442E26"/>
    <w:rsid w:val="00444B5A"/>
    <w:rsid w:val="00444D5F"/>
    <w:rsid w:val="0044531D"/>
    <w:rsid w:val="004474F8"/>
    <w:rsid w:val="00450623"/>
    <w:rsid w:val="00453F9C"/>
    <w:rsid w:val="0045707E"/>
    <w:rsid w:val="00457CF8"/>
    <w:rsid w:val="00462839"/>
    <w:rsid w:val="00462A06"/>
    <w:rsid w:val="0046444C"/>
    <w:rsid w:val="004655F6"/>
    <w:rsid w:val="004672F1"/>
    <w:rsid w:val="0047230A"/>
    <w:rsid w:val="004723BD"/>
    <w:rsid w:val="004751FC"/>
    <w:rsid w:val="00477550"/>
    <w:rsid w:val="00477ED6"/>
    <w:rsid w:val="004804F5"/>
    <w:rsid w:val="00480C8A"/>
    <w:rsid w:val="004825EE"/>
    <w:rsid w:val="004844A8"/>
    <w:rsid w:val="00484A82"/>
    <w:rsid w:val="00496803"/>
    <w:rsid w:val="00496CC4"/>
    <w:rsid w:val="00497E7C"/>
    <w:rsid w:val="004A2733"/>
    <w:rsid w:val="004A2742"/>
    <w:rsid w:val="004A44AD"/>
    <w:rsid w:val="004A6071"/>
    <w:rsid w:val="004B2DCE"/>
    <w:rsid w:val="004B4597"/>
    <w:rsid w:val="004B6688"/>
    <w:rsid w:val="004B752E"/>
    <w:rsid w:val="004C0D5B"/>
    <w:rsid w:val="004C1B3E"/>
    <w:rsid w:val="004C34EB"/>
    <w:rsid w:val="004C3CEC"/>
    <w:rsid w:val="004C70CA"/>
    <w:rsid w:val="004D2304"/>
    <w:rsid w:val="004E4CC8"/>
    <w:rsid w:val="004F497B"/>
    <w:rsid w:val="004F538A"/>
    <w:rsid w:val="004F5D62"/>
    <w:rsid w:val="004F61E4"/>
    <w:rsid w:val="004F63CB"/>
    <w:rsid w:val="004F669E"/>
    <w:rsid w:val="00504F63"/>
    <w:rsid w:val="00505585"/>
    <w:rsid w:val="00506DF9"/>
    <w:rsid w:val="00506F27"/>
    <w:rsid w:val="00510660"/>
    <w:rsid w:val="00513084"/>
    <w:rsid w:val="00517C29"/>
    <w:rsid w:val="00522C1E"/>
    <w:rsid w:val="00523786"/>
    <w:rsid w:val="005244A4"/>
    <w:rsid w:val="00525BEB"/>
    <w:rsid w:val="00526526"/>
    <w:rsid w:val="00527783"/>
    <w:rsid w:val="00531347"/>
    <w:rsid w:val="00533BF6"/>
    <w:rsid w:val="005348E6"/>
    <w:rsid w:val="005407D6"/>
    <w:rsid w:val="00541DBC"/>
    <w:rsid w:val="00543329"/>
    <w:rsid w:val="005460B2"/>
    <w:rsid w:val="00546DFC"/>
    <w:rsid w:val="0054729F"/>
    <w:rsid w:val="00554488"/>
    <w:rsid w:val="005568F5"/>
    <w:rsid w:val="0056179C"/>
    <w:rsid w:val="005622E3"/>
    <w:rsid w:val="005636AE"/>
    <w:rsid w:val="00563763"/>
    <w:rsid w:val="00566B2F"/>
    <w:rsid w:val="00567CD0"/>
    <w:rsid w:val="005716DE"/>
    <w:rsid w:val="00571A2F"/>
    <w:rsid w:val="005721E9"/>
    <w:rsid w:val="005756D5"/>
    <w:rsid w:val="00575A03"/>
    <w:rsid w:val="005765FF"/>
    <w:rsid w:val="005814B5"/>
    <w:rsid w:val="00583F39"/>
    <w:rsid w:val="00584E91"/>
    <w:rsid w:val="00585C7B"/>
    <w:rsid w:val="00587F4D"/>
    <w:rsid w:val="0059087B"/>
    <w:rsid w:val="00597AA6"/>
    <w:rsid w:val="005A2ACC"/>
    <w:rsid w:val="005A4FF1"/>
    <w:rsid w:val="005A5AE7"/>
    <w:rsid w:val="005A5CC4"/>
    <w:rsid w:val="005A637E"/>
    <w:rsid w:val="005B23A9"/>
    <w:rsid w:val="005B517C"/>
    <w:rsid w:val="005C2E4A"/>
    <w:rsid w:val="005D046D"/>
    <w:rsid w:val="005D18F7"/>
    <w:rsid w:val="005D2741"/>
    <w:rsid w:val="005D2BDB"/>
    <w:rsid w:val="005D3316"/>
    <w:rsid w:val="005D377E"/>
    <w:rsid w:val="005D3E9D"/>
    <w:rsid w:val="005E2568"/>
    <w:rsid w:val="005E4D72"/>
    <w:rsid w:val="005E51E7"/>
    <w:rsid w:val="005E55B3"/>
    <w:rsid w:val="005E5ACB"/>
    <w:rsid w:val="005E61D7"/>
    <w:rsid w:val="005F2088"/>
    <w:rsid w:val="005F4504"/>
    <w:rsid w:val="005F4A9F"/>
    <w:rsid w:val="005F6382"/>
    <w:rsid w:val="005F77B6"/>
    <w:rsid w:val="00600871"/>
    <w:rsid w:val="006015A6"/>
    <w:rsid w:val="006049EE"/>
    <w:rsid w:val="0060532F"/>
    <w:rsid w:val="006056B3"/>
    <w:rsid w:val="00612DE0"/>
    <w:rsid w:val="00613AB1"/>
    <w:rsid w:val="00620DA4"/>
    <w:rsid w:val="0062381A"/>
    <w:rsid w:val="006242FA"/>
    <w:rsid w:val="00625555"/>
    <w:rsid w:val="006256D3"/>
    <w:rsid w:val="006261C9"/>
    <w:rsid w:val="00626978"/>
    <w:rsid w:val="00626FCC"/>
    <w:rsid w:val="00627BB7"/>
    <w:rsid w:val="00631E57"/>
    <w:rsid w:val="00632020"/>
    <w:rsid w:val="006320CF"/>
    <w:rsid w:val="0063548F"/>
    <w:rsid w:val="006359A5"/>
    <w:rsid w:val="00641902"/>
    <w:rsid w:val="00641CE9"/>
    <w:rsid w:val="00643EA7"/>
    <w:rsid w:val="00645426"/>
    <w:rsid w:val="00647C77"/>
    <w:rsid w:val="0065136E"/>
    <w:rsid w:val="00655DF8"/>
    <w:rsid w:val="00656BD8"/>
    <w:rsid w:val="006576F0"/>
    <w:rsid w:val="00660099"/>
    <w:rsid w:val="0066029D"/>
    <w:rsid w:val="006615CF"/>
    <w:rsid w:val="006616FE"/>
    <w:rsid w:val="00661F34"/>
    <w:rsid w:val="00670D71"/>
    <w:rsid w:val="006718CE"/>
    <w:rsid w:val="0067376E"/>
    <w:rsid w:val="006739A1"/>
    <w:rsid w:val="0067421B"/>
    <w:rsid w:val="00675A49"/>
    <w:rsid w:val="006805BB"/>
    <w:rsid w:val="00681DA4"/>
    <w:rsid w:val="0068218A"/>
    <w:rsid w:val="00682251"/>
    <w:rsid w:val="00682EF5"/>
    <w:rsid w:val="006837FF"/>
    <w:rsid w:val="00683BFF"/>
    <w:rsid w:val="00685A65"/>
    <w:rsid w:val="006877E3"/>
    <w:rsid w:val="0069009E"/>
    <w:rsid w:val="00690B38"/>
    <w:rsid w:val="006929A6"/>
    <w:rsid w:val="00693F16"/>
    <w:rsid w:val="00695291"/>
    <w:rsid w:val="006A3FDB"/>
    <w:rsid w:val="006A4993"/>
    <w:rsid w:val="006A5435"/>
    <w:rsid w:val="006A76F8"/>
    <w:rsid w:val="006B3539"/>
    <w:rsid w:val="006B3D9D"/>
    <w:rsid w:val="006B7D8E"/>
    <w:rsid w:val="006C02A8"/>
    <w:rsid w:val="006C13DA"/>
    <w:rsid w:val="006C2602"/>
    <w:rsid w:val="006C3F76"/>
    <w:rsid w:val="006C5775"/>
    <w:rsid w:val="006C7095"/>
    <w:rsid w:val="006D4B1D"/>
    <w:rsid w:val="006D4F6A"/>
    <w:rsid w:val="006E0C88"/>
    <w:rsid w:val="006E0E0F"/>
    <w:rsid w:val="006E4671"/>
    <w:rsid w:val="006E60C3"/>
    <w:rsid w:val="006E7DCE"/>
    <w:rsid w:val="006E7E35"/>
    <w:rsid w:val="006F2942"/>
    <w:rsid w:val="006F3528"/>
    <w:rsid w:val="006F3781"/>
    <w:rsid w:val="006F54F5"/>
    <w:rsid w:val="00703336"/>
    <w:rsid w:val="00704E5B"/>
    <w:rsid w:val="007050FF"/>
    <w:rsid w:val="00705210"/>
    <w:rsid w:val="00705573"/>
    <w:rsid w:val="00706150"/>
    <w:rsid w:val="00707B98"/>
    <w:rsid w:val="00714741"/>
    <w:rsid w:val="00715518"/>
    <w:rsid w:val="00722B7F"/>
    <w:rsid w:val="007240C5"/>
    <w:rsid w:val="00724F9E"/>
    <w:rsid w:val="00727145"/>
    <w:rsid w:val="00731C1A"/>
    <w:rsid w:val="00731CDC"/>
    <w:rsid w:val="007355E2"/>
    <w:rsid w:val="00737148"/>
    <w:rsid w:val="007377A5"/>
    <w:rsid w:val="00737D84"/>
    <w:rsid w:val="007426AF"/>
    <w:rsid w:val="00743CE3"/>
    <w:rsid w:val="007442EC"/>
    <w:rsid w:val="007461BD"/>
    <w:rsid w:val="00750A38"/>
    <w:rsid w:val="00755EE1"/>
    <w:rsid w:val="00763869"/>
    <w:rsid w:val="00766962"/>
    <w:rsid w:val="00767FDA"/>
    <w:rsid w:val="00770916"/>
    <w:rsid w:val="00771C39"/>
    <w:rsid w:val="00773812"/>
    <w:rsid w:val="00775287"/>
    <w:rsid w:val="00777988"/>
    <w:rsid w:val="00777E05"/>
    <w:rsid w:val="00781FFA"/>
    <w:rsid w:val="00782F8D"/>
    <w:rsid w:val="00783EF9"/>
    <w:rsid w:val="00792C0F"/>
    <w:rsid w:val="007A151B"/>
    <w:rsid w:val="007A23F3"/>
    <w:rsid w:val="007B0034"/>
    <w:rsid w:val="007B11A1"/>
    <w:rsid w:val="007B29A8"/>
    <w:rsid w:val="007B31D8"/>
    <w:rsid w:val="007B37D4"/>
    <w:rsid w:val="007B53B2"/>
    <w:rsid w:val="007B5BB2"/>
    <w:rsid w:val="007B7E70"/>
    <w:rsid w:val="007B7F5A"/>
    <w:rsid w:val="007C4FED"/>
    <w:rsid w:val="007C53B8"/>
    <w:rsid w:val="007C61C2"/>
    <w:rsid w:val="007C6911"/>
    <w:rsid w:val="007C743A"/>
    <w:rsid w:val="007D0F77"/>
    <w:rsid w:val="007D2A89"/>
    <w:rsid w:val="007D33F4"/>
    <w:rsid w:val="007D5593"/>
    <w:rsid w:val="007D773F"/>
    <w:rsid w:val="007D7FB2"/>
    <w:rsid w:val="007E4419"/>
    <w:rsid w:val="007E6406"/>
    <w:rsid w:val="007F03EE"/>
    <w:rsid w:val="007F1BE1"/>
    <w:rsid w:val="007F2437"/>
    <w:rsid w:val="007F314D"/>
    <w:rsid w:val="007F3ABE"/>
    <w:rsid w:val="007F579B"/>
    <w:rsid w:val="007F6C18"/>
    <w:rsid w:val="00800A92"/>
    <w:rsid w:val="00802A02"/>
    <w:rsid w:val="00802A92"/>
    <w:rsid w:val="00811949"/>
    <w:rsid w:val="00813D71"/>
    <w:rsid w:val="008162BD"/>
    <w:rsid w:val="00816335"/>
    <w:rsid w:val="00817559"/>
    <w:rsid w:val="0082248C"/>
    <w:rsid w:val="00825617"/>
    <w:rsid w:val="0082665F"/>
    <w:rsid w:val="00830BE8"/>
    <w:rsid w:val="00830E76"/>
    <w:rsid w:val="008328E9"/>
    <w:rsid w:val="00832EF9"/>
    <w:rsid w:val="00833F00"/>
    <w:rsid w:val="00835BCB"/>
    <w:rsid w:val="00835CDC"/>
    <w:rsid w:val="00840094"/>
    <w:rsid w:val="008424E2"/>
    <w:rsid w:val="0084581A"/>
    <w:rsid w:val="008507BA"/>
    <w:rsid w:val="00850B09"/>
    <w:rsid w:val="00850BC0"/>
    <w:rsid w:val="00854F30"/>
    <w:rsid w:val="00855B14"/>
    <w:rsid w:val="00857013"/>
    <w:rsid w:val="00857B3C"/>
    <w:rsid w:val="0086200D"/>
    <w:rsid w:val="00863B9D"/>
    <w:rsid w:val="00863BE6"/>
    <w:rsid w:val="008750A2"/>
    <w:rsid w:val="008751EB"/>
    <w:rsid w:val="008775BC"/>
    <w:rsid w:val="00882F1B"/>
    <w:rsid w:val="00884310"/>
    <w:rsid w:val="00887231"/>
    <w:rsid w:val="00887520"/>
    <w:rsid w:val="00897D34"/>
    <w:rsid w:val="008A25B7"/>
    <w:rsid w:val="008A2776"/>
    <w:rsid w:val="008A67CA"/>
    <w:rsid w:val="008A70CE"/>
    <w:rsid w:val="008A7AFB"/>
    <w:rsid w:val="008A7FBA"/>
    <w:rsid w:val="008B1050"/>
    <w:rsid w:val="008B1FD6"/>
    <w:rsid w:val="008B3F43"/>
    <w:rsid w:val="008B3FED"/>
    <w:rsid w:val="008B5BA6"/>
    <w:rsid w:val="008C25E4"/>
    <w:rsid w:val="008C2B5A"/>
    <w:rsid w:val="008C2DAE"/>
    <w:rsid w:val="008C603F"/>
    <w:rsid w:val="008C6BFA"/>
    <w:rsid w:val="008D4184"/>
    <w:rsid w:val="008D4620"/>
    <w:rsid w:val="008D4652"/>
    <w:rsid w:val="008D4D9C"/>
    <w:rsid w:val="008D6175"/>
    <w:rsid w:val="008D6247"/>
    <w:rsid w:val="008E06C2"/>
    <w:rsid w:val="008E4262"/>
    <w:rsid w:val="008E4D8E"/>
    <w:rsid w:val="008E4F48"/>
    <w:rsid w:val="008F1736"/>
    <w:rsid w:val="008F1DB9"/>
    <w:rsid w:val="008F1E6B"/>
    <w:rsid w:val="008F2881"/>
    <w:rsid w:val="008F29B0"/>
    <w:rsid w:val="00901601"/>
    <w:rsid w:val="009059A9"/>
    <w:rsid w:val="00906806"/>
    <w:rsid w:val="00907158"/>
    <w:rsid w:val="009117F1"/>
    <w:rsid w:val="009118E5"/>
    <w:rsid w:val="00923724"/>
    <w:rsid w:val="00923A74"/>
    <w:rsid w:val="0092515E"/>
    <w:rsid w:val="009343F2"/>
    <w:rsid w:val="009461E9"/>
    <w:rsid w:val="009469EE"/>
    <w:rsid w:val="009469FD"/>
    <w:rsid w:val="00946AEE"/>
    <w:rsid w:val="0094770B"/>
    <w:rsid w:val="0095183A"/>
    <w:rsid w:val="00952123"/>
    <w:rsid w:val="00952A63"/>
    <w:rsid w:val="0095501C"/>
    <w:rsid w:val="00956292"/>
    <w:rsid w:val="00956589"/>
    <w:rsid w:val="00957766"/>
    <w:rsid w:val="00965BEF"/>
    <w:rsid w:val="009665D9"/>
    <w:rsid w:val="00966FED"/>
    <w:rsid w:val="00972828"/>
    <w:rsid w:val="00973D7A"/>
    <w:rsid w:val="0097565A"/>
    <w:rsid w:val="00977C51"/>
    <w:rsid w:val="00985FAF"/>
    <w:rsid w:val="0099214A"/>
    <w:rsid w:val="0099250D"/>
    <w:rsid w:val="00993129"/>
    <w:rsid w:val="00996E40"/>
    <w:rsid w:val="00997CDA"/>
    <w:rsid w:val="009A0BD4"/>
    <w:rsid w:val="009A26BD"/>
    <w:rsid w:val="009A3ABF"/>
    <w:rsid w:val="009B2267"/>
    <w:rsid w:val="009B243F"/>
    <w:rsid w:val="009B4FFB"/>
    <w:rsid w:val="009C0925"/>
    <w:rsid w:val="009C1DCD"/>
    <w:rsid w:val="009C2D7E"/>
    <w:rsid w:val="009C2E7A"/>
    <w:rsid w:val="009C4D14"/>
    <w:rsid w:val="009C5CBA"/>
    <w:rsid w:val="009C6DEB"/>
    <w:rsid w:val="009C7E2F"/>
    <w:rsid w:val="009D1C2C"/>
    <w:rsid w:val="009D5133"/>
    <w:rsid w:val="009D57A1"/>
    <w:rsid w:val="009D78E0"/>
    <w:rsid w:val="009E3705"/>
    <w:rsid w:val="009E3B69"/>
    <w:rsid w:val="009E5374"/>
    <w:rsid w:val="009F120C"/>
    <w:rsid w:val="009F345D"/>
    <w:rsid w:val="00A00069"/>
    <w:rsid w:val="00A05A34"/>
    <w:rsid w:val="00A06BE4"/>
    <w:rsid w:val="00A07985"/>
    <w:rsid w:val="00A11A0A"/>
    <w:rsid w:val="00A12CC5"/>
    <w:rsid w:val="00A13218"/>
    <w:rsid w:val="00A13415"/>
    <w:rsid w:val="00A160FE"/>
    <w:rsid w:val="00A16F6B"/>
    <w:rsid w:val="00A17071"/>
    <w:rsid w:val="00A17B7B"/>
    <w:rsid w:val="00A227A3"/>
    <w:rsid w:val="00A22B21"/>
    <w:rsid w:val="00A237BE"/>
    <w:rsid w:val="00A23BE1"/>
    <w:rsid w:val="00A26418"/>
    <w:rsid w:val="00A303E5"/>
    <w:rsid w:val="00A33FB3"/>
    <w:rsid w:val="00A367E2"/>
    <w:rsid w:val="00A36B95"/>
    <w:rsid w:val="00A37010"/>
    <w:rsid w:val="00A41648"/>
    <w:rsid w:val="00A41CA7"/>
    <w:rsid w:val="00A42C64"/>
    <w:rsid w:val="00A42C70"/>
    <w:rsid w:val="00A42D73"/>
    <w:rsid w:val="00A42F3F"/>
    <w:rsid w:val="00A4397F"/>
    <w:rsid w:val="00A43C37"/>
    <w:rsid w:val="00A45BA9"/>
    <w:rsid w:val="00A47D22"/>
    <w:rsid w:val="00A5199D"/>
    <w:rsid w:val="00A521AE"/>
    <w:rsid w:val="00A53BC0"/>
    <w:rsid w:val="00A564D0"/>
    <w:rsid w:val="00A60B73"/>
    <w:rsid w:val="00A62C59"/>
    <w:rsid w:val="00A63BF6"/>
    <w:rsid w:val="00A67DE8"/>
    <w:rsid w:val="00A67EDF"/>
    <w:rsid w:val="00A70C4F"/>
    <w:rsid w:val="00A7189F"/>
    <w:rsid w:val="00A71A2E"/>
    <w:rsid w:val="00A7267E"/>
    <w:rsid w:val="00A7551A"/>
    <w:rsid w:val="00A77723"/>
    <w:rsid w:val="00A80080"/>
    <w:rsid w:val="00A80241"/>
    <w:rsid w:val="00A84ECC"/>
    <w:rsid w:val="00A85181"/>
    <w:rsid w:val="00A86C10"/>
    <w:rsid w:val="00A94E0B"/>
    <w:rsid w:val="00A95DB6"/>
    <w:rsid w:val="00AA08BC"/>
    <w:rsid w:val="00AA3331"/>
    <w:rsid w:val="00AA3DB1"/>
    <w:rsid w:val="00AA3E55"/>
    <w:rsid w:val="00AB0615"/>
    <w:rsid w:val="00AB0EDA"/>
    <w:rsid w:val="00AB1CFD"/>
    <w:rsid w:val="00AB2579"/>
    <w:rsid w:val="00AB4639"/>
    <w:rsid w:val="00AB4951"/>
    <w:rsid w:val="00AB4D8C"/>
    <w:rsid w:val="00AB63D5"/>
    <w:rsid w:val="00AC0482"/>
    <w:rsid w:val="00AC233F"/>
    <w:rsid w:val="00AC2532"/>
    <w:rsid w:val="00AC4FAD"/>
    <w:rsid w:val="00AC54FF"/>
    <w:rsid w:val="00AC5535"/>
    <w:rsid w:val="00AD280B"/>
    <w:rsid w:val="00AD2840"/>
    <w:rsid w:val="00AD3359"/>
    <w:rsid w:val="00AD501D"/>
    <w:rsid w:val="00AE0A27"/>
    <w:rsid w:val="00AE0BA9"/>
    <w:rsid w:val="00AE162E"/>
    <w:rsid w:val="00AE24D8"/>
    <w:rsid w:val="00AE38CD"/>
    <w:rsid w:val="00AE5993"/>
    <w:rsid w:val="00AE6BCF"/>
    <w:rsid w:val="00AF3EFC"/>
    <w:rsid w:val="00AF56EC"/>
    <w:rsid w:val="00AF5C85"/>
    <w:rsid w:val="00B02469"/>
    <w:rsid w:val="00B057FC"/>
    <w:rsid w:val="00B0766D"/>
    <w:rsid w:val="00B11369"/>
    <w:rsid w:val="00B127DE"/>
    <w:rsid w:val="00B13656"/>
    <w:rsid w:val="00B20D7F"/>
    <w:rsid w:val="00B23099"/>
    <w:rsid w:val="00B23288"/>
    <w:rsid w:val="00B232AF"/>
    <w:rsid w:val="00B26CFE"/>
    <w:rsid w:val="00B315A0"/>
    <w:rsid w:val="00B33CD8"/>
    <w:rsid w:val="00B34A18"/>
    <w:rsid w:val="00B37B82"/>
    <w:rsid w:val="00B40119"/>
    <w:rsid w:val="00B40295"/>
    <w:rsid w:val="00B41637"/>
    <w:rsid w:val="00B41E17"/>
    <w:rsid w:val="00B468CE"/>
    <w:rsid w:val="00B46D18"/>
    <w:rsid w:val="00B51D56"/>
    <w:rsid w:val="00B52EC9"/>
    <w:rsid w:val="00B5333E"/>
    <w:rsid w:val="00B56202"/>
    <w:rsid w:val="00B56E79"/>
    <w:rsid w:val="00B579CB"/>
    <w:rsid w:val="00B62367"/>
    <w:rsid w:val="00B626CD"/>
    <w:rsid w:val="00B6355F"/>
    <w:rsid w:val="00B63903"/>
    <w:rsid w:val="00B70083"/>
    <w:rsid w:val="00B705A0"/>
    <w:rsid w:val="00B723C5"/>
    <w:rsid w:val="00B75BAE"/>
    <w:rsid w:val="00B76D15"/>
    <w:rsid w:val="00B76F1E"/>
    <w:rsid w:val="00B82D59"/>
    <w:rsid w:val="00B83A94"/>
    <w:rsid w:val="00B852C8"/>
    <w:rsid w:val="00B856EA"/>
    <w:rsid w:val="00B86558"/>
    <w:rsid w:val="00B9101A"/>
    <w:rsid w:val="00B924B2"/>
    <w:rsid w:val="00B943DB"/>
    <w:rsid w:val="00B94CD6"/>
    <w:rsid w:val="00B9571D"/>
    <w:rsid w:val="00B97D4E"/>
    <w:rsid w:val="00BA0C5A"/>
    <w:rsid w:val="00BA0F8B"/>
    <w:rsid w:val="00BA13C6"/>
    <w:rsid w:val="00BA1E7E"/>
    <w:rsid w:val="00BA3504"/>
    <w:rsid w:val="00BA5241"/>
    <w:rsid w:val="00BA603F"/>
    <w:rsid w:val="00BB1268"/>
    <w:rsid w:val="00BB28F6"/>
    <w:rsid w:val="00BB3C93"/>
    <w:rsid w:val="00BB47C9"/>
    <w:rsid w:val="00BB4923"/>
    <w:rsid w:val="00BB4D2F"/>
    <w:rsid w:val="00BB67CF"/>
    <w:rsid w:val="00BB6DD4"/>
    <w:rsid w:val="00BC09B1"/>
    <w:rsid w:val="00BC2609"/>
    <w:rsid w:val="00BC4100"/>
    <w:rsid w:val="00BC449C"/>
    <w:rsid w:val="00BC46C0"/>
    <w:rsid w:val="00BC5866"/>
    <w:rsid w:val="00BC64E2"/>
    <w:rsid w:val="00BC6F24"/>
    <w:rsid w:val="00BC75BC"/>
    <w:rsid w:val="00BD0DBB"/>
    <w:rsid w:val="00BE30D8"/>
    <w:rsid w:val="00BE5150"/>
    <w:rsid w:val="00BE7AF7"/>
    <w:rsid w:val="00BF20AA"/>
    <w:rsid w:val="00BF3277"/>
    <w:rsid w:val="00BF3EA6"/>
    <w:rsid w:val="00C0076F"/>
    <w:rsid w:val="00C04170"/>
    <w:rsid w:val="00C06686"/>
    <w:rsid w:val="00C06CC1"/>
    <w:rsid w:val="00C10AD0"/>
    <w:rsid w:val="00C11D5A"/>
    <w:rsid w:val="00C13145"/>
    <w:rsid w:val="00C151DD"/>
    <w:rsid w:val="00C17EFC"/>
    <w:rsid w:val="00C23F1C"/>
    <w:rsid w:val="00C27C07"/>
    <w:rsid w:val="00C305AB"/>
    <w:rsid w:val="00C32D70"/>
    <w:rsid w:val="00C45D3F"/>
    <w:rsid w:val="00C47320"/>
    <w:rsid w:val="00C57E8C"/>
    <w:rsid w:val="00C63897"/>
    <w:rsid w:val="00C64192"/>
    <w:rsid w:val="00C70684"/>
    <w:rsid w:val="00C73262"/>
    <w:rsid w:val="00C807EA"/>
    <w:rsid w:val="00C8140F"/>
    <w:rsid w:val="00C82A4A"/>
    <w:rsid w:val="00C82EB2"/>
    <w:rsid w:val="00C90E4F"/>
    <w:rsid w:val="00C91725"/>
    <w:rsid w:val="00C956BD"/>
    <w:rsid w:val="00C9647C"/>
    <w:rsid w:val="00C972A3"/>
    <w:rsid w:val="00C97D83"/>
    <w:rsid w:val="00CA3F5F"/>
    <w:rsid w:val="00CA6C0E"/>
    <w:rsid w:val="00CA7680"/>
    <w:rsid w:val="00CB3924"/>
    <w:rsid w:val="00CB65B7"/>
    <w:rsid w:val="00CB764F"/>
    <w:rsid w:val="00CC441F"/>
    <w:rsid w:val="00CC6092"/>
    <w:rsid w:val="00CD191D"/>
    <w:rsid w:val="00CD2666"/>
    <w:rsid w:val="00CD4233"/>
    <w:rsid w:val="00CD6976"/>
    <w:rsid w:val="00CE448F"/>
    <w:rsid w:val="00CE525B"/>
    <w:rsid w:val="00CE5B1D"/>
    <w:rsid w:val="00CE7031"/>
    <w:rsid w:val="00CE744F"/>
    <w:rsid w:val="00CE750F"/>
    <w:rsid w:val="00CF75A1"/>
    <w:rsid w:val="00D015D6"/>
    <w:rsid w:val="00D01E26"/>
    <w:rsid w:val="00D02112"/>
    <w:rsid w:val="00D02CE1"/>
    <w:rsid w:val="00D0406D"/>
    <w:rsid w:val="00D0530C"/>
    <w:rsid w:val="00D05F99"/>
    <w:rsid w:val="00D10C38"/>
    <w:rsid w:val="00D11142"/>
    <w:rsid w:val="00D131BA"/>
    <w:rsid w:val="00D144D0"/>
    <w:rsid w:val="00D160CB"/>
    <w:rsid w:val="00D16861"/>
    <w:rsid w:val="00D16CFD"/>
    <w:rsid w:val="00D17600"/>
    <w:rsid w:val="00D20917"/>
    <w:rsid w:val="00D23042"/>
    <w:rsid w:val="00D23A96"/>
    <w:rsid w:val="00D24445"/>
    <w:rsid w:val="00D245A1"/>
    <w:rsid w:val="00D25B6E"/>
    <w:rsid w:val="00D2703D"/>
    <w:rsid w:val="00D30F6E"/>
    <w:rsid w:val="00D31C57"/>
    <w:rsid w:val="00D3216C"/>
    <w:rsid w:val="00D362E4"/>
    <w:rsid w:val="00D37914"/>
    <w:rsid w:val="00D407D6"/>
    <w:rsid w:val="00D415E2"/>
    <w:rsid w:val="00D42055"/>
    <w:rsid w:val="00D4308B"/>
    <w:rsid w:val="00D43390"/>
    <w:rsid w:val="00D445F3"/>
    <w:rsid w:val="00D46F74"/>
    <w:rsid w:val="00D50F55"/>
    <w:rsid w:val="00D51009"/>
    <w:rsid w:val="00D51D22"/>
    <w:rsid w:val="00D53117"/>
    <w:rsid w:val="00D53121"/>
    <w:rsid w:val="00D53920"/>
    <w:rsid w:val="00D539E0"/>
    <w:rsid w:val="00D540EE"/>
    <w:rsid w:val="00D56C81"/>
    <w:rsid w:val="00D60E59"/>
    <w:rsid w:val="00D647C3"/>
    <w:rsid w:val="00D664EC"/>
    <w:rsid w:val="00D71614"/>
    <w:rsid w:val="00D721D9"/>
    <w:rsid w:val="00D72E9F"/>
    <w:rsid w:val="00D7591F"/>
    <w:rsid w:val="00D772CC"/>
    <w:rsid w:val="00D8077D"/>
    <w:rsid w:val="00D84916"/>
    <w:rsid w:val="00D84F7B"/>
    <w:rsid w:val="00D8673D"/>
    <w:rsid w:val="00D86F2D"/>
    <w:rsid w:val="00D923FF"/>
    <w:rsid w:val="00D9322A"/>
    <w:rsid w:val="00D94203"/>
    <w:rsid w:val="00D9633A"/>
    <w:rsid w:val="00D969A0"/>
    <w:rsid w:val="00D97F28"/>
    <w:rsid w:val="00DA057C"/>
    <w:rsid w:val="00DA2823"/>
    <w:rsid w:val="00DA3A73"/>
    <w:rsid w:val="00DA7DCE"/>
    <w:rsid w:val="00DB1CB9"/>
    <w:rsid w:val="00DB7F8F"/>
    <w:rsid w:val="00DC0AE2"/>
    <w:rsid w:val="00DC23CC"/>
    <w:rsid w:val="00DC3F2C"/>
    <w:rsid w:val="00DC43B6"/>
    <w:rsid w:val="00DC4A40"/>
    <w:rsid w:val="00DC69F3"/>
    <w:rsid w:val="00DD3DE0"/>
    <w:rsid w:val="00DD4695"/>
    <w:rsid w:val="00DD51F4"/>
    <w:rsid w:val="00DD52E1"/>
    <w:rsid w:val="00DD6367"/>
    <w:rsid w:val="00DE1215"/>
    <w:rsid w:val="00DE2A73"/>
    <w:rsid w:val="00DE2B38"/>
    <w:rsid w:val="00DE5C60"/>
    <w:rsid w:val="00DF119A"/>
    <w:rsid w:val="00DF2386"/>
    <w:rsid w:val="00DF33AC"/>
    <w:rsid w:val="00DF33C6"/>
    <w:rsid w:val="00DF7383"/>
    <w:rsid w:val="00DF7FE7"/>
    <w:rsid w:val="00E00C1E"/>
    <w:rsid w:val="00E02540"/>
    <w:rsid w:val="00E03293"/>
    <w:rsid w:val="00E036AD"/>
    <w:rsid w:val="00E05E89"/>
    <w:rsid w:val="00E06077"/>
    <w:rsid w:val="00E07ED8"/>
    <w:rsid w:val="00E14AE6"/>
    <w:rsid w:val="00E210E8"/>
    <w:rsid w:val="00E229EA"/>
    <w:rsid w:val="00E23566"/>
    <w:rsid w:val="00E246E8"/>
    <w:rsid w:val="00E26578"/>
    <w:rsid w:val="00E26A45"/>
    <w:rsid w:val="00E2765A"/>
    <w:rsid w:val="00E319A5"/>
    <w:rsid w:val="00E32D01"/>
    <w:rsid w:val="00E32F19"/>
    <w:rsid w:val="00E3420D"/>
    <w:rsid w:val="00E34BC5"/>
    <w:rsid w:val="00E34C33"/>
    <w:rsid w:val="00E414F5"/>
    <w:rsid w:val="00E43553"/>
    <w:rsid w:val="00E444C7"/>
    <w:rsid w:val="00E4515E"/>
    <w:rsid w:val="00E46367"/>
    <w:rsid w:val="00E51789"/>
    <w:rsid w:val="00E51CE5"/>
    <w:rsid w:val="00E529C2"/>
    <w:rsid w:val="00E568E9"/>
    <w:rsid w:val="00E60A6D"/>
    <w:rsid w:val="00E611A7"/>
    <w:rsid w:val="00E62208"/>
    <w:rsid w:val="00E6295E"/>
    <w:rsid w:val="00E63F0B"/>
    <w:rsid w:val="00E64258"/>
    <w:rsid w:val="00E6570B"/>
    <w:rsid w:val="00E67F42"/>
    <w:rsid w:val="00E725B9"/>
    <w:rsid w:val="00E7386C"/>
    <w:rsid w:val="00E7421D"/>
    <w:rsid w:val="00E75002"/>
    <w:rsid w:val="00E752CF"/>
    <w:rsid w:val="00E75B3E"/>
    <w:rsid w:val="00E7755E"/>
    <w:rsid w:val="00E77F3D"/>
    <w:rsid w:val="00E8513C"/>
    <w:rsid w:val="00E875CD"/>
    <w:rsid w:val="00E91B09"/>
    <w:rsid w:val="00E91DE3"/>
    <w:rsid w:val="00E9307A"/>
    <w:rsid w:val="00E9647F"/>
    <w:rsid w:val="00E964E0"/>
    <w:rsid w:val="00E96D5D"/>
    <w:rsid w:val="00E97C6E"/>
    <w:rsid w:val="00EA3A7F"/>
    <w:rsid w:val="00EA4AE6"/>
    <w:rsid w:val="00EA6BF6"/>
    <w:rsid w:val="00EB0A13"/>
    <w:rsid w:val="00EB2424"/>
    <w:rsid w:val="00EB2D3E"/>
    <w:rsid w:val="00EB4358"/>
    <w:rsid w:val="00EB70E2"/>
    <w:rsid w:val="00EB7EC2"/>
    <w:rsid w:val="00EC0E5E"/>
    <w:rsid w:val="00EC598F"/>
    <w:rsid w:val="00EC668F"/>
    <w:rsid w:val="00ED0A15"/>
    <w:rsid w:val="00ED102A"/>
    <w:rsid w:val="00ED2A29"/>
    <w:rsid w:val="00ED3F9B"/>
    <w:rsid w:val="00ED4151"/>
    <w:rsid w:val="00ED6811"/>
    <w:rsid w:val="00ED6C09"/>
    <w:rsid w:val="00ED7350"/>
    <w:rsid w:val="00EE0C83"/>
    <w:rsid w:val="00EE1976"/>
    <w:rsid w:val="00EE1CA1"/>
    <w:rsid w:val="00EE1DA8"/>
    <w:rsid w:val="00EE3F96"/>
    <w:rsid w:val="00EE6168"/>
    <w:rsid w:val="00EE7DC6"/>
    <w:rsid w:val="00EF00A4"/>
    <w:rsid w:val="00EF1096"/>
    <w:rsid w:val="00EF4B7F"/>
    <w:rsid w:val="00F01A7A"/>
    <w:rsid w:val="00F054AB"/>
    <w:rsid w:val="00F078F1"/>
    <w:rsid w:val="00F113A5"/>
    <w:rsid w:val="00F11B8E"/>
    <w:rsid w:val="00F13140"/>
    <w:rsid w:val="00F141F1"/>
    <w:rsid w:val="00F15BDC"/>
    <w:rsid w:val="00F15FD8"/>
    <w:rsid w:val="00F21868"/>
    <w:rsid w:val="00F21922"/>
    <w:rsid w:val="00F2241D"/>
    <w:rsid w:val="00F233B4"/>
    <w:rsid w:val="00F3186F"/>
    <w:rsid w:val="00F34F71"/>
    <w:rsid w:val="00F35921"/>
    <w:rsid w:val="00F36407"/>
    <w:rsid w:val="00F40029"/>
    <w:rsid w:val="00F41E45"/>
    <w:rsid w:val="00F42558"/>
    <w:rsid w:val="00F4344B"/>
    <w:rsid w:val="00F44134"/>
    <w:rsid w:val="00F442A5"/>
    <w:rsid w:val="00F44FAF"/>
    <w:rsid w:val="00F47D74"/>
    <w:rsid w:val="00F518B1"/>
    <w:rsid w:val="00F55A36"/>
    <w:rsid w:val="00F564E7"/>
    <w:rsid w:val="00F60087"/>
    <w:rsid w:val="00F636EA"/>
    <w:rsid w:val="00F669DD"/>
    <w:rsid w:val="00F6732B"/>
    <w:rsid w:val="00F715E1"/>
    <w:rsid w:val="00F7222A"/>
    <w:rsid w:val="00F73E71"/>
    <w:rsid w:val="00F752E7"/>
    <w:rsid w:val="00F76630"/>
    <w:rsid w:val="00F807D4"/>
    <w:rsid w:val="00F83DF9"/>
    <w:rsid w:val="00F86070"/>
    <w:rsid w:val="00F90892"/>
    <w:rsid w:val="00F96B3D"/>
    <w:rsid w:val="00FA573B"/>
    <w:rsid w:val="00FA68DA"/>
    <w:rsid w:val="00FA74E5"/>
    <w:rsid w:val="00FB06A8"/>
    <w:rsid w:val="00FB4BD8"/>
    <w:rsid w:val="00FB66D7"/>
    <w:rsid w:val="00FC57AB"/>
    <w:rsid w:val="00FC5E60"/>
    <w:rsid w:val="00FC6104"/>
    <w:rsid w:val="00FC7242"/>
    <w:rsid w:val="00FD1ACD"/>
    <w:rsid w:val="00FD5C27"/>
    <w:rsid w:val="00FD74D4"/>
    <w:rsid w:val="00FD76D0"/>
    <w:rsid w:val="00FE209D"/>
    <w:rsid w:val="00FE25C2"/>
    <w:rsid w:val="00FE30AE"/>
    <w:rsid w:val="00FF4914"/>
    <w:rsid w:val="00FF66FA"/>
    <w:rsid w:val="00FF69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57783A17"/>
  <w15:docId w15:val="{48AB5AE4-B2EA-4D76-AFD1-987217C8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link w:val="Heading1Char"/>
    <w:uiPriority w:val="9"/>
    <w:qFormat/>
    <w:rsid w:val="00305448"/>
    <w:pPr>
      <w:widowControl w:val="0"/>
      <w:autoSpaceDE w:val="0"/>
      <w:autoSpaceDN w:val="0"/>
      <w:spacing w:after="0" w:line="240" w:lineRule="auto"/>
      <w:ind w:left="119"/>
      <w:outlineLvl w:val="0"/>
    </w:pPr>
    <w:rPr>
      <w:rFonts w:eastAsia="Times New Roman" w:cs="Calibri"/>
      <w:b/>
      <w:bCs/>
      <w:lang w:val="en-US"/>
    </w:rPr>
  </w:style>
  <w:style w:type="paragraph" w:styleId="Heading2">
    <w:name w:val="heading 2"/>
    <w:basedOn w:val="Normal"/>
    <w:link w:val="Heading2Char"/>
    <w:uiPriority w:val="9"/>
    <w:unhideWhenUsed/>
    <w:qFormat/>
    <w:rsid w:val="00305448"/>
    <w:pPr>
      <w:widowControl w:val="0"/>
      <w:autoSpaceDE w:val="0"/>
      <w:autoSpaceDN w:val="0"/>
      <w:spacing w:after="0" w:line="240" w:lineRule="auto"/>
      <w:ind w:left="240"/>
      <w:jc w:val="both"/>
      <w:outlineLvl w:val="1"/>
    </w:pPr>
    <w:rPr>
      <w:rFonts w:eastAsia="Times New Roman" w:cs="Calibri"/>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aliases w:val="Rec para,Dot pt,Párrafo de lista1,List Paragraph12,MAIN CONTENT,List Paragraph2,List Paragraph1,Recommendation,List Paragraph11,F5 List Paragraph,List Paragraph Char Char Char,Indicator Text,Paragraphe de liste"/>
    <w:basedOn w:val="Normal"/>
    <w:link w:val="ListParagraphChar"/>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pPr>
      <w:spacing w:line="240" w:lineRule="auto"/>
    </w:pPr>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table" w:styleId="TableGrid">
    <w:name w:val="Table Grid"/>
    <w:basedOn w:val="TableNormal"/>
    <w:uiPriority w:val="59"/>
    <w:rsid w:val="006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5A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664EC"/>
    <w:rPr>
      <w:color w:val="0000FF" w:themeColor="hyperlink"/>
      <w:u w:val="single"/>
    </w:rPr>
  </w:style>
  <w:style w:type="paragraph" w:customStyle="1" w:styleId="ColorfulList-Accent11">
    <w:name w:val="Colorful List - Accent 11"/>
    <w:basedOn w:val="Normal"/>
    <w:uiPriority w:val="34"/>
    <w:qFormat/>
    <w:rsid w:val="00D664EC"/>
    <w:pPr>
      <w:ind w:left="720"/>
      <w:contextualSpacing/>
    </w:pPr>
  </w:style>
  <w:style w:type="character" w:styleId="FollowedHyperlink">
    <w:name w:val="FollowedHyperlink"/>
    <w:basedOn w:val="DefaultParagraphFont"/>
    <w:uiPriority w:val="99"/>
    <w:semiHidden/>
    <w:unhideWhenUsed/>
    <w:rsid w:val="005E61D7"/>
    <w:rPr>
      <w:color w:val="800080" w:themeColor="followedHyperlink"/>
      <w:u w:val="single"/>
    </w:rPr>
  </w:style>
  <w:style w:type="paragraph" w:styleId="BodyText">
    <w:name w:val="Body Text"/>
    <w:basedOn w:val="Normal"/>
    <w:link w:val="BodyTextChar"/>
    <w:uiPriority w:val="1"/>
    <w:qFormat/>
    <w:rsid w:val="00DD52E1"/>
    <w:pPr>
      <w:widowControl w:val="0"/>
      <w:spacing w:after="0" w:line="240" w:lineRule="auto"/>
      <w:ind w:left="102"/>
    </w:pPr>
    <w:rPr>
      <w:rFonts w:cstheme="minorBidi"/>
      <w:lang w:val="en-US"/>
    </w:rPr>
  </w:style>
  <w:style w:type="character" w:customStyle="1" w:styleId="BodyTextChar">
    <w:name w:val="Body Text Char"/>
    <w:basedOn w:val="DefaultParagraphFont"/>
    <w:link w:val="BodyText"/>
    <w:uiPriority w:val="1"/>
    <w:rsid w:val="00DD52E1"/>
    <w:rPr>
      <w:rFonts w:ascii="Calibri" w:eastAsia="Calibri" w:hAnsi="Calibri"/>
      <w:lang w:val="en-US"/>
    </w:rPr>
  </w:style>
  <w:style w:type="character" w:customStyle="1" w:styleId="EnlacedeInternet">
    <w:name w:val="Enlace de Internet"/>
    <w:basedOn w:val="DefaultParagraphFont"/>
    <w:rsid w:val="005F6382"/>
    <w:rPr>
      <w:color w:val="0000FF"/>
      <w:u w:val="single"/>
    </w:rPr>
  </w:style>
  <w:style w:type="character" w:customStyle="1" w:styleId="ListParagraphChar">
    <w:name w:val="List Paragraph Char"/>
    <w:aliases w:val="Rec para Char,Dot pt Char,Párrafo de lista1 Char,List Paragraph12 Char,MAIN CONTENT Char,List Paragraph2 Char,List Paragraph1 Char,Recommendation Char,List Paragraph11 Char,F5 List Paragraph Char,List Paragraph Char Char Char Char"/>
    <w:link w:val="ListParagraph"/>
    <w:uiPriority w:val="1"/>
    <w:qFormat/>
    <w:locked/>
    <w:rsid w:val="00AB1CFD"/>
    <w:rPr>
      <w:rFonts w:ascii="Calibri" w:eastAsia="Calibri" w:hAnsi="Calibri" w:cs="Times New Roman"/>
    </w:rPr>
  </w:style>
  <w:style w:type="character" w:customStyle="1" w:styleId="tlid-translation">
    <w:name w:val="tlid-translation"/>
    <w:basedOn w:val="DefaultParagraphFont"/>
    <w:rsid w:val="00AB1CFD"/>
  </w:style>
  <w:style w:type="paragraph" w:styleId="NormalWeb">
    <w:name w:val="Normal (Web)"/>
    <w:basedOn w:val="Normal"/>
    <w:uiPriority w:val="99"/>
    <w:unhideWhenUsed/>
    <w:rsid w:val="00952A63"/>
    <w:pPr>
      <w:spacing w:after="150"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6A5435"/>
    <w:rPr>
      <w:i/>
      <w:iCs/>
    </w:rPr>
  </w:style>
  <w:style w:type="character" w:customStyle="1" w:styleId="apple-converted-space">
    <w:name w:val="apple-converted-space"/>
    <w:basedOn w:val="DefaultParagraphFont"/>
    <w:rsid w:val="006A5435"/>
  </w:style>
  <w:style w:type="character" w:customStyle="1" w:styleId="Heading1Char">
    <w:name w:val="Heading 1 Char"/>
    <w:basedOn w:val="DefaultParagraphFont"/>
    <w:link w:val="Heading1"/>
    <w:uiPriority w:val="9"/>
    <w:rsid w:val="00305448"/>
    <w:rPr>
      <w:rFonts w:ascii="Calibri" w:eastAsia="Times New Roman" w:hAnsi="Calibri" w:cs="Calibri"/>
      <w:b/>
      <w:bCs/>
      <w:lang w:val="en-US"/>
    </w:rPr>
  </w:style>
  <w:style w:type="character" w:customStyle="1" w:styleId="Heading2Char">
    <w:name w:val="Heading 2 Char"/>
    <w:basedOn w:val="DefaultParagraphFont"/>
    <w:link w:val="Heading2"/>
    <w:uiPriority w:val="9"/>
    <w:rsid w:val="00305448"/>
    <w:rPr>
      <w:rFonts w:ascii="Calibri" w:eastAsia="Times New Roman" w:hAnsi="Calibri" w:cs="Calibri"/>
      <w:b/>
      <w:bCs/>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99116">
      <w:bodyDiv w:val="1"/>
      <w:marLeft w:val="0"/>
      <w:marRight w:val="0"/>
      <w:marTop w:val="0"/>
      <w:marBottom w:val="0"/>
      <w:divBdr>
        <w:top w:val="none" w:sz="0" w:space="0" w:color="auto"/>
        <w:left w:val="none" w:sz="0" w:space="0" w:color="auto"/>
        <w:bottom w:val="none" w:sz="0" w:space="0" w:color="auto"/>
        <w:right w:val="none" w:sz="0" w:space="0" w:color="auto"/>
      </w:divBdr>
    </w:div>
    <w:div w:id="179396712">
      <w:bodyDiv w:val="1"/>
      <w:marLeft w:val="0"/>
      <w:marRight w:val="0"/>
      <w:marTop w:val="0"/>
      <w:marBottom w:val="0"/>
      <w:divBdr>
        <w:top w:val="none" w:sz="0" w:space="0" w:color="auto"/>
        <w:left w:val="none" w:sz="0" w:space="0" w:color="auto"/>
        <w:bottom w:val="none" w:sz="0" w:space="0" w:color="auto"/>
        <w:right w:val="none" w:sz="0" w:space="0" w:color="auto"/>
      </w:divBdr>
    </w:div>
    <w:div w:id="23868378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322508477">
      <w:bodyDiv w:val="1"/>
      <w:marLeft w:val="0"/>
      <w:marRight w:val="0"/>
      <w:marTop w:val="0"/>
      <w:marBottom w:val="0"/>
      <w:divBdr>
        <w:top w:val="none" w:sz="0" w:space="0" w:color="auto"/>
        <w:left w:val="none" w:sz="0" w:space="0" w:color="auto"/>
        <w:bottom w:val="none" w:sz="0" w:space="0" w:color="auto"/>
        <w:right w:val="none" w:sz="0" w:space="0" w:color="auto"/>
      </w:divBdr>
    </w:div>
    <w:div w:id="524440105">
      <w:bodyDiv w:val="1"/>
      <w:marLeft w:val="0"/>
      <w:marRight w:val="0"/>
      <w:marTop w:val="0"/>
      <w:marBottom w:val="0"/>
      <w:divBdr>
        <w:top w:val="none" w:sz="0" w:space="0" w:color="auto"/>
        <w:left w:val="none" w:sz="0" w:space="0" w:color="auto"/>
        <w:bottom w:val="none" w:sz="0" w:space="0" w:color="auto"/>
        <w:right w:val="none" w:sz="0" w:space="0" w:color="auto"/>
      </w:divBdr>
    </w:div>
    <w:div w:id="530187346">
      <w:bodyDiv w:val="1"/>
      <w:marLeft w:val="0"/>
      <w:marRight w:val="0"/>
      <w:marTop w:val="0"/>
      <w:marBottom w:val="0"/>
      <w:divBdr>
        <w:top w:val="none" w:sz="0" w:space="0" w:color="auto"/>
        <w:left w:val="none" w:sz="0" w:space="0" w:color="auto"/>
        <w:bottom w:val="none" w:sz="0" w:space="0" w:color="auto"/>
        <w:right w:val="none" w:sz="0" w:space="0" w:color="auto"/>
      </w:divBdr>
    </w:div>
    <w:div w:id="552930700">
      <w:bodyDiv w:val="1"/>
      <w:marLeft w:val="0"/>
      <w:marRight w:val="0"/>
      <w:marTop w:val="0"/>
      <w:marBottom w:val="0"/>
      <w:divBdr>
        <w:top w:val="none" w:sz="0" w:space="0" w:color="auto"/>
        <w:left w:val="none" w:sz="0" w:space="0" w:color="auto"/>
        <w:bottom w:val="none" w:sz="0" w:space="0" w:color="auto"/>
        <w:right w:val="none" w:sz="0" w:space="0" w:color="auto"/>
      </w:divBdr>
    </w:div>
    <w:div w:id="590092860">
      <w:bodyDiv w:val="1"/>
      <w:marLeft w:val="0"/>
      <w:marRight w:val="0"/>
      <w:marTop w:val="0"/>
      <w:marBottom w:val="0"/>
      <w:divBdr>
        <w:top w:val="none" w:sz="0" w:space="0" w:color="auto"/>
        <w:left w:val="none" w:sz="0" w:space="0" w:color="auto"/>
        <w:bottom w:val="none" w:sz="0" w:space="0" w:color="auto"/>
        <w:right w:val="none" w:sz="0" w:space="0" w:color="auto"/>
      </w:divBdr>
      <w:divsChild>
        <w:div w:id="50813262">
          <w:marLeft w:val="0"/>
          <w:marRight w:val="0"/>
          <w:marTop w:val="0"/>
          <w:marBottom w:val="225"/>
          <w:divBdr>
            <w:top w:val="none" w:sz="0" w:space="0" w:color="auto"/>
            <w:left w:val="none" w:sz="0" w:space="0" w:color="auto"/>
            <w:bottom w:val="none" w:sz="0" w:space="0" w:color="auto"/>
            <w:right w:val="none" w:sz="0" w:space="0" w:color="auto"/>
          </w:divBdr>
          <w:divsChild>
            <w:div w:id="1874150021">
              <w:marLeft w:val="0"/>
              <w:marRight w:val="0"/>
              <w:marTop w:val="300"/>
              <w:marBottom w:val="0"/>
              <w:divBdr>
                <w:top w:val="none" w:sz="0" w:space="0" w:color="auto"/>
                <w:left w:val="none" w:sz="0" w:space="0" w:color="auto"/>
                <w:bottom w:val="none" w:sz="0" w:space="0" w:color="auto"/>
                <w:right w:val="none" w:sz="0" w:space="0" w:color="auto"/>
              </w:divBdr>
              <w:divsChild>
                <w:div w:id="1654676146">
                  <w:marLeft w:val="0"/>
                  <w:marRight w:val="0"/>
                  <w:marTop w:val="0"/>
                  <w:marBottom w:val="0"/>
                  <w:divBdr>
                    <w:top w:val="none" w:sz="0" w:space="0" w:color="auto"/>
                    <w:left w:val="none" w:sz="0" w:space="0" w:color="auto"/>
                    <w:bottom w:val="none" w:sz="0" w:space="0" w:color="auto"/>
                    <w:right w:val="none" w:sz="0" w:space="0" w:color="auto"/>
                  </w:divBdr>
                  <w:divsChild>
                    <w:div w:id="2001542355">
                      <w:marLeft w:val="0"/>
                      <w:marRight w:val="0"/>
                      <w:marTop w:val="0"/>
                      <w:marBottom w:val="0"/>
                      <w:divBdr>
                        <w:top w:val="none" w:sz="0" w:space="0" w:color="auto"/>
                        <w:left w:val="none" w:sz="0" w:space="0" w:color="auto"/>
                        <w:bottom w:val="none" w:sz="0" w:space="0" w:color="auto"/>
                        <w:right w:val="none" w:sz="0" w:space="0" w:color="auto"/>
                      </w:divBdr>
                      <w:divsChild>
                        <w:div w:id="1885170859">
                          <w:marLeft w:val="0"/>
                          <w:marRight w:val="0"/>
                          <w:marTop w:val="0"/>
                          <w:marBottom w:val="0"/>
                          <w:divBdr>
                            <w:top w:val="none" w:sz="0" w:space="0" w:color="auto"/>
                            <w:left w:val="none" w:sz="0" w:space="0" w:color="auto"/>
                            <w:bottom w:val="none" w:sz="0" w:space="0" w:color="auto"/>
                            <w:right w:val="none" w:sz="0" w:space="0" w:color="auto"/>
                          </w:divBdr>
                          <w:divsChild>
                            <w:div w:id="1398243193">
                              <w:marLeft w:val="0"/>
                              <w:marRight w:val="0"/>
                              <w:marTop w:val="0"/>
                              <w:marBottom w:val="0"/>
                              <w:divBdr>
                                <w:top w:val="none" w:sz="0" w:space="0" w:color="auto"/>
                                <w:left w:val="none" w:sz="0" w:space="0" w:color="auto"/>
                                <w:bottom w:val="none" w:sz="0" w:space="0" w:color="auto"/>
                                <w:right w:val="none" w:sz="0" w:space="0" w:color="auto"/>
                              </w:divBdr>
                              <w:divsChild>
                                <w:div w:id="1504664254">
                                  <w:marLeft w:val="0"/>
                                  <w:marRight w:val="0"/>
                                  <w:marTop w:val="0"/>
                                  <w:marBottom w:val="0"/>
                                  <w:divBdr>
                                    <w:top w:val="none" w:sz="0" w:space="0" w:color="auto"/>
                                    <w:left w:val="none" w:sz="0" w:space="0" w:color="auto"/>
                                    <w:bottom w:val="none" w:sz="0" w:space="0" w:color="auto"/>
                                    <w:right w:val="none" w:sz="0" w:space="0" w:color="auto"/>
                                  </w:divBdr>
                                  <w:divsChild>
                                    <w:div w:id="32274539">
                                      <w:marLeft w:val="0"/>
                                      <w:marRight w:val="0"/>
                                      <w:marTop w:val="0"/>
                                      <w:marBottom w:val="0"/>
                                      <w:divBdr>
                                        <w:top w:val="none" w:sz="0" w:space="0" w:color="auto"/>
                                        <w:left w:val="none" w:sz="0" w:space="0" w:color="auto"/>
                                        <w:bottom w:val="none" w:sz="0" w:space="0" w:color="auto"/>
                                        <w:right w:val="none" w:sz="0" w:space="0" w:color="auto"/>
                                      </w:divBdr>
                                      <w:divsChild>
                                        <w:div w:id="1520697437">
                                          <w:marLeft w:val="0"/>
                                          <w:marRight w:val="0"/>
                                          <w:marTop w:val="0"/>
                                          <w:marBottom w:val="0"/>
                                          <w:divBdr>
                                            <w:top w:val="none" w:sz="0" w:space="0" w:color="auto"/>
                                            <w:left w:val="none" w:sz="0" w:space="0" w:color="auto"/>
                                            <w:bottom w:val="none" w:sz="0" w:space="0" w:color="auto"/>
                                            <w:right w:val="none" w:sz="0" w:space="0" w:color="auto"/>
                                          </w:divBdr>
                                          <w:divsChild>
                                            <w:div w:id="75636540">
                                              <w:marLeft w:val="0"/>
                                              <w:marRight w:val="0"/>
                                              <w:marTop w:val="0"/>
                                              <w:marBottom w:val="0"/>
                                              <w:divBdr>
                                                <w:top w:val="none" w:sz="0" w:space="0" w:color="auto"/>
                                                <w:left w:val="none" w:sz="0" w:space="0" w:color="auto"/>
                                                <w:bottom w:val="none" w:sz="0" w:space="0" w:color="auto"/>
                                                <w:right w:val="none" w:sz="0" w:space="0" w:color="auto"/>
                                              </w:divBdr>
                                              <w:divsChild>
                                                <w:div w:id="2100253038">
                                                  <w:marLeft w:val="0"/>
                                                  <w:marRight w:val="0"/>
                                                  <w:marTop w:val="0"/>
                                                  <w:marBottom w:val="0"/>
                                                  <w:divBdr>
                                                    <w:top w:val="none" w:sz="0" w:space="0" w:color="auto"/>
                                                    <w:left w:val="none" w:sz="0" w:space="0" w:color="auto"/>
                                                    <w:bottom w:val="none" w:sz="0" w:space="0" w:color="auto"/>
                                                    <w:right w:val="none" w:sz="0" w:space="0" w:color="auto"/>
                                                  </w:divBdr>
                                                  <w:divsChild>
                                                    <w:div w:id="15228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869425">
      <w:bodyDiv w:val="1"/>
      <w:marLeft w:val="0"/>
      <w:marRight w:val="0"/>
      <w:marTop w:val="0"/>
      <w:marBottom w:val="0"/>
      <w:divBdr>
        <w:top w:val="none" w:sz="0" w:space="0" w:color="auto"/>
        <w:left w:val="none" w:sz="0" w:space="0" w:color="auto"/>
        <w:bottom w:val="none" w:sz="0" w:space="0" w:color="auto"/>
        <w:right w:val="none" w:sz="0" w:space="0" w:color="auto"/>
      </w:divBdr>
    </w:div>
    <w:div w:id="966621212">
      <w:bodyDiv w:val="1"/>
      <w:marLeft w:val="0"/>
      <w:marRight w:val="0"/>
      <w:marTop w:val="0"/>
      <w:marBottom w:val="0"/>
      <w:divBdr>
        <w:top w:val="none" w:sz="0" w:space="0" w:color="auto"/>
        <w:left w:val="none" w:sz="0" w:space="0" w:color="auto"/>
        <w:bottom w:val="none" w:sz="0" w:space="0" w:color="auto"/>
        <w:right w:val="none" w:sz="0" w:space="0" w:color="auto"/>
      </w:divBdr>
    </w:div>
    <w:div w:id="1106535940">
      <w:bodyDiv w:val="1"/>
      <w:marLeft w:val="0"/>
      <w:marRight w:val="0"/>
      <w:marTop w:val="0"/>
      <w:marBottom w:val="0"/>
      <w:divBdr>
        <w:top w:val="none" w:sz="0" w:space="0" w:color="auto"/>
        <w:left w:val="none" w:sz="0" w:space="0" w:color="auto"/>
        <w:bottom w:val="none" w:sz="0" w:space="0" w:color="auto"/>
        <w:right w:val="none" w:sz="0" w:space="0" w:color="auto"/>
      </w:divBdr>
    </w:div>
    <w:div w:id="1613049198">
      <w:bodyDiv w:val="1"/>
      <w:marLeft w:val="0"/>
      <w:marRight w:val="0"/>
      <w:marTop w:val="0"/>
      <w:marBottom w:val="0"/>
      <w:divBdr>
        <w:top w:val="none" w:sz="0" w:space="0" w:color="auto"/>
        <w:left w:val="none" w:sz="0" w:space="0" w:color="auto"/>
        <w:bottom w:val="none" w:sz="0" w:space="0" w:color="auto"/>
        <w:right w:val="none" w:sz="0" w:space="0" w:color="auto"/>
      </w:divBdr>
      <w:divsChild>
        <w:div w:id="1477334778">
          <w:marLeft w:val="0"/>
          <w:marRight w:val="0"/>
          <w:marTop w:val="0"/>
          <w:marBottom w:val="0"/>
          <w:divBdr>
            <w:top w:val="none" w:sz="0" w:space="0" w:color="auto"/>
            <w:left w:val="none" w:sz="0" w:space="0" w:color="auto"/>
            <w:bottom w:val="none" w:sz="0" w:space="0" w:color="auto"/>
            <w:right w:val="none" w:sz="0" w:space="0" w:color="auto"/>
          </w:divBdr>
          <w:divsChild>
            <w:div w:id="2137211891">
              <w:marLeft w:val="0"/>
              <w:marRight w:val="0"/>
              <w:marTop w:val="0"/>
              <w:marBottom w:val="0"/>
              <w:divBdr>
                <w:top w:val="none" w:sz="0" w:space="0" w:color="auto"/>
                <w:left w:val="none" w:sz="0" w:space="0" w:color="auto"/>
                <w:bottom w:val="none" w:sz="0" w:space="0" w:color="auto"/>
                <w:right w:val="none" w:sz="0" w:space="0" w:color="auto"/>
              </w:divBdr>
              <w:divsChild>
                <w:div w:id="17187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465326">
      <w:bodyDiv w:val="1"/>
      <w:marLeft w:val="0"/>
      <w:marRight w:val="0"/>
      <w:marTop w:val="0"/>
      <w:marBottom w:val="0"/>
      <w:divBdr>
        <w:top w:val="none" w:sz="0" w:space="0" w:color="auto"/>
        <w:left w:val="none" w:sz="0" w:space="0" w:color="auto"/>
        <w:bottom w:val="none" w:sz="0" w:space="0" w:color="auto"/>
        <w:right w:val="none" w:sz="0" w:space="0" w:color="auto"/>
      </w:divBdr>
    </w:div>
    <w:div w:id="1752237166">
      <w:bodyDiv w:val="1"/>
      <w:marLeft w:val="0"/>
      <w:marRight w:val="0"/>
      <w:marTop w:val="0"/>
      <w:marBottom w:val="0"/>
      <w:divBdr>
        <w:top w:val="none" w:sz="0" w:space="0" w:color="auto"/>
        <w:left w:val="none" w:sz="0" w:space="0" w:color="auto"/>
        <w:bottom w:val="none" w:sz="0" w:space="0" w:color="auto"/>
        <w:right w:val="none" w:sz="0" w:space="0" w:color="auto"/>
      </w:divBdr>
      <w:divsChild>
        <w:div w:id="257369307">
          <w:marLeft w:val="0"/>
          <w:marRight w:val="0"/>
          <w:marTop w:val="0"/>
          <w:marBottom w:val="225"/>
          <w:divBdr>
            <w:top w:val="none" w:sz="0" w:space="0" w:color="auto"/>
            <w:left w:val="none" w:sz="0" w:space="0" w:color="auto"/>
            <w:bottom w:val="none" w:sz="0" w:space="0" w:color="auto"/>
            <w:right w:val="none" w:sz="0" w:space="0" w:color="auto"/>
          </w:divBdr>
          <w:divsChild>
            <w:div w:id="877015484">
              <w:marLeft w:val="0"/>
              <w:marRight w:val="0"/>
              <w:marTop w:val="300"/>
              <w:marBottom w:val="0"/>
              <w:divBdr>
                <w:top w:val="none" w:sz="0" w:space="0" w:color="auto"/>
                <w:left w:val="none" w:sz="0" w:space="0" w:color="auto"/>
                <w:bottom w:val="none" w:sz="0" w:space="0" w:color="auto"/>
                <w:right w:val="none" w:sz="0" w:space="0" w:color="auto"/>
              </w:divBdr>
              <w:divsChild>
                <w:div w:id="1434937576">
                  <w:marLeft w:val="0"/>
                  <w:marRight w:val="0"/>
                  <w:marTop w:val="0"/>
                  <w:marBottom w:val="0"/>
                  <w:divBdr>
                    <w:top w:val="none" w:sz="0" w:space="0" w:color="auto"/>
                    <w:left w:val="none" w:sz="0" w:space="0" w:color="auto"/>
                    <w:bottom w:val="none" w:sz="0" w:space="0" w:color="auto"/>
                    <w:right w:val="none" w:sz="0" w:space="0" w:color="auto"/>
                  </w:divBdr>
                  <w:divsChild>
                    <w:div w:id="347491546">
                      <w:marLeft w:val="0"/>
                      <w:marRight w:val="0"/>
                      <w:marTop w:val="0"/>
                      <w:marBottom w:val="0"/>
                      <w:divBdr>
                        <w:top w:val="none" w:sz="0" w:space="0" w:color="auto"/>
                        <w:left w:val="none" w:sz="0" w:space="0" w:color="auto"/>
                        <w:bottom w:val="none" w:sz="0" w:space="0" w:color="auto"/>
                        <w:right w:val="none" w:sz="0" w:space="0" w:color="auto"/>
                      </w:divBdr>
                      <w:divsChild>
                        <w:div w:id="909077068">
                          <w:marLeft w:val="0"/>
                          <w:marRight w:val="0"/>
                          <w:marTop w:val="0"/>
                          <w:marBottom w:val="0"/>
                          <w:divBdr>
                            <w:top w:val="none" w:sz="0" w:space="0" w:color="auto"/>
                            <w:left w:val="none" w:sz="0" w:space="0" w:color="auto"/>
                            <w:bottom w:val="none" w:sz="0" w:space="0" w:color="auto"/>
                            <w:right w:val="none" w:sz="0" w:space="0" w:color="auto"/>
                          </w:divBdr>
                          <w:divsChild>
                            <w:div w:id="205338819">
                              <w:marLeft w:val="0"/>
                              <w:marRight w:val="0"/>
                              <w:marTop w:val="0"/>
                              <w:marBottom w:val="0"/>
                              <w:divBdr>
                                <w:top w:val="none" w:sz="0" w:space="0" w:color="auto"/>
                                <w:left w:val="none" w:sz="0" w:space="0" w:color="auto"/>
                                <w:bottom w:val="none" w:sz="0" w:space="0" w:color="auto"/>
                                <w:right w:val="none" w:sz="0" w:space="0" w:color="auto"/>
                              </w:divBdr>
                              <w:divsChild>
                                <w:div w:id="238945374">
                                  <w:marLeft w:val="0"/>
                                  <w:marRight w:val="0"/>
                                  <w:marTop w:val="0"/>
                                  <w:marBottom w:val="0"/>
                                  <w:divBdr>
                                    <w:top w:val="none" w:sz="0" w:space="0" w:color="auto"/>
                                    <w:left w:val="none" w:sz="0" w:space="0" w:color="auto"/>
                                    <w:bottom w:val="none" w:sz="0" w:space="0" w:color="auto"/>
                                    <w:right w:val="none" w:sz="0" w:space="0" w:color="auto"/>
                                  </w:divBdr>
                                  <w:divsChild>
                                    <w:div w:id="401873308">
                                      <w:marLeft w:val="0"/>
                                      <w:marRight w:val="0"/>
                                      <w:marTop w:val="0"/>
                                      <w:marBottom w:val="0"/>
                                      <w:divBdr>
                                        <w:top w:val="none" w:sz="0" w:space="0" w:color="auto"/>
                                        <w:left w:val="none" w:sz="0" w:space="0" w:color="auto"/>
                                        <w:bottom w:val="none" w:sz="0" w:space="0" w:color="auto"/>
                                        <w:right w:val="none" w:sz="0" w:space="0" w:color="auto"/>
                                      </w:divBdr>
                                      <w:divsChild>
                                        <w:div w:id="1320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237474">
      <w:bodyDiv w:val="1"/>
      <w:marLeft w:val="0"/>
      <w:marRight w:val="0"/>
      <w:marTop w:val="0"/>
      <w:marBottom w:val="0"/>
      <w:divBdr>
        <w:top w:val="none" w:sz="0" w:space="0" w:color="auto"/>
        <w:left w:val="none" w:sz="0" w:space="0" w:color="auto"/>
        <w:bottom w:val="none" w:sz="0" w:space="0" w:color="auto"/>
        <w:right w:val="none" w:sz="0" w:space="0" w:color="auto"/>
      </w:divBdr>
    </w:div>
    <w:div w:id="1936934313">
      <w:bodyDiv w:val="1"/>
      <w:marLeft w:val="0"/>
      <w:marRight w:val="0"/>
      <w:marTop w:val="0"/>
      <w:marBottom w:val="0"/>
      <w:divBdr>
        <w:top w:val="none" w:sz="0" w:space="0" w:color="auto"/>
        <w:left w:val="none" w:sz="0" w:space="0" w:color="auto"/>
        <w:bottom w:val="none" w:sz="0" w:space="0" w:color="auto"/>
        <w:right w:val="none" w:sz="0" w:space="0" w:color="auto"/>
      </w:divBdr>
    </w:div>
    <w:div w:id="208085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sites/default/files/documents/library/cop14_provisional_agenda_s.pdf" TargetMode="External"/><Relationship Id="rId2" Type="http://schemas.openxmlformats.org/officeDocument/2006/relationships/hyperlink" Target="https://www.ramsar.org/sites/default/files/documents/library/report_subgroup_on_finance_20210113_e.pdf" TargetMode="External"/><Relationship Id="rId1" Type="http://schemas.openxmlformats.org/officeDocument/2006/relationships/hyperlink" Target="https://www.ramsar.org/sites/default/files/documents/library/status_contributions_end2020_efs.pdf" TargetMode="External"/><Relationship Id="rId4" Type="http://schemas.openxmlformats.org/officeDocument/2006/relationships/hyperlink" Target="https://www.ramsar.org/es/documento/nota-orientativa-sobre-la-preparacion-de-los-proyectos-de-resolucion-como-anexo-1-d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A1759-8EA6-4A29-B181-76267F612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1027</Words>
  <Characters>5857</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barzdo@ramsar.org</Manager>
  <Company>Ramsar Secretariat</Company>
  <LinksUpToDate>false</LinksUpToDate>
  <CharactersWithSpaces>6871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Ramsar\BarzdoJ</dc:creator>
  <cp:keywords/>
  <dc:description/>
  <cp:lastModifiedBy>Ed Jennings</cp:lastModifiedBy>
  <cp:revision>3</cp:revision>
  <cp:lastPrinted>2020-06-23T07:32:00Z</cp:lastPrinted>
  <dcterms:created xsi:type="dcterms:W3CDTF">2022-02-17T16:37:00Z</dcterms:created>
  <dcterms:modified xsi:type="dcterms:W3CDTF">2022-02-18T14:25:00Z</dcterms:modified>
  <cp:category/>
</cp:coreProperties>
</file>